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xml" ContentType="application/vnd.openxmlformats-officedocument.wordprocessingml.footer+xml"/>
  <Override PartName="/word/header20.xml" ContentType="application/vnd.openxmlformats-officedocument.wordprocessingml.header+xml"/>
  <Override PartName="/word/header14.xml" ContentType="application/vnd.openxmlformats-officedocument.wordprocessingml.header+xml"/>
  <Override PartName="/word/header13.xml" ContentType="application/vnd.openxmlformats-officedocument.wordprocessingml.header+xml"/>
  <Override PartName="/word/header21.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16.xml" ContentType="application/vnd.openxmlformats-officedocument.wordprocessingml.header+xml"/>
  <Override PartName="/word/header18.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header11.xml" ContentType="application/vnd.openxmlformats-officedocument.wordprocessingml.header+xml"/>
  <Override PartName="/word/header6.xml" ContentType="application/vnd.openxmlformats-officedocument.wordprocessingml.header+xml"/>
  <Override PartName="/word/endnotes.xml" ContentType="application/vnd.openxmlformats-officedocument.wordprocessingml.endnotes+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header19.xml" ContentType="application/vnd.openxmlformats-officedocument.wordprocessingml.header+xml"/>
  <Override PartName="/word/header17.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3124"/>
        <w:jc w:val="center"/>
        <w:spacing w:before="120" w:beforeAutospacing="0" w:after="120" w:afterAutospacing="0" w:line="360" w:lineRule="auto"/>
        <w:rPr>
          <w:rFonts w:hint="eastAsia" w:ascii="Arial" w:hAnsi="Arial" w:cs="Arial"/>
          <w:b/>
          <w:color w:val="000000"/>
          <w:sz w:val="84"/>
          <w:szCs w:val="84"/>
          <w:highlight w:val="none"/>
        </w:rPr>
      </w:pPr>
      <w:r>
        <w:rPr>
          <w:rFonts w:hint="eastAsia" w:ascii="Arial" w:hAnsi="Arial" w:cs="Arial"/>
          <w:b/>
          <w:color w:val="000000"/>
          <w:sz w:val="84"/>
          <w:szCs w:val="84"/>
          <w:highlight w:val="none"/>
        </w:rPr>
      </w:r>
      <w:r/>
    </w:p>
    <w:p>
      <w:pPr>
        <w:pStyle w:val="3124"/>
        <w:jc w:val="center"/>
        <w:spacing w:before="120" w:beforeAutospacing="0" w:after="120" w:afterAutospacing="0" w:line="360" w:lineRule="auto"/>
        <w:rPr>
          <w:rFonts w:hint="default"/>
          <w:sz w:val="24"/>
          <w:szCs w:val="24"/>
          <w:highlight w:val="none"/>
        </w:rPr>
      </w:pPr>
      <w:r>
        <w:rPr>
          <w:rFonts w:hint="eastAsia" w:ascii="Arial" w:hAnsi="Arial" w:cs="Arial"/>
          <w:b/>
          <w:color w:val="000000"/>
          <w:sz w:val="84"/>
          <w:szCs w:val="84"/>
          <w:highlight w:val="none"/>
        </w:rPr>
        <w:t xml:space="preserve">单一来源采购文件</w:t>
      </w:r>
      <w:r/>
    </w:p>
    <w:p>
      <w:pPr>
        <w:pStyle w:val="3124"/>
        <w:jc w:val="center"/>
        <w:spacing w:before="120" w:beforeAutospacing="0" w:after="120" w:afterAutospacing="0" w:line="360" w:lineRule="auto"/>
        <w:rPr>
          <w:rFonts w:hint="default" w:ascii="Arial" w:hAnsi="Arial" w:cs="Arial"/>
          <w:b/>
          <w:color w:val="000000"/>
          <w:sz w:val="32"/>
          <w:szCs w:val="32"/>
          <w:highlight w:val="none"/>
        </w:rPr>
      </w:pPr>
      <w:r>
        <w:rPr>
          <w:rFonts w:hint="default" w:ascii="Arial" w:hAnsi="Arial" w:cs="Arial"/>
          <w:b/>
          <w:color w:val="000000"/>
          <w:sz w:val="32"/>
          <w:szCs w:val="32"/>
          <w:highlight w:val="none"/>
        </w:rPr>
      </w:r>
      <w:r/>
    </w:p>
    <w:p>
      <w:pPr>
        <w:pStyle w:val="3124"/>
        <w:jc w:val="center"/>
        <w:spacing w:before="120" w:beforeAutospacing="0" w:after="120" w:afterAutospacing="0" w:line="360" w:lineRule="auto"/>
        <w:rPr>
          <w:rFonts w:hint="default" w:ascii="Arial" w:hAnsi="Arial" w:cs="Arial"/>
          <w:b/>
          <w:color w:val="000000"/>
          <w:sz w:val="32"/>
          <w:szCs w:val="32"/>
          <w:highlight w:val="none"/>
        </w:rPr>
      </w:pPr>
      <w:r>
        <w:rPr>
          <w:rFonts w:hint="default" w:ascii="Arial" w:hAnsi="Arial" w:cs="Arial"/>
          <w:b/>
          <w:color w:val="000000"/>
          <w:sz w:val="32"/>
          <w:szCs w:val="32"/>
          <w:highlight w:val="none"/>
        </w:rPr>
      </w:r>
      <w:r/>
    </w:p>
    <w:p>
      <w:pPr>
        <w:pStyle w:val="3124"/>
        <w:jc w:val="center"/>
        <w:spacing w:before="120" w:beforeAutospacing="0" w:after="120" w:afterAutospacing="0" w:line="360" w:lineRule="auto"/>
        <w:rPr>
          <w:rFonts w:hint="default" w:ascii="Arial" w:hAnsi="Arial" w:cs="Arial"/>
          <w:b/>
          <w:color w:val="000000"/>
          <w:sz w:val="32"/>
          <w:szCs w:val="32"/>
          <w:highlight w:val="none"/>
        </w:rPr>
      </w:pPr>
      <w:r>
        <w:rPr>
          <w:rFonts w:hint="default" w:ascii="Arial" w:hAnsi="Arial" w:cs="Arial"/>
          <w:b/>
          <w:color w:val="000000"/>
          <w:sz w:val="32"/>
          <w:szCs w:val="32"/>
          <w:highlight w:val="none"/>
        </w:rPr>
      </w:r>
      <w:r/>
    </w:p>
    <w:p>
      <w:pPr>
        <w:pStyle w:val="3124"/>
        <w:jc w:val="center"/>
        <w:spacing w:before="120" w:beforeAutospacing="0" w:after="120" w:afterAutospacing="0" w:line="360" w:lineRule="auto"/>
        <w:rPr>
          <w:rFonts w:hint="default" w:ascii="Arial" w:hAnsi="Arial" w:cs="Arial"/>
          <w:b/>
          <w:color w:val="000000"/>
          <w:sz w:val="32"/>
          <w:szCs w:val="32"/>
          <w:highlight w:val="none"/>
        </w:rPr>
      </w:pPr>
      <w:r>
        <w:rPr>
          <w:rFonts w:hint="default" w:ascii="Arial" w:hAnsi="Arial" w:cs="Arial"/>
          <w:b/>
          <w:color w:val="000000"/>
          <w:sz w:val="32"/>
          <w:szCs w:val="32"/>
          <w:highlight w:val="none"/>
        </w:rPr>
      </w:r>
      <w:r/>
    </w:p>
    <w:p>
      <w:pPr>
        <w:pStyle w:val="3124"/>
        <w:jc w:val="center"/>
        <w:spacing w:before="120" w:beforeAutospacing="0" w:after="120" w:afterAutospacing="0" w:line="360" w:lineRule="auto"/>
        <w:rPr>
          <w:rFonts w:hint="eastAsia" w:ascii="Arial" w:hAnsi="Arial" w:eastAsia="宋体" w:cs="Arial"/>
          <w:b/>
          <w:color w:val="000000"/>
          <w:sz w:val="32"/>
          <w:szCs w:val="32"/>
          <w:highlight w:val="none"/>
          <w:lang w:eastAsia="zh-CN"/>
        </w:rPr>
      </w:pPr>
      <w:r>
        <w:rPr>
          <w:rFonts w:hint="eastAsia" w:ascii="Arial" w:hAnsi="Arial" w:cs="Arial"/>
          <w:b/>
          <w:color w:val="000000"/>
          <w:sz w:val="32"/>
          <w:szCs w:val="32"/>
          <w:highlight w:val="none"/>
        </w:rPr>
        <w:t xml:space="preserve">项目名称：</w:t>
      </w:r>
      <w:r>
        <w:rPr>
          <w:rFonts w:hint="eastAsia" w:ascii="Arial" w:hAnsi="Arial" w:cs="Arial"/>
          <w:b/>
          <w:color w:val="000000"/>
          <w:sz w:val="32"/>
          <w:szCs w:val="32"/>
          <w:highlight w:val="none"/>
          <w:lang w:eastAsia="zh-CN"/>
        </w:rPr>
        <w:t xml:space="preserve">盐城市公安局市区高架一、二期交通安全设施维保服务采购项目</w:t>
      </w:r>
      <w:r/>
    </w:p>
    <w:p>
      <w:pPr>
        <w:pStyle w:val="3124"/>
        <w:jc w:val="center"/>
        <w:spacing w:before="120" w:beforeAutospacing="0" w:after="120" w:afterAutospacing="0" w:line="360" w:lineRule="auto"/>
        <w:rPr>
          <w:rFonts w:hint="default"/>
          <w:sz w:val="24"/>
          <w:szCs w:val="24"/>
          <w:highlight w:val="none"/>
        </w:rPr>
      </w:pPr>
      <w:r>
        <w:rPr>
          <w:rFonts w:hint="eastAsia" w:ascii="Arial" w:hAnsi="Arial" w:cs="Arial"/>
          <w:b/>
          <w:color w:val="000000"/>
          <w:sz w:val="32"/>
          <w:szCs w:val="32"/>
          <w:highlight w:val="none"/>
        </w:rPr>
        <w:t xml:space="preserve">项目编号：JSZC-320900-JCJS-D2026-0004</w:t>
      </w:r>
      <w:r/>
    </w:p>
    <w:p>
      <w:pPr>
        <w:pStyle w:val="3124"/>
        <w:spacing w:beforeAutospacing="0" w:afterAutospacing="0" w:line="360" w:lineRule="auto"/>
        <w:rPr>
          <w:rFonts w:hint="default"/>
          <w:sz w:val="24"/>
          <w:szCs w:val="24"/>
          <w:highlight w:val="none"/>
        </w:rPr>
      </w:pPr>
      <w:r>
        <w:rPr>
          <w:rFonts w:hint="default"/>
          <w:sz w:val="24"/>
          <w:szCs w:val="24"/>
          <w:highlight w:val="none"/>
        </w:rPr>
        <w:t xml:space="preserve"> </w:t>
      </w:r>
      <w:r/>
    </w:p>
    <w:p>
      <w:pPr>
        <w:pStyle w:val="3124"/>
        <w:spacing w:beforeAutospacing="0" w:afterAutospacing="0" w:line="360" w:lineRule="auto"/>
        <w:rPr>
          <w:rFonts w:hint="default"/>
          <w:sz w:val="24"/>
          <w:szCs w:val="24"/>
          <w:highlight w:val="none"/>
        </w:rPr>
      </w:pPr>
      <w:r>
        <w:rPr>
          <w:rFonts w:hint="default"/>
          <w:sz w:val="24"/>
          <w:szCs w:val="24"/>
          <w:highlight w:val="none"/>
        </w:rPr>
        <w:t xml:space="preserve"> </w:t>
      </w:r>
      <w:r/>
    </w:p>
    <w:p>
      <w:pPr>
        <w:pStyle w:val="3124"/>
        <w:spacing w:beforeAutospacing="0" w:afterAutospacing="0" w:line="360" w:lineRule="auto"/>
        <w:rPr>
          <w:rFonts w:hint="default"/>
          <w:sz w:val="24"/>
          <w:szCs w:val="24"/>
          <w:highlight w:val="none"/>
        </w:rPr>
      </w:pPr>
      <w:r>
        <w:rPr>
          <w:rFonts w:hint="default"/>
          <w:sz w:val="24"/>
          <w:szCs w:val="24"/>
          <w:highlight w:val="none"/>
        </w:rPr>
        <w:t xml:space="preserve"> </w:t>
      </w:r>
      <w:r/>
    </w:p>
    <w:p>
      <w:pPr>
        <w:pStyle w:val="3124"/>
        <w:spacing w:beforeAutospacing="0" w:afterAutospacing="0" w:line="360" w:lineRule="auto"/>
        <w:rPr>
          <w:rFonts w:hint="default"/>
          <w:sz w:val="24"/>
          <w:szCs w:val="24"/>
          <w:highlight w:val="none"/>
        </w:rPr>
      </w:pPr>
      <w:r>
        <w:rPr>
          <w:rFonts w:hint="default"/>
          <w:sz w:val="24"/>
          <w:szCs w:val="24"/>
          <w:highlight w:val="none"/>
        </w:rPr>
        <w:t xml:space="preserve"> </w:t>
      </w:r>
      <w:r/>
    </w:p>
    <w:p>
      <w:pPr>
        <w:pStyle w:val="3124"/>
        <w:spacing w:beforeAutospacing="0" w:afterAutospacing="0" w:line="360" w:lineRule="auto"/>
        <w:rPr>
          <w:rFonts w:hint="default"/>
          <w:sz w:val="24"/>
          <w:szCs w:val="24"/>
          <w:highlight w:val="none"/>
        </w:rPr>
      </w:pPr>
      <w:r>
        <w:rPr>
          <w:rFonts w:hint="default"/>
          <w:sz w:val="24"/>
          <w:szCs w:val="24"/>
          <w:highlight w:val="none"/>
        </w:rPr>
        <w:t xml:space="preserve"> </w:t>
      </w:r>
      <w:r/>
    </w:p>
    <w:p>
      <w:pPr>
        <w:pStyle w:val="3124"/>
        <w:spacing w:beforeAutospacing="0" w:afterAutospacing="0" w:line="360" w:lineRule="auto"/>
        <w:rPr>
          <w:rFonts w:hint="default"/>
          <w:sz w:val="24"/>
          <w:szCs w:val="24"/>
          <w:highlight w:val="none"/>
        </w:rPr>
      </w:pPr>
      <w:r>
        <w:rPr>
          <w:rFonts w:hint="default"/>
          <w:sz w:val="24"/>
          <w:szCs w:val="24"/>
          <w:highlight w:val="none"/>
        </w:rPr>
        <w:t xml:space="preserve"> </w:t>
      </w:r>
      <w:r/>
    </w:p>
    <w:p>
      <w:pPr>
        <w:pStyle w:val="3124"/>
        <w:spacing w:beforeAutospacing="0" w:afterAutospacing="0" w:line="360" w:lineRule="auto"/>
        <w:rPr>
          <w:rFonts w:hint="default"/>
          <w:sz w:val="24"/>
          <w:szCs w:val="24"/>
          <w:highlight w:val="none"/>
        </w:rPr>
      </w:pPr>
      <w:r>
        <w:rPr>
          <w:rFonts w:hint="default"/>
          <w:sz w:val="24"/>
          <w:szCs w:val="24"/>
          <w:highlight w:val="none"/>
        </w:rPr>
        <w:t xml:space="preserve"> </w:t>
      </w:r>
      <w:r/>
    </w:p>
    <w:p>
      <w:pPr>
        <w:pStyle w:val="3124"/>
        <w:jc w:val="center"/>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t xml:space="preserve">盐城市公安局</w:t>
      </w:r>
      <w:r/>
    </w:p>
    <w:p>
      <w:pPr>
        <w:pStyle w:val="3124"/>
        <w:jc w:val="center"/>
        <w:spacing w:before="120" w:beforeAutospacing="0" w:after="120" w:afterAutospacing="0" w:line="360" w:lineRule="auto"/>
        <w:rPr>
          <w:rFonts w:hint="default"/>
          <w:sz w:val="24"/>
          <w:szCs w:val="24"/>
          <w:highlight w:val="none"/>
        </w:rPr>
      </w:pPr>
      <w:r>
        <w:rPr>
          <w:rFonts w:hint="eastAsia" w:ascii="Arial" w:hAnsi="Arial" w:cs="Arial"/>
          <w:b/>
          <w:color w:val="000000"/>
          <w:sz w:val="32"/>
          <w:szCs w:val="32"/>
          <w:highlight w:val="none"/>
        </w:rPr>
        <w:t xml:space="preserve">2026年</w:t>
      </w:r>
      <w:r>
        <w:rPr>
          <w:rFonts w:hint="eastAsia" w:ascii="Arial" w:hAnsi="Arial" w:cs="Arial"/>
          <w:b/>
          <w:color w:val="000000"/>
          <w:sz w:val="32"/>
          <w:szCs w:val="32"/>
          <w:highlight w:val="none"/>
          <w:lang w:val="en-US" w:eastAsia="zh-CN"/>
        </w:rPr>
        <w:t xml:space="preserve">5</w:t>
      </w:r>
      <w:r>
        <w:rPr>
          <w:rFonts w:hint="eastAsia" w:ascii="Arial" w:hAnsi="Arial" w:cs="Arial"/>
          <w:b/>
          <w:color w:val="000000"/>
          <w:sz w:val="32"/>
          <w:szCs w:val="32"/>
          <w:highlight w:val="none"/>
        </w:rPr>
        <w:t xml:space="preserve">月</w:t>
      </w:r>
      <w:r/>
    </w:p>
    <w:p>
      <w:pPr>
        <w:pStyle w:val="3124"/>
        <w:spacing w:before="120" w:beforeAutospacing="0" w:after="120" w:afterAutospacing="0" w:line="360" w:lineRule="auto"/>
        <w:rPr>
          <w:rFonts w:hint="default"/>
          <w:sz w:val="24"/>
          <w:szCs w:val="24"/>
          <w:highlight w:val="none"/>
        </w:rPr>
      </w:pPr>
      <w:r>
        <w:rPr>
          <w:rFonts w:hint="default" w:ascii="Arial" w:hAnsi="Arial" w:cs="Arial"/>
          <w:color w:val="000000"/>
          <w:sz w:val="24"/>
          <w:szCs w:val="24"/>
          <w:highlight w:val="none"/>
        </w:rPr>
        <w:t xml:space="preserve">     </w:t>
      </w:r>
      <w:r>
        <w:rPr>
          <w:rFonts w:hint="default"/>
          <w:sz w:val="24"/>
          <w:szCs w:val="24"/>
          <w:highlight w:val="none"/>
        </w:rPr>
        <w:t xml:space="preserve"> </w:t>
      </w:r>
      <w:r/>
    </w:p>
    <w:p>
      <w:pPr>
        <w:pStyle w:val="3124"/>
        <w:jc w:val="center"/>
        <w:spacing w:beforeAutospacing="0" w:afterAutospacing="0" w:line="480" w:lineRule="auto"/>
        <w:rPr>
          <w:rFonts w:hint="default"/>
          <w:sz w:val="24"/>
          <w:szCs w:val="24"/>
          <w:highlight w:val="none"/>
        </w:rPr>
      </w:pPr>
      <w:r>
        <w:rPr>
          <w:rFonts w:hint="eastAsia" w:ascii="Times New Roman" w:hAnsi="Times New Roman" w:eastAsia="Times New Roman"/>
          <w:color w:val="000000"/>
          <w:sz w:val="21"/>
          <w:szCs w:val="21"/>
          <w:highlight w:val="none"/>
        </w:rPr>
        <w:t xml:space="preserve"> </w:t>
      </w:r>
      <w:bookmarkStart w:id="0" w:name="_Toc16938516"/>
      <w:r/>
      <w:bookmarkStart w:id="1" w:name="_Toc513029200"/>
      <w:r/>
      <w:bookmarkStart w:id="2" w:name="_Toc120614210"/>
      <w:r/>
      <w:bookmarkStart w:id="3" w:name="_Toc479757206"/>
      <w:r/>
      <w:bookmarkStart w:id="4" w:name="_Toc523127445"/>
      <w:r/>
      <w:bookmarkStart w:id="5" w:name="_Toc20823272"/>
      <w:r>
        <w:rPr>
          <w:rFonts w:hint="eastAsia"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3124"/>
        <w:jc w:val="both"/>
        <w:spacing w:beforeAutospacing="0" w:afterAutospacing="0" w:line="480" w:lineRule="auto"/>
        <w:rPr>
          <w:rFonts w:hint="default"/>
          <w:sz w:val="24"/>
          <w:szCs w:val="24"/>
          <w:highlight w:val="none"/>
        </w:rPr>
      </w:pPr>
      <w:r>
        <w:rPr>
          <w:rFonts w:hint="default"/>
          <w:sz w:val="24"/>
          <w:szCs w:val="24"/>
          <w:highlight w:val="none"/>
        </w:rPr>
        <w:t xml:space="preserve"> </w:t>
      </w:r>
      <w:r/>
    </w:p>
    <w:p>
      <w:pPr>
        <w:pStyle w:val="3124"/>
        <w:ind w:left="2160" w:hanging="1440"/>
        <w:jc w:val="both"/>
        <w:spacing w:beforeAutospacing="0" w:afterAutospacing="0" w:line="480" w:lineRule="auto"/>
        <w:tabs>
          <w:tab w:val="left" w:pos="1441" w:leader="none"/>
        </w:tabs>
        <w:rPr>
          <w:rFonts w:hint="eastAsia" w:eastAsia="黑体"/>
          <w:sz w:val="24"/>
          <w:szCs w:val="24"/>
          <w:highlight w:val="none"/>
          <w:lang w:val="en-US" w:eastAsia="zh-CN"/>
        </w:rPr>
      </w:pPr>
      <w:r>
        <w:rPr>
          <w:rFonts w:hint="eastAsia" w:ascii="黑体" w:hAnsi="宋体" w:eastAsia="黑体" w:cs="黑体"/>
          <w:color w:val="000000"/>
          <w:sz w:val="36"/>
          <w:szCs w:val="36"/>
          <w:highlight w:val="none"/>
        </w:rPr>
        <w:t xml:space="preserve">单一来源采购邀请…………………………</w:t>
      </w:r>
      <w:r>
        <w:rPr>
          <w:rFonts w:hint="eastAsia" w:ascii="黑体" w:hAnsi="宋体" w:eastAsia="黑体" w:cs="黑体"/>
          <w:color w:val="000000"/>
          <w:sz w:val="36"/>
          <w:szCs w:val="36"/>
          <w:highlight w:val="none"/>
          <w:lang w:val="en-US" w:eastAsia="zh-CN"/>
        </w:rPr>
        <w:t xml:space="preserve">3</w:t>
      </w:r>
      <w:r/>
    </w:p>
    <w:p>
      <w:pPr>
        <w:pStyle w:val="3124"/>
        <w:ind w:left="2160" w:hanging="1440"/>
        <w:jc w:val="both"/>
        <w:spacing w:beforeAutospacing="0" w:afterAutospacing="0" w:line="480" w:lineRule="auto"/>
        <w:tabs>
          <w:tab w:val="left" w:pos="1441" w:leader="none"/>
        </w:tabs>
        <w:rPr>
          <w:rFonts w:hint="default"/>
          <w:sz w:val="24"/>
          <w:szCs w:val="24"/>
          <w:highlight w:val="none"/>
        </w:rPr>
      </w:pPr>
      <w:r>
        <w:rPr>
          <w:rFonts w:hint="eastAsia" w:ascii="黑体" w:hAnsi="宋体" w:eastAsia="黑体" w:cs="黑体"/>
          <w:color w:val="000000"/>
          <w:sz w:val="36"/>
          <w:szCs w:val="36"/>
          <w:highlight w:val="none"/>
        </w:rPr>
        <w:t xml:space="preserve">供应商须知…………………………………</w:t>
      </w:r>
      <w:r>
        <w:rPr>
          <w:rFonts w:hint="eastAsia" w:ascii="黑体" w:hAnsi="宋体" w:eastAsia="黑体" w:cs="黑体"/>
          <w:color w:val="000000"/>
          <w:sz w:val="36"/>
          <w:szCs w:val="36"/>
          <w:highlight w:val="none"/>
          <w:lang w:val="en-US" w:eastAsia="zh-CN"/>
        </w:rPr>
        <w:t xml:space="preserve">7</w:t>
      </w:r>
      <w:r>
        <w:rPr>
          <w:rFonts w:hint="eastAsia" w:ascii="黑体" w:hAnsi="宋体" w:eastAsia="黑体" w:cs="黑体"/>
          <w:color w:val="000000"/>
          <w:sz w:val="36"/>
          <w:szCs w:val="36"/>
          <w:highlight w:val="none"/>
        </w:rPr>
        <w:t xml:space="preserve">  </w:t>
      </w:r>
      <w:r/>
    </w:p>
    <w:p>
      <w:pPr>
        <w:pStyle w:val="3124"/>
        <w:ind w:left="2160" w:hanging="1440"/>
        <w:jc w:val="both"/>
        <w:spacing w:beforeAutospacing="0" w:afterAutospacing="0" w:line="480" w:lineRule="auto"/>
        <w:tabs>
          <w:tab w:val="left" w:pos="1441" w:leader="none"/>
        </w:tabs>
        <w:rPr>
          <w:rFonts w:hint="default" w:eastAsia="黑体"/>
          <w:sz w:val="24"/>
          <w:szCs w:val="24"/>
          <w:highlight w:val="none"/>
          <w:lang w:val="en-US" w:eastAsia="zh-CN"/>
        </w:rPr>
      </w:pPr>
      <w:r>
        <w:rPr>
          <w:rFonts w:hint="eastAsia" w:ascii="黑体" w:hAnsi="宋体" w:eastAsia="黑体" w:cs="黑体"/>
          <w:color w:val="000000"/>
          <w:sz w:val="36"/>
          <w:szCs w:val="36"/>
          <w:highlight w:val="none"/>
        </w:rPr>
        <w:t xml:space="preserve">合同文本……………………………………</w:t>
      </w:r>
      <w:r>
        <w:rPr>
          <w:rFonts w:hint="eastAsia" w:ascii="黑体" w:hAnsi="宋体" w:eastAsia="黑体" w:cs="黑体"/>
          <w:color w:val="000000"/>
          <w:sz w:val="36"/>
          <w:szCs w:val="36"/>
          <w:highlight w:val="none"/>
          <w:lang w:val="en-US" w:eastAsia="zh-CN"/>
        </w:rPr>
        <w:t xml:space="preserve">24</w:t>
      </w:r>
      <w:r/>
    </w:p>
    <w:p>
      <w:pPr>
        <w:pStyle w:val="3124"/>
        <w:ind w:left="2160" w:hanging="1440"/>
        <w:jc w:val="both"/>
        <w:spacing w:beforeAutospacing="0" w:afterAutospacing="0" w:line="480" w:lineRule="auto"/>
        <w:tabs>
          <w:tab w:val="left" w:pos="1441" w:leader="none"/>
        </w:tabs>
        <w:rPr>
          <w:rFonts w:hint="default" w:eastAsia="黑体"/>
          <w:sz w:val="24"/>
          <w:szCs w:val="24"/>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33</w:t>
      </w:r>
      <w:r/>
    </w:p>
    <w:p>
      <w:pPr>
        <w:pStyle w:val="3124"/>
        <w:ind w:left="2160" w:hanging="1440"/>
        <w:jc w:val="both"/>
        <w:spacing w:beforeAutospacing="0" w:afterAutospacing="0" w:line="480" w:lineRule="auto"/>
        <w:tabs>
          <w:tab w:val="left" w:pos="1441" w:leader="none"/>
        </w:tabs>
        <w:rPr>
          <w:rFonts w:hint="default" w:eastAsia="黑体"/>
          <w:sz w:val="24"/>
          <w:szCs w:val="24"/>
          <w:highlight w:val="none"/>
          <w:lang w:val="en-US" w:eastAsia="zh-CN"/>
        </w:rPr>
      </w:pPr>
      <w:r>
        <w:rPr>
          <w:rFonts w:hint="eastAsia" w:ascii="黑体" w:hAnsi="宋体" w:eastAsia="黑体" w:cs="黑体"/>
          <w:color w:val="000000"/>
          <w:sz w:val="36"/>
          <w:szCs w:val="36"/>
          <w:highlight w:val="none"/>
        </w:rPr>
        <w:t xml:space="preserve">响应文件格式………………………………</w:t>
      </w:r>
      <w:r>
        <w:rPr>
          <w:rFonts w:hint="eastAsia" w:ascii="黑体" w:hAnsi="宋体" w:eastAsia="黑体" w:cs="黑体"/>
          <w:color w:val="000000"/>
          <w:sz w:val="36"/>
          <w:szCs w:val="36"/>
          <w:highlight w:val="none"/>
          <w:lang w:val="en-US" w:eastAsia="zh-CN"/>
        </w:rPr>
        <w:t xml:space="preserve">36</w:t>
      </w:r>
      <w:bookmarkStart w:id="181" w:name="_GoBack"/>
      <w:r/>
      <w:bookmarkEnd w:id="181"/>
      <w:r/>
      <w:r/>
    </w:p>
    <w:p>
      <w:pPr>
        <w:pStyle w:val="3124"/>
        <w:jc w:val="both"/>
        <w:spacing w:beforeAutospacing="0" w:afterAutospacing="0"/>
        <w:rPr>
          <w:rFonts w:hint="default"/>
          <w:sz w:val="24"/>
          <w:szCs w:val="24"/>
          <w:highlight w:val="none"/>
        </w:rPr>
      </w:pPr>
      <w:r>
        <w:rPr>
          <w:rFonts w:hint="default"/>
          <w:sz w:val="24"/>
          <w:szCs w:val="24"/>
          <w:highlight w:val="none"/>
        </w:rPr>
        <w:t xml:space="preserve"> </w:t>
      </w:r>
      <w:r/>
    </w:p>
    <w:p>
      <w:pPr>
        <w:pStyle w:val="3124"/>
        <w:jc w:val="both"/>
        <w:spacing w:beforeAutospacing="0" w:afterAutospacing="0"/>
        <w:rPr>
          <w:rFonts w:hint="default"/>
          <w:sz w:val="24"/>
          <w:szCs w:val="24"/>
          <w:highlight w:val="none"/>
        </w:rPr>
      </w:pPr>
      <w:r>
        <w:rPr>
          <w:rFonts w:hint="default"/>
          <w:sz w:val="24"/>
          <w:szCs w:val="24"/>
          <w:highlight w:val="none"/>
        </w:rPr>
        <w:t xml:space="preserve"> </w:t>
      </w:r>
      <w:r/>
    </w:p>
    <w:p>
      <w:pPr>
        <w:pStyle w:val="3124"/>
        <w:jc w:val="both"/>
        <w:spacing w:beforeAutospacing="0" w:afterAutospacing="0"/>
        <w:rPr>
          <w:rFonts w:hint="default"/>
          <w:sz w:val="24"/>
          <w:szCs w:val="24"/>
          <w:highlight w:val="none"/>
        </w:rPr>
      </w:pPr>
      <w:r>
        <w:rPr>
          <w:rFonts w:hint="default"/>
          <w:sz w:val="24"/>
          <w:szCs w:val="24"/>
          <w:highlight w:val="none"/>
        </w:rPr>
        <w:t xml:space="preserve"> </w:t>
      </w:r>
      <w:r/>
    </w:p>
    <w:p>
      <w:pPr>
        <w:pStyle w:val="3124"/>
        <w:jc w:val="both"/>
        <w:spacing w:beforeAutospacing="0" w:afterAutospacing="0"/>
        <w:rPr>
          <w:rFonts w:hint="default"/>
          <w:sz w:val="24"/>
          <w:szCs w:val="24"/>
          <w:highlight w:val="none"/>
        </w:rPr>
      </w:pPr>
      <w:r>
        <w:rPr>
          <w:rFonts w:hint="default"/>
          <w:sz w:val="24"/>
          <w:szCs w:val="24"/>
          <w:highlight w:val="none"/>
        </w:rPr>
        <w:t xml:space="preserve"> </w:t>
      </w:r>
      <w:r/>
    </w:p>
    <w:p>
      <w:pPr>
        <w:pStyle w:val="3124"/>
        <w:jc w:val="both"/>
        <w:spacing w:beforeAutospacing="0" w:afterAutospacing="0"/>
        <w:rPr>
          <w:rFonts w:hint="default"/>
          <w:sz w:val="24"/>
          <w:szCs w:val="24"/>
          <w:highlight w:val="none"/>
        </w:rPr>
      </w:pPr>
      <w:r>
        <w:rPr>
          <w:rFonts w:hint="default"/>
          <w:sz w:val="24"/>
          <w:szCs w:val="24"/>
          <w:highlight w:val="none"/>
        </w:rPr>
        <w:t xml:space="preserve"> </w:t>
      </w:r>
      <w:r/>
    </w:p>
    <w:p>
      <w:pPr>
        <w:pStyle w:val="3124"/>
        <w:jc w:val="both"/>
        <w:spacing w:beforeAutospacing="0" w:afterAutospacing="0"/>
        <w:rPr>
          <w:rFonts w:hint="default"/>
          <w:sz w:val="24"/>
          <w:szCs w:val="24"/>
          <w:highlight w:val="none"/>
        </w:rPr>
      </w:pPr>
      <w:r>
        <w:rPr>
          <w:rFonts w:hint="default"/>
          <w:sz w:val="24"/>
          <w:szCs w:val="24"/>
          <w:highlight w:val="none"/>
        </w:rPr>
        <w:t xml:space="preserve"> </w:t>
      </w:r>
      <w:r/>
    </w:p>
    <w:p>
      <w:pPr>
        <w:pStyle w:val="3124"/>
        <w:jc w:val="both"/>
        <w:spacing w:beforeAutospacing="0" w:afterAutospacing="0"/>
        <w:rPr>
          <w:rFonts w:hint="default"/>
          <w:sz w:val="24"/>
          <w:szCs w:val="24"/>
          <w:highlight w:val="none"/>
        </w:rPr>
      </w:pPr>
      <w:r>
        <w:rPr>
          <w:rFonts w:hint="default"/>
          <w:sz w:val="24"/>
          <w:szCs w:val="24"/>
          <w:highlight w:val="none"/>
        </w:rPr>
        <w:t xml:space="preserve"> </w:t>
      </w:r>
      <w:r/>
    </w:p>
    <w:p>
      <w:pPr>
        <w:pStyle w:val="3124"/>
        <w:jc w:val="both"/>
        <w:spacing w:beforeAutospacing="0" w:afterAutospacing="0"/>
        <w:rPr>
          <w:rFonts w:hint="default"/>
          <w:sz w:val="24"/>
          <w:szCs w:val="24"/>
          <w:highlight w:val="none"/>
        </w:rPr>
      </w:pPr>
      <w:r>
        <w:rPr>
          <w:rFonts w:hint="default"/>
          <w:sz w:val="24"/>
          <w:szCs w:val="24"/>
          <w:highlight w:val="none"/>
        </w:rPr>
        <w:t xml:space="preserve"> </w:t>
      </w:r>
      <w:r/>
    </w:p>
    <w:p>
      <w:pPr>
        <w:pStyle w:val="3124"/>
        <w:jc w:val="both"/>
        <w:spacing w:beforeAutospacing="0" w:afterAutospacing="0"/>
        <w:rPr>
          <w:rFonts w:hint="default"/>
          <w:sz w:val="24"/>
          <w:szCs w:val="24"/>
          <w:highlight w:val="none"/>
        </w:rPr>
      </w:pPr>
      <w:r>
        <w:rPr>
          <w:rFonts w:hint="default"/>
          <w:sz w:val="24"/>
          <w:szCs w:val="24"/>
          <w:highlight w:val="none"/>
        </w:rPr>
        <w:t xml:space="preserve"> </w:t>
      </w:r>
      <w:r/>
    </w:p>
    <w:p>
      <w:pPr>
        <w:pStyle w:val="3124"/>
        <w:jc w:val="both"/>
        <w:spacing w:beforeAutospacing="0" w:afterAutospacing="0"/>
        <w:rPr>
          <w:rFonts w:hint="default"/>
          <w:sz w:val="24"/>
          <w:szCs w:val="24"/>
          <w:highlight w:val="none"/>
        </w:rPr>
      </w:pPr>
      <w:r>
        <w:rPr>
          <w:rFonts w:hint="default"/>
          <w:sz w:val="24"/>
          <w:szCs w:val="24"/>
          <w:highlight w:val="none"/>
        </w:rPr>
        <w:t xml:space="preserve"> </w:t>
      </w:r>
      <w:r/>
    </w:p>
    <w:p>
      <w:pPr>
        <w:pStyle w:val="3124"/>
        <w:jc w:val="both"/>
        <w:spacing w:beforeAutospacing="0" w:afterAutospacing="0"/>
        <w:rPr>
          <w:rFonts w:hint="default"/>
          <w:sz w:val="24"/>
          <w:szCs w:val="24"/>
          <w:highlight w:val="none"/>
        </w:rPr>
      </w:pPr>
      <w:r>
        <w:rPr>
          <w:rFonts w:hint="default"/>
          <w:sz w:val="24"/>
          <w:szCs w:val="24"/>
          <w:highlight w:val="none"/>
        </w:rPr>
        <w:t xml:space="preserve"> </w:t>
      </w:r>
      <w:r/>
    </w:p>
    <w:p>
      <w:pPr>
        <w:pStyle w:val="3124"/>
        <w:jc w:val="both"/>
        <w:spacing w:beforeAutospacing="0" w:afterAutospacing="0"/>
        <w:rPr>
          <w:rFonts w:hint="default"/>
          <w:sz w:val="24"/>
          <w:szCs w:val="24"/>
          <w:highlight w:val="none"/>
        </w:rPr>
      </w:pPr>
      <w:r>
        <w:rPr>
          <w:rFonts w:hint="default"/>
          <w:sz w:val="24"/>
          <w:szCs w:val="24"/>
          <w:highlight w:val="none"/>
        </w:rPr>
        <w:t xml:space="preserve"> </w:t>
      </w:r>
      <w:r/>
    </w:p>
    <w:p>
      <w:pPr>
        <w:pStyle w:val="3124"/>
        <w:jc w:val="both"/>
        <w:spacing w:beforeAutospacing="0" w:afterAutospacing="0"/>
        <w:rPr>
          <w:rFonts w:hint="default"/>
          <w:sz w:val="24"/>
          <w:szCs w:val="24"/>
          <w:highlight w:val="none"/>
        </w:rPr>
      </w:pPr>
      <w:r>
        <w:rPr>
          <w:rFonts w:hint="default"/>
          <w:sz w:val="24"/>
          <w:szCs w:val="24"/>
          <w:highlight w:val="none"/>
        </w:rPr>
        <w:t xml:space="preserve"> </w:t>
      </w:r>
      <w:r/>
    </w:p>
    <w:p>
      <w:pPr>
        <w:pStyle w:val="3124"/>
        <w:jc w:val="center"/>
        <w:keepNext/>
        <w:spacing w:beforeAutospacing="0" w:afterAutospacing="0"/>
        <w:rPr>
          <w:rFonts w:hint="default"/>
          <w:sz w:val="24"/>
          <w:szCs w:val="24"/>
          <w:highlight w:val="none"/>
        </w:rPr>
      </w:pPr>
      <w:r>
        <w:rPr>
          <w:rFonts w:hint="default"/>
          <w:sz w:val="24"/>
          <w:szCs w:val="24"/>
          <w:highlight w:val="none"/>
        </w:rPr>
        <w:t xml:space="preserve"> </w:t>
      </w:r>
      <w:r>
        <w:rPr>
          <w:rFonts w:hint="eastAsia" w:ascii="黑体" w:hAnsi="宋体" w:eastAsia="黑体" w:cs="黑体"/>
          <w:color w:val="000000"/>
          <w:sz w:val="44"/>
          <w:szCs w:val="44"/>
          <w:highlight w:val="none"/>
        </w:rPr>
        <w:t xml:space="preserve">第一章  单一来源采购邀请</w:t>
      </w:r>
      <w:r/>
    </w:p>
    <w:p>
      <w:pPr>
        <w:pStyle w:val="3124"/>
        <w:ind w:firstLine="480"/>
        <w:jc w:val="both"/>
        <w:spacing w:beforeAutospacing="0" w:afterAutospacing="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000000"/>
          <w:sz w:val="24"/>
          <w:szCs w:val="24"/>
          <w:highlight w:val="none"/>
        </w:rPr>
        <w:t xml:space="preserve">受盐城市公安局的委托，江苏捷诚建设项目管理咨询有限公司就</w:t>
      </w:r>
      <w:r>
        <w:rPr>
          <w:rFonts w:hint="eastAsia" w:ascii="宋体" w:hAnsi="宋体" w:cs="宋体"/>
          <w:color w:val="000000"/>
          <w:sz w:val="24"/>
          <w:szCs w:val="24"/>
          <w:highlight w:val="none"/>
          <w:lang w:eastAsia="zh-CN"/>
        </w:rPr>
        <w:t xml:space="preserve">盐城市公安局市区高架一、二期交通安全设施维保服务采购项目</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lang w:eastAsia="zh-CN"/>
        </w:rPr>
        <w:t xml:space="preserve">：JSZC-320900-JCJS-D2026-0004</w:t>
      </w:r>
      <w:r>
        <w:rPr>
          <w:rFonts w:hint="eastAsia" w:ascii="宋体" w:hAnsi="宋体" w:cs="宋体"/>
          <w:color w:val="000000"/>
          <w:sz w:val="24"/>
          <w:szCs w:val="24"/>
          <w:highlight w:val="none"/>
        </w:rPr>
        <w:t xml:space="preserve">)</w:t>
      </w:r>
      <w:r>
        <w:rPr>
          <w:rFonts w:hint="eastAsia" w:ascii="宋体" w:hAnsi="宋体" w:cs="宋体"/>
          <w:color w:val="auto"/>
          <w:sz w:val="24"/>
          <w:szCs w:val="24"/>
          <w:highlight w:val="none"/>
        </w:rPr>
        <w:t xml:space="preserve">项目进行单一来源采购，欢迎符合相关条件的合格供应商参加采购活动。</w:t>
      </w:r>
      <w:r/>
    </w:p>
    <w:p>
      <w:pPr>
        <w:pStyle w:val="3124"/>
        <w:ind w:firstLine="498"/>
        <w:jc w:val="both"/>
        <w:keepLines/>
        <w:keepNext/>
        <w:spacing w:beforeAutospacing="0" w:afterAutospacing="0" w:line="480" w:lineRule="exact"/>
        <w:rPr>
          <w:rFonts w:hint="eastAsia" w:ascii="宋体" w:hAnsi="宋体" w:cs="宋体"/>
          <w:color w:val="auto"/>
          <w:sz w:val="24"/>
          <w:szCs w:val="24"/>
          <w:highlight w:val="none"/>
        </w:rPr>
      </w:pPr>
      <w:r/>
      <w:bookmarkStart w:id="6" w:name="_Toc35393790"/>
      <w:r/>
      <w:bookmarkStart w:id="7" w:name="_Toc28359002"/>
      <w:r/>
      <w:bookmarkStart w:id="8" w:name="_Toc38985263"/>
      <w:r/>
      <w:bookmarkStart w:id="9" w:name="_Toc28359079"/>
      <w:r/>
      <w:bookmarkStart w:id="10" w:name="_Toc35393621"/>
      <w:r/>
      <w:bookmarkStart w:id="11" w:name="_Hlk24379207"/>
      <w:r>
        <w:rPr>
          <w:rFonts w:hint="eastAsia" w:ascii="宋体" w:hAnsi="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3124"/>
        <w:ind w:firstLine="480"/>
        <w:jc w:val="both"/>
        <w:spacing w:beforeAutospacing="0" w:afterAutospacing="0" w:line="480" w:lineRule="exact"/>
        <w:rPr>
          <w:rFonts w:hint="eastAsia" w:ascii="宋体" w:hAnsi="宋体" w:cs="宋体"/>
          <w:color w:val="auto"/>
          <w:sz w:val="24"/>
          <w:szCs w:val="24"/>
          <w:highlight w:val="none"/>
        </w:rPr>
      </w:pPr>
      <w:r/>
      <w:bookmarkStart w:id="12" w:name="_Toc35393791"/>
      <w:r/>
      <w:bookmarkStart w:id="13" w:name="_Toc28359003"/>
      <w:r/>
      <w:bookmarkStart w:id="14" w:name="_Toc38985264"/>
      <w:r/>
      <w:bookmarkStart w:id="15" w:name="_Toc35393622"/>
      <w:r/>
      <w:bookmarkStart w:id="16" w:name="_Toc28359080"/>
      <w:r>
        <w:rPr>
          <w:rFonts w:hint="eastAsia" w:ascii="宋体" w:hAnsi="宋体" w:cs="宋体"/>
          <w:color w:val="auto"/>
          <w:sz w:val="24"/>
          <w:szCs w:val="24"/>
          <w:highlight w:val="none"/>
        </w:rPr>
        <w:t xml:space="preserve">1.项目编号：JSZC-320900-JCJS-D2026-0004</w:t>
      </w:r>
      <w:r/>
    </w:p>
    <w:p>
      <w:pPr>
        <w:pStyle w:val="3124"/>
        <w:ind w:firstLine="480"/>
        <w:jc w:val="both"/>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盐城市公安局市区高架一、二期交通安全设施维保服务采购项目</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3.采购方式：单一来源采购</w:t>
      </w:r>
      <w:r/>
    </w:p>
    <w:p>
      <w:pPr>
        <w:pStyle w:val="3124"/>
        <w:ind w:firstLine="480"/>
        <w:jc w:val="both"/>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4.预算金额：</w:t>
      </w:r>
      <w:r>
        <w:rPr>
          <w:rFonts w:hint="eastAsia" w:ascii="宋体" w:hAnsi="宋体" w:cs="宋体"/>
          <w:color w:val="auto"/>
          <w:sz w:val="24"/>
          <w:szCs w:val="24"/>
          <w:highlight w:val="none"/>
          <w:lang w:val="en-US" w:eastAsia="zh-CN"/>
        </w:rPr>
        <w:t xml:space="preserve">195.89</w:t>
      </w:r>
      <w:r>
        <w:rPr>
          <w:rFonts w:hint="eastAsia" w:ascii="宋体" w:hAnsi="宋体" w:cs="宋体"/>
          <w:color w:val="auto"/>
          <w:sz w:val="24"/>
          <w:szCs w:val="24"/>
          <w:highlight w:val="none"/>
          <w:lang w:eastAsia="zh-CN"/>
        </w:rPr>
        <w:t xml:space="preserve">万元</w:t>
      </w:r>
      <w:r/>
    </w:p>
    <w:p>
      <w:pPr>
        <w:pStyle w:val="3124"/>
        <w:ind w:firstLine="480"/>
        <w:jc w:val="both"/>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5.最高限价：</w:t>
      </w:r>
      <w:r>
        <w:rPr>
          <w:rFonts w:hint="eastAsia" w:ascii="宋体" w:hAnsi="宋体" w:cs="宋体"/>
          <w:color w:val="auto"/>
          <w:sz w:val="24"/>
          <w:szCs w:val="24"/>
          <w:highlight w:val="none"/>
          <w:lang w:val="en-US" w:eastAsia="zh-CN"/>
        </w:rPr>
        <w:t xml:space="preserve">195.89</w:t>
      </w:r>
      <w:r>
        <w:rPr>
          <w:rFonts w:hint="eastAsia" w:ascii="宋体" w:hAnsi="宋体" w:cs="宋体"/>
          <w:color w:val="auto"/>
          <w:sz w:val="24"/>
          <w:szCs w:val="24"/>
          <w:highlight w:val="none"/>
          <w:lang w:eastAsia="zh-CN"/>
        </w:rPr>
        <w:t xml:space="preserve">万元</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6.采购需求（简介）：盐城市公安局市区高架一、二期交通安全设施维保服务，详细内容见本单一来源文件第四章。</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7.合同履行期限：</w:t>
      </w:r>
      <w:r>
        <w:rPr>
          <w:rFonts w:hint="eastAsia" w:ascii="宋体" w:hAnsi="宋体" w:cs="宋体"/>
          <w:color w:val="auto"/>
          <w:sz w:val="24"/>
          <w:szCs w:val="24"/>
          <w:highlight w:val="none"/>
          <w:lang w:val="en-US" w:eastAsia="zh-CN"/>
        </w:rPr>
        <w:t xml:space="preserve">至2026年12月31日。</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8.本项目不接受联合体参与单一来源采购活动。</w:t>
      </w:r>
      <w:r/>
    </w:p>
    <w:p>
      <w:pPr>
        <w:pStyle w:val="3124"/>
        <w:ind w:firstLine="498"/>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二、</w:t>
      </w:r>
      <w:bookmarkEnd w:id="12"/>
      <w:r/>
      <w:bookmarkEnd w:id="13"/>
      <w:r/>
      <w:bookmarkEnd w:id="14"/>
      <w:r/>
      <w:bookmarkEnd w:id="15"/>
      <w:r/>
      <w:bookmarkEnd w:id="16"/>
      <w:r>
        <w:rPr>
          <w:rFonts w:hint="eastAsia" w:ascii="宋体" w:hAnsi="宋体" w:cs="宋体"/>
          <w:b/>
          <w:color w:val="auto"/>
          <w:sz w:val="24"/>
          <w:szCs w:val="24"/>
          <w:highlight w:val="none"/>
        </w:rPr>
        <w:t xml:space="preserve">合格单一来源供应商资格要求</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1.满足《中华人民共和国政府采购法》第二十二条规定，并提供下列材料：</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法人或者其他组织的营业执照等证明文件，自然人的身份证明；</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1.2上一年度的财务状况报告（成立不满一年无需提供）；</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1.3具备履行合同所必需的设备和专业技术能力的书面声明；</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1.5参加政府采购活动前3年内在经营活动中没有重大违法记录的书面声明。</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1.8单位负责人为同一人或者存在直接控股、管理关系的不同供应商，不得参加同一合同项下的政府采购活动。</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本项目专门面向中小微企业采购。采购标的的所属行业为租赁和商务服务业，投标人需按照采购文件的要求提供相应的《中小微企业声明函》。企业标准请参照《关于印发中小企业划型标准规定的通知》（工信部联企业[2011]300号）文件规定自行填写。</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3.本项目的特定资格要求：无</w:t>
      </w:r>
      <w:r/>
    </w:p>
    <w:p>
      <w:pPr>
        <w:pStyle w:val="3124"/>
        <w:ind w:firstLine="498"/>
        <w:jc w:val="both"/>
        <w:keepLines/>
        <w:keepNext/>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三、获取单一来源文件</w:t>
      </w:r>
      <w:r/>
    </w:p>
    <w:p>
      <w:pPr>
        <w:pStyle w:val="3124"/>
        <w:ind w:firstLine="498"/>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1.时间：自采购文件在苏采云系统发布之日起至投标截止时间前。</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2.地点：“苏采云”系统内免费下载（投标人必须在苏采云系统中获取采购文件，方能参与政府采购项目）；</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 </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4.售价：0元</w:t>
      </w:r>
      <w:r/>
    </w:p>
    <w:p>
      <w:pPr>
        <w:pStyle w:val="3124"/>
        <w:ind w:firstLine="498"/>
        <w:jc w:val="both"/>
        <w:keepLines/>
        <w:keepNext/>
        <w:spacing w:beforeAutospacing="0" w:afterAutospacing="0" w:line="480" w:lineRule="exact"/>
        <w:rPr>
          <w:rFonts w:hint="eastAsia" w:ascii="宋体" w:hAnsi="宋体" w:cs="宋体"/>
          <w:color w:val="auto"/>
          <w:sz w:val="24"/>
          <w:szCs w:val="24"/>
          <w:highlight w:val="none"/>
        </w:rPr>
      </w:pPr>
      <w:r/>
      <w:bookmarkStart w:id="17" w:name="_Toc35393624"/>
      <w:r/>
      <w:bookmarkStart w:id="18" w:name="_Toc38985266"/>
      <w:r/>
      <w:bookmarkStart w:id="19" w:name="_Toc28359082"/>
      <w:r/>
      <w:bookmarkStart w:id="20" w:name="_Toc35393793"/>
      <w:r/>
      <w:bookmarkStart w:id="21" w:name="_Toc28359005"/>
      <w:r>
        <w:rPr>
          <w:rFonts w:hint="eastAsia" w:ascii="宋体" w:hAnsi="宋体" w:cs="宋体"/>
          <w:b/>
          <w:color w:val="auto"/>
          <w:sz w:val="24"/>
          <w:szCs w:val="24"/>
          <w:highlight w:val="none"/>
        </w:rPr>
        <w:t xml:space="preserve">三、提交</w:t>
      </w:r>
      <w:bookmarkEnd w:id="17"/>
      <w:r/>
      <w:bookmarkEnd w:id="18"/>
      <w:r>
        <w:rPr>
          <w:rFonts w:hint="eastAsia" w:ascii="宋体" w:hAnsi="宋体" w:cs="宋体"/>
          <w:b/>
          <w:color w:val="auto"/>
          <w:sz w:val="24"/>
          <w:szCs w:val="24"/>
          <w:highlight w:val="none"/>
        </w:rPr>
        <w:t xml:space="preserve">响应文件截止时间</w:t>
      </w:r>
      <w:bookmarkEnd w:id="19"/>
      <w:r/>
      <w:bookmarkEnd w:id="20"/>
      <w:r/>
      <w:bookmarkEnd w:id="21"/>
      <w:r/>
      <w:r/>
    </w:p>
    <w:p>
      <w:pPr>
        <w:pStyle w:val="3124"/>
        <w:ind w:firstLine="480"/>
        <w:jc w:val="both"/>
        <w:spacing w:beforeAutospacing="0" w:afterAutospacing="0" w:line="480" w:lineRule="exact"/>
        <w:rPr>
          <w:rFonts w:hint="eastAsia" w:ascii="宋体" w:hAnsi="宋体" w:cs="宋体"/>
          <w:color w:val="auto"/>
          <w:sz w:val="24"/>
          <w:szCs w:val="24"/>
          <w:highlight w:val="none"/>
        </w:rPr>
      </w:pPr>
      <w:r/>
      <w:bookmarkStart w:id="22" w:name="_Toc38985269"/>
      <w:r/>
      <w:bookmarkStart w:id="23" w:name="_Toc35393627"/>
      <w:r/>
      <w:bookmarkStart w:id="24" w:name="_Toc35393796"/>
      <w:r/>
      <w:bookmarkStart w:id="25" w:name="_Toc28359085"/>
      <w:r/>
      <w:bookmarkStart w:id="26" w:name="_Toc28359008"/>
      <w:r>
        <w:rPr>
          <w:rFonts w:hint="eastAsia" w:ascii="宋体" w:hAnsi="宋体" w:cs="宋体"/>
          <w:color w:val="auto"/>
          <w:sz w:val="24"/>
          <w:szCs w:val="24"/>
          <w:highlight w:val="none"/>
        </w:rPr>
        <w:t xml:space="preserve">1.截止时间：</w:t>
      </w:r>
      <w:r>
        <w:rPr>
          <w:rFonts w:hint="eastAsia" w:ascii="宋体" w:hAnsi="宋体" w:cs="宋体"/>
          <w:color w:val="auto"/>
          <w:sz w:val="24"/>
          <w:szCs w:val="24"/>
          <w:highlight w:val="none"/>
          <w:u w:val="single"/>
          <w:lang w:val="en-US" w:eastAsia="zh-CN"/>
        </w:rPr>
        <w:t xml:space="preserve">2026</w:t>
      </w:r>
      <w:r>
        <w:rPr>
          <w:rFonts w:hint="eastAsia" w:ascii="宋体" w:hAnsi="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5</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25</w:t>
      </w:r>
      <w:r>
        <w:rPr>
          <w:rFonts w:hint="eastAsia" w:ascii="宋体" w:hAnsi="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15</w:t>
      </w:r>
      <w:r>
        <w:rPr>
          <w:rFonts w:hint="eastAsia" w:ascii="宋体" w:hAnsi="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00</w:t>
      </w:r>
      <w:r>
        <w:rPr>
          <w:rFonts w:hint="eastAsia" w:ascii="宋体" w:hAnsi="宋体" w:cs="宋体"/>
          <w:color w:val="auto"/>
          <w:sz w:val="24"/>
          <w:szCs w:val="24"/>
          <w:highlight w:val="none"/>
          <w:u w:val="single"/>
        </w:rPr>
        <w:t xml:space="preserve">分</w:t>
      </w:r>
      <w:r>
        <w:rPr>
          <w:rFonts w:hint="eastAsia" w:ascii="宋体" w:hAnsi="宋体" w:cs="宋体"/>
          <w:color w:val="auto"/>
          <w:sz w:val="24"/>
          <w:szCs w:val="24"/>
          <w:highlight w:val="none"/>
        </w:rPr>
        <w:t xml:space="preserve">（北京时间）。</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2.地点：苏采云“不见面”开标大厅 。</w:t>
      </w:r>
      <w:r/>
    </w:p>
    <w:p>
      <w:pPr>
        <w:pStyle w:val="3124"/>
        <w:ind w:firstLine="498"/>
        <w:jc w:val="both"/>
        <w:keepLines/>
        <w:keepNext/>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四、其他</w:t>
      </w:r>
      <w:bookmarkEnd w:id="22"/>
      <w:r/>
      <w:bookmarkEnd w:id="23"/>
      <w:r/>
      <w:bookmarkEnd w:id="24"/>
      <w:r/>
      <w:bookmarkEnd w:id="25"/>
      <w:r/>
      <w:bookmarkEnd w:id="26"/>
      <w:r/>
      <w:bookmarkStart w:id="27" w:name="_Toc28359086"/>
      <w:r/>
      <w:r/>
    </w:p>
    <w:p>
      <w:pPr>
        <w:pStyle w:val="3124"/>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3124"/>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pStyle w:val="3124"/>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2.潜在投标人访问电子招标响应交易平台的网络地址和方法：</w:t>
      </w:r>
      <w:r/>
    </w:p>
    <w:p>
      <w:pPr>
        <w:pStyle w:val="3124"/>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2.1“苏采云”系统用户注册--获取“CA 数字证书”--CA 绑定与登录--参与投标--下载招标文件（后缀名为“.kedt”）--将后缀名为“.kedt”的招标文件导入政府采购客户端工具--制作响应文件--导出加密的响应文件（后缀名为 zip）--通过“苏采云”系统上传响应文件。具体见《“苏采云”系统投标人操作手册》（手册下载地址：苏采云系统-右侧消息通知栏）。</w:t>
      </w:r>
      <w:r/>
    </w:p>
    <w:p>
      <w:pPr>
        <w:pStyle w:val="3124"/>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潜在投标人访问“苏采云”系统方法：江苏省政府采购网首页-“苏采云”链接。</w:t>
      </w:r>
      <w:r/>
    </w:p>
    <w:p>
      <w:pPr>
        <w:pStyle w:val="3124"/>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 招标文件（后缀名为“.kedt”）、投标人操作手册及政府采购客户端工具可通过“苏采云”系统相应链接进行下载。</w:t>
      </w:r>
      <w:r/>
    </w:p>
    <w:p>
      <w:pPr>
        <w:pStyle w:val="3124"/>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 采购代理机构将数据电文形式的招标文件加载至“苏采云”系统，供潜在投标人下载或者查阅。</w:t>
      </w:r>
      <w:r/>
    </w:p>
    <w:p>
      <w:pPr>
        <w:pStyle w:val="3124"/>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 请潜在投标单位提前安装相应的控件（详见《“苏采云”系统投标人操作手册》）并使用谷歌浏览器登录“苏采云”系统参与不见面开评标。</w:t>
      </w:r>
      <w:r/>
    </w:p>
    <w:p>
      <w:pPr>
        <w:pStyle w:val="3124"/>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如潜在投标人未按上述要求操作，将自行承担所产生的风险。</w:t>
      </w:r>
      <w:r/>
    </w:p>
    <w:p>
      <w:pPr>
        <w:pStyle w:val="3124"/>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3.有关本次招标的事项若存在变动或修改，敬请及时关注在“中国政府采购网”、“江苏政府采购网”、“盐城市政府采购网”发布的更正公告。</w:t>
      </w:r>
      <w:r/>
    </w:p>
    <w:p>
      <w:pPr>
        <w:pStyle w:val="3124"/>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4.本次招标不收取投标保证金，不收取质量保证金</w:t>
      </w:r>
      <w:r>
        <w:rPr>
          <w:rFonts w:hint="eastAsia" w:ascii="宋体" w:hAnsi="宋体" w:cs="宋体"/>
          <w:color w:val="auto"/>
          <w:sz w:val="24"/>
          <w:szCs w:val="24"/>
          <w:highlight w:val="none"/>
        </w:rPr>
        <w:t xml:space="preserve">。</w:t>
      </w:r>
      <w:r/>
    </w:p>
    <w:p>
      <w:pPr>
        <w:pStyle w:val="3124"/>
        <w:numPr>
          <w:ilvl w:val="0"/>
          <w:numId w:val="0"/>
        </w:numPr>
        <w:ind w:firstLine="482"/>
        <w:jc w:val="both"/>
        <w:spacing w:beforeAutospacing="0" w:afterAutospacing="0" w:line="480" w:lineRule="exact"/>
        <w:tabs>
          <w:tab w:val="left" w:pos="901"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五、凡对本次采购提出询问，请按以下方式联系。</w:t>
      </w:r>
      <w:r/>
    </w:p>
    <w:p>
      <w:pPr>
        <w:pStyle w:val="3124"/>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pStyle w:val="3124"/>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称：盐城市公安局  </w:t>
      </w:r>
      <w:r/>
    </w:p>
    <w:p>
      <w:pPr>
        <w:pStyle w:val="3124"/>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地址：盐城市平安路9号 </w:t>
      </w:r>
      <w:r/>
    </w:p>
    <w:p>
      <w:pPr>
        <w:pStyle w:val="3124"/>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联系人：江警官              </w:t>
      </w:r>
      <w:r/>
    </w:p>
    <w:p>
      <w:pPr>
        <w:pStyle w:val="3124"/>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联系方式：0515-83220095     </w:t>
      </w:r>
      <w:bookmarkStart w:id="28" w:name="_Toc28359009"/>
      <w:r/>
      <w:bookmarkEnd w:id="28"/>
      <w:r>
        <w:rPr>
          <w:rFonts w:hint="eastAsia" w:ascii="宋体" w:hAnsi="宋体" w:cs="宋体"/>
          <w:color w:val="auto"/>
          <w:sz w:val="24"/>
          <w:szCs w:val="24"/>
          <w:highlight w:val="none"/>
        </w:rPr>
        <w:t xml:space="preserve">       </w:t>
      </w:r>
      <w:r/>
    </w:p>
    <w:p>
      <w:pPr>
        <w:pStyle w:val="3124"/>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bookmarkStart w:id="29" w:name="_Toc28359087"/>
      <w:r/>
      <w:bookmarkStart w:id="30" w:name="_Toc28359010"/>
      <w:r/>
      <w:r/>
    </w:p>
    <w:p>
      <w:pPr>
        <w:pStyle w:val="3124"/>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称：江苏捷诚建设项目管理咨询有限公司</w:t>
      </w:r>
      <w:r/>
    </w:p>
    <w:p>
      <w:pPr>
        <w:pStyle w:val="3124"/>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址：盐城市盐都区紫金大厦506室</w:t>
      </w:r>
      <w:r/>
    </w:p>
    <w:p>
      <w:pPr>
        <w:pStyle w:val="3124"/>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联系人：吉胜                     </w:t>
      </w:r>
      <w:r/>
    </w:p>
    <w:p>
      <w:pPr>
        <w:pStyle w:val="3124"/>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联系方式：18912509153       </w:t>
      </w:r>
      <w:bookmarkEnd w:id="29"/>
      <w:r/>
      <w:bookmarkEnd w:id="30"/>
      <w:r>
        <w:rPr>
          <w:rFonts w:hint="eastAsia" w:ascii="宋体" w:hAnsi="宋体" w:cs="宋体"/>
          <w:color w:val="auto"/>
          <w:sz w:val="24"/>
          <w:szCs w:val="24"/>
          <w:highlight w:val="none"/>
        </w:rPr>
        <w:t xml:space="preserve">            </w:t>
      </w:r>
      <w:bookmarkStart w:id="31" w:name="_Toc28359021"/>
      <w:r/>
      <w:bookmarkEnd w:id="31"/>
      <w:r/>
      <w:r/>
    </w:p>
    <w:p>
      <w:pPr>
        <w:pStyle w:val="3124"/>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pStyle w:val="3124"/>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项目联系人：江警官</w:t>
      </w:r>
      <w:r/>
    </w:p>
    <w:p>
      <w:pPr>
        <w:pStyle w:val="3124"/>
        <w:numPr>
          <w:ilvl w:val="0"/>
          <w:numId w:val="0"/>
        </w:numPr>
        <w:ind w:firstLine="480"/>
        <w:jc w:val="both"/>
        <w:spacing w:beforeAutospacing="0" w:afterAutospacing="0" w:line="480" w:lineRule="exact"/>
        <w:tabs>
          <w:tab w:val="left" w:pos="90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话：0515-83220095　　　　　　　　　　　　</w:t>
      </w:r>
      <w:r/>
    </w:p>
    <w:p>
      <w:pP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br w:type="page" w:clear="all"/>
      </w:r>
      <w:r/>
    </w:p>
    <w:p>
      <w:pPr>
        <w:pStyle w:val="3124"/>
        <w:jc w:val="center"/>
        <w:keepLines/>
        <w:keepNext/>
        <w:spacing w:before="260" w:beforeAutospacing="0" w:after="260" w:afterAutospacing="0" w:line="415" w:lineRule="auto"/>
        <w:rPr>
          <w:rFonts w:hint="default"/>
          <w:color w:val="auto"/>
          <w:sz w:val="24"/>
          <w:szCs w:val="24"/>
          <w:highlight w:val="none"/>
        </w:rPr>
      </w:pPr>
      <w:r/>
      <w:bookmarkStart w:id="32" w:name="_Toc120614211"/>
      <w:r>
        <w:rPr>
          <w:rFonts w:hint="eastAsia" w:ascii="黑体" w:hAnsi="宋体" w:eastAsia="黑体" w:cs="黑体"/>
          <w:b/>
          <w:color w:val="auto"/>
          <w:sz w:val="44"/>
          <w:szCs w:val="44"/>
          <w:highlight w:val="none"/>
        </w:rPr>
        <w:t xml:space="preserve">第二章  </w:t>
      </w:r>
      <w:bookmarkEnd w:id="32"/>
      <w:r>
        <w:rPr>
          <w:rFonts w:hint="eastAsia" w:ascii="黑体" w:hAnsi="宋体" w:eastAsia="黑体" w:cs="黑体"/>
          <w:b/>
          <w:color w:val="auto"/>
          <w:sz w:val="44"/>
          <w:szCs w:val="44"/>
          <w:highlight w:val="none"/>
        </w:rPr>
        <w:t xml:space="preserve">供应商须知</w:t>
      </w:r>
      <w:r/>
    </w:p>
    <w:p>
      <w:pPr>
        <w:pStyle w:val="3124"/>
        <w:ind w:firstLine="498"/>
        <w:jc w:val="both"/>
        <w:keepLines/>
        <w:keepNext/>
        <w:spacing w:beforeAutospacing="0" w:afterAutospacing="0" w:line="480" w:lineRule="exact"/>
        <w:rPr>
          <w:rFonts w:hint="eastAsia" w:ascii="宋体" w:hAnsi="宋体" w:cs="宋体"/>
          <w:color w:val="auto"/>
          <w:sz w:val="24"/>
          <w:szCs w:val="24"/>
          <w:highlight w:val="none"/>
        </w:rPr>
      </w:pPr>
      <w:r/>
      <w:bookmarkStart w:id="33" w:name="_Toc120614214"/>
      <w:r/>
      <w:bookmarkStart w:id="34" w:name="_Toc513029203"/>
      <w:r/>
      <w:bookmarkStart w:id="35" w:name="_Toc20823275"/>
      <w:r/>
      <w:bookmarkStart w:id="36" w:name="_Toc16938519"/>
      <w:r>
        <w:rPr>
          <w:rFonts w:hint="eastAsia" w:ascii="宋体" w:hAnsi="宋体" w:cs="宋体"/>
          <w:b/>
          <w:color w:val="auto"/>
          <w:sz w:val="24"/>
          <w:szCs w:val="24"/>
          <w:highlight w:val="none"/>
        </w:rPr>
        <w:t xml:space="preserve">一、总则</w:t>
      </w:r>
      <w:bookmarkEnd w:id="33"/>
      <w:r/>
      <w:bookmarkEnd w:id="34"/>
      <w:r/>
      <w:bookmarkEnd w:id="35"/>
      <w:r/>
      <w:bookmarkEnd w:id="36"/>
      <w:r/>
      <w:r/>
    </w:p>
    <w:p>
      <w:pPr>
        <w:pStyle w:val="3124"/>
        <w:ind w:firstLine="480"/>
        <w:jc w:val="both"/>
        <w:keepLines/>
        <w:keepNext/>
        <w:spacing w:beforeAutospacing="0" w:afterAutospacing="0" w:line="480" w:lineRule="exact"/>
        <w:rPr>
          <w:rFonts w:hint="eastAsia" w:ascii="宋体" w:hAnsi="宋体" w:cs="宋体"/>
          <w:color w:val="auto"/>
          <w:sz w:val="24"/>
          <w:szCs w:val="24"/>
          <w:highlight w:val="none"/>
        </w:rPr>
      </w:pPr>
      <w:r/>
      <w:bookmarkStart w:id="37" w:name="_Toc20823276"/>
      <w:r/>
      <w:bookmarkStart w:id="38" w:name="_Toc458694821"/>
      <w:r/>
      <w:bookmarkStart w:id="39" w:name="_Toc16938520"/>
      <w:r/>
      <w:bookmarkStart w:id="40" w:name="_Toc513029204"/>
      <w:r/>
      <w:bookmarkStart w:id="41" w:name="_Hlt16619475"/>
      <w:r>
        <w:rPr>
          <w:rFonts w:hint="eastAsia" w:ascii="宋体" w:hAnsi="宋体" w:cs="宋体"/>
          <w:color w:val="auto"/>
          <w:sz w:val="24"/>
          <w:szCs w:val="24"/>
          <w:highlight w:val="none"/>
        </w:rPr>
        <w:t xml:space="preserve">1</w:t>
      </w:r>
      <w:bookmarkEnd w:id="37"/>
      <w:r>
        <w:rPr>
          <w:rFonts w:hint="eastAsia" w:ascii="宋体" w:hAnsi="宋体" w:cs="宋体"/>
          <w:color w:val="auto"/>
          <w:sz w:val="24"/>
          <w:szCs w:val="24"/>
          <w:highlight w:val="none"/>
        </w:rPr>
        <w:t xml:space="preserve">、采购方式</w:t>
      </w:r>
      <w:bookmarkEnd w:id="38"/>
      <w:r/>
      <w:bookmarkEnd w:id="39"/>
      <w:r/>
      <w:bookmarkEnd w:id="40"/>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本次政府采购活动采取单一来源采购方式。</w:t>
      </w:r>
      <w:r/>
    </w:p>
    <w:p>
      <w:pPr>
        <w:pStyle w:val="3124"/>
        <w:ind w:firstLine="480"/>
        <w:jc w:val="both"/>
        <w:keepLines/>
        <w:keepNext/>
        <w:spacing w:beforeAutospacing="0" w:afterAutospacing="0" w:line="480" w:lineRule="exact"/>
        <w:rPr>
          <w:rFonts w:hint="eastAsia" w:ascii="宋体" w:hAnsi="宋体" w:cs="宋体"/>
          <w:color w:val="auto"/>
          <w:sz w:val="24"/>
          <w:szCs w:val="24"/>
          <w:highlight w:val="none"/>
        </w:rPr>
      </w:pPr>
      <w:r/>
      <w:bookmarkStart w:id="42" w:name="_Toc16938521"/>
      <w:r/>
      <w:bookmarkStart w:id="43" w:name="_Toc20823277"/>
      <w:r/>
      <w:bookmarkStart w:id="44" w:name="_Toc513029205"/>
      <w:r>
        <w:rPr>
          <w:rFonts w:hint="eastAsia" w:ascii="宋体" w:hAnsi="宋体" w:cs="宋体"/>
          <w:color w:val="auto"/>
          <w:sz w:val="24"/>
          <w:szCs w:val="24"/>
          <w:highlight w:val="none"/>
        </w:rPr>
        <w:t xml:space="preserve">2、合格的</w:t>
      </w:r>
      <w:bookmarkEnd w:id="42"/>
      <w:r/>
      <w:bookmarkEnd w:id="43"/>
      <w:r/>
      <w:bookmarkEnd w:id="44"/>
      <w:r>
        <w:rPr>
          <w:rFonts w:hint="eastAsia" w:ascii="宋体" w:hAnsi="宋体" w:cs="宋体"/>
          <w:color w:val="auto"/>
          <w:sz w:val="24"/>
          <w:szCs w:val="24"/>
          <w:highlight w:val="none"/>
        </w:rPr>
        <w:t xml:space="preserve">供应商</w:t>
      </w:r>
      <w:r/>
    </w:p>
    <w:p>
      <w:pPr>
        <w:pStyle w:val="3124"/>
        <w:ind w:firstLine="480"/>
        <w:jc w:val="both"/>
        <w:spacing w:beforeAutospacing="0" w:afterAutospacing="0" w:line="480" w:lineRule="exact"/>
        <w:rPr>
          <w:rFonts w:hint="eastAsia" w:ascii="宋体" w:hAnsi="宋体" w:cs="宋体"/>
          <w:color w:val="auto"/>
          <w:sz w:val="24"/>
          <w:szCs w:val="24"/>
          <w:highlight w:val="none"/>
        </w:rPr>
      </w:pPr>
      <w:r/>
      <w:bookmarkStart w:id="45" w:name="_Toc513029206"/>
      <w:r/>
      <w:bookmarkStart w:id="46" w:name="_Toc20823278"/>
      <w:r/>
      <w:bookmarkStart w:id="47" w:name="_Toc16938522"/>
      <w:r>
        <w:rPr>
          <w:rFonts w:hint="eastAsia" w:ascii="宋体" w:hAnsi="宋体" w:cs="宋体"/>
          <w:color w:val="auto"/>
          <w:sz w:val="24"/>
          <w:szCs w:val="24"/>
          <w:highlight w:val="none"/>
        </w:rPr>
        <w:t xml:space="preserve">2. 1 满足采购文件中合格单一来源供应商资格要求的规定。</w:t>
      </w:r>
      <w:bookmarkEnd w:id="45"/>
      <w:r/>
      <w:bookmarkEnd w:id="46"/>
      <w:r/>
      <w:bookmarkEnd w:id="47"/>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 2 满足本采购文件实质性条款的规定。</w:t>
      </w:r>
      <w:r/>
    </w:p>
    <w:p>
      <w:pPr>
        <w:ind w:firstLine="480"/>
        <w:spacing w:line="480" w:lineRule="exact"/>
        <w:rPr>
          <w:rFonts w:hint="eastAsia" w:ascii="方正魏碑_GBK" w:hAnsi="方正魏碑_GBK" w:eastAsia="方正魏碑_GBK" w:cs="方正魏碑_GBK"/>
          <w:color w:val="auto"/>
          <w:sz w:val="24"/>
          <w:szCs w:val="21"/>
          <w:highlight w:val="none"/>
        </w:rPr>
      </w:pPr>
      <w:r/>
      <w:bookmarkStart w:id="48" w:name="_Toc513029207"/>
      <w:r/>
      <w:bookmarkStart w:id="49" w:name="_Toc20823279"/>
      <w:r/>
      <w:bookmarkStart w:id="50" w:name="_Toc16938523"/>
      <w:r/>
      <w:bookmarkStart w:id="51" w:name="_Toc462564067"/>
      <w:r>
        <w:rPr>
          <w:rFonts w:hint="eastAsia" w:ascii="方正魏碑_GBK" w:hAnsi="方正魏碑_GBK" w:eastAsia="方正魏碑_GBK" w:cs="方正魏碑_GBK"/>
          <w:color w:val="auto"/>
          <w:sz w:val="24"/>
          <w:szCs w:val="21"/>
          <w:highlight w:val="none"/>
        </w:rPr>
        <w:t xml:space="preserve">3、适用法律和标准</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本次招标及由此产生的合同受中华人民共和国有关的法律法规制约和保护。</w:t>
      </w:r>
      <w:r/>
    </w:p>
    <w:p>
      <w:pPr>
        <w:ind w:firstLine="480"/>
        <w:spacing w:line="480" w:lineRule="exact"/>
        <w:rPr>
          <w:rFonts w:hint="eastAsia" w:ascii="宋体" w:hAnsi="宋体" w:cs="宋体"/>
          <w:color w:val="auto"/>
          <w:sz w:val="24"/>
          <w:szCs w:val="24"/>
          <w:highlight w:val="none"/>
        </w:rPr>
      </w:pPr>
      <w:r>
        <w:rPr>
          <w:rFonts w:hint="eastAsia" w:ascii="方正魏碑_GBK" w:hAnsi="方正魏碑_GBK" w:eastAsia="方正魏碑_GBK" w:cs="方正魏碑_GBK"/>
          <w:color w:val="auto"/>
          <w:sz w:val="24"/>
          <w:szCs w:val="21"/>
          <w:highlight w:val="none"/>
        </w:rPr>
        <w:t xml:space="preserve">3.2 在本项目政府采购活动过程中，如果所执行的标准有更新的，按照最新标准执行。</w:t>
      </w:r>
      <w:r/>
    </w:p>
    <w:p>
      <w:pPr>
        <w:pStyle w:val="3124"/>
        <w:ind w:firstLine="48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4、相关费用</w:t>
      </w:r>
      <w:bookmarkEnd w:id="48"/>
      <w:r/>
      <w:bookmarkEnd w:id="49"/>
      <w:r/>
      <w:bookmarkEnd w:id="50"/>
      <w:r/>
      <w:bookmarkEnd w:id="51"/>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4.1供应商应自行承担所有与参加本次采购有关的费用，无论采购过程中的做法和结果如何，采购人和代理机构在任何情况下均无义务和责任承担这些费用。</w:t>
      </w:r>
      <w:r/>
    </w:p>
    <w:p>
      <w:pPr>
        <w:pStyle w:val="3124"/>
        <w:ind w:firstLine="482"/>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5、</w:t>
      </w:r>
      <w:r>
        <w:rPr>
          <w:rFonts w:hint="eastAsia" w:ascii="宋体" w:hAnsi="宋体" w:cs="宋体"/>
          <w:color w:val="auto"/>
          <w:sz w:val="24"/>
          <w:szCs w:val="24"/>
          <w:highlight w:val="none"/>
        </w:rPr>
        <w:t xml:space="preserve">采购文件的约束力</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pStyle w:val="3124"/>
        <w:ind w:firstLine="482"/>
        <w:jc w:val="both"/>
        <w:spacing w:beforeAutospacing="0" w:afterAutospacing="0" w:line="480" w:lineRule="exact"/>
        <w:rPr>
          <w:rFonts w:hint="eastAsia" w:ascii="宋体" w:hAnsi="宋体" w:cs="宋体"/>
          <w:color w:val="auto"/>
          <w:sz w:val="24"/>
          <w:szCs w:val="24"/>
          <w:highlight w:val="none"/>
        </w:rPr>
      </w:pPr>
      <w:r/>
      <w:bookmarkStart w:id="52" w:name="_Toc16938525"/>
      <w:r/>
      <w:bookmarkStart w:id="53" w:name="_Toc20823281"/>
      <w:r/>
      <w:bookmarkStart w:id="54" w:name="_Toc120614215"/>
      <w:r/>
      <w:bookmarkStart w:id="55" w:name="_Toc513029209"/>
      <w:r>
        <w:rPr>
          <w:rFonts w:hint="eastAsia" w:ascii="宋体" w:hAnsi="宋体" w:cs="宋体"/>
          <w:b/>
          <w:color w:val="auto"/>
          <w:sz w:val="24"/>
          <w:szCs w:val="24"/>
          <w:highlight w:val="none"/>
        </w:rPr>
        <w:t xml:space="preserve">二、</w:t>
      </w:r>
      <w:bookmarkEnd w:id="52"/>
      <w:r/>
      <w:bookmarkEnd w:id="53"/>
      <w:r/>
      <w:bookmarkEnd w:id="54"/>
      <w:r/>
      <w:bookmarkEnd w:id="55"/>
      <w:r>
        <w:rPr>
          <w:rFonts w:hint="eastAsia" w:ascii="宋体" w:hAnsi="宋体" w:cs="宋体"/>
          <w:b/>
          <w:color w:val="auto"/>
          <w:sz w:val="24"/>
          <w:szCs w:val="24"/>
          <w:highlight w:val="none"/>
        </w:rPr>
        <w:t xml:space="preserve">采购文件</w:t>
      </w:r>
      <w:r/>
    </w:p>
    <w:p>
      <w:pPr>
        <w:pStyle w:val="3124"/>
        <w:ind w:firstLine="420"/>
        <w:jc w:val="both"/>
        <w:keepLines/>
        <w:keepNext/>
        <w:spacing w:beforeAutospacing="0" w:afterAutospacing="0" w:line="480" w:lineRule="exact"/>
        <w:rPr>
          <w:rFonts w:hint="eastAsia" w:ascii="宋体" w:hAnsi="宋体" w:cs="宋体"/>
          <w:color w:val="auto"/>
          <w:sz w:val="24"/>
          <w:szCs w:val="24"/>
          <w:highlight w:val="none"/>
        </w:rPr>
      </w:pPr>
      <w:r/>
      <w:bookmarkStart w:id="56" w:name="_Toc513029210"/>
      <w:r/>
      <w:bookmarkStart w:id="57" w:name="_Toc16938526"/>
      <w:r/>
      <w:bookmarkStart w:id="58" w:name="_Toc20823282"/>
      <w:r>
        <w:rPr>
          <w:rFonts w:hint="eastAsia" w:ascii="宋体" w:hAnsi="宋体" w:cs="宋体"/>
          <w:color w:val="auto"/>
          <w:sz w:val="24"/>
          <w:szCs w:val="24"/>
          <w:highlight w:val="none"/>
        </w:rPr>
        <w:t xml:space="preserve">6、采购文件构成</w:t>
      </w:r>
      <w:bookmarkEnd w:id="56"/>
      <w:r/>
      <w:bookmarkEnd w:id="57"/>
      <w:r/>
      <w:bookmarkEnd w:id="58"/>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6.1采购文件由以下部分组成：</w:t>
      </w:r>
      <w:r/>
    </w:p>
    <w:p>
      <w:pPr>
        <w:pStyle w:val="3124"/>
        <w:ind w:firstLine="36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（1）单一来源采购邀请</w:t>
      </w:r>
      <w:r/>
    </w:p>
    <w:p>
      <w:pPr>
        <w:pStyle w:val="3124"/>
        <w:ind w:firstLine="36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（2）供应商须知</w:t>
      </w:r>
      <w:r/>
    </w:p>
    <w:p>
      <w:pPr>
        <w:pStyle w:val="3124"/>
        <w:ind w:firstLine="36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p>
    <w:p>
      <w:pPr>
        <w:pStyle w:val="3124"/>
        <w:ind w:firstLine="36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p>
    <w:p>
      <w:pPr>
        <w:pStyle w:val="3124"/>
        <w:ind w:firstLine="36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（5）响应文件格式</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请仔细检查采购文件是否齐全，如有缺漏请立即与代理机构联系解决。</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 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pStyle w:val="3124"/>
        <w:ind w:firstLine="560"/>
        <w:jc w:val="both"/>
        <w:keepLines/>
        <w:keepNext/>
        <w:spacing w:beforeAutospacing="0" w:afterAutospacing="0" w:line="480" w:lineRule="exact"/>
        <w:rPr>
          <w:rFonts w:hint="eastAsia" w:ascii="宋体" w:hAnsi="宋体" w:cs="宋体"/>
          <w:color w:val="auto"/>
          <w:sz w:val="24"/>
          <w:szCs w:val="24"/>
          <w:highlight w:val="none"/>
        </w:rPr>
      </w:pPr>
      <w:r/>
      <w:bookmarkStart w:id="59" w:name="_Toc20823283"/>
      <w:r/>
      <w:bookmarkStart w:id="60" w:name="_Toc16938527"/>
      <w:r/>
      <w:bookmarkStart w:id="61" w:name="_Toc462564070"/>
      <w:r/>
      <w:bookmarkStart w:id="62" w:name="_Toc513029211"/>
      <w:r>
        <w:rPr>
          <w:rFonts w:hint="eastAsia" w:ascii="宋体" w:hAnsi="宋体" w:cs="宋体"/>
          <w:color w:val="auto"/>
          <w:sz w:val="24"/>
          <w:szCs w:val="24"/>
          <w:highlight w:val="none"/>
        </w:rPr>
        <w:t xml:space="preserve">7、采购文件的澄清</w:t>
      </w:r>
      <w:bookmarkEnd w:id="59"/>
      <w:r/>
      <w:bookmarkEnd w:id="60"/>
      <w:r/>
      <w:bookmarkEnd w:id="61"/>
      <w:r/>
      <w:bookmarkEnd w:id="62"/>
      <w:r/>
      <w:r/>
    </w:p>
    <w:p>
      <w:pPr>
        <w:pStyle w:val="3124"/>
        <w:ind w:firstLine="480"/>
        <w:jc w:val="both"/>
        <w:spacing w:beforeAutospacing="0" w:afterAutospacing="0" w:line="480" w:lineRule="exact"/>
        <w:rPr>
          <w:rFonts w:hint="eastAsia" w:ascii="宋体" w:hAnsi="宋体" w:cs="宋体"/>
          <w:color w:val="auto"/>
          <w:sz w:val="24"/>
          <w:szCs w:val="24"/>
          <w:highlight w:val="none"/>
        </w:rPr>
      </w:pPr>
      <w:r/>
      <w:bookmarkStart w:id="63" w:name="_Toc462564071"/>
      <w:r/>
      <w:bookmarkStart w:id="64" w:name="_Toc16938528"/>
      <w:r/>
      <w:bookmarkStart w:id="65" w:name="_Toc513029212"/>
      <w:r/>
      <w:bookmarkStart w:id="66" w:name="_Toc20823284"/>
      <w:r>
        <w:rPr>
          <w:rFonts w:hint="eastAsia" w:ascii="宋体" w:hAnsi="宋体" w:cs="宋体"/>
          <w:color w:val="auto"/>
          <w:sz w:val="24"/>
          <w:szCs w:val="24"/>
          <w:highlight w:val="none"/>
        </w:rPr>
        <w:t xml:space="preserve">7.1 供应商如果要求对采购文件进行澄清的，应在响应文件接收截止时间（以下简称“截止时间”）</w:t>
      </w:r>
      <w:r>
        <w:rPr>
          <w:rFonts w:hint="eastAsia" w:ascii="宋体" w:hAnsi="宋体" w:cs="宋体"/>
          <w:b/>
          <w:color w:val="auto"/>
          <w:sz w:val="24"/>
          <w:szCs w:val="24"/>
          <w:highlight w:val="none"/>
        </w:rPr>
        <w:t xml:space="preserve">三天</w:t>
      </w:r>
      <w:r>
        <w:rPr>
          <w:rFonts w:hint="eastAsia" w:ascii="宋体" w:hAnsi="宋体" w:cs="宋体"/>
          <w:color w:val="auto"/>
          <w:sz w:val="24"/>
          <w:szCs w:val="24"/>
          <w:highlight w:val="none"/>
        </w:rPr>
        <w:t xml:space="preserve">前，在苏采云系统中通知代理机构。代理机构将在苏采云系统中对澄清要求予以答复。</w:t>
      </w:r>
      <w:bookmarkEnd w:id="63"/>
      <w:r/>
      <w:bookmarkEnd w:id="64"/>
      <w:r/>
      <w:bookmarkEnd w:id="65"/>
      <w:r/>
      <w:bookmarkEnd w:id="66"/>
      <w:r/>
      <w:r/>
    </w:p>
    <w:p>
      <w:pPr>
        <w:pStyle w:val="3124"/>
        <w:ind w:firstLine="560"/>
        <w:jc w:val="both"/>
        <w:keepLines/>
        <w:keepNext/>
        <w:spacing w:beforeAutospacing="0" w:afterAutospacing="0" w:line="480" w:lineRule="exact"/>
        <w:rPr>
          <w:rFonts w:hint="eastAsia" w:ascii="宋体" w:hAnsi="宋体" w:cs="宋体"/>
          <w:color w:val="auto"/>
          <w:sz w:val="24"/>
          <w:szCs w:val="24"/>
          <w:highlight w:val="none"/>
        </w:rPr>
      </w:pPr>
      <w:r/>
      <w:bookmarkStart w:id="67" w:name="_Toc16938529"/>
      <w:r/>
      <w:bookmarkStart w:id="68" w:name="_Toc120614216"/>
      <w:r/>
      <w:bookmarkStart w:id="69" w:name="_Toc513029213"/>
      <w:r/>
      <w:bookmarkStart w:id="70" w:name="_Toc20823285"/>
      <w:r/>
      <w:bookmarkStart w:id="71" w:name="_Toc462564072"/>
      <w:r>
        <w:rPr>
          <w:rFonts w:hint="eastAsia" w:ascii="宋体" w:hAnsi="宋体" w:cs="宋体"/>
          <w:color w:val="auto"/>
          <w:sz w:val="24"/>
          <w:szCs w:val="24"/>
          <w:highlight w:val="none"/>
        </w:rPr>
        <w:t xml:space="preserve">8、采购文件的修改</w:t>
      </w:r>
      <w:bookmarkEnd w:id="67"/>
      <w:r/>
      <w:bookmarkEnd w:id="68"/>
      <w:r/>
      <w:bookmarkEnd w:id="69"/>
      <w:r/>
      <w:bookmarkEnd w:id="70"/>
      <w:r/>
      <w:bookmarkEnd w:id="71"/>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 在截止时间前，代理机构可以以补充文件的方式对采购文件进行修改。</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8.2代理机构有权按照政府采购的有关要求推迟截止时间。</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8.3采购文件的补充文件将作为采购文件的组成部分，并对供应商具有约束力。</w:t>
      </w:r>
      <w:r/>
    </w:p>
    <w:p>
      <w:pPr>
        <w:pStyle w:val="3124"/>
        <w:ind w:firstLine="482"/>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三、响应文件的编制</w:t>
      </w:r>
      <w:r/>
    </w:p>
    <w:p>
      <w:pPr>
        <w:pStyle w:val="3124"/>
        <w:ind w:firstLine="560"/>
        <w:jc w:val="both"/>
        <w:keepLines/>
        <w:keepNext/>
        <w:spacing w:beforeAutospacing="0" w:afterAutospacing="0" w:line="480" w:lineRule="exact"/>
        <w:rPr>
          <w:rFonts w:hint="eastAsia" w:ascii="宋体" w:hAnsi="宋体" w:cs="宋体"/>
          <w:color w:val="auto"/>
          <w:sz w:val="24"/>
          <w:szCs w:val="24"/>
          <w:highlight w:val="none"/>
        </w:rPr>
      </w:pPr>
      <w:r/>
      <w:bookmarkStart w:id="72" w:name="_Toc16938530"/>
      <w:r/>
      <w:bookmarkStart w:id="73" w:name="_Toc513029214"/>
      <w:r/>
      <w:bookmarkStart w:id="74" w:name="_Toc20823286"/>
      <w:r/>
      <w:bookmarkStart w:id="75" w:name="_Toc462564073"/>
      <w:r>
        <w:rPr>
          <w:rFonts w:hint="eastAsia" w:ascii="宋体" w:hAnsi="宋体" w:cs="宋体"/>
          <w:color w:val="auto"/>
          <w:sz w:val="24"/>
          <w:szCs w:val="24"/>
          <w:highlight w:val="none"/>
        </w:rPr>
        <w:t xml:space="preserve">9、响应文件的语言及度量衡单位</w:t>
      </w:r>
      <w:bookmarkEnd w:id="72"/>
      <w:r/>
      <w:bookmarkEnd w:id="73"/>
      <w:r/>
      <w:bookmarkEnd w:id="74"/>
      <w:r/>
      <w:bookmarkEnd w:id="75"/>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9.1供应商提交的响应文件以及供应商与代理机构就有关采购活动的所有来往通知、函件和文件均应使用</w:t>
      </w:r>
      <w:r>
        <w:rPr>
          <w:rFonts w:hint="eastAsia" w:ascii="宋体" w:hAnsi="宋体" w:cs="宋体"/>
          <w:b/>
          <w:color w:val="auto"/>
          <w:sz w:val="24"/>
          <w:szCs w:val="24"/>
          <w:highlight w:val="none"/>
        </w:rPr>
        <w:t xml:space="preserve">简体中文</w:t>
      </w:r>
      <w:r>
        <w:rPr>
          <w:rFonts w:hint="eastAsia" w:ascii="宋体" w:hAnsi="宋体" w:cs="宋体"/>
          <w:color w:val="auto"/>
          <w:sz w:val="24"/>
          <w:szCs w:val="24"/>
          <w:highlight w:val="none"/>
        </w:rPr>
        <w:t xml:space="preserve">。</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 除技术性能另有规定外，响应文件所使用的度量衡单位，均须采用国家法定计量单位。</w:t>
      </w:r>
      <w:r/>
    </w:p>
    <w:p>
      <w:pPr>
        <w:pStyle w:val="3124"/>
        <w:ind w:firstLine="420"/>
        <w:jc w:val="both"/>
        <w:keepLines/>
        <w:keepNext/>
        <w:spacing w:beforeAutospacing="0" w:afterAutospacing="0" w:line="480" w:lineRule="exact"/>
        <w:rPr>
          <w:rFonts w:hint="eastAsia" w:ascii="宋体" w:hAnsi="宋体" w:cs="宋体"/>
          <w:color w:val="auto"/>
          <w:sz w:val="24"/>
          <w:szCs w:val="24"/>
          <w:highlight w:val="none"/>
        </w:rPr>
      </w:pPr>
      <w:r/>
      <w:bookmarkStart w:id="76" w:name="_Toc462564074"/>
      <w:r/>
      <w:bookmarkStart w:id="77" w:name="_Toc513029215"/>
      <w:r/>
      <w:bookmarkStart w:id="78" w:name="_Toc16938531"/>
      <w:r/>
      <w:bookmarkStart w:id="79" w:name="_Toc20823287"/>
      <w:r>
        <w:rPr>
          <w:rFonts w:hint="eastAsia" w:ascii="宋体" w:hAnsi="宋体" w:cs="宋体"/>
          <w:color w:val="auto"/>
          <w:sz w:val="24"/>
          <w:szCs w:val="24"/>
          <w:highlight w:val="none"/>
        </w:rPr>
        <w:t xml:space="preserve">10、响应文件构成</w:t>
      </w:r>
      <w:bookmarkEnd w:id="76"/>
      <w:r/>
      <w:bookmarkEnd w:id="77"/>
      <w:r/>
      <w:bookmarkEnd w:id="78"/>
      <w:r/>
      <w:bookmarkEnd w:id="79"/>
      <w:r/>
      <w:r/>
    </w:p>
    <w:p>
      <w:pPr>
        <w:pStyle w:val="3124"/>
        <w:ind w:firstLine="480"/>
        <w:jc w:val="both"/>
        <w:spacing w:beforeAutospacing="0" w:afterAutospacing="0" w:line="480" w:lineRule="exact"/>
        <w:rPr>
          <w:rFonts w:hint="eastAsia" w:ascii="宋体" w:hAnsi="宋体" w:cs="宋体"/>
          <w:color w:val="auto"/>
          <w:sz w:val="24"/>
          <w:szCs w:val="24"/>
          <w:highlight w:val="none"/>
        </w:rPr>
      </w:pPr>
      <w:r/>
      <w:bookmarkStart w:id="80" w:name="_Toc513029216"/>
      <w:r/>
      <w:bookmarkStart w:id="81" w:name="_Toc14577357"/>
      <w:r/>
      <w:bookmarkStart w:id="82" w:name="_Toc49090509"/>
      <w:r/>
      <w:bookmarkStart w:id="83" w:name="_Toc14577355"/>
      <w:r/>
      <w:bookmarkStart w:id="84" w:name="_Toc49090508"/>
      <w:r/>
      <w:bookmarkStart w:id="85" w:name="_Toc513029219"/>
      <w:r/>
      <w:bookmarkStart w:id="86" w:name="_Toc49090507"/>
      <w:r/>
      <w:bookmarkStart w:id="87" w:name="_Toc14577354"/>
      <w:r/>
      <w:bookmarkStart w:id="88" w:name="_Hlt26954838"/>
      <w:r/>
      <w:bookmarkStart w:id="89" w:name="_Hlt26670360"/>
      <w:r/>
      <w:bookmarkStart w:id="90" w:name="_Hlt26668975"/>
      <w:r>
        <w:rPr>
          <w:rFonts w:hint="eastAsia" w:ascii="宋体" w:hAnsi="宋体" w:cs="宋体"/>
          <w:color w:val="auto"/>
          <w:sz w:val="24"/>
          <w:szCs w:val="24"/>
          <w:highlight w:val="none"/>
        </w:rPr>
        <w:t xml:space="preserve">10.1 供应商编写的响应文件应包括资格证明文件、符合性证明文件、分项报价表、技术要求响应及偏离表、商务要求响应及偏离表、其他证明文件、单一来源响应函等部分。</w:t>
      </w:r>
      <w:bookmarkEnd w:id="80"/>
      <w:r/>
      <w:bookmarkEnd w:id="81"/>
      <w:r/>
      <w:bookmarkEnd w:id="82"/>
      <w:r/>
      <w:bookmarkEnd w:id="83"/>
      <w:r/>
      <w:bookmarkEnd w:id="84"/>
      <w:r/>
      <w:bookmarkEnd w:id="85"/>
      <w:r/>
      <w:bookmarkEnd w:id="86"/>
      <w:r/>
      <w:bookmarkEnd w:id="87"/>
      <w:r/>
      <w:r/>
    </w:p>
    <w:p>
      <w:pPr>
        <w:pStyle w:val="3124"/>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11、证明供应商及响应标的符合采购文件规定的文件</w:t>
      </w:r>
      <w:r/>
    </w:p>
    <w:p>
      <w:pPr>
        <w:pStyle w:val="3124"/>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11.1 供应商应按照法律、法规、规章和规范性文件以及采购文件要求提交证明文件，证明其响应标的符合采购文件规定。</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11.2采购文件对证明文件无明确形式要求的，证明文件可以以文字资料、图纸和数据等形式提交。</w:t>
      </w:r>
      <w:r/>
    </w:p>
    <w:p>
      <w:pPr>
        <w:pStyle w:val="3124"/>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12、分项报价表</w:t>
      </w:r>
      <w:r/>
    </w:p>
    <w:p>
      <w:pPr>
        <w:pStyle w:val="3124"/>
        <w:ind w:firstLine="480"/>
        <w:jc w:val="both"/>
        <w:spacing w:beforeAutospacing="0" w:afterAutospacing="0" w:line="480" w:lineRule="exact"/>
        <w:rPr>
          <w:rFonts w:hint="eastAsia" w:ascii="宋体" w:hAnsi="宋体" w:cs="宋体"/>
          <w:color w:val="auto"/>
          <w:sz w:val="24"/>
          <w:szCs w:val="24"/>
          <w:highlight w:val="none"/>
        </w:rPr>
      </w:pPr>
      <w:r/>
      <w:bookmarkStart w:id="91" w:name="_Hlt26954731"/>
      <w:r/>
      <w:bookmarkStart w:id="92" w:name="_Hlt26670486"/>
      <w:r/>
      <w:bookmarkStart w:id="93" w:name="_Hlt26954848"/>
      <w:r/>
      <w:bookmarkStart w:id="94" w:name="_Hlt26670482"/>
      <w:r/>
      <w:bookmarkStart w:id="95" w:name="_Hlt26954846"/>
      <w:r>
        <w:rPr>
          <w:rFonts w:hint="eastAsia" w:ascii="宋体" w:hAnsi="宋体" w:cs="宋体"/>
          <w:color w:val="auto"/>
          <w:sz w:val="24"/>
          <w:szCs w:val="24"/>
          <w:highlight w:val="none"/>
        </w:rPr>
        <w:t xml:space="preserve">12.1 供应商应按照采购文件规定格式填报分项报价表。</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12.2报价货币。响应文件中的单价和总价无特殊规定的采用人民币报价，以元为单位标注。采购文件中另有规定的按规定执行。</w:t>
      </w:r>
      <w:r/>
    </w:p>
    <w:p>
      <w:pPr>
        <w:pStyle w:val="3124"/>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13、技术要求响应及偏离表、商务要求响应及偏离表</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13.1供应商需对采购文件中的技术要求与商务要求逐项作出响应或偏离，并说明原因。</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13.2供应商可在响应文件中提供认为需要的其他技术文件或说明。</w:t>
      </w:r>
      <w:r/>
    </w:p>
    <w:p>
      <w:pPr>
        <w:pStyle w:val="3124"/>
        <w:ind w:firstLine="420"/>
        <w:jc w:val="both"/>
        <w:keepLines/>
        <w:keepNext/>
        <w:spacing w:beforeAutospacing="0" w:afterAutospacing="0" w:line="480" w:lineRule="exact"/>
        <w:rPr>
          <w:rFonts w:hint="eastAsia" w:ascii="宋体" w:hAnsi="宋体" w:cs="宋体"/>
          <w:color w:val="auto"/>
          <w:sz w:val="24"/>
          <w:szCs w:val="24"/>
          <w:highlight w:val="none"/>
        </w:rPr>
      </w:pPr>
      <w:r/>
      <w:bookmarkStart w:id="96" w:name="_Toc49090510"/>
      <w:r/>
      <w:bookmarkStart w:id="97" w:name="_Toc14577359"/>
      <w:r>
        <w:rPr>
          <w:rFonts w:hint="eastAsia" w:ascii="宋体" w:hAnsi="宋体" w:cs="宋体"/>
          <w:color w:val="auto"/>
          <w:sz w:val="24"/>
          <w:szCs w:val="24"/>
          <w:highlight w:val="none"/>
        </w:rPr>
        <w:t xml:space="preserve">14、服务承诺、培训计划、人员安排及其他</w:t>
      </w:r>
      <w:bookmarkEnd w:id="96"/>
      <w:r/>
      <w:bookmarkEnd w:id="97"/>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 供应商需根据采购文件要求提供有关售后服务的管理制度，售后服务机构的分布情况，售后服务人员的数量、素质、技术水平及售后服务的反应能力等。</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供应商需根据采购文件要求提供培训计划。</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 供应商需根据采购文件要求提供所投标的的主要组成部分、功能设计、实现思路及关键技术等。</w:t>
      </w:r>
      <w:r/>
    </w:p>
    <w:p>
      <w:pPr>
        <w:pStyle w:val="3124"/>
        <w:ind w:firstLine="420"/>
        <w:jc w:val="both"/>
        <w:keepLines/>
        <w:keepNext/>
        <w:spacing w:beforeAutospacing="0" w:afterAutospacing="0" w:line="480" w:lineRule="exact"/>
        <w:rPr>
          <w:rFonts w:hint="eastAsia" w:ascii="宋体" w:hAnsi="宋体" w:cs="宋体"/>
          <w:color w:val="auto"/>
          <w:sz w:val="24"/>
          <w:szCs w:val="24"/>
          <w:highlight w:val="none"/>
        </w:rPr>
      </w:pPr>
      <w:r/>
      <w:bookmarkStart w:id="98" w:name="_Toc14577360"/>
      <w:r/>
      <w:bookmarkStart w:id="99" w:name="_Toc49090511"/>
      <w:r>
        <w:rPr>
          <w:rFonts w:hint="eastAsia" w:ascii="宋体" w:hAnsi="宋体" w:cs="宋体"/>
          <w:color w:val="auto"/>
          <w:sz w:val="24"/>
          <w:szCs w:val="24"/>
          <w:highlight w:val="none"/>
        </w:rPr>
        <w:t xml:space="preserve">15、单一来源响应函</w:t>
      </w:r>
      <w:bookmarkEnd w:id="98"/>
      <w:r/>
      <w:bookmarkEnd w:id="99"/>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 供应商应按照采购文件中提供的格式完整、正确填写单一来源响应函。</w:t>
      </w:r>
      <w:r/>
    </w:p>
    <w:p>
      <w:pPr>
        <w:pStyle w:val="3124"/>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16、单一来源采购有效期</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单一来源采购有效期（以下简称“有效期”）为代理机构规定的响应文件接收截止之日后</w:t>
      </w:r>
      <w:r>
        <w:rPr>
          <w:rFonts w:hint="eastAsia" w:ascii="宋体" w:hAnsi="宋体" w:cs="宋体"/>
          <w:b/>
          <w:color w:val="auto"/>
          <w:sz w:val="24"/>
          <w:szCs w:val="24"/>
          <w:highlight w:val="none"/>
          <w:u w:val="single"/>
        </w:rPr>
        <w:t xml:space="preserve">三十（30）天</w:t>
      </w:r>
      <w:r>
        <w:rPr>
          <w:rFonts w:hint="eastAsia" w:ascii="宋体" w:hAnsi="宋体" w:cs="宋体"/>
          <w:color w:val="auto"/>
          <w:sz w:val="24"/>
          <w:szCs w:val="24"/>
          <w:highlight w:val="none"/>
        </w:rPr>
        <w:t xml:space="preserve">。有效期比规定期限短的将被视为未响应采购文件要求而予以拒绝。</w:t>
      </w:r>
      <w:r/>
    </w:p>
    <w:p>
      <w:pPr>
        <w:pStyle w:val="3124"/>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17、有效期的延长</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在特殊情况下，代理机构于原有效期满之前，可向供应商提出延长有效期的要求。这种要求与答复均应采用书面形式。供应商可以拒绝代理机构的这一要求而放弃单一来源采购活动，同意延长有效期的供应商既不能要求也不允许修改其响应文件。受有效期约束的所有权利与义务均延长至新的有效期。</w:t>
      </w:r>
      <w:r/>
    </w:p>
    <w:p>
      <w:pPr>
        <w:pStyle w:val="3124"/>
        <w:ind w:firstLine="482"/>
        <w:jc w:val="both"/>
        <w:keepLines/>
        <w:keepNext/>
        <w:spacing w:beforeAutospacing="0" w:afterAutospacing="0" w:line="480" w:lineRule="exact"/>
        <w:rPr>
          <w:rFonts w:hint="eastAsia" w:ascii="宋体" w:hAnsi="宋体" w:cs="宋体"/>
          <w:color w:val="auto"/>
          <w:sz w:val="24"/>
          <w:szCs w:val="24"/>
          <w:highlight w:val="none"/>
        </w:rPr>
      </w:pPr>
      <w:r/>
      <w:bookmarkStart w:id="100" w:name="_Toc513029224"/>
      <w:r/>
      <w:bookmarkStart w:id="101" w:name="_Toc16938540"/>
      <w:r/>
      <w:bookmarkStart w:id="102" w:name="_Toc120614217"/>
      <w:r/>
      <w:bookmarkStart w:id="103" w:name="_Toc20823296"/>
      <w:r/>
      <w:bookmarkStart w:id="104" w:name="_Hlt26954852"/>
      <w:r/>
      <w:bookmarkStart w:id="105" w:name="_Hlt26954739"/>
      <w:r>
        <w:rPr>
          <w:rFonts w:hint="eastAsia" w:ascii="宋体" w:hAnsi="宋体" w:cs="宋体"/>
          <w:b/>
          <w:color w:val="auto"/>
          <w:sz w:val="24"/>
          <w:szCs w:val="24"/>
          <w:highlight w:val="none"/>
        </w:rPr>
        <w:t xml:space="preserve">四、响应文件的递交</w:t>
      </w:r>
      <w:bookmarkEnd w:id="100"/>
      <w:r/>
      <w:bookmarkEnd w:id="101"/>
      <w:r/>
      <w:bookmarkEnd w:id="102"/>
      <w:r/>
      <w:bookmarkEnd w:id="103"/>
      <w:r/>
      <w:r/>
    </w:p>
    <w:p>
      <w:pPr>
        <w:pStyle w:val="3124"/>
        <w:ind w:firstLine="560"/>
        <w:jc w:val="both"/>
        <w:keepLines/>
        <w:keepNext/>
        <w:spacing w:beforeAutospacing="0" w:afterAutospacing="0" w:line="480" w:lineRule="exact"/>
        <w:rPr>
          <w:rFonts w:hint="eastAsia" w:ascii="宋体" w:hAnsi="宋体" w:cs="宋体"/>
          <w:color w:val="auto"/>
          <w:sz w:val="24"/>
          <w:szCs w:val="24"/>
          <w:highlight w:val="none"/>
        </w:rPr>
      </w:pPr>
      <w:r/>
      <w:bookmarkStart w:id="106" w:name="_Toc513029225"/>
      <w:r/>
      <w:bookmarkStart w:id="107" w:name="_Toc462564084"/>
      <w:r/>
      <w:bookmarkStart w:id="108" w:name="_Toc16938541"/>
      <w:r/>
      <w:bookmarkStart w:id="109" w:name="_Toc20823297"/>
      <w:r>
        <w:rPr>
          <w:rFonts w:hint="eastAsia" w:ascii="宋体" w:hAnsi="宋体" w:cs="宋体"/>
          <w:color w:val="auto"/>
          <w:sz w:val="24"/>
          <w:szCs w:val="24"/>
          <w:highlight w:val="none"/>
        </w:rPr>
        <w:t xml:space="preserve">18、电子</w:t>
      </w:r>
      <w:bookmarkEnd w:id="106"/>
      <w:r/>
      <w:bookmarkEnd w:id="107"/>
      <w:r/>
      <w:bookmarkEnd w:id="108"/>
      <w:r/>
      <w:bookmarkEnd w:id="109"/>
      <w:r>
        <w:rPr>
          <w:rFonts w:hint="eastAsia" w:ascii="宋体" w:hAnsi="宋体" w:cs="宋体"/>
          <w:color w:val="auto"/>
          <w:sz w:val="24"/>
          <w:szCs w:val="24"/>
          <w:highlight w:val="none"/>
        </w:rPr>
        <w:t xml:space="preserve">响应文件的递交</w:t>
      </w:r>
      <w:r/>
    </w:p>
    <w:p>
      <w:pPr>
        <w:pStyle w:val="3124"/>
        <w:ind w:firstLine="60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18.1供应商应当按照《操作手册》规定，在截止时间前制作并上传电子响应文件。</w:t>
      </w:r>
      <w:bookmarkStart w:id="110" w:name="_Toc20823298"/>
      <w:r/>
      <w:bookmarkEnd w:id="110"/>
      <w:r/>
      <w:bookmarkStart w:id="111" w:name="_Toc16938542"/>
      <w:r/>
      <w:bookmarkEnd w:id="111"/>
      <w:r/>
      <w:bookmarkStart w:id="112" w:name="_Toc513029226"/>
      <w:r/>
      <w:r/>
    </w:p>
    <w:p>
      <w:pPr>
        <w:pStyle w:val="3124"/>
        <w:ind w:firstLine="56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19、提交响应文件截止时间</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i/>
          <w:color w:val="auto"/>
          <w:sz w:val="24"/>
          <w:szCs w:val="24"/>
          <w:highlight w:val="none"/>
          <w:u w:val="single"/>
        </w:rPr>
        <w:t xml:space="preserve">19.1供应商上传电子响应文件的时间不得迟于单一来源采购邀请中规定的截止时间。</w:t>
      </w:r>
      <w:r/>
    </w:p>
    <w:p>
      <w:pPr>
        <w:pStyle w:val="3124"/>
        <w:ind w:firstLine="480"/>
        <w:jc w:val="both"/>
        <w:spacing w:beforeAutospacing="0" w:afterAutospacing="0" w:line="480" w:lineRule="exact"/>
        <w:rPr>
          <w:rFonts w:hint="eastAsia" w:ascii="宋体" w:hAnsi="宋体" w:cs="宋体"/>
          <w:color w:val="auto"/>
          <w:sz w:val="24"/>
          <w:szCs w:val="24"/>
          <w:highlight w:val="none"/>
        </w:rPr>
      </w:pPr>
      <w:r/>
      <w:bookmarkStart w:id="113" w:name="_Toc20823299"/>
      <w:r/>
      <w:bookmarkStart w:id="114" w:name="_Toc513029227"/>
      <w:r/>
      <w:bookmarkStart w:id="115" w:name="_Toc16938543"/>
      <w:r>
        <w:rPr>
          <w:rFonts w:hint="eastAsia" w:ascii="宋体" w:hAnsi="宋体" w:cs="宋体"/>
          <w:color w:val="auto"/>
          <w:sz w:val="24"/>
          <w:szCs w:val="24"/>
          <w:highlight w:val="none"/>
        </w:rPr>
        <w:t xml:space="preserve">供应商应充分考虑到网络环境、网络带宽等风险因素，如因供应商自身原因造成的电子响应文件上传不成功由供应商自行承担全部责任。</w:t>
      </w:r>
      <w:bookmarkEnd w:id="113"/>
      <w:r/>
      <w:bookmarkEnd w:id="114"/>
      <w:r/>
      <w:bookmarkEnd w:id="115"/>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 代理机构可以按照规定，通过修改采购文件酌情延长截止时间，在此情况下，供应商的所有权利和义务以及供应商受制的截止时间以延长后新的截止时间为准。</w:t>
      </w:r>
      <w:r/>
    </w:p>
    <w:p>
      <w:pPr>
        <w:pStyle w:val="3124"/>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20、响应文件的拒收</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 代理机构拒绝接收在其规定的截止时间后上传的任何电子响应文件。</w:t>
      </w:r>
      <w:r/>
    </w:p>
    <w:p>
      <w:pPr>
        <w:pStyle w:val="3124"/>
        <w:ind w:firstLine="420"/>
        <w:jc w:val="both"/>
        <w:keepLines/>
        <w:keepNext/>
        <w:spacing w:beforeAutospacing="0" w:afterAutospacing="0" w:line="480" w:lineRule="exact"/>
        <w:rPr>
          <w:rFonts w:hint="eastAsia" w:ascii="宋体" w:hAnsi="宋体" w:cs="宋体"/>
          <w:color w:val="auto"/>
          <w:sz w:val="24"/>
          <w:szCs w:val="24"/>
          <w:highlight w:val="none"/>
        </w:rPr>
      </w:pPr>
      <w:r/>
      <w:bookmarkStart w:id="116" w:name="_Toc513029228"/>
      <w:r/>
      <w:bookmarkStart w:id="117" w:name="_Toc16938544"/>
      <w:r/>
      <w:bookmarkStart w:id="118" w:name="_Toc20823300"/>
      <w:r>
        <w:rPr>
          <w:rFonts w:hint="eastAsia" w:ascii="宋体" w:hAnsi="宋体" w:cs="宋体"/>
          <w:color w:val="auto"/>
          <w:sz w:val="24"/>
          <w:szCs w:val="24"/>
          <w:highlight w:val="none"/>
        </w:rPr>
        <w:t xml:space="preserve">21、响应文件的撤回和修改</w:t>
      </w:r>
      <w:bookmarkEnd w:id="116"/>
      <w:r/>
      <w:bookmarkEnd w:id="117"/>
      <w:r/>
      <w:bookmarkEnd w:id="118"/>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21.1响应文件的撤回</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21.1.1 电子响应文件的撤回</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供应商可在截止时间前，撤回其电子响应文件，具体操作方法见《操作手册》。</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21.1.2供应商撤回电子响应文件，则认为其不再参与本项目采购活动。</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21.2响应文件的修改</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供应商可在截止时间前，对其电子响应文件进行修改，具体操作方法见《操作手册》。</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 在截止时间之后，供应商不得对其电子响应文件作任何修改。</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 在截止时间至有效期满之间的这段时间内，供应商不得撤回其响应文件。</w:t>
      </w:r>
      <w:r/>
    </w:p>
    <w:p>
      <w:pPr>
        <w:pStyle w:val="3124"/>
        <w:ind w:firstLine="482"/>
        <w:jc w:val="both"/>
        <w:keepLines/>
        <w:keepNext/>
        <w:spacing w:beforeAutospacing="0" w:afterAutospacing="0" w:line="480" w:lineRule="exact"/>
        <w:rPr>
          <w:rFonts w:hint="eastAsia" w:ascii="宋体" w:hAnsi="宋体" w:cs="宋体"/>
          <w:color w:val="auto"/>
          <w:sz w:val="24"/>
          <w:szCs w:val="24"/>
          <w:highlight w:val="none"/>
        </w:rPr>
      </w:pPr>
      <w:r/>
      <w:bookmarkStart w:id="119" w:name="_Toc16938545"/>
      <w:r/>
      <w:bookmarkStart w:id="120" w:name="_Toc20823301"/>
      <w:r/>
      <w:bookmarkStart w:id="121" w:name="_Toc120614218"/>
      <w:r/>
      <w:bookmarkStart w:id="122" w:name="_Toc513029229"/>
      <w:r>
        <w:rPr>
          <w:rFonts w:hint="eastAsia" w:ascii="宋体" w:hAnsi="宋体" w:cs="宋体"/>
          <w:b/>
          <w:color w:val="auto"/>
          <w:sz w:val="24"/>
          <w:szCs w:val="24"/>
          <w:highlight w:val="none"/>
        </w:rPr>
        <w:t xml:space="preserve">五、响应文件的解密与评审</w:t>
      </w:r>
      <w:bookmarkEnd w:id="119"/>
      <w:r/>
      <w:bookmarkEnd w:id="120"/>
      <w:r/>
      <w:bookmarkEnd w:id="121"/>
      <w:r/>
      <w:bookmarkEnd w:id="122"/>
      <w:r/>
      <w:r/>
    </w:p>
    <w:p>
      <w:pPr>
        <w:pStyle w:val="3124"/>
        <w:ind w:firstLine="420"/>
        <w:jc w:val="both"/>
        <w:keepLines/>
        <w:keepNext/>
        <w:spacing w:beforeAutospacing="0" w:afterAutospacing="0" w:line="480" w:lineRule="exact"/>
        <w:rPr>
          <w:rFonts w:hint="eastAsia" w:ascii="宋体" w:hAnsi="宋体" w:cs="宋体"/>
          <w:color w:val="auto"/>
          <w:sz w:val="24"/>
          <w:szCs w:val="24"/>
          <w:highlight w:val="none"/>
        </w:rPr>
      </w:pPr>
      <w:r/>
      <w:bookmarkStart w:id="123" w:name="_Toc20823302"/>
      <w:r/>
      <w:bookmarkStart w:id="124" w:name="_Toc513029230"/>
      <w:r/>
      <w:bookmarkStart w:id="125" w:name="_Toc16938546"/>
      <w:r>
        <w:rPr>
          <w:rFonts w:hint="eastAsia" w:ascii="宋体" w:hAnsi="宋体" w:cs="宋体"/>
          <w:color w:val="auto"/>
          <w:sz w:val="24"/>
          <w:szCs w:val="24"/>
          <w:highlight w:val="none"/>
        </w:rPr>
        <w:t xml:space="preserve">22、</w:t>
      </w:r>
      <w:bookmarkEnd w:id="123"/>
      <w:r/>
      <w:bookmarkEnd w:id="124"/>
      <w:r/>
      <w:bookmarkEnd w:id="125"/>
      <w:r>
        <w:rPr>
          <w:rFonts w:hint="eastAsia" w:ascii="宋体" w:hAnsi="宋体" w:cs="宋体"/>
          <w:color w:val="auto"/>
          <w:sz w:val="24"/>
          <w:szCs w:val="24"/>
          <w:highlight w:val="none"/>
        </w:rPr>
        <w:t xml:space="preserve">响应文件解密</w:t>
      </w:r>
      <w:r/>
    </w:p>
    <w:p>
      <w:pPr>
        <w:pStyle w:val="3124"/>
        <w:ind w:firstLine="36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22.1供应商应当按照《操作手册》规定，在苏采云系统规定的时间内对响应文件进行解密。</w:t>
      </w:r>
      <w:r/>
    </w:p>
    <w:p>
      <w:pPr>
        <w:pStyle w:val="3124"/>
        <w:ind w:firstLine="420"/>
        <w:jc w:val="both"/>
        <w:keepLines/>
        <w:keepNext/>
        <w:spacing w:beforeAutospacing="0" w:afterAutospacing="0" w:line="480" w:lineRule="exact"/>
        <w:rPr>
          <w:rFonts w:hint="eastAsia" w:ascii="宋体" w:hAnsi="宋体" w:cs="宋体"/>
          <w:color w:val="auto"/>
          <w:sz w:val="24"/>
          <w:szCs w:val="24"/>
          <w:highlight w:val="none"/>
        </w:rPr>
      </w:pPr>
      <w:r/>
      <w:bookmarkStart w:id="126" w:name="_Toc20823303"/>
      <w:r/>
      <w:bookmarkStart w:id="127" w:name="_Toc513029231"/>
      <w:r/>
      <w:bookmarkStart w:id="128" w:name="_Toc16938547"/>
      <w:r>
        <w:rPr>
          <w:rFonts w:hint="eastAsia" w:ascii="宋体" w:hAnsi="宋体" w:cs="宋体"/>
          <w:color w:val="auto"/>
          <w:sz w:val="24"/>
          <w:szCs w:val="24"/>
          <w:highlight w:val="none"/>
        </w:rPr>
        <w:t xml:space="preserve">23、单一来源协商小组</w:t>
      </w:r>
      <w:bookmarkEnd w:id="126"/>
      <w:r/>
      <w:bookmarkEnd w:id="127"/>
      <w:r/>
      <w:bookmarkEnd w:id="128"/>
      <w:r/>
      <w:r/>
    </w:p>
    <w:p>
      <w:pPr>
        <w:pStyle w:val="3124"/>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 23.1单一来源协商小组（以下简称“协商小组”）由政府采购评审专家、采购人代表组成，且人员构成符合政府采购有关规定。</w:t>
      </w:r>
      <w:r/>
    </w:p>
    <w:p>
      <w:pPr>
        <w:pStyle w:val="3124"/>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23.2协商小组应当按照客观、公正、审慎的原则评审供应商的响应文件，并与供应商协商采购标的的价格。</w:t>
      </w:r>
      <w:r/>
    </w:p>
    <w:p>
      <w:pPr>
        <w:pStyle w:val="3124"/>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24、单一来源协商过程的保密与公正</w:t>
      </w:r>
      <w:r/>
    </w:p>
    <w:p>
      <w:pPr>
        <w:pStyle w:val="3124"/>
        <w:ind w:firstLine="480"/>
        <w:jc w:val="both"/>
        <w:spacing w:beforeAutospacing="0" w:afterAutospacing="0" w:line="480" w:lineRule="exact"/>
        <w:rPr>
          <w:rFonts w:hint="eastAsia" w:ascii="宋体" w:hAnsi="宋体" w:cs="宋体"/>
          <w:color w:val="auto"/>
          <w:sz w:val="24"/>
          <w:szCs w:val="24"/>
          <w:highlight w:val="none"/>
        </w:rPr>
      </w:pPr>
      <w:r/>
      <w:bookmarkStart w:id="129" w:name="_Toc513029232"/>
      <w:r/>
      <w:bookmarkStart w:id="130" w:name="_Toc20823304"/>
      <w:r/>
      <w:bookmarkStart w:id="131" w:name="_Toc16938548"/>
      <w:r>
        <w:rPr>
          <w:rFonts w:hint="eastAsia" w:ascii="宋体" w:hAnsi="宋体" w:cs="宋体"/>
          <w:color w:val="auto"/>
          <w:sz w:val="24"/>
          <w:szCs w:val="24"/>
          <w:highlight w:val="none"/>
        </w:rPr>
        <w:t xml:space="preserve">24.1协商小组、采购人和代理机构工作人员、相关监督人员等与评审工作有关的人员，对评审、单一来源协商情况以及在评审、单一来源协商过程（以下简称“协商过程”）中获悉的国家秘密、商业秘密负有保密责任。</w:t>
      </w:r>
      <w:bookmarkEnd w:id="129"/>
      <w:r/>
      <w:bookmarkEnd w:id="130"/>
      <w:r/>
      <w:bookmarkEnd w:id="131"/>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24.2在协商过程中，供应商不得以任何行为影响评审及协商过程，否则将会导致其响应文件被拒绝。</w:t>
      </w:r>
      <w:r/>
    </w:p>
    <w:p>
      <w:pPr>
        <w:pStyle w:val="3124"/>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25、评审及协商过程中的澄清</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25.1项目评审及协商过程中，协商小组有权要求供应商对响应文件中含义不明确、同类问题表述不一致或者有明显文字和计算错误的内容等作出必要的澄清、说明或者更正。</w:t>
      </w:r>
      <w:r/>
    </w:p>
    <w:p>
      <w:pPr>
        <w:pStyle w:val="3124"/>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3124"/>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25.3 接到协商小组澄清、说明和更正要求的供应商如未按规定作出澄清、说明和 更正，其风险由供应商自行承担。</w:t>
      </w:r>
      <w:r/>
    </w:p>
    <w:p>
      <w:pPr>
        <w:pStyle w:val="3124"/>
        <w:ind w:firstLine="420"/>
        <w:jc w:val="both"/>
        <w:keepLines/>
        <w:keepNext/>
        <w:spacing w:beforeAutospacing="0" w:afterAutospacing="0" w:line="480" w:lineRule="exact"/>
        <w:rPr>
          <w:rFonts w:hint="eastAsia" w:ascii="宋体" w:hAnsi="宋体" w:cs="宋体"/>
          <w:color w:val="auto"/>
          <w:sz w:val="24"/>
          <w:szCs w:val="24"/>
          <w:highlight w:val="none"/>
        </w:rPr>
      </w:pPr>
      <w:r/>
      <w:bookmarkStart w:id="132" w:name="_Toc20823305"/>
      <w:r/>
      <w:bookmarkStart w:id="133" w:name="_Toc16938549"/>
      <w:r/>
      <w:bookmarkStart w:id="134" w:name="_Toc513029233"/>
      <w:r>
        <w:rPr>
          <w:rFonts w:hint="eastAsia" w:ascii="宋体" w:hAnsi="宋体" w:cs="宋体"/>
          <w:color w:val="auto"/>
          <w:sz w:val="24"/>
          <w:szCs w:val="24"/>
          <w:highlight w:val="none"/>
        </w:rPr>
        <w:t xml:space="preserve">26、对响应文件的审</w:t>
      </w:r>
      <w:bookmarkEnd w:id="132"/>
      <w:r/>
      <w:bookmarkEnd w:id="133"/>
      <w:r/>
      <w:bookmarkEnd w:id="134"/>
      <w:r>
        <w:rPr>
          <w:rFonts w:hint="eastAsia" w:ascii="宋体" w:hAnsi="宋体" w:cs="宋体"/>
          <w:color w:val="auto"/>
          <w:sz w:val="24"/>
          <w:szCs w:val="24"/>
          <w:highlight w:val="none"/>
        </w:rPr>
        <w:t xml:space="preserve">查</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26.1响应文件审查分为资格审查和符合性审查。</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26.1.1 资格审查：由协商小组依据法律法规和采购文件的规定，对响应文件中的资格证明文件进行审查，以确定供应商是否具备参加单一来源协商的资格。</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协商小组在进行资格审查的同时，将在“信用中国”网站（www.creditchina.gov.cn）查询供应商的信用记录，以确定供应商是否具备协商资格,查询结果留存并归档。</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26.1.2 符合性审查：依据采购文件的规定，由协商小组从响应文件的有效性、完整性和对采购文件的响应程度进行审查，以确定是否对采购文件的实质性要求作出响应。</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26.1.3 未通过资格审查或符合性审查的供应商，协商小组将在苏采云系统中告知未通过资格审查或符合性审查的原因，评审结束后，协商小组将不再告知未通过资格审查或符合性审查的原因。</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26.2在正式进行协商之前，协商小组将首先审查每份响应文件是否实质性响应了采购文件的要求。实质性响应的响应文件应该是与采购文件要求的条款、条件和规格相符，没有重大偏离或保留。</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谓重大偏离或保留是指与采购文件规定的实质性要求存在负偏离，或者在实质上与采购文件不一致，而且限制了合同中买方和代理机构的权利或供应商的义务。重大偏离由协商小组按照少数服从多数的原则认定。协商小组决定响应文件的响应性只根据响应文件本身的内容，而不寻求外部的证据。</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26.3未实质性响应采购文件的情形</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26.3.1供应商在苏采云系统规定的时间内未成功解密电子响应文件的。</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26.3.2供应商未按照采购文件要求上传电子响应文件的。</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26.3.3供应商提交两个（含两个）以上不同的响应文件或者最后报价的。</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26.3.4供应商不具备采购文件中规定资格要求的。</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26.3.5供应商的最后报价超过了采购预算。</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26.3.6不符合采购文件中规定的实质性要求和条件的</w:t>
      </w:r>
      <w:r>
        <w:rPr>
          <w:rFonts w:hint="eastAsia" w:ascii="宋体" w:hAnsi="宋体" w:cs="宋体"/>
          <w:i/>
          <w:color w:val="auto"/>
          <w:sz w:val="24"/>
          <w:szCs w:val="24"/>
          <w:highlight w:val="none"/>
          <w:u w:val="single"/>
        </w:rPr>
        <w:t xml:space="preserve">（本采购文件中斜体且有下划线部分为实质性要求和条件）。</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26.3.8响应文件含有采购人不能接受的附加条件的。</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26.3.9供应商不能证明其报价合理性的，协商小组应当将其作为无效</w:t>
      </w:r>
      <w:r>
        <w:rPr>
          <w:rFonts w:hint="eastAsia" w:ascii="宋体" w:hAnsi="宋体" w:cs="宋体"/>
          <w:color w:val="000000"/>
          <w:sz w:val="24"/>
          <w:szCs w:val="24"/>
          <w:highlight w:val="none"/>
        </w:rPr>
        <w:t xml:space="preserve">响应</w:t>
      </w:r>
      <w:r>
        <w:rPr>
          <w:rFonts w:hint="eastAsia" w:ascii="宋体" w:hAnsi="宋体" w:cs="宋体"/>
          <w:color w:val="auto"/>
          <w:sz w:val="24"/>
          <w:szCs w:val="24"/>
          <w:highlight w:val="none"/>
        </w:rPr>
        <w:t xml:space="preserve">处理。</w:t>
      </w:r>
      <w:r/>
    </w:p>
    <w:p>
      <w:pPr>
        <w:pStyle w:val="3124"/>
        <w:ind w:firstLine="480"/>
        <w:jc w:val="both"/>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评审过程中出现下列情形之一的，协商小组应当启动异常低价响应审查程序：</w:t>
      </w:r>
      <w:r/>
    </w:p>
    <w:p>
      <w:pPr>
        <w:pStyle w:val="3124"/>
        <w:ind w:firstLine="480"/>
        <w:jc w:val="both"/>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1.投标（响应）报价低于采购项目最高限价45%的，即投标（响应）报价&lt;采购项目最高限价×45%；</w:t>
      </w:r>
      <w:r/>
    </w:p>
    <w:p>
      <w:pPr>
        <w:pStyle w:val="3124"/>
        <w:ind w:firstLine="480"/>
        <w:jc w:val="both"/>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2评审委员会基于专业判断，认为供应商报价过低，有可能影响产品质量或者不能诚信履约的其他情形。</w:t>
      </w:r>
      <w:r/>
    </w:p>
    <w:p>
      <w:pPr>
        <w:pStyle w:val="3124"/>
        <w:ind w:firstLine="480"/>
        <w:jc w:val="both"/>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相关法律法规对供应商报价有规定的，从其规定。</w:t>
      </w:r>
      <w:r/>
    </w:p>
    <w:p>
      <w:pPr>
        <w:pStyle w:val="3124"/>
        <w:ind w:firstLine="480"/>
        <w:jc w:val="both"/>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委员会启动异常低价投标（响应）审查后，属于前述第1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属于第1项情形，供应商已随投标（响应）文件一并提交相关书面说明及必要的证明材料的，在评审现场可不再重复提交。</w:t>
      </w:r>
      <w:r/>
    </w:p>
    <w:p>
      <w:pPr>
        <w:pStyle w:val="3124"/>
        <w:ind w:firstLine="480"/>
        <w:jc w:val="both"/>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3124"/>
        <w:ind w:firstLine="480"/>
        <w:jc w:val="both"/>
        <w:spacing w:beforeAutospacing="0" w:afterAutospacing="0"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3124"/>
        <w:ind w:firstLine="480"/>
        <w:jc w:val="both"/>
        <w:spacing w:beforeAutospacing="0" w:afterAutospacing="0" w:line="480" w:lineRule="exact"/>
        <w:rPr>
          <w:rFonts w:hint="eastAsia" w:ascii="宋体" w:hAnsi="宋体" w:cs="宋体"/>
          <w:b/>
          <w:color w:val="0000ff"/>
          <w:sz w:val="24"/>
          <w:szCs w:val="24"/>
          <w:highlight w:val="none"/>
        </w:rPr>
      </w:pPr>
      <w:r>
        <w:rPr>
          <w:rFonts w:hint="eastAsia" w:ascii="宋体" w:hAnsi="宋体" w:cs="宋体"/>
          <w:b/>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26.3.10响应文件未按照采购文件要求加盖CA电子公章的。</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26.4未实质性响应采购文件的响应文件按无效响应处理。</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26.5如果响应文件实质上没有响应采购文件的要求，协商小组将予以拒绝。</w:t>
      </w:r>
      <w:r/>
    </w:p>
    <w:p>
      <w:pPr>
        <w:pStyle w:val="3124"/>
        <w:ind w:firstLine="480"/>
        <w:jc w:val="both"/>
        <w:spacing w:beforeAutospacing="0" w:afterAutospacing="0" w:line="480" w:lineRule="exact"/>
        <w:rPr>
          <w:rFonts w:hint="eastAsia" w:ascii="宋体" w:hAnsi="宋体" w:cs="宋体"/>
          <w:color w:val="auto"/>
          <w:sz w:val="24"/>
          <w:szCs w:val="24"/>
          <w:highlight w:val="none"/>
        </w:rPr>
      </w:pPr>
      <w:r/>
      <w:bookmarkStart w:id="135" w:name="_Toc513029234"/>
      <w:r/>
      <w:bookmarkStart w:id="136" w:name="_Toc16938550"/>
      <w:r/>
      <w:bookmarkStart w:id="137" w:name="_Toc20823306"/>
      <w:r>
        <w:rPr>
          <w:rFonts w:hint="eastAsia" w:ascii="宋体" w:hAnsi="宋体" w:cs="宋体"/>
          <w:color w:val="auto"/>
          <w:sz w:val="24"/>
          <w:szCs w:val="24"/>
          <w:highlight w:val="none"/>
        </w:rPr>
        <w:t xml:space="preserve">26.6供应商在项目评审及协商全过程中应保持通信畅通，并安排专人与代理机构及协商小组联系。</w:t>
      </w:r>
      <w:bookmarkEnd w:id="135"/>
      <w:r/>
      <w:bookmarkEnd w:id="136"/>
      <w:r/>
      <w:bookmarkEnd w:id="137"/>
      <w:r/>
      <w:r/>
    </w:p>
    <w:p>
      <w:pPr>
        <w:pStyle w:val="3124"/>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27、单一来源协商及成交原则</w:t>
      </w:r>
      <w:r/>
    </w:p>
    <w:p>
      <w:pPr>
        <w:pStyle w:val="3124"/>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27.1单一来源协商</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27.1.1 对于通过资格审查和符合性审查的供应商，协商小组将通过苏采云系统与其就采购标的的价格、服务等内容进行单一来源协商。</w:t>
      </w:r>
      <w:r/>
    </w:p>
    <w:p>
      <w:pPr>
        <w:pStyle w:val="3124"/>
        <w:ind w:firstLine="478"/>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27.1.2供应商应当在苏采云系统中以书面形式对协商过程中做出的承诺与澄清进行确认，并在协商小组规定的时间内完成最后报价。</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27.1.3 供应商的最后报价在响应产品数量没有增加，配置、服务没有重大提高的情况下，一般不允许高于第一次报价（即单一来源协商分项报价表中的报价）。否则，协商小组有权拒绝该最后报价并不再给予报价补救机会。</w:t>
      </w:r>
      <w:r/>
    </w:p>
    <w:p>
      <w:pPr>
        <w:pStyle w:val="3124"/>
        <w:ind w:firstLine="36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27.2成交原则</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协商小组根据政府采购相关法律、规章的规定，在供应商的响应情况能保证采购项目质量且最后报价合理的基础上确定其为成交供应商。</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27.3单一来源协商终止情形处理</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出现下列情形之一的，代理机构将终止采购活动，发布项目终止公告并说明原因，重新开展采购活动：</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27.3.1 因情况变化，不再符合规定的单一来源采购方式适用情形的；</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27.3.2 出现影响采购公正的违法、违规行为的；</w:t>
      </w:r>
      <w:r>
        <w:rPr>
          <w:rFonts w:hint="eastAsia" w:ascii="宋体" w:hAnsi="宋体" w:cs="宋体"/>
          <w:color w:val="auto"/>
          <w:sz w:val="24"/>
          <w:szCs w:val="24"/>
          <w:highlight w:val="none"/>
        </w:rPr>
        <w:br/>
      </w:r>
      <w:r>
        <w:rPr>
          <w:rFonts w:hint="eastAsia" w:ascii="宋体" w:hAnsi="宋体" w:cs="宋体"/>
          <w:color w:val="auto"/>
          <w:sz w:val="24"/>
          <w:szCs w:val="24"/>
          <w:highlight w:val="none"/>
        </w:rPr>
        <w:t xml:space="preserve">   27.3.3供应商最后报价超过采购预算的；</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27.3.4供应商的技术方案、服务承诺、商务条款等不能满足采购人或协商小组的要求；</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27.3.5 法律、法规、规章规定的其他应当终止的情形。</w:t>
      </w:r>
      <w:r/>
    </w:p>
    <w:p>
      <w:pPr>
        <w:pStyle w:val="3124"/>
        <w:ind w:firstLine="482"/>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六、成交</w:t>
      </w:r>
      <w:r/>
    </w:p>
    <w:p>
      <w:pPr>
        <w:pStyle w:val="3124"/>
        <w:ind w:firstLine="42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28、确定成交供应商</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28.1协商小组根据协商情况编写单一来源评审报告，推荐成交候选供应商。</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 采购人根据协商小组推荐的成交候选供应商确定成交供应商。</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 若有充分证据证明，成交供应商出现下列情况之一的，一经查实，将被取消成交资格：</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28.3.1提供虚假材料谋取成交的。</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28.3.2与评审专家、采购人、其他供应商或者代理机构工作人员恶意串通的。</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28.3.3向评审专家、采购人或代理机构工作人员行贿或者提供其他不正当利益的。</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28.3.4恶意竞争，最后报价明显低于其自身合理成本且又无法提供证明的。</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28.3.5不满足本采购文件规定的实质性要求，但在评审过程中又未被协商小组发现的。</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28.3.6成交后无正当理由拒不与采购人签订政府采购合同或者未按照采购文件确定的事项签订政府采购合同的。</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28.3.7将政府采购合同转包的。</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成交供应商被取消成交资格后，代理机构有权重新组织采购。</w:t>
      </w:r>
      <w:r/>
    </w:p>
    <w:p>
      <w:pPr>
        <w:pStyle w:val="3124"/>
        <w:ind w:firstLine="600"/>
        <w:jc w:val="both"/>
        <w:keepLines/>
        <w:keepNext/>
        <w:spacing w:beforeAutospacing="0" w:afterAutospacing="0" w:line="480" w:lineRule="exact"/>
        <w:rPr>
          <w:rFonts w:hint="eastAsia" w:ascii="宋体" w:hAnsi="宋体" w:cs="宋体"/>
          <w:color w:val="auto"/>
          <w:sz w:val="24"/>
          <w:szCs w:val="24"/>
          <w:highlight w:val="none"/>
        </w:rPr>
      </w:pPr>
      <w:r/>
      <w:bookmarkStart w:id="138" w:name="_Toc200451960"/>
      <w:r>
        <w:rPr>
          <w:rFonts w:hint="eastAsia" w:ascii="宋体" w:hAnsi="宋体" w:cs="宋体"/>
          <w:color w:val="auto"/>
          <w:sz w:val="24"/>
          <w:szCs w:val="24"/>
          <w:highlight w:val="none"/>
        </w:rPr>
        <w:t xml:space="preserve">29、质疑处理</w:t>
      </w:r>
      <w:bookmarkEnd w:id="138"/>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29.1供应商认为采购过程和采购结果使自己的权益受到损害的，可以从采购结果公布之日起七个工作日内，以书面形式向代理机构提出质疑。</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 供应商应当在法定质疑期内一次性提出针对同一采购程序环节的质疑。供应商如在法定期限内对同一采购程序环节提出多次质疑的，代理机构、采购人将只对供应商第一次质疑作出答复。</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29.3质疑函必须按照本采购文件中《质疑函范本》要求的格式和内容进行填写。供应商如组成联合体参加协商，则《质疑函范本》中要求签字、盖章、加盖公章之处，联合体各方均须按要求签字、盖章、加盖公章。</w:t>
      </w:r>
      <w:r/>
    </w:p>
    <w:p>
      <w:pPr>
        <w:ind w:firstLine="480"/>
        <w:jc w:val="left"/>
        <w:spacing w:line="480" w:lineRule="exact"/>
        <w:tabs>
          <w:tab w:val="left" w:pos="133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29.4 代理机构只接收以纸质原件形式送达的质疑,采购人和代理机构不接受未填写快递运单的快件。</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 以下情形的质疑不予受理</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29.5.1 内容不符合《政府采购质疑和投诉办法》第十二条规定的质疑。</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29.5.2 超出政府采购法定期限的质疑。</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29.5.3 以传真、电子邮件等方式递交的非原件形式的质疑。</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29.5.4未参加单一来源采购活动的供应商所提出的质疑。</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29.5.5供应商组成联合体参加协商，联合体中任何一方或多方未按要求签字、盖章、加盖公章的质疑。</w:t>
      </w:r>
      <w:r/>
    </w:p>
    <w:p>
      <w:pPr>
        <w:pStyle w:val="3124"/>
        <w:ind w:firstLine="468"/>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3124"/>
        <w:ind w:firstLine="60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30、成交通知书</w:t>
      </w:r>
      <w:r/>
    </w:p>
    <w:p>
      <w:pPr>
        <w:pStyle w:val="3124"/>
        <w:ind w:firstLine="60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3124"/>
        <w:ind w:firstLine="60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3124"/>
        <w:jc w:val="both"/>
        <w:keepLines/>
        <w:keepNext/>
        <w:spacing w:beforeAutospacing="0" w:afterAutospacing="0" w:line="480" w:lineRule="exact"/>
        <w:rPr>
          <w:rFonts w:hint="eastAsia" w:ascii="宋体" w:hAnsi="宋体" w:cs="宋体"/>
          <w:color w:val="auto"/>
          <w:sz w:val="24"/>
          <w:szCs w:val="24"/>
          <w:highlight w:val="none"/>
        </w:rPr>
      </w:pPr>
      <w:r/>
      <w:bookmarkStart w:id="139" w:name="_Toc120614220"/>
      <w:r/>
      <w:bookmarkStart w:id="140" w:name="_Toc20823308"/>
      <w:r/>
      <w:bookmarkStart w:id="141" w:name="_Toc513029236"/>
      <w:r/>
      <w:bookmarkStart w:id="142" w:name="_Toc16938552"/>
      <w:r>
        <w:rPr>
          <w:rFonts w:hint="eastAsia" w:ascii="宋体" w:hAnsi="宋体" w:cs="宋体"/>
          <w:b/>
          <w:color w:val="auto"/>
          <w:sz w:val="24"/>
          <w:szCs w:val="24"/>
          <w:highlight w:val="none"/>
        </w:rPr>
        <w:t xml:space="preserve">七、授予合同</w:t>
      </w:r>
      <w:bookmarkEnd w:id="139"/>
      <w:r/>
      <w:bookmarkEnd w:id="140"/>
      <w:r/>
      <w:bookmarkEnd w:id="141"/>
      <w:r/>
      <w:bookmarkEnd w:id="142"/>
      <w:r/>
      <w:r/>
    </w:p>
    <w:p>
      <w:pPr>
        <w:pStyle w:val="3124"/>
        <w:ind w:firstLine="600"/>
        <w:jc w:val="both"/>
        <w:keepLines/>
        <w:keepNext/>
        <w:spacing w:beforeAutospacing="0" w:afterAutospacing="0" w:line="480" w:lineRule="exact"/>
        <w:rPr>
          <w:rFonts w:hint="eastAsia" w:ascii="宋体" w:hAnsi="宋体" w:cs="宋体"/>
          <w:color w:val="auto"/>
          <w:sz w:val="24"/>
          <w:szCs w:val="24"/>
          <w:highlight w:val="none"/>
        </w:rPr>
      </w:pPr>
      <w:r/>
      <w:bookmarkStart w:id="143" w:name="_Toc20823309"/>
      <w:r/>
      <w:bookmarkStart w:id="144" w:name="_Toc16938553"/>
      <w:r/>
      <w:bookmarkStart w:id="145" w:name="_Toc513029237"/>
      <w:r>
        <w:rPr>
          <w:rFonts w:hint="eastAsia" w:ascii="宋体" w:hAnsi="宋体" w:cs="宋体"/>
          <w:color w:val="auto"/>
          <w:sz w:val="24"/>
          <w:szCs w:val="24"/>
          <w:highlight w:val="none"/>
        </w:rPr>
        <w:t xml:space="preserve">31. 签订合同</w:t>
      </w:r>
      <w:bookmarkEnd w:id="143"/>
      <w:r/>
      <w:bookmarkEnd w:id="144"/>
      <w:r/>
      <w:bookmarkEnd w:id="145"/>
      <w:r/>
      <w:r/>
    </w:p>
    <w:p>
      <w:pPr>
        <w:pStyle w:val="3124"/>
        <w:ind w:firstLine="60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31.l成交供应商应当在成交通知书发出之日起三十日内，按照采购文件确定的事项与采购人签订政府采购合同。</w:t>
      </w:r>
      <w:r/>
    </w:p>
    <w:p>
      <w:pPr>
        <w:pStyle w:val="3124"/>
        <w:ind w:firstLine="60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31.2采购文件、成交供应商的响应文件及协商过程中有关澄清、承诺文件均应作为合同附件。</w:t>
      </w:r>
      <w:r/>
    </w:p>
    <w:p>
      <w:pPr>
        <w:pStyle w:val="3124"/>
        <w:ind w:firstLine="60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 签订合同后，</w:t>
      </w:r>
      <w:r>
        <w:rPr>
          <w:rFonts w:hint="eastAsia" w:ascii="宋体" w:hAnsi="宋体" w:cs="宋体"/>
          <w:i/>
          <w:color w:val="auto"/>
          <w:sz w:val="24"/>
          <w:szCs w:val="24"/>
          <w:highlight w:val="none"/>
          <w:u w:val="single"/>
        </w:rPr>
        <w:t xml:space="preserve">成交供应商不得将合同标的进行转包</w:t>
      </w:r>
      <w:r>
        <w:rPr>
          <w:rFonts w:hint="eastAsia" w:ascii="宋体" w:hAnsi="宋体"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pStyle w:val="3124"/>
        <w:ind w:firstLine="48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32、标的物的追加</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3124"/>
        <w:numPr>
          <w:ilvl w:val="0"/>
          <w:numId w:val="0"/>
        </w:numPr>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33.政府采购政策功能落实</w:t>
      </w:r>
      <w:r/>
    </w:p>
    <w:p>
      <w:pPr>
        <w:pStyle w:val="3124"/>
        <w:ind w:firstLine="480"/>
        <w:jc w:val="both"/>
        <w:keepLines/>
        <w:keepNext/>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33.1政府采购线上合同信用融资政策</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33.2进口产品</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33.3中小企业、监狱企业及残疾人福利性单位</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33.3.1中小企业定义：</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中小企业是</w:t>
      </w:r>
      <w:r>
        <w:rPr>
          <w:rFonts w:hint="eastAsia" w:ascii="宋体" w:hAnsi="宋体" w:cs="宋体"/>
          <w:color w:val="auto"/>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33.3.2供应商提供的货物、工程或者服务符合下列情形的，享受中小企业扶持政策：</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33.3.2.1在货物采购项目中，货物由中小企业制造，即货物由中小企业生产且使用该中小企业商号或者注册商标；</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33.3.2.2在工程采购项目中，工程由中小企业承建，即工程施工单位为中小企业；</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33.3.2.3在服务采购项目中，服务由中小企业承接，即提供服务的人员为中小企业依照《中华人民共和国劳动合同法》订立劳动合同的从业人员。</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33.3.3在货物采购项目中，供应商提供的货物既有中小企业制造货物，也有大型企业制造货物的，不享受中小企业扶持政策。</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33.3.4以联合体形式参加政府采购活动，联合体各方均为中小企业的，联合体视同中小企业。其中，联合体各方均为小微企业的，联合体视同小微企业。</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33.3.6残疾人福利单位定义：享受政府采购支持政策的残疾人福利性单位应当同时满足以下条件：</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33.3.6.1安置的残疾人占本单位在职职工人数的比例不低于25%（含25%），并且安置的残疾人人数不少于10 人（含10 人）；</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33.3.6.2依法与安置的每位残疾人签订了一年以上（含一年）的劳动合同或服务协议；</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33.3.6.3为安置的每位残疾人按月足额缴纳了基本养老保险、基本医疗保险、失业保险、工伤保险和生育保险等社会保险费；</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33.3.6.4通过银行等金融机构向安置的每位残疾人，按月支付了不低于单位所在区县适用的经省级人民政府批准的月最低工资标准的工资；</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33.3.6.5提供本单位制造的货物、承担的工程或者服务（以下简称产品），或者提供其他残疾人福利性单位制造的货物（不包括使用非残疾人福利性单位注册商标的货物）；</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33.3.7本项目是否专门面向中小企业预留采购份额见第一章《单一来源采购邀请》。</w:t>
      </w:r>
      <w:r/>
    </w:p>
    <w:p>
      <w:pPr>
        <w:pStyle w:val="3124"/>
        <w:ind w:firstLine="480"/>
        <w:jc w:val="both"/>
        <w:spacing w:beforeAutospacing="0" w:afterAutospacing="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33.3.8采购标的对应的中小企业划分标准所属行业见第四章《采购需求》。</w:t>
      </w:r>
      <w:r/>
    </w:p>
    <w:p>
      <w:pPr>
        <w:ind w:firstLine="482"/>
        <w:spacing w:line="480" w:lineRule="exact"/>
        <w:tabs>
          <w:tab w:val="left" w:pos="13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33.4政府采购节能产品、环境标志产品</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33.4.1</w:t>
      </w:r>
      <w:r>
        <w:rPr>
          <w:rFonts w:hint="eastAsia" w:ascii="宋体" w:hAnsi="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其他条件相同情况下，应当优先采购节能产品、环境标志产品。</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33.4.2</w:t>
      </w:r>
      <w:r>
        <w:rPr>
          <w:rFonts w:hint="eastAsia" w:ascii="宋体" w:hAnsi="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33.5绿色包装</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33.6政府采购创新产品</w:t>
      </w:r>
      <w:r/>
    </w:p>
    <w:p>
      <w:pPr>
        <w:ind w:firstLine="478"/>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采购人优先采购各级政府部门公开发布的有效期内的创新产品、创新服务、首台套、首购首用等《目录》的创新产品</w:t>
      </w:r>
      <w:r>
        <w:rPr>
          <w:rFonts w:hint="eastAsia" w:ascii="宋体" w:hAnsi="宋体" w:cs="宋体"/>
          <w:color w:val="auto"/>
          <w:sz w:val="24"/>
          <w:szCs w:val="24"/>
          <w:highlight w:val="none"/>
        </w:rPr>
        <w:t xml:space="preserve">。</w:t>
      </w:r>
      <w:r/>
    </w:p>
    <w:p>
      <w:pPr>
        <w:ind w:firstLine="482"/>
        <w:spacing w:line="480" w:lineRule="exact"/>
        <w:tabs>
          <w:tab w:val="left" w:pos="13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33.7绿色数据中心政策 </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本文件中若涉及到数据中心采购，采购人应依据《绿色数据中心政府采购需求标准（试行）》（财办库〔2023〕7号）文件精神</w:t>
      </w:r>
      <w:r>
        <w:rPr>
          <w:rFonts w:hint="eastAsia" w:ascii="宋体" w:hAnsi="宋体" w:cs="宋体"/>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33.8实施本国产品标准及相关政策</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1.本项目对采购本国产品给予政策支持</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spacing w:line="480" w:lineRule="exact"/>
        <w:rPr>
          <w:rFonts w:hint="eastAsia" w:ascii="宋体" w:hAnsi="宋体" w:cs="宋体"/>
          <w:color w:val="ff0000"/>
          <w:sz w:val="24"/>
          <w:szCs w:val="24"/>
          <w:highlight w:val="none"/>
        </w:rPr>
      </w:pPr>
      <w:r>
        <w:rPr>
          <w:rFonts w:hint="eastAsia" w:ascii="宋体" w:hAnsi="宋体" w:cs="宋体"/>
          <w:b/>
          <w:color w:val="auto"/>
          <w:sz w:val="24"/>
          <w:szCs w:val="24"/>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color w:val="auto"/>
          <w:sz w:val="24"/>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480" w:lineRule="exact"/>
        <w:tabs>
          <w:tab w:val="left" w:pos="13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33.9履约保证金政策</w:t>
      </w:r>
      <w:r/>
    </w:p>
    <w:p>
      <w:pPr>
        <w:pStyle w:val="3125"/>
        <w:ind w:left="0" w:firstLine="560"/>
        <w:spacing w:after="0"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确需收取履约保证金的，履约保证金的缴纳形式：</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如以履约保函（保险）形式缴纳履约保证金，供应商可通过政府采购电子履约保函（保险）平台（www.jsdzbh.com）在线申请履约保函（保险）。</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480" w:lineRule="exact"/>
        <w:tabs>
          <w:tab w:val="left" w:pos="138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 预付款制度</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本项目落实预付款制度，预付款比例为30%。在签订合同时，中标、成交供应商明确书面表示无需预付款或者主动要求降低预付款比例的，采购人可就预付款比例作相应调整。</w:t>
      </w:r>
      <w:r/>
    </w:p>
    <w:p>
      <w:pPr>
        <w:pStyle w:val="3125"/>
        <w:ind w:left="0" w:firstLine="560"/>
        <w:spacing w:after="0"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3124"/>
        <w:ind w:firstLine="2640"/>
        <w:jc w:val="both"/>
        <w:keepNext/>
        <w:spacing w:beforeAutospacing="0" w:afterAutospacing="0"/>
        <w:rPr>
          <w:rFonts w:hint="eastAsia" w:ascii="黑体" w:hAnsi="宋体" w:eastAsia="黑体" w:cs="黑体"/>
          <w:color w:val="auto"/>
          <w:sz w:val="44"/>
          <w:szCs w:val="44"/>
          <w:highlight w:val="none"/>
        </w:rPr>
        <w:sectPr>
          <w:headerReference w:type="default" r:id="rId9"/>
          <w:headerReference w:type="even" r:id="rId10"/>
          <w:headerReference w:type="first" r:id="rId11"/>
          <w:footerReference w:type="default" r:id="rId30"/>
          <w:footnotePr/>
          <w:endnotePr/>
          <w:type w:val="nextPage"/>
          <w:pgSz w:w="11906" w:h="16838" w:orient="portrait"/>
          <w:pgMar w:top="1440" w:right="1800" w:bottom="1440" w:left="1800" w:header="851" w:footer="992" w:gutter="0"/>
          <w:lnNumType w:countBy="0" w:distance="360"/>
          <w:pgNumType w:start="1"/>
          <w:cols w:num="1" w:sep="0" w:space="720" w:equalWidth="1"/>
          <w:docGrid w:linePitch="360"/>
        </w:sectPr>
      </w:pPr>
      <w:r>
        <w:rPr>
          <w:rFonts w:hint="eastAsia" w:ascii="黑体" w:hAnsi="宋体" w:eastAsia="黑体" w:cs="黑体"/>
          <w:color w:val="auto"/>
          <w:sz w:val="44"/>
          <w:szCs w:val="44"/>
          <w:highlight w:val="none"/>
        </w:rPr>
      </w:r>
      <w:r/>
    </w:p>
    <w:p>
      <w:pPr>
        <w:pStyle w:val="3124"/>
        <w:jc w:val="center"/>
        <w:keepNext/>
        <w:spacing w:beforeAutospacing="0" w:afterAutospacing="0"/>
        <w:rPr>
          <w:rFonts w:hint="default"/>
          <w:color w:val="auto"/>
          <w:sz w:val="24"/>
          <w:szCs w:val="24"/>
          <w:highlight w:val="none"/>
        </w:rPr>
      </w:pPr>
      <w:r>
        <w:rPr>
          <w:rFonts w:hint="eastAsia" w:ascii="黑体" w:hAnsi="宋体" w:eastAsia="黑体" w:cs="黑体"/>
          <w:color w:val="auto"/>
          <w:sz w:val="44"/>
          <w:szCs w:val="44"/>
          <w:highlight w:val="none"/>
        </w:rPr>
        <w:t xml:space="preserve">第三章  合同文本</w:t>
      </w:r>
      <w:r/>
    </w:p>
    <w:p>
      <w:pPr>
        <w:pStyle w:val="3124"/>
        <w:ind w:firstLine="480"/>
        <w:jc w:val="both"/>
        <w:spacing w:beforeAutospacing="0" w:afterAutospacing="0" w:line="240" w:lineRule="atLeast"/>
        <w:rPr>
          <w:rFonts w:hint="eastAsia" w:ascii="宋体" w:hAnsi="宋体" w:cs="宋体"/>
          <w:color w:val="auto"/>
          <w:sz w:val="24"/>
          <w:szCs w:val="24"/>
          <w:highlight w:val="none"/>
        </w:rPr>
      </w:pPr>
      <w:r/>
      <w:bookmarkStart w:id="146" w:name="_Toc16938559"/>
      <w:r/>
      <w:bookmarkStart w:id="147" w:name="_Toc20823315"/>
      <w:r/>
      <w:bookmarkStart w:id="148" w:name="_Toc513029243"/>
      <w:r/>
      <w:r/>
    </w:p>
    <w:p>
      <w:pPr>
        <w:pStyle w:val="3124"/>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以下为成交后签订本项目合同的通用条款，成交供应商不得提出实质性的修改。</w:t>
      </w:r>
      <w:bookmarkEnd w:id="146"/>
      <w:r/>
      <w:bookmarkEnd w:id="147"/>
      <w:r/>
      <w:bookmarkEnd w:id="148"/>
      <w:r/>
      <w:r/>
    </w:p>
    <w:p>
      <w:pPr>
        <w:pStyle w:val="3124"/>
        <w:ind w:firstLine="64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备注：请项目经办人提醒采购人按照《政府采购需求管理办法》第二十三条的规定完善合同文本。</w:t>
      </w:r>
      <w:r/>
    </w:p>
    <w:p>
      <w:pPr>
        <w:pStyle w:val="3124"/>
        <w:jc w:val="center"/>
        <w:spacing w:before="145" w:beforeAutospacing="0" w:after="145"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3124"/>
        <w:ind w:left="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盐城市政府采购合同（合同编号）</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项目名称：盐城市公安局市区高架一、二期交通安全设施维保服务采购项目                            </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项目编号：JSZC-320900-JCJS-D2026-0004</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甲方（买方）： _________</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乙方（卖方）： _________</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甲、乙双方根据</w:t>
      </w:r>
      <w:r>
        <w:rPr>
          <w:rFonts w:hint="eastAsia" w:ascii="宋体" w:hAnsi="宋体" w:eastAsia="宋体" w:cs="宋体"/>
          <w:color w:val="auto"/>
          <w:sz w:val="24"/>
          <w:szCs w:val="24"/>
          <w:highlight w:val="none"/>
          <w:u w:val="single"/>
          <w:shd w:val="clear" w:color="auto" w:fill="auto"/>
        </w:rPr>
        <w:t xml:space="preserve">盐城市公安局市区高架一、二期交通安全设施维保服务采购项目</w:t>
      </w:r>
      <w:r>
        <w:rPr>
          <w:rFonts w:hint="eastAsia" w:ascii="宋体" w:hAnsi="宋体" w:eastAsia="宋体" w:cs="宋体"/>
          <w:color w:val="auto"/>
          <w:sz w:val="24"/>
          <w:szCs w:val="24"/>
          <w:highlight w:val="none"/>
          <w:shd w:val="clear" w:color="auto" w:fill="auto"/>
        </w:rPr>
        <w:t xml:space="preserve">单一来源采购的结果，签署本合同。</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一、采购标的</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产品/服务内容：。</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 服务期限：。</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 补充条款：。</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二、合同金额</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 本合同金额为（大写）：_________________圆整（</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__________元）人民币。</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维保服务预算</w:t>
      </w:r>
      <w:r>
        <w:rPr>
          <w:rFonts w:hint="eastAsia" w:ascii="宋体" w:hAnsi="宋体" w:cs="宋体"/>
          <w:color w:val="auto"/>
          <w:sz w:val="24"/>
          <w:szCs w:val="24"/>
          <w:highlight w:val="none"/>
          <w:shd w:val="clear" w:color="auto" w:fill="auto"/>
          <w:lang w:val="en-US" w:eastAsia="zh-CN"/>
        </w:rPr>
        <w:t xml:space="preserve">195.89</w:t>
      </w:r>
      <w:r>
        <w:rPr>
          <w:rFonts w:hint="eastAsia" w:ascii="宋体" w:hAnsi="宋体" w:eastAsia="宋体" w:cs="宋体"/>
          <w:color w:val="auto"/>
          <w:sz w:val="24"/>
          <w:szCs w:val="24"/>
          <w:highlight w:val="none"/>
          <w:shd w:val="clear" w:color="auto" w:fill="auto"/>
        </w:rPr>
        <w:t xml:space="preserve">万元，如超出该预算，按</w:t>
      </w:r>
      <w:r>
        <w:rPr>
          <w:rFonts w:hint="eastAsia" w:ascii="宋体" w:hAnsi="宋体" w:cs="宋体"/>
          <w:color w:val="auto"/>
          <w:sz w:val="24"/>
          <w:szCs w:val="24"/>
          <w:highlight w:val="none"/>
          <w:shd w:val="clear" w:color="auto" w:fill="auto"/>
          <w:lang w:val="en-US" w:eastAsia="zh-CN"/>
        </w:rPr>
        <w:t xml:space="preserve">195.89</w:t>
      </w:r>
      <w:r>
        <w:rPr>
          <w:rFonts w:hint="eastAsia" w:ascii="宋体" w:hAnsi="宋体" w:eastAsia="宋体" w:cs="宋体"/>
          <w:color w:val="auto"/>
          <w:sz w:val="24"/>
          <w:szCs w:val="24"/>
          <w:highlight w:val="none"/>
          <w:shd w:val="clear" w:color="auto" w:fill="auto"/>
        </w:rPr>
        <w:t xml:space="preserve">万元结算；不足则按实际发生金额结算。</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本合同价款包含所有乙方提供合同约定产品和服务的报酬及乙方提供合同中产品和服务所支出的必要费用，甲方在上述合同价款之外不再向乙方支付其他任何费用。</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三、技术资料</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3.1乙方应按单一来源文件规定的时间向甲方提供有关技术资料。</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四、知识产权</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乙方应保证甲方在使用、接受本合同中产品和服务或其任何一部分时不受第三方提出侵犯其专利权、版权、商标权和工业设计权等知识产权的起诉。一旦出现侵权，由乙方负全部责任。</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五、产权担保</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乙方保证所交付标的的所有权完全属于乙方且无任何抵押、查封等产权瑕疵。</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六、</w:t>
      </w:r>
      <w:r>
        <w:rPr>
          <w:rFonts w:hint="eastAsia" w:ascii="宋体" w:hAnsi="宋体" w:eastAsia="宋体" w:cs="宋体"/>
          <w:color w:val="auto"/>
          <w:sz w:val="24"/>
          <w:szCs w:val="24"/>
          <w:highlight w:val="none"/>
          <w:shd w:val="clear" w:color="auto" w:fill="auto"/>
        </w:rPr>
        <w:t xml:space="preserve">履约保证金</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6.1乙方交纳人民币_________元作为本合同的履约保证金。[合同金额的5%，甲方对AA评级及以上政府采购供应商（需在签订采购合同前提供信用管理 部门备案的第三方信用报告，且信用报告通过“信用盐城网”可查实，免收履约保证金。]</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6.2确需收取履约保证金的，履约保证金的缴纳形式：</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6.2.1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6.2.2 如以履约保函（保险）形式缴纳履约保证金，乙方可通过政府采购电子履约保函（保险）平台（www.jsdzbh.com）在线申请履约保函（保险）。</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6.3合同履行结束后，甲方应及时退还交纳的履约保证金。</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6.4履约保证金的退还：</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6.4.1方式：退还至乙方缴纳履约保证金的账户。如为保函，在到期时自行失效。</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6.4.2时间：验收合格且甲方收到发票后30日内。</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6.4.3条件：按合同要求全部履约完成并经甲方验收合格，且甲方收到乙方出具的发票。</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6.4.4不予退还情形：</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除不可抗力情况外，乙方出现下列情形之一的，其履约保证金，甲方将视情节决定不予退还或部分不予退还。</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（1）乙方无正当理由拒绝签订合同的，或者在签订合同时向甲方提出附加条件或者更改合同实质性内容要求的；</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（2）乙方不履行与甲方订立的合同的；</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（3）乙方所供货物或服务不符合招标文件规定要求的；</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（4）乙方采取欺骗、弄虚作假方式投标的或与其它投标人串通投标的；</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（5）乙方将合同内容转包、违法分包的；</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（6）乙方故意捏造事实或伪造证明材料，进行虚假恶意投诉或反映的。</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6.4.5逾期退还的违约责任：甲方逾期无故未退还履约保证金的，按中国人民银行同期贷款基准利率上浮20%后的利率支付超期资金占用费，但因乙方自身原因导致无法及时退还的除外</w:t>
      </w:r>
      <w:r>
        <w:rPr>
          <w:rFonts w:hint="eastAsia" w:ascii="宋体" w:hAnsi="宋体" w:eastAsia="宋体" w:cs="宋体"/>
          <w:color w:val="auto"/>
          <w:sz w:val="24"/>
          <w:szCs w:val="24"/>
          <w:highlight w:val="none"/>
          <w:shd w:val="clear" w:color="auto" w:fill="auto"/>
          <w:lang w:eastAsia="zh-CN"/>
        </w:rPr>
        <w:t xml:space="preserve">。</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七、转包或分包</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.1本合同范围内产品或服务，应由乙方直接供应，不得转让他人供应；</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.2 除非得到甲方的书面同意，乙方不得部分分包给他人供应。</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.3如有转让和未经甲方同意的分包行为，甲方有权给予终止合同。 </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八、质保期</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8</w:t>
      </w:r>
      <w:r>
        <w:rPr>
          <w:rFonts w:hint="eastAsia" w:ascii="宋体" w:hAnsi="宋体" w:eastAsia="宋体" w:cs="宋体"/>
          <w:color w:val="auto"/>
          <w:sz w:val="24"/>
          <w:szCs w:val="24"/>
          <w:highlight w:val="none"/>
          <w:shd w:val="clear" w:color="auto" w:fill="auto"/>
        </w:rPr>
        <w:t xml:space="preserve">.1质保期：2年</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8</w:t>
      </w:r>
      <w:r>
        <w:rPr>
          <w:rFonts w:hint="eastAsia" w:ascii="宋体" w:hAnsi="宋体" w:eastAsia="宋体" w:cs="宋体"/>
          <w:color w:val="auto"/>
          <w:sz w:val="24"/>
          <w:szCs w:val="24"/>
          <w:highlight w:val="none"/>
          <w:shd w:val="clear" w:color="auto" w:fill="auto"/>
        </w:rPr>
        <w:t xml:space="preserve">.2售后服务:提供7*24小时电话服务，①</w:t>
      </w:r>
      <w:r>
        <w:rPr>
          <w:rFonts w:hint="eastAsia" w:ascii="宋体" w:hAnsi="宋体" w:eastAsia="宋体" w:cs="宋体"/>
          <w:color w:val="auto"/>
          <w:sz w:val="24"/>
          <w:szCs w:val="24"/>
          <w:highlight w:val="none"/>
          <w:shd w:val="clear" w:color="auto" w:fill="auto"/>
        </w:rPr>
        <w:t xml:space="preserve">紧急抢修类。信号灯保障应5分钟内响应准备，30分钟内移动灯配送到位，24小时内完成抢修任务（不能立即维修的应采取紧急措施保障交通，并提出修复方案报经相关单位同意后实施）；②事故抢修类。事故设施保障应10分钟内响应准备（防撞垫等特殊设施相应延长时限），30分钟内到达现场，能够现场维修的6个小时内完成抢修任务，不能现场维修的应采取紧急措施恢复交通，并提出修复方案报经相关单位同意后实施；③日常养护类。应在2个工作日内完成；④整改建设类。原则上应在7个工作日内完成（水泥凝固期、其他行政单位审批时段不计入施工时限）。</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九、服务期、履行方式</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9</w:t>
      </w:r>
      <w:r>
        <w:rPr>
          <w:rFonts w:hint="eastAsia" w:ascii="宋体" w:hAnsi="宋体" w:eastAsia="宋体" w:cs="宋体"/>
          <w:color w:val="auto"/>
          <w:sz w:val="24"/>
          <w:szCs w:val="24"/>
          <w:highlight w:val="none"/>
          <w:shd w:val="clear" w:color="auto" w:fill="auto"/>
        </w:rPr>
        <w:t xml:space="preserve">.1服务期：合同签订之日起</w:t>
      </w:r>
      <w:r>
        <w:rPr>
          <w:rFonts w:hint="eastAsia" w:ascii="宋体" w:hAnsi="宋体" w:cs="宋体"/>
          <w:color w:val="auto"/>
          <w:sz w:val="24"/>
          <w:szCs w:val="24"/>
          <w:highlight w:val="none"/>
          <w:lang w:val="en-US" w:eastAsia="zh-CN"/>
        </w:rPr>
        <w:t xml:space="preserve">至2026年12月31日</w:t>
      </w:r>
      <w:r>
        <w:rPr>
          <w:rFonts w:hint="eastAsia" w:ascii="宋体" w:hAnsi="宋体" w:eastAsia="宋体" w:cs="宋体"/>
          <w:color w:val="auto"/>
          <w:sz w:val="24"/>
          <w:szCs w:val="24"/>
          <w:highlight w:val="none"/>
          <w:shd w:val="clear" w:color="auto" w:fill="auto"/>
        </w:rPr>
        <w:t xml:space="preserve">。</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9</w:t>
      </w:r>
      <w:r>
        <w:rPr>
          <w:rFonts w:hint="eastAsia" w:ascii="宋体" w:hAnsi="宋体" w:eastAsia="宋体" w:cs="宋体"/>
          <w:color w:val="auto"/>
          <w:sz w:val="24"/>
          <w:szCs w:val="24"/>
          <w:highlight w:val="none"/>
          <w:shd w:val="clear" w:color="auto" w:fill="auto"/>
        </w:rPr>
        <w:t xml:space="preserve">.2履行方式：甲方明确其所属交</w:t>
      </w:r>
      <w:r>
        <w:rPr>
          <w:rFonts w:hint="eastAsia" w:ascii="宋体" w:hAnsi="宋体" w:cs="宋体"/>
          <w:color w:val="auto"/>
          <w:sz w:val="24"/>
          <w:szCs w:val="24"/>
          <w:highlight w:val="none"/>
          <w:shd w:val="clear" w:color="auto" w:fill="auto"/>
          <w:lang w:eastAsia="zh-CN"/>
        </w:rPr>
        <w:t xml:space="preserve">管</w:t>
      </w:r>
      <w:r>
        <w:rPr>
          <w:rFonts w:hint="eastAsia" w:ascii="宋体" w:hAnsi="宋体" w:eastAsia="宋体" w:cs="宋体"/>
          <w:color w:val="auto"/>
          <w:sz w:val="24"/>
          <w:szCs w:val="24"/>
          <w:highlight w:val="none"/>
          <w:shd w:val="clear" w:color="auto" w:fill="auto"/>
        </w:rPr>
        <w:t xml:space="preserve">支队警保</w:t>
      </w:r>
      <w:r>
        <w:rPr>
          <w:rFonts w:hint="eastAsia" w:ascii="宋体" w:hAnsi="宋体" w:cs="宋体"/>
          <w:color w:val="auto"/>
          <w:sz w:val="24"/>
          <w:szCs w:val="24"/>
          <w:highlight w:val="none"/>
          <w:shd w:val="clear" w:color="auto" w:fill="auto"/>
          <w:lang w:eastAsia="zh-CN"/>
        </w:rPr>
        <w:t xml:space="preserve">室</w:t>
      </w:r>
      <w:r>
        <w:rPr>
          <w:rFonts w:hint="eastAsia" w:ascii="宋体" w:hAnsi="宋体" w:eastAsia="宋体" w:cs="宋体"/>
          <w:color w:val="auto"/>
          <w:sz w:val="24"/>
          <w:szCs w:val="24"/>
          <w:highlight w:val="none"/>
          <w:shd w:val="clear" w:color="auto" w:fill="auto"/>
        </w:rPr>
        <w:t xml:space="preserve">为项目主管部门，具体负责项目派工、验收、网上审核、结算等事宜，乙方接到甲方派工指令后立即组织维保、抢修施工，并与相关辖区大队对接检查验收等事宜，甲方通过网上流程出单给乙方提交审计。具体流程按《市区相关道路交通安全设施维保工作规范》执行。</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十、合同款支付</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10.1</w:t>
      </w:r>
      <w:r>
        <w:rPr>
          <w:rFonts w:hint="eastAsia" w:ascii="宋体" w:hAnsi="宋体" w:eastAsia="宋体" w:cs="宋体"/>
          <w:color w:val="auto"/>
          <w:sz w:val="24"/>
          <w:szCs w:val="24"/>
          <w:highlight w:val="none"/>
          <w:shd w:val="clear" w:color="auto" w:fill="auto"/>
        </w:rPr>
        <w:t xml:space="preserve">预付款：合同签订后，甲方收到预付款发票后10个工作日内，预付款支付比例：合同金额的30%。（在签订合同时，乙方明确书面表示无需预付款或者主动要求降低预付款比例的，甲方可就预付款比例作相应调整）</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进度款：</w:t>
      </w:r>
      <w:r>
        <w:rPr>
          <w:rFonts w:hint="eastAsia" w:ascii="宋体" w:hAnsi="宋体" w:eastAsia="宋体" w:cs="宋体"/>
          <w:color w:val="auto"/>
          <w:sz w:val="24"/>
          <w:szCs w:val="24"/>
          <w:highlight w:val="none"/>
          <w:shd w:val="clear" w:color="auto" w:fill="auto"/>
        </w:rPr>
        <w:t xml:space="preserve">以实际工程量结算，按季度审计后结算（结算时须扣除当季度应扣除的预付款）。甲方负责结算事宜、乙方配合，甲方应及时完成出单、审计、结算全部流程</w:t>
      </w:r>
      <w:r>
        <w:rPr>
          <w:rFonts w:hint="eastAsia" w:ascii="宋体" w:hAnsi="宋体" w:eastAsia="宋体" w:cs="宋体"/>
          <w:color w:val="auto"/>
          <w:sz w:val="24"/>
          <w:szCs w:val="24"/>
          <w:highlight w:val="none"/>
          <w:shd w:val="clear" w:color="auto" w:fill="auto"/>
          <w:lang w:eastAsia="zh-CN"/>
        </w:rPr>
        <w:t xml:space="preserve">，乙方向甲方开具增值税发票，甲方在收到增值税发票后的10个工作日内支付相应款项</w:t>
      </w:r>
      <w:r>
        <w:rPr>
          <w:rFonts w:hint="eastAsia" w:ascii="宋体" w:hAnsi="宋体" w:eastAsia="宋体" w:cs="宋体"/>
          <w:color w:val="auto"/>
          <w:sz w:val="24"/>
          <w:szCs w:val="24"/>
          <w:highlight w:val="none"/>
          <w:shd w:val="clear" w:color="auto" w:fill="auto"/>
        </w:rPr>
        <w:t xml:space="preserve">。</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10</w:t>
      </w:r>
      <w:r>
        <w:rPr>
          <w:rFonts w:hint="eastAsia" w:ascii="宋体" w:hAnsi="宋体" w:eastAsia="宋体" w:cs="宋体"/>
          <w:color w:val="auto"/>
          <w:sz w:val="24"/>
          <w:szCs w:val="24"/>
          <w:highlight w:val="none"/>
          <w:shd w:val="clear" w:color="auto" w:fill="auto"/>
        </w:rPr>
        <w:t xml:space="preserve">.2本合同为固定单价合同。全费用综合单价含为完成本项目所需的所有费用，中标后，综合单价不因任何因素调整，结算时工程量按实际结算。</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十一、税费</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本合同执行中相关的一切税费均由乙方负担。</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十二、质量保证及售后服务</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12</w:t>
      </w:r>
      <w:r>
        <w:rPr>
          <w:rFonts w:hint="eastAsia" w:ascii="宋体" w:hAnsi="宋体" w:eastAsia="宋体" w:cs="宋体"/>
          <w:color w:val="auto"/>
          <w:sz w:val="24"/>
          <w:szCs w:val="24"/>
          <w:highlight w:val="none"/>
          <w:shd w:val="clear" w:color="auto" w:fill="auto"/>
        </w:rPr>
        <w:t xml:space="preserve">.1乙方应按单一来源文件规定和响应文件承诺的性能、技术要求、质量标准向甲方提供产品或服务。</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.2乙方提供的产品或服务在质保期内因其本身出现质量问题，根据实际情况，经双方协商，可按以下办法处理：</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（1）更换：由乙方承担所发生的全部费用。</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（2）合同终止处理：合同终止，并退还甲方支付的合同款，同时应承担由此产生的所有费用，甲方不承担发生任何费用。</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.3如在使用过程中发生质量问题，乙方在接到甲方通知后在小时内到达甲方现场。</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.4在质保期内，乙方应对产品或服务出现的质量及安全问题负责处理解决并承担一切费用。</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十三、验收</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.1甲方对乙方提交的产品或服务依据单一来源文件上的项目需求要求、乙方响应文件及国家有关质量标准进行验收。</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.2乙方交货前应对产品或服务作出全面检查和对验收文件进行整理，并列出清单，作为甲方验收和使用的技术条件依据，检验的结果应随服务一起提交甲方。</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.3甲方对乙方提供的产品或服务在使用前，乙方需负责培训甲方的使用操作人员，并协助甲方一起试用，直到符合技术要求，甲方才做最终验收。</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.4对技术复杂的产品或服务，甲方可请国家认可的专业检测机构参与初步验收及最终验收，并由其出具质量检测报告。</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.5验收时乙方必须在现场，验收完毕后作出验收结果报告；验收费用由乙方承担。</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十四、合同内容的交付</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.1乙方应保证合同标的安全运达甲方指定地点。</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.2 使用说明书、质量检验证明书一并提交甲方。</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.3 乙方在合同标的交付甲方48小时前通知甲方准备接收。</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.4 合同标的在交付甲方前发生的风险均由乙方负责。</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.5 合同标的在规定的交付期限内由乙方送达甲方指定的地点视为交付，乙方同时需通知甲方已送达。</w:t>
      </w:r>
      <w:r/>
    </w:p>
    <w:p>
      <w:pPr>
        <w:pStyle w:val="3124"/>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十五、违约责任</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.1 甲方无正当理由拒收的，甲方向乙方偿付拒收货款总值的百分之五违约金。</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.2 甲方无故逾期验收和办理合同款支付手续的,甲方应按逾期付款总额每日千分之二向乙方支付违约金。</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.3 乙方逾期交付合同标的的，乙方应按逾期交货总额每日百分之一向甲方支付违约金，由甲方从待付合同款中扣除。逾期超过约定日期10个工作日不能交付的，甲方可解除本合同。乙方因逾期交付或因其他违约行为导致甲方解除合同的，乙方应向甲方支付合同总值10%的违约金，如造成甲方损失超过违约金的，超出部分由乙方继续承担赔偿责任。 </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十六、不可抗力事件处理</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.1 在合同有效期内，任何一方因不可抗力事件导致不能履行合同，则合同履行期延长，其延长期与不可抗力影响期相同。</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.2 不可抗力事件发生后，应立即通知对方，并寄送有关权威机构出具的证明。</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.3 不可抗力事件延续120天以上，双方应通过友好协商，确定是否继续履行合同。</w:t>
      </w:r>
      <w:r/>
    </w:p>
    <w:p>
      <w:pPr>
        <w:pStyle w:val="3124"/>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十七、诉讼</w:t>
      </w:r>
      <w:r/>
    </w:p>
    <w:p>
      <w:pPr>
        <w:pStyle w:val="3124"/>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.1 双方在执行合同中所发生的一切争议，应通过协商解决。如协商不成，可向合同签订地法院起诉，合同签订地在此约定为盐城市。</w:t>
      </w:r>
      <w:r/>
    </w:p>
    <w:p>
      <w:pPr>
        <w:pStyle w:val="3124"/>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十</w:t>
      </w:r>
      <w:r>
        <w:rPr>
          <w:rFonts w:hint="eastAsia" w:ascii="宋体" w:hAnsi="宋体" w:eastAsia="宋体" w:cs="宋体"/>
          <w:color w:val="auto"/>
          <w:sz w:val="24"/>
          <w:szCs w:val="24"/>
          <w:highlight w:val="none"/>
          <w:shd w:val="clear" w:color="auto" w:fill="auto"/>
          <w:lang w:val="en-US" w:eastAsia="zh-CN"/>
        </w:rPr>
        <w:t xml:space="preserve">八</w:t>
      </w:r>
      <w:r>
        <w:rPr>
          <w:rFonts w:hint="eastAsia" w:ascii="宋体" w:hAnsi="宋体" w:eastAsia="宋体" w:cs="宋体"/>
          <w:color w:val="auto"/>
          <w:sz w:val="24"/>
          <w:szCs w:val="24"/>
          <w:highlight w:val="none"/>
          <w:shd w:val="clear" w:color="auto" w:fill="auto"/>
        </w:rPr>
        <w:t xml:space="preserve">、合同生效及其它</w:t>
      </w:r>
      <w:r/>
    </w:p>
    <w:p>
      <w:pPr>
        <w:pStyle w:val="3124"/>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8</w:t>
      </w:r>
      <w:r>
        <w:rPr>
          <w:rFonts w:hint="eastAsia" w:ascii="宋体" w:hAnsi="宋体" w:eastAsia="宋体" w:cs="宋体"/>
          <w:color w:val="auto"/>
          <w:sz w:val="24"/>
          <w:szCs w:val="24"/>
          <w:highlight w:val="none"/>
          <w:shd w:val="clear" w:color="auto" w:fill="auto"/>
        </w:rPr>
        <w:t xml:space="preserve">.1 合同经双方法定代表人或授权委托代表人签字并加盖单位公章后生效。</w:t>
      </w:r>
      <w:r/>
    </w:p>
    <w:p>
      <w:pPr>
        <w:pStyle w:val="3124"/>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8</w:t>
      </w:r>
      <w:r>
        <w:rPr>
          <w:rFonts w:hint="eastAsia" w:ascii="宋体" w:hAnsi="宋体" w:eastAsia="宋体" w:cs="宋体"/>
          <w:color w:val="auto"/>
          <w:sz w:val="24"/>
          <w:szCs w:val="24"/>
          <w:highlight w:val="none"/>
          <w:shd w:val="clear" w:color="auto" w:fill="auto"/>
        </w:rPr>
        <w:t xml:space="preserve">.2本合同未尽事宜，遵照《民法典》有关条文执行。</w:t>
      </w:r>
      <w:r/>
    </w:p>
    <w:p>
      <w:pPr>
        <w:pStyle w:val="3124"/>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8</w:t>
      </w:r>
      <w:r>
        <w:rPr>
          <w:rFonts w:hint="eastAsia" w:ascii="宋体" w:hAnsi="宋体" w:eastAsia="宋体" w:cs="宋体"/>
          <w:color w:val="auto"/>
          <w:sz w:val="24"/>
          <w:szCs w:val="24"/>
          <w:highlight w:val="none"/>
          <w:shd w:val="clear" w:color="auto" w:fill="auto"/>
        </w:rPr>
        <w:t xml:space="preserve">.3 本合同一式6份，具有同等法律效力，甲乙双方各执3份。</w:t>
      </w:r>
      <w:r/>
    </w:p>
    <w:p>
      <w:pPr>
        <w:pStyle w:val="3124"/>
        <w:ind w:left="0" w:firstLine="4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3124"/>
        <w:ind w:firstLine="7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甲方：                                  乙方： </w:t>
      </w:r>
      <w:r/>
    </w:p>
    <w:p>
      <w:pPr>
        <w:pStyle w:val="3124"/>
        <w:ind w:firstLine="7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地址：                                  地址： </w:t>
      </w:r>
      <w:r/>
    </w:p>
    <w:p>
      <w:pPr>
        <w:pStyle w:val="3124"/>
        <w:ind w:firstLine="7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法定代表人或授权代表：                  法定代表人或授权代表：</w:t>
      </w:r>
      <w:r/>
    </w:p>
    <w:p>
      <w:pPr>
        <w:pStyle w:val="3124"/>
        <w:ind w:firstLine="72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联系电话：                              联系电话：</w:t>
      </w:r>
      <w:r/>
    </w:p>
    <w:p>
      <w:pPr>
        <w:pStyle w:val="3124"/>
        <w:ind w:firstLine="4800"/>
        <w:jc w:val="both"/>
        <w:spacing w:beforeAutospacing="0" w:afterAutospacing="0" w:line="48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shd w:val="clear" w:color="auto" w:fill="auto"/>
        </w:rPr>
        <w:t xml:space="preserve">签订日期：      年  月  日</w:t>
      </w:r>
      <w:r/>
    </w:p>
    <w:p>
      <w:pPr>
        <w:spacing w:line="540" w:lineRule="exact"/>
        <w:rPr>
          <w:rFonts w:hint="default"/>
          <w:color w:val="auto"/>
          <w:sz w:val="24"/>
          <w:szCs w:val="24"/>
          <w:highlight w:val="none"/>
        </w:rPr>
      </w:pPr>
      <w:r/>
      <w:bookmarkStart w:id="149" w:name="_Toc479757211"/>
      <w:r/>
      <w:bookmarkStart w:id="150" w:name="_Toc462564139"/>
      <w:r/>
      <w:bookmarkStart w:id="151" w:name="_Toc16938590"/>
      <w:r/>
      <w:bookmarkStart w:id="152" w:name="_Toc120614244"/>
      <w:r/>
      <w:bookmarkStart w:id="153" w:name="_Toc20823346"/>
      <w:r/>
      <w:bookmarkStart w:id="154" w:name="_Hlt16619369"/>
      <w:r/>
      <w:bookmarkStart w:id="155" w:name="_Hlt16619350"/>
      <w:r>
        <w:rPr>
          <w:rFonts w:hint="eastAsia" w:ascii="宋体" w:hAnsi="宋体" w:cs="宋体"/>
          <w:color w:val="auto"/>
          <w:sz w:val="24"/>
          <w:szCs w:val="24"/>
          <w:highlight w:val="none"/>
        </w:rPr>
        <w:br w:type="page" w:clear="all"/>
      </w:r>
      <w:r>
        <w:rPr>
          <w:rFonts w:hint="eastAsia"/>
          <w:color w:val="auto"/>
          <w:sz w:val="24"/>
          <w:szCs w:val="24"/>
          <w:highlight w:val="none"/>
        </w:rPr>
        <w:t xml:space="preserve">合同附件：</w:t>
      </w:r>
      <w:r/>
    </w:p>
    <w:p>
      <w:pPr>
        <w:jc w:val="center"/>
        <w:spacing w:line="540" w:lineRule="exact"/>
        <w:rPr>
          <w:rFonts w:hint="default"/>
          <w:b/>
          <w:color w:val="auto"/>
          <w:sz w:val="32"/>
          <w:szCs w:val="32"/>
          <w:highlight w:val="none"/>
        </w:rPr>
      </w:pPr>
      <w:r>
        <w:rPr>
          <w:rFonts w:hint="eastAsia"/>
          <w:b/>
          <w:color w:val="auto"/>
          <w:sz w:val="32"/>
          <w:szCs w:val="32"/>
          <w:highlight w:val="none"/>
        </w:rPr>
        <w:t xml:space="preserve">项目建设供应商承诺函</w:t>
      </w:r>
      <w:r/>
    </w:p>
    <w:p>
      <w:pPr>
        <w:spacing w:line="540" w:lineRule="exact"/>
        <w:rPr>
          <w:rFonts w:hint="default"/>
          <w:b/>
          <w:color w:val="auto"/>
          <w:sz w:val="28"/>
          <w:szCs w:val="28"/>
          <w:highlight w:val="none"/>
        </w:rPr>
      </w:pPr>
      <w:r>
        <w:rPr>
          <w:rFonts w:hint="default"/>
          <w:b/>
          <w:color w:val="auto"/>
          <w:sz w:val="28"/>
          <w:szCs w:val="28"/>
          <w:highlight w:val="none"/>
        </w:rPr>
      </w:r>
      <w:r/>
    </w:p>
    <w:p>
      <w:pPr>
        <w:ind w:firstLine="560"/>
        <w:spacing w:line="540" w:lineRule="exact"/>
        <w:rPr>
          <w:rFonts w:hint="default"/>
          <w:color w:val="auto"/>
          <w:sz w:val="28"/>
          <w:szCs w:val="28"/>
          <w:highlight w:val="none"/>
        </w:rPr>
      </w:pPr>
      <w:r>
        <w:rPr>
          <w:rFonts w:hint="eastAsia"/>
          <w:color w:val="auto"/>
          <w:sz w:val="28"/>
          <w:szCs w:val="28"/>
          <w:highlight w:val="none"/>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560"/>
        <w:spacing w:line="540" w:lineRule="exact"/>
        <w:rPr>
          <w:rFonts w:hint="default"/>
          <w:color w:val="auto"/>
          <w:sz w:val="28"/>
          <w:szCs w:val="28"/>
          <w:highlight w:val="none"/>
        </w:rPr>
      </w:pPr>
      <w:r>
        <w:rPr>
          <w:rFonts w:hint="eastAsia"/>
          <w:color w:val="auto"/>
          <w:sz w:val="28"/>
          <w:szCs w:val="28"/>
          <w:highlight w:val="none"/>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560"/>
        <w:spacing w:line="540" w:lineRule="exact"/>
        <w:rPr>
          <w:rFonts w:hint="default"/>
          <w:color w:val="auto"/>
          <w:sz w:val="28"/>
          <w:szCs w:val="28"/>
          <w:highlight w:val="none"/>
        </w:rPr>
      </w:pPr>
      <w:r>
        <w:rPr>
          <w:rFonts w:hint="eastAsia"/>
          <w:color w:val="auto"/>
          <w:sz w:val="28"/>
          <w:szCs w:val="28"/>
          <w:highlight w:val="none"/>
        </w:rPr>
        <w:t xml:space="preserve">对未列出的其他事项，严格按照法律法规等具体规定执行。</w:t>
      </w:r>
      <w:r/>
    </w:p>
    <w:p>
      <w:pPr>
        <w:ind w:firstLine="560"/>
        <w:spacing w:line="540" w:lineRule="exact"/>
        <w:rPr>
          <w:rFonts w:hint="default"/>
          <w:color w:val="auto"/>
          <w:sz w:val="28"/>
          <w:szCs w:val="28"/>
          <w:highlight w:val="none"/>
        </w:rPr>
      </w:pPr>
      <w:r>
        <w:rPr>
          <w:rFonts w:hint="eastAsia"/>
          <w:color w:val="auto"/>
          <w:sz w:val="28"/>
          <w:szCs w:val="28"/>
          <w:highlight w:val="none"/>
        </w:rPr>
        <w:t xml:space="preserve">现承诺，我单位在履行</w:t>
      </w:r>
      <w:r>
        <w:rPr>
          <w:rFonts w:hint="eastAsia"/>
          <w:color w:val="auto"/>
          <w:sz w:val="28"/>
          <w:szCs w:val="28"/>
          <w:highlight w:val="none"/>
          <w:u w:val="single"/>
          <w:lang w:eastAsia="zh-CN"/>
        </w:rPr>
        <w:t xml:space="preserve">盐城市公安局市区高架一、二期交通安全设施维保服务采购项目</w:t>
      </w:r>
      <w:r>
        <w:rPr>
          <w:rFonts w:hint="eastAsia"/>
          <w:color w:val="auto"/>
          <w:sz w:val="28"/>
          <w:szCs w:val="28"/>
          <w:highlight w:val="none"/>
        </w:rPr>
        <w:t xml:space="preserve">的项目建设中，将严格按照提示函的内容和要求执行，如若违反愿意承担相应的责任。</w:t>
      </w:r>
      <w:r/>
    </w:p>
    <w:p>
      <w:pPr>
        <w:spacing w:line="540" w:lineRule="exact"/>
        <w:rPr>
          <w:rFonts w:hint="default"/>
          <w:color w:val="auto"/>
          <w:sz w:val="28"/>
          <w:szCs w:val="28"/>
          <w:highlight w:val="none"/>
        </w:rPr>
      </w:pPr>
      <w:r>
        <w:rPr>
          <w:rFonts w:hint="default"/>
          <w:color w:val="auto"/>
          <w:sz w:val="28"/>
          <w:szCs w:val="28"/>
          <w:highlight w:val="none"/>
        </w:rPr>
      </w:r>
      <w:r/>
    </w:p>
    <w:p>
      <w:pPr>
        <w:spacing w:line="540" w:lineRule="exact"/>
        <w:rPr>
          <w:rFonts w:hint="default"/>
          <w:color w:val="auto"/>
          <w:sz w:val="28"/>
          <w:szCs w:val="28"/>
          <w:highlight w:val="none"/>
        </w:rPr>
      </w:pPr>
      <w:r>
        <w:rPr>
          <w:rFonts w:hint="default"/>
          <w:color w:val="auto"/>
          <w:sz w:val="28"/>
          <w:szCs w:val="28"/>
          <w:highlight w:val="none"/>
        </w:rPr>
      </w:r>
      <w:r/>
    </w:p>
    <w:p>
      <w:pPr>
        <w:ind w:firstLine="560"/>
        <w:spacing w:line="540" w:lineRule="exact"/>
        <w:rPr>
          <w:rFonts w:hint="default"/>
          <w:color w:val="auto"/>
          <w:sz w:val="28"/>
          <w:szCs w:val="28"/>
          <w:highlight w:val="none"/>
        </w:rPr>
      </w:pPr>
      <w:r>
        <w:rPr>
          <w:rFonts w:hint="eastAsia"/>
          <w:color w:val="auto"/>
          <w:sz w:val="28"/>
          <w:szCs w:val="28"/>
          <w:highlight w:val="none"/>
        </w:rPr>
        <w:t xml:space="preserve">供应商项目负责人（签字）：            联系方式：</w:t>
      </w:r>
      <w:r/>
    </w:p>
    <w:p>
      <w:pPr>
        <w:pStyle w:val="3124"/>
        <w:jc w:val="both"/>
        <w:spacing w:before="120" w:beforeAutospacing="0" w:after="120" w:afterAutospacing="0" w:line="240" w:lineRule="atLeast"/>
        <w:rPr>
          <w:rFonts w:hint="eastAsia"/>
          <w:color w:val="auto"/>
          <w:sz w:val="28"/>
          <w:szCs w:val="28"/>
          <w:highlight w:val="none"/>
        </w:rPr>
      </w:pPr>
      <w:r>
        <w:rPr>
          <w:rFonts w:hint="eastAsia"/>
          <w:color w:val="auto"/>
          <w:sz w:val="28"/>
          <w:szCs w:val="28"/>
          <w:highlight w:val="none"/>
        </w:rPr>
      </w:r>
      <w:r/>
    </w:p>
    <w:p>
      <w:pPr>
        <w:pStyle w:val="3124"/>
        <w:ind w:firstLine="5320"/>
        <w:jc w:val="both"/>
        <w:spacing w:before="120" w:beforeAutospacing="0" w:after="120" w:afterAutospacing="0" w:line="240" w:lineRule="atLeast"/>
        <w:rPr>
          <w:rFonts w:hint="eastAsia" w:ascii="黑体" w:hAnsi="宋体" w:eastAsia="黑体" w:cs="黑体"/>
          <w:color w:val="auto"/>
          <w:sz w:val="44"/>
          <w:szCs w:val="44"/>
          <w:highlight w:val="none"/>
        </w:rPr>
        <w:sectPr>
          <w:headerReference w:type="default" r:id="rId12"/>
          <w:headerReference w:type="even" r:id="rId13"/>
          <w:headerReference w:type="first" r:id="rId14"/>
          <w:footnotePr/>
          <w:endnotePr/>
          <w:type w:val="nextPage"/>
          <w:pgSz w:w="11906" w:h="16838" w:orient="portrait"/>
          <w:pgMar w:top="1440" w:right="1800" w:bottom="1440" w:left="1800" w:header="851" w:footer="992" w:gutter="0"/>
          <w:lnNumType w:countBy="0" w:distance="360"/>
          <w:cols w:num="1" w:sep="0" w:space="720" w:equalWidth="1"/>
          <w:docGrid w:linePitch="360"/>
        </w:sectPr>
      </w:pPr>
      <w:r>
        <w:rPr>
          <w:rFonts w:hint="eastAsia"/>
          <w:color w:val="auto"/>
          <w:sz w:val="28"/>
          <w:szCs w:val="28"/>
          <w:highlight w:val="none"/>
        </w:rPr>
        <w:t xml:space="preserve">（供应商单位公章）</w:t>
      </w:r>
      <w:r>
        <w:rPr>
          <w:rFonts w:hint="eastAsia" w:ascii="黑体" w:hAnsi="宋体" w:eastAsia="黑体" w:cs="黑体"/>
          <w:color w:val="auto"/>
          <w:sz w:val="44"/>
          <w:szCs w:val="44"/>
          <w:highlight w:val="none"/>
        </w:rPr>
        <w:t xml:space="preserve"> </w:t>
      </w:r>
      <w:r/>
    </w:p>
    <w:p>
      <w:pPr>
        <w:pStyle w:val="3124"/>
        <w:jc w:val="center"/>
        <w:spacing w:before="120" w:beforeAutospacing="0" w:after="120" w:afterAutospacing="0" w:line="240" w:lineRule="atLeast"/>
        <w:rPr>
          <w:rFonts w:hint="default"/>
          <w:color w:val="auto"/>
          <w:sz w:val="24"/>
          <w:szCs w:val="24"/>
          <w:highlight w:val="none"/>
        </w:rPr>
      </w:pPr>
      <w:r>
        <w:rPr>
          <w:rFonts w:hint="eastAsia" w:ascii="黑体" w:hAnsi="宋体" w:eastAsia="黑体" w:cs="黑体"/>
          <w:color w:val="auto"/>
          <w:sz w:val="44"/>
          <w:szCs w:val="44"/>
          <w:highlight w:val="none"/>
        </w:rPr>
        <w:t xml:space="preserve">第</w:t>
      </w:r>
      <w:bookmarkEnd w:id="149"/>
      <w:r>
        <w:rPr>
          <w:rFonts w:hint="eastAsia" w:ascii="黑体" w:hAnsi="宋体" w:eastAsia="黑体" w:cs="黑体"/>
          <w:color w:val="auto"/>
          <w:sz w:val="44"/>
          <w:szCs w:val="44"/>
          <w:highlight w:val="none"/>
        </w:rPr>
        <w:t xml:space="preserve">四章 采购需求</w:t>
      </w:r>
      <w:bookmarkEnd w:id="150"/>
      <w:r/>
      <w:bookmarkEnd w:id="151"/>
      <w:r/>
      <w:bookmarkEnd w:id="152"/>
      <w:r/>
      <w:bookmarkEnd w:id="153"/>
      <w:r/>
      <w:bookmarkStart w:id="156" w:name="_Toc49090575"/>
      <w:r/>
      <w:bookmarkEnd w:id="156"/>
      <w:r/>
      <w:bookmarkStart w:id="157" w:name="_Toc26554093"/>
      <w:r/>
      <w:bookmarkEnd w:id="157"/>
      <w:r/>
      <w:r/>
    </w:p>
    <w:p>
      <w:pPr>
        <w:pStyle w:val="3124"/>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line="0" w:lineRule="atLeast"/>
        <w:rPr>
          <w:rFonts w:hint="eastAsia" w:ascii="宋体" w:hAnsi="宋体" w:eastAsia="宋体" w:cs="宋体"/>
          <w:b/>
          <w:bCs/>
          <w:color w:val="auto"/>
          <w:sz w:val="24"/>
          <w:szCs w:val="21"/>
          <w:highlight w:val="none"/>
          <w:lang w:val="zh-CN"/>
        </w:rPr>
      </w:pPr>
      <w:r>
        <w:rPr>
          <w:rFonts w:hint="eastAsia" w:ascii="宋体" w:hAnsi="宋体" w:eastAsia="宋体" w:cs="宋体"/>
          <w:b/>
          <w:bCs/>
          <w:color w:val="auto"/>
          <w:sz w:val="24"/>
          <w:szCs w:val="21"/>
          <w:highlight w:val="none"/>
          <w:lang w:val="zh-CN"/>
        </w:rPr>
        <w:t xml:space="preserve">项目属性:服务类项目。</w:t>
      </w:r>
      <w:r/>
    </w:p>
    <w:p>
      <w:pPr>
        <w:keepLines w:val="0"/>
        <w:keepNext w:val="0"/>
        <w:pageBreakBefore w:val="0"/>
        <w:spacing w:line="500" w:lineRule="exact"/>
        <w:rPr>
          <w:rFonts w:ascii="宋体" w:hAnsi="宋体" w:eastAsia="宋体" w:cs="Calibri"/>
          <w:b/>
          <w:color w:val="auto"/>
          <w:sz w:val="24"/>
          <w:highlight w:val="none"/>
        </w:rPr>
      </w:pPr>
      <w:r>
        <w:rPr>
          <w:rFonts w:hint="eastAsia" w:ascii="宋体" w:hAnsi="宋体" w:eastAsia="宋体" w:cs="Calibri"/>
          <w:b/>
          <w:color w:val="auto"/>
          <w:sz w:val="24"/>
          <w:highlight w:val="none"/>
        </w:rPr>
        <w:t xml:space="preserve">采购标的对应的中小企业划分标准所属行业一览表</w:t>
      </w:r>
      <w:r/>
    </w:p>
    <w:tbl>
      <w:tblPr>
        <w:tblStyle w:val="3119"/>
        <w:tblW w:w="937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4511"/>
        <w:gridCol w:w="3889"/>
      </w:tblGrid>
      <w:tr>
        <w:trPr>
          <w:jc w:val="center"/>
          <w:tblCellSpacing w:w="0" w:type="dxa"/>
        </w:trPr>
        <w:tc>
          <w:tcPr>
            <w:tcW w:w="971" w:type="dxa"/>
            <w:vAlign w:val="center"/>
            <w:textDirection w:val="lrTb"/>
            <w:noWrap w:val="false"/>
          </w:tcPr>
          <w:p>
            <w:pPr>
              <w:pStyle w:val="3127"/>
              <w:jc w:val="center"/>
              <w:keepLines w:val="0"/>
              <w:keepNext w:val="0"/>
              <w:pageBreakBefore w:val="0"/>
              <w:spacing w:beforeAutospacing="0" w:afterAutospacing="0" w:line="500" w:lineRule="exact"/>
              <w:rPr>
                <w:color w:val="auto"/>
                <w:highlight w:val="none"/>
              </w:rPr>
            </w:pPr>
            <w:r>
              <w:rPr>
                <w:rFonts w:hint="eastAsia" w:eastAsia="宋体"/>
                <w:color w:val="auto"/>
                <w:highlight w:val="none"/>
              </w:rPr>
              <w:t xml:space="preserve">序号</w:t>
            </w:r>
            <w:r/>
          </w:p>
        </w:tc>
        <w:tc>
          <w:tcPr>
            <w:tcW w:w="4511" w:type="dxa"/>
            <w:vAlign w:val="center"/>
            <w:textDirection w:val="lrTb"/>
            <w:noWrap w:val="false"/>
          </w:tcPr>
          <w:p>
            <w:pPr>
              <w:pStyle w:val="3127"/>
              <w:jc w:val="center"/>
              <w:keepLines w:val="0"/>
              <w:keepNext w:val="0"/>
              <w:pageBreakBefore w:val="0"/>
              <w:spacing w:beforeAutospacing="0" w:afterAutospacing="0" w:line="500" w:lineRule="exact"/>
              <w:rPr>
                <w:color w:val="auto"/>
                <w:highlight w:val="none"/>
              </w:rPr>
            </w:pPr>
            <w:r>
              <w:rPr>
                <w:rFonts w:hint="eastAsia" w:eastAsia="宋体"/>
                <w:color w:val="auto"/>
                <w:highlight w:val="none"/>
              </w:rPr>
              <w:t xml:space="preserve">采购标的</w:t>
            </w:r>
            <w:r/>
          </w:p>
        </w:tc>
        <w:tc>
          <w:tcPr>
            <w:tcW w:w="3889" w:type="dxa"/>
            <w:vAlign w:val="center"/>
            <w:textDirection w:val="lrTb"/>
            <w:noWrap w:val="false"/>
          </w:tcPr>
          <w:p>
            <w:pPr>
              <w:pStyle w:val="3127"/>
              <w:jc w:val="center"/>
              <w:keepLines w:val="0"/>
              <w:keepNext w:val="0"/>
              <w:pageBreakBefore w:val="0"/>
              <w:spacing w:beforeAutospacing="0" w:afterAutospacing="0" w:line="500" w:lineRule="exact"/>
              <w:rPr>
                <w:color w:val="auto"/>
                <w:highlight w:val="none"/>
              </w:rPr>
            </w:pPr>
            <w:r>
              <w:rPr>
                <w:rFonts w:hint="eastAsia" w:eastAsia="宋体"/>
                <w:color w:val="auto"/>
                <w:highlight w:val="none"/>
              </w:rPr>
              <w:t xml:space="preserve">对应中小微企业划分标准所属行业</w:t>
            </w:r>
            <w:r/>
          </w:p>
        </w:tc>
      </w:tr>
      <w:tr>
        <w:trPr>
          <w:jc w:val="center"/>
          <w:tblCellSpacing w:w="0" w:type="dxa"/>
          <w:trHeight w:val="291"/>
        </w:trPr>
        <w:tc>
          <w:tcPr>
            <w:tcW w:w="971" w:type="dxa"/>
            <w:vAlign w:val="center"/>
            <w:textDirection w:val="lrTb"/>
            <w:noWrap w:val="false"/>
          </w:tcPr>
          <w:p>
            <w:pPr>
              <w:pStyle w:val="3127"/>
              <w:jc w:val="center"/>
              <w:keepLines w:val="0"/>
              <w:keepNext w:val="0"/>
              <w:pageBreakBefore w:val="0"/>
              <w:spacing w:beforeAutospacing="0" w:afterAutospacing="0" w:line="500" w:lineRule="exact"/>
              <w:rPr>
                <w:color w:val="auto"/>
                <w:highlight w:val="none"/>
              </w:rPr>
            </w:pPr>
            <w:r>
              <w:rPr>
                <w:rFonts w:hint="eastAsia" w:eastAsia="宋体"/>
                <w:color w:val="auto"/>
                <w:highlight w:val="none"/>
              </w:rPr>
              <w:t xml:space="preserve">1</w:t>
            </w:r>
            <w:r/>
          </w:p>
        </w:tc>
        <w:tc>
          <w:tcPr>
            <w:tcW w:w="4511" w:type="dxa"/>
            <w:vAlign w:val="center"/>
            <w:textDirection w:val="lrTb"/>
            <w:noWrap w:val="false"/>
          </w:tcPr>
          <w:p>
            <w:pPr>
              <w:pStyle w:val="3127"/>
              <w:jc w:val="center"/>
              <w:keepLines w:val="0"/>
              <w:keepNext w:val="0"/>
              <w:pageBreakBefore w:val="0"/>
              <w:spacing w:beforeAutospacing="0" w:afterAutospacing="0" w:line="500" w:lineRule="exact"/>
              <w:rPr>
                <w:rFonts w:eastAsia="宋体"/>
                <w:color w:val="auto"/>
                <w:highlight w:val="none"/>
              </w:rPr>
            </w:pPr>
            <w:r>
              <w:rPr>
                <w:color w:val="auto"/>
                <w:highlight w:val="none"/>
              </w:rPr>
              <w:t xml:space="preserve"> </w:t>
            </w:r>
            <w:r>
              <w:rPr>
                <w:rFonts w:hint="eastAsia" w:eastAsia="宋体" w:cs="宋体"/>
                <w:color w:val="auto"/>
                <w:highlight w:val="none"/>
                <w:shd w:val="clear" w:color="auto" w:fill="auto"/>
                <w:lang w:eastAsia="zh-CN"/>
              </w:rPr>
              <w:t xml:space="preserve">盐城市公安局市区高架一、二期交通安全设施维保服务采购项目</w:t>
            </w:r>
            <w:r/>
          </w:p>
        </w:tc>
        <w:tc>
          <w:tcPr>
            <w:tcW w:w="3889" w:type="dxa"/>
            <w:vAlign w:val="center"/>
            <w:textDirection w:val="lrTb"/>
            <w:noWrap w:val="false"/>
          </w:tcPr>
          <w:p>
            <w:pPr>
              <w:pStyle w:val="3127"/>
              <w:jc w:val="center"/>
              <w:keepLines w:val="0"/>
              <w:keepNext w:val="0"/>
              <w:pageBreakBefore w:val="0"/>
              <w:spacing w:beforeAutospacing="0" w:afterAutospacing="0" w:line="500" w:lineRule="exact"/>
              <w:rPr>
                <w:color w:val="auto"/>
                <w:highlight w:val="none"/>
              </w:rPr>
            </w:pPr>
            <w:r>
              <w:rPr>
                <w:rFonts w:hint="eastAsia" w:ascii="宋体" w:hAnsi="宋体" w:eastAsia="宋体" w:cs="宋体"/>
                <w:color w:val="auto"/>
                <w:sz w:val="24"/>
                <w:szCs w:val="24"/>
                <w:highlight w:val="none"/>
                <w:shd w:val="clear" w:color="auto" w:fill="auto"/>
              </w:rPr>
              <w:t xml:space="preserve">租赁和商务服务业</w:t>
            </w:r>
            <w:r/>
          </w:p>
        </w:tc>
      </w:tr>
    </w:tbl>
    <w:p>
      <w:pPr>
        <w:pStyle w:val="3124"/>
        <w:ind w:firstLine="482"/>
        <w:jc w:val="both"/>
        <w:keepLines w:val="0"/>
        <w:keepNext w:val="0"/>
        <w:pageBreakBefore w:val="0"/>
        <w:spacing w:beforeAutospacing="0" w:afterAutospacing="0" w:line="500" w:lineRule="exact"/>
        <w:widowControl w:val="off"/>
        <w:rPr>
          <w:rFonts w:hint="default" w:ascii="宋体" w:hAnsi="宋体" w:eastAsia="宋体" w:cs="宋体"/>
          <w:b/>
          <w:bCs/>
          <w:color w:val="auto"/>
          <w:highlight w:val="none"/>
          <w:shd w:val="clear" w:color="auto" w:fill="auto"/>
          <w:lang w:eastAsia="zh-CN"/>
        </w:rPr>
      </w:pPr>
      <w:r/>
      <w:bookmarkStart w:id="158" w:name="_Toc618"/>
      <w:r>
        <w:rPr>
          <w:rFonts w:hint="default" w:ascii="宋体" w:hAnsi="宋体" w:eastAsia="宋体" w:cs="宋体"/>
          <w:b/>
          <w:bCs/>
          <w:color w:val="auto"/>
          <w:highlight w:val="none"/>
          <w:shd w:val="clear" w:color="auto" w:fill="auto"/>
          <w:lang w:val="en-US" w:eastAsia="zh-CN"/>
        </w:rPr>
        <w:t xml:space="preserve">一、</w:t>
      </w:r>
      <w:r>
        <w:rPr>
          <w:rFonts w:hint="default" w:ascii="宋体" w:hAnsi="宋体" w:eastAsia="宋体" w:cs="宋体"/>
          <w:b/>
          <w:bCs/>
          <w:color w:val="auto"/>
          <w:highlight w:val="none"/>
          <w:shd w:val="clear" w:color="auto" w:fill="auto"/>
        </w:rPr>
        <w:t xml:space="preserve">项目</w:t>
      </w:r>
      <w:bookmarkEnd w:id="158"/>
      <w:r/>
      <w:bookmarkStart w:id="159" w:name="_Toc517777390"/>
      <w:r/>
      <w:bookmarkStart w:id="160" w:name="_Toc1166"/>
      <w:r>
        <w:rPr>
          <w:rFonts w:hint="default" w:ascii="宋体" w:hAnsi="宋体" w:eastAsia="宋体" w:cs="宋体"/>
          <w:b/>
          <w:bCs/>
          <w:color w:val="auto"/>
          <w:highlight w:val="none"/>
          <w:shd w:val="clear" w:color="auto" w:fill="auto"/>
        </w:rPr>
        <w:t xml:space="preserve">名称：</w:t>
      </w:r>
      <w:bookmarkEnd w:id="159"/>
      <w:r>
        <w:rPr>
          <w:rFonts w:hint="eastAsia" w:ascii="宋体" w:hAnsi="宋体" w:eastAsia="宋体" w:cs="宋体"/>
          <w:b/>
          <w:bCs/>
          <w:color w:val="auto"/>
          <w:highlight w:val="none"/>
          <w:shd w:val="clear" w:color="auto" w:fill="auto"/>
          <w:lang w:eastAsia="zh-CN"/>
        </w:rPr>
        <w:t xml:space="preserve">盐城市公安局市区高架一、二期交通安全设施维保服务采购项目</w:t>
      </w:r>
      <w:bookmarkEnd w:id="160"/>
      <w:r/>
      <w:r/>
    </w:p>
    <w:p>
      <w:pPr>
        <w:pStyle w:val="3124"/>
        <w:jc w:val="both"/>
        <w:keepLines w:val="0"/>
        <w:keepNext w:val="0"/>
        <w:pageBreakBefore w:val="0"/>
        <w:spacing w:beforeAutospacing="0" w:afterAutospacing="0" w:line="500" w:lineRule="exact"/>
        <w:widowControl w:val="off"/>
        <w:rPr>
          <w:rFonts w:hint="eastAsia" w:ascii="宋体" w:hAnsi="宋体" w:eastAsia="宋体" w:cs="宋体"/>
          <w:b/>
          <w:bCs/>
          <w:color w:val="auto"/>
          <w:highlight w:val="none"/>
          <w:shd w:val="clear" w:color="auto" w:fill="auto"/>
          <w:lang w:val="en-US" w:eastAsia="zh-CN"/>
        </w:rPr>
      </w:pPr>
      <w:r/>
      <w:bookmarkStart w:id="161" w:name="_Toc9565"/>
      <w:r>
        <w:rPr>
          <w:rFonts w:hint="default" w:ascii="宋体" w:hAnsi="宋体" w:eastAsia="宋体" w:cs="宋体"/>
          <w:b/>
          <w:bCs/>
          <w:color w:val="auto"/>
          <w:highlight w:val="none"/>
          <w:shd w:val="clear" w:color="auto" w:fill="auto"/>
          <w:lang w:val="en-US" w:eastAsia="zh-CN"/>
        </w:rPr>
        <w:t xml:space="preserve">二、</w:t>
      </w:r>
      <w:bookmarkEnd w:id="161"/>
      <w:r>
        <w:rPr>
          <w:rFonts w:hint="eastAsia" w:ascii="宋体" w:hAnsi="宋体" w:eastAsia="宋体" w:cs="宋体"/>
          <w:b/>
          <w:bCs/>
          <w:color w:val="auto"/>
          <w:highlight w:val="none"/>
          <w:shd w:val="clear" w:color="auto" w:fill="auto"/>
          <w:lang w:val="en-US" w:eastAsia="zh-CN"/>
        </w:rPr>
        <w:t xml:space="preserve">项目内容</w:t>
      </w:r>
      <w:r/>
    </w:p>
    <w:p>
      <w:pPr>
        <w:pStyle w:val="3124"/>
        <w:ind w:firstLine="480"/>
        <w:jc w:val="both"/>
        <w:keepLines w:val="0"/>
        <w:keepNext w:val="0"/>
        <w:pageBreakBefore w:val="0"/>
        <w:spacing w:beforeAutospacing="0" w:afterAutospacing="0" w:line="500" w:lineRule="exact"/>
        <w:widowControl w:val="off"/>
        <w:rPr>
          <w:rFonts w:hint="default" w:ascii="宋体" w:hAnsi="宋体" w:eastAsia="宋体" w:cs="宋体"/>
          <w:b/>
          <w:bCs/>
          <w:color w:val="auto"/>
          <w:highlight w:val="none"/>
          <w:shd w:val="clear" w:color="auto" w:fill="auto"/>
          <w:lang w:val="en-US" w:eastAsia="zh-CN"/>
        </w:rPr>
      </w:pPr>
      <w:r>
        <w:rPr>
          <w:rFonts w:hint="eastAsia" w:ascii="宋体" w:hAnsi="宋体" w:eastAsia="宋体" w:cs="宋体"/>
          <w:b w:val="0"/>
          <w:bCs w:val="0"/>
          <w:color w:val="auto"/>
          <w:highlight w:val="none"/>
          <w:shd w:val="clear" w:color="auto" w:fill="auto"/>
          <w:lang w:val="en-US" w:eastAsia="zh-CN"/>
        </w:rPr>
        <w:t xml:space="preserve">采购人将市区高架一二期及沿线范围内道路交通设施维保任务交由投标人实施。</w:t>
      </w:r>
      <w:r/>
    </w:p>
    <w:tbl>
      <w:tblPr>
        <w:tblStyle w:val="3119"/>
        <w:tblW w:w="9680" w:type="dxa"/>
        <w:jc w:val="center"/>
        <w:tblLayout w:type="fixed"/>
        <w:tblCellMar>
          <w:left w:w="108" w:type="dxa"/>
          <w:top w:w="0" w:type="dxa"/>
          <w:right w:w="108" w:type="dxa"/>
          <w:bottom w:w="0" w:type="dxa"/>
        </w:tblCellMar>
        <w:tblLook w:val="04A0" w:firstRow="1" w:lastRow="0" w:firstColumn="1" w:lastColumn="0" w:noHBand="0" w:noVBand="1"/>
      </w:tblPr>
      <w:tblGrid>
        <w:gridCol w:w="794"/>
        <w:gridCol w:w="3384"/>
        <w:gridCol w:w="779"/>
        <w:gridCol w:w="1664"/>
        <w:gridCol w:w="1529"/>
        <w:gridCol w:w="1530"/>
      </w:tblGrid>
      <w:tr>
        <w:trPr>
          <w:jc w:val="center"/>
          <w:trHeight w:val="660"/>
        </w:trPr>
        <w:tc>
          <w:tcPr>
            <w:tcBorders>
              <w:top w:val="single" w:color="000000" w:sz="4" w:space="0"/>
              <w:left w:val="single" w:color="000000" w:sz="4" w:space="0"/>
              <w:bottom w:val="non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i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center"/>
              <w:keepLines w:val="0"/>
              <w:keepNext w:val="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i w:val="0"/>
                <w:color w:val="000000"/>
                <w:sz w:val="21"/>
                <w:szCs w:val="21"/>
                <w:highlight w:val="none"/>
                <w:u w:val="none"/>
                <w:lang w:val="en-US" w:eastAsia="zh-CN" w:bidi="ar"/>
              </w:rPr>
              <w:t xml:space="preserve">品种名称及规格</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i w:val="0"/>
                <w:color w:val="000000"/>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i w:val="0"/>
                <w:color w:val="000000"/>
                <w:sz w:val="21"/>
                <w:szCs w:val="21"/>
                <w:highlight w:val="none"/>
                <w:u w:val="none"/>
                <w:lang w:val="en-US" w:eastAsia="zh-CN" w:bidi="ar"/>
              </w:rPr>
              <w:t xml:space="preserve">最高限价（元）</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i w:val="0"/>
                <w:color w:val="000000"/>
                <w:sz w:val="21"/>
                <w:szCs w:val="21"/>
                <w:highlight w:val="none"/>
                <w:u w:val="none"/>
                <w:lang w:val="en-US" w:eastAsia="zh-CN" w:bidi="ar"/>
              </w:rPr>
              <w:t xml:space="preserve">预估使用量</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i w:val="0"/>
                <w:color w:val="000000"/>
                <w:sz w:val="21"/>
                <w:szCs w:val="21"/>
                <w:highlight w:val="none"/>
                <w:u w:val="none"/>
                <w:lang w:val="en-US" w:eastAsia="zh-CN" w:bidi="ar"/>
              </w:rPr>
              <w:t xml:space="preserve">合计金额（元）</w:t>
            </w:r>
            <w:r/>
          </w:p>
        </w:tc>
      </w:tr>
      <w:tr>
        <w:trPr>
          <w:jc w:val="center"/>
          <w:trHeight w:val="705"/>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left"/>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防眩板</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182.85</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47541</w:t>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圆形防撞桶（滚塑材料）</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459.23</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45923</w:t>
            </w:r>
            <w:r/>
          </w:p>
        </w:tc>
      </w:tr>
      <w:tr>
        <w:trPr>
          <w:jc w:val="center"/>
          <w:trHeight w:val="975"/>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船型防撞桶（滚塑材料）</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3843.62</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76872.4</w:t>
            </w:r>
            <w:r/>
          </w:p>
        </w:tc>
      </w:tr>
      <w:tr>
        <w:trPr>
          <w:jc w:val="center"/>
          <w:trHeight w:val="825"/>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水马（滚塑材料）</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151.29</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3025.8</w:t>
            </w:r>
            <w:r/>
          </w:p>
        </w:tc>
      </w:tr>
      <w:tr>
        <w:trPr>
          <w:jc w:val="center"/>
          <w:trHeight w:val="735"/>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钢质防撞垫</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8976.25</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89762.5</w:t>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波形护栏</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562.26</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67471.2</w:t>
            </w:r>
            <w:r/>
          </w:p>
        </w:tc>
      </w:tr>
      <w:tr>
        <w:trPr>
          <w:jc w:val="center"/>
          <w:trHeight w:val="645"/>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太阳能柱式诱导标</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2213.58</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110679</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方管护栏</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1066.37</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127964.4</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彩色护栏（850mm×3000mm）（950mm×3000mm）等</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741.27</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350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259444.5</w:t>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立柱</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191.54</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22984.8</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底座</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178.74</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41110.2</w:t>
            </w:r>
            <w:r/>
          </w:p>
        </w:tc>
      </w:tr>
      <w:tr>
        <w:trPr>
          <w:jc w:val="center"/>
          <w:trHeight w:val="945"/>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热熔标线</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45.55</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12000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546600</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防滑标线</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176.23</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88115</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常温双组份</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70.33</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170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11956.1</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除线</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71.57</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214710</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轮廓标（高架）</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30.06</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15030</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弹性警示柱（螺纹状）</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61.07</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10992.6</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标志牌（铝板、3M反光膜高强钻石级）含安装</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907.36</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70774.08</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标志牌改版面（3M反光膜高强钻石级）含安装</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593.56</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101.3</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60127.628</w:t>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高架施工安保费</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次</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956.83</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47841.5</w:t>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1958925.708</w:t>
            </w:r>
            <w:r/>
          </w:p>
        </w:tc>
      </w:tr>
    </w:tbl>
    <w:p>
      <w:pPr>
        <w:pStyle w:val="3124"/>
        <w:jc w:val="both"/>
        <w:keepLines w:val="0"/>
        <w:keepNext w:val="0"/>
        <w:pageBreakBefore w:val="0"/>
        <w:spacing w:beforeAutospacing="0" w:afterAutospacing="0" w:line="500" w:lineRule="exact"/>
        <w:widowControl w:val="off"/>
        <w:rPr>
          <w:rFonts w:hint="eastAsia" w:ascii="宋体" w:hAnsi="宋体" w:eastAsia="宋体" w:cs="宋体"/>
          <w:b/>
          <w:bCs/>
          <w:color w:val="auto"/>
          <w:highlight w:val="none"/>
          <w:shd w:val="clear" w:color="auto" w:fill="auto"/>
          <w:lang w:val="en-US" w:eastAsia="zh-CN"/>
        </w:rPr>
      </w:pPr>
      <w:r>
        <w:rPr>
          <w:rFonts w:hint="eastAsia" w:ascii="宋体" w:hAnsi="宋体" w:eastAsia="宋体" w:cs="宋体"/>
          <w:b/>
          <w:bCs/>
          <w:color w:val="auto"/>
          <w:highlight w:val="none"/>
          <w:shd w:val="clear" w:color="auto" w:fill="auto"/>
          <w:lang w:val="en-US" w:eastAsia="zh-CN"/>
        </w:rPr>
        <w:t xml:space="preserve">三、履行方式</w:t>
      </w:r>
      <w:r/>
    </w:p>
    <w:p>
      <w:pPr>
        <w:pStyle w:val="3124"/>
        <w:ind w:firstLine="480"/>
        <w:jc w:val="both"/>
        <w:keepLines w:val="0"/>
        <w:keepNext w:val="0"/>
        <w:pageBreakBefore w:val="0"/>
        <w:spacing w:beforeAutospacing="0" w:afterAutospacing="0" w:line="500" w:lineRule="exact"/>
        <w:widowControl w:val="off"/>
        <w:rPr>
          <w:rFonts w:hint="eastAsia" w:ascii="宋体" w:hAnsi="宋体" w:eastAsia="宋体" w:cs="宋体"/>
          <w:b w:val="0"/>
          <w:bCs w:val="0"/>
          <w:color w:val="auto"/>
          <w:highlight w:val="none"/>
          <w:shd w:val="clear" w:color="auto" w:fill="auto"/>
          <w:lang w:val="en-US" w:eastAsia="zh-CN"/>
        </w:rPr>
      </w:pPr>
      <w:r>
        <w:rPr>
          <w:rFonts w:hint="eastAsia" w:ascii="宋体" w:hAnsi="宋体" w:eastAsia="宋体" w:cs="宋体"/>
          <w:b w:val="0"/>
          <w:bCs w:val="0"/>
          <w:color w:val="auto"/>
          <w:highlight w:val="none"/>
          <w:shd w:val="clear" w:color="auto" w:fill="auto"/>
          <w:lang w:val="en-US" w:eastAsia="zh-CN"/>
        </w:rPr>
        <w:t xml:space="preserve">采购人明确其所属交</w:t>
      </w:r>
      <w:r>
        <w:rPr>
          <w:rFonts w:hint="eastAsia" w:ascii="宋体" w:hAnsi="宋体" w:cs="宋体"/>
          <w:b w:val="0"/>
          <w:bCs w:val="0"/>
          <w:color w:val="auto"/>
          <w:highlight w:val="none"/>
          <w:shd w:val="clear" w:color="auto" w:fill="auto"/>
          <w:lang w:val="en-US" w:eastAsia="zh-CN"/>
        </w:rPr>
        <w:t xml:space="preserve">管</w:t>
      </w:r>
      <w:r>
        <w:rPr>
          <w:rFonts w:hint="eastAsia" w:ascii="宋体" w:hAnsi="宋体" w:eastAsia="宋体" w:cs="宋体"/>
          <w:b w:val="0"/>
          <w:bCs w:val="0"/>
          <w:color w:val="auto"/>
          <w:highlight w:val="none"/>
          <w:shd w:val="clear" w:color="auto" w:fill="auto"/>
          <w:lang w:val="en-US" w:eastAsia="zh-CN"/>
        </w:rPr>
        <w:t xml:space="preserve">支队警保</w:t>
      </w:r>
      <w:r>
        <w:rPr>
          <w:rFonts w:hint="eastAsia" w:ascii="宋体" w:hAnsi="宋体" w:cs="宋体"/>
          <w:b w:val="0"/>
          <w:bCs w:val="0"/>
          <w:color w:val="auto"/>
          <w:highlight w:val="none"/>
          <w:shd w:val="clear" w:color="auto" w:fill="auto"/>
          <w:lang w:val="en-US" w:eastAsia="zh-CN"/>
        </w:rPr>
        <w:t xml:space="preserve">室</w:t>
      </w:r>
      <w:r>
        <w:rPr>
          <w:rFonts w:hint="eastAsia" w:ascii="宋体" w:hAnsi="宋体" w:eastAsia="宋体" w:cs="宋体"/>
          <w:b w:val="0"/>
          <w:bCs w:val="0"/>
          <w:color w:val="auto"/>
          <w:highlight w:val="none"/>
          <w:shd w:val="clear" w:color="auto" w:fill="auto"/>
          <w:lang w:val="en-US" w:eastAsia="zh-CN"/>
        </w:rPr>
        <w:t xml:space="preserve">为项目主管部门，具体负责项目派工、验收、网上审核、结算等事宜，投标人接到采购人派工指令后立即组织维保、抢修施工，并与相关辖区大队对接检查验收等事宜，采购人通过网上流程出单给投标人提交审计。具体流程参照《市区相关道路交通安全设施维保工作规范》执行。</w:t>
      </w:r>
      <w:r/>
    </w:p>
    <w:p>
      <w:pPr>
        <w:pStyle w:val="3124"/>
        <w:jc w:val="both"/>
        <w:keepLines w:val="0"/>
        <w:keepNext w:val="0"/>
        <w:pageBreakBefore w:val="0"/>
        <w:spacing w:beforeAutospacing="0" w:afterAutospacing="0" w:line="500" w:lineRule="exact"/>
        <w:widowControl w:val="off"/>
        <w:rPr>
          <w:rFonts w:hint="eastAsia" w:ascii="宋体" w:hAnsi="宋体" w:eastAsia="宋体" w:cs="宋体"/>
          <w:b/>
          <w:bCs/>
          <w:color w:val="auto"/>
          <w:highlight w:val="none"/>
          <w:shd w:val="clear" w:color="auto" w:fill="auto"/>
          <w:lang w:val="en-US" w:eastAsia="zh-CN"/>
        </w:rPr>
      </w:pPr>
      <w:r>
        <w:rPr>
          <w:rFonts w:hint="eastAsia" w:ascii="宋体" w:hAnsi="宋体" w:eastAsia="宋体" w:cs="宋体"/>
          <w:b/>
          <w:bCs/>
          <w:color w:val="auto"/>
          <w:highlight w:val="none"/>
          <w:shd w:val="clear" w:color="auto" w:fill="auto"/>
          <w:lang w:val="en-US" w:eastAsia="zh-CN"/>
        </w:rPr>
        <w:t xml:space="preserve">四、结算方式</w:t>
      </w:r>
      <w:r/>
    </w:p>
    <w:p>
      <w:pPr>
        <w:pStyle w:val="3124"/>
        <w:ind w:firstLine="480"/>
        <w:jc w:val="both"/>
        <w:keepLines w:val="0"/>
        <w:keepNext w:val="0"/>
        <w:pageBreakBefore w:val="0"/>
        <w:spacing w:beforeAutospacing="0" w:afterAutospacing="0" w:line="500" w:lineRule="exact"/>
        <w:widowControl w:val="off"/>
        <w:rPr>
          <w:rFonts w:hint="eastAsia" w:ascii="宋体" w:hAnsi="宋体" w:eastAsia="宋体" w:cs="宋体"/>
          <w:b w:val="0"/>
          <w:bCs w:val="0"/>
          <w:color w:val="auto"/>
          <w:highlight w:val="none"/>
          <w:shd w:val="clear" w:color="auto" w:fill="auto"/>
          <w:lang w:val="en-US" w:eastAsia="zh-CN"/>
        </w:rPr>
      </w:pPr>
      <w:r>
        <w:rPr>
          <w:rFonts w:hint="eastAsia" w:ascii="宋体" w:hAnsi="宋体" w:eastAsia="宋体" w:cs="宋体"/>
          <w:b w:val="0"/>
          <w:bCs w:val="0"/>
          <w:color w:val="auto"/>
          <w:highlight w:val="none"/>
          <w:shd w:val="clear" w:color="auto" w:fill="auto"/>
          <w:lang w:val="en-US" w:eastAsia="zh-CN"/>
        </w:rPr>
        <w:t xml:space="preserve">预付款：合同签订后，采购人收到预付款发票后10个工作日内，预付款支付比例：合同金额的30%。（在签订合同时，中标人明确书面表示无需预付款或者主动要求降低预付款比例的，采购人可就预付款比例作相应调整）</w:t>
      </w:r>
      <w:r/>
    </w:p>
    <w:p>
      <w:pPr>
        <w:pStyle w:val="3124"/>
        <w:numPr>
          <w:ilvl w:val="0"/>
          <w:numId w:val="0"/>
        </w:numPr>
        <w:ind w:left="120" w:firstLine="480"/>
        <w:jc w:val="both"/>
        <w:spacing w:beforeAutospacing="0" w:afterAutospacing="0" w:line="500" w:lineRule="exact"/>
        <w:rPr>
          <w:rFonts w:hint="eastAsia" w:ascii="宋体" w:hAnsi="宋体" w:cs="宋体"/>
          <w:color w:val="auto"/>
          <w:sz w:val="24"/>
          <w:szCs w:val="24"/>
          <w:highlight w:val="none"/>
        </w:rPr>
      </w:pPr>
      <w:r>
        <w:rPr>
          <w:rFonts w:hint="eastAsia" w:ascii="宋体" w:hAnsi="宋体" w:eastAsia="宋体" w:cs="宋体"/>
          <w:b w:val="0"/>
          <w:bCs w:val="0"/>
          <w:color w:val="auto"/>
          <w:highlight w:val="none"/>
          <w:shd w:val="clear" w:color="auto" w:fill="auto"/>
          <w:lang w:val="en-US" w:eastAsia="zh-CN"/>
        </w:rPr>
        <w:t xml:space="preserve">进度款：以实际工程量结算，按季度审计后结算（结算时须扣除当季度应扣除的预付款）。采购人负责结算事宜、中标人配合，采购人应及时完成出单、审计、结算全部流程，中标人向采购人开具增值税发票，采购人在收到增值税发票后的10个工作日内支付相应款项</w:t>
      </w:r>
      <w:r>
        <w:rPr>
          <w:rFonts w:hint="eastAsia" w:ascii="宋体" w:hAnsi="宋体" w:cs="宋体"/>
          <w:color w:val="auto"/>
          <w:sz w:val="24"/>
          <w:szCs w:val="24"/>
          <w:highlight w:val="none"/>
        </w:rPr>
        <w:t xml:space="preserve">。 </w:t>
      </w:r>
      <w:r/>
    </w:p>
    <w:p>
      <w:pPr>
        <w:pStyle w:val="3124"/>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3124"/>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3124"/>
        <w:ind w:firstLine="602"/>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tabs>
          <w:tab w:val="left" w:pos="6205" w:leader="none"/>
        </w:tabs>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tabs>
          <w:tab w:val="left" w:pos="6205" w:leader="none"/>
        </w:tabs>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bookmarkStart w:id="162" w:name="_Toc120614281"/>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center"/>
        <w:spacing w:beforeAutospacing="0" w:afterAutospacing="0"/>
        <w:rPr>
          <w:rFonts w:hint="eastAsia" w:ascii="黑体" w:hAnsi="宋体" w:eastAsia="黑体" w:cs="黑体"/>
          <w:color w:val="auto"/>
          <w:sz w:val="44"/>
          <w:szCs w:val="44"/>
          <w:highlight w:val="none"/>
        </w:rPr>
        <w:sectPr>
          <w:headerReference w:type="default" r:id="rId15"/>
          <w:headerReference w:type="even" r:id="rId16"/>
          <w:headerReference w:type="first" r:id="rId17"/>
          <w:footnotePr/>
          <w:endnotePr/>
          <w:type w:val="nextPage"/>
          <w:pgSz w:w="11906" w:h="16838" w:orient="portrait"/>
          <w:pgMar w:top="1440" w:right="1800" w:bottom="1440" w:left="1800" w:header="851" w:footer="992" w:gutter="0"/>
          <w:lnNumType w:countBy="0" w:distance="360"/>
          <w:cols w:num="1" w:sep="0" w:space="720" w:equalWidth="1"/>
          <w:docGrid w:linePitch="360"/>
        </w:sectPr>
      </w:pPr>
      <w:r>
        <w:rPr>
          <w:rFonts w:hint="eastAsia" w:ascii="黑体" w:hAnsi="宋体" w:eastAsia="黑体" w:cs="黑体"/>
          <w:color w:val="auto"/>
          <w:sz w:val="44"/>
          <w:szCs w:val="44"/>
          <w:highlight w:val="none"/>
        </w:rPr>
      </w:r>
      <w:r/>
    </w:p>
    <w:p>
      <w:pPr>
        <w:pStyle w:val="3124"/>
        <w:jc w:val="center"/>
        <w:spacing w:beforeAutospacing="0" w:afterAutospacing="0"/>
        <w:rPr>
          <w:rFonts w:hint="default"/>
          <w:color w:val="auto"/>
          <w:sz w:val="24"/>
          <w:szCs w:val="24"/>
          <w:highlight w:val="none"/>
        </w:rPr>
      </w:pPr>
      <w:r>
        <w:rPr>
          <w:rFonts w:hint="eastAsia" w:ascii="黑体" w:hAnsi="宋体" w:eastAsia="黑体" w:cs="黑体"/>
          <w:color w:val="auto"/>
          <w:sz w:val="44"/>
          <w:szCs w:val="44"/>
          <w:highlight w:val="none"/>
        </w:rPr>
        <w:t xml:space="preserve">第五章  响应文件格式</w:t>
      </w:r>
      <w:r/>
    </w:p>
    <w:p>
      <w:pPr>
        <w:pStyle w:val="3124"/>
        <w:jc w:val="center"/>
        <w:spacing w:beforeAutospacing="0" w:afterAutospacing="0"/>
        <w:rPr>
          <w:rFonts w:hint="eastAsia" w:ascii="宋体" w:hAnsi="宋体" w:cs="宋体"/>
          <w:b/>
          <w:color w:val="auto"/>
          <w:sz w:val="72"/>
          <w:szCs w:val="72"/>
          <w:highlight w:val="none"/>
        </w:rPr>
      </w:pPr>
      <w:r/>
      <w:bookmarkStart w:id="163" w:name="_Toc49090576"/>
      <w:r/>
      <w:bookmarkEnd w:id="163"/>
      <w:r/>
      <w:bookmarkStart w:id="164" w:name="_Toc120614282"/>
      <w:r/>
      <w:bookmarkEnd w:id="164"/>
      <w:r/>
      <w:bookmarkStart w:id="165" w:name="_Toc26554094"/>
      <w:r/>
      <w:bookmarkStart w:id="166" w:name="_Hlt26955039"/>
      <w:r/>
      <w:bookmarkStart w:id="167" w:name="_Hlt26671244"/>
      <w:r/>
      <w:r/>
    </w:p>
    <w:p>
      <w:pPr>
        <w:pStyle w:val="3124"/>
        <w:jc w:val="center"/>
        <w:spacing w:beforeAutospacing="0" w:afterAutospacing="0"/>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pStyle w:val="3124"/>
        <w:jc w:val="center"/>
        <w:spacing w:beforeAutospacing="0" w:afterAutospacing="0"/>
        <w:rPr>
          <w:rFonts w:hint="default"/>
          <w:color w:val="auto"/>
          <w:sz w:val="24"/>
          <w:szCs w:val="24"/>
          <w:highlight w:val="none"/>
        </w:rPr>
      </w:pPr>
      <w:r>
        <w:rPr>
          <w:rFonts w:hint="eastAsia" w:ascii="宋体" w:hAnsi="宋体" w:cs="宋体"/>
          <w:b/>
          <w:color w:val="auto"/>
          <w:sz w:val="72"/>
          <w:szCs w:val="72"/>
          <w:highlight w:val="none"/>
        </w:rPr>
        <w:t xml:space="preserve">响  应  文  件</w:t>
      </w:r>
      <w:r/>
    </w:p>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ind w:firstLine="1084"/>
        <w:jc w:val="both"/>
        <w:spacing w:beforeAutospacing="0" w:afterAutospacing="0"/>
        <w:rPr>
          <w:rFonts w:hint="default"/>
          <w:color w:val="auto"/>
          <w:sz w:val="24"/>
          <w:szCs w:val="24"/>
          <w:highlight w:val="none"/>
        </w:rPr>
      </w:pPr>
      <w:r>
        <w:rPr>
          <w:rFonts w:hint="eastAsia" w:ascii="宋体" w:hAnsi="宋体" w:cs="宋体"/>
          <w:b/>
          <w:color w:val="auto"/>
          <w:sz w:val="36"/>
          <w:szCs w:val="36"/>
          <w:highlight w:val="none"/>
        </w:rPr>
        <w:t xml:space="preserve">项 目 名 称：</w:t>
      </w:r>
      <w:r>
        <w:rPr>
          <w:rFonts w:hint="eastAsia" w:ascii="宋体" w:hAnsi="宋体" w:cs="宋体"/>
          <w:b/>
          <w:color w:val="auto"/>
          <w:sz w:val="36"/>
          <w:szCs w:val="36"/>
          <w:highlight w:val="none"/>
          <w:u w:val="single"/>
        </w:rPr>
        <w:t xml:space="preserve">            </w:t>
      </w:r>
      <w:r/>
    </w:p>
    <w:p>
      <w:pPr>
        <w:pStyle w:val="3124"/>
        <w:ind w:firstLine="1084"/>
        <w:jc w:val="both"/>
        <w:spacing w:beforeAutospacing="0" w:afterAutospacing="0"/>
        <w:rPr>
          <w:rFonts w:hint="default"/>
          <w:color w:val="auto"/>
          <w:sz w:val="24"/>
          <w:szCs w:val="24"/>
          <w:highlight w:val="none"/>
        </w:rPr>
      </w:pPr>
      <w:r>
        <w:rPr>
          <w:rFonts w:hint="eastAsia" w:ascii="宋体" w:hAnsi="宋体" w:cs="宋体"/>
          <w:b/>
          <w:color w:val="auto"/>
          <w:sz w:val="36"/>
          <w:szCs w:val="36"/>
          <w:highlight w:val="none"/>
        </w:rPr>
        <w:t xml:space="preserve">采 购 编 号：</w:t>
      </w:r>
      <w:r>
        <w:rPr>
          <w:rFonts w:hint="eastAsia" w:ascii="宋体" w:hAnsi="宋体" w:cs="宋体"/>
          <w:b/>
          <w:color w:val="auto"/>
          <w:sz w:val="36"/>
          <w:szCs w:val="36"/>
          <w:highlight w:val="none"/>
          <w:u w:val="single"/>
        </w:rPr>
        <w:t xml:space="preserve">            </w:t>
      </w:r>
      <w:r/>
    </w:p>
    <w:p>
      <w:pPr>
        <w:pStyle w:val="3124"/>
        <w:jc w:val="both"/>
        <w:spacing w:beforeAutospacing="0" w:afterAutospacing="0"/>
        <w:rPr>
          <w:rFonts w:hint="default"/>
          <w:color w:val="auto"/>
          <w:sz w:val="24"/>
          <w:szCs w:val="24"/>
          <w:highlight w:val="none"/>
        </w:rPr>
      </w:pPr>
      <w:r>
        <w:rPr>
          <w:rFonts w:hint="eastAsia" w:ascii="宋体" w:hAnsi="宋体" w:cs="宋体"/>
          <w:b/>
          <w:color w:val="auto"/>
          <w:sz w:val="36"/>
          <w:szCs w:val="36"/>
          <w:highlight w:val="none"/>
        </w:rPr>
        <w:t xml:space="preserve">   供应商名称 ：</w:t>
      </w:r>
      <w:r>
        <w:rPr>
          <w:rFonts w:hint="eastAsia" w:ascii="宋体" w:hAnsi="宋体" w:cs="宋体"/>
          <w:b/>
          <w:color w:val="auto"/>
          <w:sz w:val="36"/>
          <w:szCs w:val="36"/>
          <w:highlight w:val="none"/>
          <w:u w:val="single"/>
        </w:rPr>
        <w:t xml:space="preserve">（加盖CA电子公章）</w:t>
      </w:r>
      <w:r/>
    </w:p>
    <w:p>
      <w:pPr>
        <w:pStyle w:val="3124"/>
        <w:jc w:val="both"/>
        <w:spacing w:beforeAutospacing="0" w:afterAutospacing="0"/>
        <w:rPr>
          <w:rFonts w:hint="default"/>
          <w:color w:val="auto"/>
          <w:sz w:val="24"/>
          <w:szCs w:val="24"/>
          <w:highlight w:val="none"/>
        </w:rPr>
      </w:pPr>
      <w:r>
        <w:rPr>
          <w:rFonts w:hint="eastAsia" w:ascii="宋体" w:hAnsi="宋体" w:cs="宋体"/>
          <w:b/>
          <w:color w:val="auto"/>
          <w:sz w:val="36"/>
          <w:szCs w:val="36"/>
          <w:highlight w:val="none"/>
        </w:rPr>
        <w:t xml:space="preserve">   日   期 ：</w:t>
      </w:r>
      <w:r>
        <w:rPr>
          <w:rFonts w:hint="eastAsia" w:ascii="宋体" w:hAnsi="宋体" w:cs="宋体"/>
          <w:b/>
          <w:color w:val="auto"/>
          <w:sz w:val="36"/>
          <w:szCs w:val="36"/>
          <w:highlight w:val="none"/>
          <w:u w:val="single"/>
        </w:rPr>
        <w:t xml:space="preserve">              </w:t>
      </w:r>
      <w:r/>
    </w:p>
    <w:p>
      <w:pPr>
        <w:pStyle w:val="3124"/>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3124"/>
        <w:jc w:val="center"/>
        <w:spacing w:beforeAutospacing="0" w:afterAutospacing="0" w:line="240" w:lineRule="atLeast"/>
        <w:rPr>
          <w:rFonts w:hint="eastAsia" w:ascii="宋体" w:hAnsi="宋体" w:cs="宋体"/>
          <w:b/>
          <w:color w:val="auto"/>
          <w:sz w:val="36"/>
          <w:szCs w:val="36"/>
          <w:highlight w:val="none"/>
          <w:u w:val="single"/>
        </w:rPr>
      </w:pPr>
      <w:r>
        <w:rPr>
          <w:rFonts w:hint="eastAsia" w:ascii="宋体" w:hAnsi="宋体" w:cs="宋体"/>
          <w:b/>
          <w:color w:val="auto"/>
          <w:sz w:val="36"/>
          <w:szCs w:val="36"/>
          <w:highlight w:val="none"/>
          <w:u w:val="single"/>
        </w:rPr>
      </w:r>
      <w:r/>
    </w:p>
    <w:p>
      <w:pPr>
        <w:pStyle w:val="3124"/>
        <w:jc w:val="center"/>
        <w:spacing w:beforeAutospacing="0" w:afterAutospacing="0" w:line="240" w:lineRule="atLeast"/>
        <w:rPr>
          <w:rFonts w:hint="eastAsia" w:ascii="宋体" w:hAnsi="宋体" w:cs="宋体"/>
          <w:b/>
          <w:color w:val="auto"/>
          <w:sz w:val="36"/>
          <w:szCs w:val="36"/>
          <w:highlight w:val="none"/>
          <w:u w:val="single"/>
        </w:rPr>
      </w:pPr>
      <w:r>
        <w:rPr>
          <w:rFonts w:hint="eastAsia" w:ascii="宋体" w:hAnsi="宋体" w:cs="宋体"/>
          <w:b/>
          <w:color w:val="auto"/>
          <w:sz w:val="36"/>
          <w:szCs w:val="36"/>
          <w:highlight w:val="none"/>
          <w:u w:val="single"/>
        </w:rPr>
      </w:r>
      <w:r/>
    </w:p>
    <w:p>
      <w:pPr>
        <w:pStyle w:val="3124"/>
        <w:jc w:val="center"/>
        <w:spacing w:beforeAutospacing="0" w:afterAutospacing="0" w:line="240" w:lineRule="atLeast"/>
        <w:rPr>
          <w:rFonts w:hint="eastAsia" w:ascii="宋体" w:hAnsi="宋体" w:cs="宋体"/>
          <w:b/>
          <w:color w:val="auto"/>
          <w:sz w:val="36"/>
          <w:szCs w:val="36"/>
          <w:highlight w:val="none"/>
          <w:u w:val="single"/>
        </w:rPr>
      </w:pPr>
      <w:r>
        <w:rPr>
          <w:rFonts w:hint="eastAsia" w:ascii="宋体" w:hAnsi="宋体" w:cs="宋体"/>
          <w:b/>
          <w:color w:val="auto"/>
          <w:sz w:val="36"/>
          <w:szCs w:val="36"/>
          <w:highlight w:val="none"/>
          <w:u w:val="single"/>
        </w:rPr>
      </w:r>
      <w:r/>
    </w:p>
    <w:p>
      <w:pPr>
        <w:pStyle w:val="3124"/>
        <w:jc w:val="center"/>
        <w:spacing w:beforeAutospacing="0" w:afterAutospacing="0" w:line="240" w:lineRule="atLeast"/>
        <w:rPr>
          <w:rFonts w:hint="eastAsia" w:ascii="宋体" w:hAnsi="宋体" w:cs="宋体"/>
          <w:b/>
          <w:color w:val="auto"/>
          <w:sz w:val="36"/>
          <w:szCs w:val="36"/>
          <w:highlight w:val="none"/>
          <w:u w:val="single"/>
        </w:rPr>
      </w:pPr>
      <w:r>
        <w:rPr>
          <w:rFonts w:hint="eastAsia" w:ascii="宋体" w:hAnsi="宋体" w:cs="宋体"/>
          <w:b/>
          <w:color w:val="auto"/>
          <w:sz w:val="36"/>
          <w:szCs w:val="36"/>
          <w:highlight w:val="none"/>
          <w:u w:val="single"/>
        </w:rPr>
      </w:r>
      <w:r/>
    </w:p>
    <w:p>
      <w:pPr>
        <w:pStyle w:val="3124"/>
        <w:jc w:val="center"/>
        <w:spacing w:beforeAutospacing="0" w:afterAutospacing="0" w:line="240" w:lineRule="atLeast"/>
        <w:rPr>
          <w:rFonts w:hint="default"/>
          <w:color w:val="auto"/>
          <w:sz w:val="24"/>
          <w:szCs w:val="24"/>
          <w:highlight w:val="none"/>
        </w:rPr>
      </w:pPr>
      <w:r>
        <w:rPr>
          <w:rFonts w:hint="eastAsia" w:ascii="宋体" w:hAnsi="宋体" w:cs="宋体"/>
          <w:b/>
          <w:color w:val="auto"/>
          <w:sz w:val="32"/>
          <w:szCs w:val="32"/>
          <w:highlight w:val="none"/>
        </w:rPr>
        <w:t xml:space="preserve">响应文件目录</w:t>
      </w:r>
      <w:r/>
    </w:p>
    <w:p>
      <w:pPr>
        <w:pStyle w:val="3124"/>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3124"/>
        <w:ind w:left="480"/>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一、法人或者其他组织的营业执照等证明文件，自然人的身份证明</w:t>
      </w:r>
      <w:r/>
    </w:p>
    <w:p>
      <w:pPr>
        <w:ind w:firstLine="480"/>
        <w:jc w:val="left"/>
        <w:tabs>
          <w:tab w:val="left" w:pos="133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二、上一年度的财务状况报告（至少提供资产负债表、利润表、现金流量表，</w:t>
      </w:r>
      <w:r/>
    </w:p>
    <w:p>
      <w:pPr>
        <w:pStyle w:val="3124"/>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协商供应商成立不满一年无需提供）</w:t>
      </w:r>
      <w:r/>
    </w:p>
    <w:p>
      <w:pPr>
        <w:pStyle w:val="3124"/>
        <w:numPr>
          <w:ilvl w:val="0"/>
          <w:numId w:val="1"/>
        </w:numPr>
        <w:ind w:left="480"/>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具备履行合同所必需的设备和专业技术能力的书面声明</w:t>
      </w:r>
      <w:r/>
    </w:p>
    <w:p>
      <w:pPr>
        <w:pStyle w:val="3124"/>
        <w:numPr>
          <w:ilvl w:val="0"/>
          <w:numId w:val="0"/>
        </w:numPr>
        <w:ind w:firstLine="480"/>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依法缴纳税收和社会保障资金的相关材料（提供提交协商响应文件截止时间前一年内至少一个月依法缴纳税收及缴纳社会保障资金的证明材料。协商供应商依法享受缓缴、免缴税收、社会保障资金的提供证明材料。）</w:t>
      </w:r>
      <w:r/>
    </w:p>
    <w:p>
      <w:pPr>
        <w:pStyle w:val="3124"/>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五、参加政府采购活动前 3 年内在经营活动中没有重大违法记录的书面声明</w:t>
      </w:r>
      <w:r/>
    </w:p>
    <w:p>
      <w:pPr>
        <w:pStyle w:val="3124"/>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六、特定资格要求的证明文件（如果本项目设置特定资格要求，则需要提供）</w:t>
      </w:r>
      <w:r/>
    </w:p>
    <w:p>
      <w:pPr>
        <w:pStyle w:val="3124"/>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七、法人授权书</w:t>
      </w:r>
      <w:r/>
    </w:p>
    <w:p>
      <w:pPr>
        <w:pStyle w:val="3124"/>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八、单一来源响应函</w:t>
      </w:r>
      <w:r/>
    </w:p>
    <w:p>
      <w:pPr>
        <w:pStyle w:val="3124"/>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九、中小微企业声明函</w:t>
      </w:r>
      <w:r/>
    </w:p>
    <w:p>
      <w:pPr>
        <w:pStyle w:val="3124"/>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十、分项报价表</w:t>
      </w:r>
      <w:r/>
    </w:p>
    <w:p>
      <w:pPr>
        <w:pStyle w:val="3124"/>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十一、技术要求响应及偏离表</w:t>
      </w:r>
      <w:r/>
    </w:p>
    <w:p>
      <w:pPr>
        <w:pStyle w:val="3124"/>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十二、商务要求响应及偏离表</w:t>
      </w:r>
      <w:r/>
    </w:p>
    <w:p>
      <w:pPr>
        <w:pStyle w:val="3124"/>
        <w:ind w:left="480"/>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十三、开标一览表</w:t>
      </w:r>
      <w:r/>
    </w:p>
    <w:p>
      <w:pPr>
        <w:ind w:firstLine="480"/>
        <w:spacing w:before="50" w:after="5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十四、技术方案、服务承诺、培训承诺等</w:t>
      </w:r>
      <w:r/>
    </w:p>
    <w:p>
      <w:pPr>
        <w:pStyle w:val="3124"/>
        <w:ind w:firstLine="480"/>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十五、盐城市政府采购事前信用承诺书</w:t>
      </w:r>
      <w:r/>
    </w:p>
    <w:p>
      <w:pPr>
        <w:pStyle w:val="3124"/>
        <w:ind w:firstLine="480"/>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3124"/>
        <w:ind w:firstLine="480"/>
        <w:jc w:val="both"/>
        <w:spacing w:beforeAutospacing="0" w:afterAutospacing="0" w:line="360" w:lineRule="auto"/>
        <w:rPr>
          <w:rFonts w:hint="eastAsia" w:ascii="宋体" w:hAnsi="宋体" w:cs="宋体"/>
          <w:color w:val="auto"/>
          <w:sz w:val="24"/>
          <w:szCs w:val="24"/>
          <w:highlight w:val="none"/>
        </w:rPr>
      </w:pPr>
      <w:r>
        <w:rPr>
          <w:rFonts w:hint="default"/>
          <w:color w:val="auto"/>
          <w:sz w:val="24"/>
          <w:szCs w:val="24"/>
          <w:highlight w:val="none"/>
        </w:rPr>
        <w:t xml:space="preserve"> </w:t>
      </w:r>
      <w:r/>
    </w:p>
    <w:p>
      <w:pPr>
        <w:pStyle w:val="3124"/>
        <w:ind w:firstLine="48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r>
      <w:r/>
    </w:p>
    <w:p>
      <w:pPr>
        <w:pStyle w:val="3124"/>
        <w:ind w:firstLine="48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3124"/>
        <w:ind w:firstLine="48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3124"/>
        <w:ind w:firstLine="48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3124"/>
        <w:ind w:firstLine="48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3124"/>
        <w:ind w:firstLine="48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3124"/>
        <w:ind w:firstLine="48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eastAsia" w:eastAsia="黑体"/>
          <w:color w:val="auto"/>
          <w:sz w:val="24"/>
          <w:szCs w:val="24"/>
          <w:highlight w:val="none"/>
        </w:rPr>
      </w:pPr>
      <w:r>
        <w:rPr>
          <w:rFonts w:hint="eastAsia" w:ascii="黑体" w:hAnsi="宋体" w:eastAsia="黑体" w:cs="黑体"/>
          <w:i/>
          <w:color w:val="auto"/>
          <w:sz w:val="32"/>
          <w:szCs w:val="32"/>
          <w:highlight w:val="none"/>
          <w:u w:val="single"/>
        </w:rPr>
        <w:t xml:space="preserve">二、上一年度的财务状况报告</w:t>
      </w:r>
      <w:r/>
    </w:p>
    <w:p>
      <w:pPr>
        <w:ind w:firstLine="480"/>
        <w:jc w:val="left"/>
        <w:tabs>
          <w:tab w:val="left" w:pos="1331"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（至少提供资产负债表、利润表、现金流量表，协商供应商成立不满一年无需提供）</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eastAsia" w:ascii="黑体" w:hAnsi="宋体" w:eastAsia="黑体" w:cs="黑体"/>
          <w:i/>
          <w:color w:val="auto"/>
          <w:sz w:val="32"/>
          <w:szCs w:val="32"/>
          <w:highlight w:val="none"/>
          <w:u w:val="single"/>
        </w:rPr>
        <w:t xml:space="preserve">三、具备履行合同所必需的设备和专业技术能力的书面声明</w:t>
      </w:r>
      <w:r/>
    </w:p>
    <w:p>
      <w:pPr>
        <w:pStyle w:val="3124"/>
        <w:ind w:firstLine="492"/>
        <w:jc w:val="both"/>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3124"/>
        <w:ind w:firstLine="492"/>
        <w:jc w:val="both"/>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主要设备有：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3124"/>
        <w:ind w:firstLine="492"/>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主要专业技术能力有：</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3124"/>
        <w:jc w:val="both"/>
        <w:spacing w:beforeAutospacing="0" w:afterAutospacing="0" w:line="240" w:lineRule="atLeast"/>
        <w:rPr>
          <w:rFonts w:hint="default"/>
          <w:color w:val="auto"/>
          <w:sz w:val="24"/>
          <w:szCs w:val="24"/>
          <w:highlight w:val="none"/>
        </w:rPr>
      </w:pPr>
      <w:r>
        <w:rPr>
          <w:rFonts w:hint="eastAsia" w:ascii="黑体" w:hAnsi="宋体" w:eastAsia="黑体" w:cs="黑体"/>
          <w:i/>
          <w:color w:val="auto"/>
          <w:sz w:val="32"/>
          <w:szCs w:val="32"/>
          <w:highlight w:val="none"/>
          <w:u w:val="single"/>
        </w:rPr>
        <w:t xml:space="preserve">四、依法缴纳税收和社会保障资金的相关材料</w:t>
      </w:r>
      <w:r/>
    </w:p>
    <w:p>
      <w:pPr>
        <w:pStyle w:val="3124"/>
        <w:ind w:firstLine="480"/>
        <w:jc w:val="both"/>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pStyle w:val="3124"/>
        <w:jc w:val="both"/>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3124"/>
        <w:jc w:val="center"/>
        <w:spacing w:beforeAutospacing="0" w:afterAutospacing="0" w:line="240" w:lineRule="atLeast"/>
        <w:rPr>
          <w:rFonts w:hint="default"/>
          <w:color w:val="auto"/>
          <w:sz w:val="24"/>
          <w:szCs w:val="24"/>
          <w:highlight w:val="none"/>
        </w:rPr>
      </w:pPr>
      <w:r>
        <w:rPr>
          <w:rFonts w:hint="eastAsia" w:ascii="宋体" w:hAnsi="宋体" w:cs="宋体"/>
          <w:b/>
          <w:color w:val="auto"/>
          <w:sz w:val="44"/>
          <w:szCs w:val="44"/>
          <w:highlight w:val="none"/>
        </w:rPr>
        <w:t xml:space="preserve">声  明</w:t>
      </w:r>
      <w:r/>
    </w:p>
    <w:p>
      <w:pPr>
        <w:pStyle w:val="3124"/>
        <w:jc w:val="both"/>
        <w:spacing w:beforeAutospacing="0" w:afterAutospacing="0" w:line="240" w:lineRule="atLeast"/>
        <w:rPr>
          <w:rFonts w:hint="default"/>
          <w:color w:val="auto"/>
          <w:sz w:val="24"/>
          <w:szCs w:val="24"/>
          <w:highlight w:val="none"/>
        </w:rPr>
      </w:pPr>
      <w:r>
        <w:rPr>
          <w:rFonts w:hint="eastAsia" w:ascii="宋体" w:hAnsi="宋体" w:cs="宋体"/>
          <w:b/>
          <w:color w:val="auto"/>
          <w:sz w:val="24"/>
          <w:szCs w:val="24"/>
          <w:highlight w:val="none"/>
        </w:rPr>
        <w:t xml:space="preserve">    </w:t>
      </w:r>
      <w:r>
        <w:rPr>
          <w:rFonts w:hint="eastAsia" w:ascii="宋体" w:hAnsi="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3124"/>
        <w:jc w:val="both"/>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   如果本项目申请人的特定资格要求中要求提供的，必须提供。</w:t>
      </w:r>
      <w:r/>
    </w:p>
    <w:p>
      <w:pPr>
        <w:pStyle w:val="3124"/>
        <w:jc w:val="center"/>
        <w:spacing w:beforeAutospacing="0" w:afterAutospacing="0"/>
        <w:rPr>
          <w:rFonts w:hint="default"/>
          <w:color w:val="auto"/>
          <w:sz w:val="24"/>
          <w:szCs w:val="24"/>
          <w:highlight w:val="none"/>
        </w:rPr>
      </w:pPr>
      <w:r/>
      <w:bookmarkStart w:id="168" w:name="_Toc120614284"/>
      <w:r>
        <w:rPr>
          <w:rFonts w:hint="eastAsia" w:ascii="黑体" w:hAnsi="宋体" w:eastAsia="黑体" w:cs="黑体"/>
          <w:i/>
          <w:color w:val="auto"/>
          <w:sz w:val="32"/>
          <w:szCs w:val="32"/>
          <w:highlight w:val="none"/>
          <w:u w:val="single"/>
        </w:rPr>
        <w:t xml:space="preserve">七、法人授权书</w:t>
      </w:r>
      <w:r/>
    </w:p>
    <w:p>
      <w:pPr>
        <w:pStyle w:val="3124"/>
        <w:ind w:firstLine="480"/>
        <w:jc w:val="both"/>
        <w:spacing w:beforeAutospacing="0" w:afterAutospacing="0"/>
        <w:tabs>
          <w:tab w:val="left" w:pos="360" w:leader="none"/>
        </w:tabs>
        <w:rPr>
          <w:rFonts w:hint="default"/>
          <w:color w:val="auto"/>
          <w:sz w:val="24"/>
          <w:szCs w:val="24"/>
          <w:highlight w:val="none"/>
        </w:rPr>
      </w:pPr>
      <w:r>
        <w:rPr>
          <w:rFonts w:hint="eastAsia" w:ascii="Times New Roman" w:hAnsi="Times New Roman"/>
          <w:color w:val="auto"/>
          <w:sz w:val="24"/>
          <w:szCs w:val="24"/>
          <w:highlight w:val="none"/>
        </w:rPr>
        <w:t xml:space="preserve">本授权书声明：____________（供应商名称）授权________________（被授权人的姓名）为我方就JSZC-320900-JCJS-D2026-0004号项目采购活动的合法代理人，以本单位名义全权处理一切与该项目采购有关的事务。</w:t>
      </w:r>
      <w:r/>
    </w:p>
    <w:p>
      <w:pPr>
        <w:pStyle w:val="3124"/>
        <w:ind w:firstLine="480"/>
        <w:jc w:val="both"/>
        <w:spacing w:beforeAutospacing="0" w:afterAutospacing="0"/>
        <w:tabs>
          <w:tab w:val="left" w:pos="360" w:leader="none"/>
        </w:tabs>
        <w:rPr>
          <w:rFonts w:hint="default"/>
          <w:color w:val="auto"/>
          <w:sz w:val="24"/>
          <w:szCs w:val="24"/>
          <w:highlight w:val="none"/>
        </w:rPr>
      </w:pPr>
      <w:r>
        <w:rPr>
          <w:rFonts w:hint="eastAsia" w:ascii="Times New Roman" w:hAnsi="Times New Roman"/>
          <w:color w:val="auto"/>
          <w:sz w:val="24"/>
          <w:szCs w:val="24"/>
          <w:highlight w:val="none"/>
        </w:rPr>
        <w:t xml:space="preserve">本授权书于______年____月____日起生效，特此声明。</w:t>
      </w:r>
      <w:r/>
    </w:p>
    <w:p>
      <w:pPr>
        <w:pStyle w:val="3124"/>
        <w:jc w:val="both"/>
        <w:spacing w:beforeAutospacing="0" w:afterAutospacing="0"/>
        <w:tabs>
          <w:tab w:val="left" w:pos="360" w:leader="none"/>
        </w:tabs>
        <w:rPr>
          <w:rFonts w:hint="default"/>
          <w:color w:val="auto"/>
          <w:sz w:val="24"/>
          <w:szCs w:val="24"/>
          <w:highlight w:val="none"/>
        </w:rPr>
      </w:pPr>
      <w:r>
        <w:rPr>
          <w:rFonts w:hint="eastAsia" w:ascii="Times New Roman" w:hAnsi="Times New Roman" w:eastAsia="Times New Roman"/>
          <w:color w:val="auto"/>
          <w:sz w:val="24"/>
          <w:szCs w:val="24"/>
          <w:highlight w:val="none"/>
        </w:rPr>
        <w:t xml:space="preserve">          </w:t>
      </w:r>
      <w:r>
        <w:rPr>
          <w:rFonts w:hint="eastAsia" w:ascii="Times New Roman" w:hAnsi="Times New Roman"/>
          <w:color w:val="auto"/>
          <w:sz w:val="24"/>
          <w:szCs w:val="24"/>
          <w:highlight w:val="none"/>
        </w:rPr>
        <w:t xml:space="preserve">被授权人身份证号码：</w:t>
      </w:r>
      <w:r>
        <w:rPr>
          <w:rFonts w:hint="eastAsia" w:ascii="Times New Roman" w:hAnsi="Times New Roman" w:eastAsia="Times New Roman"/>
          <w:color w:val="auto"/>
          <w:sz w:val="24"/>
          <w:szCs w:val="24"/>
          <w:highlight w:val="none"/>
          <w:u w:val="single"/>
        </w:rPr>
        <w:t xml:space="preserve">                              </w:t>
      </w:r>
      <w:r/>
    </w:p>
    <w:p>
      <w:pPr>
        <w:pStyle w:val="3124"/>
        <w:jc w:val="both"/>
        <w:spacing w:beforeAutospacing="0" w:afterAutospacing="0"/>
        <w:tabs>
          <w:tab w:val="left" w:pos="360" w:leader="none"/>
        </w:tabs>
        <w:rPr>
          <w:rFonts w:hint="default"/>
          <w:color w:val="auto"/>
          <w:sz w:val="24"/>
          <w:szCs w:val="24"/>
          <w:highlight w:val="none"/>
        </w:rPr>
      </w:pPr>
      <w:r>
        <w:rPr>
          <w:rFonts w:hint="eastAsia" w:ascii="Times New Roman" w:hAnsi="Times New Roman" w:eastAsia="Times New Roman"/>
          <w:color w:val="auto"/>
          <w:sz w:val="24"/>
          <w:szCs w:val="24"/>
          <w:highlight w:val="none"/>
        </w:rPr>
        <w:t xml:space="preserve">          </w:t>
      </w:r>
      <w:r>
        <w:rPr>
          <w:rFonts w:hint="eastAsia" w:ascii="Times New Roman" w:hAnsi="Times New Roman"/>
          <w:color w:val="auto"/>
          <w:sz w:val="24"/>
          <w:szCs w:val="24"/>
          <w:highlight w:val="none"/>
        </w:rPr>
        <w:t xml:space="preserve">被授权人联系电话：（手机）</w:t>
      </w:r>
      <w:r>
        <w:rPr>
          <w:rFonts w:hint="eastAsia" w:ascii="Times New Roman" w:hAnsi="Times New Roman" w:eastAsia="Times New Roman"/>
          <w:color w:val="auto"/>
          <w:sz w:val="24"/>
          <w:szCs w:val="24"/>
          <w:highlight w:val="none"/>
          <w:u w:val="single"/>
        </w:rPr>
        <w:t xml:space="preserve">                          </w:t>
      </w:r>
      <w:r/>
    </w:p>
    <w:p>
      <w:pPr>
        <w:pStyle w:val="3124"/>
        <w:ind w:firstLine="1200"/>
        <w:jc w:val="both"/>
        <w:spacing w:beforeAutospacing="0" w:afterAutospacing="0"/>
        <w:tabs>
          <w:tab w:val="left" w:pos="360" w:leader="none"/>
        </w:tabs>
        <w:rPr>
          <w:rFonts w:hint="default"/>
          <w:color w:val="auto"/>
          <w:sz w:val="24"/>
          <w:szCs w:val="24"/>
          <w:highlight w:val="none"/>
        </w:rPr>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（加盖CA电子公章）</w:t>
      </w:r>
      <w:r/>
    </w:p>
    <w:p>
      <w:pPr>
        <w:pStyle w:val="3124"/>
        <w:ind w:firstLine="480"/>
        <w:jc w:val="both"/>
        <w:spacing w:beforeAutospacing="0" w:afterAutospacing="0"/>
        <w:tabs>
          <w:tab w:val="left" w:pos="360" w:leader="none"/>
        </w:tabs>
        <w:rPr>
          <w:rFonts w:hint="default"/>
          <w:color w:val="auto"/>
          <w:sz w:val="24"/>
          <w:szCs w:val="24"/>
          <w:highlight w:val="none"/>
        </w:rPr>
      </w:pPr>
      <w:r>
        <w:rPr>
          <w:rFonts w:hint="eastAsia" w:ascii="Times New Roman" w:hAnsi="Times New Roman" w:eastAsia="Times New Roman"/>
          <w:color w:val="auto"/>
          <w:sz w:val="24"/>
          <w:szCs w:val="24"/>
          <w:highlight w:val="none"/>
        </w:rPr>
        <w:t xml:space="preserve">      </w:t>
      </w:r>
      <w:r>
        <w:rPr>
          <w:rFonts w:hint="eastAsia" w:ascii="Times New Roman" w:hAnsi="Times New Roman"/>
          <w:color w:val="auto"/>
          <w:sz w:val="24"/>
          <w:szCs w:val="24"/>
          <w:highlight w:val="none"/>
        </w:rPr>
        <w:t xml:space="preserve">单位地址：</w:t>
      </w:r>
      <w:r>
        <w:rPr>
          <w:rFonts w:hint="eastAsia" w:ascii="Times New Roman" w:hAnsi="Times New Roman" w:eastAsia="Times New Roman"/>
          <w:color w:val="auto"/>
          <w:sz w:val="24"/>
          <w:szCs w:val="24"/>
          <w:highlight w:val="none"/>
          <w:u w:val="single"/>
        </w:rPr>
        <w:t xml:space="preserve">                                         </w:t>
      </w:r>
      <w:r/>
    </w:p>
    <w:p>
      <w:pPr>
        <w:pStyle w:val="3124"/>
        <w:ind w:firstLine="480"/>
        <w:jc w:val="both"/>
        <w:spacing w:beforeAutospacing="0" w:afterAutospacing="0"/>
        <w:tabs>
          <w:tab w:val="left" w:pos="360" w:leader="none"/>
        </w:tabs>
        <w:rPr>
          <w:rFonts w:hint="default"/>
          <w:color w:val="auto"/>
          <w:sz w:val="24"/>
          <w:szCs w:val="24"/>
          <w:highlight w:val="none"/>
        </w:rPr>
      </w:pPr>
      <w:r>
        <w:rPr>
          <w:rFonts w:hint="eastAsia" w:ascii="Times New Roman" w:hAnsi="Times New Roman" w:eastAsia="Times New Roman"/>
          <w:color w:val="auto"/>
          <w:sz w:val="24"/>
          <w:szCs w:val="24"/>
          <w:highlight w:val="none"/>
        </w:rPr>
        <w:t xml:space="preserve">      </w:t>
      </w:r>
      <w:r>
        <w:rPr>
          <w:rFonts w:hint="eastAsia" w:ascii="Times New Roman" w:hAnsi="Times New Roman"/>
          <w:color w:val="auto"/>
          <w:sz w:val="24"/>
          <w:szCs w:val="24"/>
          <w:highlight w:val="none"/>
        </w:rPr>
        <w:t xml:space="preserve">日期：</w:t>
      </w:r>
      <w:bookmarkStart w:id="169" w:name="_Hlt26671380"/>
      <w:r/>
      <w:bookmarkStart w:id="170" w:name="_Hlt26955070"/>
      <w:r/>
      <w:bookmarkStart w:id="171" w:name="_格式3__银行出具的资信证明"/>
      <w:r>
        <w:rPr>
          <w:rFonts w:hint="eastAsia" w:ascii="Times New Roman" w:hAnsi="Times New Roman" w:eastAsia="Times New Roman"/>
          <w:color w:val="auto"/>
          <w:sz w:val="24"/>
          <w:szCs w:val="24"/>
          <w:highlight w:val="none"/>
          <w:u w:val="single"/>
        </w:rPr>
        <w:t xml:space="preserve">                                         </w:t>
      </w:r>
      <w:r/>
    </w:p>
    <w:p>
      <w:pPr>
        <w:pStyle w:val="3124"/>
        <w:ind w:firstLine="480"/>
        <w:jc w:val="both"/>
        <w:spacing w:beforeAutospacing="0" w:afterAutospacing="0"/>
        <w:tabs>
          <w:tab w:val="left" w:pos="360" w:leader="none"/>
        </w:tabs>
        <w:rPr>
          <w:rFonts w:hint="default"/>
          <w:color w:val="auto"/>
          <w:sz w:val="24"/>
          <w:szCs w:val="24"/>
          <w:highlight w:val="none"/>
        </w:rPr>
      </w:pPr>
      <w:r>
        <w:rPr>
          <w:rFonts w:hint="default"/>
          <w:color w:val="auto"/>
          <w:sz w:val="24"/>
          <w:szCs w:val="24"/>
          <w:highlight w:val="none"/>
        </w:rPr>
        <w:t xml:space="preserve"> </w:t>
      </w:r>
      <w:r/>
    </w:p>
    <w:p>
      <w:pPr>
        <w:pStyle w:val="3124"/>
        <w:ind w:firstLine="480"/>
        <w:jc w:val="both"/>
        <w:spacing w:beforeAutospacing="0" w:afterAutospacing="0"/>
        <w:tabs>
          <w:tab w:val="left" w:pos="360" w:leader="none"/>
        </w:tabs>
        <w:rPr>
          <w:rFonts w:hint="default"/>
          <w:color w:val="auto"/>
          <w:sz w:val="24"/>
          <w:szCs w:val="24"/>
          <w:highlight w:val="none"/>
        </w:rPr>
      </w:pPr>
      <w:r>
        <w:rPr>
          <w:rFonts w:hint="default"/>
          <w:color w:val="auto"/>
          <w:sz w:val="24"/>
          <w:szCs w:val="24"/>
          <w:highlight w:val="none"/>
        </w:rPr>
        <w:t xml:space="preserve"> </w:t>
      </w:r>
      <w:r/>
    </w:p>
    <w:p>
      <w:pPr>
        <w:pStyle w:val="3124"/>
        <w:ind w:firstLine="420"/>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keepLines/>
        <w:keepNext/>
        <w:spacing w:before="260" w:beforeAutospacing="0" w:after="260" w:afterAutospacing="0" w:line="415" w:lineRule="auto"/>
        <w:rPr>
          <w:rFonts w:hint="eastAsia" w:ascii="黑体" w:hAnsi="宋体" w:eastAsia="黑体" w:cs="黑体"/>
          <w:b/>
          <w:i/>
          <w:color w:val="auto"/>
          <w:sz w:val="32"/>
          <w:szCs w:val="32"/>
          <w:highlight w:val="none"/>
          <w:u w:val="single"/>
        </w:rPr>
        <w:sectPr>
          <w:headerReference w:type="default" r:id="rId18"/>
          <w:headerReference w:type="even" r:id="rId19"/>
          <w:headerReference w:type="first" r:id="rId20"/>
          <w:footnotePr/>
          <w:endnotePr/>
          <w:type w:val="nextPage"/>
          <w:pgSz w:w="11906" w:h="16838" w:orient="portrait"/>
          <w:pgMar w:top="1440" w:right="1800" w:bottom="1440" w:left="1800" w:header="851" w:footer="992" w:gutter="0"/>
          <w:lnNumType w:countBy="0" w:distance="360"/>
          <w:cols w:num="1" w:sep="0" w:space="720" w:equalWidth="1"/>
          <w:docGrid w:linePitch="360"/>
        </w:sectPr>
      </w:pPr>
      <w:r>
        <w:rPr>
          <w:rFonts w:hint="eastAsia" w:ascii="宋体" w:hAnsi="宋体" w:cs="宋体"/>
          <w:b/>
          <w:color w:val="auto"/>
          <w:sz w:val="24"/>
          <w:szCs w:val="24"/>
          <w:highlight w:val="none"/>
        </w:rPr>
        <w:br w:type="page" w:clear="all"/>
      </w:r>
      <w:r/>
    </w:p>
    <w:p>
      <w:pPr>
        <w:pStyle w:val="3124"/>
        <w:jc w:val="center"/>
        <w:keepLines/>
        <w:keepNext/>
        <w:spacing w:before="260" w:beforeAutospacing="0" w:after="260" w:afterAutospacing="0" w:line="415" w:lineRule="auto"/>
        <w:rPr>
          <w:rFonts w:hint="default"/>
          <w:color w:val="auto"/>
          <w:sz w:val="24"/>
          <w:szCs w:val="24"/>
          <w:highlight w:val="none"/>
        </w:rPr>
      </w:pPr>
      <w:r>
        <w:rPr>
          <w:rFonts w:hint="eastAsia" w:ascii="黑体" w:hAnsi="宋体" w:eastAsia="黑体" w:cs="黑体"/>
          <w:b/>
          <w:i/>
          <w:color w:val="auto"/>
          <w:sz w:val="32"/>
          <w:szCs w:val="32"/>
          <w:highlight w:val="none"/>
          <w:u w:val="single"/>
        </w:rPr>
        <w:t xml:space="preserve">八、单一来源响应函</w:t>
      </w:r>
      <w:r/>
    </w:p>
    <w:p>
      <w:pPr>
        <w:pStyle w:val="3124"/>
        <w:spacing w:beforeAutospacing="0" w:afterAutospacing="0" w:line="240" w:lineRule="atLeast"/>
        <w:rPr>
          <w:rFonts w:hint="eastAsia"/>
          <w:color w:val="auto"/>
          <w:sz w:val="24"/>
          <w:szCs w:val="24"/>
          <w:highlight w:val="none"/>
        </w:rPr>
      </w:pPr>
      <w:r>
        <w:rPr>
          <w:rFonts w:hint="eastAsia" w:ascii="宋体" w:hAnsi="宋体" w:cs="宋体"/>
          <w:color w:val="auto"/>
          <w:sz w:val="24"/>
          <w:szCs w:val="24"/>
          <w:highlight w:val="none"/>
        </w:rPr>
        <w:t xml:space="preserve">致：江苏捷诚建设项目管理咨询有限公司</w:t>
      </w:r>
      <w:r/>
    </w:p>
    <w:p>
      <w:pPr>
        <w:pStyle w:val="3124"/>
        <w:ind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号采购文件，正式授权下述签字人______(姓名)代表我方______________（供应商的名称），全权处理本次项目单一来源采购的有关事宜。</w:t>
      </w:r>
      <w:r/>
    </w:p>
    <w:p>
      <w:pPr>
        <w:pStyle w:val="3124"/>
        <w:ind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据此函，__________签字人兹宣布同意如下：</w:t>
      </w:r>
      <w:r/>
    </w:p>
    <w:p>
      <w:pPr>
        <w:pStyle w:val="3124"/>
        <w:ind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1.按采购文件规定的各项要求，向买方提供所需货物、服务（包含与货物相关的服务及与服务相关的货物）。</w:t>
      </w:r>
      <w:r/>
    </w:p>
    <w:p>
      <w:pPr>
        <w:pStyle w:val="3124"/>
        <w:ind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2.我们已详细审核全部采购文件及其有效补充文件，我们知道必须放弃提出含糊不清或误解问题的权利。</w:t>
      </w:r>
      <w:r/>
    </w:p>
    <w:p>
      <w:pPr>
        <w:pStyle w:val="3124"/>
        <w:ind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3.我们同意从规定的单一来源协商时间起遵循本响应文件，并在规定的单一来源协商有效期期满之前均具有约束力。</w:t>
      </w:r>
      <w:r/>
    </w:p>
    <w:p>
      <w:pPr>
        <w:pStyle w:val="3124"/>
        <w:ind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4.同意向贵方提供贵方可能另外要求的与单一来源采购有关的任何证据或资料，并保证我方已提供和将要提供的文件是真实的、准确的。</w:t>
      </w:r>
      <w:r/>
    </w:p>
    <w:p>
      <w:pPr>
        <w:pStyle w:val="3124"/>
        <w:ind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5.一旦我方成交,我方将根据采购文件的规定，严格履行合同的责任和义务,并保证在采购文件规定的时间完成项目，交付买方验收、使用。</w:t>
      </w:r>
      <w:r/>
    </w:p>
    <w:p>
      <w:pPr>
        <w:pStyle w:val="3124"/>
        <w:ind w:left="425"/>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6.我方与本次单一来源采购有关的正式通讯地址为：</w:t>
      </w:r>
      <w:r/>
    </w:p>
    <w:p>
      <w:pPr>
        <w:pStyle w:val="3124"/>
        <w:ind w:left="420"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地          址：</w:t>
      </w:r>
      <w:r/>
    </w:p>
    <w:p>
      <w:pPr>
        <w:pStyle w:val="3124"/>
        <w:ind w:left="420"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邮          编：</w:t>
      </w:r>
      <w:r/>
    </w:p>
    <w:p>
      <w:pPr>
        <w:pStyle w:val="3124"/>
        <w:ind w:left="420"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电          话：</w:t>
      </w:r>
      <w:r/>
    </w:p>
    <w:p>
      <w:pPr>
        <w:pStyle w:val="3124"/>
        <w:ind w:left="420"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传          真：</w:t>
      </w:r>
      <w:r/>
    </w:p>
    <w:p>
      <w:pPr>
        <w:pStyle w:val="3124"/>
        <w:ind w:left="420"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供应商开户行：</w:t>
      </w:r>
      <w:r/>
    </w:p>
    <w:p>
      <w:pPr>
        <w:pStyle w:val="3124"/>
        <w:ind w:left="420"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账          号： </w:t>
      </w:r>
      <w:r/>
    </w:p>
    <w:p>
      <w:pPr>
        <w:pStyle w:val="3124"/>
        <w:ind w:left="420" w:firstLine="480"/>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日           期：________年____月____日</w:t>
      </w:r>
      <w:r/>
    </w:p>
    <w:p>
      <w:pPr>
        <w:pStyle w:val="3124"/>
        <w:ind w:firstLine="240"/>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3124"/>
        <w:ind w:firstLine="240"/>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3124"/>
        <w:ind w:firstLine="240"/>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3124"/>
        <w:ind w:firstLine="240"/>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3124"/>
        <w:ind w:firstLine="240"/>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3124"/>
        <w:ind w:firstLine="240"/>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r>
      <w:r/>
    </w:p>
    <w:p>
      <w:pPr>
        <w:pStyle w:val="3124"/>
        <w:ind w:firstLine="240"/>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r>
      <w:r/>
    </w:p>
    <w:p>
      <w:pPr>
        <w:pStyle w:val="3124"/>
        <w:jc w:val="center"/>
        <w:spacing w:beforeAutospacing="0" w:afterAutospacing="0" w:line="240" w:lineRule="atLeast"/>
        <w:rPr>
          <w:rFonts w:hint="default"/>
          <w:color w:val="auto"/>
          <w:sz w:val="24"/>
          <w:szCs w:val="24"/>
          <w:highlight w:val="none"/>
        </w:rPr>
      </w:pPr>
      <w:r>
        <w:rPr>
          <w:rFonts w:hint="eastAsia" w:ascii="黑体" w:hAnsi="宋体" w:eastAsia="黑体" w:cs="黑体"/>
          <w:b/>
          <w:color w:val="auto"/>
          <w:sz w:val="32"/>
          <w:szCs w:val="32"/>
          <w:highlight w:val="none"/>
        </w:rPr>
        <w:t xml:space="preserve">九、中小微企业声明函（服务）（分包号：**）</w:t>
      </w:r>
      <w:r/>
    </w:p>
    <w:p>
      <w:pPr>
        <w:ind w:firstLine="480"/>
        <w:spacing w:line="500" w:lineRule="exact"/>
        <w:rPr>
          <w:rFonts w:hint="eastAsia"/>
          <w:color w:val="auto"/>
          <w:sz w:val="24"/>
          <w:szCs w:val="24"/>
          <w:highlight w:val="none"/>
        </w:rPr>
      </w:pPr>
      <w:r>
        <w:rPr>
          <w:rFonts w:hint="eastAsia"/>
          <w:color w:val="auto"/>
          <w:sz w:val="24"/>
          <w:szCs w:val="24"/>
          <w:highlight w:val="none"/>
        </w:rPr>
        <w:t xml:space="preserve">本公司（联合体）郑重声明，根据《政府采购促进中小企业发展管理办法》（财库﹝2020﹞46 号）的规定，本公司（联合体）参加江苏捷诚建设项目管理咨询有限公司组织的</w:t>
      </w:r>
      <w:r>
        <w:rPr>
          <w:rFonts w:hint="eastAsia"/>
          <w:i/>
          <w:color w:val="auto"/>
          <w:sz w:val="24"/>
          <w:szCs w:val="24"/>
          <w:highlight w:val="none"/>
          <w:u w:val="single"/>
        </w:rPr>
        <w:t xml:space="preserve">盐城市公安局</w:t>
      </w:r>
      <w:r>
        <w:rPr>
          <w:rFonts w:hint="eastAsia"/>
          <w:color w:val="auto"/>
          <w:sz w:val="24"/>
          <w:szCs w:val="20"/>
          <w:highlight w:val="none"/>
        </w:rPr>
        <w:t xml:space="preserve">，</w:t>
      </w:r>
      <w:r>
        <w:rPr>
          <w:rFonts w:hint="eastAsia"/>
          <w:color w:val="auto"/>
          <w:sz w:val="24"/>
          <w:szCs w:val="24"/>
          <w:highlight w:val="none"/>
        </w:rPr>
        <w:t xml:space="preserve">采购编号为</w:t>
      </w:r>
      <w:r>
        <w:rPr>
          <w:rFonts w:hint="eastAsia"/>
          <w:color w:val="auto"/>
          <w:sz w:val="24"/>
          <w:szCs w:val="24"/>
          <w:highlight w:val="none"/>
          <w:u w:val="single"/>
        </w:rPr>
        <w:t xml:space="preserve">     </w:t>
      </w:r>
      <w:r>
        <w:rPr>
          <w:rFonts w:hint="eastAsia"/>
          <w:color w:val="auto"/>
          <w:sz w:val="24"/>
          <w:szCs w:val="24"/>
          <w:highlight w:val="none"/>
        </w:rPr>
        <w:t xml:space="preserve">的</w:t>
      </w:r>
      <w:r>
        <w:rPr>
          <w:rFonts w:hint="eastAsia"/>
          <w:i/>
          <w:color w:val="auto"/>
          <w:sz w:val="24"/>
          <w:szCs w:val="24"/>
          <w:highlight w:val="none"/>
          <w:u w:val="single"/>
        </w:rPr>
        <w:t xml:space="preserve">（项目名称）</w:t>
      </w:r>
      <w:r>
        <w:rPr>
          <w:rFonts w:hint="eastAsia"/>
          <w:color w:val="auto"/>
          <w:sz w:val="24"/>
          <w:szCs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spacing w:line="500" w:lineRule="exact"/>
        <w:rPr>
          <w:rFonts w:hint="eastAsia"/>
          <w:color w:val="auto"/>
          <w:sz w:val="24"/>
          <w:szCs w:val="24"/>
          <w:highlight w:val="none"/>
        </w:rPr>
      </w:pPr>
      <w:r>
        <w:rPr>
          <w:rFonts w:hint="eastAsia"/>
          <w:i/>
          <w:color w:val="auto"/>
          <w:sz w:val="24"/>
          <w:szCs w:val="24"/>
          <w:highlight w:val="none"/>
          <w:u w:val="single"/>
        </w:rPr>
        <w:t xml:space="preserve">（标的名称）</w:t>
      </w:r>
      <w:r>
        <w:rPr>
          <w:rFonts w:hint="eastAsia"/>
          <w:color w:val="auto"/>
          <w:sz w:val="24"/>
          <w:szCs w:val="24"/>
          <w:highlight w:val="none"/>
        </w:rPr>
        <w:t xml:space="preserve"> ，属于</w:t>
      </w:r>
      <w:r>
        <w:rPr>
          <w:rFonts w:hint="eastAsia"/>
          <w:i/>
          <w:color w:val="auto"/>
          <w:sz w:val="24"/>
          <w:szCs w:val="24"/>
          <w:highlight w:val="none"/>
          <w:u w:val="single"/>
        </w:rPr>
        <w:t xml:space="preserve">（采购文件中明确的所属行业）</w:t>
      </w:r>
      <w:r>
        <w:rPr>
          <w:rFonts w:hint="eastAsia"/>
          <w:color w:val="auto"/>
          <w:sz w:val="24"/>
          <w:szCs w:val="24"/>
          <w:highlight w:val="none"/>
        </w:rPr>
        <w:t xml:space="preserve">；承建（承接）企业为</w:t>
      </w:r>
      <w:r>
        <w:rPr>
          <w:rFonts w:hint="eastAsia"/>
          <w:i/>
          <w:color w:val="auto"/>
          <w:sz w:val="24"/>
          <w:szCs w:val="24"/>
          <w:highlight w:val="none"/>
          <w:u w:val="single"/>
        </w:rPr>
        <w:t xml:space="preserve">（企业名称）</w:t>
      </w:r>
      <w:r>
        <w:rPr>
          <w:rFonts w:hint="eastAsia"/>
          <w:color w:val="auto"/>
          <w:sz w:val="24"/>
          <w:szCs w:val="24"/>
          <w:highlight w:val="none"/>
        </w:rPr>
        <w:t xml:space="preserve">，从业人员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万元，属于（</w:t>
      </w:r>
      <w:r>
        <w:rPr>
          <w:rFonts w:hint="eastAsia"/>
          <w:i/>
          <w:color w:val="auto"/>
          <w:sz w:val="24"/>
          <w:szCs w:val="24"/>
          <w:highlight w:val="none"/>
          <w:u w:val="single"/>
        </w:rPr>
        <w:t xml:space="preserve">中型企业、小型企业、微型企业</w:t>
      </w:r>
      <w:r>
        <w:rPr>
          <w:rFonts w:hint="eastAsia"/>
          <w:color w:val="auto"/>
          <w:sz w:val="24"/>
          <w:szCs w:val="24"/>
          <w:highlight w:val="none"/>
        </w:rPr>
        <w:t xml:space="preserve">）；</w:t>
      </w:r>
      <w:r/>
    </w:p>
    <w:p>
      <w:pPr>
        <w:numPr>
          <w:ilvl w:val="0"/>
          <w:numId w:val="2"/>
        </w:numPr>
        <w:ind w:firstLine="480"/>
        <w:spacing w:line="500" w:lineRule="exact"/>
        <w:rPr>
          <w:rFonts w:hint="eastAsia"/>
          <w:color w:val="auto"/>
          <w:sz w:val="24"/>
          <w:szCs w:val="24"/>
          <w:highlight w:val="none"/>
        </w:rPr>
      </w:pPr>
      <w:r>
        <w:rPr>
          <w:rFonts w:hint="eastAsia"/>
          <w:i/>
          <w:color w:val="auto"/>
          <w:sz w:val="24"/>
          <w:szCs w:val="24"/>
          <w:highlight w:val="none"/>
          <w:u w:val="single"/>
        </w:rPr>
        <w:t xml:space="preserve">（标的名称）</w:t>
      </w:r>
      <w:r>
        <w:rPr>
          <w:rFonts w:hint="eastAsia"/>
          <w:color w:val="auto"/>
          <w:sz w:val="24"/>
          <w:szCs w:val="24"/>
          <w:highlight w:val="none"/>
        </w:rPr>
        <w:t xml:space="preserve"> ，属于</w:t>
      </w:r>
      <w:r>
        <w:rPr>
          <w:rFonts w:hint="eastAsia"/>
          <w:i/>
          <w:color w:val="auto"/>
          <w:sz w:val="24"/>
          <w:szCs w:val="24"/>
          <w:highlight w:val="none"/>
          <w:u w:val="single"/>
        </w:rPr>
        <w:t xml:space="preserve">（采购文件中明确的所属行业）</w:t>
      </w:r>
      <w:r>
        <w:rPr>
          <w:rFonts w:hint="eastAsia"/>
          <w:color w:val="auto"/>
          <w:sz w:val="24"/>
          <w:szCs w:val="24"/>
          <w:highlight w:val="none"/>
        </w:rPr>
        <w:t xml:space="preserve">；承建（承接）企业为</w:t>
      </w:r>
      <w:r>
        <w:rPr>
          <w:rFonts w:hint="eastAsia"/>
          <w:i/>
          <w:color w:val="auto"/>
          <w:sz w:val="24"/>
          <w:szCs w:val="24"/>
          <w:highlight w:val="none"/>
          <w:u w:val="single"/>
        </w:rPr>
        <w:t xml:space="preserve">（企业名称）</w:t>
      </w:r>
      <w:r>
        <w:rPr>
          <w:rFonts w:hint="eastAsia"/>
          <w:color w:val="auto"/>
          <w:sz w:val="24"/>
          <w:szCs w:val="24"/>
          <w:highlight w:val="none"/>
        </w:rPr>
        <w:t xml:space="preserve">，从业人员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万元，属于</w:t>
      </w:r>
      <w:r>
        <w:rPr>
          <w:rFonts w:hint="eastAsia"/>
          <w:i/>
          <w:color w:val="auto"/>
          <w:sz w:val="24"/>
          <w:szCs w:val="24"/>
          <w:highlight w:val="none"/>
          <w:u w:val="single"/>
        </w:rPr>
        <w:t xml:space="preserve">（中型企业、小型企业、微型企业）</w:t>
      </w:r>
      <w:r>
        <w:rPr>
          <w:rFonts w:hint="eastAsia"/>
          <w:color w:val="auto"/>
          <w:sz w:val="24"/>
          <w:szCs w:val="24"/>
          <w:highlight w:val="none"/>
        </w:rPr>
        <w:t xml:space="preserve">；</w:t>
      </w:r>
      <w:r/>
    </w:p>
    <w:p>
      <w:pPr>
        <w:numPr>
          <w:ilvl w:val="0"/>
          <w:numId w:val="0"/>
        </w:numPr>
        <w:ind w:firstLine="480"/>
        <w:spacing w:line="500" w:lineRule="exact"/>
        <w:rPr>
          <w:rFonts w:hint="eastAsia"/>
          <w:color w:val="auto"/>
          <w:sz w:val="24"/>
          <w:szCs w:val="24"/>
          <w:highlight w:val="none"/>
        </w:rPr>
      </w:pPr>
      <w:r>
        <w:rPr>
          <w:rFonts w:hint="eastAsia"/>
          <w:color w:val="auto"/>
          <w:sz w:val="24"/>
          <w:szCs w:val="24"/>
          <w:highlight w:val="none"/>
        </w:rPr>
        <w:t xml:space="preserve">……</w:t>
      </w:r>
      <w:r/>
    </w:p>
    <w:p>
      <w:pPr>
        <w:numPr>
          <w:ilvl w:val="0"/>
          <w:numId w:val="0"/>
        </w:numPr>
        <w:ind w:firstLine="480"/>
        <w:spacing w:line="500" w:lineRule="exact"/>
        <w:rPr>
          <w:rFonts w:hint="eastAsia"/>
          <w:color w:val="auto"/>
          <w:sz w:val="24"/>
          <w:szCs w:val="24"/>
          <w:highlight w:val="none"/>
        </w:rPr>
      </w:pPr>
      <w:r>
        <w:rPr>
          <w:rFonts w:hint="eastAsia"/>
          <w:color w:val="auto"/>
          <w:sz w:val="24"/>
          <w:szCs w:val="24"/>
          <w:highlight w:val="none"/>
        </w:rPr>
        <w:t xml:space="preserve">以上企业，不属于大企业的分支机构，不存在控股股东为大企业的情形，也不存在与大企业的负责人为同一人的情形。</w:t>
      </w:r>
      <w:r/>
    </w:p>
    <w:p>
      <w:pPr>
        <w:numPr>
          <w:ilvl w:val="0"/>
          <w:numId w:val="0"/>
        </w:numPr>
        <w:ind w:firstLine="480"/>
        <w:spacing w:line="500" w:lineRule="exact"/>
        <w:rPr>
          <w:rFonts w:hint="eastAsia"/>
          <w:color w:val="auto"/>
          <w:sz w:val="24"/>
          <w:szCs w:val="24"/>
          <w:highlight w:val="none"/>
        </w:rPr>
      </w:pPr>
      <w:r>
        <w:rPr>
          <w:rFonts w:hint="eastAsia"/>
          <w:color w:val="auto"/>
          <w:sz w:val="24"/>
          <w:szCs w:val="24"/>
          <w:highlight w:val="none"/>
        </w:rPr>
        <w:t xml:space="preserve">本企业对上述声明内容的真实性负责。如有虚假，将依法承担相应责任。</w:t>
      </w:r>
      <w:r/>
    </w:p>
    <w:p>
      <w:pPr>
        <w:pStyle w:val="3124"/>
        <w:ind w:right="72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3124"/>
        <w:ind w:right="180" w:firstLine="360"/>
        <w:jc w:val="right"/>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企业名称（加盖CA电子公章）：</w:t>
      </w:r>
      <w:r/>
    </w:p>
    <w:p>
      <w:pPr>
        <w:pStyle w:val="3124"/>
        <w:ind w:right="480" w:firstLine="5400"/>
        <w:jc w:val="both"/>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日  期：</w:t>
      </w:r>
      <w:r/>
    </w:p>
    <w:p>
      <w:pPr>
        <w:pStyle w:val="3124"/>
        <w:ind w:firstLine="240"/>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3124"/>
        <w:ind w:firstLine="480"/>
        <w:jc w:val="both"/>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备注1：从业人员、营业收入、资产总额填报上一年度数据，无上一年度数据的新成立企业可不填报。</w:t>
      </w:r>
      <w:r/>
    </w:p>
    <w:p>
      <w:pPr>
        <w:pStyle w:val="3124"/>
        <w:ind w:firstLine="645"/>
        <w:jc w:val="both"/>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备注2：供应商如不提供此声明函，价格将不做相应扣除（如项目全面面向中小企业，则资格审查不通过）。</w:t>
      </w:r>
      <w:r/>
    </w:p>
    <w:p>
      <w:pPr>
        <w:pStyle w:val="3124"/>
        <w:ind w:firstLine="645"/>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p>
    <w:p>
      <w:pPr>
        <w:pStyle w:val="3124"/>
        <w:jc w:val="center"/>
        <w:spacing w:beforeAutospacing="0" w:afterAutospacing="0" w:line="240" w:lineRule="atLeast"/>
        <w:rPr>
          <w:rFonts w:hint="default"/>
          <w:color w:val="auto"/>
          <w:sz w:val="24"/>
          <w:szCs w:val="24"/>
          <w:highlight w:val="none"/>
        </w:rPr>
      </w:pPr>
      <w:r>
        <w:rPr>
          <w:rFonts w:hint="default"/>
          <w:color w:val="auto"/>
          <w:sz w:val="24"/>
          <w:szCs w:val="24"/>
          <w:highlight w:val="none"/>
        </w:rPr>
        <w:t xml:space="preserve"> </w:t>
      </w:r>
      <w:r>
        <w:rPr>
          <w:rFonts w:hint="eastAsia" w:ascii="宋体" w:hAnsi="宋体" w:cs="宋体"/>
          <w:b/>
          <w:color w:val="auto"/>
          <w:sz w:val="32"/>
          <w:szCs w:val="32"/>
          <w:highlight w:val="none"/>
        </w:rPr>
        <w:t xml:space="preserve">十、分项报价表（服务类）</w:t>
      </w:r>
      <w:r/>
    </w:p>
    <w:tbl>
      <w:tblPr>
        <w:tblStyle w:val="3119"/>
        <w:tblW w:w="9680" w:type="dxa"/>
        <w:jc w:val="center"/>
        <w:tblLayout w:type="fixed"/>
        <w:tblCellMar>
          <w:left w:w="108" w:type="dxa"/>
          <w:top w:w="0" w:type="dxa"/>
          <w:right w:w="108" w:type="dxa"/>
          <w:bottom w:w="0" w:type="dxa"/>
        </w:tblCellMar>
        <w:tblLook w:val="04A0" w:firstRow="1" w:lastRow="0" w:firstColumn="1" w:lastColumn="0" w:noHBand="0" w:noVBand="1"/>
      </w:tblPr>
      <w:tblGrid>
        <w:gridCol w:w="794"/>
        <w:gridCol w:w="3384"/>
        <w:gridCol w:w="779"/>
        <w:gridCol w:w="1664"/>
        <w:gridCol w:w="1529"/>
        <w:gridCol w:w="1530"/>
      </w:tblGrid>
      <w:tr>
        <w:trPr>
          <w:jc w:val="center"/>
          <w:trHeight w:val="660"/>
        </w:trPr>
        <w:tc>
          <w:tcPr>
            <w:tcBorders>
              <w:top w:val="single" w:color="000000" w:sz="4" w:space="0"/>
              <w:left w:val="single" w:color="000000" w:sz="4" w:space="0"/>
              <w:bottom w:val="non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品种名称及规格</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
              </w:rPr>
              <w:t xml:space="preserve">投标报价</w:t>
            </w:r>
            <w:r>
              <w:rPr>
                <w:rFonts w:hint="eastAsia" w:ascii="宋体" w:hAnsi="宋体" w:eastAsia="宋体" w:cs="宋体"/>
                <w:b/>
                <w:bCs/>
                <w:color w:val="000000"/>
                <w:sz w:val="21"/>
                <w:szCs w:val="21"/>
                <w:highlight w:val="none"/>
                <w:lang w:bidi="ar"/>
              </w:rPr>
              <w:t xml:space="preserve">（元）</w:t>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预估使用量</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合计金额（元）</w:t>
            </w:r>
            <w:r/>
          </w:p>
        </w:tc>
      </w:tr>
      <w:tr>
        <w:trPr>
          <w:jc w:val="center"/>
          <w:trHeight w:val="705"/>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防眩板</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765"/>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圆形防撞桶（滚塑材料）</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975"/>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船型防撞桶（滚塑材料）</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825"/>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水马（滚塑材料）</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735"/>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钢质防撞垫</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波形护栏</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45"/>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太阳能柱式诱导标</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方管护栏</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彩色护栏（850mm×3000mm）（950mm×3000mm）等</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350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495"/>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立柱</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底座</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945"/>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热熔标线</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12000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防滑标线</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常温双组份</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170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除线</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轮廓标（高架）</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弹性警示柱（螺纹状）</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标志牌（铝板、3M反光膜高强钻石级）含安装</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标志牌改版面（3M反光膜高强钻石级）含安装</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101.3</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高架施工安保费</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次</w:t>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lef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664"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29" w:type="dxa"/>
            <w:vAlign w:val="center"/>
            <w:textDirection w:val="lrTb"/>
            <w:noWrap w:val="false"/>
          </w:tcPr>
          <w:p>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3124"/>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3124"/>
        <w:ind w:firstLine="4320"/>
        <w:jc w:val="both"/>
        <w:spacing w:beforeAutospacing="0" w:afterAutospacing="0"/>
        <w:rPr>
          <w:rFonts w:hint="eastAsia"/>
          <w:color w:val="auto"/>
          <w:sz w:val="24"/>
          <w:szCs w:val="24"/>
          <w:highlight w:val="none"/>
        </w:rPr>
      </w:pPr>
      <w:r>
        <w:rPr>
          <w:rFonts w:hint="eastAsia"/>
          <w:color w:val="auto"/>
          <w:sz w:val="24"/>
          <w:szCs w:val="24"/>
          <w:highlight w:val="none"/>
        </w:rPr>
        <w:t xml:space="preserve">投标人（盖章）</w:t>
      </w:r>
      <w:r>
        <w:rPr>
          <w:rFonts w:hint="default"/>
          <w:color w:val="auto"/>
          <w:sz w:val="24"/>
          <w:szCs w:val="24"/>
          <w:highlight w:val="none"/>
        </w:rPr>
        <w:t xml:space="preserve"> </w:t>
      </w:r>
      <w:r>
        <w:rPr>
          <w:rFonts w:hint="eastAsia"/>
          <w:color w:val="auto"/>
          <w:sz w:val="24"/>
          <w:szCs w:val="24"/>
          <w:highlight w:val="none"/>
        </w:rPr>
        <w:t xml:space="preserve">：</w:t>
      </w:r>
      <w:r/>
    </w:p>
    <w:p>
      <w:pPr>
        <w:pStyle w:val="3124"/>
        <w:ind w:firstLine="4320"/>
        <w:jc w:val="both"/>
        <w:spacing w:beforeAutospacing="0" w:afterAutospacing="0"/>
        <w:rPr>
          <w:rFonts w:hint="default"/>
          <w:color w:val="auto"/>
          <w:sz w:val="24"/>
          <w:szCs w:val="24"/>
          <w:highlight w:val="none"/>
        </w:rPr>
      </w:pPr>
      <w:r>
        <w:rPr>
          <w:rFonts w:hint="eastAsia"/>
          <w:color w:val="auto"/>
          <w:sz w:val="24"/>
          <w:szCs w:val="24"/>
          <w:highlight w:val="none"/>
        </w:rPr>
        <w:t xml:space="preserve">日期：年月日</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3124"/>
        <w:jc w:val="center"/>
        <w:spacing w:beforeAutospacing="0" w:afterAutospacing="0"/>
        <w:rPr>
          <w:rFonts w:hint="eastAsia" w:ascii="黑体" w:hAnsi="宋体" w:eastAsia="黑体" w:cs="黑体"/>
          <w:b/>
          <w:color w:val="auto"/>
          <w:sz w:val="32"/>
          <w:szCs w:val="32"/>
          <w:highlight w:val="none"/>
        </w:rPr>
        <w:sectPr>
          <w:headerReference w:type="default" r:id="rId21"/>
          <w:headerReference w:type="even" r:id="rId22"/>
          <w:headerReference w:type="first" r:id="rId23"/>
          <w:footnotePr/>
          <w:endnotePr/>
          <w:type w:val="nextPage"/>
          <w:pgSz w:w="11906" w:h="16838" w:orient="portrait"/>
          <w:pgMar w:top="1440" w:right="1800" w:bottom="1440" w:left="1800" w:header="851" w:footer="992" w:gutter="0"/>
          <w:lnNumType w:countBy="0" w:distance="360"/>
          <w:cols w:num="1" w:sep="0" w:space="720" w:equalWidth="1"/>
          <w:docGrid w:linePitch="360"/>
        </w:sectPr>
      </w:pPr>
      <w:r>
        <w:rPr>
          <w:rFonts w:hint="eastAsia" w:ascii="黑体" w:hAnsi="宋体" w:eastAsia="黑体" w:cs="黑体"/>
          <w:b/>
          <w:color w:val="auto"/>
          <w:sz w:val="32"/>
          <w:szCs w:val="32"/>
          <w:highlight w:val="none"/>
        </w:rPr>
      </w:r>
      <w:r/>
    </w:p>
    <w:p>
      <w:pPr>
        <w:pStyle w:val="3124"/>
        <w:jc w:val="center"/>
        <w:spacing w:beforeAutospacing="0" w:afterAutospacing="0"/>
        <w:rPr>
          <w:rFonts w:hint="default"/>
          <w:color w:val="auto"/>
          <w:sz w:val="24"/>
          <w:szCs w:val="24"/>
          <w:highlight w:val="none"/>
        </w:rPr>
      </w:pPr>
      <w:r>
        <w:rPr>
          <w:rFonts w:hint="eastAsia" w:ascii="黑体" w:hAnsi="宋体" w:eastAsia="黑体" w:cs="黑体"/>
          <w:b/>
          <w:color w:val="auto"/>
          <w:sz w:val="32"/>
          <w:szCs w:val="32"/>
          <w:highlight w:val="none"/>
        </w:rPr>
        <w:t xml:space="preserve">十一、技术要求响应及偏离表（分包号：**）</w:t>
      </w:r>
      <w:r/>
    </w:p>
    <w:tbl>
      <w:tblPr>
        <w:tblStyle w:val="3119"/>
        <w:tblW w:w="8520" w:type="dxa"/>
        <w:tblCellSpacing w:w="0" w:type="dxa"/>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5"/>
        <w:gridCol w:w="2769"/>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采购文件要求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证明</w:t>
            </w:r>
            <w:r/>
          </w:p>
          <w:p>
            <w:pPr>
              <w:pStyle w:val="3124"/>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bl>
    <w:p>
      <w:pPr>
        <w:pStyle w:val="3124"/>
        <w:jc w:val="both"/>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注： 行数不够，可自行添加。</w:t>
      </w:r>
      <w:r/>
    </w:p>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3124"/>
        <w:jc w:val="both"/>
        <w:spacing w:beforeAutospacing="0" w:afterAutospacing="0"/>
        <w:rPr>
          <w:rFonts w:hint="default"/>
          <w:color w:val="auto"/>
          <w:sz w:val="24"/>
          <w:szCs w:val="24"/>
          <w:highlight w:val="none"/>
        </w:rPr>
      </w:pPr>
      <w:r>
        <w:rPr>
          <w:rFonts w:hint="default"/>
          <w:color w:val="auto"/>
          <w:sz w:val="24"/>
          <w:szCs w:val="24"/>
          <w:highlight w:val="none"/>
        </w:rPr>
      </w:r>
      <w:r/>
    </w:p>
    <w:p>
      <w:pPr>
        <w:pStyle w:val="3124"/>
        <w:jc w:val="center"/>
        <w:spacing w:beforeAutospacing="0" w:afterAutospacing="0"/>
        <w:rPr>
          <w:rFonts w:hint="default"/>
          <w:color w:val="auto"/>
          <w:sz w:val="24"/>
          <w:szCs w:val="24"/>
          <w:highlight w:val="none"/>
        </w:rPr>
      </w:pPr>
      <w:r/>
      <w:bookmarkStart w:id="172" w:name="_Hlt26955054"/>
      <w:r>
        <w:rPr>
          <w:rFonts w:hint="eastAsia" w:ascii="黑体" w:hAnsi="宋体" w:eastAsia="黑体" w:cs="黑体"/>
          <w:b/>
          <w:color w:val="auto"/>
          <w:sz w:val="32"/>
          <w:szCs w:val="32"/>
          <w:highlight w:val="none"/>
        </w:rPr>
        <w:t xml:space="preserve">十二、商务要求响应及偏离表（分包号：**）</w:t>
      </w:r>
      <w:r/>
    </w:p>
    <w:tbl>
      <w:tblPr>
        <w:tblStyle w:val="3119"/>
        <w:tblW w:w="8520" w:type="dxa"/>
        <w:tblCellSpacing w:w="0" w:type="dxa"/>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3"/>
        <w:gridCol w:w="2801"/>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3124"/>
              <w:jc w:val="center"/>
              <w:spacing w:beforeAutospacing="0" w:afterAutospacing="0"/>
              <w:rPr>
                <w:rFonts w:hint="default"/>
                <w:color w:val="auto"/>
                <w:sz w:val="24"/>
                <w:szCs w:val="24"/>
                <w:highlight w:val="none"/>
              </w:rPr>
            </w:pPr>
            <w:r/>
            <w:bookmarkStart w:id="173" w:name="_Hlt26609391"/>
            <w:r/>
            <w:bookmarkStart w:id="174" w:name="_Hlt26782999"/>
            <w:r/>
            <w:bookmarkStart w:id="175" w:name="_Hlt26580838"/>
            <w:r/>
            <w:bookmarkStart w:id="176" w:name="_Hlt24879081"/>
            <w:r/>
            <w:bookmarkStart w:id="177" w:name="_Hlt26955064"/>
            <w:r/>
            <w:bookmarkStart w:id="178" w:name="_Hlt26671343"/>
            <w:r/>
            <w:bookmarkStart w:id="179" w:name="_Hlt26955056"/>
            <w:r/>
            <w:bookmarkStart w:id="180" w:name="_Hlt26671372"/>
            <w:r>
              <w:rPr>
                <w:rFonts w:hint="eastAsia" w:ascii="宋体" w:hAnsi="宋体" w:cs="宋体"/>
                <w:color w:val="auto"/>
                <w:sz w:val="24"/>
                <w:szCs w:val="24"/>
                <w:highlight w:val="none"/>
              </w:rPr>
              <w:t xml:space="preserve">序号</w:t>
            </w:r>
            <w:bookmarkEnd w:id="173"/>
            <w:r/>
            <w:bookmarkEnd w:id="174"/>
            <w:r/>
            <w:bookmarkEnd w:id="175"/>
            <w:r/>
            <w:bookmarkEnd w:id="176"/>
            <w:r/>
            <w:bookmarkEnd w:id="177"/>
            <w:r/>
            <w:bookmarkEnd w:id="178"/>
            <w:r/>
            <w:bookmarkEnd w:id="179"/>
            <w:r/>
            <w:bookmarkEnd w:id="180"/>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采购文件要求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证明</w:t>
            </w:r>
            <w:r/>
          </w:p>
          <w:p>
            <w:pPr>
              <w:pStyle w:val="3124"/>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t xml:space="preserve"> </w:t>
            </w:r>
            <w:r/>
          </w:p>
        </w:tc>
      </w:tr>
    </w:tbl>
    <w:p>
      <w:pPr>
        <w:pStyle w:val="3124"/>
        <w:jc w:val="both"/>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注： 行数不够，可自行添加。</w:t>
      </w:r>
      <w:r/>
    </w:p>
    <w:p>
      <w:pPr>
        <w:pStyle w:val="3124"/>
        <w:jc w:val="both"/>
        <w:spacing w:beforeAutospacing="0" w:afterAutospacing="0" w:line="480" w:lineRule="auto"/>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line="480" w:lineRule="auto"/>
        <w:rPr>
          <w:rFonts w:hint="default"/>
          <w:color w:val="auto"/>
          <w:sz w:val="24"/>
          <w:szCs w:val="24"/>
          <w:highlight w:val="none"/>
        </w:rPr>
      </w:pPr>
      <w:r>
        <w:rPr>
          <w:rFonts w:hint="default"/>
          <w:color w:val="auto"/>
          <w:sz w:val="24"/>
          <w:szCs w:val="24"/>
          <w:highlight w:val="none"/>
        </w:rPr>
        <w:t xml:space="preserve"> </w:t>
      </w:r>
      <w:r/>
    </w:p>
    <w:p>
      <w:pPr>
        <w:pStyle w:val="3124"/>
        <w:jc w:val="both"/>
        <w:spacing w:beforeAutospacing="0" w:afterAutospacing="0" w:line="480" w:lineRule="auto"/>
        <w:rPr>
          <w:rFonts w:hint="default"/>
          <w:color w:val="auto"/>
          <w:sz w:val="24"/>
          <w:szCs w:val="24"/>
          <w:highlight w:val="none"/>
        </w:rPr>
      </w:pPr>
      <w:r>
        <w:rPr>
          <w:rFonts w:hint="default"/>
          <w:color w:val="auto"/>
          <w:sz w:val="24"/>
          <w:szCs w:val="24"/>
          <w:highlight w:val="none"/>
        </w:rPr>
      </w:r>
      <w:r/>
    </w:p>
    <w:p>
      <w:pPr>
        <w:pStyle w:val="3124"/>
        <w:jc w:val="both"/>
        <w:spacing w:beforeAutospacing="0" w:afterAutospacing="0" w:line="480" w:lineRule="auto"/>
        <w:rPr>
          <w:rFonts w:hint="default"/>
          <w:color w:val="auto"/>
          <w:sz w:val="24"/>
          <w:szCs w:val="24"/>
          <w:highlight w:val="none"/>
        </w:rPr>
      </w:pPr>
      <w:r>
        <w:rPr>
          <w:rFonts w:hint="default"/>
          <w:color w:val="auto"/>
          <w:sz w:val="24"/>
          <w:szCs w:val="24"/>
          <w:highlight w:val="none"/>
        </w:rPr>
      </w:r>
      <w:r/>
    </w:p>
    <w:p>
      <w:pPr>
        <w:pStyle w:val="3124"/>
        <w:jc w:val="both"/>
        <w:spacing w:beforeAutospacing="0" w:afterAutospacing="0" w:line="480" w:lineRule="auto"/>
        <w:rPr>
          <w:rFonts w:hint="default"/>
          <w:color w:val="auto"/>
          <w:sz w:val="24"/>
          <w:szCs w:val="24"/>
          <w:highlight w:val="none"/>
        </w:rPr>
      </w:pPr>
      <w:r>
        <w:rPr>
          <w:rFonts w:hint="default"/>
          <w:color w:val="auto"/>
          <w:sz w:val="24"/>
          <w:szCs w:val="24"/>
          <w:highlight w:val="none"/>
        </w:rPr>
      </w:r>
      <w:bookmarkEnd w:id="27"/>
      <w:r/>
      <w:bookmarkEnd w:id="41"/>
      <w:r/>
      <w:bookmarkEnd w:id="88"/>
      <w:r/>
      <w:bookmarkEnd w:id="89"/>
      <w:r/>
      <w:bookmarkEnd w:id="90"/>
      <w:r/>
      <w:bookmarkEnd w:id="91"/>
      <w:r/>
      <w:bookmarkEnd w:id="92"/>
      <w:r/>
      <w:bookmarkEnd w:id="93"/>
      <w:r/>
      <w:bookmarkEnd w:id="94"/>
      <w:r/>
      <w:bookmarkEnd w:id="95"/>
      <w:r/>
      <w:bookmarkEnd w:id="104"/>
      <w:r/>
      <w:bookmarkEnd w:id="105"/>
      <w:r/>
      <w:bookmarkEnd w:id="112"/>
      <w:r/>
      <w:bookmarkEnd w:id="154"/>
      <w:r/>
      <w:bookmarkEnd w:id="155"/>
      <w:r/>
      <w:bookmarkEnd w:id="162"/>
      <w:r/>
      <w:bookmarkEnd w:id="165"/>
      <w:r/>
      <w:bookmarkEnd w:id="166"/>
      <w:r/>
      <w:bookmarkEnd w:id="167"/>
      <w:r/>
      <w:bookmarkEnd w:id="168"/>
      <w:r/>
      <w:bookmarkEnd w:id="169"/>
      <w:r/>
      <w:bookmarkEnd w:id="170"/>
      <w:r/>
      <w:bookmarkEnd w:id="171"/>
      <w:r/>
      <w:bookmarkEnd w:id="172"/>
      <w:r/>
      <w:r/>
    </w:p>
    <w:p>
      <w:pPr>
        <w:pStyle w:val="3124"/>
        <w:jc w:val="center"/>
        <w:spacing w:beforeAutospacing="0" w:afterAutospacing="0"/>
        <w:rPr>
          <w:rFonts w:hint="eastAsia" w:ascii="黑体" w:hAnsi="宋体" w:eastAsia="黑体" w:cs="黑体"/>
          <w:b/>
          <w:i/>
          <w:color w:val="auto"/>
          <w:sz w:val="32"/>
          <w:szCs w:val="32"/>
          <w:highlight w:val="none"/>
          <w:u w:val="single"/>
        </w:rPr>
        <w:sectPr>
          <w:headerReference w:type="default" r:id="rId24"/>
          <w:headerReference w:type="even" r:id="rId25"/>
          <w:headerReference w:type="first" r:id="rId26"/>
          <w:footnotePr/>
          <w:endnotePr/>
          <w:type w:val="nextPage"/>
          <w:pgSz w:w="11906" w:h="16838" w:orient="portrait"/>
          <w:pgMar w:top="1440" w:right="1800" w:bottom="1440" w:left="1800" w:header="851" w:footer="992" w:gutter="0"/>
          <w:lnNumType w:countBy="0" w:distance="360"/>
          <w:cols w:num="1" w:sep="0" w:space="720" w:equalWidth="1"/>
          <w:docGrid w:linePitch="360"/>
        </w:sectPr>
      </w:pPr>
      <w:r>
        <w:rPr>
          <w:rFonts w:hint="eastAsia" w:ascii="黑体" w:hAnsi="宋体" w:eastAsia="黑体" w:cs="黑体"/>
          <w:b/>
          <w:i/>
          <w:color w:val="auto"/>
          <w:sz w:val="32"/>
          <w:szCs w:val="32"/>
          <w:highlight w:val="none"/>
          <w:u w:val="single"/>
        </w:rPr>
      </w:r>
      <w:r/>
    </w:p>
    <w:p>
      <w:pPr>
        <w:pStyle w:val="3124"/>
        <w:jc w:val="center"/>
        <w:spacing w:beforeAutospacing="0" w:afterAutospacing="0"/>
        <w:rPr>
          <w:rFonts w:hint="default"/>
          <w:color w:val="auto"/>
          <w:sz w:val="24"/>
          <w:szCs w:val="24"/>
          <w:highlight w:val="none"/>
        </w:rPr>
      </w:pPr>
      <w:r>
        <w:rPr>
          <w:rFonts w:hint="eastAsia" w:ascii="黑体" w:hAnsi="宋体" w:eastAsia="黑体" w:cs="黑体"/>
          <w:b/>
          <w:i/>
          <w:color w:val="auto"/>
          <w:sz w:val="32"/>
          <w:szCs w:val="32"/>
          <w:highlight w:val="none"/>
          <w:u w:val="single"/>
        </w:rPr>
        <w:t xml:space="preserve">十三、开标一览表</w:t>
      </w:r>
      <w:r/>
    </w:p>
    <w:p>
      <w:pPr>
        <w:pStyle w:val="3124"/>
        <w:ind w:firstLine="480"/>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3124"/>
        <w:ind w:firstLine="480"/>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3124"/>
        <w:ind w:firstLine="480"/>
        <w:jc w:val="both"/>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投标人全称（加盖CA电子签章）：</w:t>
      </w:r>
      <w:r/>
    </w:p>
    <w:p>
      <w:pPr>
        <w:pStyle w:val="3124"/>
        <w:ind w:firstLine="480"/>
        <w:jc w:val="both"/>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项目名称：</w:t>
      </w:r>
      <w:r/>
    </w:p>
    <w:p>
      <w:pPr>
        <w:pStyle w:val="3124"/>
        <w:ind w:firstLine="480"/>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p>
      <w:pPr>
        <w:pStyle w:val="3124"/>
        <w:ind w:firstLine="480"/>
        <w:jc w:val="both"/>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分包号：</w:t>
      </w:r>
      <w:r/>
    </w:p>
    <w:tbl>
      <w:tblPr>
        <w:tblStyle w:val="3119"/>
        <w:tblW w:w="8206" w:type="dxa"/>
        <w:tblCellSpacing w:w="0" w:type="dxa"/>
        <w:tblInd w:w="11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3124"/>
              <w:jc w:val="center"/>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3124"/>
              <w:spacing w:beforeAutospacing="0" w:afterAutospacing="0" w:line="24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3124"/>
              <w:spacing w:beforeAutospacing="0" w:afterAutospacing="0" w:line="240" w:lineRule="atLeast"/>
              <w:rPr>
                <w:rFonts w:hint="default"/>
                <w:color w:val="auto"/>
                <w:sz w:val="24"/>
                <w:szCs w:val="24"/>
                <w:highlight w:val="none"/>
              </w:rPr>
            </w:pPr>
            <w:r>
              <w:rPr>
                <w:rFonts w:hint="eastAsia" w:ascii="宋体" w:hAnsi="宋体" w:cs="宋体"/>
                <w:color w:val="auto"/>
                <w:sz w:val="24"/>
                <w:szCs w:val="24"/>
                <w:highlight w:val="none"/>
              </w:rPr>
              <w:t xml:space="preserve">小写：                        （人民币：元）</w:t>
            </w:r>
            <w:r/>
          </w:p>
        </w:tc>
      </w:tr>
    </w:tbl>
    <w:p>
      <w:pPr>
        <w:pStyle w:val="3124"/>
        <w:jc w:val="both"/>
        <w:spacing w:beforeAutospacing="0" w:afterAutospacing="0"/>
        <w:rPr>
          <w:rFonts w:hint="default"/>
          <w:color w:val="auto"/>
          <w:sz w:val="24"/>
          <w:szCs w:val="24"/>
          <w:highlight w:val="none"/>
        </w:rPr>
      </w:pPr>
      <w:r>
        <w:rPr>
          <w:rFonts w:hint="default"/>
          <w:color w:val="auto"/>
          <w:sz w:val="24"/>
          <w:szCs w:val="24"/>
          <w:highlight w:val="none"/>
        </w:rPr>
        <w:t xml:space="preserve"> </w:t>
      </w:r>
      <w:r/>
    </w:p>
    <w:p>
      <w:pPr>
        <w:pStyle w:val="3124"/>
        <w:ind w:firstLine="480"/>
        <w:jc w:val="both"/>
        <w:spacing w:beforeAutospacing="0" w:afterAutospacing="0"/>
        <w:rPr>
          <w:rFonts w:hint="default"/>
          <w:color w:val="auto"/>
          <w:sz w:val="24"/>
          <w:szCs w:val="24"/>
          <w:highlight w:val="none"/>
        </w:rPr>
      </w:pPr>
      <w:r>
        <w:rPr>
          <w:rFonts w:hint="eastAsia" w:ascii="宋体" w:hAnsi="宋体" w:cs="宋体"/>
          <w:color w:val="auto"/>
          <w:sz w:val="24"/>
          <w:szCs w:val="24"/>
          <w:highlight w:val="none"/>
        </w:rPr>
        <w:t xml:space="preserve">                                              日期：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pStyle w:val="3124"/>
        <w:ind w:firstLine="480"/>
        <w:jc w:val="both"/>
        <w:spacing w:beforeAutospacing="0" w:afterAutospacing="0"/>
        <w:rPr>
          <w:rFonts w:hint="default"/>
          <w:sz w:val="24"/>
          <w:szCs w:val="24"/>
          <w:highlight w:val="none"/>
        </w:rPr>
      </w:pPr>
      <w:r>
        <w:rPr>
          <w:rFonts w:hint="default"/>
          <w:sz w:val="24"/>
          <w:szCs w:val="24"/>
          <w:highlight w:val="none"/>
        </w:rPr>
        <w:t xml:space="preserve"> </w:t>
      </w:r>
      <w:r/>
    </w:p>
    <w:p>
      <w:pPr>
        <w:pStyle w:val="3124"/>
        <w:ind w:firstLine="480"/>
        <w:jc w:val="both"/>
        <w:spacing w:beforeAutospacing="0" w:afterAutospacing="0" w:line="24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spacing w:before="50" w:after="50"/>
        <w:widowControl/>
        <w:rPr>
          <w:rFonts w:hint="default"/>
          <w:sz w:val="21"/>
          <w:szCs w:val="24"/>
          <w:highlight w:val="none"/>
        </w:rPr>
      </w:pPr>
      <w:r>
        <w:rPr>
          <w:rFonts w:hint="default"/>
          <w:sz w:val="21"/>
          <w:szCs w:val="24"/>
          <w:highlight w:val="none"/>
        </w:rPr>
        <w:tab/>
      </w:r>
      <w:r/>
    </w:p>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jc w:val="center"/>
        <w:spacing w:before="50" w:after="50"/>
        <w:widowControl/>
        <w:rPr>
          <w:rFonts w:hint="eastAsia" w:ascii="宋体" w:hAnsi="宋体" w:cs="宋体"/>
          <w:color w:val="auto"/>
          <w:sz w:val="24"/>
          <w:szCs w:val="24"/>
          <w:highlight w:val="none"/>
        </w:rPr>
      </w:pPr>
      <w:r>
        <w:rPr>
          <w:rFonts w:hint="eastAsia" w:ascii="宋体" w:hAnsi="宋体" w:cs="宋体"/>
          <w:color w:val="auto"/>
          <w:sz w:val="32"/>
          <w:szCs w:val="32"/>
          <w:highlight w:val="none"/>
        </w:rPr>
        <w:t xml:space="preserve">十四、技术方案、服务承诺、培训承诺等</w:t>
      </w:r>
      <w:r/>
    </w:p>
    <w:p>
      <w:pPr>
        <w:pStyle w:val="3124"/>
        <w:jc w:val="both"/>
        <w:spacing w:beforeAutospacing="0" w:afterAutospacing="0"/>
        <w:tabs>
          <w:tab w:val="left" w:pos="2160" w:leader="none"/>
        </w:tabs>
        <w:rPr>
          <w:rFonts w:hint="default"/>
          <w:color w:val="auto"/>
          <w:sz w:val="24"/>
          <w:szCs w:val="24"/>
          <w:highlight w:val="none"/>
        </w:rPr>
      </w:pPr>
      <w:r>
        <w:rPr>
          <w:rFonts w:hint="default"/>
          <w:color w:val="auto"/>
          <w:sz w:val="24"/>
          <w:szCs w:val="24"/>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1600"/>
        <w:spacing w:line="499" w:lineRule="atLeast"/>
        <w:widowControl/>
        <w:rPr>
          <w:rFonts w:hint="eastAsia" w:ascii="宋体" w:hAnsi="宋体" w:cs="宋体"/>
          <w:b/>
          <w:color w:val="auto"/>
          <w:sz w:val="24"/>
          <w:szCs w:val="24"/>
          <w:highlight w:val="none"/>
        </w:rPr>
      </w:pPr>
      <w:r>
        <w:rPr>
          <w:rFonts w:hint="eastAsia" w:ascii="宋体" w:hAnsi="宋体" w:cs="宋体"/>
          <w:b/>
          <w:color w:val="auto"/>
          <w:sz w:val="32"/>
          <w:szCs w:val="32"/>
          <w:highlight w:val="none"/>
        </w:rPr>
        <w:t xml:space="preserve">十五、盐城市政府采购事前信用承诺书</w:t>
      </w:r>
      <w:r/>
    </w:p>
    <w:p>
      <w:pPr>
        <w:ind w:firstLine="640"/>
        <w:jc w:val="left"/>
        <w:spacing w:line="499" w:lineRule="atLeast"/>
        <w:widowControl/>
        <w:rPr>
          <w:rFonts w:hint="eastAsia" w:ascii="宋体" w:hAnsi="宋体" w:cs="宋体"/>
          <w:b/>
          <w:color w:val="auto"/>
          <w:sz w:val="24"/>
          <w:szCs w:val="24"/>
          <w:highlight w:val="none"/>
        </w:rPr>
      </w:pPr>
      <w:r>
        <w:rPr>
          <w:rFonts w:hint="eastAsia" w:ascii="宋体" w:hAnsi="宋体" w:cs="宋体"/>
          <w:b/>
          <w:color w:val="auto"/>
          <w:sz w:val="32"/>
          <w:szCs w:val="32"/>
          <w:highlight w:val="none"/>
        </w:rPr>
        <w:t xml:space="preserve"> </w:t>
      </w:r>
      <w:r/>
    </w:p>
    <w:p>
      <w:pPr>
        <w:ind w:firstLine="480"/>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（六）自觉接受政府、行业组织、社会公众、新闻舆论的监督；</w:t>
      </w:r>
      <w:r/>
    </w:p>
    <w:p>
      <w:pPr>
        <w:ind w:firstLine="480"/>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（八）本人已认真阅读了上述承诺，并向本单位员工作了宣传教育。</w:t>
      </w:r>
      <w:r/>
    </w:p>
    <w:p>
      <w:pPr>
        <w:jc w:val="left"/>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法定代表人签名：</w:t>
      </w:r>
      <w:r/>
    </w:p>
    <w:p>
      <w:pPr>
        <w:jc w:val="center"/>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单位名称（盖章）：</w:t>
      </w:r>
      <w:r/>
    </w:p>
    <w:p>
      <w:pPr>
        <w:jc w:val="center"/>
        <w:spacing w:line="499"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p>
      <w:pPr>
        <w:pStyle w:val="3124"/>
        <w:jc w:val="center"/>
        <w:spacing w:beforeAutospacing="0" w:afterAutospacing="0"/>
        <w:rPr>
          <w:rFonts w:hint="default"/>
          <w:color w:val="auto"/>
          <w:sz w:val="24"/>
          <w:szCs w:val="24"/>
          <w:highlight w:val="none"/>
        </w:rPr>
      </w:pPr>
      <w:r>
        <w:rPr>
          <w:rFonts w:hint="default"/>
          <w:color w:val="auto"/>
          <w:sz w:val="24"/>
          <w:szCs w:val="24"/>
          <w:highlight w:val="none"/>
        </w:rPr>
      </w:r>
      <w:r/>
    </w:p>
    <w:p>
      <w:pPr>
        <w:rPr>
          <w:rFonts w:hint="default"/>
          <w:color w:val="auto"/>
          <w:sz w:val="21"/>
          <w:szCs w:val="24"/>
          <w:highlight w:val="none"/>
        </w:rPr>
      </w:pPr>
      <w:r>
        <w:rPr>
          <w:rFonts w:hint="default"/>
          <w:color w:val="auto"/>
          <w:sz w:val="21"/>
          <w:szCs w:val="24"/>
          <w:highlight w:val="none"/>
        </w:rPr>
      </w:r>
      <w:r/>
    </w:p>
    <w:p>
      <w:pPr>
        <w:pStyle w:val="3124"/>
        <w:jc w:val="center"/>
        <w:spacing w:beforeAutospacing="0" w:afterAutospacing="0"/>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质疑函范本</w:t>
      </w:r>
      <w:r/>
    </w:p>
    <w:p>
      <w:pPr>
        <w:pStyle w:val="3124"/>
        <w:jc w:val="both"/>
        <w:spacing w:before="290"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一、质疑供应商基本信息</w:t>
      </w:r>
      <w:r/>
    </w:p>
    <w:p>
      <w:pPr>
        <w:pStyle w:val="3124"/>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质疑供应商：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p>
    <w:p>
      <w:pPr>
        <w:pStyle w:val="3124"/>
        <w:jc w:val="both"/>
        <w:spacing w:beforeAutospacing="0" w:afterAutospacing="0"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p>
    <w:p>
      <w:pPr>
        <w:pStyle w:val="3124"/>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p>
    <w:p>
      <w:pPr>
        <w:pStyle w:val="3124"/>
        <w:jc w:val="both"/>
        <w:spacing w:beforeAutospacing="0" w:afterAutospacing="0"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p>
    <w:p>
      <w:pPr>
        <w:pStyle w:val="3124"/>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p>
    <w:p>
      <w:pPr>
        <w:pStyle w:val="3124"/>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授权代表：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p>
    <w:p>
      <w:pPr>
        <w:pStyle w:val="3124"/>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p>
    <w:p>
      <w:pPr>
        <w:pStyle w:val="3124"/>
        <w:jc w:val="both"/>
        <w:spacing w:beforeAutospacing="0" w:afterAutospacing="0"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地址：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p>
    <w:p>
      <w:pPr>
        <w:pStyle w:val="3124"/>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p>
    <w:p>
      <w:pPr>
        <w:pStyle w:val="3124"/>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二、质疑项目基本情况</w:t>
      </w:r>
      <w:r/>
    </w:p>
    <w:p>
      <w:pPr>
        <w:pStyle w:val="3124"/>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质疑项目的名称：</w:t>
      </w:r>
      <w:r>
        <w:rPr>
          <w:rFonts w:hint="eastAsia" w:ascii="宋体" w:hAnsi="宋体" w:cs="宋体"/>
          <w:color w:val="auto"/>
          <w:sz w:val="24"/>
          <w:szCs w:val="24"/>
          <w:highlight w:val="none"/>
          <w:u w:val="single"/>
        </w:rPr>
        <w:t xml:space="preserve">                            </w:t>
      </w:r>
      <w:r/>
    </w:p>
    <w:p>
      <w:pPr>
        <w:pStyle w:val="3124"/>
        <w:jc w:val="both"/>
        <w:spacing w:beforeAutospacing="0" w:afterAutospacing="0"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质疑项目的编号：</w:t>
      </w:r>
      <w:r>
        <w:rPr>
          <w:rFonts w:hint="eastAsia" w:ascii="宋体" w:hAnsi="宋体" w:cs="宋体"/>
          <w:color w:val="auto"/>
          <w:sz w:val="24"/>
          <w:szCs w:val="24"/>
          <w:highlight w:val="none"/>
          <w:u w:val="single"/>
        </w:rPr>
        <w:t xml:space="preserve">                          </w:t>
      </w:r>
      <w:r/>
    </w:p>
    <w:p>
      <w:pPr>
        <w:pStyle w:val="3124"/>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包号：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w:t>
      </w:r>
      <w:r/>
    </w:p>
    <w:p>
      <w:pPr>
        <w:pStyle w:val="3124"/>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采购人名称：</w:t>
      </w:r>
      <w:r>
        <w:rPr>
          <w:rFonts w:hint="eastAsia" w:ascii="宋体" w:hAnsi="宋体" w:cs="宋体"/>
          <w:color w:val="auto"/>
          <w:sz w:val="24"/>
          <w:szCs w:val="24"/>
          <w:highlight w:val="none"/>
          <w:u w:val="single"/>
        </w:rPr>
        <w:t xml:space="preserve">                            </w:t>
      </w:r>
      <w:r/>
    </w:p>
    <w:p>
      <w:pPr>
        <w:pStyle w:val="3124"/>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采购文件获取日期：</w:t>
      </w:r>
      <w:r>
        <w:rPr>
          <w:rFonts w:hint="eastAsia" w:ascii="宋体" w:hAnsi="宋体" w:cs="宋体"/>
          <w:color w:val="auto"/>
          <w:sz w:val="24"/>
          <w:szCs w:val="24"/>
          <w:highlight w:val="none"/>
          <w:u w:val="single"/>
        </w:rPr>
        <w:t xml:space="preserve">                             </w:t>
      </w:r>
      <w:r/>
    </w:p>
    <w:p>
      <w:pPr>
        <w:pStyle w:val="3124"/>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三、质疑事项具体内容</w:t>
      </w:r>
      <w:r/>
    </w:p>
    <w:p>
      <w:pPr>
        <w:pStyle w:val="3124"/>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质疑事项1：</w:t>
      </w:r>
      <w:r>
        <w:rPr>
          <w:rFonts w:hint="eastAsia" w:ascii="宋体" w:hAnsi="宋体" w:cs="宋体"/>
          <w:color w:val="auto"/>
          <w:sz w:val="24"/>
          <w:szCs w:val="24"/>
          <w:highlight w:val="none"/>
          <w:u w:val="single"/>
        </w:rPr>
        <w:t xml:space="preserve">                             </w:t>
      </w:r>
      <w:r/>
    </w:p>
    <w:p>
      <w:pPr>
        <w:pStyle w:val="3124"/>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事实依据：</w:t>
      </w:r>
      <w:r>
        <w:rPr>
          <w:rFonts w:hint="eastAsia" w:ascii="宋体" w:hAnsi="宋体" w:cs="宋体"/>
          <w:color w:val="auto"/>
          <w:sz w:val="24"/>
          <w:szCs w:val="24"/>
          <w:highlight w:val="none"/>
          <w:u w:val="single"/>
        </w:rPr>
        <w:t xml:space="preserve">                                                   </w:t>
      </w:r>
      <w:r/>
    </w:p>
    <w:p>
      <w:pPr>
        <w:pStyle w:val="3124"/>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法律依据：</w:t>
      </w:r>
      <w:r>
        <w:rPr>
          <w:rFonts w:hint="eastAsia" w:ascii="宋体" w:hAnsi="宋体" w:cs="宋体"/>
          <w:color w:val="auto"/>
          <w:sz w:val="24"/>
          <w:szCs w:val="24"/>
          <w:highlight w:val="none"/>
          <w:u w:val="single"/>
        </w:rPr>
        <w:t xml:space="preserve">                                                    </w:t>
      </w:r>
      <w:r/>
    </w:p>
    <w:p>
      <w:pPr>
        <w:pStyle w:val="3124"/>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质疑事项2</w:t>
      </w:r>
      <w:r/>
    </w:p>
    <w:p>
      <w:pPr>
        <w:pStyle w:val="3124"/>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pStyle w:val="3124"/>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四、与质疑事项相关的质疑请求</w:t>
      </w:r>
      <w:r/>
    </w:p>
    <w:p>
      <w:pPr>
        <w:pStyle w:val="3124"/>
        <w:jc w:val="both"/>
        <w:spacing w:beforeAutospacing="0" w:afterAutospacing="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请求：</w:t>
      </w:r>
      <w:r>
        <w:rPr>
          <w:rFonts w:hint="eastAsia" w:ascii="宋体" w:hAnsi="宋体" w:cs="宋体"/>
          <w:color w:val="auto"/>
          <w:sz w:val="24"/>
          <w:szCs w:val="24"/>
          <w:highlight w:val="none"/>
          <w:u w:val="single"/>
        </w:rPr>
        <w:t xml:space="preserve">                                                          </w:t>
      </w:r>
      <w:r/>
    </w:p>
    <w:p>
      <w:pPr>
        <w:pStyle w:val="3124"/>
        <w:jc w:val="both"/>
        <w:spacing w:beforeAutospacing="0" w:afterAutospacing="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签字(签章)：                 公章：               日期：    </w:t>
      </w:r>
      <w:r/>
    </w:p>
    <w:p>
      <w:pPr>
        <w:pStyle w:val="3124"/>
        <w:jc w:val="both"/>
        <w:spacing w:beforeAutospacing="0" w:afterAutospacing="0" w:line="240" w:lineRule="atLeast"/>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质疑函制作说明：</w:t>
      </w:r>
      <w:r/>
    </w:p>
    <w:p>
      <w:pPr>
        <w:pStyle w:val="3124"/>
        <w:ind w:firstLine="480"/>
        <w:spacing w:beforeAutospacing="0" w:afterAutospacing="0" w:line="240"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1.供应商提出质疑时，应提交质疑函和必要的证明材料。</w:t>
      </w:r>
      <w:r/>
    </w:p>
    <w:p>
      <w:pPr>
        <w:pStyle w:val="3124"/>
        <w:ind w:firstLine="480"/>
        <w:spacing w:beforeAutospacing="0" w:afterAutospacing="0" w:line="240"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3124"/>
        <w:ind w:firstLine="480"/>
        <w:spacing w:beforeAutospacing="0" w:afterAutospacing="0" w:line="240"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3.质疑供应商若对项目的某一分包进行质疑，质疑函中应列明具体分包号。</w:t>
      </w:r>
      <w:r/>
    </w:p>
    <w:p>
      <w:pPr>
        <w:pStyle w:val="3124"/>
        <w:ind w:firstLine="480"/>
        <w:spacing w:beforeAutospacing="0" w:afterAutospacing="0" w:line="240"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4.质疑函的质疑事项应具体、明确，并有必要的事实依据和法律依据。</w:t>
      </w:r>
      <w:r/>
    </w:p>
    <w:p>
      <w:pPr>
        <w:pStyle w:val="3124"/>
        <w:ind w:firstLine="480"/>
        <w:spacing w:beforeAutospacing="0" w:afterAutospacing="0" w:line="240"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5.质疑函的质疑请求应与质疑事项相关。</w:t>
      </w:r>
      <w:r/>
    </w:p>
    <w:p>
      <w:pPr>
        <w:pStyle w:val="3124"/>
        <w:ind w:firstLine="480"/>
        <w:spacing w:beforeAutospacing="0" w:afterAutospacing="0" w:line="240" w:lineRule="atLeas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highlight w:val="none"/>
        </w:rPr>
      </w:pPr>
      <w:r>
        <w:rPr>
          <w:highlight w:val="none"/>
        </w:rPr>
      </w:r>
      <w:r/>
    </w:p>
    <w:sectPr>
      <w:headerReference w:type="default" r:id="rId27"/>
      <w:headerReference w:type="even" r:id="rId28"/>
      <w:headerReference w:type="first" r:id="rId29"/>
      <w:footnotePr/>
      <w:endnotePr/>
      <w:type w:val="nextPage"/>
      <w:pgSz w:w="12240" w:h="15840" w:orient="portrait"/>
      <w:pgMar w:top="1440" w:right="1800" w:bottom="1440" w:left="1800" w:header="720" w:footer="720" w:gutter="0"/>
      <w:lnNumType w:countBy="0" w:distance="36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31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12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3" o:spid="_x0000_s6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312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59" w:lineRule="auto"/>
      </w:pPr>
      <w:r>
        <w:separator/>
      </w:r>
      <w:r/>
    </w:p>
  </w:footnote>
  <w:footnote w:type="continuationSeparator" w:id="0">
    <w:p>
      <w:pPr>
        <w:spacing w:before="0" w:after="0" w:line="259"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6028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6131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6233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6643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6745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6848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6336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6438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6540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6950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7052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7155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2" o:spid="_x0000_s12" o:spt="1" type="#_x0000_t1" style="position:absolute;z-index:25167564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3" o:spid="_x0000_s13" o:spt="1" type="#_x0000_t1" style="position:absolute;z-index:25167667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4" o:spid="_x0000_s14" o:spt="1" type="#_x0000_t1" style="position:absolute;z-index:25167769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5" o:spid="_x0000_s15" o:spt="1" type="#_x0000_t1" style="position:absolute;z-index:25167257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1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6" o:spid="_x0000_s16" o:spt="1" type="#_x0000_t1" style="position:absolute;z-index:25167360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1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7" o:spid="_x0000_s17" o:spt="1" type="#_x0000_t1" style="position:absolute;z-index:25167462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1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8" o:spid="_x0000_s18" o:spt="1" type="#_x0000_t1" style="position:absolute;z-index:25167872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9" o:spid="_x0000_s19" o:spt="1" type="#_x0000_t1" style="position:absolute;z-index:25167974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0" o:spid="_x0000_s20" o:spt="1" type="#_x0000_t1" style="position:absolute;z-index:25168076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1" o:spid="_x0000_s21" o:spt="1" type="#_x0000_t1" style="position:absolute;z-index:25168486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2" o:spid="_x0000_s22" o:spt="1" type="#_x0000_t1" style="position:absolute;z-index:25168588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3" o:spid="_x0000_s23" o:spt="1" type="#_x0000_t1" style="position:absolute;z-index:25168691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4" o:spid="_x0000_s24" o:spt="1" type="#_x0000_t1" style="position:absolute;z-index:25168179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miter/>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5" o:spid="_x0000_s25" o:spt="1" type="#_x0000_t1" style="position:absolute;z-index:25168281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miter/>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2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6" o:spid="_x0000_s26" o:spt="1" type="#_x0000_t1" style="position:absolute;z-index:25168384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2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7" o:spid="_x0000_s27" o:spt="1" type="#_x0000_t1" style="position:absolute;z-index:25168793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2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8" o:spid="_x0000_s28" o:spt="1" type="#_x0000_t1" style="position:absolute;z-index:25168896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9" o:spid="_x0000_s29" o:spt="1" type="#_x0000_t1" style="position:absolute;z-index:25168998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3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0" o:spid="_x0000_s30" o:spt="1" type="#_x0000_t1" style="position:absolute;z-index:25169408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3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1" o:spid="_x0000_s31" o:spt="1" type="#_x0000_t1" style="position:absolute;z-index:25169510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2" o:spid="_x0000_s32" o:spt="1" type="#_x0000_t1" style="position:absolute;z-index:25169612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3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3" o:spid="_x0000_s33" o:spt="1" type="#_x0000_t1" style="position:absolute;z-index:25169100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3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4" o:spid="_x0000_s34" o:spt="1" type="#_x0000_t1" style="position:absolute;z-index:25169203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5" o:spid="_x0000_s35" o:spt="1" type="#_x0000_t1" style="position:absolute;z-index:25169305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3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6" o:spid="_x0000_s36" o:spt="1" type="#_x0000_t1" style="position:absolute;z-index:25169715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3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7" o:spid="_x0000_s37" o:spt="1" type="#_x0000_t1" style="position:absolute;z-index:25169817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3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8" o:spid="_x0000_s38" o:spt="1" type="#_x0000_t1" style="position:absolute;z-index:25169920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9" o:spid="_x0000_s39" o:spt="1" type="#_x0000_t1" style="position:absolute;z-index:25170329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4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0" o:spid="_x0000_s40" o:spt="1" type="#_x0000_t1" style="position:absolute;z-index:25170432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4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1" o:spid="_x0000_s41" o:spt="1" type="#_x0000_t1" style="position:absolute;z-index:25170534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2" o:spid="_x0000_s42" o:spt="1" type="#_x0000_t1" style="position:absolute;z-index:25170022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4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3" o:spid="_x0000_s43" o:spt="1" type="#_x0000_t1" style="position:absolute;z-index:25170124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4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4" o:spid="_x0000_s44" o:spt="1" type="#_x0000_t1" style="position:absolute;z-index:25170227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round/>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5" o:spid="_x0000_s45" o:spt="1" type="#_x0000_t1" style="position:absolute;z-index:25170636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4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6" o:spid="_x0000_s46" o:spt="1" type="#_x0000_t1" style="position:absolute;z-index:25170739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4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7" o:spid="_x0000_s47" o:spt="1" type="#_x0000_t1" style="position:absolute;z-index:25170841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4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8" o:spid="_x0000_s48" o:spt="1" type="#_x0000_t1" style="position:absolute;z-index:251712512;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9" o:spid="_x0000_s49" o:spt="1" type="#_x0000_t1" style="position:absolute;z-index:251713536;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5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round/>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0" o:spid="_x0000_s50" o:spt="1" type="#_x0000_t1" style="position:absolute;z-index:251714560;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5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1" o:spid="_x0000_s51" o:spt="1" type="#_x0000_t1" style="position:absolute;z-index:251709440;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2" o:spid="_x0000_s52" o:spt="1" type="#_x0000_t1" style="position:absolute;z-index:251710464;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54"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3" o:spid="_x0000_s53" o:spt="1" type="#_x0000_t1" style="position:absolute;z-index:251711488;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55"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4" o:spid="_x0000_s54" o:spt="1" type="#_x0000_t1" style="position:absolute;z-index:251715584;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6"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5" o:spid="_x0000_s55" o:spt="1" type="#_x0000_t1" style="position:absolute;z-index:251716608;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57"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6" o:spid="_x0000_s56" o:spt="1" type="#_x0000_t1" style="position:absolute;z-index:251717632;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58"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7" o:spid="_x0000_s57" o:spt="1" type="#_x0000_t1" style="position:absolute;z-index:251721728;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59"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8" o:spid="_x0000_s58" o:spt="1" type="#_x0000_t1" style="position:absolute;z-index:251722752;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0"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9" o:spid="_x0000_s59" o:spt="1" type="#_x0000_t1" style="position:absolute;z-index:251723776;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381000</wp:posOffset>
              </wp:positionH>
              <wp:positionV relativeFrom="paragraph">
                <wp:posOffset>2540000</wp:posOffset>
              </wp:positionV>
              <wp:extent cx="5080000" cy="444500"/>
              <wp:effectExtent l="0" t="0" r="0" b="0"/>
              <wp:wrapNone/>
              <wp:docPr id="61"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0" o:spid="_x0000_s60" o:spt="1" type="#_x0000_t1" style="position:absolute;z-index:251718656;o:allowoverlap:true;o:allowincell:true;mso-position-horizontal-relative:text;margin-left:30.0pt;mso-position-horizontal:absolute;mso-position-vertical-relative:text;margin-top:2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381000</wp:posOffset>
              </wp:positionH>
              <wp:positionV relativeFrom="paragraph">
                <wp:posOffset>5080000</wp:posOffset>
              </wp:positionV>
              <wp:extent cx="5080000" cy="444500"/>
              <wp:effectExtent l="0" t="0" r="0" b="0"/>
              <wp:wrapNone/>
              <wp:docPr id="62"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1" o:spid="_x0000_s61" o:spt="1" type="#_x0000_t1" style="position:absolute;z-index:251719680;o:allowoverlap:true;o:allowincell:true;mso-position-horizontal-relative:text;margin-left:30.0pt;mso-position-horizontal:absolute;mso-position-vertical-relative:text;margin-top:4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381000</wp:posOffset>
              </wp:positionH>
              <wp:positionV relativeFrom="paragraph">
                <wp:posOffset>7620000</wp:posOffset>
              </wp:positionV>
              <wp:extent cx="5080000" cy="444500"/>
              <wp:effectExtent l="0" t="0" r="0" b="0"/>
              <wp:wrapNone/>
              <wp:docPr id="63" name=""/>
              <wp:cNvGraphicFramePr/>
              <a:graphic xmlns:a="http://schemas.openxmlformats.org/drawingml/2006/main">
                <a:graphicData uri="http://schemas.microsoft.com/office/word/2010/wordprocessingShape">
                  <wps:wsp>
                    <wps:cNvPr id="0" name=""/>
                    <wps:cNvSpPr/>
                    <wps:spPr bwMode="auto">
                      <a:xfrm rot="20099998">
                        <a:off x="0" y="0"/>
                        <a:ext cx="5080000" cy="444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2" o:spid="_x0000_s62" o:spt="1" type="#_x0000_t1" style="position:absolute;z-index:251720704;o:allowoverlap:true;o:allowincell:true;mso-position-horizontal-relative:text;margin-left:30.0pt;mso-position-horizontal:absolute;mso-position-vertical-relative:text;margin-top:600.0pt;mso-position-vertical:absolute;width:400.0pt;height:3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盐城市公安局市区高架一、二期交通安全设施维保服务采购项目</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3"/>
      <w:numFmt w:val="chineseCounting"/>
      <w:isLgl w:val="false"/>
      <w:suff w:val="nothing"/>
      <w:lvlText w:val="%1、"/>
      <w:lvlJc w:val="left"/>
      <w:pPr/>
      <w:rPr>
        <w:rFonts w:hint="default"/>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941">
    <w:name w:val="Heading 1"/>
    <w:basedOn w:val="3117"/>
    <w:next w:val="3117"/>
    <w:link w:val="2942"/>
    <w:uiPriority w:val="9"/>
    <w:qFormat/>
    <w:pPr>
      <w:keepLines/>
      <w:keepNext/>
      <w:spacing w:before="480" w:after="200"/>
      <w:outlineLvl w:val="0"/>
    </w:pPr>
    <w:rPr>
      <w:rFonts w:ascii="Arial" w:hAnsi="Arial" w:eastAsia="Arial" w:cs="Arial"/>
      <w:sz w:val="40"/>
      <w:szCs w:val="40"/>
    </w:rPr>
  </w:style>
  <w:style w:type="character" w:styleId="2942">
    <w:name w:val="Heading 1 Char"/>
    <w:basedOn w:val="3118"/>
    <w:link w:val="2941"/>
    <w:uiPriority w:val="9"/>
    <w:rPr>
      <w:rFonts w:ascii="Arial" w:hAnsi="Arial" w:eastAsia="Arial" w:cs="Arial"/>
      <w:sz w:val="40"/>
      <w:szCs w:val="40"/>
    </w:rPr>
  </w:style>
  <w:style w:type="paragraph" w:styleId="2943">
    <w:name w:val="Heading 2"/>
    <w:basedOn w:val="3117"/>
    <w:next w:val="3117"/>
    <w:link w:val="2944"/>
    <w:uiPriority w:val="9"/>
    <w:unhideWhenUsed/>
    <w:qFormat/>
    <w:pPr>
      <w:keepLines/>
      <w:keepNext/>
      <w:spacing w:before="360" w:after="200"/>
      <w:outlineLvl w:val="1"/>
    </w:pPr>
    <w:rPr>
      <w:rFonts w:ascii="Arial" w:hAnsi="Arial" w:eastAsia="Arial" w:cs="Arial"/>
      <w:sz w:val="34"/>
    </w:rPr>
  </w:style>
  <w:style w:type="character" w:styleId="2944">
    <w:name w:val="Heading 2 Char"/>
    <w:basedOn w:val="3118"/>
    <w:link w:val="2943"/>
    <w:uiPriority w:val="9"/>
    <w:rPr>
      <w:rFonts w:ascii="Arial" w:hAnsi="Arial" w:eastAsia="Arial" w:cs="Arial"/>
      <w:sz w:val="34"/>
    </w:rPr>
  </w:style>
  <w:style w:type="paragraph" w:styleId="2945">
    <w:name w:val="Heading 3"/>
    <w:basedOn w:val="3117"/>
    <w:next w:val="3117"/>
    <w:link w:val="2946"/>
    <w:uiPriority w:val="9"/>
    <w:unhideWhenUsed/>
    <w:qFormat/>
    <w:pPr>
      <w:keepLines/>
      <w:keepNext/>
      <w:spacing w:before="320" w:after="200"/>
      <w:outlineLvl w:val="2"/>
    </w:pPr>
    <w:rPr>
      <w:rFonts w:ascii="Arial" w:hAnsi="Arial" w:eastAsia="Arial" w:cs="Arial"/>
      <w:sz w:val="30"/>
      <w:szCs w:val="30"/>
    </w:rPr>
  </w:style>
  <w:style w:type="character" w:styleId="2946">
    <w:name w:val="Heading 3 Char"/>
    <w:basedOn w:val="3118"/>
    <w:link w:val="2945"/>
    <w:uiPriority w:val="9"/>
    <w:rPr>
      <w:rFonts w:ascii="Arial" w:hAnsi="Arial" w:eastAsia="Arial" w:cs="Arial"/>
      <w:sz w:val="30"/>
      <w:szCs w:val="30"/>
    </w:rPr>
  </w:style>
  <w:style w:type="paragraph" w:styleId="2947">
    <w:name w:val="Heading 4"/>
    <w:basedOn w:val="3117"/>
    <w:next w:val="3117"/>
    <w:link w:val="2948"/>
    <w:uiPriority w:val="9"/>
    <w:unhideWhenUsed/>
    <w:qFormat/>
    <w:pPr>
      <w:keepLines/>
      <w:keepNext/>
      <w:spacing w:before="320" w:after="200"/>
      <w:outlineLvl w:val="3"/>
    </w:pPr>
    <w:rPr>
      <w:rFonts w:ascii="Arial" w:hAnsi="Arial" w:eastAsia="Arial" w:cs="Arial"/>
      <w:b/>
      <w:bCs/>
      <w:sz w:val="26"/>
      <w:szCs w:val="26"/>
    </w:rPr>
  </w:style>
  <w:style w:type="character" w:styleId="2948">
    <w:name w:val="Heading 4 Char"/>
    <w:basedOn w:val="3118"/>
    <w:link w:val="2947"/>
    <w:uiPriority w:val="9"/>
    <w:rPr>
      <w:rFonts w:ascii="Arial" w:hAnsi="Arial" w:eastAsia="Arial" w:cs="Arial"/>
      <w:b/>
      <w:bCs/>
      <w:sz w:val="26"/>
      <w:szCs w:val="26"/>
    </w:rPr>
  </w:style>
  <w:style w:type="paragraph" w:styleId="2949">
    <w:name w:val="Heading 5"/>
    <w:basedOn w:val="3117"/>
    <w:next w:val="3117"/>
    <w:link w:val="2950"/>
    <w:uiPriority w:val="9"/>
    <w:unhideWhenUsed/>
    <w:qFormat/>
    <w:pPr>
      <w:keepLines/>
      <w:keepNext/>
      <w:spacing w:before="320" w:after="200"/>
      <w:outlineLvl w:val="4"/>
    </w:pPr>
    <w:rPr>
      <w:rFonts w:ascii="Arial" w:hAnsi="Arial" w:eastAsia="Arial" w:cs="Arial"/>
      <w:b/>
      <w:bCs/>
      <w:sz w:val="24"/>
      <w:szCs w:val="24"/>
    </w:rPr>
  </w:style>
  <w:style w:type="character" w:styleId="2950">
    <w:name w:val="Heading 5 Char"/>
    <w:basedOn w:val="3118"/>
    <w:link w:val="2949"/>
    <w:uiPriority w:val="9"/>
    <w:rPr>
      <w:rFonts w:ascii="Arial" w:hAnsi="Arial" w:eastAsia="Arial" w:cs="Arial"/>
      <w:b/>
      <w:bCs/>
      <w:sz w:val="24"/>
      <w:szCs w:val="24"/>
    </w:rPr>
  </w:style>
  <w:style w:type="paragraph" w:styleId="2951">
    <w:name w:val="Heading 6"/>
    <w:basedOn w:val="3117"/>
    <w:next w:val="3117"/>
    <w:link w:val="2952"/>
    <w:uiPriority w:val="9"/>
    <w:unhideWhenUsed/>
    <w:qFormat/>
    <w:pPr>
      <w:keepLines/>
      <w:keepNext/>
      <w:spacing w:before="320" w:after="200"/>
      <w:outlineLvl w:val="5"/>
    </w:pPr>
    <w:rPr>
      <w:rFonts w:ascii="Arial" w:hAnsi="Arial" w:eastAsia="Arial" w:cs="Arial"/>
      <w:b/>
      <w:bCs/>
      <w:sz w:val="22"/>
      <w:szCs w:val="22"/>
    </w:rPr>
  </w:style>
  <w:style w:type="character" w:styleId="2952">
    <w:name w:val="Heading 6 Char"/>
    <w:basedOn w:val="3118"/>
    <w:link w:val="2951"/>
    <w:uiPriority w:val="9"/>
    <w:rPr>
      <w:rFonts w:ascii="Arial" w:hAnsi="Arial" w:eastAsia="Arial" w:cs="Arial"/>
      <w:b/>
      <w:bCs/>
      <w:sz w:val="22"/>
      <w:szCs w:val="22"/>
    </w:rPr>
  </w:style>
  <w:style w:type="paragraph" w:styleId="2953">
    <w:name w:val="Heading 7"/>
    <w:basedOn w:val="3117"/>
    <w:next w:val="3117"/>
    <w:link w:val="2954"/>
    <w:uiPriority w:val="9"/>
    <w:unhideWhenUsed/>
    <w:qFormat/>
    <w:pPr>
      <w:keepLines/>
      <w:keepNext/>
      <w:spacing w:before="320" w:after="200"/>
      <w:outlineLvl w:val="6"/>
    </w:pPr>
    <w:rPr>
      <w:rFonts w:ascii="Arial" w:hAnsi="Arial" w:eastAsia="Arial" w:cs="Arial"/>
      <w:b/>
      <w:bCs/>
      <w:i/>
      <w:iCs/>
      <w:sz w:val="22"/>
      <w:szCs w:val="22"/>
    </w:rPr>
  </w:style>
  <w:style w:type="character" w:styleId="2954">
    <w:name w:val="Heading 7 Char"/>
    <w:basedOn w:val="3118"/>
    <w:link w:val="2953"/>
    <w:uiPriority w:val="9"/>
    <w:rPr>
      <w:rFonts w:ascii="Arial" w:hAnsi="Arial" w:eastAsia="Arial" w:cs="Arial"/>
      <w:b/>
      <w:bCs/>
      <w:i/>
      <w:iCs/>
      <w:sz w:val="22"/>
      <w:szCs w:val="22"/>
    </w:rPr>
  </w:style>
  <w:style w:type="paragraph" w:styleId="2955">
    <w:name w:val="Heading 8"/>
    <w:basedOn w:val="3117"/>
    <w:next w:val="3117"/>
    <w:link w:val="2956"/>
    <w:uiPriority w:val="9"/>
    <w:unhideWhenUsed/>
    <w:qFormat/>
    <w:pPr>
      <w:keepLines/>
      <w:keepNext/>
      <w:spacing w:before="320" w:after="200"/>
      <w:outlineLvl w:val="7"/>
    </w:pPr>
    <w:rPr>
      <w:rFonts w:ascii="Arial" w:hAnsi="Arial" w:eastAsia="Arial" w:cs="Arial"/>
      <w:i/>
      <w:iCs/>
      <w:sz w:val="22"/>
      <w:szCs w:val="22"/>
    </w:rPr>
  </w:style>
  <w:style w:type="character" w:styleId="2956">
    <w:name w:val="Heading 8 Char"/>
    <w:basedOn w:val="3118"/>
    <w:link w:val="2955"/>
    <w:uiPriority w:val="9"/>
    <w:rPr>
      <w:rFonts w:ascii="Arial" w:hAnsi="Arial" w:eastAsia="Arial" w:cs="Arial"/>
      <w:i/>
      <w:iCs/>
      <w:sz w:val="22"/>
      <w:szCs w:val="22"/>
    </w:rPr>
  </w:style>
  <w:style w:type="paragraph" w:styleId="2957">
    <w:name w:val="Heading 9"/>
    <w:basedOn w:val="3117"/>
    <w:next w:val="3117"/>
    <w:link w:val="2958"/>
    <w:uiPriority w:val="9"/>
    <w:unhideWhenUsed/>
    <w:qFormat/>
    <w:pPr>
      <w:keepLines/>
      <w:keepNext/>
      <w:spacing w:before="320" w:after="200"/>
      <w:outlineLvl w:val="8"/>
    </w:pPr>
    <w:rPr>
      <w:rFonts w:ascii="Arial" w:hAnsi="Arial" w:eastAsia="Arial" w:cs="Arial"/>
      <w:i/>
      <w:iCs/>
      <w:sz w:val="21"/>
      <w:szCs w:val="21"/>
    </w:rPr>
  </w:style>
  <w:style w:type="character" w:styleId="2958">
    <w:name w:val="Heading 9 Char"/>
    <w:basedOn w:val="3118"/>
    <w:link w:val="2957"/>
    <w:uiPriority w:val="9"/>
    <w:rPr>
      <w:rFonts w:ascii="Arial" w:hAnsi="Arial" w:eastAsia="Arial" w:cs="Arial"/>
      <w:i/>
      <w:iCs/>
      <w:sz w:val="21"/>
      <w:szCs w:val="21"/>
    </w:rPr>
  </w:style>
  <w:style w:type="paragraph" w:styleId="2959">
    <w:name w:val="List Paragraph"/>
    <w:basedOn w:val="3117"/>
    <w:uiPriority w:val="34"/>
    <w:qFormat/>
    <w:pPr>
      <w:contextualSpacing/>
      <w:ind w:left="720"/>
    </w:pPr>
  </w:style>
  <w:style w:type="paragraph" w:styleId="2960">
    <w:name w:val="No Spacing"/>
    <w:uiPriority w:val="1"/>
    <w:qFormat/>
    <w:pPr>
      <w:spacing w:before="0" w:after="0" w:line="240" w:lineRule="auto"/>
    </w:pPr>
  </w:style>
  <w:style w:type="paragraph" w:styleId="2961">
    <w:name w:val="Title"/>
    <w:basedOn w:val="3117"/>
    <w:next w:val="3117"/>
    <w:link w:val="2962"/>
    <w:uiPriority w:val="10"/>
    <w:qFormat/>
    <w:pPr>
      <w:contextualSpacing/>
      <w:spacing w:before="300" w:after="200"/>
    </w:pPr>
    <w:rPr>
      <w:sz w:val="48"/>
      <w:szCs w:val="48"/>
    </w:rPr>
  </w:style>
  <w:style w:type="character" w:styleId="2962">
    <w:name w:val="Title Char"/>
    <w:basedOn w:val="3118"/>
    <w:link w:val="2961"/>
    <w:uiPriority w:val="10"/>
    <w:rPr>
      <w:sz w:val="48"/>
      <w:szCs w:val="48"/>
    </w:rPr>
  </w:style>
  <w:style w:type="paragraph" w:styleId="2963">
    <w:name w:val="Subtitle"/>
    <w:basedOn w:val="3117"/>
    <w:next w:val="3117"/>
    <w:link w:val="2964"/>
    <w:uiPriority w:val="11"/>
    <w:qFormat/>
    <w:pPr>
      <w:spacing w:before="200" w:after="200"/>
    </w:pPr>
    <w:rPr>
      <w:sz w:val="24"/>
      <w:szCs w:val="24"/>
    </w:rPr>
  </w:style>
  <w:style w:type="character" w:styleId="2964">
    <w:name w:val="Subtitle Char"/>
    <w:basedOn w:val="3118"/>
    <w:link w:val="2963"/>
    <w:uiPriority w:val="11"/>
    <w:rPr>
      <w:sz w:val="24"/>
      <w:szCs w:val="24"/>
    </w:rPr>
  </w:style>
  <w:style w:type="paragraph" w:styleId="2965">
    <w:name w:val="Quote"/>
    <w:basedOn w:val="3117"/>
    <w:next w:val="3117"/>
    <w:link w:val="2966"/>
    <w:uiPriority w:val="29"/>
    <w:qFormat/>
    <w:pPr>
      <w:ind w:left="720" w:right="720"/>
    </w:pPr>
    <w:rPr>
      <w:i/>
    </w:rPr>
  </w:style>
  <w:style w:type="character" w:styleId="2966">
    <w:name w:val="Quote Char"/>
    <w:link w:val="2965"/>
    <w:uiPriority w:val="29"/>
    <w:rPr>
      <w:i/>
    </w:rPr>
  </w:style>
  <w:style w:type="paragraph" w:styleId="2967">
    <w:name w:val="Intense Quote"/>
    <w:basedOn w:val="3117"/>
    <w:next w:val="3117"/>
    <w:link w:val="29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968">
    <w:name w:val="Intense Quote Char"/>
    <w:link w:val="2967"/>
    <w:uiPriority w:val="30"/>
    <w:rPr>
      <w:i/>
    </w:rPr>
  </w:style>
  <w:style w:type="character" w:styleId="2969">
    <w:name w:val="Header Char"/>
    <w:basedOn w:val="3118"/>
    <w:link w:val="3123"/>
    <w:uiPriority w:val="99"/>
  </w:style>
  <w:style w:type="character" w:styleId="2970">
    <w:name w:val="Footer Char"/>
    <w:basedOn w:val="3118"/>
    <w:link w:val="3122"/>
    <w:uiPriority w:val="99"/>
  </w:style>
  <w:style w:type="paragraph" w:styleId="2971">
    <w:name w:val="Caption"/>
    <w:basedOn w:val="3117"/>
    <w:next w:val="3117"/>
    <w:uiPriority w:val="35"/>
    <w:semiHidden/>
    <w:unhideWhenUsed/>
    <w:qFormat/>
    <w:pPr>
      <w:spacing w:line="276" w:lineRule="auto"/>
    </w:pPr>
    <w:rPr>
      <w:b/>
      <w:bCs/>
      <w:color w:val="4f81bd" w:themeColor="accent1"/>
      <w:sz w:val="18"/>
      <w:szCs w:val="18"/>
    </w:rPr>
  </w:style>
  <w:style w:type="character" w:styleId="2972">
    <w:name w:val="Caption Char"/>
    <w:basedOn w:val="2971"/>
    <w:link w:val="3122"/>
    <w:uiPriority w:val="99"/>
  </w:style>
  <w:style w:type="table" w:styleId="2973">
    <w:name w:val="Table Grid"/>
    <w:basedOn w:val="311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974">
    <w:name w:val="Table Grid Light"/>
    <w:basedOn w:val="31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2975">
    <w:name w:val="Plain Table 1"/>
    <w:basedOn w:val="31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976">
    <w:name w:val="Plain Table 2"/>
    <w:basedOn w:val="31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977">
    <w:name w:val="Plain Table 3"/>
    <w:basedOn w:val="31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978">
    <w:name w:val="Plain Table 4"/>
    <w:basedOn w:val="31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979">
    <w:name w:val="Plain Table 5"/>
    <w:basedOn w:val="31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980">
    <w:name w:val="Grid Table 1 Light"/>
    <w:basedOn w:val="31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981">
    <w:name w:val="Grid Table 1 Light - Accent 1"/>
    <w:basedOn w:val="31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2982">
    <w:name w:val="Grid Table 1 Light - Accent 2"/>
    <w:basedOn w:val="31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2983">
    <w:name w:val="Grid Table 1 Light - Accent 3"/>
    <w:basedOn w:val="31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2984">
    <w:name w:val="Grid Table 1 Light - Accent 4"/>
    <w:basedOn w:val="31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2985">
    <w:name w:val="Grid Table 1 Light - Accent 5"/>
    <w:basedOn w:val="31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2986">
    <w:name w:val="Grid Table 1 Light - Accent 6"/>
    <w:basedOn w:val="31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2987">
    <w:name w:val="Grid Table 2"/>
    <w:basedOn w:val="31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988">
    <w:name w:val="Grid Table 2 - Accent 1"/>
    <w:basedOn w:val="31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2989">
    <w:name w:val="Grid Table 2 - Accent 2"/>
    <w:basedOn w:val="31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2990">
    <w:name w:val="Grid Table 2 - Accent 3"/>
    <w:basedOn w:val="31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2991">
    <w:name w:val="Grid Table 2 - Accent 4"/>
    <w:basedOn w:val="31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2992">
    <w:name w:val="Grid Table 2 - Accent 5"/>
    <w:basedOn w:val="31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2993">
    <w:name w:val="Grid Table 2 - Accent 6"/>
    <w:basedOn w:val="31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2994">
    <w:name w:val="Grid Table 3"/>
    <w:basedOn w:val="31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95">
    <w:name w:val="Grid Table 3 - Accent 1"/>
    <w:basedOn w:val="31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96">
    <w:name w:val="Grid Table 3 - Accent 2"/>
    <w:basedOn w:val="31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97">
    <w:name w:val="Grid Table 3 - Accent 3"/>
    <w:basedOn w:val="31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98">
    <w:name w:val="Grid Table 3 - Accent 4"/>
    <w:basedOn w:val="31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99">
    <w:name w:val="Grid Table 3 - Accent 5"/>
    <w:basedOn w:val="31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3000">
    <w:name w:val="Grid Table 3 - Accent 6"/>
    <w:basedOn w:val="31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3001">
    <w:name w:val="Grid Table 4"/>
    <w:basedOn w:val="31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3002">
    <w:name w:val="Grid Table 4 - Accent 1"/>
    <w:basedOn w:val="31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3003">
    <w:name w:val="Grid Table 4 - Accent 2"/>
    <w:basedOn w:val="31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3004">
    <w:name w:val="Grid Table 4 - Accent 3"/>
    <w:basedOn w:val="31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3005">
    <w:name w:val="Grid Table 4 - Accent 4"/>
    <w:basedOn w:val="31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3006">
    <w:name w:val="Grid Table 4 - Accent 5"/>
    <w:basedOn w:val="31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3007">
    <w:name w:val="Grid Table 4 - Accent 6"/>
    <w:basedOn w:val="31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3008">
    <w:name w:val="Grid Table 5 Dark"/>
    <w:basedOn w:val="3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3009">
    <w:name w:val="Grid Table 5 Dark- Accent 1"/>
    <w:basedOn w:val="3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3010">
    <w:name w:val="Grid Table 5 Dark - Accent 2"/>
    <w:basedOn w:val="3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3011">
    <w:name w:val="Grid Table 5 Dark - Accent 3"/>
    <w:basedOn w:val="3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3012">
    <w:name w:val="Grid Table 5 Dark- Accent 4"/>
    <w:basedOn w:val="3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3013">
    <w:name w:val="Grid Table 5 Dark - Accent 5"/>
    <w:basedOn w:val="3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3014">
    <w:name w:val="Grid Table 5 Dark - Accent 6"/>
    <w:basedOn w:val="31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3015">
    <w:name w:val="Grid Table 6 Colorful"/>
    <w:basedOn w:val="31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3016">
    <w:name w:val="Grid Table 6 Colorful - Accent 1"/>
    <w:basedOn w:val="31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3017">
    <w:name w:val="Grid Table 6 Colorful - Accent 2"/>
    <w:basedOn w:val="31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3018">
    <w:name w:val="Grid Table 6 Colorful - Accent 3"/>
    <w:basedOn w:val="31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3019">
    <w:name w:val="Grid Table 6 Colorful - Accent 4"/>
    <w:basedOn w:val="31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3020">
    <w:name w:val="Grid Table 6 Colorful - Accent 5"/>
    <w:basedOn w:val="31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3021">
    <w:name w:val="Grid Table 6 Colorful - Accent 6"/>
    <w:basedOn w:val="31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3022">
    <w:name w:val="Grid Table 7 Colorful"/>
    <w:basedOn w:val="31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3023">
    <w:name w:val="Grid Table 7 Colorful - Accent 1"/>
    <w:basedOn w:val="31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3024">
    <w:name w:val="Grid Table 7 Colorful - Accent 2"/>
    <w:basedOn w:val="31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3025">
    <w:name w:val="Grid Table 7 Colorful - Accent 3"/>
    <w:basedOn w:val="31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3026">
    <w:name w:val="Grid Table 7 Colorful - Accent 4"/>
    <w:basedOn w:val="31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3027">
    <w:name w:val="Grid Table 7 Colorful - Accent 5"/>
    <w:basedOn w:val="31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3028">
    <w:name w:val="Grid Table 7 Colorful - Accent 6"/>
    <w:basedOn w:val="31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3029">
    <w:name w:val="List Table 1 Light"/>
    <w:basedOn w:val="31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3030">
    <w:name w:val="List Table 1 Light - Accent 1"/>
    <w:basedOn w:val="311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3031">
    <w:name w:val="List Table 1 Light - Accent 2"/>
    <w:basedOn w:val="311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3032">
    <w:name w:val="List Table 1 Light - Accent 3"/>
    <w:basedOn w:val="311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3033">
    <w:name w:val="List Table 1 Light - Accent 4"/>
    <w:basedOn w:val="311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3034">
    <w:name w:val="List Table 1 Light - Accent 5"/>
    <w:basedOn w:val="311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3035">
    <w:name w:val="List Table 1 Light - Accent 6"/>
    <w:basedOn w:val="311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3036">
    <w:name w:val="List Table 2"/>
    <w:basedOn w:val="31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3037">
    <w:name w:val="List Table 2 - Accent 1"/>
    <w:basedOn w:val="31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3038">
    <w:name w:val="List Table 2 - Accent 2"/>
    <w:basedOn w:val="31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3039">
    <w:name w:val="List Table 2 - Accent 3"/>
    <w:basedOn w:val="31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3040">
    <w:name w:val="List Table 2 - Accent 4"/>
    <w:basedOn w:val="31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3041">
    <w:name w:val="List Table 2 - Accent 5"/>
    <w:basedOn w:val="31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3042">
    <w:name w:val="List Table 2 - Accent 6"/>
    <w:basedOn w:val="31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3043">
    <w:name w:val="List Table 3"/>
    <w:basedOn w:val="31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044">
    <w:name w:val="List Table 3 - Accent 1"/>
    <w:basedOn w:val="31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3045">
    <w:name w:val="List Table 3 - Accent 2"/>
    <w:basedOn w:val="31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3046">
    <w:name w:val="List Table 3 - Accent 3"/>
    <w:basedOn w:val="31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3047">
    <w:name w:val="List Table 3 - Accent 4"/>
    <w:basedOn w:val="31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3048">
    <w:name w:val="List Table 3 - Accent 5"/>
    <w:basedOn w:val="31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3049">
    <w:name w:val="List Table 3 - Accent 6"/>
    <w:basedOn w:val="31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3050">
    <w:name w:val="List Table 4"/>
    <w:basedOn w:val="31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051">
    <w:name w:val="List Table 4 - Accent 1"/>
    <w:basedOn w:val="31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3052">
    <w:name w:val="List Table 4 - Accent 2"/>
    <w:basedOn w:val="31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3053">
    <w:name w:val="List Table 4 - Accent 3"/>
    <w:basedOn w:val="31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3054">
    <w:name w:val="List Table 4 - Accent 4"/>
    <w:basedOn w:val="31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3055">
    <w:name w:val="List Table 4 - Accent 5"/>
    <w:basedOn w:val="31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3056">
    <w:name w:val="List Table 4 - Accent 6"/>
    <w:basedOn w:val="31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3057">
    <w:name w:val="List Table 5 Dark"/>
    <w:basedOn w:val="31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058">
    <w:name w:val="List Table 5 Dark - Accent 1"/>
    <w:basedOn w:val="31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059">
    <w:name w:val="List Table 5 Dark - Accent 2"/>
    <w:basedOn w:val="31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060">
    <w:name w:val="List Table 5 Dark - Accent 3"/>
    <w:basedOn w:val="31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061">
    <w:name w:val="List Table 5 Dark - Accent 4"/>
    <w:basedOn w:val="31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062">
    <w:name w:val="List Table 5 Dark - Accent 5"/>
    <w:basedOn w:val="31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063">
    <w:name w:val="List Table 5 Dark - Accent 6"/>
    <w:basedOn w:val="31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064">
    <w:name w:val="List Table 6 Colorful"/>
    <w:basedOn w:val="31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3065">
    <w:name w:val="List Table 6 Colorful - Accent 1"/>
    <w:basedOn w:val="31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3066">
    <w:name w:val="List Table 6 Colorful - Accent 2"/>
    <w:basedOn w:val="31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3067">
    <w:name w:val="List Table 6 Colorful - Accent 3"/>
    <w:basedOn w:val="31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3068">
    <w:name w:val="List Table 6 Colorful - Accent 4"/>
    <w:basedOn w:val="31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3069">
    <w:name w:val="List Table 6 Colorful - Accent 5"/>
    <w:basedOn w:val="31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3070">
    <w:name w:val="List Table 6 Colorful - Accent 6"/>
    <w:basedOn w:val="31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3071">
    <w:name w:val="List Table 7 Colorful"/>
    <w:basedOn w:val="31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3072">
    <w:name w:val="List Table 7 Colorful - Accent 1"/>
    <w:basedOn w:val="31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3073">
    <w:name w:val="List Table 7 Colorful - Accent 2"/>
    <w:basedOn w:val="31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3074">
    <w:name w:val="List Table 7 Colorful - Accent 3"/>
    <w:basedOn w:val="31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3075">
    <w:name w:val="List Table 7 Colorful - Accent 4"/>
    <w:basedOn w:val="31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3076">
    <w:name w:val="List Table 7 Colorful - Accent 5"/>
    <w:basedOn w:val="31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3077">
    <w:name w:val="List Table 7 Colorful - Accent 6"/>
    <w:basedOn w:val="31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3078">
    <w:name w:val="Lined - Accent"/>
    <w:basedOn w:val="3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079">
    <w:name w:val="Lined - Accent 1"/>
    <w:basedOn w:val="3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3080">
    <w:name w:val="Lined - Accent 2"/>
    <w:basedOn w:val="3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3081">
    <w:name w:val="Lined - Accent 3"/>
    <w:basedOn w:val="3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3082">
    <w:name w:val="Lined - Accent 4"/>
    <w:basedOn w:val="3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3083">
    <w:name w:val="Lined - Accent 5"/>
    <w:basedOn w:val="3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3084">
    <w:name w:val="Lined - Accent 6"/>
    <w:basedOn w:val="31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3085">
    <w:name w:val="Bordered &amp; Lined - Accent"/>
    <w:basedOn w:val="31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086">
    <w:name w:val="Bordered &amp; Lined - Accent 1"/>
    <w:basedOn w:val="31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3087">
    <w:name w:val="Bordered &amp; Lined - Accent 2"/>
    <w:basedOn w:val="31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3088">
    <w:name w:val="Bordered &amp; Lined - Accent 3"/>
    <w:basedOn w:val="31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3089">
    <w:name w:val="Bordered &amp; Lined - Accent 4"/>
    <w:basedOn w:val="31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3090">
    <w:name w:val="Bordered &amp; Lined - Accent 5"/>
    <w:basedOn w:val="31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3091">
    <w:name w:val="Bordered &amp; Lined - Accent 6"/>
    <w:basedOn w:val="31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3092">
    <w:name w:val="Bordered"/>
    <w:basedOn w:val="31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3093">
    <w:name w:val="Bordered - Accent 1"/>
    <w:basedOn w:val="31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3094">
    <w:name w:val="Bordered - Accent 2"/>
    <w:basedOn w:val="31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3095">
    <w:name w:val="Bordered - Accent 3"/>
    <w:basedOn w:val="31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3096">
    <w:name w:val="Bordered - Accent 4"/>
    <w:basedOn w:val="31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3097">
    <w:name w:val="Bordered - Accent 5"/>
    <w:basedOn w:val="31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3098">
    <w:name w:val="Bordered - Accent 6"/>
    <w:basedOn w:val="31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3099">
    <w:name w:val="Hyperlink"/>
    <w:uiPriority w:val="99"/>
    <w:unhideWhenUsed/>
    <w:rPr>
      <w:color w:val="0000ff" w:themeColor="hyperlink"/>
      <w:u w:val="single"/>
    </w:rPr>
  </w:style>
  <w:style w:type="paragraph" w:styleId="3100">
    <w:name w:val="footnote text"/>
    <w:basedOn w:val="3117"/>
    <w:link w:val="3101"/>
    <w:uiPriority w:val="99"/>
    <w:semiHidden/>
    <w:unhideWhenUsed/>
    <w:pPr>
      <w:spacing w:after="40" w:line="240" w:lineRule="auto"/>
    </w:pPr>
    <w:rPr>
      <w:sz w:val="18"/>
    </w:rPr>
  </w:style>
  <w:style w:type="character" w:styleId="3101">
    <w:name w:val="Footnote Text Char"/>
    <w:link w:val="3100"/>
    <w:uiPriority w:val="99"/>
    <w:rPr>
      <w:sz w:val="18"/>
    </w:rPr>
  </w:style>
  <w:style w:type="character" w:styleId="3102">
    <w:name w:val="footnote reference"/>
    <w:basedOn w:val="3118"/>
    <w:uiPriority w:val="99"/>
    <w:unhideWhenUsed/>
    <w:rPr>
      <w:vertAlign w:val="superscript"/>
    </w:rPr>
  </w:style>
  <w:style w:type="paragraph" w:styleId="3103">
    <w:name w:val="endnote text"/>
    <w:basedOn w:val="3117"/>
    <w:link w:val="3104"/>
    <w:uiPriority w:val="99"/>
    <w:semiHidden/>
    <w:unhideWhenUsed/>
    <w:pPr>
      <w:spacing w:after="0" w:line="240" w:lineRule="auto"/>
    </w:pPr>
    <w:rPr>
      <w:sz w:val="20"/>
    </w:rPr>
  </w:style>
  <w:style w:type="character" w:styleId="3104">
    <w:name w:val="Endnote Text Char"/>
    <w:link w:val="3103"/>
    <w:uiPriority w:val="99"/>
    <w:rPr>
      <w:sz w:val="20"/>
    </w:rPr>
  </w:style>
  <w:style w:type="character" w:styleId="3105">
    <w:name w:val="endnote reference"/>
    <w:basedOn w:val="3118"/>
    <w:uiPriority w:val="99"/>
    <w:semiHidden/>
    <w:unhideWhenUsed/>
    <w:rPr>
      <w:vertAlign w:val="superscript"/>
    </w:rPr>
  </w:style>
  <w:style w:type="paragraph" w:styleId="3106">
    <w:name w:val="toc 1"/>
    <w:basedOn w:val="3117"/>
    <w:next w:val="3117"/>
    <w:uiPriority w:val="39"/>
    <w:unhideWhenUsed/>
    <w:pPr>
      <w:ind w:left="0" w:right="0" w:firstLine="0"/>
      <w:spacing w:after="57"/>
    </w:pPr>
  </w:style>
  <w:style w:type="paragraph" w:styleId="3107">
    <w:name w:val="toc 2"/>
    <w:basedOn w:val="3117"/>
    <w:next w:val="3117"/>
    <w:uiPriority w:val="39"/>
    <w:unhideWhenUsed/>
    <w:pPr>
      <w:ind w:left="283" w:right="0" w:firstLine="0"/>
      <w:spacing w:after="57"/>
    </w:pPr>
  </w:style>
  <w:style w:type="paragraph" w:styleId="3108">
    <w:name w:val="toc 3"/>
    <w:basedOn w:val="3117"/>
    <w:next w:val="3117"/>
    <w:uiPriority w:val="39"/>
    <w:unhideWhenUsed/>
    <w:pPr>
      <w:ind w:left="567" w:right="0" w:firstLine="0"/>
      <w:spacing w:after="57"/>
    </w:pPr>
  </w:style>
  <w:style w:type="paragraph" w:styleId="3109">
    <w:name w:val="toc 4"/>
    <w:basedOn w:val="3117"/>
    <w:next w:val="3117"/>
    <w:uiPriority w:val="39"/>
    <w:unhideWhenUsed/>
    <w:pPr>
      <w:ind w:left="850" w:right="0" w:firstLine="0"/>
      <w:spacing w:after="57"/>
    </w:pPr>
  </w:style>
  <w:style w:type="paragraph" w:styleId="3110">
    <w:name w:val="toc 5"/>
    <w:basedOn w:val="3117"/>
    <w:next w:val="3117"/>
    <w:uiPriority w:val="39"/>
    <w:unhideWhenUsed/>
    <w:pPr>
      <w:ind w:left="1134" w:right="0" w:firstLine="0"/>
      <w:spacing w:after="57"/>
    </w:pPr>
  </w:style>
  <w:style w:type="paragraph" w:styleId="3111">
    <w:name w:val="toc 6"/>
    <w:basedOn w:val="3117"/>
    <w:next w:val="3117"/>
    <w:uiPriority w:val="39"/>
    <w:unhideWhenUsed/>
    <w:pPr>
      <w:ind w:left="1417" w:right="0" w:firstLine="0"/>
      <w:spacing w:after="57"/>
    </w:pPr>
  </w:style>
  <w:style w:type="paragraph" w:styleId="3112">
    <w:name w:val="toc 7"/>
    <w:basedOn w:val="3117"/>
    <w:next w:val="3117"/>
    <w:uiPriority w:val="39"/>
    <w:unhideWhenUsed/>
    <w:pPr>
      <w:ind w:left="1701" w:right="0" w:firstLine="0"/>
      <w:spacing w:after="57"/>
    </w:pPr>
  </w:style>
  <w:style w:type="paragraph" w:styleId="3113">
    <w:name w:val="toc 8"/>
    <w:basedOn w:val="3117"/>
    <w:next w:val="3117"/>
    <w:uiPriority w:val="39"/>
    <w:unhideWhenUsed/>
    <w:pPr>
      <w:ind w:left="1984" w:right="0" w:firstLine="0"/>
      <w:spacing w:after="57"/>
    </w:pPr>
  </w:style>
  <w:style w:type="paragraph" w:styleId="3114">
    <w:name w:val="toc 9"/>
    <w:basedOn w:val="3117"/>
    <w:next w:val="3117"/>
    <w:uiPriority w:val="39"/>
    <w:unhideWhenUsed/>
    <w:pPr>
      <w:ind w:left="2268" w:right="0" w:firstLine="0"/>
      <w:spacing w:after="57"/>
    </w:pPr>
  </w:style>
  <w:style w:type="paragraph" w:styleId="3115">
    <w:name w:val="TOC Heading"/>
    <w:uiPriority w:val="39"/>
    <w:unhideWhenUsed/>
  </w:style>
  <w:style w:type="paragraph" w:styleId="3116">
    <w:name w:val="table of figures"/>
    <w:basedOn w:val="3117"/>
    <w:next w:val="3117"/>
    <w:uiPriority w:val="99"/>
    <w:unhideWhenUsed/>
    <w:pPr>
      <w:spacing w:after="0" w:afterAutospacing="0"/>
    </w:pPr>
  </w:style>
  <w:style w:type="paragraph" w:styleId="3117" w:default="1">
    <w:name w:val="Normal"/>
    <w:next w:val="3120"/>
    <w:uiPriority w:val="0"/>
    <w:unhideWhenUsed/>
    <w:qFormat/>
    <w:pPr>
      <w:jc w:val="both"/>
      <w:spacing w:after="160" w:line="259" w:lineRule="auto"/>
      <w:widowControl w:val="off"/>
    </w:pPr>
    <w:rPr>
      <w:rFonts w:hint="default" w:ascii="Calibri" w:hAnsi="Calibri" w:eastAsia="宋体" w:cs="Times New Roman"/>
      <w:sz w:val="21"/>
      <w:szCs w:val="24"/>
      <w:lang w:val="en-US" w:eastAsia="zh-CN" w:bidi="ar-SA"/>
    </w:rPr>
  </w:style>
  <w:style w:type="character" w:styleId="3118" w:default="1">
    <w:name w:val="Default Paragraph Font"/>
    <w:uiPriority w:val="0"/>
    <w:semiHidden/>
    <w:qFormat/>
  </w:style>
  <w:style w:type="table" w:styleId="3119" w:default="1">
    <w:name w:val="Normal Table"/>
    <w:uiPriority w:val="0"/>
    <w:semiHidden/>
    <w:qFormat/>
    <w:tblPr>
      <w:tblCellMar>
        <w:left w:w="108" w:type="dxa"/>
        <w:top w:w="0" w:type="dxa"/>
        <w:right w:w="108" w:type="dxa"/>
        <w:bottom w:w="0" w:type="dxa"/>
      </w:tblCellMar>
    </w:tblPr>
  </w:style>
  <w:style w:type="paragraph" w:styleId="3120" w:customStyle="1">
    <w:name w:val="段"/>
    <w:next w:val="3121"/>
    <w:uiPriority w:val="0"/>
    <w:qFormat/>
    <w:pPr>
      <w:ind w:firstLine="200"/>
      <w:jc w:val="both"/>
      <w:spacing w:after="160" w:line="259" w:lineRule="auto"/>
      <w:widowControl w:val="off"/>
    </w:pPr>
    <w:rPr>
      <w:rFonts w:ascii="宋体" w:hAnsi="宋体" w:eastAsia="宋体" w:cs="宋体"/>
      <w:color w:val="000000"/>
      <w:sz w:val="21"/>
      <w:szCs w:val="21"/>
      <w:lang w:val="en-US" w:eastAsia="zh-CN" w:bidi="ar-SA"/>
    </w:rPr>
  </w:style>
  <w:style w:type="paragraph" w:styleId="3121" w:customStyle="1">
    <w:name w:val="正文 A"/>
    <w:next w:val="3120"/>
    <w:uiPriority w:val="0"/>
    <w:qFormat/>
    <w:pPr>
      <w:jc w:val="both"/>
      <w:spacing w:after="160" w:line="259" w:lineRule="auto"/>
      <w:widowControl w:val="off"/>
    </w:pPr>
    <w:rPr>
      <w:rFonts w:ascii="Times New Roman" w:hAnsi="Times New Roman" w:eastAsia="Calibri" w:cs="Calibri"/>
      <w:color w:val="000000"/>
      <w:sz w:val="21"/>
      <w:szCs w:val="21"/>
      <w:lang w:val="en-US" w:eastAsia="zh-CN" w:bidi="ar-SA"/>
    </w:rPr>
  </w:style>
  <w:style w:type="paragraph" w:styleId="3122">
    <w:name w:val="Footer"/>
    <w:basedOn w:val="3117"/>
    <w:uiPriority w:val="0"/>
    <w:qFormat/>
    <w:pPr>
      <w:jc w:val="left"/>
      <w:tabs>
        <w:tab w:val="center" w:pos="4153" w:leader="none"/>
        <w:tab w:val="right" w:pos="8306" w:leader="none"/>
      </w:tabs>
    </w:pPr>
    <w:rPr>
      <w:sz w:val="18"/>
    </w:rPr>
  </w:style>
  <w:style w:type="paragraph" w:styleId="3123">
    <w:name w:val="Header"/>
    <w:basedOn w:val="311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3124">
    <w:name w:val="Normal (Web)"/>
    <w:basedOn w:val="3117"/>
    <w:uiPriority w:val="0"/>
    <w:unhideWhenUsed/>
    <w:qFormat/>
    <w:pPr>
      <w:jc w:val="left"/>
      <w:spacing w:beforeAutospacing="1" w:afterAutospacing="1"/>
    </w:pPr>
    <w:rPr>
      <w:rFonts w:hint="default"/>
      <w:sz w:val="24"/>
      <w:szCs w:val="24"/>
    </w:rPr>
  </w:style>
  <w:style w:type="paragraph" w:styleId="3125" w:customStyle="1">
    <w:name w:val="正文首行缩进 21"/>
    <w:basedOn w:val="3126"/>
    <w:uiPriority w:val="0"/>
    <w:unhideWhenUsed/>
    <w:qFormat/>
    <w:pPr>
      <w:ind w:firstLine="420"/>
    </w:pPr>
    <w:rPr>
      <w:rFonts w:hint="default"/>
      <w:sz w:val="21"/>
      <w:szCs w:val="24"/>
    </w:rPr>
  </w:style>
  <w:style w:type="paragraph" w:styleId="3126" w:customStyle="1">
    <w:name w:val="正文文本缩进1"/>
    <w:basedOn w:val="3117"/>
    <w:uiPriority w:val="0"/>
    <w:unhideWhenUsed/>
    <w:qFormat/>
    <w:pPr>
      <w:ind w:left="420"/>
      <w:spacing w:after="120"/>
    </w:pPr>
    <w:rPr>
      <w:rFonts w:hint="default"/>
      <w:sz w:val="21"/>
      <w:szCs w:val="24"/>
    </w:rPr>
  </w:style>
  <w:style w:type="paragraph" w:styleId="3127" w:customStyle="1">
    <w:name w:val="普通(网站)1"/>
    <w:basedOn w:val="3117"/>
    <w:uiPriority w:val="0"/>
    <w:unhideWhenUsed/>
    <w:qFormat/>
    <w:pPr>
      <w:jc w:val="left"/>
      <w:spacing w:before="100" w:beforeAutospacing="1" w:after="100" w:afterAutospacing="1"/>
      <w:widowControl/>
    </w:pPr>
    <w:rPr>
      <w:rFonts w:hint="eastAsia" w:ascii="宋体" w:hAnsi="宋体" w:cs="宋体"/>
      <w:sz w:val="24"/>
      <w:szCs w:val="24"/>
    </w:rPr>
  </w:style>
  <w:style w:type="numbering" w:styleId="31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header" Target="header19.xml" /><Relationship Id="rId28" Type="http://schemas.openxmlformats.org/officeDocument/2006/relationships/header" Target="header20.xml" /><Relationship Id="rId29" Type="http://schemas.openxmlformats.org/officeDocument/2006/relationships/header" Target="header21.xml" /><Relationship Id="rId30" Type="http://schemas.openxmlformats.org/officeDocument/2006/relationships/footer" Target="footer1.xml" /><Relationship Id="rId3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_rels/header19.xml.rels><?xml version="1.0" encoding="UTF-8" standalone="yes"?><Relationships xmlns="http://schemas.openxmlformats.org/package/2006/relationships"></Relationships>
</file>

<file path=word/_rels/header20.xml.rels><?xml version="1.0" encoding="UTF-8" standalone="yes"?><Relationships xmlns="http://schemas.openxmlformats.org/package/2006/relationships"></Relationships>
</file>

<file path=word/_rels/header2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59"/>
    <customShpInfo spid="_x0000_s2060"/>
    <customShpInfo spid="_x0000_s2061"/>
    <customShpInfo spid="_x0000_s2065"/>
    <customShpInfo spid="_x0000_s2066"/>
    <customShpInfo spid="_x0000_s2067"/>
    <customShpInfo spid="_x0000_s2062"/>
    <customShpInfo spid="_x0000_s2063"/>
    <customShpInfo spid="_x0000_s2064"/>
    <customShpInfo spid="_x0000_s1026" textRotate="1"/>
    <customShpInfo spid="_x0000_s2068"/>
    <customShpInfo spid="_x0000_s2069"/>
    <customShpInfo spid="_x0000_s2070"/>
    <customShpInfo spid="_x0000_s2074"/>
    <customShpInfo spid="_x0000_s2075"/>
    <customShpInfo spid="_x0000_s2076"/>
    <customShpInfo spid="_x0000_s2071"/>
    <customShpInfo spid="_x0000_s2072"/>
    <customShpInfo spid="_x0000_s2073"/>
    <customShpInfo spid="_x0000_s2077"/>
    <customShpInfo spid="_x0000_s2078"/>
    <customShpInfo spid="_x0000_s2079"/>
    <customShpInfo spid="_x0000_s2083"/>
    <customShpInfo spid="_x0000_s2084"/>
    <customShpInfo spid="_x0000_s2085"/>
    <customShpInfo spid="_x0000_s2080"/>
    <customShpInfo spid="_x0000_s2081"/>
    <customShpInfo spid="_x0000_s2082"/>
    <customShpInfo spid="_x0000_s2095"/>
    <customShpInfo spid="_x0000_s2096"/>
    <customShpInfo spid="_x0000_s2097"/>
    <customShpInfo spid="_x0000_s2101"/>
    <customShpInfo spid="_x0000_s2102"/>
    <customShpInfo spid="_x0000_s2103"/>
    <customShpInfo spid="_x0000_s2098"/>
    <customShpInfo spid="_x0000_s2099"/>
    <customShpInfo spid="_x0000_s2100"/>
    <customShpInfo spid="_x0000_s2113"/>
    <customShpInfo spid="_x0000_s2114"/>
    <customShpInfo spid="_x0000_s2115"/>
    <customShpInfo spid="_x0000_s2119"/>
    <customShpInfo spid="_x0000_s2120"/>
    <customShpInfo spid="_x0000_s2121"/>
    <customShpInfo spid="_x0000_s2116"/>
    <customShpInfo spid="_x0000_s2117"/>
    <customShpInfo spid="_x0000_s2118"/>
    <customShpInfo spid="_x0000_s2131"/>
    <customShpInfo spid="_x0000_s2132"/>
    <customShpInfo spid="_x0000_s2133"/>
    <customShpInfo spid="_x0000_s2137"/>
    <customShpInfo spid="_x0000_s2138"/>
    <customShpInfo spid="_x0000_s2139"/>
    <customShpInfo spid="_x0000_s2134"/>
    <customShpInfo spid="_x0000_s2135"/>
    <customShpInfo spid="_x0000_s2136"/>
    <customShpInfo spid="_x0000_s2140"/>
    <customShpInfo spid="_x0000_s2141"/>
    <customShpInfo spid="_x0000_s2142"/>
    <customShpInfo spid="_x0000_s2146"/>
    <customShpInfo spid="_x0000_s2147"/>
    <customShpInfo spid="_x0000_s2148"/>
    <customShpInfo spid="_x0000_s2143"/>
    <customShpInfo spid="_x0000_s2144"/>
    <customShpInfo spid="_x0000_s214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名可名，非常名</dc:creator>
  <cp:lastModifiedBy>吉胜</cp:lastModifiedBy>
  <cp:revision>4</cp:revision>
  <dcterms:created xsi:type="dcterms:W3CDTF">2026-03-26T02:46:00Z</dcterms:created>
  <dcterms:modified xsi:type="dcterms:W3CDTF">2026-05-18T09:41:55Z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84DD44051D304A079B4D8A5026FC209C_11</vt:lpwstr>
  </property>
  <property fmtid="{D5CDD505-2E9C-101B-9397-08002B2CF9AE}" pid="3" name="KSOProductBuildVer">
    <vt:lpwstr>2052-12.1.0.26375</vt:lpwstr>
  </property>
  <property fmtid="{D5CDD505-2E9C-101B-9397-08002B2CF9AE}" pid="4" name="KSOTemplateDocerSaveRecord">
    <vt:lpwstr>eyJoZGlkIjoiZDExZWQzYzZjNWM3OWE2OWM5ZDI4ZmVjYzA3NTA2NzQiLCJ1c2VySWQiOiIyNjY5ODk2MiJ9</vt:lpwstr>
  </property>
</Properties>
</file>