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5"/>
        <w:spacing w:before="120" w:beforeAutospacing="0" w:after="120" w:afterAutospacing="0" w:line="360" w:lineRule="auto"/>
      </w:pPr>
      <w:r>
        <w:t xml:space="preserve"> </w:t>
      </w:r>
      <w:r/>
    </w:p>
    <w:p>
      <w:pPr>
        <w:pStyle w:val="855"/>
        <w:jc w:val="center"/>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r>
      <w:r/>
    </w:p>
    <w:p>
      <w:pPr>
        <w:pStyle w:val="855"/>
        <w:jc w:val="center"/>
        <w:spacing w:before="120" w:beforeAutospacing="0" w:after="120" w:afterAutospacing="0" w:line="360" w:lineRule="auto"/>
      </w:pPr>
      <w:r>
        <w:rPr>
          <w:rFonts w:ascii="Arial" w:hAnsi="Arial" w:cs="Arial"/>
          <w:b/>
          <w:color w:val="000000"/>
          <w:sz w:val="84"/>
          <w:szCs w:val="84"/>
        </w:rPr>
        <w:t xml:space="preserve">招</w:t>
      </w:r>
      <w:r>
        <w:rPr>
          <w:rFonts w:ascii="Arial" w:hAnsi="Arial" w:cs="Arial"/>
          <w:b/>
          <w:color w:val="000000"/>
          <w:sz w:val="84"/>
          <w:szCs w:val="84"/>
        </w:rPr>
        <w:t xml:space="preserve"> </w:t>
      </w:r>
      <w:r>
        <w:rPr>
          <w:rFonts w:ascii="Arial" w:hAnsi="Arial" w:cs="Arial"/>
          <w:b/>
          <w:color w:val="000000"/>
          <w:sz w:val="84"/>
          <w:szCs w:val="84"/>
        </w:rPr>
        <w:t xml:space="preserve">标</w:t>
      </w:r>
      <w:r>
        <w:rPr>
          <w:rFonts w:ascii="Arial" w:hAnsi="Arial" w:cs="Arial"/>
          <w:b/>
          <w:color w:val="000000"/>
          <w:sz w:val="84"/>
          <w:szCs w:val="84"/>
        </w:rPr>
        <w:t xml:space="preserve"> </w:t>
      </w:r>
      <w:r>
        <w:rPr>
          <w:rFonts w:ascii="Arial" w:hAnsi="Arial" w:cs="Arial"/>
          <w:b/>
          <w:color w:val="000000"/>
          <w:sz w:val="84"/>
          <w:szCs w:val="84"/>
        </w:rPr>
        <w:t xml:space="preserve">文</w:t>
      </w:r>
      <w:r>
        <w:rPr>
          <w:rFonts w:ascii="Arial" w:hAnsi="Arial" w:cs="Arial"/>
          <w:b/>
          <w:color w:val="000000"/>
          <w:sz w:val="84"/>
          <w:szCs w:val="84"/>
        </w:rPr>
        <w:t xml:space="preserve"> </w:t>
      </w:r>
      <w:r>
        <w:rPr>
          <w:rFonts w:ascii="Arial" w:hAnsi="Arial" w:cs="Arial"/>
          <w:b/>
          <w:color w:val="000000"/>
          <w:sz w:val="84"/>
          <w:szCs w:val="84"/>
        </w:rPr>
        <w:t xml:space="preserve">件</w:t>
      </w:r>
      <w:r/>
    </w:p>
    <w:p>
      <w:pPr>
        <w:pStyle w:val="855"/>
        <w:ind w:firstLine="2249"/>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855"/>
        <w:ind w:firstLine="2249"/>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855"/>
        <w:ind w:firstLine="321"/>
        <w:spacing w:before="120" w:beforeAutospacing="0" w:after="120" w:afterAutospacing="0" w:line="360" w:lineRule="auto"/>
      </w:pPr>
      <w:r>
        <w:rPr>
          <w:rFonts w:ascii="Arial" w:hAnsi="Arial" w:cs="Arial"/>
          <w:b/>
          <w:color w:val="000000"/>
          <w:sz w:val="32"/>
          <w:szCs w:val="32"/>
        </w:rPr>
        <w:t xml:space="preserve">项目名称：</w:t>
      </w:r>
      <w:r>
        <w:rPr>
          <w:rFonts w:hint="eastAsia" w:ascii="Arial" w:hAnsi="Arial" w:cs="Arial"/>
          <w:b/>
          <w:color w:val="000000"/>
          <w:sz w:val="32"/>
          <w:szCs w:val="32"/>
        </w:rPr>
        <w:t xml:space="preserve">2026-2027</w:t>
      </w:r>
      <w:r>
        <w:rPr>
          <w:rFonts w:hint="eastAsia" w:ascii="Arial" w:hAnsi="Arial" w:cs="Arial"/>
          <w:b/>
          <w:color w:val="000000"/>
          <w:sz w:val="32"/>
          <w:szCs w:val="32"/>
        </w:rPr>
        <w:t xml:space="preserve">校园配餐（小学组）采购项目</w:t>
      </w:r>
      <w:r/>
    </w:p>
    <w:p>
      <w:pPr>
        <w:pStyle w:val="855"/>
        <w:ind w:firstLine="321"/>
        <w:jc w:val="both"/>
        <w:spacing w:beforeAutospacing="0" w:afterAutospacing="0"/>
      </w:pPr>
      <w:r>
        <w:rPr>
          <w:rFonts w:ascii="Times New Roman" w:hAnsi="Times New Roman"/>
          <w:b/>
          <w:color w:val="000000"/>
          <w:sz w:val="32"/>
          <w:szCs w:val="32"/>
        </w:rPr>
        <w:t xml:space="preserve">项目编号：</w:t>
      </w:r>
      <w:r>
        <w:rPr>
          <w:rFonts w:ascii="Times New Roman" w:hAnsi="Times New Roman"/>
          <w:b/>
          <w:color w:val="000000"/>
          <w:sz w:val="32"/>
          <w:szCs w:val="32"/>
        </w:rPr>
        <w:t xml:space="preserve">JSZC-320922-YCGX-G2026-0012 </w:t>
      </w:r>
      <w:r/>
    </w:p>
    <w:p>
      <w:pPr>
        <w:pStyle w:val="855"/>
        <w:spacing w:beforeAutospacing="0" w:afterAutospacing="0" w:line="360" w:lineRule="auto"/>
      </w:pPr>
      <w:r>
        <w:t xml:space="preserve"> </w:t>
      </w:r>
      <w:r/>
    </w:p>
    <w:p>
      <w:pPr>
        <w:pStyle w:val="855"/>
        <w:spacing w:beforeAutospacing="0" w:afterAutospacing="0" w:line="360" w:lineRule="auto"/>
      </w:pPr>
      <w:r>
        <w:t xml:space="preserve"> </w:t>
      </w:r>
      <w:r/>
    </w:p>
    <w:p>
      <w:pPr>
        <w:pStyle w:val="855"/>
        <w:spacing w:beforeAutospacing="0" w:afterAutospacing="0" w:line="360" w:lineRule="auto"/>
      </w:pPr>
      <w:r>
        <w:t xml:space="preserve"> </w:t>
      </w:r>
      <w:r/>
    </w:p>
    <w:p>
      <w:pPr>
        <w:pStyle w:val="855"/>
        <w:spacing w:beforeAutospacing="0" w:afterAutospacing="0" w:line="360" w:lineRule="auto"/>
      </w:pPr>
      <w:r>
        <w:t xml:space="preserve"> </w:t>
      </w:r>
      <w:r/>
    </w:p>
    <w:p>
      <w:pPr>
        <w:pStyle w:val="855"/>
        <w:spacing w:beforeAutospacing="0" w:afterAutospacing="0" w:line="360" w:lineRule="auto"/>
      </w:pPr>
      <w:r>
        <w:t xml:space="preserve"> </w:t>
      </w:r>
      <w:r/>
    </w:p>
    <w:p>
      <w:pPr>
        <w:pStyle w:val="855"/>
        <w:spacing w:beforeAutospacing="0" w:afterAutospacing="0" w:line="360" w:lineRule="auto"/>
      </w:pPr>
      <w:r>
        <w:t xml:space="preserve"> </w:t>
      </w:r>
      <w:r/>
    </w:p>
    <w:p>
      <w:pPr>
        <w:pStyle w:val="855"/>
        <w:spacing w:beforeAutospacing="0" w:afterAutospacing="0" w:line="360" w:lineRule="auto"/>
      </w:pPr>
      <w:r>
        <w:t xml:space="preserve"> </w:t>
      </w:r>
      <w:r/>
    </w:p>
    <w:p>
      <w:pPr>
        <w:pStyle w:val="855"/>
        <w:jc w:val="center"/>
        <w:spacing w:before="120" w:beforeAutospacing="0" w:after="120" w:afterAutospacing="0" w:line="360" w:lineRule="auto"/>
        <w:rPr>
          <w:rFonts w:ascii="Arial" w:hAnsi="Arial" w:cs="Arial"/>
          <w:b/>
          <w:color w:val="000000"/>
          <w:sz w:val="32"/>
          <w:szCs w:val="32"/>
        </w:rPr>
      </w:pPr>
      <w:r>
        <w:rPr>
          <w:rFonts w:hint="eastAsia" w:ascii="Arial" w:hAnsi="Arial" w:cs="Arial"/>
          <w:b/>
          <w:color w:val="000000"/>
          <w:sz w:val="32"/>
          <w:szCs w:val="32"/>
        </w:rPr>
        <w:t xml:space="preserve">滨海县坎北街道中心小学</w:t>
      </w:r>
      <w:r/>
    </w:p>
    <w:p>
      <w:pPr>
        <w:pStyle w:val="855"/>
        <w:jc w:val="center"/>
        <w:spacing w:before="120" w:beforeAutospacing="0" w:after="120" w:afterAutospacing="0" w:line="360" w:lineRule="auto"/>
      </w:pPr>
      <w:r>
        <w:rPr>
          <w:rFonts w:hint="eastAsia" w:ascii="Arial" w:hAnsi="Arial" w:cs="Arial"/>
          <w:b/>
          <w:color w:val="000000"/>
          <w:sz w:val="32"/>
          <w:szCs w:val="32"/>
        </w:rPr>
        <w:t xml:space="preserve">2026</w:t>
      </w:r>
      <w:r>
        <w:rPr>
          <w:rFonts w:ascii="Arial" w:hAnsi="Arial" w:cs="Arial"/>
          <w:b/>
          <w:color w:val="000000"/>
          <w:sz w:val="32"/>
          <w:szCs w:val="32"/>
        </w:rPr>
        <w:t xml:space="preserve">年</w:t>
      </w:r>
      <w:r>
        <w:rPr>
          <w:rFonts w:hint="eastAsia" w:ascii="Arial" w:hAnsi="Arial" w:cs="Arial"/>
          <w:b/>
          <w:color w:val="000000"/>
          <w:sz w:val="32"/>
          <w:szCs w:val="32"/>
        </w:rPr>
        <w:t xml:space="preserve">8</w:t>
      </w:r>
      <w:r>
        <w:rPr>
          <w:rFonts w:ascii="Arial" w:hAnsi="Arial" w:cs="Arial"/>
          <w:b/>
          <w:color w:val="000000"/>
          <w:sz w:val="32"/>
          <w:szCs w:val="32"/>
        </w:rPr>
        <w:t xml:space="preserve">月</w:t>
      </w:r>
      <w:r/>
    </w:p>
    <w:p>
      <w:pPr>
        <w:pStyle w:val="855"/>
        <w:spacing w:before="120" w:beforeAutospacing="0" w:after="120" w:afterAutospacing="0" w:line="360" w:lineRule="auto"/>
      </w:pPr>
      <w:r>
        <w:rPr>
          <w:rFonts w:ascii="Arial" w:hAnsi="Arial" w:cs="Arial"/>
          <w:color w:val="000000"/>
        </w:rPr>
        <w:t xml:space="preserve">                        </w:t>
      </w:r>
      <w:r/>
    </w:p>
    <w:p>
      <w:pPr>
        <w:pStyle w:val="855"/>
        <w:jc w:val="center"/>
        <w:spacing w:before="120" w:beforeAutospacing="0" w:after="120" w:afterAutospacing="0" w:line="360" w:lineRule="auto"/>
      </w:pPr>
      <w:r>
        <w:t xml:space="preserve"> </w:t>
      </w:r>
      <w:r/>
    </w:p>
    <w:p>
      <w:pPr>
        <w:pStyle w:val="855"/>
        <w:jc w:val="center"/>
        <w:spacing w:beforeAutospacing="0" w:afterAutospacing="0" w:line="480" w:lineRule="auto"/>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0" w:name="_Toc120614210"/>
      <w:r/>
      <w:bookmarkStart w:id="1" w:name="_Toc16938516"/>
      <w:r/>
      <w:bookmarkStart w:id="2" w:name="_Toc479757206"/>
      <w:r/>
      <w:bookmarkStart w:id="3" w:name="_Toc523127445"/>
      <w:r/>
      <w:bookmarkStart w:id="4" w:name="_Toc513029200"/>
      <w:r/>
      <w:bookmarkStart w:id="5" w:name="_Toc20823272"/>
      <w:r>
        <w:rPr>
          <w:rFonts w:ascii="Times New Roman" w:hAnsi="Times New Roman"/>
          <w:color w:val="000000"/>
          <w:sz w:val="21"/>
          <w:szCs w:val="21"/>
        </w:rPr>
        <w:t xml:space="preserve"> </w:t>
      </w:r>
      <w:r>
        <w:rPr>
          <w:rFonts w:ascii="黑体" w:hAnsi="宋体" w:eastAsia="黑体" w:cs="黑体"/>
          <w:b/>
          <w:color w:val="000000"/>
          <w:sz w:val="44"/>
          <w:szCs w:val="44"/>
        </w:rPr>
        <w:t xml:space="preserve">总</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目</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录</w:t>
      </w:r>
      <w:bookmarkEnd w:id="0"/>
      <w:r/>
      <w:bookmarkEnd w:id="1"/>
      <w:r/>
      <w:bookmarkEnd w:id="2"/>
      <w:r/>
      <w:bookmarkEnd w:id="3"/>
      <w:r/>
      <w:bookmarkEnd w:id="4"/>
      <w:r/>
      <w:bookmarkEnd w:id="5"/>
      <w:r/>
      <w:r/>
    </w:p>
    <w:p>
      <w:pPr>
        <w:pStyle w:val="855"/>
        <w:jc w:val="both"/>
        <w:spacing w:beforeAutospacing="0" w:afterAutospacing="0" w:line="480" w:lineRule="auto"/>
      </w:pPr>
      <w:r>
        <w:t xml:space="preserve"> </w:t>
      </w:r>
      <w:r>
        <w:fldChar w:fldCharType="begin"/>
      </w:r>
      <w:r>
        <w:instrText xml:space="preserve"> TOC \o "1-1" \h \z \u </w:instrText>
      </w:r>
      <w:r>
        <w:fldChar w:fldCharType="separate"/>
      </w:r>
      <w:r/>
    </w:p>
    <w:p>
      <w:pPr>
        <w:pStyle w:val="854"/>
        <w:tabs>
          <w:tab w:val="right" w:pos="8296" w:leader="dot"/>
        </w:tabs>
        <w:rPr>
          <w:rFonts w:asciiTheme="minorEastAsia" w:hAnsiTheme="minorEastAsia"/>
          <w:sz w:val="28"/>
          <w:szCs w:val="28"/>
        </w:rPr>
      </w:pPr>
      <w:r/>
      <w:hyperlink w:tooltip="#_Toc236900981" w:anchor="_Toc236900981" w:history="1">
        <w:r>
          <w:rPr>
            <w:rStyle w:val="857"/>
            <w:rFonts w:hint="eastAsia" w:cs="黑体" w:asciiTheme="minorEastAsia" w:hAnsiTheme="minorEastAsia"/>
            <w:sz w:val="28"/>
            <w:szCs w:val="28"/>
          </w:rPr>
          <w:t xml:space="preserve">第一章 招标公告</w:t>
        </w:r>
        <w:r>
          <w:rPr>
            <w:rFonts w:hint="eastAsia" w:asciiTheme="minorEastAsia" w:hAnsiTheme="minorEastAsia"/>
            <w:sz w:val="28"/>
            <w:szCs w:val="28"/>
          </w:rPr>
          <w:tab/>
        </w:r>
        <w:r>
          <w:rPr>
            <w:rFonts w:hint="eastAsia" w:asciiTheme="minorEastAsia" w:hAnsiTheme="minorEastAsia"/>
            <w:sz w:val="28"/>
            <w:szCs w:val="28"/>
          </w:rPr>
          <w:fldChar w:fldCharType="begin"/>
        </w:r>
        <w:r>
          <w:rPr>
            <w:rFonts w:hint="eastAsia" w:asciiTheme="minorEastAsia" w:hAnsiTheme="minorEastAsia"/>
            <w:sz w:val="28"/>
            <w:szCs w:val="28"/>
          </w:rPr>
          <w:instrText xml:space="preserve"> </w:instrText>
        </w:r>
        <w:r>
          <w:rPr>
            <w:rFonts w:asciiTheme="minorEastAsia" w:hAnsiTheme="minorEastAsia"/>
            <w:sz w:val="28"/>
            <w:szCs w:val="28"/>
          </w:rPr>
          <w:instrText xml:space="preserve">PAGEREF _Toc236900981 \h</w:instrText>
        </w:r>
        <w:r>
          <w:rPr>
            <w:rFonts w:hint="eastAsia" w:asciiTheme="minorEastAsia" w:hAnsiTheme="minorEastAsia"/>
            <w:sz w:val="28"/>
            <w:szCs w:val="28"/>
          </w:rPr>
          <w:instrText xml:space="preserve"> </w:instrText>
        </w:r>
        <w:r>
          <w:rPr>
            <w:rFonts w:hint="eastAsia" w:asciiTheme="minorEastAsia" w:hAnsiTheme="minorEastAsia"/>
            <w:sz w:val="28"/>
            <w:szCs w:val="28"/>
          </w:rPr>
        </w:r>
        <w:r>
          <w:rPr>
            <w:rFonts w:hint="eastAsia" w:asciiTheme="minorEastAsia" w:hAnsiTheme="minorEastAsia"/>
            <w:sz w:val="28"/>
            <w:szCs w:val="28"/>
          </w:rPr>
          <w:fldChar w:fldCharType="separate"/>
        </w:r>
        <w:r>
          <w:rPr>
            <w:rFonts w:hint="eastAsia" w:asciiTheme="minorEastAsia" w:hAnsiTheme="minorEastAsia"/>
            <w:sz w:val="28"/>
            <w:szCs w:val="28"/>
          </w:rPr>
          <w:t xml:space="preserve">3</w:t>
        </w:r>
        <w:r>
          <w:rPr>
            <w:rFonts w:hint="eastAsia" w:asciiTheme="minorEastAsia" w:hAnsiTheme="minorEastAsia"/>
            <w:sz w:val="28"/>
            <w:szCs w:val="28"/>
          </w:rPr>
          <w:fldChar w:fldCharType="end"/>
        </w:r>
      </w:hyperlink>
      <w:r/>
      <w:r/>
    </w:p>
    <w:p>
      <w:pPr>
        <w:pStyle w:val="854"/>
        <w:tabs>
          <w:tab w:val="right" w:pos="8296" w:leader="dot"/>
        </w:tabs>
        <w:rPr>
          <w:rFonts w:asciiTheme="minorEastAsia" w:hAnsiTheme="minorEastAsia"/>
          <w:sz w:val="28"/>
          <w:szCs w:val="28"/>
        </w:rPr>
      </w:pPr>
      <w:r/>
      <w:hyperlink w:tooltip="#_Toc236900982" w:anchor="_Toc236900982" w:history="1">
        <w:r>
          <w:rPr>
            <w:rStyle w:val="857"/>
            <w:rFonts w:hint="eastAsia" w:cs="黑体" w:asciiTheme="minorEastAsia" w:hAnsiTheme="minorEastAsia"/>
            <w:sz w:val="28"/>
            <w:szCs w:val="28"/>
          </w:rPr>
          <w:t xml:space="preserve">第二章 投标人须知</w:t>
        </w:r>
        <w:r>
          <w:rPr>
            <w:rFonts w:hint="eastAsia" w:asciiTheme="minorEastAsia" w:hAnsiTheme="minorEastAsia"/>
            <w:sz w:val="28"/>
            <w:szCs w:val="28"/>
          </w:rPr>
          <w:tab/>
        </w:r>
        <w:r>
          <w:rPr>
            <w:rFonts w:hint="eastAsia" w:asciiTheme="minorEastAsia" w:hAnsiTheme="minorEastAsia"/>
            <w:sz w:val="28"/>
            <w:szCs w:val="28"/>
          </w:rPr>
          <w:fldChar w:fldCharType="begin"/>
        </w:r>
        <w:r>
          <w:rPr>
            <w:rFonts w:hint="eastAsia" w:asciiTheme="minorEastAsia" w:hAnsiTheme="minorEastAsia"/>
            <w:sz w:val="28"/>
            <w:szCs w:val="28"/>
          </w:rPr>
          <w:instrText xml:space="preserve"> </w:instrText>
        </w:r>
        <w:r>
          <w:rPr>
            <w:rFonts w:asciiTheme="minorEastAsia" w:hAnsiTheme="minorEastAsia"/>
            <w:sz w:val="28"/>
            <w:szCs w:val="28"/>
          </w:rPr>
          <w:instrText xml:space="preserve">PAGEREF _Toc236900982 \h</w:instrText>
        </w:r>
        <w:r>
          <w:rPr>
            <w:rFonts w:hint="eastAsia" w:asciiTheme="minorEastAsia" w:hAnsiTheme="minorEastAsia"/>
            <w:sz w:val="28"/>
            <w:szCs w:val="28"/>
          </w:rPr>
          <w:instrText xml:space="preserve"> </w:instrText>
        </w:r>
        <w:r>
          <w:rPr>
            <w:rFonts w:hint="eastAsia" w:asciiTheme="minorEastAsia" w:hAnsiTheme="minorEastAsia"/>
            <w:sz w:val="28"/>
            <w:szCs w:val="28"/>
          </w:rPr>
        </w:r>
        <w:r>
          <w:rPr>
            <w:rFonts w:hint="eastAsia" w:asciiTheme="minorEastAsia" w:hAnsiTheme="minorEastAsia"/>
            <w:sz w:val="28"/>
            <w:szCs w:val="28"/>
          </w:rPr>
          <w:fldChar w:fldCharType="separate"/>
        </w:r>
        <w:r>
          <w:rPr>
            <w:rFonts w:hint="eastAsia" w:asciiTheme="minorEastAsia" w:hAnsiTheme="minorEastAsia"/>
            <w:sz w:val="28"/>
            <w:szCs w:val="28"/>
          </w:rPr>
          <w:t xml:space="preserve">8</w:t>
        </w:r>
        <w:r>
          <w:rPr>
            <w:rFonts w:hint="eastAsia" w:asciiTheme="minorEastAsia" w:hAnsiTheme="minorEastAsia"/>
            <w:sz w:val="28"/>
            <w:szCs w:val="28"/>
          </w:rPr>
          <w:fldChar w:fldCharType="end"/>
        </w:r>
      </w:hyperlink>
      <w:r/>
      <w:r/>
    </w:p>
    <w:p>
      <w:pPr>
        <w:pStyle w:val="854"/>
        <w:tabs>
          <w:tab w:val="right" w:pos="8296" w:leader="dot"/>
        </w:tabs>
        <w:rPr>
          <w:rFonts w:asciiTheme="minorEastAsia" w:hAnsiTheme="minorEastAsia"/>
          <w:sz w:val="28"/>
          <w:szCs w:val="28"/>
        </w:rPr>
      </w:pPr>
      <w:r/>
      <w:hyperlink w:tooltip="#_Toc236900983" w:anchor="_Toc236900983" w:history="1">
        <w:r>
          <w:rPr>
            <w:rStyle w:val="857"/>
            <w:rFonts w:hint="eastAsia" w:cs="黑体" w:asciiTheme="minorEastAsia" w:hAnsiTheme="minorEastAsia"/>
            <w:sz w:val="28"/>
            <w:szCs w:val="28"/>
          </w:rPr>
          <w:t xml:space="preserve">第三章 合同文本</w:t>
        </w:r>
        <w:r>
          <w:rPr>
            <w:rFonts w:hint="eastAsia" w:asciiTheme="minorEastAsia" w:hAnsiTheme="minorEastAsia"/>
            <w:sz w:val="28"/>
            <w:szCs w:val="28"/>
          </w:rPr>
          <w:tab/>
        </w:r>
        <w:r>
          <w:rPr>
            <w:rFonts w:hint="eastAsia" w:asciiTheme="minorEastAsia" w:hAnsiTheme="minorEastAsia"/>
            <w:sz w:val="28"/>
            <w:szCs w:val="28"/>
          </w:rPr>
          <w:fldChar w:fldCharType="begin"/>
        </w:r>
        <w:r>
          <w:rPr>
            <w:rFonts w:hint="eastAsia" w:asciiTheme="minorEastAsia" w:hAnsiTheme="minorEastAsia"/>
            <w:sz w:val="28"/>
            <w:szCs w:val="28"/>
          </w:rPr>
          <w:instrText xml:space="preserve"> </w:instrText>
        </w:r>
        <w:r>
          <w:rPr>
            <w:rFonts w:asciiTheme="minorEastAsia" w:hAnsiTheme="minorEastAsia"/>
            <w:sz w:val="28"/>
            <w:szCs w:val="28"/>
          </w:rPr>
          <w:instrText xml:space="preserve">PAGEREF _Toc236900983 \h</w:instrText>
        </w:r>
        <w:r>
          <w:rPr>
            <w:rFonts w:hint="eastAsia" w:asciiTheme="minorEastAsia" w:hAnsiTheme="minorEastAsia"/>
            <w:sz w:val="28"/>
            <w:szCs w:val="28"/>
          </w:rPr>
          <w:instrText xml:space="preserve"> </w:instrText>
        </w:r>
        <w:r>
          <w:rPr>
            <w:rFonts w:hint="eastAsia" w:asciiTheme="minorEastAsia" w:hAnsiTheme="minorEastAsia"/>
            <w:sz w:val="28"/>
            <w:szCs w:val="28"/>
          </w:rPr>
        </w:r>
        <w:r>
          <w:rPr>
            <w:rFonts w:hint="eastAsia" w:asciiTheme="minorEastAsia" w:hAnsiTheme="minorEastAsia"/>
            <w:sz w:val="28"/>
            <w:szCs w:val="28"/>
          </w:rPr>
          <w:fldChar w:fldCharType="separate"/>
        </w:r>
        <w:r>
          <w:rPr>
            <w:rFonts w:hint="eastAsia" w:asciiTheme="minorEastAsia" w:hAnsiTheme="minorEastAsia"/>
            <w:sz w:val="28"/>
            <w:szCs w:val="28"/>
          </w:rPr>
          <w:t xml:space="preserve">24</w:t>
        </w:r>
        <w:r>
          <w:rPr>
            <w:rFonts w:hint="eastAsia" w:asciiTheme="minorEastAsia" w:hAnsiTheme="minorEastAsia"/>
            <w:sz w:val="28"/>
            <w:szCs w:val="28"/>
          </w:rPr>
          <w:fldChar w:fldCharType="end"/>
        </w:r>
      </w:hyperlink>
      <w:r/>
      <w:r/>
    </w:p>
    <w:p>
      <w:pPr>
        <w:pStyle w:val="854"/>
        <w:tabs>
          <w:tab w:val="right" w:pos="8296" w:leader="dot"/>
        </w:tabs>
        <w:rPr>
          <w:rFonts w:asciiTheme="minorEastAsia" w:hAnsiTheme="minorEastAsia"/>
          <w:sz w:val="28"/>
          <w:szCs w:val="28"/>
        </w:rPr>
      </w:pPr>
      <w:r/>
      <w:hyperlink w:tooltip="#_Toc236900984" w:anchor="_Toc236900984" w:history="1">
        <w:r>
          <w:rPr>
            <w:rStyle w:val="857"/>
            <w:rFonts w:hint="eastAsia" w:cs="黑体" w:asciiTheme="minorEastAsia" w:hAnsiTheme="minorEastAsia"/>
            <w:sz w:val="28"/>
            <w:szCs w:val="28"/>
          </w:rPr>
          <w:t xml:space="preserve">第四章  采购需求</w:t>
        </w:r>
        <w:r>
          <w:rPr>
            <w:rFonts w:hint="eastAsia" w:asciiTheme="minorEastAsia" w:hAnsiTheme="minorEastAsia"/>
            <w:sz w:val="28"/>
            <w:szCs w:val="28"/>
          </w:rPr>
          <w:tab/>
        </w:r>
        <w:r>
          <w:rPr>
            <w:rFonts w:hint="eastAsia" w:asciiTheme="minorEastAsia" w:hAnsiTheme="minorEastAsia"/>
            <w:sz w:val="28"/>
            <w:szCs w:val="28"/>
          </w:rPr>
          <w:fldChar w:fldCharType="begin"/>
        </w:r>
        <w:r>
          <w:rPr>
            <w:rFonts w:hint="eastAsia" w:asciiTheme="minorEastAsia" w:hAnsiTheme="minorEastAsia"/>
            <w:sz w:val="28"/>
            <w:szCs w:val="28"/>
          </w:rPr>
          <w:instrText xml:space="preserve"> </w:instrText>
        </w:r>
        <w:r>
          <w:rPr>
            <w:rFonts w:asciiTheme="minorEastAsia" w:hAnsiTheme="minorEastAsia"/>
            <w:sz w:val="28"/>
            <w:szCs w:val="28"/>
          </w:rPr>
          <w:instrText xml:space="preserve">PAGEREF _Toc236900984 \h</w:instrText>
        </w:r>
        <w:r>
          <w:rPr>
            <w:rFonts w:hint="eastAsia" w:asciiTheme="minorEastAsia" w:hAnsiTheme="minorEastAsia"/>
            <w:sz w:val="28"/>
            <w:szCs w:val="28"/>
          </w:rPr>
          <w:instrText xml:space="preserve"> </w:instrText>
        </w:r>
        <w:r>
          <w:rPr>
            <w:rFonts w:hint="eastAsia" w:asciiTheme="minorEastAsia" w:hAnsiTheme="minorEastAsia"/>
            <w:sz w:val="28"/>
            <w:szCs w:val="28"/>
          </w:rPr>
        </w:r>
        <w:r>
          <w:rPr>
            <w:rFonts w:hint="eastAsia" w:asciiTheme="minorEastAsia" w:hAnsiTheme="minorEastAsia"/>
            <w:sz w:val="28"/>
            <w:szCs w:val="28"/>
          </w:rPr>
          <w:fldChar w:fldCharType="separate"/>
        </w:r>
        <w:r>
          <w:rPr>
            <w:rFonts w:hint="eastAsia" w:asciiTheme="minorEastAsia" w:hAnsiTheme="minorEastAsia"/>
            <w:sz w:val="28"/>
            <w:szCs w:val="28"/>
          </w:rPr>
          <w:t xml:space="preserve">34</w:t>
        </w:r>
        <w:r>
          <w:rPr>
            <w:rFonts w:hint="eastAsia" w:asciiTheme="minorEastAsia" w:hAnsiTheme="minorEastAsia"/>
            <w:sz w:val="28"/>
            <w:szCs w:val="28"/>
          </w:rPr>
          <w:fldChar w:fldCharType="end"/>
        </w:r>
      </w:hyperlink>
      <w:r/>
      <w:r/>
    </w:p>
    <w:p>
      <w:pPr>
        <w:pStyle w:val="854"/>
        <w:tabs>
          <w:tab w:val="right" w:pos="8296" w:leader="dot"/>
        </w:tabs>
        <w:rPr>
          <w:rFonts w:asciiTheme="minorEastAsia" w:hAnsiTheme="minorEastAsia"/>
          <w:sz w:val="28"/>
          <w:szCs w:val="28"/>
        </w:rPr>
      </w:pPr>
      <w:r/>
      <w:hyperlink w:tooltip="#_Toc236900985" w:anchor="_Toc236900985" w:history="1">
        <w:r>
          <w:rPr>
            <w:rStyle w:val="857"/>
            <w:rFonts w:hint="eastAsia" w:cs="黑体" w:asciiTheme="minorEastAsia" w:hAnsiTheme="minorEastAsia"/>
            <w:sz w:val="28"/>
            <w:szCs w:val="28"/>
          </w:rPr>
          <w:t xml:space="preserve">第五章 评标方法与评标标准</w:t>
        </w:r>
        <w:r>
          <w:rPr>
            <w:rFonts w:hint="eastAsia" w:asciiTheme="minorEastAsia" w:hAnsiTheme="minorEastAsia"/>
            <w:sz w:val="28"/>
            <w:szCs w:val="28"/>
          </w:rPr>
          <w:tab/>
        </w:r>
        <w:r>
          <w:rPr>
            <w:rFonts w:hint="eastAsia" w:asciiTheme="minorEastAsia" w:hAnsiTheme="minorEastAsia"/>
            <w:sz w:val="28"/>
            <w:szCs w:val="28"/>
          </w:rPr>
          <w:fldChar w:fldCharType="begin"/>
        </w:r>
        <w:r>
          <w:rPr>
            <w:rFonts w:hint="eastAsia" w:asciiTheme="minorEastAsia" w:hAnsiTheme="minorEastAsia"/>
            <w:sz w:val="28"/>
            <w:szCs w:val="28"/>
          </w:rPr>
          <w:instrText xml:space="preserve"> </w:instrText>
        </w:r>
        <w:r>
          <w:rPr>
            <w:rFonts w:asciiTheme="minorEastAsia" w:hAnsiTheme="minorEastAsia"/>
            <w:sz w:val="28"/>
            <w:szCs w:val="28"/>
          </w:rPr>
          <w:instrText xml:space="preserve">PAGEREF _Toc236900985 \h</w:instrText>
        </w:r>
        <w:r>
          <w:rPr>
            <w:rFonts w:hint="eastAsia" w:asciiTheme="minorEastAsia" w:hAnsiTheme="minorEastAsia"/>
            <w:sz w:val="28"/>
            <w:szCs w:val="28"/>
          </w:rPr>
          <w:instrText xml:space="preserve"> </w:instrText>
        </w:r>
        <w:r>
          <w:rPr>
            <w:rFonts w:hint="eastAsia" w:asciiTheme="minorEastAsia" w:hAnsiTheme="minorEastAsia"/>
            <w:sz w:val="28"/>
            <w:szCs w:val="28"/>
          </w:rPr>
        </w:r>
        <w:r>
          <w:rPr>
            <w:rFonts w:hint="eastAsia" w:asciiTheme="minorEastAsia" w:hAnsiTheme="minorEastAsia"/>
            <w:sz w:val="28"/>
            <w:szCs w:val="28"/>
          </w:rPr>
          <w:fldChar w:fldCharType="separate"/>
        </w:r>
        <w:r>
          <w:rPr>
            <w:rFonts w:hint="eastAsia" w:asciiTheme="minorEastAsia" w:hAnsiTheme="minorEastAsia"/>
            <w:sz w:val="28"/>
            <w:szCs w:val="28"/>
          </w:rPr>
          <w:t xml:space="preserve">44</w:t>
        </w:r>
        <w:r>
          <w:rPr>
            <w:rFonts w:hint="eastAsia" w:asciiTheme="minorEastAsia" w:hAnsiTheme="minorEastAsia"/>
            <w:sz w:val="28"/>
            <w:szCs w:val="28"/>
          </w:rPr>
          <w:fldChar w:fldCharType="end"/>
        </w:r>
      </w:hyperlink>
      <w:r/>
      <w:r/>
    </w:p>
    <w:p>
      <w:pPr>
        <w:pStyle w:val="854"/>
        <w:tabs>
          <w:tab w:val="right" w:pos="8296" w:leader="dot"/>
        </w:tabs>
        <w:rPr>
          <w:rFonts w:asciiTheme="minorEastAsia" w:hAnsiTheme="minorEastAsia"/>
          <w:sz w:val="28"/>
          <w:szCs w:val="28"/>
        </w:rPr>
      </w:pPr>
      <w:r/>
      <w:hyperlink w:tooltip="#_Toc236900986" w:anchor="_Toc236900986" w:history="1">
        <w:r>
          <w:rPr>
            <w:rStyle w:val="857"/>
            <w:rFonts w:hint="eastAsia" w:cs="黑体" w:asciiTheme="minorEastAsia" w:hAnsiTheme="minorEastAsia"/>
            <w:sz w:val="28"/>
            <w:szCs w:val="28"/>
          </w:rPr>
          <w:t xml:space="preserve">第六章 投标文件格式</w:t>
        </w:r>
        <w:r>
          <w:rPr>
            <w:rFonts w:hint="eastAsia" w:asciiTheme="minorEastAsia" w:hAnsiTheme="minorEastAsia"/>
            <w:sz w:val="28"/>
            <w:szCs w:val="28"/>
          </w:rPr>
          <w:tab/>
        </w:r>
        <w:r>
          <w:rPr>
            <w:rFonts w:hint="eastAsia" w:asciiTheme="minorEastAsia" w:hAnsiTheme="minorEastAsia"/>
            <w:sz w:val="28"/>
            <w:szCs w:val="28"/>
          </w:rPr>
          <w:fldChar w:fldCharType="begin"/>
        </w:r>
        <w:r>
          <w:rPr>
            <w:rFonts w:hint="eastAsia" w:asciiTheme="minorEastAsia" w:hAnsiTheme="minorEastAsia"/>
            <w:sz w:val="28"/>
            <w:szCs w:val="28"/>
          </w:rPr>
          <w:instrText xml:space="preserve"> </w:instrText>
        </w:r>
        <w:r>
          <w:rPr>
            <w:rFonts w:asciiTheme="minorEastAsia" w:hAnsiTheme="minorEastAsia"/>
            <w:sz w:val="28"/>
            <w:szCs w:val="28"/>
          </w:rPr>
          <w:instrText xml:space="preserve">PAGEREF _Toc236900986 \h</w:instrText>
        </w:r>
        <w:r>
          <w:rPr>
            <w:rFonts w:hint="eastAsia" w:asciiTheme="minorEastAsia" w:hAnsiTheme="minorEastAsia"/>
            <w:sz w:val="28"/>
            <w:szCs w:val="28"/>
          </w:rPr>
          <w:instrText xml:space="preserve"> </w:instrText>
        </w:r>
        <w:r>
          <w:rPr>
            <w:rFonts w:hint="eastAsia" w:asciiTheme="minorEastAsia" w:hAnsiTheme="minorEastAsia"/>
            <w:sz w:val="28"/>
            <w:szCs w:val="28"/>
          </w:rPr>
        </w:r>
        <w:r>
          <w:rPr>
            <w:rFonts w:hint="eastAsia" w:asciiTheme="minorEastAsia" w:hAnsiTheme="minorEastAsia"/>
            <w:sz w:val="28"/>
            <w:szCs w:val="28"/>
          </w:rPr>
          <w:fldChar w:fldCharType="separate"/>
        </w:r>
        <w:r>
          <w:rPr>
            <w:rFonts w:hint="eastAsia" w:asciiTheme="minorEastAsia" w:hAnsiTheme="minorEastAsia"/>
            <w:sz w:val="28"/>
            <w:szCs w:val="28"/>
          </w:rPr>
          <w:t xml:space="preserve">49</w:t>
        </w:r>
        <w:r>
          <w:rPr>
            <w:rFonts w:hint="eastAsia" w:asciiTheme="minorEastAsia" w:hAnsiTheme="minorEastAsia"/>
            <w:sz w:val="28"/>
            <w:szCs w:val="28"/>
          </w:rPr>
          <w:fldChar w:fldCharType="end"/>
        </w:r>
      </w:hyperlink>
      <w:r/>
      <w:r/>
    </w:p>
    <w:p>
      <w:pPr>
        <w:pStyle w:val="855"/>
        <w:jc w:val="both"/>
        <w:spacing w:beforeAutospacing="0" w:afterAutospacing="0" w:line="480" w:lineRule="auto"/>
      </w:pPr>
      <w:r>
        <w:fldChar w:fldCharType="end"/>
      </w:r>
      <w:r/>
    </w:p>
    <w:p>
      <w:pPr>
        <w:pStyle w:val="855"/>
        <w:jc w:val="both"/>
        <w:spacing w:beforeAutospacing="0" w:afterAutospacing="0" w:line="480" w:lineRule="auto"/>
      </w:pPr>
      <w:r/>
      <w:r/>
    </w:p>
    <w:p>
      <w:pPr>
        <w:pStyle w:val="855"/>
        <w:jc w:val="both"/>
        <w:spacing w:beforeAutospacing="0" w:afterAutospacing="0" w:line="480" w:lineRule="auto"/>
      </w:pPr>
      <w:r/>
      <w:r/>
    </w:p>
    <w:p>
      <w:pPr>
        <w:pStyle w:val="855"/>
        <w:jc w:val="both"/>
        <w:spacing w:beforeAutospacing="0" w:afterAutospacing="0" w:line="480" w:lineRule="auto"/>
      </w:pPr>
      <w:r/>
      <w:r/>
    </w:p>
    <w:p>
      <w:pPr>
        <w:pStyle w:val="855"/>
        <w:jc w:val="both"/>
        <w:spacing w:beforeAutospacing="0" w:afterAutospacing="0" w:line="480" w:lineRule="auto"/>
      </w:pPr>
      <w:r/>
      <w:r/>
    </w:p>
    <w:p>
      <w:pPr>
        <w:pStyle w:val="855"/>
        <w:jc w:val="both"/>
        <w:spacing w:beforeAutospacing="0" w:afterAutospacing="0"/>
      </w:pPr>
      <w:r>
        <w:t xml:space="preserve"> </w:t>
      </w:r>
      <w:r/>
    </w:p>
    <w:p>
      <w:pPr>
        <w:pStyle w:val="855"/>
        <w:jc w:val="both"/>
        <w:spacing w:beforeAutospacing="0" w:afterAutospacing="0"/>
      </w:pPr>
      <w:r>
        <w:t xml:space="preserve"> </w:t>
      </w:r>
      <w:r/>
    </w:p>
    <w:p>
      <w:pPr>
        <w:pStyle w:val="855"/>
        <w:jc w:val="both"/>
        <w:spacing w:beforeAutospacing="0" w:afterAutospacing="0"/>
      </w:pPr>
      <w:r>
        <w:t xml:space="preserve"> </w:t>
      </w:r>
      <w:r/>
    </w:p>
    <w:p>
      <w:pPr>
        <w:pStyle w:val="855"/>
        <w:jc w:val="both"/>
        <w:spacing w:beforeAutospacing="0" w:afterAutospacing="0"/>
      </w:pPr>
      <w:r>
        <w:t xml:space="preserve"> </w:t>
      </w:r>
      <w:r/>
    </w:p>
    <w:p>
      <w:pPr>
        <w:pStyle w:val="855"/>
        <w:jc w:val="both"/>
        <w:spacing w:beforeAutospacing="0" w:afterAutospacing="0"/>
      </w:pPr>
      <w:r>
        <w:t xml:space="preserve"> </w:t>
      </w:r>
      <w:r/>
    </w:p>
    <w:p>
      <w:pPr>
        <w:pStyle w:val="855"/>
        <w:jc w:val="both"/>
        <w:spacing w:beforeAutospacing="0" w:afterAutospacing="0"/>
      </w:pPr>
      <w:r>
        <w:t xml:space="preserve"> </w:t>
      </w:r>
      <w:r/>
    </w:p>
    <w:p>
      <w:pPr>
        <w:pStyle w:val="855"/>
        <w:jc w:val="both"/>
        <w:spacing w:beforeAutospacing="0" w:afterAutospacing="0"/>
      </w:pPr>
      <w:r>
        <w:t xml:space="preserve"> </w:t>
      </w:r>
      <w:r/>
    </w:p>
    <w:p>
      <w:pPr>
        <w:pStyle w:val="855"/>
        <w:jc w:val="both"/>
        <w:spacing w:beforeAutospacing="0" w:afterAutospacing="0"/>
      </w:pPr>
      <w:r>
        <w:t xml:space="preserve"> </w:t>
      </w:r>
      <w:r/>
    </w:p>
    <w:p>
      <w:pPr>
        <w:pStyle w:val="855"/>
        <w:jc w:val="both"/>
        <w:spacing w:beforeAutospacing="0" w:afterAutospacing="0"/>
      </w:pPr>
      <w:r>
        <w:t xml:space="preserve"> </w:t>
      </w:r>
      <w:r/>
    </w:p>
    <w:p>
      <w:pPr>
        <w:pStyle w:val="855"/>
        <w:jc w:val="both"/>
        <w:spacing w:beforeAutospacing="0" w:afterAutospacing="0"/>
      </w:pPr>
      <w:r>
        <w:t xml:space="preserve"> </w:t>
      </w:r>
      <w:r/>
    </w:p>
    <w:p>
      <w:pPr>
        <w:pStyle w:val="855"/>
        <w:jc w:val="both"/>
        <w:spacing w:beforeAutospacing="0" w:afterAutospacing="0"/>
      </w:pPr>
      <w:r>
        <w:t xml:space="preserve"> </w:t>
      </w:r>
      <w:r/>
    </w:p>
    <w:p>
      <w:pPr>
        <w:pStyle w:val="855"/>
        <w:jc w:val="both"/>
        <w:spacing w:beforeAutospacing="0" w:afterAutospacing="0"/>
      </w:pPr>
      <w:r>
        <w:t xml:space="preserve"> </w:t>
      </w:r>
      <w:r/>
    </w:p>
    <w:p>
      <w:pPr>
        <w:pStyle w:val="855"/>
        <w:jc w:val="both"/>
        <w:spacing w:beforeAutospacing="0" w:afterAutospacing="0"/>
      </w:pPr>
      <w:r>
        <w:t xml:space="preserve"> </w:t>
      </w:r>
      <w:r/>
    </w:p>
    <w:p>
      <w:pPr>
        <w:pStyle w:val="855"/>
        <w:jc w:val="both"/>
        <w:spacing w:beforeAutospacing="0" w:afterAutospacing="0"/>
      </w:pPr>
      <w:r>
        <w:t xml:space="preserve"> </w:t>
      </w:r>
      <w:r/>
    </w:p>
    <w:p>
      <w:pPr>
        <w:pStyle w:val="855"/>
        <w:jc w:val="both"/>
        <w:spacing w:beforeAutospacing="0" w:afterAutospacing="0"/>
      </w:pPr>
      <w:r>
        <w:t xml:space="preserve"> </w:t>
      </w:r>
      <w:r/>
    </w:p>
    <w:p>
      <w:pPr>
        <w:pStyle w:val="855"/>
        <w:jc w:val="both"/>
        <w:spacing w:beforeAutospacing="0" w:afterAutospacing="0"/>
      </w:pPr>
      <w:r>
        <w:t xml:space="preserve"> </w:t>
      </w:r>
      <w:r/>
    </w:p>
    <w:p>
      <w:pPr>
        <w:pStyle w:val="855"/>
        <w:jc w:val="both"/>
        <w:spacing w:beforeAutospacing="0" w:afterAutospacing="0"/>
      </w:pPr>
      <w:r>
        <w:t xml:space="preserve">  </w:t>
      </w:r>
      <w:r/>
    </w:p>
    <w:p>
      <w:pPr>
        <w:pStyle w:val="855"/>
        <w:jc w:val="both"/>
        <w:spacing w:beforeAutospacing="0" w:afterAutospacing="0"/>
      </w:pPr>
      <w:r>
        <w:t xml:space="preserve"> </w:t>
      </w:r>
      <w:r/>
    </w:p>
    <w:p>
      <w:pPr>
        <w:pStyle w:val="855"/>
        <w:jc w:val="both"/>
        <w:spacing w:beforeAutospacing="0" w:afterAutospacing="0"/>
      </w:pPr>
      <w:r>
        <w:t xml:space="preserve"> </w:t>
      </w:r>
      <w:r/>
    </w:p>
    <w:p>
      <w:pPr>
        <w:pStyle w:val="855"/>
        <w:jc w:val="both"/>
        <w:spacing w:beforeAutospacing="0" w:afterAutospacing="0"/>
      </w:pPr>
      <w:r>
        <w:t xml:space="preserve"> </w:t>
      </w:r>
      <w:r/>
    </w:p>
    <w:p>
      <w:pPr>
        <w:pStyle w:val="855"/>
        <w:jc w:val="both"/>
        <w:spacing w:beforeAutospacing="0" w:afterAutospacing="0"/>
      </w:pPr>
      <w:r>
        <w:t xml:space="preserve"> </w:t>
      </w:r>
      <w:r/>
    </w:p>
    <w:p>
      <w:pPr>
        <w:pStyle w:val="855"/>
        <w:jc w:val="both"/>
        <w:spacing w:beforeAutospacing="0" w:afterAutospacing="0"/>
      </w:pPr>
      <w:r>
        <w:t xml:space="preserve"> </w:t>
      </w:r>
      <w:r/>
    </w:p>
    <w:p>
      <w:pPr>
        <w:pStyle w:val="855"/>
        <w:jc w:val="center"/>
        <w:keepNext/>
        <w:spacing w:beforeAutospacing="0" w:afterAutospacing="0"/>
        <w:rPr>
          <w:rFonts w:eastAsia="黑体"/>
        </w:rPr>
        <w:outlineLvl w:val="0"/>
      </w:pPr>
      <w:r/>
      <w:bookmarkStart w:id="6" w:name="_Toc236900981"/>
      <w:r>
        <w:rPr>
          <w:rFonts w:hint="eastAsia" w:ascii="黑体" w:hAnsi="宋体" w:eastAsia="黑体" w:cs="黑体"/>
          <w:color w:val="000000"/>
          <w:sz w:val="44"/>
          <w:szCs w:val="44"/>
        </w:rPr>
        <w:t xml:space="preserve">第一章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招标公告</w:t>
      </w:r>
      <w:bookmarkEnd w:id="6"/>
      <w:r/>
      <w:r/>
    </w:p>
    <w:p>
      <w:pPr>
        <w:pStyle w:val="855"/>
        <w:ind w:firstLine="480"/>
        <w:jc w:val="both"/>
        <w:spacing w:beforeAutospacing="0" w:afterAutospacing="0"/>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rPr>
        <w:t xml:space="preserve">项目概况</w:t>
      </w:r>
      <w:r/>
    </w:p>
    <w:p>
      <w:pPr>
        <w:pStyle w:val="855"/>
        <w:ind w:firstLine="480"/>
        <w:jc w:val="both"/>
        <w:spacing w:beforeAutospacing="0" w:afterAutospacing="0"/>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u w:val="single"/>
        </w:rPr>
        <w:t xml:space="preserve">2026-2027校园配餐（小学组）采购项目 </w:t>
      </w:r>
      <w:r>
        <w:rPr>
          <w:rFonts w:hint="eastAsia" w:ascii="宋体" w:hAnsi="宋体" w:eastAsia="宋体" w:cs="宋体"/>
          <w:color w:val="000000"/>
        </w:rPr>
        <w:t xml:space="preserve">招标项目的潜在投标人可在</w:t>
      </w:r>
      <w:r>
        <w:rPr>
          <w:rFonts w:hint="eastAsia" w:ascii="宋体" w:hAnsi="宋体" w:eastAsia="宋体" w:cs="宋体"/>
          <w:color w:val="333333"/>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rPr>
        <w:t xml:space="preserve">，并于</w:t>
      </w:r>
      <w:r>
        <w:rPr>
          <w:rFonts w:hint="eastAsia" w:ascii="宋体" w:hAnsi="宋体" w:eastAsia="宋体" w:cs="宋体"/>
          <w:color w:val="000000"/>
          <w:u w:val="single"/>
        </w:rPr>
        <w:t xml:space="preserve">2026年</w:t>
      </w:r>
      <w:r>
        <w:rPr>
          <w:rFonts w:ascii="宋体" w:hAnsi="宋体" w:eastAsia="宋体" w:cs="宋体"/>
          <w:color w:val="000000"/>
          <w:u w:val="single"/>
        </w:rPr>
        <w:t xml:space="preserve">9</w:t>
      </w:r>
      <w:r>
        <w:rPr>
          <w:rFonts w:hint="eastAsia" w:ascii="宋体" w:hAnsi="宋体" w:eastAsia="宋体" w:cs="宋体"/>
          <w:color w:val="000000"/>
          <w:u w:val="single"/>
        </w:rPr>
        <w:t xml:space="preserve">月</w:t>
      </w:r>
      <w:r>
        <w:rPr>
          <w:rFonts w:ascii="宋体" w:hAnsi="宋体" w:eastAsia="宋体" w:cs="宋体"/>
          <w:color w:val="000000"/>
          <w:u w:val="single"/>
        </w:rPr>
        <w:t xml:space="preserve">3</w:t>
      </w:r>
      <w:r>
        <w:rPr>
          <w:rFonts w:hint="eastAsia" w:ascii="宋体" w:hAnsi="宋体" w:eastAsia="宋体" w:cs="宋体"/>
          <w:color w:val="000000"/>
          <w:u w:val="single"/>
        </w:rPr>
        <w:t xml:space="preserve">日</w:t>
      </w:r>
      <w:r>
        <w:rPr>
          <w:rFonts w:ascii="宋体" w:hAnsi="宋体" w:eastAsia="宋体" w:cs="宋体"/>
          <w:color w:val="000000"/>
          <w:u w:val="single"/>
        </w:rPr>
        <w:t xml:space="preserve">9</w:t>
      </w:r>
      <w:r>
        <w:rPr>
          <w:rFonts w:hint="eastAsia" w:ascii="宋体" w:hAnsi="宋体" w:eastAsia="宋体" w:cs="宋体"/>
          <w:color w:val="000000"/>
          <w:u w:val="single"/>
        </w:rPr>
        <w:t xml:space="preserve">点00分（</w:t>
      </w:r>
      <w:r>
        <w:rPr>
          <w:rFonts w:hint="eastAsia" w:ascii="宋体" w:hAnsi="宋体" w:eastAsia="宋体" w:cs="宋体"/>
          <w:color w:val="000000"/>
        </w:rPr>
        <w:t xml:space="preserve">北京时间）前递交投标文件。</w:t>
      </w:r>
      <w:r/>
    </w:p>
    <w:p>
      <w:pPr>
        <w:pStyle w:val="855"/>
        <w:ind w:firstLine="498"/>
        <w:jc w:val="both"/>
        <w:keepLines/>
        <w:keepNext/>
        <w:spacing w:before="145" w:beforeAutospacing="0" w:after="145" w:afterAutospacing="0" w:line="360" w:lineRule="auto"/>
        <w:rPr>
          <w:rFonts w:hint="eastAsia" w:ascii="宋体" w:hAnsi="宋体" w:eastAsia="宋体" w:cs="宋体"/>
        </w:rPr>
      </w:pPr>
      <w:r/>
      <w:bookmarkStart w:id="7" w:name="_Toc28359079"/>
      <w:r/>
      <w:bookmarkStart w:id="8" w:name="_Hlk24379207"/>
      <w:r/>
      <w:bookmarkStart w:id="9" w:name="_Toc35393790"/>
      <w:r/>
      <w:bookmarkStart w:id="10" w:name="_Toc38985263"/>
      <w:r/>
      <w:bookmarkStart w:id="11" w:name="_Toc35393621"/>
      <w:r/>
      <w:bookmarkStart w:id="12" w:name="_Toc28359002"/>
      <w:r>
        <w:rPr>
          <w:rFonts w:hint="eastAsia" w:ascii="宋体" w:hAnsi="宋体" w:eastAsia="宋体" w:cs="宋体"/>
          <w:b/>
          <w:color w:val="000000"/>
        </w:rPr>
        <w:t xml:space="preserve">一、项目基本情况</w:t>
      </w:r>
      <w:bookmarkEnd w:id="7"/>
      <w:r/>
      <w:bookmarkEnd w:id="8"/>
      <w:r/>
      <w:bookmarkEnd w:id="9"/>
      <w:r/>
      <w:bookmarkEnd w:id="10"/>
      <w:r/>
      <w:bookmarkEnd w:id="11"/>
      <w:r/>
      <w:bookmarkEnd w:id="12"/>
      <w:r/>
      <w:r/>
    </w:p>
    <w:p>
      <w:pPr>
        <w:pStyle w:val="855"/>
        <w:ind w:firstLine="482"/>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1.项目编号：</w:t>
      </w:r>
      <w:r>
        <w:rPr>
          <w:rFonts w:ascii="宋体" w:hAnsi="宋体" w:eastAsia="宋体" w:cs="宋体"/>
          <w:color w:val="000000"/>
        </w:rPr>
        <w:t xml:space="preserve">JSZC-320922-YCGX-G2026-0012</w:t>
      </w:r>
      <w:r/>
    </w:p>
    <w:p>
      <w:pPr>
        <w:pStyle w:val="855"/>
        <w:ind w:firstLine="482"/>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2.项目名称：2026-2027校园配餐（小学组）采购项目</w:t>
      </w:r>
      <w:r/>
    </w:p>
    <w:p>
      <w:pPr>
        <w:pStyle w:val="855"/>
        <w:ind w:firstLine="482"/>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333333"/>
          <w:shd w:val="clear" w:color="auto" w:fill="ffffff"/>
        </w:rPr>
        <w:t xml:space="preserve">3.采购方式：公开招标</w:t>
      </w:r>
      <w:r/>
    </w:p>
    <w:p>
      <w:pPr>
        <w:pStyle w:val="855"/>
        <w:ind w:firstLine="482"/>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4.预算金额：</w:t>
      </w:r>
      <w:r>
        <w:rPr>
          <w:rFonts w:ascii="宋体" w:hAnsi="宋体" w:eastAsia="宋体" w:cs="宋体"/>
          <w:color w:val="000000"/>
        </w:rPr>
        <w:t xml:space="preserve">460.4</w:t>
      </w:r>
      <w:r>
        <w:rPr>
          <w:rFonts w:hint="eastAsia" w:ascii="宋体" w:hAnsi="宋体" w:eastAsia="宋体" w:cs="宋体"/>
          <w:color w:val="000000"/>
        </w:rPr>
        <w:t xml:space="preserve">万元</w:t>
      </w:r>
      <w:r/>
    </w:p>
    <w:p>
      <w:pPr>
        <w:pStyle w:val="855"/>
        <w:ind w:firstLine="482"/>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5.最高限价：1</w:t>
      </w:r>
      <w:r>
        <w:rPr>
          <w:rFonts w:ascii="宋体" w:hAnsi="宋体" w:eastAsia="宋体" w:cs="宋体"/>
          <w:color w:val="000000"/>
        </w:rPr>
        <w:t xml:space="preserve">0</w:t>
      </w:r>
      <w:r>
        <w:rPr>
          <w:rFonts w:hint="eastAsia" w:ascii="宋体" w:hAnsi="宋体" w:eastAsia="宋体" w:cs="宋体"/>
          <w:color w:val="000000"/>
        </w:rPr>
        <w:t xml:space="preserve">元/份</w:t>
      </w:r>
      <w:r/>
    </w:p>
    <w:p>
      <w:pPr>
        <w:pStyle w:val="855"/>
        <w:ind w:firstLine="482"/>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6.采购需求（简介）：本项目为学生提供校外供餐服务，暂按</w:t>
      </w:r>
      <w:r>
        <w:rPr>
          <w:rFonts w:ascii="宋体" w:hAnsi="宋体" w:eastAsia="宋体" w:cs="宋体"/>
          <w:color w:val="000000"/>
        </w:rPr>
        <w:t xml:space="preserve">460400</w:t>
      </w:r>
      <w:r>
        <w:rPr>
          <w:rFonts w:hint="eastAsia" w:ascii="宋体" w:hAnsi="宋体" w:eastAsia="宋体" w:cs="宋体"/>
          <w:color w:val="000000"/>
        </w:rPr>
        <w:t xml:space="preserve">份匡算报价，结算以实际发生的数量结算价款。（详细内容见本招标文件第四章）</w:t>
      </w:r>
      <w:r/>
    </w:p>
    <w:p>
      <w:pPr>
        <w:pStyle w:val="855"/>
        <w:ind w:firstLine="482"/>
        <w:jc w:val="both"/>
        <w:spacing w:beforeAutospacing="0" w:afterAutospacing="0" w:line="360" w:lineRule="auto"/>
        <w:rPr>
          <w:rFonts w:hint="eastAsia" w:ascii="宋体" w:hAnsi="宋体" w:eastAsia="宋体" w:cs="宋体"/>
          <w:b/>
          <w:bCs/>
          <w:color w:val="ee0000"/>
          <w:u w:val="single"/>
        </w:rPr>
      </w:pPr>
      <w:r>
        <w:rPr>
          <w:rFonts w:hint="eastAsia" w:ascii="宋体" w:hAnsi="宋体" w:eastAsia="宋体" w:cs="宋体"/>
          <w:b/>
          <w:bCs/>
          <w:color w:val="ee0000"/>
          <w:u w:val="single"/>
        </w:rPr>
        <w:t xml:space="preserve">特别提醒：为保障在预算范围内采购到优质校园配餐服务，采购人将加强检查验收，验收不合格者追究赔偿及相关法律责任，投标人须自行考虑各种风险，理性投标及报价。</w:t>
      </w:r>
      <w:r/>
    </w:p>
    <w:p>
      <w:pPr>
        <w:pStyle w:val="855"/>
        <w:ind w:firstLine="482"/>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7.合同履行期限：一学年</w:t>
      </w:r>
      <w:r/>
    </w:p>
    <w:p>
      <w:pPr>
        <w:pStyle w:val="855"/>
        <w:ind w:firstLine="482"/>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8.本项目（是/否）接受联合体：否</w:t>
      </w:r>
      <w:r/>
    </w:p>
    <w:p>
      <w:pPr>
        <w:pStyle w:val="855"/>
        <w:ind w:firstLine="498"/>
        <w:jc w:val="both"/>
        <w:keepLines/>
        <w:keepNext/>
        <w:spacing w:before="145" w:beforeAutospacing="0" w:after="145" w:afterAutospacing="0" w:line="360" w:lineRule="auto"/>
        <w:rPr>
          <w:rFonts w:hint="eastAsia" w:ascii="宋体" w:hAnsi="宋体" w:eastAsia="宋体" w:cs="宋体"/>
        </w:rPr>
      </w:pPr>
      <w:r/>
      <w:bookmarkStart w:id="13" w:name="_Toc28359080"/>
      <w:r/>
      <w:bookmarkStart w:id="14" w:name="_Toc38985264"/>
      <w:r/>
      <w:bookmarkStart w:id="15" w:name="_Toc35393791"/>
      <w:r/>
      <w:bookmarkStart w:id="16" w:name="_Toc28359003"/>
      <w:r/>
      <w:bookmarkStart w:id="17" w:name="_Toc35393622"/>
      <w:r>
        <w:rPr>
          <w:rFonts w:hint="eastAsia" w:ascii="宋体" w:hAnsi="宋体" w:eastAsia="宋体" w:cs="宋体"/>
          <w:b/>
          <w:color w:val="000000"/>
        </w:rPr>
        <w:t xml:space="preserve">二、申请人的资格要求：</w:t>
      </w:r>
      <w:bookmarkEnd w:id="13"/>
      <w:r/>
      <w:bookmarkEnd w:id="14"/>
      <w:r/>
      <w:bookmarkEnd w:id="15"/>
      <w:r/>
      <w:bookmarkEnd w:id="16"/>
      <w:r/>
      <w:bookmarkEnd w:id="17"/>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1.满足《中华人民共和国政府采购法》第二十二条规定，并提供下列材料：</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1.1 法人或者其他组织的营业执照等证明文件，自然人的身份证明；</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1.2上一年度的财务状况报告（至少提供资产负债表、利润表、现金流量表，投标人成立不满一年无需提供）；</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1.3具备履行合同所必需的设备和专业技术能力的书面声明；</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1.5参加政府采购活动前3年内在经营活动中没有重大违法记录的书面声明。</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1.6法律、行政法规规定的其他条件。</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1.8单位负责人为同一人或者存在直接控股、管理关系的不同供应商，不得参加同一合同项下的政府采购活动。</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落实政府采购政策需满足的资格要求：本项目为非预留份额的采购项目或采购包，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w:t>
      </w:r>
      <w:r/>
    </w:p>
    <w:p>
      <w:pPr>
        <w:pStyle w:val="855"/>
        <w:ind w:firstLine="560"/>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3.本项目的特定资格要求：</w:t>
      </w:r>
      <w:r/>
    </w:p>
    <w:p>
      <w:pPr>
        <w:pStyle w:val="855"/>
        <w:ind w:firstLine="566"/>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3.1持有合法有效的《食品经营许可证》，食品经营许可证的主体业态应为“集体用餐配送单位”，并承诺满足供餐份数要求进行供餐。</w:t>
      </w:r>
      <w:r/>
    </w:p>
    <w:p>
      <w:pPr>
        <w:pStyle w:val="855"/>
        <w:ind w:firstLine="566"/>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3.2近3年内未发生过食品安全事故，未因食品安全问题被行政处罚，未被列入严重违法失信名单。</w:t>
      </w:r>
      <w:r/>
    </w:p>
    <w:p>
      <w:pPr>
        <w:pStyle w:val="855"/>
        <w:ind w:firstLine="566"/>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3.3企业每年投保符合供餐规模的食品安全责任险。</w:t>
      </w:r>
      <w:r/>
    </w:p>
    <w:p>
      <w:pPr>
        <w:pStyle w:val="855"/>
        <w:ind w:firstLine="566"/>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3.4配备与供应餐食品种、数量相适应的食品加工制作场所，设施设备齐全，环境清洁卫生，食品加工制作行为符合</w:t>
      </w:r>
      <w:r>
        <w:rPr>
          <w:rFonts w:hint="eastAsia" w:asciiTheme="minorEastAsia" w:hAnsiTheme="minorEastAsia"/>
        </w:rPr>
        <w:t xml:space="preserve">GB</w:t>
      </w:r>
      <w:r>
        <w:rPr>
          <w:rFonts w:asciiTheme="minorEastAsia" w:hAnsiTheme="minorEastAsia"/>
        </w:rPr>
        <w:t xml:space="preserve"> </w:t>
      </w:r>
      <w:r>
        <w:rPr>
          <w:rFonts w:hint="eastAsia" w:asciiTheme="minorEastAsia" w:hAnsiTheme="minorEastAsia"/>
        </w:rPr>
        <w:t xml:space="preserve">31654-2021《食品安全国家标准餐饮服务通用卫生规范》</w:t>
      </w:r>
      <w:r>
        <w:rPr>
          <w:rFonts w:hint="eastAsia" w:ascii="宋体" w:hAnsi="宋体" w:eastAsia="宋体" w:cs="宋体"/>
          <w:color w:val="000000"/>
        </w:rPr>
        <w:t xml:space="preserve">。</w:t>
      </w:r>
      <w:r/>
    </w:p>
    <w:p>
      <w:pPr>
        <w:pStyle w:val="855"/>
        <w:ind w:firstLine="566"/>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w:t>
      </w:r>
      <w:r>
        <w:rPr>
          <w:rFonts w:ascii="宋体" w:hAnsi="宋体" w:eastAsia="宋体" w:cs="宋体"/>
          <w:color w:val="000000"/>
        </w:rPr>
        <w:t xml:space="preserve">5</w:t>
      </w:r>
      <w:r>
        <w:rPr>
          <w:rFonts w:hint="eastAsia" w:ascii="宋体" w:hAnsi="宋体" w:eastAsia="宋体" w:cs="宋体"/>
          <w:color w:val="000000" w:themeColor="text1"/>
        </w:rPr>
        <w:t xml:space="preserve">投标时提供承诺中标后实</w:t>
      </w:r>
      <w:r>
        <w:rPr>
          <w:rFonts w:hint="eastAsia" w:ascii="宋体" w:hAnsi="宋体" w:eastAsia="宋体" w:cs="宋体"/>
          <w:color w:val="000000"/>
        </w:rPr>
        <w:t xml:space="preserve">施“互联网+明厨亮灶”工程，加入江苏省食品经营安全智慧监管平台和滨海县教育局网络监控平台，主动接受市场监管、教育部门、学校和家长代表监督。</w:t>
      </w:r>
      <w:r/>
    </w:p>
    <w:p>
      <w:pPr>
        <w:pStyle w:val="855"/>
        <w:ind w:firstLine="560"/>
        <w:jc w:val="both"/>
        <w:spacing w:beforeAutospacing="0" w:afterAutospacing="0" w:line="360" w:lineRule="auto"/>
        <w:shd w:val="clear" w:color="auto" w:fill="ffffff"/>
        <w:widowControl/>
        <w:rPr>
          <w:rFonts w:hint="eastAsia" w:ascii="宋体" w:hAnsi="宋体" w:eastAsia="宋体" w:cs="宋体"/>
          <w:color w:val="333333"/>
          <w:u w:val="single"/>
          <w:shd w:val="clear" w:color="auto" w:fill="ffffff"/>
        </w:rPr>
      </w:pPr>
      <w:r>
        <w:rPr>
          <w:rFonts w:hint="eastAsia" w:ascii="宋体" w:hAnsi="宋体" w:eastAsia="宋体" w:cs="宋体"/>
          <w:color w:val="000000"/>
        </w:rPr>
        <w:t xml:space="preserve">3.</w:t>
      </w:r>
      <w:r>
        <w:rPr>
          <w:rFonts w:ascii="宋体" w:hAnsi="宋体" w:eastAsia="宋体" w:cs="宋体"/>
          <w:color w:val="000000"/>
        </w:rPr>
        <w:t xml:space="preserve">6</w:t>
      </w:r>
      <w:r>
        <w:rPr>
          <w:rFonts w:hint="eastAsia" w:ascii="宋体" w:hAnsi="宋体" w:eastAsia="宋体" w:cs="宋体"/>
          <w:color w:val="000000"/>
        </w:rPr>
        <w:t xml:space="preserve">本项目不接受联合体投标。</w:t>
      </w:r>
      <w:r/>
    </w:p>
    <w:p>
      <w:pPr>
        <w:pStyle w:val="855"/>
        <w:ind w:firstLine="56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b/>
          <w:color w:val="000000"/>
        </w:rPr>
        <w:t xml:space="preserve">三、获取招标文件</w:t>
      </w:r>
      <w:r/>
    </w:p>
    <w:p>
      <w:pPr>
        <w:ind w:firstLine="480"/>
        <w:jc w:val="left"/>
        <w:spacing w:line="360" w:lineRule="auto"/>
        <w:widowControl/>
        <w:rPr>
          <w:rFonts w:hint="eastAsia" w:ascii="宋体" w:hAnsi="宋体" w:eastAsia="宋体" w:cs="宋体"/>
          <w:color w:val="000000"/>
          <w:sz w:val="24"/>
        </w:rPr>
      </w:pPr>
      <w:r/>
      <w:bookmarkStart w:id="18" w:name="_Toc28359005"/>
      <w:r/>
      <w:bookmarkStart w:id="19" w:name="_Toc28359082"/>
      <w:r/>
      <w:bookmarkStart w:id="20" w:name="_Toc35393624"/>
      <w:r/>
      <w:bookmarkStart w:id="21" w:name="_Toc38985266"/>
      <w:r/>
      <w:bookmarkStart w:id="22" w:name="_Toc35393793"/>
      <w:r>
        <w:rPr>
          <w:rFonts w:hint="eastAsia" w:ascii="宋体" w:hAnsi="宋体" w:eastAsia="宋体" w:cs="宋体"/>
          <w:color w:val="000000"/>
          <w:sz w:val="24"/>
        </w:rPr>
        <w:t xml:space="preserve">1.时间：</w:t>
      </w:r>
      <w:bookmarkEnd w:id="18"/>
      <w:r/>
      <w:bookmarkEnd w:id="19"/>
      <w:r/>
      <w:bookmarkEnd w:id="20"/>
      <w:r/>
      <w:bookmarkEnd w:id="21"/>
      <w:r/>
      <w:bookmarkEnd w:id="22"/>
      <w:r>
        <w:rPr>
          <w:rFonts w:hint="eastAsia" w:ascii="宋体" w:hAnsi="宋体" w:eastAsia="宋体" w:cs="宋体"/>
          <w:color w:val="000000"/>
          <w:sz w:val="24"/>
        </w:rPr>
        <w:t xml:space="preserve">自招标文件公告发布之日起5个工作日。</w:t>
      </w:r>
      <w:r/>
    </w:p>
    <w:p>
      <w:pPr>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2.地点：“苏采云”系统内免费下载（投标人必须在苏采云系统中获取采购文件，方能参与政府采购项目）；</w:t>
      </w:r>
      <w:r/>
    </w:p>
    <w:p>
      <w:pPr>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3.方式：本项目采用网上注册登记方式。 </w:t>
      </w:r>
      <w:r/>
    </w:p>
    <w:p>
      <w:pPr>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4.售价：0元</w:t>
      </w:r>
      <w:r/>
    </w:p>
    <w:p>
      <w:pPr>
        <w:pStyle w:val="855"/>
        <w:ind w:firstLine="498"/>
        <w:jc w:val="both"/>
        <w:keepLines/>
        <w:keepNext/>
        <w:spacing w:before="145" w:beforeAutospacing="0" w:after="145" w:afterAutospacing="0" w:line="360" w:lineRule="auto"/>
        <w:rPr>
          <w:rFonts w:hint="eastAsia" w:ascii="宋体" w:hAnsi="宋体" w:eastAsia="宋体" w:cs="宋体"/>
        </w:rPr>
      </w:pPr>
      <w:r>
        <w:rPr>
          <w:rFonts w:hint="eastAsia" w:ascii="宋体" w:hAnsi="宋体" w:eastAsia="宋体" w:cs="宋体"/>
          <w:b/>
          <w:color w:val="000000"/>
        </w:rPr>
        <w:t xml:space="preserve">四、提交投标文件截止时间、开标时间和地点</w:t>
      </w:r>
      <w:r/>
    </w:p>
    <w:p>
      <w:pPr>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1.时间：2026年</w:t>
      </w:r>
      <w:r>
        <w:rPr>
          <w:rFonts w:ascii="宋体" w:hAnsi="宋体" w:eastAsia="宋体" w:cs="宋体"/>
          <w:color w:val="000000"/>
          <w:sz w:val="24"/>
        </w:rPr>
        <w:t xml:space="preserve">9</w:t>
      </w:r>
      <w:r>
        <w:rPr>
          <w:rFonts w:hint="eastAsia" w:ascii="宋体" w:hAnsi="宋体" w:eastAsia="宋体" w:cs="宋体"/>
          <w:color w:val="000000"/>
          <w:sz w:val="24"/>
        </w:rPr>
        <w:t xml:space="preserve">月</w:t>
      </w:r>
      <w:r>
        <w:rPr>
          <w:rFonts w:ascii="宋体" w:hAnsi="宋体" w:eastAsia="宋体" w:cs="宋体"/>
          <w:color w:val="000000"/>
          <w:sz w:val="24"/>
        </w:rPr>
        <w:t xml:space="preserve">3</w:t>
      </w:r>
      <w:r>
        <w:rPr>
          <w:rFonts w:hint="eastAsia" w:ascii="宋体" w:hAnsi="宋体" w:eastAsia="宋体" w:cs="宋体"/>
          <w:color w:val="000000"/>
          <w:sz w:val="24"/>
        </w:rPr>
        <w:t xml:space="preserve">日 9:00（北京时间）</w:t>
      </w:r>
      <w:r/>
    </w:p>
    <w:p>
      <w:pPr>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2.地点：苏采云“不见面”开标大厅 。</w:t>
      </w:r>
      <w:r/>
    </w:p>
    <w:p>
      <w:pPr>
        <w:pStyle w:val="855"/>
        <w:ind w:firstLine="498"/>
        <w:jc w:val="both"/>
        <w:keepLines/>
        <w:keepNext/>
        <w:spacing w:before="145" w:beforeAutospacing="0" w:after="145" w:afterAutospacing="0" w:line="360" w:lineRule="auto"/>
        <w:rPr>
          <w:rFonts w:hint="eastAsia" w:ascii="宋体" w:hAnsi="宋体" w:eastAsia="宋体" w:cs="宋体"/>
        </w:rPr>
      </w:pPr>
      <w:r/>
      <w:bookmarkStart w:id="23" w:name="_Toc38985267"/>
      <w:r/>
      <w:bookmarkStart w:id="24" w:name="_Toc28359007"/>
      <w:r/>
      <w:bookmarkStart w:id="25" w:name="_Toc28359084"/>
      <w:r/>
      <w:bookmarkStart w:id="26" w:name="_Toc35393794"/>
      <w:r/>
      <w:bookmarkStart w:id="27" w:name="_Toc35393625"/>
      <w:r>
        <w:rPr>
          <w:rFonts w:hint="eastAsia" w:ascii="宋体" w:hAnsi="宋体" w:eastAsia="宋体" w:cs="宋体"/>
          <w:b/>
          <w:color w:val="000000"/>
        </w:rPr>
        <w:t xml:space="preserve">五、公告期限</w:t>
      </w:r>
      <w:bookmarkEnd w:id="23"/>
      <w:r/>
      <w:bookmarkEnd w:id="24"/>
      <w:r/>
      <w:bookmarkEnd w:id="25"/>
      <w:r/>
      <w:bookmarkEnd w:id="26"/>
      <w:r/>
      <w:bookmarkEnd w:id="27"/>
      <w:r/>
      <w:r/>
    </w:p>
    <w:p>
      <w:pPr>
        <w:pStyle w:val="855"/>
        <w:ind w:firstLine="560"/>
        <w:jc w:val="both"/>
        <w:spacing w:beforeAutospacing="0" w:afterAutospacing="0"/>
        <w:shd w:val="clear" w:color="auto" w:fill="ffffff"/>
        <w:widowControl/>
        <w:rPr>
          <w:rFonts w:hint="eastAsia" w:ascii="宋体" w:hAnsi="宋体" w:eastAsia="宋体" w:cs="宋体"/>
          <w:color w:val="333333"/>
          <w:shd w:val="clear" w:color="auto" w:fill="ffffff"/>
        </w:rPr>
      </w:pPr>
      <w:r/>
      <w:bookmarkStart w:id="28" w:name="_Toc35393795"/>
      <w:r/>
      <w:bookmarkStart w:id="29" w:name="_Toc35393626"/>
      <w:r/>
      <w:bookmarkStart w:id="30" w:name="_Toc38985268"/>
      <w:r>
        <w:rPr>
          <w:rFonts w:hint="eastAsia" w:ascii="宋体" w:hAnsi="宋体" w:eastAsia="宋体" w:cs="宋体"/>
          <w:color w:val="333333"/>
          <w:shd w:val="clear" w:color="auto" w:fill="ffffff"/>
        </w:rPr>
        <w:t xml:space="preserve">自本公告发布之日起5个工作日。</w:t>
      </w:r>
      <w:bookmarkEnd w:id="28"/>
      <w:r/>
      <w:bookmarkEnd w:id="29"/>
      <w:r/>
      <w:bookmarkEnd w:id="30"/>
      <w:r/>
      <w:r/>
    </w:p>
    <w:p>
      <w:pPr>
        <w:pStyle w:val="855"/>
        <w:ind w:firstLine="498"/>
        <w:jc w:val="both"/>
        <w:keepLines/>
        <w:keepNext/>
        <w:spacing w:before="145" w:beforeAutospacing="0" w:after="145" w:afterAutospacing="0" w:line="360" w:lineRule="auto"/>
        <w:rPr>
          <w:rFonts w:hint="eastAsia" w:ascii="宋体" w:hAnsi="宋体" w:eastAsia="宋体" w:cs="宋体"/>
        </w:rPr>
      </w:pPr>
      <w:r>
        <w:rPr>
          <w:rFonts w:hint="eastAsia" w:ascii="宋体" w:hAnsi="宋体" w:eastAsia="宋体" w:cs="宋体"/>
          <w:b/>
          <w:color w:val="000000"/>
        </w:rPr>
        <w:t xml:space="preserve">六、其他补充事宜</w:t>
      </w:r>
      <w:r/>
    </w:p>
    <w:p>
      <w:pPr>
        <w:pStyle w:val="855"/>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bookmarkStart w:id="31" w:name="_Toc28359018"/>
      <w:r>
        <w:rPr>
          <w:rFonts w:hint="eastAsia" w:ascii="宋体" w:hAnsi="宋体" w:eastAsia="宋体" w:cs="宋体"/>
          <w:color w:val="333333"/>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spacing w:line="360" w:lineRule="auto"/>
        <w:rPr>
          <w:rFonts w:hint="eastAsia" w:ascii="宋体" w:hAnsi="宋体" w:eastAsia="宋体" w:cs="宋体"/>
          <w:color w:val="333333"/>
          <w:sz w:val="24"/>
          <w:shd w:val="clear" w:color="auto" w:fill="ffffff"/>
        </w:rPr>
      </w:pPr>
      <w:r>
        <w:rPr>
          <w:rFonts w:hint="eastAsia" w:ascii="宋体" w:hAnsi="宋体" w:eastAsia="宋体" w:cs="宋体"/>
          <w:color w:val="333333"/>
          <w:sz w:val="24"/>
          <w:shd w:val="clear" w:color="auto" w:fill="ffffff"/>
        </w:rPr>
        <w:t xml:space="preserve">领取CA和办理电子签章（</w:t>
      </w:r>
      <w:r>
        <w:rPr>
          <w:rFonts w:hint="eastAsia" w:ascii="宋体" w:hAnsi="宋体" w:eastAsia="宋体" w:cs="宋体"/>
          <w:sz w:val="24"/>
        </w:rPr>
        <w:t xml:space="preserve">请至</w:t>
      </w:r>
      <w:r>
        <w:rPr>
          <w:rFonts w:hint="eastAsia" w:ascii="宋体" w:hAnsi="宋体" w:eastAsia="宋体" w:cs="宋体"/>
          <w:color w:val="ff0000"/>
          <w:sz w:val="24"/>
        </w:rPr>
        <w:t xml:space="preserve">盐城市府西路1号盐城市公共资源交易中心四楼大厅10号，11号窗口</w:t>
      </w:r>
      <w:r>
        <w:rPr>
          <w:rFonts w:hint="eastAsia" w:ascii="宋体" w:hAnsi="宋体" w:eastAsia="宋体" w:cs="宋体"/>
          <w:sz w:val="24"/>
        </w:rPr>
        <w:t xml:space="preserve">办理</w:t>
      </w:r>
      <w:r>
        <w:rPr>
          <w:rFonts w:hint="eastAsia" w:ascii="宋体" w:hAnsi="宋体" w:eastAsia="宋体" w:cs="宋体"/>
          <w:color w:val="333333"/>
          <w:sz w:val="24"/>
          <w:shd w:val="clear" w:color="auto" w:fill="ffffff"/>
        </w:rPr>
        <w:t xml:space="preserve">，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2. 潜在供应商访问电子招标响应交易平台的网络地址和方法： </w:t>
      </w:r>
      <w:r/>
    </w:p>
    <w:p>
      <w:pPr>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2.1“苏采云”系统用户注册--获取“CA 数字证书”--CA 绑定与登录--参与投 标--下载采购文件（后缀名为“.</w:t>
      </w:r>
      <w:r>
        <w:rPr>
          <w:rFonts w:hint="eastAsia" w:ascii="宋体" w:hAnsi="宋体" w:eastAsia="宋体" w:cs="宋体"/>
          <w:color w:val="000000"/>
          <w:sz w:val="24"/>
        </w:rPr>
        <w:t xml:space="preserve">kedt</w:t>
      </w:r>
      <w:r>
        <w:rPr>
          <w:rFonts w:hint="eastAsia" w:ascii="宋体" w:hAnsi="宋体" w:eastAsia="宋体" w:cs="宋体"/>
          <w:color w:val="000000"/>
          <w:sz w:val="24"/>
        </w:rPr>
        <w:t xml:space="preserve">”）--将后缀名为“.</w:t>
      </w:r>
      <w:r>
        <w:rPr>
          <w:rFonts w:hint="eastAsia" w:ascii="宋体" w:hAnsi="宋体" w:eastAsia="宋体" w:cs="宋体"/>
          <w:color w:val="000000"/>
          <w:sz w:val="24"/>
        </w:rPr>
        <w:t xml:space="preserve">kedt</w:t>
      </w:r>
      <w:r>
        <w:rPr>
          <w:rFonts w:hint="eastAsia" w:ascii="宋体" w:hAnsi="宋体" w:eastAsia="宋体" w:cs="宋体"/>
          <w:color w:val="000000"/>
          <w:sz w:val="24"/>
        </w:rPr>
        <w:t xml:space="preserve">”的采购文件导入政府采购客户端工具--制作响应文件--导出加密的响应文件（后缀名为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2.2 潜在投标人访问“苏采云”系统方法：江苏省政府采购网首页-“苏采云”链接。 </w:t>
      </w:r>
      <w:r/>
    </w:p>
    <w:p>
      <w:pPr>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2.3 采购文件（后缀名为“.</w:t>
      </w:r>
      <w:r>
        <w:rPr>
          <w:rFonts w:hint="eastAsia" w:ascii="宋体" w:hAnsi="宋体" w:eastAsia="宋体" w:cs="宋体"/>
          <w:color w:val="000000"/>
          <w:sz w:val="24"/>
        </w:rPr>
        <w:t xml:space="preserve">kedt</w:t>
      </w:r>
      <w:r>
        <w:rPr>
          <w:rFonts w:hint="eastAsia" w:ascii="宋体" w:hAnsi="宋体" w:eastAsia="宋体" w:cs="宋体"/>
          <w:color w:val="000000"/>
          <w:sz w:val="24"/>
        </w:rPr>
        <w:t xml:space="preserve">”）、供应商操作手册及政府采购客户端 工具可通过“苏采云”系统相应链接进行下载。 </w:t>
      </w:r>
      <w:r/>
    </w:p>
    <w:p>
      <w:pPr>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2.4 采购代理机构将数据电文形式的采购文件加载至“苏采云”系统，供潜在供应商下载或者查阅。 </w:t>
      </w:r>
      <w:r/>
    </w:p>
    <w:p>
      <w:pPr>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2.5 请潜在投标单位提前安装相应的控件（详见《“苏采云”系统供应商操作手册》）并使用谷歌浏览器登录“苏采云”系统参与不见面开评标。 </w:t>
      </w:r>
      <w:r/>
    </w:p>
    <w:p>
      <w:pPr>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如潜在投标人未按上述要求操作，将自行承担所产生的风险。</w:t>
      </w:r>
      <w:r/>
    </w:p>
    <w:p>
      <w:pPr>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3.有关本次招标的事项若存在变动或修改，敬请及时关注盐城市政府代理机构在“中国政府采购网”“江苏政府采购网”“盐城市政府采购网”发布的更正公告。</w:t>
      </w:r>
      <w:r/>
    </w:p>
    <w:p>
      <w:pPr>
        <w:pStyle w:val="855"/>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4.本次招标不收取投标保证金，不收取质量保证金。</w:t>
      </w:r>
      <w:r/>
    </w:p>
    <w:p>
      <w:pPr>
        <w:pStyle w:val="675"/>
        <w:ind w:firstLine="480"/>
        <w:jc w:val="both"/>
        <w:spacing w:beforeAutospacing="0" w:afterAutospacing="0" w:line="360" w:lineRule="auto"/>
        <w:shd w:val="clear" w:color="auto" w:fill="ffffff"/>
        <w:widowControl/>
        <w:rPr>
          <w:rFonts w:cs="宋体"/>
          <w:b w:val="0"/>
          <w:bCs w:val="0"/>
          <w:color w:val="333333"/>
          <w:sz w:val="24"/>
          <w:szCs w:val="24"/>
        </w:rPr>
      </w:pPr>
      <w:r>
        <w:rPr>
          <w:rFonts w:cs="宋体"/>
          <w:b w:val="0"/>
          <w:bCs w:val="0"/>
          <w:color w:val="333333"/>
          <w:sz w:val="24"/>
          <w:szCs w:val="24"/>
          <w:shd w:val="clear" w:color="auto" w:fill="ffffff"/>
        </w:rPr>
        <w:t xml:space="preserve">七、对本次招标提出询问，请按以下方式联系。</w:t>
      </w:r>
      <w:bookmarkEnd w:id="31"/>
      <w:r/>
      <w:r/>
    </w:p>
    <w:p>
      <w:pPr>
        <w:pStyle w:val="855"/>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bookmarkStart w:id="32" w:name="_Toc28359009"/>
      <w:r>
        <w:rPr>
          <w:rFonts w:hint="eastAsia" w:ascii="宋体" w:hAnsi="宋体" w:eastAsia="宋体" w:cs="宋体"/>
          <w:color w:val="333333"/>
          <w:shd w:val="clear" w:color="auto" w:fill="ffffff"/>
        </w:rPr>
        <w:t xml:space="preserve">1.采购人信息</w:t>
      </w:r>
      <w:r/>
    </w:p>
    <w:p>
      <w:pPr>
        <w:pStyle w:val="855"/>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名 称：滨海县坎北街道中心小学  </w:t>
      </w:r>
      <w:r/>
    </w:p>
    <w:p>
      <w:pPr>
        <w:pStyle w:val="855"/>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地址：滨海县环城路22号  </w:t>
      </w:r>
      <w:r/>
    </w:p>
    <w:p>
      <w:pPr>
        <w:pStyle w:val="855"/>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联系人：范先生 </w:t>
      </w:r>
      <w:r/>
    </w:p>
    <w:p>
      <w:pPr>
        <w:pStyle w:val="855"/>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联系方式：</w:t>
      </w:r>
      <w:r>
        <w:rPr>
          <w:rFonts w:ascii="宋体" w:hAnsi="宋体" w:eastAsia="宋体" w:cs="宋体"/>
          <w:color w:val="333333"/>
          <w:shd w:val="clear" w:color="auto" w:fill="ffffff"/>
        </w:rPr>
        <w:t xml:space="preserve">13815513322</w:t>
      </w:r>
      <w:r/>
    </w:p>
    <w:p>
      <w:pPr>
        <w:pStyle w:val="855"/>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r>
      <w:r/>
    </w:p>
    <w:p>
      <w:pPr>
        <w:pStyle w:val="855"/>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2.采购代理机构信息</w:t>
      </w:r>
      <w:r/>
    </w:p>
    <w:p>
      <w:pPr>
        <w:pStyle w:val="855"/>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名 称：盐城国信招标代理有限公司</w:t>
      </w:r>
      <w:r/>
    </w:p>
    <w:p>
      <w:pPr>
        <w:pStyle w:val="855"/>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地 址：射阳县五洲国际B7号楼502室</w:t>
      </w:r>
      <w:r/>
    </w:p>
    <w:p>
      <w:pPr>
        <w:pStyle w:val="855"/>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联系人：薛女士 </w:t>
      </w:r>
      <w:r/>
    </w:p>
    <w:p>
      <w:pPr>
        <w:pStyle w:val="855"/>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联系方式：</w:t>
      </w:r>
      <w:r>
        <w:rPr>
          <w:rFonts w:ascii="宋体" w:hAnsi="宋体" w:eastAsia="宋体" w:cs="宋体"/>
          <w:color w:val="333333"/>
          <w:shd w:val="clear" w:color="auto" w:fill="ffffff"/>
        </w:rPr>
        <w:t xml:space="preserve">18921860026</w:t>
      </w:r>
      <w:r/>
    </w:p>
    <w:p>
      <w:pPr>
        <w:pStyle w:val="855"/>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r>
      <w:r/>
    </w:p>
    <w:p>
      <w:pPr>
        <w:pStyle w:val="855"/>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bookmarkStart w:id="33" w:name="_Toc28359021"/>
      <w:r>
        <w:rPr>
          <w:rFonts w:hint="eastAsia" w:ascii="宋体" w:hAnsi="宋体" w:eastAsia="宋体" w:cs="宋体"/>
          <w:color w:val="333333"/>
          <w:shd w:val="clear" w:color="auto" w:fill="ffffff"/>
        </w:rPr>
        <w:t xml:space="preserve">3.</w:t>
      </w:r>
      <w:bookmarkEnd w:id="33"/>
      <w:r>
        <w:rPr>
          <w:rFonts w:hint="eastAsia" w:ascii="宋体" w:hAnsi="宋体" w:eastAsia="宋体" w:cs="宋体"/>
          <w:color w:val="333333"/>
          <w:shd w:val="clear" w:color="auto" w:fill="ffffff"/>
        </w:rPr>
        <w:t xml:space="preserve">项目联系方式</w:t>
      </w:r>
      <w:r/>
    </w:p>
    <w:p>
      <w:pPr>
        <w:pStyle w:val="855"/>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项目联系人：薛女士</w:t>
      </w:r>
      <w:r/>
    </w:p>
    <w:p>
      <w:pPr>
        <w:pStyle w:val="855"/>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电　　 话：</w:t>
      </w:r>
      <w:r>
        <w:rPr>
          <w:rFonts w:ascii="宋体" w:hAnsi="宋体" w:eastAsia="宋体" w:cs="宋体"/>
          <w:color w:val="333333"/>
          <w:shd w:val="clear" w:color="auto" w:fill="ffffff"/>
        </w:rPr>
        <w:t xml:space="preserve">18921860026</w:t>
      </w:r>
      <w:r/>
    </w:p>
    <w:p>
      <w:pPr>
        <w:rPr>
          <w:rFonts w:hint="eastAsia" w:ascii="宋体" w:hAnsi="宋体" w:eastAsia="宋体" w:cs="宋体"/>
          <w:sz w:val="24"/>
        </w:rPr>
      </w:pPr>
      <w:r>
        <w:rPr>
          <w:rFonts w:hint="eastAsia" w:ascii="宋体" w:hAnsi="宋体" w:eastAsia="宋体" w:cs="宋体"/>
          <w:sz w:val="24"/>
        </w:rPr>
        <w:t xml:space="preserve"> </w:t>
      </w:r>
      <w:r/>
    </w:p>
    <w:p>
      <w:pPr>
        <w:pStyle w:val="855"/>
        <w:ind w:right="840"/>
        <w:jc w:val="center"/>
        <w:spacing w:beforeAutospacing="0" w:afterAutospacing="0"/>
      </w:pPr>
      <w:r>
        <w:rPr>
          <w:rFonts w:hint="eastAsia" w:ascii="宋体" w:hAnsi="宋体" w:eastAsia="宋体" w:cs="宋体"/>
          <w:color w:val="000000"/>
        </w:rPr>
        <w:br w:type="page" w:clear="all"/>
      </w:r>
      <w:bookmarkStart w:id="34" w:name="_Toc120614211"/>
      <w:r/>
      <w:bookmarkStart w:id="35" w:name="_Toc236900982"/>
      <w:r>
        <w:rPr>
          <w:rFonts w:hint="eastAsia" w:ascii="黑体" w:hAnsi="宋体" w:eastAsia="黑体" w:cs="黑体"/>
          <w:b/>
          <w:color w:val="000000"/>
          <w:sz w:val="44"/>
          <w:szCs w:val="44"/>
        </w:rPr>
        <w:t xml:space="preserve">第二章</w:t>
      </w:r>
      <w:r>
        <w:rPr>
          <w:rFonts w:hint="eastAsia" w:ascii="黑体" w:hAnsi="宋体" w:eastAsia="黑体" w:cs="黑体"/>
          <w:b/>
          <w:color w:val="000000"/>
          <w:sz w:val="44"/>
          <w:szCs w:val="44"/>
        </w:rPr>
        <w:t xml:space="preserve"> </w:t>
      </w:r>
      <w:r>
        <w:rPr>
          <w:rFonts w:hint="eastAsia" w:ascii="黑体" w:hAnsi="宋体" w:eastAsia="黑体" w:cs="黑体"/>
          <w:b/>
          <w:color w:val="000000"/>
          <w:sz w:val="44"/>
          <w:szCs w:val="44"/>
        </w:rPr>
        <w:t xml:space="preserve"> </w:t>
      </w:r>
      <w:bookmarkStart w:id="36" w:name="_Toc20823274"/>
      <w:r/>
      <w:bookmarkStart w:id="37" w:name="_Toc513029202"/>
      <w:r/>
      <w:bookmarkStart w:id="38" w:name="_Toc16938518"/>
      <w:r/>
      <w:bookmarkStart w:id="39" w:name="_Toc120614213"/>
      <w:r/>
      <w:bookmarkEnd w:id="34"/>
      <w:r>
        <w:rPr>
          <w:rFonts w:hint="eastAsia" w:ascii="黑体" w:hAnsi="宋体" w:eastAsia="黑体" w:cs="黑体"/>
          <w:b/>
          <w:color w:val="000000"/>
          <w:sz w:val="44"/>
          <w:szCs w:val="44"/>
        </w:rPr>
        <w:t xml:space="preserve">投标人须知</w:t>
      </w:r>
      <w:bookmarkEnd w:id="35"/>
      <w:r/>
      <w:bookmarkEnd w:id="36"/>
      <w:r/>
      <w:bookmarkEnd w:id="37"/>
      <w:r/>
      <w:bookmarkEnd w:id="38"/>
      <w:r/>
      <w:bookmarkEnd w:id="39"/>
      <w:r/>
      <w:r/>
    </w:p>
    <w:p>
      <w:pPr>
        <w:pStyle w:val="855"/>
        <w:ind w:firstLine="498"/>
        <w:jc w:val="both"/>
        <w:keepLines/>
        <w:keepNext/>
        <w:spacing w:before="145" w:beforeAutospacing="0" w:after="145" w:afterAutospacing="0" w:line="360" w:lineRule="auto"/>
        <w:rPr>
          <w:rFonts w:hint="eastAsia" w:ascii="宋体" w:hAnsi="宋体" w:eastAsia="宋体" w:cs="宋体"/>
        </w:rPr>
      </w:pPr>
      <w:r/>
      <w:bookmarkStart w:id="40" w:name="_Toc16938519"/>
      <w:r/>
      <w:bookmarkStart w:id="41" w:name="_Toc120614214"/>
      <w:r/>
      <w:bookmarkStart w:id="42" w:name="_Toc20823275"/>
      <w:r/>
      <w:bookmarkStart w:id="43" w:name="_Toc513029203"/>
      <w:r>
        <w:rPr>
          <w:rFonts w:hint="eastAsia" w:ascii="宋体" w:hAnsi="宋体" w:eastAsia="宋体" w:cs="宋体"/>
          <w:b/>
          <w:color w:val="000000"/>
        </w:rPr>
        <w:t xml:space="preserve">一、总则</w:t>
      </w:r>
      <w:bookmarkEnd w:id="40"/>
      <w:r/>
      <w:bookmarkEnd w:id="41"/>
      <w:r/>
      <w:bookmarkEnd w:id="42"/>
      <w:r/>
      <w:bookmarkEnd w:id="43"/>
      <w:r/>
      <w:r/>
    </w:p>
    <w:p>
      <w:pPr>
        <w:pStyle w:val="855"/>
        <w:ind w:firstLine="420"/>
        <w:jc w:val="both"/>
        <w:keepLines/>
        <w:keepNext/>
        <w:spacing w:beforeAutospacing="0" w:afterAutospacing="0" w:line="360" w:lineRule="auto"/>
        <w:rPr>
          <w:rFonts w:hint="eastAsia" w:ascii="宋体" w:hAnsi="宋体" w:eastAsia="宋体" w:cs="宋体"/>
        </w:rPr>
      </w:pPr>
      <w:r/>
      <w:bookmarkStart w:id="44" w:name="_Toc16938520"/>
      <w:r/>
      <w:bookmarkStart w:id="45" w:name="_Toc458694821"/>
      <w:r/>
      <w:bookmarkStart w:id="46" w:name="_Toc20823276"/>
      <w:r/>
      <w:bookmarkStart w:id="47" w:name="_Toc513029204"/>
      <w:r/>
      <w:bookmarkStart w:id="48" w:name="_Hlt16619475"/>
      <w:r>
        <w:rPr>
          <w:rFonts w:hint="eastAsia" w:ascii="宋体" w:hAnsi="宋体" w:eastAsia="宋体" w:cs="宋体"/>
          <w:color w:val="000000"/>
        </w:rPr>
        <w:t xml:space="preserve">1</w:t>
      </w:r>
      <w:bookmarkEnd w:id="44"/>
      <w:r>
        <w:rPr>
          <w:rFonts w:hint="eastAsia" w:ascii="宋体" w:hAnsi="宋体" w:eastAsia="宋体" w:cs="宋体"/>
          <w:color w:val="000000"/>
        </w:rPr>
        <w:t xml:space="preserve">、招标方式</w:t>
      </w:r>
      <w:bookmarkEnd w:id="45"/>
      <w:r/>
      <w:bookmarkEnd w:id="46"/>
      <w:r/>
      <w:bookmarkEnd w:id="47"/>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1.1本次招标采取公开招标方式，本招标文件仅适用于招标公告中所述项目。</w:t>
      </w:r>
      <w:r/>
    </w:p>
    <w:p>
      <w:pPr>
        <w:pStyle w:val="855"/>
        <w:ind w:firstLine="420"/>
        <w:jc w:val="both"/>
        <w:keepLines/>
        <w:keepNext/>
        <w:spacing w:beforeAutospacing="0" w:afterAutospacing="0" w:line="360" w:lineRule="auto"/>
        <w:rPr>
          <w:rFonts w:hint="eastAsia" w:ascii="宋体" w:hAnsi="宋体" w:eastAsia="宋体" w:cs="宋体"/>
        </w:rPr>
      </w:pPr>
      <w:r/>
      <w:bookmarkStart w:id="49" w:name="_Toc16938521"/>
      <w:r/>
      <w:bookmarkStart w:id="50" w:name="_Toc20823277"/>
      <w:r/>
      <w:bookmarkStart w:id="51" w:name="_Toc513029205"/>
      <w:r>
        <w:rPr>
          <w:rFonts w:hint="eastAsia" w:ascii="宋体" w:hAnsi="宋体" w:eastAsia="宋体" w:cs="宋体"/>
          <w:color w:val="000000"/>
        </w:rPr>
        <w:t xml:space="preserve">2、合格的投标人</w:t>
      </w:r>
      <w:bookmarkEnd w:id="49"/>
      <w:r/>
      <w:bookmarkEnd w:id="50"/>
      <w:r/>
      <w:bookmarkEnd w:id="51"/>
      <w:r/>
      <w:r/>
    </w:p>
    <w:p>
      <w:pPr>
        <w:pStyle w:val="855"/>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2.1</w:t>
      </w:r>
      <w:r>
        <w:rPr>
          <w:rFonts w:hint="eastAsia" w:ascii="宋体" w:hAnsi="宋体" w:eastAsia="宋体" w:cs="宋体"/>
          <w:color w:val="000000"/>
        </w:rPr>
        <w:t xml:space="preserve">若获得总公司授权的分公司参加投标，分公司持有合法有效的《食品经营许可证》，其总公司的资质、业绩等证明材料均可作分公司的证明材料使用。</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w:t>
      </w:r>
      <w:r>
        <w:rPr>
          <w:rFonts w:hint="eastAsia" w:ascii="宋体" w:hAnsi="宋体" w:eastAsia="宋体" w:cs="宋体"/>
          <w:color w:val="000000"/>
        </w:rPr>
        <w:t xml:space="preserve">2</w:t>
      </w:r>
      <w:r>
        <w:rPr>
          <w:rFonts w:hint="eastAsia" w:ascii="宋体" w:hAnsi="宋体" w:eastAsia="宋体" w:cs="宋体"/>
          <w:color w:val="000000"/>
        </w:rPr>
        <w:t xml:space="preserve">满足招标公告中供应商的资格要求的规定。</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w:t>
      </w:r>
      <w:r>
        <w:rPr>
          <w:rFonts w:hint="eastAsia" w:ascii="宋体" w:hAnsi="宋体" w:eastAsia="宋体" w:cs="宋体"/>
          <w:color w:val="000000"/>
        </w:rPr>
        <w:t xml:space="preserve">3</w:t>
      </w:r>
      <w:r>
        <w:rPr>
          <w:rFonts w:hint="eastAsia" w:ascii="宋体" w:hAnsi="宋体" w:eastAsia="宋体" w:cs="宋体"/>
          <w:color w:val="000000"/>
        </w:rPr>
        <w:t xml:space="preserve">满足本文件实质性要求和条件的规定。</w:t>
      </w:r>
      <w:r/>
    </w:p>
    <w:p>
      <w:pPr>
        <w:ind w:firstLine="420"/>
        <w:spacing w:line="360" w:lineRule="auto"/>
        <w:rPr>
          <w:rFonts w:ascii="方正魏碑_GBK" w:hAnsi="方正魏碑_GBK" w:eastAsia="方正魏碑_GBK" w:cs="方正魏碑_GBK"/>
          <w:sz w:val="24"/>
          <w:szCs w:val="21"/>
        </w:rPr>
      </w:pPr>
      <w:r/>
      <w:bookmarkStart w:id="52" w:name="_Toc20823278"/>
      <w:r/>
      <w:bookmarkStart w:id="53" w:name="_Toc16938522"/>
      <w:r/>
      <w:bookmarkStart w:id="54" w:name="_Toc513029206"/>
      <w:r/>
      <w:bookmarkStart w:id="55" w:name="_Toc16938523"/>
      <w:r/>
      <w:bookmarkStart w:id="56" w:name="_Toc513029207"/>
      <w:r/>
      <w:bookmarkStart w:id="57" w:name="_Toc20823279"/>
      <w:r/>
      <w:bookmarkStart w:id="58" w:name="_Toc462564067"/>
      <w:r>
        <w:rPr>
          <w:rFonts w:hint="eastAsia" w:ascii="方正魏碑_GBK" w:hAnsi="方正魏碑_GBK" w:eastAsia="方正魏碑_GBK" w:cs="方正魏碑_GBK"/>
          <w:sz w:val="24"/>
          <w:szCs w:val="21"/>
        </w:rPr>
        <w:t xml:space="preserve">3、适用法律</w:t>
      </w:r>
      <w:bookmarkEnd w:id="52"/>
      <w:r/>
      <w:bookmarkEnd w:id="53"/>
      <w:r/>
      <w:bookmarkEnd w:id="54"/>
      <w:r>
        <w:rPr>
          <w:rFonts w:hint="eastAsia" w:ascii="方正魏碑_GBK" w:hAnsi="方正魏碑_GBK" w:eastAsia="方正魏碑_GBK" w:cs="方正魏碑_GBK"/>
          <w:sz w:val="24"/>
          <w:szCs w:val="21"/>
        </w:rPr>
        <w:t xml:space="preserve">和标准</w:t>
      </w:r>
      <w:r/>
    </w:p>
    <w:p>
      <w:pPr>
        <w:pStyle w:val="855"/>
        <w:ind w:firstLine="42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3.1 本次招标及由此产生的合同受中华人民共和国有关的法律法规制约和保护。</w:t>
      </w:r>
      <w:r/>
    </w:p>
    <w:p>
      <w:pPr>
        <w:ind w:firstLine="420"/>
        <w:spacing w:line="360" w:lineRule="auto"/>
        <w:rPr>
          <w:rFonts w:hint="eastAsia" w:ascii="宋体" w:hAnsi="宋体" w:eastAsia="宋体" w:cs="宋体"/>
          <w:sz w:val="24"/>
        </w:rPr>
      </w:pPr>
      <w:r>
        <w:rPr>
          <w:rFonts w:hint="eastAsia" w:ascii="方正魏碑_GBK" w:hAnsi="方正魏碑_GBK" w:eastAsia="方正魏碑_GBK" w:cs="方正魏碑_GBK"/>
          <w:sz w:val="24"/>
          <w:szCs w:val="21"/>
        </w:rPr>
        <w:t xml:space="preserve">3.2 在本项目政府采购活动过程中，如果所执行的标准有更新的，按照最新标准执行。</w:t>
      </w:r>
      <w:r/>
    </w:p>
    <w:p>
      <w:pPr>
        <w:pStyle w:val="855"/>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4、投标费用</w:t>
      </w:r>
      <w:bookmarkEnd w:id="55"/>
      <w:r/>
      <w:bookmarkEnd w:id="56"/>
      <w:r/>
      <w:bookmarkEnd w:id="57"/>
      <w:r/>
      <w:bookmarkEnd w:id="58"/>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4.1投标人应自行承担所有与参加投标有关的费用，无论投标过程中的做法和结果如何，盐城国信招标代理有限公司（以下简称代理机构）在任何情况下均无义务和责任承担这些费用。</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4.2本次招标代理机构和采购人不收取标书工本费与中标服务费。</w:t>
      </w:r>
      <w:r/>
    </w:p>
    <w:p>
      <w:pPr>
        <w:pStyle w:val="855"/>
        <w:ind w:firstLine="482"/>
        <w:jc w:val="both"/>
        <w:keepLines/>
        <w:keepNext/>
        <w:spacing w:beforeAutospacing="0" w:afterAutospacing="0" w:line="360" w:lineRule="auto"/>
        <w:rPr>
          <w:rFonts w:hint="eastAsia" w:ascii="宋体" w:hAnsi="宋体" w:eastAsia="宋体" w:cs="宋体"/>
        </w:rPr>
      </w:pPr>
      <w:r>
        <w:rPr>
          <w:rFonts w:hint="eastAsia" w:ascii="宋体" w:hAnsi="宋体" w:eastAsia="宋体" w:cs="宋体"/>
          <w:b/>
          <w:color w:val="000000"/>
        </w:rPr>
        <w:t xml:space="preserve">5、</w:t>
      </w:r>
      <w:r>
        <w:rPr>
          <w:rFonts w:hint="eastAsia" w:ascii="宋体" w:hAnsi="宋体" w:eastAsia="宋体" w:cs="宋体"/>
          <w:color w:val="000000"/>
        </w:rPr>
        <w:t xml:space="preserve">招标文件的约束力</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5.1投标人一旦参加本项目采购活动，即被认为接受了本招标文件的规定和约束。</w:t>
      </w:r>
      <w:r/>
    </w:p>
    <w:p>
      <w:pPr>
        <w:pStyle w:val="855"/>
        <w:ind w:firstLine="321"/>
        <w:jc w:val="both"/>
        <w:keepLines/>
        <w:keepNext/>
        <w:spacing w:before="145" w:beforeAutospacing="0" w:after="145" w:afterAutospacing="0" w:line="360" w:lineRule="auto"/>
        <w:rPr>
          <w:rFonts w:hint="eastAsia" w:ascii="宋体" w:hAnsi="宋体" w:eastAsia="宋体" w:cs="宋体"/>
        </w:rPr>
      </w:pPr>
      <w:r/>
      <w:bookmarkStart w:id="59" w:name="_Toc16938525"/>
      <w:r/>
      <w:bookmarkStart w:id="60" w:name="_Toc120614215"/>
      <w:r/>
      <w:bookmarkStart w:id="61" w:name="_Toc20823281"/>
      <w:r/>
      <w:bookmarkStart w:id="62" w:name="_Toc513029209"/>
      <w:r>
        <w:rPr>
          <w:rFonts w:hint="eastAsia" w:ascii="宋体" w:hAnsi="宋体" w:eastAsia="宋体" w:cs="宋体"/>
          <w:b/>
          <w:color w:val="000000"/>
        </w:rPr>
        <w:t xml:space="preserve">二、招标文件</w:t>
      </w:r>
      <w:bookmarkEnd w:id="59"/>
      <w:r/>
      <w:bookmarkEnd w:id="60"/>
      <w:r/>
      <w:bookmarkEnd w:id="61"/>
      <w:r/>
      <w:bookmarkEnd w:id="62"/>
      <w:r/>
      <w:r/>
    </w:p>
    <w:p>
      <w:pPr>
        <w:pStyle w:val="855"/>
        <w:ind w:firstLine="420"/>
        <w:jc w:val="both"/>
        <w:keepLines/>
        <w:keepNext/>
        <w:spacing w:beforeAutospacing="0" w:afterAutospacing="0" w:line="360" w:lineRule="auto"/>
        <w:rPr>
          <w:rFonts w:hint="eastAsia" w:ascii="宋体" w:hAnsi="宋体" w:eastAsia="宋体" w:cs="宋体"/>
        </w:rPr>
      </w:pPr>
      <w:r/>
      <w:bookmarkStart w:id="63" w:name="_Toc16938526"/>
      <w:r/>
      <w:bookmarkStart w:id="64" w:name="_Toc513029210"/>
      <w:r/>
      <w:bookmarkStart w:id="65" w:name="_Toc20823282"/>
      <w:r>
        <w:rPr>
          <w:rFonts w:hint="eastAsia" w:ascii="宋体" w:hAnsi="宋体" w:eastAsia="宋体" w:cs="宋体"/>
          <w:color w:val="000000"/>
        </w:rPr>
        <w:t xml:space="preserve">6、招标文件构成</w:t>
      </w:r>
      <w:bookmarkEnd w:id="63"/>
      <w:r/>
      <w:bookmarkEnd w:id="64"/>
      <w:r/>
      <w:bookmarkEnd w:id="65"/>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6.1 招标文件由以下部分组成：</w:t>
      </w:r>
      <w:r/>
    </w:p>
    <w:p>
      <w:pPr>
        <w:pStyle w:val="855"/>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（1）招标公告</w:t>
      </w:r>
      <w:r/>
    </w:p>
    <w:p>
      <w:pPr>
        <w:pStyle w:val="855"/>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（2）投标人须知</w:t>
      </w:r>
      <w:r/>
    </w:p>
    <w:p>
      <w:pPr>
        <w:pStyle w:val="855"/>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（3）合同文本</w:t>
      </w:r>
      <w:r/>
    </w:p>
    <w:p>
      <w:pPr>
        <w:pStyle w:val="855"/>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（4）采购需求</w:t>
      </w:r>
      <w:r/>
    </w:p>
    <w:p>
      <w:pPr>
        <w:pStyle w:val="855"/>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（5）评标方法与评标标准</w:t>
      </w:r>
      <w:r/>
    </w:p>
    <w:p>
      <w:pPr>
        <w:pStyle w:val="855"/>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（6）投标文件格式</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请仔细检查招标文件是否齐全，如有缺漏请立即与代理机构联系解决。</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5"/>
        <w:ind w:firstLine="560"/>
        <w:jc w:val="both"/>
        <w:keepLines/>
        <w:keepNext/>
        <w:spacing w:beforeAutospacing="0" w:afterAutospacing="0" w:line="360" w:lineRule="auto"/>
        <w:rPr>
          <w:rFonts w:hint="eastAsia" w:ascii="宋体" w:hAnsi="宋体" w:eastAsia="宋体" w:cs="宋体"/>
        </w:rPr>
      </w:pPr>
      <w:r/>
      <w:bookmarkStart w:id="66" w:name="_Toc462564070"/>
      <w:r/>
      <w:bookmarkStart w:id="67" w:name="_Toc16938527"/>
      <w:r/>
      <w:bookmarkStart w:id="68" w:name="_Toc513029211"/>
      <w:r/>
      <w:bookmarkStart w:id="69" w:name="_Toc20823283"/>
      <w:r>
        <w:rPr>
          <w:rFonts w:hint="eastAsia" w:ascii="宋体" w:hAnsi="宋体" w:eastAsia="宋体" w:cs="宋体"/>
          <w:color w:val="000000"/>
        </w:rPr>
        <w:t xml:space="preserve">7、招标文件的澄清</w:t>
      </w:r>
      <w:bookmarkEnd w:id="66"/>
      <w:r/>
      <w:bookmarkEnd w:id="67"/>
      <w:r/>
      <w:bookmarkEnd w:id="68"/>
      <w:r/>
      <w:bookmarkEnd w:id="69"/>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7.1任何要求对招标文件进行澄清的投标人，应在投标截止期</w:t>
      </w:r>
      <w:r>
        <w:rPr>
          <w:rFonts w:hint="eastAsia" w:ascii="宋体" w:hAnsi="宋体" w:eastAsia="宋体" w:cs="宋体"/>
          <w:b/>
          <w:color w:val="000000"/>
        </w:rPr>
        <w:t xml:space="preserve">十日</w:t>
      </w:r>
      <w:r>
        <w:rPr>
          <w:rFonts w:hint="eastAsia" w:ascii="宋体" w:hAnsi="宋体" w:eastAsia="宋体" w:cs="宋体"/>
          <w:color w:val="000000"/>
        </w:rPr>
        <w:t xml:space="preserve">前按招标公告中的通讯地址，以书面形式通知代理机构。</w:t>
      </w:r>
      <w:r/>
    </w:p>
    <w:p>
      <w:pPr>
        <w:pStyle w:val="855"/>
        <w:ind w:firstLine="560"/>
        <w:jc w:val="both"/>
        <w:keepLines/>
        <w:keepNext/>
        <w:spacing w:beforeAutospacing="0" w:afterAutospacing="0" w:line="360" w:lineRule="auto"/>
        <w:rPr>
          <w:rFonts w:hint="eastAsia" w:ascii="宋体" w:hAnsi="宋体" w:eastAsia="宋体" w:cs="宋体"/>
        </w:rPr>
      </w:pPr>
      <w:r/>
      <w:bookmarkStart w:id="70" w:name="_Toc20823284"/>
      <w:r/>
      <w:bookmarkStart w:id="71" w:name="_Toc462564071"/>
      <w:r/>
      <w:bookmarkStart w:id="72" w:name="_Toc513029212"/>
      <w:r/>
      <w:bookmarkStart w:id="73" w:name="_Toc16938528"/>
      <w:r>
        <w:rPr>
          <w:rFonts w:hint="eastAsia" w:ascii="宋体" w:hAnsi="宋体" w:eastAsia="宋体" w:cs="宋体"/>
          <w:color w:val="000000"/>
        </w:rPr>
        <w:t xml:space="preserve">8、招标文件的修改</w:t>
      </w:r>
      <w:bookmarkEnd w:id="70"/>
      <w:r/>
      <w:bookmarkEnd w:id="71"/>
      <w:r/>
      <w:bookmarkEnd w:id="72"/>
      <w:r/>
      <w:bookmarkEnd w:id="73"/>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8.1在投标截止时间前，代理机构可以对招标文件进行修改。</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8.2代理机构有权按照法定的要求推迟投标截止日期和开标日期。</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8.3招标文件的修改将在中国政府采购网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江苏政府采购网、盐城市政府采购网公布，补充文件将作为招标文件的组成部分，并对投标人具有约束力。</w:t>
      </w:r>
      <w:r/>
    </w:p>
    <w:p>
      <w:pPr>
        <w:pStyle w:val="855"/>
        <w:ind w:firstLine="482"/>
        <w:jc w:val="both"/>
        <w:keepLines/>
        <w:keepNext/>
        <w:spacing w:before="145" w:beforeAutospacing="0" w:after="145" w:afterAutospacing="0" w:line="360" w:lineRule="auto"/>
        <w:rPr>
          <w:rFonts w:hint="eastAsia" w:ascii="宋体" w:hAnsi="宋体" w:eastAsia="宋体" w:cs="宋体"/>
        </w:rPr>
      </w:pPr>
      <w:r/>
      <w:bookmarkStart w:id="74" w:name="_Toc16938529"/>
      <w:r/>
      <w:bookmarkStart w:id="75" w:name="_Toc20823285"/>
      <w:r/>
      <w:bookmarkStart w:id="76" w:name="_Toc462564072"/>
      <w:r/>
      <w:bookmarkStart w:id="77" w:name="_Toc120614216"/>
      <w:r/>
      <w:bookmarkStart w:id="78" w:name="_Toc513029213"/>
      <w:r>
        <w:rPr>
          <w:rFonts w:hint="eastAsia" w:ascii="宋体" w:hAnsi="宋体" w:eastAsia="宋体" w:cs="宋体"/>
          <w:b/>
          <w:color w:val="000000"/>
        </w:rPr>
        <w:t xml:space="preserve">三、投标文件的编制</w:t>
      </w:r>
      <w:bookmarkEnd w:id="74"/>
      <w:r/>
      <w:bookmarkEnd w:id="75"/>
      <w:r/>
      <w:bookmarkEnd w:id="76"/>
      <w:r/>
      <w:bookmarkEnd w:id="77"/>
      <w:r/>
      <w:bookmarkEnd w:id="78"/>
      <w:r/>
      <w:r/>
    </w:p>
    <w:p>
      <w:pPr>
        <w:pStyle w:val="855"/>
        <w:ind w:firstLine="560"/>
        <w:jc w:val="both"/>
        <w:keepLines/>
        <w:keepNext/>
        <w:spacing w:beforeAutospacing="0" w:afterAutospacing="0" w:line="360" w:lineRule="auto"/>
        <w:rPr>
          <w:rFonts w:hint="eastAsia" w:ascii="宋体" w:hAnsi="宋体" w:eastAsia="宋体" w:cs="宋体"/>
        </w:rPr>
      </w:pPr>
      <w:r/>
      <w:bookmarkStart w:id="79" w:name="_Toc16938530"/>
      <w:r/>
      <w:bookmarkStart w:id="80" w:name="_Toc462564073"/>
      <w:r/>
      <w:bookmarkStart w:id="81" w:name="_Toc20823286"/>
      <w:r/>
      <w:bookmarkStart w:id="82" w:name="_Toc513029214"/>
      <w:r>
        <w:rPr>
          <w:rFonts w:hint="eastAsia" w:ascii="宋体" w:hAnsi="宋体" w:eastAsia="宋体" w:cs="宋体"/>
          <w:color w:val="000000"/>
        </w:rPr>
        <w:t xml:space="preserve">9、投标文件的语言及度量衡单位</w:t>
      </w:r>
      <w:bookmarkEnd w:id="79"/>
      <w:r/>
      <w:bookmarkEnd w:id="80"/>
      <w:r/>
      <w:bookmarkEnd w:id="81"/>
      <w:r/>
      <w:bookmarkEnd w:id="82"/>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9.1投标人提交的投标文件以及投标人与代理机构就有关投标的所有来往通知、函件和文件均应使用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9.2除技术性能另有规定外，投标文件所使用的度量衡单位，均须采用国家法定计量单位。</w:t>
      </w:r>
      <w:r/>
    </w:p>
    <w:p>
      <w:pPr>
        <w:pStyle w:val="855"/>
        <w:ind w:firstLine="420"/>
        <w:jc w:val="both"/>
        <w:keepLines/>
        <w:keepNext/>
        <w:spacing w:beforeAutospacing="0" w:afterAutospacing="0" w:line="360" w:lineRule="auto"/>
        <w:rPr>
          <w:rFonts w:hint="eastAsia" w:ascii="宋体" w:hAnsi="宋体" w:eastAsia="宋体" w:cs="宋体"/>
        </w:rPr>
      </w:pPr>
      <w:r/>
      <w:bookmarkStart w:id="83" w:name="_Toc462564074"/>
      <w:r/>
      <w:bookmarkStart w:id="84" w:name="_Toc513029215"/>
      <w:r/>
      <w:bookmarkStart w:id="85" w:name="_Toc20823287"/>
      <w:r/>
      <w:bookmarkStart w:id="86" w:name="_Toc16938531"/>
      <w:r>
        <w:rPr>
          <w:rFonts w:hint="eastAsia" w:ascii="宋体" w:hAnsi="宋体" w:eastAsia="宋体" w:cs="宋体"/>
          <w:color w:val="000000"/>
        </w:rPr>
        <w:t xml:space="preserve">10、投标文件构成</w:t>
      </w:r>
      <w:bookmarkEnd w:id="83"/>
      <w:r/>
      <w:bookmarkEnd w:id="84"/>
      <w:r/>
      <w:bookmarkEnd w:id="85"/>
      <w:r/>
      <w:bookmarkEnd w:id="86"/>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10.1投标人编写的投标文件应包括资格证明文件、符合性证明文件、投标分项报价表、技术要求响应及偏离表、商务要求响应及偏离表、其他证明文件、投标函、开标一览表等部分。</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10.2如标书制作工具中格式和内容与</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中国政府采购网”“江苏政府采购网”“盐城市政府采购网”发布的招标文件不一致，请以</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w:t>
      </w:r>
      <w:r>
        <w:rPr>
          <w:rFonts w:hint="eastAsia" w:ascii="宋体" w:hAnsi="宋体" w:eastAsia="宋体" w:cs="宋体"/>
          <w:color w:val="000000"/>
        </w:rPr>
        <w:t xml:space="preserve">“江苏政府采购网”“盐城市政府采购网”发布的招标文件为准。</w:t>
      </w:r>
      <w:r/>
    </w:p>
    <w:p>
      <w:pPr>
        <w:pStyle w:val="855"/>
        <w:ind w:firstLine="420"/>
        <w:jc w:val="both"/>
        <w:keepLines/>
        <w:keepNext/>
        <w:spacing w:beforeAutospacing="0" w:afterAutospacing="0" w:line="360" w:lineRule="auto"/>
        <w:rPr>
          <w:rFonts w:hint="eastAsia" w:ascii="宋体" w:hAnsi="宋体" w:eastAsia="宋体" w:cs="宋体"/>
        </w:rPr>
      </w:pPr>
      <w:r/>
      <w:bookmarkStart w:id="87" w:name="_Toc513029216"/>
      <w:r/>
      <w:bookmarkStart w:id="88" w:name="_Toc14577354"/>
      <w:r/>
      <w:bookmarkStart w:id="89" w:name="_Toc49090507"/>
      <w:r/>
      <w:bookmarkStart w:id="90" w:name="_Toc14577357"/>
      <w:r/>
      <w:bookmarkStart w:id="91" w:name="_Toc513029219"/>
      <w:r/>
      <w:bookmarkStart w:id="92" w:name="_Toc49090509"/>
      <w:r/>
      <w:bookmarkStart w:id="93" w:name="_Hlt26670360"/>
      <w:r/>
      <w:bookmarkStart w:id="94" w:name="_Hlt26954838"/>
      <w:r/>
      <w:bookmarkStart w:id="95" w:name="_Hlt26668975"/>
      <w:r>
        <w:rPr>
          <w:rFonts w:hint="eastAsia" w:ascii="宋体" w:hAnsi="宋体" w:eastAsia="宋体" w:cs="宋体"/>
          <w:color w:val="000000"/>
        </w:rPr>
        <w:t xml:space="preserve">11、证明投标人及投标标的符合招标文件规定的文件</w:t>
      </w:r>
      <w:bookmarkEnd w:id="87"/>
      <w:r/>
      <w:bookmarkEnd w:id="88"/>
      <w:r/>
      <w:bookmarkEnd w:id="89"/>
      <w:r/>
      <w:bookmarkEnd w:id="90"/>
      <w:r/>
      <w:bookmarkEnd w:id="91"/>
      <w:r/>
      <w:bookmarkEnd w:id="92"/>
      <w:r/>
      <w:r/>
    </w:p>
    <w:p>
      <w:pPr>
        <w:pStyle w:val="855"/>
        <w:jc w:val="both"/>
        <w:spacing w:beforeAutospacing="0" w:afterAutospacing="0" w:line="360" w:lineRule="auto"/>
        <w:rPr>
          <w:rFonts w:hint="eastAsia" w:ascii="宋体" w:hAnsi="宋体" w:eastAsia="宋体" w:cs="宋体"/>
        </w:rPr>
      </w:pPr>
      <w:r/>
      <w:bookmarkStart w:id="96" w:name="_Toc14577355"/>
      <w:r/>
      <w:bookmarkStart w:id="97" w:name="_Toc49090508"/>
      <w:r>
        <w:rPr>
          <w:rFonts w:hint="eastAsia" w:ascii="宋体" w:hAnsi="宋体" w:eastAsia="宋体" w:cs="宋体"/>
          <w:color w:val="000000"/>
        </w:rPr>
        <w:t xml:space="preserve">  11.1投标人应按照法律、法规、规章和规范性文件以及招标文件要求提交证明文件，证明其及投标标的符合招标文件规定。</w:t>
      </w:r>
      <w:bookmarkEnd w:id="96"/>
      <w:r/>
      <w:bookmarkEnd w:id="97"/>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11.2招标文件对证明文件无明确形式要求的，证明文件可以以文字资料、图纸和数据等形式提交。</w:t>
      </w:r>
      <w:r/>
    </w:p>
    <w:p>
      <w:pPr>
        <w:pStyle w:val="855"/>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12、投标分项报价</w:t>
      </w:r>
      <w:bookmarkStart w:id="98" w:name="_Hlt26670373"/>
      <w:r>
        <w:rPr>
          <w:rFonts w:hint="eastAsia" w:ascii="宋体" w:hAnsi="宋体" w:eastAsia="宋体" w:cs="宋体"/>
          <w:color w:val="000000"/>
        </w:rPr>
        <w:t xml:space="preserve">表</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12.1投</w:t>
      </w:r>
      <w:bookmarkStart w:id="99" w:name="_Hlt26954840"/>
      <w:r>
        <w:rPr>
          <w:rFonts w:hint="eastAsia" w:ascii="宋体" w:hAnsi="宋体" w:eastAsia="宋体" w:cs="宋体"/>
          <w:color w:val="000000"/>
        </w:rPr>
        <w:t xml:space="preserve">标人应按照招标文件规定格式填报投标分项报价表</w:t>
      </w:r>
      <w:bookmarkStart w:id="100" w:name="_Hlt26670399"/>
      <w:r>
        <w:rPr>
          <w:rFonts w:hint="eastAsia" w:ascii="宋体" w:hAnsi="宋体" w:eastAsia="宋体" w:cs="宋体"/>
          <w:color w:val="000000"/>
        </w:rPr>
        <w:t xml:space="preserve">。</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12.2投标货币。投标文件中的单价和总价无特殊规定的采用人民币报价，以元为单位标注。招标文件中另有规定的按规定执行。</w:t>
      </w:r>
      <w:r/>
    </w:p>
    <w:p>
      <w:pPr>
        <w:pStyle w:val="855"/>
        <w:ind w:firstLine="420"/>
        <w:jc w:val="both"/>
        <w:keepLines/>
        <w:keepNext/>
        <w:spacing w:beforeAutospacing="0" w:afterAutospacing="0" w:line="360" w:lineRule="auto"/>
        <w:rPr>
          <w:rFonts w:hint="eastAsia" w:ascii="宋体" w:hAnsi="宋体" w:eastAsia="宋体" w:cs="宋体"/>
        </w:rPr>
      </w:pPr>
      <w:r/>
      <w:bookmarkStart w:id="101" w:name="_Hlt26670486"/>
      <w:r/>
      <w:bookmarkStart w:id="102" w:name="_Hlt26954842"/>
      <w:r/>
      <w:bookmarkStart w:id="103" w:name="_Hlt26954731"/>
      <w:r/>
      <w:bookmarkStart w:id="104" w:name="_Hlt26954846"/>
      <w:r/>
      <w:bookmarkStart w:id="105" w:name="_Hlt26670403"/>
      <w:r/>
      <w:bookmarkStart w:id="106" w:name="_Hlt26670425"/>
      <w:r/>
      <w:bookmarkStart w:id="107" w:name="_Hlt26670482"/>
      <w:r/>
      <w:bookmarkStart w:id="108" w:name="_Hlt26954848"/>
      <w:r/>
      <w:bookmarkStart w:id="109" w:name="_Hlt26954844"/>
      <w:r/>
      <w:bookmarkStart w:id="110" w:name="_Hlt26668983"/>
      <w:r>
        <w:rPr>
          <w:rFonts w:hint="eastAsia" w:ascii="宋体" w:hAnsi="宋体" w:eastAsia="宋体" w:cs="宋体"/>
          <w:color w:val="000000"/>
        </w:rPr>
        <w:t xml:space="preserve">13、技术要求响应及偏离表、商务要求响应及偏离表</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13.1投标人需对招标文件中的技术要求与商务要求逐项作出响应或偏离，并说明原因。</w:t>
      </w:r>
      <w:r/>
    </w:p>
    <w:p>
      <w:pPr>
        <w:pStyle w:val="855"/>
        <w:ind w:firstLine="480"/>
        <w:jc w:val="both"/>
        <w:spacing w:beforeAutospacing="0" w:afterAutospacing="0" w:line="360" w:lineRule="auto"/>
        <w:tabs>
          <w:tab w:val="left" w:pos="1036" w:leader="none"/>
        </w:tabs>
        <w:rPr>
          <w:rFonts w:hint="eastAsia" w:ascii="宋体" w:hAnsi="宋体" w:eastAsia="宋体" w:cs="宋体"/>
        </w:rPr>
      </w:pPr>
      <w:r>
        <w:rPr>
          <w:rFonts w:hint="eastAsia" w:ascii="宋体" w:hAnsi="宋体" w:eastAsia="宋体" w:cs="宋体"/>
          <w:color w:val="000000"/>
        </w:rPr>
        <w:t xml:space="preserve">13.2投标人可在投标文件中提供认为需要的其他技术文件或说明。</w:t>
      </w:r>
      <w:r/>
    </w:p>
    <w:p>
      <w:pPr>
        <w:pStyle w:val="855"/>
        <w:ind w:firstLine="420"/>
        <w:jc w:val="both"/>
        <w:keepLines/>
        <w:keepNext/>
        <w:spacing w:beforeAutospacing="0" w:afterAutospacing="0" w:line="360" w:lineRule="auto"/>
        <w:rPr>
          <w:rFonts w:hint="eastAsia" w:ascii="宋体" w:hAnsi="宋体" w:eastAsia="宋体" w:cs="宋体"/>
        </w:rPr>
      </w:pPr>
      <w:r/>
      <w:bookmarkStart w:id="111" w:name="_Toc49090510"/>
      <w:r/>
      <w:bookmarkStart w:id="112" w:name="_Toc14577359"/>
      <w:r>
        <w:rPr>
          <w:rFonts w:hint="eastAsia" w:ascii="宋体" w:hAnsi="宋体" w:eastAsia="宋体" w:cs="宋体"/>
          <w:color w:val="000000"/>
        </w:rPr>
        <w:t xml:space="preserve">14、投标函和开标一览表</w:t>
      </w:r>
      <w:bookmarkEnd w:id="111"/>
      <w:r/>
      <w:bookmarkEnd w:id="112"/>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14.1投标人应按照招标文件中提供的格式完整、正确填写投标函、开标一览表。</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rPr>
        <w:t xml:space="preserve">。</w:t>
      </w:r>
      <w:r/>
    </w:p>
    <w:p>
      <w:pPr>
        <w:pStyle w:val="855"/>
        <w:ind w:firstLine="420"/>
        <w:jc w:val="both"/>
        <w:keepLines/>
        <w:keepNext/>
        <w:spacing w:beforeAutospacing="0" w:afterAutospacing="0" w:line="360" w:lineRule="auto"/>
        <w:rPr>
          <w:rFonts w:hint="eastAsia" w:ascii="宋体" w:hAnsi="宋体" w:eastAsia="宋体" w:cs="宋体"/>
        </w:rPr>
      </w:pPr>
      <w:r/>
      <w:bookmarkStart w:id="113" w:name="_Toc49090511"/>
      <w:r/>
      <w:bookmarkStart w:id="114" w:name="_Toc14577360"/>
      <w:r/>
      <w:bookmarkStart w:id="115" w:name="_Hlt26954850"/>
      <w:r/>
      <w:bookmarkStart w:id="116" w:name="_Hlt26670489"/>
      <w:r/>
      <w:bookmarkStart w:id="117" w:name="_Hlt26954734"/>
      <w:r>
        <w:rPr>
          <w:rFonts w:hint="eastAsia" w:ascii="宋体" w:hAnsi="宋体" w:eastAsia="宋体" w:cs="宋体"/>
          <w:color w:val="000000"/>
        </w:rPr>
        <w:t xml:space="preserve">15、投标有效期</w:t>
      </w:r>
      <w:bookmarkEnd w:id="113"/>
      <w:r/>
      <w:bookmarkEnd w:id="114"/>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15.1投标有效期为代理机构规定的开标之日后</w:t>
      </w:r>
      <w:r>
        <w:rPr>
          <w:rFonts w:hint="eastAsia" w:ascii="宋体" w:hAnsi="宋体" w:eastAsia="宋体" w:cs="宋体"/>
          <w:b/>
          <w:u w:val="single"/>
        </w:rPr>
        <w:t xml:space="preserve">九十（90）天</w:t>
      </w:r>
      <w:r>
        <w:rPr>
          <w:rFonts w:hint="eastAsia" w:ascii="宋体" w:hAnsi="宋体" w:eastAsia="宋体" w:cs="宋体"/>
          <w:color w:val="000000"/>
        </w:rPr>
        <w:t xml:space="preserve">。投标有效期比规定短的将被视为未实质性响应招标文件而予以拒绝。</w:t>
      </w:r>
      <w:r/>
    </w:p>
    <w:p>
      <w:pPr>
        <w:pStyle w:val="855"/>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16、投标有效期的延长</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16.1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w:t>
      </w:r>
      <w:r/>
    </w:p>
    <w:p>
      <w:pPr>
        <w:pStyle w:val="855"/>
        <w:ind w:firstLine="482"/>
        <w:jc w:val="both"/>
        <w:keepLines/>
        <w:keepNext/>
        <w:spacing w:before="145" w:beforeAutospacing="0" w:after="145" w:afterAutospacing="0" w:line="360" w:lineRule="auto"/>
        <w:rPr>
          <w:rFonts w:hint="eastAsia" w:ascii="宋体" w:hAnsi="宋体" w:eastAsia="宋体" w:cs="宋体"/>
        </w:rPr>
      </w:pPr>
      <w:r/>
      <w:bookmarkStart w:id="118" w:name="_Toc120614217"/>
      <w:r/>
      <w:bookmarkStart w:id="119" w:name="_Toc513029224"/>
      <w:r/>
      <w:bookmarkStart w:id="120" w:name="_Toc16938540"/>
      <w:r/>
      <w:bookmarkStart w:id="121" w:name="_Toc20823296"/>
      <w:r/>
      <w:bookmarkStart w:id="122" w:name="_Hlt26954739"/>
      <w:r/>
      <w:bookmarkStart w:id="123" w:name="_Hlt26954852"/>
      <w:r>
        <w:rPr>
          <w:rFonts w:hint="eastAsia" w:ascii="宋体" w:hAnsi="宋体" w:eastAsia="宋体" w:cs="宋体"/>
          <w:b/>
          <w:color w:val="000000"/>
        </w:rPr>
        <w:t xml:space="preserve">四、投标文件的递交</w:t>
      </w:r>
      <w:bookmarkEnd w:id="118"/>
      <w:r/>
      <w:bookmarkEnd w:id="119"/>
      <w:r/>
      <w:bookmarkEnd w:id="120"/>
      <w:r/>
      <w:bookmarkEnd w:id="121"/>
      <w:r/>
      <w:r/>
    </w:p>
    <w:p>
      <w:pPr>
        <w:pStyle w:val="855"/>
        <w:ind w:firstLine="560"/>
        <w:jc w:val="both"/>
        <w:keepLines/>
        <w:keepNext/>
        <w:spacing w:beforeAutospacing="0" w:afterAutospacing="0" w:line="360" w:lineRule="auto"/>
        <w:rPr>
          <w:rFonts w:hint="eastAsia" w:ascii="宋体" w:hAnsi="宋体" w:eastAsia="宋体" w:cs="宋体"/>
        </w:rPr>
      </w:pPr>
      <w:r/>
      <w:bookmarkStart w:id="124" w:name="_Toc513029225"/>
      <w:r/>
      <w:bookmarkStart w:id="125" w:name="_Toc16938541"/>
      <w:r/>
      <w:bookmarkStart w:id="126" w:name="_Toc20823297"/>
      <w:r/>
      <w:bookmarkStart w:id="127" w:name="_Toc462564084"/>
      <w:r>
        <w:rPr>
          <w:rFonts w:hint="eastAsia" w:ascii="宋体" w:hAnsi="宋体" w:eastAsia="宋体" w:cs="宋体"/>
          <w:color w:val="000000"/>
        </w:rPr>
        <w:t xml:space="preserve">17、投标文件</w:t>
      </w:r>
      <w:bookmarkEnd w:id="124"/>
      <w:r/>
      <w:bookmarkEnd w:id="125"/>
      <w:r/>
      <w:bookmarkEnd w:id="126"/>
      <w:r/>
      <w:bookmarkEnd w:id="127"/>
      <w:r>
        <w:rPr>
          <w:rFonts w:hint="eastAsia" w:ascii="宋体" w:hAnsi="宋体" w:eastAsia="宋体" w:cs="宋体"/>
          <w:color w:val="000000"/>
        </w:rPr>
        <w:t xml:space="preserve">的递交</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17.1 电子投标文件的递交</w:t>
      </w:r>
      <w:r/>
    </w:p>
    <w:p>
      <w:pPr>
        <w:pStyle w:val="855"/>
        <w:ind w:left="52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投标人应当按照《操作手册》规定，在投标截止时间前制作并上传电子投标文件。</w:t>
      </w:r>
      <w:bookmarkStart w:id="128" w:name="_Toc20823298"/>
      <w:r/>
      <w:bookmarkStart w:id="129" w:name="_Toc16938542"/>
      <w:r/>
      <w:bookmarkStart w:id="130" w:name="_Toc513029226"/>
      <w:r/>
      <w:bookmarkEnd w:id="128"/>
      <w:r/>
      <w:bookmarkEnd w:id="129"/>
      <w:r/>
      <w:r/>
    </w:p>
    <w:p>
      <w:pPr>
        <w:pStyle w:val="855"/>
        <w:ind w:firstLine="420"/>
        <w:jc w:val="both"/>
        <w:keepLines/>
        <w:keepNext/>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18、投标截止时间</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i/>
          <w:color w:val="000000"/>
          <w:u w:val="single"/>
        </w:rPr>
        <w:t xml:space="preserve">18.1投标人上传电子投标文件的时间不得迟于招标公告中规定的投标截止时间。</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投标人应充分考虑到网络环境、网络带宽等风险因素，如因投标人自身原因造成的电子投标文件上传不成功的按照本招标文件第二章第26.1.2条 规定做无效投标处理。</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18.2代理机构可以按照规定，通过修改招标文件酌情延长投标截止时间，在此情况下，投标人的所有权利和义务以及投标人受制的截止时间均应以延长后新的截止时间为准。</w:t>
      </w:r>
      <w:r/>
    </w:p>
    <w:p>
      <w:pPr>
        <w:pStyle w:val="855"/>
        <w:ind w:firstLine="420"/>
        <w:jc w:val="both"/>
        <w:keepLines/>
        <w:keepNext/>
        <w:spacing w:beforeAutospacing="0" w:afterAutospacing="0" w:line="360" w:lineRule="auto"/>
        <w:rPr>
          <w:rFonts w:hint="eastAsia" w:ascii="宋体" w:hAnsi="宋体" w:eastAsia="宋体" w:cs="宋体"/>
        </w:rPr>
      </w:pPr>
      <w:r/>
      <w:bookmarkStart w:id="131" w:name="_Toc513029227"/>
      <w:r/>
      <w:bookmarkStart w:id="132" w:name="_Toc20823299"/>
      <w:r/>
      <w:bookmarkStart w:id="133" w:name="_Toc16938543"/>
      <w:r>
        <w:rPr>
          <w:rFonts w:hint="eastAsia" w:ascii="宋体" w:hAnsi="宋体" w:eastAsia="宋体" w:cs="宋体"/>
          <w:color w:val="000000"/>
        </w:rPr>
        <w:t xml:space="preserve">19、投标文件</w:t>
      </w:r>
      <w:bookmarkEnd w:id="131"/>
      <w:r/>
      <w:bookmarkEnd w:id="132"/>
      <w:r/>
      <w:bookmarkEnd w:id="133"/>
      <w:r>
        <w:rPr>
          <w:rFonts w:hint="eastAsia" w:ascii="宋体" w:hAnsi="宋体" w:eastAsia="宋体" w:cs="宋体"/>
          <w:color w:val="000000"/>
        </w:rPr>
        <w:t xml:space="preserve">的拒收</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19.1代理机构拒绝接收在其规定的投标截止时间后上传的任何投标文件。</w:t>
      </w:r>
      <w:r/>
    </w:p>
    <w:p>
      <w:pPr>
        <w:pStyle w:val="855"/>
        <w:ind w:firstLine="420"/>
        <w:jc w:val="both"/>
        <w:keepLines/>
        <w:keepNext/>
        <w:spacing w:beforeAutospacing="0" w:afterAutospacing="0" w:line="360" w:lineRule="auto"/>
        <w:rPr>
          <w:rFonts w:hint="eastAsia" w:ascii="宋体" w:hAnsi="宋体" w:eastAsia="宋体" w:cs="宋体"/>
        </w:rPr>
      </w:pPr>
      <w:r/>
      <w:bookmarkStart w:id="134" w:name="_Toc20823300"/>
      <w:r/>
      <w:bookmarkStart w:id="135" w:name="_Toc16938544"/>
      <w:r/>
      <w:bookmarkStart w:id="136" w:name="_Toc513029228"/>
      <w:r>
        <w:rPr>
          <w:rFonts w:hint="eastAsia" w:ascii="宋体" w:hAnsi="宋体" w:eastAsia="宋体" w:cs="宋体"/>
          <w:color w:val="000000"/>
        </w:rPr>
        <w:t xml:space="preserve">20、投标文件的撤回和修改</w:t>
      </w:r>
      <w:bookmarkEnd w:id="134"/>
      <w:r/>
      <w:bookmarkEnd w:id="135"/>
      <w:r/>
      <w:bookmarkEnd w:id="136"/>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20.1投标文件的撤回</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20.1.1电子投标文件的撤回</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投标人可在投标截止时间前，撤回其电子投标文件，具体操作方法见《操作手册》。</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20.1.2投标人撤回电子投标文件，则认为其不再参与本项目投标活动。</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20.2 投标文件的修改</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20.2.1投标人可在投标截止时间前，对其电子投标文件进行修改，具体操作方法见《操作手册》。</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20.2.2在投标截止时间之后，投标人不得对其电子投标文件作任何修改。</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20.3在投标截止时间至招标文件中规定的投标有效期满之间的这段时间内，投标人不得撤回其投标。</w:t>
      </w:r>
      <w:r/>
    </w:p>
    <w:p>
      <w:pPr>
        <w:pStyle w:val="855"/>
        <w:ind w:firstLine="482"/>
        <w:jc w:val="both"/>
        <w:keepLines/>
        <w:keepNext/>
        <w:spacing w:before="145" w:beforeAutospacing="0" w:after="145" w:afterAutospacing="0" w:line="360" w:lineRule="auto"/>
        <w:rPr>
          <w:rFonts w:hint="eastAsia" w:ascii="宋体" w:hAnsi="宋体" w:eastAsia="宋体" w:cs="宋体"/>
        </w:rPr>
      </w:pPr>
      <w:r/>
      <w:bookmarkStart w:id="137" w:name="_Toc16938545"/>
      <w:r/>
      <w:bookmarkStart w:id="138" w:name="_Toc513029229"/>
      <w:r/>
      <w:bookmarkStart w:id="139" w:name="_Toc20823301"/>
      <w:r/>
      <w:bookmarkStart w:id="140" w:name="_Toc120614218"/>
      <w:r>
        <w:rPr>
          <w:rFonts w:hint="eastAsia" w:ascii="宋体" w:hAnsi="宋体" w:eastAsia="宋体" w:cs="宋体"/>
          <w:b/>
          <w:color w:val="000000"/>
        </w:rPr>
        <w:t xml:space="preserve">五、开标与评标</w:t>
      </w:r>
      <w:bookmarkEnd w:id="137"/>
      <w:r/>
      <w:bookmarkEnd w:id="138"/>
      <w:r/>
      <w:bookmarkEnd w:id="139"/>
      <w:r/>
      <w:bookmarkEnd w:id="140"/>
      <w:r/>
      <w:r/>
    </w:p>
    <w:p>
      <w:pPr>
        <w:pStyle w:val="855"/>
        <w:ind w:firstLine="420"/>
        <w:jc w:val="both"/>
        <w:keepLines/>
        <w:keepNext/>
        <w:spacing w:beforeAutospacing="0" w:afterAutospacing="0" w:line="360" w:lineRule="auto"/>
        <w:rPr>
          <w:rFonts w:hint="eastAsia" w:ascii="宋体" w:hAnsi="宋体" w:eastAsia="宋体" w:cs="宋体"/>
        </w:rPr>
      </w:pPr>
      <w:r/>
      <w:bookmarkStart w:id="141" w:name="_Toc513029230"/>
      <w:r/>
      <w:bookmarkStart w:id="142" w:name="_Toc16938546"/>
      <w:r/>
      <w:bookmarkStart w:id="143" w:name="_Toc20823302"/>
      <w:r>
        <w:rPr>
          <w:rFonts w:hint="eastAsia" w:ascii="宋体" w:hAnsi="宋体" w:eastAsia="宋体" w:cs="宋体"/>
        </w:rPr>
        <w:t xml:space="preserve">21、开标</w:t>
      </w:r>
      <w:bookmarkEnd w:id="141"/>
      <w:r/>
      <w:bookmarkEnd w:id="142"/>
      <w:r/>
      <w:bookmarkEnd w:id="143"/>
      <w:r/>
      <w:r/>
    </w:p>
    <w:p>
      <w:pPr>
        <w:pStyle w:val="855"/>
        <w:ind w:firstLine="36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21.1代理机构将在招标公告中规定的时间和地点组织公开开标。投标人应当按照《操作手册》规定，参加开标活动和在苏采云系统规定的时间内对投标文件进行解密。</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21.2开标仪式由代理机构组织。苏采云系统将自动对项目进行开标，并宣布各投标人名称和投标价格。</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21.3投标人在开标过程中涉及到的投标文件解密、开标结果确认等工作，应按照《操作手册》规定执行。</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21.4投标人如果对开标过程和开标记录有疑义，应当根据《操作手册》规定提出，如苏采云系统中《开标记录表》宣布后5分钟内未提出的，视同认可开标结果。</w:t>
      </w:r>
      <w:r/>
    </w:p>
    <w:p>
      <w:pPr>
        <w:pStyle w:val="855"/>
        <w:ind w:firstLine="420"/>
        <w:jc w:val="both"/>
        <w:keepLines/>
        <w:keepNext/>
        <w:spacing w:beforeAutospacing="0" w:afterAutospacing="0" w:line="360" w:lineRule="auto"/>
        <w:rPr>
          <w:rFonts w:hint="eastAsia" w:ascii="宋体" w:hAnsi="宋体" w:eastAsia="宋体" w:cs="宋体"/>
        </w:rPr>
      </w:pPr>
      <w:r/>
      <w:bookmarkStart w:id="144" w:name="_Toc20823303"/>
      <w:r/>
      <w:bookmarkStart w:id="145" w:name="_Toc16938547"/>
      <w:r/>
      <w:bookmarkStart w:id="146" w:name="_Toc513029231"/>
      <w:r>
        <w:rPr>
          <w:rFonts w:hint="eastAsia" w:ascii="宋体" w:hAnsi="宋体" w:eastAsia="宋体" w:cs="宋体"/>
        </w:rPr>
        <w:t xml:space="preserve">22、评标委员会</w:t>
      </w:r>
      <w:bookmarkEnd w:id="144"/>
      <w:r/>
      <w:bookmarkEnd w:id="145"/>
      <w:r/>
      <w:bookmarkEnd w:id="146"/>
      <w:r/>
      <w:r/>
    </w:p>
    <w:p>
      <w:pPr>
        <w:pStyle w:val="855"/>
        <w:jc w:val="both"/>
        <w:spacing w:beforeAutospacing="0" w:afterAutospacing="0" w:line="360" w:lineRule="auto"/>
        <w:rPr>
          <w:rFonts w:hint="eastAsia"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22.1开标后，代理机构将立即组织评标委员会（以下简称评委会）进行评标。</w:t>
      </w:r>
      <w:r/>
    </w:p>
    <w:p>
      <w:pPr>
        <w:pStyle w:val="855"/>
        <w:jc w:val="both"/>
        <w:spacing w:beforeAutospacing="0" w:afterAutospacing="0" w:line="360" w:lineRule="auto"/>
        <w:rPr>
          <w:rFonts w:hint="eastAsia"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22.2评委会由采购人代表和有关技术、经济等方面的专家组成，且人员构成符合政府采购有关规定。</w:t>
      </w:r>
      <w:r/>
    </w:p>
    <w:p>
      <w:pPr>
        <w:pStyle w:val="855"/>
        <w:jc w:val="both"/>
        <w:spacing w:beforeAutospacing="0" w:afterAutospacing="0" w:line="360" w:lineRule="auto"/>
        <w:rPr>
          <w:rFonts w:hint="eastAsia"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22.3评委会独立工作，负责评审所有投标文件并确定中标候选人。</w:t>
      </w:r>
      <w:r/>
    </w:p>
    <w:p>
      <w:pPr>
        <w:pStyle w:val="855"/>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23、评标过程的保密与公正</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23.1凡是与审查、澄清、评价和比较投标的有关资料以及授标建议等，采购人、评委、代理机构均不得向投标人或与评标无关的其他人员透露。</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23.2在评标过程中，投标人不得以任何行为影响评标过程，否则其投标文件将被作为无效投标文件。</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23.</w:t>
      </w:r>
      <w:r>
        <w:rPr>
          <w:rFonts w:hint="eastAsia" w:ascii="宋体" w:hAnsi="宋体" w:eastAsia="宋体" w:cs="宋体"/>
        </w:rPr>
        <w:t xml:space="preserve">3代理机构和评标委员会不向未中标的投标人解释未中标原因，也不公布评标过程中的相关细节。</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rPr>
        <w:t xml:space="preserve">23.4采用综合评分法的项目，未中标的</w:t>
      </w:r>
      <w:r>
        <w:rPr>
          <w:rFonts w:hint="eastAsia" w:ascii="宋体" w:hAnsi="宋体" w:eastAsia="宋体" w:cs="宋体"/>
          <w:color w:val="000000"/>
        </w:rPr>
        <w:t xml:space="preserve">投标人可于中标结果公告期限届满之日起通过苏采云系统查看自己的评审得分及排序情况。</w:t>
      </w:r>
      <w:r/>
    </w:p>
    <w:p>
      <w:pPr>
        <w:pStyle w:val="855"/>
        <w:ind w:firstLine="420"/>
        <w:jc w:val="both"/>
        <w:keepLines/>
        <w:keepNext/>
        <w:spacing w:beforeAutospacing="0" w:afterAutospacing="0" w:line="360" w:lineRule="auto"/>
        <w:rPr>
          <w:rFonts w:hint="eastAsia" w:ascii="宋体" w:hAnsi="宋体" w:eastAsia="宋体" w:cs="宋体"/>
        </w:rPr>
      </w:pPr>
      <w:r/>
      <w:bookmarkStart w:id="147" w:name="_Toc16938548"/>
      <w:r/>
      <w:bookmarkStart w:id="148" w:name="_Toc513029232"/>
      <w:r/>
      <w:bookmarkStart w:id="149" w:name="_Toc20823304"/>
      <w:r>
        <w:rPr>
          <w:rFonts w:hint="eastAsia" w:ascii="宋体" w:hAnsi="宋体" w:eastAsia="宋体" w:cs="宋体"/>
          <w:color w:val="000000"/>
        </w:rPr>
        <w:t xml:space="preserve">24、投标文件的澄清</w:t>
      </w:r>
      <w:bookmarkEnd w:id="147"/>
      <w:r/>
      <w:bookmarkEnd w:id="148"/>
      <w:r/>
      <w:bookmarkEnd w:id="149"/>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24.1评标期间，评委会对投标文件中含义不明确、同类问题表述不一致或</w:t>
      </w:r>
      <w:r>
        <w:rPr>
          <w:rFonts w:hint="eastAsia" w:ascii="宋体" w:hAnsi="宋体" w:eastAsia="宋体" w:cs="宋体"/>
          <w:color w:val="000000"/>
        </w:rPr>
        <w:t xml:space="preserve">者有明显文字和计算错误的内容，有权要求投标人作出必要的澄清、说明或者补正。</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投标人的澄清、说明或者补正不得超出投标文件的范围或者改变投标文件的实质性内容。</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评标委员会并非对每个投标人都做澄清要求。</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rPr>
        <w:t xml:space="preserve">投标文件的补充部分，具体操作方式见《操作手册》。</w:t>
      </w:r>
      <w:r/>
    </w:p>
    <w:p>
      <w:pPr>
        <w:pStyle w:val="85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  24.3接到评委会澄清、说明和补正要求的投标人如未按规定作出澄清、说明和补正，其风险由投标人自行承担。</w:t>
      </w:r>
      <w:r/>
    </w:p>
    <w:p>
      <w:pPr>
        <w:pStyle w:val="855"/>
        <w:ind w:firstLine="420"/>
        <w:jc w:val="both"/>
        <w:keepLines/>
        <w:keepNext/>
        <w:spacing w:beforeAutospacing="0" w:afterAutospacing="0" w:line="360" w:lineRule="auto"/>
        <w:rPr>
          <w:rFonts w:hint="eastAsia" w:ascii="宋体" w:hAnsi="宋体" w:eastAsia="宋体" w:cs="宋体"/>
        </w:rPr>
      </w:pPr>
      <w:r/>
      <w:bookmarkStart w:id="150" w:name="_Toc16938549"/>
      <w:r/>
      <w:bookmarkStart w:id="151" w:name="_Toc513029233"/>
      <w:r/>
      <w:bookmarkStart w:id="152" w:name="_Toc20823305"/>
      <w:r>
        <w:rPr>
          <w:rFonts w:hint="eastAsia" w:ascii="宋体" w:hAnsi="宋体" w:eastAsia="宋体" w:cs="宋体"/>
          <w:color w:val="000000"/>
        </w:rPr>
        <w:t xml:space="preserve">25、对投标文件的初审</w:t>
      </w:r>
      <w:bookmarkEnd w:id="150"/>
      <w:r/>
      <w:bookmarkEnd w:id="151"/>
      <w:r/>
      <w:bookmarkEnd w:id="152"/>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25.1投标文件初审分为资格审查和符合性审查。</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25.1.1资格审查：依据法律法规和招标文件的规定，由采购人对投标文件中的资格证明文件进行审查。资格审查的结论，采购人以书面形式向评委会进行反馈。</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采购人在进行资格性审查的同时，将在“信用中国”网站（www.creditchina.gov.cn）查询投标人的信用记录，以确定投标人是否具备投标资格,查询结果留存并归档。</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25.1.2符合性审查：依据招标文件的规定，由评委会从投标文件的有效性、完整性和对招标文件的响应程度进行审查，以确定是否对招标文件的实质性要求作出响应。</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25.1.3未通过资格审查或符合性审查的投标人，代理机构将在苏采云系统中告知未通过资格审查或符合性审查的原因，评标结束后，代理机构将不再告知</w:t>
      </w:r>
      <w:r>
        <w:rPr>
          <w:rFonts w:hint="eastAsia" w:ascii="宋体" w:hAnsi="宋体" w:eastAsia="宋体" w:cs="宋体"/>
          <w:color w:val="000000"/>
        </w:rPr>
        <w:t xml:space="preserve">未通过资格审查和符合性审查的原因。</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25.2在详细评标之前，评委会将首先审查每份投标文件是否实质性响应了招标文件的要求。实质性响应的投标应该是与招标文件要求的全部条款、条件</w:t>
      </w:r>
      <w:r>
        <w:rPr>
          <w:rFonts w:hint="eastAsia" w:ascii="宋体" w:hAnsi="宋体" w:eastAsia="宋体" w:cs="宋体"/>
          <w:color w:val="000000"/>
        </w:rPr>
        <w:t xml:space="preserve">和规格相符，没有重大偏离或保留的投标。</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25.3如果投标文件实质上没有响应招标文件的要求，评委会将予以拒绝，投标人不得通过修改或撤销不合要求的偏离或保留而使其投标成为实质性响应的投标。</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25.4评委会将对确定为实质性响应的投标进行进一步审核，确定其是否有计算上或累加上的算术错误，修正错误的原则如下：</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（1）投标文件中开标一览表内容与投标文件中相应内容不一致的，以开标一览表为准。</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（2）大写金额和小写金额不一致的，以大写金额为准。</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（3）单价金额小数点或者百分比有明显错位的，以开标一览表的总价为准，并修改单价。</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（4）总价金额与按单价汇总金额不一致的，以单价金额计算结果为准。</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同时出现两种以上错误的，按照前款规定的顺序修正。</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855"/>
        <w:ind w:firstLine="420"/>
        <w:jc w:val="both"/>
        <w:spacing w:beforeAutospacing="0" w:afterAutospacing="0" w:line="360" w:lineRule="auto"/>
        <w:rPr>
          <w:rFonts w:hint="eastAsia" w:ascii="宋体" w:hAnsi="宋体" w:eastAsia="宋体" w:cs="宋体"/>
        </w:rPr>
      </w:pPr>
      <w:r/>
      <w:bookmarkStart w:id="153" w:name="_Toc16938550"/>
      <w:r/>
      <w:bookmarkStart w:id="154" w:name="_Toc20823306"/>
      <w:r/>
      <w:bookmarkStart w:id="155" w:name="_Toc513029234"/>
      <w:r>
        <w:rPr>
          <w:rFonts w:hint="eastAsia" w:ascii="宋体" w:hAnsi="宋体" w:eastAsia="宋体" w:cs="宋体"/>
        </w:rPr>
        <w:t xml:space="preserve">25.6投标人在开、评标全过程中应保持通信畅通，及时登录苏采云系统查阅、答复相关信息，并安排专人与代理机构及评标委员会联系。</w:t>
      </w:r>
      <w:bookmarkEnd w:id="153"/>
      <w:r/>
      <w:bookmarkEnd w:id="154"/>
      <w:r/>
      <w:bookmarkEnd w:id="155"/>
      <w:r/>
      <w:r/>
    </w:p>
    <w:p>
      <w:pPr>
        <w:pStyle w:val="855"/>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26、无效投标条款和废标条款</w:t>
      </w:r>
      <w:r/>
    </w:p>
    <w:p>
      <w:pPr>
        <w:pStyle w:val="855"/>
        <w:ind w:left="479"/>
        <w:jc w:val="both"/>
        <w:spacing w:beforeAutospacing="0" w:afterAutospacing="0" w:line="360" w:lineRule="auto"/>
        <w:rPr>
          <w:rFonts w:hint="eastAsia" w:ascii="宋体" w:hAnsi="宋体" w:eastAsia="宋体" w:cs="宋体"/>
        </w:rPr>
      </w:pPr>
      <w:r/>
      <w:bookmarkStart w:id="156" w:name="_Toc513029235"/>
      <w:r/>
      <w:bookmarkStart w:id="157" w:name="_Toc20823307"/>
      <w:r/>
      <w:bookmarkStart w:id="158" w:name="_Toc16938551"/>
      <w:r>
        <w:rPr>
          <w:rFonts w:hint="eastAsia" w:ascii="宋体" w:hAnsi="宋体" w:eastAsia="宋体" w:cs="宋体"/>
        </w:rPr>
        <w:t xml:space="preserve">26.1无效投标条款</w:t>
      </w:r>
      <w:bookmarkEnd w:id="156"/>
      <w:r/>
      <w:bookmarkEnd w:id="157"/>
      <w:r/>
      <w:bookmarkEnd w:id="158"/>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26.1.1投标人在苏采云系统规定的时间内未成功解密电子投标文件的。</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26.1.2投标人未按照招标文件要求上传电子投标文件的。</w:t>
      </w:r>
      <w:r/>
    </w:p>
    <w:p>
      <w:pPr>
        <w:pStyle w:val="855"/>
        <w:ind w:left="47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26.1.3同一投标人提交两个（含两个）以上不同的投标报价的。</w:t>
      </w:r>
      <w:r/>
    </w:p>
    <w:p>
      <w:pPr>
        <w:pStyle w:val="855"/>
        <w:ind w:left="47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26.1.4投标人不具备招标文件中规定资格要求的。</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26.1.5投标人的报价超过了采购预算或最高限价的。</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26.1.6未通过符合性审查的。</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26.1.7不符合招标文件中规定的实质性要求和条件的（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26.1.9投标文件含有采购人不能接受的附加条件的。</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26.1.10</w:t>
      </w:r>
      <w:r>
        <w:rPr>
          <w:rFonts w:hint="eastAsia" w:ascii="宋体" w:hAnsi="宋体" w:eastAsia="宋体" w:cs="宋体"/>
        </w:rPr>
        <w:t xml:space="preserve">投标人不能证明其报价合理性的，评标委员会应当将其作为无效投标处理。</w:t>
      </w:r>
      <w:r/>
    </w:p>
    <w:p>
      <w:pPr>
        <w:pStyle w:val="855"/>
        <w:ind w:firstLine="480"/>
        <w:jc w:val="both"/>
        <w:spacing w:beforeAutospacing="0" w:afterAutospacing="0" w:line="360" w:lineRule="auto"/>
        <w:rPr>
          <w:rFonts w:hint="eastAsia" w:ascii="宋体" w:hAnsi="宋体" w:eastAsia="宋体" w:cs="宋体"/>
          <w:b/>
          <w:bCs/>
          <w:color w:val="ff0000"/>
        </w:rPr>
      </w:pPr>
      <w:r>
        <w:rPr>
          <w:rFonts w:hint="eastAsia" w:ascii="宋体" w:hAnsi="宋体" w:eastAsia="宋体" w:cs="宋体"/>
          <w:b/>
          <w:bCs/>
          <w:color w:val="ff0000"/>
        </w:rPr>
        <w:t xml:space="preserve">（一）评审过程中出现下列情形之一的，评标委员会应当启动异常低价投标审查程序：</w:t>
      </w:r>
      <w:r/>
    </w:p>
    <w:p>
      <w:pPr>
        <w:pStyle w:val="855"/>
        <w:ind w:firstLine="480"/>
        <w:jc w:val="both"/>
        <w:spacing w:beforeAutospacing="0" w:afterAutospacing="0" w:line="360" w:lineRule="auto"/>
        <w:rPr>
          <w:rFonts w:hint="eastAsia" w:ascii="宋体" w:hAnsi="宋体" w:eastAsia="宋体" w:cs="宋体"/>
          <w:b/>
          <w:bCs/>
          <w:color w:val="ff0000"/>
        </w:rPr>
      </w:pPr>
      <w:r>
        <w:rPr>
          <w:rFonts w:hint="eastAsia" w:ascii="宋体" w:hAnsi="宋体" w:eastAsia="宋体" w:cs="宋体"/>
          <w:b/>
          <w:bCs/>
          <w:color w:val="ff0000"/>
        </w:rPr>
        <w:t xml:space="preserve">1.投标（响应）报价低于全部通过符合性审查供应商投标（响应）报价平均值65%的，即投标（响应）报价&lt;全部通过符合性审查供应商投标（响应）报价平均值×65%；</w:t>
      </w:r>
      <w:r/>
    </w:p>
    <w:p>
      <w:pPr>
        <w:pStyle w:val="855"/>
        <w:ind w:firstLine="480"/>
        <w:jc w:val="both"/>
        <w:spacing w:beforeAutospacing="0" w:afterAutospacing="0" w:line="360" w:lineRule="auto"/>
        <w:rPr>
          <w:rFonts w:hint="eastAsia" w:ascii="宋体" w:hAnsi="宋体" w:eastAsia="宋体" w:cs="宋体"/>
          <w:b/>
          <w:bCs/>
          <w:color w:val="ff0000"/>
        </w:rPr>
      </w:pPr>
      <w:r>
        <w:rPr>
          <w:rFonts w:hint="eastAsia" w:ascii="宋体" w:hAnsi="宋体" w:eastAsia="宋体" w:cs="宋体"/>
          <w:b/>
          <w:bCs/>
          <w:color w:val="ff0000"/>
        </w:rPr>
        <w:t xml:space="preserve">2.投标（响应）报价低于通过符合性审查的次低报价供应商投标（响应）报价65%的，即投标（响应）报价&lt;通过符合性审查的次低报价供应商投标（响应）报价×65%；</w:t>
      </w:r>
      <w:r/>
    </w:p>
    <w:p>
      <w:pPr>
        <w:pStyle w:val="855"/>
        <w:ind w:firstLine="480"/>
        <w:jc w:val="both"/>
        <w:spacing w:beforeAutospacing="0" w:afterAutospacing="0" w:line="360" w:lineRule="auto"/>
        <w:rPr>
          <w:rFonts w:hint="eastAsia" w:ascii="宋体" w:hAnsi="宋体" w:eastAsia="宋体" w:cs="宋体"/>
          <w:b/>
          <w:bCs/>
          <w:color w:val="ff0000"/>
        </w:rPr>
      </w:pPr>
      <w:r>
        <w:rPr>
          <w:rFonts w:hint="eastAsia" w:ascii="宋体" w:hAnsi="宋体" w:eastAsia="宋体" w:cs="宋体"/>
          <w:b/>
          <w:bCs/>
          <w:color w:val="ff0000"/>
        </w:rPr>
        <w:t xml:space="preserve">3.投标（响应）报价低于采购项目最高限价</w:t>
      </w:r>
      <w:r>
        <w:rPr>
          <w:rFonts w:ascii="宋体" w:hAnsi="宋体" w:eastAsia="宋体" w:cs="宋体"/>
          <w:b/>
          <w:bCs/>
          <w:color w:val="ff0000"/>
        </w:rPr>
        <w:t xml:space="preserve">6</w:t>
      </w:r>
      <w:r>
        <w:rPr>
          <w:rFonts w:hint="eastAsia" w:ascii="宋体" w:hAnsi="宋体" w:eastAsia="宋体" w:cs="宋体"/>
          <w:b/>
          <w:bCs/>
          <w:color w:val="ff0000"/>
        </w:rPr>
        <w:t xml:space="preserve">5%的，即投标（响应）报价&lt;采购项目最高限价×65%；</w:t>
      </w:r>
      <w:r/>
    </w:p>
    <w:p>
      <w:pPr>
        <w:pStyle w:val="855"/>
        <w:ind w:firstLine="480"/>
        <w:jc w:val="both"/>
        <w:spacing w:beforeAutospacing="0" w:afterAutospacing="0" w:line="360" w:lineRule="auto"/>
        <w:rPr>
          <w:rFonts w:hint="eastAsia" w:ascii="宋体" w:hAnsi="宋体" w:eastAsia="宋体" w:cs="宋体"/>
          <w:b/>
          <w:bCs/>
          <w:color w:val="ff0000"/>
        </w:rPr>
      </w:pPr>
      <w:r>
        <w:rPr>
          <w:rFonts w:hint="eastAsia" w:ascii="宋体" w:hAnsi="宋体" w:eastAsia="宋体" w:cs="宋体"/>
          <w:b/>
          <w:bCs/>
          <w:color w:val="ff0000"/>
        </w:rPr>
        <w:t xml:space="preserve">4.评审委员会基于专业判断，认为供应商报价过低，有可能影响产品质量或者不能诚信履约的其他情形。</w:t>
      </w:r>
      <w:r/>
    </w:p>
    <w:p>
      <w:pPr>
        <w:pStyle w:val="855"/>
        <w:ind w:firstLine="480"/>
        <w:jc w:val="both"/>
        <w:spacing w:beforeAutospacing="0" w:afterAutospacing="0" w:line="360" w:lineRule="auto"/>
        <w:rPr>
          <w:rFonts w:hint="eastAsia" w:ascii="宋体" w:hAnsi="宋体" w:eastAsia="宋体" w:cs="宋体"/>
          <w:b/>
          <w:bCs/>
          <w:color w:val="ff0000"/>
        </w:rPr>
      </w:pPr>
      <w:r>
        <w:rPr>
          <w:rFonts w:hint="eastAsia" w:ascii="宋体" w:hAnsi="宋体" w:eastAsia="宋体" w:cs="宋体"/>
          <w:b/>
          <w:bCs/>
          <w:color w:val="ff0000"/>
          <w:u w:val="single"/>
        </w:rPr>
        <w:t xml:space="preserve">提醒：采购人可以结合具体项目实际情况，提高上述第1项至第3项中启动异常低价投标（响应）审查的数值标准，但是最高不得超过65%</w:t>
      </w:r>
      <w:r>
        <w:rPr>
          <w:rFonts w:hint="eastAsia" w:ascii="宋体" w:hAnsi="宋体" w:eastAsia="宋体" w:cs="宋体"/>
          <w:b/>
          <w:bCs/>
          <w:color w:val="ff0000"/>
        </w:rPr>
        <w:t xml:space="preserve">。</w:t>
      </w:r>
      <w:r/>
    </w:p>
    <w:p>
      <w:pPr>
        <w:pStyle w:val="855"/>
        <w:ind w:firstLine="480"/>
        <w:jc w:val="both"/>
        <w:spacing w:beforeAutospacing="0" w:afterAutospacing="0" w:line="360" w:lineRule="auto"/>
        <w:rPr>
          <w:rFonts w:hint="eastAsia" w:ascii="宋体" w:hAnsi="宋体" w:eastAsia="宋体" w:cs="宋体"/>
          <w:b/>
          <w:bCs/>
          <w:color w:val="ff0000"/>
        </w:rPr>
      </w:pPr>
      <w:r>
        <w:rPr>
          <w:rFonts w:hint="eastAsia" w:ascii="宋体" w:hAnsi="宋体" w:eastAsia="宋体" w:cs="宋体"/>
          <w:b/>
          <w:bCs/>
          <w:color w:val="ff0000"/>
        </w:rPr>
        <w:t xml:space="preserve">相关法律法规对供应商报价有规定的，从其规定。</w:t>
      </w:r>
      <w:r/>
    </w:p>
    <w:p>
      <w:pPr>
        <w:pStyle w:val="855"/>
        <w:ind w:firstLine="480"/>
        <w:jc w:val="both"/>
        <w:spacing w:beforeAutospacing="0" w:afterAutospacing="0" w:line="360" w:lineRule="auto"/>
        <w:rPr>
          <w:rFonts w:hint="eastAsia" w:ascii="宋体" w:hAnsi="宋体" w:eastAsia="宋体" w:cs="宋体"/>
          <w:b/>
          <w:bCs/>
          <w:color w:val="ff0000"/>
        </w:rPr>
      </w:pPr>
      <w:r>
        <w:rPr>
          <w:rFonts w:hint="eastAsia" w:ascii="宋体" w:hAnsi="宋体" w:eastAsia="宋体" w:cs="宋体"/>
          <w:b/>
          <w:bCs/>
          <w:color w:val="ff0000"/>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w:t>
      </w:r>
      <w:r>
        <w:rPr>
          <w:rFonts w:hint="eastAsia" w:ascii="宋体" w:hAnsi="宋体" w:eastAsia="宋体" w:cs="宋体"/>
          <w:b/>
          <w:bCs/>
          <w:color w:val="ff0000"/>
        </w:rPr>
        <w:t xml:space="preserve">应商的合理时间一般不少于30分钟。其中，属于第3项情形，供应商已随投标（响应）文件一并提交相关书面说明及必要的证明材料的，在评审现场可不再重复提交。</w:t>
      </w:r>
      <w:r/>
    </w:p>
    <w:p>
      <w:pPr>
        <w:pStyle w:val="855"/>
        <w:ind w:firstLine="480"/>
        <w:jc w:val="both"/>
        <w:spacing w:beforeAutospacing="0" w:afterAutospacing="0" w:line="360" w:lineRule="auto"/>
        <w:rPr>
          <w:rFonts w:hint="eastAsia" w:ascii="宋体" w:hAnsi="宋体" w:eastAsia="宋体" w:cs="宋体"/>
          <w:b/>
          <w:bCs/>
          <w:color w:val="ff0000"/>
        </w:rPr>
      </w:pPr>
      <w:r>
        <w:rPr>
          <w:rFonts w:hint="eastAsia" w:ascii="宋体" w:hAnsi="宋体" w:eastAsia="宋体" w:cs="宋体"/>
          <w:b/>
          <w:bCs/>
          <w:color w:val="ff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55"/>
        <w:ind w:firstLine="480"/>
        <w:jc w:val="both"/>
        <w:spacing w:beforeAutospacing="0" w:afterAutospacing="0" w:line="360" w:lineRule="auto"/>
        <w:rPr>
          <w:rFonts w:hint="eastAsia" w:ascii="宋体" w:hAnsi="宋体" w:eastAsia="宋体" w:cs="宋体"/>
          <w:b/>
          <w:bCs/>
          <w:color w:val="ff0000"/>
        </w:rPr>
      </w:pPr>
      <w:r>
        <w:rPr>
          <w:rFonts w:hint="eastAsia" w:ascii="宋体" w:hAnsi="宋体" w:eastAsia="宋体" w:cs="宋体"/>
          <w:b/>
          <w:bCs/>
          <w:color w:val="ff0000"/>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55"/>
        <w:ind w:firstLine="480"/>
        <w:jc w:val="both"/>
        <w:spacing w:beforeAutospacing="0" w:afterAutospacing="0" w:line="360" w:lineRule="auto"/>
        <w:rPr>
          <w:rFonts w:hint="eastAsia" w:ascii="宋体" w:hAnsi="宋体" w:eastAsia="宋体" w:cs="宋体"/>
          <w:b/>
          <w:bCs/>
          <w:color w:val="ff0000"/>
        </w:rPr>
      </w:pPr>
      <w:r>
        <w:rPr>
          <w:rFonts w:hint="eastAsia" w:ascii="宋体" w:hAnsi="宋体" w:eastAsia="宋体" w:cs="宋体"/>
          <w:b/>
          <w:bCs/>
          <w:color w:val="ff0000"/>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26.1.11投标文件未按照招标文件要求加盖CA电子公章的。</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26.1.12其他法律、法规及本招标文件规定的属无效投标的情形。</w:t>
      </w:r>
      <w:r/>
    </w:p>
    <w:p>
      <w:pPr>
        <w:pStyle w:val="855"/>
        <w:ind w:left="47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26.2废标条款</w:t>
      </w:r>
      <w:r/>
    </w:p>
    <w:p>
      <w:pPr>
        <w:pStyle w:val="855"/>
        <w:ind w:left="479"/>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26.2.1符合专业条件的供应商或者对招标文件作实质响应的供应商不足三家的。</w:t>
      </w:r>
      <w:r/>
    </w:p>
    <w:p>
      <w:pPr>
        <w:pStyle w:val="855"/>
        <w:ind w:left="47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26.2.2出现影响采购公正的违法、违规行为的。</w:t>
      </w:r>
      <w:r/>
    </w:p>
    <w:p>
      <w:pPr>
        <w:pStyle w:val="855"/>
        <w:ind w:left="47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26.2.3因重大变故，采购任务取消的。</w:t>
      </w:r>
      <w:r/>
    </w:p>
    <w:p>
      <w:pPr>
        <w:pStyle w:val="855"/>
        <w:ind w:left="47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26.2.4评标委员会认定招标文件存在歧义、重大缺陷导致评审工作无法进行。</w:t>
      </w:r>
      <w:r/>
    </w:p>
    <w:p>
      <w:pPr>
        <w:pStyle w:val="855"/>
        <w:ind w:left="47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26.2.5因苏采云系统系统故障原因造成开标不成功的。</w:t>
      </w:r>
      <w:r/>
    </w:p>
    <w:p>
      <w:pPr>
        <w:pStyle w:val="855"/>
        <w:ind w:left="47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 投标截止时间结束后参加投标的供应商不足三家的处理：</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26.3.1如出现投标截止时间结束后参加投标的供应商或者在评标期间对招标文件做出实质响应的供应商不足三家情况，按政府采购相关规定执行。</w:t>
      </w:r>
      <w:r/>
    </w:p>
    <w:p>
      <w:pPr>
        <w:pStyle w:val="855"/>
        <w:ind w:firstLine="482"/>
        <w:jc w:val="both"/>
        <w:keepLines/>
        <w:keepNext/>
        <w:spacing w:before="145" w:beforeAutospacing="0" w:after="145" w:afterAutospacing="0" w:line="360" w:lineRule="auto"/>
        <w:rPr>
          <w:rFonts w:hint="eastAsia" w:ascii="宋体" w:hAnsi="宋体" w:eastAsia="宋体" w:cs="宋体"/>
        </w:rPr>
      </w:pPr>
      <w:r/>
      <w:bookmarkStart w:id="159" w:name="_Toc120614219"/>
      <w:r>
        <w:rPr>
          <w:rFonts w:hint="eastAsia" w:ascii="宋体" w:hAnsi="宋体" w:eastAsia="宋体" w:cs="宋体"/>
          <w:b/>
          <w:color w:val="000000"/>
        </w:rPr>
        <w:t xml:space="preserve">六、定标</w:t>
      </w:r>
      <w:bookmarkEnd w:id="159"/>
      <w:r/>
      <w:r/>
    </w:p>
    <w:p>
      <w:pPr>
        <w:pStyle w:val="855"/>
        <w:ind w:firstLine="600"/>
        <w:jc w:val="both"/>
        <w:keepLines/>
        <w:keepNext/>
        <w:spacing w:beforeAutospacing="0" w:afterAutospacing="0" w:line="360" w:lineRule="auto"/>
        <w:rPr>
          <w:rFonts w:hint="eastAsia" w:ascii="宋体" w:hAnsi="宋体" w:eastAsia="宋体" w:cs="宋体"/>
        </w:rPr>
      </w:pPr>
      <w:r/>
      <w:bookmarkStart w:id="160" w:name="_Toc20823310"/>
      <w:r/>
      <w:bookmarkStart w:id="161" w:name="_Toc513029238"/>
      <w:r/>
      <w:bookmarkStart w:id="162" w:name="_Toc16938554"/>
      <w:r>
        <w:rPr>
          <w:rFonts w:hint="eastAsia" w:ascii="宋体" w:hAnsi="宋体" w:eastAsia="宋体" w:cs="宋体"/>
          <w:color w:val="000000"/>
        </w:rPr>
        <w:t xml:space="preserve">27、</w:t>
      </w:r>
      <w:bookmarkEnd w:id="160"/>
      <w:r>
        <w:rPr>
          <w:rFonts w:hint="eastAsia" w:ascii="宋体" w:hAnsi="宋体" w:eastAsia="宋体" w:cs="宋体"/>
          <w:color w:val="000000"/>
        </w:rPr>
        <w:t xml:space="preserve">确定</w:t>
      </w:r>
      <w:bookmarkEnd w:id="161"/>
      <w:r/>
      <w:bookmarkEnd w:id="162"/>
      <w:r>
        <w:rPr>
          <w:rFonts w:hint="eastAsia" w:ascii="宋体" w:hAnsi="宋体" w:eastAsia="宋体" w:cs="宋体"/>
          <w:color w:val="000000"/>
        </w:rPr>
        <w:t xml:space="preserve">中标单位</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27.1中标候选人的选取原则和数量见招标文件第五章规定。 </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27.2采购人应根据评委会推荐的中标候选人确定中标人。</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27.3代理机构将在“中国政府采购网”“江苏政府采购网”“盐城市政府采购网”发布中标公告，公告期限为1个工作日。</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27.4若有充分证据证明，中标人出现下列情况之一的，一经查实，将被取消中标资格：</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27.4.1提供虚假材料谋取中标的。</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27.4.2向采购人、代理机构行贿或者提供其他不正当利益的。</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27.4.3属于本文件规定的无效条件，但在评标过程中又未被评委会发现的。</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27.4.4与采购人或者其他供应商恶意串通的。</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27.4.5采取不正当手段诋毁、排挤其他供应商的。</w:t>
      </w:r>
      <w:r/>
    </w:p>
    <w:p>
      <w:pPr>
        <w:pStyle w:val="855"/>
        <w:ind w:firstLine="480"/>
        <w:jc w:val="both"/>
        <w:spacing w:beforeAutospacing="0" w:afterAutospacing="0" w:line="360" w:lineRule="auto"/>
        <w:rPr>
          <w:rFonts w:hint="eastAsia" w:ascii="宋体" w:hAnsi="宋体" w:eastAsia="宋体" w:cs="宋体"/>
        </w:rPr>
      </w:pPr>
      <w:r/>
      <w:bookmarkStart w:id="163" w:name="_Toc200451960"/>
      <w:r>
        <w:rPr>
          <w:rFonts w:hint="eastAsia" w:ascii="宋体" w:hAnsi="宋体" w:eastAsia="宋体" w:cs="宋体"/>
          <w:color w:val="000000"/>
        </w:rPr>
        <w:t xml:space="preserve">27.5 有下列情形之一的，视为投标人串通投标，投标无效：</w:t>
      </w:r>
      <w:bookmarkEnd w:id="163"/>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27.5.1不同投标人的投标文件由同一单位或者个人编制。</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27.5.2不同投标人委托同一单位或者个人办理投标事宜。</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27.5.3不同投标人的投标文件载明的项目管理成员或者联系人员为同一人。</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27.5.4不同投标人的投标文件异常一致或者投标报价呈规律性差异。</w:t>
      </w:r>
      <w:r/>
    </w:p>
    <w:p>
      <w:pPr>
        <w:pStyle w:val="855"/>
        <w:ind w:firstLine="600"/>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28、质疑处理</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28.1提出质疑的供应商应当是参与所质疑项目采购活动的供应商。潜在供应商依法获取其可质疑的采购文件的，可以对采购文件提出质疑。</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28.2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28.2.1对可以质疑的采购文件提出质疑的，为收到采购文件之日或者采购文件公告期限届满之日；</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28.2.2对采购过程提出质疑的，为各采购程序环节结束之日；</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28.2.3对中标或者成交结果提出质疑的，为中标或者成交结果公告期限届</w:t>
      </w:r>
      <w:r>
        <w:rPr>
          <w:rFonts w:hint="eastAsia" w:ascii="宋体" w:hAnsi="宋体" w:eastAsia="宋体" w:cs="宋体"/>
          <w:color w:val="000000"/>
        </w:rPr>
        <w:t xml:space="preserve">满之日。</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55"/>
        <w:ind w:firstLine="482"/>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28.4</w:t>
      </w:r>
      <w:r>
        <w:rPr>
          <w:rFonts w:hint="eastAsia" w:ascii="宋体" w:hAnsi="宋体" w:eastAsia="宋体" w:cs="宋体"/>
          <w:color w:val="000000" w:themeColor="text1"/>
        </w:rPr>
        <w:t xml:space="preserve">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rPr>
        <w:t xml:space="preserve">供应商对除上述事项以外其他事项的询问、质疑请向代理机构提出，由代理机构负责答复。</w:t>
      </w:r>
      <w:r/>
    </w:p>
    <w:p>
      <w:pPr>
        <w:ind w:firstLine="480"/>
        <w:jc w:val="left"/>
        <w:spacing w:line="360" w:lineRule="auto"/>
        <w:tabs>
          <w:tab w:val="left" w:pos="1331" w:leader="none"/>
        </w:tabs>
        <w:rPr>
          <w:rFonts w:hint="eastAsia" w:ascii="宋体" w:hAnsi="宋体" w:eastAsia="宋体" w:cs="宋体"/>
          <w:color w:val="000000"/>
          <w:sz w:val="24"/>
        </w:rPr>
      </w:pPr>
      <w:r>
        <w:rPr>
          <w:rFonts w:hint="eastAsia" w:ascii="宋体" w:hAnsi="宋体" w:eastAsia="宋体" w:cs="宋体"/>
          <w:color w:val="000000"/>
          <w:sz w:val="24"/>
        </w:rPr>
        <w:t xml:space="preserve">代理机构及采购人只接收以纸质原件形式送达的质疑,采购人和代理机构不接受未填写快递运单的快件。。质疑接收单位为盐城国信招标代理有限公司，联系方式见招标公告。</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 以下情形的质疑不予受理</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28.5.1内容不符合《政府采购质疑和投诉办法》第十二条规定的质疑。</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28.5.2超出政府采购法定期限的质疑。</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28.5.3以传真、电子邮件等方式递交的非原件形式的质疑。</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28.5.4未参加投标活动的供应商或在投标活动中自身权益未受到损害的供应商所提出的质疑。</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28.5.5供应商组成联合体参加投标，联合体中任何一方或多方未按要求签字、盖章、加盖公章的质疑。</w:t>
      </w:r>
      <w:r/>
    </w:p>
    <w:p>
      <w:pPr>
        <w:pStyle w:val="855"/>
        <w:ind w:firstLine="468"/>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855"/>
        <w:ind w:firstLine="600"/>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29、中标通知书</w:t>
      </w:r>
      <w:r/>
    </w:p>
    <w:p>
      <w:pPr>
        <w:pStyle w:val="855"/>
        <w:ind w:firstLine="60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29.l中标结果确定后，代理机构将向中标人发</w:t>
      </w:r>
      <w:r>
        <w:rPr>
          <w:rFonts w:hint="eastAsia" w:ascii="宋体" w:hAnsi="宋体" w:eastAsia="宋体" w:cs="宋体"/>
        </w:rPr>
        <w:t xml:space="preserve">出中标通知书。请中标人在中标结果公告届满之日起30日内,使用CA数字证书登录苏采云系统及时下载中标通知书。因系统存储空间有限，自中标结果公告届满之日起30日后，苏采</w:t>
      </w:r>
      <w:r>
        <w:rPr>
          <w:rFonts w:hint="eastAsia" w:ascii="宋体" w:hAnsi="宋体" w:eastAsia="宋体" w:cs="宋体"/>
        </w:rPr>
        <w:t xml:space="preserve">云系统不再保证提供下载中标通知书服务,因未及时下载而造成的不利后果由中标人自行承担。</w:t>
      </w:r>
      <w:r/>
    </w:p>
    <w:p>
      <w:pPr>
        <w:pStyle w:val="855"/>
        <w:ind w:firstLine="60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29.2中标通知书将是合同的一个组成部分。对采购人和中标人均具有法律</w:t>
      </w:r>
      <w:r>
        <w:rPr>
          <w:rFonts w:hint="eastAsia" w:ascii="宋体" w:hAnsi="宋体" w:eastAsia="宋体" w:cs="宋体"/>
          <w:color w:val="000000"/>
        </w:rPr>
        <w:t xml:space="preserve">效力。中标通知书发出后，采购人改变中标结果的，或者中标人放弃中标项目的，应当依法承担法律责任。</w:t>
      </w:r>
      <w:r/>
    </w:p>
    <w:p>
      <w:pPr>
        <w:pStyle w:val="855"/>
        <w:jc w:val="both"/>
        <w:keepLines/>
        <w:keepNext/>
        <w:spacing w:before="145" w:beforeAutospacing="0" w:after="145" w:afterAutospacing="0" w:line="360" w:lineRule="auto"/>
        <w:rPr>
          <w:rFonts w:hint="eastAsia" w:ascii="宋体" w:hAnsi="宋体" w:eastAsia="宋体" w:cs="宋体"/>
        </w:rPr>
      </w:pPr>
      <w:r/>
      <w:bookmarkStart w:id="164" w:name="_Toc16938552"/>
      <w:r/>
      <w:bookmarkStart w:id="165" w:name="_Toc20823308"/>
      <w:r/>
      <w:bookmarkStart w:id="166" w:name="_Toc513029236"/>
      <w:r/>
      <w:bookmarkStart w:id="167" w:name="_Toc120614220"/>
      <w:r>
        <w:rPr>
          <w:rFonts w:hint="eastAsia" w:ascii="宋体" w:hAnsi="宋体" w:eastAsia="宋体" w:cs="宋体"/>
          <w:b/>
          <w:color w:val="000000"/>
        </w:rPr>
        <w:t xml:space="preserve">七、授予合同</w:t>
      </w:r>
      <w:bookmarkEnd w:id="164"/>
      <w:r/>
      <w:bookmarkEnd w:id="165"/>
      <w:r/>
      <w:bookmarkEnd w:id="166"/>
      <w:r/>
      <w:bookmarkEnd w:id="167"/>
      <w:r/>
      <w:r/>
    </w:p>
    <w:p>
      <w:pPr>
        <w:pStyle w:val="855"/>
        <w:ind w:firstLine="600"/>
        <w:jc w:val="both"/>
        <w:keepLines/>
        <w:keepNext/>
        <w:spacing w:beforeAutospacing="0" w:afterAutospacing="0" w:line="360" w:lineRule="auto"/>
        <w:rPr>
          <w:rFonts w:hint="eastAsia" w:ascii="宋体" w:hAnsi="宋体" w:eastAsia="宋体" w:cs="宋体"/>
        </w:rPr>
      </w:pPr>
      <w:r/>
      <w:bookmarkStart w:id="168" w:name="_Toc16938553"/>
      <w:r/>
      <w:bookmarkStart w:id="169" w:name="_Toc20823309"/>
      <w:r/>
      <w:bookmarkStart w:id="170" w:name="_Toc513029237"/>
      <w:r>
        <w:rPr>
          <w:rFonts w:hint="eastAsia" w:ascii="宋体" w:hAnsi="宋体" w:eastAsia="宋体" w:cs="宋体"/>
          <w:color w:val="000000"/>
        </w:rPr>
        <w:t xml:space="preserve">30.签订合同</w:t>
      </w:r>
      <w:bookmarkEnd w:id="168"/>
      <w:r/>
      <w:bookmarkEnd w:id="169"/>
      <w:r/>
      <w:bookmarkEnd w:id="170"/>
      <w:r/>
      <w:r/>
    </w:p>
    <w:p>
      <w:pPr>
        <w:pStyle w:val="855"/>
        <w:ind w:firstLine="60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30.l中标人应当在中标通知书发出之日起三十日内，按照招标文件确定的事项与采购人签订政府采购合同。</w:t>
      </w:r>
      <w:r/>
    </w:p>
    <w:p>
      <w:pPr>
        <w:pStyle w:val="855"/>
        <w:ind w:firstLine="60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30.2招标文件、中标人的投标文件及招标过程中有关澄清、承诺文件均应作为合同附件。</w:t>
      </w:r>
      <w:r/>
    </w:p>
    <w:p>
      <w:pPr>
        <w:pStyle w:val="855"/>
        <w:ind w:firstLine="60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30.3签订合同后，</w:t>
      </w:r>
      <w:r>
        <w:rPr>
          <w:rFonts w:hint="eastAsia" w:ascii="宋体" w:hAnsi="宋体" w:eastAsia="宋体" w:cs="宋体"/>
          <w:i/>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855"/>
        <w:ind w:firstLine="600"/>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31、服务（包含与服务相关的货物）的追加</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55"/>
        <w:ind w:firstLine="600"/>
        <w:jc w:val="both"/>
        <w:keepLines/>
        <w:keepNext/>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32.政府采购政策功能落实</w:t>
      </w:r>
      <w:r/>
    </w:p>
    <w:p>
      <w:pPr>
        <w:pStyle w:val="855"/>
        <w:ind w:firstLine="600"/>
        <w:jc w:val="both"/>
        <w:keepLines/>
        <w:keepNext/>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32.1政府采购线上合同信用融资政策</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360" w:lineRule="auto"/>
        <w:tabs>
          <w:tab w:val="left" w:pos="1381" w:leader="none"/>
        </w:tabs>
        <w:rPr>
          <w:rFonts w:hint="eastAsia" w:ascii="宋体" w:hAnsi="宋体" w:eastAsia="宋体" w:cs="宋体"/>
          <w:color w:val="000000"/>
          <w:sz w:val="24"/>
        </w:rPr>
      </w:pPr>
      <w:r>
        <w:rPr>
          <w:rFonts w:hint="eastAsia" w:ascii="宋体" w:hAnsi="宋体" w:eastAsia="宋体" w:cs="宋体"/>
          <w:color w:val="000000"/>
          <w:sz w:val="24"/>
        </w:rPr>
        <w:t xml:space="preserve">32.2进口产品</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进口产品指通过中国海关报关验放进入中国境内且产自关境外的产品，包括已经进入中国境内的进口产品。关于进口产品的相关规定依据《政府采购进</w:t>
      </w:r>
      <w:r>
        <w:rPr>
          <w:rFonts w:hint="eastAsia" w:ascii="宋体" w:hAnsi="宋体" w:eastAsia="宋体" w:cs="宋体"/>
          <w:color w:val="000000"/>
        </w:rPr>
        <w:t xml:space="preserve">口产品管理办法》（财库〔2007〕119号文）、《关于政府采购进口产品管理有关问题的通知》（财办库〔2008〕248号文）。</w:t>
      </w:r>
      <w:r/>
    </w:p>
    <w:p>
      <w:pPr>
        <w:ind w:firstLine="482"/>
        <w:spacing w:line="360" w:lineRule="auto"/>
        <w:tabs>
          <w:tab w:val="left" w:pos="1381" w:leader="none"/>
        </w:tabs>
        <w:rPr>
          <w:rFonts w:hint="eastAsia" w:ascii="宋体" w:hAnsi="宋体" w:eastAsia="宋体" w:cs="宋体"/>
          <w:color w:val="000000"/>
          <w:sz w:val="24"/>
        </w:rPr>
      </w:pPr>
      <w:r>
        <w:rPr>
          <w:rFonts w:hint="eastAsia" w:ascii="宋体" w:hAnsi="宋体" w:eastAsia="宋体" w:cs="宋体"/>
          <w:color w:val="000000"/>
          <w:sz w:val="24"/>
        </w:rPr>
        <w:t xml:space="preserve">32.3中小企业、监狱企业及残疾人福利性单位</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32.3.1中小企业定义：</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中小企业是</w:t>
      </w:r>
      <w:r>
        <w:rPr>
          <w:rFonts w:hint="eastAsia" w:ascii="宋体" w:hAnsi="宋体" w:eastAsia="宋体" w:cs="宋体"/>
          <w:color w:val="000000"/>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32.3.2供应商提供的货物、工程或者服务符合下列情形的，享受中小企业扶持政策：</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32.3.2.1在货物采购项目中，货物由中小企业制造，即货物由中小企业生产且使用该中小企业商号或者注册商标；</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32.3.2.2在工程采购项目中，工程由中小企业承建，即工程施工单位为中小企业；</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32.3.2.3在服务采购项目中，服务由中小企业承接，即提供服务的人员为中小企业依照《中华人民共和国劳动合同法》订立劳动合同的从业人员。</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32.3.3在货物采购项目中，供应商提供的货物既有中小企业制造货物，也有大型企业制造货物的，不享受中小企业扶持政策。</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32.3.4以联合体形式参加政府采购活动，联合体各方均为中小企业的，联合体视同中小企业。其中，联合体各方均为小微企业的，联合体视同小微企业。</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32.3.6残疾人福利单位定义：享受政府采购支持政策的残疾人福利性单位</w:t>
      </w:r>
      <w:r>
        <w:rPr>
          <w:rFonts w:hint="eastAsia" w:ascii="宋体" w:hAnsi="宋体" w:eastAsia="宋体" w:cs="宋体"/>
          <w:color w:val="000000"/>
        </w:rPr>
        <w:t xml:space="preserve">应当同时满足以下条件：</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32.3.6.1安置的残疾人占本单位在职职工人数的比例不低于25%（含25%），并且安置的残疾人人数不少于10 人（含10 人）；</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32.3.6.2依法与安置的每位残疾人签订了一年以上（含一年）的劳动合同或服务协议；</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32.3.6.3为安置的每位残疾人按月足额缴纳了基本养老保险、基本医疗保险、失业保险、工伤保险和生育保险等社会保险费；</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32.3.6.4通过银行等金融机构向安置的每位残疾人，按月支付了不低于单位所在区县适用的经省级人民政府批准的月最低工资标准的工资；</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32.3.6.5提供本单位制造的货物、承担的工程或者服务（以下简称产品），或者提供其他残疾人福利性单位制造的货物（不包括使用非残疾人福利性单位注册商标的货物）；</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32.3.7本项目是否专门面向中小企业预留采购份额见第一章《</w:t>
      </w:r>
      <w:r>
        <w:rPr>
          <w:rFonts w:hint="eastAsia" w:ascii="宋体" w:hAnsi="宋体" w:eastAsia="宋体" w:cs="宋体"/>
        </w:rPr>
        <w:t xml:space="preserve">招标公告</w:t>
      </w:r>
      <w:r>
        <w:rPr>
          <w:rFonts w:hint="eastAsia" w:ascii="宋体" w:hAnsi="宋体" w:eastAsia="宋体" w:cs="宋体"/>
          <w:color w:val="000000"/>
        </w:rPr>
        <w:t xml:space="preserve">》。</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32.3.8采购标的对应的中小企业划分标准所属行业见第四章《采购需求》。</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32.3.9小微企业价格评审优惠的政策：见第五章《评标方法和评标标准》。</w:t>
      </w:r>
      <w:r/>
    </w:p>
    <w:p>
      <w:pPr>
        <w:pStyle w:val="855"/>
        <w:ind w:firstLine="426"/>
        <w:jc w:val="both"/>
        <w:keepLines/>
        <w:keepNext/>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32.4政府采购节能产品、环境标志产品</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32.4.1严格执行政府采购关于支持</w:t>
      </w:r>
      <w:r>
        <w:rPr>
          <w:rFonts w:hint="eastAsia" w:ascii="宋体" w:hAnsi="宋体" w:eastAsia="宋体" w:cs="宋体"/>
          <w:color w:val="000000"/>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32.4.2节能、环保产品的品目清单按照《关于印发环境标志产品政府采购品目清单的通知》（财库〔2019〕18号）、《关于印发节能产品政府采购品目</w:t>
      </w:r>
      <w:r>
        <w:rPr>
          <w:rFonts w:hint="eastAsia" w:ascii="宋体" w:hAnsi="宋体" w:eastAsia="宋体" w:cs="宋体"/>
          <w:color w:val="000000"/>
        </w:rPr>
        <w:t xml:space="preserve">清单的通知》（财库〔2019〕19号）执行。国家对品目清单进行调整的，按照最新调整的品目清单执行。</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32.5绿色包装</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360" w:lineRule="auto"/>
        <w:tabs>
          <w:tab w:val="left" w:pos="1381" w:leader="none"/>
        </w:tabs>
        <w:rPr>
          <w:rFonts w:hint="eastAsia" w:ascii="宋体" w:hAnsi="宋体" w:eastAsia="宋体" w:cs="宋体"/>
          <w:color w:val="000000"/>
          <w:sz w:val="24"/>
        </w:rPr>
      </w:pPr>
      <w:r>
        <w:rPr>
          <w:rFonts w:hint="eastAsia" w:ascii="宋体" w:hAnsi="宋体" w:eastAsia="宋体" w:cs="宋体"/>
          <w:color w:val="000000"/>
          <w:sz w:val="24"/>
        </w:rPr>
        <w:t xml:space="preserve">32.6政府采购创新产品</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采购人优先采购各级政府部门公开发布的有效期内的创新产品、创新服务、首台套、首购首用等《目录》的创新产品。</w:t>
      </w:r>
      <w:r/>
    </w:p>
    <w:p>
      <w:pPr>
        <w:ind w:firstLine="482"/>
        <w:spacing w:line="360" w:lineRule="auto"/>
        <w:tabs>
          <w:tab w:val="left" w:pos="1381" w:leader="none"/>
        </w:tabs>
        <w:rPr>
          <w:rFonts w:hint="eastAsia" w:ascii="宋体" w:hAnsi="宋体" w:eastAsia="宋体" w:cs="宋体"/>
          <w:color w:val="000000"/>
          <w:sz w:val="24"/>
        </w:rPr>
      </w:pPr>
      <w:r>
        <w:rPr>
          <w:rFonts w:hint="eastAsia" w:ascii="宋体" w:hAnsi="宋体" w:eastAsia="宋体" w:cs="宋体"/>
          <w:color w:val="000000"/>
          <w:sz w:val="24"/>
        </w:rPr>
        <w:t xml:space="preserve">32.7绿色数据中心政策 </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本文件中若涉及到数据中心采购，采购人应依据《绿色数据中心政府采购需求标准（试行）》（财办库〔2023〕7号）文件精神</w:t>
      </w:r>
      <w:r>
        <w:rPr>
          <w:rFonts w:hint="eastAsia" w:ascii="宋体" w:hAnsi="宋体" w:eastAsia="宋体" w:cs="宋体"/>
          <w:color w:val="000000"/>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360" w:lineRule="auto"/>
        <w:rPr>
          <w:rFonts w:hint="eastAsia" w:ascii="宋体" w:hAnsi="宋体" w:eastAsia="宋体" w:cs="宋体"/>
          <w:b/>
          <w:bCs/>
          <w:color w:val="ff0000"/>
          <w:sz w:val="24"/>
        </w:rPr>
      </w:pPr>
      <w:r>
        <w:rPr>
          <w:rFonts w:hint="eastAsia" w:ascii="宋体" w:hAnsi="宋体" w:eastAsia="宋体" w:cs="宋体"/>
          <w:b/>
          <w:bCs/>
          <w:color w:val="ff0000"/>
          <w:sz w:val="24"/>
        </w:rPr>
        <w:t xml:space="preserve">32.8实施本国产品标准及相关政策</w:t>
      </w:r>
      <w:r/>
    </w:p>
    <w:p>
      <w:pPr>
        <w:ind w:firstLine="482"/>
        <w:spacing w:line="360" w:lineRule="auto"/>
        <w:rPr>
          <w:rFonts w:hint="eastAsia" w:ascii="宋体" w:hAnsi="宋体" w:eastAsia="宋体" w:cs="宋体"/>
          <w:b/>
          <w:bCs/>
          <w:color w:val="ff0000"/>
          <w:sz w:val="24"/>
        </w:rPr>
      </w:pPr>
      <w:r>
        <w:rPr>
          <w:rFonts w:hint="eastAsia" w:ascii="宋体" w:hAnsi="宋体" w:eastAsia="宋体" w:cs="宋体"/>
          <w:b/>
          <w:bCs/>
          <w:color w:val="ff0000"/>
          <w:sz w:val="24"/>
        </w:rPr>
        <w:t xml:space="preserve">1.本项目对采购本国产品给予政策支持，具体内容见招标文件“第五章 评标方法与评标标准”。</w:t>
      </w:r>
      <w:r/>
    </w:p>
    <w:p>
      <w:pPr>
        <w:ind w:firstLine="482"/>
        <w:spacing w:line="360" w:lineRule="auto"/>
        <w:rPr>
          <w:rFonts w:hint="eastAsia" w:ascii="宋体" w:hAnsi="宋体" w:eastAsia="宋体" w:cs="宋体"/>
          <w:b/>
          <w:bCs/>
          <w:color w:val="ff0000"/>
          <w:sz w:val="24"/>
        </w:rPr>
      </w:pPr>
      <w:r>
        <w:rPr>
          <w:rFonts w:hint="eastAsia" w:ascii="宋体" w:hAnsi="宋体" w:eastAsia="宋体" w:cs="宋体"/>
          <w:b/>
          <w:bCs/>
          <w:color w:val="ff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360" w:lineRule="auto"/>
        <w:rPr>
          <w:rFonts w:hint="eastAsia" w:ascii="宋体" w:hAnsi="宋体" w:eastAsia="宋体" w:cs="宋体"/>
          <w:color w:val="ff0000"/>
          <w:sz w:val="24"/>
        </w:rPr>
      </w:pPr>
      <w:r>
        <w:rPr>
          <w:rFonts w:hint="eastAsia" w:ascii="宋体" w:hAnsi="宋体" w:eastAsia="宋体" w:cs="宋体"/>
          <w:b/>
          <w:bCs/>
          <w:color w:val="ff0000"/>
          <w:sz w:val="24"/>
        </w:rPr>
        <w:t xml:space="preserve">3.本国产品应当在中国境内生产，即在中华人民共和国关境内实现从原材料、组件到产品的属性改变。从具体情形看，在国内保税区、综合保税区等海</w:t>
      </w:r>
      <w:r>
        <w:rPr>
          <w:rFonts w:hint="eastAsia" w:ascii="宋体" w:hAnsi="宋体" w:eastAsia="宋体" w:cs="宋体"/>
          <w:b/>
          <w:bCs/>
          <w:color w:val="ff0000"/>
          <w:sz w:val="24"/>
        </w:rPr>
        <w:t xml:space="preserve">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rPr>
          <w:rFonts w:hint="eastAsia" w:ascii="宋体" w:hAnsi="宋体" w:eastAsia="宋体" w:cs="宋体"/>
          <w:b/>
          <w:bCs/>
          <w:color w:val="ff0000"/>
          <w:sz w:val="24"/>
        </w:rPr>
      </w:pPr>
      <w:r>
        <w:rPr>
          <w:rFonts w:hint="eastAsia" w:ascii="宋体" w:hAnsi="宋体" w:eastAsia="宋体" w:cs="宋体"/>
          <w:b/>
          <w:bCs/>
          <w:color w:val="ff0000"/>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spacing w:line="360" w:lineRule="auto"/>
        <w:tabs>
          <w:tab w:val="left" w:pos="1381" w:leader="none"/>
        </w:tabs>
        <w:rPr>
          <w:rFonts w:hint="eastAsia" w:ascii="宋体" w:hAnsi="宋体" w:eastAsia="宋体" w:cs="宋体"/>
          <w:color w:val="000000"/>
          <w:sz w:val="24"/>
        </w:rPr>
      </w:pPr>
      <w:r>
        <w:rPr>
          <w:rFonts w:hint="eastAsia" w:ascii="宋体" w:hAnsi="宋体" w:eastAsia="宋体" w:cs="宋体"/>
          <w:color w:val="000000"/>
          <w:sz w:val="24"/>
        </w:rPr>
        <w:t xml:space="preserve">32.9履约保证金政策</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确需收取履约保证金的，履约保证金的缴纳形式：</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 如以履约保函（保险）形式缴纳履约保证金，供应商可通过政府采购电子履约保函（保险）平台（www.jsdzbh.com）在线申请履约保函（保险）。</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33. 预付款制度</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本项目落实预付款制度，预付款比例为30%</w:t>
      </w:r>
      <w:r>
        <w:rPr>
          <w:rFonts w:hint="eastAsia" w:ascii="宋体" w:hAnsi="宋体" w:eastAsia="宋体" w:cs="宋体"/>
        </w:rPr>
        <w:t xml:space="preserve">（原则上不低于合同金额的30%）</w:t>
      </w:r>
      <w:r>
        <w:rPr>
          <w:rFonts w:hint="eastAsia" w:ascii="宋体" w:hAnsi="宋体" w:eastAsia="宋体" w:cs="宋体"/>
          <w:color w:val="000000"/>
        </w:rPr>
        <w:t xml:space="preserve">。在签订合同时，中标、成交供应商明确书面表示无需预付款或者主动要求降低预付款比例的，采购人可就预付款比例作相应调整。</w:t>
      </w:r>
      <w:r/>
    </w:p>
    <w:p>
      <w:pPr>
        <w:pStyle w:val="85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55"/>
        <w:jc w:val="both"/>
        <w:spacing w:beforeAutospacing="0" w:afterAutospacing="0"/>
        <w:rPr>
          <w:rFonts w:hint="eastAsia" w:ascii="宋体" w:hAnsi="宋体" w:eastAsia="宋体" w:cs="宋体"/>
        </w:rPr>
      </w:pPr>
      <w:r>
        <w:rPr>
          <w:rFonts w:hint="eastAsia" w:ascii="宋体" w:hAnsi="宋体" w:eastAsia="宋体" w:cs="宋体"/>
        </w:rPr>
      </w:r>
      <w:r/>
    </w:p>
    <w:p>
      <w:pPr>
        <w:pStyle w:val="855"/>
        <w:jc w:val="both"/>
        <w:spacing w:beforeAutospacing="0" w:afterAutospacing="0"/>
        <w:rPr>
          <w:rFonts w:hint="eastAsia" w:ascii="宋体" w:hAnsi="宋体" w:eastAsia="宋体" w:cs="宋体"/>
        </w:rPr>
      </w:pPr>
      <w:r>
        <w:rPr>
          <w:rFonts w:hint="eastAsia" w:ascii="宋体" w:hAnsi="宋体" w:eastAsia="宋体" w:cs="宋体"/>
        </w:rPr>
      </w:r>
      <w:r/>
    </w:p>
    <w:p>
      <w:pPr>
        <w:pStyle w:val="855"/>
        <w:jc w:val="both"/>
        <w:spacing w:beforeAutospacing="0" w:afterAutospacing="0"/>
        <w:rPr>
          <w:rFonts w:hint="eastAsia" w:ascii="宋体" w:hAnsi="宋体" w:eastAsia="宋体" w:cs="宋体"/>
        </w:rPr>
      </w:pPr>
      <w:r>
        <w:rPr>
          <w:rFonts w:hint="eastAsia" w:ascii="宋体" w:hAnsi="宋体" w:eastAsia="宋体" w:cs="宋体"/>
        </w:rPr>
      </w:r>
      <w:r/>
    </w:p>
    <w:p>
      <w:pPr>
        <w:pStyle w:val="855"/>
        <w:jc w:val="both"/>
        <w:spacing w:beforeAutospacing="0" w:afterAutospacing="0"/>
        <w:rPr>
          <w:rFonts w:hint="eastAsia" w:ascii="宋体" w:hAnsi="宋体" w:eastAsia="宋体" w:cs="宋体"/>
        </w:rPr>
      </w:pPr>
      <w:r>
        <w:rPr>
          <w:rFonts w:hint="eastAsia" w:ascii="宋体" w:hAnsi="宋体" w:eastAsia="宋体" w:cs="宋体"/>
        </w:rPr>
      </w:r>
      <w:r/>
    </w:p>
    <w:p>
      <w:pPr>
        <w:pStyle w:val="855"/>
        <w:jc w:val="both"/>
        <w:spacing w:beforeAutospacing="0" w:afterAutospacing="0"/>
        <w:rPr>
          <w:rFonts w:hint="eastAsia" w:ascii="宋体" w:hAnsi="宋体" w:eastAsia="宋体" w:cs="宋体"/>
        </w:rPr>
      </w:pPr>
      <w:r>
        <w:rPr>
          <w:rFonts w:hint="eastAsia" w:ascii="宋体" w:hAnsi="宋体" w:eastAsia="宋体" w:cs="宋体"/>
        </w:rPr>
      </w:r>
      <w:r/>
    </w:p>
    <w:p>
      <w:pPr>
        <w:pStyle w:val="855"/>
        <w:jc w:val="both"/>
        <w:spacing w:beforeAutospacing="0" w:afterAutospacing="0"/>
        <w:rPr>
          <w:rFonts w:hint="eastAsia" w:ascii="宋体" w:hAnsi="宋体" w:eastAsia="宋体" w:cs="宋体"/>
        </w:rPr>
      </w:pPr>
      <w:r>
        <w:rPr>
          <w:rFonts w:hint="eastAsia" w:ascii="宋体" w:hAnsi="宋体" w:eastAsia="宋体" w:cs="宋体"/>
        </w:rPr>
      </w:r>
      <w:r/>
    </w:p>
    <w:p>
      <w:pPr>
        <w:pStyle w:val="855"/>
        <w:jc w:val="center"/>
        <w:spacing w:before="120" w:beforeAutospacing="0" w:after="120" w:afterAutospacing="0" w:line="500" w:lineRule="exact"/>
        <w:rPr>
          <w:rFonts w:hint="eastAsia" w:ascii="黑体" w:hAnsi="宋体" w:eastAsia="黑体" w:cs="黑体"/>
          <w:color w:val="000000"/>
          <w:sz w:val="44"/>
          <w:szCs w:val="44"/>
        </w:rPr>
        <w:outlineLvl w:val="0"/>
      </w:pPr>
      <w:r/>
      <w:bookmarkStart w:id="171" w:name="_Toc236900983"/>
      <w:r/>
      <w:bookmarkStart w:id="172" w:name="_Hlk237272614"/>
      <w:r>
        <w:rPr>
          <w:rFonts w:hint="eastAsia" w:ascii="黑体" w:hAnsi="宋体" w:eastAsia="黑体" w:cs="黑体"/>
          <w:color w:val="000000"/>
          <w:sz w:val="44"/>
          <w:szCs w:val="44"/>
        </w:rPr>
        <w:t xml:space="preserve">第三章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合同文本</w:t>
      </w:r>
      <w:bookmarkEnd w:id="171"/>
      <w:r/>
      <w:r/>
    </w:p>
    <w:p>
      <w:pPr>
        <w:pStyle w:val="855"/>
        <w:ind w:firstLine="480"/>
        <w:jc w:val="both"/>
        <w:spacing w:beforeAutospacing="0" w:afterAutospacing="0" w:line="500" w:lineRule="exact"/>
      </w:pPr>
      <w:r/>
      <w:bookmarkStart w:id="173" w:name="_Toc16938559"/>
      <w:r/>
      <w:bookmarkStart w:id="174" w:name="_Toc513029243"/>
      <w:r/>
      <w:bookmarkStart w:id="175" w:name="_Toc20823315"/>
      <w:r>
        <w:rPr>
          <w:rFonts w:hint="eastAsia" w:ascii="宋体" w:hAnsi="宋体" w:eastAsia="宋体" w:cs="宋体"/>
          <w:color w:val="000000"/>
        </w:rPr>
        <w:t xml:space="preserve">以下为中标后签订本项目合同的通用条款，中标人不得提出实质性的修改。</w:t>
      </w:r>
      <w:bookmarkEnd w:id="173"/>
      <w:r/>
      <w:bookmarkEnd w:id="174"/>
      <w:r/>
      <w:bookmarkEnd w:id="175"/>
      <w:r/>
      <w:r/>
    </w:p>
    <w:p>
      <w:pPr>
        <w:pStyle w:val="855"/>
        <w:jc w:val="center"/>
        <w:spacing w:before="145" w:beforeAutospacing="0" w:after="145" w:afterAutospacing="0" w:line="500" w:lineRule="exact"/>
      </w:pPr>
      <w:r>
        <w:rPr>
          <w:rFonts w:hint="eastAsia" w:ascii="宋体" w:hAnsi="宋体" w:eastAsia="宋体" w:cs="宋体"/>
          <w:b/>
          <w:color w:val="000000"/>
        </w:rPr>
        <w:t xml:space="preserve">政府采购合同</w:t>
      </w:r>
      <w:r/>
    </w:p>
    <w:p>
      <w:pPr>
        <w:ind w:firstLine="566"/>
        <w:spacing w:line="360" w:lineRule="auto"/>
        <w:rPr>
          <w:rFonts w:cs="宋体" w:asciiTheme="minorEastAsia" w:hAnsiTheme="minorEastAsia"/>
          <w:sz w:val="24"/>
        </w:rPr>
      </w:pPr>
      <w:r/>
      <w:bookmarkStart w:id="176" w:name="_Toc479757211"/>
      <w:r/>
      <w:bookmarkStart w:id="177" w:name="_Hlt16619350"/>
      <w:r/>
      <w:bookmarkStart w:id="178" w:name="_Toc20823346"/>
      <w:r/>
      <w:bookmarkStart w:id="179" w:name="_Toc16938590"/>
      <w:r/>
      <w:bookmarkStart w:id="180" w:name="_Toc120614244"/>
      <w:r/>
      <w:bookmarkStart w:id="181" w:name="_Toc462564139"/>
      <w:r/>
      <w:bookmarkStart w:id="182" w:name="_Hlt16619369"/>
      <w:r>
        <w:rPr>
          <w:rFonts w:hint="eastAsia" w:cs="宋体" w:asciiTheme="minorEastAsia" w:hAnsiTheme="minorEastAsia"/>
          <w:sz w:val="24"/>
          <w:lang w:bidi="ar"/>
        </w:rPr>
        <w:t xml:space="preserve">采购人：滨海县坎北街道中心小学             （以下简称甲方）</w:t>
      </w:r>
      <w:r/>
    </w:p>
    <w:p>
      <w:pPr>
        <w:ind w:firstLine="566"/>
        <w:spacing w:line="360" w:lineRule="auto"/>
        <w:rPr>
          <w:rFonts w:cs="宋体" w:asciiTheme="minorEastAsia" w:hAnsiTheme="minorEastAsia"/>
          <w:sz w:val="24"/>
        </w:rPr>
      </w:pPr>
      <w:r>
        <w:rPr>
          <w:rFonts w:hint="eastAsia" w:cs="宋体" w:asciiTheme="minorEastAsia" w:hAnsiTheme="minorEastAsia"/>
          <w:sz w:val="24"/>
          <w:lang w:bidi="ar"/>
        </w:rPr>
        <w:t xml:space="preserve">供应商：                                   （以下简称乙方） </w:t>
      </w:r>
      <w:r>
        <w:rPr>
          <w:rFonts w:hint="eastAsia" w:cs="宋体" w:asciiTheme="minorEastAsia" w:hAnsiTheme="minorEastAsia"/>
          <w:sz w:val="24"/>
        </w:rPr>
        <w:t xml:space="preserve"> </w:t>
      </w:r>
      <w:r/>
    </w:p>
    <w:p>
      <w:pPr>
        <w:ind w:firstLine="566"/>
        <w:spacing w:line="360" w:lineRule="auto"/>
        <w:rPr>
          <w:rFonts w:cs="宋体" w:asciiTheme="minorEastAsia" w:hAnsiTheme="minorEastAsia"/>
          <w:sz w:val="24"/>
          <w:lang w:bidi="ar"/>
        </w:rPr>
      </w:pPr>
      <w:r>
        <w:rPr>
          <w:rFonts w:hint="eastAsia" w:cs="宋体" w:asciiTheme="minorEastAsia" w:hAnsiTheme="minorEastAsia"/>
          <w:sz w:val="24"/>
          <w:lang w:bidi="ar"/>
        </w:rPr>
        <w:t xml:space="preserve">一、项目总要求</w:t>
      </w:r>
      <w:r/>
    </w:p>
    <w:p>
      <w:pPr>
        <w:ind w:firstLine="566"/>
        <w:spacing w:line="360" w:lineRule="auto"/>
        <w:rPr>
          <w:rFonts w:asciiTheme="minorEastAsia" w:hAnsiTheme="minorEastAsia"/>
          <w:sz w:val="24"/>
        </w:rPr>
      </w:pPr>
      <w:r>
        <w:rPr>
          <w:rFonts w:hint="eastAsia" w:asciiTheme="minorEastAsia" w:hAnsiTheme="minorEastAsia"/>
          <w:sz w:val="24"/>
        </w:rPr>
        <w:t xml:space="preserve">根据教育部办公厅印发的《中小学校园食品安全和膳食经费管理工作指引》、《省教育厅等七部门关于加强中小学食堂与校外供餐管理的通知》（苏教发函〔2024〕82号）等相关要求，选定乙方为本校的校外供餐单位，甲方对校外供餐单位进行监督，对发现有违反食品安全法律法规等行为的，应重新选定校外供餐单位，及时启动清退机制。</w:t>
      </w:r>
      <w:r/>
    </w:p>
    <w:p>
      <w:pPr>
        <w:ind w:firstLine="566"/>
        <w:spacing w:line="360" w:lineRule="auto"/>
        <w:rPr>
          <w:rFonts w:asciiTheme="minorEastAsia" w:hAnsiTheme="minorEastAsia"/>
          <w:sz w:val="24"/>
        </w:rPr>
      </w:pPr>
      <w:r>
        <w:rPr>
          <w:rFonts w:hint="eastAsia" w:asciiTheme="minorEastAsia" w:hAnsiTheme="minorEastAsia"/>
          <w:sz w:val="24"/>
        </w:rPr>
        <w:t xml:space="preserve">1.用餐人数：以2026-2027学年度实际在校就餐学生人数为准。</w:t>
      </w:r>
      <w:r/>
    </w:p>
    <w:p>
      <w:pPr>
        <w:ind w:firstLine="566"/>
        <w:spacing w:line="360" w:lineRule="auto"/>
        <w:rPr>
          <w:rFonts w:asciiTheme="minorEastAsia" w:hAnsiTheme="minorEastAsia"/>
          <w:sz w:val="24"/>
        </w:rPr>
      </w:pPr>
      <w:r>
        <w:rPr>
          <w:rFonts w:hint="eastAsia" w:asciiTheme="minorEastAsia" w:hAnsiTheme="minorEastAsia"/>
          <w:sz w:val="24"/>
        </w:rPr>
        <w:t xml:space="preserve">2.履约时间与履约地点</w:t>
      </w:r>
      <w:r/>
    </w:p>
    <w:p>
      <w:pPr>
        <w:ind w:firstLine="566"/>
        <w:spacing w:line="360" w:lineRule="auto"/>
        <w:rPr>
          <w:rFonts w:asciiTheme="minorEastAsia" w:hAnsiTheme="minorEastAsia"/>
          <w:sz w:val="24"/>
        </w:rPr>
      </w:pPr>
      <w:r>
        <w:rPr>
          <w:rFonts w:hint="eastAsia" w:asciiTheme="minorEastAsia" w:hAnsiTheme="minorEastAsia"/>
          <w:sz w:val="24"/>
        </w:rPr>
        <w:t xml:space="preserve">履约时间:一学年</w:t>
      </w:r>
      <w:r/>
    </w:p>
    <w:p>
      <w:pPr>
        <w:ind w:firstLine="566"/>
        <w:spacing w:line="360" w:lineRule="auto"/>
        <w:rPr>
          <w:rFonts w:cs="宋体" w:asciiTheme="minorEastAsia" w:hAnsiTheme="minorEastAsia"/>
          <w:sz w:val="24"/>
          <w:lang w:bidi="ar"/>
        </w:rPr>
      </w:pPr>
      <w:r>
        <w:rPr>
          <w:rFonts w:hint="eastAsia" w:asciiTheme="minorEastAsia" w:hAnsiTheme="minorEastAsia"/>
          <w:sz w:val="24"/>
        </w:rPr>
        <w:t xml:space="preserve">履约地点：</w:t>
      </w:r>
      <w:r>
        <w:rPr>
          <w:rFonts w:hint="eastAsia" w:ascii="宋体" w:hAnsi="宋体"/>
          <w:sz w:val="24"/>
        </w:rPr>
        <w:t xml:space="preserve">滨海县坎北街道中心小学、滨海县界牌镇第一中心小学、滨海县界牌镇第二中心小学、滨海县八滩镇第二中心小学、滨海县富康路实验小学、滨海县第二实验小学城南校区、滨海县农业产业园区中心小学、滨海县永宁路实验学校（永宁路校区、西湖校区）、滨海县五汛镇第二中心小学、滨海县滨海港镇中心小学、滨海县五汛镇中心小学。</w:t>
      </w:r>
      <w:r/>
    </w:p>
    <w:p>
      <w:pPr>
        <w:ind w:firstLine="566"/>
        <w:spacing w:line="360" w:lineRule="auto"/>
        <w:rPr>
          <w:rFonts w:cs="宋体" w:asciiTheme="minorEastAsia" w:hAnsiTheme="minorEastAsia"/>
          <w:sz w:val="24"/>
          <w:lang w:bidi="ar"/>
        </w:rPr>
      </w:pPr>
      <w:r>
        <w:rPr>
          <w:rFonts w:hint="eastAsia" w:cs="宋体" w:asciiTheme="minorEastAsia" w:hAnsiTheme="minorEastAsia"/>
          <w:sz w:val="24"/>
          <w:lang w:bidi="ar"/>
        </w:rPr>
        <w:t xml:space="preserve">3.下列文件为本合同不可分割部分，其中的条款与要求为本合同执行的依据：</w:t>
      </w:r>
      <w:r/>
    </w:p>
    <w:p>
      <w:pPr>
        <w:ind w:firstLine="566"/>
        <w:spacing w:line="360" w:lineRule="auto"/>
        <w:rPr>
          <w:rFonts w:cs="宋体" w:asciiTheme="minorEastAsia" w:hAnsiTheme="minorEastAsia"/>
          <w:sz w:val="24"/>
          <w:lang w:bidi="ar"/>
        </w:rPr>
      </w:pPr>
      <w:r>
        <w:rPr>
          <w:rFonts w:hint="eastAsia" w:cs="宋体" w:asciiTheme="minorEastAsia" w:hAnsiTheme="minorEastAsia"/>
          <w:sz w:val="24"/>
          <w:lang w:bidi="ar"/>
        </w:rPr>
        <w:t xml:space="preserve">① 中标通知书；</w:t>
      </w:r>
      <w:r/>
    </w:p>
    <w:p>
      <w:pPr>
        <w:ind w:firstLine="566"/>
        <w:spacing w:line="360" w:lineRule="auto"/>
        <w:rPr>
          <w:rFonts w:cs="宋体" w:asciiTheme="minorEastAsia" w:hAnsiTheme="minorEastAsia"/>
          <w:sz w:val="24"/>
          <w:lang w:bidi="ar"/>
        </w:rPr>
      </w:pPr>
      <w:r>
        <w:rPr>
          <w:rFonts w:hint="eastAsia" w:cs="宋体" w:asciiTheme="minorEastAsia" w:hAnsiTheme="minorEastAsia"/>
          <w:sz w:val="24"/>
          <w:lang w:bidi="ar"/>
        </w:rPr>
        <w:t xml:space="preserve">② 乙方的投标文件；</w:t>
      </w:r>
      <w:r/>
    </w:p>
    <w:p>
      <w:pPr>
        <w:ind w:firstLine="566"/>
        <w:spacing w:line="360" w:lineRule="auto"/>
        <w:rPr>
          <w:rFonts w:cs="宋体" w:asciiTheme="minorEastAsia" w:hAnsiTheme="minorEastAsia"/>
          <w:sz w:val="24"/>
          <w:lang w:bidi="ar"/>
        </w:rPr>
      </w:pPr>
      <w:r>
        <w:rPr>
          <w:rFonts w:hint="eastAsia" w:cs="宋体" w:asciiTheme="minorEastAsia" w:hAnsiTheme="minorEastAsia"/>
          <w:sz w:val="24"/>
          <w:lang w:bidi="ar"/>
        </w:rPr>
        <w:t xml:space="preserve">③ 乙方在采购过程中所作的其它承诺、声明、书面澄清等；</w:t>
      </w:r>
      <w:r/>
    </w:p>
    <w:p>
      <w:pPr>
        <w:ind w:firstLine="566"/>
        <w:spacing w:line="360" w:lineRule="auto"/>
        <w:rPr>
          <w:rFonts w:cs="宋体" w:asciiTheme="minorEastAsia" w:hAnsiTheme="minorEastAsia"/>
          <w:sz w:val="24"/>
          <w:lang w:bidi="ar"/>
        </w:rPr>
      </w:pPr>
      <w:r>
        <w:rPr>
          <w:rFonts w:hint="eastAsia" w:cs="宋体" w:asciiTheme="minorEastAsia" w:hAnsiTheme="minorEastAsia"/>
          <w:sz w:val="24"/>
          <w:lang w:bidi="ar"/>
        </w:rPr>
        <w:t xml:space="preserve">④ 采购文件及其附件；</w:t>
      </w:r>
      <w:r/>
    </w:p>
    <w:p>
      <w:pPr>
        <w:ind w:firstLine="566"/>
        <w:spacing w:line="360" w:lineRule="auto"/>
        <w:rPr>
          <w:rFonts w:cs="宋体" w:asciiTheme="minorEastAsia" w:hAnsiTheme="minorEastAsia"/>
          <w:sz w:val="24"/>
          <w:lang w:bidi="ar"/>
        </w:rPr>
      </w:pPr>
      <w:r>
        <w:rPr>
          <w:rFonts w:hint="eastAsia" w:cs="宋体" w:asciiTheme="minorEastAsia" w:hAnsiTheme="minorEastAsia"/>
          <w:sz w:val="24"/>
          <w:lang w:bidi="ar"/>
        </w:rPr>
        <w:t xml:space="preserve">⑤ 合同附件。</w:t>
      </w:r>
      <w:r/>
    </w:p>
    <w:p>
      <w:pPr>
        <w:ind w:firstLine="566"/>
        <w:spacing w:line="360" w:lineRule="auto"/>
        <w:rPr>
          <w:rFonts w:cs="宋体" w:asciiTheme="minorEastAsia" w:hAnsiTheme="minorEastAsia"/>
          <w:sz w:val="24"/>
          <w:lang w:bidi="ar"/>
        </w:rPr>
      </w:pPr>
      <w:r>
        <w:rPr>
          <w:rFonts w:hint="eastAsia" w:cs="宋体" w:asciiTheme="minorEastAsia" w:hAnsiTheme="minorEastAsia"/>
          <w:sz w:val="24"/>
          <w:lang w:bidi="ar"/>
        </w:rPr>
        <w:t xml:space="preserve">以上与本合同具有同等法律效力。</w:t>
      </w:r>
      <w:r/>
    </w:p>
    <w:p>
      <w:pPr>
        <w:ind w:firstLine="569"/>
        <w:spacing w:line="360" w:lineRule="auto"/>
        <w:rPr>
          <w:rFonts w:asciiTheme="minorEastAsia" w:hAnsiTheme="minorEastAsia"/>
          <w:b/>
          <w:sz w:val="24"/>
        </w:rPr>
      </w:pPr>
      <w:r>
        <w:rPr>
          <w:rFonts w:hint="eastAsia" w:asciiTheme="minorEastAsia" w:hAnsiTheme="minorEastAsia"/>
          <w:b/>
          <w:sz w:val="24"/>
        </w:rPr>
        <w:t xml:space="preserve">二、项目具体要求</w:t>
      </w:r>
      <w:r/>
    </w:p>
    <w:p>
      <w:pPr>
        <w:ind w:firstLine="569"/>
        <w:spacing w:line="360" w:lineRule="auto"/>
        <w:rPr>
          <w:rFonts w:asciiTheme="minorEastAsia" w:hAnsiTheme="minorEastAsia"/>
          <w:b/>
          <w:bCs/>
          <w:sz w:val="24"/>
        </w:rPr>
      </w:pPr>
      <w:r>
        <w:rPr>
          <w:rFonts w:hint="eastAsia" w:asciiTheme="minorEastAsia" w:hAnsiTheme="minorEastAsia"/>
          <w:b/>
          <w:bCs/>
          <w:sz w:val="24"/>
        </w:rPr>
        <w:t xml:space="preserve">1.食材质量</w:t>
      </w:r>
      <w:r/>
    </w:p>
    <w:p>
      <w:pPr>
        <w:ind w:firstLine="566"/>
        <w:spacing w:line="360" w:lineRule="auto"/>
        <w:rPr>
          <w:rFonts w:asciiTheme="minorEastAsia" w:hAnsiTheme="minorEastAsia"/>
          <w:sz w:val="24"/>
        </w:rPr>
      </w:pPr>
      <w:r>
        <w:rPr>
          <w:rFonts w:hint="eastAsia" w:asciiTheme="minorEastAsia" w:hAnsiTheme="minorEastAsia"/>
          <w:sz w:val="24"/>
        </w:rPr>
        <w:t xml:space="preserve">1）采购文件中有要求的按要求执行，没有要求的食材须符合相应国家标准，无国家标准的必须符合相关行业标准。如有国家最新标准按最新标准执行，总之按高标准执行。</w:t>
      </w:r>
      <w:r/>
    </w:p>
    <w:p>
      <w:pPr>
        <w:ind w:firstLine="566"/>
        <w:spacing w:line="360" w:lineRule="auto"/>
        <w:rPr>
          <w:rFonts w:asciiTheme="minorEastAsia" w:hAnsiTheme="minorEastAsia"/>
          <w:sz w:val="24"/>
        </w:rPr>
      </w:pPr>
      <w:r>
        <w:rPr>
          <w:rFonts w:hint="eastAsia" w:asciiTheme="minorEastAsia" w:hAnsiTheme="minorEastAsia"/>
          <w:sz w:val="24"/>
        </w:rPr>
        <w:t xml:space="preserve">2）配餐企业应当建立食品原料采购索证索票、进货查验和台账记录制度、每餐都必须留样，实现食材溯源。 </w:t>
      </w:r>
      <w:r/>
    </w:p>
    <w:p>
      <w:pPr>
        <w:ind w:firstLine="566"/>
        <w:spacing w:line="360" w:lineRule="auto"/>
        <w:rPr>
          <w:rFonts w:asciiTheme="minorEastAsia" w:hAnsiTheme="minorEastAsia"/>
          <w:sz w:val="24"/>
        </w:rPr>
      </w:pPr>
      <w:r>
        <w:rPr>
          <w:rFonts w:hint="eastAsia" w:asciiTheme="minorEastAsia" w:hAnsiTheme="minorEastAsia"/>
          <w:sz w:val="24"/>
        </w:rPr>
        <w:t xml:space="preserve">2.配餐标准</w:t>
      </w:r>
      <w:r/>
    </w:p>
    <w:p>
      <w:pPr>
        <w:ind w:firstLine="566"/>
        <w:spacing w:line="360" w:lineRule="auto"/>
        <w:rPr>
          <w:rFonts w:asciiTheme="minorEastAsia" w:hAnsiTheme="minorEastAsia"/>
          <w:sz w:val="24"/>
        </w:rPr>
      </w:pPr>
      <w:r>
        <w:rPr>
          <w:rFonts w:hint="eastAsia" w:asciiTheme="minorEastAsia" w:hAnsiTheme="minorEastAsia"/>
          <w:sz w:val="24"/>
        </w:rPr>
        <w:t xml:space="preserve">1）入口率：</w:t>
      </w:r>
      <w:r>
        <w:rPr>
          <w:rFonts w:hint="eastAsia" w:asciiTheme="minorEastAsia" w:hAnsiTheme="minorEastAsia"/>
          <w:b/>
          <w:bCs/>
          <w:color w:val="ee0000"/>
          <w:sz w:val="24"/>
        </w:rPr>
        <w:t xml:space="preserve">不得低于75%</w:t>
      </w:r>
      <w:r>
        <w:rPr>
          <w:rFonts w:hint="eastAsia" w:ascii="宋体" w:hAnsi="宋体"/>
          <w:b/>
          <w:bCs/>
          <w:color w:val="ee0000"/>
          <w:sz w:val="24"/>
        </w:rPr>
        <w:t xml:space="preserve">（入口率只包含入口主食材及调味品费用，不包含餐品加工制作、采购储存、运输配送等费用）</w:t>
      </w:r>
      <w:r/>
    </w:p>
    <w:p>
      <w:pPr>
        <w:ind w:firstLine="566"/>
        <w:spacing w:line="360" w:lineRule="auto"/>
        <w:rPr>
          <w:rFonts w:asciiTheme="minorEastAsia" w:hAnsiTheme="minorEastAsia"/>
          <w:sz w:val="24"/>
        </w:rPr>
      </w:pPr>
      <w:r>
        <w:rPr>
          <w:rFonts w:hint="eastAsia" w:asciiTheme="minorEastAsia" w:hAnsiTheme="minorEastAsia"/>
          <w:sz w:val="24"/>
        </w:rPr>
        <w:t xml:space="preserve">2）汤、饭均须不限量添加（免费添加的饭桶、汤桶须张贴“免费添加”标识）。</w:t>
      </w:r>
      <w:r/>
    </w:p>
    <w:p>
      <w:pPr>
        <w:ind w:firstLine="566"/>
        <w:spacing w:line="360" w:lineRule="auto"/>
        <w:rPr>
          <w:rFonts w:asciiTheme="minorEastAsia" w:hAnsiTheme="minorEastAsia"/>
          <w:sz w:val="24"/>
        </w:rPr>
      </w:pPr>
      <w:r>
        <w:rPr>
          <w:rFonts w:hint="eastAsia" w:asciiTheme="minorEastAsia" w:hAnsiTheme="minorEastAsia"/>
          <w:sz w:val="24"/>
        </w:rPr>
        <w:t xml:space="preserve">3）重大节假日期间，免费增加体现中华民族传统饮食文化的饮食项目。</w:t>
      </w:r>
      <w:r/>
    </w:p>
    <w:p>
      <w:pPr>
        <w:ind w:firstLine="566"/>
        <w:spacing w:line="360" w:lineRule="auto"/>
        <w:rPr>
          <w:rFonts w:asciiTheme="minorEastAsia" w:hAnsiTheme="minorEastAsia"/>
          <w:sz w:val="24"/>
        </w:rPr>
      </w:pPr>
      <w:r>
        <w:rPr>
          <w:rFonts w:hint="eastAsia" w:asciiTheme="minorEastAsia" w:hAnsiTheme="minorEastAsia"/>
          <w:sz w:val="24"/>
        </w:rPr>
        <w:t xml:space="preserve">乙方应当配备有资质的营养师依据《中国居民膳食指南》及《学生餐营养指南》，设计包含蛋白质、脂肪酸、碳水化合物、维生素、矿物质等营养素的菜单。营养师负责指导制定每周学生食谱，并对热能、蛋白质、脂肪等营养素进行测算评价，或通过抽样检测学生营养素实际含量。</w:t>
      </w:r>
      <w:r/>
    </w:p>
    <w:p>
      <w:pPr>
        <w:ind w:firstLine="566"/>
        <w:spacing w:line="360" w:lineRule="auto"/>
        <w:rPr>
          <w:rFonts w:asciiTheme="minorEastAsia" w:hAnsiTheme="minorEastAsia"/>
          <w:sz w:val="24"/>
        </w:rPr>
      </w:pPr>
      <w:r>
        <w:rPr>
          <w:rFonts w:hint="eastAsia" w:asciiTheme="minorEastAsia" w:hAnsiTheme="minorEastAsia"/>
          <w:sz w:val="24"/>
        </w:rPr>
        <w:t xml:space="preserve">膳食品种要全面多样，每周星期三前提供下一周带量带价菜（食）谱，供学校膳食监督家长委员会审定并公示，同时严格按食谱配送餐。膳食管理家长委员会组织学校管理人员、学生家长驻点轮值，全程予以监督。</w:t>
      </w:r>
      <w:r/>
    </w:p>
    <w:p>
      <w:pPr>
        <w:ind w:firstLine="566"/>
        <w:spacing w:line="360" w:lineRule="auto"/>
        <w:rPr>
          <w:rFonts w:asciiTheme="minorEastAsia" w:hAnsiTheme="minorEastAsia"/>
          <w:sz w:val="24"/>
        </w:rPr>
      </w:pPr>
      <w:r>
        <w:rPr>
          <w:rFonts w:hint="eastAsia" w:asciiTheme="minorEastAsia" w:hAnsiTheme="minorEastAsia"/>
          <w:sz w:val="24"/>
        </w:rPr>
        <w:t xml:space="preserve">3.食材加工</w:t>
      </w:r>
      <w:r/>
    </w:p>
    <w:p>
      <w:pPr>
        <w:ind w:firstLine="566"/>
        <w:spacing w:line="360" w:lineRule="auto"/>
        <w:rPr>
          <w:rFonts w:asciiTheme="minorEastAsia" w:hAnsiTheme="minorEastAsia"/>
          <w:sz w:val="24"/>
        </w:rPr>
      </w:pPr>
      <w:r>
        <w:rPr>
          <w:rFonts w:hint="eastAsia" w:asciiTheme="minorEastAsia" w:hAnsiTheme="minorEastAsia"/>
          <w:sz w:val="24"/>
        </w:rPr>
        <w:t xml:space="preserve">乙方应当设置与生产流程及生产品种、数量相适应的加工场所以及原料贮存、装箱、成品储存、配送用具清洗消毒保洁以及更衣室、检验室和检验设备等。严把环境卫生关、餐饮具消毒关、清洗、制作、烹饪关，坚决杜绝食物中毒事件发生，接受学校、学生家长及社会各界的督查、检查、抽查。一旦</w:t>
      </w:r>
      <w:r>
        <w:rPr>
          <w:rFonts w:hint="eastAsia" w:ascii="宋体" w:hAnsi="宋体"/>
          <w:sz w:val="24"/>
        </w:rPr>
        <w:t xml:space="preserve">发生食品安全事故或其他食源性疾病</w:t>
      </w:r>
      <w:r>
        <w:rPr>
          <w:rFonts w:hint="eastAsia" w:asciiTheme="minorEastAsia" w:hAnsiTheme="minorEastAsia"/>
          <w:sz w:val="24"/>
        </w:rPr>
        <w:t xml:space="preserve">等突发卫生事件，应承担全部经济责任和法律责任，</w:t>
      </w:r>
      <w:r>
        <w:rPr>
          <w:rFonts w:hint="eastAsia" w:ascii="宋体" w:hAnsi="宋体"/>
          <w:sz w:val="24"/>
        </w:rPr>
        <w:t xml:space="preserve">并应及时向采购人、市场监督部门和卫健部门汇报</w:t>
      </w:r>
      <w:r>
        <w:rPr>
          <w:rFonts w:hint="eastAsia" w:asciiTheme="minorEastAsia" w:hAnsiTheme="minorEastAsia"/>
          <w:sz w:val="24"/>
        </w:rPr>
        <w:t xml:space="preserve">。</w:t>
      </w:r>
      <w:r/>
    </w:p>
    <w:p>
      <w:pPr>
        <w:ind w:firstLine="566"/>
        <w:spacing w:line="360" w:lineRule="auto"/>
        <w:rPr>
          <w:rFonts w:asciiTheme="minorEastAsia" w:hAnsiTheme="minorEastAsia"/>
          <w:sz w:val="24"/>
        </w:rPr>
      </w:pPr>
      <w:r>
        <w:rPr>
          <w:rFonts w:hint="eastAsia" w:asciiTheme="minorEastAsia" w:hAnsiTheme="minorEastAsia"/>
          <w:sz w:val="24"/>
        </w:rPr>
        <w:t xml:space="preserve">1）食品应使用密闭容器盛放。</w:t>
      </w:r>
      <w:r/>
    </w:p>
    <w:p>
      <w:pPr>
        <w:ind w:firstLine="566"/>
        <w:spacing w:line="360" w:lineRule="auto"/>
        <w:rPr>
          <w:rFonts w:asciiTheme="minorEastAsia" w:hAnsiTheme="minorEastAsia"/>
          <w:sz w:val="24"/>
        </w:rPr>
      </w:pPr>
      <w:r>
        <w:rPr>
          <w:rFonts w:hint="eastAsia" w:asciiTheme="minorEastAsia" w:hAnsiTheme="minorEastAsia"/>
          <w:sz w:val="24"/>
        </w:rPr>
        <w:t xml:space="preserve">2）应当在容器上标注食用时限和食用方法。不得加工隔餐的剩余食品，不得将收回后的食品经加工后再次配送。需要熟制加工的食品应烧熟烧透。食品变质变味或有其他不符合食品安全标准情形的，必须全部收回并销毁。</w:t>
      </w:r>
      <w:r/>
    </w:p>
    <w:p>
      <w:pPr>
        <w:ind w:firstLine="566"/>
        <w:spacing w:line="360" w:lineRule="auto"/>
        <w:rPr>
          <w:rFonts w:asciiTheme="minorEastAsia" w:hAnsiTheme="minorEastAsia"/>
          <w:sz w:val="24"/>
        </w:rPr>
      </w:pPr>
      <w:r>
        <w:rPr>
          <w:rFonts w:hint="eastAsia" w:asciiTheme="minorEastAsia" w:hAnsiTheme="minorEastAsia"/>
          <w:sz w:val="24"/>
        </w:rPr>
        <w:t xml:space="preserve">3）乙方用于盛装膳食的容器应当清洁、无毒且符合国家相关安全标准的</w:t>
      </w:r>
      <w:r>
        <w:rPr>
          <w:rFonts w:hint="eastAsia" w:asciiTheme="minorEastAsia" w:hAnsiTheme="minorEastAsia"/>
          <w:sz w:val="24"/>
        </w:rPr>
        <w:t xml:space="preserve">规定，在高温、微波加热等特定贮存和使用条件下不影响食品安全。重复使用的餐盒和容器在使用前应彻底清洗并消毒(因材质、大小等原因无法采用热力方式的，应采用其他符合规定的方式)。</w:t>
      </w:r>
      <w:r/>
    </w:p>
    <w:p>
      <w:pPr>
        <w:ind w:firstLine="566"/>
        <w:spacing w:line="360" w:lineRule="auto"/>
        <w:rPr>
          <w:rFonts w:asciiTheme="minorEastAsia" w:hAnsiTheme="minorEastAsia"/>
          <w:sz w:val="24"/>
        </w:rPr>
      </w:pPr>
      <w:r>
        <w:rPr>
          <w:rFonts w:hint="eastAsia" w:asciiTheme="minorEastAsia" w:hAnsiTheme="minorEastAsia"/>
          <w:sz w:val="24"/>
        </w:rPr>
        <w:t xml:space="preserve">4）实施“互联网+明厨亮灶”工程，加入江苏省食品经营安全智慧监管平台和滨海县教育局网络监控平台，主动接受市场监管、教育部门、学校和家长代表监督。建立食品加工全过程实时视频监控系统且配备的监控系统视频保存不少于30天（监管平台要求超过30天的，以平台要求时间为准）。</w:t>
      </w:r>
      <w:r/>
    </w:p>
    <w:p>
      <w:pPr>
        <w:ind w:firstLine="566"/>
        <w:spacing w:line="360" w:lineRule="auto"/>
        <w:rPr>
          <w:rFonts w:asciiTheme="minorEastAsia" w:hAnsiTheme="minorEastAsia"/>
          <w:sz w:val="24"/>
        </w:rPr>
      </w:pPr>
      <w:r>
        <w:rPr>
          <w:rFonts w:hint="eastAsia" w:asciiTheme="minorEastAsia" w:hAnsiTheme="minorEastAsia"/>
          <w:sz w:val="24"/>
        </w:rPr>
        <w:t xml:space="preserve">5）开展食品安全自查，食品安全自查率和自查报告率达到100％。注册并使用江苏省食品经营安全智慧监管系统开展知识培训和监督抽考，食品安全管理人员监督抽考率和监督抽考合格率达到100％。</w:t>
      </w:r>
      <w:r/>
    </w:p>
    <w:p>
      <w:pPr>
        <w:ind w:firstLine="566"/>
        <w:spacing w:line="360" w:lineRule="auto"/>
        <w:rPr>
          <w:rFonts w:asciiTheme="minorEastAsia" w:hAnsiTheme="minorEastAsia"/>
          <w:sz w:val="24"/>
        </w:rPr>
      </w:pPr>
      <w:r>
        <w:rPr>
          <w:rFonts w:hint="eastAsia" w:asciiTheme="minorEastAsia" w:hAnsiTheme="minorEastAsia"/>
          <w:sz w:val="24"/>
        </w:rPr>
        <w:t xml:space="preserve">6）乙方</w:t>
      </w:r>
      <w:r>
        <w:rPr>
          <w:rFonts w:hint="eastAsia" w:ascii="宋体" w:hAnsi="宋体"/>
          <w:sz w:val="24"/>
        </w:rPr>
        <w:t xml:space="preserve">须严格落实防鼠、防蝇、防尘管理，接受采购人、市场监管部门的检查。因三防落实不到位的，甲方有权暂停支付当月餐费。</w:t>
      </w:r>
      <w:r/>
    </w:p>
    <w:p>
      <w:pPr>
        <w:ind w:firstLine="566"/>
        <w:spacing w:line="360" w:lineRule="auto"/>
        <w:rPr>
          <w:rFonts w:asciiTheme="minorEastAsia" w:hAnsiTheme="minorEastAsia"/>
          <w:sz w:val="24"/>
        </w:rPr>
      </w:pPr>
      <w:r>
        <w:rPr>
          <w:rFonts w:asciiTheme="minorEastAsia" w:hAnsiTheme="minorEastAsia"/>
          <w:sz w:val="24"/>
        </w:rPr>
        <w:t xml:space="preserve">7</w:t>
      </w:r>
      <w:r>
        <w:rPr>
          <w:rFonts w:hint="eastAsia" w:asciiTheme="minorEastAsia" w:hAnsiTheme="minorEastAsia"/>
          <w:sz w:val="24"/>
        </w:rPr>
        <w:t xml:space="preserve">）提供与经营许可证注册地址一致的场地使用证明。如自有房屋提供房产证；如租赁房屋提供租赁合同、房租发票或房租费转账材料。不得变更供餐地址，发现一次直接终止合同。</w:t>
      </w:r>
      <w:r/>
    </w:p>
    <w:p>
      <w:pPr>
        <w:ind w:firstLine="566"/>
        <w:spacing w:line="360" w:lineRule="auto"/>
        <w:rPr>
          <w:rFonts w:asciiTheme="minorEastAsia" w:hAnsiTheme="minorEastAsia"/>
          <w:sz w:val="24"/>
        </w:rPr>
      </w:pPr>
      <w:r>
        <w:rPr>
          <w:rFonts w:hint="eastAsia" w:asciiTheme="minorEastAsia" w:hAnsiTheme="minorEastAsia"/>
          <w:sz w:val="24"/>
        </w:rPr>
        <w:t xml:space="preserve">4.配送</w:t>
      </w:r>
      <w:r/>
    </w:p>
    <w:p>
      <w:pPr>
        <w:ind w:firstLine="566"/>
        <w:spacing w:line="360" w:lineRule="auto"/>
        <w:rPr>
          <w:rFonts w:asciiTheme="minorEastAsia" w:hAnsiTheme="minorEastAsia"/>
          <w:sz w:val="24"/>
        </w:rPr>
      </w:pPr>
      <w:r>
        <w:rPr>
          <w:rFonts w:hint="eastAsia" w:asciiTheme="minorEastAsia" w:hAnsiTheme="minorEastAsia"/>
          <w:sz w:val="24"/>
        </w:rPr>
        <w:t xml:space="preserve">1）乙方必须按质、按量、及时向供餐学校配餐，使用卫生、密闭的专用车辆（配指纹锁）按甲方具体作息要求将学生餐送达供餐学校用餐地点，送达时间误差不允许超过20分钟，</w:t>
      </w:r>
      <w:r>
        <w:rPr>
          <w:rFonts w:hint="eastAsia" w:ascii="宋体" w:hAnsi="宋体"/>
          <w:sz w:val="24"/>
        </w:rPr>
        <w:t xml:space="preserve">留样量不少于125g，</w:t>
      </w:r>
      <w:r>
        <w:rPr>
          <w:rFonts w:hint="eastAsia" w:asciiTheme="minorEastAsia" w:hAnsiTheme="minorEastAsia"/>
          <w:sz w:val="24"/>
        </w:rPr>
        <w:t xml:space="preserve">留样48小时备查。如用餐时间有变化(供餐学校提前1个工作日以电话或传真的形式通知供餐企业)，供餐企业根据作息时间做相应调整，并配备符合卫生安全标准的保温箱运载餐食且甲方不承担任何费用。</w:t>
      </w:r>
      <w:r/>
    </w:p>
    <w:p>
      <w:pPr>
        <w:ind w:firstLine="566"/>
        <w:spacing w:line="360" w:lineRule="auto"/>
        <w:rPr>
          <w:rFonts w:asciiTheme="minorEastAsia" w:hAnsiTheme="minorEastAsia"/>
          <w:sz w:val="24"/>
        </w:rPr>
      </w:pPr>
      <w:r>
        <w:rPr>
          <w:rFonts w:hint="eastAsia" w:asciiTheme="minorEastAsia" w:hAnsiTheme="minorEastAsia"/>
          <w:sz w:val="24"/>
        </w:rPr>
        <w:t xml:space="preserve">2）乙方应当配备与供应方式、数量相适应的封闭式专用运输车辆（配指纹锁），运输车辆应保持清洁，每次运输膳食前应进行清洗消毒，防止食品在运输过程中受到污染。运输过程中，应全程使用密码锁，具体用法，以甲方要求为准。</w:t>
      </w:r>
      <w:r/>
    </w:p>
    <w:p>
      <w:pPr>
        <w:ind w:firstLine="566"/>
        <w:spacing w:line="360" w:lineRule="auto"/>
        <w:rPr>
          <w:rFonts w:asciiTheme="minorEastAsia" w:hAnsiTheme="minorEastAsia"/>
          <w:sz w:val="24"/>
        </w:rPr>
      </w:pPr>
      <w:r>
        <w:rPr>
          <w:rFonts w:hint="eastAsia" w:asciiTheme="minorEastAsia" w:hAnsiTheme="minorEastAsia"/>
          <w:sz w:val="24"/>
        </w:rPr>
        <w:t xml:space="preserve">3）乙方运输集体用餐的车辆应配备符合条件的加热保温设备、温度记录、车辆定位、车内监控等装置，运输过程及学生就餐前的食品的中心温度应当保持在60℃以上。</w:t>
      </w:r>
      <w:r/>
    </w:p>
    <w:p>
      <w:pPr>
        <w:ind w:firstLine="566"/>
        <w:spacing w:line="360" w:lineRule="auto"/>
        <w:rPr>
          <w:rFonts w:asciiTheme="minorEastAsia" w:hAnsiTheme="minorEastAsia"/>
          <w:sz w:val="24"/>
        </w:rPr>
      </w:pPr>
      <w:r>
        <w:rPr>
          <w:rFonts w:hint="eastAsia" w:asciiTheme="minorEastAsia" w:hAnsiTheme="minorEastAsia"/>
          <w:sz w:val="24"/>
        </w:rPr>
        <w:t xml:space="preserve">4）配餐企业须保证食材煮熟后装入餐盒到学生入口不超过2小时（含装</w:t>
      </w:r>
      <w:r>
        <w:rPr>
          <w:rFonts w:hint="eastAsia" w:asciiTheme="minorEastAsia" w:hAnsiTheme="minorEastAsia"/>
          <w:sz w:val="24"/>
        </w:rPr>
        <w:t xml:space="preserve">盒、运输时间、道路拥堵时间等），装盒时间</w:t>
      </w:r>
      <w:r>
        <w:rPr>
          <w:rFonts w:hint="eastAsia" w:asciiTheme="minorEastAsia" w:hAnsiTheme="minorEastAsia"/>
          <w:sz w:val="24"/>
          <w:u w:val="single"/>
        </w:rPr>
        <w:t xml:space="preserve">       </w:t>
      </w:r>
      <w:r>
        <w:rPr>
          <w:rFonts w:hint="eastAsia" w:asciiTheme="minorEastAsia" w:hAnsiTheme="minorEastAsia"/>
          <w:sz w:val="24"/>
        </w:rPr>
        <w:t xml:space="preserve">分钟（不得超过40分钟），运输到甲方指定地点所需时间</w:t>
      </w:r>
      <w:r>
        <w:rPr>
          <w:rFonts w:hint="eastAsia" w:asciiTheme="minorEastAsia" w:hAnsiTheme="minorEastAsia"/>
          <w:sz w:val="24"/>
          <w:u w:val="single"/>
        </w:rPr>
        <w:t xml:space="preserve">      </w:t>
      </w:r>
      <w:r>
        <w:rPr>
          <w:rFonts w:hint="eastAsia" w:asciiTheme="minorEastAsia" w:hAnsiTheme="minorEastAsia"/>
          <w:sz w:val="24"/>
        </w:rPr>
        <w:t xml:space="preserve">分钟（以百度导航截图为准）。</w:t>
      </w:r>
      <w:r/>
    </w:p>
    <w:p>
      <w:pPr>
        <w:ind w:firstLine="566"/>
        <w:spacing w:line="360" w:lineRule="auto"/>
        <w:rPr>
          <w:rFonts w:asciiTheme="minorEastAsia" w:hAnsiTheme="minorEastAsia"/>
          <w:sz w:val="24"/>
        </w:rPr>
      </w:pPr>
      <w:r>
        <w:rPr>
          <w:rFonts w:hint="eastAsia" w:asciiTheme="minorEastAsia" w:hAnsiTheme="minorEastAsia"/>
          <w:sz w:val="24"/>
        </w:rPr>
        <w:t xml:space="preserve">5）运餐车辆进入学校的时段由各学校具体安排，按学校规定路线行驶，不超过5公里/小时。</w:t>
      </w:r>
      <w:r/>
    </w:p>
    <w:p>
      <w:pPr>
        <w:ind w:firstLine="566"/>
        <w:spacing w:line="360" w:lineRule="auto"/>
        <w:rPr>
          <w:rFonts w:asciiTheme="minorEastAsia" w:hAnsiTheme="minorEastAsia"/>
          <w:sz w:val="24"/>
        </w:rPr>
      </w:pPr>
      <w:r>
        <w:rPr>
          <w:rFonts w:hint="eastAsia" w:asciiTheme="minorEastAsia" w:hAnsiTheme="minorEastAsia"/>
          <w:sz w:val="24"/>
        </w:rPr>
        <w:t xml:space="preserve">5.验收</w:t>
      </w:r>
      <w:r/>
    </w:p>
    <w:p>
      <w:pPr>
        <w:ind w:firstLine="566"/>
        <w:spacing w:line="360" w:lineRule="auto"/>
        <w:rPr>
          <w:rFonts w:asciiTheme="minorEastAsia" w:hAnsiTheme="minorEastAsia"/>
          <w:sz w:val="24"/>
        </w:rPr>
      </w:pPr>
      <w:r>
        <w:rPr>
          <w:rFonts w:hint="eastAsia" w:asciiTheme="minorEastAsia" w:hAnsiTheme="minorEastAsia"/>
          <w:sz w:val="24"/>
        </w:rPr>
        <w:t xml:space="preserve">1）乙方将膳食按甲方要求送至指定地点、楼层并组织分发，学校安排专人负责配餐食品的查验，供餐企业每次配送膳食需提供一式两份的膳食配送单，学校验收后由双方人员签字确认，作为送餐凭证双方各留一份。送餐凭证仅作为供货方交货的依据，并不作为对供货方所供食品的安全和质量方面的确认，对不符合质量的配餐，学校有权退货或要求供货方更换，供货方及时采取补救措施启动应急预案。</w:t>
      </w:r>
      <w:r/>
    </w:p>
    <w:p>
      <w:pPr>
        <w:ind w:firstLine="566"/>
        <w:spacing w:line="360" w:lineRule="auto"/>
        <w:rPr>
          <w:rFonts w:asciiTheme="minorEastAsia" w:hAnsiTheme="minorEastAsia"/>
          <w:sz w:val="24"/>
        </w:rPr>
      </w:pPr>
      <w:r>
        <w:rPr>
          <w:rFonts w:hint="eastAsia" w:asciiTheme="minorEastAsia" w:hAnsiTheme="minorEastAsia"/>
          <w:sz w:val="24"/>
        </w:rPr>
        <w:t xml:space="preserve">2）学校验收人员对配送的膳食进行感官验收，发现有污损、异味、杂质、温度不符合规定要求的，有权退货或要求乙方换货。对配餐食品按规定量留样48小时以上，做好各项记录。</w:t>
      </w:r>
      <w:r/>
    </w:p>
    <w:p>
      <w:pPr>
        <w:ind w:firstLine="566"/>
        <w:spacing w:line="360" w:lineRule="auto"/>
        <w:rPr>
          <w:rFonts w:asciiTheme="minorEastAsia" w:hAnsiTheme="minorEastAsia"/>
          <w:sz w:val="24"/>
        </w:rPr>
      </w:pPr>
      <w:r>
        <w:rPr>
          <w:rFonts w:hint="eastAsia" w:asciiTheme="minorEastAsia" w:hAnsiTheme="minorEastAsia"/>
          <w:sz w:val="24"/>
        </w:rPr>
        <w:t xml:space="preserve">3）学校落实集中用餐陪餐制度，每餐均应当有相关负责人（或学生家长）与学生共同用餐，做好陪餐记录，及时反馈和解决陪餐过程中发现的问题。</w:t>
      </w:r>
      <w:r/>
    </w:p>
    <w:p>
      <w:pPr>
        <w:ind w:firstLine="566"/>
        <w:spacing w:line="360" w:lineRule="auto"/>
        <w:rPr>
          <w:rFonts w:asciiTheme="minorEastAsia" w:hAnsiTheme="minorEastAsia"/>
          <w:sz w:val="24"/>
        </w:rPr>
      </w:pPr>
      <w:r>
        <w:rPr>
          <w:rFonts w:hint="eastAsia" w:asciiTheme="minorEastAsia" w:hAnsiTheme="minorEastAsia"/>
          <w:sz w:val="24"/>
        </w:rPr>
        <w:t xml:space="preserve">4）膳食管理家长委员会组织学校管理人员、学生家长对入口率进行称重。不符合规定要求的，视为中标供应商违约，</w:t>
      </w:r>
      <w:bookmarkStart w:id="183" w:name="OLE_LINK3"/>
      <w:r>
        <w:rPr>
          <w:rFonts w:hint="eastAsia" w:asciiTheme="minorEastAsia" w:hAnsiTheme="minorEastAsia"/>
          <w:sz w:val="24"/>
        </w:rPr>
        <w:t xml:space="preserve">中标</w:t>
      </w:r>
      <w:bookmarkEnd w:id="183"/>
      <w:r>
        <w:rPr>
          <w:rFonts w:hint="eastAsia" w:asciiTheme="minorEastAsia" w:hAnsiTheme="minorEastAsia"/>
          <w:sz w:val="24"/>
        </w:rPr>
        <w:t xml:space="preserve">供应商须承担一切违约责任。</w:t>
      </w:r>
      <w:r/>
    </w:p>
    <w:p>
      <w:pPr>
        <w:ind w:firstLine="566"/>
        <w:spacing w:line="360" w:lineRule="auto"/>
        <w:rPr>
          <w:rFonts w:asciiTheme="minorEastAsia" w:hAnsiTheme="minorEastAsia"/>
          <w:sz w:val="24"/>
        </w:rPr>
      </w:pPr>
      <w:r>
        <w:rPr>
          <w:rFonts w:hint="eastAsia" w:asciiTheme="minorEastAsia" w:hAnsiTheme="minorEastAsia"/>
          <w:sz w:val="24"/>
        </w:rPr>
        <w:t xml:space="preserve">5）乙方配送的餐品存在质量或安全问题而需要进行鉴定的，乙方在收到甲方的鉴定要求时，立即与甲方协商委托有资质的鉴定机构进行鉴定，鉴定费用由乙方承担。</w:t>
      </w:r>
      <w:r/>
    </w:p>
    <w:p>
      <w:pPr>
        <w:ind w:firstLine="566"/>
        <w:spacing w:line="360" w:lineRule="auto"/>
        <w:rPr>
          <w:rFonts w:asciiTheme="minorEastAsia" w:hAnsiTheme="minorEastAsia"/>
          <w:sz w:val="24"/>
        </w:rPr>
      </w:pPr>
      <w:r>
        <w:rPr>
          <w:rFonts w:hint="eastAsia" w:asciiTheme="minorEastAsia" w:hAnsiTheme="minorEastAsia"/>
          <w:sz w:val="24"/>
        </w:rPr>
        <w:t xml:space="preserve">6）乙方须负责江苏省中小学阳光食堂信息化监管服务平台日常台账录入工作。平台使用账号由甲方提供，甲方对日常台账录入工作提供支持与指导。</w:t>
      </w:r>
      <w:r/>
    </w:p>
    <w:p>
      <w:pPr>
        <w:ind w:firstLine="566"/>
        <w:spacing w:line="360" w:lineRule="auto"/>
        <w:rPr>
          <w:rFonts w:asciiTheme="minorEastAsia" w:hAnsiTheme="minorEastAsia"/>
          <w:sz w:val="24"/>
        </w:rPr>
      </w:pPr>
      <w:r>
        <w:rPr>
          <w:rFonts w:hint="eastAsia" w:asciiTheme="minorEastAsia" w:hAnsiTheme="minorEastAsia"/>
          <w:sz w:val="24"/>
        </w:rPr>
        <w:t xml:space="preserve">乙方要在平台完成的工作如下：</w:t>
      </w:r>
      <w:r/>
    </w:p>
    <w:p>
      <w:pPr>
        <w:ind w:firstLine="566"/>
        <w:spacing w:line="360" w:lineRule="auto"/>
        <w:rPr>
          <w:rFonts w:asciiTheme="minorEastAsia" w:hAnsiTheme="minorEastAsia"/>
          <w:sz w:val="24"/>
        </w:rPr>
      </w:pPr>
      <w:r>
        <w:rPr>
          <w:rFonts w:hint="eastAsia" w:asciiTheme="minorEastAsia" w:hAnsiTheme="minorEastAsia"/>
          <w:sz w:val="24"/>
        </w:rPr>
        <w:fldChar w:fldCharType="begin"/>
      </w:r>
      <w:r>
        <w:rPr>
          <w:rFonts w:hint="eastAsia" w:asciiTheme="minorEastAsia" w:hAnsiTheme="minorEastAsia"/>
          <w:sz w:val="24"/>
        </w:rPr>
        <w:instrText xml:space="preserve"> = 1 \* GB3 </w:instrText>
      </w:r>
      <w:r>
        <w:rPr>
          <w:rFonts w:hint="eastAsia" w:asciiTheme="minorEastAsia" w:hAnsiTheme="minorEastAsia"/>
          <w:sz w:val="24"/>
        </w:rPr>
        <w:fldChar w:fldCharType="separate"/>
      </w:r>
      <w:r>
        <w:rPr>
          <w:rFonts w:hint="eastAsia" w:asciiTheme="minorEastAsia" w:hAnsiTheme="minorEastAsia"/>
          <w:sz w:val="24"/>
        </w:rPr>
        <w:t xml:space="preserve">①</w:t>
      </w:r>
      <w:r>
        <w:rPr>
          <w:rFonts w:hint="eastAsia" w:asciiTheme="minorEastAsia" w:hAnsiTheme="minorEastAsia"/>
          <w:sz w:val="24"/>
        </w:rPr>
        <w:fldChar w:fldCharType="end"/>
      </w:r>
      <w:r>
        <w:rPr>
          <w:rFonts w:hint="eastAsia" w:asciiTheme="minorEastAsia" w:hAnsiTheme="minorEastAsia"/>
          <w:sz w:val="24"/>
        </w:rPr>
        <w:t xml:space="preserve">每个用餐日完成“入库出库”栏下的验收入库与食材出库等台账录入；</w:t>
      </w:r>
      <w:r/>
    </w:p>
    <w:p>
      <w:pPr>
        <w:ind w:firstLine="566"/>
        <w:spacing w:line="360" w:lineRule="auto"/>
        <w:rPr>
          <w:rFonts w:asciiTheme="minorEastAsia" w:hAnsiTheme="minorEastAsia"/>
          <w:sz w:val="24"/>
        </w:rPr>
      </w:pPr>
      <w:r>
        <w:rPr>
          <w:rFonts w:hint="eastAsia" w:asciiTheme="minorEastAsia" w:hAnsiTheme="minorEastAsia"/>
          <w:sz w:val="24"/>
        </w:rPr>
        <w:fldChar w:fldCharType="begin"/>
      </w:r>
      <w:r>
        <w:rPr>
          <w:rFonts w:hint="eastAsia" w:asciiTheme="minorEastAsia" w:hAnsiTheme="minorEastAsia"/>
          <w:sz w:val="24"/>
        </w:rPr>
        <w:instrText xml:space="preserve"> = 2 \* GB3 </w:instrText>
      </w:r>
      <w:r>
        <w:rPr>
          <w:rFonts w:hint="eastAsia" w:asciiTheme="minorEastAsia" w:hAnsiTheme="minorEastAsia"/>
          <w:sz w:val="24"/>
        </w:rPr>
        <w:fldChar w:fldCharType="separate"/>
      </w:r>
      <w:r>
        <w:rPr>
          <w:rFonts w:hint="eastAsia" w:asciiTheme="minorEastAsia" w:hAnsiTheme="minorEastAsia"/>
          <w:sz w:val="24"/>
        </w:rPr>
        <w:t xml:space="preserve">②</w:t>
      </w:r>
      <w:r>
        <w:rPr>
          <w:rFonts w:hint="eastAsia" w:asciiTheme="minorEastAsia" w:hAnsiTheme="minorEastAsia"/>
          <w:sz w:val="24"/>
        </w:rPr>
        <w:fldChar w:fldCharType="end"/>
      </w:r>
      <w:r>
        <w:rPr>
          <w:rFonts w:hint="eastAsia" w:asciiTheme="minorEastAsia" w:hAnsiTheme="minorEastAsia"/>
          <w:sz w:val="24"/>
        </w:rPr>
        <w:t xml:space="preserve">每个用餐日完成“营养与安全”栏下的食品留样、复用餐具清洗、营养菜谱、带量食谱等台账录入。</w:t>
      </w:r>
      <w:r/>
    </w:p>
    <w:p>
      <w:pPr>
        <w:ind w:firstLine="566"/>
        <w:spacing w:line="360" w:lineRule="auto"/>
        <w:rPr>
          <w:rFonts w:asciiTheme="minorEastAsia" w:hAnsiTheme="minorEastAsia"/>
          <w:sz w:val="24"/>
        </w:rPr>
      </w:pPr>
      <w:r>
        <w:rPr>
          <w:rFonts w:hint="eastAsia" w:asciiTheme="minorEastAsia" w:hAnsiTheme="minorEastAsia"/>
          <w:sz w:val="24"/>
        </w:rPr>
        <w:fldChar w:fldCharType="begin"/>
      </w:r>
      <w:r>
        <w:rPr>
          <w:rFonts w:hint="eastAsia" w:asciiTheme="minorEastAsia" w:hAnsiTheme="minorEastAsia"/>
          <w:sz w:val="24"/>
        </w:rPr>
        <w:instrText xml:space="preserve"> = 3 \* GB3 </w:instrText>
      </w:r>
      <w:r>
        <w:rPr>
          <w:rFonts w:hint="eastAsia" w:asciiTheme="minorEastAsia" w:hAnsiTheme="minorEastAsia"/>
          <w:sz w:val="24"/>
        </w:rPr>
        <w:fldChar w:fldCharType="separate"/>
      </w:r>
      <w:r>
        <w:rPr>
          <w:rFonts w:hint="eastAsia" w:asciiTheme="minorEastAsia" w:hAnsiTheme="minorEastAsia"/>
          <w:sz w:val="24"/>
        </w:rPr>
        <w:t xml:space="preserve">③</w:t>
      </w:r>
      <w:r>
        <w:rPr>
          <w:rFonts w:hint="eastAsia" w:asciiTheme="minorEastAsia" w:hAnsiTheme="minorEastAsia"/>
          <w:sz w:val="24"/>
        </w:rPr>
        <w:fldChar w:fldCharType="end"/>
      </w:r>
      <w:r>
        <w:rPr>
          <w:rFonts w:hint="eastAsia" w:asciiTheme="minorEastAsia" w:hAnsiTheme="minorEastAsia"/>
          <w:sz w:val="24"/>
        </w:rPr>
        <w:t xml:space="preserve">每月3日前需要及时提供上月食材主辅料支出、工人工资支出、水电费支出等财务数据给甲方。</w:t>
      </w:r>
      <w:r/>
    </w:p>
    <w:p>
      <w:pPr>
        <w:ind w:firstLine="566"/>
        <w:spacing w:line="360" w:lineRule="auto"/>
        <w:rPr>
          <w:rFonts w:asciiTheme="minorEastAsia" w:hAnsiTheme="minorEastAsia"/>
          <w:sz w:val="24"/>
        </w:rPr>
      </w:pPr>
      <w:r>
        <w:rPr>
          <w:rFonts w:hint="eastAsia" w:asciiTheme="minorEastAsia" w:hAnsiTheme="minorEastAsia"/>
          <w:sz w:val="24"/>
        </w:rPr>
        <w:t xml:space="preserve">7）乙方保证江苏省中小学阳光食堂信息化监管服务平台所有录入台账、</w:t>
      </w:r>
      <w:r>
        <w:rPr>
          <w:rFonts w:hint="eastAsia" w:asciiTheme="minorEastAsia" w:hAnsiTheme="minorEastAsia"/>
          <w:sz w:val="24"/>
        </w:rPr>
        <w:t xml:space="preserve">上传凭证、填报信息具备真实性、完整性、时效性。</w:t>
      </w:r>
      <w:r/>
    </w:p>
    <w:p>
      <w:pPr>
        <w:ind w:firstLine="566"/>
        <w:spacing w:line="360" w:lineRule="auto"/>
        <w:rPr>
          <w:rFonts w:asciiTheme="minorEastAsia" w:hAnsiTheme="minorEastAsia"/>
          <w:sz w:val="24"/>
        </w:rPr>
      </w:pPr>
      <w:r>
        <w:rPr>
          <w:rFonts w:hint="eastAsia" w:asciiTheme="minorEastAsia" w:hAnsiTheme="minorEastAsia"/>
          <w:sz w:val="24"/>
        </w:rPr>
        <w:t xml:space="preserve">乙方不得出现台账迟报漏填、缺项、篡改、虚假填报等违规行为。</w:t>
      </w:r>
      <w:r/>
    </w:p>
    <w:p>
      <w:pPr>
        <w:ind w:firstLine="566"/>
        <w:spacing w:line="360" w:lineRule="auto"/>
        <w:rPr>
          <w:rFonts w:asciiTheme="minorEastAsia" w:hAnsiTheme="minorEastAsia"/>
          <w:sz w:val="24"/>
        </w:rPr>
      </w:pPr>
      <w:r>
        <w:rPr>
          <w:rFonts w:hint="eastAsia" w:asciiTheme="minorEastAsia" w:hAnsiTheme="minorEastAsia"/>
          <w:sz w:val="24"/>
        </w:rPr>
        <w:t xml:space="preserve">甲方拥有随时登录江苏省中小学阳光食堂信息化监管服务平台核查所有记录的权利。经甲方核查发现乙方存在台账缺失、资料造假、未落实平台各项管理工作的，视为乙方违约，甲方有权按照合同违约条款追究乙方责任，情节严重可单方解除供餐服务合同。</w:t>
      </w:r>
      <w:r/>
    </w:p>
    <w:p>
      <w:pPr>
        <w:ind w:firstLine="566"/>
        <w:spacing w:line="360" w:lineRule="auto"/>
        <w:rPr>
          <w:rFonts w:asciiTheme="minorEastAsia" w:hAnsiTheme="minorEastAsia"/>
          <w:sz w:val="24"/>
        </w:rPr>
      </w:pPr>
      <w:r>
        <w:rPr>
          <w:rFonts w:hint="eastAsia" w:asciiTheme="minorEastAsia" w:hAnsiTheme="minorEastAsia"/>
          <w:sz w:val="24"/>
        </w:rPr>
        <w:t xml:space="preserve">6.</w:t>
      </w:r>
      <w:r>
        <w:rPr>
          <w:rFonts w:hint="eastAsia"/>
        </w:rPr>
        <w:t xml:space="preserve"> </w:t>
      </w:r>
      <w:r>
        <w:rPr>
          <w:rFonts w:hint="eastAsia" w:asciiTheme="minorEastAsia" w:hAnsiTheme="minorEastAsia"/>
          <w:sz w:val="24"/>
        </w:rPr>
        <w:t xml:space="preserve">应急预案</w:t>
      </w:r>
      <w:r/>
    </w:p>
    <w:p>
      <w:pPr>
        <w:ind w:firstLine="566"/>
        <w:spacing w:line="360" w:lineRule="auto"/>
        <w:rPr>
          <w:rFonts w:asciiTheme="minorEastAsia" w:hAnsiTheme="minorEastAsia"/>
          <w:sz w:val="24"/>
        </w:rPr>
      </w:pPr>
      <w:r>
        <w:rPr>
          <w:rFonts w:hint="eastAsia" w:asciiTheme="minorEastAsia" w:hAnsiTheme="minorEastAsia"/>
          <w:sz w:val="24"/>
        </w:rPr>
        <w:t xml:space="preserve">1）乙方须建立食品安全各项管理制度，做好</w:t>
      </w:r>
      <w:r>
        <w:rPr>
          <w:rFonts w:hint="eastAsia" w:ascii="宋体" w:hAnsi="宋体"/>
          <w:sz w:val="24"/>
        </w:rPr>
        <w:t xml:space="preserve">食品安全事故或者其它食源性疾病</w:t>
      </w:r>
      <w:r>
        <w:rPr>
          <w:rFonts w:hint="eastAsia" w:asciiTheme="minorEastAsia" w:hAnsiTheme="minorEastAsia"/>
          <w:sz w:val="24"/>
        </w:rPr>
        <w:t xml:space="preserve">以及因交通、卫生、天气、断水、断电、断气等原因不能按时送达配餐等突发事件的应急预案【提供相关应急预案报采购人处备案（预案需得到甲方认可）】，确保按时送达供餐。</w:t>
      </w:r>
      <w:r/>
    </w:p>
    <w:p>
      <w:pPr>
        <w:ind w:firstLine="566"/>
        <w:spacing w:line="360" w:lineRule="auto"/>
        <w:rPr>
          <w:rFonts w:ascii="宋体" w:hAnsi="宋体"/>
          <w:color w:val="ee0000"/>
          <w:sz w:val="24"/>
        </w:rPr>
      </w:pPr>
      <w:r>
        <w:rPr>
          <w:rFonts w:hint="eastAsia" w:asciiTheme="minorEastAsia" w:hAnsiTheme="minorEastAsia"/>
          <w:color w:val="ee0000"/>
          <w:sz w:val="24"/>
        </w:rPr>
        <w:t xml:space="preserve">2）</w:t>
      </w:r>
      <w:bookmarkStart w:id="184" w:name="OLE_LINK8"/>
      <w:r>
        <w:rPr>
          <w:rFonts w:hint="eastAsia" w:ascii="宋体" w:hAnsi="宋体"/>
          <w:color w:val="ee0000"/>
          <w:sz w:val="24"/>
        </w:rPr>
        <w:t xml:space="preserve">乙方</w:t>
      </w:r>
      <w:bookmarkEnd w:id="184"/>
      <w:r>
        <w:rPr>
          <w:rFonts w:hint="eastAsia" w:ascii="宋体" w:hAnsi="宋体"/>
          <w:color w:val="ee0000"/>
          <w:sz w:val="24"/>
        </w:rPr>
        <w:t xml:space="preserve">须具备完备应急供餐能力，一旦发生试吃不合格情况，接到甲方不合格通知后，须在30分钟内完成全新、合规、合格的应急餐品重新制作、送达与替换供餐，确保学生正常用餐不受影响。</w:t>
      </w:r>
      <w:r/>
    </w:p>
    <w:p>
      <w:pPr>
        <w:ind w:firstLine="566"/>
        <w:spacing w:line="360" w:lineRule="auto"/>
        <w:rPr>
          <w:rFonts w:ascii="宋体" w:hAnsi="宋体"/>
          <w:color w:val="ee0000"/>
          <w:sz w:val="24"/>
        </w:rPr>
      </w:pPr>
      <w:r>
        <w:rPr>
          <w:rFonts w:hint="eastAsia" w:asciiTheme="minorEastAsia" w:hAnsiTheme="minorEastAsia"/>
          <w:color w:val="ee0000"/>
          <w:sz w:val="24"/>
        </w:rPr>
        <w:t xml:space="preserve">3）</w:t>
      </w:r>
      <w:r>
        <w:rPr>
          <w:rFonts w:hint="eastAsia" w:ascii="宋体" w:hAnsi="宋体"/>
          <w:color w:val="ee0000"/>
          <w:sz w:val="24"/>
        </w:rPr>
        <w:t xml:space="preserve">所有因试吃不合格产生的返工、重做、加急配送、备用供餐差价等全部费用，均由乙方全额承担，甲方不予任何补偿。</w:t>
      </w:r>
      <w:r/>
    </w:p>
    <w:p>
      <w:pPr>
        <w:ind w:firstLine="566"/>
        <w:spacing w:line="360" w:lineRule="auto"/>
        <w:rPr>
          <w:rFonts w:ascii="宋体" w:hAnsi="宋体"/>
          <w:color w:val="ee0000"/>
          <w:sz w:val="24"/>
        </w:rPr>
      </w:pPr>
      <w:r>
        <w:rPr>
          <w:rFonts w:hint="eastAsia" w:asciiTheme="minorEastAsia" w:hAnsiTheme="minorEastAsia"/>
          <w:color w:val="ee0000"/>
          <w:sz w:val="24"/>
        </w:rPr>
        <w:t xml:space="preserve">4）</w:t>
      </w:r>
      <w:r>
        <w:rPr>
          <w:rFonts w:hint="eastAsia" w:ascii="宋体" w:hAnsi="宋体"/>
          <w:color w:val="ee0000"/>
          <w:sz w:val="24"/>
        </w:rPr>
        <w:t xml:space="preserve">若乙方无法按时完成应急补供、或二次送达餐品仍不合格，视为严重违约，甲方有权立即启用第三方备用供餐，第三方费用由乙方承担、扣除履约保证金、追究违约责任，情节严重的有权单方终止合同。</w:t>
      </w:r>
      <w:r/>
    </w:p>
    <w:p>
      <w:pPr>
        <w:ind w:firstLine="566"/>
        <w:spacing w:line="360" w:lineRule="auto"/>
        <w:rPr>
          <w:rFonts w:asciiTheme="minorEastAsia" w:hAnsiTheme="minorEastAsia"/>
          <w:sz w:val="24"/>
        </w:rPr>
      </w:pPr>
      <w:r>
        <w:rPr>
          <w:rFonts w:hint="eastAsia" w:asciiTheme="minorEastAsia" w:hAnsiTheme="minorEastAsia"/>
          <w:sz w:val="24"/>
        </w:rPr>
        <w:t xml:space="preserve">7.</w:t>
      </w:r>
      <w:r>
        <w:rPr>
          <w:rFonts w:hint="eastAsia"/>
        </w:rPr>
        <w:t xml:space="preserve"> </w:t>
      </w:r>
      <w:r>
        <w:rPr>
          <w:rFonts w:hint="eastAsia" w:asciiTheme="minorEastAsia" w:hAnsiTheme="minorEastAsia"/>
          <w:sz w:val="24"/>
        </w:rPr>
        <w:t xml:space="preserve">满意度测评</w:t>
      </w:r>
      <w:r/>
    </w:p>
    <w:p>
      <w:pPr>
        <w:ind w:firstLine="566"/>
        <w:spacing w:line="360" w:lineRule="auto"/>
        <w:rPr>
          <w:rFonts w:asciiTheme="minorEastAsia" w:hAnsiTheme="minorEastAsia"/>
          <w:sz w:val="24"/>
        </w:rPr>
      </w:pPr>
      <w:r>
        <w:rPr>
          <w:rFonts w:hint="eastAsia" w:asciiTheme="minorEastAsia" w:hAnsiTheme="minorEastAsia"/>
          <w:sz w:val="24"/>
        </w:rPr>
        <w:t xml:space="preserve">1）乙方在食品卫生、环境卫生、安全生产方面应服从甲方的监督和检查，甲方有权制止违规行为，对检查不合格项目，甲方发整改通知书，在期限内不整改或整改不到位，甲方视情节轻重处以相应额度的罚款，直至终止项目。</w:t>
      </w:r>
      <w:r/>
    </w:p>
    <w:p>
      <w:pPr>
        <w:ind w:firstLine="566"/>
        <w:spacing w:line="360" w:lineRule="auto"/>
        <w:rPr>
          <w:rFonts w:asciiTheme="minorEastAsia" w:hAnsiTheme="minorEastAsia"/>
          <w:sz w:val="24"/>
        </w:rPr>
      </w:pPr>
      <w:r>
        <w:rPr>
          <w:rFonts w:hint="eastAsia" w:asciiTheme="minorEastAsia" w:hAnsiTheme="minorEastAsia"/>
          <w:sz w:val="24"/>
        </w:rPr>
        <w:t xml:space="preserve">2）学校建立校外供餐单位评价和退出机制，乙方对落实食品安全主体责任不到位或多次发生食品安全事故的，甲方有权提前无责终止合同，并向属地教育行政部门和市场监管部门报告。</w:t>
      </w:r>
      <w:r/>
    </w:p>
    <w:p>
      <w:pPr>
        <w:ind w:firstLine="566"/>
        <w:spacing w:line="360" w:lineRule="auto"/>
        <w:rPr>
          <w:rFonts w:asciiTheme="minorEastAsia" w:hAnsiTheme="minorEastAsia"/>
          <w:sz w:val="24"/>
        </w:rPr>
      </w:pPr>
      <w:r>
        <w:rPr>
          <w:rFonts w:hint="eastAsia" w:asciiTheme="minorEastAsia" w:hAnsiTheme="minorEastAsia"/>
          <w:sz w:val="24"/>
        </w:rPr>
        <w:t xml:space="preserve">3）用餐满意度调查</w:t>
      </w:r>
      <w:r/>
    </w:p>
    <w:p>
      <w:pPr>
        <w:ind w:firstLine="566"/>
        <w:spacing w:line="360" w:lineRule="auto"/>
        <w:rPr>
          <w:rFonts w:asciiTheme="minorEastAsia" w:hAnsiTheme="minorEastAsia"/>
          <w:sz w:val="24"/>
        </w:rPr>
      </w:pPr>
      <w:r>
        <w:rPr>
          <w:rFonts w:hint="eastAsia" w:asciiTheme="minorEastAsia" w:hAnsiTheme="minorEastAsia"/>
          <w:sz w:val="24"/>
        </w:rPr>
        <w:t xml:space="preserve">每月对学生进行用餐满意度进行调查，调查结果作为付款凭证。</w:t>
      </w:r>
      <w:r/>
    </w:p>
    <w:p>
      <w:pPr>
        <w:ind w:firstLine="566"/>
        <w:spacing w:line="360" w:lineRule="auto"/>
        <w:rPr>
          <w:rFonts w:asciiTheme="minorEastAsia" w:hAnsiTheme="minorEastAsia"/>
          <w:sz w:val="24"/>
        </w:rPr>
      </w:pPr>
      <w:r>
        <w:rPr>
          <w:rFonts w:hint="eastAsia" w:asciiTheme="minorEastAsia" w:hAnsiTheme="minorEastAsia"/>
          <w:sz w:val="24"/>
        </w:rPr>
        <w:t xml:space="preserve">8.食品安全</w:t>
      </w:r>
      <w:r/>
    </w:p>
    <w:p>
      <w:pPr>
        <w:ind w:firstLine="566"/>
        <w:spacing w:line="360" w:lineRule="auto"/>
        <w:rPr>
          <w:rFonts w:asciiTheme="minorEastAsia" w:hAnsiTheme="minorEastAsia"/>
          <w:sz w:val="24"/>
        </w:rPr>
      </w:pPr>
      <w:r>
        <w:rPr>
          <w:rFonts w:hint="eastAsia" w:asciiTheme="minorEastAsia" w:hAnsiTheme="minorEastAsia"/>
          <w:sz w:val="24"/>
        </w:rPr>
        <w:t xml:space="preserve">为确保用餐安全、卫生、营养、健康、廉洁。乙方严格执行《中华人民共</w:t>
      </w:r>
      <w:r>
        <w:rPr>
          <w:rFonts w:hint="eastAsia" w:asciiTheme="minorEastAsia" w:hAnsiTheme="minorEastAsia"/>
          <w:sz w:val="24"/>
        </w:rPr>
        <w:t xml:space="preserve">和国民法典》、《中华人民共和国食品安全法》、《学校食品安全与营养健康管理规定》、《食品生产经营企业落实食品安全主体责任监督管理办法》、GB</w:t>
      </w:r>
      <w:r>
        <w:rPr>
          <w:rFonts w:asciiTheme="minorEastAsia" w:hAnsiTheme="minorEastAsia"/>
          <w:sz w:val="24"/>
        </w:rPr>
        <w:t xml:space="preserve"> </w:t>
      </w:r>
      <w:r>
        <w:rPr>
          <w:rFonts w:hint="eastAsia" w:asciiTheme="minorEastAsia" w:hAnsiTheme="minorEastAsia"/>
          <w:sz w:val="24"/>
        </w:rPr>
        <w:t xml:space="preserve">31654-2021《食品安全国家标准餐饮服务通用卫生规范》、《餐饮服务食品安全操作规范》等法律法规、规章、规范性文件及其他有关食品安全的规定。</w:t>
      </w:r>
      <w:r/>
    </w:p>
    <w:p>
      <w:pPr>
        <w:ind w:firstLine="566"/>
        <w:spacing w:line="360" w:lineRule="auto"/>
        <w:rPr>
          <w:rFonts w:asciiTheme="minorEastAsia" w:hAnsiTheme="minorEastAsia"/>
          <w:sz w:val="24"/>
        </w:rPr>
      </w:pPr>
      <w:r/>
      <w:bookmarkStart w:id="185" w:name="_Hlk206335058"/>
      <w:r>
        <w:rPr>
          <w:rFonts w:hint="eastAsia" w:asciiTheme="minorEastAsia" w:hAnsiTheme="minorEastAsia"/>
          <w:sz w:val="24"/>
        </w:rPr>
        <w:t xml:space="preserve">乙方为本合同食品安全和生产服务安全唯一责任主体，承担备餐过程中造成的学生安全事故和食品安全事故责任，并承担一切法律后果。</w:t>
      </w:r>
      <w:bookmarkEnd w:id="185"/>
      <w:r/>
      <w:r/>
    </w:p>
    <w:p>
      <w:pPr>
        <w:ind w:firstLine="566"/>
        <w:spacing w:line="360" w:lineRule="auto"/>
        <w:rPr>
          <w:rFonts w:asciiTheme="minorEastAsia" w:hAnsiTheme="minorEastAsia"/>
          <w:sz w:val="24"/>
        </w:rPr>
      </w:pPr>
      <w:r>
        <w:rPr>
          <w:rFonts w:hint="eastAsia" w:asciiTheme="minorEastAsia" w:hAnsiTheme="minorEastAsia"/>
          <w:sz w:val="24"/>
        </w:rPr>
        <w:t xml:space="preserve">9.人员配备</w:t>
      </w:r>
      <w:r/>
    </w:p>
    <w:p>
      <w:pPr>
        <w:ind w:firstLine="566"/>
        <w:spacing w:line="360" w:lineRule="auto"/>
        <w:rPr>
          <w:rFonts w:asciiTheme="minorEastAsia" w:hAnsiTheme="minorEastAsia"/>
          <w:sz w:val="24"/>
        </w:rPr>
      </w:pPr>
      <w:r>
        <w:rPr>
          <w:rFonts w:hint="eastAsia" w:asciiTheme="minorEastAsia" w:hAnsiTheme="minorEastAsia"/>
          <w:sz w:val="24"/>
        </w:rPr>
        <w:t xml:space="preserve">1）乙方保证其工作人员无精神疾病、不携带任何隐性或显性传染病及其他可能影响学生健康与安全的疾病，具备从事食品行业的健康合格证等相应资质，并承诺定期（至少每年1次）为其工作人员进行身体检查。</w:t>
      </w:r>
      <w:r/>
    </w:p>
    <w:p>
      <w:pPr>
        <w:ind w:firstLine="566"/>
        <w:spacing w:line="360" w:lineRule="auto"/>
        <w:rPr>
          <w:rFonts w:asciiTheme="minorEastAsia" w:hAnsiTheme="minorEastAsia"/>
          <w:sz w:val="24"/>
        </w:rPr>
      </w:pPr>
      <w:r>
        <w:rPr>
          <w:rFonts w:hint="eastAsia" w:asciiTheme="minorEastAsia" w:hAnsiTheme="minorEastAsia"/>
          <w:sz w:val="24"/>
        </w:rPr>
        <w:t xml:space="preserve">2）提供项目服务人员和用工人员身份证、健康证、无犯罪证明、营养师资质证（营养师）、驾驶证（驾驶员）、在职人员社保证明等相关原件和复印件到采购人处备案。项目服务人员原则上在整个配送服务周期内不得更换，确需更换的，必须书面报请采购人审批同意，未经同意不得更换。配餐企业对其工作人员应定期进行食品安全知识、营养知识及操作技能培训。</w:t>
      </w:r>
      <w:r/>
    </w:p>
    <w:p>
      <w:pPr>
        <w:ind w:firstLine="566"/>
        <w:spacing w:line="360" w:lineRule="auto"/>
        <w:rPr>
          <w:rFonts w:asciiTheme="minorEastAsia" w:hAnsiTheme="minorEastAsia"/>
          <w:sz w:val="24"/>
        </w:rPr>
      </w:pPr>
      <w:r>
        <w:rPr>
          <w:rFonts w:hint="eastAsia" w:asciiTheme="minorEastAsia" w:hAnsiTheme="minorEastAsia"/>
          <w:sz w:val="24"/>
        </w:rPr>
        <w:t xml:space="preserve">3）配餐企业工作人员应相对固定，应为供餐学校安排1名固定牵头负责人，具体做好学校的对接联系，组织好就餐分发，确保各就餐点每一百份餐至少配置1名抬饭工。根据国家法律规定标准用工，人员报各供餐学校备案后不得随意更换。</w:t>
      </w:r>
      <w:r/>
    </w:p>
    <w:p>
      <w:pPr>
        <w:ind w:firstLine="566"/>
        <w:spacing w:line="360" w:lineRule="auto"/>
        <w:rPr>
          <w:rFonts w:asciiTheme="minorEastAsia" w:hAnsiTheme="minorEastAsia"/>
          <w:sz w:val="24"/>
        </w:rPr>
      </w:pPr>
      <w:r>
        <w:rPr>
          <w:rFonts w:hint="eastAsia" w:asciiTheme="minorEastAsia" w:hAnsiTheme="minorEastAsia"/>
          <w:sz w:val="24"/>
        </w:rPr>
        <w:t xml:space="preserve">4）乙方除应为相关人员提供必要的劳动保护条件并支付员工工资和缴纳正常的社会保险外，还应为其办理作业时的人身安全保险和意外伤害险，乙方在合同期限内发生的一切安全责任事故均由乙方自行负责（保险种类由乙方自行选择），甲方不承担任何责任。</w:t>
      </w:r>
      <w:r/>
    </w:p>
    <w:p>
      <w:pPr>
        <w:ind w:firstLine="566"/>
        <w:spacing w:line="360" w:lineRule="auto"/>
        <w:rPr>
          <w:rFonts w:asciiTheme="minorEastAsia" w:hAnsiTheme="minorEastAsia"/>
          <w:sz w:val="24"/>
        </w:rPr>
      </w:pPr>
      <w:r>
        <w:rPr>
          <w:rFonts w:hint="eastAsia" w:asciiTheme="minorEastAsia" w:hAnsiTheme="minorEastAsia"/>
          <w:sz w:val="24"/>
        </w:rPr>
        <w:t xml:space="preserve">5）乙方服务人员需遵守有关保密规定，不得以任何理由泄露甲方信息，由此产生的责任由乙方承担，甲方有权追究其法律责任（包含但不限于民事赔偿、行政和刑事法律责任）。</w:t>
      </w:r>
      <w:r/>
    </w:p>
    <w:p>
      <w:pPr>
        <w:ind w:firstLine="569"/>
        <w:spacing w:line="360" w:lineRule="auto"/>
        <w:rPr>
          <w:rFonts w:asciiTheme="minorEastAsia" w:hAnsiTheme="minorEastAsia"/>
          <w:b/>
          <w:sz w:val="24"/>
        </w:rPr>
      </w:pPr>
      <w:r>
        <w:rPr>
          <w:rFonts w:hint="eastAsia" w:asciiTheme="minorEastAsia" w:hAnsiTheme="minorEastAsia"/>
          <w:b/>
          <w:sz w:val="24"/>
        </w:rPr>
        <w:t xml:space="preserve">三、违约责任及不可抗力</w:t>
      </w:r>
      <w:r/>
    </w:p>
    <w:p>
      <w:pPr>
        <w:ind w:firstLine="566"/>
        <w:spacing w:line="360" w:lineRule="auto"/>
        <w:rPr>
          <w:rFonts w:asciiTheme="minorEastAsia" w:hAnsiTheme="minorEastAsia"/>
          <w:sz w:val="24"/>
        </w:rPr>
      </w:pPr>
      <w:r>
        <w:rPr>
          <w:rFonts w:hint="eastAsia" w:asciiTheme="minorEastAsia" w:hAnsiTheme="minorEastAsia"/>
          <w:sz w:val="24"/>
        </w:rPr>
        <w:t xml:space="preserve">1.甲方违约责任及违约金支付：</w:t>
      </w:r>
      <w:r/>
    </w:p>
    <w:p>
      <w:pPr>
        <w:ind w:firstLine="566"/>
        <w:spacing w:line="360" w:lineRule="auto"/>
        <w:rPr>
          <w:rFonts w:asciiTheme="minorEastAsia" w:hAnsiTheme="minorEastAsia"/>
          <w:sz w:val="24"/>
        </w:rPr>
      </w:pPr>
      <w:r>
        <w:rPr>
          <w:rFonts w:hint="eastAsia" w:asciiTheme="minorEastAsia" w:hAnsiTheme="minorEastAsia"/>
          <w:sz w:val="24"/>
        </w:rPr>
        <w:t xml:space="preserve">（1）在合同生效后，甲方无理由要求终止服务的，应向乙方偿付合同总价款的5%，作为违约金，违约金不足以补偿损失的，乙方有权要求甲方补足；</w:t>
      </w:r>
      <w:r/>
    </w:p>
    <w:p>
      <w:pPr>
        <w:ind w:firstLine="566"/>
        <w:spacing w:line="360" w:lineRule="auto"/>
        <w:rPr>
          <w:rFonts w:asciiTheme="minorEastAsia" w:hAnsiTheme="minorEastAsia"/>
          <w:sz w:val="24"/>
        </w:rPr>
      </w:pPr>
      <w:r>
        <w:rPr>
          <w:rFonts w:hint="eastAsia" w:asciiTheme="minorEastAsia" w:hAnsiTheme="minorEastAsia"/>
          <w:sz w:val="24"/>
        </w:rPr>
        <w:t xml:space="preserve">（2）甲方违反合同规定，拒绝接受乙方提供服务，应当承担乙方由此造成的损失。   </w:t>
      </w:r>
      <w:r/>
    </w:p>
    <w:p>
      <w:pPr>
        <w:ind w:firstLine="566"/>
        <w:spacing w:line="360" w:lineRule="auto"/>
        <w:rPr>
          <w:rFonts w:asciiTheme="minorEastAsia" w:hAnsiTheme="minorEastAsia"/>
          <w:sz w:val="24"/>
        </w:rPr>
      </w:pPr>
      <w:r>
        <w:rPr>
          <w:rFonts w:hint="eastAsia" w:asciiTheme="minorEastAsia" w:hAnsiTheme="minorEastAsia"/>
          <w:sz w:val="24"/>
        </w:rPr>
        <w:t xml:space="preserve">（3）本项目为学校团体供餐配送服务，在服务过程中，如甲方及相关部门对乙方的服务考核，考核不达标的甲方有权解除合同，不视为甲方违约情形。                       </w:t>
      </w:r>
      <w:r/>
    </w:p>
    <w:p>
      <w:pPr>
        <w:ind w:firstLine="566"/>
        <w:spacing w:line="360" w:lineRule="auto"/>
        <w:rPr>
          <w:rFonts w:asciiTheme="minorEastAsia" w:hAnsiTheme="minorEastAsia"/>
          <w:sz w:val="24"/>
        </w:rPr>
      </w:pPr>
      <w:r>
        <w:rPr>
          <w:rFonts w:hint="eastAsia" w:asciiTheme="minorEastAsia" w:hAnsiTheme="minorEastAsia"/>
          <w:sz w:val="24"/>
        </w:rPr>
        <w:t xml:space="preserve">2.乙方违约责任及违约金支付：</w:t>
      </w:r>
      <w:r/>
    </w:p>
    <w:p>
      <w:pPr>
        <w:ind w:firstLine="566"/>
        <w:spacing w:line="360" w:lineRule="auto"/>
        <w:rPr>
          <w:rFonts w:asciiTheme="minorEastAsia" w:hAnsiTheme="minorEastAsia"/>
          <w:sz w:val="24"/>
        </w:rPr>
      </w:pPr>
      <w:r>
        <w:rPr>
          <w:rFonts w:hint="eastAsia" w:asciiTheme="minorEastAsia" w:hAnsiTheme="minorEastAsia"/>
          <w:sz w:val="24"/>
        </w:rPr>
        <w:t xml:space="preserve">（1）乙方不能提供服务的，或服务不合格从而影响甲方正常食用的，应向甲方偿付合同总价款5%的违约金，违约金不足以补偿损失的甲方有权要求乙方补足。</w:t>
      </w:r>
      <w:r/>
    </w:p>
    <w:p>
      <w:pPr>
        <w:ind w:firstLine="566"/>
        <w:spacing w:line="360" w:lineRule="auto"/>
        <w:rPr>
          <w:rFonts w:asciiTheme="minorEastAsia" w:hAnsiTheme="minorEastAsia"/>
          <w:sz w:val="24"/>
        </w:rPr>
      </w:pPr>
      <w:r>
        <w:rPr>
          <w:rFonts w:hint="eastAsia" w:asciiTheme="minorEastAsia" w:hAnsiTheme="minorEastAsia"/>
          <w:sz w:val="24"/>
        </w:rPr>
        <w:t xml:space="preserve">（2）乙方逾期提供服务的，应与甲方协商，甲方仍要求的，乙方应立即提供服务按照逾期服务的每天万分之四支付逾期违约金，同时承担甲方因此遭致的损失费用。 </w:t>
      </w:r>
      <w:r/>
    </w:p>
    <w:p>
      <w:pPr>
        <w:ind w:firstLine="566"/>
        <w:spacing w:line="360" w:lineRule="auto"/>
        <w:rPr>
          <w:rFonts w:asciiTheme="minorEastAsia" w:hAnsiTheme="minorEastAsia"/>
          <w:sz w:val="24"/>
        </w:rPr>
      </w:pPr>
      <w:r>
        <w:rPr>
          <w:rFonts w:hint="eastAsia" w:asciiTheme="minorEastAsia" w:hAnsiTheme="minorEastAsia"/>
          <w:sz w:val="24"/>
        </w:rPr>
        <w:t xml:space="preserve">（3）在服务过程中如出现食品卫生质量问题而引起的损失，由乙方全部赔偿，造成严重后果的，按国家相关法律规定处理。</w:t>
      </w:r>
      <w:r/>
    </w:p>
    <w:p>
      <w:pPr>
        <w:ind w:firstLine="566"/>
        <w:spacing w:line="360" w:lineRule="auto"/>
        <w:rPr>
          <w:rFonts w:asciiTheme="minorEastAsia" w:hAnsiTheme="minorEastAsia"/>
          <w:sz w:val="24"/>
        </w:rPr>
      </w:pPr>
      <w:r>
        <w:rPr>
          <w:rFonts w:hint="eastAsia" w:asciiTheme="minorEastAsia" w:hAnsiTheme="minorEastAsia"/>
          <w:sz w:val="24"/>
        </w:rPr>
        <w:t xml:space="preserve">（4）乙方须按照采购文件要求的标准及响应文件的相关承诺内容完成服务，如因乙方所供应食品的质量问题引起甲方人员食物中毒等食源性疾病的发生或其他事故由乙方负全部责任，并承担由此引起的全部经济损失及相应的法律责任。</w:t>
      </w:r>
      <w:r/>
    </w:p>
    <w:p>
      <w:pPr>
        <w:ind w:firstLine="566"/>
        <w:spacing w:line="360" w:lineRule="auto"/>
        <w:rPr>
          <w:rFonts w:asciiTheme="minorEastAsia" w:hAnsiTheme="minorEastAsia"/>
          <w:sz w:val="24"/>
        </w:rPr>
      </w:pPr>
      <w:r>
        <w:rPr>
          <w:rFonts w:hint="eastAsia" w:asciiTheme="minorEastAsia" w:hAnsiTheme="minorEastAsia"/>
          <w:sz w:val="24"/>
        </w:rPr>
        <w:t xml:space="preserve"> 3.不可抗力</w:t>
      </w:r>
      <w:r/>
    </w:p>
    <w:p>
      <w:pPr>
        <w:ind w:firstLine="566"/>
        <w:spacing w:line="360" w:lineRule="auto"/>
        <w:rPr>
          <w:rFonts w:asciiTheme="minorEastAsia" w:hAnsiTheme="minorEastAsia"/>
          <w:sz w:val="24"/>
        </w:rPr>
      </w:pPr>
      <w:r>
        <w:rPr>
          <w:rFonts w:hint="eastAsia" w:asciiTheme="minorEastAsia" w:hAnsiTheme="minorEastAsia"/>
          <w:sz w:val="24"/>
        </w:rPr>
        <w:t xml:space="preserve">3.1因不可抗力不能履行合同的，根据不可抗力的影响，部分或者全部免除责任。但合同一方延迟履行后发生不可抗力的，不能免除责任。</w:t>
      </w:r>
      <w:r/>
    </w:p>
    <w:p>
      <w:pPr>
        <w:ind w:firstLine="566"/>
        <w:spacing w:line="360" w:lineRule="auto"/>
        <w:rPr>
          <w:rFonts w:asciiTheme="minorEastAsia" w:hAnsiTheme="minorEastAsia"/>
          <w:sz w:val="24"/>
        </w:rPr>
      </w:pPr>
      <w:r>
        <w:rPr>
          <w:rFonts w:hint="eastAsia" w:asciiTheme="minorEastAsia" w:hAnsiTheme="minorEastAsia"/>
          <w:sz w:val="24"/>
        </w:rPr>
        <w:t xml:space="preserve">3.2合同一方因不可抗力不能履行合同的，应当及时通知对方，以减轻可能给对方造成的损失，并应当在合理期限内提供证明。</w:t>
      </w:r>
      <w:r/>
    </w:p>
    <w:p>
      <w:pPr>
        <w:ind w:firstLine="566"/>
        <w:spacing w:line="360" w:lineRule="auto"/>
        <w:rPr>
          <w:rFonts w:asciiTheme="minorEastAsia" w:hAnsiTheme="minorEastAsia"/>
          <w:sz w:val="24"/>
        </w:rPr>
      </w:pPr>
      <w:r>
        <w:rPr>
          <w:rFonts w:hint="eastAsia" w:asciiTheme="minorEastAsia" w:hAnsiTheme="minorEastAsia"/>
          <w:sz w:val="24"/>
        </w:rPr>
        <w:t xml:space="preserve">3.3若甲方有特殊情况需临时要求供货，乙方须迅速制定相应的应急预案执行，并在甲方规定的合理时间内能送货至甲方指定地点。</w:t>
      </w:r>
      <w:r/>
    </w:p>
    <w:p>
      <w:pPr>
        <w:ind w:firstLine="569"/>
        <w:spacing w:line="360" w:lineRule="auto"/>
        <w:rPr>
          <w:rFonts w:asciiTheme="minorEastAsia" w:hAnsiTheme="minorEastAsia"/>
          <w:b/>
          <w:sz w:val="24"/>
        </w:rPr>
      </w:pPr>
      <w:r>
        <w:rPr>
          <w:rFonts w:hint="eastAsia" w:asciiTheme="minorEastAsia" w:hAnsiTheme="minorEastAsia"/>
          <w:b/>
          <w:sz w:val="24"/>
        </w:rPr>
        <w:t xml:space="preserve">四、付款方式</w:t>
      </w:r>
      <w:r/>
    </w:p>
    <w:p>
      <w:pPr>
        <w:ind w:firstLine="566"/>
        <w:spacing w:line="360" w:lineRule="auto"/>
        <w:rPr>
          <w:rFonts w:asciiTheme="minorEastAsia" w:hAnsiTheme="minorEastAsia"/>
          <w:sz w:val="24"/>
        </w:rPr>
      </w:pPr>
      <w:r>
        <w:rPr>
          <w:rFonts w:hint="eastAsia" w:asciiTheme="minorEastAsia" w:hAnsiTheme="minorEastAsia"/>
          <w:sz w:val="24"/>
        </w:rPr>
        <w:t xml:space="preserve">本项目中标单价金额为</w:t>
      </w:r>
      <w:r>
        <w:rPr>
          <w:rFonts w:hint="eastAsia" w:asciiTheme="minorEastAsia" w:hAnsiTheme="minorEastAsia"/>
          <w:sz w:val="24"/>
          <w:u w:val="single"/>
        </w:rPr>
        <w:t xml:space="preserve">       </w:t>
      </w:r>
      <w:r>
        <w:rPr>
          <w:rFonts w:hint="eastAsia" w:asciiTheme="minorEastAsia" w:hAnsiTheme="minorEastAsia"/>
          <w:sz w:val="24"/>
        </w:rPr>
        <w:t xml:space="preserve">元/份，中标后单价不得变动。</w:t>
      </w:r>
      <w:r/>
    </w:p>
    <w:p>
      <w:pPr>
        <w:ind w:firstLine="566"/>
        <w:spacing w:line="360" w:lineRule="auto"/>
        <w:rPr>
          <w:rFonts w:asciiTheme="minorEastAsia" w:hAnsiTheme="minorEastAsia"/>
          <w:sz w:val="24"/>
        </w:rPr>
      </w:pPr>
      <w:r>
        <w:rPr>
          <w:rFonts w:hint="eastAsia" w:asciiTheme="minorEastAsia" w:hAnsiTheme="minorEastAsia"/>
          <w:sz w:val="24"/>
        </w:rPr>
        <w:t xml:space="preserve">本项目落实预付款制度，预付款比例为30%，合同签订后，采购人在收到发票后10个工作日内将预付款支付到合同约定的供应商账户。在签订合同时，中标供应商明确书面表示无需预付款或者主动要求降低预付款比例的，采购人可就预付款比例作相应调整。</w:t>
      </w:r>
      <w:r/>
    </w:p>
    <w:p>
      <w:pPr>
        <w:ind w:firstLine="566"/>
        <w:spacing w:line="360" w:lineRule="auto"/>
        <w:rPr>
          <w:rFonts w:asciiTheme="minorEastAsia" w:hAnsiTheme="minorEastAsia"/>
          <w:sz w:val="24"/>
        </w:rPr>
      </w:pPr>
      <w:r>
        <w:rPr>
          <w:rFonts w:hint="eastAsia" w:asciiTheme="minorEastAsia" w:hAnsiTheme="minorEastAsia"/>
          <w:sz w:val="24"/>
        </w:rPr>
        <w:t xml:space="preserve">1.本合同的价款以人民币分期付款的方式进行结算，由学校按下述约定期限、凭中标单位提供的税票、签字的供餐清单、就餐确认单（班主任核对后学生签字）合同、满意度测评表等为依据核算金额，金额无误后通过支票或转账的方式向中标单位指定账户支付当期费用。</w:t>
      </w:r>
      <w:r/>
    </w:p>
    <w:p>
      <w:pPr>
        <w:ind w:firstLine="566"/>
        <w:spacing w:line="360" w:lineRule="auto"/>
        <w:rPr>
          <w:rFonts w:asciiTheme="minorEastAsia" w:hAnsiTheme="minorEastAsia"/>
          <w:sz w:val="24"/>
        </w:rPr>
      </w:pPr>
      <w:r>
        <w:rPr>
          <w:rFonts w:hint="eastAsia" w:asciiTheme="minorEastAsia" w:hAnsiTheme="minorEastAsia"/>
          <w:sz w:val="24"/>
        </w:rPr>
        <w:t xml:space="preserve">2.采用一个月支付一次（于次月的中旬前支付），即采购人于每月15日前对上个月实际发生的数量进行支付（冲减扣款与预付款）。</w:t>
      </w:r>
      <w:r/>
    </w:p>
    <w:p>
      <w:pPr>
        <w:ind w:firstLine="566"/>
        <w:spacing w:line="360" w:lineRule="auto"/>
        <w:rPr>
          <w:rFonts w:asciiTheme="minorEastAsia" w:hAnsiTheme="minorEastAsia"/>
          <w:sz w:val="24"/>
        </w:rPr>
      </w:pPr>
      <w:r>
        <w:rPr>
          <w:rFonts w:hint="eastAsia" w:asciiTheme="minorEastAsia" w:hAnsiTheme="minorEastAsia"/>
          <w:sz w:val="24"/>
        </w:rPr>
        <w:t xml:space="preserve">3.采购人每月组织学生用餐满意度调查，满意度在80%以上的，当月餐费全额拨付。每降低1个百分点（降低值按四舍五入计），按降低</w:t>
      </w:r>
      <w:r>
        <w:rPr>
          <w:rFonts w:asciiTheme="minorEastAsia" w:hAnsiTheme="minorEastAsia"/>
          <w:sz w:val="24"/>
        </w:rPr>
        <w:t xml:space="preserve">2</w:t>
      </w:r>
      <w:r>
        <w:rPr>
          <w:rFonts w:hint="eastAsia" w:asciiTheme="minorEastAsia" w:hAnsiTheme="minorEastAsia"/>
          <w:sz w:val="24"/>
        </w:rPr>
        <w:t xml:space="preserve">个百分点比例支付当月餐费。</w:t>
      </w:r>
      <w:r/>
    </w:p>
    <w:p>
      <w:pPr>
        <w:ind w:firstLine="566"/>
        <w:spacing w:line="360" w:lineRule="auto"/>
        <w:rPr>
          <w:rFonts w:asciiTheme="minorEastAsia" w:hAnsiTheme="minorEastAsia"/>
          <w:sz w:val="24"/>
        </w:rPr>
      </w:pPr>
      <w:r>
        <w:rPr>
          <w:rFonts w:hint="eastAsia" w:asciiTheme="minorEastAsia" w:hAnsiTheme="minorEastAsia"/>
          <w:sz w:val="24"/>
        </w:rPr>
        <w:t xml:space="preserve">4.甲方不承担其它任何费用，乙方所有从业服务人员的薪金（包括国家或地方政府政策性调整基础工资）、福利、保险（社保）、休假日补贴等所有工资福利待遇及相关其他食材、车辆等采购费用均由乙方支付，与甲方无关。如与本项目有关的乙方人员或乙方的合作方，向甲方或甲方主管部门投诉乙方欠资等不合规行为，甲方将对乙方予以约谈，直至终止合同，并由乙方承担由此引起的一切法律责任。</w:t>
      </w:r>
      <w:r/>
    </w:p>
    <w:p>
      <w:pPr>
        <w:ind w:firstLine="569"/>
        <w:spacing w:line="360" w:lineRule="auto"/>
        <w:rPr>
          <w:rFonts w:asciiTheme="minorEastAsia" w:hAnsiTheme="minorEastAsia"/>
          <w:b/>
          <w:sz w:val="24"/>
        </w:rPr>
      </w:pPr>
      <w:r>
        <w:rPr>
          <w:rFonts w:hint="eastAsia" w:asciiTheme="minorEastAsia" w:hAnsiTheme="minorEastAsia"/>
          <w:b/>
          <w:sz w:val="24"/>
        </w:rPr>
        <w:t xml:space="preserve">五、其它</w:t>
      </w:r>
      <w:r/>
    </w:p>
    <w:p>
      <w:pPr>
        <w:ind w:firstLine="566"/>
        <w:spacing w:line="360" w:lineRule="auto"/>
        <w:rPr>
          <w:rFonts w:asciiTheme="minorEastAsia" w:hAnsiTheme="minorEastAsia"/>
          <w:sz w:val="24"/>
        </w:rPr>
      </w:pPr>
      <w:r>
        <w:rPr>
          <w:rFonts w:hint="eastAsia" w:asciiTheme="minorEastAsia" w:hAnsiTheme="minorEastAsia"/>
          <w:sz w:val="24"/>
        </w:rPr>
        <w:t xml:space="preserve">1.</w:t>
      </w:r>
      <w:r>
        <w:rPr>
          <w:rFonts w:hint="eastAsia"/>
        </w:rPr>
        <w:t xml:space="preserve"> </w:t>
      </w:r>
      <w:r>
        <w:rPr>
          <w:rFonts w:hint="eastAsia" w:asciiTheme="minorEastAsia" w:hAnsiTheme="minorEastAsia"/>
          <w:sz w:val="24"/>
        </w:rPr>
        <w:t xml:space="preserve">乙方自行协调解决本项目实施过程中发生的各种矛盾，甲方不承担任何费用和责任；乙方已到项目现场踏勘以充分了解项目位置、情况及任何其他影响报价的情况，任何因忽视或误解项目情况而导致的索赔申请不被批准。</w:t>
      </w:r>
      <w:r/>
    </w:p>
    <w:p>
      <w:pPr>
        <w:ind w:firstLine="566"/>
        <w:spacing w:line="360" w:lineRule="auto"/>
        <w:rPr>
          <w:rFonts w:asciiTheme="minorEastAsia" w:hAnsiTheme="minorEastAsia"/>
          <w:sz w:val="24"/>
        </w:rPr>
      </w:pPr>
      <w:r>
        <w:rPr>
          <w:rFonts w:hint="eastAsia" w:asciiTheme="minorEastAsia" w:hAnsiTheme="minorEastAsia"/>
          <w:sz w:val="24"/>
        </w:rPr>
        <w:t xml:space="preserve">2.招标文件和投标文件作为本合同的组成部分。</w:t>
      </w:r>
      <w:r/>
    </w:p>
    <w:p>
      <w:pPr>
        <w:ind w:firstLine="566"/>
        <w:spacing w:line="360" w:lineRule="auto"/>
        <w:rPr>
          <w:rFonts w:asciiTheme="minorEastAsia" w:hAnsiTheme="minorEastAsia"/>
          <w:sz w:val="24"/>
        </w:rPr>
      </w:pPr>
      <w:r>
        <w:rPr>
          <w:rFonts w:hint="eastAsia" w:asciiTheme="minorEastAsia" w:hAnsiTheme="minorEastAsia"/>
          <w:sz w:val="24"/>
        </w:rPr>
        <w:t xml:space="preserve">3.欲对合同条款进行任何改动，均须由甲、乙双方签署书面的合同修改书。</w:t>
      </w:r>
      <w:r/>
    </w:p>
    <w:p>
      <w:pPr>
        <w:ind w:firstLine="569"/>
        <w:spacing w:line="360" w:lineRule="auto"/>
        <w:rPr>
          <w:rFonts w:asciiTheme="minorEastAsia" w:hAnsiTheme="minorEastAsia"/>
          <w:b/>
          <w:sz w:val="24"/>
        </w:rPr>
      </w:pPr>
      <w:r>
        <w:rPr>
          <w:rFonts w:hint="eastAsia" w:asciiTheme="minorEastAsia" w:hAnsiTheme="minorEastAsia"/>
          <w:b/>
          <w:sz w:val="24"/>
        </w:rPr>
        <w:t xml:space="preserve">六、合同转或分包</w:t>
      </w:r>
      <w:r/>
    </w:p>
    <w:p>
      <w:pPr>
        <w:ind w:firstLine="566"/>
        <w:spacing w:line="360" w:lineRule="auto"/>
        <w:rPr>
          <w:rFonts w:asciiTheme="minorEastAsia" w:hAnsiTheme="minorEastAsia"/>
          <w:sz w:val="24"/>
        </w:rPr>
      </w:pPr>
      <w:r>
        <w:rPr>
          <w:rFonts w:hint="eastAsia" w:asciiTheme="minorEastAsia" w:hAnsiTheme="minorEastAsia"/>
          <w:sz w:val="24"/>
        </w:rPr>
        <w:t xml:space="preserve">1.乙方不得将合同标的转包给他人履行。</w:t>
      </w:r>
      <w:r/>
    </w:p>
    <w:p>
      <w:pPr>
        <w:ind w:firstLine="566"/>
        <w:spacing w:line="360" w:lineRule="auto"/>
        <w:rPr>
          <w:rFonts w:asciiTheme="minorEastAsia" w:hAnsiTheme="minorEastAsia"/>
          <w:sz w:val="24"/>
        </w:rPr>
      </w:pPr>
      <w:r>
        <w:rPr>
          <w:rFonts w:hint="eastAsia" w:asciiTheme="minorEastAsia" w:hAnsiTheme="minorEastAsia"/>
          <w:sz w:val="24"/>
        </w:rPr>
        <w:t xml:space="preserve">2.乙方不得将合同标的分包给他人履行。</w:t>
      </w:r>
      <w:r/>
    </w:p>
    <w:p>
      <w:pPr>
        <w:ind w:firstLine="566"/>
        <w:spacing w:line="360" w:lineRule="auto"/>
        <w:rPr>
          <w:rFonts w:asciiTheme="minorEastAsia" w:hAnsiTheme="minorEastAsia"/>
          <w:sz w:val="24"/>
        </w:rPr>
      </w:pPr>
      <w:r>
        <w:rPr>
          <w:rFonts w:hint="eastAsia" w:asciiTheme="minorEastAsia" w:hAnsiTheme="minorEastAsia"/>
          <w:sz w:val="24"/>
        </w:rPr>
        <w:t xml:space="preserve">3.乙方如有转包或未经甲方同意的分包行为，甲方有权终止合同。</w:t>
      </w:r>
      <w:r/>
    </w:p>
    <w:p>
      <w:pPr>
        <w:ind w:firstLine="569"/>
        <w:spacing w:line="360" w:lineRule="auto"/>
        <w:rPr>
          <w:rFonts w:ascii="宋体" w:hAnsi="宋体"/>
          <w:sz w:val="24"/>
        </w:rPr>
      </w:pPr>
      <w:r>
        <w:rPr>
          <w:rFonts w:hint="eastAsia" w:asciiTheme="minorEastAsia" w:hAnsiTheme="minorEastAsia"/>
          <w:b/>
          <w:sz w:val="24"/>
        </w:rPr>
        <w:t xml:space="preserve">七、</w:t>
      </w:r>
      <w:bookmarkStart w:id="186" w:name="_Hlk206336099"/>
      <w:r>
        <w:rPr>
          <w:rFonts w:hint="eastAsia" w:asciiTheme="minorEastAsia" w:hAnsiTheme="minorEastAsia"/>
          <w:b/>
          <w:sz w:val="24"/>
        </w:rPr>
        <w:t xml:space="preserve">履约保证金 </w:t>
      </w:r>
      <w:bookmarkEnd w:id="186"/>
      <w:r/>
      <w:r/>
    </w:p>
    <w:p>
      <w:pPr>
        <w:ind w:firstLine="566"/>
        <w:spacing w:line="360" w:lineRule="auto"/>
        <w:rPr>
          <w:rFonts w:ascii="宋体" w:hAnsi="宋体"/>
          <w:sz w:val="24"/>
        </w:rPr>
      </w:pPr>
      <w:r/>
      <w:bookmarkStart w:id="187" w:name="_Hlk206336082"/>
      <w:r>
        <w:rPr>
          <w:rFonts w:hint="eastAsia" w:ascii="宋体" w:hAnsi="宋体"/>
          <w:sz w:val="24"/>
        </w:rPr>
        <w:t xml:space="preserve">1.</w:t>
      </w:r>
      <w:r>
        <w:rPr>
          <w:rFonts w:hint="eastAsia" w:ascii="宋体" w:hAnsi="宋体"/>
          <w:color w:val="ee0000"/>
          <w:sz w:val="24"/>
        </w:rPr>
        <w:t xml:space="preserve">乙方交纳合同金额的10%的人民币作为本合同的履约保证金。</w:t>
      </w:r>
      <w:r/>
    </w:p>
    <w:p>
      <w:pPr>
        <w:ind w:firstLine="566"/>
        <w:spacing w:line="360" w:lineRule="auto"/>
        <w:rPr>
          <w:rFonts w:ascii="宋体" w:hAnsi="宋体"/>
          <w:sz w:val="24"/>
        </w:rPr>
      </w:pPr>
      <w:r>
        <w:rPr>
          <w:rFonts w:hint="eastAsia" w:ascii="宋体" w:hAnsi="宋体"/>
          <w:sz w:val="24"/>
        </w:rPr>
        <w:t xml:space="preserve">（备注：采购人应当对AA评级及以上政府采购供应商（需提供信用管理部门备案的第三方信用报告）免收履约保证金或降低履约保证金缴纳比例。）</w:t>
      </w:r>
      <w:r/>
    </w:p>
    <w:p>
      <w:pPr>
        <w:ind w:firstLine="566"/>
        <w:spacing w:line="360" w:lineRule="auto"/>
        <w:rPr>
          <w:rFonts w:ascii="宋体" w:hAnsi="宋体"/>
          <w:sz w:val="24"/>
        </w:rPr>
      </w:pPr>
      <w:r>
        <w:rPr>
          <w:rFonts w:hint="eastAsia" w:ascii="宋体" w:hAnsi="宋体"/>
          <w:sz w:val="24"/>
        </w:rPr>
        <w:t xml:space="preserve">2.确需收取履约保证金的，履约保证金的缴纳形式：</w:t>
      </w:r>
      <w:r/>
    </w:p>
    <w:p>
      <w:pPr>
        <w:ind w:firstLine="566"/>
        <w:spacing w:line="360" w:lineRule="auto"/>
        <w:rPr>
          <w:rFonts w:ascii="宋体" w:hAnsi="宋体"/>
          <w:sz w:val="24"/>
        </w:rPr>
      </w:pPr>
      <w:r>
        <w:rPr>
          <w:rFonts w:hint="eastAsia" w:ascii="宋体" w:hAnsi="宋体"/>
          <w:sz w:val="24"/>
        </w:rPr>
        <w:t xml:space="preserve">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566"/>
        <w:spacing w:line="360" w:lineRule="auto"/>
        <w:rPr>
          <w:rFonts w:ascii="宋体" w:hAnsi="宋体"/>
          <w:sz w:val="24"/>
        </w:rPr>
      </w:pPr>
      <w:r>
        <w:rPr>
          <w:rFonts w:hint="eastAsia" w:ascii="宋体" w:hAnsi="宋体"/>
          <w:sz w:val="24"/>
        </w:rPr>
        <w:t xml:space="preserve">2）如以履约保函（保险）形式缴纳履约保证金，乙方可通过政府采购电子履约保函（保险）平台（www.jsdzbh.com）在线申请履约保函（保险）。</w:t>
      </w:r>
      <w:r/>
    </w:p>
    <w:p>
      <w:pPr>
        <w:ind w:firstLine="566"/>
        <w:spacing w:line="360" w:lineRule="auto"/>
        <w:rPr>
          <w:rFonts w:ascii="宋体" w:hAnsi="宋体"/>
          <w:sz w:val="24"/>
        </w:rPr>
      </w:pPr>
      <w:r>
        <w:rPr>
          <w:rFonts w:hint="eastAsia" w:ascii="宋体" w:hAnsi="宋体"/>
          <w:sz w:val="24"/>
        </w:rPr>
        <w:t xml:space="preserve">3）合同履行结束后，甲方应及时退还交纳的履约保证金。</w:t>
      </w:r>
      <w:r/>
    </w:p>
    <w:p>
      <w:pPr>
        <w:ind w:firstLine="566"/>
        <w:spacing w:line="360" w:lineRule="auto"/>
        <w:rPr>
          <w:rFonts w:ascii="宋体" w:hAnsi="宋体"/>
          <w:sz w:val="24"/>
        </w:rPr>
      </w:pPr>
      <w:r>
        <w:rPr>
          <w:rFonts w:hint="eastAsia" w:ascii="宋体" w:hAnsi="宋体"/>
          <w:sz w:val="24"/>
        </w:rPr>
        <w:t xml:space="preserve">4）履约保证金的退还：</w:t>
      </w:r>
      <w:r/>
    </w:p>
    <w:p>
      <w:pPr>
        <w:ind w:firstLine="566"/>
        <w:spacing w:line="360" w:lineRule="auto"/>
        <w:rPr>
          <w:rFonts w:ascii="宋体" w:hAnsi="宋体"/>
          <w:sz w:val="24"/>
        </w:rPr>
      </w:pPr>
      <w:r>
        <w:rPr>
          <w:rFonts w:hint="eastAsia" w:ascii="宋体" w:hAnsi="宋体"/>
          <w:sz w:val="24"/>
        </w:rPr>
        <w:t xml:space="preserve">方式：退还至投标人缴纳履约保证金的账户。如为保函，在到期时自行失效。</w:t>
      </w:r>
      <w:r/>
    </w:p>
    <w:p>
      <w:pPr>
        <w:ind w:firstLine="566"/>
        <w:spacing w:line="360" w:lineRule="auto"/>
        <w:rPr>
          <w:rFonts w:ascii="宋体" w:hAnsi="宋体"/>
          <w:sz w:val="24"/>
        </w:rPr>
      </w:pPr>
      <w:r>
        <w:rPr>
          <w:rFonts w:hint="eastAsia" w:ascii="宋体" w:hAnsi="宋体"/>
          <w:sz w:val="24"/>
        </w:rPr>
        <w:t xml:space="preserve">时间：验收合格且采购人收到发票后30日内。</w:t>
      </w:r>
      <w:r/>
    </w:p>
    <w:p>
      <w:pPr>
        <w:ind w:firstLine="566"/>
        <w:spacing w:line="360" w:lineRule="auto"/>
        <w:rPr>
          <w:rFonts w:ascii="宋体" w:hAnsi="宋体"/>
          <w:sz w:val="24"/>
        </w:rPr>
      </w:pPr>
      <w:r>
        <w:rPr>
          <w:rFonts w:hint="eastAsia" w:ascii="宋体" w:hAnsi="宋体"/>
          <w:sz w:val="24"/>
        </w:rPr>
        <w:t xml:space="preserve">条件：按合同要求全部履约完成并经甲方验收合格，且甲方收到乙方出具的发票。</w:t>
      </w:r>
      <w:r/>
    </w:p>
    <w:p>
      <w:pPr>
        <w:ind w:firstLine="566"/>
        <w:spacing w:line="360" w:lineRule="auto"/>
        <w:rPr>
          <w:rFonts w:ascii="宋体" w:hAnsi="宋体"/>
          <w:sz w:val="24"/>
        </w:rPr>
      </w:pPr>
      <w:r>
        <w:rPr>
          <w:rFonts w:hint="eastAsia" w:ascii="宋体" w:hAnsi="宋体"/>
          <w:sz w:val="24"/>
        </w:rPr>
        <w:t xml:space="preserve">5）不予退还情形：</w:t>
      </w:r>
      <w:r/>
    </w:p>
    <w:p>
      <w:pPr>
        <w:ind w:firstLine="566"/>
        <w:spacing w:line="360" w:lineRule="auto"/>
        <w:rPr>
          <w:rFonts w:ascii="宋体" w:hAnsi="宋体"/>
          <w:sz w:val="24"/>
        </w:rPr>
      </w:pPr>
      <w:r>
        <w:rPr>
          <w:rFonts w:hint="eastAsia" w:ascii="宋体" w:hAnsi="宋体"/>
          <w:sz w:val="24"/>
        </w:rPr>
        <w:t xml:space="preserve">除不可抗力情况外，乙方出现下列情形之一的，其履约保证金，甲方将视情节决定不予退还或部分不予退还。</w:t>
      </w:r>
      <w:r/>
    </w:p>
    <w:p>
      <w:pPr>
        <w:ind w:firstLine="566"/>
        <w:spacing w:line="360" w:lineRule="auto"/>
        <w:rPr>
          <w:rFonts w:ascii="宋体" w:hAnsi="宋体"/>
          <w:sz w:val="24"/>
        </w:rPr>
      </w:pPr>
      <w:r>
        <w:rPr>
          <w:rFonts w:hint="eastAsia" w:ascii="宋体" w:hAnsi="宋体"/>
          <w:sz w:val="24"/>
        </w:rPr>
        <w:t xml:space="preserve">（1）乙方无正当理由拒绝签订合同的，或者在签订合同时向甲方提出附加条件或者更改合同实质性内容要求的；</w:t>
      </w:r>
      <w:r/>
    </w:p>
    <w:p>
      <w:pPr>
        <w:ind w:firstLine="566"/>
        <w:spacing w:line="360" w:lineRule="auto"/>
        <w:rPr>
          <w:rFonts w:ascii="宋体" w:hAnsi="宋体"/>
          <w:sz w:val="24"/>
        </w:rPr>
      </w:pPr>
      <w:r>
        <w:rPr>
          <w:rFonts w:hint="eastAsia" w:ascii="宋体" w:hAnsi="宋体"/>
          <w:sz w:val="24"/>
        </w:rPr>
        <w:t xml:space="preserve">（2）乙方不履行与甲方订立的合同的；</w:t>
      </w:r>
      <w:r/>
    </w:p>
    <w:p>
      <w:pPr>
        <w:ind w:firstLine="566"/>
        <w:spacing w:line="360" w:lineRule="auto"/>
        <w:rPr>
          <w:rFonts w:ascii="宋体" w:hAnsi="宋体"/>
          <w:sz w:val="24"/>
        </w:rPr>
      </w:pPr>
      <w:r>
        <w:rPr>
          <w:rFonts w:hint="eastAsia" w:ascii="宋体" w:hAnsi="宋体"/>
          <w:sz w:val="24"/>
        </w:rPr>
        <w:t xml:space="preserve">（3）乙方所供货物或服务不符合招标文件规定要求的；</w:t>
      </w:r>
      <w:r/>
    </w:p>
    <w:p>
      <w:pPr>
        <w:ind w:firstLine="566"/>
        <w:spacing w:line="360" w:lineRule="auto"/>
        <w:rPr>
          <w:rFonts w:ascii="宋体" w:hAnsi="宋体"/>
          <w:sz w:val="24"/>
        </w:rPr>
      </w:pPr>
      <w:r>
        <w:rPr>
          <w:rFonts w:hint="eastAsia" w:ascii="宋体" w:hAnsi="宋体"/>
          <w:sz w:val="24"/>
        </w:rPr>
        <w:t xml:space="preserve">（4）乙方采取欺骗、弄虚作假方式投标的或与其他供应商串通投标的；</w:t>
      </w:r>
      <w:r/>
    </w:p>
    <w:p>
      <w:pPr>
        <w:ind w:firstLine="566"/>
        <w:spacing w:line="360" w:lineRule="auto"/>
        <w:rPr>
          <w:rFonts w:ascii="宋体" w:hAnsi="宋体"/>
          <w:sz w:val="24"/>
        </w:rPr>
      </w:pPr>
      <w:r>
        <w:rPr>
          <w:rFonts w:hint="eastAsia" w:ascii="宋体" w:hAnsi="宋体"/>
          <w:sz w:val="24"/>
        </w:rPr>
        <w:t xml:space="preserve">（5）乙方将合同内容转包、违法分包的；</w:t>
      </w:r>
      <w:r/>
    </w:p>
    <w:p>
      <w:pPr>
        <w:ind w:firstLine="566"/>
        <w:spacing w:line="360" w:lineRule="auto"/>
        <w:rPr>
          <w:rFonts w:ascii="宋体" w:hAnsi="宋体"/>
          <w:sz w:val="24"/>
        </w:rPr>
      </w:pPr>
      <w:r>
        <w:rPr>
          <w:rFonts w:hint="eastAsia" w:ascii="宋体" w:hAnsi="宋体"/>
          <w:sz w:val="24"/>
        </w:rPr>
        <w:t xml:space="preserve">（6）乙方故意捏造事实或伪造证明材料，进行虚假恶意投诉或反映的。</w:t>
      </w:r>
      <w:r/>
    </w:p>
    <w:p>
      <w:pPr>
        <w:ind w:firstLine="566"/>
        <w:spacing w:line="360" w:lineRule="auto"/>
        <w:rPr>
          <w:rFonts w:asciiTheme="minorEastAsia" w:hAnsiTheme="minorEastAsia"/>
          <w:b/>
          <w:sz w:val="24"/>
        </w:rPr>
      </w:pPr>
      <w:r>
        <w:rPr>
          <w:rFonts w:hint="eastAsia" w:ascii="宋体" w:hAnsi="宋体"/>
          <w:sz w:val="24"/>
        </w:rPr>
        <w:t xml:space="preserve">6.逾期退还的违约责任：甲方逾期无故未退还履约保证金的，按中国人民银行同期贷款基准利率上浮20%后的利率支付超期资金占用费，但因乙方自身原因导致无法及时退还的除外。</w:t>
      </w:r>
      <w:bookmarkEnd w:id="187"/>
      <w:r/>
      <w:r/>
    </w:p>
    <w:p>
      <w:pPr>
        <w:ind w:firstLine="569"/>
        <w:spacing w:line="360" w:lineRule="auto"/>
        <w:rPr>
          <w:rFonts w:asciiTheme="minorEastAsia" w:hAnsiTheme="minorEastAsia"/>
          <w:b/>
          <w:sz w:val="24"/>
        </w:rPr>
      </w:pPr>
      <w:r>
        <w:rPr>
          <w:rFonts w:hint="eastAsia" w:asciiTheme="minorEastAsia" w:hAnsiTheme="minorEastAsia"/>
          <w:b/>
          <w:sz w:val="24"/>
        </w:rPr>
        <w:t xml:space="preserve">八、争议的解决</w:t>
      </w:r>
      <w:r/>
    </w:p>
    <w:p>
      <w:pPr>
        <w:ind w:firstLine="566"/>
        <w:spacing w:line="360" w:lineRule="auto"/>
        <w:rPr>
          <w:rFonts w:asciiTheme="minorEastAsia" w:hAnsiTheme="minorEastAsia"/>
          <w:sz w:val="24"/>
        </w:rPr>
      </w:pPr>
      <w:r>
        <w:rPr>
          <w:rFonts w:hint="eastAsia" w:asciiTheme="minorEastAsia" w:hAnsiTheme="minorEastAsia"/>
          <w:sz w:val="24"/>
        </w:rPr>
        <w:t xml:space="preserve">双方约定，在履行合同过程中产生争议时：</w:t>
      </w:r>
      <w:r/>
    </w:p>
    <w:p>
      <w:pPr>
        <w:ind w:firstLine="566"/>
        <w:spacing w:line="360" w:lineRule="auto"/>
        <w:rPr>
          <w:rFonts w:asciiTheme="minorEastAsia" w:hAnsiTheme="minorEastAsia"/>
          <w:sz w:val="24"/>
        </w:rPr>
      </w:pPr>
      <w:r>
        <w:rPr>
          <w:rFonts w:hint="eastAsia" w:asciiTheme="minorEastAsia" w:hAnsiTheme="minorEastAsia"/>
          <w:sz w:val="24"/>
        </w:rPr>
        <w:t xml:space="preserve">1.请双方在协商基础上进行调解。</w:t>
      </w:r>
      <w:r/>
    </w:p>
    <w:p>
      <w:pPr>
        <w:ind w:firstLine="566"/>
        <w:spacing w:line="360" w:lineRule="auto"/>
        <w:rPr>
          <w:rFonts w:asciiTheme="minorEastAsia" w:hAnsiTheme="minorEastAsia"/>
          <w:sz w:val="24"/>
        </w:rPr>
      </w:pPr>
      <w:r>
        <w:rPr>
          <w:rFonts w:hint="eastAsia" w:asciiTheme="minorEastAsia" w:hAnsiTheme="minorEastAsia"/>
          <w:sz w:val="24"/>
        </w:rPr>
        <w:t xml:space="preserve">2.在协商基础上进行调解无效时，向甲方所在地人民法院提请诉讼。</w:t>
      </w:r>
      <w:r/>
    </w:p>
    <w:p>
      <w:pPr>
        <w:ind w:firstLine="569"/>
        <w:spacing w:line="360" w:lineRule="auto"/>
        <w:rPr>
          <w:rFonts w:asciiTheme="minorEastAsia" w:hAnsiTheme="minorEastAsia"/>
          <w:b/>
          <w:sz w:val="24"/>
        </w:rPr>
      </w:pPr>
      <w:r>
        <w:rPr>
          <w:rFonts w:hint="eastAsia" w:asciiTheme="minorEastAsia" w:hAnsiTheme="minorEastAsia"/>
          <w:b/>
          <w:sz w:val="24"/>
        </w:rPr>
        <w:t xml:space="preserve">九、合同生效及其它</w:t>
      </w:r>
      <w:r/>
    </w:p>
    <w:p>
      <w:pPr>
        <w:ind w:firstLine="566"/>
        <w:spacing w:line="360" w:lineRule="auto"/>
        <w:rPr>
          <w:rFonts w:asciiTheme="minorEastAsia" w:hAnsiTheme="minorEastAsia"/>
          <w:sz w:val="24"/>
        </w:rPr>
      </w:pPr>
      <w:r>
        <w:rPr>
          <w:rFonts w:hint="eastAsia" w:asciiTheme="minorEastAsia" w:hAnsiTheme="minorEastAsia"/>
          <w:sz w:val="24"/>
        </w:rPr>
        <w:t xml:space="preserve">1.合同经甲乙双方法定代表人或其委托代理人签字并加盖公章后生效。</w:t>
      </w:r>
      <w:r/>
    </w:p>
    <w:p>
      <w:pPr>
        <w:ind w:firstLine="566"/>
        <w:spacing w:line="360" w:lineRule="auto"/>
        <w:rPr>
          <w:rFonts w:asciiTheme="minorEastAsia" w:hAnsiTheme="minorEastAsia"/>
          <w:sz w:val="24"/>
        </w:rPr>
      </w:pPr>
      <w:r>
        <w:rPr>
          <w:rFonts w:hint="eastAsia" w:asciiTheme="minorEastAsia" w:hAnsiTheme="minorEastAsia"/>
          <w:sz w:val="24"/>
        </w:rPr>
        <w:t xml:space="preserve">2.本合同之附件均为合同有效组成部分，与本合同具有同等法律效力。</w:t>
      </w:r>
      <w:r/>
    </w:p>
    <w:p>
      <w:pPr>
        <w:ind w:firstLine="566"/>
        <w:spacing w:line="360" w:lineRule="auto"/>
        <w:rPr>
          <w:rFonts w:asciiTheme="minorEastAsia" w:hAnsiTheme="minorEastAsia"/>
          <w:sz w:val="24"/>
        </w:rPr>
      </w:pPr>
      <w:r>
        <w:rPr>
          <w:rFonts w:hint="eastAsia" w:asciiTheme="minorEastAsia" w:hAnsiTheme="minorEastAsia"/>
          <w:sz w:val="24"/>
        </w:rPr>
        <w:t xml:space="preserve">3.本合同一式五份，甲方、乙方各执二份， 采购代理机构一份。</w:t>
      </w:r>
      <w:r/>
    </w:p>
    <w:p>
      <w:pPr>
        <w:ind w:firstLine="566"/>
        <w:spacing w:after="120" w:line="360" w:lineRule="auto"/>
        <w:rPr>
          <w:rFonts w:cs="宋体" w:asciiTheme="minorEastAsia" w:hAnsiTheme="minorEastAsia"/>
          <w:sz w:val="24"/>
          <w:szCs w:val="22"/>
          <w:lang w:bidi="ar"/>
        </w:rPr>
      </w:pPr>
      <w:r>
        <w:rPr>
          <w:rFonts w:hint="eastAsia" w:cs="宋体" w:asciiTheme="minorEastAsia" w:hAnsiTheme="minorEastAsia"/>
          <w:sz w:val="24"/>
          <w:szCs w:val="22"/>
          <w:lang w:bidi="ar"/>
        </w:rPr>
        <w:t xml:space="preserve">甲方（盖章）：</w:t>
      </w:r>
      <w:r/>
    </w:p>
    <w:p>
      <w:pPr>
        <w:ind w:firstLine="566"/>
        <w:spacing w:after="120" w:line="360" w:lineRule="auto"/>
        <w:rPr>
          <w:rFonts w:cs="宋体" w:asciiTheme="minorEastAsia" w:hAnsiTheme="minorEastAsia"/>
          <w:sz w:val="24"/>
          <w:szCs w:val="22"/>
          <w:lang w:bidi="ar"/>
        </w:rPr>
      </w:pPr>
      <w:r>
        <w:rPr>
          <w:rFonts w:hint="eastAsia" w:cs="宋体" w:asciiTheme="minorEastAsia" w:hAnsiTheme="minorEastAsia"/>
          <w:sz w:val="24"/>
          <w:szCs w:val="22"/>
          <w:lang w:bidi="ar"/>
        </w:rPr>
        <w:t xml:space="preserve">联系地址：</w:t>
      </w:r>
      <w:r/>
    </w:p>
    <w:p>
      <w:pPr>
        <w:ind w:firstLine="566"/>
        <w:spacing w:after="120" w:line="360" w:lineRule="auto"/>
        <w:rPr>
          <w:rFonts w:cs="宋体" w:asciiTheme="minorEastAsia" w:hAnsiTheme="minorEastAsia"/>
          <w:sz w:val="24"/>
          <w:szCs w:val="22"/>
          <w:lang w:bidi="ar"/>
        </w:rPr>
      </w:pPr>
      <w:r>
        <w:rPr>
          <w:rFonts w:hint="eastAsia" w:cs="宋体" w:asciiTheme="minorEastAsia" w:hAnsiTheme="minorEastAsia"/>
          <w:sz w:val="24"/>
          <w:szCs w:val="22"/>
          <w:lang w:bidi="ar"/>
        </w:rPr>
        <w:t xml:space="preserve">法定（授权）代表人（签字）：</w:t>
      </w:r>
      <w:r/>
    </w:p>
    <w:p>
      <w:pPr>
        <w:ind w:firstLine="566"/>
        <w:spacing w:after="120" w:line="360" w:lineRule="auto"/>
        <w:rPr>
          <w:rFonts w:cs="宋体" w:asciiTheme="minorEastAsia" w:hAnsiTheme="minorEastAsia"/>
          <w:sz w:val="24"/>
          <w:szCs w:val="22"/>
          <w:lang w:bidi="ar"/>
        </w:rPr>
      </w:pPr>
      <w:r>
        <w:rPr>
          <w:rFonts w:cs="宋体" w:asciiTheme="minorEastAsia" w:hAnsiTheme="minorEastAsia"/>
          <w:sz w:val="24"/>
          <w:szCs w:val="22"/>
          <w:lang w:bidi="ar"/>
        </w:rPr>
      </w:r>
      <w:r/>
    </w:p>
    <w:p>
      <w:pPr>
        <w:ind w:firstLine="566"/>
        <w:spacing w:after="120" w:line="360" w:lineRule="auto"/>
        <w:rPr>
          <w:rFonts w:cs="宋体" w:asciiTheme="minorEastAsia" w:hAnsiTheme="minorEastAsia"/>
          <w:sz w:val="24"/>
          <w:szCs w:val="22"/>
          <w:lang w:bidi="ar"/>
        </w:rPr>
      </w:pPr>
      <w:r>
        <w:rPr>
          <w:rFonts w:hint="eastAsia" w:cs="宋体" w:asciiTheme="minorEastAsia" w:hAnsiTheme="minorEastAsia"/>
          <w:sz w:val="24"/>
          <w:szCs w:val="22"/>
          <w:lang w:bidi="ar"/>
        </w:rPr>
        <w:t xml:space="preserve">乙方（盖章）：</w:t>
      </w:r>
      <w:r/>
    </w:p>
    <w:p>
      <w:pPr>
        <w:ind w:firstLine="566"/>
        <w:spacing w:after="120" w:line="360" w:lineRule="auto"/>
        <w:rPr>
          <w:rFonts w:cs="宋体" w:asciiTheme="minorEastAsia" w:hAnsiTheme="minorEastAsia"/>
          <w:sz w:val="24"/>
          <w:szCs w:val="22"/>
          <w:lang w:bidi="ar"/>
        </w:rPr>
      </w:pPr>
      <w:r>
        <w:rPr>
          <w:rFonts w:hint="eastAsia" w:cs="宋体" w:asciiTheme="minorEastAsia" w:hAnsiTheme="minorEastAsia"/>
          <w:sz w:val="24"/>
          <w:szCs w:val="22"/>
          <w:lang w:bidi="ar"/>
        </w:rPr>
        <w:t xml:space="preserve">联系地址：</w:t>
      </w:r>
      <w:r/>
    </w:p>
    <w:p>
      <w:pPr>
        <w:ind w:firstLine="566"/>
        <w:spacing w:after="120" w:line="360" w:lineRule="auto"/>
        <w:rPr>
          <w:rFonts w:cs="宋体" w:asciiTheme="minorEastAsia" w:hAnsiTheme="minorEastAsia"/>
          <w:sz w:val="24"/>
          <w:szCs w:val="22"/>
          <w:lang w:bidi="ar"/>
        </w:rPr>
      </w:pPr>
      <w:r>
        <w:rPr>
          <w:rFonts w:hint="eastAsia" w:cs="宋体" w:asciiTheme="minorEastAsia" w:hAnsiTheme="minorEastAsia"/>
          <w:sz w:val="24"/>
          <w:szCs w:val="22"/>
          <w:lang w:bidi="ar"/>
        </w:rPr>
        <w:t xml:space="preserve">法定（授权）代表人（签字）：</w:t>
      </w:r>
      <w:r/>
    </w:p>
    <w:p>
      <w:pPr>
        <w:ind w:firstLine="566"/>
        <w:spacing w:after="120" w:line="360" w:lineRule="auto"/>
        <w:rPr>
          <w:rFonts w:cs="宋体" w:asciiTheme="minorEastAsia" w:hAnsiTheme="minorEastAsia"/>
          <w:sz w:val="24"/>
          <w:szCs w:val="22"/>
          <w:lang w:bidi="ar"/>
        </w:rPr>
      </w:pPr>
      <w:r>
        <w:rPr>
          <w:rFonts w:cs="宋体" w:asciiTheme="minorEastAsia" w:hAnsiTheme="minorEastAsia"/>
          <w:sz w:val="24"/>
          <w:szCs w:val="22"/>
          <w:lang w:bidi="ar"/>
        </w:rPr>
      </w:r>
      <w:r/>
    </w:p>
    <w:p>
      <w:pPr>
        <w:jc w:val="center"/>
        <w:spacing w:before="120" w:after="120" w:line="0" w:lineRule="atLeast"/>
        <w:rPr>
          <w:rFonts w:cs="宋体" w:asciiTheme="minorEastAsia" w:hAnsiTheme="minorEastAsia"/>
          <w:sz w:val="24"/>
          <w:lang w:bidi="ar"/>
        </w:rPr>
      </w:pPr>
      <w:r>
        <w:rPr>
          <w:rFonts w:hint="eastAsia" w:cs="宋体" w:asciiTheme="minorEastAsia" w:hAnsiTheme="minorEastAsia"/>
          <w:sz w:val="24"/>
          <w:lang w:bidi="ar"/>
        </w:rPr>
        <w:t xml:space="preserve">日  期：2026年  月   日</w:t>
      </w:r>
      <w:r/>
    </w:p>
    <w:p>
      <w:pPr>
        <w:jc w:val="left"/>
        <w:widowControl/>
        <w:rPr>
          <w:rFonts w:cs="宋体" w:asciiTheme="minorEastAsia" w:hAnsiTheme="minorEastAsia"/>
          <w:sz w:val="24"/>
          <w:lang w:bidi="ar"/>
        </w:rPr>
      </w:pPr>
      <w:r>
        <w:rPr>
          <w:rFonts w:cs="宋体" w:asciiTheme="minorEastAsia" w:hAnsiTheme="minorEastAsia"/>
          <w:sz w:val="24"/>
          <w:lang w:bidi="ar"/>
        </w:rPr>
        <w:br w:type="page" w:clear="all"/>
      </w:r>
      <w:r/>
    </w:p>
    <w:p>
      <w:pPr>
        <w:spacing w:line="360" w:lineRule="auto"/>
        <w:rPr>
          <w:rFonts w:cs="宋体"/>
          <w:color w:val="000000"/>
          <w:szCs w:val="21"/>
        </w:rPr>
      </w:pPr>
      <w:r>
        <w:rPr>
          <w:rFonts w:hint="eastAsia" w:cs="宋体"/>
          <w:color w:val="000000"/>
          <w:szCs w:val="21"/>
        </w:rPr>
        <w:t xml:space="preserve">合同附件：《廉政协议》</w:t>
      </w:r>
      <w:r/>
    </w:p>
    <w:p>
      <w:pPr>
        <w:jc w:val="center"/>
        <w:spacing w:line="360" w:lineRule="auto"/>
        <w:tabs>
          <w:tab w:val="left" w:pos="540" w:leader="none"/>
          <w:tab w:val="left" w:pos="720" w:leader="none"/>
        </w:tabs>
        <w:rPr>
          <w:rFonts w:hint="eastAsia" w:ascii="黑体" w:hAnsi="黑体" w:eastAsia="黑体"/>
          <w:b/>
          <w:bCs/>
          <w:color w:val="000000"/>
          <w:sz w:val="28"/>
          <w:szCs w:val="28"/>
        </w:rPr>
      </w:pPr>
      <w:r>
        <w:rPr>
          <w:rFonts w:hint="eastAsia" w:ascii="黑体" w:hAnsi="黑体" w:eastAsia="黑体" w:cs="方正小标宋简体"/>
          <w:b/>
          <w:bCs/>
          <w:color w:val="000000"/>
          <w:sz w:val="28"/>
          <w:szCs w:val="28"/>
        </w:rPr>
        <w:t xml:space="preserve">采购廉政协议</w:t>
      </w:r>
      <w:r/>
    </w:p>
    <w:p>
      <w:pPr>
        <w:ind w:firstLine="420"/>
        <w:spacing w:line="360" w:lineRule="auto"/>
        <w:tabs>
          <w:tab w:val="left" w:pos="540" w:leader="none"/>
          <w:tab w:val="left" w:pos="720" w:leader="none"/>
        </w:tabs>
        <w:rPr>
          <w:color w:val="000000"/>
          <w:szCs w:val="21"/>
        </w:rPr>
      </w:pPr>
      <w:r>
        <w:rPr>
          <w:rFonts w:hint="eastAsia"/>
          <w:color w:val="000000"/>
          <w:szCs w:val="21"/>
        </w:rPr>
        <w:t xml:space="preserve">为深入贯彻党中央、国务院《关于实行党风廉政建设责任制的规定》和《</w:t>
      </w:r>
      <w:r>
        <w:rPr>
          <w:color w:val="000000"/>
          <w:szCs w:val="21"/>
        </w:rPr>
        <w:t xml:space="preserve">中华人民共和国</w:t>
      </w:r>
      <w:r>
        <w:rPr>
          <w:rFonts w:hint="eastAsia"/>
          <w:color w:val="000000"/>
          <w:szCs w:val="21"/>
        </w:rPr>
        <w:t xml:space="preserve">反不正当竞争法》，同时紧密结合市有关采购廉政建设的规章制度，着力加强采购领域的党风廉政建设，确保甲乙双方在合同履行过程中廉洁自律、诚实守信，防止各种不正当行为的发生，以保证货物及服务采购优质高效、健康有序地进行。经双方协商一致，特订立如下协议：</w:t>
      </w:r>
      <w:r/>
    </w:p>
    <w:p>
      <w:pPr>
        <w:spacing w:line="360" w:lineRule="auto"/>
        <w:tabs>
          <w:tab w:val="left" w:pos="540" w:leader="none"/>
          <w:tab w:val="left" w:pos="720" w:leader="none"/>
        </w:tabs>
        <w:rPr>
          <w:color w:val="000000"/>
          <w:szCs w:val="21"/>
        </w:rPr>
      </w:pPr>
      <w:r>
        <w:rPr>
          <w:rFonts w:hint="eastAsia"/>
          <w:color w:val="000000"/>
          <w:szCs w:val="21"/>
        </w:rPr>
        <w:t xml:space="preserve">采购人</w:t>
      </w:r>
      <w:r>
        <w:rPr>
          <w:rFonts w:hint="eastAsia"/>
          <w:color w:val="000000"/>
          <w:szCs w:val="21"/>
        </w:rPr>
        <w:t xml:space="preserve"> </w:t>
      </w:r>
      <w:r>
        <w:rPr>
          <w:rFonts w:hint="eastAsia"/>
          <w:color w:val="000000"/>
          <w:szCs w:val="21"/>
          <w:u w:val="single"/>
        </w:rPr>
        <w:t xml:space="preserve">                         </w:t>
      </w:r>
      <w:r>
        <w:rPr>
          <w:rFonts w:hint="eastAsia"/>
          <w:b/>
          <w:color w:val="000000"/>
          <w:szCs w:val="21"/>
          <w:u w:val="single"/>
        </w:rPr>
        <w:t xml:space="preserve"> </w:t>
      </w:r>
      <w:r>
        <w:rPr>
          <w:rFonts w:hint="eastAsia"/>
          <w:color w:val="000000"/>
          <w:szCs w:val="21"/>
        </w:rPr>
        <w:t xml:space="preserve">（以下简称甲方）</w:t>
      </w:r>
      <w:r/>
    </w:p>
    <w:p>
      <w:pPr>
        <w:spacing w:line="360" w:lineRule="auto"/>
        <w:tabs>
          <w:tab w:val="left" w:pos="540" w:leader="none"/>
          <w:tab w:val="left" w:pos="720" w:leader="none"/>
        </w:tabs>
        <w:rPr>
          <w:color w:val="000000"/>
          <w:szCs w:val="21"/>
        </w:rPr>
      </w:pPr>
      <w:r>
        <w:rPr>
          <w:rFonts w:hint="eastAsia"/>
          <w:color w:val="000000"/>
          <w:szCs w:val="21"/>
        </w:rPr>
        <w:t xml:space="preserve">供应商</w:t>
      </w:r>
      <w:r>
        <w:rPr>
          <w:rFonts w:hint="eastAsia"/>
          <w:color w:val="000000"/>
          <w:szCs w:val="21"/>
        </w:rPr>
        <w:t xml:space="preserve"> </w:t>
      </w:r>
      <w:r>
        <w:rPr>
          <w:rFonts w:hint="eastAsia"/>
          <w:color w:val="000000"/>
          <w:szCs w:val="21"/>
          <w:u w:val="single"/>
        </w:rPr>
        <w:t xml:space="preserve">                          </w:t>
      </w:r>
      <w:r>
        <w:rPr>
          <w:rFonts w:hint="eastAsia"/>
          <w:color w:val="000000"/>
          <w:szCs w:val="21"/>
        </w:rPr>
        <w:t xml:space="preserve">（以下简称乙方）</w:t>
      </w:r>
      <w:r/>
    </w:p>
    <w:p>
      <w:pPr>
        <w:ind w:firstLine="422"/>
        <w:jc w:val="left"/>
        <w:spacing w:line="360" w:lineRule="auto"/>
        <w:shd w:val="clear" w:color="auto" w:fill="ffffff"/>
        <w:widowControl/>
        <w:tabs>
          <w:tab w:val="left" w:pos="8429" w:leader="none"/>
        </w:tabs>
        <w:rPr>
          <w:rFonts w:cs="宋体"/>
          <w:b/>
          <w:bCs/>
          <w:color w:val="000000"/>
          <w:szCs w:val="21"/>
        </w:rPr>
      </w:pPr>
      <w:r>
        <w:rPr>
          <w:rFonts w:hint="eastAsia" w:cs="宋体"/>
          <w:b/>
          <w:bCs/>
          <w:color w:val="000000"/>
          <w:szCs w:val="21"/>
        </w:rPr>
        <w:t xml:space="preserve">第一条</w:t>
      </w:r>
      <w:r>
        <w:rPr>
          <w:rFonts w:hint="eastAsia" w:cs="宋体"/>
          <w:b/>
          <w:bCs/>
          <w:color w:val="000000"/>
          <w:szCs w:val="21"/>
        </w:rPr>
        <w:t xml:space="preserve"> </w:t>
      </w:r>
      <w:r>
        <w:rPr>
          <w:rFonts w:hint="eastAsia" w:cs="宋体"/>
          <w:b/>
          <w:bCs/>
          <w:color w:val="000000"/>
          <w:szCs w:val="21"/>
        </w:rPr>
        <w:t xml:space="preserve">甲乙双方责任</w:t>
      </w:r>
      <w:r>
        <w:rPr>
          <w:rFonts w:hint="eastAsia" w:cs="宋体"/>
          <w:b/>
          <w:bCs/>
          <w:color w:val="000000"/>
          <w:szCs w:val="21"/>
        </w:rPr>
        <w:tab/>
      </w:r>
      <w:r/>
    </w:p>
    <w:p>
      <w:pPr>
        <w:ind w:firstLine="420"/>
        <w:jc w:val="left"/>
        <w:spacing w:line="360" w:lineRule="auto"/>
        <w:shd w:val="clear" w:color="auto" w:fill="ffffff"/>
        <w:widowControl/>
        <w:rPr>
          <w:rFonts w:cs="宋体"/>
          <w:color w:val="000000"/>
          <w:szCs w:val="21"/>
        </w:rPr>
      </w:pPr>
      <w:r>
        <w:rPr>
          <w:rFonts w:hint="eastAsia" w:cs="宋体"/>
          <w:color w:val="000000"/>
          <w:szCs w:val="21"/>
        </w:rPr>
        <w:t xml:space="preserve">（一）甲乙双方应严格遵守国家、省、市以及行政主管部门关于市场准入、项目招标投标、货物及服务采购等有关法律、法规，相关政策，以及廉政建设的各项规定。</w:t>
      </w:r>
      <w:r/>
    </w:p>
    <w:p>
      <w:pPr>
        <w:ind w:firstLine="420"/>
        <w:jc w:val="left"/>
        <w:spacing w:line="360" w:lineRule="auto"/>
        <w:shd w:val="clear" w:color="auto" w:fill="ffffff"/>
        <w:widowControl/>
        <w:rPr>
          <w:rFonts w:cs="宋体"/>
          <w:color w:val="000000"/>
          <w:szCs w:val="21"/>
        </w:rPr>
      </w:pPr>
      <w:r>
        <w:rPr>
          <w:rFonts w:hint="eastAsia" w:cs="宋体"/>
          <w:color w:val="000000"/>
          <w:szCs w:val="21"/>
        </w:rPr>
        <w:t xml:space="preserve">（二）自项目招标、签订合同直至项目结束全过程，甲乙双方均应严格履行合同内容及廉政协议的各项规定。</w:t>
      </w:r>
      <w:r/>
    </w:p>
    <w:p>
      <w:pPr>
        <w:ind w:firstLine="420"/>
        <w:jc w:val="left"/>
        <w:spacing w:line="360" w:lineRule="auto"/>
        <w:shd w:val="clear" w:color="auto" w:fill="ffffff"/>
        <w:widowControl/>
        <w:rPr>
          <w:rFonts w:cs="宋体"/>
          <w:color w:val="000000"/>
          <w:szCs w:val="21"/>
        </w:rPr>
      </w:pPr>
      <w:r>
        <w:rPr>
          <w:rFonts w:hint="eastAsia" w:cs="宋体"/>
          <w:color w:val="000000"/>
          <w:szCs w:val="21"/>
        </w:rPr>
        <w:t xml:space="preserve">（三）除法律认定的商业秘密和合同文件另有规定之外，甲乙双方的业务活动应坚持公开、公正、透明的原则，严禁进行损害国家和集体利益、违反采购管理规章制度的不正当交易。</w:t>
      </w:r>
      <w:r/>
    </w:p>
    <w:p>
      <w:pPr>
        <w:ind w:firstLine="420"/>
        <w:jc w:val="left"/>
        <w:spacing w:line="360" w:lineRule="auto"/>
        <w:shd w:val="clear" w:color="auto" w:fill="ffffff"/>
        <w:widowControl/>
        <w:rPr>
          <w:rFonts w:cs="宋体"/>
          <w:color w:val="000000"/>
          <w:szCs w:val="21"/>
        </w:rPr>
      </w:pPr>
      <w:r>
        <w:rPr>
          <w:rFonts w:hint="eastAsia" w:cs="宋体"/>
          <w:color w:val="000000"/>
          <w:szCs w:val="21"/>
        </w:rPr>
        <w:t xml:space="preserve">（四）甲乙双方应加强对本方人员的廉政监督，建立健全廉政制度，严厉查处本方的违法违纪行为。</w:t>
      </w:r>
      <w:r/>
    </w:p>
    <w:p>
      <w:pPr>
        <w:ind w:firstLine="420"/>
        <w:jc w:val="left"/>
        <w:spacing w:line="360" w:lineRule="auto"/>
        <w:shd w:val="clear" w:color="auto" w:fill="ffffff"/>
        <w:widowControl/>
        <w:rPr>
          <w:rFonts w:cs="宋体"/>
          <w:color w:val="000000"/>
          <w:szCs w:val="21"/>
        </w:rPr>
      </w:pPr>
      <w:r>
        <w:rPr>
          <w:rFonts w:hint="eastAsia" w:cs="宋体"/>
          <w:color w:val="000000"/>
          <w:szCs w:val="21"/>
        </w:rPr>
        <w:t xml:space="preserve">（五）甲乙双方有对本方人员开展廉政告知、教育和职业道德教育的义务。</w:t>
      </w:r>
      <w:r/>
    </w:p>
    <w:p>
      <w:pPr>
        <w:ind w:firstLine="420"/>
        <w:jc w:val="left"/>
        <w:spacing w:line="360" w:lineRule="auto"/>
        <w:shd w:val="clear" w:color="auto" w:fill="ffffff"/>
        <w:widowControl/>
        <w:rPr>
          <w:rFonts w:cs="宋体"/>
          <w:color w:val="000000"/>
          <w:szCs w:val="21"/>
        </w:rPr>
      </w:pPr>
      <w:r>
        <w:rPr>
          <w:rFonts w:hint="eastAsia" w:cs="宋体"/>
          <w:color w:val="000000"/>
          <w:szCs w:val="21"/>
        </w:rPr>
        <w:t xml:space="preserve">（六）甲乙双方如发现对方在业务活动中有不廉洁行为，有及时提醒对方并督促其纠正的权利和义务，情节严重的，应向其上级主管部门或纪检监察部门举报。</w:t>
      </w:r>
      <w:r/>
    </w:p>
    <w:p>
      <w:pPr>
        <w:ind w:firstLine="474"/>
        <w:spacing w:line="360" w:lineRule="auto"/>
        <w:tabs>
          <w:tab w:val="left" w:pos="540" w:leader="none"/>
          <w:tab w:val="left" w:pos="720" w:leader="none"/>
        </w:tabs>
        <w:rPr>
          <w:b/>
          <w:bCs/>
          <w:color w:val="000000"/>
          <w:szCs w:val="21"/>
        </w:rPr>
      </w:pPr>
      <w:r>
        <w:rPr>
          <w:rFonts w:hint="eastAsia"/>
          <w:b/>
          <w:bCs/>
          <w:color w:val="000000"/>
          <w:szCs w:val="21"/>
        </w:rPr>
        <w:t xml:space="preserve">第二条</w:t>
      </w:r>
      <w:r>
        <w:rPr>
          <w:rFonts w:hint="eastAsia"/>
          <w:b/>
          <w:bCs/>
          <w:color w:val="000000"/>
          <w:szCs w:val="21"/>
        </w:rPr>
        <w:t xml:space="preserve"> </w:t>
      </w:r>
      <w:r>
        <w:rPr>
          <w:rFonts w:hint="eastAsia"/>
          <w:b/>
          <w:bCs/>
          <w:color w:val="000000"/>
          <w:szCs w:val="21"/>
        </w:rPr>
        <w:t xml:space="preserve">甲方责任</w:t>
      </w:r>
      <w:r/>
    </w:p>
    <w:p>
      <w:pPr>
        <w:ind w:firstLine="472"/>
        <w:spacing w:line="360" w:lineRule="auto"/>
        <w:tabs>
          <w:tab w:val="left" w:pos="540" w:leader="none"/>
          <w:tab w:val="left" w:pos="720" w:leader="none"/>
        </w:tabs>
        <w:rPr>
          <w:color w:val="000000"/>
          <w:szCs w:val="21"/>
        </w:rPr>
      </w:pPr>
      <w:r>
        <w:rPr>
          <w:rFonts w:hint="eastAsia"/>
          <w:color w:val="000000"/>
          <w:szCs w:val="21"/>
        </w:rPr>
        <w:t xml:space="preserve">甲方单位及工作人员在合同签订及履行过程中应做到以下几点：</w:t>
      </w:r>
      <w:r/>
    </w:p>
    <w:p>
      <w:pPr>
        <w:ind w:firstLine="472"/>
        <w:spacing w:line="360" w:lineRule="auto"/>
        <w:tabs>
          <w:tab w:val="left" w:pos="540" w:leader="none"/>
          <w:tab w:val="left" w:pos="720" w:leader="none"/>
        </w:tabs>
        <w:rPr>
          <w:color w:val="000000"/>
          <w:szCs w:val="21"/>
        </w:rPr>
      </w:pPr>
      <w:r>
        <w:rPr>
          <w:rFonts w:hint="eastAsia"/>
          <w:color w:val="000000"/>
          <w:szCs w:val="21"/>
        </w:rPr>
        <w:t xml:space="preserve">（一）严禁以任何名义向乙方索要和收受回扣、佣金或其他好处。</w:t>
      </w:r>
      <w:r/>
    </w:p>
    <w:p>
      <w:pPr>
        <w:ind w:firstLine="472"/>
        <w:spacing w:line="360" w:lineRule="auto"/>
        <w:tabs>
          <w:tab w:val="left" w:pos="540" w:leader="none"/>
          <w:tab w:val="left" w:pos="720" w:leader="none"/>
        </w:tabs>
        <w:rPr>
          <w:color w:val="000000"/>
          <w:szCs w:val="21"/>
        </w:rPr>
      </w:pPr>
      <w:r>
        <w:rPr>
          <w:rFonts w:hint="eastAsia"/>
          <w:color w:val="000000"/>
          <w:szCs w:val="21"/>
        </w:rPr>
        <w:t xml:space="preserve">（二）严禁以任何名义在乙方单位及乙方所属单位报销任何应由甲方单位或个人支付的费用。</w:t>
      </w:r>
      <w:r/>
    </w:p>
    <w:p>
      <w:pPr>
        <w:ind w:firstLine="472"/>
        <w:spacing w:line="360" w:lineRule="auto"/>
        <w:tabs>
          <w:tab w:val="left" w:pos="540" w:leader="none"/>
          <w:tab w:val="left" w:pos="720" w:leader="none"/>
        </w:tabs>
        <w:rPr>
          <w:color w:val="000000"/>
          <w:szCs w:val="21"/>
        </w:rPr>
      </w:pPr>
      <w:r>
        <w:rPr>
          <w:rFonts w:hint="eastAsia"/>
          <w:color w:val="000000"/>
          <w:szCs w:val="21"/>
        </w:rPr>
        <w:t xml:space="preserve">（三）严禁以任何名义参加可能对公正执行公务有影响的宴请和娱乐、旅游等活动。</w:t>
      </w:r>
      <w:r/>
    </w:p>
    <w:p>
      <w:pPr>
        <w:ind w:firstLine="472"/>
        <w:spacing w:line="360" w:lineRule="auto"/>
        <w:tabs>
          <w:tab w:val="left" w:pos="540" w:leader="none"/>
          <w:tab w:val="left" w:pos="720" w:leader="none"/>
        </w:tabs>
        <w:rPr>
          <w:color w:val="000000"/>
          <w:szCs w:val="21"/>
        </w:rPr>
      </w:pPr>
      <w:r>
        <w:rPr>
          <w:rFonts w:hint="eastAsia"/>
          <w:color w:val="000000"/>
          <w:szCs w:val="21"/>
        </w:rPr>
        <w:t xml:space="preserve">（四）严禁以任何名义要求或者接受乙方为其住房装修、婚丧嫁娶、家属子女的工作安排以及出国等提供便利。</w:t>
      </w:r>
      <w:r/>
    </w:p>
    <w:p>
      <w:pPr>
        <w:ind w:firstLine="474"/>
        <w:spacing w:line="360" w:lineRule="auto"/>
        <w:tabs>
          <w:tab w:val="left" w:pos="540" w:leader="none"/>
          <w:tab w:val="left" w:pos="720" w:leader="none"/>
        </w:tabs>
        <w:rPr>
          <w:b/>
          <w:bCs/>
          <w:color w:val="000000"/>
          <w:szCs w:val="21"/>
        </w:rPr>
      </w:pPr>
      <w:r>
        <w:rPr>
          <w:rFonts w:hint="eastAsia"/>
          <w:b/>
          <w:bCs/>
          <w:color w:val="000000"/>
          <w:szCs w:val="21"/>
        </w:rPr>
        <w:t xml:space="preserve">第三条</w:t>
      </w:r>
      <w:r>
        <w:rPr>
          <w:rFonts w:hint="eastAsia"/>
          <w:b/>
          <w:bCs/>
          <w:color w:val="000000"/>
          <w:szCs w:val="21"/>
        </w:rPr>
        <w:t xml:space="preserve"> </w:t>
      </w:r>
      <w:r>
        <w:rPr>
          <w:rFonts w:hint="eastAsia"/>
          <w:b/>
          <w:bCs/>
          <w:color w:val="000000"/>
          <w:szCs w:val="21"/>
        </w:rPr>
        <w:t xml:space="preserve">乙方责任</w:t>
      </w:r>
      <w:r/>
    </w:p>
    <w:p>
      <w:pPr>
        <w:ind w:firstLine="472"/>
        <w:spacing w:line="360" w:lineRule="auto"/>
        <w:tabs>
          <w:tab w:val="left" w:pos="540" w:leader="none"/>
          <w:tab w:val="left" w:pos="720" w:leader="none"/>
        </w:tabs>
        <w:rPr>
          <w:color w:val="000000"/>
          <w:szCs w:val="21"/>
        </w:rPr>
      </w:pPr>
      <w:r>
        <w:rPr>
          <w:rFonts w:hint="eastAsia"/>
          <w:color w:val="000000"/>
          <w:szCs w:val="21"/>
        </w:rPr>
        <w:t xml:space="preserve">乙方单位及所属工作人员在合同签订及履行过程中应做到以下几点：</w:t>
      </w:r>
      <w:r/>
    </w:p>
    <w:p>
      <w:pPr>
        <w:ind w:firstLine="472"/>
        <w:spacing w:line="360" w:lineRule="auto"/>
        <w:tabs>
          <w:tab w:val="left" w:pos="540" w:leader="none"/>
          <w:tab w:val="left" w:pos="720" w:leader="none"/>
        </w:tabs>
        <w:rPr>
          <w:color w:val="000000"/>
          <w:szCs w:val="21"/>
        </w:rPr>
      </w:pPr>
      <w:r>
        <w:rPr>
          <w:rFonts w:hint="eastAsia"/>
          <w:color w:val="000000"/>
          <w:szCs w:val="21"/>
        </w:rPr>
        <w:t xml:space="preserve">（一）严禁以任何名义向甲方工作人员行贿或馈赠礼品。</w:t>
      </w:r>
      <w:r/>
    </w:p>
    <w:p>
      <w:pPr>
        <w:ind w:firstLine="472"/>
        <w:spacing w:line="360" w:lineRule="auto"/>
        <w:tabs>
          <w:tab w:val="left" w:pos="540" w:leader="none"/>
          <w:tab w:val="left" w:pos="720" w:leader="none"/>
        </w:tabs>
        <w:rPr>
          <w:color w:val="000000"/>
          <w:szCs w:val="21"/>
        </w:rPr>
      </w:pPr>
      <w:r>
        <w:rPr>
          <w:rFonts w:hint="eastAsia"/>
          <w:color w:val="000000"/>
          <w:szCs w:val="21"/>
        </w:rPr>
        <w:t xml:space="preserve">（二）严禁以任何名义为甲方及其工作人员报销需由甲方或其工作人员支付的费用。</w:t>
      </w:r>
      <w:r/>
    </w:p>
    <w:p>
      <w:pPr>
        <w:ind w:firstLine="472"/>
        <w:spacing w:line="360" w:lineRule="auto"/>
        <w:tabs>
          <w:tab w:val="left" w:pos="540" w:leader="none"/>
          <w:tab w:val="left" w:pos="720" w:leader="none"/>
        </w:tabs>
        <w:rPr>
          <w:color w:val="000000"/>
          <w:szCs w:val="21"/>
        </w:rPr>
      </w:pPr>
      <w:r>
        <w:rPr>
          <w:rFonts w:hint="eastAsia"/>
          <w:color w:val="000000"/>
          <w:szCs w:val="21"/>
        </w:rPr>
        <w:t xml:space="preserve">（三）严禁以任何名义邀请甲方工作人员参加可能对公正执行公务有影响的宴请和娱乐、旅游等活动。</w:t>
      </w:r>
      <w:r/>
    </w:p>
    <w:p>
      <w:pPr>
        <w:ind w:firstLine="472"/>
        <w:spacing w:line="360" w:lineRule="auto"/>
        <w:tabs>
          <w:tab w:val="left" w:pos="540" w:leader="none"/>
          <w:tab w:val="left" w:pos="720" w:leader="none"/>
        </w:tabs>
        <w:rPr>
          <w:color w:val="000000"/>
          <w:szCs w:val="21"/>
        </w:rPr>
      </w:pPr>
      <w:r>
        <w:rPr>
          <w:rFonts w:hint="eastAsia"/>
          <w:color w:val="000000"/>
          <w:szCs w:val="21"/>
        </w:rPr>
        <w:t xml:space="preserve">（四）严禁以任何名义为甲方工作人员提供住房装修、婚丧嫁娶、家属子女的工作安排以及出国等提供便利。</w:t>
      </w:r>
      <w:r/>
    </w:p>
    <w:p>
      <w:pPr>
        <w:ind w:firstLine="420"/>
        <w:jc w:val="left"/>
        <w:spacing w:line="360" w:lineRule="auto"/>
        <w:shd w:val="clear" w:color="auto" w:fill="ffffff"/>
        <w:widowControl/>
        <w:rPr>
          <w:rFonts w:cs="宋体"/>
          <w:color w:val="000000"/>
          <w:szCs w:val="21"/>
        </w:rPr>
      </w:pPr>
      <w:r>
        <w:rPr>
          <w:rFonts w:hint="eastAsia"/>
          <w:color w:val="000000"/>
          <w:szCs w:val="21"/>
        </w:rPr>
        <w:t xml:space="preserve">（五）除合同约定外，严禁为甲方单位和个人购置或提供通讯工具、交通工具、家电和高档办公用品等。</w:t>
      </w:r>
      <w:r/>
    </w:p>
    <w:p>
      <w:pPr>
        <w:ind w:firstLine="474"/>
        <w:spacing w:line="360" w:lineRule="auto"/>
        <w:tabs>
          <w:tab w:val="left" w:pos="540" w:leader="none"/>
          <w:tab w:val="left" w:pos="720" w:leader="none"/>
        </w:tabs>
        <w:rPr>
          <w:b/>
          <w:bCs/>
          <w:color w:val="000000"/>
          <w:szCs w:val="21"/>
        </w:rPr>
      </w:pPr>
      <w:r>
        <w:rPr>
          <w:rFonts w:hint="eastAsia"/>
          <w:b/>
          <w:bCs/>
          <w:color w:val="000000"/>
          <w:szCs w:val="21"/>
        </w:rPr>
        <w:t xml:space="preserve">第四条</w:t>
      </w:r>
      <w:r>
        <w:rPr>
          <w:rFonts w:hint="eastAsia"/>
          <w:b/>
          <w:bCs/>
          <w:color w:val="000000"/>
          <w:szCs w:val="21"/>
        </w:rPr>
        <w:t xml:space="preserve"> </w:t>
      </w:r>
      <w:r>
        <w:rPr>
          <w:rFonts w:hint="eastAsia"/>
          <w:b/>
          <w:bCs/>
          <w:color w:val="000000"/>
          <w:szCs w:val="21"/>
        </w:rPr>
        <w:t xml:space="preserve">违约责任</w:t>
      </w:r>
      <w:r/>
    </w:p>
    <w:p>
      <w:pPr>
        <w:ind w:firstLine="472"/>
        <w:spacing w:line="360" w:lineRule="auto"/>
        <w:tabs>
          <w:tab w:val="left" w:pos="540" w:leader="none"/>
          <w:tab w:val="left" w:pos="720" w:leader="none"/>
        </w:tabs>
        <w:rPr>
          <w:color w:val="000000"/>
          <w:szCs w:val="21"/>
        </w:rPr>
      </w:pPr>
      <w:r>
        <w:rPr>
          <w:rFonts w:hint="eastAsia"/>
          <w:color w:val="000000"/>
          <w:szCs w:val="21"/>
        </w:rPr>
        <w:t xml:space="preserve">（一）甲方单位及其工作人员有违反本协议第一、二条责任行为的，按照管理权限，依据有关法律法规给予党纪、政纪处分或组织处理；涉嫌犯罪的，移交司法机关追究刑事责任；给乙方造成经济损失的，应予以赔偿。</w:t>
      </w:r>
      <w:r/>
    </w:p>
    <w:p>
      <w:pPr>
        <w:ind w:firstLine="472"/>
        <w:spacing w:line="360" w:lineRule="auto"/>
        <w:tabs>
          <w:tab w:val="left" w:pos="540" w:leader="none"/>
          <w:tab w:val="left" w:pos="720" w:leader="none"/>
        </w:tabs>
        <w:rPr>
          <w:rFonts w:ascii="Calibri" w:hAnsi="Calibri"/>
          <w:color w:val="000000"/>
          <w:szCs w:val="21"/>
        </w:rPr>
      </w:pPr>
      <w:r>
        <w:rPr>
          <w:rFonts w:hint="eastAsia"/>
          <w:color w:val="000000"/>
          <w:szCs w:val="21"/>
        </w:rPr>
        <w:t xml:space="preserve">（二）乙方单位及其工作人员有违反本协议第一、三条责任行为的，按照管理权限，依据有关法律法规给予党纪、政纪处分或组织处理；涉嫌犯罪的，移交司法机关追究刑事责任；给甲方造成经济损失的，应予以赔偿，情节严重的，甲方可以联合行政主管部门取消乙方一至三年内参与本地区采购项目的投标资格。</w:t>
      </w:r>
      <w:r/>
    </w:p>
    <w:p>
      <w:pPr>
        <w:ind w:firstLine="474"/>
        <w:spacing w:line="360" w:lineRule="auto"/>
        <w:tabs>
          <w:tab w:val="left" w:pos="540" w:leader="none"/>
          <w:tab w:val="left" w:pos="720" w:leader="none"/>
        </w:tabs>
        <w:rPr>
          <w:b/>
          <w:bCs/>
          <w:color w:val="000000"/>
          <w:szCs w:val="21"/>
        </w:rPr>
      </w:pPr>
      <w:r>
        <w:rPr>
          <w:rFonts w:hint="eastAsia"/>
          <w:b/>
          <w:bCs/>
          <w:color w:val="000000"/>
          <w:szCs w:val="21"/>
        </w:rPr>
        <w:t xml:space="preserve">第五条</w:t>
      </w:r>
      <w:r>
        <w:rPr>
          <w:rFonts w:hint="eastAsia"/>
          <w:b/>
          <w:bCs/>
          <w:color w:val="000000"/>
          <w:szCs w:val="21"/>
        </w:rPr>
        <w:t xml:space="preserve"> </w:t>
      </w:r>
      <w:r>
        <w:rPr>
          <w:rFonts w:hint="eastAsia"/>
          <w:b/>
          <w:bCs/>
          <w:color w:val="000000"/>
          <w:szCs w:val="21"/>
        </w:rPr>
        <w:t xml:space="preserve">监督管理</w:t>
      </w:r>
      <w:r/>
    </w:p>
    <w:p>
      <w:pPr>
        <w:ind w:firstLine="472"/>
        <w:spacing w:line="360" w:lineRule="auto"/>
        <w:tabs>
          <w:tab w:val="left" w:pos="540" w:leader="none"/>
          <w:tab w:val="left" w:pos="720" w:leader="none"/>
        </w:tabs>
        <w:rPr>
          <w:color w:val="000000"/>
          <w:szCs w:val="21"/>
        </w:rPr>
      </w:pPr>
      <w:r>
        <w:rPr>
          <w:rFonts w:hint="eastAsia"/>
          <w:color w:val="000000"/>
          <w:szCs w:val="21"/>
        </w:rPr>
        <w:t xml:space="preserve">对甲方单位有监督管理职责的党风廉政建设领导小组有权依照本协议约定的内容，对合同履约中的廉洁从业情况实施监督，对采购项目的实施情况进行抽查和飞行检查，将重点采购项目预防教育的落实情况和成效作为检查内容，督促乙方单位严格执行采购相关法律法规和制度规范，筑牢采购防腐堤坝。</w:t>
      </w:r>
      <w:r/>
    </w:p>
    <w:p>
      <w:pPr>
        <w:ind w:firstLine="474"/>
        <w:spacing w:line="360" w:lineRule="auto"/>
        <w:tabs>
          <w:tab w:val="left" w:pos="540" w:leader="none"/>
          <w:tab w:val="left" w:pos="720" w:leader="none"/>
        </w:tabs>
        <w:rPr>
          <w:b/>
          <w:bCs/>
          <w:color w:val="000000"/>
          <w:szCs w:val="21"/>
        </w:rPr>
      </w:pPr>
      <w:r>
        <w:rPr>
          <w:rFonts w:hint="eastAsia"/>
          <w:b/>
          <w:bCs/>
          <w:color w:val="000000"/>
          <w:szCs w:val="21"/>
        </w:rPr>
        <w:t xml:space="preserve">第六条</w:t>
      </w:r>
      <w:r>
        <w:rPr>
          <w:rFonts w:hint="eastAsia"/>
          <w:b/>
          <w:bCs/>
          <w:color w:val="000000"/>
          <w:szCs w:val="21"/>
        </w:rPr>
        <w:t xml:space="preserve"> </w:t>
      </w:r>
      <w:r>
        <w:rPr>
          <w:rFonts w:hint="eastAsia"/>
          <w:b/>
          <w:bCs/>
          <w:color w:val="000000"/>
          <w:szCs w:val="21"/>
        </w:rPr>
        <w:t xml:space="preserve">生效时间</w:t>
      </w:r>
      <w:r/>
    </w:p>
    <w:p>
      <w:pPr>
        <w:ind w:firstLine="472"/>
        <w:spacing w:line="360" w:lineRule="auto"/>
        <w:tabs>
          <w:tab w:val="left" w:pos="540" w:leader="none"/>
          <w:tab w:val="left" w:pos="720" w:leader="none"/>
        </w:tabs>
        <w:rPr>
          <w:color w:val="000000"/>
          <w:szCs w:val="21"/>
        </w:rPr>
      </w:pPr>
      <w:r>
        <w:rPr>
          <w:rFonts w:hint="eastAsia"/>
          <w:color w:val="000000"/>
          <w:szCs w:val="21"/>
        </w:rPr>
        <w:t xml:space="preserve">本协议经甲乙双方签字盖章后生效，有效期为甲乙双方签署合同之日起至合同履约期满为止。</w:t>
      </w:r>
      <w:r/>
    </w:p>
    <w:p>
      <w:pPr>
        <w:ind w:firstLine="472"/>
        <w:spacing w:line="360" w:lineRule="auto"/>
        <w:tabs>
          <w:tab w:val="left" w:pos="540" w:leader="none"/>
          <w:tab w:val="left" w:pos="720" w:leader="none"/>
        </w:tabs>
        <w:rPr>
          <w:color w:val="000000"/>
          <w:szCs w:val="21"/>
        </w:rPr>
      </w:pPr>
      <w:r>
        <w:rPr>
          <w:rFonts w:hint="eastAsia"/>
          <w:color w:val="000000"/>
          <w:szCs w:val="21"/>
        </w:rPr>
        <w:t xml:space="preserve">本协议作为采购合同的附件，与采购合同具有同等的法律效力，经协议双方签署后立即生效。</w:t>
      </w:r>
      <w:r/>
    </w:p>
    <w:p>
      <w:pPr>
        <w:spacing w:line="360" w:lineRule="auto"/>
        <w:rPr>
          <w:rFonts w:ascii="Times New Roman" w:hAnsi="Times New Roman"/>
          <w:color w:val="000000"/>
          <w:lang w:val="zh-CN"/>
        </w:rPr>
      </w:pPr>
      <w:r>
        <w:rPr>
          <w:rFonts w:ascii="Times New Roman" w:hAnsi="Times New Roman"/>
          <w:color w:val="000000"/>
          <w:lang w:val="zh-CN"/>
        </w:rPr>
      </w:r>
      <w:r/>
    </w:p>
    <w:tbl>
      <w:tblPr>
        <w:tblW w:w="4999"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ook w:val="04A0" w:firstRow="1" w:lastRow="0" w:firstColumn="1" w:lastColumn="0" w:noHBand="0" w:noVBand="1"/>
      </w:tblPr>
      <w:tblGrid>
        <w:gridCol w:w="4156"/>
        <w:gridCol w:w="4148"/>
      </w:tblGrid>
      <w:tr>
        <w:trPr>
          <w:trHeight w:val="435"/>
        </w:trPr>
        <w:tc>
          <w:tcPr>
            <w:tcW w:w="2502" w:type="dxa"/>
            <w:vAlign w:val="center"/>
            <w:textDirection w:val="lrTb"/>
            <w:noWrap w:val="false"/>
          </w:tcPr>
          <w:p>
            <w:pPr>
              <w:spacing w:line="360" w:lineRule="auto"/>
              <w:tabs>
                <w:tab w:val="left" w:pos="540" w:leader="none"/>
                <w:tab w:val="left" w:pos="720" w:leader="none"/>
                <w:tab w:val="left" w:pos="955" w:leader="none"/>
                <w:tab w:val="left" w:pos="1146" w:leader="none"/>
              </w:tabs>
              <w:rPr>
                <w:color w:val="000000"/>
                <w:szCs w:val="21"/>
              </w:rPr>
            </w:pPr>
            <w:r>
              <w:rPr>
                <w:rFonts w:hint="eastAsia"/>
                <w:color w:val="000000"/>
                <w:szCs w:val="21"/>
              </w:rPr>
              <w:t xml:space="preserve">甲方（盖章）：</w:t>
            </w:r>
            <w:r/>
          </w:p>
        </w:tc>
        <w:tc>
          <w:tcPr>
            <w:tcW w:w="2497" w:type="dxa"/>
            <w:vAlign w:val="center"/>
            <w:textDirection w:val="lrTb"/>
            <w:noWrap w:val="false"/>
          </w:tcPr>
          <w:p>
            <w:pPr>
              <w:spacing w:line="360" w:lineRule="auto"/>
              <w:tabs>
                <w:tab w:val="left" w:pos="540" w:leader="none"/>
                <w:tab w:val="left" w:pos="720" w:leader="none"/>
                <w:tab w:val="left" w:pos="955" w:leader="none"/>
                <w:tab w:val="left" w:pos="1146" w:leader="none"/>
              </w:tabs>
              <w:rPr>
                <w:color w:val="000000"/>
                <w:szCs w:val="21"/>
              </w:rPr>
            </w:pPr>
            <w:r>
              <w:rPr>
                <w:rFonts w:hint="eastAsia"/>
                <w:color w:val="000000"/>
                <w:szCs w:val="21"/>
              </w:rPr>
              <w:t xml:space="preserve">乙方（盖章）：</w:t>
            </w:r>
            <w:r/>
          </w:p>
        </w:tc>
      </w:tr>
      <w:tr>
        <w:trPr>
          <w:trHeight w:val="417"/>
        </w:trPr>
        <w:tc>
          <w:tcPr>
            <w:tcW w:w="2502" w:type="dxa"/>
            <w:vAlign w:val="center"/>
            <w:textDirection w:val="lrTb"/>
            <w:noWrap w:val="false"/>
          </w:tcPr>
          <w:p>
            <w:pPr>
              <w:spacing w:line="360" w:lineRule="auto"/>
              <w:tabs>
                <w:tab w:val="left" w:pos="540" w:leader="none"/>
                <w:tab w:val="left" w:pos="720" w:leader="none"/>
                <w:tab w:val="left" w:pos="955" w:leader="none"/>
                <w:tab w:val="left" w:pos="1146" w:leader="none"/>
              </w:tabs>
              <w:rPr>
                <w:color w:val="000000"/>
                <w:szCs w:val="21"/>
              </w:rPr>
            </w:pPr>
            <w:r>
              <w:rPr>
                <w:color w:val="000000"/>
                <w:szCs w:val="21"/>
              </w:rPr>
            </w:r>
            <w:r/>
          </w:p>
        </w:tc>
        <w:tc>
          <w:tcPr>
            <w:tcW w:w="2497" w:type="dxa"/>
            <w:vAlign w:val="center"/>
            <w:textDirection w:val="lrTb"/>
            <w:noWrap w:val="false"/>
          </w:tcPr>
          <w:p>
            <w:pPr>
              <w:spacing w:line="360" w:lineRule="auto"/>
              <w:tabs>
                <w:tab w:val="left" w:pos="540" w:leader="none"/>
                <w:tab w:val="left" w:pos="720" w:leader="none"/>
                <w:tab w:val="left" w:pos="955" w:leader="none"/>
                <w:tab w:val="left" w:pos="1146" w:leader="none"/>
              </w:tabs>
              <w:rPr>
                <w:color w:val="000000"/>
                <w:szCs w:val="21"/>
              </w:rPr>
            </w:pPr>
            <w:r>
              <w:rPr>
                <w:color w:val="000000"/>
                <w:szCs w:val="21"/>
              </w:rPr>
            </w:r>
            <w:r/>
          </w:p>
        </w:tc>
      </w:tr>
      <w:tr>
        <w:trPr>
          <w:trHeight w:val="460"/>
        </w:trPr>
        <w:tc>
          <w:tcPr>
            <w:tcW w:w="2502" w:type="dxa"/>
            <w:vAlign w:val="center"/>
            <w:textDirection w:val="lrTb"/>
            <w:noWrap w:val="false"/>
          </w:tcPr>
          <w:p>
            <w:pPr>
              <w:spacing w:line="360" w:lineRule="auto"/>
              <w:tabs>
                <w:tab w:val="left" w:pos="540" w:leader="none"/>
                <w:tab w:val="left" w:pos="720" w:leader="none"/>
                <w:tab w:val="left" w:pos="955" w:leader="none"/>
                <w:tab w:val="left" w:pos="1146" w:leader="none"/>
              </w:tabs>
              <w:rPr>
                <w:color w:val="000000"/>
                <w:szCs w:val="21"/>
              </w:rPr>
            </w:pPr>
            <w:r>
              <w:rPr>
                <w:rFonts w:hint="eastAsia"/>
                <w:color w:val="000000"/>
                <w:szCs w:val="21"/>
              </w:rPr>
              <w:t xml:space="preserve">法定代表人或授权委托人：</w:t>
            </w:r>
            <w:r/>
          </w:p>
        </w:tc>
        <w:tc>
          <w:tcPr>
            <w:tcW w:w="2497" w:type="dxa"/>
            <w:vAlign w:val="center"/>
            <w:textDirection w:val="lrTb"/>
            <w:noWrap w:val="false"/>
          </w:tcPr>
          <w:p>
            <w:pPr>
              <w:spacing w:line="360" w:lineRule="auto"/>
              <w:tabs>
                <w:tab w:val="left" w:pos="540" w:leader="none"/>
                <w:tab w:val="left" w:pos="720" w:leader="none"/>
                <w:tab w:val="left" w:pos="955" w:leader="none"/>
                <w:tab w:val="left" w:pos="1146" w:leader="none"/>
              </w:tabs>
              <w:rPr>
                <w:color w:val="000000"/>
                <w:szCs w:val="21"/>
              </w:rPr>
            </w:pPr>
            <w:r>
              <w:rPr>
                <w:rFonts w:hint="eastAsia"/>
                <w:color w:val="000000"/>
                <w:szCs w:val="21"/>
              </w:rPr>
              <w:t xml:space="preserve">法定代表人或授权委托人：</w:t>
            </w:r>
            <w:r/>
          </w:p>
        </w:tc>
      </w:tr>
      <w:tr>
        <w:trPr>
          <w:trHeight w:val="345"/>
        </w:trPr>
        <w:tc>
          <w:tcPr>
            <w:tcW w:w="2502" w:type="dxa"/>
            <w:vAlign w:val="center"/>
            <w:textDirection w:val="lrTb"/>
            <w:noWrap w:val="false"/>
          </w:tcPr>
          <w:p>
            <w:pPr>
              <w:spacing w:line="360" w:lineRule="auto"/>
              <w:tabs>
                <w:tab w:val="left" w:pos="540" w:leader="none"/>
                <w:tab w:val="left" w:pos="720" w:leader="none"/>
                <w:tab w:val="left" w:pos="955" w:leader="none"/>
                <w:tab w:val="left" w:pos="1146" w:leader="none"/>
              </w:tabs>
              <w:rPr>
                <w:color w:val="000000"/>
                <w:szCs w:val="21"/>
              </w:rPr>
            </w:pPr>
            <w:r>
              <w:rPr>
                <w:color w:val="000000"/>
                <w:szCs w:val="21"/>
              </w:rPr>
            </w:r>
            <w:r/>
          </w:p>
        </w:tc>
        <w:tc>
          <w:tcPr>
            <w:tcW w:w="2497" w:type="dxa"/>
            <w:vAlign w:val="center"/>
            <w:textDirection w:val="lrTb"/>
            <w:noWrap w:val="false"/>
          </w:tcPr>
          <w:p>
            <w:pPr>
              <w:spacing w:line="360" w:lineRule="auto"/>
              <w:tabs>
                <w:tab w:val="left" w:pos="540" w:leader="none"/>
                <w:tab w:val="left" w:pos="720" w:leader="none"/>
                <w:tab w:val="left" w:pos="955" w:leader="none"/>
                <w:tab w:val="left" w:pos="1146" w:leader="none"/>
              </w:tabs>
              <w:rPr>
                <w:color w:val="000000"/>
                <w:szCs w:val="21"/>
              </w:rPr>
            </w:pPr>
            <w:r>
              <w:rPr>
                <w:color w:val="000000"/>
                <w:szCs w:val="21"/>
              </w:rPr>
            </w:r>
            <w:r/>
          </w:p>
        </w:tc>
      </w:tr>
      <w:tr>
        <w:trPr>
          <w:trHeight w:val="454"/>
        </w:trPr>
        <w:tc>
          <w:tcPr>
            <w:tcW w:w="2502" w:type="dxa"/>
            <w:vAlign w:val="center"/>
            <w:textDirection w:val="lrTb"/>
            <w:noWrap w:val="false"/>
          </w:tcPr>
          <w:p>
            <w:pPr>
              <w:spacing w:line="360" w:lineRule="auto"/>
              <w:tabs>
                <w:tab w:val="left" w:pos="540" w:leader="none"/>
                <w:tab w:val="left" w:pos="720" w:leader="none"/>
                <w:tab w:val="left" w:pos="955" w:leader="none"/>
                <w:tab w:val="left" w:pos="1146" w:leader="none"/>
              </w:tabs>
              <w:rPr>
                <w:color w:val="000000"/>
                <w:szCs w:val="21"/>
              </w:rPr>
            </w:pPr>
            <w:r>
              <w:rPr>
                <w:rFonts w:hint="eastAsia"/>
                <w:color w:val="000000"/>
                <w:szCs w:val="21"/>
              </w:rPr>
              <w:t xml:space="preserve">签订日期：</w:t>
            </w:r>
            <w:r/>
          </w:p>
        </w:tc>
        <w:tc>
          <w:tcPr>
            <w:tcW w:w="2497" w:type="dxa"/>
            <w:vAlign w:val="center"/>
            <w:textDirection w:val="lrTb"/>
            <w:noWrap w:val="false"/>
          </w:tcPr>
          <w:p>
            <w:pPr>
              <w:spacing w:line="360" w:lineRule="auto"/>
              <w:tabs>
                <w:tab w:val="left" w:pos="540" w:leader="none"/>
                <w:tab w:val="left" w:pos="720" w:leader="none"/>
                <w:tab w:val="left" w:pos="955" w:leader="none"/>
                <w:tab w:val="left" w:pos="1146" w:leader="none"/>
              </w:tabs>
              <w:rPr>
                <w:color w:val="000000"/>
                <w:szCs w:val="21"/>
              </w:rPr>
            </w:pPr>
            <w:r>
              <w:rPr>
                <w:rFonts w:hint="eastAsia"/>
                <w:color w:val="000000"/>
                <w:szCs w:val="21"/>
              </w:rPr>
              <w:t xml:space="preserve">签订日期：</w:t>
            </w:r>
            <w:r>
              <w:rPr>
                <w:rFonts w:hint="eastAsia"/>
                <w:color w:val="000000"/>
                <w:szCs w:val="21"/>
              </w:rPr>
              <w:t xml:space="preserve"> </w:t>
            </w:r>
            <w:bookmarkEnd w:id="172"/>
            <w:r/>
          </w:p>
        </w:tc>
      </w:tr>
    </w:tbl>
    <w:p>
      <w:pPr>
        <w:spacing w:before="120" w:after="12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55"/>
        <w:jc w:val="center"/>
        <w:spacing w:before="120" w:beforeAutospacing="0" w:after="120" w:afterAutospacing="0" w:line="500" w:lineRule="exact"/>
        <w:outlineLvl w:val="0"/>
      </w:pPr>
      <w:r>
        <w:rPr>
          <w:rFonts w:hint="eastAsia" w:ascii="黑体" w:hAnsi="宋体" w:eastAsia="黑体" w:cs="黑体"/>
          <w:color w:val="000000"/>
        </w:rPr>
        <w:br w:type="page" w:clear="all"/>
      </w:r>
      <w:r>
        <w:rPr>
          <w:rFonts w:hint="eastAsia" w:ascii="黑体" w:hAnsi="宋体" w:eastAsia="黑体" w:cs="黑体"/>
          <w:color w:val="000000"/>
          <w:sz w:val="44"/>
          <w:szCs w:val="44"/>
        </w:rPr>
        <w:t xml:space="preserve"> </w:t>
      </w:r>
      <w:bookmarkStart w:id="188" w:name="_Toc236900984"/>
      <w:r>
        <w:rPr>
          <w:rFonts w:hint="eastAsia" w:ascii="黑体" w:hAnsi="宋体" w:eastAsia="黑体" w:cs="黑体"/>
          <w:color w:val="000000"/>
          <w:sz w:val="44"/>
          <w:szCs w:val="44"/>
        </w:rPr>
        <w:t xml:space="preserve">第</w:t>
      </w:r>
      <w:bookmarkEnd w:id="176"/>
      <w:r>
        <w:rPr>
          <w:rFonts w:hint="eastAsia" w:ascii="黑体" w:hAnsi="宋体" w:eastAsia="黑体" w:cs="黑体"/>
          <w:color w:val="000000"/>
          <w:sz w:val="44"/>
          <w:szCs w:val="44"/>
        </w:rPr>
        <w:t xml:space="preserve">四章 采购需求</w:t>
      </w:r>
      <w:bookmarkEnd w:id="177"/>
      <w:r/>
      <w:bookmarkEnd w:id="178"/>
      <w:r/>
      <w:bookmarkEnd w:id="179"/>
      <w:r/>
      <w:bookmarkEnd w:id="180"/>
      <w:r/>
      <w:bookmarkEnd w:id="181"/>
      <w:r/>
      <w:bookmarkEnd w:id="188"/>
      <w:r/>
      <w:r/>
    </w:p>
    <w:p>
      <w:pPr>
        <w:pStyle w:val="855"/>
        <w:ind w:firstLine="480"/>
        <w:jc w:val="both"/>
        <w:spacing w:beforeAutospacing="0" w:afterAutospacing="0" w:line="0" w:lineRule="atLeast"/>
        <w:rPr>
          <w:rFonts w:hint="eastAsia" w:ascii="宋体" w:hAnsi="宋体" w:eastAsia="宋体" w:cs="宋体"/>
          <w:color w:val="000000"/>
        </w:rPr>
      </w:pPr>
      <w:r/>
      <w:bookmarkStart w:id="189" w:name="_Toc26554093"/>
      <w:r/>
      <w:bookmarkStart w:id="190" w:name="_Toc49090575"/>
      <w:r>
        <w:rPr>
          <w:rFonts w:hint="eastAsia" w:ascii="宋体" w:hAnsi="宋体" w:eastAsia="宋体" w:cs="宋体"/>
          <w:color w:val="000000"/>
        </w:rPr>
        <w:t xml:space="preserve">项目属性:服务类项目。</w:t>
      </w:r>
      <w:bookmarkEnd w:id="189"/>
      <w:r/>
      <w:bookmarkEnd w:id="190"/>
      <w:r/>
      <w:r/>
    </w:p>
    <w:p>
      <w:pPr>
        <w:pStyle w:val="855"/>
        <w:ind w:firstLine="480"/>
        <w:jc w:val="both"/>
        <w:spacing w:beforeAutospacing="0" w:afterAutospacing="0" w:line="0" w:lineRule="atLeast"/>
        <w:rPr>
          <w:b/>
          <w:bCs/>
        </w:rPr>
      </w:pPr>
      <w:r>
        <w:rPr>
          <w:rFonts w:hint="eastAsia" w:ascii="宋体" w:hAnsi="宋体" w:eastAsia="宋体" w:cs="宋体"/>
          <w:color w:val="000000"/>
        </w:rPr>
        <w:t xml:space="preserve"> </w:t>
      </w:r>
      <w:bookmarkStart w:id="191" w:name="_Toc29663"/>
      <w:r>
        <w:rPr>
          <w:b/>
          <w:bCs/>
        </w:rPr>
        <w:t xml:space="preserve">一、项目概况</w:t>
      </w:r>
      <w:bookmarkEnd w:id="191"/>
      <w:r/>
      <w:r/>
    </w:p>
    <w:p>
      <w:pPr>
        <w:ind w:firstLine="566"/>
        <w:spacing w:line="360" w:lineRule="auto"/>
        <w:rPr>
          <w:rFonts w:ascii="宋体" w:hAnsi="宋体"/>
          <w:sz w:val="24"/>
        </w:rPr>
      </w:pPr>
      <w:r>
        <w:rPr>
          <w:rFonts w:hint="eastAsia" w:ascii="宋体" w:hAnsi="宋体"/>
          <w:sz w:val="24"/>
        </w:rPr>
        <w:t xml:space="preserve">根据教育部办公厅印发的《中小学校园食品安全和膳食经费管理工作指引》、《省教育厅等七部门关于加强中小学食堂与校外供餐管理的通知》（苏教发函〔2024〕82号）等相关要求，选定本校的校外供餐单位，并对校外供餐单位进行监督，对发现有违反食品安全法律法规等行为的，应重新选定校外供餐单位，及时启动清退机制。</w:t>
      </w:r>
      <w:r/>
    </w:p>
    <w:p>
      <w:pPr>
        <w:ind w:firstLine="566"/>
        <w:spacing w:line="360" w:lineRule="auto"/>
        <w:rPr>
          <w:rFonts w:ascii="宋体" w:hAnsi="宋体"/>
          <w:sz w:val="24"/>
        </w:rPr>
      </w:pPr>
      <w:r/>
      <w:bookmarkStart w:id="192" w:name="_Toc27510"/>
      <w:r>
        <w:rPr>
          <w:rFonts w:hint="eastAsia" w:ascii="宋体" w:hAnsi="宋体"/>
          <w:sz w:val="24"/>
        </w:rPr>
        <w:t xml:space="preserve">1.用餐人数：以2026-2027学年度实际在校就餐学生人数为准。</w:t>
      </w:r>
      <w:r/>
    </w:p>
    <w:p>
      <w:pPr>
        <w:ind w:firstLine="566"/>
        <w:spacing w:line="360" w:lineRule="auto"/>
        <w:rPr>
          <w:rFonts w:ascii="宋体" w:hAnsi="宋体"/>
          <w:sz w:val="24"/>
        </w:rPr>
      </w:pPr>
      <w:r>
        <w:rPr>
          <w:rFonts w:hint="eastAsia" w:ascii="宋体" w:hAnsi="宋体"/>
          <w:sz w:val="24"/>
        </w:rPr>
        <w:t xml:space="preserve">2.履约时间与履约地点</w:t>
      </w:r>
      <w:r/>
    </w:p>
    <w:p>
      <w:pPr>
        <w:ind w:firstLine="566"/>
        <w:spacing w:line="360" w:lineRule="auto"/>
        <w:rPr>
          <w:rFonts w:ascii="宋体" w:hAnsi="宋体"/>
          <w:sz w:val="24"/>
        </w:rPr>
      </w:pPr>
      <w:r>
        <w:rPr>
          <w:rFonts w:hint="eastAsia" w:ascii="宋体" w:hAnsi="宋体"/>
          <w:sz w:val="24"/>
        </w:rPr>
        <w:t xml:space="preserve">履约时间:一学年</w:t>
      </w:r>
      <w:r/>
    </w:p>
    <w:p>
      <w:pPr>
        <w:ind w:firstLine="566"/>
        <w:spacing w:line="360" w:lineRule="auto"/>
        <w:rPr>
          <w:rFonts w:ascii="宋体" w:hAnsi="宋体"/>
          <w:sz w:val="24"/>
        </w:rPr>
      </w:pPr>
      <w:r>
        <w:rPr>
          <w:rFonts w:hint="eastAsia" w:ascii="宋体" w:hAnsi="宋体"/>
          <w:sz w:val="24"/>
        </w:rPr>
        <w:t xml:space="preserve">履约地点：滨海县坎北街道中心小学、滨海县界牌镇第一中心小学、滨海县界牌镇第二中心小学、滨海县八滩镇第二中心小学、滨海县富康路实验小学、滨海县第二实验小学城南校区、滨海县农业产业园区中心小学、滨海县永宁路实验学校（永宁路校区、西湖校区）、滨海县五汛镇第二中心小学、滨海县滨海港镇中心小学、滨海县五汛镇中心小学。</w:t>
      </w:r>
      <w:r/>
    </w:p>
    <w:p>
      <w:pPr>
        <w:ind w:firstLine="566"/>
        <w:spacing w:line="360" w:lineRule="auto"/>
        <w:rPr>
          <w:rFonts w:ascii="宋体" w:hAnsi="宋体"/>
          <w:b/>
          <w:bCs/>
          <w:sz w:val="24"/>
        </w:rPr>
      </w:pPr>
      <w:r>
        <w:rPr>
          <w:rFonts w:hint="eastAsia" w:ascii="宋体" w:hAnsi="宋体"/>
          <w:b/>
          <w:bCs/>
          <w:sz w:val="24"/>
        </w:rPr>
        <w:t xml:space="preserve">二、</w:t>
      </w:r>
      <w:r>
        <w:rPr>
          <w:rFonts w:ascii="宋体" w:hAnsi="宋体"/>
          <w:b/>
          <w:bCs/>
          <w:sz w:val="24"/>
        </w:rPr>
        <w:t xml:space="preserve">服务</w:t>
      </w:r>
      <w:bookmarkEnd w:id="192"/>
      <w:r>
        <w:rPr>
          <w:rFonts w:hint="eastAsia" w:ascii="宋体" w:hAnsi="宋体"/>
          <w:b/>
          <w:bCs/>
          <w:sz w:val="24"/>
        </w:rPr>
        <w:t xml:space="preserve">要求</w:t>
      </w:r>
      <w:r/>
    </w:p>
    <w:p>
      <w:pPr>
        <w:ind w:firstLine="569"/>
        <w:spacing w:line="360" w:lineRule="auto"/>
        <w:rPr>
          <w:rFonts w:ascii="宋体" w:hAnsi="宋体"/>
          <w:b/>
          <w:bCs/>
          <w:sz w:val="24"/>
        </w:rPr>
      </w:pPr>
      <w:r/>
      <w:bookmarkStart w:id="193" w:name="_Toc7561"/>
      <w:r>
        <w:rPr>
          <w:rFonts w:hint="eastAsia" w:ascii="宋体" w:hAnsi="宋体"/>
          <w:b/>
          <w:bCs/>
          <w:sz w:val="24"/>
        </w:rPr>
        <w:t xml:space="preserve">2.1餐食原材料的质量标准 </w:t>
      </w:r>
      <w:r/>
    </w:p>
    <w:tbl>
      <w:tblPr>
        <w:tblStyle w:val="86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19"/>
        <w:gridCol w:w="679"/>
        <w:gridCol w:w="7198"/>
      </w:tblGrid>
      <w:tr>
        <w:trPr>
          <w:trHeight w:val="20"/>
        </w:trPr>
        <w:tc>
          <w:tcPr>
            <w:tcW w:w="419" w:type="dxa"/>
            <w:vAlign w:val="center"/>
            <w:textDirection w:val="lrTb"/>
            <w:noWrap w:val="false"/>
          </w:tcPr>
          <w:p>
            <w:pPr>
              <w:jc w:val="center"/>
              <w:spacing w:line="360" w:lineRule="auto"/>
              <w:rPr>
                <w:rFonts w:ascii="宋体" w:hAnsi="宋体" w:cs="宋体"/>
                <w:b/>
                <w:bCs/>
                <w:szCs w:val="21"/>
                <w:lang w:bidi="ar"/>
              </w:rPr>
            </w:pPr>
            <w:r>
              <w:rPr>
                <w:rFonts w:hint="eastAsia" w:ascii="宋体" w:hAnsi="宋体" w:cs="宋体"/>
                <w:b/>
                <w:bCs/>
                <w:szCs w:val="21"/>
                <w:lang w:bidi="ar"/>
              </w:rPr>
              <w:t xml:space="preserve">序号</w:t>
            </w:r>
            <w:r/>
          </w:p>
        </w:tc>
        <w:tc>
          <w:tcPr>
            <w:tcW w:w="679" w:type="dxa"/>
            <w:vAlign w:val="center"/>
            <w:textDirection w:val="lrTb"/>
            <w:noWrap w:val="false"/>
          </w:tcPr>
          <w:p>
            <w:pPr>
              <w:jc w:val="center"/>
              <w:spacing w:line="360" w:lineRule="auto"/>
              <w:rPr>
                <w:rFonts w:ascii="宋体" w:hAnsi="宋体" w:cs="宋体"/>
                <w:b/>
                <w:bCs/>
                <w:szCs w:val="21"/>
                <w:lang w:bidi="ar"/>
              </w:rPr>
            </w:pPr>
            <w:r>
              <w:rPr>
                <w:rFonts w:hint="eastAsia" w:ascii="宋体" w:hAnsi="宋体" w:cs="宋体"/>
                <w:b/>
                <w:bCs/>
                <w:szCs w:val="21"/>
                <w:lang w:bidi="ar"/>
              </w:rPr>
              <w:t xml:space="preserve">物品</w:t>
            </w:r>
            <w:r/>
          </w:p>
          <w:p>
            <w:pPr>
              <w:jc w:val="center"/>
              <w:spacing w:line="360" w:lineRule="auto"/>
              <w:rPr>
                <w:rFonts w:ascii="宋体" w:hAnsi="宋体" w:cs="宋体"/>
                <w:b/>
                <w:bCs/>
                <w:szCs w:val="21"/>
                <w:lang w:bidi="ar"/>
              </w:rPr>
            </w:pPr>
            <w:r>
              <w:rPr>
                <w:rFonts w:hint="eastAsia" w:ascii="宋体" w:hAnsi="宋体" w:cs="宋体"/>
                <w:b/>
                <w:bCs/>
                <w:szCs w:val="21"/>
                <w:lang w:bidi="ar"/>
              </w:rPr>
              <w:t xml:space="preserve">名称</w:t>
            </w:r>
            <w:r/>
          </w:p>
        </w:tc>
        <w:tc>
          <w:tcPr>
            <w:tcW w:w="7198" w:type="dxa"/>
            <w:vAlign w:val="center"/>
            <w:textDirection w:val="lrTb"/>
            <w:noWrap w:val="false"/>
          </w:tcPr>
          <w:p>
            <w:pPr>
              <w:jc w:val="center"/>
              <w:spacing w:line="360" w:lineRule="auto"/>
              <w:rPr>
                <w:rFonts w:ascii="宋体" w:hAnsi="宋体" w:cs="宋体"/>
                <w:b/>
                <w:bCs/>
                <w:szCs w:val="21"/>
                <w:lang w:bidi="ar"/>
              </w:rPr>
            </w:pPr>
            <w:r>
              <w:rPr>
                <w:rFonts w:hint="eastAsia" w:ascii="宋体" w:hAnsi="宋体" w:cs="宋体"/>
                <w:b/>
                <w:bCs/>
                <w:szCs w:val="21"/>
                <w:lang w:bidi="ar"/>
              </w:rPr>
              <w:t xml:space="preserve">质量标准</w:t>
            </w:r>
            <w:r/>
          </w:p>
        </w:tc>
      </w:tr>
      <w:tr>
        <w:trPr>
          <w:trHeight w:val="20"/>
        </w:trPr>
        <w:tc>
          <w:tcPr>
            <w:tcW w:w="419" w:type="dxa"/>
            <w:vAlign w:val="center"/>
            <w:textDirection w:val="lrTb"/>
            <w:noWrap w:val="false"/>
          </w:tcPr>
          <w:p>
            <w:pPr>
              <w:jc w:val="center"/>
              <w:spacing w:line="360" w:lineRule="auto"/>
              <w:rPr>
                <w:rFonts w:ascii="宋体" w:hAnsi="宋体" w:cs="宋体"/>
                <w:szCs w:val="21"/>
                <w:lang w:bidi="ar"/>
              </w:rPr>
            </w:pPr>
            <w:r>
              <w:rPr>
                <w:rFonts w:hint="eastAsia" w:ascii="宋体" w:hAnsi="宋体" w:cs="宋体"/>
                <w:szCs w:val="21"/>
                <w:lang w:bidi="ar"/>
              </w:rPr>
              <w:t xml:space="preserve">1</w:t>
            </w:r>
            <w:r/>
          </w:p>
        </w:tc>
        <w:tc>
          <w:tcPr>
            <w:tcW w:w="679" w:type="dxa"/>
            <w:vAlign w:val="center"/>
            <w:textDirection w:val="lrTb"/>
            <w:noWrap w:val="false"/>
          </w:tcPr>
          <w:p>
            <w:pPr>
              <w:jc w:val="center"/>
              <w:spacing w:line="360" w:lineRule="auto"/>
              <w:rPr>
                <w:rFonts w:ascii="宋体" w:hAnsi="宋体" w:cs="宋体"/>
                <w:szCs w:val="21"/>
                <w:lang w:bidi="ar"/>
              </w:rPr>
            </w:pPr>
            <w:r>
              <w:rPr>
                <w:rFonts w:hint="eastAsia" w:ascii="宋体" w:hAnsi="宋体" w:cs="宋体"/>
                <w:szCs w:val="21"/>
                <w:lang w:bidi="ar"/>
              </w:rPr>
              <w:t xml:space="preserve">大米</w:t>
            </w:r>
            <w:r/>
          </w:p>
        </w:tc>
        <w:tc>
          <w:tcPr>
            <w:tcW w:w="7198" w:type="dxa"/>
            <w:textDirection w:val="lrTb"/>
            <w:noWrap w:val="false"/>
          </w:tcPr>
          <w:p>
            <w:pPr>
              <w:spacing w:line="360" w:lineRule="auto"/>
              <w:rPr>
                <w:rFonts w:ascii="宋体" w:hAnsi="宋体" w:cs="宋体"/>
                <w:szCs w:val="21"/>
                <w:lang w:bidi="ar"/>
              </w:rPr>
            </w:pPr>
            <w:r>
              <w:rPr>
                <w:rFonts w:hint="eastAsia" w:ascii="宋体" w:hAnsi="宋体" w:cs="宋体"/>
                <w:szCs w:val="21"/>
                <w:lang w:bidi="ar"/>
              </w:rPr>
              <w:t xml:space="preserve">一级大米，必须是当年度新粮，不得提供陈化粮。外包装上标识有生产厂家及生产日期，SC标志等，生产企业必须获得食品质量安全生产许可证，产品符合国标执行标准GB/T1354-2018，供餐前提供同批次全检报告(含镉、黄曲霉毒素等指标)、出厂检验合格报告，存档备查。</w:t>
            </w:r>
            <w:r/>
          </w:p>
        </w:tc>
      </w:tr>
      <w:tr>
        <w:trPr>
          <w:trHeight w:val="20"/>
        </w:trPr>
        <w:tc>
          <w:tcPr>
            <w:tcW w:w="419" w:type="dxa"/>
            <w:vAlign w:val="center"/>
            <w:textDirection w:val="lrTb"/>
            <w:noWrap w:val="false"/>
          </w:tcPr>
          <w:p>
            <w:pPr>
              <w:jc w:val="center"/>
              <w:spacing w:line="360" w:lineRule="auto"/>
              <w:rPr>
                <w:rFonts w:ascii="宋体" w:hAnsi="宋体" w:cs="宋体"/>
                <w:szCs w:val="21"/>
                <w:lang w:bidi="ar"/>
              </w:rPr>
            </w:pPr>
            <w:r>
              <w:rPr>
                <w:rFonts w:hint="eastAsia" w:ascii="宋体" w:hAnsi="宋体" w:cs="宋体"/>
                <w:szCs w:val="21"/>
                <w:lang w:bidi="ar"/>
              </w:rPr>
              <w:t xml:space="preserve">2</w:t>
            </w:r>
            <w:r/>
          </w:p>
        </w:tc>
        <w:tc>
          <w:tcPr>
            <w:tcW w:w="679" w:type="dxa"/>
            <w:vAlign w:val="center"/>
            <w:textDirection w:val="lrTb"/>
            <w:noWrap w:val="false"/>
          </w:tcPr>
          <w:p>
            <w:pPr>
              <w:jc w:val="center"/>
              <w:spacing w:line="360" w:lineRule="auto"/>
              <w:rPr>
                <w:rFonts w:ascii="宋体" w:hAnsi="宋体" w:cs="宋体"/>
                <w:szCs w:val="21"/>
                <w:lang w:bidi="ar"/>
              </w:rPr>
            </w:pPr>
            <w:r>
              <w:rPr>
                <w:rFonts w:hint="eastAsia" w:ascii="宋体" w:hAnsi="宋体" w:cs="宋体"/>
                <w:szCs w:val="21"/>
                <w:lang w:bidi="ar"/>
              </w:rPr>
              <w:t xml:space="preserve">蔬菜</w:t>
            </w:r>
            <w:r/>
          </w:p>
        </w:tc>
        <w:tc>
          <w:tcPr>
            <w:tcW w:w="7198" w:type="dxa"/>
            <w:textDirection w:val="lrTb"/>
            <w:noWrap w:val="false"/>
          </w:tcPr>
          <w:p>
            <w:pPr>
              <w:spacing w:line="360" w:lineRule="auto"/>
              <w:rPr>
                <w:rFonts w:ascii="宋体" w:hAnsi="宋体" w:cs="宋体"/>
                <w:szCs w:val="21"/>
                <w:lang w:bidi="ar"/>
              </w:rPr>
            </w:pPr>
            <w:r>
              <w:rPr>
                <w:rFonts w:hint="eastAsia" w:ascii="宋体" w:hAnsi="宋体" w:cs="宋体"/>
                <w:szCs w:val="21"/>
                <w:lang w:bidi="ar"/>
              </w:rPr>
              <w:t xml:space="preserve">叶菜类：青菜、白菜等，外形正常，叶梗光滑幼嫩，不干瘪凋萎，无过多黄叶，色泽正常。去除根须，不含土，无虫害，大白菜、卷心菜切开心不变黑，无腐烂情形，无明显浸水现象；农药残留不超标。</w:t>
            </w:r>
            <w:r/>
          </w:p>
          <w:p>
            <w:pPr>
              <w:spacing w:line="360" w:lineRule="auto"/>
              <w:rPr>
                <w:rFonts w:ascii="宋体" w:hAnsi="宋体" w:cs="宋体"/>
                <w:szCs w:val="21"/>
                <w:lang w:bidi="ar"/>
              </w:rPr>
            </w:pPr>
            <w:r>
              <w:rPr>
                <w:rFonts w:hint="eastAsia" w:ascii="宋体" w:hAnsi="宋体" w:cs="宋体"/>
                <w:szCs w:val="21"/>
                <w:lang w:bidi="ar"/>
              </w:rPr>
              <w:t xml:space="preserve">根茎类：如萝卜、土豆、莴笋等，无虫咬、发芽、发霉现象，新鲜，形态大小与甲方自购标准相当。农药残留不超标。</w:t>
            </w:r>
            <w:r/>
          </w:p>
          <w:p>
            <w:pPr>
              <w:spacing w:line="360" w:lineRule="auto"/>
              <w:rPr>
                <w:rFonts w:ascii="宋体" w:hAnsi="宋体" w:cs="宋体"/>
                <w:szCs w:val="21"/>
                <w:lang w:bidi="ar"/>
              </w:rPr>
            </w:pPr>
            <w:r>
              <w:rPr>
                <w:rFonts w:hint="eastAsia" w:ascii="宋体" w:hAnsi="宋体" w:cs="宋体"/>
                <w:szCs w:val="21"/>
                <w:lang w:bidi="ar"/>
              </w:rPr>
              <w:t xml:space="preserve">花果类：如西兰花、白菜花等，无虫害，成熟度良好，新鲜固有的色泽鲜明，无发霉发黄。农药残留不超标。</w:t>
            </w:r>
            <w:r/>
          </w:p>
          <w:p>
            <w:pPr>
              <w:spacing w:line="360" w:lineRule="auto"/>
              <w:rPr>
                <w:rFonts w:ascii="宋体" w:hAnsi="宋体" w:cs="宋体"/>
                <w:szCs w:val="21"/>
                <w:lang w:bidi="ar"/>
              </w:rPr>
            </w:pPr>
            <w:r>
              <w:rPr>
                <w:rFonts w:hint="eastAsia" w:ascii="宋体" w:hAnsi="宋体" w:cs="宋体"/>
                <w:szCs w:val="21"/>
                <w:lang w:bidi="ar"/>
              </w:rPr>
              <w:t xml:space="preserve">瓜果类：番茄、黄瓜、茄子等，外表光亮无斑点，有新鲜连接的秧，形状正常、大小均匀，无软塌，成熟度适度。无腐烂，无污染，清洁、新鲜，无异味、无病虫损害。农药残留不超标。</w:t>
            </w:r>
            <w:r/>
          </w:p>
          <w:p>
            <w:pPr>
              <w:spacing w:line="360" w:lineRule="auto"/>
              <w:rPr>
                <w:rFonts w:ascii="宋体" w:hAnsi="宋体" w:cs="宋体"/>
                <w:szCs w:val="21"/>
                <w:lang w:bidi="ar"/>
              </w:rPr>
            </w:pPr>
            <w:r>
              <w:rPr>
                <w:rFonts w:hint="eastAsia" w:ascii="宋体" w:hAnsi="宋体" w:cs="宋体"/>
                <w:szCs w:val="21"/>
                <w:lang w:bidi="ar"/>
              </w:rPr>
              <w:t xml:space="preserve">菇类：香菇、蘑菇等，饱满新鲜、水分适宜，不发霉、无软塌、无变色，形状正常、大小均匀。农药残留不超标，须同时符合GB</w:t>
            </w:r>
            <w:r>
              <w:rPr>
                <w:rFonts w:ascii="宋体" w:hAnsi="宋体" w:cs="宋体"/>
                <w:szCs w:val="21"/>
                <w:lang w:bidi="ar"/>
              </w:rPr>
              <w:t xml:space="preserve"> </w:t>
            </w:r>
            <w:r>
              <w:rPr>
                <w:rFonts w:hint="eastAsia" w:ascii="宋体" w:hAnsi="宋体" w:cs="宋体"/>
                <w:szCs w:val="21"/>
                <w:lang w:bidi="ar"/>
              </w:rPr>
              <w:t xml:space="preserve">2</w:t>
            </w:r>
            <w:r>
              <w:rPr>
                <w:rFonts w:ascii="宋体" w:hAnsi="宋体" w:cs="宋体"/>
                <w:szCs w:val="21"/>
                <w:lang w:bidi="ar"/>
              </w:rPr>
              <w:t xml:space="preserve">763-2021</w:t>
            </w:r>
            <w:r>
              <w:rPr>
                <w:rFonts w:hint="eastAsia" w:ascii="宋体" w:hAnsi="宋体" w:cs="宋体"/>
                <w:szCs w:val="21"/>
                <w:lang w:bidi="ar"/>
              </w:rPr>
              <w:t xml:space="preserve">《食品安全国家标准 食品中农药最大残留限量》和GB</w:t>
            </w:r>
            <w:r>
              <w:rPr>
                <w:rFonts w:ascii="宋体" w:hAnsi="宋体" w:cs="宋体"/>
                <w:szCs w:val="21"/>
                <w:lang w:bidi="ar"/>
              </w:rPr>
              <w:t xml:space="preserve"> </w:t>
            </w:r>
            <w:r>
              <w:rPr>
                <w:rFonts w:hint="eastAsia" w:ascii="宋体" w:hAnsi="宋体" w:cs="宋体"/>
                <w:szCs w:val="21"/>
                <w:lang w:bidi="ar"/>
              </w:rPr>
              <w:t xml:space="preserve">2</w:t>
            </w:r>
            <w:r>
              <w:rPr>
                <w:rFonts w:ascii="宋体" w:hAnsi="宋体" w:cs="宋体"/>
                <w:szCs w:val="21"/>
                <w:lang w:bidi="ar"/>
              </w:rPr>
              <w:t xml:space="preserve">763.1-2022</w:t>
            </w:r>
            <w:r>
              <w:rPr>
                <w:rFonts w:hint="eastAsia" w:ascii="宋体" w:hAnsi="宋体" w:cs="宋体"/>
                <w:szCs w:val="21"/>
                <w:lang w:bidi="ar"/>
              </w:rPr>
              <w:t xml:space="preserve">《食品安全国家标准 食品中2,4-滴丁酸钠盐等112种农药最大残留限量》。</w:t>
            </w:r>
            <w:r/>
          </w:p>
        </w:tc>
      </w:tr>
      <w:tr>
        <w:trPr>
          <w:trHeight w:val="20"/>
        </w:trPr>
        <w:tc>
          <w:tcPr>
            <w:tcW w:w="419" w:type="dxa"/>
            <w:vAlign w:val="center"/>
            <w:textDirection w:val="lrTb"/>
            <w:noWrap w:val="false"/>
          </w:tcPr>
          <w:p>
            <w:pPr>
              <w:jc w:val="center"/>
              <w:spacing w:line="360" w:lineRule="auto"/>
              <w:rPr>
                <w:rFonts w:ascii="宋体" w:hAnsi="宋体" w:cs="宋体"/>
                <w:szCs w:val="21"/>
                <w:lang w:bidi="ar"/>
              </w:rPr>
            </w:pPr>
            <w:r>
              <w:rPr>
                <w:rFonts w:hint="eastAsia" w:ascii="宋体" w:hAnsi="宋体" w:cs="宋体"/>
                <w:szCs w:val="21"/>
                <w:lang w:bidi="ar"/>
              </w:rPr>
              <w:t xml:space="preserve">3</w:t>
            </w:r>
            <w:r/>
          </w:p>
        </w:tc>
        <w:tc>
          <w:tcPr>
            <w:tcW w:w="679" w:type="dxa"/>
            <w:vAlign w:val="center"/>
            <w:textDirection w:val="lrTb"/>
            <w:noWrap w:val="false"/>
          </w:tcPr>
          <w:p>
            <w:pPr>
              <w:jc w:val="center"/>
              <w:spacing w:line="360" w:lineRule="auto"/>
              <w:rPr>
                <w:rFonts w:ascii="宋体" w:hAnsi="宋体" w:cs="宋体"/>
                <w:szCs w:val="21"/>
                <w:lang w:bidi="ar"/>
              </w:rPr>
            </w:pPr>
            <w:r>
              <w:rPr>
                <w:rFonts w:hint="eastAsia" w:ascii="宋体" w:hAnsi="宋体" w:cs="宋体"/>
                <w:szCs w:val="21"/>
                <w:lang w:bidi="ar"/>
              </w:rPr>
              <w:t xml:space="preserve">鲜肉</w:t>
            </w:r>
            <w:r/>
          </w:p>
        </w:tc>
        <w:tc>
          <w:tcPr>
            <w:tcW w:w="7198" w:type="dxa"/>
            <w:textDirection w:val="lrTb"/>
            <w:noWrap w:val="false"/>
          </w:tcPr>
          <w:p>
            <w:pPr>
              <w:spacing w:line="360" w:lineRule="auto"/>
              <w:rPr>
                <w:rFonts w:ascii="宋体" w:hAnsi="宋体" w:cs="宋体"/>
                <w:szCs w:val="21"/>
                <w:lang w:bidi="ar"/>
              </w:rPr>
            </w:pPr>
            <w:r>
              <w:rPr>
                <w:rFonts w:hint="eastAsia" w:ascii="宋体" w:hAnsi="宋体" w:cs="宋体"/>
                <w:szCs w:val="21"/>
                <w:lang w:bidi="ar"/>
              </w:rPr>
              <w:t xml:space="preserve">1.猪肉：符合GB/Ｔ9959.2-2026《鲜、冻猪肉及猪副产品 第2部分：分割鲜、冻猪瘦肉》标准，冷鲜猪肉，所有采购的猪肉必须来源于合法的屠宰企业，严禁供应病猪、死猪、老母猪肉和老公猪肉，严禁注水、注其他物质。</w:t>
            </w:r>
            <w:bookmarkStart w:id="194" w:name="OLE_LINK7"/>
            <w:r>
              <w:rPr>
                <w:rFonts w:hint="eastAsia" w:ascii="宋体" w:hAnsi="宋体" w:cs="宋体"/>
                <w:szCs w:val="21"/>
                <w:lang w:bidi="ar"/>
              </w:rPr>
              <w:t xml:space="preserve">同时符合GB 31650</w:t>
            </w:r>
            <w:r>
              <w:rPr>
                <w:rFonts w:ascii="宋体" w:hAnsi="宋体" w:cs="宋体"/>
                <w:szCs w:val="21"/>
                <w:lang w:bidi="ar"/>
              </w:rPr>
              <w:t xml:space="preserve">-2019</w:t>
            </w:r>
            <w:r>
              <w:rPr>
                <w:rFonts w:hint="eastAsia" w:ascii="宋体" w:hAnsi="宋体" w:cs="宋体"/>
                <w:szCs w:val="21"/>
                <w:lang w:bidi="ar"/>
              </w:rPr>
              <w:t xml:space="preserve">《食品安全国家标准 食品中兽药最大残留限量》和GB 31650</w:t>
            </w:r>
            <w:r>
              <w:rPr>
                <w:rFonts w:ascii="宋体" w:hAnsi="宋体" w:cs="宋体"/>
                <w:szCs w:val="21"/>
                <w:lang w:bidi="ar"/>
              </w:rPr>
              <w:t xml:space="preserve">.1-2022</w:t>
            </w:r>
            <w:r>
              <w:rPr>
                <w:rFonts w:hint="eastAsia" w:ascii="宋体" w:hAnsi="宋体" w:cs="宋体"/>
                <w:szCs w:val="21"/>
                <w:lang w:bidi="ar"/>
              </w:rPr>
              <w:t xml:space="preserve">《食品安全国家标准 食品中4</w:t>
            </w:r>
            <w:r>
              <w:rPr>
                <w:rFonts w:ascii="宋体" w:hAnsi="宋体" w:cs="宋体"/>
                <w:szCs w:val="21"/>
                <w:lang w:bidi="ar"/>
              </w:rPr>
              <w:t xml:space="preserve">1</w:t>
            </w:r>
            <w:r>
              <w:rPr>
                <w:rFonts w:hint="eastAsia" w:ascii="宋体" w:hAnsi="宋体" w:cs="宋体"/>
                <w:szCs w:val="21"/>
                <w:lang w:bidi="ar"/>
              </w:rPr>
              <w:t xml:space="preserve">种兽药最大残留限量》标准，</w:t>
            </w:r>
            <w:bookmarkEnd w:id="194"/>
            <w:r>
              <w:rPr>
                <w:rFonts w:hint="eastAsia" w:ascii="宋体" w:hAnsi="宋体" w:cs="宋体"/>
                <w:szCs w:val="21"/>
                <w:lang w:bidi="ar"/>
              </w:rPr>
              <w:t xml:space="preserve">保证随时实物抽检、动物检验检疫、肉质品质等合格 。</w:t>
            </w:r>
            <w:r/>
          </w:p>
          <w:p>
            <w:pPr>
              <w:spacing w:line="360" w:lineRule="auto"/>
              <w:rPr>
                <w:rFonts w:ascii="宋体" w:hAnsi="宋体" w:cs="宋体"/>
                <w:szCs w:val="21"/>
                <w:lang w:bidi="ar"/>
              </w:rPr>
            </w:pPr>
            <w:r>
              <w:rPr>
                <w:rFonts w:hint="eastAsia" w:ascii="宋体" w:hAnsi="宋体" w:cs="宋体"/>
                <w:szCs w:val="21"/>
                <w:lang w:bidi="ar"/>
              </w:rPr>
              <w:t xml:space="preserve">2.牛肉：符合GB/Ｔ17238-2022《鲜、冻分割牛肉》标准，生鲜牛肉，去皮，去膜，严禁注水、注其他物质。同时符合</w:t>
            </w:r>
            <w:bookmarkStart w:id="195" w:name="OLE_LINK10"/>
            <w:r>
              <w:rPr>
                <w:rFonts w:hint="eastAsia" w:ascii="宋体" w:hAnsi="宋体" w:cs="宋体"/>
                <w:szCs w:val="21"/>
                <w:lang w:bidi="ar"/>
              </w:rPr>
              <w:t xml:space="preserve">GB 31650</w:t>
            </w:r>
            <w:bookmarkEnd w:id="195"/>
            <w:r>
              <w:rPr>
                <w:rFonts w:ascii="宋体" w:hAnsi="宋体" w:cs="宋体"/>
                <w:szCs w:val="21"/>
                <w:lang w:bidi="ar"/>
              </w:rPr>
              <w:t xml:space="preserve">-2019</w:t>
            </w:r>
            <w:r>
              <w:rPr>
                <w:rFonts w:hint="eastAsia" w:ascii="宋体" w:hAnsi="宋体" w:cs="宋体"/>
                <w:szCs w:val="21"/>
                <w:lang w:bidi="ar"/>
              </w:rPr>
              <w:t xml:space="preserve">《食品安全国家标准 食品中兽药最大残留限量》和GB 31650</w:t>
            </w:r>
            <w:r>
              <w:rPr>
                <w:rFonts w:ascii="宋体" w:hAnsi="宋体" w:cs="宋体"/>
                <w:szCs w:val="21"/>
                <w:lang w:bidi="ar"/>
              </w:rPr>
              <w:t xml:space="preserve">.1-2022</w:t>
            </w:r>
            <w:r>
              <w:rPr>
                <w:rFonts w:hint="eastAsia" w:ascii="宋体" w:hAnsi="宋体" w:cs="宋体"/>
                <w:szCs w:val="21"/>
                <w:lang w:bidi="ar"/>
              </w:rPr>
              <w:t xml:space="preserve">《食品安全国家标准 食品中4</w:t>
            </w:r>
            <w:r>
              <w:rPr>
                <w:rFonts w:ascii="宋体" w:hAnsi="宋体" w:cs="宋体"/>
                <w:szCs w:val="21"/>
                <w:lang w:bidi="ar"/>
              </w:rPr>
              <w:t xml:space="preserve">1</w:t>
            </w:r>
            <w:r>
              <w:rPr>
                <w:rFonts w:hint="eastAsia" w:ascii="宋体" w:hAnsi="宋体" w:cs="宋体"/>
                <w:szCs w:val="21"/>
                <w:lang w:bidi="ar"/>
              </w:rPr>
              <w:t xml:space="preserve">种兽药最大残留限量》标准，保证随时实物抽检、动物检验检疫、肉质品质等合格。</w:t>
            </w:r>
            <w:r/>
          </w:p>
          <w:p>
            <w:pPr>
              <w:spacing w:line="360" w:lineRule="auto"/>
              <w:rPr>
                <w:rFonts w:ascii="宋体" w:hAnsi="宋体" w:cs="宋体"/>
                <w:szCs w:val="21"/>
                <w:lang w:bidi="ar"/>
              </w:rPr>
            </w:pPr>
            <w:r>
              <w:rPr>
                <w:rFonts w:hint="eastAsia" w:ascii="宋体" w:hAnsi="宋体" w:cs="宋体"/>
                <w:szCs w:val="21"/>
                <w:lang w:bidi="ar"/>
              </w:rPr>
              <w:t xml:space="preserve">3.鸡/鸭肉：GB 16869-</w:t>
            </w:r>
            <w:r>
              <w:rPr>
                <w:rFonts w:ascii="宋体" w:hAnsi="宋体" w:cs="宋体"/>
                <w:szCs w:val="21"/>
                <w:lang w:bidi="ar"/>
              </w:rPr>
              <w:t xml:space="preserve">2005</w:t>
            </w:r>
            <w:r>
              <w:rPr>
                <w:rFonts w:hint="eastAsia" w:ascii="宋体" w:hAnsi="宋体" w:cs="宋体"/>
                <w:szCs w:val="21"/>
                <w:lang w:bidi="ar"/>
              </w:rPr>
              <w:t xml:space="preserve">《鲜、冻禽产品》和GB</w:t>
            </w:r>
            <w:r>
              <w:rPr>
                <w:rFonts w:ascii="宋体" w:hAnsi="宋体" w:cs="宋体"/>
                <w:szCs w:val="21"/>
                <w:lang w:bidi="ar"/>
              </w:rPr>
              <w:t xml:space="preserve"> 2707-2016</w:t>
            </w:r>
            <w:r>
              <w:rPr>
                <w:rFonts w:hint="eastAsia" w:ascii="宋体" w:hAnsi="宋体" w:cs="宋体"/>
                <w:szCs w:val="21"/>
                <w:lang w:bidi="ar"/>
              </w:rPr>
              <w:t xml:space="preserve">《食品安全国家标准 鲜（冻）畜、禽产品》标准，严禁病鸡/鸭、死鸡/鸭肉等，严禁注水、注其他物质。同时符合GB 31650</w:t>
            </w:r>
            <w:r>
              <w:rPr>
                <w:rFonts w:ascii="宋体" w:hAnsi="宋体" w:cs="宋体"/>
                <w:szCs w:val="21"/>
                <w:lang w:bidi="ar"/>
              </w:rPr>
              <w:t xml:space="preserve">-2019</w:t>
            </w:r>
            <w:r>
              <w:rPr>
                <w:rFonts w:hint="eastAsia" w:ascii="宋体" w:hAnsi="宋体" w:cs="宋体"/>
                <w:szCs w:val="21"/>
                <w:lang w:bidi="ar"/>
              </w:rPr>
              <w:t xml:space="preserve">《食品安全国家标准 食品中兽药最大残留限量》和GB 31650</w:t>
            </w:r>
            <w:r>
              <w:rPr>
                <w:rFonts w:ascii="宋体" w:hAnsi="宋体" w:cs="宋体"/>
                <w:szCs w:val="21"/>
                <w:lang w:bidi="ar"/>
              </w:rPr>
              <w:t xml:space="preserve">.1-2022</w:t>
            </w:r>
            <w:r>
              <w:rPr>
                <w:rFonts w:hint="eastAsia" w:ascii="宋体" w:hAnsi="宋体" w:cs="宋体"/>
                <w:szCs w:val="21"/>
                <w:lang w:bidi="ar"/>
              </w:rPr>
              <w:t xml:space="preserve">《食品安全国家标准 食品中4</w:t>
            </w:r>
            <w:r>
              <w:rPr>
                <w:rFonts w:ascii="宋体" w:hAnsi="宋体" w:cs="宋体"/>
                <w:szCs w:val="21"/>
                <w:lang w:bidi="ar"/>
              </w:rPr>
              <w:t xml:space="preserve">1</w:t>
            </w:r>
            <w:r>
              <w:rPr>
                <w:rFonts w:hint="eastAsia" w:ascii="宋体" w:hAnsi="宋体" w:cs="宋体"/>
                <w:szCs w:val="21"/>
                <w:lang w:bidi="ar"/>
              </w:rPr>
              <w:t xml:space="preserve">种兽药最大残留限量》标准，保证随时实物抽检、动物检验检疫、肉质品质等合格。</w:t>
            </w:r>
            <w:r/>
          </w:p>
          <w:p>
            <w:pPr>
              <w:contextualSpacing/>
              <w:ind w:right="-82"/>
              <w:jc w:val="left"/>
              <w:rPr>
                <w:rFonts w:ascii="宋体" w:hAnsi="宋体" w:cs="宋体"/>
                <w:szCs w:val="21"/>
                <w:lang w:bidi="ar"/>
              </w:rPr>
            </w:pPr>
            <w:r>
              <w:rPr>
                <w:rFonts w:hint="eastAsia" w:ascii="宋体" w:hAnsi="宋体" w:cs="宋体"/>
                <w:szCs w:val="21"/>
                <w:lang w:bidi="ar"/>
              </w:rPr>
              <w:t xml:space="preserve">4.鱼肉：鱼虾类冻品质量必须符合GB</w:t>
            </w:r>
            <w:r>
              <w:rPr>
                <w:rFonts w:ascii="宋体" w:hAnsi="宋体" w:cs="宋体"/>
                <w:szCs w:val="21"/>
                <w:lang w:bidi="ar"/>
              </w:rPr>
              <w:t xml:space="preserve"> </w:t>
            </w:r>
            <w:r>
              <w:rPr>
                <w:rFonts w:hint="eastAsia" w:ascii="宋体" w:hAnsi="宋体" w:cs="宋体"/>
                <w:szCs w:val="21"/>
                <w:lang w:bidi="ar"/>
              </w:rPr>
              <w:t xml:space="preserve">2733-2015《食品安全国家标准 鲜、冻动物性水产品》标准。</w:t>
            </w:r>
            <w:r/>
          </w:p>
        </w:tc>
      </w:tr>
      <w:tr>
        <w:trPr>
          <w:trHeight w:val="20"/>
        </w:trPr>
        <w:tc>
          <w:tcPr>
            <w:tcW w:w="419" w:type="dxa"/>
            <w:vAlign w:val="center"/>
            <w:textDirection w:val="lrTb"/>
            <w:noWrap w:val="false"/>
          </w:tcPr>
          <w:p>
            <w:pPr>
              <w:jc w:val="center"/>
              <w:spacing w:line="360" w:lineRule="auto"/>
              <w:rPr>
                <w:rFonts w:ascii="宋体" w:hAnsi="宋体" w:cs="宋体"/>
                <w:szCs w:val="21"/>
                <w:lang w:bidi="ar"/>
              </w:rPr>
            </w:pPr>
            <w:r>
              <w:rPr>
                <w:rFonts w:hint="eastAsia" w:ascii="宋体" w:hAnsi="宋体" w:cs="宋体"/>
                <w:szCs w:val="21"/>
                <w:lang w:bidi="ar"/>
              </w:rPr>
              <w:t xml:space="preserve">4</w:t>
            </w:r>
            <w:r/>
          </w:p>
        </w:tc>
        <w:tc>
          <w:tcPr>
            <w:tcW w:w="679" w:type="dxa"/>
            <w:vAlign w:val="center"/>
            <w:textDirection w:val="lrTb"/>
            <w:noWrap w:val="false"/>
          </w:tcPr>
          <w:p>
            <w:pPr>
              <w:jc w:val="center"/>
              <w:spacing w:line="360" w:lineRule="auto"/>
              <w:rPr>
                <w:rFonts w:ascii="宋体" w:hAnsi="宋体" w:cs="宋体"/>
                <w:szCs w:val="21"/>
                <w:lang w:bidi="ar"/>
              </w:rPr>
            </w:pPr>
            <w:r>
              <w:rPr>
                <w:rFonts w:hint="eastAsia" w:ascii="宋体" w:hAnsi="宋体" w:cs="宋体"/>
                <w:szCs w:val="21"/>
                <w:lang w:bidi="ar"/>
              </w:rPr>
              <w:t xml:space="preserve">鸡蛋</w:t>
            </w:r>
            <w:r/>
          </w:p>
        </w:tc>
        <w:tc>
          <w:tcPr>
            <w:tcW w:w="7198" w:type="dxa"/>
            <w:textDirection w:val="lrTb"/>
            <w:noWrap w:val="false"/>
          </w:tcPr>
          <w:p>
            <w:pPr>
              <w:spacing w:line="360" w:lineRule="auto"/>
              <w:rPr>
                <w:rFonts w:ascii="宋体" w:hAnsi="宋体" w:cs="宋体"/>
                <w:szCs w:val="21"/>
                <w:lang w:bidi="ar"/>
              </w:rPr>
            </w:pPr>
            <w:r>
              <w:rPr>
                <w:rFonts w:hint="eastAsia" w:ascii="宋体" w:hAnsi="宋体" w:cs="宋体"/>
                <w:szCs w:val="21"/>
                <w:lang w:bidi="ar"/>
              </w:rPr>
              <w:t xml:space="preserve">蛋及蛋制品质量必须符合GB2749-2015《食品安全国家标准 蛋及蛋制品》标准。</w:t>
            </w:r>
            <w:r/>
          </w:p>
          <w:p>
            <w:pPr>
              <w:spacing w:line="360" w:lineRule="auto"/>
              <w:rPr>
                <w:rFonts w:ascii="宋体" w:hAnsi="宋体" w:cs="宋体"/>
                <w:szCs w:val="21"/>
                <w:lang w:bidi="ar"/>
              </w:rPr>
            </w:pPr>
            <w:r>
              <w:rPr>
                <w:rFonts w:hint="eastAsia" w:ascii="宋体" w:hAnsi="宋体" w:cs="宋体"/>
                <w:szCs w:val="21"/>
                <w:lang w:bidi="ar"/>
              </w:rPr>
              <w:t xml:space="preserve">外观标准：蛋壳要求清洁、无破损、无裂纹、无污染，蛋壳表面光滑，颜色均匀；形状要求呈标准椭圆形。内部质量标准：蛋黄颜色鲜亮，质地均匀，无斑点、无异味；蛋白质地透明，无杂质，无异味。蛋品中不得检出沙门氏菌、金黄色葡萄球菌等致病菌；蛋品中的细菌总数、大肠菌群等微生物指标应符合《食品安全国家标准食品中41种兽药最大残留限量》要求。</w:t>
            </w:r>
            <w:r/>
          </w:p>
        </w:tc>
      </w:tr>
      <w:tr>
        <w:trPr>
          <w:trHeight w:val="20"/>
        </w:trPr>
        <w:tc>
          <w:tcPr>
            <w:tcW w:w="419" w:type="dxa"/>
            <w:vAlign w:val="center"/>
            <w:textDirection w:val="lrTb"/>
            <w:noWrap w:val="false"/>
          </w:tcPr>
          <w:p>
            <w:pPr>
              <w:jc w:val="center"/>
              <w:spacing w:line="360" w:lineRule="auto"/>
              <w:rPr>
                <w:rFonts w:ascii="宋体" w:hAnsi="宋体" w:cs="宋体"/>
                <w:szCs w:val="21"/>
                <w:lang w:bidi="ar"/>
              </w:rPr>
            </w:pPr>
            <w:r>
              <w:rPr>
                <w:rFonts w:hint="eastAsia" w:ascii="宋体" w:hAnsi="宋体" w:cs="宋体"/>
                <w:szCs w:val="21"/>
                <w:lang w:bidi="ar"/>
              </w:rPr>
              <w:t xml:space="preserve">5</w:t>
            </w:r>
            <w:r/>
          </w:p>
        </w:tc>
        <w:tc>
          <w:tcPr>
            <w:tcW w:w="679" w:type="dxa"/>
            <w:vAlign w:val="center"/>
            <w:textDirection w:val="lrTb"/>
            <w:noWrap w:val="false"/>
          </w:tcPr>
          <w:p>
            <w:pPr>
              <w:jc w:val="center"/>
              <w:spacing w:line="360" w:lineRule="auto"/>
              <w:rPr>
                <w:rFonts w:ascii="宋体" w:hAnsi="宋体" w:cs="宋体"/>
                <w:szCs w:val="21"/>
                <w:lang w:bidi="ar"/>
              </w:rPr>
            </w:pPr>
            <w:r>
              <w:rPr>
                <w:rFonts w:hint="eastAsia" w:ascii="宋体" w:hAnsi="宋体" w:cs="宋体"/>
                <w:szCs w:val="21"/>
                <w:lang w:bidi="ar"/>
              </w:rPr>
              <w:t xml:space="preserve"> 豆制品</w:t>
            </w:r>
            <w:r/>
          </w:p>
        </w:tc>
        <w:tc>
          <w:tcPr>
            <w:tcW w:w="7198" w:type="dxa"/>
            <w:textDirection w:val="lrTb"/>
            <w:noWrap w:val="false"/>
          </w:tcPr>
          <w:p>
            <w:pPr>
              <w:spacing w:line="360" w:lineRule="auto"/>
              <w:rPr>
                <w:rFonts w:ascii="宋体" w:hAnsi="宋体" w:cs="宋体"/>
                <w:szCs w:val="21"/>
                <w:lang w:bidi="ar"/>
              </w:rPr>
            </w:pPr>
            <w:r>
              <w:rPr>
                <w:rFonts w:hint="eastAsia" w:ascii="宋体" w:hAnsi="宋体" w:cs="宋体"/>
                <w:szCs w:val="21"/>
                <w:lang w:bidi="ar"/>
              </w:rPr>
              <w:t xml:space="preserve">按GB</w:t>
            </w:r>
            <w:r>
              <w:rPr>
                <w:rFonts w:ascii="宋体" w:hAnsi="宋体" w:cs="宋体"/>
                <w:szCs w:val="21"/>
                <w:lang w:bidi="ar"/>
              </w:rPr>
              <w:t xml:space="preserve"> </w:t>
            </w:r>
            <w:r>
              <w:rPr>
                <w:rFonts w:hint="eastAsia" w:ascii="宋体" w:hAnsi="宋体" w:cs="宋体"/>
                <w:szCs w:val="21"/>
                <w:lang w:bidi="ar"/>
              </w:rPr>
              <w:t xml:space="preserve">2712-2014《食品安全国家标准 豆制品》执行，食品中污染物限量按GB</w:t>
            </w:r>
            <w:r>
              <w:rPr>
                <w:rFonts w:ascii="宋体" w:hAnsi="宋体" w:cs="宋体"/>
                <w:szCs w:val="21"/>
                <w:lang w:bidi="ar"/>
              </w:rPr>
              <w:t xml:space="preserve"> </w:t>
            </w:r>
            <w:r>
              <w:rPr>
                <w:rFonts w:hint="eastAsia" w:ascii="宋体" w:hAnsi="宋体" w:cs="宋体"/>
                <w:szCs w:val="21"/>
                <w:lang w:bidi="ar"/>
              </w:rPr>
              <w:t xml:space="preserve">2762-20</w:t>
            </w:r>
            <w:r>
              <w:rPr>
                <w:rFonts w:ascii="宋体" w:hAnsi="宋体" w:cs="宋体"/>
                <w:szCs w:val="21"/>
                <w:lang w:bidi="ar"/>
              </w:rPr>
              <w:t xml:space="preserve">25</w:t>
            </w:r>
            <w:r>
              <w:rPr>
                <w:rFonts w:hint="eastAsia" w:ascii="宋体" w:hAnsi="宋体" w:cs="宋体"/>
                <w:szCs w:val="21"/>
                <w:lang w:bidi="ar"/>
              </w:rPr>
              <w:t xml:space="preserve">《食品安全国家标准 食品中污染物限量》执行。</w:t>
            </w:r>
            <w:r/>
          </w:p>
        </w:tc>
      </w:tr>
      <w:tr>
        <w:trPr>
          <w:trHeight w:val="20"/>
        </w:trPr>
        <w:tc>
          <w:tcPr>
            <w:tcW w:w="419" w:type="dxa"/>
            <w:vAlign w:val="center"/>
            <w:textDirection w:val="lrTb"/>
            <w:noWrap w:val="false"/>
          </w:tcPr>
          <w:p>
            <w:pPr>
              <w:jc w:val="center"/>
              <w:spacing w:line="360" w:lineRule="auto"/>
              <w:rPr>
                <w:rFonts w:ascii="宋体" w:hAnsi="宋体" w:cs="宋体"/>
                <w:szCs w:val="21"/>
                <w:lang w:bidi="ar"/>
              </w:rPr>
            </w:pPr>
            <w:r>
              <w:rPr>
                <w:rFonts w:hint="eastAsia" w:ascii="宋体" w:hAnsi="宋体" w:cs="宋体"/>
                <w:szCs w:val="21"/>
                <w:lang w:bidi="ar"/>
              </w:rPr>
              <w:t xml:space="preserve">6</w:t>
            </w:r>
            <w:r/>
          </w:p>
        </w:tc>
        <w:tc>
          <w:tcPr>
            <w:tcW w:w="679" w:type="dxa"/>
            <w:vAlign w:val="center"/>
            <w:textDirection w:val="lrTb"/>
            <w:noWrap w:val="false"/>
          </w:tcPr>
          <w:p>
            <w:pPr>
              <w:jc w:val="center"/>
              <w:spacing w:line="360" w:lineRule="auto"/>
              <w:rPr>
                <w:rFonts w:ascii="宋体" w:hAnsi="宋体" w:cs="宋体"/>
                <w:szCs w:val="21"/>
                <w:lang w:bidi="ar"/>
              </w:rPr>
            </w:pPr>
            <w:r>
              <w:rPr>
                <w:rFonts w:hint="eastAsia" w:ascii="宋体" w:hAnsi="宋体" w:cs="宋体"/>
                <w:szCs w:val="21"/>
                <w:lang w:bidi="ar"/>
              </w:rPr>
              <w:t xml:space="preserve">调味品</w:t>
            </w:r>
            <w:r/>
          </w:p>
        </w:tc>
        <w:tc>
          <w:tcPr>
            <w:tcW w:w="7198" w:type="dxa"/>
            <w:textDirection w:val="lrTb"/>
            <w:noWrap w:val="false"/>
          </w:tcPr>
          <w:p>
            <w:pPr>
              <w:spacing w:line="360" w:lineRule="auto"/>
              <w:rPr>
                <w:rFonts w:ascii="宋体" w:hAnsi="宋体" w:cs="宋体"/>
                <w:szCs w:val="21"/>
                <w:lang w:bidi="ar"/>
              </w:rPr>
            </w:pPr>
            <w:r>
              <w:rPr>
                <w:rFonts w:hint="eastAsia" w:ascii="宋体" w:hAnsi="宋体" w:cs="宋体"/>
                <w:szCs w:val="21"/>
                <w:lang w:bidi="ar"/>
              </w:rPr>
              <w:t xml:space="preserve">调味品中食品添加剂品种、使用范围和使用量应符合GB</w:t>
            </w:r>
            <w:r>
              <w:rPr>
                <w:rFonts w:ascii="宋体" w:hAnsi="宋体" w:cs="宋体"/>
                <w:szCs w:val="21"/>
                <w:lang w:bidi="ar"/>
              </w:rPr>
              <w:t xml:space="preserve"> </w:t>
            </w:r>
            <w:r>
              <w:rPr>
                <w:rFonts w:hint="eastAsia" w:ascii="宋体" w:hAnsi="宋体" w:cs="宋体"/>
                <w:szCs w:val="21"/>
                <w:lang w:bidi="ar"/>
              </w:rPr>
              <w:t xml:space="preserve">2760-2024《食品安全国家标准 食品添加剂使用标准》，调味品中各类污染物（如铅、镉、汞、砷等）的限量要求符合GB</w:t>
            </w:r>
            <w:r>
              <w:rPr>
                <w:rFonts w:ascii="宋体" w:hAnsi="宋体" w:cs="宋体"/>
                <w:szCs w:val="21"/>
                <w:lang w:bidi="ar"/>
              </w:rPr>
              <w:t xml:space="preserve"> </w:t>
            </w:r>
            <w:r>
              <w:rPr>
                <w:rFonts w:hint="eastAsia" w:ascii="宋体" w:hAnsi="宋体" w:cs="宋体"/>
                <w:szCs w:val="21"/>
                <w:lang w:bidi="ar"/>
              </w:rPr>
              <w:t xml:space="preserve">2762-2</w:t>
            </w:r>
            <w:r>
              <w:rPr>
                <w:rFonts w:ascii="宋体" w:hAnsi="宋体" w:cs="宋体"/>
                <w:szCs w:val="21"/>
                <w:lang w:bidi="ar"/>
              </w:rPr>
              <w:t xml:space="preserve">025</w:t>
            </w:r>
            <w:r>
              <w:rPr>
                <w:rFonts w:hint="eastAsia" w:ascii="宋体" w:hAnsi="宋体" w:cs="宋体"/>
                <w:szCs w:val="21"/>
                <w:lang w:bidi="ar"/>
              </w:rPr>
              <w:t xml:space="preserve">《食品安全国家标准 食品中污染物限量》，调味品中致病菌的限量须符合GB</w:t>
            </w:r>
            <w:r>
              <w:rPr>
                <w:rFonts w:ascii="宋体" w:hAnsi="宋体" w:cs="宋体"/>
                <w:szCs w:val="21"/>
                <w:lang w:bidi="ar"/>
              </w:rPr>
              <w:t xml:space="preserve"> </w:t>
            </w:r>
            <w:r>
              <w:rPr>
                <w:rFonts w:hint="eastAsia" w:ascii="宋体" w:hAnsi="宋体" w:cs="宋体"/>
                <w:szCs w:val="21"/>
                <w:lang w:bidi="ar"/>
              </w:rPr>
              <w:t xml:space="preserve">29921-2013《食品安全国家标准 食品中致病菌限量》。酱油需要符合GB</w:t>
            </w:r>
            <w:r>
              <w:rPr>
                <w:rFonts w:ascii="宋体" w:hAnsi="宋体" w:cs="宋体"/>
                <w:szCs w:val="21"/>
                <w:lang w:bidi="ar"/>
              </w:rPr>
              <w:t xml:space="preserve"> </w:t>
            </w:r>
            <w:r>
              <w:rPr>
                <w:rFonts w:hint="eastAsia" w:ascii="宋体" w:hAnsi="宋体" w:cs="宋体"/>
                <w:szCs w:val="21"/>
                <w:lang w:bidi="ar"/>
              </w:rPr>
              <w:t xml:space="preserve">2717-2018《食品安全国家标准 酱油》，食醋需要符合GB</w:t>
            </w:r>
            <w:r>
              <w:rPr>
                <w:rFonts w:ascii="宋体" w:hAnsi="宋体" w:cs="宋体"/>
                <w:szCs w:val="21"/>
                <w:lang w:bidi="ar"/>
              </w:rPr>
              <w:t xml:space="preserve"> </w:t>
            </w:r>
            <w:r>
              <w:rPr>
                <w:rFonts w:hint="eastAsia" w:ascii="宋体" w:hAnsi="宋体" w:cs="宋体"/>
                <w:szCs w:val="21"/>
                <w:lang w:bidi="ar"/>
              </w:rPr>
              <w:t xml:space="preserve">2719-2018《食品安全国家标准 食醋》，食用盐需要符合GB</w:t>
            </w:r>
            <w:r>
              <w:rPr>
                <w:rFonts w:ascii="宋体" w:hAnsi="宋体" w:cs="宋体"/>
                <w:szCs w:val="21"/>
                <w:lang w:bidi="ar"/>
              </w:rPr>
              <w:t xml:space="preserve"> </w:t>
            </w:r>
            <w:r>
              <w:rPr>
                <w:rFonts w:hint="eastAsia" w:ascii="宋体" w:hAnsi="宋体" w:cs="宋体"/>
                <w:szCs w:val="21"/>
                <w:lang w:bidi="ar"/>
              </w:rPr>
              <w:t xml:space="preserve">2721-2015《食品安全国家标准 食用盐》，味精需要符合GB2720-2015《食品安全国家标准 味精》。调味品标签上应标注产品名称、配料表、生产日期、保质期、储存条件、生产许可证编号、执行标准号、营养成分表等信息。</w:t>
            </w:r>
            <w:r/>
          </w:p>
        </w:tc>
      </w:tr>
      <w:tr>
        <w:trPr>
          <w:trHeight w:val="20"/>
        </w:trPr>
        <w:tc>
          <w:tcPr>
            <w:tcW w:w="419" w:type="dxa"/>
            <w:vAlign w:val="center"/>
            <w:textDirection w:val="lrTb"/>
            <w:noWrap w:val="false"/>
          </w:tcPr>
          <w:p>
            <w:pPr>
              <w:jc w:val="center"/>
              <w:spacing w:line="360" w:lineRule="auto"/>
              <w:rPr>
                <w:rFonts w:ascii="宋体" w:hAnsi="宋体" w:cs="宋体"/>
                <w:szCs w:val="21"/>
                <w:lang w:bidi="ar"/>
              </w:rPr>
            </w:pPr>
            <w:r>
              <w:rPr>
                <w:rFonts w:hint="eastAsia" w:ascii="宋体" w:hAnsi="宋体" w:cs="宋体"/>
                <w:szCs w:val="21"/>
                <w:lang w:bidi="ar"/>
              </w:rPr>
              <w:t xml:space="preserve">7</w:t>
            </w:r>
            <w:r/>
          </w:p>
        </w:tc>
        <w:tc>
          <w:tcPr>
            <w:tcW w:w="679" w:type="dxa"/>
            <w:vAlign w:val="center"/>
            <w:textDirection w:val="lrTb"/>
            <w:noWrap w:val="false"/>
          </w:tcPr>
          <w:p>
            <w:pPr>
              <w:jc w:val="center"/>
              <w:spacing w:line="360" w:lineRule="auto"/>
              <w:rPr>
                <w:rFonts w:ascii="宋体" w:hAnsi="宋体" w:cs="宋体"/>
                <w:szCs w:val="21"/>
                <w:lang w:bidi="ar"/>
              </w:rPr>
            </w:pPr>
            <w:r>
              <w:rPr>
                <w:rFonts w:hint="eastAsia" w:ascii="宋体" w:hAnsi="宋体" w:cs="宋体"/>
                <w:szCs w:val="21"/>
                <w:lang w:bidi="ar"/>
              </w:rPr>
              <w:t xml:space="preserve">食用油</w:t>
            </w:r>
            <w:r/>
          </w:p>
        </w:tc>
        <w:tc>
          <w:tcPr>
            <w:tcW w:w="7198" w:type="dxa"/>
            <w:textDirection w:val="lrTb"/>
            <w:noWrap w:val="false"/>
          </w:tcPr>
          <w:p>
            <w:pPr>
              <w:spacing w:line="360" w:lineRule="auto"/>
              <w:rPr>
                <w:rFonts w:ascii="宋体" w:hAnsi="宋体" w:cs="宋体"/>
                <w:szCs w:val="21"/>
                <w:lang w:bidi="ar"/>
              </w:rPr>
            </w:pPr>
            <w:r>
              <w:rPr>
                <w:rFonts w:hint="eastAsia" w:ascii="宋体" w:hAnsi="宋体" w:cs="宋体"/>
                <w:szCs w:val="21"/>
                <w:lang w:bidi="ar"/>
              </w:rPr>
              <w:t xml:space="preserve">采用非转基因原料，质量符合GB</w:t>
            </w:r>
            <w:r>
              <w:rPr>
                <w:rFonts w:ascii="宋体" w:hAnsi="宋体" w:cs="宋体"/>
                <w:szCs w:val="21"/>
                <w:lang w:bidi="ar"/>
              </w:rPr>
              <w:t xml:space="preserve"> </w:t>
            </w:r>
            <w:r>
              <w:rPr>
                <w:rFonts w:hint="eastAsia" w:ascii="宋体" w:hAnsi="宋体" w:cs="宋体"/>
                <w:szCs w:val="21"/>
                <w:lang w:bidi="ar"/>
              </w:rPr>
              <w:t xml:space="preserve">1536-2021《菜籽油》，卫生指标按GB</w:t>
            </w:r>
            <w:r>
              <w:rPr>
                <w:rFonts w:ascii="宋体" w:hAnsi="宋体" w:cs="宋体"/>
                <w:szCs w:val="21"/>
                <w:lang w:bidi="ar"/>
              </w:rPr>
              <w:t xml:space="preserve"> </w:t>
            </w:r>
            <w:r>
              <w:rPr>
                <w:rFonts w:hint="eastAsia" w:ascii="宋体" w:hAnsi="宋体" w:cs="宋体"/>
                <w:szCs w:val="21"/>
                <w:lang w:bidi="ar"/>
              </w:rPr>
              <w:t xml:space="preserve">2716</w:t>
            </w:r>
            <w:r>
              <w:rPr>
                <w:rFonts w:ascii="宋体" w:hAnsi="宋体" w:cs="宋体"/>
                <w:szCs w:val="21"/>
                <w:lang w:bidi="ar"/>
              </w:rPr>
              <w:t xml:space="preserve">-2018</w:t>
            </w:r>
            <w:r>
              <w:rPr>
                <w:rFonts w:hint="eastAsia" w:ascii="宋体" w:hAnsi="宋体" w:cs="宋体"/>
                <w:szCs w:val="21"/>
                <w:lang w:bidi="ar"/>
              </w:rPr>
              <w:t xml:space="preserve">《食品安全国家标准 植物油》,GB</w:t>
            </w:r>
            <w:r>
              <w:rPr>
                <w:rFonts w:ascii="宋体" w:hAnsi="宋体" w:cs="宋体"/>
                <w:szCs w:val="21"/>
                <w:lang w:bidi="ar"/>
              </w:rPr>
              <w:t xml:space="preserve"> </w:t>
            </w:r>
            <w:r>
              <w:rPr>
                <w:rFonts w:hint="eastAsia" w:ascii="宋体" w:hAnsi="宋体" w:cs="宋体"/>
                <w:szCs w:val="21"/>
                <w:lang w:bidi="ar"/>
              </w:rPr>
              <w:t xml:space="preserve">2760</w:t>
            </w:r>
            <w:r>
              <w:rPr>
                <w:rFonts w:ascii="宋体" w:hAnsi="宋体" w:cs="宋体"/>
                <w:szCs w:val="21"/>
                <w:lang w:bidi="ar"/>
              </w:rPr>
              <w:t xml:space="preserve">-2024</w:t>
            </w:r>
            <w:r>
              <w:rPr>
                <w:rFonts w:hint="eastAsia" w:ascii="宋体" w:hAnsi="宋体" w:cs="宋体"/>
                <w:szCs w:val="21"/>
                <w:lang w:bidi="ar"/>
              </w:rPr>
              <w:t xml:space="preserve">《食品安全国家标准 食品添加剂使用标准》和国家有关规定执行，质量等级均为一级。色泽透明清亮，透明度清晰，具有良好的流动性。包装符合国家的有关规定和要求，包装上应标明产品名称、配料表、生产日期、保质期、质量等级、净含量、生产许可证编号、执行标准号、储存条件、营养成分表、生产厂家信息、食用方法及警示语等。</w:t>
            </w:r>
            <w:r/>
          </w:p>
        </w:tc>
      </w:tr>
      <w:tr>
        <w:trPr>
          <w:trHeight w:val="20"/>
        </w:trPr>
        <w:tc>
          <w:tcPr>
            <w:tcW w:w="419" w:type="dxa"/>
            <w:vAlign w:val="center"/>
            <w:textDirection w:val="lrTb"/>
            <w:noWrap w:val="false"/>
          </w:tcPr>
          <w:p>
            <w:pPr>
              <w:jc w:val="center"/>
              <w:spacing w:line="360" w:lineRule="auto"/>
              <w:rPr>
                <w:rFonts w:ascii="宋体" w:hAnsi="宋体" w:cs="宋体"/>
                <w:szCs w:val="21"/>
                <w:lang w:bidi="ar"/>
              </w:rPr>
            </w:pPr>
            <w:r>
              <w:rPr>
                <w:rFonts w:hint="eastAsia" w:ascii="宋体" w:hAnsi="宋体" w:cs="宋体"/>
                <w:szCs w:val="21"/>
                <w:lang w:bidi="ar"/>
              </w:rPr>
              <w:t xml:space="preserve">8</w:t>
            </w:r>
            <w:r/>
          </w:p>
        </w:tc>
        <w:tc>
          <w:tcPr>
            <w:tcW w:w="679" w:type="dxa"/>
            <w:vAlign w:val="center"/>
            <w:textDirection w:val="lrTb"/>
            <w:noWrap w:val="false"/>
          </w:tcPr>
          <w:p>
            <w:pPr>
              <w:jc w:val="center"/>
              <w:spacing w:line="360" w:lineRule="auto"/>
              <w:rPr>
                <w:rFonts w:ascii="宋体" w:hAnsi="宋体" w:cs="宋体"/>
                <w:szCs w:val="21"/>
                <w:lang w:bidi="ar"/>
              </w:rPr>
            </w:pPr>
            <w:r>
              <w:rPr>
                <w:rFonts w:hint="eastAsia" w:ascii="宋体" w:hAnsi="宋体" w:cs="宋体"/>
                <w:szCs w:val="21"/>
                <w:lang w:bidi="ar"/>
              </w:rPr>
              <w:t xml:space="preserve">饭盒</w:t>
            </w:r>
            <w:r/>
          </w:p>
        </w:tc>
        <w:tc>
          <w:tcPr>
            <w:tcW w:w="7198" w:type="dxa"/>
            <w:textDirection w:val="lrTb"/>
            <w:noWrap w:val="false"/>
          </w:tcPr>
          <w:p>
            <w:pPr>
              <w:spacing w:line="360" w:lineRule="auto"/>
              <w:rPr>
                <w:rFonts w:ascii="宋体" w:hAnsi="宋体" w:cs="宋体"/>
                <w:szCs w:val="21"/>
                <w:lang w:bidi="ar"/>
              </w:rPr>
            </w:pPr>
            <w:r>
              <w:rPr>
                <w:rFonts w:hint="eastAsia" w:ascii="宋体" w:hAnsi="宋体" w:cs="宋体"/>
                <w:color w:val="000000" w:themeColor="text1"/>
                <w:szCs w:val="21"/>
              </w:rPr>
              <w:t xml:space="preserve">饭盒PP食品级材质，具有法定检测资质单位出具的合格检测报告，</w:t>
            </w:r>
            <w:r>
              <w:rPr>
                <w:rFonts w:hint="eastAsia" w:ascii="宋体" w:hAnsi="宋体" w:cs="宋体"/>
                <w:szCs w:val="21"/>
              </w:rPr>
              <w:t xml:space="preserve">供餐前提供检测报告原件供采购人审核。</w:t>
            </w:r>
            <w:r/>
          </w:p>
        </w:tc>
      </w:tr>
      <w:tr>
        <w:trPr>
          <w:trHeight w:val="20"/>
        </w:trPr>
        <w:tc>
          <w:tcPr>
            <w:gridSpan w:val="2"/>
            <w:tcW w:w="1098" w:type="dxa"/>
            <w:vAlign w:val="center"/>
            <w:textDirection w:val="lrTb"/>
            <w:noWrap w:val="false"/>
          </w:tcPr>
          <w:p>
            <w:pPr>
              <w:jc w:val="center"/>
              <w:spacing w:line="360" w:lineRule="auto"/>
              <w:rPr>
                <w:rFonts w:ascii="宋体" w:hAnsi="宋体" w:cs="宋体"/>
                <w:szCs w:val="21"/>
                <w:lang w:bidi="ar"/>
              </w:rPr>
            </w:pPr>
            <w:r>
              <w:rPr>
                <w:rFonts w:hint="eastAsia" w:ascii="宋体" w:hAnsi="宋体" w:cs="宋体"/>
                <w:szCs w:val="21"/>
                <w:lang w:bidi="ar"/>
              </w:rPr>
              <w:t xml:space="preserve">备注 </w:t>
            </w:r>
            <w:r/>
          </w:p>
        </w:tc>
        <w:tc>
          <w:tcPr>
            <w:tcW w:w="7198" w:type="dxa"/>
            <w:textDirection w:val="lrTb"/>
            <w:noWrap w:val="false"/>
          </w:tcPr>
          <w:p>
            <w:pPr>
              <w:spacing w:line="360" w:lineRule="auto"/>
              <w:rPr>
                <w:rFonts w:ascii="宋体" w:hAnsi="宋体" w:cs="宋体"/>
                <w:szCs w:val="21"/>
                <w:lang w:bidi="ar"/>
              </w:rPr>
            </w:pPr>
            <w:r>
              <w:rPr>
                <w:rFonts w:hint="eastAsia" w:ascii="宋体" w:hAnsi="宋体" w:cs="宋体"/>
                <w:szCs w:val="21"/>
                <w:lang w:bidi="ar"/>
              </w:rPr>
              <w:t xml:space="preserve">1.食材包括但不限于上述产品，所有未列产品均须符合相应国家标准，无国家标准的必须符合相关行业标准，如有国家最新标准按最新标准执行。</w:t>
            </w:r>
            <w:r/>
          </w:p>
          <w:p>
            <w:pPr>
              <w:spacing w:line="360" w:lineRule="auto"/>
              <w:rPr>
                <w:rFonts w:ascii="宋体" w:hAnsi="宋体" w:cs="宋体"/>
                <w:szCs w:val="21"/>
                <w:lang w:bidi="ar"/>
              </w:rPr>
            </w:pPr>
            <w:r/>
            <w:bookmarkStart w:id="196" w:name="_Hlk206313263"/>
            <w:r>
              <w:rPr>
                <w:rFonts w:hint="eastAsia" w:ascii="宋体" w:hAnsi="宋体" w:cs="宋体"/>
                <w:szCs w:val="21"/>
                <w:lang w:bidi="ar"/>
              </w:rPr>
              <w:t xml:space="preserve">2.配餐企业应当建立食品原料采购索证索票、进货查验和台账记录制度、每餐都必须留样，实现食材溯源。</w:t>
            </w:r>
            <w:bookmarkEnd w:id="196"/>
            <w:r/>
            <w:r/>
          </w:p>
          <w:p>
            <w:pPr>
              <w:spacing w:line="360" w:lineRule="auto"/>
              <w:rPr>
                <w:rFonts w:ascii="宋体" w:hAnsi="宋体" w:cs="宋体"/>
                <w:szCs w:val="21"/>
                <w:lang w:bidi="ar"/>
              </w:rPr>
            </w:pPr>
            <w:r>
              <w:rPr>
                <w:rFonts w:hint="eastAsia" w:ascii="宋体" w:hAnsi="宋体" w:cs="宋体"/>
                <w:szCs w:val="21"/>
                <w:lang w:bidi="ar"/>
              </w:rPr>
              <w:t xml:space="preserve">3.学校应当建立校外供餐单位评价和退出机制，对落实食品安全主体责任不到位、多次发生食品安全事故的校外供餐单位，要及时终止合同(或协议)，报告属地市场监管、教育等部门。</w:t>
            </w:r>
            <w:bookmarkEnd w:id="193"/>
            <w:r/>
            <w:r/>
          </w:p>
        </w:tc>
      </w:tr>
    </w:tbl>
    <w:p>
      <w:pPr>
        <w:ind w:firstLine="566"/>
        <w:spacing w:line="360" w:lineRule="auto"/>
        <w:rPr>
          <w:rFonts w:ascii="宋体" w:hAnsi="宋体"/>
          <w:sz w:val="24"/>
        </w:rPr>
      </w:pPr>
      <w:r>
        <w:rPr>
          <w:rFonts w:ascii="宋体" w:hAnsi="宋体"/>
          <w:sz w:val="24"/>
        </w:rPr>
      </w:r>
      <w:r/>
    </w:p>
    <w:p>
      <w:pPr>
        <w:ind w:firstLine="569"/>
        <w:spacing w:line="360" w:lineRule="auto"/>
        <w:rPr>
          <w:rFonts w:ascii="宋体" w:hAnsi="宋体"/>
          <w:b/>
          <w:bCs/>
          <w:sz w:val="24"/>
        </w:rPr>
      </w:pPr>
      <w:r>
        <w:rPr>
          <w:rFonts w:hint="eastAsia" w:ascii="宋体" w:hAnsi="宋体"/>
          <w:b/>
          <w:bCs/>
          <w:sz w:val="24"/>
        </w:rPr>
        <w:t xml:space="preserve">2.2 </w:t>
      </w:r>
      <w:r>
        <w:rPr>
          <w:rFonts w:ascii="宋体" w:hAnsi="宋体"/>
          <w:b/>
          <w:bCs/>
          <w:sz w:val="24"/>
        </w:rPr>
        <w:t xml:space="preserve">配餐标准</w:t>
      </w:r>
      <w:r>
        <w:rPr>
          <w:rFonts w:hint="eastAsia" w:ascii="宋体" w:hAnsi="宋体"/>
          <w:b/>
          <w:bCs/>
          <w:sz w:val="24"/>
        </w:rPr>
        <w:t xml:space="preserve"> </w:t>
      </w:r>
      <w:r/>
    </w:p>
    <w:p>
      <w:pPr>
        <w:ind w:firstLine="566"/>
        <w:spacing w:line="360" w:lineRule="auto"/>
        <w:rPr>
          <w:rFonts w:ascii="宋体" w:hAnsi="宋体"/>
          <w:b/>
          <w:bCs/>
          <w:color w:val="ee0000"/>
          <w:sz w:val="24"/>
        </w:rPr>
      </w:pPr>
      <w:r>
        <w:rPr>
          <w:rFonts w:hint="eastAsia" w:ascii="宋体" w:hAnsi="宋体"/>
          <w:sz w:val="24"/>
        </w:rPr>
        <w:t xml:space="preserve">所有食材采购数量、价格、品牌均须对采购人公开，按规定持有或提供授权委托书、合格证、检验检测报告等，并随时根据学校或教育、市场监管部门通知接受学校、学生家长及社会各界督查、检查、抽查。在保证质量、份量、品牌（所属行业中上游影响力）基础上，采购人对食材价格的认定以发改委发布的民生价格或滨海本地市场批发价为基准，支持中标供应商在合理范围内以较低价格采购控减成本。</w:t>
      </w:r>
      <w:r/>
    </w:p>
    <w:p>
      <w:pPr>
        <w:ind w:firstLine="569"/>
        <w:spacing w:line="360" w:lineRule="auto"/>
        <w:rPr>
          <w:rFonts w:ascii="宋体" w:hAnsi="宋体"/>
          <w:color w:val="ee0000"/>
          <w:sz w:val="24"/>
        </w:rPr>
      </w:pPr>
      <w:r/>
      <w:bookmarkStart w:id="197" w:name="_Hlk206325430"/>
      <w:r>
        <w:rPr>
          <w:rFonts w:hint="eastAsia" w:ascii="宋体" w:hAnsi="宋体"/>
          <w:b/>
          <w:bCs/>
          <w:color w:val="ee0000"/>
          <w:sz w:val="24"/>
        </w:rPr>
        <w:t xml:space="preserve">中标供应商须严格执行入口率不低于75%要求</w:t>
      </w:r>
      <w:bookmarkStart w:id="198" w:name="OLE_LINK9"/>
      <w:r>
        <w:rPr>
          <w:rFonts w:hint="eastAsia" w:ascii="宋体" w:hAnsi="宋体"/>
          <w:b/>
          <w:bCs/>
          <w:color w:val="ee0000"/>
          <w:sz w:val="24"/>
        </w:rPr>
        <w:t xml:space="preserve">（入口率只包含入口主食材及调味品费用，不包含餐品加工制作、采购储存、运输配送等费用）</w:t>
      </w:r>
      <w:bookmarkEnd w:id="198"/>
      <w:r>
        <w:rPr>
          <w:rFonts w:hint="eastAsia" w:ascii="宋体" w:hAnsi="宋体"/>
          <w:b/>
          <w:bCs/>
          <w:color w:val="ee0000"/>
          <w:sz w:val="24"/>
        </w:rPr>
        <w:t xml:space="preserve">，且该75%指学校所定餐标的75%，而不是指本次中标价的75%。举例：餐标</w:t>
      </w:r>
      <w:r>
        <w:rPr>
          <w:rFonts w:ascii="宋体" w:hAnsi="宋体"/>
          <w:b/>
          <w:bCs/>
          <w:color w:val="ee0000"/>
          <w:sz w:val="24"/>
        </w:rPr>
        <w:t xml:space="preserve">10</w:t>
      </w:r>
      <w:r>
        <w:rPr>
          <w:rFonts w:hint="eastAsia" w:ascii="宋体" w:hAnsi="宋体"/>
          <w:b/>
          <w:bCs/>
          <w:color w:val="ee0000"/>
          <w:sz w:val="24"/>
        </w:rPr>
        <w:t xml:space="preserve">元/餐,供应商中标价</w:t>
      </w:r>
      <w:r>
        <w:rPr>
          <w:rFonts w:ascii="宋体" w:hAnsi="宋体"/>
          <w:b/>
          <w:bCs/>
          <w:color w:val="ee0000"/>
          <w:sz w:val="24"/>
        </w:rPr>
        <w:t xml:space="preserve">9</w:t>
      </w:r>
      <w:r>
        <w:rPr>
          <w:rFonts w:hint="eastAsia" w:ascii="宋体" w:hAnsi="宋体"/>
          <w:b/>
          <w:bCs/>
          <w:color w:val="ee0000"/>
          <w:sz w:val="24"/>
        </w:rPr>
        <w:t xml:space="preserve">.85元，该75%入口率指</w:t>
      </w:r>
      <w:r>
        <w:rPr>
          <w:rFonts w:ascii="宋体" w:hAnsi="宋体"/>
          <w:b/>
          <w:bCs/>
          <w:color w:val="ee0000"/>
          <w:sz w:val="24"/>
        </w:rPr>
        <w:t xml:space="preserve">10</w:t>
      </w:r>
      <w:r>
        <w:rPr>
          <w:rFonts w:hint="eastAsia" w:ascii="宋体" w:hAnsi="宋体"/>
          <w:b/>
          <w:bCs/>
          <w:color w:val="ee0000"/>
          <w:sz w:val="24"/>
        </w:rPr>
        <w:t xml:space="preserve">元×75%，不是</w:t>
      </w:r>
      <w:r>
        <w:rPr>
          <w:rFonts w:ascii="宋体" w:hAnsi="宋体"/>
          <w:b/>
          <w:bCs/>
          <w:color w:val="ee0000"/>
          <w:sz w:val="24"/>
        </w:rPr>
        <w:t xml:space="preserve">9</w:t>
      </w:r>
      <w:r>
        <w:rPr>
          <w:rFonts w:hint="eastAsia" w:ascii="宋体" w:hAnsi="宋体"/>
          <w:b/>
          <w:bCs/>
          <w:color w:val="ee0000"/>
          <w:sz w:val="24"/>
        </w:rPr>
        <w:t xml:space="preserve">.85元×75%。</w:t>
      </w:r>
      <w:bookmarkEnd w:id="197"/>
      <w:r/>
      <w:r/>
    </w:p>
    <w:p>
      <w:pPr>
        <w:ind w:firstLine="566"/>
        <w:spacing w:line="360" w:lineRule="auto"/>
        <w:rPr>
          <w:rFonts w:ascii="宋体" w:hAnsi="宋体"/>
          <w:sz w:val="24"/>
        </w:rPr>
      </w:pPr>
      <w:r>
        <w:rPr>
          <w:rFonts w:hint="eastAsia" w:ascii="宋体" w:hAnsi="宋体"/>
          <w:sz w:val="24"/>
        </w:rPr>
        <w:t xml:space="preserve">2.2.1菜单设计</w:t>
      </w:r>
      <w:r/>
    </w:p>
    <w:p>
      <w:pPr>
        <w:ind w:firstLine="566"/>
        <w:spacing w:line="360" w:lineRule="auto"/>
        <w:rPr>
          <w:rFonts w:ascii="宋体" w:hAnsi="宋体"/>
          <w:sz w:val="24"/>
        </w:rPr>
      </w:pPr>
      <w:r/>
      <w:bookmarkStart w:id="199" w:name="_Hlk206313387"/>
      <w:r>
        <w:rPr>
          <w:rFonts w:hint="eastAsia" w:ascii="宋体" w:hAnsi="宋体"/>
          <w:sz w:val="24"/>
        </w:rPr>
        <w:t xml:space="preserve">（1）供餐企业应当配备有资质的营养师依据《中国居民膳食指南》及《学生餐营养指南》，设计包含蛋白质、脂肪酸、碳水化合物、维生素、矿物质等营养素的菜单。营养师负责指导制定每周学生食谱，并对热能、蛋白质、脂肪等营养素进行测算评价，或通过抽样检测学生营养素实际含量。</w:t>
      </w:r>
      <w:r/>
    </w:p>
    <w:p>
      <w:pPr>
        <w:ind w:firstLine="566"/>
        <w:spacing w:line="360" w:lineRule="auto"/>
        <w:rPr>
          <w:rFonts w:ascii="宋体" w:hAnsi="宋体"/>
          <w:sz w:val="24"/>
        </w:rPr>
      </w:pPr>
      <w:r>
        <w:rPr>
          <w:rFonts w:hint="eastAsia" w:ascii="宋体" w:hAnsi="宋体"/>
          <w:sz w:val="24"/>
        </w:rPr>
        <w:t xml:space="preserve">（2）膳食品种要全面多样，每周星期三前提供下一周带量带价菜（食）谱，供学校膳食监督家长委员会审定并公示，同时严格按食谱配送餐。膳食管理家长委员会组织学校管理人员、学生家长驻点轮值，全程予以监督。 </w:t>
      </w:r>
      <w:bookmarkEnd w:id="199"/>
      <w:r/>
      <w:r/>
    </w:p>
    <w:p>
      <w:pPr>
        <w:ind w:firstLine="566"/>
        <w:spacing w:line="360" w:lineRule="auto"/>
        <w:rPr>
          <w:rFonts w:ascii="宋体" w:hAnsi="宋体"/>
          <w:sz w:val="24"/>
        </w:rPr>
      </w:pPr>
      <w:r>
        <w:rPr>
          <w:rFonts w:hint="eastAsia" w:ascii="宋体" w:hAnsi="宋体"/>
          <w:sz w:val="24"/>
        </w:rPr>
        <w:t xml:space="preserve">（3）大荤菜（纯荤/净荤菜品）：以畜禽肉、水产、蛋类为核心主料，动物性食材为菜品主体，蔬菜、豆制品、调味料仅作点缀、调味使用，无大量素菜填充，荤食净含量达标，为学生主要动物性蛋白供给菜品。食材占比：畜禽肉、水产、蛋类等荤食食材占比≥90%，辅料不影响菜品主体属性；分量标准（校园带量供餐通用）：猪牛羊肉类单份生食净荤食材≥1</w:t>
      </w:r>
      <w:r>
        <w:rPr>
          <w:rFonts w:ascii="宋体" w:hAnsi="宋体"/>
          <w:sz w:val="24"/>
        </w:rPr>
        <w:t xml:space="preserve">0</w:t>
      </w:r>
      <w:r>
        <w:rPr>
          <w:rFonts w:hint="eastAsia" w:ascii="宋体" w:hAnsi="宋体"/>
          <w:sz w:val="24"/>
        </w:rPr>
        <w:t xml:space="preserve">0g，鸡肉、鸭肉、鱼虾等水产禽肉类单份净荤食材≥120g；菜品特征：以整块、成型荤食为主，无大量配菜稀释主料。</w:t>
      </w:r>
      <w:r/>
    </w:p>
    <w:p>
      <w:pPr>
        <w:ind w:firstLine="566"/>
        <w:spacing w:line="360" w:lineRule="auto"/>
        <w:rPr>
          <w:rFonts w:ascii="宋体" w:hAnsi="宋体"/>
          <w:sz w:val="24"/>
        </w:rPr>
      </w:pPr>
      <w:r>
        <w:rPr>
          <w:rFonts w:hint="eastAsia" w:ascii="宋体" w:hAnsi="宋体"/>
          <w:sz w:val="24"/>
        </w:rPr>
        <w:t xml:space="preserve">小荤菜（串荤/荤素搭配菜品）：荤素混搭菜品，以蔬菜、豆制品等素菜为主体，肉丝、肉片、肉沫、鸡蛋等荤食为辅助配料，主要用于调剂菜品口味、辅助补充微量蛋白，不作为主力荤食供给。食材占比：素菜占比＞50%，荤食食材占比20%—50%；菜品特征：荤食多为细碎肉沫、肉丝、蛋片，无大块成型荤肉，素菜为菜品主要构成部分。</w:t>
      </w:r>
      <w:r/>
    </w:p>
    <w:p>
      <w:pPr>
        <w:ind w:firstLine="566"/>
        <w:spacing w:line="360" w:lineRule="auto"/>
        <w:rPr>
          <w:rFonts w:ascii="宋体" w:hAnsi="宋体"/>
          <w:sz w:val="24"/>
        </w:rPr>
      </w:pPr>
      <w:r>
        <w:rPr>
          <w:rFonts w:hint="eastAsia" w:ascii="宋体" w:hAnsi="宋体"/>
          <w:sz w:val="24"/>
        </w:rPr>
        <w:t xml:space="preserve">素菜（纯素菜品）：菜品全程无畜禽肉、水产、蛋类等任何动物性食材，仅以蔬菜、豆制品、根茎类食材制作，无荤油、荤料添加。</w:t>
      </w:r>
      <w:r/>
    </w:p>
    <w:p>
      <w:pPr>
        <w:ind w:firstLine="566"/>
        <w:spacing w:line="360" w:lineRule="auto"/>
        <w:rPr>
          <w:rFonts w:ascii="宋体" w:hAnsi="宋体"/>
          <w:sz w:val="24"/>
        </w:rPr>
      </w:pPr>
      <w:r>
        <w:rPr>
          <w:rFonts w:hint="eastAsia" w:ascii="宋体" w:hAnsi="宋体"/>
          <w:sz w:val="24"/>
        </w:rPr>
        <w:t xml:space="preserve">2.2.2配餐标准 </w:t>
      </w:r>
      <w:r/>
    </w:p>
    <w:p>
      <w:pPr>
        <w:ind w:firstLine="566"/>
        <w:spacing w:line="360" w:lineRule="auto"/>
        <w:rPr>
          <w:rFonts w:ascii="宋体" w:hAnsi="宋体"/>
          <w:color w:val="ee0000"/>
          <w:sz w:val="24"/>
        </w:rPr>
      </w:pPr>
      <w:r/>
      <w:bookmarkStart w:id="200" w:name="_Hlk206313357"/>
      <w:r>
        <w:rPr>
          <w:rFonts w:hint="eastAsia" w:ascii="宋体" w:hAnsi="宋体"/>
          <w:sz w:val="24"/>
        </w:rPr>
        <w:t xml:space="preserve">(1)入口率：不得低于75%</w:t>
      </w:r>
      <w:r>
        <w:rPr>
          <w:rFonts w:hint="eastAsia" w:ascii="宋体" w:hAnsi="宋体"/>
          <w:b/>
          <w:bCs/>
          <w:sz w:val="24"/>
        </w:rPr>
        <w:t xml:space="preserve">（</w:t>
      </w:r>
      <w:r>
        <w:rPr>
          <w:rFonts w:hint="eastAsia" w:ascii="宋体" w:hAnsi="宋体"/>
          <w:b/>
          <w:bCs/>
          <w:color w:val="ee0000"/>
          <w:sz w:val="24"/>
        </w:rPr>
        <w:t xml:space="preserve">入口率只包含入口主食材及调味品费用，不包含餐品加工制作、采购储存、运输配送等费用</w:t>
      </w:r>
      <w:r>
        <w:rPr>
          <w:rFonts w:hint="eastAsia" w:ascii="宋体" w:hAnsi="宋体"/>
          <w:b/>
          <w:bCs/>
          <w:sz w:val="24"/>
        </w:rPr>
        <w:t xml:space="preserve">）</w:t>
      </w:r>
      <w:r>
        <w:rPr>
          <w:rFonts w:hint="eastAsia" w:ascii="宋体" w:hAnsi="宋体"/>
          <w:b/>
          <w:bCs/>
          <w:color w:val="ee0000"/>
          <w:sz w:val="24"/>
        </w:rPr>
        <w:t xml:space="preserve">，经报价折算后，投标人折算入口率低于75%的，评标委员会应当启动异常低价审查程序。</w:t>
      </w:r>
      <w:r/>
    </w:p>
    <w:p>
      <w:pPr>
        <w:ind w:firstLine="566"/>
        <w:spacing w:line="360" w:lineRule="auto"/>
        <w:rPr>
          <w:rFonts w:ascii="宋体" w:hAnsi="宋体"/>
          <w:sz w:val="24"/>
        </w:rPr>
      </w:pPr>
      <w:r>
        <w:rPr>
          <w:rFonts w:hint="eastAsia" w:ascii="宋体" w:hAnsi="宋体"/>
          <w:sz w:val="24"/>
        </w:rPr>
        <w:t xml:space="preserve">(2)</w:t>
      </w:r>
      <w:r>
        <w:rPr>
          <w:rFonts w:hint="eastAsia"/>
        </w:rPr>
        <w:t xml:space="preserve"> </w:t>
      </w:r>
      <w:r>
        <w:rPr>
          <w:rFonts w:hint="eastAsia" w:ascii="宋体" w:hAnsi="宋体"/>
          <w:sz w:val="24"/>
        </w:rPr>
        <w:t xml:space="preserve">汤、饭均须不限量添加（免费添加的饭桶、汤桶须张贴“免费添加”标识）。</w:t>
      </w:r>
      <w:r/>
    </w:p>
    <w:p>
      <w:pPr>
        <w:ind w:firstLine="566"/>
        <w:spacing w:line="360" w:lineRule="auto"/>
        <w:rPr>
          <w:rFonts w:ascii="宋体" w:hAnsi="宋体"/>
          <w:sz w:val="24"/>
        </w:rPr>
      </w:pPr>
      <w:r>
        <w:rPr>
          <w:rFonts w:ascii="宋体" w:hAnsi="宋体"/>
          <w:sz w:val="24"/>
        </w:rPr>
        <w:t xml:space="preserve">(</w:t>
      </w:r>
      <w:r>
        <w:rPr>
          <w:rFonts w:hint="eastAsia" w:ascii="宋体" w:hAnsi="宋体"/>
          <w:sz w:val="24"/>
        </w:rPr>
        <w:t xml:space="preserve">3)重大节假日期间，免费增加体现中华民族传统饮食文化的饮食项目。</w:t>
      </w:r>
      <w:bookmarkEnd w:id="200"/>
      <w:r/>
      <w:r/>
    </w:p>
    <w:p>
      <w:pPr>
        <w:ind w:firstLine="569"/>
        <w:spacing w:line="360" w:lineRule="auto"/>
        <w:rPr>
          <w:rFonts w:ascii="宋体" w:hAnsi="宋体"/>
          <w:b/>
          <w:sz w:val="24"/>
        </w:rPr>
      </w:pPr>
      <w:r>
        <w:rPr>
          <w:rFonts w:hint="eastAsia" w:ascii="宋体" w:hAnsi="宋体"/>
          <w:b/>
          <w:color w:val="ee0000"/>
          <w:sz w:val="24"/>
        </w:rPr>
        <w:t xml:space="preserve"> </w:t>
      </w:r>
      <w:r>
        <w:rPr>
          <w:rFonts w:hint="eastAsia" w:ascii="宋体" w:hAnsi="宋体"/>
          <w:b/>
          <w:sz w:val="24"/>
        </w:rPr>
        <w:t xml:space="preserve">2.3加工</w:t>
      </w:r>
      <w:r/>
    </w:p>
    <w:p>
      <w:pPr>
        <w:ind w:firstLine="566"/>
        <w:spacing w:line="360" w:lineRule="auto"/>
        <w:rPr>
          <w:rFonts w:ascii="宋体" w:hAnsi="宋体"/>
          <w:sz w:val="24"/>
        </w:rPr>
      </w:pPr>
      <w:r/>
      <w:bookmarkStart w:id="201" w:name="_Hlk206315043"/>
      <w:r>
        <w:rPr>
          <w:rFonts w:hint="eastAsia" w:ascii="宋体" w:hAnsi="宋体"/>
          <w:sz w:val="24"/>
        </w:rPr>
        <w:t xml:space="preserve">供餐企业应当设置与生产流程及生产品种、数量相适应的加工场所以及原料贮存、装箱、成品储存、配送用具清洗消毒保洁以及更衣室、检验室和检验设备等。严把环境卫生关、餐饮具消毒关、清洗、制作、烹饪关，坚决杜绝食物中毒事件发生，接受学校、学生家长及社会各界的督查、检查、抽查。一旦发生食品安全事故或其他食源性疾病等突发卫生事件，应承担全部经济责任和法律责任，并应及时向采购人、市场监督部门和卫健部门汇报。</w:t>
      </w:r>
      <w:r/>
    </w:p>
    <w:p>
      <w:pPr>
        <w:ind w:firstLine="566"/>
        <w:spacing w:line="360" w:lineRule="auto"/>
        <w:rPr>
          <w:rFonts w:ascii="宋体" w:hAnsi="宋体"/>
          <w:sz w:val="24"/>
        </w:rPr>
      </w:pPr>
      <w:r>
        <w:rPr>
          <w:rFonts w:hint="eastAsia" w:ascii="宋体" w:hAnsi="宋体"/>
          <w:sz w:val="24"/>
        </w:rPr>
        <w:t xml:space="preserve">1.食品应使用密闭容器盛放。</w:t>
      </w:r>
      <w:r/>
    </w:p>
    <w:p>
      <w:pPr>
        <w:ind w:firstLine="566"/>
        <w:spacing w:line="360" w:lineRule="auto"/>
        <w:rPr>
          <w:rFonts w:ascii="宋体" w:hAnsi="宋体"/>
          <w:sz w:val="24"/>
        </w:rPr>
      </w:pPr>
      <w:r>
        <w:rPr>
          <w:rFonts w:hint="eastAsia" w:ascii="宋体" w:hAnsi="宋体"/>
          <w:sz w:val="24"/>
        </w:rPr>
        <w:t xml:space="preserve">2.供餐企业应当在容器上标注食用时限和食用方法。不得加工隔餐的剩余食品，不得将收回后的食品经加工后再次配送。需要熟制加工的食品应烧熟烧透。食品变质变味或有其他不符合食品安全标准情形的，必须全部收回并销毁。</w:t>
      </w:r>
      <w:r/>
    </w:p>
    <w:p>
      <w:pPr>
        <w:ind w:firstLine="566"/>
        <w:spacing w:line="360" w:lineRule="auto"/>
        <w:rPr>
          <w:rFonts w:ascii="宋体" w:hAnsi="宋体"/>
          <w:sz w:val="24"/>
        </w:rPr>
      </w:pPr>
      <w:r>
        <w:rPr>
          <w:rFonts w:hint="eastAsia" w:ascii="宋体" w:hAnsi="宋体"/>
          <w:sz w:val="24"/>
        </w:rPr>
        <w:t xml:space="preserve">3.供餐企业用于盛装膳食的容器应当清洁、无毒且符合国家相关安全标准的规定，在高温、微波加热等特定贮存和使用条件下不影响食品安全。重复使用的餐盒和容器在使用前应彻底清洗并消毒(因材质、大小等原因无法采用热力方式的，应采用其他符合规定的方式)。</w:t>
      </w:r>
      <w:r/>
    </w:p>
    <w:p>
      <w:pPr>
        <w:ind w:firstLine="566"/>
        <w:spacing w:line="360" w:lineRule="auto"/>
        <w:rPr>
          <w:rFonts w:ascii="宋体" w:hAnsi="宋体"/>
          <w:sz w:val="24"/>
        </w:rPr>
      </w:pPr>
      <w:r>
        <w:rPr>
          <w:rFonts w:hint="eastAsia" w:ascii="宋体" w:hAnsi="宋体"/>
          <w:sz w:val="24"/>
        </w:rPr>
        <w:t xml:space="preserve">4.</w:t>
      </w:r>
      <w:bookmarkStart w:id="202" w:name="_Hlk206313806"/>
      <w:r>
        <w:rPr>
          <w:rFonts w:hint="eastAsia" w:ascii="宋体" w:hAnsi="宋体"/>
          <w:sz w:val="24"/>
        </w:rPr>
        <w:t xml:space="preserve">建立食品加工全过程实时视频监控系统且配备的监控系统视频保存不少于30天（监管平台要求超过30天的，以平台要求时间为准）。</w:t>
      </w:r>
      <w:bookmarkEnd w:id="202"/>
      <w:r/>
      <w:r/>
    </w:p>
    <w:p>
      <w:pPr>
        <w:ind w:firstLine="566"/>
        <w:spacing w:line="360" w:lineRule="auto"/>
        <w:rPr>
          <w:rFonts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开展食品安全自查，食品安全自查率和自查报告率达到100％。注册并使用江苏省食品经营安全智慧监管系统开展知识培训和监督抽考，食品安全管理人员监督抽考率和监督抽考合格率达到100％。</w:t>
      </w:r>
      <w:r/>
    </w:p>
    <w:p>
      <w:pPr>
        <w:ind w:firstLine="566"/>
        <w:spacing w:line="360" w:lineRule="auto"/>
        <w:rPr>
          <w:rFonts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供应商须严格落实防鼠、防蝇、防尘管理，接受采购人、市场监管部门的检查。因三防落实不到位的，采购人有权暂停支付当月餐费。</w:t>
      </w:r>
      <w:r/>
    </w:p>
    <w:p>
      <w:pPr>
        <w:ind w:firstLine="566"/>
        <w:spacing w:line="360" w:lineRule="auto"/>
        <w:rPr>
          <w:rFonts w:ascii="宋体" w:hAnsi="宋体"/>
          <w:b/>
          <w:bCs/>
          <w:color w:val="ee0000"/>
          <w:sz w:val="24"/>
        </w:rPr>
      </w:pPr>
      <w:r>
        <w:rPr>
          <w:rFonts w:ascii="宋体" w:hAnsi="宋体"/>
          <w:b/>
          <w:bCs/>
          <w:color w:val="ee0000"/>
          <w:sz w:val="24"/>
        </w:rPr>
        <w:t xml:space="preserve">7</w:t>
      </w:r>
      <w:r>
        <w:rPr>
          <w:rFonts w:hint="eastAsia" w:ascii="宋体" w:hAnsi="宋体"/>
          <w:b/>
          <w:bCs/>
          <w:color w:val="ee0000"/>
          <w:sz w:val="24"/>
        </w:rPr>
        <w:t xml:space="preserve">.</w:t>
      </w:r>
      <w:bookmarkStart w:id="203" w:name="_Hlk206313568"/>
      <w:r>
        <w:rPr>
          <w:rFonts w:hint="eastAsia" w:ascii="宋体" w:hAnsi="宋体"/>
          <w:b/>
          <w:bCs/>
          <w:color w:val="ee0000"/>
          <w:sz w:val="24"/>
        </w:rPr>
        <w:t xml:space="preserve">投标文件中须提供与经营许可证注册地址一致的场地使用证明。自有房屋提供房产证，租赁房屋提供租赁合同、房租发票或房租费转账材料。不得变更供餐地址，发现一次直接终止合同。</w:t>
      </w:r>
      <w:bookmarkEnd w:id="201"/>
      <w:r/>
      <w:bookmarkEnd w:id="203"/>
      <w:r/>
      <w:r/>
    </w:p>
    <w:p>
      <w:pPr>
        <w:ind w:firstLine="569"/>
        <w:spacing w:line="360" w:lineRule="auto"/>
        <w:rPr>
          <w:rFonts w:ascii="宋体" w:hAnsi="宋体"/>
          <w:b/>
          <w:bCs/>
          <w:sz w:val="24"/>
        </w:rPr>
      </w:pPr>
      <w:r>
        <w:rPr>
          <w:rFonts w:hint="eastAsia" w:ascii="宋体" w:hAnsi="宋体"/>
          <w:b/>
          <w:bCs/>
          <w:sz w:val="24"/>
        </w:rPr>
        <w:t xml:space="preserve">2.4运输</w:t>
      </w:r>
      <w:r/>
    </w:p>
    <w:p>
      <w:pPr>
        <w:ind w:firstLine="566"/>
        <w:spacing w:line="360" w:lineRule="auto"/>
        <w:rPr>
          <w:rFonts w:ascii="宋体" w:hAnsi="宋体"/>
          <w:sz w:val="24"/>
        </w:rPr>
      </w:pPr>
      <w:r>
        <w:rPr>
          <w:rFonts w:hint="eastAsia" w:ascii="宋体" w:hAnsi="宋体"/>
          <w:sz w:val="24"/>
        </w:rPr>
        <w:t xml:space="preserve">1.供餐企业必须按质、按量、及时向供餐学校配餐，使用卫生、密闭的专</w:t>
      </w:r>
      <w:r>
        <w:rPr>
          <w:rFonts w:hint="eastAsia" w:ascii="宋体" w:hAnsi="宋体"/>
          <w:sz w:val="24"/>
        </w:rPr>
        <w:t xml:space="preserve">用车辆（配指纹锁）按采购人具体作息要求将学生餐送达供餐学校用餐地点，送达时间误差不允许超过20分钟，留样量不少于125g，留样48小时备查。如用餐时间有变化(供餐学校提前1个工作日以电话或传真的形式通知供餐企业)，供餐企业根据作息时间做相应调整，并配备符合卫生安全标准的保温箱运载餐食且采购人不承担任何费用。</w:t>
      </w:r>
      <w:r/>
    </w:p>
    <w:p>
      <w:pPr>
        <w:ind w:firstLine="566"/>
        <w:spacing w:line="360" w:lineRule="auto"/>
        <w:rPr>
          <w:rFonts w:ascii="宋体" w:hAnsi="宋体"/>
          <w:sz w:val="24"/>
        </w:rPr>
      </w:pPr>
      <w:r>
        <w:rPr>
          <w:rFonts w:hint="eastAsia" w:ascii="宋体" w:hAnsi="宋体"/>
          <w:sz w:val="24"/>
        </w:rPr>
        <w:t xml:space="preserve">2.供餐企业应当配备至少1</w:t>
      </w:r>
      <w:r>
        <w:rPr>
          <w:rFonts w:ascii="宋体" w:hAnsi="宋体"/>
          <w:sz w:val="24"/>
        </w:rPr>
        <w:t xml:space="preserve">0</w:t>
      </w:r>
      <w:r>
        <w:rPr>
          <w:rFonts w:hint="eastAsia" w:ascii="宋体" w:hAnsi="宋体"/>
          <w:sz w:val="24"/>
        </w:rPr>
        <w:t xml:space="preserve">辆与供应方式相适应的封闭式专用运输车辆（配指纹锁），运输车辆应保持清洁，每次运输膳食前应进行清洗消毒，防止食品在运输过程中受到污染。运输过程中，应全程使用密码锁，具体用法，以采购人要求为准。</w:t>
      </w:r>
      <w:r/>
    </w:p>
    <w:p>
      <w:pPr>
        <w:ind w:firstLine="566"/>
        <w:spacing w:line="360" w:lineRule="auto"/>
        <w:rPr>
          <w:rFonts w:ascii="宋体" w:hAnsi="宋体"/>
          <w:sz w:val="24"/>
        </w:rPr>
      </w:pPr>
      <w:r>
        <w:rPr>
          <w:rFonts w:hint="eastAsia" w:ascii="宋体" w:hAnsi="宋体"/>
          <w:sz w:val="24"/>
        </w:rPr>
        <w:t xml:space="preserve">3.运输集体用餐的车辆应配备符合条件的加热保温设备、温度记录、车辆定位、车内监控等装置，运输过程</w:t>
      </w:r>
      <w:r>
        <w:rPr>
          <w:rFonts w:hint="eastAsia" w:asciiTheme="minorEastAsia" w:hAnsiTheme="minorEastAsia"/>
          <w:sz w:val="24"/>
        </w:rPr>
        <w:t xml:space="preserve">及学生就餐前的</w:t>
      </w:r>
      <w:r>
        <w:rPr>
          <w:rFonts w:hint="eastAsia" w:ascii="宋体" w:hAnsi="宋体"/>
          <w:sz w:val="24"/>
        </w:rPr>
        <w:t xml:space="preserve">食品的中心温度应当保持在60℃以上。</w:t>
      </w:r>
      <w:r/>
    </w:p>
    <w:p>
      <w:pPr>
        <w:ind w:firstLine="566"/>
        <w:spacing w:line="360" w:lineRule="auto"/>
        <w:rPr>
          <w:rFonts w:ascii="宋体" w:hAnsi="宋体"/>
          <w:sz w:val="24"/>
        </w:rPr>
      </w:pPr>
      <w:r>
        <w:rPr>
          <w:rFonts w:hint="eastAsia" w:ascii="宋体" w:hAnsi="宋体"/>
          <w:sz w:val="24"/>
        </w:rPr>
        <w:t xml:space="preserve">4.配餐企业须保证食材煮熟后装入餐盒到学生入口不超过2小时（含装盒、运输时间、道路拥堵时间等），装盒时间不得超过40分钟，其中运输路途时间以百度导航用时为准。投标文件中明确装盒时间以及运输所需时间的百度导航截图。（投标文件中须提供配餐企业到各配送学校的百度导航截图）</w:t>
      </w:r>
      <w:r/>
    </w:p>
    <w:p>
      <w:pPr>
        <w:ind w:firstLine="566"/>
        <w:spacing w:line="360" w:lineRule="auto"/>
        <w:rPr>
          <w:rFonts w:ascii="宋体" w:hAnsi="宋体"/>
          <w:sz w:val="24"/>
        </w:rPr>
      </w:pPr>
      <w:r>
        <w:rPr>
          <w:rFonts w:hint="eastAsia" w:ascii="宋体" w:hAnsi="宋体"/>
          <w:sz w:val="24"/>
        </w:rPr>
        <w:t xml:space="preserve">5.运餐车辆</w:t>
      </w:r>
      <w:r>
        <w:rPr>
          <w:rFonts w:hint="eastAsia" w:asciiTheme="minorEastAsia" w:hAnsiTheme="minorEastAsia"/>
          <w:sz w:val="24"/>
        </w:rPr>
        <w:t xml:space="preserve">进入学校的时段由各学校具体安排</w:t>
      </w:r>
      <w:r>
        <w:rPr>
          <w:rFonts w:hint="eastAsia" w:ascii="宋体" w:hAnsi="宋体"/>
          <w:sz w:val="24"/>
        </w:rPr>
        <w:t xml:space="preserve">，按学校规定路线行驶，不超过5公里/小时。</w:t>
      </w:r>
      <w:r/>
    </w:p>
    <w:p>
      <w:pPr>
        <w:ind w:firstLine="569"/>
        <w:spacing w:line="360" w:lineRule="auto"/>
        <w:rPr>
          <w:rFonts w:ascii="宋体" w:hAnsi="宋体"/>
          <w:b/>
          <w:bCs/>
          <w:sz w:val="24"/>
        </w:rPr>
      </w:pPr>
      <w:r>
        <w:rPr>
          <w:rFonts w:hint="eastAsia" w:ascii="宋体" w:hAnsi="宋体"/>
          <w:b/>
          <w:bCs/>
          <w:sz w:val="24"/>
        </w:rPr>
        <w:t xml:space="preserve">2.5验收</w:t>
      </w:r>
      <w:r/>
    </w:p>
    <w:p>
      <w:pPr>
        <w:ind w:firstLine="566"/>
        <w:spacing w:line="360" w:lineRule="auto"/>
        <w:rPr>
          <w:rFonts w:ascii="宋体" w:hAnsi="宋体"/>
          <w:sz w:val="24"/>
        </w:rPr>
      </w:pPr>
      <w:r/>
      <w:bookmarkStart w:id="204" w:name="_Hlk206314192"/>
      <w:r>
        <w:rPr>
          <w:rFonts w:hint="eastAsia" w:ascii="宋体" w:hAnsi="宋体"/>
          <w:sz w:val="24"/>
        </w:rPr>
        <w:t xml:space="preserve">1.供餐企业将膳食按采购学校要求送至指定地点、</w:t>
      </w:r>
      <w:r>
        <w:rPr>
          <w:rFonts w:hint="eastAsia" w:asciiTheme="minorEastAsia" w:hAnsiTheme="minorEastAsia"/>
          <w:sz w:val="24"/>
        </w:rPr>
        <w:t xml:space="preserve">楼层并组织分发</w:t>
      </w:r>
      <w:r>
        <w:rPr>
          <w:rFonts w:hint="eastAsia" w:ascii="宋体" w:hAnsi="宋体"/>
          <w:sz w:val="24"/>
        </w:rPr>
        <w:t xml:space="preserve">，学校安排专人负责配餐食品的查验，供餐企业每次配送膳食需提供一式两份的膳食配送单，学校验收后由双方人员签字确认，作为送餐凭证双方各留一份。送餐凭证仅作为供货方交货的依据，并不作为对供货方所供食品的安全和质量方面的确认，对不符合质量的配餐，学校有权退货或要求供货方更换，供货方及时采取补救措施启动应急预案。</w:t>
      </w:r>
      <w:r/>
    </w:p>
    <w:p>
      <w:pPr>
        <w:ind w:firstLine="566"/>
        <w:spacing w:line="360" w:lineRule="auto"/>
        <w:rPr>
          <w:rFonts w:ascii="宋体" w:hAnsi="宋体"/>
          <w:sz w:val="24"/>
        </w:rPr>
      </w:pPr>
      <w:r>
        <w:rPr>
          <w:rFonts w:hint="eastAsia" w:ascii="宋体" w:hAnsi="宋体"/>
          <w:sz w:val="24"/>
        </w:rPr>
        <w:t xml:space="preserve">2.学校验收人员对配送的膳食进行感官验收，发现有污损、异味、杂质、温度不符合规定要求的，有权退货或要求供餐企业换货。对配餐食品按规定量留样48小时以上，做好各项记录。</w:t>
      </w:r>
      <w:r/>
    </w:p>
    <w:p>
      <w:pPr>
        <w:ind w:firstLine="566"/>
        <w:spacing w:line="360" w:lineRule="auto"/>
        <w:rPr>
          <w:rFonts w:ascii="宋体" w:hAnsi="宋体"/>
          <w:sz w:val="24"/>
        </w:rPr>
      </w:pPr>
      <w:r>
        <w:rPr>
          <w:rFonts w:hint="eastAsia" w:ascii="宋体" w:hAnsi="宋体"/>
          <w:sz w:val="24"/>
        </w:rPr>
        <w:t xml:space="preserve">3.学校落实集中用餐陪餐制度，每餐均应当有相关负责人（或学生家长）与学生共同用餐，做好陪餐记录，及时反馈和解决陪餐过程中发现的问题。</w:t>
      </w:r>
      <w:r/>
    </w:p>
    <w:p>
      <w:pPr>
        <w:ind w:firstLine="566"/>
        <w:spacing w:line="360" w:lineRule="auto"/>
        <w:rPr>
          <w:rFonts w:ascii="宋体" w:hAnsi="宋体"/>
          <w:sz w:val="24"/>
        </w:rPr>
      </w:pPr>
      <w:r>
        <w:rPr>
          <w:rFonts w:hint="eastAsia" w:ascii="宋体" w:hAnsi="宋体"/>
          <w:sz w:val="24"/>
        </w:rPr>
        <w:t xml:space="preserve">4.膳食管理家长委员会组织学校管理人员、学生家长对入口率进行称重。不符合规定要求的，视为</w:t>
      </w:r>
      <w:r>
        <w:rPr>
          <w:rFonts w:hint="eastAsia" w:asciiTheme="minorEastAsia" w:hAnsiTheme="minorEastAsia"/>
          <w:sz w:val="24"/>
        </w:rPr>
        <w:t xml:space="preserve">中标</w:t>
      </w:r>
      <w:r>
        <w:rPr>
          <w:rFonts w:hint="eastAsia" w:ascii="宋体" w:hAnsi="宋体"/>
          <w:sz w:val="24"/>
        </w:rPr>
        <w:t xml:space="preserve">供应商违约，</w:t>
      </w:r>
      <w:r>
        <w:rPr>
          <w:rFonts w:hint="eastAsia" w:asciiTheme="minorEastAsia" w:hAnsiTheme="minorEastAsia"/>
          <w:sz w:val="24"/>
        </w:rPr>
        <w:t xml:space="preserve">中标</w:t>
      </w:r>
      <w:r>
        <w:rPr>
          <w:rFonts w:hint="eastAsia" w:ascii="宋体" w:hAnsi="宋体"/>
          <w:sz w:val="24"/>
        </w:rPr>
        <w:t xml:space="preserve">供应商须承担一切违约责任。</w:t>
      </w:r>
      <w:r/>
    </w:p>
    <w:p>
      <w:pPr>
        <w:ind w:firstLine="566"/>
        <w:spacing w:line="360" w:lineRule="auto"/>
        <w:rPr>
          <w:rFonts w:ascii="宋体" w:hAnsi="宋体"/>
          <w:sz w:val="24"/>
        </w:rPr>
      </w:pPr>
      <w:r/>
      <w:bookmarkStart w:id="205" w:name="_Hlk206335302"/>
      <w:r>
        <w:rPr>
          <w:rFonts w:hint="eastAsia" w:ascii="宋体" w:hAnsi="宋体"/>
          <w:sz w:val="24"/>
        </w:rPr>
        <w:t xml:space="preserve">5.供应商配送的餐品存在质量或安全问题而需要进行鉴定的，供应商在收到采购人的鉴定要求时，立即与采购人协商委托有资质的鉴定机构进行鉴定，鉴定费用由供应商承担。</w:t>
      </w:r>
      <w:bookmarkEnd w:id="204"/>
      <w:r/>
      <w:bookmarkEnd w:id="205"/>
      <w:r/>
      <w:r/>
    </w:p>
    <w:p>
      <w:pPr>
        <w:ind w:firstLine="566"/>
        <w:spacing w:line="360" w:lineRule="auto"/>
        <w:rPr>
          <w:rFonts w:asciiTheme="minorEastAsia" w:hAnsiTheme="minorEastAsia"/>
          <w:sz w:val="24"/>
        </w:rPr>
      </w:pPr>
      <w:r>
        <w:rPr>
          <w:rFonts w:hint="eastAsia" w:asciiTheme="minorEastAsia" w:hAnsiTheme="minorEastAsia"/>
          <w:sz w:val="24"/>
        </w:rPr>
        <w:t xml:space="preserve">6.供应商须负责江苏省中小学阳光食堂信息化监管服务平台日常台账录入工作。平台使用账号由</w:t>
      </w:r>
      <w:bookmarkStart w:id="206" w:name="OLE_LINK1"/>
      <w:r>
        <w:rPr>
          <w:rFonts w:hint="eastAsia" w:asciiTheme="minorEastAsia" w:hAnsiTheme="minorEastAsia"/>
          <w:sz w:val="24"/>
        </w:rPr>
        <w:t xml:space="preserve">采购人</w:t>
      </w:r>
      <w:bookmarkEnd w:id="206"/>
      <w:r>
        <w:rPr>
          <w:rFonts w:hint="eastAsia" w:asciiTheme="minorEastAsia" w:hAnsiTheme="minorEastAsia"/>
          <w:sz w:val="24"/>
        </w:rPr>
        <w:t xml:space="preserve">提供，采购人对日常台账录入工作提供支持与指导。</w:t>
      </w:r>
      <w:r/>
    </w:p>
    <w:p>
      <w:pPr>
        <w:ind w:firstLine="566"/>
        <w:spacing w:line="360" w:lineRule="auto"/>
        <w:rPr>
          <w:rFonts w:asciiTheme="minorEastAsia" w:hAnsiTheme="minorEastAsia"/>
          <w:sz w:val="24"/>
        </w:rPr>
      </w:pPr>
      <w:r>
        <w:rPr>
          <w:rFonts w:hint="eastAsia" w:asciiTheme="minorEastAsia" w:hAnsiTheme="minorEastAsia"/>
          <w:sz w:val="24"/>
        </w:rPr>
        <w:t xml:space="preserve">供应商要在平台完成的工作如下：</w:t>
      </w:r>
      <w:r/>
    </w:p>
    <w:p>
      <w:pPr>
        <w:ind w:firstLine="566"/>
        <w:spacing w:line="360" w:lineRule="auto"/>
        <w:rPr>
          <w:rFonts w:asciiTheme="minorEastAsia" w:hAnsiTheme="minorEastAsia"/>
          <w:sz w:val="24"/>
        </w:rPr>
      </w:pPr>
      <w:r>
        <w:rPr>
          <w:rFonts w:hint="eastAsia" w:asciiTheme="minorEastAsia" w:hAnsiTheme="minorEastAsia"/>
          <w:sz w:val="24"/>
        </w:rPr>
        <w:fldChar w:fldCharType="begin"/>
      </w:r>
      <w:r>
        <w:rPr>
          <w:rFonts w:hint="eastAsia" w:asciiTheme="minorEastAsia" w:hAnsiTheme="minorEastAsia"/>
          <w:sz w:val="24"/>
        </w:rPr>
        <w:instrText xml:space="preserve"> = 1 \* GB3 </w:instrText>
      </w:r>
      <w:r>
        <w:rPr>
          <w:rFonts w:hint="eastAsia" w:asciiTheme="minorEastAsia" w:hAnsiTheme="minorEastAsia"/>
          <w:sz w:val="24"/>
        </w:rPr>
        <w:fldChar w:fldCharType="separate"/>
      </w:r>
      <w:r>
        <w:rPr>
          <w:rFonts w:hint="eastAsia" w:asciiTheme="minorEastAsia" w:hAnsiTheme="minorEastAsia"/>
          <w:sz w:val="24"/>
        </w:rPr>
        <w:t xml:space="preserve">①</w:t>
      </w:r>
      <w:r>
        <w:rPr>
          <w:rFonts w:hint="eastAsia" w:asciiTheme="minorEastAsia" w:hAnsiTheme="minorEastAsia"/>
          <w:sz w:val="24"/>
        </w:rPr>
        <w:fldChar w:fldCharType="end"/>
      </w:r>
      <w:r>
        <w:rPr>
          <w:rFonts w:hint="eastAsia" w:asciiTheme="minorEastAsia" w:hAnsiTheme="minorEastAsia"/>
          <w:sz w:val="24"/>
        </w:rPr>
        <w:t xml:space="preserve">每个用餐日完成“入库出库”栏下的验收入库与食材出库等台账录入；</w:t>
      </w:r>
      <w:r/>
    </w:p>
    <w:p>
      <w:pPr>
        <w:ind w:firstLine="566"/>
        <w:spacing w:line="360" w:lineRule="auto"/>
        <w:rPr>
          <w:rFonts w:asciiTheme="minorEastAsia" w:hAnsiTheme="minorEastAsia"/>
          <w:sz w:val="24"/>
        </w:rPr>
      </w:pPr>
      <w:r>
        <w:rPr>
          <w:rFonts w:hint="eastAsia" w:asciiTheme="minorEastAsia" w:hAnsiTheme="minorEastAsia"/>
          <w:sz w:val="24"/>
        </w:rPr>
        <w:fldChar w:fldCharType="begin"/>
      </w:r>
      <w:r>
        <w:rPr>
          <w:rFonts w:hint="eastAsia" w:asciiTheme="minorEastAsia" w:hAnsiTheme="minorEastAsia"/>
          <w:sz w:val="24"/>
        </w:rPr>
        <w:instrText xml:space="preserve"> = 2 \* GB3 </w:instrText>
      </w:r>
      <w:r>
        <w:rPr>
          <w:rFonts w:hint="eastAsia" w:asciiTheme="minorEastAsia" w:hAnsiTheme="minorEastAsia"/>
          <w:sz w:val="24"/>
        </w:rPr>
        <w:fldChar w:fldCharType="separate"/>
      </w:r>
      <w:r>
        <w:rPr>
          <w:rFonts w:hint="eastAsia" w:asciiTheme="minorEastAsia" w:hAnsiTheme="minorEastAsia"/>
          <w:sz w:val="24"/>
        </w:rPr>
        <w:t xml:space="preserve">②</w:t>
      </w:r>
      <w:r>
        <w:rPr>
          <w:rFonts w:hint="eastAsia" w:asciiTheme="minorEastAsia" w:hAnsiTheme="minorEastAsia"/>
          <w:sz w:val="24"/>
        </w:rPr>
        <w:fldChar w:fldCharType="end"/>
      </w:r>
      <w:r>
        <w:rPr>
          <w:rFonts w:hint="eastAsia" w:asciiTheme="minorEastAsia" w:hAnsiTheme="minorEastAsia"/>
          <w:sz w:val="24"/>
        </w:rPr>
        <w:t xml:space="preserve">每个用餐日完成“营养与安全”栏下的食品留样、复用餐具清洗、营养菜谱、带量食谱等台账录入。</w:t>
      </w:r>
      <w:r/>
    </w:p>
    <w:p>
      <w:pPr>
        <w:ind w:firstLine="566"/>
        <w:spacing w:line="360" w:lineRule="auto"/>
        <w:rPr>
          <w:rFonts w:asciiTheme="minorEastAsia" w:hAnsiTheme="minorEastAsia"/>
          <w:sz w:val="24"/>
        </w:rPr>
      </w:pPr>
      <w:r>
        <w:rPr>
          <w:rFonts w:hint="eastAsia" w:asciiTheme="minorEastAsia" w:hAnsiTheme="minorEastAsia"/>
          <w:sz w:val="24"/>
        </w:rPr>
        <w:fldChar w:fldCharType="begin"/>
      </w:r>
      <w:r>
        <w:rPr>
          <w:rFonts w:hint="eastAsia" w:asciiTheme="minorEastAsia" w:hAnsiTheme="minorEastAsia"/>
          <w:sz w:val="24"/>
        </w:rPr>
        <w:instrText xml:space="preserve"> = 3 \* GB3 </w:instrText>
      </w:r>
      <w:r>
        <w:rPr>
          <w:rFonts w:hint="eastAsia" w:asciiTheme="minorEastAsia" w:hAnsiTheme="minorEastAsia"/>
          <w:sz w:val="24"/>
        </w:rPr>
        <w:fldChar w:fldCharType="separate"/>
      </w:r>
      <w:r>
        <w:rPr>
          <w:rFonts w:hint="eastAsia" w:asciiTheme="minorEastAsia" w:hAnsiTheme="minorEastAsia"/>
          <w:sz w:val="24"/>
        </w:rPr>
        <w:t xml:space="preserve">③</w:t>
      </w:r>
      <w:r>
        <w:rPr>
          <w:rFonts w:hint="eastAsia" w:asciiTheme="minorEastAsia" w:hAnsiTheme="minorEastAsia"/>
          <w:sz w:val="24"/>
        </w:rPr>
        <w:fldChar w:fldCharType="end"/>
      </w:r>
      <w:r>
        <w:rPr>
          <w:rFonts w:hint="eastAsia" w:asciiTheme="minorEastAsia" w:hAnsiTheme="minorEastAsia"/>
          <w:sz w:val="24"/>
        </w:rPr>
        <w:t xml:space="preserve">每月3日前需要及时提供上月食材主辅料支出、工人工资支出、水电费支出等财务数据给甲方。</w:t>
      </w:r>
      <w:r/>
    </w:p>
    <w:p>
      <w:pPr>
        <w:ind w:firstLine="566"/>
        <w:spacing w:line="360" w:lineRule="auto"/>
        <w:rPr>
          <w:rFonts w:asciiTheme="minorEastAsia" w:hAnsiTheme="minorEastAsia"/>
          <w:sz w:val="24"/>
        </w:rPr>
      </w:pPr>
      <w:r>
        <w:rPr>
          <w:rFonts w:hint="eastAsia" w:asciiTheme="minorEastAsia" w:hAnsiTheme="minorEastAsia"/>
          <w:sz w:val="24"/>
        </w:rPr>
        <w:t xml:space="preserve">7）供应商保证江苏省中小学阳光食堂信息化监管服务平台所有录入台账、上传凭证、填报信息具备真实性、完整性、时效性。</w:t>
      </w:r>
      <w:r/>
    </w:p>
    <w:p>
      <w:pPr>
        <w:ind w:firstLine="566"/>
        <w:spacing w:line="360" w:lineRule="auto"/>
        <w:rPr>
          <w:rFonts w:asciiTheme="minorEastAsia" w:hAnsiTheme="minorEastAsia"/>
          <w:sz w:val="24"/>
        </w:rPr>
      </w:pPr>
      <w:r>
        <w:rPr>
          <w:rFonts w:hint="eastAsia" w:asciiTheme="minorEastAsia" w:hAnsiTheme="minorEastAsia"/>
          <w:sz w:val="24"/>
        </w:rPr>
        <w:t xml:space="preserve">供应商不得出现台账迟报漏填、缺项、篡改、虚假填报等违规行为。</w:t>
      </w:r>
      <w:r/>
    </w:p>
    <w:p>
      <w:pPr>
        <w:ind w:firstLine="566"/>
        <w:spacing w:line="360" w:lineRule="auto"/>
        <w:rPr>
          <w:rFonts w:ascii="宋体" w:hAnsi="宋体"/>
          <w:sz w:val="24"/>
        </w:rPr>
      </w:pPr>
      <w:r>
        <w:rPr>
          <w:rFonts w:hint="eastAsia" w:asciiTheme="minorEastAsia" w:hAnsiTheme="minorEastAsia"/>
          <w:sz w:val="24"/>
        </w:rPr>
        <w:t xml:space="preserve">采购人拥有随时登录江苏省中小学阳光食堂信息化监管服务平台核查所有记录的权利。经采购人核查发现供应商存在台账缺失、资料造假、未落实平台各项管理工作的，视为供应商违约，采购人有权按照合同违约条款追究供应商责任，情节严重可单方解除供餐服务合同。</w:t>
      </w:r>
      <w:r/>
    </w:p>
    <w:p>
      <w:pPr>
        <w:ind w:firstLine="566"/>
        <w:spacing w:line="360" w:lineRule="auto"/>
        <w:rPr>
          <w:rFonts w:ascii="宋体" w:hAnsi="宋体"/>
          <w:b/>
          <w:bCs/>
          <w:color w:val="ee0000"/>
          <w:sz w:val="24"/>
        </w:rPr>
      </w:pPr>
      <w:r>
        <w:rPr>
          <w:rFonts w:hint="eastAsia" w:ascii="宋体" w:hAnsi="宋体"/>
          <w:b/>
          <w:bCs/>
          <w:color w:val="ee0000"/>
          <w:sz w:val="24"/>
        </w:rPr>
        <w:t xml:space="preserve">7.为保障在预算范围内采购到优质校园配餐服务，采购人将加强检查验收，验收不合格者追究赔偿及相关法律责任，投标人须自行考虑各种风险，理性投标及报价。学校验收人员将按合同、招标文件的要求及投标文件的承诺进行履约验收，验收不合格的，中标单位需在规定期限内整改，整改后仍不合格的，采购人有权解除合同、没收履约保证金、并追究中标单位的违约责任（赔偿采购人造成的损失，并上报监管部门对其罚款、列入不良行为记录，在一至三年内禁止参加政府采购活动等）。</w:t>
      </w:r>
      <w:r/>
    </w:p>
    <w:p>
      <w:pPr>
        <w:ind w:firstLine="569"/>
        <w:spacing w:line="360" w:lineRule="auto"/>
        <w:rPr>
          <w:rFonts w:ascii="宋体" w:hAnsi="宋体"/>
          <w:b/>
          <w:bCs/>
          <w:sz w:val="24"/>
        </w:rPr>
      </w:pPr>
      <w:r>
        <w:rPr>
          <w:rFonts w:hint="eastAsia" w:ascii="宋体" w:hAnsi="宋体"/>
          <w:b/>
          <w:bCs/>
          <w:sz w:val="24"/>
        </w:rPr>
        <w:t xml:space="preserve">2.6</w:t>
      </w:r>
      <w:bookmarkStart w:id="207" w:name="_Hlk206314312"/>
      <w:r>
        <w:rPr>
          <w:rFonts w:hint="eastAsia" w:ascii="宋体" w:hAnsi="宋体"/>
          <w:b/>
          <w:bCs/>
          <w:sz w:val="24"/>
        </w:rPr>
        <w:t xml:space="preserve">应急预案</w:t>
      </w:r>
      <w:r/>
    </w:p>
    <w:p>
      <w:pPr>
        <w:ind w:firstLine="566"/>
        <w:spacing w:line="360" w:lineRule="auto"/>
        <w:rPr>
          <w:rFonts w:ascii="宋体" w:hAnsi="宋体"/>
          <w:sz w:val="24"/>
        </w:rPr>
      </w:pPr>
      <w:r/>
      <w:bookmarkStart w:id="208" w:name="_Hlk206334446"/>
      <w:r>
        <w:rPr>
          <w:rFonts w:hint="eastAsia" w:ascii="宋体" w:hAnsi="宋体"/>
          <w:sz w:val="24"/>
        </w:rPr>
        <w:t xml:space="preserve">1.供应商</w:t>
      </w:r>
      <w:bookmarkEnd w:id="207"/>
      <w:r>
        <w:rPr>
          <w:rFonts w:hint="eastAsia" w:ascii="宋体" w:hAnsi="宋体"/>
          <w:sz w:val="24"/>
        </w:rPr>
        <w:t xml:space="preserve">须建立食品安全各项管理制度，做好食品安全事故或者其它食源</w:t>
      </w:r>
      <w:r>
        <w:rPr>
          <w:rFonts w:hint="eastAsia" w:ascii="宋体" w:hAnsi="宋体"/>
          <w:sz w:val="24"/>
        </w:rPr>
        <w:t xml:space="preserve">性疾病以及因交通、卫生、天气、断水、断电、断气等原因不能按时送达配餐等突发事件的应急预案【提供相关应急预案报采购人处备案（预案需得到甲方认可）】，确保按时送达供餐。</w:t>
      </w:r>
      <w:bookmarkEnd w:id="208"/>
      <w:r/>
      <w:r/>
    </w:p>
    <w:p>
      <w:pPr>
        <w:ind w:firstLine="566"/>
        <w:spacing w:line="360" w:lineRule="auto"/>
        <w:rPr>
          <w:rFonts w:ascii="宋体" w:hAnsi="宋体"/>
          <w:sz w:val="24"/>
        </w:rPr>
      </w:pPr>
      <w:r>
        <w:rPr>
          <w:rFonts w:hint="eastAsia" w:ascii="宋体" w:hAnsi="宋体"/>
          <w:sz w:val="24"/>
        </w:rPr>
        <w:t xml:space="preserve">2.供应商须具备完备应急供餐能力，一旦发生试吃不合格情况，接到采购人不合格通知后，须在30分钟内完成全新、合规、合格的应急餐品重新制作、送达与替换供餐，确保学生正常用餐不受影响。</w:t>
      </w:r>
      <w:r/>
    </w:p>
    <w:p>
      <w:pPr>
        <w:ind w:firstLine="566"/>
        <w:spacing w:line="360" w:lineRule="auto"/>
        <w:rPr>
          <w:rFonts w:ascii="宋体" w:hAnsi="宋体"/>
          <w:sz w:val="24"/>
        </w:rPr>
      </w:pPr>
      <w:r>
        <w:rPr>
          <w:rFonts w:hint="eastAsia" w:ascii="宋体" w:hAnsi="宋体"/>
          <w:sz w:val="24"/>
        </w:rPr>
        <w:t xml:space="preserve">所有因试吃不合格产生的返工、重做、加急配送、备用供餐差价等全部费用，均由供应商全额承担，采购人不予任何补偿。</w:t>
      </w:r>
      <w:r/>
    </w:p>
    <w:p>
      <w:pPr>
        <w:ind w:firstLine="566"/>
        <w:spacing w:line="360" w:lineRule="auto"/>
        <w:rPr>
          <w:rFonts w:ascii="宋体" w:hAnsi="宋体"/>
          <w:sz w:val="24"/>
        </w:rPr>
      </w:pPr>
      <w:r>
        <w:rPr>
          <w:rFonts w:hint="eastAsia" w:ascii="宋体" w:hAnsi="宋体"/>
          <w:sz w:val="24"/>
        </w:rPr>
        <w:t xml:space="preserve">若供应商无法按时完成应急补供、或二次送达餐品仍不合格，视为严重违约，采购人有权立即启用第三方备用供餐，第三方费用由供应商承担、扣除履约保证金、追究违约责任，情节严重的有权单方终止合同。</w:t>
      </w:r>
      <w:r/>
    </w:p>
    <w:p>
      <w:pPr>
        <w:ind w:firstLine="569"/>
        <w:spacing w:line="360" w:lineRule="auto"/>
        <w:rPr>
          <w:rFonts w:ascii="宋体" w:hAnsi="宋体"/>
          <w:b/>
          <w:bCs/>
          <w:sz w:val="24"/>
        </w:rPr>
      </w:pPr>
      <w:r>
        <w:rPr>
          <w:rFonts w:hint="eastAsia" w:ascii="宋体" w:hAnsi="宋体"/>
          <w:b/>
          <w:bCs/>
          <w:sz w:val="24"/>
        </w:rPr>
        <w:t xml:space="preserve">2.7 </w:t>
      </w:r>
      <w:bookmarkStart w:id="209" w:name="_Hlk206314465"/>
      <w:r>
        <w:rPr>
          <w:rFonts w:hint="eastAsia" w:ascii="宋体" w:hAnsi="宋体"/>
          <w:b/>
          <w:bCs/>
          <w:sz w:val="24"/>
        </w:rPr>
        <w:t xml:space="preserve">满意度测评</w:t>
      </w:r>
      <w:bookmarkEnd w:id="209"/>
      <w:r/>
      <w:r/>
    </w:p>
    <w:p>
      <w:pPr>
        <w:ind w:firstLine="566"/>
        <w:spacing w:line="360" w:lineRule="auto"/>
        <w:rPr>
          <w:rFonts w:ascii="宋体" w:hAnsi="宋体"/>
          <w:bCs/>
          <w:sz w:val="24"/>
        </w:rPr>
      </w:pPr>
      <w:r>
        <w:rPr>
          <w:rFonts w:hint="eastAsia" w:ascii="宋体" w:hAnsi="宋体"/>
          <w:bCs/>
          <w:sz w:val="24"/>
        </w:rPr>
        <w:t xml:space="preserve">1.</w:t>
      </w:r>
      <w:bookmarkStart w:id="210" w:name="_Hlk206314481"/>
      <w:r>
        <w:rPr>
          <w:rFonts w:hint="eastAsia" w:ascii="宋体" w:hAnsi="宋体"/>
          <w:bCs/>
          <w:sz w:val="24"/>
        </w:rPr>
        <w:t xml:space="preserve">供应商在食品卫生、环境卫生、安全生产方面应服从采购人的监督和检查，采购人有权制止违规行为，对检查不合格项目，采购人发整改通知书，在期限内不整改或整改不到位，采购人视情节轻重处以相应额度的罚款，直至终止项目。</w:t>
      </w:r>
      <w:r/>
    </w:p>
    <w:p>
      <w:pPr>
        <w:ind w:firstLine="566"/>
        <w:spacing w:line="360" w:lineRule="auto"/>
        <w:rPr>
          <w:rFonts w:ascii="宋体" w:hAnsi="宋体"/>
          <w:bCs/>
          <w:sz w:val="24"/>
        </w:rPr>
      </w:pPr>
      <w:r>
        <w:rPr>
          <w:rFonts w:hint="eastAsia" w:ascii="宋体" w:hAnsi="宋体"/>
          <w:bCs/>
          <w:sz w:val="24"/>
        </w:rPr>
        <w:t xml:space="preserve">2.学校建立校外供餐单位评价和退出机制，对落实食品安全主体责任不到位或多次发生食品安全事故的供餐单位，采购人有权提前无责终止合同，并向属地教育行政部门和市场监管部门报告。</w:t>
      </w:r>
      <w:r/>
    </w:p>
    <w:p>
      <w:pPr>
        <w:ind w:firstLine="566"/>
        <w:spacing w:line="360" w:lineRule="auto"/>
        <w:rPr>
          <w:rFonts w:ascii="宋体" w:hAnsi="宋体"/>
          <w:bCs/>
          <w:sz w:val="24"/>
        </w:rPr>
      </w:pPr>
      <w:r>
        <w:rPr>
          <w:rFonts w:hint="eastAsia" w:ascii="宋体" w:hAnsi="宋体"/>
          <w:bCs/>
          <w:sz w:val="24"/>
        </w:rPr>
        <w:t xml:space="preserve">3.</w:t>
      </w:r>
      <w:r>
        <w:rPr>
          <w:rFonts w:hint="eastAsia"/>
        </w:rPr>
        <w:t xml:space="preserve"> </w:t>
      </w:r>
      <w:r>
        <w:rPr>
          <w:rFonts w:hint="eastAsia" w:ascii="宋体" w:hAnsi="宋体"/>
          <w:bCs/>
          <w:sz w:val="24"/>
        </w:rPr>
        <w:t xml:space="preserve">用餐满意度调查</w:t>
      </w:r>
      <w:r/>
    </w:p>
    <w:p>
      <w:pPr>
        <w:ind w:firstLine="566"/>
        <w:spacing w:line="360" w:lineRule="auto"/>
        <w:rPr>
          <w:rFonts w:ascii="宋体" w:hAnsi="宋体"/>
          <w:bCs/>
          <w:sz w:val="24"/>
        </w:rPr>
      </w:pPr>
      <w:r>
        <w:rPr>
          <w:rFonts w:hint="eastAsia" w:ascii="宋体" w:hAnsi="宋体"/>
          <w:bCs/>
          <w:sz w:val="24"/>
        </w:rPr>
        <w:t xml:space="preserve">每月对学生进行用餐满意度进行调查，调查结果作为付款凭证。</w:t>
      </w:r>
      <w:bookmarkEnd w:id="210"/>
      <w:r/>
      <w:r/>
    </w:p>
    <w:p>
      <w:pPr>
        <w:ind w:firstLine="569"/>
        <w:spacing w:line="360" w:lineRule="auto"/>
        <w:rPr>
          <w:rFonts w:ascii="宋体" w:hAnsi="宋体"/>
          <w:sz w:val="24"/>
        </w:rPr>
      </w:pPr>
      <w:r>
        <w:rPr>
          <w:rFonts w:hint="eastAsia" w:ascii="宋体" w:hAnsi="宋体"/>
          <w:b/>
          <w:bCs/>
          <w:sz w:val="24"/>
        </w:rPr>
        <w:t xml:space="preserve">2.8付款方式</w:t>
      </w:r>
      <w:r>
        <w:rPr>
          <w:rFonts w:hint="eastAsia" w:ascii="宋体" w:hAnsi="宋体"/>
          <w:sz w:val="24"/>
        </w:rPr>
        <w:t xml:space="preserve"> </w:t>
      </w:r>
      <w:r/>
    </w:p>
    <w:p>
      <w:pPr>
        <w:ind w:firstLine="566"/>
        <w:spacing w:line="360" w:lineRule="auto"/>
        <w:rPr>
          <w:rFonts w:ascii="宋体" w:hAnsi="宋体"/>
          <w:sz w:val="24"/>
        </w:rPr>
      </w:pPr>
      <w:r>
        <w:rPr>
          <w:rFonts w:hint="eastAsia" w:ascii="宋体" w:hAnsi="宋体"/>
          <w:sz w:val="24"/>
        </w:rPr>
        <w:t xml:space="preserve">本项目落实预付款制度，预付款比例为30%，合同签订后，采购人在收到发票后10个工作日内将预付款支付到合同约定的供应商账户。在签订合同时，</w:t>
      </w:r>
      <w:r>
        <w:rPr>
          <w:rFonts w:hint="eastAsia" w:asciiTheme="minorEastAsia" w:hAnsiTheme="minorEastAsia"/>
          <w:sz w:val="24"/>
        </w:rPr>
        <w:t xml:space="preserve">中标</w:t>
      </w:r>
      <w:r>
        <w:rPr>
          <w:rFonts w:hint="eastAsia" w:ascii="宋体" w:hAnsi="宋体"/>
          <w:sz w:val="24"/>
        </w:rPr>
        <w:t xml:space="preserve">供应商明确书面表示无需预付款或者主动要求降低预付款比例的，采购人可就预付款比例作相应调整。</w:t>
      </w:r>
      <w:r/>
    </w:p>
    <w:p>
      <w:pPr>
        <w:ind w:firstLine="566"/>
        <w:spacing w:line="360" w:lineRule="auto"/>
        <w:rPr>
          <w:rFonts w:ascii="宋体" w:hAnsi="宋体"/>
          <w:sz w:val="24"/>
        </w:rPr>
      </w:pPr>
      <w:r>
        <w:rPr>
          <w:rFonts w:hint="eastAsia" w:ascii="宋体" w:hAnsi="宋体"/>
          <w:sz w:val="24"/>
        </w:rPr>
        <w:t xml:space="preserve">1.本合同的价款以人民币分期付款的方式进行结算，由学校按下述约定期限、凭中标单位提供的税票、签字的供餐清单、就餐确认单（班主任核对后学生签字）合同、满意度测评表等为依据核算金额，金额无误后通过支票或转账的方式向中标单位指定账户支付当期费用。</w:t>
      </w:r>
      <w:r/>
    </w:p>
    <w:p>
      <w:pPr>
        <w:ind w:firstLine="566"/>
        <w:spacing w:line="360" w:lineRule="auto"/>
        <w:rPr>
          <w:rFonts w:ascii="宋体" w:hAnsi="宋体"/>
          <w:sz w:val="24"/>
        </w:rPr>
      </w:pPr>
      <w:r>
        <w:rPr>
          <w:rFonts w:hint="eastAsia" w:ascii="宋体" w:hAnsi="宋体"/>
          <w:sz w:val="24"/>
        </w:rPr>
        <w:t xml:space="preserve">2.采用一个月支付一次（于次月的中旬前支付），即采购人于每月15日前对上个月实际发生的数量进行支付（冲减扣款与预付款）。</w:t>
      </w:r>
      <w:r/>
    </w:p>
    <w:p>
      <w:pPr>
        <w:ind w:firstLine="566"/>
        <w:spacing w:line="360" w:lineRule="auto"/>
        <w:rPr>
          <w:rFonts w:ascii="宋体" w:hAnsi="宋体"/>
          <w:sz w:val="24"/>
        </w:rPr>
      </w:pPr>
      <w:r>
        <w:rPr>
          <w:rFonts w:hint="eastAsia" w:ascii="宋体" w:hAnsi="宋体"/>
          <w:sz w:val="24"/>
        </w:rPr>
        <w:t xml:space="preserve">3.采购人每月组织学生用餐满意度调查，满意度在80%以上的，当月餐费全额拨付。每降低1个百分点（降低值按四舍五入计），按降低</w:t>
      </w:r>
      <w:r>
        <w:rPr>
          <w:rFonts w:ascii="宋体" w:hAnsi="宋体"/>
          <w:sz w:val="24"/>
        </w:rPr>
        <w:t xml:space="preserve">2</w:t>
      </w:r>
      <w:r>
        <w:rPr>
          <w:rFonts w:hint="eastAsia" w:ascii="宋体" w:hAnsi="宋体"/>
          <w:sz w:val="24"/>
        </w:rPr>
        <w:t xml:space="preserve">个百分点比例支付当月餐费。</w:t>
      </w:r>
      <w:r/>
    </w:p>
    <w:p>
      <w:pPr>
        <w:ind w:firstLine="566"/>
        <w:spacing w:line="360" w:lineRule="auto"/>
        <w:rPr>
          <w:rFonts w:ascii="宋体" w:hAnsi="宋体"/>
          <w:sz w:val="24"/>
        </w:rPr>
      </w:pPr>
      <w:r>
        <w:rPr>
          <w:rFonts w:hint="eastAsia" w:ascii="宋体" w:hAnsi="宋体"/>
          <w:sz w:val="24"/>
        </w:rPr>
        <w:t xml:space="preserve">4.甲方不承担其它任何费用，乙方所有从业服务人员的薪金（包括国家或地方政府政策性调整基础工资）、福利、保险（社保）、休假日补贴等所有工资福利待遇及相关其他食材、车辆等采购费用均由乙方支付，与甲方无关。如与本项目有关的乙方人员或乙方的合作方，向甲方或甲方主管部门投诉乙方欠资等不合规行为，甲方将对乙方予以约谈，直至终止合同，并由乙方承担由此引起的一切法律责任。</w:t>
      </w:r>
      <w:r/>
    </w:p>
    <w:p>
      <w:pPr>
        <w:ind w:firstLine="569"/>
        <w:spacing w:line="360" w:lineRule="auto"/>
        <w:rPr>
          <w:rFonts w:ascii="宋体" w:hAnsi="宋体"/>
          <w:b/>
          <w:bCs/>
          <w:sz w:val="24"/>
        </w:rPr>
      </w:pPr>
      <w:r>
        <w:rPr>
          <w:rFonts w:hint="eastAsia" w:ascii="宋体" w:hAnsi="宋体"/>
          <w:b/>
          <w:bCs/>
          <w:sz w:val="24"/>
        </w:rPr>
        <w:t xml:space="preserve">2.9食品安全</w:t>
      </w:r>
      <w:r/>
    </w:p>
    <w:p>
      <w:pPr>
        <w:ind w:firstLine="566"/>
        <w:spacing w:line="360" w:lineRule="auto"/>
        <w:rPr>
          <w:rFonts w:ascii="宋体" w:hAnsi="宋体"/>
          <w:sz w:val="24"/>
        </w:rPr>
      </w:pPr>
      <w:r/>
      <w:bookmarkStart w:id="211" w:name="_Hlk206314603"/>
      <w:r>
        <w:rPr>
          <w:rFonts w:hint="eastAsia" w:ascii="宋体" w:hAnsi="宋体"/>
          <w:sz w:val="24"/>
        </w:rPr>
        <w:t xml:space="preserve">为确保用餐安全、卫生、营养、健康、廉洁。严格执行《中华人民共和国民法典》、《中华人民共和国食品安全法》、《学校食品安全与营养健康管理规定》《</w:t>
      </w:r>
      <w:r>
        <w:rPr>
          <w:rFonts w:hint="eastAsia" w:asciiTheme="minorEastAsia" w:hAnsiTheme="minorEastAsia"/>
          <w:sz w:val="24"/>
        </w:rPr>
        <w:t xml:space="preserve">食品生产经营企业</w:t>
      </w:r>
      <w:r>
        <w:rPr>
          <w:rFonts w:hint="eastAsia" w:ascii="宋体" w:hAnsi="宋体"/>
          <w:sz w:val="24"/>
        </w:rPr>
        <w:t xml:space="preserve">落实食品安全主体责任监督管理办法》、GB</w:t>
      </w:r>
      <w:r>
        <w:rPr>
          <w:rFonts w:ascii="宋体" w:hAnsi="宋体"/>
          <w:sz w:val="24"/>
        </w:rPr>
        <w:t xml:space="preserve"> </w:t>
      </w:r>
      <w:r>
        <w:rPr>
          <w:rFonts w:hint="eastAsia" w:ascii="宋体" w:hAnsi="宋体"/>
          <w:sz w:val="24"/>
        </w:rPr>
        <w:t xml:space="preserve">31654-2021《食品安全国家标准餐饮服务通用卫生规范》、《餐饮服务食品安全操作规范》等法律法规、规章、规范性文件及其他有关食品安全的规定。</w:t>
      </w:r>
      <w:r/>
    </w:p>
    <w:p>
      <w:pPr>
        <w:ind w:firstLine="566"/>
        <w:spacing w:line="360" w:lineRule="auto"/>
        <w:rPr>
          <w:rFonts w:ascii="宋体" w:hAnsi="宋体"/>
          <w:b/>
          <w:bCs/>
          <w:sz w:val="24"/>
        </w:rPr>
      </w:pPr>
      <w:r>
        <w:rPr>
          <w:rFonts w:hint="eastAsia" w:ascii="宋体" w:hAnsi="宋体"/>
          <w:sz w:val="24"/>
        </w:rPr>
        <w:t xml:space="preserve">供应商为本合同食品安全和生产服务安全唯一责任主体，承担备餐过程中造成的学生安全事故和食品安全事故</w:t>
      </w:r>
      <w:r>
        <w:rPr>
          <w:rFonts w:hint="eastAsia" w:asciiTheme="minorEastAsia" w:hAnsiTheme="minorEastAsia"/>
          <w:sz w:val="24"/>
        </w:rPr>
        <w:t xml:space="preserve">责任</w:t>
      </w:r>
      <w:r>
        <w:rPr>
          <w:rFonts w:hint="eastAsia" w:ascii="宋体" w:hAnsi="宋体"/>
          <w:sz w:val="24"/>
        </w:rPr>
        <w:t xml:space="preserve">，并承担一切法律后果。</w:t>
      </w:r>
      <w:bookmarkEnd w:id="211"/>
      <w:r/>
      <w:r/>
    </w:p>
    <w:p>
      <w:pPr>
        <w:ind w:firstLine="569"/>
        <w:spacing w:line="360" w:lineRule="auto"/>
        <w:rPr>
          <w:rFonts w:ascii="宋体" w:hAnsi="宋体"/>
          <w:b/>
          <w:bCs/>
          <w:sz w:val="24"/>
        </w:rPr>
      </w:pPr>
      <w:r>
        <w:rPr>
          <w:rFonts w:hint="eastAsia" w:ascii="宋体" w:hAnsi="宋体"/>
          <w:b/>
          <w:bCs/>
          <w:sz w:val="24"/>
        </w:rPr>
        <w:t xml:space="preserve">2.10其他</w:t>
      </w:r>
      <w:r/>
    </w:p>
    <w:p>
      <w:pPr>
        <w:ind w:firstLine="569"/>
        <w:spacing w:line="360" w:lineRule="auto"/>
        <w:rPr>
          <w:rFonts w:ascii="宋体" w:hAnsi="宋体"/>
          <w:sz w:val="24"/>
        </w:rPr>
      </w:pPr>
      <w:r>
        <w:rPr>
          <w:rFonts w:hint="eastAsia" w:ascii="宋体" w:hAnsi="宋体"/>
          <w:b/>
          <w:bCs/>
          <w:sz w:val="24"/>
        </w:rPr>
        <w:t xml:space="preserve">1.人员配备要求</w:t>
      </w:r>
      <w:r>
        <w:rPr>
          <w:rFonts w:hint="eastAsia" w:ascii="宋体" w:hAnsi="宋体"/>
          <w:sz w:val="24"/>
        </w:rPr>
        <w:t xml:space="preserve">：</w:t>
      </w:r>
      <w:r/>
    </w:p>
    <w:p>
      <w:pPr>
        <w:ind w:firstLine="566"/>
        <w:spacing w:line="360" w:lineRule="auto"/>
        <w:rPr>
          <w:rFonts w:ascii="宋体" w:hAnsi="宋体"/>
          <w:sz w:val="24"/>
        </w:rPr>
      </w:pPr>
      <w:r/>
      <w:bookmarkStart w:id="212" w:name="_Hlk206314647"/>
      <w:r>
        <w:rPr>
          <w:rFonts w:hint="eastAsia" w:ascii="宋体" w:hAnsi="宋体"/>
          <w:sz w:val="24"/>
        </w:rPr>
        <w:t xml:space="preserve">供应商应保证其工作人员无精神疾病、不携带任何隐性或显性传染病及其他可能影响学生健康与安全的疾病，具备从事食品行业的健康合格证等相应资质，并承诺定期（至少每年1次）为其工作人员进行身体检查。中标后提供</w:t>
      </w:r>
      <w:r>
        <w:rPr>
          <w:rFonts w:hint="eastAsia" w:asciiTheme="minorEastAsia" w:hAnsiTheme="minorEastAsia"/>
          <w:sz w:val="24"/>
        </w:rPr>
        <w:t xml:space="preserve">项目服务人员和</w:t>
      </w:r>
      <w:r>
        <w:rPr>
          <w:rFonts w:hint="eastAsia" w:ascii="宋体" w:hAnsi="宋体"/>
          <w:sz w:val="24"/>
        </w:rPr>
        <w:t xml:space="preserve">用工人员身份证、健康证、无犯罪证明及相关资质证明材料扫描件到采购人处备案。项目服务人员原则上在整个配送服务周期内不得更换，确需更换的，必须书面报请采购人审批同意，未经同意不得更换。配餐企业对其工作人员应定期进行食品安全知识、营养知识及操作技能培训。</w:t>
      </w:r>
      <w:r/>
    </w:p>
    <w:p>
      <w:pPr>
        <w:ind w:firstLine="566"/>
        <w:spacing w:line="360" w:lineRule="auto"/>
        <w:rPr>
          <w:rFonts w:ascii="宋体" w:hAnsi="宋体"/>
          <w:sz w:val="24"/>
        </w:rPr>
      </w:pPr>
      <w:r>
        <w:rPr>
          <w:rFonts w:hint="eastAsia" w:ascii="宋体" w:hAnsi="宋体"/>
          <w:sz w:val="24"/>
        </w:rPr>
        <w:t xml:space="preserve">配餐企业工作人员应相对固定，</w:t>
      </w:r>
      <w:r>
        <w:rPr>
          <w:rFonts w:hint="eastAsia" w:asciiTheme="minorEastAsia" w:hAnsiTheme="minorEastAsia"/>
          <w:sz w:val="24"/>
        </w:rPr>
        <w:t xml:space="preserve">应为供餐学校安排1名固定牵头负责人，具体做好学校的对接联系，组织好就餐分发，确保各就餐点每一百份餐至少配</w:t>
      </w:r>
      <w:r>
        <w:rPr>
          <w:rFonts w:hint="eastAsia" w:asciiTheme="minorEastAsia" w:hAnsiTheme="minorEastAsia"/>
          <w:sz w:val="24"/>
        </w:rPr>
        <w:t xml:space="preserve">置1名</w:t>
      </w:r>
      <w:r>
        <w:rPr>
          <w:rFonts w:hint="eastAsia" w:ascii="宋体" w:hAnsi="宋体"/>
          <w:sz w:val="24"/>
        </w:rPr>
        <w:t xml:space="preserve">抬饭工</w:t>
      </w:r>
      <w:r>
        <w:rPr>
          <w:rFonts w:hint="eastAsia" w:asciiTheme="minorEastAsia" w:hAnsiTheme="minorEastAsia"/>
          <w:sz w:val="24"/>
        </w:rPr>
        <w:t xml:space="preserve">。</w:t>
      </w:r>
      <w:r>
        <w:rPr>
          <w:rFonts w:hint="eastAsia" w:ascii="宋体" w:hAnsi="宋体"/>
          <w:sz w:val="24"/>
        </w:rPr>
        <w:t xml:space="preserve">根据国家法律规定标准用工，人员报各供餐学校备案后不得随意更换。 </w:t>
      </w:r>
      <w:bookmarkEnd w:id="212"/>
      <w:r>
        <w:rPr>
          <w:rFonts w:hint="eastAsia" w:ascii="宋体" w:hAnsi="宋体"/>
          <w:sz w:val="24"/>
        </w:rPr>
        <w:t xml:space="preserve"> </w:t>
      </w:r>
      <w:r/>
    </w:p>
    <w:p>
      <w:pPr>
        <w:ind w:firstLine="566"/>
        <w:spacing w:line="360" w:lineRule="auto"/>
        <w:rPr>
          <w:rFonts w:ascii="宋体" w:hAnsi="宋体"/>
          <w:sz w:val="24"/>
        </w:rPr>
      </w:pPr>
      <w:r>
        <w:rPr>
          <w:rFonts w:hint="eastAsia" w:ascii="宋体" w:hAnsi="宋体"/>
          <w:sz w:val="24"/>
        </w:rPr>
        <w:t xml:space="preserve">2.转包与分包：</w:t>
      </w:r>
      <w:r/>
    </w:p>
    <w:p>
      <w:pPr>
        <w:ind w:firstLine="566"/>
        <w:spacing w:line="360" w:lineRule="auto"/>
        <w:rPr>
          <w:rFonts w:ascii="宋体" w:hAnsi="宋体"/>
          <w:sz w:val="24"/>
        </w:rPr>
      </w:pPr>
      <w:r>
        <w:rPr>
          <w:rFonts w:hint="eastAsia" w:ascii="宋体" w:hAnsi="宋体"/>
          <w:sz w:val="24"/>
        </w:rPr>
        <w:t xml:space="preserve">供应商不得以任何形式将配餐服务进行转包、分包，如有此等情况发生，采购人有权提前无责终止合同，扣除履约保证金，中标供应商将承担由此造成的一切经济损失及相应的法律责任。</w:t>
      </w:r>
      <w:r/>
    </w:p>
    <w:p>
      <w:pPr>
        <w:ind w:firstLine="566"/>
        <w:spacing w:line="360" w:lineRule="auto"/>
        <w:rPr>
          <w:rFonts w:ascii="宋体" w:hAnsi="宋体"/>
          <w:bCs/>
          <w:sz w:val="24"/>
        </w:rPr>
      </w:pPr>
      <w:r>
        <w:rPr>
          <w:rFonts w:hint="eastAsia" w:ascii="宋体" w:hAnsi="宋体"/>
          <w:bCs/>
          <w:sz w:val="24"/>
        </w:rPr>
        <w:t xml:space="preserve">3.供应商对经营期间发生的一切债权、债务、人身伤害和安全事故等自行承担全部责任及费用。</w:t>
      </w:r>
      <w:r/>
    </w:p>
    <w:p>
      <w:pPr>
        <w:ind w:firstLine="566"/>
        <w:spacing w:line="360" w:lineRule="auto"/>
        <w:rPr>
          <w:rFonts w:ascii="宋体" w:hAnsi="宋体"/>
          <w:bCs/>
          <w:sz w:val="24"/>
        </w:rPr>
      </w:pPr>
      <w:r>
        <w:rPr>
          <w:rFonts w:hint="eastAsia" w:ascii="宋体" w:hAnsi="宋体"/>
          <w:bCs/>
          <w:sz w:val="24"/>
        </w:rPr>
        <w:t xml:space="preserve">4.如国家有新的配餐标准要求，以最新的标准要求为准。</w:t>
      </w:r>
      <w:r/>
    </w:p>
    <w:p>
      <w:pPr>
        <w:ind w:firstLine="566"/>
        <w:spacing w:line="360" w:lineRule="auto"/>
        <w:rPr>
          <w:rFonts w:ascii="宋体" w:hAnsi="宋体"/>
          <w:bCs/>
          <w:sz w:val="24"/>
        </w:rPr>
      </w:pPr>
      <w:r>
        <w:rPr>
          <w:rFonts w:hint="eastAsia" w:ascii="宋体" w:hAnsi="宋体"/>
          <w:bCs/>
          <w:sz w:val="24"/>
        </w:rPr>
        <w:t xml:space="preserve">5.招标文件中要求提供的材料，如时间不具体的均须在采购人规定的时间内提供，否则视为中标供应商违约。</w:t>
      </w:r>
      <w:r/>
    </w:p>
    <w:p>
      <w:pPr>
        <w:pStyle w:val="855"/>
        <w:ind w:firstLine="480"/>
        <w:jc w:val="both"/>
        <w:spacing w:beforeAutospacing="0" w:afterAutospacing="0" w:line="0" w:lineRule="atLeast"/>
        <w:rPr>
          <w:rFonts w:hint="eastAsia" w:ascii="宋体" w:hAnsi="宋体" w:eastAsia="宋体" w:cs="宋体"/>
          <w:b/>
          <w:bCs/>
          <w:color w:val="000000"/>
        </w:rPr>
      </w:pPr>
      <w:r>
        <w:rPr>
          <w:rFonts w:hint="eastAsia" w:ascii="宋体" w:hAnsi="宋体" w:eastAsia="宋体" w:cs="宋体"/>
          <w:b/>
          <w:bCs/>
          <w:color w:val="000000"/>
        </w:rPr>
        <w:t xml:space="preserve">三、采购标的对应的中小企业划分标准所属行业一览表</w:t>
      </w:r>
      <w:r/>
    </w:p>
    <w:p>
      <w:pPr>
        <w:pStyle w:val="855"/>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 </w:t>
      </w:r>
      <w:r/>
    </w:p>
    <w:tbl>
      <w:tblPr>
        <w:tblW w:w="7911"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2"/>
        <w:gridCol w:w="3320"/>
        <w:gridCol w:w="3829"/>
      </w:tblGrid>
      <w:tr>
        <w:trPr>
          <w:jc w:val="center"/>
          <w:tblCellSpacing w:w="0" w:type="dxa"/>
          <w:trHeight w:val="473"/>
        </w:trPr>
        <w:tc>
          <w:tcPr>
            <w:tcW w:w="762" w:type="dxa"/>
            <w:vAlign w:val="center"/>
            <w:textDirection w:val="lrTb"/>
            <w:noWrap w:val="false"/>
          </w:tcPr>
          <w:p>
            <w:pPr>
              <w:pStyle w:val="855"/>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序号</w:t>
            </w:r>
            <w:r/>
          </w:p>
        </w:tc>
        <w:tc>
          <w:tcPr>
            <w:tcW w:w="3320" w:type="dxa"/>
            <w:vAlign w:val="center"/>
            <w:textDirection w:val="lrTb"/>
            <w:noWrap w:val="false"/>
          </w:tcPr>
          <w:p>
            <w:pPr>
              <w:pStyle w:val="855"/>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采购标的</w:t>
            </w:r>
            <w:r/>
          </w:p>
        </w:tc>
        <w:tc>
          <w:tcPr>
            <w:tcW w:w="3829" w:type="dxa"/>
            <w:vAlign w:val="center"/>
            <w:textDirection w:val="lrTb"/>
            <w:noWrap w:val="false"/>
          </w:tcPr>
          <w:p>
            <w:pPr>
              <w:pStyle w:val="855"/>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对应中小企业划分标准所属行业</w:t>
            </w:r>
            <w:r/>
          </w:p>
        </w:tc>
      </w:tr>
      <w:tr>
        <w:trPr>
          <w:jc w:val="center"/>
          <w:tblCellSpacing w:w="0" w:type="dxa"/>
          <w:trHeight w:val="441"/>
        </w:trPr>
        <w:tc>
          <w:tcPr>
            <w:tcW w:w="762" w:type="dxa"/>
            <w:vAlign w:val="center"/>
            <w:textDirection w:val="lrTb"/>
            <w:noWrap w:val="false"/>
          </w:tcPr>
          <w:p>
            <w:pPr>
              <w:pStyle w:val="855"/>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1</w:t>
            </w:r>
            <w:r/>
          </w:p>
        </w:tc>
        <w:tc>
          <w:tcPr>
            <w:tcW w:w="3320" w:type="dxa"/>
            <w:vAlign w:val="center"/>
            <w:textDirection w:val="lrTb"/>
            <w:noWrap w:val="false"/>
          </w:tcPr>
          <w:p>
            <w:pPr>
              <w:pStyle w:val="855"/>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校园配餐</w:t>
            </w:r>
            <w:r/>
          </w:p>
        </w:tc>
        <w:tc>
          <w:tcPr>
            <w:tcW w:w="3829" w:type="dxa"/>
            <w:vAlign w:val="center"/>
            <w:textDirection w:val="lrTb"/>
            <w:noWrap w:val="false"/>
          </w:tcPr>
          <w:p>
            <w:pPr>
              <w:pStyle w:val="855"/>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餐饮业</w:t>
            </w:r>
            <w:r/>
          </w:p>
        </w:tc>
      </w:tr>
    </w:tbl>
    <w:p>
      <w:pPr>
        <w:pStyle w:val="855"/>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55"/>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55"/>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55"/>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55"/>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55"/>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55"/>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55"/>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55"/>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55"/>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55"/>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55"/>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55"/>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55"/>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55"/>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55"/>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br/>
      </w:r>
      <w:r/>
    </w:p>
    <w:p>
      <w:pPr>
        <w:pStyle w:val="855"/>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55"/>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55"/>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55"/>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55"/>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55"/>
        <w:jc w:val="both"/>
        <w:spacing w:beforeAutospacing="0" w:afterAutospacing="0" w:line="0" w:lineRule="atLeast"/>
      </w:pPr>
      <w:r/>
      <w:bookmarkStart w:id="213" w:name="_Toc120614281"/>
      <w:r/>
      <w:r/>
    </w:p>
    <w:p>
      <w:pPr>
        <w:pStyle w:val="855"/>
        <w:jc w:val="center"/>
        <w:keepNext/>
        <w:spacing w:beforeAutospacing="0" w:afterAutospacing="0"/>
      </w:pPr>
      <w:r>
        <w:t xml:space="preserve"> </w:t>
      </w:r>
      <w:r/>
    </w:p>
    <w:p>
      <w:pPr>
        <w:pStyle w:val="855"/>
        <w:jc w:val="center"/>
        <w:keepNext/>
        <w:spacing w:beforeAutospacing="0" w:afterAutospacing="0"/>
        <w:outlineLvl w:val="0"/>
      </w:pPr>
      <w:r/>
      <w:bookmarkStart w:id="214" w:name="_Toc236900985"/>
      <w:r>
        <w:rPr>
          <w:rFonts w:hint="eastAsia" w:ascii="黑体" w:hAnsi="宋体" w:eastAsia="黑体" w:cs="黑体"/>
          <w:color w:val="000000"/>
          <w:sz w:val="44"/>
          <w:szCs w:val="44"/>
        </w:rPr>
        <w:t xml:space="preserve">第五章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w:t>
      </w:r>
      <w:r>
        <w:rPr>
          <w:rFonts w:hint="eastAsia" w:ascii="黑体" w:hAnsi="宋体" w:eastAsia="黑体" w:cs="黑体"/>
          <w:b/>
          <w:color w:val="000000"/>
          <w:sz w:val="44"/>
          <w:szCs w:val="44"/>
        </w:rPr>
        <w:t xml:space="preserve">评标方法与评标标准</w:t>
      </w:r>
      <w:bookmarkEnd w:id="214"/>
      <w:r/>
      <w:r/>
    </w:p>
    <w:p>
      <w:pPr>
        <w:pStyle w:val="855"/>
        <w:jc w:val="both"/>
        <w:spacing w:beforeAutospacing="0" w:afterAutospacing="0"/>
      </w:pPr>
      <w:r>
        <w:t xml:space="preserve"> </w:t>
      </w:r>
      <w:r/>
    </w:p>
    <w:p>
      <w:pPr>
        <w:ind w:firstLine="482"/>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一、定标原则</w:t>
      </w:r>
      <w:r/>
    </w:p>
    <w:p>
      <w:pPr>
        <w:ind w:firstLine="480"/>
        <w:spacing w:line="360" w:lineRule="auto"/>
        <w:rPr>
          <w:rFonts w:hint="eastAsia" w:ascii="宋体" w:hAnsi="宋体" w:eastAsia="宋体" w:cs="宋体"/>
          <w:color w:val="000000"/>
          <w:sz w:val="24"/>
        </w:rPr>
      </w:pPr>
      <w:r>
        <w:rPr>
          <w:rFonts w:hint="eastAsia" w:ascii="宋体" w:hAnsi="宋体" w:eastAsia="宋体" w:cs="宋体"/>
          <w:bCs/>
          <w:color w:val="000000"/>
          <w:sz w:val="24"/>
        </w:rPr>
        <w:t xml:space="preserve">本项目采用</w:t>
      </w:r>
      <w:r>
        <w:rPr>
          <w:rFonts w:hint="eastAsia" w:ascii="宋体" w:hAnsi="宋体" w:eastAsia="宋体" w:cs="宋体"/>
          <w:bCs/>
          <w:color w:val="000000"/>
          <w:sz w:val="24"/>
          <w:u w:val="single"/>
        </w:rPr>
        <w:t xml:space="preserve"> 综合评分 </w:t>
      </w:r>
      <w:r>
        <w:rPr>
          <w:rFonts w:hint="eastAsia" w:ascii="宋体" w:hAnsi="宋体" w:eastAsia="宋体" w:cs="宋体"/>
          <w:bCs/>
          <w:color w:val="000000"/>
          <w:sz w:val="24"/>
        </w:rPr>
        <w:t xml:space="preserve">法，</w:t>
      </w:r>
      <w:r>
        <w:rPr>
          <w:rFonts w:hint="eastAsia" w:ascii="宋体" w:hAnsi="宋体" w:eastAsia="宋体" w:cs="宋体"/>
          <w:color w:val="000000"/>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855"/>
        <w:ind w:firstLine="441"/>
        <w:spacing w:before="120" w:beforeAutospacing="0" w:after="120" w:afterAutospacing="0" w:line="360" w:lineRule="auto"/>
        <w:rPr>
          <w:rFonts w:hint="eastAsia" w:ascii="宋体" w:hAnsi="宋体" w:eastAsia="宋体" w:cs="宋体"/>
        </w:rPr>
      </w:pPr>
      <w:r>
        <w:rPr>
          <w:rFonts w:hint="eastAsia" w:ascii="宋体" w:hAnsi="宋体" w:eastAsia="宋体" w:cs="宋体"/>
          <w:b/>
          <w:color w:val="000000"/>
        </w:rPr>
        <w:t xml:space="preserve">二、政府采购政策功能落实</w:t>
      </w:r>
      <w:r/>
    </w:p>
    <w:p>
      <w:pPr>
        <w:pStyle w:val="855"/>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1、小微型企业价格扣除</w:t>
      </w:r>
      <w:r/>
    </w:p>
    <w:p>
      <w:pPr>
        <w:pStyle w:val="861"/>
        <w:ind w:firstLine="360"/>
        <w:rPr>
          <w:rFonts w:hint="eastAsia" w:ascii="宋体" w:hAnsi="宋体" w:eastAsia="宋体" w:cs="宋体"/>
        </w:rPr>
      </w:pPr>
      <w:r>
        <w:rPr>
          <w:rFonts w:hint="eastAsia" w:ascii="宋体" w:hAnsi="宋体" w:eastAsia="宋体" w:cs="宋体"/>
        </w:rPr>
        <w:t xml:space="preserve">（1）本项目不专门面向中小企业采购，对符合规定的小型和微型企业报价给予20%的扣除价格，用扣除后的价格参与评审。</w:t>
      </w:r>
      <w:r/>
    </w:p>
    <w:p>
      <w:pPr>
        <w:pStyle w:val="855"/>
        <w:ind w:firstLine="360"/>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（2）供应商需按照采购文件的要求提供相应的《</w:t>
      </w:r>
      <w:r>
        <w:rPr>
          <w:rFonts w:hint="eastAsia" w:ascii="宋体" w:hAnsi="宋体" w:eastAsia="宋体" w:cs="宋体"/>
        </w:rPr>
        <w:t xml:space="preserve">中小企业声明函</w:t>
      </w:r>
      <w:r>
        <w:rPr>
          <w:rFonts w:hint="eastAsia" w:ascii="宋体" w:hAnsi="宋体" w:eastAsia="宋体" w:cs="宋体"/>
          <w:color w:val="000000"/>
        </w:rPr>
        <w:t xml:space="preserve">》。</w:t>
      </w:r>
      <w:r/>
    </w:p>
    <w:p>
      <w:pPr>
        <w:pStyle w:val="855"/>
        <w:ind w:firstLine="360"/>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（3）企业标准请参照《关于印发中小企业划型标准规定的通知》（工信部联企业〔2011〕300号）文件规定自行填写。</w:t>
      </w:r>
      <w:r/>
    </w:p>
    <w:p>
      <w:pPr>
        <w:pStyle w:val="855"/>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2、残疾人福利单位价格扣除</w:t>
      </w:r>
      <w:r/>
    </w:p>
    <w:p>
      <w:pPr>
        <w:pStyle w:val="855"/>
        <w:ind w:left="120" w:firstLine="360"/>
        <w:spacing w:before="120" w:beforeAutospacing="0" w:after="120" w:afterAutospacing="0" w:line="0" w:lineRule="atLeast"/>
        <w:rPr>
          <w:rFonts w:hint="eastAsia" w:ascii="宋体" w:hAnsi="宋体" w:eastAsia="宋体" w:cs="宋体"/>
          <w:color w:val="000000"/>
          <w:u w:val="single"/>
        </w:rPr>
      </w:pPr>
      <w:r>
        <w:rPr>
          <w:rFonts w:hint="eastAsia" w:ascii="宋体" w:hAnsi="宋体" w:eastAsia="宋体" w:cs="宋体"/>
          <w:color w:val="000000"/>
        </w:rPr>
        <w:t xml:space="preserve">（1）本项目对残疾人福利性单位视同小型、微型企业，给予</w:t>
      </w:r>
      <w:r>
        <w:rPr>
          <w:rFonts w:hint="eastAsia" w:ascii="宋体" w:hAnsi="宋体" w:eastAsia="宋体" w:cs="宋体"/>
          <w:color w:val="000000"/>
          <w:u w:val="single"/>
        </w:rPr>
        <w:t xml:space="preserve">20%的价格扣除。</w:t>
      </w:r>
      <w:r/>
    </w:p>
    <w:p>
      <w:pPr>
        <w:pStyle w:val="855"/>
        <w:ind w:left="120" w:firstLine="360"/>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（2）残疾人福利单位需按照采购文件的要求提供《残疾人福利性单位声明函》。</w:t>
      </w:r>
      <w:r/>
    </w:p>
    <w:p>
      <w:pPr>
        <w:pStyle w:val="855"/>
        <w:ind w:left="120" w:firstLine="360"/>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（3）残疾人福利单位标准请参照《关于促进残疾人就业政府采购政策的通知》（财库〔2017〕141号）。</w:t>
      </w:r>
      <w:r/>
    </w:p>
    <w:p>
      <w:pPr>
        <w:pStyle w:val="855"/>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3、监狱和戒毒企业价格扣除</w:t>
      </w:r>
      <w:r/>
    </w:p>
    <w:p>
      <w:pPr>
        <w:pStyle w:val="855"/>
        <w:ind w:left="120" w:firstLine="360"/>
        <w:spacing w:before="120" w:beforeAutospacing="0" w:after="120" w:afterAutospacing="0" w:line="0" w:lineRule="atLeast"/>
        <w:rPr>
          <w:rFonts w:hint="eastAsia" w:ascii="宋体" w:hAnsi="宋体" w:eastAsia="宋体" w:cs="宋体"/>
          <w:color w:val="000000"/>
          <w:u w:val="single"/>
        </w:rPr>
      </w:pPr>
      <w:r>
        <w:rPr>
          <w:rFonts w:hint="eastAsia" w:ascii="宋体" w:hAnsi="宋体" w:eastAsia="宋体" w:cs="宋体"/>
          <w:color w:val="000000"/>
        </w:rPr>
        <w:t xml:space="preserve">（1）本项目对监狱和戒毒企业（简称监狱企业）视同小型、微型企业，给予</w:t>
      </w:r>
      <w:r>
        <w:rPr>
          <w:rFonts w:hint="eastAsia" w:ascii="宋体" w:hAnsi="宋体" w:eastAsia="宋体" w:cs="宋体"/>
          <w:color w:val="000000"/>
          <w:u w:val="single"/>
        </w:rPr>
        <w:t xml:space="preserve">20%的价格扣除。</w:t>
      </w:r>
      <w:r/>
    </w:p>
    <w:p>
      <w:pPr>
        <w:pStyle w:val="855"/>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55"/>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（3）监狱企业标准请参照《关于政府采购支持监狱企业发展有关问题的通知》（财库〔2014〕68号）。</w:t>
      </w:r>
      <w:r/>
    </w:p>
    <w:p>
      <w:pPr>
        <w:pStyle w:val="855"/>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4、残疾人福利单位、监狱企业属于小型、微型企业的，不重复享受政策。</w:t>
      </w:r>
      <w:r/>
    </w:p>
    <w:p>
      <w:pPr>
        <w:pStyle w:val="855"/>
        <w:ind w:firstLine="480"/>
        <w:spacing w:before="120" w:beforeAutospacing="0" w:after="120" w:afterAutospacing="0" w:line="0" w:lineRule="atLeast"/>
        <w:rPr>
          <w:rFonts w:hint="eastAsia" w:ascii="宋体" w:hAnsi="宋体" w:eastAsia="宋体" w:cs="宋体"/>
          <w:color w:val="000000"/>
        </w:rPr>
      </w:pPr>
      <w:r>
        <w:rPr>
          <w:rFonts w:hint="eastAsia" w:ascii="宋体" w:hAnsi="宋体" w:eastAsia="宋体" w:cs="宋体"/>
          <w:color w:val="000000"/>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w:t>
      </w:r>
      <w:r>
        <w:rPr>
          <w:rFonts w:hint="eastAsia" w:ascii="宋体" w:hAnsi="宋体" w:eastAsia="宋体" w:cs="宋体"/>
          <w:color w:val="000000"/>
        </w:rPr>
        <w:t xml:space="preserve">利单位、监狱企业）的合同份额占到合同总金额30%以上的，给予联合体或者大中型企业</w:t>
      </w:r>
      <w:r>
        <w:rPr>
          <w:rFonts w:hint="eastAsia" w:ascii="宋体" w:hAnsi="宋体" w:eastAsia="宋体" w:cs="宋体"/>
          <w:color w:val="000000"/>
          <w:u w:val="single"/>
        </w:rPr>
        <w:t xml:space="preserve">6%</w:t>
      </w:r>
      <w:r>
        <w:rPr>
          <w:rFonts w:hint="eastAsia" w:ascii="宋体" w:hAnsi="宋体" w:eastAsia="宋体" w:cs="宋体"/>
          <w:color w:val="000000"/>
        </w:rPr>
        <w:t xml:space="preserve">的价格扣除，用扣除后的价格参与评审。</w:t>
      </w:r>
      <w:r/>
    </w:p>
    <w:p>
      <w:pPr>
        <w:pStyle w:val="855"/>
        <w:ind w:left="120" w:firstLine="360"/>
        <w:spacing w:before="120" w:beforeAutospacing="0" w:after="120" w:afterAutospacing="0" w:line="0" w:lineRule="atLeast"/>
        <w:rPr>
          <w:rFonts w:hint="eastAsia" w:ascii="宋体" w:hAnsi="宋体" w:eastAsia="宋体" w:cs="宋体"/>
          <w:color w:val="000000"/>
          <w:u w:val="single"/>
        </w:rPr>
      </w:pPr>
      <w:r>
        <w:rPr>
          <w:rFonts w:hint="eastAsia" w:ascii="宋体" w:hAnsi="宋体" w:eastAsia="宋体" w:cs="宋体"/>
          <w:color w:val="000000"/>
        </w:rPr>
        <w:t xml:space="preserve">6、联合体各方均为小型、微型企业（残疾人福利单位、监狱企业）的，联合体享受</w:t>
      </w:r>
      <w:r>
        <w:rPr>
          <w:rFonts w:hint="eastAsia" w:ascii="宋体" w:hAnsi="宋体" w:eastAsia="宋体" w:cs="宋体"/>
          <w:color w:val="000000"/>
          <w:u w:val="single"/>
        </w:rPr>
        <w:t xml:space="preserve">20%的价格扣除。</w:t>
      </w:r>
      <w:r/>
    </w:p>
    <w:p>
      <w:pPr>
        <w:ind w:firstLine="482"/>
        <w:jc w:val="left"/>
        <w:spacing w:line="400" w:lineRule="exact"/>
        <w:rPr>
          <w:rFonts w:hint="eastAsia" w:ascii="宋体" w:hAnsi="宋体" w:eastAsia="宋体" w:cs="宋体"/>
          <w:b/>
          <w:bCs/>
          <w:color w:val="ff0000"/>
          <w:sz w:val="24"/>
        </w:rPr>
      </w:pPr>
      <w:r>
        <w:rPr>
          <w:rFonts w:hint="eastAsia" w:ascii="宋体" w:hAnsi="宋体" w:eastAsia="宋体" w:cs="宋体"/>
          <w:b/>
          <w:bCs/>
          <w:color w:val="ff0000"/>
          <w:sz w:val="24"/>
        </w:rPr>
        <w:t xml:space="preserve">7、采购本国产品的支持政策</w:t>
      </w:r>
      <w:r/>
    </w:p>
    <w:p>
      <w:pPr>
        <w:ind w:firstLine="482"/>
        <w:jc w:val="left"/>
        <w:spacing w:line="400" w:lineRule="exact"/>
        <w:rPr>
          <w:rFonts w:hint="eastAsia" w:ascii="宋体" w:hAnsi="宋体" w:eastAsia="宋体" w:cs="宋体"/>
          <w:b/>
          <w:bCs/>
          <w:color w:val="ff0000"/>
          <w:sz w:val="24"/>
        </w:rPr>
      </w:pPr>
      <w:r>
        <w:rPr>
          <w:rFonts w:hint="eastAsia" w:ascii="宋体" w:hAnsi="宋体" w:eastAsia="宋体" w:cs="宋体"/>
          <w:b/>
          <w:bCs/>
          <w:color w:val="ff0000"/>
          <w:sz w:val="24"/>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bCs/>
          <w:color w:val="ff0000"/>
          <w:sz w:val="24"/>
          <w:u w:val="single"/>
        </w:rPr>
        <w:t xml:space="preserve">20%</w:t>
      </w:r>
      <w:r>
        <w:rPr>
          <w:rFonts w:hint="eastAsia" w:ascii="宋体" w:hAnsi="宋体" w:eastAsia="宋体" w:cs="宋体"/>
          <w:b/>
          <w:bCs/>
          <w:color w:val="ff0000"/>
          <w:sz w:val="24"/>
        </w:rPr>
        <w:t xml:space="preserve">的价格扣除，用扣除后的价格参与评审。</w:t>
      </w:r>
      <w:r/>
    </w:p>
    <w:p>
      <w:pPr>
        <w:ind w:firstLine="482"/>
        <w:jc w:val="left"/>
        <w:spacing w:line="400" w:lineRule="exact"/>
        <w:rPr>
          <w:rFonts w:hint="eastAsia" w:ascii="宋体" w:hAnsi="宋体" w:eastAsia="宋体" w:cs="宋体"/>
          <w:b/>
          <w:bCs/>
          <w:color w:val="ff0000"/>
          <w:sz w:val="24"/>
        </w:rPr>
      </w:pPr>
      <w:r>
        <w:rPr>
          <w:rFonts w:hint="eastAsia" w:ascii="宋体" w:hAnsi="宋体" w:eastAsia="宋体" w:cs="宋体"/>
          <w:b/>
          <w:bCs/>
          <w:color w:val="ff0000"/>
          <w:sz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ff0000"/>
          <w:sz w:val="24"/>
          <w:u w:val="single"/>
        </w:rPr>
        <w:t xml:space="preserve">80%</w:t>
      </w:r>
      <w:r>
        <w:rPr>
          <w:rFonts w:hint="eastAsia" w:ascii="宋体" w:hAnsi="宋体" w:eastAsia="宋体" w:cs="宋体"/>
          <w:b/>
          <w:bCs/>
          <w:color w:val="ff0000"/>
          <w:sz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ff0000"/>
          <w:sz w:val="24"/>
          <w:u w:val="single"/>
        </w:rPr>
        <w:t xml:space="preserve">20%</w:t>
      </w:r>
      <w:r>
        <w:rPr>
          <w:rFonts w:hint="eastAsia" w:ascii="宋体" w:hAnsi="宋体" w:eastAsia="宋体" w:cs="宋体"/>
          <w:b/>
          <w:bCs/>
          <w:color w:val="ff0000"/>
          <w:sz w:val="24"/>
        </w:rPr>
        <w:t xml:space="preserve">的价格扣除，用扣除后的价格参与评审。供应商未填写比例数值，或比例数值未达到80%的，将不享受本国产品价格评审优惠。</w:t>
      </w:r>
      <w:r/>
    </w:p>
    <w:p>
      <w:pPr>
        <w:ind w:firstLine="482"/>
        <w:jc w:val="left"/>
        <w:spacing w:line="400" w:lineRule="exact"/>
        <w:rPr>
          <w:rFonts w:hint="eastAsia" w:ascii="宋体" w:hAnsi="宋体" w:eastAsia="宋体" w:cs="宋体"/>
          <w:b/>
          <w:bCs/>
          <w:color w:val="ff0000"/>
          <w:sz w:val="24"/>
        </w:rPr>
      </w:pPr>
      <w:r>
        <w:rPr>
          <w:rFonts w:hint="eastAsia" w:ascii="宋体" w:hAnsi="宋体" w:eastAsia="宋体" w:cs="宋体"/>
          <w:b/>
          <w:bCs/>
          <w:color w:val="ff0000"/>
          <w:sz w:val="24"/>
        </w:rPr>
        <w:t xml:space="preserve">7.3 供应商需按照招标文件的要求提供《关于符合本国产品标准的声明函》（以下简称《声明函》），如不提供将不享受本国产品价格评审优惠。</w:t>
      </w:r>
      <w:r/>
    </w:p>
    <w:p>
      <w:pPr>
        <w:ind w:firstLine="482"/>
        <w:jc w:val="left"/>
        <w:spacing w:line="400" w:lineRule="exact"/>
        <w:rPr>
          <w:rFonts w:hint="eastAsia" w:ascii="宋体" w:hAnsi="宋体" w:eastAsia="宋体" w:cs="宋体"/>
          <w:b/>
          <w:bCs/>
          <w:color w:val="ff0000"/>
          <w:sz w:val="24"/>
        </w:rPr>
      </w:pPr>
      <w:r>
        <w:rPr>
          <w:rFonts w:hint="eastAsia" w:ascii="宋体" w:hAnsi="宋体" w:eastAsia="宋体" w:cs="宋体"/>
          <w:b/>
          <w:bCs/>
          <w:color w:val="ff0000"/>
          <w:sz w:val="24"/>
        </w:rPr>
        <w:t xml:space="preserve">7.4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2"/>
        <w:jc w:val="left"/>
        <w:spacing w:line="400" w:lineRule="exact"/>
        <w:rPr>
          <w:rFonts w:hint="eastAsia" w:ascii="宋体" w:hAnsi="宋体" w:eastAsia="宋体" w:cs="宋体"/>
          <w:color w:val="000000"/>
          <w:u w:val="single"/>
        </w:rPr>
      </w:pPr>
      <w:r>
        <w:rPr>
          <w:rFonts w:hint="eastAsia" w:ascii="宋体" w:hAnsi="宋体" w:eastAsia="宋体" w:cs="宋体"/>
          <w:b/>
          <w:bCs/>
          <w:color w:val="ff0000"/>
          <w:sz w:val="24"/>
        </w:rPr>
        <w:t xml:space="preserve">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color w:val="ff0000"/>
          <w:sz w:val="24"/>
        </w:rPr>
        <w:t xml:space="preserve">和招标文件规定的，供应商提供的相关产品视为不符合本国产品标准。</w:t>
      </w:r>
      <w:r/>
    </w:p>
    <w:p>
      <w:pPr>
        <w:ind w:firstLine="480"/>
        <w:rPr>
          <w:rFonts w:hint="eastAsia" w:ascii="宋体" w:hAnsi="宋体" w:eastAsia="宋体" w:cs="宋体"/>
          <w:sz w:val="24"/>
        </w:rPr>
      </w:pPr>
      <w:r>
        <w:rPr>
          <w:rFonts w:hint="eastAsia" w:ascii="宋体" w:hAnsi="宋体" w:eastAsia="宋体" w:cs="宋体"/>
          <w:sz w:val="24"/>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pStyle w:val="855"/>
        <w:spacing w:before="120" w:beforeAutospacing="0" w:after="120" w:afterAutospacing="0" w:line="0" w:lineRule="atLeast"/>
        <w:rPr>
          <w:rFonts w:hint="eastAsia" w:ascii="宋体" w:hAnsi="宋体" w:eastAsia="宋体" w:cs="宋体"/>
        </w:rPr>
      </w:pPr>
      <w:r>
        <w:rPr>
          <w:rFonts w:hint="eastAsia" w:ascii="宋体" w:hAnsi="宋体" w:eastAsia="宋体" w:cs="宋体"/>
          <w:b/>
          <w:color w:val="000000"/>
        </w:rPr>
        <w:t xml:space="preserve">三、评标方法与评标标准</w:t>
      </w:r>
      <w:r/>
    </w:p>
    <w:p>
      <w:pPr>
        <w:pStyle w:val="855"/>
        <w:jc w:val="both"/>
        <w:spacing w:beforeAutospacing="0" w:afterAutospacing="0"/>
        <w:rPr>
          <w:rFonts w:hint="eastAsia" w:ascii="宋体" w:hAnsi="宋体" w:eastAsia="宋体" w:cs="宋体"/>
        </w:rPr>
      </w:pPr>
      <w:r>
        <w:rPr>
          <w:rFonts w:hint="eastAsia" w:ascii="宋体" w:hAnsi="宋体" w:eastAsia="宋体" w:cs="宋体"/>
        </w:rPr>
        <w:t xml:space="preserve"> </w:t>
      </w:r>
      <w:r/>
    </w:p>
    <w:tbl>
      <w:tblPr>
        <w:tblW w:w="89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8"/>
        <w:gridCol w:w="1398"/>
        <w:gridCol w:w="851"/>
        <w:gridCol w:w="6022"/>
      </w:tblGrid>
      <w:tr>
        <w:trPr>
          <w:jc w:val="center"/>
          <w:trHeight w:val="402"/>
          <w:tblHeader/>
        </w:trPr>
        <w:tc>
          <w:tcPr>
            <w:tcW w:w="658"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color w:val="000000"/>
                <w:szCs w:val="21"/>
              </w:rPr>
              <w:t xml:space="preserve">序号</w:t>
            </w:r>
            <w:r/>
          </w:p>
        </w:tc>
        <w:tc>
          <w:tcPr>
            <w:tcW w:w="1398"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color w:val="000000"/>
                <w:szCs w:val="21"/>
              </w:rPr>
              <w:t xml:space="preserve">评审因素</w:t>
            </w:r>
            <w:r/>
          </w:p>
        </w:tc>
        <w:tc>
          <w:tcPr>
            <w:tcW w:w="851"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color w:val="000000"/>
                <w:szCs w:val="21"/>
              </w:rPr>
              <w:t xml:space="preserve">分值</w:t>
            </w:r>
            <w:r/>
          </w:p>
        </w:tc>
        <w:tc>
          <w:tcPr>
            <w:tcW w:w="6022"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color w:val="000000"/>
                <w:szCs w:val="21"/>
              </w:rPr>
              <w:t xml:space="preserve">评分标准说明</w:t>
            </w:r>
            <w:r/>
          </w:p>
        </w:tc>
      </w:tr>
      <w:tr>
        <w:trPr>
          <w:jc w:val="center"/>
          <w:trHeight w:val="1032"/>
        </w:trPr>
        <w:tc>
          <w:tcPr>
            <w:tcW w:w="658"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1</w:t>
            </w:r>
            <w:r/>
          </w:p>
        </w:tc>
        <w:tc>
          <w:tcPr>
            <w:tcW w:w="1398" w:type="dxa"/>
            <w:vAlign w:val="center"/>
            <w:textDirection w:val="lrTb"/>
            <w:noWrap w:val="false"/>
          </w:tcPr>
          <w:p>
            <w:pPr>
              <w:jc w:val="center"/>
              <w:spacing w:line="360" w:lineRule="exact"/>
              <w:rPr>
                <w:rFonts w:hint="eastAsia" w:ascii="宋体" w:hAnsi="宋体" w:eastAsia="宋体"/>
                <w:szCs w:val="21"/>
              </w:rPr>
            </w:pPr>
            <w:r/>
            <w:bookmarkStart w:id="215" w:name="OLE_LINK71"/>
            <w:r/>
            <w:bookmarkStart w:id="216" w:name="OLE_LINK72"/>
            <w:r>
              <w:rPr>
                <w:rFonts w:hint="eastAsia" w:ascii="宋体" w:hAnsi="宋体" w:eastAsia="宋体"/>
                <w:szCs w:val="21"/>
              </w:rPr>
              <w:t xml:space="preserve">价格分</w:t>
            </w:r>
            <w:bookmarkEnd w:id="215"/>
            <w:r/>
            <w:bookmarkEnd w:id="216"/>
            <w:r/>
            <w:r/>
          </w:p>
        </w:tc>
        <w:tc>
          <w:tcPr>
            <w:tcW w:w="851"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20分</w:t>
            </w:r>
            <w:r/>
          </w:p>
        </w:tc>
        <w:tc>
          <w:tcPr>
            <w:tcW w:w="6022" w:type="dxa"/>
            <w:vAlign w:val="center"/>
            <w:textDirection w:val="lrTb"/>
            <w:noWrap w:val="false"/>
          </w:tcPr>
          <w:p>
            <w:pPr>
              <w:jc w:val="left"/>
              <w:spacing w:line="360" w:lineRule="exact"/>
              <w:rPr>
                <w:rFonts w:hint="eastAsia" w:ascii="宋体" w:hAnsi="宋体" w:eastAsia="宋体"/>
                <w:szCs w:val="21"/>
              </w:rPr>
            </w:pPr>
            <w:r/>
            <w:bookmarkStart w:id="217" w:name="OLE_LINK74"/>
            <w:r/>
            <w:bookmarkStart w:id="218" w:name="OLE_LINK73"/>
            <w:r>
              <w:rPr>
                <w:rFonts w:hint="eastAsia" w:ascii="宋体" w:hAnsi="宋体" w:eastAsia="宋体"/>
                <w:szCs w:val="21"/>
              </w:rPr>
              <w:t xml:space="preserve">本项目采用低价优先法计算，即满足招标文件要求且投标价格最低的投标报价为评标基准价，其价格分为满分：20</w:t>
            </w:r>
            <w:r>
              <w:rPr>
                <w:rFonts w:ascii="宋体" w:hAnsi="宋体" w:eastAsia="宋体"/>
                <w:szCs w:val="21"/>
              </w:rPr>
              <w:t xml:space="preserve">分。</w:t>
            </w:r>
            <w:r/>
          </w:p>
          <w:p>
            <w:pPr>
              <w:jc w:val="left"/>
              <w:spacing w:line="360" w:lineRule="exact"/>
              <w:rPr>
                <w:rFonts w:hint="eastAsia" w:ascii="宋体" w:hAnsi="宋体" w:eastAsia="宋体"/>
                <w:szCs w:val="21"/>
              </w:rPr>
            </w:pPr>
            <w:r>
              <w:rPr>
                <w:rFonts w:hint="eastAsia" w:ascii="宋体" w:hAnsi="宋体" w:eastAsia="宋体"/>
                <w:szCs w:val="21"/>
              </w:rPr>
              <w:t xml:space="preserve">其他投标人的价格分统一按照下列公式计算：投标报价得分</w:t>
            </w:r>
            <w:r>
              <w:rPr>
                <w:rFonts w:ascii="宋体" w:hAnsi="宋体" w:eastAsia="宋体"/>
                <w:szCs w:val="21"/>
              </w:rPr>
              <w:t xml:space="preserve">=(评标基准价／投标报价)×</w:t>
            </w:r>
            <w:r>
              <w:rPr>
                <w:rFonts w:hint="eastAsia" w:ascii="宋体" w:hAnsi="宋体" w:eastAsia="宋体"/>
                <w:szCs w:val="21"/>
              </w:rPr>
              <w:t xml:space="preserve">20</w:t>
            </w:r>
            <w:r>
              <w:rPr>
                <w:rFonts w:ascii="宋体" w:hAnsi="宋体" w:eastAsia="宋体"/>
                <w:szCs w:val="21"/>
              </w:rPr>
              <w:t xml:space="preserve">（按四舍五入取至小数点后两位）。</w:t>
            </w:r>
            <w:r/>
          </w:p>
          <w:p>
            <w:pPr>
              <w:jc w:val="left"/>
              <w:spacing w:line="360" w:lineRule="exact"/>
              <w:rPr>
                <w:rFonts w:hint="eastAsia" w:ascii="宋体" w:hAnsi="宋体" w:eastAsia="宋体"/>
                <w:szCs w:val="21"/>
              </w:rPr>
            </w:pPr>
            <w:r>
              <w:rPr>
                <w:rFonts w:hint="eastAsia" w:ascii="宋体" w:hAnsi="宋体" w:eastAsia="宋体"/>
                <w:szCs w:val="21"/>
              </w:rPr>
              <w:t xml:space="preserve">因落实政府采购政策进行价格调整的，以调整后的价格计算评标基准价和投标报价。</w:t>
            </w:r>
            <w:bookmarkEnd w:id="217"/>
            <w:r/>
            <w:bookmarkEnd w:id="218"/>
            <w:r/>
            <w:r/>
          </w:p>
        </w:tc>
      </w:tr>
      <w:tr>
        <w:trPr>
          <w:jc w:val="center"/>
          <w:trHeight w:val="1032"/>
        </w:trPr>
        <w:tc>
          <w:tcPr>
            <w:tcW w:w="658"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2</w:t>
            </w:r>
            <w:r/>
          </w:p>
        </w:tc>
        <w:tc>
          <w:tcPr>
            <w:tcW w:w="1398"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企业业绩</w:t>
            </w:r>
            <w:r/>
          </w:p>
        </w:tc>
        <w:tc>
          <w:tcPr>
            <w:tcW w:w="851"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10分</w:t>
            </w:r>
            <w:r/>
          </w:p>
        </w:tc>
        <w:tc>
          <w:tcPr>
            <w:tcW w:w="6022" w:type="dxa"/>
            <w:vAlign w:val="center"/>
            <w:textDirection w:val="lrTb"/>
            <w:noWrap w:val="false"/>
          </w:tcPr>
          <w:p>
            <w:pPr>
              <w:jc w:val="left"/>
              <w:spacing w:line="360" w:lineRule="exact"/>
              <w:rPr>
                <w:rFonts w:hint="eastAsia" w:ascii="宋体" w:hAnsi="宋体" w:eastAsia="宋体"/>
                <w:szCs w:val="21"/>
              </w:rPr>
            </w:pPr>
            <w:r/>
            <w:bookmarkStart w:id="219" w:name="_Hlk232083348"/>
            <w:r>
              <w:rPr>
                <w:rFonts w:hint="eastAsia" w:ascii="宋体" w:hAnsi="宋体" w:eastAsia="宋体"/>
                <w:szCs w:val="21"/>
              </w:rPr>
              <w:t xml:space="preserve">投标人具有2023年1月1日以来（以合同签订时间为准）校园配餐业绩的，每提供一份得2分，本项最高得10分。</w:t>
            </w:r>
            <w:bookmarkEnd w:id="219"/>
            <w:r>
              <w:rPr>
                <w:rFonts w:hint="eastAsia" w:ascii="宋体" w:hAnsi="宋体" w:eastAsia="宋体"/>
                <w:szCs w:val="21"/>
              </w:rPr>
              <w:t xml:space="preserve">投标时需提供合同和被服务单位对其餐饮服务满意度良好及以上证明材料，未提供或提供的材料不符合要求均不得分。</w:t>
            </w:r>
            <w:r/>
          </w:p>
        </w:tc>
      </w:tr>
      <w:tr>
        <w:trPr>
          <w:jc w:val="center"/>
          <w:trHeight w:val="1130"/>
        </w:trPr>
        <w:tc>
          <w:tcPr>
            <w:tcW w:w="658"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3</w:t>
            </w:r>
            <w:r/>
          </w:p>
        </w:tc>
        <w:tc>
          <w:tcPr>
            <w:tcW w:w="1398"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体系认证</w:t>
            </w:r>
            <w:r/>
          </w:p>
        </w:tc>
        <w:tc>
          <w:tcPr>
            <w:tcW w:w="851"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4分</w:t>
            </w:r>
            <w:r/>
          </w:p>
        </w:tc>
        <w:tc>
          <w:tcPr>
            <w:tcW w:w="6022" w:type="dxa"/>
            <w:vAlign w:val="center"/>
            <w:textDirection w:val="lrTb"/>
            <w:noWrap w:val="false"/>
          </w:tcPr>
          <w:p>
            <w:pPr>
              <w:jc w:val="left"/>
              <w:spacing w:line="360" w:lineRule="exact"/>
              <w:rPr>
                <w:rFonts w:hint="eastAsia" w:ascii="宋体" w:hAnsi="宋体" w:eastAsia="宋体"/>
                <w:szCs w:val="21"/>
              </w:rPr>
            </w:pPr>
            <w:r>
              <w:rPr>
                <w:rFonts w:hint="eastAsia" w:ascii="宋体" w:hAnsi="宋体" w:eastAsia="宋体"/>
                <w:szCs w:val="21"/>
              </w:rPr>
              <w:t xml:space="preserve">投标供应商具有</w:t>
            </w:r>
            <w:bookmarkStart w:id="220" w:name="OLE_LINK6"/>
            <w:r>
              <w:rPr>
                <w:rFonts w:hint="eastAsia" w:ascii="宋体" w:hAnsi="宋体" w:eastAsia="宋体"/>
                <w:szCs w:val="21"/>
              </w:rPr>
              <w:t xml:space="preserve">HACCP</w:t>
            </w:r>
            <w:bookmarkEnd w:id="220"/>
            <w:r>
              <w:rPr>
                <w:rFonts w:hint="eastAsia" w:ascii="宋体" w:hAnsi="宋体" w:eastAsia="宋体"/>
                <w:szCs w:val="21"/>
              </w:rPr>
              <w:t xml:space="preserve">体系认证证书、ISO22000管理体系认证证书，有一项得2分，本项最高得4分。投标时需提供有效期内的相关证书扫描件，未提供不得分。</w:t>
            </w:r>
            <w:r/>
          </w:p>
        </w:tc>
      </w:tr>
      <w:tr>
        <w:trPr>
          <w:jc w:val="center"/>
          <w:trHeight w:val="1032"/>
        </w:trPr>
        <w:tc>
          <w:tcPr>
            <w:tcW w:w="658"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4</w:t>
            </w:r>
            <w:r/>
          </w:p>
        </w:tc>
        <w:tc>
          <w:tcPr>
            <w:tcW w:w="1398"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车辆配置</w:t>
            </w:r>
            <w:r/>
          </w:p>
        </w:tc>
        <w:tc>
          <w:tcPr>
            <w:tcW w:w="851" w:type="dxa"/>
            <w:vAlign w:val="center"/>
            <w:textDirection w:val="lrTb"/>
            <w:noWrap w:val="false"/>
          </w:tcPr>
          <w:p>
            <w:pPr>
              <w:jc w:val="center"/>
              <w:spacing w:line="360" w:lineRule="exact"/>
              <w:rPr>
                <w:rFonts w:hint="eastAsia" w:ascii="宋体" w:hAnsi="宋体" w:eastAsia="宋体"/>
                <w:szCs w:val="21"/>
              </w:rPr>
            </w:pPr>
            <w:r>
              <w:rPr>
                <w:rFonts w:ascii="宋体" w:hAnsi="宋体" w:eastAsia="宋体"/>
                <w:szCs w:val="21"/>
              </w:rPr>
              <w:t xml:space="preserve">4</w:t>
            </w:r>
            <w:r>
              <w:rPr>
                <w:rFonts w:hint="eastAsia" w:ascii="宋体" w:hAnsi="宋体" w:eastAsia="宋体"/>
                <w:szCs w:val="21"/>
              </w:rPr>
              <w:t xml:space="preserve">分</w:t>
            </w:r>
            <w:r/>
          </w:p>
        </w:tc>
        <w:tc>
          <w:tcPr>
            <w:tcW w:w="6022" w:type="dxa"/>
            <w:vAlign w:val="center"/>
            <w:textDirection w:val="lrTb"/>
            <w:noWrap w:val="false"/>
          </w:tcPr>
          <w:p>
            <w:pPr>
              <w:spacing w:line="360" w:lineRule="auto"/>
              <w:tabs>
                <w:tab w:val="left" w:pos="945" w:leader="none"/>
                <w:tab w:val="left" w:pos="1155" w:leader="none"/>
              </w:tabs>
              <w:rPr>
                <w:rFonts w:hint="eastAsia" w:ascii="宋体" w:hAnsi="宋体" w:eastAsia="宋体"/>
                <w:szCs w:val="21"/>
              </w:rPr>
            </w:pPr>
            <w:r>
              <w:rPr>
                <w:rFonts w:hint="eastAsia" w:ascii="宋体" w:hAnsi="宋体" w:eastAsia="宋体"/>
                <w:szCs w:val="21"/>
              </w:rPr>
              <w:t xml:space="preserve">投标人拟用于本项目的配送车辆需为封闭式食品专用运输车（配指纹锁），配备实时定位、车厢监控设备。满足以上全部要求的车辆以</w:t>
            </w:r>
            <w:r>
              <w:rPr>
                <w:rFonts w:ascii="宋体" w:hAnsi="宋体" w:eastAsia="宋体"/>
                <w:szCs w:val="21"/>
              </w:rPr>
              <w:t xml:space="preserve">10</w:t>
            </w:r>
            <w:r>
              <w:rPr>
                <w:rFonts w:hint="eastAsia" w:ascii="宋体" w:hAnsi="宋体" w:eastAsia="宋体"/>
                <w:szCs w:val="21"/>
              </w:rPr>
              <w:t xml:space="preserve">辆为基数，在此基础上每增加一辆符合要求的配送车得1分，本项最多得4分。</w:t>
            </w:r>
            <w:r>
              <w:rPr>
                <w:rFonts w:hint="eastAsia" w:cs="宋体"/>
                <w:color w:val="000000"/>
                <w:szCs w:val="21"/>
              </w:rPr>
              <w:t xml:space="preserve">如自有车辆的投标时提供车辆</w:t>
            </w:r>
            <w:r>
              <w:rPr>
                <w:rFonts w:hint="eastAsia" w:ascii="宋体" w:hAnsi="宋体" w:eastAsia="宋体"/>
                <w:szCs w:val="21"/>
              </w:rPr>
              <w:t xml:space="preserve">实拍照片（车厢、定位监控设备）</w:t>
            </w:r>
            <w:r>
              <w:rPr>
                <w:rFonts w:hint="eastAsia" w:cs="宋体"/>
                <w:color w:val="000000"/>
                <w:szCs w:val="21"/>
              </w:rPr>
              <w:t xml:space="preserve">、行驶证及车辆权属证明；如车辆为租赁的投标时提供租赁合同、车辆</w:t>
            </w:r>
            <w:r>
              <w:rPr>
                <w:rFonts w:hint="eastAsia" w:ascii="宋体" w:hAnsi="宋体" w:eastAsia="宋体"/>
                <w:szCs w:val="21"/>
              </w:rPr>
              <w:t xml:space="preserve">实拍照片（车厢、定位监控设备）</w:t>
            </w:r>
            <w:r>
              <w:rPr>
                <w:rFonts w:hint="eastAsia" w:cs="宋体"/>
                <w:color w:val="000000"/>
                <w:szCs w:val="21"/>
              </w:rPr>
              <w:t xml:space="preserve">、行驶证、覆盖整个服务期的租赁合同，未提供或提供的材料不符合要求均不得分。</w:t>
            </w:r>
            <w:r/>
          </w:p>
        </w:tc>
      </w:tr>
      <w:tr>
        <w:trPr>
          <w:jc w:val="center"/>
          <w:trHeight w:val="1032"/>
        </w:trPr>
        <w:tc>
          <w:tcPr>
            <w:tcW w:w="658"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5</w:t>
            </w:r>
            <w:r/>
          </w:p>
        </w:tc>
        <w:tc>
          <w:tcPr>
            <w:tcW w:w="1398"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检验室配置</w:t>
            </w:r>
            <w:r/>
          </w:p>
        </w:tc>
        <w:tc>
          <w:tcPr>
            <w:tcW w:w="851"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6分</w:t>
            </w:r>
            <w:r/>
          </w:p>
        </w:tc>
        <w:tc>
          <w:tcPr>
            <w:tcW w:w="6022" w:type="dxa"/>
            <w:vAlign w:val="center"/>
            <w:textDirection w:val="lrTb"/>
            <w:noWrap w:val="false"/>
          </w:tcPr>
          <w:p>
            <w:pPr>
              <w:jc w:val="left"/>
              <w:spacing w:line="360" w:lineRule="auto"/>
              <w:rPr>
                <w:rFonts w:cs="宋体"/>
                <w:color w:val="000000"/>
                <w:szCs w:val="21"/>
              </w:rPr>
            </w:pPr>
            <w:r>
              <w:rPr>
                <w:rFonts w:hint="eastAsia" w:ascii="宋体" w:hAnsi="宋体" w:eastAsia="宋体"/>
                <w:szCs w:val="21"/>
              </w:rPr>
              <w:t xml:space="preserve">1.</w:t>
            </w:r>
            <w:r>
              <w:rPr>
                <w:rFonts w:hint="eastAsia" w:cs="宋体"/>
                <w:color w:val="000000"/>
                <w:szCs w:val="21"/>
              </w:rPr>
              <w:t xml:space="preserve">投标单位有能够完成食材检测的设备：每有一种食材检测相关设备（需说明用途）的得</w:t>
            </w:r>
            <w:r>
              <w:rPr>
                <w:rFonts w:hint="eastAsia" w:cs="宋体"/>
                <w:color w:val="000000"/>
                <w:szCs w:val="21"/>
              </w:rPr>
              <w:t xml:space="preserve">1</w:t>
            </w:r>
            <w:r>
              <w:rPr>
                <w:rFonts w:hint="eastAsia" w:cs="宋体"/>
                <w:color w:val="000000"/>
                <w:szCs w:val="21"/>
              </w:rPr>
              <w:t xml:space="preserve">分，最高</w:t>
            </w:r>
            <w:r>
              <w:rPr>
                <w:rFonts w:hint="eastAsia" w:cs="宋体"/>
                <w:color w:val="000000"/>
                <w:szCs w:val="21"/>
              </w:rPr>
              <w:t xml:space="preserve">4</w:t>
            </w:r>
            <w:r>
              <w:rPr>
                <w:rFonts w:hint="eastAsia" w:cs="宋体"/>
                <w:color w:val="000000"/>
                <w:szCs w:val="21"/>
              </w:rPr>
              <w:t xml:space="preserve">分。（如自有设备的提供相应设施设备的图片和设备购置发票；如租赁设备的提供相应设施设备的图片、租赁发票和租赁合同（租赁结束日期不早于本项目服务结束日期）</w:t>
            </w:r>
            <w:r/>
          </w:p>
          <w:p>
            <w:pPr>
              <w:spacing w:line="360" w:lineRule="auto"/>
              <w:tabs>
                <w:tab w:val="left" w:pos="945" w:leader="none"/>
                <w:tab w:val="left" w:pos="1155" w:leader="none"/>
              </w:tabs>
              <w:rPr>
                <w:rFonts w:hint="eastAsia" w:ascii="宋体" w:hAnsi="宋体" w:eastAsia="宋体"/>
                <w:szCs w:val="21"/>
              </w:rPr>
            </w:pPr>
            <w:r>
              <w:rPr>
                <w:rFonts w:hint="eastAsia" w:ascii="宋体" w:hAnsi="宋体" w:eastAsia="宋体"/>
                <w:szCs w:val="21"/>
              </w:rPr>
              <w:t xml:space="preserve">2.投标单位拟为本项目配备2名全职持证食品检验员的得2分，投标时提供食品检验员证和健康证扫描件，</w:t>
            </w:r>
            <w:r>
              <w:rPr>
                <w:rFonts w:hint="eastAsia" w:cs="宋体"/>
                <w:color w:val="000000"/>
                <w:szCs w:val="21"/>
              </w:rPr>
              <w:t xml:space="preserve">未提供或提供的材料不符合要求均不得分。</w:t>
            </w:r>
            <w:r/>
          </w:p>
        </w:tc>
      </w:tr>
      <w:tr>
        <w:trPr>
          <w:jc w:val="center"/>
          <w:trHeight w:val="779"/>
        </w:trPr>
        <w:tc>
          <w:tcPr>
            <w:tcW w:w="658" w:type="dxa"/>
            <w:vAlign w:val="center"/>
            <w:textDirection w:val="lrTb"/>
            <w:noWrap w:val="false"/>
          </w:tcPr>
          <w:p>
            <w:pPr>
              <w:jc w:val="center"/>
              <w:spacing w:line="360" w:lineRule="exact"/>
              <w:rPr>
                <w:rFonts w:hint="eastAsia" w:ascii="宋体" w:hAnsi="宋体" w:eastAsia="宋体"/>
                <w:szCs w:val="21"/>
              </w:rPr>
            </w:pPr>
            <w:r>
              <w:rPr>
                <w:rFonts w:ascii="宋体" w:hAnsi="宋体" w:eastAsia="宋体"/>
                <w:szCs w:val="21"/>
              </w:rPr>
              <w:t xml:space="preserve">6</w:t>
            </w:r>
            <w:r/>
          </w:p>
        </w:tc>
        <w:tc>
          <w:tcPr>
            <w:tcW w:w="1398" w:type="dxa"/>
            <w:vAlign w:val="center"/>
            <w:textDirection w:val="lrTb"/>
            <w:noWrap w:val="false"/>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项目实施方案</w:t>
            </w:r>
            <w:r/>
          </w:p>
        </w:tc>
        <w:tc>
          <w:tcPr>
            <w:tcW w:w="851" w:type="dxa"/>
            <w:vAlign w:val="center"/>
            <w:textDirection w:val="lrTb"/>
            <w:noWrap w:val="false"/>
          </w:tcPr>
          <w:p>
            <w:pPr>
              <w:jc w:val="center"/>
              <w:spacing w:line="360" w:lineRule="exact"/>
              <w:rPr>
                <w:rFonts w:hint="eastAsia" w:ascii="宋体" w:hAnsi="宋体" w:eastAsia="宋体"/>
                <w:szCs w:val="21"/>
              </w:rPr>
            </w:pPr>
            <w:r>
              <w:rPr>
                <w:rFonts w:ascii="宋体" w:hAnsi="宋体" w:eastAsia="宋体"/>
                <w:szCs w:val="21"/>
              </w:rPr>
              <w:t xml:space="preserve">10</w:t>
            </w:r>
            <w:r>
              <w:rPr>
                <w:rFonts w:hint="eastAsia" w:ascii="宋体" w:hAnsi="宋体" w:eastAsia="宋体"/>
                <w:szCs w:val="21"/>
              </w:rPr>
              <w:t xml:space="preserve">分</w:t>
            </w:r>
            <w:r/>
          </w:p>
        </w:tc>
        <w:tc>
          <w:tcPr>
            <w:tcW w:w="6022" w:type="dxa"/>
            <w:vAlign w:val="center"/>
            <w:textDirection w:val="lrTb"/>
            <w:noWrap w:val="false"/>
          </w:tcPr>
          <w:p>
            <w:pPr>
              <w:jc w:val="left"/>
              <w:spacing w:line="360" w:lineRule="exact"/>
              <w:rPr>
                <w:rFonts w:hint="eastAsia" w:ascii="宋体" w:hAnsi="宋体" w:eastAsia="宋体" w:cs="宋体"/>
                <w:szCs w:val="21"/>
              </w:rPr>
            </w:pPr>
            <w:r/>
            <w:bookmarkStart w:id="221" w:name="OLE_LINK96"/>
            <w:r/>
            <w:bookmarkStart w:id="222" w:name="OLE_LINK95"/>
            <w:r>
              <w:rPr>
                <w:rFonts w:hint="eastAsia" w:ascii="宋体" w:hAnsi="宋体"/>
                <w:color w:val="000000" w:themeColor="text1"/>
                <w:szCs w:val="21"/>
              </w:rPr>
              <w:t xml:space="preserve">根据供应商提供的对需求分析的阐述内容进行评审；包括：①项目背景；②项目需求分析；③项目重点难点分析；④重点难点对应的解决方案及保障措施；⑤项目服务人员配置方案等内容</w:t>
            </w:r>
            <w:r>
              <w:rPr>
                <w:rFonts w:hint="eastAsia" w:ascii="宋体" w:hAnsi="宋体" w:eastAsia="宋体" w:cs="宋体"/>
                <w:szCs w:val="21"/>
              </w:rPr>
              <w:t xml:space="preserve">：</w:t>
            </w:r>
            <w:r/>
          </w:p>
          <w:p>
            <w:pPr>
              <w:jc w:val="left"/>
              <w:spacing w:line="360" w:lineRule="exact"/>
              <w:rPr>
                <w:rFonts w:hint="eastAsia" w:ascii="宋体" w:hAnsi="宋体" w:eastAsia="宋体" w:cs="宋体"/>
                <w:szCs w:val="21"/>
              </w:rPr>
            </w:pPr>
            <w:r>
              <w:rPr>
                <w:rFonts w:hint="eastAsia" w:ascii="宋体" w:hAnsi="宋体" w:eastAsia="宋体" w:cs="宋体"/>
                <w:szCs w:val="21"/>
              </w:rPr>
              <w:t xml:space="preserve">方案内容满足以上全部要求且符合本项目实际需求的，得</w:t>
            </w:r>
            <w:r>
              <w:rPr>
                <w:rFonts w:ascii="宋体" w:hAnsi="宋体" w:eastAsia="宋体" w:cs="宋体"/>
                <w:szCs w:val="21"/>
              </w:rPr>
              <w:t xml:space="preserve">10</w:t>
            </w:r>
            <w:r>
              <w:rPr>
                <w:rFonts w:hint="eastAsia" w:ascii="宋体" w:hAnsi="宋体" w:eastAsia="宋体" w:cs="宋体"/>
                <w:szCs w:val="21"/>
              </w:rPr>
              <w:t xml:space="preserve">分；每有一项内容存在缺失的扣2分；每有一项内容存在不满足（与实际需求不符、有规范性或常识性错误、存在无关的事项、</w:t>
            </w:r>
            <w:bookmarkStart w:id="223" w:name="OLE_LINK11"/>
            <w:r>
              <w:rPr>
                <w:rFonts w:hint="eastAsia" w:ascii="宋体" w:hAnsi="宋体" w:eastAsia="宋体" w:cs="宋体"/>
                <w:szCs w:val="21"/>
              </w:rPr>
              <w:t xml:space="preserve">仅有框架或标题</w:t>
            </w:r>
            <w:bookmarkEnd w:id="223"/>
            <w:r>
              <w:rPr>
                <w:rFonts w:hint="eastAsia" w:ascii="宋体" w:hAnsi="宋体" w:eastAsia="宋体" w:cs="宋体"/>
                <w:szCs w:val="21"/>
              </w:rPr>
              <w:t xml:space="preserve">等任意一种情形）的扣1分；每有一项内容存在缺陷（缺陷是指表述前后不一致或内容矛盾，语句有歧义，套用其他项目内容等任意一种情形）的扣0.5分，扣完为止。</w:t>
            </w:r>
            <w:bookmarkEnd w:id="221"/>
            <w:r/>
            <w:bookmarkEnd w:id="222"/>
            <w:r/>
            <w:r/>
          </w:p>
        </w:tc>
      </w:tr>
      <w:tr>
        <w:trPr>
          <w:jc w:val="center"/>
          <w:trHeight w:val="861"/>
        </w:trPr>
        <w:tc>
          <w:tcPr>
            <w:tcW w:w="658" w:type="dxa"/>
            <w:vAlign w:val="center"/>
            <w:textDirection w:val="lrTb"/>
            <w:noWrap w:val="false"/>
          </w:tcPr>
          <w:p>
            <w:pPr>
              <w:jc w:val="center"/>
              <w:spacing w:line="360" w:lineRule="exact"/>
              <w:rPr>
                <w:rFonts w:hint="eastAsia" w:ascii="宋体" w:hAnsi="宋体" w:eastAsia="宋体"/>
                <w:szCs w:val="21"/>
              </w:rPr>
            </w:pPr>
            <w:r>
              <w:rPr>
                <w:rFonts w:ascii="宋体" w:hAnsi="宋体" w:eastAsia="宋体"/>
                <w:szCs w:val="21"/>
              </w:rPr>
              <w:t xml:space="preserve">7</w:t>
            </w:r>
            <w:r/>
          </w:p>
        </w:tc>
        <w:tc>
          <w:tcPr>
            <w:tcW w:w="1398"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服务方案</w:t>
            </w:r>
            <w:r/>
          </w:p>
        </w:tc>
        <w:tc>
          <w:tcPr>
            <w:tcW w:w="851"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10分</w:t>
            </w:r>
            <w:r/>
          </w:p>
        </w:tc>
        <w:tc>
          <w:tcPr>
            <w:tcW w:w="6022" w:type="dxa"/>
            <w:vAlign w:val="center"/>
            <w:textDirection w:val="lrTb"/>
            <w:noWrap w:val="false"/>
          </w:tcPr>
          <w:p>
            <w:pPr>
              <w:spacing w:line="360" w:lineRule="exact"/>
              <w:rPr>
                <w:rFonts w:hint="eastAsia" w:ascii="宋体" w:hAnsi="宋体" w:eastAsia="宋体"/>
                <w:szCs w:val="21"/>
              </w:rPr>
            </w:pPr>
            <w:r/>
            <w:bookmarkStart w:id="224" w:name="OLE_LINK97"/>
            <w:r>
              <w:rPr>
                <w:rFonts w:hint="eastAsia" w:ascii="宋体" w:hAnsi="宋体"/>
                <w:color w:val="000000" w:themeColor="text1"/>
                <w:szCs w:val="21"/>
              </w:rPr>
              <w:t xml:space="preserve">根据供应商提供的服务方案进行评审；包括：①菜品搭配方案；②食材货源保障方案；③食品加工方案；④食材溯源方案；⑤食材投诉处理方案</w:t>
            </w:r>
            <w:r>
              <w:rPr>
                <w:rFonts w:hint="eastAsia" w:ascii="宋体" w:hAnsi="宋体" w:eastAsia="宋体"/>
                <w:szCs w:val="21"/>
              </w:rPr>
              <w:t xml:space="preserve">等内容：</w:t>
            </w:r>
            <w:r/>
          </w:p>
          <w:p>
            <w:pPr>
              <w:spacing w:line="360" w:lineRule="exact"/>
              <w:rPr>
                <w:rFonts w:hint="eastAsia" w:ascii="宋体" w:hAnsi="宋体" w:eastAsia="宋体"/>
                <w:color w:val="ff0000"/>
                <w:szCs w:val="21"/>
              </w:rPr>
            </w:pPr>
            <w:r>
              <w:rPr>
                <w:rFonts w:hint="eastAsia" w:ascii="宋体" w:hAnsi="宋体" w:eastAsia="宋体" w:cs="宋体"/>
                <w:szCs w:val="21"/>
              </w:rPr>
              <w:t xml:space="preserve">方案内容满足以上全部要求且符合本项目实际需求的，得10分；每有一项内容存在缺失的扣2分；每有一项内容存在不满足（与实际需求不符、有规范性或常识性错误、存在无关的事项、仅有框架或标题等任意一种情形）的扣1分；每有一项内容存在缺陷（缺陷是指表述前后不一致或内容矛盾，语句有歧义，套用其他项目内容等任意一种情形）的扣0.5分，扣完为止。</w:t>
            </w:r>
            <w:bookmarkEnd w:id="224"/>
            <w:r/>
            <w:r/>
          </w:p>
        </w:tc>
      </w:tr>
      <w:tr>
        <w:trPr>
          <w:jc w:val="center"/>
          <w:trHeight w:val="402"/>
        </w:trPr>
        <w:tc>
          <w:tcPr>
            <w:tcW w:w="658" w:type="dxa"/>
            <w:vAlign w:val="center"/>
            <w:textDirection w:val="lrTb"/>
            <w:noWrap w:val="false"/>
          </w:tcPr>
          <w:p>
            <w:pPr>
              <w:jc w:val="center"/>
              <w:spacing w:line="360" w:lineRule="exact"/>
              <w:rPr>
                <w:rFonts w:hint="eastAsia" w:ascii="宋体" w:hAnsi="宋体" w:eastAsia="宋体"/>
                <w:szCs w:val="21"/>
              </w:rPr>
            </w:pPr>
            <w:r>
              <w:rPr>
                <w:rFonts w:ascii="宋体" w:hAnsi="宋体" w:eastAsia="宋体"/>
                <w:szCs w:val="21"/>
              </w:rPr>
              <w:t xml:space="preserve">8</w:t>
            </w:r>
            <w:r/>
          </w:p>
        </w:tc>
        <w:tc>
          <w:tcPr>
            <w:tcW w:w="1398" w:type="dxa"/>
            <w:vAlign w:val="center"/>
            <w:textDirection w:val="lrTb"/>
            <w:noWrap w:val="false"/>
          </w:tcPr>
          <w:p>
            <w:pPr>
              <w:jc w:val="center"/>
              <w:spacing w:line="360" w:lineRule="exact"/>
              <w:rPr>
                <w:rFonts w:hint="eastAsia" w:ascii="宋体" w:hAnsi="宋体" w:eastAsia="宋体" w:cs="宋体"/>
                <w:szCs w:val="21"/>
              </w:rPr>
            </w:pPr>
            <w:r>
              <w:rPr>
                <w:rFonts w:hint="eastAsia" w:ascii="宋体" w:hAnsi="宋体" w:eastAsia="宋体"/>
                <w:spacing w:val="-3"/>
                <w:szCs w:val="21"/>
              </w:rPr>
              <w:t xml:space="preserve">配送方案</w:t>
            </w:r>
            <w:r/>
          </w:p>
        </w:tc>
        <w:tc>
          <w:tcPr>
            <w:tcW w:w="851" w:type="dxa"/>
            <w:vAlign w:val="center"/>
            <w:textDirection w:val="lrTb"/>
            <w:noWrap w:val="false"/>
          </w:tcPr>
          <w:p>
            <w:pPr>
              <w:jc w:val="center"/>
              <w:spacing w:line="360" w:lineRule="exact"/>
              <w:rPr>
                <w:rFonts w:hint="eastAsia" w:ascii="宋体" w:hAnsi="宋体" w:eastAsia="宋体"/>
                <w:color w:val="000000"/>
                <w:szCs w:val="21"/>
              </w:rPr>
            </w:pPr>
            <w:r>
              <w:rPr>
                <w:rFonts w:hint="eastAsia" w:ascii="宋体" w:hAnsi="宋体" w:eastAsia="宋体"/>
                <w:color w:val="000000"/>
                <w:szCs w:val="21"/>
              </w:rPr>
              <w:t xml:space="preserve">10</w:t>
            </w:r>
            <w:r>
              <w:rPr>
                <w:rFonts w:hint="eastAsia" w:ascii="宋体" w:hAnsi="宋体" w:eastAsia="宋体"/>
                <w:szCs w:val="21"/>
              </w:rPr>
              <w:t xml:space="preserve">分</w:t>
            </w:r>
            <w:r/>
          </w:p>
        </w:tc>
        <w:tc>
          <w:tcPr>
            <w:tcW w:w="6022" w:type="dxa"/>
            <w:vAlign w:val="center"/>
            <w:textDirection w:val="lrTb"/>
            <w:noWrap w:val="false"/>
          </w:tcPr>
          <w:p>
            <w:pPr>
              <w:jc w:val="left"/>
              <w:spacing w:line="360" w:lineRule="exact"/>
              <w:rPr>
                <w:rFonts w:hint="eastAsia" w:ascii="宋体" w:hAnsi="宋体" w:eastAsia="宋体" w:cs="宋体"/>
                <w:szCs w:val="21"/>
              </w:rPr>
            </w:pPr>
            <w:r/>
            <w:bookmarkStart w:id="225" w:name="OLE_LINK99"/>
            <w:r/>
            <w:bookmarkStart w:id="226" w:name="OLE_LINK98"/>
            <w:r>
              <w:rPr>
                <w:rFonts w:hint="eastAsia" w:ascii="宋体" w:hAnsi="宋体"/>
                <w:color w:val="000000" w:themeColor="text1"/>
                <w:szCs w:val="21"/>
              </w:rPr>
              <w:t xml:space="preserve">根据供应商提供的配送方案进行评审，包括：①配送组织结构；②配送体系及流程；③配送时间保障措施；④运输标准（产品配送、包装、卸货标准）；⑤配送服务落实等内容</w:t>
            </w:r>
            <w:r>
              <w:rPr>
                <w:rFonts w:hint="eastAsia" w:ascii="宋体" w:hAnsi="宋体" w:eastAsia="宋体" w:cs="宋体"/>
                <w:szCs w:val="21"/>
              </w:rPr>
              <w:t xml:space="preserve">：</w:t>
            </w:r>
            <w:r/>
          </w:p>
          <w:p>
            <w:pPr>
              <w:jc w:val="left"/>
              <w:spacing w:line="360" w:lineRule="exact"/>
              <w:rPr>
                <w:rFonts w:hint="eastAsia" w:ascii="宋体" w:hAnsi="宋体" w:eastAsia="宋体" w:cs="宋体"/>
                <w:szCs w:val="21"/>
              </w:rPr>
            </w:pPr>
            <w:r>
              <w:rPr>
                <w:rFonts w:hint="eastAsia" w:ascii="宋体" w:hAnsi="宋体" w:eastAsia="宋体" w:cs="宋体"/>
                <w:szCs w:val="21"/>
              </w:rPr>
              <w:t xml:space="preserve">方</w:t>
            </w:r>
            <w:bookmarkStart w:id="227" w:name="OLE_LINK2"/>
            <w:r>
              <w:rPr>
                <w:rFonts w:hint="eastAsia" w:ascii="宋体" w:hAnsi="宋体" w:eastAsia="宋体" w:cs="宋体"/>
                <w:szCs w:val="21"/>
              </w:rPr>
              <w:t xml:space="preserve">案内容满足以上全部要求且符合本项目实际需求的，得10分；每有一项内容存在缺失的扣2分；每有一项内容存在不满足（与实际需求不符、有规范性或常识性错误、存在无关的事项、仅有框架或标题等任意一种情形）的扣1.5分；每有一项内容存在缺陷（缺陷是指表述前后不一致或内容矛盾，语句有歧义，套用其他项目内容等任意一种情形）的扣1分，扣完为止。</w:t>
            </w:r>
            <w:bookmarkEnd w:id="225"/>
            <w:r/>
            <w:bookmarkEnd w:id="226"/>
            <w:r/>
            <w:bookmarkEnd w:id="227"/>
            <w:r/>
            <w:r/>
          </w:p>
        </w:tc>
      </w:tr>
      <w:tr>
        <w:trPr>
          <w:jc w:val="center"/>
          <w:trHeight w:val="402"/>
        </w:trPr>
        <w:tc>
          <w:tcPr>
            <w:tcW w:w="658" w:type="dxa"/>
            <w:vAlign w:val="center"/>
            <w:textDirection w:val="lrTb"/>
            <w:noWrap w:val="false"/>
          </w:tcPr>
          <w:p>
            <w:pPr>
              <w:jc w:val="center"/>
              <w:spacing w:line="360" w:lineRule="exact"/>
              <w:rPr>
                <w:rFonts w:hint="eastAsia" w:ascii="宋体" w:hAnsi="宋体" w:eastAsia="宋体"/>
                <w:szCs w:val="21"/>
              </w:rPr>
            </w:pPr>
            <w:r>
              <w:rPr>
                <w:rFonts w:ascii="宋体" w:hAnsi="宋体" w:eastAsia="宋体"/>
                <w:szCs w:val="21"/>
              </w:rPr>
              <w:t xml:space="preserve">9</w:t>
            </w:r>
            <w:r/>
          </w:p>
        </w:tc>
        <w:tc>
          <w:tcPr>
            <w:tcW w:w="1398" w:type="dxa"/>
            <w:vAlign w:val="center"/>
            <w:textDirection w:val="lrTb"/>
            <w:noWrap w:val="false"/>
          </w:tcPr>
          <w:p>
            <w:pPr>
              <w:jc w:val="center"/>
              <w:spacing w:line="360" w:lineRule="exact"/>
              <w:rPr>
                <w:rFonts w:hint="eastAsia" w:ascii="宋体" w:hAnsi="宋体" w:eastAsia="宋体"/>
                <w:spacing w:val="-3"/>
                <w:szCs w:val="21"/>
              </w:rPr>
            </w:pPr>
            <w:r>
              <w:rPr>
                <w:rFonts w:hint="eastAsia" w:ascii="宋体" w:hAnsi="宋体" w:eastAsia="宋体"/>
                <w:spacing w:val="-3"/>
                <w:szCs w:val="21"/>
              </w:rPr>
              <w:t xml:space="preserve">质量安全保证措施</w:t>
            </w:r>
            <w:r/>
          </w:p>
        </w:tc>
        <w:tc>
          <w:tcPr>
            <w:tcW w:w="851" w:type="dxa"/>
            <w:vAlign w:val="center"/>
            <w:textDirection w:val="lrTb"/>
            <w:noWrap w:val="false"/>
          </w:tcPr>
          <w:p>
            <w:pPr>
              <w:jc w:val="center"/>
              <w:spacing w:line="360" w:lineRule="exact"/>
              <w:rPr>
                <w:rFonts w:hint="eastAsia" w:ascii="宋体" w:hAnsi="宋体" w:eastAsia="宋体"/>
                <w:color w:val="000000"/>
                <w:szCs w:val="21"/>
              </w:rPr>
            </w:pPr>
            <w:r>
              <w:rPr>
                <w:rFonts w:hint="eastAsia" w:ascii="宋体" w:hAnsi="宋体" w:eastAsia="宋体"/>
                <w:color w:val="000000"/>
                <w:szCs w:val="21"/>
              </w:rPr>
              <w:t xml:space="preserve">10</w:t>
            </w:r>
            <w:r>
              <w:rPr>
                <w:rFonts w:hint="eastAsia" w:ascii="宋体" w:hAnsi="宋体" w:eastAsia="宋体"/>
                <w:szCs w:val="21"/>
              </w:rPr>
              <w:t xml:space="preserve">分</w:t>
            </w:r>
            <w:r/>
          </w:p>
        </w:tc>
        <w:tc>
          <w:tcPr>
            <w:tcW w:w="6022" w:type="dxa"/>
            <w:vAlign w:val="center"/>
            <w:textDirection w:val="lrTb"/>
            <w:noWrap w:val="false"/>
          </w:tcPr>
          <w:p>
            <w:pPr>
              <w:spacing w:line="360" w:lineRule="exact"/>
              <w:rPr>
                <w:rFonts w:cs="宋体"/>
                <w:szCs w:val="21"/>
              </w:rPr>
            </w:pPr>
            <w:r>
              <w:rPr>
                <w:rFonts w:hint="eastAsia" w:ascii="宋体" w:hAnsi="宋体"/>
                <w:color w:val="000000" w:themeColor="text1"/>
                <w:szCs w:val="21"/>
              </w:rPr>
              <w:t xml:space="preserve">根据供应商提供的</w:t>
            </w:r>
            <w:r>
              <w:rPr>
                <w:rFonts w:hint="eastAsia" w:ascii="宋体" w:hAnsi="宋体" w:eastAsia="宋体"/>
                <w:spacing w:val="-3"/>
                <w:szCs w:val="21"/>
              </w:rPr>
              <w:t xml:space="preserve">质量安全保证措施进行评审，包括</w:t>
            </w:r>
            <w:r>
              <w:rPr>
                <w:rFonts w:hint="eastAsia" w:ascii="宋体" w:hAnsi="宋体" w:eastAsia="宋体" w:cs="宋体"/>
                <w:szCs w:val="21"/>
              </w:rPr>
              <w:t xml:space="preserve">①食材采购的质量安全保证措施；②食材存储的质量安全保证措施；③配送过程的质量保障措施；④食材取样的的质量保证措施；</w:t>
            </w:r>
            <w:r>
              <w:rPr>
                <w:rFonts w:hint="eastAsia" w:ascii="宋体" w:hAnsi="宋体"/>
                <w:color w:val="000000" w:themeColor="text1"/>
                <w:szCs w:val="21"/>
              </w:rPr>
              <w:t xml:space="preserve">⑤</w:t>
            </w:r>
            <w:r>
              <w:rPr>
                <w:rFonts w:hint="eastAsia" w:ascii="宋体" w:hAnsi="宋体" w:eastAsia="宋体" w:cs="宋体"/>
                <w:szCs w:val="21"/>
              </w:rPr>
              <w:t xml:space="preserve">食材留样的的质量保证措施</w:t>
            </w:r>
            <w:r>
              <w:rPr>
                <w:rFonts w:hint="eastAsia" w:cs="宋体"/>
                <w:szCs w:val="21"/>
              </w:rPr>
              <w:t xml:space="preserve">等内容：</w:t>
            </w:r>
            <w:r/>
          </w:p>
          <w:p>
            <w:pPr>
              <w:spacing w:line="360" w:lineRule="exact"/>
              <w:rPr>
                <w:rFonts w:ascii="宋体" w:hAnsi="宋体"/>
                <w:color w:val="000000" w:themeColor="text1"/>
                <w:szCs w:val="21"/>
              </w:rPr>
            </w:pPr>
            <w:r>
              <w:rPr>
                <w:rFonts w:hint="eastAsia" w:ascii="宋体" w:hAnsi="宋体" w:eastAsia="宋体" w:cs="宋体"/>
                <w:szCs w:val="21"/>
              </w:rPr>
              <w:t xml:space="preserve">措施内容满足以上全部要求且符合本项目实际需求的，得10分；每有一项内容存在缺失的扣2分；每有一项内容存在不满足（与实际需求不符、有规范性或常识性错误、存在无关的事项、仅有框架或标题等任意一种情形）的扣1分；每有一项内容存在缺陷（缺陷是指表述前后不一致或内容矛盾，语句有歧义，套用其他项目内容等任意一种情形）的扣0.5分，扣完为止。</w:t>
            </w:r>
            <w:r/>
          </w:p>
        </w:tc>
      </w:tr>
      <w:tr>
        <w:trPr>
          <w:jc w:val="center"/>
          <w:trHeight w:val="402"/>
        </w:trPr>
        <w:tc>
          <w:tcPr>
            <w:tcW w:w="658" w:type="dxa"/>
            <w:vAlign w:val="center"/>
            <w:textDirection w:val="lrTb"/>
            <w:noWrap w:val="false"/>
          </w:tcPr>
          <w:p>
            <w:pPr>
              <w:jc w:val="center"/>
              <w:spacing w:line="360" w:lineRule="exact"/>
              <w:rPr>
                <w:rFonts w:hint="eastAsia" w:ascii="宋体" w:hAnsi="宋体" w:eastAsia="宋体"/>
                <w:szCs w:val="21"/>
              </w:rPr>
            </w:pPr>
            <w:r>
              <w:rPr>
                <w:rFonts w:ascii="宋体" w:hAnsi="宋体" w:eastAsia="宋体"/>
                <w:szCs w:val="21"/>
              </w:rPr>
              <w:t xml:space="preserve">10</w:t>
            </w:r>
            <w:r/>
          </w:p>
        </w:tc>
        <w:tc>
          <w:tcPr>
            <w:tcW w:w="1398" w:type="dxa"/>
            <w:vAlign w:val="center"/>
            <w:textDirection w:val="lrTb"/>
            <w:noWrap w:val="false"/>
          </w:tcPr>
          <w:p>
            <w:pPr>
              <w:jc w:val="center"/>
              <w:spacing w:line="360" w:lineRule="exact"/>
              <w:rPr>
                <w:rFonts w:hint="eastAsia" w:ascii="宋体" w:hAnsi="宋体" w:eastAsia="宋体"/>
                <w:spacing w:val="-3"/>
                <w:szCs w:val="21"/>
              </w:rPr>
            </w:pPr>
            <w:r>
              <w:rPr>
                <w:rFonts w:hint="eastAsia" w:ascii="宋体" w:hAnsi="宋体" w:eastAsia="宋体"/>
                <w:spacing w:val="-3"/>
                <w:szCs w:val="21"/>
              </w:rPr>
              <w:t xml:space="preserve">应急预案</w:t>
            </w:r>
            <w:r/>
          </w:p>
        </w:tc>
        <w:tc>
          <w:tcPr>
            <w:tcW w:w="851" w:type="dxa"/>
            <w:vAlign w:val="center"/>
            <w:textDirection w:val="lrTb"/>
            <w:noWrap w:val="false"/>
          </w:tcPr>
          <w:p>
            <w:pPr>
              <w:jc w:val="center"/>
              <w:spacing w:line="360" w:lineRule="exact"/>
              <w:rPr>
                <w:rFonts w:hint="eastAsia" w:ascii="宋体" w:hAnsi="宋体" w:eastAsia="宋体"/>
                <w:color w:val="000000"/>
                <w:szCs w:val="21"/>
              </w:rPr>
            </w:pPr>
            <w:r>
              <w:rPr>
                <w:rFonts w:hint="eastAsia" w:ascii="宋体" w:hAnsi="宋体" w:eastAsia="宋体"/>
                <w:color w:val="000000"/>
                <w:szCs w:val="21"/>
              </w:rPr>
              <w:t xml:space="preserve">6</w:t>
            </w:r>
            <w:r>
              <w:rPr>
                <w:rFonts w:hint="eastAsia" w:ascii="宋体" w:hAnsi="宋体" w:eastAsia="宋体"/>
                <w:szCs w:val="21"/>
              </w:rPr>
              <w:t xml:space="preserve">分</w:t>
            </w:r>
            <w:r/>
          </w:p>
        </w:tc>
        <w:tc>
          <w:tcPr>
            <w:tcW w:w="6022" w:type="dxa"/>
            <w:vAlign w:val="center"/>
            <w:textDirection w:val="lrTb"/>
            <w:noWrap w:val="false"/>
          </w:tcPr>
          <w:p>
            <w:pPr>
              <w:spacing w:line="360" w:lineRule="exact"/>
              <w:rPr>
                <w:rFonts w:ascii="宋体" w:hAnsi="宋体"/>
                <w:color w:val="000000" w:themeColor="text1"/>
                <w:szCs w:val="21"/>
              </w:rPr>
            </w:pPr>
            <w:r>
              <w:rPr>
                <w:rFonts w:hint="eastAsia" w:ascii="宋体" w:hAnsi="宋体"/>
                <w:color w:val="000000" w:themeColor="text1"/>
                <w:szCs w:val="21"/>
              </w:rPr>
              <w:t xml:space="preserve">根据供应商针对本项目提供的应急预案进行评审；包括 ①应急保障人员组织架构；②突发断水、断电、停气、设备故障、临时安排配送等情况的应急预案；③运输途中的突发状况应急预案； ④突发状况（公共卫生事件、自然灾害）应急预案等内容：</w:t>
            </w:r>
            <w:r/>
          </w:p>
          <w:p>
            <w:pPr>
              <w:spacing w:line="360" w:lineRule="exact"/>
              <w:rPr>
                <w:rFonts w:ascii="宋体" w:hAnsi="宋体"/>
                <w:color w:val="000000" w:themeColor="text1"/>
                <w:szCs w:val="21"/>
              </w:rPr>
            </w:pPr>
            <w:r>
              <w:rPr>
                <w:rFonts w:hint="eastAsia" w:ascii="宋体" w:hAnsi="宋体" w:eastAsia="宋体" w:cs="宋体"/>
                <w:szCs w:val="21"/>
              </w:rPr>
              <w:t xml:space="preserve">方案内容满足以上全部要求且符合本项目实际需求的，得6分；每有一项内容存在缺失的扣1.5分；每有一项内容存在不满足（与实际需求不符、有规范性或常识性错误、存在无关的事项、仅有框架或标题等任意一种情形）的扣1分；每有一项内容存在缺陷（缺陷是指表述前后不一致或内容矛盾，语句有歧义，套用其他项目内容等任意一种情形）的扣0.5分，扣完为止。</w:t>
            </w:r>
            <w:r/>
          </w:p>
        </w:tc>
      </w:tr>
      <w:tr>
        <w:trPr>
          <w:jc w:val="center"/>
          <w:trHeight w:val="402"/>
        </w:trPr>
        <w:tc>
          <w:tcPr>
            <w:tcW w:w="658" w:type="dxa"/>
            <w:vAlign w:val="center"/>
            <w:textDirection w:val="lrTb"/>
            <w:noWrap w:val="false"/>
          </w:tcPr>
          <w:p>
            <w:pPr>
              <w:jc w:val="center"/>
              <w:spacing w:line="360" w:lineRule="exact"/>
              <w:rPr>
                <w:rFonts w:hint="eastAsia" w:ascii="宋体" w:hAnsi="宋体" w:eastAsia="宋体"/>
                <w:szCs w:val="21"/>
              </w:rPr>
            </w:pPr>
            <w:r>
              <w:rPr>
                <w:rFonts w:ascii="宋体" w:hAnsi="宋体" w:eastAsia="宋体"/>
                <w:szCs w:val="21"/>
              </w:rPr>
              <w:t xml:space="preserve">11</w:t>
            </w:r>
            <w:r/>
          </w:p>
        </w:tc>
        <w:tc>
          <w:tcPr>
            <w:tcW w:w="1398" w:type="dxa"/>
            <w:vAlign w:val="center"/>
            <w:textDirection w:val="lrTb"/>
            <w:noWrap w:val="false"/>
          </w:tcPr>
          <w:p>
            <w:pPr>
              <w:jc w:val="center"/>
              <w:spacing w:line="360" w:lineRule="exact"/>
              <w:rPr>
                <w:rFonts w:hint="eastAsia" w:ascii="宋体" w:hAnsi="宋体" w:eastAsia="宋体"/>
                <w:spacing w:val="-3"/>
                <w:szCs w:val="21"/>
              </w:rPr>
            </w:pPr>
            <w:r>
              <w:rPr>
                <w:rFonts w:hint="eastAsia" w:ascii="宋体" w:hAnsi="宋体" w:eastAsia="宋体"/>
                <w:spacing w:val="-3"/>
                <w:szCs w:val="21"/>
              </w:rPr>
              <w:t xml:space="preserve">日常管理制度</w:t>
            </w:r>
            <w:r/>
          </w:p>
        </w:tc>
        <w:tc>
          <w:tcPr>
            <w:tcW w:w="851" w:type="dxa"/>
            <w:vAlign w:val="center"/>
            <w:textDirection w:val="lrTb"/>
            <w:noWrap w:val="false"/>
          </w:tcPr>
          <w:p>
            <w:pPr>
              <w:jc w:val="center"/>
              <w:spacing w:line="360" w:lineRule="exact"/>
              <w:rPr>
                <w:rFonts w:hint="eastAsia" w:ascii="宋体" w:hAnsi="宋体" w:eastAsia="宋体"/>
                <w:color w:val="000000"/>
                <w:szCs w:val="21"/>
              </w:rPr>
            </w:pPr>
            <w:r>
              <w:rPr>
                <w:rFonts w:hint="eastAsia" w:ascii="宋体" w:hAnsi="宋体" w:eastAsia="宋体"/>
                <w:color w:val="000000"/>
                <w:szCs w:val="21"/>
              </w:rPr>
              <w:t xml:space="preserve">10</w:t>
            </w:r>
            <w:r>
              <w:rPr>
                <w:rFonts w:hint="eastAsia" w:ascii="宋体" w:hAnsi="宋体" w:eastAsia="宋体"/>
                <w:szCs w:val="21"/>
              </w:rPr>
              <w:t xml:space="preserve">分</w:t>
            </w:r>
            <w:r/>
          </w:p>
        </w:tc>
        <w:tc>
          <w:tcPr>
            <w:tcW w:w="6022" w:type="dxa"/>
            <w:vAlign w:val="center"/>
            <w:textDirection w:val="lrTb"/>
            <w:noWrap w:val="false"/>
          </w:tcPr>
          <w:p>
            <w:pPr>
              <w:spacing w:line="360" w:lineRule="exact"/>
              <w:rPr>
                <w:rFonts w:hint="eastAsia" w:ascii="宋体" w:hAnsi="宋体" w:eastAsia="宋体" w:cs="宋体"/>
                <w:szCs w:val="21"/>
              </w:rPr>
            </w:pPr>
            <w:r>
              <w:rPr>
                <w:rFonts w:hint="eastAsia" w:ascii="宋体" w:hAnsi="宋体" w:eastAsia="宋体" w:cs="宋体"/>
                <w:szCs w:val="21"/>
              </w:rPr>
              <w:t xml:space="preserve">根据供应商针对本项目提供的日常管理制度进行评审；包括 ①食材逐日消耗登记制度；②卫生管理制度；③操作工艺流程及管理制度；④仓库管理及点验制度；⑤台账管理制度等内容：</w:t>
            </w:r>
            <w:r/>
          </w:p>
          <w:p>
            <w:pPr>
              <w:spacing w:line="360" w:lineRule="exact"/>
              <w:rPr>
                <w:rFonts w:ascii="宋体" w:hAnsi="宋体"/>
                <w:color w:val="000000" w:themeColor="text1"/>
                <w:szCs w:val="21"/>
              </w:rPr>
            </w:pPr>
            <w:r>
              <w:rPr>
                <w:rFonts w:hint="eastAsia" w:ascii="宋体" w:hAnsi="宋体" w:eastAsia="宋体" w:cs="宋体"/>
                <w:szCs w:val="21"/>
              </w:rPr>
              <w:t xml:space="preserve">案内容满足以上全部要求且符合本项目实际需求的，得10分；每有一项内容存在缺失的扣2分；每有一项内容存在不满足（与实际需求不符、有规范性或常识性错误、存在无关的事项、仅有框架或标题等任意一种情形）的扣1分；每有一项内容存在缺陷（缺陷是指表述前后不一致或内容矛盾，语句有歧义，套用其他项目内容等任意一种情形）的扣0.5分，扣完为止。</w:t>
            </w:r>
            <w:r/>
          </w:p>
        </w:tc>
      </w:tr>
    </w:tbl>
    <w:p>
      <w:pPr>
        <w:pStyle w:val="855"/>
        <w:jc w:val="both"/>
        <w:spacing w:beforeAutospacing="0" w:afterAutospacing="0"/>
        <w:rPr>
          <w:rFonts w:hint="eastAsia" w:ascii="宋体" w:hAnsi="宋体" w:eastAsia="宋体" w:cs="宋体"/>
        </w:rPr>
      </w:pPr>
      <w:r>
        <w:rPr>
          <w:rFonts w:hint="eastAsia" w:ascii="宋体" w:hAnsi="宋体" w:eastAsia="宋体" w:cs="宋体"/>
        </w:rPr>
      </w:r>
      <w:r/>
    </w:p>
    <w:p>
      <w:pPr>
        <w:pStyle w:val="85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5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55"/>
        <w:jc w:val="both"/>
        <w:spacing w:beforeAutospacing="0" w:afterAutospacing="0"/>
      </w:pPr>
      <w:r>
        <w:t xml:space="preserve">   </w:t>
      </w:r>
      <w:r/>
    </w:p>
    <w:p>
      <w:pPr>
        <w:pStyle w:val="855"/>
        <w:jc w:val="both"/>
        <w:spacing w:beforeAutospacing="0" w:afterAutospacing="0"/>
      </w:pPr>
      <w:r>
        <w:t xml:space="preserve"> </w:t>
      </w:r>
      <w:r/>
    </w:p>
    <w:p>
      <w:pPr>
        <w:pStyle w:val="855"/>
        <w:jc w:val="both"/>
        <w:spacing w:beforeAutospacing="0" w:afterAutospacing="0"/>
      </w:pPr>
      <w:r>
        <w:t xml:space="preserve"> </w:t>
      </w:r>
      <w:r/>
    </w:p>
    <w:p>
      <w:pPr>
        <w:rPr>
          <w:rFonts w:hint="eastAsia"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855"/>
        <w:jc w:val="center"/>
        <w:keepNext/>
        <w:spacing w:beforeAutospacing="0" w:afterAutospacing="0"/>
        <w:rPr>
          <w:rFonts w:hint="eastAsia" w:ascii="黑体" w:hAnsi="宋体" w:eastAsia="黑体" w:cs="黑体"/>
          <w:color w:val="000000"/>
          <w:sz w:val="44"/>
          <w:szCs w:val="44"/>
        </w:rPr>
        <w:outlineLvl w:val="0"/>
      </w:pPr>
      <w:r/>
      <w:bookmarkStart w:id="228" w:name="_Toc236900986"/>
      <w:r>
        <w:rPr>
          <w:rFonts w:hint="eastAsia" w:ascii="黑体" w:hAnsi="宋体" w:eastAsia="黑体" w:cs="黑体"/>
          <w:color w:val="000000"/>
          <w:sz w:val="44"/>
          <w:szCs w:val="44"/>
        </w:rPr>
        <w:t xml:space="preserve">第六章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投标文件格式</w:t>
      </w:r>
      <w:bookmarkEnd w:id="228"/>
      <w:r/>
      <w:r/>
    </w:p>
    <w:p>
      <w:pPr>
        <w:pStyle w:val="855"/>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55"/>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55"/>
        <w:jc w:val="center"/>
        <w:keepNext/>
        <w:spacing w:beforeAutospacing="0" w:afterAutospacing="0"/>
      </w:pPr>
      <w:r>
        <w:rPr>
          <w:rFonts w:hint="eastAsia" w:ascii="黑体" w:hAnsi="宋体" w:eastAsia="黑体" w:cs="黑体"/>
          <w:color w:val="000000"/>
          <w:sz w:val="44"/>
          <w:szCs w:val="44"/>
        </w:rPr>
        <w:t xml:space="preserve"> </w:t>
      </w:r>
      <w:r/>
    </w:p>
    <w:p>
      <w:pPr>
        <w:pStyle w:val="855"/>
        <w:jc w:val="center"/>
        <w:spacing w:beforeAutospacing="0" w:afterAutospacing="0"/>
      </w:pPr>
      <w:r/>
      <w:bookmarkStart w:id="229" w:name="_Hlt26671244"/>
      <w:r/>
      <w:bookmarkStart w:id="230" w:name="_Hlt26955039"/>
      <w:r/>
      <w:bookmarkStart w:id="231" w:name="_Toc26554094"/>
      <w:r/>
      <w:bookmarkStart w:id="232" w:name="_Toc120614282"/>
      <w:r/>
      <w:bookmarkStart w:id="233" w:name="_Toc49090576"/>
      <w:r/>
      <w:bookmarkEnd w:id="229"/>
      <w:r/>
      <w:bookmarkEnd w:id="230"/>
      <w:r/>
      <w:bookmarkEnd w:id="231"/>
      <w:r>
        <w:rPr>
          <w:rFonts w:hint="eastAsia" w:ascii="宋体" w:hAnsi="宋体" w:eastAsia="宋体" w:cs="宋体"/>
          <w:b/>
          <w:color w:val="000000"/>
          <w:sz w:val="72"/>
          <w:szCs w:val="72"/>
        </w:rPr>
        <w:t xml:space="preserve">投  标  文  件</w:t>
      </w:r>
      <w:r/>
    </w:p>
    <w:p>
      <w:pPr>
        <w:pStyle w:val="855"/>
        <w:jc w:val="center"/>
        <w:spacing w:beforeAutospacing="0" w:afterAutospacing="0"/>
      </w:pPr>
      <w:r>
        <w:t xml:space="preserve"> </w:t>
      </w:r>
      <w:r/>
    </w:p>
    <w:p>
      <w:pPr>
        <w:pStyle w:val="855"/>
        <w:jc w:val="center"/>
        <w:spacing w:beforeAutospacing="0" w:afterAutospacing="0"/>
      </w:pPr>
      <w:r>
        <w:t xml:space="preserve"> </w:t>
      </w:r>
      <w:r/>
    </w:p>
    <w:p>
      <w:pPr>
        <w:pStyle w:val="855"/>
        <w:jc w:val="center"/>
        <w:spacing w:beforeAutospacing="0" w:afterAutospacing="0"/>
      </w:pPr>
      <w:r>
        <w:t xml:space="preserve"> </w:t>
      </w:r>
      <w:r/>
    </w:p>
    <w:p>
      <w:pPr>
        <w:pStyle w:val="855"/>
        <w:jc w:val="center"/>
        <w:spacing w:beforeAutospacing="0" w:afterAutospacing="0"/>
      </w:pPr>
      <w:r>
        <w:t xml:space="preserve"> </w:t>
      </w:r>
      <w:r/>
    </w:p>
    <w:p>
      <w:pPr>
        <w:pStyle w:val="855"/>
        <w:jc w:val="center"/>
        <w:spacing w:beforeAutospacing="0" w:afterAutospacing="0"/>
      </w:pPr>
      <w:r>
        <w:t xml:space="preserve"> </w:t>
      </w:r>
      <w:r/>
    </w:p>
    <w:p>
      <w:pPr>
        <w:pStyle w:val="855"/>
        <w:ind w:firstLine="1084"/>
        <w:jc w:val="both"/>
        <w:spacing w:beforeAutospacing="0" w:afterAutospacing="0"/>
      </w:pPr>
      <w:r>
        <w:rPr>
          <w:rFonts w:hint="eastAsia" w:ascii="宋体" w:hAnsi="宋体" w:eastAsia="宋体" w:cs="宋体"/>
          <w:b/>
          <w:color w:val="000000"/>
          <w:sz w:val="36"/>
          <w:szCs w:val="36"/>
        </w:rPr>
        <w:t xml:space="preserve">项目 名 称：</w:t>
      </w:r>
      <w:r>
        <w:rPr>
          <w:rFonts w:hint="eastAsia" w:ascii="宋体" w:hAnsi="宋体" w:eastAsia="宋体" w:cs="宋体"/>
          <w:b/>
          <w:color w:val="000000"/>
          <w:sz w:val="36"/>
          <w:szCs w:val="36"/>
          <w:u w:val="single"/>
        </w:rPr>
        <w:t xml:space="preserve">               </w:t>
      </w:r>
      <w:r/>
    </w:p>
    <w:p>
      <w:pPr>
        <w:pStyle w:val="855"/>
        <w:ind w:firstLine="1084"/>
        <w:jc w:val="both"/>
        <w:spacing w:beforeAutospacing="0" w:afterAutospacing="0"/>
      </w:pPr>
      <w:r>
        <w:rPr>
          <w:rFonts w:hint="eastAsia" w:ascii="宋体" w:hAnsi="宋体" w:eastAsia="宋体" w:cs="宋体"/>
          <w:b/>
          <w:color w:val="000000"/>
          <w:sz w:val="36"/>
          <w:szCs w:val="36"/>
        </w:rPr>
        <w:t xml:space="preserve">项目 编 号：</w:t>
      </w:r>
      <w:r>
        <w:rPr>
          <w:rFonts w:hint="eastAsia" w:ascii="宋体" w:hAnsi="宋体" w:eastAsia="宋体" w:cs="宋体"/>
          <w:b/>
          <w:color w:val="000000"/>
          <w:sz w:val="36"/>
          <w:szCs w:val="36"/>
          <w:u w:val="single"/>
        </w:rPr>
        <w:t xml:space="preserve">               </w:t>
      </w:r>
      <w:r/>
    </w:p>
    <w:p>
      <w:pPr>
        <w:pStyle w:val="855"/>
        <w:jc w:val="both"/>
        <w:spacing w:beforeAutospacing="0" w:afterAutospacing="0"/>
      </w:pPr>
      <w:r>
        <w:rPr>
          <w:rFonts w:hint="eastAsia" w:ascii="宋体" w:hAnsi="宋体" w:eastAsia="宋体" w:cs="宋体"/>
          <w:b/>
          <w:color w:val="000000"/>
          <w:sz w:val="36"/>
          <w:szCs w:val="36"/>
        </w:rPr>
        <w:t xml:space="preserve">   投标人名称 ：</w:t>
      </w:r>
      <w:r>
        <w:rPr>
          <w:rFonts w:hint="eastAsia" w:ascii="宋体" w:hAnsi="宋体" w:eastAsia="宋体" w:cs="宋体"/>
          <w:b/>
          <w:color w:val="000000"/>
          <w:sz w:val="36"/>
          <w:szCs w:val="36"/>
          <w:u w:val="single"/>
        </w:rPr>
        <w:t xml:space="preserve">（加盖CA电子公章）        </w:t>
      </w:r>
      <w:r/>
    </w:p>
    <w:p>
      <w:pPr>
        <w:pStyle w:val="855"/>
        <w:jc w:val="both"/>
        <w:spacing w:beforeAutospacing="0" w:afterAutospacing="0"/>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855"/>
        <w:jc w:val="center"/>
        <w:spacing w:beforeAutospacing="0" w:afterAutospacing="0" w:line="0" w:lineRule="atLeast"/>
      </w:pPr>
      <w:r>
        <w:t xml:space="preserve"> </w:t>
      </w:r>
      <w:r/>
    </w:p>
    <w:p>
      <w:pPr>
        <w:pStyle w:val="855"/>
        <w:jc w:val="both"/>
        <w:spacing w:beforeAutospacing="0" w:afterAutospacing="0" w:line="0" w:lineRule="atLeast"/>
      </w:pPr>
      <w:r>
        <w:t xml:space="preserve"> </w:t>
      </w:r>
      <w:r/>
    </w:p>
    <w:p>
      <w:pPr>
        <w:pStyle w:val="855"/>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855"/>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855"/>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855"/>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855"/>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855"/>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855"/>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855"/>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855"/>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855"/>
        <w:jc w:val="center"/>
        <w:spacing w:beforeAutospacing="0" w:afterAutospacing="0" w:line="0" w:lineRule="atLeast"/>
        <w:rPr>
          <w:rFonts w:hint="eastAsia" w:ascii="宋体" w:hAnsi="宋体" w:eastAsia="宋体" w:cs="宋体"/>
          <w:b/>
          <w:bCs/>
          <w:color w:val="000000"/>
          <w:sz w:val="36"/>
          <w:szCs w:val="36"/>
          <w:u w:val="single"/>
        </w:rPr>
      </w:pPr>
      <w:r>
        <w:rPr>
          <w:rFonts w:hint="eastAsia" w:ascii="宋体" w:hAnsi="宋体" w:eastAsia="宋体" w:cs="宋体"/>
          <w:b/>
          <w:bCs/>
          <w:color w:val="000000"/>
          <w:sz w:val="36"/>
          <w:szCs w:val="36"/>
          <w:u w:val="single"/>
        </w:rPr>
      </w:r>
      <w:r/>
    </w:p>
    <w:p>
      <w:pPr>
        <w:pStyle w:val="855"/>
        <w:jc w:val="center"/>
        <w:spacing w:beforeAutospacing="0" w:afterAutospacing="0" w:line="0" w:lineRule="atLeast"/>
        <w:rPr>
          <w:rFonts w:hint="eastAsia" w:ascii="宋体" w:hAnsi="宋体" w:eastAsia="宋体" w:cs="宋体"/>
          <w:b/>
          <w:bCs/>
          <w:color w:val="000000"/>
          <w:sz w:val="36"/>
          <w:szCs w:val="36"/>
          <w:u w:val="single"/>
        </w:rPr>
      </w:pPr>
      <w:r>
        <w:rPr>
          <w:rFonts w:hint="eastAsia" w:ascii="宋体" w:hAnsi="宋体" w:eastAsia="宋体" w:cs="宋体"/>
          <w:b/>
          <w:bCs/>
          <w:color w:val="000000"/>
          <w:sz w:val="36"/>
          <w:szCs w:val="36"/>
          <w:u w:val="single"/>
        </w:rPr>
      </w:r>
      <w:r/>
    </w:p>
    <w:p>
      <w:pPr>
        <w:pStyle w:val="855"/>
        <w:jc w:val="center"/>
        <w:spacing w:beforeAutospacing="0" w:afterAutospacing="0" w:line="0" w:lineRule="atLeast"/>
        <w:rPr>
          <w:rFonts w:hint="eastAsia" w:ascii="宋体" w:hAnsi="宋体" w:eastAsia="宋体" w:cs="宋体"/>
          <w:b/>
          <w:bCs/>
          <w:color w:val="000000"/>
          <w:sz w:val="36"/>
          <w:szCs w:val="36"/>
          <w:u w:val="single"/>
        </w:rPr>
      </w:pPr>
      <w:r>
        <w:rPr>
          <w:rFonts w:hint="eastAsia" w:ascii="宋体" w:hAnsi="宋体" w:eastAsia="宋体" w:cs="宋体"/>
          <w:b/>
          <w:bCs/>
          <w:color w:val="000000"/>
          <w:sz w:val="36"/>
          <w:szCs w:val="36"/>
          <w:u w:val="single"/>
        </w:rPr>
      </w:r>
      <w:r/>
    </w:p>
    <w:p>
      <w:pPr>
        <w:pStyle w:val="855"/>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855"/>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855"/>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855"/>
        <w:jc w:val="center"/>
        <w:spacing w:beforeAutospacing="0" w:afterAutospacing="0" w:line="0" w:lineRule="atLeast"/>
      </w:pPr>
      <w:r>
        <w:rPr>
          <w:rFonts w:hint="eastAsia" w:ascii="宋体" w:hAnsi="宋体" w:eastAsia="宋体" w:cs="宋体"/>
          <w:b/>
          <w:color w:val="000000"/>
          <w:sz w:val="32"/>
          <w:szCs w:val="32"/>
        </w:rPr>
        <w:t xml:space="preserve">投标文件目录</w:t>
      </w:r>
      <w:r/>
    </w:p>
    <w:p>
      <w:pPr>
        <w:pStyle w:val="855"/>
        <w:jc w:val="center"/>
        <w:spacing w:beforeAutospacing="0" w:afterAutospacing="0" w:line="0" w:lineRule="atLeast"/>
      </w:pPr>
      <w:r>
        <w:t xml:space="preserve"> </w:t>
      </w:r>
      <w:r/>
    </w:p>
    <w:p>
      <w:pPr>
        <w:pStyle w:val="855"/>
        <w:ind w:left="480"/>
        <w:jc w:val="both"/>
        <w:spacing w:beforeAutospacing="0" w:afterAutospacing="0" w:line="360" w:lineRule="auto"/>
        <w:rPr>
          <w:i/>
          <w:u w:val="single"/>
        </w:rPr>
      </w:pPr>
      <w:r>
        <w:rPr>
          <w:rFonts w:hint="eastAsia" w:ascii="宋体" w:hAnsi="宋体" w:eastAsia="宋体" w:cs="宋体"/>
          <w:i/>
          <w:color w:val="000000"/>
          <w:u w:val="single"/>
        </w:rPr>
        <w:t xml:space="preserve">一、法人或者其他组织的营业执照等证明文件，自然人的身份证明</w:t>
      </w:r>
      <w:r/>
    </w:p>
    <w:p>
      <w:pPr>
        <w:ind w:firstLine="480"/>
        <w:jc w:val="left"/>
        <w:spacing w:line="360" w:lineRule="auto"/>
        <w:tabs>
          <w:tab w:val="left" w:pos="1331" w:leader="none"/>
        </w:tabs>
        <w:rPr>
          <w:i/>
          <w:u w:val="single"/>
        </w:rPr>
      </w:pPr>
      <w:r>
        <w:rPr>
          <w:rFonts w:hint="eastAsia" w:ascii="宋体" w:hAnsi="宋体" w:eastAsia="宋体" w:cs="宋体"/>
          <w:i/>
          <w:color w:val="000000"/>
          <w:sz w:val="24"/>
          <w:u w:val="single"/>
        </w:rPr>
        <w:t xml:space="preserve">二、上一年度的财务状况报告（至少提供资产负债表、利润表、现金流量表，</w:t>
      </w:r>
      <w:r>
        <w:rPr>
          <w:rFonts w:hint="eastAsia" w:ascii="宋体" w:hAnsi="宋体" w:eastAsia="宋体" w:cs="宋体"/>
          <w:i/>
          <w:color w:val="000000"/>
          <w:u w:val="single"/>
        </w:rPr>
        <w:t xml:space="preserve">投标人成立不满一年无需提供）</w:t>
      </w:r>
      <w:r/>
    </w:p>
    <w:p>
      <w:pPr>
        <w:pStyle w:val="855"/>
        <w:ind w:left="480"/>
        <w:jc w:val="both"/>
        <w:spacing w:beforeAutospacing="0" w:afterAutospacing="0" w:line="360" w:lineRule="auto"/>
        <w:rPr>
          <w:rFonts w:hint="eastAsia" w:ascii="宋体" w:hAnsi="宋体" w:eastAsia="宋体" w:cs="宋体"/>
          <w:i/>
          <w:color w:val="000000"/>
          <w:u w:val="single"/>
        </w:rPr>
      </w:pPr>
      <w:r>
        <w:rPr>
          <w:rFonts w:hint="eastAsia" w:ascii="宋体" w:hAnsi="宋体" w:eastAsia="宋体" w:cs="宋体"/>
          <w:i/>
          <w:color w:val="000000"/>
          <w:u w:val="single"/>
        </w:rPr>
        <w:t xml:space="preserve">三、具备履行合同所必需的设备和专业技术能力的书面声明</w:t>
      </w:r>
      <w:r/>
    </w:p>
    <w:p>
      <w:pPr>
        <w:pStyle w:val="855"/>
        <w:ind w:left="480"/>
        <w:jc w:val="both"/>
        <w:spacing w:beforeAutospacing="0" w:afterAutospacing="0" w:line="360" w:lineRule="auto"/>
        <w:rPr>
          <w:rFonts w:hint="eastAsia" w:ascii="宋体" w:hAnsi="宋体" w:eastAsia="宋体" w:cs="宋体"/>
          <w:i/>
          <w:color w:val="000000"/>
          <w:u w:val="single"/>
        </w:rPr>
      </w:pPr>
      <w:r>
        <w:rPr>
          <w:rFonts w:hint="eastAsia" w:ascii="宋体" w:hAnsi="宋体" w:eastAsia="宋体" w:cs="宋体"/>
          <w:i/>
          <w:color w:val="000000"/>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55"/>
        <w:ind w:firstLine="566"/>
        <w:jc w:val="both"/>
        <w:spacing w:beforeAutospacing="0" w:afterAutospacing="0" w:line="360" w:lineRule="auto"/>
        <w:rPr>
          <w:rFonts w:hint="eastAsia" w:ascii="宋体" w:hAnsi="宋体" w:eastAsia="宋体" w:cs="宋体"/>
          <w:i/>
          <w:color w:val="000000"/>
          <w:u w:val="single"/>
        </w:rPr>
      </w:pPr>
      <w:r>
        <w:rPr>
          <w:rFonts w:hint="eastAsia" w:ascii="宋体" w:hAnsi="宋体" w:eastAsia="宋体" w:cs="宋体"/>
          <w:i/>
          <w:color w:val="000000"/>
          <w:u w:val="single"/>
        </w:rPr>
        <w:t xml:space="preserve">五、参加政府采购活动前 3 年内在经营活动中没有重大违法记录的书面声明</w:t>
      </w:r>
      <w:r/>
    </w:p>
    <w:p>
      <w:pPr>
        <w:pStyle w:val="855"/>
        <w:ind w:firstLine="566"/>
        <w:jc w:val="both"/>
        <w:spacing w:beforeAutospacing="0" w:afterAutospacing="0" w:line="360" w:lineRule="auto"/>
        <w:rPr>
          <w:i/>
          <w:u w:val="single"/>
        </w:rPr>
      </w:pPr>
      <w:r>
        <w:rPr>
          <w:rFonts w:hint="eastAsia"/>
          <w:i/>
          <w:u w:val="single"/>
        </w:rPr>
        <w:t xml:space="preserve">六、单位负责人为同一人或者存在直接控股、服务关系的不同供应商，不得参加同一合同项下的政府采购活动。</w:t>
      </w:r>
      <w:r/>
    </w:p>
    <w:p>
      <w:pPr>
        <w:pStyle w:val="855"/>
        <w:ind w:firstLine="566"/>
        <w:jc w:val="both"/>
        <w:spacing w:beforeAutospacing="0" w:afterAutospacing="0" w:line="360" w:lineRule="auto"/>
        <w:rPr>
          <w:rFonts w:hint="eastAsia" w:ascii="宋体" w:hAnsi="宋体" w:eastAsia="宋体" w:cs="宋体"/>
          <w:i/>
          <w:color w:val="000000"/>
          <w:u w:val="single"/>
        </w:rPr>
      </w:pPr>
      <w:r>
        <w:rPr>
          <w:rFonts w:hint="eastAsia" w:ascii="宋体" w:hAnsi="宋体" w:eastAsia="宋体" w:cs="宋体"/>
          <w:i/>
          <w:color w:val="000000"/>
          <w:u w:val="single"/>
        </w:rPr>
        <w:t xml:space="preserve">七、特定资格要求的证明文件</w:t>
      </w:r>
      <w:r/>
    </w:p>
    <w:p>
      <w:pPr>
        <w:pStyle w:val="855"/>
        <w:ind w:firstLine="566"/>
        <w:jc w:val="both"/>
        <w:spacing w:beforeAutospacing="0" w:afterAutospacing="0" w:line="360" w:lineRule="auto"/>
        <w:rPr>
          <w:rFonts w:hint="eastAsia" w:ascii="宋体" w:hAnsi="宋体" w:eastAsia="宋体" w:cs="宋体"/>
          <w:i/>
          <w:color w:val="000000"/>
          <w:u w:val="single"/>
        </w:rPr>
      </w:pPr>
      <w:r>
        <w:rPr>
          <w:rFonts w:ascii="宋体" w:hAnsi="宋体" w:eastAsia="宋体" w:cs="宋体"/>
          <w:i/>
          <w:color w:val="000000"/>
          <w:u w:val="single"/>
        </w:rPr>
        <w:t xml:space="preserve">7</w:t>
      </w:r>
      <w:r>
        <w:rPr>
          <w:rFonts w:hint="eastAsia" w:ascii="宋体" w:hAnsi="宋体" w:eastAsia="宋体" w:cs="宋体"/>
          <w:i/>
          <w:color w:val="000000"/>
          <w:u w:val="single"/>
        </w:rPr>
        <w:t xml:space="preserve">.1持有合法有效的《食品经营许可证》，食品经营许可证的主体业态应为“集体用餐配送单位”，并承诺满足供餐份数要求进行供餐。</w:t>
      </w:r>
      <w:r/>
    </w:p>
    <w:p>
      <w:pPr>
        <w:pStyle w:val="855"/>
        <w:ind w:firstLine="566"/>
        <w:jc w:val="both"/>
        <w:spacing w:beforeAutospacing="0" w:afterAutospacing="0" w:line="360" w:lineRule="auto"/>
        <w:rPr>
          <w:rFonts w:hint="eastAsia" w:ascii="宋体" w:hAnsi="宋体" w:eastAsia="宋体" w:cs="宋体"/>
          <w:i/>
          <w:color w:val="000000"/>
          <w:u w:val="single"/>
        </w:rPr>
      </w:pPr>
      <w:r>
        <w:rPr>
          <w:rFonts w:ascii="宋体" w:hAnsi="宋体" w:eastAsia="宋体" w:cs="宋体"/>
          <w:i/>
          <w:color w:val="000000"/>
          <w:u w:val="single"/>
        </w:rPr>
        <w:t xml:space="preserve">7</w:t>
      </w:r>
      <w:r>
        <w:rPr>
          <w:rFonts w:hint="eastAsia" w:ascii="宋体" w:hAnsi="宋体" w:eastAsia="宋体" w:cs="宋体"/>
          <w:i/>
          <w:color w:val="000000"/>
          <w:u w:val="single"/>
        </w:rPr>
        <w:t xml:space="preserve">.2近3年内未发生过食品安全事故，未因食品安全问题被行政处罚，未被列入严重违法失信名单。</w:t>
      </w:r>
      <w:r/>
    </w:p>
    <w:p>
      <w:pPr>
        <w:pStyle w:val="855"/>
        <w:ind w:firstLine="566"/>
        <w:jc w:val="both"/>
        <w:spacing w:beforeAutospacing="0" w:afterAutospacing="0" w:line="360" w:lineRule="auto"/>
        <w:rPr>
          <w:rFonts w:hint="eastAsia" w:ascii="宋体" w:hAnsi="宋体" w:eastAsia="宋体" w:cs="宋体"/>
          <w:i/>
          <w:color w:val="000000"/>
          <w:u w:val="single"/>
        </w:rPr>
      </w:pPr>
      <w:r>
        <w:rPr>
          <w:rFonts w:ascii="宋体" w:hAnsi="宋体" w:eastAsia="宋体" w:cs="宋体"/>
          <w:i/>
          <w:color w:val="000000"/>
          <w:u w:val="single"/>
        </w:rPr>
        <w:t xml:space="preserve">7</w:t>
      </w:r>
      <w:r>
        <w:rPr>
          <w:rFonts w:hint="eastAsia" w:ascii="宋体" w:hAnsi="宋体" w:eastAsia="宋体" w:cs="宋体"/>
          <w:i/>
          <w:color w:val="000000"/>
          <w:u w:val="single"/>
        </w:rPr>
        <w:t xml:space="preserve">.3企业每年投保符合供餐规模的食品安全责任险。</w:t>
      </w:r>
      <w:r/>
    </w:p>
    <w:p>
      <w:pPr>
        <w:pStyle w:val="855"/>
        <w:ind w:firstLine="566"/>
        <w:jc w:val="both"/>
        <w:spacing w:beforeAutospacing="0" w:afterAutospacing="0" w:line="360" w:lineRule="auto"/>
        <w:rPr>
          <w:rFonts w:hint="eastAsia" w:ascii="宋体" w:hAnsi="宋体" w:eastAsia="宋体" w:cs="宋体"/>
          <w:i/>
          <w:color w:val="000000"/>
          <w:u w:val="single"/>
        </w:rPr>
      </w:pPr>
      <w:r>
        <w:rPr>
          <w:rFonts w:ascii="宋体" w:hAnsi="宋体" w:eastAsia="宋体" w:cs="宋体"/>
          <w:i/>
          <w:color w:val="000000"/>
          <w:u w:val="single"/>
        </w:rPr>
        <w:t xml:space="preserve">7</w:t>
      </w:r>
      <w:r>
        <w:rPr>
          <w:rFonts w:hint="eastAsia" w:ascii="宋体" w:hAnsi="宋体" w:eastAsia="宋体" w:cs="宋体"/>
          <w:i/>
          <w:color w:val="000000"/>
          <w:u w:val="single"/>
        </w:rPr>
        <w:t xml:space="preserve">.4配备与供应餐食品种、数量相适应的食品加工制作场所，设施设备齐全，环境清洁卫生，食品加工制作行为符合</w:t>
      </w:r>
      <w:r>
        <w:rPr>
          <w:rFonts w:hint="eastAsia" w:asciiTheme="minorEastAsia" w:hAnsiTheme="minorEastAsia"/>
          <w:i/>
          <w:u w:val="single"/>
        </w:rPr>
        <w:t xml:space="preserve">GB</w:t>
      </w:r>
      <w:r>
        <w:rPr>
          <w:rFonts w:asciiTheme="minorEastAsia" w:hAnsiTheme="minorEastAsia"/>
          <w:i/>
          <w:u w:val="single"/>
        </w:rPr>
        <w:t xml:space="preserve"> </w:t>
      </w:r>
      <w:r>
        <w:rPr>
          <w:rFonts w:hint="eastAsia" w:asciiTheme="minorEastAsia" w:hAnsiTheme="minorEastAsia"/>
          <w:i/>
          <w:u w:val="single"/>
        </w:rPr>
        <w:t xml:space="preserve">31654-2021《食品安全国家标准餐饮服务通用卫生规范》</w:t>
      </w:r>
      <w:r>
        <w:rPr>
          <w:rFonts w:hint="eastAsia" w:ascii="宋体" w:hAnsi="宋体" w:eastAsia="宋体" w:cs="宋体"/>
          <w:i/>
          <w:color w:val="000000"/>
          <w:u w:val="single"/>
        </w:rPr>
        <w:t xml:space="preserve">。</w:t>
      </w:r>
      <w:r/>
    </w:p>
    <w:p>
      <w:pPr>
        <w:pStyle w:val="855"/>
        <w:ind w:firstLine="566"/>
        <w:jc w:val="both"/>
        <w:spacing w:beforeAutospacing="0" w:afterAutospacing="0" w:line="360" w:lineRule="auto"/>
        <w:rPr>
          <w:rFonts w:hint="eastAsia" w:ascii="宋体" w:hAnsi="宋体" w:eastAsia="宋体" w:cs="宋体"/>
          <w:i/>
          <w:color w:val="000000"/>
          <w:u w:val="single"/>
        </w:rPr>
      </w:pPr>
      <w:r>
        <w:rPr>
          <w:rFonts w:ascii="宋体" w:hAnsi="宋体" w:eastAsia="宋体" w:cs="宋体"/>
          <w:i/>
          <w:color w:val="000000"/>
          <w:u w:val="single"/>
        </w:rPr>
        <w:t xml:space="preserve">7</w:t>
      </w:r>
      <w:r>
        <w:rPr>
          <w:rFonts w:hint="eastAsia" w:ascii="宋体" w:hAnsi="宋体" w:eastAsia="宋体" w:cs="宋体"/>
          <w:i/>
          <w:color w:val="000000"/>
          <w:u w:val="single"/>
        </w:rPr>
        <w:t xml:space="preserve">.</w:t>
      </w:r>
      <w:r>
        <w:rPr>
          <w:rFonts w:ascii="宋体" w:hAnsi="宋体" w:eastAsia="宋体" w:cs="宋体"/>
          <w:i/>
          <w:color w:val="000000"/>
          <w:u w:val="single"/>
        </w:rPr>
        <w:t xml:space="preserve">5</w:t>
      </w:r>
      <w:r>
        <w:rPr>
          <w:rFonts w:hint="eastAsia" w:ascii="宋体" w:hAnsi="宋体" w:eastAsia="宋体" w:cs="宋体"/>
          <w:i/>
          <w:color w:val="000000"/>
          <w:u w:val="single"/>
        </w:rPr>
        <w:t xml:space="preserve">投标时提供承诺中标后实施“互联网+明厨亮灶”工程，加入江苏省食品经营安全智慧监管平台和滨海县教育局网络监控平台，主动接受市场监管、教育部门、学校和家长代表监督。</w:t>
      </w:r>
      <w:r/>
    </w:p>
    <w:p>
      <w:pPr>
        <w:pStyle w:val="855"/>
        <w:ind w:firstLine="566"/>
        <w:jc w:val="both"/>
        <w:spacing w:beforeAutospacing="0" w:afterAutospacing="0" w:line="360" w:lineRule="auto"/>
        <w:rPr>
          <w:i/>
          <w:u w:val="single"/>
        </w:rPr>
      </w:pPr>
      <w:r>
        <w:rPr>
          <w:rFonts w:hint="eastAsia" w:ascii="宋体" w:hAnsi="宋体" w:eastAsia="宋体" w:cs="宋体"/>
          <w:i/>
          <w:color w:val="000000"/>
          <w:u w:val="single"/>
        </w:rPr>
        <w:t xml:space="preserve">八、法人授权书</w:t>
      </w:r>
      <w:r/>
    </w:p>
    <w:p>
      <w:pPr>
        <w:pStyle w:val="855"/>
        <w:ind w:firstLine="566"/>
        <w:jc w:val="both"/>
        <w:spacing w:beforeAutospacing="0" w:afterAutospacing="0" w:line="360" w:lineRule="auto"/>
        <w:rPr>
          <w:i/>
          <w:u w:val="single"/>
        </w:rPr>
      </w:pPr>
      <w:r>
        <w:rPr>
          <w:rFonts w:hint="eastAsia" w:ascii="宋体" w:hAnsi="宋体" w:eastAsia="宋体" w:cs="宋体"/>
          <w:i/>
          <w:color w:val="000000"/>
          <w:u w:val="single"/>
        </w:rPr>
        <w:t xml:space="preserve">九、投标函</w:t>
      </w:r>
      <w:r/>
    </w:p>
    <w:p>
      <w:pPr>
        <w:pStyle w:val="855"/>
        <w:ind w:firstLine="566"/>
        <w:jc w:val="both"/>
        <w:spacing w:beforeAutospacing="0" w:afterAutospacing="0" w:line="360" w:lineRule="auto"/>
        <w:rPr>
          <w:iCs/>
        </w:rPr>
      </w:pPr>
      <w:r>
        <w:rPr>
          <w:rFonts w:hint="eastAsia" w:ascii="宋体" w:hAnsi="宋体" w:eastAsia="宋体" w:cs="宋体"/>
          <w:iCs/>
          <w:color w:val="000000"/>
        </w:rPr>
        <w:t xml:space="preserve">十、</w:t>
      </w:r>
      <w:r>
        <w:rPr>
          <w:rFonts w:hint="eastAsia" w:ascii="宋体" w:hAnsi="宋体" w:eastAsia="宋体" w:cs="宋体"/>
          <w:iCs/>
        </w:rPr>
        <w:t xml:space="preserve">中小企业声明函</w:t>
      </w:r>
      <w:r/>
    </w:p>
    <w:p>
      <w:pPr>
        <w:pStyle w:val="855"/>
        <w:ind w:firstLine="566"/>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十一、残疾人福利性单位声明函</w:t>
      </w:r>
      <w:r/>
    </w:p>
    <w:p>
      <w:pPr>
        <w:pStyle w:val="855"/>
        <w:ind w:firstLine="566"/>
        <w:jc w:val="both"/>
        <w:spacing w:beforeAutospacing="0" w:afterAutospacing="0" w:line="360" w:lineRule="auto"/>
        <w:rPr>
          <w:rFonts w:hint="eastAsia" w:ascii="宋体" w:hAnsi="宋体" w:eastAsia="宋体" w:cs="宋体"/>
          <w:iCs/>
        </w:rPr>
      </w:pPr>
      <w:r>
        <w:rPr>
          <w:rFonts w:hint="eastAsia" w:ascii="宋体" w:hAnsi="宋体" w:eastAsia="宋体" w:cs="宋体"/>
          <w:iCs/>
        </w:rPr>
        <w:t xml:space="preserve">十二、关于符合本国产品标准的声明函</w:t>
      </w:r>
      <w:r/>
    </w:p>
    <w:p>
      <w:pPr>
        <w:pStyle w:val="855"/>
        <w:ind w:firstLine="566"/>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十三、投标分项报价表</w:t>
      </w:r>
      <w:r/>
    </w:p>
    <w:p>
      <w:pPr>
        <w:pStyle w:val="855"/>
        <w:ind w:firstLine="566"/>
        <w:jc w:val="both"/>
        <w:spacing w:beforeAutospacing="0" w:afterAutospacing="0" w:line="360" w:lineRule="auto"/>
        <w:rPr>
          <w:i/>
          <w:u w:val="single"/>
        </w:rPr>
      </w:pPr>
      <w:r>
        <w:rPr>
          <w:rFonts w:hint="eastAsia" w:ascii="宋体" w:hAnsi="宋体" w:eastAsia="宋体" w:cs="宋体"/>
          <w:i/>
          <w:color w:val="000000"/>
          <w:u w:val="single"/>
        </w:rPr>
        <w:t xml:space="preserve">十四、服务承诺函</w:t>
      </w:r>
      <w:r/>
    </w:p>
    <w:p>
      <w:pPr>
        <w:pStyle w:val="855"/>
        <w:ind w:firstLine="566"/>
        <w:jc w:val="both"/>
        <w:spacing w:beforeAutospacing="0" w:afterAutospacing="0" w:line="360" w:lineRule="auto"/>
        <w:rPr>
          <w:iCs/>
        </w:rPr>
      </w:pPr>
      <w:r>
        <w:rPr>
          <w:rFonts w:hint="eastAsia" w:ascii="宋体" w:hAnsi="宋体" w:eastAsia="宋体" w:cs="宋体"/>
          <w:iCs/>
          <w:color w:val="000000"/>
        </w:rPr>
        <w:t xml:space="preserve">十五、商务要求响应及偏离表</w:t>
      </w:r>
      <w:r/>
    </w:p>
    <w:p>
      <w:pPr>
        <w:pStyle w:val="855"/>
        <w:ind w:firstLine="566"/>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十六、报价表</w:t>
      </w:r>
      <w:r/>
    </w:p>
    <w:p>
      <w:pPr>
        <w:ind w:firstLine="566"/>
        <w:spacing w:before="50" w:after="50" w:line="360" w:lineRule="auto"/>
        <w:widowControl/>
        <w:rPr>
          <w:rFonts w:hint="eastAsia" w:ascii="宋体" w:hAnsi="宋体" w:eastAsia="宋体" w:cs="宋体"/>
          <w:iCs/>
          <w:color w:val="000000"/>
          <w:sz w:val="24"/>
        </w:rPr>
      </w:pPr>
      <w:r>
        <w:rPr>
          <w:rFonts w:hint="eastAsia" w:ascii="宋体" w:hAnsi="宋体" w:eastAsia="宋体" w:cs="宋体"/>
          <w:iCs/>
          <w:color w:val="000000"/>
          <w:sz w:val="24"/>
        </w:rPr>
        <w:t xml:space="preserve">十七、技术方案、服务承诺、培训承诺等</w:t>
      </w:r>
      <w:r/>
    </w:p>
    <w:p>
      <w:pPr>
        <w:pStyle w:val="855"/>
        <w:ind w:firstLine="566"/>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十八、盐城市政府采购事前信用承诺书</w:t>
      </w:r>
      <w:r/>
    </w:p>
    <w:p>
      <w:pPr>
        <w:pStyle w:val="855"/>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55"/>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55"/>
        <w:ind w:firstLine="480"/>
        <w:jc w:val="both"/>
        <w:spacing w:beforeAutospacing="0" w:afterAutospacing="0" w:line="0" w:lineRule="atLeast"/>
      </w:pPr>
      <w:r>
        <w:t xml:space="preserve"> </w:t>
      </w:r>
      <w:r/>
    </w:p>
    <w:p>
      <w:pPr>
        <w:pStyle w:val="855"/>
        <w:ind w:firstLine="480"/>
        <w:jc w:val="both"/>
        <w:spacing w:beforeAutospacing="0" w:afterAutospacing="0" w:line="0" w:lineRule="atLeast"/>
      </w:pPr>
      <w:r>
        <w:t xml:space="preserve"> </w:t>
      </w:r>
      <w:r/>
    </w:p>
    <w:p>
      <w:pPr>
        <w:pStyle w:val="855"/>
        <w:ind w:firstLine="480"/>
        <w:jc w:val="both"/>
        <w:spacing w:beforeAutospacing="0" w:afterAutospacing="0" w:line="0" w:lineRule="atLeast"/>
      </w:pPr>
      <w:r>
        <w:t xml:space="preserve"> </w:t>
      </w:r>
      <w:r/>
    </w:p>
    <w:p>
      <w:pPr>
        <w:pStyle w:val="855"/>
        <w:ind w:firstLine="480"/>
        <w:jc w:val="both"/>
        <w:spacing w:beforeAutospacing="0" w:afterAutospacing="0" w:line="0" w:lineRule="atLeast"/>
      </w:pPr>
      <w:r>
        <w:t xml:space="preserve"> </w:t>
      </w:r>
      <w:r/>
    </w:p>
    <w:p>
      <w:pPr>
        <w:pStyle w:val="855"/>
        <w:ind w:firstLine="480"/>
        <w:jc w:val="both"/>
        <w:spacing w:beforeAutospacing="0" w:afterAutospacing="0" w:line="0" w:lineRule="atLeast"/>
      </w:pPr>
      <w:r/>
      <w:r/>
    </w:p>
    <w:p>
      <w:pPr>
        <w:pStyle w:val="855"/>
        <w:ind w:firstLine="480"/>
        <w:jc w:val="both"/>
        <w:spacing w:beforeAutospacing="0" w:afterAutospacing="0" w:line="0" w:lineRule="atLeast"/>
      </w:pPr>
      <w:r/>
      <w:r/>
    </w:p>
    <w:p>
      <w:pPr>
        <w:pStyle w:val="855"/>
        <w:ind w:firstLine="480"/>
        <w:jc w:val="both"/>
        <w:spacing w:beforeAutospacing="0" w:afterAutospacing="0" w:line="0" w:lineRule="atLeast"/>
      </w:pPr>
      <w:r/>
      <w:r/>
    </w:p>
    <w:p>
      <w:pPr>
        <w:pStyle w:val="855"/>
        <w:ind w:firstLine="480"/>
        <w:jc w:val="both"/>
        <w:spacing w:beforeAutospacing="0" w:afterAutospacing="0" w:line="0" w:lineRule="atLeast"/>
      </w:pPr>
      <w:r/>
      <w:r/>
    </w:p>
    <w:p>
      <w:pPr>
        <w:pStyle w:val="855"/>
        <w:ind w:firstLine="480"/>
        <w:jc w:val="both"/>
        <w:spacing w:beforeAutospacing="0" w:afterAutospacing="0" w:line="0" w:lineRule="atLeast"/>
      </w:pPr>
      <w:r/>
      <w:r/>
    </w:p>
    <w:p>
      <w:pPr>
        <w:pStyle w:val="855"/>
        <w:ind w:firstLine="480"/>
        <w:jc w:val="both"/>
        <w:spacing w:beforeAutospacing="0" w:afterAutospacing="0" w:line="0" w:lineRule="atLeast"/>
      </w:pPr>
      <w:r>
        <w:t xml:space="preserve"> </w:t>
      </w:r>
      <w:r/>
    </w:p>
    <w:p>
      <w:pPr>
        <w:pStyle w:val="855"/>
        <w:ind w:firstLine="480"/>
        <w:jc w:val="both"/>
        <w:spacing w:beforeAutospacing="0" w:afterAutospacing="0" w:line="0" w:lineRule="atLeast"/>
      </w:pPr>
      <w:r>
        <w:t xml:space="preserve"> </w:t>
      </w:r>
      <w:r/>
    </w:p>
    <w:p>
      <w:pPr>
        <w:pStyle w:val="855"/>
        <w:ind w:firstLine="480"/>
        <w:jc w:val="both"/>
        <w:spacing w:beforeAutospacing="0" w:afterAutospacing="0" w:line="0" w:lineRule="atLeast"/>
      </w:pPr>
      <w:r>
        <w:t xml:space="preserve"> </w:t>
      </w:r>
      <w:r/>
    </w:p>
    <w:p>
      <w:pPr>
        <w:pStyle w:val="855"/>
        <w:ind w:firstLine="480"/>
        <w:jc w:val="both"/>
        <w:spacing w:beforeAutospacing="0" w:afterAutospacing="0" w:line="0" w:lineRule="atLeast"/>
      </w:pPr>
      <w:r/>
      <w:r/>
    </w:p>
    <w:p>
      <w:pPr>
        <w:pStyle w:val="855"/>
        <w:ind w:firstLine="480"/>
        <w:jc w:val="both"/>
        <w:spacing w:beforeAutospacing="0" w:afterAutospacing="0" w:line="0" w:lineRule="atLeast"/>
      </w:pPr>
      <w:r/>
      <w:r/>
    </w:p>
    <w:p>
      <w:pPr>
        <w:pStyle w:val="855"/>
        <w:ind w:firstLine="480"/>
        <w:jc w:val="both"/>
        <w:spacing w:beforeAutospacing="0" w:afterAutospacing="0" w:line="0" w:lineRule="atLeast"/>
      </w:pPr>
      <w:r/>
      <w:r/>
    </w:p>
    <w:p>
      <w:pPr>
        <w:pStyle w:val="855"/>
        <w:ind w:firstLine="480"/>
        <w:jc w:val="both"/>
        <w:spacing w:beforeAutospacing="0" w:afterAutospacing="0" w:line="0" w:lineRule="atLeast"/>
      </w:pPr>
      <w:r/>
      <w:r/>
    </w:p>
    <w:p>
      <w:pPr>
        <w:pStyle w:val="855"/>
        <w:ind w:firstLine="480"/>
        <w:jc w:val="both"/>
        <w:spacing w:beforeAutospacing="0" w:afterAutospacing="0" w:line="0" w:lineRule="atLeast"/>
      </w:pPr>
      <w:r/>
      <w:r/>
    </w:p>
    <w:p>
      <w:pPr>
        <w:pStyle w:val="855"/>
        <w:ind w:firstLine="480"/>
        <w:jc w:val="both"/>
        <w:spacing w:beforeAutospacing="0" w:afterAutospacing="0" w:line="0" w:lineRule="atLeast"/>
      </w:pPr>
      <w:r/>
      <w:r/>
    </w:p>
    <w:p>
      <w:pPr>
        <w:pStyle w:val="855"/>
        <w:ind w:firstLine="480"/>
        <w:jc w:val="both"/>
        <w:spacing w:beforeAutospacing="0" w:afterAutospacing="0" w:line="0" w:lineRule="atLeast"/>
      </w:pPr>
      <w:r/>
      <w:r/>
    </w:p>
    <w:p>
      <w:pPr>
        <w:pStyle w:val="855"/>
        <w:ind w:firstLine="480"/>
        <w:jc w:val="both"/>
        <w:spacing w:beforeAutospacing="0" w:afterAutospacing="0" w:line="0" w:lineRule="atLeast"/>
      </w:pPr>
      <w:r/>
      <w:r/>
    </w:p>
    <w:p>
      <w:pPr>
        <w:pStyle w:val="855"/>
        <w:ind w:firstLine="480"/>
        <w:jc w:val="both"/>
        <w:spacing w:beforeAutospacing="0" w:afterAutospacing="0" w:line="0" w:lineRule="atLeast"/>
      </w:pPr>
      <w:r/>
      <w:r/>
    </w:p>
    <w:p>
      <w:pPr>
        <w:pStyle w:val="855"/>
        <w:ind w:firstLine="480"/>
        <w:jc w:val="both"/>
        <w:spacing w:beforeAutospacing="0" w:afterAutospacing="0" w:line="0" w:lineRule="atLeast"/>
      </w:pPr>
      <w:r/>
      <w:r/>
    </w:p>
    <w:p>
      <w:pPr>
        <w:pStyle w:val="855"/>
        <w:ind w:firstLine="480"/>
        <w:jc w:val="both"/>
        <w:spacing w:beforeAutospacing="0" w:afterAutospacing="0" w:line="0" w:lineRule="atLeast"/>
      </w:pPr>
      <w:r/>
      <w:r/>
    </w:p>
    <w:p>
      <w:pPr>
        <w:pStyle w:val="855"/>
        <w:ind w:firstLine="480"/>
        <w:jc w:val="both"/>
        <w:spacing w:beforeAutospacing="0" w:afterAutospacing="0" w:line="0" w:lineRule="atLeast"/>
      </w:pPr>
      <w:r/>
      <w:r/>
    </w:p>
    <w:p>
      <w:pPr>
        <w:pStyle w:val="855"/>
        <w:ind w:firstLine="480"/>
        <w:jc w:val="both"/>
        <w:spacing w:beforeAutospacing="0" w:afterAutospacing="0" w:line="0" w:lineRule="atLeast"/>
      </w:pPr>
      <w:r/>
      <w:r/>
    </w:p>
    <w:p>
      <w:pPr>
        <w:pStyle w:val="855"/>
        <w:ind w:firstLine="480"/>
        <w:jc w:val="both"/>
        <w:spacing w:beforeAutospacing="0" w:afterAutospacing="0" w:line="0" w:lineRule="atLeast"/>
      </w:pPr>
      <w:r/>
      <w:r/>
    </w:p>
    <w:p>
      <w:pPr>
        <w:pStyle w:val="855"/>
        <w:ind w:firstLine="480"/>
        <w:jc w:val="both"/>
        <w:spacing w:beforeAutospacing="0" w:afterAutospacing="0" w:line="0" w:lineRule="atLeast"/>
      </w:pPr>
      <w:r/>
      <w:r/>
    </w:p>
    <w:p>
      <w:pPr>
        <w:pStyle w:val="855"/>
        <w:ind w:firstLine="480"/>
        <w:jc w:val="both"/>
        <w:spacing w:beforeAutospacing="0" w:afterAutospacing="0" w:line="0" w:lineRule="atLeast"/>
      </w:pPr>
      <w:r/>
      <w:r/>
    </w:p>
    <w:p>
      <w:pPr>
        <w:pStyle w:val="855"/>
        <w:ind w:firstLine="480"/>
        <w:jc w:val="both"/>
        <w:spacing w:beforeAutospacing="0" w:afterAutospacing="0" w:line="0" w:lineRule="atLeast"/>
      </w:pPr>
      <w:r/>
      <w:r/>
    </w:p>
    <w:p>
      <w:pPr>
        <w:pStyle w:val="855"/>
        <w:ind w:firstLine="480"/>
        <w:jc w:val="both"/>
        <w:spacing w:beforeAutospacing="0" w:afterAutospacing="0" w:line="0" w:lineRule="atLeast"/>
      </w:pPr>
      <w:r/>
      <w:r/>
    </w:p>
    <w:p>
      <w:pPr>
        <w:pStyle w:val="855"/>
        <w:ind w:firstLine="480"/>
        <w:jc w:val="both"/>
        <w:spacing w:beforeAutospacing="0" w:afterAutospacing="0" w:line="0" w:lineRule="atLeast"/>
      </w:pPr>
      <w:r/>
      <w:r/>
    </w:p>
    <w:p>
      <w:pPr>
        <w:pStyle w:val="855"/>
        <w:ind w:firstLine="480"/>
        <w:jc w:val="both"/>
        <w:spacing w:beforeAutospacing="0" w:afterAutospacing="0" w:line="0" w:lineRule="atLeast"/>
      </w:pPr>
      <w:r/>
      <w:r/>
    </w:p>
    <w:p>
      <w:pPr>
        <w:pStyle w:val="855"/>
        <w:ind w:firstLine="480"/>
        <w:jc w:val="both"/>
        <w:spacing w:beforeAutospacing="0" w:afterAutospacing="0" w:line="0" w:lineRule="atLeast"/>
      </w:pPr>
      <w:r/>
      <w:r/>
    </w:p>
    <w:p>
      <w:pPr>
        <w:pStyle w:val="855"/>
        <w:ind w:firstLine="480"/>
        <w:jc w:val="both"/>
        <w:spacing w:beforeAutospacing="0" w:afterAutospacing="0" w:line="0" w:lineRule="atLeast"/>
      </w:pPr>
      <w:r/>
      <w:r/>
    </w:p>
    <w:p>
      <w:pPr>
        <w:pStyle w:val="855"/>
        <w:ind w:firstLine="480"/>
        <w:jc w:val="both"/>
        <w:spacing w:beforeAutospacing="0" w:afterAutospacing="0" w:line="0" w:lineRule="atLeast"/>
      </w:pPr>
      <w:r>
        <w:t xml:space="preserve"> </w:t>
      </w:r>
      <w:r/>
    </w:p>
    <w:p>
      <w:pPr>
        <w:pStyle w:val="855"/>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855"/>
        <w:ind w:firstLine="480"/>
        <w:jc w:val="both"/>
        <w:spacing w:beforeAutospacing="0" w:afterAutospacing="0" w:line="0" w:lineRule="atLeast"/>
      </w:pPr>
      <w:r>
        <w:t xml:space="preserve"> </w:t>
      </w:r>
      <w:r/>
    </w:p>
    <w:p>
      <w:pPr>
        <w:pStyle w:val="855"/>
        <w:jc w:val="both"/>
        <w:spacing w:beforeAutospacing="0" w:afterAutospacing="0"/>
        <w:rPr>
          <w:rFonts w:eastAsia="黑体"/>
        </w:rPr>
      </w:pPr>
      <w:r>
        <w:rPr>
          <w:rFonts w:hint="eastAsia" w:ascii="黑体" w:hAnsi="宋体" w:eastAsia="黑体" w:cs="黑体"/>
          <w:i/>
          <w:color w:val="000000"/>
          <w:sz w:val="32"/>
          <w:szCs w:val="32"/>
          <w:u w:val="single"/>
        </w:rPr>
        <w:t xml:space="preserve">二、上一年度的财务状况报告</w:t>
      </w:r>
      <w:r/>
    </w:p>
    <w:p>
      <w:pPr>
        <w:jc w:val="left"/>
        <w:tabs>
          <w:tab w:val="left" w:pos="1331" w:leader="none"/>
        </w:tabs>
        <w:rPr>
          <w:rFonts w:hint="eastAsia" w:ascii="宋体" w:hAnsi="宋体" w:eastAsia="宋体" w:cs="宋体"/>
          <w:iCs/>
          <w:color w:val="000000"/>
          <w:sz w:val="24"/>
        </w:rPr>
      </w:pPr>
      <w:r>
        <w:rPr>
          <w:rFonts w:hint="eastAsia" w:ascii="宋体" w:hAnsi="宋体" w:eastAsia="宋体" w:cs="宋体"/>
          <w:iCs/>
          <w:color w:val="000000"/>
          <w:sz w:val="24"/>
        </w:rPr>
        <w:t xml:space="preserve">（至少提供资产负债表、利润表、现金流量表，投标人成立不满一年无需提供）</w:t>
      </w:r>
      <w:r/>
    </w:p>
    <w:p>
      <w:pPr>
        <w:pStyle w:val="855"/>
        <w:ind w:firstLine="480"/>
        <w:jc w:val="both"/>
        <w:spacing w:beforeAutospacing="0" w:afterAutospacing="0" w:line="0" w:lineRule="atLeast"/>
      </w:pPr>
      <w:r/>
      <w:r/>
    </w:p>
    <w:p>
      <w:pPr>
        <w:pStyle w:val="855"/>
        <w:jc w:val="both"/>
        <w:spacing w:beforeAutospacing="0" w:afterAutospacing="0"/>
      </w:pPr>
      <w:r>
        <w:t xml:space="preserve"> </w:t>
      </w:r>
      <w:r/>
    </w:p>
    <w:p>
      <w:pPr>
        <w:pStyle w:val="855"/>
        <w:jc w:val="both"/>
        <w:spacing w:beforeAutospacing="0" w:afterAutospacing="0"/>
      </w:pPr>
      <w:r>
        <w:t xml:space="preserve"> </w:t>
      </w:r>
      <w:r/>
    </w:p>
    <w:p>
      <w:pPr>
        <w:pStyle w:val="855"/>
        <w:jc w:val="both"/>
        <w:spacing w:beforeAutospacing="0" w:afterAutospacing="0"/>
      </w:pPr>
      <w:r>
        <w:rPr>
          <w:rFonts w:hint="eastAsia" w:ascii="黑体" w:hAnsi="宋体" w:eastAsia="黑体" w:cs="黑体"/>
          <w:i/>
          <w:color w:val="000000"/>
          <w:sz w:val="32"/>
          <w:szCs w:val="32"/>
          <w:u w:val="single"/>
        </w:rPr>
        <w:t xml:space="preserve">三、具备履行合同所必需的设备和专业技术能力的书面声明</w:t>
      </w:r>
      <w:r/>
    </w:p>
    <w:p>
      <w:pPr>
        <w:pStyle w:val="855"/>
        <w:ind w:firstLine="492"/>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855"/>
        <w:ind w:firstLine="492"/>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55"/>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55"/>
        <w:jc w:val="both"/>
        <w:spacing w:beforeAutospacing="0" w:afterAutospacing="0"/>
      </w:pPr>
      <w:r>
        <w:rPr>
          <w:rFonts w:hint="eastAsia" w:ascii="黑体" w:hAnsi="宋体" w:eastAsia="黑体" w:cs="黑体"/>
          <w:i/>
          <w:color w:val="000000"/>
          <w:sz w:val="32"/>
          <w:szCs w:val="32"/>
          <w:u w:val="single"/>
        </w:rPr>
        <w:t xml:space="preserve">四、依法缴纳税收和社会保障资金的相关材料</w:t>
      </w:r>
      <w:r/>
    </w:p>
    <w:p>
      <w:pPr>
        <w:pStyle w:val="855"/>
        <w:ind w:firstLine="480"/>
        <w:jc w:val="both"/>
        <w:spacing w:beforeAutospacing="0" w:afterAutospacing="0"/>
      </w:pPr>
      <w:r/>
      <w:bookmarkStart w:id="234" w:name="_Toc120614284"/>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bookmarkEnd w:id="234"/>
      <w:r/>
      <w:r/>
    </w:p>
    <w:p>
      <w:pPr>
        <w:pStyle w:val="855"/>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855"/>
        <w:jc w:val="both"/>
        <w:spacing w:beforeAutospacing="0" w:afterAutospacing="0" w:line="0" w:lineRule="atLeast"/>
      </w:pPr>
      <w:r>
        <w:rPr>
          <w:rFonts w:hint="eastAsia" w:ascii="宋体" w:hAnsi="宋体" w:eastAsia="宋体" w:cs="宋体"/>
          <w:b/>
          <w:color w:val="000000"/>
          <w:sz w:val="44"/>
          <w:szCs w:val="44"/>
        </w:rPr>
        <w:t xml:space="preserve">       声  明</w:t>
      </w:r>
      <w:r/>
    </w:p>
    <w:p>
      <w:pPr>
        <w:pStyle w:val="855"/>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855"/>
        <w:jc w:val="both"/>
        <w:spacing w:beforeAutospacing="0" w:afterAutospacing="0"/>
      </w:pPr>
      <w:r>
        <w:t xml:space="preserve"> </w:t>
      </w:r>
      <w:r/>
    </w:p>
    <w:p>
      <w:pPr>
        <w:pStyle w:val="855"/>
        <w:ind w:firstLine="755"/>
        <w:jc w:val="both"/>
        <w:spacing w:beforeAutospacing="0" w:afterAutospacing="0"/>
        <w:rPr>
          <w:rFonts w:hint="eastAsia" w:ascii="黑体" w:hAnsi="宋体" w:eastAsia="黑体" w:cs="黑体"/>
          <w:i/>
          <w:color w:val="000000"/>
          <w:sz w:val="28"/>
          <w:szCs w:val="28"/>
          <w:u w:val="single"/>
        </w:rPr>
      </w:pPr>
      <w:r>
        <w:rPr>
          <w:rFonts w:hint="eastAsia" w:ascii="黑体" w:hAnsi="宋体" w:eastAsia="黑体" w:cs="黑体"/>
          <w:i/>
          <w:color w:val="000000"/>
          <w:sz w:val="28"/>
          <w:szCs w:val="28"/>
          <w:u w:val="single"/>
        </w:rPr>
        <w:t xml:space="preserve">六、</w:t>
      </w:r>
      <w:bookmarkStart w:id="235" w:name="OLE_LINK42"/>
      <w:r/>
      <w:bookmarkStart w:id="236" w:name="OLE_LINK41"/>
      <w:r>
        <w:rPr>
          <w:rFonts w:hint="eastAsia" w:ascii="黑体" w:hAnsi="宋体" w:eastAsia="黑体" w:cs="黑体"/>
          <w:i/>
          <w:color w:val="000000"/>
          <w:sz w:val="28"/>
          <w:szCs w:val="28"/>
          <w:u w:val="single"/>
        </w:rPr>
        <w:t xml:space="preserve">单位负责人为同一人或者存在直接控股、服务关系的不同供应商，不得参加同一合同项下的政府采购活动的声明。</w:t>
      </w:r>
      <w:r/>
    </w:p>
    <w:p>
      <w:pPr>
        <w:pStyle w:val="855"/>
        <w:ind w:firstLine="1042"/>
        <w:jc w:val="center"/>
        <w:spacing w:beforeAutospacing="0" w:afterAutospacing="0" w:line="0" w:lineRule="atLeast"/>
      </w:pPr>
      <w:r>
        <w:rPr>
          <w:rFonts w:hint="eastAsia"/>
          <w:b/>
          <w:color w:val="000000"/>
          <w:sz w:val="44"/>
          <w:szCs w:val="44"/>
        </w:rPr>
        <w:t xml:space="preserve">声</w:t>
      </w:r>
      <w:r>
        <w:rPr>
          <w:rFonts w:hint="eastAsia"/>
          <w:b/>
          <w:color w:val="000000"/>
          <w:sz w:val="44"/>
          <w:szCs w:val="44"/>
        </w:rPr>
        <w:t xml:space="preserve">  </w:t>
      </w:r>
      <w:r>
        <w:rPr>
          <w:rFonts w:hint="eastAsia"/>
          <w:b/>
          <w:color w:val="000000"/>
          <w:sz w:val="44"/>
          <w:szCs w:val="44"/>
        </w:rPr>
        <w:t xml:space="preserve">明</w:t>
      </w:r>
      <w:r/>
    </w:p>
    <w:p>
      <w:pPr>
        <w:pStyle w:val="855"/>
        <w:ind w:firstLine="566"/>
        <w:jc w:val="both"/>
        <w:spacing w:beforeAutospacing="0" w:afterAutospacing="0" w:line="0" w:lineRule="atLeast"/>
        <w:rPr>
          <w:color w:val="000000"/>
        </w:rPr>
      </w:pPr>
      <w:r>
        <w:rPr>
          <w:color w:val="000000"/>
        </w:rPr>
      </w:r>
      <w:r/>
    </w:p>
    <w:p>
      <w:pPr>
        <w:pStyle w:val="855"/>
        <w:ind w:firstLine="480"/>
        <w:jc w:val="both"/>
        <w:spacing w:beforeAutospacing="0" w:afterAutospacing="0" w:line="360" w:lineRule="auto"/>
      </w:pPr>
      <w:r>
        <w:rPr>
          <w:rFonts w:hint="eastAsia"/>
        </w:rPr>
        <w:t xml:space="preserve">我单位不存在：单位负责人为同一人或者存在直接控股、服务关系的不同供应商，同时参加同一合同项下的政府采购活动。</w:t>
      </w:r>
      <w:bookmarkEnd w:id="235"/>
      <w:r/>
      <w:bookmarkEnd w:id="236"/>
      <w:r/>
      <w:r/>
    </w:p>
    <w:p>
      <w:pPr>
        <w:pStyle w:val="855"/>
        <w:jc w:val="both"/>
        <w:spacing w:beforeAutospacing="0" w:afterAutospacing="0"/>
      </w:pPr>
      <w:r/>
      <w:r/>
    </w:p>
    <w:p>
      <w:pPr>
        <w:pStyle w:val="855"/>
        <w:ind w:firstLine="755"/>
        <w:jc w:val="both"/>
        <w:spacing w:beforeAutospacing="0" w:afterAutospacing="0"/>
        <w:rPr>
          <w:sz w:val="28"/>
          <w:szCs w:val="28"/>
        </w:rPr>
      </w:pPr>
      <w:r>
        <w:rPr>
          <w:rFonts w:hint="eastAsia" w:ascii="黑体" w:hAnsi="宋体" w:eastAsia="黑体" w:cs="黑体"/>
          <w:i/>
          <w:color w:val="000000"/>
          <w:sz w:val="28"/>
          <w:szCs w:val="28"/>
          <w:u w:val="single"/>
        </w:rPr>
        <w:t xml:space="preserve">七、特定资格要求的证明文件</w:t>
      </w:r>
      <w:r/>
    </w:p>
    <w:p>
      <w:pPr>
        <w:pStyle w:val="855"/>
        <w:ind w:firstLine="566"/>
        <w:jc w:val="both"/>
        <w:spacing w:beforeAutospacing="0" w:afterAutospacing="0" w:line="360" w:lineRule="auto"/>
        <w:rPr>
          <w:rFonts w:hint="eastAsia" w:ascii="宋体" w:hAnsi="宋体" w:eastAsia="宋体" w:cs="宋体"/>
          <w:i/>
          <w:color w:val="000000"/>
          <w:u w:val="single"/>
        </w:rPr>
      </w:pPr>
      <w:r>
        <w:rPr>
          <w:rFonts w:ascii="宋体" w:hAnsi="宋体" w:eastAsia="宋体" w:cs="宋体"/>
          <w:i/>
          <w:color w:val="000000"/>
          <w:u w:val="single"/>
        </w:rPr>
        <w:t xml:space="preserve">7</w:t>
      </w:r>
      <w:r>
        <w:rPr>
          <w:rFonts w:hint="eastAsia" w:ascii="宋体" w:hAnsi="宋体" w:eastAsia="宋体" w:cs="宋体"/>
          <w:i/>
          <w:color w:val="000000"/>
          <w:u w:val="single"/>
        </w:rPr>
        <w:t xml:space="preserve">.1持有合法有效的《食品经营许可证》，食品经营许可证的主体业态应为“集体用餐配送单位”，并承诺满足供餐份数要求进行供餐。</w:t>
      </w:r>
      <w:r/>
    </w:p>
    <w:p>
      <w:pPr>
        <w:pStyle w:val="855"/>
        <w:ind w:firstLine="566"/>
        <w:jc w:val="both"/>
        <w:spacing w:beforeAutospacing="0" w:afterAutospacing="0" w:line="360" w:lineRule="auto"/>
        <w:rPr>
          <w:rFonts w:hint="eastAsia" w:ascii="宋体" w:hAnsi="宋体" w:eastAsia="宋体" w:cs="宋体"/>
          <w:i/>
          <w:color w:val="000000"/>
          <w:u w:val="single"/>
        </w:rPr>
      </w:pPr>
      <w:r>
        <w:rPr>
          <w:rFonts w:ascii="宋体" w:hAnsi="宋体" w:eastAsia="宋体" w:cs="宋体"/>
          <w:i/>
          <w:color w:val="000000"/>
          <w:u w:val="single"/>
        </w:rPr>
        <w:t xml:space="preserve">7</w:t>
      </w:r>
      <w:r>
        <w:rPr>
          <w:rFonts w:hint="eastAsia" w:ascii="宋体" w:hAnsi="宋体" w:eastAsia="宋体" w:cs="宋体"/>
          <w:i/>
          <w:color w:val="000000"/>
          <w:u w:val="single"/>
        </w:rPr>
        <w:t xml:space="preserve">.2近3年内未发生过食品安全事故，未因食品安全问题被行政处罚，未被列入严重违法失信名单。</w:t>
      </w:r>
      <w:r/>
    </w:p>
    <w:p>
      <w:pPr>
        <w:pStyle w:val="855"/>
        <w:ind w:firstLine="566"/>
        <w:jc w:val="both"/>
        <w:spacing w:beforeAutospacing="0" w:afterAutospacing="0" w:line="360" w:lineRule="auto"/>
        <w:rPr>
          <w:rFonts w:hint="eastAsia" w:ascii="宋体" w:hAnsi="宋体" w:eastAsia="宋体" w:cs="宋体"/>
          <w:i/>
          <w:color w:val="000000"/>
          <w:u w:val="single"/>
        </w:rPr>
      </w:pPr>
      <w:r>
        <w:rPr>
          <w:rFonts w:ascii="宋体" w:hAnsi="宋体" w:eastAsia="宋体" w:cs="宋体"/>
          <w:i/>
          <w:color w:val="000000"/>
          <w:u w:val="single"/>
        </w:rPr>
        <w:t xml:space="preserve">7</w:t>
      </w:r>
      <w:r>
        <w:rPr>
          <w:rFonts w:hint="eastAsia" w:ascii="宋体" w:hAnsi="宋体" w:eastAsia="宋体" w:cs="宋体"/>
          <w:i/>
          <w:color w:val="000000"/>
          <w:u w:val="single"/>
        </w:rPr>
        <w:t xml:space="preserve">.3企业每年投保符合供餐规模的食品安全责任险。</w:t>
      </w:r>
      <w:r/>
    </w:p>
    <w:p>
      <w:pPr>
        <w:pStyle w:val="855"/>
        <w:ind w:firstLine="566"/>
        <w:jc w:val="both"/>
        <w:spacing w:beforeAutospacing="0" w:afterAutospacing="0" w:line="360" w:lineRule="auto"/>
        <w:rPr>
          <w:rFonts w:hint="eastAsia" w:ascii="宋体" w:hAnsi="宋体" w:eastAsia="宋体" w:cs="宋体"/>
          <w:i/>
          <w:color w:val="000000"/>
          <w:u w:val="single"/>
        </w:rPr>
      </w:pPr>
      <w:r>
        <w:rPr>
          <w:rFonts w:ascii="宋体" w:hAnsi="宋体" w:eastAsia="宋体" w:cs="宋体"/>
          <w:i/>
          <w:color w:val="000000"/>
          <w:u w:val="single"/>
        </w:rPr>
        <w:t xml:space="preserve">7</w:t>
      </w:r>
      <w:r>
        <w:rPr>
          <w:rFonts w:hint="eastAsia" w:ascii="宋体" w:hAnsi="宋体" w:eastAsia="宋体" w:cs="宋体"/>
          <w:i/>
          <w:color w:val="000000"/>
          <w:u w:val="single"/>
        </w:rPr>
        <w:t xml:space="preserve">.4配备与供应餐食品种、数量相适应的食品加工制作场所，设施设备齐全，环境清洁卫生，食品加工制作行为符合</w:t>
      </w:r>
      <w:r>
        <w:rPr>
          <w:rFonts w:hint="eastAsia" w:asciiTheme="minorEastAsia" w:hAnsiTheme="minorEastAsia"/>
          <w:i/>
          <w:u w:val="single"/>
        </w:rPr>
        <w:t xml:space="preserve">GB</w:t>
      </w:r>
      <w:r>
        <w:rPr>
          <w:rFonts w:asciiTheme="minorEastAsia" w:hAnsiTheme="minorEastAsia"/>
          <w:i/>
          <w:u w:val="single"/>
        </w:rPr>
        <w:t xml:space="preserve"> </w:t>
      </w:r>
      <w:r>
        <w:rPr>
          <w:rFonts w:hint="eastAsia" w:asciiTheme="minorEastAsia" w:hAnsiTheme="minorEastAsia"/>
          <w:i/>
          <w:u w:val="single"/>
        </w:rPr>
        <w:t xml:space="preserve">31654-2021《食品安全国家标准餐饮服务通用卫生规范》</w:t>
      </w:r>
      <w:r>
        <w:rPr>
          <w:rFonts w:hint="eastAsia" w:ascii="宋体" w:hAnsi="宋体" w:eastAsia="宋体" w:cs="宋体"/>
          <w:i/>
          <w:color w:val="000000"/>
          <w:u w:val="single"/>
        </w:rPr>
        <w:t xml:space="preserve">。</w:t>
      </w:r>
      <w:r/>
    </w:p>
    <w:p>
      <w:pPr>
        <w:pStyle w:val="855"/>
        <w:ind w:firstLine="566"/>
        <w:jc w:val="both"/>
        <w:spacing w:beforeAutospacing="0" w:afterAutospacing="0" w:line="360" w:lineRule="auto"/>
        <w:rPr>
          <w:rFonts w:hint="eastAsia" w:ascii="宋体" w:hAnsi="宋体" w:eastAsia="宋体" w:cs="宋体"/>
          <w:i/>
          <w:color w:val="000000"/>
          <w:u w:val="single"/>
        </w:rPr>
      </w:pPr>
      <w:r>
        <w:rPr>
          <w:rFonts w:ascii="宋体" w:hAnsi="宋体" w:eastAsia="宋体" w:cs="宋体"/>
          <w:i/>
          <w:color w:val="000000"/>
          <w:u w:val="single"/>
        </w:rPr>
        <w:t xml:space="preserve">7</w:t>
      </w:r>
      <w:r>
        <w:rPr>
          <w:rFonts w:hint="eastAsia" w:ascii="宋体" w:hAnsi="宋体" w:eastAsia="宋体" w:cs="宋体"/>
          <w:i/>
          <w:color w:val="000000"/>
          <w:u w:val="single"/>
        </w:rPr>
        <w:t xml:space="preserve">.</w:t>
      </w:r>
      <w:r>
        <w:rPr>
          <w:rFonts w:ascii="宋体" w:hAnsi="宋体" w:eastAsia="宋体" w:cs="宋体"/>
          <w:i/>
          <w:color w:val="000000"/>
          <w:u w:val="single"/>
        </w:rPr>
        <w:t xml:space="preserve">5</w:t>
      </w:r>
      <w:r>
        <w:rPr>
          <w:rFonts w:hint="eastAsia" w:ascii="宋体" w:hAnsi="宋体" w:eastAsia="宋体" w:cs="宋体"/>
          <w:i/>
          <w:color w:val="000000"/>
          <w:u w:val="single"/>
        </w:rPr>
        <w:t xml:space="preserve">投标时提供承诺中标后实施“互联网+明厨亮灶”工程，加入江苏省食品经营安全智慧监管平台和滨海县教育局网络监控平台，主动接受市场监管、教育部门、学校和家长代表监督。</w:t>
      </w:r>
      <w:r/>
    </w:p>
    <w:p>
      <w:pPr>
        <w:ind w:firstLine="566"/>
        <w:spacing w:line="360" w:lineRule="auto"/>
        <w:rPr>
          <w:rFonts w:ascii="宋体" w:hAnsi="宋体"/>
          <w:bCs/>
          <w:i/>
          <w:iCs/>
          <w:sz w:val="24"/>
          <w:u w:val="single"/>
        </w:rPr>
      </w:pPr>
      <w:r>
        <w:rPr>
          <w:rFonts w:ascii="宋体" w:hAnsi="宋体"/>
          <w:bCs/>
          <w:i/>
          <w:iCs/>
          <w:sz w:val="24"/>
          <w:u w:val="single"/>
        </w:rPr>
      </w:r>
      <w:r/>
    </w:p>
    <w:p>
      <w:pPr>
        <w:pStyle w:val="855"/>
        <w:ind w:firstLine="566"/>
        <w:jc w:val="both"/>
        <w:spacing w:beforeAutospacing="0" w:afterAutospacing="0" w:line="360" w:lineRule="auto"/>
        <w:rPr>
          <w:rFonts w:hint="eastAsia" w:ascii="宋体" w:hAnsi="宋体" w:eastAsia="宋体" w:cs="宋体"/>
          <w:i/>
          <w:color w:val="000000"/>
          <w:u w:val="single"/>
        </w:rPr>
      </w:pPr>
      <w:r>
        <w:rPr>
          <w:rFonts w:ascii="宋体" w:hAnsi="宋体" w:eastAsia="宋体" w:cs="宋体"/>
          <w:i/>
          <w:color w:val="000000"/>
          <w:u w:val="single"/>
        </w:rPr>
        <w:t xml:space="preserve">7</w:t>
      </w:r>
      <w:r>
        <w:rPr>
          <w:rFonts w:hint="eastAsia" w:ascii="宋体" w:hAnsi="宋体" w:eastAsia="宋体" w:cs="宋体"/>
          <w:i/>
          <w:color w:val="000000"/>
          <w:u w:val="single"/>
        </w:rPr>
        <w:t xml:space="preserve">.1持有合法有效的《食品经营许可证》，食品经营许可证的主体业态应为“集体供餐配送单位”，并承诺满足供餐份数要求进行供餐。</w:t>
      </w:r>
      <w:r/>
    </w:p>
    <w:p>
      <w:pPr>
        <w:ind w:firstLine="755"/>
        <w:jc w:val="center"/>
        <w:spacing w:line="360" w:lineRule="auto"/>
        <w:rPr>
          <w:rFonts w:ascii="宋体" w:hAnsi="宋体"/>
          <w:bCs/>
          <w:sz w:val="32"/>
          <w:szCs w:val="32"/>
        </w:rPr>
      </w:pPr>
      <w:r>
        <w:rPr>
          <w:rFonts w:hint="eastAsia" w:ascii="宋体" w:hAnsi="宋体"/>
          <w:bCs/>
          <w:sz w:val="32"/>
          <w:szCs w:val="32"/>
        </w:rPr>
        <w:t xml:space="preserve">承诺函</w:t>
      </w:r>
      <w:r/>
    </w:p>
    <w:p>
      <w:pPr>
        <w:ind w:firstLine="566"/>
        <w:spacing w:line="360" w:lineRule="auto"/>
        <w:rPr>
          <w:rFonts w:ascii="宋体" w:hAnsi="宋体"/>
          <w:bCs/>
          <w:sz w:val="24"/>
        </w:rPr>
      </w:pPr>
      <w:r>
        <w:rPr>
          <w:rFonts w:ascii="宋体" w:hAnsi="宋体"/>
          <w:bCs/>
          <w:sz w:val="24"/>
        </w:rPr>
      </w:r>
      <w:r/>
    </w:p>
    <w:p>
      <w:pPr>
        <w:ind w:firstLine="566"/>
        <w:spacing w:line="360" w:lineRule="auto"/>
        <w:rPr>
          <w:rFonts w:ascii="宋体" w:hAnsi="宋体"/>
          <w:bCs/>
          <w:sz w:val="24"/>
        </w:rPr>
      </w:pPr>
      <w:r>
        <w:rPr>
          <w:rFonts w:hint="eastAsia" w:ascii="宋体" w:hAnsi="宋体"/>
          <w:bCs/>
          <w:sz w:val="24"/>
        </w:rPr>
        <w:t xml:space="preserve">我公司承诺：中标后能满足供餐份数要求进行供餐。承诺如不能兑现，采购人有权取中标资格，同时我公司自愿承担一切违约责任。 </w:t>
      </w:r>
      <w:r/>
    </w:p>
    <w:p>
      <w:pPr>
        <w:pStyle w:val="855"/>
        <w:ind w:firstLine="566"/>
        <w:jc w:val="both"/>
        <w:spacing w:beforeAutospacing="0" w:afterAutospacing="0" w:line="360" w:lineRule="auto"/>
        <w:rPr>
          <w:rFonts w:hint="eastAsia" w:ascii="宋体" w:hAnsi="宋体" w:eastAsia="宋体" w:cs="宋体"/>
          <w:i/>
          <w:color w:val="000000"/>
          <w:u w:val="single"/>
        </w:rPr>
      </w:pPr>
      <w:r>
        <w:rPr>
          <w:rFonts w:hint="eastAsia" w:ascii="宋体" w:hAnsi="宋体" w:eastAsia="宋体" w:cs="宋体"/>
          <w:i/>
          <w:color w:val="000000"/>
          <w:u w:val="single"/>
        </w:rPr>
      </w:r>
      <w:r/>
    </w:p>
    <w:p>
      <w:pPr>
        <w:pStyle w:val="855"/>
        <w:ind w:firstLine="566"/>
        <w:jc w:val="both"/>
        <w:spacing w:beforeAutospacing="0" w:afterAutospacing="0" w:line="360" w:lineRule="auto"/>
        <w:rPr>
          <w:rFonts w:hint="eastAsia" w:ascii="宋体" w:hAnsi="宋体" w:eastAsia="宋体" w:cs="宋体"/>
          <w:i/>
          <w:color w:val="000000"/>
          <w:u w:val="single"/>
        </w:rPr>
      </w:pPr>
      <w:r>
        <w:rPr>
          <w:rFonts w:hint="eastAsia" w:ascii="宋体" w:hAnsi="宋体" w:eastAsia="宋体" w:cs="宋体"/>
          <w:i/>
          <w:color w:val="000000"/>
          <w:u w:val="single"/>
        </w:rPr>
      </w:r>
      <w:r/>
    </w:p>
    <w:p>
      <w:pPr>
        <w:ind w:firstLine="566"/>
        <w:spacing w:line="360" w:lineRule="auto"/>
        <w:rPr>
          <w:rFonts w:ascii="宋体" w:hAnsi="宋体"/>
          <w:bCs/>
          <w:i/>
          <w:iCs/>
          <w:sz w:val="24"/>
          <w:u w:val="single"/>
        </w:rPr>
      </w:pPr>
      <w:r>
        <w:rPr>
          <w:rFonts w:ascii="宋体" w:hAnsi="宋体"/>
          <w:bCs/>
          <w:i/>
          <w:iCs/>
          <w:sz w:val="24"/>
          <w:u w:val="single"/>
        </w:rPr>
      </w:r>
      <w:r/>
    </w:p>
    <w:p>
      <w:pPr>
        <w:pStyle w:val="855"/>
        <w:jc w:val="center"/>
        <w:spacing w:beforeAutospacing="0" w:afterAutospacing="0" w:line="0" w:lineRule="atLeast"/>
        <w:rPr>
          <w:bCs/>
          <w:i/>
          <w:iCs/>
          <w:u w:val="single"/>
        </w:rPr>
      </w:pPr>
      <w:r>
        <w:rPr>
          <w:bCs/>
          <w:i/>
          <w:iCs/>
          <w:u w:val="single"/>
        </w:rPr>
      </w:r>
      <w:r/>
    </w:p>
    <w:p>
      <w:pPr>
        <w:pStyle w:val="855"/>
        <w:jc w:val="center"/>
        <w:spacing w:beforeAutospacing="0" w:afterAutospacing="0" w:line="0" w:lineRule="atLeast"/>
        <w:rPr>
          <w:bCs/>
          <w:i/>
          <w:iCs/>
          <w:u w:val="single"/>
        </w:rPr>
      </w:pPr>
      <w:r>
        <w:rPr>
          <w:rFonts w:hint="eastAsia"/>
          <w:bCs/>
          <w:i/>
          <w:iCs/>
          <w:u w:val="single"/>
        </w:rPr>
        <w:t xml:space="preserve">7.2  </w:t>
      </w:r>
      <w:r>
        <w:rPr>
          <w:rFonts w:hint="eastAsia"/>
          <w:bCs/>
          <w:i/>
          <w:iCs/>
          <w:u w:val="single"/>
        </w:rPr>
        <w:t xml:space="preserve">近</w:t>
      </w:r>
      <w:r>
        <w:rPr>
          <w:rFonts w:hint="eastAsia"/>
          <w:bCs/>
          <w:i/>
          <w:iCs/>
          <w:u w:val="single"/>
        </w:rPr>
        <w:t xml:space="preserve">3</w:t>
      </w:r>
      <w:r>
        <w:rPr>
          <w:rFonts w:hint="eastAsia"/>
          <w:bCs/>
          <w:i/>
          <w:iCs/>
          <w:u w:val="single"/>
        </w:rPr>
        <w:t xml:space="preserve">年内未发生过食品安全事故，未因食品安全问题被行政处罚，未被列入严重违法失信名单。</w:t>
      </w:r>
      <w:r/>
    </w:p>
    <w:p>
      <w:pPr>
        <w:pStyle w:val="855"/>
        <w:jc w:val="center"/>
        <w:spacing w:beforeAutospacing="0" w:afterAutospacing="0" w:line="0" w:lineRule="atLeast"/>
      </w:pPr>
      <w:r>
        <w:rPr>
          <w:rFonts w:hint="eastAsia"/>
          <w:b/>
          <w:color w:val="000000"/>
          <w:sz w:val="44"/>
          <w:szCs w:val="44"/>
        </w:rPr>
        <w:t xml:space="preserve">声</w:t>
      </w:r>
      <w:r>
        <w:rPr>
          <w:rFonts w:hint="eastAsia"/>
          <w:b/>
          <w:color w:val="000000"/>
          <w:sz w:val="44"/>
          <w:szCs w:val="44"/>
        </w:rPr>
        <w:t xml:space="preserve">  </w:t>
      </w:r>
      <w:r>
        <w:rPr>
          <w:rFonts w:hint="eastAsia"/>
          <w:b/>
          <w:color w:val="000000"/>
          <w:sz w:val="44"/>
          <w:szCs w:val="44"/>
        </w:rPr>
        <w:t xml:space="preserve">明</w:t>
      </w:r>
      <w:r/>
    </w:p>
    <w:p>
      <w:pPr>
        <w:pStyle w:val="855"/>
        <w:ind w:firstLine="480"/>
        <w:jc w:val="both"/>
        <w:spacing w:beforeAutospacing="0" w:afterAutospacing="0" w:line="0" w:lineRule="atLeast"/>
        <w:rPr>
          <w:color w:val="000000"/>
        </w:rPr>
      </w:pPr>
      <w:r>
        <w:rPr>
          <w:rFonts w:hint="eastAsia"/>
          <w:color w:val="000000"/>
        </w:rPr>
        <w:t xml:space="preserve">我单位郑重声明：</w:t>
      </w:r>
      <w:r>
        <w:rPr>
          <w:rFonts w:hint="eastAsia"/>
          <w:color w:val="000000"/>
        </w:rPr>
        <w:t xml:space="preserve"> </w:t>
      </w:r>
      <w:r/>
    </w:p>
    <w:p>
      <w:pPr>
        <w:ind w:firstLine="566"/>
        <w:spacing w:line="360" w:lineRule="auto"/>
        <w:rPr>
          <w:rFonts w:ascii="宋体" w:hAnsi="宋体"/>
          <w:bCs/>
          <w:sz w:val="24"/>
        </w:rPr>
      </w:pPr>
      <w:r>
        <w:rPr>
          <w:rFonts w:hint="eastAsia" w:ascii="宋体" w:hAnsi="宋体"/>
          <w:bCs/>
          <w:sz w:val="24"/>
        </w:rPr>
        <w:t xml:space="preserve">近3年内未发生过食品安全事故，未因食品安全问题被行政处罚，未被列入严重违法失信名单。如有虚假声明，采购人有权取消中标资格，同时我公司自愿承担一切违约责任。</w:t>
      </w:r>
      <w:r/>
    </w:p>
    <w:p>
      <w:pPr>
        <w:ind w:firstLine="566"/>
        <w:spacing w:line="360" w:lineRule="auto"/>
        <w:rPr>
          <w:rFonts w:ascii="宋体" w:hAnsi="宋体"/>
          <w:bCs/>
          <w:i/>
          <w:iCs/>
          <w:sz w:val="24"/>
          <w:u w:val="single"/>
        </w:rPr>
      </w:pPr>
      <w:r>
        <w:rPr>
          <w:rFonts w:ascii="宋体" w:hAnsi="宋体"/>
          <w:bCs/>
          <w:i/>
          <w:iCs/>
          <w:sz w:val="24"/>
          <w:u w:val="single"/>
        </w:rPr>
      </w:r>
      <w:r/>
    </w:p>
    <w:p>
      <w:pPr>
        <w:ind w:firstLine="566"/>
        <w:spacing w:line="360" w:lineRule="auto"/>
        <w:rPr>
          <w:rFonts w:ascii="宋体" w:hAnsi="宋体"/>
          <w:bCs/>
          <w:i/>
          <w:iCs/>
          <w:sz w:val="24"/>
          <w:u w:val="single"/>
        </w:rPr>
      </w:pPr>
      <w:r>
        <w:rPr>
          <w:rFonts w:hint="eastAsia" w:ascii="宋体" w:hAnsi="宋体"/>
          <w:bCs/>
          <w:i/>
          <w:iCs/>
          <w:sz w:val="24"/>
          <w:u w:val="single"/>
        </w:rPr>
        <w:t xml:space="preserve">7.3企业每年投保符合供餐规模的食品安全责任险。</w:t>
      </w:r>
      <w:r/>
    </w:p>
    <w:p>
      <w:pPr>
        <w:ind w:firstLine="566"/>
        <w:jc w:val="center"/>
        <w:spacing w:line="360" w:lineRule="auto"/>
        <w:rPr>
          <w:rFonts w:ascii="宋体" w:hAnsi="宋体"/>
          <w:bCs/>
          <w:sz w:val="24"/>
        </w:rPr>
      </w:pPr>
      <w:r>
        <w:rPr>
          <w:rFonts w:ascii="宋体" w:hAnsi="宋体"/>
          <w:bCs/>
          <w:sz w:val="24"/>
        </w:rPr>
      </w:r>
      <w:r/>
    </w:p>
    <w:p>
      <w:pPr>
        <w:ind w:firstLine="755"/>
        <w:jc w:val="center"/>
        <w:spacing w:line="360" w:lineRule="auto"/>
        <w:rPr>
          <w:rFonts w:ascii="宋体" w:hAnsi="宋体"/>
          <w:bCs/>
          <w:sz w:val="32"/>
          <w:szCs w:val="32"/>
        </w:rPr>
      </w:pPr>
      <w:r>
        <w:rPr>
          <w:rFonts w:hint="eastAsia" w:ascii="宋体" w:hAnsi="宋体"/>
          <w:bCs/>
          <w:sz w:val="32"/>
          <w:szCs w:val="32"/>
        </w:rPr>
        <w:t xml:space="preserve">承诺函</w:t>
      </w:r>
      <w:r/>
    </w:p>
    <w:p>
      <w:pPr>
        <w:ind w:firstLine="566"/>
        <w:spacing w:line="360" w:lineRule="auto"/>
        <w:rPr>
          <w:rFonts w:ascii="宋体" w:hAnsi="宋体"/>
          <w:bCs/>
          <w:sz w:val="24"/>
        </w:rPr>
      </w:pPr>
      <w:r>
        <w:rPr>
          <w:rFonts w:ascii="宋体" w:hAnsi="宋体"/>
          <w:bCs/>
          <w:sz w:val="24"/>
        </w:rPr>
      </w:r>
      <w:r/>
    </w:p>
    <w:p>
      <w:pPr>
        <w:ind w:firstLine="566"/>
        <w:spacing w:line="360" w:lineRule="auto"/>
        <w:rPr>
          <w:rFonts w:ascii="宋体" w:hAnsi="宋体"/>
          <w:bCs/>
          <w:sz w:val="24"/>
        </w:rPr>
      </w:pPr>
      <w:r>
        <w:rPr>
          <w:rFonts w:hint="eastAsia" w:ascii="宋体" w:hAnsi="宋体"/>
          <w:bCs/>
          <w:sz w:val="24"/>
        </w:rPr>
        <w:t xml:space="preserve">我公司承诺：中标后投保符合供餐规模的食品安全责任险。承诺如不能兑现，采购人有权取中标资格，同时我公司自愿承担一切违约责任。 </w:t>
      </w:r>
      <w:r/>
    </w:p>
    <w:p>
      <w:pPr>
        <w:ind w:firstLine="566"/>
        <w:spacing w:line="360" w:lineRule="auto"/>
        <w:rPr>
          <w:rFonts w:ascii="宋体" w:hAnsi="宋体"/>
          <w:bCs/>
          <w:i/>
          <w:iCs/>
          <w:sz w:val="24"/>
          <w:u w:val="single"/>
        </w:rPr>
      </w:pPr>
      <w:r>
        <w:rPr>
          <w:rFonts w:ascii="宋体" w:hAnsi="宋体"/>
          <w:bCs/>
          <w:i/>
          <w:iCs/>
          <w:sz w:val="24"/>
          <w:u w:val="single"/>
        </w:rPr>
      </w:r>
      <w:r/>
    </w:p>
    <w:p>
      <w:pPr>
        <w:ind w:firstLine="566"/>
        <w:spacing w:line="360" w:lineRule="auto"/>
        <w:rPr>
          <w:rFonts w:ascii="宋体" w:hAnsi="宋体"/>
          <w:bCs/>
          <w:i/>
          <w:iCs/>
          <w:sz w:val="24"/>
          <w:u w:val="single"/>
        </w:rPr>
      </w:pPr>
      <w:r>
        <w:rPr>
          <w:rFonts w:ascii="宋体" w:hAnsi="宋体"/>
          <w:bCs/>
          <w:i/>
          <w:iCs/>
          <w:sz w:val="24"/>
          <w:u w:val="single"/>
        </w:rPr>
      </w:r>
      <w:r/>
    </w:p>
    <w:p>
      <w:pPr>
        <w:ind w:firstLine="566"/>
        <w:spacing w:line="360" w:lineRule="auto"/>
        <w:rPr>
          <w:rFonts w:ascii="宋体" w:hAnsi="宋体"/>
          <w:bCs/>
          <w:i/>
          <w:iCs/>
          <w:sz w:val="24"/>
          <w:u w:val="single"/>
        </w:rPr>
      </w:pPr>
      <w:r>
        <w:rPr>
          <w:rFonts w:hint="eastAsia" w:ascii="宋体" w:hAnsi="宋体"/>
          <w:bCs/>
          <w:i/>
          <w:iCs/>
          <w:sz w:val="24"/>
          <w:u w:val="single"/>
        </w:rPr>
        <w:t xml:space="preserve">7.4配备与供应餐食品种、数量相适应的食品加工制作场所，设施设备齐全，环境清洁卫生，食品加工制作行为符合GB</w:t>
      </w:r>
      <w:r>
        <w:rPr>
          <w:rFonts w:ascii="宋体" w:hAnsi="宋体"/>
          <w:bCs/>
          <w:i/>
          <w:iCs/>
          <w:sz w:val="24"/>
          <w:u w:val="single"/>
        </w:rPr>
        <w:t xml:space="preserve"> </w:t>
      </w:r>
      <w:r>
        <w:rPr>
          <w:rFonts w:hint="eastAsia" w:ascii="宋体" w:hAnsi="宋体"/>
          <w:bCs/>
          <w:i/>
          <w:iCs/>
          <w:sz w:val="24"/>
          <w:u w:val="single"/>
        </w:rPr>
        <w:t xml:space="preserve">31654-2021《食品安全国家标准餐饮服务通用卫生规范》。</w:t>
      </w:r>
      <w:r/>
    </w:p>
    <w:p>
      <w:pPr>
        <w:ind w:firstLine="566"/>
        <w:spacing w:line="360" w:lineRule="auto"/>
        <w:rPr>
          <w:rFonts w:ascii="宋体" w:hAnsi="宋体"/>
          <w:bCs/>
          <w:i/>
          <w:iCs/>
          <w:sz w:val="24"/>
          <w:u w:val="single"/>
        </w:rPr>
      </w:pPr>
      <w:r>
        <w:rPr>
          <w:rFonts w:ascii="宋体" w:hAnsi="宋体"/>
          <w:bCs/>
          <w:i/>
          <w:iCs/>
          <w:sz w:val="24"/>
          <w:u w:val="single"/>
        </w:rPr>
      </w:r>
      <w:r/>
    </w:p>
    <w:p>
      <w:pPr>
        <w:ind w:firstLine="708"/>
        <w:jc w:val="center"/>
        <w:spacing w:line="360" w:lineRule="auto"/>
        <w:rPr>
          <w:rFonts w:ascii="宋体" w:hAnsi="宋体"/>
          <w:bCs/>
          <w:sz w:val="30"/>
          <w:szCs w:val="30"/>
        </w:rPr>
      </w:pPr>
      <w:r>
        <w:rPr>
          <w:rFonts w:hint="eastAsia" w:ascii="宋体" w:hAnsi="宋体"/>
          <w:bCs/>
          <w:sz w:val="30"/>
          <w:szCs w:val="30"/>
        </w:rPr>
        <w:t xml:space="preserve">承诺函</w:t>
      </w:r>
      <w:r/>
    </w:p>
    <w:p>
      <w:pPr>
        <w:ind w:firstLine="566"/>
        <w:spacing w:line="360" w:lineRule="auto"/>
        <w:rPr>
          <w:rFonts w:ascii="宋体" w:hAnsi="宋体"/>
          <w:bCs/>
          <w:sz w:val="24"/>
        </w:rPr>
      </w:pPr>
      <w:r>
        <w:rPr>
          <w:rFonts w:hint="eastAsia" w:ascii="宋体" w:hAnsi="宋体"/>
          <w:bCs/>
          <w:sz w:val="24"/>
        </w:rPr>
        <w:t xml:space="preserve">我公司配备与供应餐食品种、数量相适应的食品加工制作场所，设施设备齐全，环境清洁卫生，食品加工制作行为符合GB</w:t>
      </w:r>
      <w:r>
        <w:rPr>
          <w:rFonts w:ascii="宋体" w:hAnsi="宋体"/>
          <w:bCs/>
          <w:sz w:val="24"/>
        </w:rPr>
        <w:t xml:space="preserve"> </w:t>
      </w:r>
      <w:r>
        <w:rPr>
          <w:rFonts w:hint="eastAsia" w:ascii="宋体" w:hAnsi="宋体"/>
          <w:bCs/>
          <w:sz w:val="24"/>
        </w:rPr>
        <w:t xml:space="preserve">31654-2021《食品安全国家标准餐饮服务通用卫生规范》。承诺如不能兑现，采购人有权取消中标资格，同时我公司自愿承担一切违约责任。</w:t>
      </w:r>
      <w:r/>
    </w:p>
    <w:p>
      <w:pPr>
        <w:ind w:firstLine="566"/>
        <w:spacing w:line="360" w:lineRule="auto"/>
        <w:rPr>
          <w:rFonts w:ascii="宋体" w:hAnsi="宋体"/>
          <w:bCs/>
          <w:i/>
          <w:iCs/>
          <w:sz w:val="24"/>
          <w:u w:val="single"/>
        </w:rPr>
      </w:pPr>
      <w:r>
        <w:rPr>
          <w:rFonts w:ascii="宋体" w:hAnsi="宋体"/>
          <w:bCs/>
          <w:i/>
          <w:iCs/>
          <w:sz w:val="24"/>
          <w:u w:val="single"/>
        </w:rPr>
      </w:r>
      <w:r/>
    </w:p>
    <w:p>
      <w:pPr>
        <w:ind w:firstLine="566"/>
        <w:spacing w:line="360" w:lineRule="auto"/>
        <w:rPr>
          <w:rFonts w:ascii="宋体" w:hAnsi="宋体"/>
          <w:bCs/>
          <w:i/>
          <w:iCs/>
          <w:sz w:val="24"/>
          <w:u w:val="single"/>
        </w:rPr>
      </w:pPr>
      <w:r>
        <w:rPr>
          <w:rFonts w:ascii="宋体" w:hAnsi="宋体"/>
          <w:bCs/>
          <w:i/>
          <w:iCs/>
          <w:sz w:val="24"/>
          <w:u w:val="single"/>
        </w:rPr>
      </w:r>
      <w:r/>
    </w:p>
    <w:p>
      <w:pPr>
        <w:ind w:firstLine="566"/>
        <w:spacing w:line="360" w:lineRule="auto"/>
        <w:rPr>
          <w:rFonts w:ascii="宋体" w:hAnsi="宋体"/>
          <w:bCs/>
          <w:i/>
          <w:iCs/>
          <w:sz w:val="24"/>
          <w:u w:val="single"/>
        </w:rPr>
      </w:pPr>
      <w:r>
        <w:rPr>
          <w:rFonts w:hint="eastAsia" w:ascii="宋体" w:hAnsi="宋体"/>
          <w:bCs/>
          <w:i/>
          <w:iCs/>
          <w:sz w:val="24"/>
          <w:u w:val="single"/>
        </w:rPr>
        <w:t xml:space="preserve">7.</w:t>
      </w:r>
      <w:r>
        <w:rPr>
          <w:rFonts w:ascii="宋体" w:hAnsi="宋体"/>
          <w:bCs/>
          <w:i/>
          <w:iCs/>
          <w:sz w:val="24"/>
          <w:u w:val="single"/>
        </w:rPr>
        <w:t xml:space="preserve">5</w:t>
      </w:r>
      <w:r>
        <w:rPr>
          <w:rFonts w:hint="eastAsia" w:ascii="宋体" w:hAnsi="宋体"/>
          <w:bCs/>
          <w:i/>
          <w:iCs/>
          <w:sz w:val="24"/>
          <w:u w:val="single"/>
        </w:rPr>
        <w:t xml:space="preserve">投标时提供承诺中标后实施“互联网+明厨亮灶”工程，加入江苏省食品经营安全智慧监管平台和滨海县教育局网络监控平台，主动接受市场监管、教育部门、学校和家长代表监督。</w:t>
      </w:r>
      <w:r/>
    </w:p>
    <w:p>
      <w:pPr>
        <w:ind w:firstLine="708"/>
        <w:jc w:val="center"/>
        <w:spacing w:line="360" w:lineRule="auto"/>
        <w:rPr>
          <w:rFonts w:ascii="宋体" w:hAnsi="宋体"/>
          <w:bCs/>
          <w:sz w:val="30"/>
          <w:szCs w:val="30"/>
        </w:rPr>
      </w:pPr>
      <w:r>
        <w:rPr>
          <w:rFonts w:hint="eastAsia" w:ascii="宋体" w:hAnsi="宋体"/>
          <w:bCs/>
          <w:sz w:val="30"/>
          <w:szCs w:val="30"/>
        </w:rPr>
        <w:t xml:space="preserve">承诺函</w:t>
      </w:r>
      <w:r/>
    </w:p>
    <w:p>
      <w:pPr>
        <w:ind w:firstLine="566"/>
        <w:spacing w:line="360" w:lineRule="auto"/>
        <w:rPr>
          <w:rFonts w:hint="eastAsia" w:ascii="黑体" w:hAnsi="宋体" w:eastAsia="黑体" w:cs="黑体"/>
          <w:i/>
          <w:color w:val="000000"/>
          <w:sz w:val="32"/>
          <w:szCs w:val="32"/>
          <w:u w:val="single"/>
        </w:rPr>
      </w:pPr>
      <w:r>
        <w:rPr>
          <w:rFonts w:hint="eastAsia" w:ascii="宋体" w:hAnsi="宋体"/>
          <w:bCs/>
          <w:sz w:val="24"/>
        </w:rPr>
        <w:t xml:space="preserve">我公司承诺实施“互联网+明厨亮灶”工程，加入江苏省食品经营安全智慧监管平台和滨海县教育局网络监控平台，主动接受市场监管、教育部门、学校和家长代表监督。承诺如不能兑现，采购人有权取消中标资格，同时我公司自愿承担一切违约责任。</w:t>
      </w:r>
      <w:r/>
    </w:p>
    <w:p>
      <w:pPr>
        <w:pStyle w:val="855"/>
        <w:jc w:val="center"/>
        <w:spacing w:beforeAutospacing="0" w:afterAutospacing="0"/>
      </w:pPr>
      <w:r>
        <w:rPr>
          <w:rFonts w:hint="eastAsia" w:ascii="黑体" w:hAnsi="宋体" w:eastAsia="黑体" w:cs="黑体"/>
          <w:i/>
          <w:color w:val="000000"/>
          <w:sz w:val="32"/>
          <w:szCs w:val="32"/>
          <w:u w:val="single"/>
        </w:rPr>
        <w:t xml:space="preserve">八、法人授权书</w:t>
      </w:r>
      <w:r/>
    </w:p>
    <w:p>
      <w:pPr>
        <w:pStyle w:val="855"/>
        <w:ind w:firstLine="480"/>
        <w:jc w:val="both"/>
        <w:spacing w:beforeAutospacing="0" w:afterAutospacing="0" w:line="360" w:lineRule="auto"/>
        <w:tabs>
          <w:tab w:val="left" w:pos="360" w:leader="none"/>
        </w:tabs>
      </w:pPr>
      <w:r>
        <w:rPr>
          <w:rFonts w:ascii="Times New Roman" w:hAnsi="Times New Roman"/>
          <w:color w:val="000000"/>
        </w:rPr>
        <w:t xml:space="preserve">本授权书声明：</w:t>
      </w:r>
      <w:r>
        <w:rPr>
          <w:rFonts w:ascii="Times New Roman" w:hAnsi="Times New Roman"/>
          <w:color w:val="000000"/>
        </w:rPr>
        <w:t xml:space="preserve">____________</w:t>
      </w:r>
      <w:r>
        <w:rPr>
          <w:rFonts w:ascii="Times New Roman" w:hAnsi="Times New Roman"/>
          <w:color w:val="000000"/>
        </w:rPr>
        <w:t xml:space="preserve">（投标人名称）授权</w:t>
      </w:r>
      <w:r>
        <w:rPr>
          <w:rFonts w:ascii="Times New Roman" w:hAnsi="Times New Roman"/>
          <w:color w:val="000000"/>
        </w:rPr>
        <w:t xml:space="preserve">________________</w:t>
      </w:r>
      <w:r>
        <w:rPr>
          <w:rFonts w:ascii="Times New Roman" w:hAnsi="Times New Roman"/>
          <w:color w:val="000000"/>
        </w:rPr>
        <w:t xml:space="preserve">（被授权人的姓名）为我方就</w:t>
      </w:r>
      <w:r>
        <w:rPr>
          <w:rFonts w:ascii="Times New Roman" w:hAnsi="Times New Roman"/>
          <w:color w:val="000000"/>
        </w:rPr>
        <w:t xml:space="preserve">JSZC-320922-YCGX-G2026-0012</w:t>
      </w:r>
      <w:r>
        <w:rPr>
          <w:rFonts w:ascii="Times New Roman" w:hAnsi="Times New Roman"/>
          <w:color w:val="000000"/>
        </w:rPr>
        <w:t xml:space="preserve">号项目采购活动的合法代理人，以本单位名义全权处理一切与该项目采购有关的事务。</w:t>
      </w:r>
      <w:r/>
    </w:p>
    <w:p>
      <w:pPr>
        <w:pStyle w:val="855"/>
        <w:ind w:firstLine="480"/>
        <w:jc w:val="both"/>
        <w:spacing w:beforeAutospacing="0" w:afterAutospacing="0" w:line="360" w:lineRule="auto"/>
        <w:tabs>
          <w:tab w:val="left" w:pos="360" w:leader="none"/>
        </w:tabs>
      </w:pPr>
      <w:r>
        <w:rPr>
          <w:rFonts w:ascii="Times New Roman" w:hAnsi="Times New Roman"/>
          <w:color w:val="000000"/>
        </w:rPr>
        <w:t xml:space="preserve">本授权书于</w:t>
      </w:r>
      <w:r>
        <w:rPr>
          <w:rFonts w:ascii="Times New Roman" w:hAnsi="Times New Roman"/>
          <w:color w:val="000000"/>
        </w:rPr>
        <w:t xml:space="preserve">______</w:t>
      </w:r>
      <w:r>
        <w:rPr>
          <w:rFonts w:ascii="Times New Roman" w:hAnsi="Times New Roman"/>
          <w:color w:val="000000"/>
        </w:rPr>
        <w:t xml:space="preserve">年</w:t>
      </w:r>
      <w:r>
        <w:rPr>
          <w:rFonts w:ascii="Times New Roman" w:hAnsi="Times New Roman"/>
          <w:color w:val="000000"/>
        </w:rPr>
        <w:t xml:space="preserve">____</w:t>
      </w:r>
      <w:r>
        <w:rPr>
          <w:rFonts w:ascii="Times New Roman" w:hAnsi="Times New Roman"/>
          <w:color w:val="000000"/>
        </w:rPr>
        <w:t xml:space="preserve">月</w:t>
      </w:r>
      <w:r>
        <w:rPr>
          <w:rFonts w:ascii="Times New Roman" w:hAnsi="Times New Roman"/>
          <w:color w:val="000000"/>
        </w:rPr>
        <w:t xml:space="preserve">____</w:t>
      </w:r>
      <w:r>
        <w:rPr>
          <w:rFonts w:ascii="Times New Roman" w:hAnsi="Times New Roman"/>
          <w:color w:val="000000"/>
        </w:rPr>
        <w:t xml:space="preserve">日起生效，特此声明。</w:t>
      </w:r>
      <w:r/>
    </w:p>
    <w:p>
      <w:pPr>
        <w:pStyle w:val="855"/>
        <w:jc w:val="both"/>
        <w:spacing w:beforeAutospacing="0" w:afterAutospacing="0" w:line="360" w:lineRule="auto"/>
        <w:tabs>
          <w:tab w:val="left" w:pos="360" w:leader="none"/>
        </w:tabs>
      </w:pPr>
      <w:r>
        <w:rPr>
          <w:rFonts w:ascii="Times New Roman" w:hAnsi="Times New Roman"/>
          <w:color w:val="000000"/>
        </w:rPr>
        <w:t xml:space="preserve">          </w:t>
      </w:r>
      <w:r>
        <w:rPr>
          <w:rFonts w:ascii="Times New Roman" w:hAnsi="Times New Roman"/>
          <w:color w:val="000000"/>
        </w:rPr>
        <w:t xml:space="preserve">被授权人身份证号码：</w:t>
      </w:r>
      <w:r>
        <w:rPr>
          <w:rFonts w:ascii="Times New Roman" w:hAnsi="Times New Roman"/>
          <w:color w:val="000000"/>
          <w:u w:val="single"/>
        </w:rPr>
        <w:t xml:space="preserve">                              </w:t>
      </w:r>
      <w:r/>
    </w:p>
    <w:p>
      <w:pPr>
        <w:pStyle w:val="855"/>
        <w:jc w:val="both"/>
        <w:spacing w:beforeAutospacing="0" w:afterAutospacing="0" w:line="360" w:lineRule="auto"/>
        <w:tabs>
          <w:tab w:val="left" w:pos="360" w:leader="none"/>
        </w:tabs>
      </w:pPr>
      <w:r>
        <w:rPr>
          <w:rFonts w:ascii="Times New Roman" w:hAnsi="Times New Roman"/>
          <w:color w:val="000000"/>
        </w:rPr>
        <w:t xml:space="preserve">          </w:t>
      </w:r>
      <w:r>
        <w:rPr>
          <w:rFonts w:ascii="Times New Roman" w:hAnsi="Times New Roman"/>
          <w:color w:val="000000"/>
        </w:rPr>
        <w:t xml:space="preserve">被授权人联系电话：（手机）</w:t>
      </w:r>
      <w:r>
        <w:rPr>
          <w:rFonts w:ascii="Times New Roman" w:hAnsi="Times New Roman"/>
          <w:color w:val="000000"/>
          <w:u w:val="single"/>
        </w:rPr>
        <w:t xml:space="preserve">                          </w:t>
      </w:r>
      <w:r/>
    </w:p>
    <w:p>
      <w:pPr>
        <w:pStyle w:val="855"/>
        <w:ind w:firstLine="1200"/>
        <w:jc w:val="both"/>
        <w:spacing w:beforeAutospacing="0" w:afterAutospacing="0" w:line="360" w:lineRule="auto"/>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w:t>
      </w:r>
      <w:r>
        <w:rPr>
          <w:rFonts w:ascii="Times New Roman" w:hAnsi="Times New Roman"/>
          <w:color w:val="000000"/>
          <w:u w:val="single"/>
        </w:rPr>
        <w:t xml:space="preserve">CA</w:t>
      </w:r>
      <w:r>
        <w:rPr>
          <w:rFonts w:ascii="Times New Roman" w:hAnsi="Times New Roman"/>
          <w:color w:val="000000"/>
          <w:u w:val="single"/>
        </w:rPr>
        <w:t xml:space="preserve">电子公章）</w:t>
      </w:r>
      <w:r/>
    </w:p>
    <w:p>
      <w:pPr>
        <w:pStyle w:val="855"/>
        <w:ind w:firstLine="480"/>
        <w:jc w:val="both"/>
        <w:spacing w:beforeAutospacing="0" w:afterAutospacing="0" w:line="360" w:lineRule="auto"/>
        <w:tabs>
          <w:tab w:val="left" w:pos="360" w:leader="none"/>
        </w:tabs>
      </w:pPr>
      <w:r>
        <w:rPr>
          <w:rFonts w:ascii="Times New Roman" w:hAnsi="Times New Roman"/>
          <w:color w:val="000000"/>
        </w:rPr>
        <w:t xml:space="preserve">      </w:t>
      </w:r>
      <w:r>
        <w:rPr>
          <w:rFonts w:ascii="Times New Roman" w:hAnsi="Times New Roman"/>
          <w:color w:val="000000"/>
        </w:rPr>
        <w:t xml:space="preserve">单位地址：</w:t>
      </w:r>
      <w:r>
        <w:rPr>
          <w:rFonts w:ascii="Times New Roman" w:hAnsi="Times New Roman"/>
          <w:color w:val="000000"/>
          <w:u w:val="single"/>
        </w:rPr>
        <w:t xml:space="preserve">                                         </w:t>
      </w:r>
      <w:r/>
    </w:p>
    <w:p>
      <w:pPr>
        <w:pStyle w:val="855"/>
        <w:ind w:firstLine="480"/>
        <w:jc w:val="both"/>
        <w:spacing w:beforeAutospacing="0" w:afterAutospacing="0" w:line="360" w:lineRule="auto"/>
        <w:tabs>
          <w:tab w:val="left" w:pos="360" w:leader="none"/>
        </w:tabs>
      </w:pPr>
      <w:r>
        <w:rPr>
          <w:rFonts w:ascii="Times New Roman" w:hAnsi="Times New Roman"/>
          <w:color w:val="000000"/>
        </w:rPr>
        <w:t xml:space="preserve">      </w:t>
      </w:r>
      <w:r>
        <w:rPr>
          <w:rFonts w:ascii="Times New Roman" w:hAnsi="Times New Roman"/>
          <w:color w:val="000000"/>
        </w:rPr>
        <w:t xml:space="preserve">日期：</w:t>
      </w:r>
      <w:bookmarkStart w:id="237" w:name="_Hlt26671380"/>
      <w:r/>
      <w:bookmarkStart w:id="238" w:name="_格式3__银行出具的资信证明"/>
      <w:r/>
      <w:bookmarkStart w:id="239" w:name="_Hlt26955070"/>
      <w:r>
        <w:rPr>
          <w:rFonts w:ascii="Times New Roman" w:hAnsi="Times New Roman"/>
          <w:color w:val="000000"/>
          <w:u w:val="single"/>
        </w:rPr>
        <w:t xml:space="preserve">                                         </w:t>
      </w:r>
      <w:r/>
    </w:p>
    <w:p>
      <w:pPr>
        <w:pStyle w:val="855"/>
        <w:ind w:firstLine="420"/>
        <w:jc w:val="both"/>
        <w:spacing w:beforeAutospacing="0" w:afterAutospacing="0"/>
      </w:pPr>
      <w:r>
        <w:t xml:space="preserve"> </w:t>
      </w:r>
      <w:r/>
    </w:p>
    <w:p>
      <w:pPr>
        <w:pStyle w:val="855"/>
        <w:jc w:val="both"/>
        <w:spacing w:beforeAutospacing="0" w:afterAutospacing="0"/>
        <w:rPr>
          <w:rFonts w:hint="eastAsia" w:ascii="宋体" w:hAnsi="宋体" w:eastAsia="宋体" w:cs="宋体"/>
          <w:b/>
          <w:color w:val="000000"/>
        </w:rPr>
      </w:pPr>
      <w:r>
        <w:t xml:space="preserve"> </w:t>
      </w:r>
      <w:r/>
    </w:p>
    <w:tbl>
      <w:tblPr>
        <w:tblW w:w="84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210"/>
        <w:gridCol w:w="4210"/>
      </w:tblGrid>
      <w:tr>
        <w:trPr>
          <w:jc w:val="center"/>
          <w:trHeight w:val="583"/>
        </w:trPr>
        <w:tc>
          <w:tcPr>
            <w:tcBorders>
              <w:top w:val="single" w:color="auto" w:sz="4" w:space="0"/>
              <w:left w:val="single" w:color="auto" w:sz="4" w:space="0"/>
              <w:bottom w:val="single" w:color="auto" w:sz="4" w:space="0"/>
              <w:right w:val="single" w:color="auto" w:sz="4" w:space="0"/>
            </w:tcBorders>
            <w:tcW w:w="4210" w:type="dxa"/>
            <w:vAlign w:val="center"/>
            <w:textDirection w:val="lrTb"/>
            <w:noWrap w:val="false"/>
          </w:tcPr>
          <w:p>
            <w:pPr>
              <w:jc w:val="center"/>
              <w:spacing w:line="600" w:lineRule="exact"/>
              <w:rPr>
                <w:color w:val="000000"/>
                <w:sz w:val="24"/>
              </w:rPr>
            </w:pPr>
            <w:r>
              <w:rPr>
                <w:rFonts w:hint="eastAsia"/>
                <w:color w:val="000000"/>
                <w:sz w:val="24"/>
              </w:rPr>
              <w:t xml:space="preserve">法定代表人有效身份证明</w:t>
            </w:r>
            <w:r/>
          </w:p>
        </w:tc>
        <w:tc>
          <w:tcPr>
            <w:tcBorders>
              <w:top w:val="single" w:color="auto" w:sz="4" w:space="0"/>
              <w:left w:val="single" w:color="auto" w:sz="4" w:space="0"/>
              <w:bottom w:val="single" w:color="auto" w:sz="4" w:space="0"/>
              <w:right w:val="single" w:color="auto" w:sz="4" w:space="0"/>
            </w:tcBorders>
            <w:tcW w:w="4210" w:type="dxa"/>
            <w:vAlign w:val="center"/>
            <w:textDirection w:val="lrTb"/>
            <w:noWrap w:val="false"/>
          </w:tcPr>
          <w:p>
            <w:pPr>
              <w:jc w:val="center"/>
              <w:spacing w:line="600" w:lineRule="exact"/>
              <w:rPr>
                <w:color w:val="000000"/>
                <w:sz w:val="24"/>
              </w:rPr>
            </w:pPr>
            <w:r>
              <w:rPr>
                <w:rFonts w:hint="eastAsia"/>
                <w:color w:val="000000"/>
                <w:sz w:val="24"/>
              </w:rPr>
              <w:t xml:space="preserve">法定代表人有效身份证明</w:t>
            </w:r>
            <w:r/>
          </w:p>
        </w:tc>
      </w:tr>
      <w:tr>
        <w:trPr>
          <w:jc w:val="center"/>
          <w:trHeight w:val="2350"/>
        </w:trPr>
        <w:tc>
          <w:tcPr>
            <w:tcBorders>
              <w:top w:val="single" w:color="auto" w:sz="4" w:space="0"/>
              <w:left w:val="single" w:color="auto" w:sz="4" w:space="0"/>
              <w:bottom w:val="single" w:color="auto" w:sz="4" w:space="0"/>
              <w:right w:val="single" w:color="auto" w:sz="4" w:space="0"/>
            </w:tcBorders>
            <w:tcW w:w="4210" w:type="dxa"/>
            <w:vAlign w:val="center"/>
            <w:textDirection w:val="lrTb"/>
            <w:noWrap w:val="false"/>
          </w:tcPr>
          <w:p>
            <w:pPr>
              <w:jc w:val="center"/>
              <w:spacing w:line="600" w:lineRule="exact"/>
              <w:rPr>
                <w:color w:val="000000"/>
                <w:sz w:val="24"/>
              </w:rPr>
            </w:pPr>
            <w:r>
              <w:rPr>
                <w:rFonts w:hint="eastAsia"/>
                <w:color w:val="000000"/>
                <w:sz w:val="24"/>
              </w:rPr>
              <w:t xml:space="preserve">正面</w:t>
            </w:r>
            <w:r/>
          </w:p>
          <w:p>
            <w:pPr>
              <w:jc w:val="center"/>
              <w:spacing w:line="600" w:lineRule="exact"/>
              <w:rPr>
                <w:color w:val="000000"/>
                <w:sz w:val="24"/>
              </w:rPr>
            </w:pPr>
            <w:r>
              <w:rPr>
                <w:rFonts w:hint="eastAsia"/>
                <w:color w:val="000000"/>
                <w:sz w:val="24"/>
              </w:rPr>
              <w:t xml:space="preserve">（可电子粘贴）</w:t>
            </w:r>
            <w:r/>
          </w:p>
        </w:tc>
        <w:tc>
          <w:tcPr>
            <w:tcBorders>
              <w:top w:val="single" w:color="auto" w:sz="4" w:space="0"/>
              <w:left w:val="single" w:color="auto" w:sz="4" w:space="0"/>
              <w:bottom w:val="single" w:color="auto" w:sz="4" w:space="0"/>
              <w:right w:val="single" w:color="auto" w:sz="4" w:space="0"/>
            </w:tcBorders>
            <w:tcW w:w="4210" w:type="dxa"/>
            <w:vAlign w:val="center"/>
            <w:textDirection w:val="lrTb"/>
            <w:noWrap w:val="false"/>
          </w:tcPr>
          <w:p>
            <w:pPr>
              <w:jc w:val="center"/>
              <w:spacing w:line="600" w:lineRule="exact"/>
              <w:rPr>
                <w:color w:val="000000"/>
                <w:sz w:val="24"/>
              </w:rPr>
            </w:pPr>
            <w:r>
              <w:rPr>
                <w:rFonts w:hint="eastAsia"/>
                <w:color w:val="000000"/>
                <w:sz w:val="24"/>
              </w:rPr>
              <w:t xml:space="preserve">背面</w:t>
            </w:r>
            <w:r/>
          </w:p>
          <w:p>
            <w:pPr>
              <w:jc w:val="center"/>
              <w:spacing w:line="600" w:lineRule="exact"/>
              <w:rPr>
                <w:color w:val="000000"/>
                <w:sz w:val="24"/>
              </w:rPr>
            </w:pPr>
            <w:r>
              <w:rPr>
                <w:rFonts w:hint="eastAsia"/>
                <w:color w:val="000000"/>
                <w:sz w:val="24"/>
              </w:rPr>
              <w:t xml:space="preserve">（可电子粘贴）</w:t>
            </w:r>
            <w:r/>
          </w:p>
        </w:tc>
      </w:tr>
    </w:tbl>
    <w:p>
      <w:pPr>
        <w:pStyle w:val="855"/>
        <w:jc w:val="both"/>
        <w:spacing w:beforeAutospacing="0" w:afterAutospacing="0"/>
      </w:pPr>
      <w:r/>
      <w:r/>
    </w:p>
    <w:tbl>
      <w:tblPr>
        <w:tblW w:w="84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210"/>
        <w:gridCol w:w="4210"/>
      </w:tblGrid>
      <w:tr>
        <w:trPr>
          <w:jc w:val="center"/>
          <w:trHeight w:val="583"/>
        </w:trPr>
        <w:tc>
          <w:tcPr>
            <w:tcBorders>
              <w:top w:val="single" w:color="auto" w:sz="4" w:space="0"/>
              <w:left w:val="single" w:color="auto" w:sz="4" w:space="0"/>
              <w:bottom w:val="single" w:color="auto" w:sz="4" w:space="0"/>
              <w:right w:val="single" w:color="auto" w:sz="4" w:space="0"/>
            </w:tcBorders>
            <w:tcW w:w="4210" w:type="dxa"/>
            <w:vAlign w:val="center"/>
            <w:textDirection w:val="lrTb"/>
            <w:noWrap w:val="false"/>
          </w:tcPr>
          <w:p>
            <w:pPr>
              <w:jc w:val="center"/>
              <w:spacing w:line="600" w:lineRule="exact"/>
              <w:rPr>
                <w:color w:val="000000"/>
                <w:sz w:val="24"/>
              </w:rPr>
            </w:pPr>
            <w:r>
              <w:rPr>
                <w:rFonts w:hint="eastAsia" w:ascii="宋体" w:hAnsi="宋体"/>
                <w:color w:val="000000" w:themeColor="text1"/>
                <w:sz w:val="24"/>
              </w:rPr>
              <w:t xml:space="preserve">被授权人</w:t>
            </w:r>
            <w:r>
              <w:rPr>
                <w:rFonts w:hint="eastAsia"/>
                <w:color w:val="000000"/>
                <w:sz w:val="24"/>
              </w:rPr>
              <w:t xml:space="preserve">有效身份证明</w:t>
            </w:r>
            <w:r/>
          </w:p>
        </w:tc>
        <w:tc>
          <w:tcPr>
            <w:tcBorders>
              <w:top w:val="single" w:color="auto" w:sz="4" w:space="0"/>
              <w:left w:val="single" w:color="auto" w:sz="4" w:space="0"/>
              <w:bottom w:val="single" w:color="auto" w:sz="4" w:space="0"/>
              <w:right w:val="single" w:color="auto" w:sz="4" w:space="0"/>
            </w:tcBorders>
            <w:tcW w:w="4210" w:type="dxa"/>
            <w:vAlign w:val="center"/>
            <w:textDirection w:val="lrTb"/>
            <w:noWrap w:val="false"/>
          </w:tcPr>
          <w:p>
            <w:pPr>
              <w:jc w:val="center"/>
              <w:spacing w:line="600" w:lineRule="exact"/>
              <w:rPr>
                <w:color w:val="000000"/>
                <w:sz w:val="24"/>
              </w:rPr>
            </w:pPr>
            <w:r>
              <w:rPr>
                <w:rFonts w:hint="eastAsia" w:ascii="宋体" w:hAnsi="宋体"/>
                <w:color w:val="000000" w:themeColor="text1"/>
                <w:sz w:val="24"/>
              </w:rPr>
              <w:t xml:space="preserve">被授权人</w:t>
            </w:r>
            <w:r>
              <w:rPr>
                <w:rFonts w:hint="eastAsia"/>
                <w:color w:val="000000"/>
                <w:sz w:val="24"/>
              </w:rPr>
              <w:t xml:space="preserve">有效身份证明</w:t>
            </w:r>
            <w:r/>
          </w:p>
        </w:tc>
      </w:tr>
      <w:tr>
        <w:trPr>
          <w:jc w:val="center"/>
          <w:trHeight w:val="2350"/>
        </w:trPr>
        <w:tc>
          <w:tcPr>
            <w:tcBorders>
              <w:top w:val="single" w:color="auto" w:sz="4" w:space="0"/>
              <w:left w:val="single" w:color="auto" w:sz="4" w:space="0"/>
              <w:bottom w:val="single" w:color="auto" w:sz="4" w:space="0"/>
              <w:right w:val="single" w:color="auto" w:sz="4" w:space="0"/>
            </w:tcBorders>
            <w:tcW w:w="4210" w:type="dxa"/>
            <w:vAlign w:val="center"/>
            <w:textDirection w:val="lrTb"/>
            <w:noWrap w:val="false"/>
          </w:tcPr>
          <w:p>
            <w:pPr>
              <w:jc w:val="center"/>
              <w:spacing w:line="600" w:lineRule="exact"/>
              <w:rPr>
                <w:color w:val="000000"/>
                <w:sz w:val="24"/>
              </w:rPr>
            </w:pPr>
            <w:r>
              <w:rPr>
                <w:rFonts w:hint="eastAsia"/>
                <w:color w:val="000000"/>
                <w:sz w:val="24"/>
              </w:rPr>
              <w:t xml:space="preserve">正面</w:t>
            </w:r>
            <w:r/>
          </w:p>
          <w:p>
            <w:pPr>
              <w:jc w:val="center"/>
              <w:spacing w:line="600" w:lineRule="exact"/>
              <w:rPr>
                <w:color w:val="000000"/>
                <w:sz w:val="24"/>
              </w:rPr>
            </w:pPr>
            <w:r>
              <w:rPr>
                <w:rFonts w:hint="eastAsia"/>
                <w:color w:val="000000"/>
                <w:sz w:val="24"/>
              </w:rPr>
              <w:t xml:space="preserve">（可电子粘贴）</w:t>
            </w:r>
            <w:r/>
          </w:p>
        </w:tc>
        <w:tc>
          <w:tcPr>
            <w:tcBorders>
              <w:top w:val="single" w:color="auto" w:sz="4" w:space="0"/>
              <w:left w:val="single" w:color="auto" w:sz="4" w:space="0"/>
              <w:bottom w:val="single" w:color="auto" w:sz="4" w:space="0"/>
              <w:right w:val="single" w:color="auto" w:sz="4" w:space="0"/>
            </w:tcBorders>
            <w:tcW w:w="4210" w:type="dxa"/>
            <w:vAlign w:val="center"/>
            <w:textDirection w:val="lrTb"/>
            <w:noWrap w:val="false"/>
          </w:tcPr>
          <w:p>
            <w:pPr>
              <w:jc w:val="center"/>
              <w:spacing w:line="600" w:lineRule="exact"/>
              <w:rPr>
                <w:color w:val="000000"/>
                <w:sz w:val="24"/>
              </w:rPr>
            </w:pPr>
            <w:r>
              <w:rPr>
                <w:rFonts w:hint="eastAsia"/>
                <w:color w:val="000000"/>
                <w:sz w:val="24"/>
              </w:rPr>
              <w:t xml:space="preserve">背面</w:t>
            </w:r>
            <w:r/>
          </w:p>
          <w:p>
            <w:pPr>
              <w:jc w:val="center"/>
              <w:spacing w:line="600" w:lineRule="exact"/>
              <w:rPr>
                <w:color w:val="000000"/>
                <w:sz w:val="24"/>
              </w:rPr>
            </w:pPr>
            <w:r>
              <w:rPr>
                <w:rFonts w:hint="eastAsia"/>
                <w:color w:val="000000"/>
                <w:sz w:val="24"/>
              </w:rPr>
              <w:t xml:space="preserve">（可电子粘贴）</w:t>
            </w:r>
            <w:r/>
          </w:p>
        </w:tc>
      </w:tr>
    </w:tbl>
    <w:p>
      <w:pPr>
        <w:pStyle w:val="855"/>
        <w:jc w:val="center"/>
        <w:spacing w:beforeAutospacing="0" w:afterAutospacing="0"/>
        <w:rPr>
          <w:rFonts w:hint="eastAsia" w:ascii="黑体" w:hAnsi="宋体" w:eastAsia="黑体" w:cs="黑体"/>
          <w:b/>
          <w:i/>
          <w:iCs/>
          <w:color w:val="000000"/>
          <w:sz w:val="32"/>
          <w:szCs w:val="32"/>
          <w:u w:val="single"/>
        </w:rPr>
      </w:pPr>
      <w:r>
        <w:rPr>
          <w:rFonts w:hint="eastAsia" w:ascii="宋体" w:hAnsi="宋体" w:eastAsia="宋体" w:cs="宋体"/>
          <w:b/>
          <w:color w:val="000000"/>
        </w:rPr>
        <w:br w:type="page" w:clear="all"/>
      </w:r>
      <w:r>
        <w:rPr>
          <w:rFonts w:hint="eastAsia" w:ascii="黑体" w:hAnsi="宋体" w:eastAsia="黑体" w:cs="黑体"/>
          <w:b/>
          <w:i/>
          <w:iCs/>
          <w:color w:val="000000"/>
          <w:sz w:val="32"/>
          <w:szCs w:val="32"/>
          <w:u w:val="single"/>
        </w:rPr>
        <w:t xml:space="preserve">九、投标函</w:t>
      </w:r>
      <w:r/>
    </w:p>
    <w:p>
      <w:pPr>
        <w:pStyle w:val="855"/>
        <w:spacing w:beforeAutospacing="0" w:afterAutospacing="0" w:line="0" w:lineRule="atLeast"/>
      </w:pPr>
      <w:r>
        <w:rPr>
          <w:rFonts w:hint="eastAsia" w:ascii="宋体" w:hAnsi="宋体" w:eastAsia="宋体" w:cs="宋体"/>
          <w:color w:val="000000"/>
        </w:rPr>
        <w:t xml:space="preserve">致：滨海县坎北街道中心小学</w:t>
      </w:r>
      <w:r/>
    </w:p>
    <w:p>
      <w:pPr>
        <w:pStyle w:val="855"/>
        <w:ind w:firstLine="482"/>
        <w:spacing w:beforeAutospacing="0" w:afterAutospacing="0" w:line="360" w:lineRule="auto"/>
      </w:pPr>
      <w:r>
        <w:rPr>
          <w:rFonts w:hint="eastAsia" w:ascii="宋体" w:hAnsi="宋体" w:eastAsia="宋体" w:cs="宋体"/>
          <w:color w:val="000000"/>
        </w:rPr>
        <w:t xml:space="preserve">根据贵方的</w:t>
      </w:r>
      <w:r>
        <w:rPr>
          <w:rFonts w:ascii="宋体" w:hAnsi="宋体" w:eastAsia="宋体" w:cs="宋体"/>
          <w:color w:val="000000"/>
        </w:rPr>
        <w:t xml:space="preserve">JSZC-320922-YCGX-G2026-0012</w:t>
      </w:r>
      <w:r>
        <w:rPr>
          <w:rFonts w:hint="eastAsia" w:ascii="宋体" w:hAnsi="宋体" w:eastAsia="宋体" w:cs="宋体"/>
          <w:color w:val="000000"/>
        </w:rPr>
        <w:t xml:space="preserve">号招标文件，正式授权下述签字人______(姓名)代表我方______________（投标人的名称），全权处理本次项目投标的有关事宜。</w:t>
      </w:r>
      <w:r/>
    </w:p>
    <w:p>
      <w:pPr>
        <w:pStyle w:val="855"/>
        <w:ind w:firstLine="482"/>
        <w:spacing w:beforeAutospacing="0" w:afterAutospacing="0" w:line="360" w:lineRule="auto"/>
      </w:pPr>
      <w:r>
        <w:rPr>
          <w:rFonts w:hint="eastAsia" w:ascii="宋体" w:hAnsi="宋体" w:eastAsia="宋体" w:cs="宋体"/>
          <w:color w:val="000000"/>
        </w:rPr>
        <w:t xml:space="preserve">据此函，__________签字人兹宣布同意如下：</w:t>
      </w:r>
      <w:r/>
    </w:p>
    <w:p>
      <w:pPr>
        <w:pStyle w:val="855"/>
        <w:ind w:firstLine="482"/>
        <w:spacing w:beforeAutospacing="0" w:afterAutospacing="0" w:line="360" w:lineRule="auto"/>
      </w:pPr>
      <w:r>
        <w:rPr>
          <w:rFonts w:hint="eastAsia" w:ascii="宋体" w:hAnsi="宋体" w:eastAsia="宋体" w:cs="宋体"/>
          <w:color w:val="000000"/>
        </w:rPr>
        <w:t xml:space="preserve">1.按招标文件规定的各项要求，向买方提供所需服务（包含与服务相关的货物）。</w:t>
      </w:r>
      <w:r/>
    </w:p>
    <w:p>
      <w:pPr>
        <w:pStyle w:val="855"/>
        <w:ind w:firstLine="482"/>
        <w:spacing w:beforeAutospacing="0" w:afterAutospacing="0" w:line="360" w:lineRule="auto"/>
      </w:pPr>
      <w:r>
        <w:rPr>
          <w:rFonts w:hint="eastAsia" w:ascii="宋体" w:hAnsi="宋体" w:eastAsia="宋体" w:cs="宋体"/>
          <w:color w:val="000000"/>
        </w:rPr>
        <w:t xml:space="preserve">2.我们完全理解贵方不一定将合同授予最低报价的投标人。</w:t>
      </w:r>
      <w:r/>
    </w:p>
    <w:p>
      <w:pPr>
        <w:pStyle w:val="855"/>
        <w:ind w:firstLine="482"/>
        <w:spacing w:beforeAutospacing="0" w:afterAutospacing="0" w:line="360" w:lineRule="auto"/>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855"/>
        <w:ind w:firstLine="482"/>
        <w:spacing w:beforeAutospacing="0" w:afterAutospacing="0" w:line="360" w:lineRule="auto"/>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855"/>
        <w:ind w:firstLine="482"/>
        <w:spacing w:beforeAutospacing="0" w:afterAutospacing="0" w:line="360" w:lineRule="auto"/>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855"/>
        <w:ind w:firstLine="482"/>
        <w:spacing w:beforeAutospacing="0" w:afterAutospacing="0" w:line="360" w:lineRule="auto"/>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855"/>
        <w:ind w:firstLine="482"/>
        <w:spacing w:beforeAutospacing="0" w:afterAutospacing="0" w:line="360" w:lineRule="auto"/>
      </w:pPr>
      <w:r>
        <w:rPr>
          <w:rFonts w:hint="eastAsia" w:ascii="宋体" w:hAnsi="宋体" w:eastAsia="宋体" w:cs="宋体"/>
          <w:color w:val="000000"/>
        </w:rPr>
        <w:t xml:space="preserve">7.与本投标有关的正式通讯地址为：</w:t>
      </w:r>
      <w:r/>
    </w:p>
    <w:p>
      <w:pPr>
        <w:pStyle w:val="855"/>
        <w:ind w:left="420" w:firstLine="482"/>
        <w:spacing w:beforeAutospacing="0" w:afterAutospacing="0" w:line="360" w:lineRule="auto"/>
      </w:pPr>
      <w:r>
        <w:rPr>
          <w:rFonts w:hint="eastAsia" w:ascii="宋体" w:hAnsi="宋体" w:eastAsia="宋体" w:cs="宋体"/>
          <w:color w:val="000000"/>
        </w:rPr>
        <w:t xml:space="preserve">地          址：</w:t>
      </w:r>
      <w:r/>
    </w:p>
    <w:p>
      <w:pPr>
        <w:pStyle w:val="855"/>
        <w:ind w:left="420" w:firstLine="482"/>
        <w:spacing w:beforeAutospacing="0" w:afterAutospacing="0" w:line="360" w:lineRule="auto"/>
      </w:pPr>
      <w:r>
        <w:rPr>
          <w:rFonts w:hint="eastAsia" w:ascii="宋体" w:hAnsi="宋体" w:eastAsia="宋体" w:cs="宋体"/>
          <w:color w:val="000000"/>
        </w:rPr>
        <w:t xml:space="preserve">邮          编：</w:t>
      </w:r>
      <w:r/>
    </w:p>
    <w:p>
      <w:pPr>
        <w:pStyle w:val="855"/>
        <w:ind w:left="420" w:firstLine="482"/>
        <w:spacing w:beforeAutospacing="0" w:afterAutospacing="0" w:line="360" w:lineRule="auto"/>
      </w:pPr>
      <w:r>
        <w:rPr>
          <w:rFonts w:hint="eastAsia" w:ascii="宋体" w:hAnsi="宋体" w:eastAsia="宋体" w:cs="宋体"/>
          <w:color w:val="000000"/>
        </w:rPr>
        <w:t xml:space="preserve">电          话：</w:t>
      </w:r>
      <w:r/>
    </w:p>
    <w:p>
      <w:pPr>
        <w:pStyle w:val="855"/>
        <w:ind w:left="420" w:firstLine="482"/>
        <w:spacing w:beforeAutospacing="0" w:afterAutospacing="0" w:line="360" w:lineRule="auto"/>
      </w:pPr>
      <w:r>
        <w:rPr>
          <w:rFonts w:hint="eastAsia" w:ascii="宋体" w:hAnsi="宋体" w:eastAsia="宋体" w:cs="宋体"/>
          <w:color w:val="000000"/>
        </w:rPr>
        <w:t xml:space="preserve">传          真：</w:t>
      </w:r>
      <w:r/>
    </w:p>
    <w:p>
      <w:pPr>
        <w:pStyle w:val="855"/>
        <w:ind w:left="420" w:firstLine="482"/>
        <w:spacing w:beforeAutospacing="0" w:afterAutospacing="0" w:line="360" w:lineRule="auto"/>
      </w:pPr>
      <w:r>
        <w:rPr>
          <w:rFonts w:hint="eastAsia" w:ascii="宋体" w:hAnsi="宋体" w:eastAsia="宋体" w:cs="宋体"/>
          <w:color w:val="000000"/>
        </w:rPr>
        <w:t xml:space="preserve">投标人开户行：</w:t>
      </w:r>
      <w:r/>
    </w:p>
    <w:p>
      <w:pPr>
        <w:pStyle w:val="855"/>
        <w:ind w:left="420" w:firstLine="482"/>
        <w:spacing w:beforeAutospacing="0" w:afterAutospacing="0" w:line="360" w:lineRule="auto"/>
      </w:pPr>
      <w:r>
        <w:rPr>
          <w:rFonts w:hint="eastAsia" w:ascii="宋体" w:hAnsi="宋体" w:eastAsia="宋体" w:cs="宋体"/>
          <w:color w:val="000000"/>
        </w:rPr>
        <w:t xml:space="preserve">账          号： </w:t>
      </w:r>
      <w:r/>
    </w:p>
    <w:p>
      <w:pPr>
        <w:pStyle w:val="855"/>
        <w:ind w:left="420" w:firstLine="482"/>
        <w:spacing w:beforeAutospacing="0" w:afterAutospacing="0" w:line="360" w:lineRule="auto"/>
      </w:pPr>
      <w:r>
        <w:rPr>
          <w:rFonts w:hint="eastAsia" w:ascii="宋体" w:hAnsi="宋体" w:eastAsia="宋体" w:cs="宋体"/>
          <w:color w:val="000000"/>
        </w:rPr>
        <w:t xml:space="preserve">日           期：________年____月____日</w:t>
      </w:r>
      <w:r/>
    </w:p>
    <w:p>
      <w:pPr>
        <w:pStyle w:val="855"/>
        <w:ind w:firstLine="240"/>
        <w:jc w:val="center"/>
        <w:spacing w:beforeAutospacing="0" w:afterAutospacing="0" w:line="0" w:lineRule="atLeast"/>
      </w:pPr>
      <w:r>
        <w:t xml:space="preserve"> </w:t>
      </w:r>
      <w:r/>
    </w:p>
    <w:p>
      <w:pPr>
        <w:pStyle w:val="855"/>
        <w:ind w:firstLine="240"/>
        <w:jc w:val="center"/>
        <w:spacing w:beforeAutospacing="0" w:afterAutospacing="0" w:line="0" w:lineRule="atLeast"/>
      </w:pPr>
      <w:r>
        <w:t xml:space="preserve"> </w:t>
      </w:r>
      <w:r/>
    </w:p>
    <w:p>
      <w:pPr>
        <w:pStyle w:val="855"/>
        <w:ind w:firstLine="240"/>
        <w:jc w:val="center"/>
        <w:spacing w:beforeAutospacing="0" w:afterAutospacing="0" w:line="0" w:lineRule="atLeast"/>
      </w:pPr>
      <w:r>
        <w:t xml:space="preserve"> </w:t>
      </w:r>
      <w:r/>
    </w:p>
    <w:p>
      <w:pPr>
        <w:pStyle w:val="855"/>
        <w:ind w:firstLine="240"/>
        <w:jc w:val="center"/>
        <w:spacing w:beforeAutospacing="0" w:afterAutospacing="0" w:line="0" w:lineRule="atLeast"/>
      </w:pPr>
      <w:r/>
      <w:r/>
    </w:p>
    <w:p>
      <w:pPr>
        <w:pStyle w:val="855"/>
        <w:ind w:firstLine="240"/>
        <w:jc w:val="center"/>
        <w:spacing w:beforeAutospacing="0" w:afterAutospacing="0" w:line="0" w:lineRule="atLeast"/>
      </w:pPr>
      <w:r/>
      <w:r/>
    </w:p>
    <w:p>
      <w:pPr>
        <w:pStyle w:val="855"/>
        <w:ind w:firstLine="240"/>
        <w:jc w:val="center"/>
        <w:spacing w:beforeAutospacing="0" w:afterAutospacing="0" w:line="0" w:lineRule="atLeast"/>
      </w:pPr>
      <w:r/>
      <w:r/>
    </w:p>
    <w:p>
      <w:pPr>
        <w:pStyle w:val="855"/>
        <w:ind w:firstLine="240"/>
        <w:jc w:val="center"/>
        <w:spacing w:beforeAutospacing="0" w:afterAutospacing="0" w:line="0" w:lineRule="atLeast"/>
      </w:pPr>
      <w:r/>
      <w:r/>
    </w:p>
    <w:p>
      <w:pPr>
        <w:pStyle w:val="855"/>
        <w:jc w:val="center"/>
        <w:spacing w:beforeAutospacing="0" w:afterAutospacing="0" w:line="0" w:lineRule="atLeast"/>
      </w:pPr>
      <w:r>
        <w:t xml:space="preserve"> </w:t>
      </w:r>
      <w:r/>
    </w:p>
    <w:p>
      <w:pPr>
        <w:pStyle w:val="855"/>
        <w:jc w:val="center"/>
        <w:spacing w:beforeAutospacing="0" w:afterAutospacing="0" w:line="0" w:lineRule="atLeast"/>
      </w:pPr>
      <w:r>
        <w:rPr>
          <w:rFonts w:hint="eastAsia" w:ascii="黑体" w:hAnsi="宋体" w:eastAsia="黑体" w:cs="黑体"/>
          <w:b/>
          <w:sz w:val="32"/>
          <w:szCs w:val="32"/>
        </w:rPr>
        <w:t xml:space="preserve">十、中小企业声明函（服务）</w:t>
      </w:r>
      <w:r/>
    </w:p>
    <w:p>
      <w:pPr>
        <w:ind w:firstLine="480"/>
        <w:spacing w:line="500" w:lineRule="exact"/>
        <w:rPr>
          <w:sz w:val="24"/>
        </w:rPr>
      </w:pPr>
      <w:r>
        <w:rPr>
          <w:rFonts w:hint="eastAsia"/>
          <w:sz w:val="24"/>
        </w:rPr>
        <w:t xml:space="preserve">本公司（联合体）郑重声明，根据《政府采购促进中小企业发展管理办法》（财库﹝</w:t>
      </w:r>
      <w:r>
        <w:rPr>
          <w:rFonts w:hint="eastAsia"/>
          <w:sz w:val="24"/>
        </w:rPr>
        <w:t xml:space="preserve">2020</w:t>
      </w:r>
      <w:r>
        <w:rPr>
          <w:rFonts w:hint="eastAsia"/>
          <w:sz w:val="24"/>
        </w:rPr>
        <w:t xml:space="preserve">﹞</w:t>
      </w:r>
      <w:r>
        <w:rPr>
          <w:rFonts w:hint="eastAsia"/>
          <w:sz w:val="24"/>
        </w:rPr>
        <w:t xml:space="preserve">46 </w:t>
      </w:r>
      <w:r>
        <w:rPr>
          <w:rFonts w:hint="eastAsia"/>
          <w:sz w:val="24"/>
        </w:rPr>
        <w:t xml:space="preserve">号）的规定，本公司（联合体）参加盐城国信招标代理有限公司组织的</w:t>
      </w:r>
      <w:r>
        <w:rPr>
          <w:rFonts w:hint="eastAsia"/>
          <w:i/>
          <w:iCs/>
          <w:sz w:val="24"/>
          <w:u w:val="single"/>
        </w:rPr>
        <w:t xml:space="preserve">（</w:t>
      </w:r>
      <w:r>
        <w:rPr>
          <w:rFonts w:hint="eastAsia"/>
          <w:sz w:val="24"/>
          <w:u w:val="single"/>
        </w:rPr>
        <w:t xml:space="preserve">滨海县坎北街道中心小学</w:t>
      </w:r>
      <w:r>
        <w:rPr>
          <w:rFonts w:hint="eastAsia"/>
          <w:i/>
          <w:iCs/>
          <w:sz w:val="24"/>
          <w:u w:val="single"/>
        </w:rPr>
        <w:t xml:space="preserve">）</w:t>
      </w:r>
      <w:r>
        <w:rPr>
          <w:rFonts w:hint="eastAsia"/>
          <w:sz w:val="24"/>
          <w:szCs w:val="20"/>
        </w:rPr>
        <w:t xml:space="preserve">，</w:t>
      </w:r>
      <w:r>
        <w:rPr>
          <w:rFonts w:hint="eastAsia"/>
          <w:sz w:val="24"/>
        </w:rPr>
        <w:t xml:space="preserve">采购编号为</w:t>
      </w:r>
      <w:r>
        <w:rPr>
          <w:sz w:val="24"/>
          <w:u w:val="single"/>
        </w:rPr>
        <w:t xml:space="preserve">JSZC-320922-YCGX-G2026-0012</w:t>
      </w:r>
      <w:r>
        <w:rPr>
          <w:rFonts w:hint="eastAsia"/>
          <w:sz w:val="24"/>
        </w:rPr>
        <w:t xml:space="preserve">的</w:t>
      </w:r>
      <w:r>
        <w:rPr>
          <w:rFonts w:hint="eastAsia"/>
          <w:i/>
          <w:iCs/>
          <w:sz w:val="24"/>
          <w:u w:val="single"/>
        </w:rPr>
        <w:t xml:space="preserve">（</w:t>
      </w:r>
      <w:r>
        <w:rPr>
          <w:rFonts w:hint="eastAsia"/>
          <w:i/>
          <w:iCs/>
          <w:sz w:val="24"/>
          <w:u w:val="single"/>
        </w:rPr>
        <w:t xml:space="preserve">2026-2027</w:t>
      </w:r>
      <w:r>
        <w:rPr>
          <w:rFonts w:hint="eastAsia"/>
          <w:i/>
          <w:iCs/>
          <w:sz w:val="24"/>
          <w:u w:val="single"/>
        </w:rPr>
        <w:t xml:space="preserve">校园配餐（小学组）采购项目）</w:t>
      </w:r>
      <w:r>
        <w:rPr>
          <w:rFonts w:hint="eastAsia"/>
          <w:sz w:val="24"/>
        </w:rPr>
        <w:t xml:space="preserve">的采购活动，服务全部由符合政策要求的中小企业承接。相关企业（含联合体中的中小企业、签订分包意向协议的中小企业）的具体情况如下：</w:t>
      </w:r>
      <w:r/>
    </w:p>
    <w:p>
      <w:pPr>
        <w:numPr>
          <w:ilvl w:val="0"/>
          <w:numId w:val="1"/>
        </w:numPr>
        <w:ind w:firstLine="480"/>
        <w:spacing w:line="500" w:lineRule="exact"/>
        <w:rPr>
          <w:sz w:val="24"/>
        </w:rPr>
      </w:pPr>
      <w:r>
        <w:rPr>
          <w:rFonts w:hint="eastAsia"/>
          <w:i/>
          <w:iCs/>
          <w:sz w:val="24"/>
          <w:u w:val="single"/>
        </w:rPr>
        <w:t xml:space="preserve">（</w:t>
      </w:r>
      <w:r>
        <w:rPr>
          <w:rFonts w:hint="eastAsia"/>
          <w:u w:val="single"/>
        </w:rPr>
        <w:t xml:space="preserve">校园配餐</w:t>
      </w:r>
      <w:r>
        <w:rPr>
          <w:rFonts w:hint="eastAsia"/>
          <w:i/>
          <w:iCs/>
          <w:sz w:val="24"/>
          <w:u w:val="single"/>
        </w:rPr>
        <w:t xml:space="preserve">）</w:t>
      </w:r>
      <w:r>
        <w:rPr>
          <w:rFonts w:hint="eastAsia"/>
          <w:sz w:val="24"/>
        </w:rPr>
        <w:t xml:space="preserve"> </w:t>
      </w:r>
      <w:r>
        <w:rPr>
          <w:rFonts w:hint="eastAsia"/>
          <w:sz w:val="24"/>
        </w:rPr>
        <w:t xml:space="preserve">，属于</w:t>
      </w:r>
      <w:r>
        <w:rPr>
          <w:rFonts w:hint="eastAsia"/>
          <w:i/>
          <w:iCs/>
          <w:sz w:val="24"/>
          <w:u w:val="single"/>
        </w:rPr>
        <w:t xml:space="preserve">（</w:t>
      </w:r>
      <w:r>
        <w:rPr>
          <w:rFonts w:hint="eastAsia"/>
          <w:u w:val="single"/>
        </w:rPr>
        <w:t xml:space="preserve">餐饮业</w:t>
      </w:r>
      <w:r>
        <w:rPr>
          <w:rFonts w:hint="eastAsia"/>
          <w:i/>
          <w:iCs/>
          <w:sz w:val="24"/>
          <w:u w:val="single"/>
        </w:rPr>
        <w:t xml:space="preserve">）</w:t>
      </w:r>
      <w:r>
        <w:rPr>
          <w:rFonts w:hint="eastAsia"/>
          <w:sz w:val="24"/>
        </w:rPr>
        <w:t xml:space="preserve">；承建（承接）企业为</w:t>
      </w:r>
      <w:r>
        <w:rPr>
          <w:rFonts w:hint="eastAsia"/>
          <w:i/>
          <w:iCs/>
          <w:sz w:val="24"/>
          <w:u w:val="single"/>
        </w:rPr>
        <w:t xml:space="preserve">（企业名称）</w:t>
      </w:r>
      <w:r>
        <w:rPr>
          <w:rFonts w:hint="eastAsia"/>
          <w:sz w:val="24"/>
        </w:rPr>
        <w:t xml:space="preserve">，从业人员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sz w:val="24"/>
          <w:u w:val="single"/>
        </w:rPr>
        <w:t xml:space="preserve">      </w:t>
      </w:r>
      <w:r>
        <w:rPr>
          <w:rFonts w:hint="eastAsia"/>
          <w:i/>
          <w:iCs/>
          <w:sz w:val="24"/>
          <w:u w:val="single"/>
        </w:rPr>
        <w:t xml:space="preserve">中型企业、小型企业、微型企业</w:t>
      </w:r>
      <w:r>
        <w:rPr>
          <w:rFonts w:hint="eastAsia"/>
          <w:sz w:val="24"/>
        </w:rPr>
        <w:t xml:space="preserve">）；</w:t>
      </w:r>
      <w:r/>
    </w:p>
    <w:p>
      <w:pPr>
        <w:ind w:firstLine="480"/>
        <w:spacing w:line="500" w:lineRule="exact"/>
        <w:rPr>
          <w:sz w:val="24"/>
        </w:rPr>
      </w:pPr>
      <w:r>
        <w:rPr>
          <w:rFonts w:hint="eastAsia"/>
          <w:sz w:val="24"/>
        </w:rPr>
        <w:t xml:space="preserve">……</w:t>
      </w:r>
      <w:r/>
    </w:p>
    <w:p>
      <w:pPr>
        <w:ind w:firstLine="480"/>
        <w:spacing w:line="500" w:lineRule="exact"/>
        <w:rPr>
          <w:sz w:val="24"/>
        </w:rPr>
      </w:pPr>
      <w:r>
        <w:rPr>
          <w:rFonts w:hint="eastAsia"/>
          <w:sz w:val="24"/>
        </w:rPr>
        <w:t xml:space="preserve">以上企业，不属于大企业的分支机构，不存在控股股东为大企业的情形，也不存在与大企业的负责人为同一人的情形。</w:t>
      </w:r>
      <w:r/>
    </w:p>
    <w:p>
      <w:pPr>
        <w:ind w:firstLine="480"/>
        <w:spacing w:line="500" w:lineRule="exact"/>
        <w:rPr>
          <w:sz w:val="24"/>
        </w:rPr>
      </w:pPr>
      <w:r>
        <w:rPr>
          <w:rFonts w:hint="eastAsia"/>
          <w:sz w:val="24"/>
        </w:rPr>
        <w:t xml:space="preserve">本企业对上述声明内容的真实性负责。如有虚假，将依法承担相应责任。</w:t>
      </w:r>
      <w:r/>
    </w:p>
    <w:p>
      <w:pPr>
        <w:pStyle w:val="855"/>
        <w:ind w:right="720"/>
        <w:jc w:val="both"/>
        <w:spacing w:beforeAutospacing="0" w:afterAutospacing="0" w:line="0" w:lineRule="atLeast"/>
      </w:pPr>
      <w:r>
        <w:t xml:space="preserve"> </w:t>
      </w:r>
      <w:r/>
    </w:p>
    <w:p>
      <w:pPr>
        <w:pStyle w:val="855"/>
        <w:ind w:right="180" w:firstLine="360"/>
        <w:jc w:val="right"/>
        <w:spacing w:beforeAutospacing="0" w:afterAutospacing="0" w:line="0" w:lineRule="atLeast"/>
      </w:pPr>
      <w:r>
        <w:rPr>
          <w:rFonts w:hint="eastAsia" w:ascii="宋体" w:hAnsi="宋体" w:eastAsia="宋体" w:cs="宋体"/>
        </w:rPr>
        <w:t xml:space="preserve">企业名称（加盖CA电子公章）：</w:t>
      </w:r>
      <w:r/>
    </w:p>
    <w:p>
      <w:pPr>
        <w:pStyle w:val="855"/>
        <w:ind w:right="480" w:firstLine="5400"/>
        <w:jc w:val="both"/>
        <w:spacing w:beforeAutospacing="0" w:afterAutospacing="0" w:line="0" w:lineRule="atLeast"/>
      </w:pPr>
      <w:r>
        <w:rPr>
          <w:rFonts w:hint="eastAsia" w:ascii="宋体" w:hAnsi="宋体" w:eastAsia="宋体" w:cs="宋体"/>
        </w:rPr>
        <w:t xml:space="preserve">日  期：</w:t>
      </w:r>
      <w:r/>
    </w:p>
    <w:p>
      <w:pPr>
        <w:pStyle w:val="855"/>
        <w:ind w:firstLine="240"/>
        <w:jc w:val="both"/>
        <w:spacing w:beforeAutospacing="0" w:afterAutospacing="0" w:line="0" w:lineRule="atLeast"/>
      </w:pPr>
      <w:r>
        <w:t xml:space="preserve"> </w:t>
      </w:r>
      <w:r/>
    </w:p>
    <w:p>
      <w:pPr>
        <w:pStyle w:val="855"/>
        <w:ind w:firstLine="480"/>
        <w:jc w:val="both"/>
        <w:spacing w:beforeAutospacing="0" w:afterAutospacing="0" w:line="0" w:lineRule="atLeast"/>
      </w:pPr>
      <w:r>
        <w:rPr>
          <w:rFonts w:hint="eastAsia" w:ascii="宋体" w:hAnsi="宋体" w:eastAsia="宋体" w:cs="宋体"/>
        </w:rPr>
        <w:t xml:space="preserve">备注1：从业人员、营业收入、资产总额填报上一年度数据，无上一年度数据的新成立企业可不填报。</w:t>
      </w:r>
      <w:r/>
    </w:p>
    <w:p>
      <w:pPr>
        <w:pStyle w:val="855"/>
        <w:ind w:firstLine="480"/>
        <w:jc w:val="both"/>
        <w:spacing w:beforeAutospacing="0" w:afterAutospacing="0" w:line="0" w:lineRule="atLeast"/>
      </w:pPr>
      <w:r>
        <w:rPr>
          <w:rFonts w:hint="eastAsia" w:ascii="宋体" w:hAnsi="宋体" w:eastAsia="宋体" w:cs="宋体"/>
        </w:rPr>
        <w:t xml:space="preserve">备注2：供应商如不提供此声明函，价格将不做相应扣除。</w:t>
      </w:r>
      <w:r/>
    </w:p>
    <w:p>
      <w:pPr>
        <w:pStyle w:val="855"/>
        <w:jc w:val="center"/>
        <w:spacing w:beforeAutospacing="0" w:afterAutospacing="0" w:line="0" w:lineRule="atLeast"/>
      </w:pPr>
      <w:r>
        <w:rPr>
          <w:rFonts w:hint="eastAsia" w:ascii="黑体" w:hAnsi="宋体" w:eastAsia="黑体" w:cs="黑体"/>
          <w:b/>
          <w:sz w:val="32"/>
          <w:szCs w:val="32"/>
        </w:rPr>
        <w:br w:type="page" w:clear="all"/>
      </w:r>
      <w:r>
        <w:rPr>
          <w:rFonts w:hint="eastAsia" w:ascii="黑体" w:hAnsi="宋体" w:eastAsia="黑体" w:cs="黑体"/>
          <w:b/>
          <w:color w:val="000000"/>
          <w:sz w:val="32"/>
          <w:szCs w:val="32"/>
        </w:rPr>
        <w:t xml:space="preserve"> </w:t>
      </w:r>
      <w:r>
        <w:rPr>
          <w:rFonts w:hint="eastAsia" w:ascii="黑体" w:hAnsi="宋体" w:eastAsia="黑体" w:cs="黑体"/>
          <w:b/>
          <w:color w:val="000000"/>
          <w:sz w:val="32"/>
          <w:szCs w:val="32"/>
        </w:rPr>
        <w:t xml:space="preserve">十一、残疾人福利性单位声明函</w:t>
      </w:r>
      <w:r/>
    </w:p>
    <w:p>
      <w:pPr>
        <w:pStyle w:val="855"/>
        <w:ind w:firstLine="480"/>
        <w:jc w:val="both"/>
        <w:spacing w:beforeAutospacing="0" w:afterAutospacing="0" w:line="360" w:lineRule="auto"/>
      </w:pPr>
      <w:r>
        <w:rPr>
          <w:rFonts w:hint="eastAsia" w:ascii="宋体" w:hAnsi="宋体" w:eastAsia="宋体" w:cs="宋体"/>
          <w:color w:val="000000"/>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项目（分包号：**）采购活动由本单位提供服务。</w:t>
      </w:r>
      <w:r/>
    </w:p>
    <w:p>
      <w:pPr>
        <w:pStyle w:val="855"/>
        <w:ind w:firstLine="480"/>
        <w:jc w:val="both"/>
        <w:spacing w:beforeAutospacing="0" w:afterAutospacing="0" w:line="360" w:lineRule="auto"/>
      </w:pPr>
      <w:r>
        <w:rPr>
          <w:rFonts w:hint="eastAsia" w:ascii="宋体" w:hAnsi="宋体" w:eastAsia="宋体" w:cs="宋体"/>
          <w:color w:val="000000"/>
        </w:rPr>
        <w:t xml:space="preserve">本单位对上述声明的真实性负责。如有虚假，将依法承担相应责任。</w:t>
      </w:r>
      <w:r/>
    </w:p>
    <w:p>
      <w:pPr>
        <w:pStyle w:val="855"/>
        <w:ind w:firstLine="480"/>
        <w:jc w:val="both"/>
        <w:spacing w:beforeAutospacing="0" w:afterAutospacing="0" w:line="360" w:lineRule="auto"/>
      </w:pPr>
      <w:r>
        <w:t xml:space="preserve"> </w:t>
      </w:r>
      <w:r/>
    </w:p>
    <w:p>
      <w:pPr>
        <w:pStyle w:val="855"/>
        <w:ind w:firstLine="480"/>
        <w:jc w:val="both"/>
        <w:spacing w:beforeAutospacing="0" w:afterAutospacing="0" w:line="360" w:lineRule="auto"/>
        <w:rPr>
          <w:rFonts w:eastAsia="宋体"/>
        </w:rPr>
      </w:pPr>
      <w:r>
        <w:rPr>
          <w:rFonts w:hint="eastAsia" w:ascii="宋体" w:hAnsi="宋体" w:eastAsia="宋体" w:cs="宋体"/>
          <w:color w:val="000000"/>
        </w:rPr>
        <w:t xml:space="preserve">备注：1、供应商如不提供此声明函，价格将不做相应扣除（如项目全面面向中小企业，则资格审查不通过）。</w:t>
      </w:r>
      <w:r/>
    </w:p>
    <w:p>
      <w:pPr>
        <w:pStyle w:val="855"/>
        <w:ind w:firstLine="480"/>
        <w:jc w:val="both"/>
        <w:spacing w:beforeAutospacing="0" w:afterAutospacing="0" w:line="360" w:lineRule="auto"/>
      </w:pPr>
      <w:r>
        <w:rPr>
          <w:rFonts w:hint="eastAsia" w:ascii="宋体" w:hAnsi="宋体" w:eastAsia="宋体" w:cs="宋体"/>
          <w:color w:val="000000"/>
        </w:rPr>
        <w:t xml:space="preserve">2、中标人为残疾人福利单位的，此声明函将随中标结果同时公告，接受社会监督</w:t>
      </w:r>
      <w:r/>
    </w:p>
    <w:p>
      <w:pPr>
        <w:pStyle w:val="855"/>
        <w:ind w:firstLine="624"/>
        <w:jc w:val="both"/>
        <w:spacing w:beforeAutospacing="0" w:afterAutospacing="0" w:line="360" w:lineRule="auto"/>
      </w:pPr>
      <w:r>
        <w:t xml:space="preserve"> </w:t>
      </w:r>
      <w:r/>
    </w:p>
    <w:p>
      <w:pPr>
        <w:pStyle w:val="855"/>
        <w:ind w:right="1560" w:firstLine="624"/>
        <w:jc w:val="center"/>
        <w:spacing w:beforeAutospacing="0" w:afterAutospacing="0" w:line="360" w:lineRule="auto"/>
        <w:tabs>
          <w:tab w:val="left" w:pos="4864" w:leader="none"/>
        </w:tabs>
      </w:pPr>
      <w:r>
        <w:rPr>
          <w:rFonts w:ascii="仿宋_GB2312" w:eastAsia="仿宋_GB2312" w:cs="仿宋_GB2312"/>
          <w:color w:val="000000"/>
          <w:sz w:val="30"/>
          <w:szCs w:val="30"/>
        </w:rPr>
        <w:t xml:space="preserve">            </w:t>
      </w: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855"/>
        <w:ind w:right="1560" w:firstLine="480"/>
        <w:jc w:val="center"/>
        <w:spacing w:beforeAutospacing="0" w:afterAutospacing="0" w:line="360" w:lineRule="auto"/>
        <w:tabs>
          <w:tab w:val="left" w:pos="4864" w:leader="none"/>
        </w:tabs>
      </w:pPr>
      <w:r>
        <w:rPr>
          <w:rFonts w:hint="eastAsia" w:ascii="宋体" w:hAnsi="宋体" w:eastAsia="宋体" w:cs="宋体"/>
          <w:color w:val="000000"/>
        </w:rPr>
        <w:t xml:space="preserve">        日  期：</w:t>
      </w:r>
      <w:r/>
    </w:p>
    <w:p>
      <w:pPr>
        <w:pStyle w:val="855"/>
        <w:jc w:val="center"/>
        <w:spacing w:beforeAutospacing="0" w:afterAutospacing="0" w:line="0" w:lineRule="atLeast"/>
      </w:pPr>
      <w:r>
        <w:t xml:space="preserve"> </w:t>
      </w:r>
      <w:r/>
    </w:p>
    <w:p>
      <w:pPr>
        <w:pStyle w:val="855"/>
        <w:jc w:val="center"/>
        <w:spacing w:beforeAutospacing="0" w:afterAutospacing="0" w:line="0" w:lineRule="atLeast"/>
      </w:pPr>
      <w:r>
        <w:t xml:space="preserve"> </w:t>
      </w:r>
      <w:r/>
    </w:p>
    <w:p>
      <w:pPr>
        <w:pStyle w:val="855"/>
        <w:jc w:val="center"/>
        <w:spacing w:beforeAutospacing="0" w:afterAutospacing="0" w:line="0" w:lineRule="atLeast"/>
      </w:pPr>
      <w:r>
        <w:t xml:space="preserve"> </w:t>
      </w:r>
      <w:r/>
    </w:p>
    <w:p>
      <w:pPr>
        <w:pStyle w:val="855"/>
        <w:jc w:val="center"/>
        <w:spacing w:beforeAutospacing="0" w:afterAutospacing="0" w:line="0" w:lineRule="atLeast"/>
      </w:pPr>
      <w:r>
        <w:t xml:space="preserve"> </w:t>
      </w:r>
      <w:r/>
    </w:p>
    <w:p>
      <w:pPr>
        <w:pStyle w:val="855"/>
        <w:jc w:val="center"/>
        <w:spacing w:beforeAutospacing="0" w:afterAutospacing="0" w:line="0" w:lineRule="atLeast"/>
      </w:pPr>
      <w:r>
        <w:t xml:space="preserve"> </w:t>
      </w:r>
      <w:r/>
    </w:p>
    <w:p>
      <w:pPr>
        <w:pStyle w:val="855"/>
        <w:jc w:val="center"/>
        <w:spacing w:beforeAutospacing="0" w:afterAutospacing="0" w:line="0" w:lineRule="atLeast"/>
      </w:pPr>
      <w:r>
        <w:t xml:space="preserve"> </w:t>
      </w:r>
      <w:r/>
    </w:p>
    <w:p>
      <w:pPr>
        <w:pStyle w:val="855"/>
        <w:jc w:val="center"/>
        <w:spacing w:beforeAutospacing="0" w:afterAutospacing="0" w:line="0" w:lineRule="atLeast"/>
      </w:pPr>
      <w:r>
        <w:t xml:space="preserve"> </w:t>
      </w:r>
      <w:r/>
    </w:p>
    <w:p>
      <w:pPr>
        <w:pStyle w:val="855"/>
        <w:jc w:val="center"/>
        <w:spacing w:beforeAutospacing="0" w:afterAutospacing="0" w:line="0" w:lineRule="atLeast"/>
      </w:pPr>
      <w:r>
        <w:t xml:space="preserve"> </w:t>
      </w:r>
      <w:r/>
    </w:p>
    <w:p>
      <w:pPr>
        <w:pStyle w:val="855"/>
        <w:jc w:val="center"/>
        <w:spacing w:beforeAutospacing="0" w:afterAutospacing="0" w:line="0" w:lineRule="atLeast"/>
      </w:pPr>
      <w:r/>
      <w:r/>
    </w:p>
    <w:p>
      <w:pPr>
        <w:pStyle w:val="855"/>
        <w:jc w:val="center"/>
        <w:spacing w:beforeAutospacing="0" w:afterAutospacing="0" w:line="0" w:lineRule="atLeast"/>
      </w:pPr>
      <w:r/>
      <w:r/>
    </w:p>
    <w:p>
      <w:pPr>
        <w:pStyle w:val="855"/>
        <w:jc w:val="center"/>
        <w:spacing w:beforeAutospacing="0" w:afterAutospacing="0" w:line="0" w:lineRule="atLeast"/>
      </w:pPr>
      <w:r/>
      <w:r/>
    </w:p>
    <w:p>
      <w:pPr>
        <w:pStyle w:val="855"/>
        <w:jc w:val="center"/>
        <w:spacing w:beforeAutospacing="0" w:afterAutospacing="0" w:line="0" w:lineRule="atLeast"/>
      </w:pPr>
      <w:r/>
      <w:r/>
    </w:p>
    <w:p>
      <w:pPr>
        <w:pStyle w:val="855"/>
        <w:jc w:val="center"/>
        <w:spacing w:beforeAutospacing="0" w:afterAutospacing="0" w:line="0" w:lineRule="atLeast"/>
      </w:pPr>
      <w:r/>
      <w:r/>
    </w:p>
    <w:p>
      <w:pPr>
        <w:pStyle w:val="855"/>
        <w:jc w:val="center"/>
        <w:spacing w:beforeAutospacing="0" w:afterAutospacing="0" w:line="0" w:lineRule="atLeast"/>
      </w:pPr>
      <w:r/>
      <w:r/>
    </w:p>
    <w:p>
      <w:pPr>
        <w:pStyle w:val="855"/>
        <w:jc w:val="center"/>
        <w:spacing w:beforeAutospacing="0" w:afterAutospacing="0" w:line="0" w:lineRule="atLeast"/>
      </w:pPr>
      <w:r/>
      <w:r/>
    </w:p>
    <w:p>
      <w:pPr>
        <w:pStyle w:val="855"/>
        <w:jc w:val="center"/>
        <w:spacing w:beforeAutospacing="0" w:afterAutospacing="0" w:line="0" w:lineRule="atLeast"/>
      </w:pPr>
      <w:r/>
      <w:r/>
    </w:p>
    <w:p>
      <w:pPr>
        <w:pStyle w:val="855"/>
        <w:jc w:val="center"/>
        <w:spacing w:beforeAutospacing="0" w:afterAutospacing="0" w:line="0" w:lineRule="atLeast"/>
      </w:pPr>
      <w:r/>
      <w:r/>
    </w:p>
    <w:p>
      <w:pPr>
        <w:pStyle w:val="855"/>
        <w:jc w:val="center"/>
        <w:spacing w:beforeAutospacing="0" w:afterAutospacing="0" w:line="0" w:lineRule="atLeast"/>
      </w:pPr>
      <w:r/>
      <w:r/>
    </w:p>
    <w:p>
      <w:pPr>
        <w:pStyle w:val="855"/>
        <w:jc w:val="center"/>
        <w:spacing w:beforeAutospacing="0" w:afterAutospacing="0" w:line="0" w:lineRule="atLeast"/>
      </w:pPr>
      <w:r/>
      <w:r/>
    </w:p>
    <w:p>
      <w:pPr>
        <w:pStyle w:val="855"/>
        <w:jc w:val="center"/>
        <w:spacing w:beforeAutospacing="0" w:afterAutospacing="0" w:line="0" w:lineRule="atLeast"/>
      </w:pPr>
      <w:r/>
      <w:r/>
    </w:p>
    <w:p>
      <w:pPr>
        <w:pStyle w:val="855"/>
        <w:jc w:val="center"/>
        <w:spacing w:beforeAutospacing="0" w:afterAutospacing="0" w:line="0" w:lineRule="atLeast"/>
      </w:pPr>
      <w:r>
        <w:t xml:space="preserve"> </w:t>
      </w:r>
      <w:r/>
    </w:p>
    <w:p>
      <w:pPr>
        <w:pStyle w:val="855"/>
        <w:jc w:val="center"/>
        <w:spacing w:beforeAutospacing="0" w:afterAutospacing="0" w:line="0" w:lineRule="atLeast"/>
      </w:pPr>
      <w:r>
        <w:t xml:space="preserve"> </w:t>
      </w:r>
      <w:r/>
    </w:p>
    <w:p>
      <w:pPr>
        <w:pStyle w:val="855"/>
        <w:jc w:val="center"/>
        <w:spacing w:beforeAutospacing="0" w:afterAutospacing="0" w:line="0" w:lineRule="atLeast"/>
      </w:pPr>
      <w:r>
        <w:t xml:space="preserve"> </w:t>
      </w:r>
      <w:r/>
    </w:p>
    <w:p>
      <w:pPr>
        <w:pStyle w:val="855"/>
        <w:jc w:val="center"/>
        <w:spacing w:beforeAutospacing="0" w:afterAutospacing="0" w:line="0" w:lineRule="atLeast"/>
      </w:pPr>
      <w:r>
        <w:t xml:space="preserve"> </w:t>
      </w:r>
      <w:r/>
    </w:p>
    <w:p>
      <w:pPr>
        <w:pStyle w:val="855"/>
        <w:jc w:val="center"/>
        <w:spacing w:beforeAutospacing="0" w:afterAutospacing="0"/>
      </w:pPr>
      <w:r>
        <w:rPr>
          <w:rFonts w:ascii="黑体" w:hAnsi="宋体" w:eastAsia="黑体" w:cs="黑体"/>
          <w:b/>
          <w:bCs/>
          <w:color w:val="ff0000"/>
          <w:sz w:val="32"/>
          <w:szCs w:val="32"/>
        </w:rPr>
        <w:t xml:space="preserve">十</w:t>
      </w:r>
      <w:r>
        <w:rPr>
          <w:rFonts w:hint="eastAsia" w:ascii="黑体" w:hAnsi="宋体" w:eastAsia="黑体" w:cs="黑体"/>
          <w:b/>
          <w:bCs/>
          <w:color w:val="ff0000"/>
          <w:sz w:val="32"/>
          <w:szCs w:val="32"/>
        </w:rPr>
        <w:t xml:space="preserve">二</w:t>
      </w:r>
      <w:r>
        <w:rPr>
          <w:rFonts w:ascii="黑体" w:hAnsi="宋体" w:eastAsia="黑体" w:cs="黑体"/>
          <w:b/>
          <w:bCs/>
          <w:color w:val="ff0000"/>
          <w:sz w:val="32"/>
          <w:szCs w:val="32"/>
        </w:rPr>
        <w:t xml:space="preserve">、</w:t>
      </w:r>
      <w:r>
        <w:rPr>
          <w:rFonts w:ascii="黑体" w:hAnsi="宋体" w:eastAsia="黑体" w:cs="黑体"/>
          <w:b/>
          <w:bCs/>
          <w:color w:val="ff0000"/>
          <w:sz w:val="32"/>
          <w:szCs w:val="32"/>
        </w:rPr>
        <w:t xml:space="preserve"> </w:t>
      </w:r>
      <w:r>
        <w:rPr>
          <w:rFonts w:ascii="黑体" w:hAnsi="宋体" w:eastAsia="黑体" w:cs="黑体"/>
          <w:b/>
          <w:bCs/>
          <w:color w:val="ff0000"/>
          <w:sz w:val="32"/>
          <w:szCs w:val="32"/>
        </w:rPr>
        <w:t xml:space="preserve">关于符合本国产品标准的声明函</w:t>
      </w:r>
      <w:r/>
    </w:p>
    <w:p>
      <w:pPr>
        <w:pStyle w:val="855"/>
        <w:ind w:firstLine="420"/>
        <w:jc w:val="both"/>
        <w:spacing w:beforeAutospacing="0" w:afterAutospacing="0"/>
      </w:pPr>
      <w:r>
        <w:rPr>
          <w:rFonts w:ascii="Arial" w:hAnsi="Arial" w:cs="Arial"/>
          <w:color w:val="ff0000"/>
        </w:rPr>
        <w:t xml:space="preserve"> </w:t>
      </w:r>
      <w:r/>
    </w:p>
    <w:p>
      <w:pPr>
        <w:pStyle w:val="855"/>
        <w:ind w:firstLine="420"/>
        <w:jc w:val="both"/>
        <w:spacing w:beforeAutospacing="0" w:afterAutospacing="0"/>
        <w:rPr>
          <w:b/>
          <w:bCs/>
        </w:rPr>
      </w:pPr>
      <w:r>
        <w:rPr>
          <w:rFonts w:ascii="宋体" w:hAnsi="宋体" w:eastAsia="宋体" w:cs="宋体"/>
          <w:b/>
          <w:bCs/>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5"/>
        <w:ind w:firstLine="420"/>
        <w:jc w:val="both"/>
        <w:spacing w:before="30" w:beforeAutospacing="0" w:after="30" w:afterAutospacing="0"/>
        <w:rPr>
          <w:b/>
          <w:bCs/>
        </w:rPr>
      </w:pPr>
      <w:r>
        <w:rPr>
          <w:rFonts w:ascii="宋体" w:hAnsi="宋体" w:eastAsia="宋体" w:cs="宋体"/>
          <w:b/>
          <w:bCs/>
          <w:color w:val="ff0000"/>
          <w:shd w:val="clear" w:color="auto" w:fill="ffffff"/>
        </w:rPr>
        <w:t xml:space="preserve">1.</w:t>
      </w:r>
      <w:r>
        <w:rPr>
          <w:rFonts w:ascii="宋体" w:hAnsi="宋体" w:eastAsia="宋体" w:cs="宋体"/>
          <w:b/>
          <w:bCs/>
          <w:color w:val="ff0000"/>
          <w:u w:val="single"/>
          <w:shd w:val="clear" w:color="auto" w:fill="ffffff"/>
        </w:rPr>
        <w:t xml:space="preserve">（产品名称1）</w:t>
      </w:r>
      <w:r>
        <w:rPr>
          <w:rFonts w:ascii="宋体" w:hAnsi="宋体" w:eastAsia="宋体" w:cs="宋体"/>
          <w:b/>
          <w:bCs/>
          <w:color w:val="ff0000"/>
          <w:shd w:val="clear" w:color="auto" w:fill="ffffff"/>
          <w:vertAlign w:val="superscript"/>
        </w:rPr>
        <w:t xml:space="preserve">1</w:t>
      </w:r>
      <w:r>
        <w:rPr>
          <w:rFonts w:ascii="宋体" w:hAnsi="宋体" w:eastAsia="宋体" w:cs="宋体"/>
          <w:b/>
          <w:bCs/>
          <w:color w:val="ff0000"/>
          <w:shd w:val="clear" w:color="auto" w:fill="ffffff"/>
        </w:rPr>
        <w:t xml:space="preserve">，生产厂为</w:t>
      </w:r>
      <w:r>
        <w:rPr>
          <w:rFonts w:ascii="宋体" w:hAnsi="宋体" w:eastAsia="宋体" w:cs="宋体"/>
          <w:b/>
          <w:bCs/>
          <w:color w:val="ff0000"/>
          <w:u w:val="single"/>
          <w:shd w:val="clear" w:color="auto" w:fill="ffffff"/>
        </w:rPr>
        <w:t xml:space="preserve">（厂名）</w:t>
      </w:r>
      <w:r>
        <w:rPr>
          <w:rFonts w:ascii="宋体" w:hAnsi="宋体" w:eastAsia="宋体" w:cs="宋体"/>
          <w:b/>
          <w:bCs/>
          <w:color w:val="ff0000"/>
          <w:shd w:val="clear" w:color="auto" w:fill="ffffff"/>
          <w:vertAlign w:val="superscript"/>
        </w:rPr>
        <w:t xml:space="preserve">2</w:t>
      </w:r>
      <w:r>
        <w:rPr>
          <w:rFonts w:ascii="宋体" w:hAnsi="宋体" w:eastAsia="宋体" w:cs="宋体"/>
          <w:b/>
          <w:bCs/>
          <w:color w:val="ff0000"/>
          <w:shd w:val="clear" w:color="auto" w:fill="ffffff"/>
        </w:rPr>
        <w:t xml:space="preserve">，厂址为</w:t>
      </w:r>
      <w:r>
        <w:rPr>
          <w:rFonts w:ascii="宋体" w:hAnsi="宋体" w:eastAsia="宋体" w:cs="宋体"/>
          <w:b/>
          <w:bCs/>
          <w:color w:val="ff0000"/>
          <w:u w:val="single"/>
          <w:shd w:val="clear" w:color="auto" w:fill="ffffff"/>
        </w:rPr>
        <w:t xml:space="preserve">（生产厂址）</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 （产品名称1）</w:t>
      </w:r>
      <w:r>
        <w:rPr>
          <w:rFonts w:ascii="宋体" w:hAnsi="宋体" w:eastAsia="宋体" w:cs="宋体"/>
          <w:b/>
          <w:bCs/>
          <w:color w:val="ff0000"/>
          <w:u w:val="single"/>
          <w:shd w:val="clear" w:color="auto" w:fill="ffffff"/>
        </w:rPr>
        <w:t xml:space="preserve"> </w:t>
      </w:r>
      <w:r>
        <w:rPr>
          <w:rFonts w:ascii="宋体" w:hAnsi="宋体" w:eastAsia="宋体" w:cs="宋体"/>
          <w:b/>
          <w:bCs/>
          <w:color w:val="ff0000"/>
          <w:shd w:val="clear" w:color="auto" w:fill="ffffff"/>
        </w:rPr>
        <w:t xml:space="preserve">的中国境内生产的组件成本占比≥</w:t>
      </w:r>
      <w:r>
        <w:rPr>
          <w:rFonts w:ascii="宋体" w:hAnsi="宋体" w:eastAsia="宋体" w:cs="宋体"/>
          <w:b/>
          <w:bCs/>
          <w:strike/>
          <w:color w:val="ff0000"/>
          <w:u w:val="single"/>
          <w:shd w:val="clear" w:color="auto" w:fill="ffffff"/>
        </w:rPr>
        <w:t xml:space="preserve">（规定比例）</w:t>
      </w:r>
      <w:r>
        <w:rPr>
          <w:rFonts w:ascii="宋体" w:hAnsi="宋体" w:eastAsia="宋体" w:cs="宋体"/>
          <w:b/>
          <w:bCs/>
          <w:strike/>
          <w:color w:val="ff0000"/>
          <w:shd w:val="clear" w:color="auto" w:fill="ffffff"/>
          <w:vertAlign w:val="superscript"/>
        </w:rPr>
        <w:t xml:space="preserve">3</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（产品名称1）</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（关键组件）</w:t>
      </w:r>
      <w:r>
        <w:rPr>
          <w:rFonts w:ascii="宋体" w:hAnsi="宋体" w:eastAsia="宋体" w:cs="宋体"/>
          <w:b/>
          <w:bCs/>
          <w:strike/>
          <w:color w:val="ff0000"/>
          <w:shd w:val="clear" w:color="auto" w:fill="ffffff"/>
          <w:vertAlign w:val="superscript"/>
        </w:rPr>
        <w:t xml:space="preserve">4</w:t>
      </w:r>
      <w:r>
        <w:rPr>
          <w:rFonts w:ascii="宋体" w:hAnsi="宋体" w:eastAsia="宋体" w:cs="宋体"/>
          <w:b/>
          <w:bCs/>
          <w:color w:val="ff0000"/>
          <w:shd w:val="clear" w:color="auto" w:fill="ffffff"/>
        </w:rPr>
        <w:t xml:space="preserve">在中国境内生产。</w:t>
      </w:r>
      <w:r>
        <w:rPr>
          <w:rFonts w:ascii="宋体" w:hAnsi="宋体" w:eastAsia="宋体" w:cs="宋体"/>
          <w:b/>
          <w:bCs/>
          <w:strike/>
          <w:color w:val="ff0000"/>
          <w:u w:val="single"/>
          <w:shd w:val="clear" w:color="auto" w:fill="ffffff"/>
        </w:rPr>
        <w:t xml:space="preserve">（产品名称1）</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（关键工序）</w:t>
      </w:r>
      <w:r>
        <w:rPr>
          <w:rFonts w:ascii="宋体" w:hAnsi="宋体" w:eastAsia="宋体" w:cs="宋体"/>
          <w:b/>
          <w:bCs/>
          <w:strike/>
          <w:color w:val="ff0000"/>
          <w:shd w:val="clear" w:color="auto" w:fill="ffffff"/>
          <w:vertAlign w:val="superscript"/>
        </w:rPr>
        <w:t xml:space="preserve">5</w:t>
      </w:r>
      <w:r>
        <w:rPr>
          <w:rFonts w:ascii="宋体" w:hAnsi="宋体" w:eastAsia="宋体" w:cs="宋体"/>
          <w:b/>
          <w:bCs/>
          <w:color w:val="ff0000"/>
          <w:shd w:val="clear" w:color="auto" w:fill="ffffff"/>
        </w:rPr>
        <w:t xml:space="preserve">在中国境内完成。</w:t>
      </w:r>
      <w:r/>
    </w:p>
    <w:p>
      <w:pPr>
        <w:pStyle w:val="855"/>
        <w:ind w:firstLine="420"/>
        <w:jc w:val="both"/>
        <w:spacing w:before="30" w:beforeAutospacing="0" w:after="30" w:afterAutospacing="0"/>
        <w:rPr>
          <w:b/>
          <w:bCs/>
        </w:rPr>
      </w:pPr>
      <w:r>
        <w:rPr>
          <w:rFonts w:ascii="宋体" w:hAnsi="宋体" w:eastAsia="宋体" w:cs="宋体"/>
          <w:b/>
          <w:bCs/>
          <w:color w:val="ff0000"/>
          <w:shd w:val="clear" w:color="auto" w:fill="ffffff"/>
        </w:rPr>
        <w:t xml:space="preserve">2.</w:t>
      </w:r>
      <w:r>
        <w:rPr>
          <w:rFonts w:ascii="宋体" w:hAnsi="宋体" w:eastAsia="宋体" w:cs="宋体"/>
          <w:b/>
          <w:bCs/>
          <w:color w:val="ff0000"/>
          <w:u w:val="single"/>
          <w:shd w:val="clear" w:color="auto" w:fill="ffffff"/>
        </w:rPr>
        <w:t xml:space="preserve">（产品名称2）</w:t>
      </w:r>
      <w:r>
        <w:rPr>
          <w:rFonts w:ascii="宋体" w:hAnsi="宋体" w:eastAsia="宋体" w:cs="宋体"/>
          <w:b/>
          <w:bCs/>
          <w:color w:val="ff0000"/>
          <w:shd w:val="clear" w:color="auto" w:fill="ffffff"/>
        </w:rPr>
        <w:t xml:space="preserve">，生产厂为</w:t>
      </w:r>
      <w:r>
        <w:rPr>
          <w:rFonts w:ascii="宋体" w:hAnsi="宋体" w:eastAsia="宋体" w:cs="宋体"/>
          <w:b/>
          <w:bCs/>
          <w:color w:val="ff0000"/>
          <w:u w:val="single"/>
          <w:shd w:val="clear" w:color="auto" w:fill="ffffff"/>
        </w:rPr>
        <w:t xml:space="preserve">（厂名）</w:t>
      </w:r>
      <w:r>
        <w:rPr>
          <w:rFonts w:ascii="宋体" w:hAnsi="宋体" w:eastAsia="宋体" w:cs="宋体"/>
          <w:b/>
          <w:bCs/>
          <w:color w:val="ff0000"/>
          <w:shd w:val="clear" w:color="auto" w:fill="ffffff"/>
        </w:rPr>
        <w:t xml:space="preserve">，厂址为</w:t>
      </w:r>
      <w:r>
        <w:rPr>
          <w:rFonts w:ascii="宋体" w:hAnsi="宋体" w:eastAsia="宋体" w:cs="宋体"/>
          <w:b/>
          <w:bCs/>
          <w:color w:val="ff0000"/>
          <w:u w:val="single"/>
          <w:shd w:val="clear" w:color="auto" w:fill="ffffff"/>
        </w:rPr>
        <w:t xml:space="preserve">（生产厂址）</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（产品名称2）</w:t>
      </w:r>
      <w:r>
        <w:rPr>
          <w:rFonts w:ascii="宋体" w:hAnsi="宋体" w:eastAsia="宋体" w:cs="宋体"/>
          <w:b/>
          <w:bCs/>
          <w:color w:val="ff0000"/>
          <w:shd w:val="clear" w:color="auto" w:fill="ffffff"/>
        </w:rPr>
        <w:t xml:space="preserve">的中国境内生产的组件成本占比≥</w:t>
      </w:r>
      <w:r>
        <w:rPr>
          <w:rFonts w:ascii="宋体" w:hAnsi="宋体" w:eastAsia="宋体" w:cs="宋体"/>
          <w:b/>
          <w:bCs/>
          <w:strike/>
          <w:color w:val="ff0000"/>
          <w:u w:val="single"/>
          <w:shd w:val="clear" w:color="auto" w:fill="ffffff"/>
        </w:rPr>
        <w:t xml:space="preserve">（规定比例）</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（产品名称2）</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（关键组件）</w:t>
      </w:r>
      <w:r>
        <w:rPr>
          <w:rFonts w:ascii="宋体" w:hAnsi="宋体" w:eastAsia="宋体" w:cs="宋体"/>
          <w:b/>
          <w:bCs/>
          <w:color w:val="ff0000"/>
          <w:shd w:val="clear" w:color="auto" w:fill="ffffff"/>
        </w:rPr>
        <w:t xml:space="preserve">在中国境内生产。</w:t>
      </w:r>
      <w:r>
        <w:rPr>
          <w:rFonts w:ascii="宋体" w:hAnsi="宋体" w:eastAsia="宋体" w:cs="宋体"/>
          <w:b/>
          <w:bCs/>
          <w:strike/>
          <w:color w:val="ff0000"/>
          <w:u w:val="single"/>
          <w:shd w:val="clear" w:color="auto" w:fill="ffffff"/>
        </w:rPr>
        <w:t xml:space="preserve">（产品名称1）</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（关键工序）</w:t>
      </w:r>
      <w:r>
        <w:rPr>
          <w:rFonts w:ascii="宋体" w:hAnsi="宋体" w:eastAsia="宋体" w:cs="宋体"/>
          <w:b/>
          <w:bCs/>
          <w:color w:val="ff0000"/>
          <w:shd w:val="clear" w:color="auto" w:fill="ffffff"/>
        </w:rPr>
        <w:t xml:space="preserve">在中国境内完成。</w:t>
      </w:r>
      <w:r/>
    </w:p>
    <w:p>
      <w:pPr>
        <w:pStyle w:val="855"/>
        <w:ind w:firstLine="420"/>
        <w:jc w:val="both"/>
        <w:spacing w:before="30" w:beforeAutospacing="0" w:after="30" w:afterAutospacing="0"/>
        <w:rPr>
          <w:b/>
          <w:bCs/>
        </w:rPr>
      </w:pPr>
      <w:r>
        <w:rPr>
          <w:rFonts w:ascii="宋体" w:hAnsi="宋体" w:eastAsia="宋体" w:cs="宋体"/>
          <w:b/>
          <w:bCs/>
          <w:color w:val="ff0000"/>
          <w:shd w:val="clear" w:color="auto" w:fill="ffffff"/>
        </w:rPr>
        <w:t xml:space="preserve">……</w:t>
      </w:r>
      <w:r/>
    </w:p>
    <w:p>
      <w:pPr>
        <w:pStyle w:val="855"/>
        <w:ind w:firstLine="420"/>
        <w:jc w:val="both"/>
        <w:spacing w:before="30" w:beforeAutospacing="0" w:after="30" w:afterAutospacing="0"/>
        <w:rPr>
          <w:b/>
          <w:bCs/>
        </w:rPr>
      </w:pPr>
      <w:r>
        <w:rPr>
          <w:rFonts w:ascii="宋体" w:hAnsi="宋体" w:eastAsia="宋体" w:cs="宋体"/>
          <w:b/>
          <w:bCs/>
          <w:color w:val="ff0000"/>
          <w:shd w:val="clear" w:color="auto" w:fill="ffffff"/>
        </w:rPr>
        <w:t xml:space="preserve">本公司（单位）对上述声明内容的真实性负责。如有虚假，愿承担相应法律责任。</w:t>
      </w:r>
      <w:r/>
    </w:p>
    <w:p>
      <w:pPr>
        <w:pStyle w:val="855"/>
        <w:jc w:val="both"/>
        <w:spacing w:before="30" w:beforeAutospacing="0" w:after="30" w:afterAutospacing="0"/>
        <w:rPr>
          <w:b/>
          <w:bCs/>
        </w:rPr>
      </w:pPr>
      <w:r>
        <w:rPr>
          <w:rFonts w:ascii="宋体" w:hAnsi="宋体" w:eastAsia="宋体" w:cs="宋体"/>
          <w:b/>
          <w:bCs/>
          <w:color w:val="ff0000"/>
        </w:rPr>
        <w:t xml:space="preserve"> </w:t>
      </w:r>
      <w:r/>
    </w:p>
    <w:p>
      <w:pPr>
        <w:pStyle w:val="855"/>
        <w:ind w:right="480" w:firstLine="3720"/>
        <w:jc w:val="both"/>
        <w:spacing w:before="30" w:beforeAutospacing="0" w:after="30" w:afterAutospacing="0"/>
        <w:rPr>
          <w:b/>
          <w:bCs/>
        </w:rPr>
      </w:pPr>
      <w:r>
        <w:rPr>
          <w:rFonts w:ascii="宋体" w:hAnsi="宋体" w:eastAsia="宋体" w:cs="宋体"/>
          <w:b/>
          <w:bCs/>
          <w:color w:val="ff0000"/>
          <w:shd w:val="clear" w:color="auto" w:fill="ffffff"/>
        </w:rPr>
        <w:t xml:space="preserve">公司（单位）名称（盖章）：　</w:t>
      </w:r>
      <w:r/>
    </w:p>
    <w:p>
      <w:pPr>
        <w:pStyle w:val="855"/>
        <w:jc w:val="center"/>
        <w:spacing w:before="30" w:beforeAutospacing="0" w:after="30" w:afterAutospacing="0"/>
        <w:rPr>
          <w:b/>
          <w:bCs/>
        </w:rPr>
      </w:pPr>
      <w:r>
        <w:rPr>
          <w:rFonts w:ascii="宋体" w:hAnsi="宋体" w:eastAsia="宋体" w:cs="宋体"/>
          <w:b/>
          <w:bCs/>
          <w:color w:val="ff0000"/>
          <w:shd w:val="clear" w:color="auto" w:fill="ffffff"/>
        </w:rPr>
        <w:t xml:space="preserve">                                日期：　   年　  月　  日         </w:t>
      </w:r>
      <w:r/>
    </w:p>
    <w:p>
      <w:pPr>
        <w:pStyle w:val="855"/>
        <w:jc w:val="both"/>
        <w:spacing w:before="30" w:beforeAutospacing="0" w:after="30" w:afterAutospacing="0"/>
        <w:rPr>
          <w:b/>
          <w:bCs/>
        </w:rPr>
      </w:pPr>
      <w:r>
        <w:rPr>
          <w:rFonts w:ascii="宋体" w:hAnsi="宋体" w:eastAsia="宋体" w:cs="宋体"/>
          <w:b/>
          <w:bCs/>
          <w:color w:val="ff0000"/>
          <w:shd w:val="clear" w:color="auto" w:fill="ffffff"/>
        </w:rPr>
        <w:t xml:space="preserve">__________________</w:t>
      </w:r>
      <w:r/>
    </w:p>
    <w:p>
      <w:pPr>
        <w:pStyle w:val="855"/>
        <w:jc w:val="both"/>
        <w:spacing w:before="30" w:beforeAutospacing="0" w:after="30" w:afterAutospacing="0"/>
        <w:rPr>
          <w:b/>
          <w:bCs/>
        </w:rPr>
      </w:pPr>
      <w:r>
        <w:rPr>
          <w:rFonts w:ascii="宋体" w:hAnsi="宋体" w:eastAsia="宋体" w:cs="宋体"/>
          <w:b/>
          <w:bCs/>
          <w:color w:val="ff0000"/>
          <w:shd w:val="clear" w:color="auto" w:fill="ffffff"/>
        </w:rPr>
        <w:t xml:space="preserve">1.产品如有型号，请在“产品名称”栏一并填写。</w:t>
      </w:r>
      <w:r/>
    </w:p>
    <w:p>
      <w:pPr>
        <w:pStyle w:val="855"/>
        <w:jc w:val="both"/>
        <w:spacing w:before="30" w:beforeAutospacing="0" w:after="30" w:afterAutospacing="0"/>
        <w:rPr>
          <w:b/>
          <w:bCs/>
        </w:rPr>
      </w:pPr>
      <w:r>
        <w:rPr>
          <w:rFonts w:ascii="宋体" w:hAnsi="宋体" w:eastAsia="宋体" w:cs="宋体"/>
          <w:b/>
          <w:bCs/>
          <w:color w:val="ff0000"/>
          <w:shd w:val="clear" w:color="auto" w:fill="ffffff"/>
        </w:rPr>
        <w:t xml:space="preserve">2.生产厂名与厂址应与生产厂营业执照载明的相关信息保持一致。</w:t>
      </w:r>
      <w:r/>
    </w:p>
    <w:p>
      <w:pPr>
        <w:pStyle w:val="855"/>
        <w:jc w:val="both"/>
        <w:spacing w:before="30" w:beforeAutospacing="0" w:after="30" w:afterAutospacing="0"/>
        <w:rPr>
          <w:b/>
          <w:bCs/>
        </w:rPr>
      </w:pPr>
      <w:r>
        <w:rPr>
          <w:rFonts w:ascii="宋体" w:hAnsi="宋体" w:eastAsia="宋体" w:cs="宋体"/>
          <w:b/>
          <w:bCs/>
          <w:color w:val="ff0000"/>
          <w:shd w:val="clear" w:color="auto" w:fill="ffffff"/>
        </w:rPr>
        <w:t xml:space="preserve">3.该产品的中国境内生产的组件成本占比相关要求实施前，“规定比例”栏可不填，下同。</w:t>
      </w:r>
      <w:r/>
    </w:p>
    <w:p>
      <w:pPr>
        <w:pStyle w:val="855"/>
        <w:jc w:val="both"/>
        <w:spacing w:before="30" w:beforeAutospacing="0" w:after="30" w:afterAutospacing="0"/>
        <w:rPr>
          <w:b/>
          <w:bCs/>
        </w:rPr>
      </w:pPr>
      <w:r>
        <w:rPr>
          <w:rFonts w:ascii="宋体" w:hAnsi="宋体" w:eastAsia="宋体" w:cs="宋体"/>
          <w:b/>
          <w:bCs/>
          <w:color w:val="ff0000"/>
          <w:shd w:val="clear" w:color="auto" w:fill="ffffff"/>
        </w:rPr>
        <w:t xml:space="preserve">4.该产品的关键组件要求实施前，“关键组件”栏可不填，下同。</w:t>
      </w:r>
      <w:r/>
    </w:p>
    <w:p>
      <w:pPr>
        <w:pStyle w:val="855"/>
        <w:jc w:val="both"/>
        <w:spacing w:before="30" w:beforeAutospacing="0" w:after="30" w:afterAutospacing="0"/>
        <w:rPr>
          <w:rFonts w:hint="eastAsia" w:ascii="宋体" w:hAnsi="宋体" w:eastAsia="宋体" w:cs="宋体"/>
          <w:b/>
          <w:bCs/>
          <w:color w:val="ff0000"/>
          <w:shd w:val="clear" w:color="auto" w:fill="ffffff"/>
        </w:rPr>
      </w:pPr>
      <w:r>
        <w:rPr>
          <w:rFonts w:ascii="宋体" w:hAnsi="宋体" w:eastAsia="宋体" w:cs="宋体"/>
          <w:b/>
          <w:bCs/>
          <w:color w:val="ff0000"/>
          <w:shd w:val="clear" w:color="auto" w:fill="ffffff"/>
        </w:rPr>
        <w:t xml:space="preserve">5.该产品的关键工序要求实施前，“关键工序”栏可不填，下同。</w:t>
      </w:r>
      <w:r/>
    </w:p>
    <w:p>
      <w:pPr>
        <w:pStyle w:val="855"/>
        <w:jc w:val="both"/>
        <w:spacing w:before="30" w:beforeAutospacing="0" w:after="30" w:afterAutospacing="0"/>
        <w:rPr>
          <w:rFonts w:hint="eastAsia" w:ascii="宋体" w:hAnsi="宋体" w:eastAsia="宋体" w:cs="宋体"/>
          <w:b/>
          <w:bCs/>
          <w:color w:val="ff0000"/>
          <w:shd w:val="clear" w:color="auto" w:fill="ffffff"/>
        </w:rPr>
      </w:pPr>
      <w:r>
        <w:rPr>
          <w:rFonts w:ascii="宋体" w:hAnsi="宋体" w:eastAsia="宋体" w:cs="宋体"/>
          <w:b/>
          <w:bCs/>
          <w:color w:val="ff0000"/>
          <w:shd w:val="clear" w:color="auto" w:fill="ffffff"/>
        </w:rPr>
        <w:t xml:space="preserve">6.用</w:t>
      </w:r>
      <w:r>
        <w:rPr>
          <w:rFonts w:hint="eastAsia" w:ascii="宋体" w:hAnsi="宋体" w:eastAsia="宋体" w:cs="宋体"/>
          <w:b/>
          <w:bCs/>
          <w:color w:val="ff0000"/>
          <w:shd w:val="clear" w:color="auto" w:fill="ffffff"/>
        </w:rPr>
        <w:t xml:space="preserve">横</w:t>
      </w:r>
      <w:r>
        <w:rPr>
          <w:rFonts w:ascii="宋体" w:hAnsi="宋体" w:eastAsia="宋体" w:cs="宋体"/>
          <w:b/>
          <w:bCs/>
          <w:color w:val="ff0000"/>
          <w:shd w:val="clear" w:color="auto" w:fill="ffffff"/>
        </w:rPr>
        <w:t xml:space="preserve">线划除的地方无需填写。</w:t>
      </w:r>
      <w:r/>
    </w:p>
    <w:p>
      <w:pPr>
        <w:pStyle w:val="855"/>
        <w:jc w:val="both"/>
        <w:spacing w:before="30" w:beforeAutospacing="0" w:after="30" w:afterAutospacing="0"/>
        <w:rPr>
          <w:rFonts w:hint="eastAsia" w:ascii="宋体" w:hAnsi="宋体" w:eastAsia="宋体" w:cs="宋体"/>
          <w:b/>
          <w:bCs/>
          <w:color w:val="ff0000"/>
        </w:rPr>
      </w:pPr>
      <w:r>
        <w:rPr>
          <w:rFonts w:hint="eastAsia" w:ascii="宋体" w:hAnsi="宋体" w:eastAsia="宋体" w:cs="宋体"/>
          <w:b/>
          <w:bCs/>
          <w:color w:val="ff0000"/>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u w:val="single"/>
        </w:rPr>
        <w:t xml:space="preserve">故，如供应商所提供产品为本国产品的，应当对其提供的产品出具《关于符合本国产品标准的声明函》（以下简称《声明函》），不出具《声明函》的，不享受政府采购对本国产品的支持政策。</w:t>
      </w:r>
      <w:r/>
    </w:p>
    <w:p>
      <w:pPr>
        <w:pStyle w:val="855"/>
        <w:jc w:val="both"/>
        <w:spacing w:before="30" w:beforeAutospacing="0" w:after="30" w:afterAutospacing="0"/>
        <w:rPr>
          <w:rFonts w:hint="eastAsia" w:ascii="宋体" w:hAnsi="宋体" w:eastAsia="宋体" w:cs="宋体"/>
          <w:b/>
          <w:bCs/>
          <w:color w:val="ff0000"/>
          <w:shd w:val="clear" w:color="auto" w:fill="ffffff"/>
        </w:rPr>
      </w:pPr>
      <w:r>
        <w:rPr>
          <w:rFonts w:hint="eastAsia" w:ascii="宋体" w:hAnsi="宋体" w:eastAsia="宋体" w:cs="宋体"/>
          <w:b/>
          <w:bCs/>
          <w:color w:val="ff0000"/>
          <w:shd w:val="clear" w:color="auto" w:fill="ffffff"/>
        </w:rPr>
      </w:r>
      <w:r/>
    </w:p>
    <w:p>
      <w:pPr>
        <w:jc w:val="center"/>
        <w:rPr>
          <w:rFonts w:asciiTheme="minorEastAsia" w:hAnsiTheme="minorEastAsia" w:cstheme="minorEastAsia"/>
          <w:b/>
          <w:bCs/>
          <w:color w:val="000000"/>
          <w:sz w:val="24"/>
        </w:rPr>
      </w:pPr>
      <w:r>
        <w:rPr>
          <w:rFonts w:asciiTheme="minorEastAsia" w:hAnsiTheme="minorEastAsia" w:cstheme="minorEastAsia"/>
          <w:b/>
          <w:bCs/>
          <w:color w:val="000000"/>
          <w:sz w:val="24"/>
        </w:rPr>
      </w:r>
      <w:r/>
    </w:p>
    <w:p>
      <w:pPr>
        <w:spacing w:line="241" w:lineRule="auto"/>
        <w:rPr>
          <w:rFonts w:ascii="Arial"/>
          <w:b/>
          <w:bCs/>
        </w:rPr>
      </w:pPr>
      <w:r>
        <w:rPr>
          <w:rFonts w:ascii="Arial"/>
          <w:b/>
          <w:bCs/>
        </w:rPr>
      </w:r>
      <w:r/>
    </w:p>
    <w:p>
      <w:pPr>
        <w:spacing w:line="241" w:lineRule="auto"/>
        <w:rPr>
          <w:rFonts w:ascii="Arial"/>
          <w:b/>
          <w:bCs/>
        </w:rPr>
      </w:pPr>
      <w:r>
        <w:rPr>
          <w:rFonts w:ascii="Arial"/>
          <w:b/>
          <w:bCs/>
        </w:rPr>
      </w:r>
      <w:r/>
    </w:p>
    <w:p>
      <w:pPr>
        <w:pStyle w:val="855"/>
        <w:jc w:val="center"/>
        <w:spacing w:beforeAutospacing="0" w:afterAutospacing="0" w:line="0" w:lineRule="atLeast"/>
        <w:rPr>
          <w:b/>
          <w:bCs/>
        </w:rPr>
      </w:pPr>
      <w:r>
        <w:rPr>
          <w:b/>
          <w:bCs/>
        </w:rPr>
        <w:t xml:space="preserve"> </w:t>
      </w:r>
      <w:r/>
    </w:p>
    <w:p>
      <w:pPr>
        <w:pStyle w:val="855"/>
        <w:jc w:val="center"/>
        <w:spacing w:beforeAutospacing="0" w:afterAutospacing="0" w:line="0" w:lineRule="atLeast"/>
        <w:rPr>
          <w:b/>
          <w:bCs/>
        </w:rPr>
      </w:pPr>
      <w:r>
        <w:rPr>
          <w:b/>
          <w:bCs/>
        </w:rPr>
      </w:r>
      <w:r/>
    </w:p>
    <w:p>
      <w:pPr>
        <w:pStyle w:val="855"/>
        <w:jc w:val="center"/>
        <w:spacing w:beforeAutospacing="0" w:afterAutospacing="0" w:line="0" w:lineRule="atLeast"/>
      </w:pPr>
      <w:r/>
      <w:r/>
    </w:p>
    <w:p>
      <w:pPr>
        <w:rPr>
          <w:rFonts w:hint="eastAsia" w:ascii="黑体" w:hAnsi="宋体" w:eastAsia="黑体" w:cs="黑体"/>
          <w:b/>
          <w:color w:val="000000"/>
          <w:sz w:val="32"/>
          <w:szCs w:val="32"/>
        </w:rPr>
      </w:pPr>
      <w:r>
        <w:rPr>
          <w:rFonts w:hint="eastAsia" w:ascii="黑体" w:hAnsi="宋体" w:eastAsia="黑体" w:cs="黑体"/>
          <w:b/>
          <w:color w:val="000000"/>
          <w:sz w:val="32"/>
          <w:szCs w:val="32"/>
        </w:rPr>
        <w:br w:type="page" w:clear="all"/>
      </w:r>
      <w:r/>
    </w:p>
    <w:p>
      <w:pPr>
        <w:pStyle w:val="855"/>
        <w:ind w:firstLine="758"/>
        <w:jc w:val="center"/>
        <w:spacing w:beforeAutospacing="0" w:afterAutospacing="0"/>
        <w:rPr>
          <w:rFonts w:hint="eastAsia" w:ascii="黑体" w:hAnsi="宋体" w:eastAsia="黑体" w:cs="黑体"/>
          <w:b/>
          <w:color w:val="000000"/>
          <w:sz w:val="32"/>
          <w:szCs w:val="32"/>
        </w:rPr>
      </w:pPr>
      <w:r>
        <w:rPr>
          <w:rFonts w:hint="eastAsia" w:ascii="黑体" w:hAnsi="宋体" w:eastAsia="黑体" w:cs="黑体"/>
          <w:b/>
          <w:color w:val="000000"/>
          <w:sz w:val="32"/>
          <w:szCs w:val="32"/>
        </w:rPr>
        <w:t xml:space="preserve">十三、投标分项报价表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88"/>
        <w:gridCol w:w="2268"/>
        <w:gridCol w:w="993"/>
        <w:gridCol w:w="1134"/>
        <w:gridCol w:w="1275"/>
        <w:gridCol w:w="1434"/>
      </w:tblGrid>
      <w:tr>
        <w:trPr>
          <w:jc w:val="center"/>
          <w:trHeight w:val="442"/>
        </w:trPr>
        <w:tc>
          <w:tcPr>
            <w:tcW w:w="688" w:type="dxa"/>
            <w:vAlign w:val="center"/>
            <w:textDirection w:val="lrTb"/>
            <w:noWrap w:val="false"/>
          </w:tcPr>
          <w:p>
            <w:pPr>
              <w:jc w:val="center"/>
              <w:rPr>
                <w:rFonts w:hAnsi="宋体"/>
                <w:bCs/>
                <w:szCs w:val="21"/>
              </w:rPr>
            </w:pPr>
            <w:r>
              <w:rPr>
                <w:rFonts w:hint="eastAsia" w:hAnsi="宋体"/>
                <w:bCs/>
                <w:szCs w:val="21"/>
              </w:rPr>
              <w:t xml:space="preserve">序号</w:t>
            </w:r>
            <w:r/>
          </w:p>
        </w:tc>
        <w:tc>
          <w:tcPr>
            <w:tcW w:w="2268" w:type="dxa"/>
            <w:vAlign w:val="center"/>
            <w:textDirection w:val="lrTb"/>
            <w:noWrap w:val="false"/>
          </w:tcPr>
          <w:p>
            <w:pPr>
              <w:jc w:val="center"/>
              <w:rPr>
                <w:rFonts w:hAnsi="宋体"/>
                <w:bCs/>
                <w:szCs w:val="21"/>
              </w:rPr>
            </w:pPr>
            <w:r>
              <w:rPr>
                <w:rFonts w:hint="eastAsia" w:hAnsi="宋体"/>
                <w:bCs/>
                <w:szCs w:val="21"/>
              </w:rPr>
              <w:t xml:space="preserve">费用明细</w:t>
            </w:r>
            <w:r/>
          </w:p>
        </w:tc>
        <w:tc>
          <w:tcPr>
            <w:tcW w:w="993" w:type="dxa"/>
            <w:vAlign w:val="center"/>
            <w:textDirection w:val="lrTb"/>
            <w:noWrap w:val="false"/>
          </w:tcPr>
          <w:p>
            <w:pPr>
              <w:jc w:val="center"/>
              <w:rPr>
                <w:rFonts w:hAnsi="宋体"/>
                <w:bCs/>
                <w:szCs w:val="21"/>
              </w:rPr>
            </w:pPr>
            <w:r>
              <w:rPr>
                <w:rFonts w:hAnsi="宋体"/>
                <w:bCs/>
                <w:szCs w:val="21"/>
              </w:rPr>
              <w:t xml:space="preserve">单位</w:t>
            </w:r>
            <w:r/>
          </w:p>
        </w:tc>
        <w:tc>
          <w:tcPr>
            <w:tcW w:w="1134" w:type="dxa"/>
            <w:vAlign w:val="center"/>
            <w:textDirection w:val="lrTb"/>
            <w:noWrap w:val="false"/>
          </w:tcPr>
          <w:p>
            <w:pPr>
              <w:jc w:val="center"/>
              <w:rPr>
                <w:rFonts w:hAnsi="宋体"/>
                <w:bCs/>
                <w:szCs w:val="21"/>
              </w:rPr>
            </w:pPr>
            <w:r>
              <w:rPr>
                <w:rFonts w:hAnsi="宋体"/>
                <w:bCs/>
                <w:szCs w:val="21"/>
              </w:rPr>
              <w:t xml:space="preserve">数量</w:t>
            </w:r>
            <w:r/>
          </w:p>
        </w:tc>
        <w:tc>
          <w:tcPr>
            <w:tcW w:w="1275" w:type="dxa"/>
            <w:vAlign w:val="center"/>
            <w:textDirection w:val="lrTb"/>
            <w:noWrap w:val="false"/>
          </w:tcPr>
          <w:p>
            <w:pPr>
              <w:jc w:val="center"/>
              <w:rPr>
                <w:rFonts w:hAnsi="宋体"/>
                <w:bCs/>
                <w:szCs w:val="21"/>
              </w:rPr>
            </w:pPr>
            <w:r>
              <w:rPr>
                <w:rFonts w:hint="eastAsia" w:hAnsi="宋体"/>
                <w:bCs/>
                <w:szCs w:val="21"/>
              </w:rPr>
              <w:t xml:space="preserve">总价</w:t>
            </w:r>
            <w:r/>
          </w:p>
        </w:tc>
        <w:tc>
          <w:tcPr>
            <w:tcW w:w="1434" w:type="dxa"/>
            <w:vAlign w:val="center"/>
            <w:textDirection w:val="lrTb"/>
            <w:noWrap w:val="false"/>
          </w:tcPr>
          <w:p>
            <w:pPr>
              <w:jc w:val="center"/>
              <w:rPr>
                <w:rFonts w:hAnsi="宋体"/>
                <w:bCs/>
                <w:szCs w:val="21"/>
              </w:rPr>
            </w:pPr>
            <w:r>
              <w:rPr>
                <w:rFonts w:hint="eastAsia" w:hAnsi="宋体"/>
                <w:bCs/>
                <w:szCs w:val="21"/>
              </w:rPr>
              <w:t xml:space="preserve">备注</w:t>
            </w:r>
            <w:r/>
          </w:p>
        </w:tc>
      </w:tr>
      <w:tr>
        <w:trPr>
          <w:jc w:val="center"/>
          <w:trHeight w:val="455"/>
        </w:trPr>
        <w:tc>
          <w:tcPr>
            <w:tcW w:w="688" w:type="dxa"/>
            <w:vAlign w:val="center"/>
            <w:textDirection w:val="lrTb"/>
            <w:noWrap w:val="false"/>
          </w:tcPr>
          <w:p>
            <w:pPr>
              <w:jc w:val="center"/>
              <w:rPr>
                <w:rFonts w:hAnsi="宋体"/>
                <w:bCs/>
                <w:szCs w:val="21"/>
              </w:rPr>
            </w:pPr>
            <w:r>
              <w:rPr>
                <w:rFonts w:hint="eastAsia" w:hAnsi="宋体"/>
                <w:bCs/>
                <w:szCs w:val="21"/>
              </w:rPr>
              <w:t xml:space="preserve">1</w:t>
            </w:r>
            <w:r/>
          </w:p>
        </w:tc>
        <w:tc>
          <w:tcPr>
            <w:tcW w:w="2268" w:type="dxa"/>
            <w:vAlign w:val="center"/>
            <w:textDirection w:val="lrTb"/>
            <w:noWrap w:val="false"/>
          </w:tcPr>
          <w:p>
            <w:pPr>
              <w:jc w:val="center"/>
              <w:rPr>
                <w:rFonts w:hAnsi="宋体"/>
                <w:bCs/>
                <w:szCs w:val="21"/>
              </w:rPr>
            </w:pPr>
            <w:r>
              <w:rPr>
                <w:rFonts w:hint="eastAsia" w:hAnsi="宋体"/>
                <w:bCs/>
                <w:szCs w:val="21"/>
              </w:rPr>
              <w:t xml:space="preserve">入口费用</w:t>
            </w:r>
            <w:r/>
          </w:p>
        </w:tc>
        <w:tc>
          <w:tcPr>
            <w:tcW w:w="993" w:type="dxa"/>
            <w:vAlign w:val="center"/>
            <w:textDirection w:val="lrTb"/>
            <w:noWrap w:val="false"/>
          </w:tcPr>
          <w:p>
            <w:pPr>
              <w:jc w:val="center"/>
              <w:rPr>
                <w:rFonts w:hAnsi="宋体"/>
                <w:bCs/>
                <w:szCs w:val="21"/>
              </w:rPr>
            </w:pPr>
            <w:r>
              <w:rPr>
                <w:rFonts w:hint="eastAsia" w:hAnsi="宋体"/>
                <w:bCs/>
                <w:szCs w:val="21"/>
              </w:rPr>
              <w:t xml:space="preserve">份</w:t>
            </w:r>
            <w:r>
              <w:rPr>
                <w:rFonts w:hint="eastAsia" w:hAnsi="宋体"/>
                <w:bCs/>
                <w:szCs w:val="21"/>
              </w:rPr>
              <w:t xml:space="preserve"> </w:t>
            </w:r>
            <w:r/>
          </w:p>
        </w:tc>
        <w:tc>
          <w:tcPr>
            <w:tcW w:w="1134" w:type="dxa"/>
            <w:vAlign w:val="center"/>
            <w:textDirection w:val="lrTb"/>
            <w:noWrap w:val="false"/>
          </w:tcPr>
          <w:p>
            <w:pPr>
              <w:jc w:val="center"/>
              <w:rPr>
                <w:rFonts w:hAnsi="宋体"/>
                <w:bCs/>
                <w:szCs w:val="21"/>
              </w:rPr>
            </w:pPr>
            <w:r>
              <w:rPr>
                <w:rFonts w:hAnsi="宋体"/>
                <w:bCs/>
                <w:szCs w:val="21"/>
              </w:rPr>
              <w:t xml:space="preserve">460400</w:t>
            </w:r>
            <w:r/>
          </w:p>
        </w:tc>
        <w:tc>
          <w:tcPr>
            <w:tcW w:w="1275" w:type="dxa"/>
            <w:vAlign w:val="center"/>
            <w:textDirection w:val="lrTb"/>
            <w:noWrap w:val="false"/>
          </w:tcPr>
          <w:p>
            <w:pPr>
              <w:jc w:val="center"/>
              <w:rPr>
                <w:rFonts w:hAnsi="宋体"/>
                <w:bCs/>
                <w:szCs w:val="21"/>
              </w:rPr>
            </w:pPr>
            <w:r>
              <w:rPr>
                <w:rFonts w:hAnsi="宋体"/>
                <w:bCs/>
                <w:szCs w:val="21"/>
              </w:rPr>
            </w:r>
            <w:r/>
          </w:p>
        </w:tc>
        <w:tc>
          <w:tcPr>
            <w:tcW w:w="1434" w:type="dxa"/>
            <w:vAlign w:val="center"/>
            <w:textDirection w:val="lrTb"/>
            <w:noWrap w:val="false"/>
          </w:tcPr>
          <w:p>
            <w:pPr>
              <w:jc w:val="center"/>
              <w:rPr>
                <w:rFonts w:hAnsi="宋体"/>
                <w:bCs/>
                <w:szCs w:val="21"/>
              </w:rPr>
            </w:pPr>
            <w:r>
              <w:rPr>
                <w:rFonts w:hint="eastAsia" w:hAnsi="宋体"/>
                <w:bCs/>
                <w:szCs w:val="21"/>
              </w:rPr>
              <w:t xml:space="preserve">不得低于入口率</w:t>
            </w:r>
            <w:r>
              <w:rPr>
                <w:rFonts w:hint="eastAsia" w:hAnsi="宋体"/>
                <w:bCs/>
                <w:szCs w:val="21"/>
              </w:rPr>
              <w:t xml:space="preserve">75%</w:t>
            </w:r>
            <w:r>
              <w:rPr>
                <w:rFonts w:hint="eastAsia" w:hAnsi="宋体"/>
                <w:bCs/>
                <w:szCs w:val="21"/>
              </w:rPr>
              <w:t xml:space="preserve">，即每份不得低于</w:t>
            </w:r>
            <w:r>
              <w:rPr>
                <w:rFonts w:hAnsi="宋体"/>
                <w:bCs/>
                <w:szCs w:val="21"/>
              </w:rPr>
              <w:t xml:space="preserve">7.5</w:t>
            </w:r>
            <w:r>
              <w:rPr>
                <w:rFonts w:hint="eastAsia" w:hAnsi="宋体"/>
                <w:bCs/>
                <w:szCs w:val="21"/>
              </w:rPr>
              <w:t xml:space="preserve">元。</w:t>
            </w:r>
            <w:r/>
          </w:p>
        </w:tc>
      </w:tr>
      <w:tr>
        <w:trPr>
          <w:jc w:val="center"/>
          <w:trHeight w:val="455"/>
        </w:trPr>
        <w:tc>
          <w:tcPr>
            <w:tcW w:w="688" w:type="dxa"/>
            <w:vAlign w:val="center"/>
            <w:textDirection w:val="lrTb"/>
            <w:noWrap w:val="false"/>
          </w:tcPr>
          <w:p>
            <w:pPr>
              <w:jc w:val="center"/>
              <w:rPr>
                <w:rFonts w:hAnsi="宋体"/>
                <w:bCs/>
                <w:szCs w:val="21"/>
              </w:rPr>
            </w:pPr>
            <w:r>
              <w:rPr>
                <w:rFonts w:hint="eastAsia" w:hAnsi="宋体"/>
                <w:bCs/>
                <w:szCs w:val="21"/>
              </w:rPr>
              <w:t xml:space="preserve">2</w:t>
            </w:r>
            <w:r/>
          </w:p>
        </w:tc>
        <w:tc>
          <w:tcPr>
            <w:tcW w:w="2268" w:type="dxa"/>
            <w:vAlign w:val="center"/>
            <w:textDirection w:val="lrTb"/>
            <w:noWrap w:val="false"/>
          </w:tcPr>
          <w:p>
            <w:pPr>
              <w:jc w:val="center"/>
              <w:rPr>
                <w:rFonts w:hAnsi="宋体"/>
                <w:bCs/>
                <w:szCs w:val="21"/>
              </w:rPr>
            </w:pPr>
            <w:r>
              <w:rPr>
                <w:rFonts w:hint="eastAsia" w:hAnsi="宋体"/>
                <w:bCs/>
                <w:szCs w:val="21"/>
              </w:rPr>
              <w:t xml:space="preserve">采购、储存、运输</w:t>
            </w:r>
            <w:r/>
          </w:p>
        </w:tc>
        <w:tc>
          <w:tcPr>
            <w:tcW w:w="993" w:type="dxa"/>
            <w:vAlign w:val="center"/>
            <w:textDirection w:val="lrTb"/>
            <w:noWrap w:val="false"/>
          </w:tcPr>
          <w:p>
            <w:pPr>
              <w:jc w:val="center"/>
              <w:rPr>
                <w:rFonts w:hAnsi="宋体"/>
                <w:bCs/>
                <w:szCs w:val="21"/>
              </w:rPr>
            </w:pPr>
            <w:r>
              <w:rPr>
                <w:rFonts w:hAnsi="宋体"/>
                <w:bCs/>
                <w:szCs w:val="21"/>
              </w:rPr>
            </w:r>
            <w:r/>
          </w:p>
        </w:tc>
        <w:tc>
          <w:tcPr>
            <w:tcW w:w="1134" w:type="dxa"/>
            <w:vAlign w:val="center"/>
            <w:textDirection w:val="lrTb"/>
            <w:noWrap w:val="false"/>
          </w:tcPr>
          <w:p>
            <w:pPr>
              <w:jc w:val="center"/>
              <w:rPr>
                <w:rFonts w:hAnsi="宋体"/>
                <w:bCs/>
                <w:szCs w:val="21"/>
              </w:rPr>
            </w:pPr>
            <w:r>
              <w:rPr>
                <w:rFonts w:hAnsi="宋体"/>
                <w:bCs/>
                <w:szCs w:val="21"/>
              </w:rPr>
            </w:r>
            <w:r/>
          </w:p>
        </w:tc>
        <w:tc>
          <w:tcPr>
            <w:tcW w:w="1275" w:type="dxa"/>
            <w:vAlign w:val="center"/>
            <w:textDirection w:val="lrTb"/>
            <w:noWrap w:val="false"/>
          </w:tcPr>
          <w:p>
            <w:pPr>
              <w:jc w:val="center"/>
              <w:rPr>
                <w:rFonts w:hAnsi="宋体"/>
                <w:bCs/>
                <w:szCs w:val="21"/>
              </w:rPr>
            </w:pPr>
            <w:r>
              <w:rPr>
                <w:rFonts w:hAnsi="宋体"/>
                <w:bCs/>
                <w:szCs w:val="21"/>
              </w:rPr>
            </w:r>
            <w:r/>
          </w:p>
        </w:tc>
        <w:tc>
          <w:tcPr>
            <w:tcW w:w="1434" w:type="dxa"/>
            <w:vAlign w:val="center"/>
            <w:textDirection w:val="lrTb"/>
            <w:noWrap w:val="false"/>
          </w:tcPr>
          <w:p>
            <w:pPr>
              <w:jc w:val="center"/>
              <w:rPr>
                <w:rFonts w:hAnsi="宋体"/>
                <w:bCs/>
                <w:szCs w:val="21"/>
              </w:rPr>
            </w:pPr>
            <w:r>
              <w:rPr>
                <w:rFonts w:hAnsi="宋体"/>
                <w:bCs/>
                <w:szCs w:val="21"/>
              </w:rPr>
            </w:r>
            <w:r/>
          </w:p>
        </w:tc>
      </w:tr>
      <w:tr>
        <w:trPr>
          <w:jc w:val="center"/>
          <w:trHeight w:val="455"/>
        </w:trPr>
        <w:tc>
          <w:tcPr>
            <w:tcW w:w="688" w:type="dxa"/>
            <w:vAlign w:val="center"/>
            <w:textDirection w:val="lrTb"/>
            <w:noWrap w:val="false"/>
          </w:tcPr>
          <w:p>
            <w:pPr>
              <w:jc w:val="center"/>
              <w:rPr>
                <w:rFonts w:hAnsi="宋体"/>
                <w:bCs/>
                <w:szCs w:val="21"/>
              </w:rPr>
            </w:pPr>
            <w:r>
              <w:rPr>
                <w:rFonts w:hint="eastAsia" w:hAnsi="宋体"/>
                <w:bCs/>
                <w:szCs w:val="21"/>
              </w:rPr>
              <w:t xml:space="preserve">3</w:t>
            </w:r>
            <w:r/>
          </w:p>
        </w:tc>
        <w:tc>
          <w:tcPr>
            <w:tcW w:w="2268" w:type="dxa"/>
            <w:vAlign w:val="center"/>
            <w:textDirection w:val="lrTb"/>
            <w:noWrap w:val="false"/>
          </w:tcPr>
          <w:p>
            <w:pPr>
              <w:jc w:val="center"/>
              <w:rPr>
                <w:rFonts w:hAnsi="宋体"/>
                <w:bCs/>
                <w:szCs w:val="21"/>
              </w:rPr>
            </w:pPr>
            <w:r>
              <w:rPr>
                <w:rFonts w:hint="eastAsia"/>
                <w:color w:val="000000"/>
                <w:szCs w:val="21"/>
              </w:rPr>
              <w:t xml:space="preserve">生产加工</w:t>
            </w:r>
            <w:r/>
          </w:p>
        </w:tc>
        <w:tc>
          <w:tcPr>
            <w:tcW w:w="993" w:type="dxa"/>
            <w:vAlign w:val="center"/>
            <w:textDirection w:val="lrTb"/>
            <w:noWrap w:val="false"/>
          </w:tcPr>
          <w:p>
            <w:pPr>
              <w:jc w:val="center"/>
              <w:rPr>
                <w:rFonts w:hAnsi="宋体"/>
                <w:bCs/>
                <w:szCs w:val="21"/>
              </w:rPr>
            </w:pPr>
            <w:r>
              <w:rPr>
                <w:rFonts w:hAnsi="宋体"/>
                <w:bCs/>
                <w:szCs w:val="21"/>
              </w:rPr>
            </w:r>
            <w:r/>
          </w:p>
        </w:tc>
        <w:tc>
          <w:tcPr>
            <w:tcW w:w="1134" w:type="dxa"/>
            <w:vAlign w:val="center"/>
            <w:textDirection w:val="lrTb"/>
            <w:noWrap w:val="false"/>
          </w:tcPr>
          <w:p>
            <w:pPr>
              <w:jc w:val="center"/>
              <w:rPr>
                <w:rFonts w:hAnsi="宋体"/>
                <w:bCs/>
                <w:szCs w:val="21"/>
              </w:rPr>
            </w:pPr>
            <w:r>
              <w:rPr>
                <w:rFonts w:hAnsi="宋体"/>
                <w:bCs/>
                <w:szCs w:val="21"/>
              </w:rPr>
            </w:r>
            <w:r/>
          </w:p>
        </w:tc>
        <w:tc>
          <w:tcPr>
            <w:tcW w:w="1275" w:type="dxa"/>
            <w:vAlign w:val="center"/>
            <w:textDirection w:val="lrTb"/>
            <w:noWrap w:val="false"/>
          </w:tcPr>
          <w:p>
            <w:pPr>
              <w:jc w:val="center"/>
              <w:rPr>
                <w:rFonts w:hAnsi="宋体"/>
                <w:bCs/>
                <w:szCs w:val="21"/>
              </w:rPr>
            </w:pPr>
            <w:r>
              <w:rPr>
                <w:rFonts w:hAnsi="宋体"/>
                <w:bCs/>
                <w:szCs w:val="21"/>
              </w:rPr>
            </w:r>
            <w:r/>
          </w:p>
        </w:tc>
        <w:tc>
          <w:tcPr>
            <w:tcW w:w="1434" w:type="dxa"/>
            <w:vAlign w:val="center"/>
            <w:textDirection w:val="lrTb"/>
            <w:noWrap w:val="false"/>
          </w:tcPr>
          <w:p>
            <w:pPr>
              <w:jc w:val="center"/>
              <w:rPr>
                <w:rFonts w:hAnsi="宋体"/>
                <w:bCs/>
                <w:szCs w:val="21"/>
              </w:rPr>
            </w:pPr>
            <w:r>
              <w:rPr>
                <w:rFonts w:hAnsi="宋体"/>
                <w:bCs/>
                <w:szCs w:val="21"/>
              </w:rPr>
            </w:r>
            <w:r/>
          </w:p>
        </w:tc>
      </w:tr>
      <w:tr>
        <w:trPr>
          <w:jc w:val="center"/>
          <w:trHeight w:val="455"/>
        </w:trPr>
        <w:tc>
          <w:tcPr>
            <w:tcW w:w="688" w:type="dxa"/>
            <w:vAlign w:val="center"/>
            <w:textDirection w:val="lrTb"/>
            <w:noWrap w:val="false"/>
          </w:tcPr>
          <w:p>
            <w:pPr>
              <w:jc w:val="center"/>
              <w:rPr>
                <w:rFonts w:hAnsi="宋体"/>
                <w:bCs/>
                <w:szCs w:val="21"/>
              </w:rPr>
            </w:pPr>
            <w:r>
              <w:rPr>
                <w:rFonts w:hint="eastAsia" w:hAnsi="宋体"/>
                <w:bCs/>
                <w:szCs w:val="21"/>
              </w:rPr>
              <w:t xml:space="preserve">4</w:t>
            </w:r>
            <w:r/>
          </w:p>
        </w:tc>
        <w:tc>
          <w:tcPr>
            <w:tcW w:w="2268" w:type="dxa"/>
            <w:vAlign w:val="center"/>
            <w:textDirection w:val="lrTb"/>
            <w:noWrap w:val="false"/>
          </w:tcPr>
          <w:p>
            <w:pPr>
              <w:jc w:val="center"/>
              <w:rPr>
                <w:color w:val="000000"/>
                <w:szCs w:val="21"/>
              </w:rPr>
            </w:pPr>
            <w:r>
              <w:rPr>
                <w:rFonts w:hint="eastAsia"/>
                <w:color w:val="000000"/>
                <w:szCs w:val="21"/>
              </w:rPr>
              <w:t xml:space="preserve">运输配送</w:t>
            </w:r>
            <w:r/>
          </w:p>
        </w:tc>
        <w:tc>
          <w:tcPr>
            <w:tcW w:w="993" w:type="dxa"/>
            <w:vAlign w:val="center"/>
            <w:textDirection w:val="lrTb"/>
            <w:noWrap w:val="false"/>
          </w:tcPr>
          <w:p>
            <w:pPr>
              <w:jc w:val="center"/>
              <w:rPr>
                <w:rFonts w:hAnsi="宋体"/>
                <w:bCs/>
                <w:szCs w:val="21"/>
              </w:rPr>
            </w:pPr>
            <w:r>
              <w:rPr>
                <w:rFonts w:hAnsi="宋体"/>
                <w:bCs/>
                <w:szCs w:val="21"/>
              </w:rPr>
            </w:r>
            <w:r/>
          </w:p>
        </w:tc>
        <w:tc>
          <w:tcPr>
            <w:tcW w:w="1134" w:type="dxa"/>
            <w:vAlign w:val="center"/>
            <w:textDirection w:val="lrTb"/>
            <w:noWrap w:val="false"/>
          </w:tcPr>
          <w:p>
            <w:pPr>
              <w:jc w:val="center"/>
              <w:rPr>
                <w:rFonts w:hAnsi="宋体"/>
                <w:bCs/>
                <w:szCs w:val="21"/>
              </w:rPr>
            </w:pPr>
            <w:r>
              <w:rPr>
                <w:rFonts w:hAnsi="宋体"/>
                <w:bCs/>
                <w:szCs w:val="21"/>
              </w:rPr>
            </w:r>
            <w:r/>
          </w:p>
        </w:tc>
        <w:tc>
          <w:tcPr>
            <w:tcW w:w="1275" w:type="dxa"/>
            <w:vAlign w:val="center"/>
            <w:textDirection w:val="lrTb"/>
            <w:noWrap w:val="false"/>
          </w:tcPr>
          <w:p>
            <w:pPr>
              <w:jc w:val="center"/>
              <w:rPr>
                <w:rFonts w:hAnsi="宋体"/>
                <w:bCs/>
                <w:szCs w:val="21"/>
              </w:rPr>
            </w:pPr>
            <w:r>
              <w:rPr>
                <w:rFonts w:hAnsi="宋体"/>
                <w:bCs/>
                <w:szCs w:val="21"/>
              </w:rPr>
            </w:r>
            <w:r/>
          </w:p>
        </w:tc>
        <w:tc>
          <w:tcPr>
            <w:tcW w:w="1434" w:type="dxa"/>
            <w:vAlign w:val="center"/>
            <w:textDirection w:val="lrTb"/>
            <w:noWrap w:val="false"/>
          </w:tcPr>
          <w:p>
            <w:pPr>
              <w:jc w:val="center"/>
              <w:rPr>
                <w:rFonts w:hAnsi="宋体"/>
                <w:bCs/>
                <w:szCs w:val="21"/>
              </w:rPr>
            </w:pPr>
            <w:r>
              <w:rPr>
                <w:rFonts w:hAnsi="宋体"/>
                <w:bCs/>
                <w:szCs w:val="21"/>
              </w:rPr>
            </w:r>
            <w:r/>
          </w:p>
        </w:tc>
      </w:tr>
      <w:tr>
        <w:trPr>
          <w:jc w:val="center"/>
          <w:trHeight w:val="455"/>
        </w:trPr>
        <w:tc>
          <w:tcPr>
            <w:tcW w:w="688" w:type="dxa"/>
            <w:vAlign w:val="center"/>
            <w:textDirection w:val="lrTb"/>
            <w:noWrap w:val="false"/>
          </w:tcPr>
          <w:p>
            <w:pPr>
              <w:jc w:val="center"/>
              <w:rPr>
                <w:rFonts w:hAnsi="宋体"/>
                <w:bCs/>
                <w:szCs w:val="21"/>
              </w:rPr>
            </w:pPr>
            <w:r>
              <w:rPr>
                <w:rFonts w:hint="eastAsia" w:hAnsi="宋体"/>
                <w:bCs/>
                <w:szCs w:val="21"/>
              </w:rPr>
              <w:t xml:space="preserve">5</w:t>
            </w:r>
            <w:r/>
          </w:p>
        </w:tc>
        <w:tc>
          <w:tcPr>
            <w:tcW w:w="2268" w:type="dxa"/>
            <w:vAlign w:val="center"/>
            <w:textDirection w:val="lrTb"/>
            <w:noWrap w:val="false"/>
          </w:tcPr>
          <w:p>
            <w:pPr>
              <w:jc w:val="center"/>
              <w:rPr>
                <w:color w:val="000000"/>
                <w:szCs w:val="21"/>
              </w:rPr>
            </w:pPr>
            <w:r>
              <w:rPr>
                <w:rFonts w:hint="eastAsia"/>
                <w:color w:val="000000"/>
                <w:szCs w:val="21"/>
              </w:rPr>
              <w:t xml:space="preserve">车辆投入</w:t>
            </w:r>
            <w:r/>
          </w:p>
        </w:tc>
        <w:tc>
          <w:tcPr>
            <w:tcW w:w="993" w:type="dxa"/>
            <w:vAlign w:val="center"/>
            <w:textDirection w:val="lrTb"/>
            <w:noWrap w:val="false"/>
          </w:tcPr>
          <w:p>
            <w:pPr>
              <w:jc w:val="center"/>
              <w:rPr>
                <w:rFonts w:hAnsi="宋体"/>
                <w:bCs/>
                <w:szCs w:val="21"/>
              </w:rPr>
            </w:pPr>
            <w:r>
              <w:rPr>
                <w:rFonts w:hAnsi="宋体"/>
                <w:bCs/>
                <w:szCs w:val="21"/>
              </w:rPr>
            </w:r>
            <w:r/>
          </w:p>
        </w:tc>
        <w:tc>
          <w:tcPr>
            <w:tcW w:w="1134" w:type="dxa"/>
            <w:vAlign w:val="center"/>
            <w:textDirection w:val="lrTb"/>
            <w:noWrap w:val="false"/>
          </w:tcPr>
          <w:p>
            <w:pPr>
              <w:jc w:val="center"/>
              <w:rPr>
                <w:rFonts w:hAnsi="宋体"/>
                <w:bCs/>
                <w:szCs w:val="21"/>
              </w:rPr>
            </w:pPr>
            <w:r>
              <w:rPr>
                <w:rFonts w:hAnsi="宋体"/>
                <w:bCs/>
                <w:szCs w:val="21"/>
              </w:rPr>
            </w:r>
            <w:r/>
          </w:p>
        </w:tc>
        <w:tc>
          <w:tcPr>
            <w:tcW w:w="1275" w:type="dxa"/>
            <w:vAlign w:val="center"/>
            <w:textDirection w:val="lrTb"/>
            <w:noWrap w:val="false"/>
          </w:tcPr>
          <w:p>
            <w:pPr>
              <w:jc w:val="center"/>
              <w:rPr>
                <w:rFonts w:hAnsi="宋体"/>
                <w:bCs/>
                <w:szCs w:val="21"/>
              </w:rPr>
            </w:pPr>
            <w:r>
              <w:rPr>
                <w:rFonts w:hAnsi="宋体"/>
                <w:bCs/>
                <w:szCs w:val="21"/>
              </w:rPr>
            </w:r>
            <w:r/>
          </w:p>
        </w:tc>
        <w:tc>
          <w:tcPr>
            <w:tcW w:w="1434" w:type="dxa"/>
            <w:vAlign w:val="center"/>
            <w:textDirection w:val="lrTb"/>
            <w:noWrap w:val="false"/>
          </w:tcPr>
          <w:p>
            <w:pPr>
              <w:jc w:val="center"/>
              <w:rPr>
                <w:rFonts w:hAnsi="宋体"/>
                <w:bCs/>
                <w:szCs w:val="21"/>
              </w:rPr>
            </w:pPr>
            <w:r>
              <w:rPr>
                <w:rFonts w:hAnsi="宋体"/>
                <w:bCs/>
                <w:szCs w:val="21"/>
              </w:rPr>
            </w:r>
            <w:r/>
          </w:p>
        </w:tc>
      </w:tr>
      <w:tr>
        <w:trPr>
          <w:jc w:val="center"/>
          <w:trHeight w:val="455"/>
        </w:trPr>
        <w:tc>
          <w:tcPr>
            <w:tcW w:w="688" w:type="dxa"/>
            <w:vAlign w:val="center"/>
            <w:textDirection w:val="lrTb"/>
            <w:noWrap w:val="false"/>
          </w:tcPr>
          <w:p>
            <w:pPr>
              <w:jc w:val="center"/>
              <w:rPr>
                <w:rFonts w:hAnsi="宋体"/>
                <w:bCs/>
                <w:szCs w:val="21"/>
              </w:rPr>
            </w:pPr>
            <w:r>
              <w:rPr>
                <w:rFonts w:hint="eastAsia" w:hAnsi="宋体"/>
                <w:bCs/>
                <w:szCs w:val="21"/>
              </w:rPr>
              <w:t xml:space="preserve">6</w:t>
            </w:r>
            <w:r/>
          </w:p>
        </w:tc>
        <w:tc>
          <w:tcPr>
            <w:tcW w:w="2268" w:type="dxa"/>
            <w:vAlign w:val="center"/>
            <w:textDirection w:val="lrTb"/>
            <w:noWrap w:val="false"/>
          </w:tcPr>
          <w:p>
            <w:pPr>
              <w:jc w:val="center"/>
              <w:rPr>
                <w:color w:val="000000"/>
                <w:szCs w:val="21"/>
              </w:rPr>
            </w:pPr>
            <w:r>
              <w:rPr>
                <w:rFonts w:hint="eastAsia"/>
                <w:color w:val="000000"/>
                <w:szCs w:val="21"/>
              </w:rPr>
              <w:t xml:space="preserve">厂房等设施设备</w:t>
            </w:r>
            <w:r/>
          </w:p>
        </w:tc>
        <w:tc>
          <w:tcPr>
            <w:tcW w:w="993" w:type="dxa"/>
            <w:vAlign w:val="center"/>
            <w:textDirection w:val="lrTb"/>
            <w:noWrap w:val="false"/>
          </w:tcPr>
          <w:p>
            <w:pPr>
              <w:jc w:val="center"/>
              <w:rPr>
                <w:rFonts w:hAnsi="宋体"/>
                <w:bCs/>
                <w:szCs w:val="21"/>
              </w:rPr>
            </w:pPr>
            <w:r>
              <w:rPr>
                <w:rFonts w:hAnsi="宋体"/>
                <w:bCs/>
                <w:szCs w:val="21"/>
              </w:rPr>
            </w:r>
            <w:r/>
          </w:p>
        </w:tc>
        <w:tc>
          <w:tcPr>
            <w:tcW w:w="1134" w:type="dxa"/>
            <w:vAlign w:val="center"/>
            <w:textDirection w:val="lrTb"/>
            <w:noWrap w:val="false"/>
          </w:tcPr>
          <w:p>
            <w:pPr>
              <w:jc w:val="center"/>
              <w:rPr>
                <w:rFonts w:hAnsi="宋体"/>
                <w:bCs/>
                <w:szCs w:val="21"/>
              </w:rPr>
            </w:pPr>
            <w:r>
              <w:rPr>
                <w:rFonts w:hAnsi="宋体"/>
                <w:bCs/>
                <w:szCs w:val="21"/>
              </w:rPr>
            </w:r>
            <w:r/>
          </w:p>
        </w:tc>
        <w:tc>
          <w:tcPr>
            <w:tcW w:w="1275" w:type="dxa"/>
            <w:vAlign w:val="center"/>
            <w:textDirection w:val="lrTb"/>
            <w:noWrap w:val="false"/>
          </w:tcPr>
          <w:p>
            <w:pPr>
              <w:jc w:val="center"/>
              <w:rPr>
                <w:rFonts w:hAnsi="宋体"/>
                <w:bCs/>
                <w:szCs w:val="21"/>
              </w:rPr>
            </w:pPr>
            <w:r>
              <w:rPr>
                <w:rFonts w:hAnsi="宋体"/>
                <w:bCs/>
                <w:szCs w:val="21"/>
              </w:rPr>
            </w:r>
            <w:r/>
          </w:p>
        </w:tc>
        <w:tc>
          <w:tcPr>
            <w:tcW w:w="1434" w:type="dxa"/>
            <w:vAlign w:val="center"/>
            <w:textDirection w:val="lrTb"/>
            <w:noWrap w:val="false"/>
          </w:tcPr>
          <w:p>
            <w:pPr>
              <w:jc w:val="center"/>
              <w:rPr>
                <w:rFonts w:hAnsi="宋体"/>
                <w:bCs/>
                <w:szCs w:val="21"/>
              </w:rPr>
            </w:pPr>
            <w:r>
              <w:rPr>
                <w:rFonts w:hAnsi="宋体"/>
                <w:bCs/>
                <w:szCs w:val="21"/>
              </w:rPr>
            </w:r>
            <w:r/>
          </w:p>
        </w:tc>
      </w:tr>
      <w:tr>
        <w:trPr>
          <w:jc w:val="center"/>
          <w:trHeight w:val="455"/>
        </w:trPr>
        <w:tc>
          <w:tcPr>
            <w:tcW w:w="688" w:type="dxa"/>
            <w:vAlign w:val="center"/>
            <w:textDirection w:val="lrTb"/>
            <w:noWrap w:val="false"/>
          </w:tcPr>
          <w:p>
            <w:pPr>
              <w:jc w:val="center"/>
              <w:rPr>
                <w:rFonts w:hAnsi="宋体"/>
                <w:bCs/>
                <w:szCs w:val="21"/>
              </w:rPr>
            </w:pPr>
            <w:r>
              <w:rPr>
                <w:rFonts w:hint="eastAsia" w:hAnsi="宋体"/>
                <w:bCs/>
                <w:szCs w:val="21"/>
              </w:rPr>
              <w:t xml:space="preserve">7</w:t>
            </w:r>
            <w:r/>
          </w:p>
        </w:tc>
        <w:tc>
          <w:tcPr>
            <w:tcW w:w="2268" w:type="dxa"/>
            <w:vAlign w:val="center"/>
            <w:textDirection w:val="lrTb"/>
            <w:noWrap w:val="false"/>
          </w:tcPr>
          <w:p>
            <w:pPr>
              <w:jc w:val="center"/>
              <w:rPr>
                <w:color w:val="000000"/>
                <w:szCs w:val="21"/>
              </w:rPr>
            </w:pPr>
            <w:r>
              <w:rPr>
                <w:rFonts w:hint="eastAsia"/>
                <w:color w:val="000000"/>
                <w:szCs w:val="21"/>
              </w:rPr>
              <w:t xml:space="preserve">检验费</w:t>
            </w:r>
            <w:r/>
          </w:p>
        </w:tc>
        <w:tc>
          <w:tcPr>
            <w:tcW w:w="993" w:type="dxa"/>
            <w:vAlign w:val="center"/>
            <w:textDirection w:val="lrTb"/>
            <w:noWrap w:val="false"/>
          </w:tcPr>
          <w:p>
            <w:pPr>
              <w:jc w:val="center"/>
              <w:rPr>
                <w:rFonts w:hAnsi="宋体"/>
                <w:bCs/>
                <w:szCs w:val="21"/>
              </w:rPr>
            </w:pPr>
            <w:r>
              <w:rPr>
                <w:rFonts w:hAnsi="宋体"/>
                <w:bCs/>
                <w:szCs w:val="21"/>
              </w:rPr>
            </w:r>
            <w:r/>
          </w:p>
        </w:tc>
        <w:tc>
          <w:tcPr>
            <w:tcW w:w="1134" w:type="dxa"/>
            <w:vAlign w:val="center"/>
            <w:textDirection w:val="lrTb"/>
            <w:noWrap w:val="false"/>
          </w:tcPr>
          <w:p>
            <w:pPr>
              <w:jc w:val="center"/>
              <w:rPr>
                <w:rFonts w:hAnsi="宋体"/>
                <w:bCs/>
                <w:szCs w:val="21"/>
              </w:rPr>
            </w:pPr>
            <w:r>
              <w:rPr>
                <w:rFonts w:hAnsi="宋体"/>
                <w:bCs/>
                <w:szCs w:val="21"/>
              </w:rPr>
            </w:r>
            <w:r/>
          </w:p>
        </w:tc>
        <w:tc>
          <w:tcPr>
            <w:tcW w:w="1275" w:type="dxa"/>
            <w:vAlign w:val="center"/>
            <w:textDirection w:val="lrTb"/>
            <w:noWrap w:val="false"/>
          </w:tcPr>
          <w:p>
            <w:pPr>
              <w:jc w:val="center"/>
              <w:rPr>
                <w:rFonts w:hAnsi="宋体"/>
                <w:bCs/>
                <w:szCs w:val="21"/>
              </w:rPr>
            </w:pPr>
            <w:r>
              <w:rPr>
                <w:rFonts w:hAnsi="宋体"/>
                <w:bCs/>
                <w:szCs w:val="21"/>
              </w:rPr>
            </w:r>
            <w:r/>
          </w:p>
        </w:tc>
        <w:tc>
          <w:tcPr>
            <w:tcW w:w="1434" w:type="dxa"/>
            <w:vAlign w:val="center"/>
            <w:textDirection w:val="lrTb"/>
            <w:noWrap w:val="false"/>
          </w:tcPr>
          <w:p>
            <w:pPr>
              <w:jc w:val="center"/>
              <w:rPr>
                <w:rFonts w:hAnsi="宋体"/>
                <w:bCs/>
                <w:szCs w:val="21"/>
              </w:rPr>
            </w:pPr>
            <w:r>
              <w:rPr>
                <w:rFonts w:hAnsi="宋体"/>
                <w:bCs/>
                <w:szCs w:val="21"/>
              </w:rPr>
            </w:r>
            <w:r/>
          </w:p>
        </w:tc>
      </w:tr>
      <w:tr>
        <w:trPr>
          <w:jc w:val="center"/>
          <w:trHeight w:val="455"/>
        </w:trPr>
        <w:tc>
          <w:tcPr>
            <w:tcW w:w="688" w:type="dxa"/>
            <w:vAlign w:val="center"/>
            <w:textDirection w:val="lrTb"/>
            <w:noWrap w:val="false"/>
          </w:tcPr>
          <w:p>
            <w:pPr>
              <w:jc w:val="center"/>
              <w:rPr>
                <w:rFonts w:hAnsi="宋体"/>
                <w:bCs/>
                <w:szCs w:val="21"/>
              </w:rPr>
            </w:pPr>
            <w:r>
              <w:rPr>
                <w:rFonts w:hint="eastAsia" w:hAnsi="宋体"/>
                <w:bCs/>
                <w:szCs w:val="21"/>
              </w:rPr>
              <w:t xml:space="preserve">8</w:t>
            </w:r>
            <w:r/>
          </w:p>
        </w:tc>
        <w:tc>
          <w:tcPr>
            <w:tcW w:w="2268" w:type="dxa"/>
            <w:vAlign w:val="center"/>
            <w:textDirection w:val="lrTb"/>
            <w:noWrap w:val="false"/>
          </w:tcPr>
          <w:p>
            <w:pPr>
              <w:jc w:val="center"/>
              <w:rPr>
                <w:rFonts w:hAnsi="宋体"/>
                <w:bCs/>
                <w:szCs w:val="21"/>
              </w:rPr>
            </w:pPr>
            <w:r>
              <w:rPr>
                <w:rFonts w:hint="eastAsia"/>
                <w:color w:val="000000"/>
                <w:szCs w:val="21"/>
              </w:rPr>
              <w:t xml:space="preserve">人员工资、社会福利等</w:t>
            </w:r>
            <w:r/>
          </w:p>
        </w:tc>
        <w:tc>
          <w:tcPr>
            <w:tcW w:w="993" w:type="dxa"/>
            <w:vAlign w:val="center"/>
            <w:textDirection w:val="lrTb"/>
            <w:noWrap w:val="false"/>
          </w:tcPr>
          <w:p>
            <w:pPr>
              <w:jc w:val="center"/>
              <w:rPr>
                <w:rFonts w:hAnsi="宋体"/>
                <w:bCs/>
                <w:szCs w:val="21"/>
              </w:rPr>
            </w:pPr>
            <w:r>
              <w:rPr>
                <w:rFonts w:hAnsi="宋体"/>
                <w:bCs/>
                <w:szCs w:val="21"/>
              </w:rPr>
            </w:r>
            <w:r/>
          </w:p>
        </w:tc>
        <w:tc>
          <w:tcPr>
            <w:tcW w:w="1134" w:type="dxa"/>
            <w:vAlign w:val="center"/>
            <w:textDirection w:val="lrTb"/>
            <w:noWrap w:val="false"/>
          </w:tcPr>
          <w:p>
            <w:pPr>
              <w:jc w:val="center"/>
              <w:rPr>
                <w:rFonts w:hAnsi="宋体"/>
                <w:bCs/>
                <w:szCs w:val="21"/>
              </w:rPr>
            </w:pPr>
            <w:r>
              <w:rPr>
                <w:rFonts w:hAnsi="宋体"/>
                <w:bCs/>
                <w:szCs w:val="21"/>
              </w:rPr>
            </w:r>
            <w:r/>
          </w:p>
        </w:tc>
        <w:tc>
          <w:tcPr>
            <w:tcW w:w="1275" w:type="dxa"/>
            <w:vAlign w:val="center"/>
            <w:textDirection w:val="lrTb"/>
            <w:noWrap w:val="false"/>
          </w:tcPr>
          <w:p>
            <w:pPr>
              <w:jc w:val="center"/>
              <w:rPr>
                <w:rFonts w:hAnsi="宋体"/>
                <w:bCs/>
                <w:szCs w:val="21"/>
              </w:rPr>
            </w:pPr>
            <w:r>
              <w:rPr>
                <w:rFonts w:hAnsi="宋体"/>
                <w:bCs/>
                <w:szCs w:val="21"/>
              </w:rPr>
            </w:r>
            <w:r/>
          </w:p>
        </w:tc>
        <w:tc>
          <w:tcPr>
            <w:tcW w:w="1434" w:type="dxa"/>
            <w:vAlign w:val="center"/>
            <w:textDirection w:val="lrTb"/>
            <w:noWrap w:val="false"/>
          </w:tcPr>
          <w:p>
            <w:pPr>
              <w:jc w:val="center"/>
              <w:rPr>
                <w:rFonts w:hAnsi="宋体"/>
                <w:bCs/>
                <w:szCs w:val="21"/>
              </w:rPr>
            </w:pPr>
            <w:r>
              <w:rPr>
                <w:rFonts w:hAnsi="宋体"/>
                <w:bCs/>
                <w:szCs w:val="21"/>
              </w:rPr>
            </w:r>
            <w:r/>
          </w:p>
        </w:tc>
      </w:tr>
      <w:tr>
        <w:trPr>
          <w:jc w:val="center"/>
          <w:trHeight w:val="455"/>
        </w:trPr>
        <w:tc>
          <w:tcPr>
            <w:tcW w:w="688" w:type="dxa"/>
            <w:vAlign w:val="center"/>
            <w:textDirection w:val="lrTb"/>
            <w:noWrap w:val="false"/>
          </w:tcPr>
          <w:p>
            <w:pPr>
              <w:jc w:val="center"/>
              <w:rPr>
                <w:rFonts w:hAnsi="宋体"/>
                <w:bCs/>
                <w:szCs w:val="21"/>
              </w:rPr>
            </w:pPr>
            <w:r>
              <w:rPr>
                <w:rFonts w:hint="eastAsia" w:hAnsi="宋体"/>
                <w:bCs/>
                <w:szCs w:val="21"/>
              </w:rPr>
              <w:t xml:space="preserve">9</w:t>
            </w:r>
            <w:r/>
          </w:p>
        </w:tc>
        <w:tc>
          <w:tcPr>
            <w:tcW w:w="2268" w:type="dxa"/>
            <w:vAlign w:val="center"/>
            <w:textDirection w:val="lrTb"/>
            <w:noWrap w:val="false"/>
          </w:tcPr>
          <w:p>
            <w:pPr>
              <w:jc w:val="center"/>
              <w:rPr>
                <w:rFonts w:hAnsi="宋体"/>
                <w:bCs/>
                <w:szCs w:val="21"/>
              </w:rPr>
            </w:pPr>
            <w:r>
              <w:rPr>
                <w:rFonts w:hint="eastAsia"/>
                <w:color w:val="000000"/>
                <w:szCs w:val="21"/>
              </w:rPr>
              <w:t xml:space="preserve">各项税费</w:t>
            </w:r>
            <w:r/>
          </w:p>
        </w:tc>
        <w:tc>
          <w:tcPr>
            <w:tcW w:w="993" w:type="dxa"/>
            <w:vAlign w:val="center"/>
            <w:textDirection w:val="lrTb"/>
            <w:noWrap w:val="false"/>
          </w:tcPr>
          <w:p>
            <w:pPr>
              <w:jc w:val="center"/>
              <w:rPr>
                <w:rFonts w:hAnsi="宋体"/>
                <w:bCs/>
                <w:szCs w:val="21"/>
              </w:rPr>
            </w:pPr>
            <w:r>
              <w:rPr>
                <w:rFonts w:hAnsi="宋体"/>
                <w:bCs/>
                <w:szCs w:val="21"/>
              </w:rPr>
            </w:r>
            <w:r/>
          </w:p>
        </w:tc>
        <w:tc>
          <w:tcPr>
            <w:tcW w:w="1134" w:type="dxa"/>
            <w:vAlign w:val="center"/>
            <w:textDirection w:val="lrTb"/>
            <w:noWrap w:val="false"/>
          </w:tcPr>
          <w:p>
            <w:pPr>
              <w:jc w:val="center"/>
              <w:rPr>
                <w:rFonts w:hAnsi="宋体"/>
                <w:bCs/>
                <w:szCs w:val="21"/>
              </w:rPr>
            </w:pPr>
            <w:r>
              <w:rPr>
                <w:rFonts w:hAnsi="宋体"/>
                <w:bCs/>
                <w:szCs w:val="21"/>
              </w:rPr>
            </w:r>
            <w:r/>
          </w:p>
        </w:tc>
        <w:tc>
          <w:tcPr>
            <w:tcW w:w="1275" w:type="dxa"/>
            <w:vAlign w:val="center"/>
            <w:textDirection w:val="lrTb"/>
            <w:noWrap w:val="false"/>
          </w:tcPr>
          <w:p>
            <w:pPr>
              <w:jc w:val="center"/>
              <w:rPr>
                <w:rFonts w:hAnsi="宋体"/>
                <w:bCs/>
                <w:szCs w:val="21"/>
              </w:rPr>
            </w:pPr>
            <w:r>
              <w:rPr>
                <w:rFonts w:hAnsi="宋体"/>
                <w:bCs/>
                <w:szCs w:val="21"/>
              </w:rPr>
            </w:r>
            <w:r/>
          </w:p>
        </w:tc>
        <w:tc>
          <w:tcPr>
            <w:tcW w:w="1434" w:type="dxa"/>
            <w:vAlign w:val="center"/>
            <w:textDirection w:val="lrTb"/>
            <w:noWrap w:val="false"/>
          </w:tcPr>
          <w:p>
            <w:pPr>
              <w:jc w:val="center"/>
              <w:rPr>
                <w:rFonts w:hAnsi="宋体"/>
                <w:bCs/>
                <w:szCs w:val="21"/>
              </w:rPr>
            </w:pPr>
            <w:r>
              <w:rPr>
                <w:rFonts w:hAnsi="宋体"/>
                <w:bCs/>
                <w:szCs w:val="21"/>
              </w:rPr>
            </w:r>
            <w:r/>
          </w:p>
        </w:tc>
      </w:tr>
      <w:tr>
        <w:trPr>
          <w:jc w:val="center"/>
          <w:trHeight w:val="455"/>
        </w:trPr>
        <w:tc>
          <w:tcPr>
            <w:tcW w:w="688" w:type="dxa"/>
            <w:vAlign w:val="center"/>
            <w:textDirection w:val="lrTb"/>
            <w:noWrap w:val="false"/>
          </w:tcPr>
          <w:p>
            <w:pPr>
              <w:jc w:val="center"/>
              <w:rPr>
                <w:rFonts w:hAnsi="宋体"/>
                <w:bCs/>
                <w:szCs w:val="21"/>
              </w:rPr>
            </w:pPr>
            <w:r>
              <w:rPr>
                <w:rFonts w:hint="eastAsia" w:hAnsi="宋体"/>
                <w:bCs/>
                <w:szCs w:val="21"/>
              </w:rPr>
              <w:t xml:space="preserve">10</w:t>
            </w:r>
            <w:r/>
          </w:p>
        </w:tc>
        <w:tc>
          <w:tcPr>
            <w:tcW w:w="2268" w:type="dxa"/>
            <w:vAlign w:val="center"/>
            <w:textDirection w:val="lrTb"/>
            <w:noWrap w:val="false"/>
          </w:tcPr>
          <w:p>
            <w:pPr>
              <w:jc w:val="center"/>
              <w:rPr>
                <w:rFonts w:hAnsi="宋体"/>
                <w:bCs/>
                <w:szCs w:val="21"/>
              </w:rPr>
            </w:pPr>
            <w:r>
              <w:rPr>
                <w:rFonts w:hint="eastAsia"/>
                <w:szCs w:val="21"/>
              </w:rPr>
              <w:t xml:space="preserve">利润</w:t>
            </w:r>
            <w:r/>
          </w:p>
        </w:tc>
        <w:tc>
          <w:tcPr>
            <w:tcW w:w="993" w:type="dxa"/>
            <w:vAlign w:val="center"/>
            <w:textDirection w:val="lrTb"/>
            <w:noWrap w:val="false"/>
          </w:tcPr>
          <w:p>
            <w:pPr>
              <w:jc w:val="center"/>
              <w:rPr>
                <w:rFonts w:hAnsi="宋体"/>
                <w:bCs/>
                <w:szCs w:val="21"/>
              </w:rPr>
            </w:pPr>
            <w:r>
              <w:rPr>
                <w:rFonts w:hAnsi="宋体"/>
                <w:bCs/>
                <w:szCs w:val="21"/>
              </w:rPr>
            </w:r>
            <w:r/>
          </w:p>
        </w:tc>
        <w:tc>
          <w:tcPr>
            <w:tcW w:w="1134" w:type="dxa"/>
            <w:vAlign w:val="center"/>
            <w:textDirection w:val="lrTb"/>
            <w:noWrap w:val="false"/>
          </w:tcPr>
          <w:p>
            <w:pPr>
              <w:jc w:val="center"/>
              <w:rPr>
                <w:rFonts w:hAnsi="宋体"/>
                <w:bCs/>
                <w:szCs w:val="21"/>
              </w:rPr>
            </w:pPr>
            <w:r>
              <w:rPr>
                <w:rFonts w:hAnsi="宋体"/>
                <w:bCs/>
                <w:szCs w:val="21"/>
              </w:rPr>
            </w:r>
            <w:r/>
          </w:p>
        </w:tc>
        <w:tc>
          <w:tcPr>
            <w:tcW w:w="1275" w:type="dxa"/>
            <w:vAlign w:val="center"/>
            <w:textDirection w:val="lrTb"/>
            <w:noWrap w:val="false"/>
          </w:tcPr>
          <w:p>
            <w:pPr>
              <w:jc w:val="center"/>
              <w:rPr>
                <w:rFonts w:hAnsi="宋体"/>
                <w:bCs/>
                <w:szCs w:val="21"/>
              </w:rPr>
            </w:pPr>
            <w:r>
              <w:rPr>
                <w:rFonts w:hAnsi="宋体"/>
                <w:bCs/>
                <w:szCs w:val="21"/>
              </w:rPr>
            </w:r>
            <w:r/>
          </w:p>
        </w:tc>
        <w:tc>
          <w:tcPr>
            <w:tcW w:w="1434" w:type="dxa"/>
            <w:vAlign w:val="center"/>
            <w:textDirection w:val="lrTb"/>
            <w:noWrap w:val="false"/>
          </w:tcPr>
          <w:p>
            <w:pPr>
              <w:jc w:val="center"/>
              <w:rPr>
                <w:rFonts w:hAnsi="宋体"/>
                <w:bCs/>
                <w:szCs w:val="21"/>
              </w:rPr>
            </w:pPr>
            <w:r>
              <w:rPr>
                <w:rFonts w:hAnsi="宋体"/>
                <w:bCs/>
                <w:szCs w:val="21"/>
              </w:rPr>
            </w:r>
            <w:r/>
          </w:p>
        </w:tc>
      </w:tr>
      <w:tr>
        <w:trPr>
          <w:jc w:val="center"/>
          <w:trHeight w:val="455"/>
        </w:trPr>
        <w:tc>
          <w:tcPr>
            <w:tcW w:w="688" w:type="dxa"/>
            <w:vAlign w:val="center"/>
            <w:textDirection w:val="lrTb"/>
            <w:noWrap w:val="false"/>
          </w:tcPr>
          <w:p>
            <w:pPr>
              <w:jc w:val="center"/>
              <w:rPr>
                <w:rFonts w:hAnsi="宋体"/>
                <w:bCs/>
                <w:szCs w:val="21"/>
              </w:rPr>
            </w:pPr>
            <w:r>
              <w:rPr>
                <w:rFonts w:hint="eastAsia" w:hAnsi="宋体"/>
                <w:bCs/>
                <w:szCs w:val="21"/>
              </w:rPr>
              <w:t xml:space="preserve">……</w:t>
            </w:r>
            <w:r/>
          </w:p>
        </w:tc>
        <w:tc>
          <w:tcPr>
            <w:tcW w:w="2268" w:type="dxa"/>
            <w:vAlign w:val="center"/>
            <w:textDirection w:val="lrTb"/>
            <w:noWrap w:val="false"/>
          </w:tcPr>
          <w:p>
            <w:pPr>
              <w:jc w:val="center"/>
              <w:rPr>
                <w:rFonts w:hAnsi="宋体"/>
                <w:bCs/>
                <w:szCs w:val="21"/>
              </w:rPr>
            </w:pPr>
            <w:r>
              <w:rPr>
                <w:rFonts w:hAnsi="宋体"/>
                <w:bCs/>
                <w:szCs w:val="21"/>
              </w:rPr>
              <w:t xml:space="preserve">……</w:t>
            </w:r>
            <w:r/>
          </w:p>
        </w:tc>
        <w:tc>
          <w:tcPr>
            <w:tcW w:w="993" w:type="dxa"/>
            <w:vAlign w:val="center"/>
            <w:textDirection w:val="lrTb"/>
            <w:noWrap w:val="false"/>
          </w:tcPr>
          <w:p>
            <w:pPr>
              <w:jc w:val="center"/>
              <w:rPr>
                <w:rFonts w:hAnsi="宋体"/>
                <w:bCs/>
                <w:szCs w:val="21"/>
              </w:rPr>
            </w:pPr>
            <w:r>
              <w:rPr>
                <w:rFonts w:hAnsi="宋体"/>
                <w:bCs/>
                <w:szCs w:val="21"/>
              </w:rPr>
            </w:r>
            <w:r/>
          </w:p>
        </w:tc>
        <w:tc>
          <w:tcPr>
            <w:tcW w:w="1134" w:type="dxa"/>
            <w:vAlign w:val="center"/>
            <w:textDirection w:val="lrTb"/>
            <w:noWrap w:val="false"/>
          </w:tcPr>
          <w:p>
            <w:pPr>
              <w:jc w:val="center"/>
              <w:rPr>
                <w:rFonts w:hAnsi="宋体"/>
                <w:bCs/>
                <w:szCs w:val="21"/>
              </w:rPr>
            </w:pPr>
            <w:r>
              <w:rPr>
                <w:rFonts w:hAnsi="宋体"/>
                <w:bCs/>
                <w:szCs w:val="21"/>
              </w:rPr>
            </w:r>
            <w:r/>
          </w:p>
        </w:tc>
        <w:tc>
          <w:tcPr>
            <w:tcW w:w="1275" w:type="dxa"/>
            <w:vAlign w:val="center"/>
            <w:textDirection w:val="lrTb"/>
            <w:noWrap w:val="false"/>
          </w:tcPr>
          <w:p>
            <w:pPr>
              <w:jc w:val="center"/>
              <w:rPr>
                <w:rFonts w:hAnsi="宋体"/>
                <w:bCs/>
                <w:szCs w:val="21"/>
              </w:rPr>
            </w:pPr>
            <w:r>
              <w:rPr>
                <w:rFonts w:hAnsi="宋体"/>
                <w:bCs/>
                <w:szCs w:val="21"/>
              </w:rPr>
            </w:r>
            <w:r/>
          </w:p>
        </w:tc>
        <w:tc>
          <w:tcPr>
            <w:tcW w:w="1434" w:type="dxa"/>
            <w:vAlign w:val="center"/>
            <w:textDirection w:val="lrTb"/>
            <w:noWrap w:val="false"/>
          </w:tcPr>
          <w:p>
            <w:pPr>
              <w:jc w:val="center"/>
              <w:rPr>
                <w:rFonts w:hAnsi="宋体"/>
                <w:bCs/>
                <w:szCs w:val="21"/>
              </w:rPr>
            </w:pPr>
            <w:r>
              <w:rPr>
                <w:rFonts w:hAnsi="宋体"/>
                <w:bCs/>
                <w:szCs w:val="21"/>
              </w:rPr>
            </w:r>
            <w:r/>
          </w:p>
        </w:tc>
      </w:tr>
      <w:tr>
        <w:trPr>
          <w:jc w:val="center"/>
          <w:trHeight w:val="455"/>
        </w:trPr>
        <w:tc>
          <w:tcPr>
            <w:tcW w:w="688" w:type="dxa"/>
            <w:vAlign w:val="center"/>
            <w:textDirection w:val="lrTb"/>
            <w:noWrap w:val="false"/>
          </w:tcPr>
          <w:p>
            <w:pPr>
              <w:jc w:val="center"/>
              <w:rPr>
                <w:rFonts w:hAnsi="宋体"/>
                <w:bCs/>
                <w:szCs w:val="21"/>
              </w:rPr>
            </w:pPr>
            <w:r>
              <w:rPr>
                <w:rFonts w:hint="eastAsia" w:hAnsi="宋体"/>
                <w:bCs/>
                <w:szCs w:val="21"/>
              </w:rPr>
              <w:t xml:space="preserve">合计</w:t>
            </w:r>
            <w:r/>
          </w:p>
        </w:tc>
        <w:tc>
          <w:tcPr>
            <w:tcW w:w="2268" w:type="dxa"/>
            <w:vAlign w:val="center"/>
            <w:textDirection w:val="lrTb"/>
            <w:noWrap w:val="false"/>
          </w:tcPr>
          <w:p>
            <w:pPr>
              <w:jc w:val="center"/>
              <w:rPr>
                <w:rFonts w:hAnsi="宋体"/>
                <w:bCs/>
                <w:szCs w:val="21"/>
              </w:rPr>
            </w:pPr>
            <w:r>
              <w:rPr>
                <w:rFonts w:hint="eastAsia" w:hAnsi="宋体"/>
                <w:bCs/>
                <w:szCs w:val="21"/>
              </w:rPr>
              <w:t xml:space="preserve">总价</w:t>
            </w:r>
            <w:r/>
          </w:p>
        </w:tc>
        <w:tc>
          <w:tcPr>
            <w:gridSpan w:val="4"/>
            <w:tcW w:w="4836" w:type="dxa"/>
            <w:vAlign w:val="center"/>
            <w:textDirection w:val="lrTb"/>
            <w:noWrap w:val="false"/>
          </w:tcPr>
          <w:p>
            <w:pPr>
              <w:jc w:val="left"/>
              <w:rPr>
                <w:rFonts w:hAnsi="宋体"/>
                <w:bCs/>
                <w:szCs w:val="21"/>
              </w:rPr>
            </w:pPr>
            <w:r>
              <w:rPr>
                <w:rFonts w:hint="eastAsia" w:hAnsi="宋体"/>
                <w:bCs/>
                <w:szCs w:val="21"/>
              </w:rPr>
              <w:t xml:space="preserve">大写：</w:t>
            </w:r>
            <w:r>
              <w:rPr>
                <w:rFonts w:hint="eastAsia" w:hAnsi="宋体"/>
                <w:bCs/>
                <w:szCs w:val="21"/>
              </w:rPr>
              <w:t xml:space="preserve">                      </w:t>
            </w:r>
            <w:r>
              <w:rPr>
                <w:rFonts w:hint="eastAsia" w:hAnsi="宋体"/>
                <w:bCs/>
                <w:szCs w:val="21"/>
              </w:rPr>
              <w:t xml:space="preserve">小写：</w:t>
            </w:r>
            <w:r/>
          </w:p>
        </w:tc>
      </w:tr>
      <w:tr>
        <w:trPr>
          <w:jc w:val="center"/>
          <w:trHeight w:val="455"/>
        </w:trPr>
        <w:tc>
          <w:tcPr>
            <w:tcW w:w="688" w:type="dxa"/>
            <w:vAlign w:val="center"/>
            <w:textDirection w:val="lrTb"/>
            <w:noWrap w:val="false"/>
          </w:tcPr>
          <w:p>
            <w:pPr>
              <w:jc w:val="center"/>
              <w:rPr>
                <w:rFonts w:hAnsi="宋体"/>
                <w:bCs/>
                <w:szCs w:val="21"/>
              </w:rPr>
            </w:pPr>
            <w:r>
              <w:rPr>
                <w:rFonts w:hAnsi="宋体"/>
                <w:bCs/>
                <w:szCs w:val="21"/>
              </w:rPr>
            </w:r>
            <w:r/>
          </w:p>
        </w:tc>
        <w:tc>
          <w:tcPr>
            <w:tcW w:w="2268" w:type="dxa"/>
            <w:vAlign w:val="center"/>
            <w:textDirection w:val="lrTb"/>
            <w:noWrap w:val="false"/>
          </w:tcPr>
          <w:p>
            <w:pPr>
              <w:jc w:val="center"/>
              <w:rPr>
                <w:rFonts w:hAnsi="宋体"/>
                <w:bCs/>
                <w:szCs w:val="21"/>
              </w:rPr>
            </w:pPr>
            <w:r>
              <w:rPr>
                <w:rFonts w:hint="eastAsia" w:hAnsi="宋体"/>
                <w:bCs/>
                <w:color w:val="ee0000"/>
                <w:szCs w:val="21"/>
              </w:rPr>
              <w:t xml:space="preserve">综合单价（单份餐费报价）</w:t>
            </w:r>
            <w:r/>
          </w:p>
        </w:tc>
        <w:tc>
          <w:tcPr>
            <w:gridSpan w:val="4"/>
            <w:tcW w:w="4836" w:type="dxa"/>
            <w:vAlign w:val="center"/>
            <w:textDirection w:val="lrTb"/>
            <w:noWrap w:val="false"/>
          </w:tcPr>
          <w:p>
            <w:pPr>
              <w:rPr>
                <w:rFonts w:hAnsi="宋体"/>
                <w:bCs/>
                <w:szCs w:val="21"/>
              </w:rPr>
            </w:pPr>
            <w:r>
              <w:rPr>
                <w:rFonts w:hint="eastAsia" w:hAnsi="宋体"/>
                <w:bCs/>
                <w:szCs w:val="21"/>
              </w:rPr>
              <w:t xml:space="preserve">大写：</w:t>
            </w:r>
            <w:r>
              <w:rPr>
                <w:rFonts w:hint="eastAsia" w:hAnsi="宋体"/>
                <w:bCs/>
                <w:szCs w:val="21"/>
              </w:rPr>
              <w:t xml:space="preserve">                      </w:t>
            </w:r>
            <w:r>
              <w:rPr>
                <w:rFonts w:hint="eastAsia" w:hAnsi="宋体"/>
                <w:bCs/>
                <w:szCs w:val="21"/>
              </w:rPr>
              <w:t xml:space="preserve">小写：</w:t>
            </w:r>
            <w:r/>
          </w:p>
        </w:tc>
      </w:tr>
    </w:tbl>
    <w:p>
      <w:pPr>
        <w:ind w:firstLine="566"/>
        <w:spacing w:line="360" w:lineRule="auto"/>
        <w:rPr>
          <w:rFonts w:ascii="宋体" w:hAnsi="宋体"/>
          <w:color w:val="000000"/>
          <w:sz w:val="24"/>
        </w:rPr>
      </w:pPr>
      <w:r>
        <w:rPr>
          <w:rFonts w:hint="eastAsia" w:ascii="宋体" w:hAnsi="宋体"/>
          <w:color w:val="000000"/>
          <w:sz w:val="24"/>
        </w:rPr>
        <w:t xml:space="preserve">1.行数不够，自行添加。</w:t>
      </w:r>
      <w:r/>
    </w:p>
    <w:p>
      <w:pPr>
        <w:ind w:firstLine="566"/>
        <w:spacing w:line="360" w:lineRule="auto"/>
        <w:rPr>
          <w:rFonts w:ascii="宋体" w:hAnsi="宋体"/>
          <w:color w:val="000000"/>
          <w:sz w:val="24"/>
          <w:szCs w:val="21"/>
        </w:rPr>
      </w:pPr>
      <w:r>
        <w:rPr>
          <w:rFonts w:hint="eastAsia" w:ascii="宋体" w:hAnsi="宋体"/>
          <w:color w:val="000000"/>
          <w:sz w:val="24"/>
        </w:rPr>
        <w:t xml:space="preserve">2.报价</w:t>
      </w:r>
      <w:r>
        <w:rPr>
          <w:rFonts w:hint="eastAsia" w:ascii="宋体" w:hAnsi="宋体"/>
          <w:color w:val="000000"/>
          <w:sz w:val="24"/>
          <w:szCs w:val="21"/>
        </w:rPr>
        <w:t xml:space="preserve">采用总承包方式，配餐价格中包括但不限于食材费、生产加工费、人工费、配送供应服务费、投入设备及车辆费、各项税费、不可预见费等完成本项目所需的一切涉及的费用，采购人不再支付配餐价格之外的任何相关费用。</w:t>
      </w:r>
      <w:r/>
    </w:p>
    <w:p>
      <w:pPr>
        <w:ind w:firstLine="566"/>
        <w:spacing w:line="360" w:lineRule="auto"/>
        <w:rPr>
          <w:rFonts w:ascii="宋体" w:hAnsi="宋体"/>
          <w:color w:val="000000"/>
          <w:sz w:val="24"/>
          <w:szCs w:val="21"/>
        </w:rPr>
      </w:pPr>
      <w:r>
        <w:rPr>
          <w:rFonts w:hint="eastAsia" w:ascii="宋体" w:hAnsi="宋体"/>
          <w:color w:val="000000"/>
          <w:sz w:val="24"/>
          <w:szCs w:val="21"/>
        </w:rPr>
        <w:t xml:space="preserve">3.“分项明细费用表”中“综合单价”数额应当与“报价表”中“每份餐费报价”数额一致。</w:t>
      </w:r>
      <w:r/>
    </w:p>
    <w:p>
      <w:pPr>
        <w:pStyle w:val="855"/>
        <w:ind w:firstLine="645"/>
        <w:jc w:val="both"/>
        <w:spacing w:beforeAutospacing="0" w:afterAutospacing="0" w:line="0" w:lineRule="atLeast"/>
      </w:pPr>
      <w:r/>
      <w:r/>
    </w:p>
    <w:p>
      <w:pPr>
        <w:pStyle w:val="855"/>
        <w:ind w:firstLine="645"/>
        <w:jc w:val="both"/>
        <w:spacing w:beforeAutospacing="0" w:afterAutospacing="0" w:line="0" w:lineRule="atLeast"/>
      </w:pPr>
      <w:r/>
      <w:r/>
    </w:p>
    <w:p>
      <w:pPr>
        <w:pStyle w:val="855"/>
        <w:ind w:firstLine="645"/>
        <w:jc w:val="both"/>
        <w:spacing w:beforeAutospacing="0" w:afterAutospacing="0" w:line="0" w:lineRule="atLeast"/>
      </w:pPr>
      <w:r/>
      <w:r/>
    </w:p>
    <w:p>
      <w:pPr>
        <w:pStyle w:val="855"/>
        <w:ind w:firstLine="645"/>
        <w:jc w:val="both"/>
        <w:spacing w:beforeAutospacing="0" w:afterAutospacing="0" w:line="0" w:lineRule="atLeast"/>
      </w:pPr>
      <w:r/>
      <w:r/>
    </w:p>
    <w:p>
      <w:pPr>
        <w:pStyle w:val="855"/>
        <w:ind w:firstLine="645"/>
        <w:jc w:val="both"/>
        <w:spacing w:beforeAutospacing="0" w:afterAutospacing="0" w:line="0" w:lineRule="atLeast"/>
      </w:pPr>
      <w:r/>
      <w:r/>
    </w:p>
    <w:p>
      <w:pPr>
        <w:pStyle w:val="855"/>
        <w:ind w:firstLine="645"/>
        <w:jc w:val="both"/>
        <w:spacing w:beforeAutospacing="0" w:afterAutospacing="0" w:line="0" w:lineRule="atLeast"/>
      </w:pPr>
      <w:r/>
      <w:r/>
    </w:p>
    <w:p>
      <w:pPr>
        <w:pStyle w:val="855"/>
        <w:ind w:firstLine="645"/>
        <w:jc w:val="both"/>
        <w:spacing w:beforeAutospacing="0" w:afterAutospacing="0" w:line="0" w:lineRule="atLeast"/>
      </w:pPr>
      <w:r>
        <w:t xml:space="preserve"> </w:t>
      </w:r>
      <w:r/>
    </w:p>
    <w:p>
      <w:pPr>
        <w:pStyle w:val="855"/>
        <w:ind w:firstLine="645"/>
        <w:jc w:val="both"/>
        <w:spacing w:beforeAutospacing="0" w:afterAutospacing="0" w:line="0" w:lineRule="atLeast"/>
      </w:pPr>
      <w:r/>
      <w:r/>
    </w:p>
    <w:p>
      <w:pPr>
        <w:pStyle w:val="855"/>
        <w:ind w:firstLine="645"/>
        <w:jc w:val="both"/>
        <w:spacing w:beforeAutospacing="0" w:afterAutospacing="0" w:line="0" w:lineRule="atLeast"/>
      </w:pPr>
      <w:r/>
      <w:r/>
    </w:p>
    <w:p>
      <w:pPr>
        <w:pStyle w:val="855"/>
        <w:jc w:val="both"/>
        <w:spacing w:beforeAutospacing="0" w:afterAutospacing="0" w:line="0" w:lineRule="atLeast"/>
      </w:pPr>
      <w:r>
        <w:t xml:space="preserve"> </w:t>
      </w:r>
      <w:r/>
    </w:p>
    <w:p>
      <w:pPr>
        <w:pStyle w:val="855"/>
        <w:jc w:val="both"/>
        <w:spacing w:beforeAutospacing="0" w:afterAutospacing="0" w:line="0" w:lineRule="atLeast"/>
      </w:pPr>
      <w:r>
        <w:t xml:space="preserve"> </w:t>
      </w:r>
      <w:r/>
    </w:p>
    <w:p>
      <w:pPr>
        <w:pStyle w:val="855"/>
        <w:jc w:val="center"/>
        <w:spacing w:beforeAutospacing="0" w:afterAutospacing="0"/>
        <w:rPr>
          <w:i/>
          <w:iCs/>
          <w:u w:val="single"/>
        </w:rPr>
      </w:pPr>
      <w:r>
        <w:t xml:space="preserve"> </w:t>
      </w:r>
      <w:r>
        <w:rPr>
          <w:rFonts w:hint="eastAsia" w:ascii="黑体" w:hAnsi="宋体" w:eastAsia="黑体" w:cs="黑体"/>
          <w:b/>
          <w:i/>
          <w:iCs/>
          <w:color w:val="000000"/>
          <w:sz w:val="32"/>
          <w:szCs w:val="32"/>
          <w:u w:val="single"/>
        </w:rPr>
        <w:t xml:space="preserve">十四、服务承诺函</w:t>
      </w:r>
      <w:r/>
    </w:p>
    <w:tbl>
      <w:tblPr>
        <w:tblW w:w="852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36"/>
        <w:gridCol w:w="1843"/>
        <w:gridCol w:w="1417"/>
        <w:gridCol w:w="992"/>
        <w:gridCol w:w="3432"/>
      </w:tblGrid>
      <w:tr>
        <w:trPr>
          <w:tblCellSpacing w:w="0" w:type="dxa"/>
        </w:trPr>
        <w:tc>
          <w:tcPr>
            <w:tcW w:w="836" w:type="dxa"/>
            <w:vAlign w:val="center"/>
            <w:textDirection w:val="lrTb"/>
            <w:noWrap w:val="false"/>
          </w:tcPr>
          <w:p>
            <w:pPr>
              <w:pStyle w:val="855"/>
              <w:jc w:val="center"/>
              <w:spacing w:beforeAutospacing="0" w:afterAutospacing="0"/>
              <w:rPr>
                <w:sz w:val="21"/>
                <w:szCs w:val="21"/>
              </w:rPr>
            </w:pPr>
            <w:r>
              <w:rPr>
                <w:rFonts w:hint="eastAsia"/>
                <w:sz w:val="21"/>
                <w:szCs w:val="21"/>
              </w:rPr>
              <w:t xml:space="preserve">序号</w:t>
            </w:r>
            <w:r/>
          </w:p>
        </w:tc>
        <w:tc>
          <w:tcPr>
            <w:tcW w:w="1843" w:type="dxa"/>
            <w:vAlign w:val="center"/>
            <w:textDirection w:val="lrTb"/>
            <w:noWrap w:val="false"/>
          </w:tcPr>
          <w:p>
            <w:pPr>
              <w:pStyle w:val="855"/>
              <w:jc w:val="center"/>
              <w:spacing w:beforeAutospacing="0" w:afterAutospacing="0"/>
              <w:rPr>
                <w:sz w:val="21"/>
                <w:szCs w:val="21"/>
              </w:rPr>
            </w:pPr>
            <w:r>
              <w:rPr>
                <w:rFonts w:hint="eastAsia"/>
                <w:sz w:val="21"/>
                <w:szCs w:val="21"/>
              </w:rPr>
              <w:t xml:space="preserve">招标文件要求</w:t>
            </w:r>
            <w:r/>
          </w:p>
        </w:tc>
        <w:tc>
          <w:tcPr>
            <w:tcW w:w="1417" w:type="dxa"/>
            <w:vAlign w:val="center"/>
            <w:textDirection w:val="lrTb"/>
            <w:noWrap w:val="false"/>
          </w:tcPr>
          <w:p>
            <w:pPr>
              <w:pStyle w:val="855"/>
              <w:jc w:val="center"/>
              <w:spacing w:beforeAutospacing="0" w:afterAutospacing="0"/>
              <w:rPr>
                <w:sz w:val="21"/>
                <w:szCs w:val="21"/>
              </w:rPr>
            </w:pPr>
            <w:r>
              <w:rPr>
                <w:rFonts w:hint="eastAsia"/>
                <w:sz w:val="21"/>
                <w:szCs w:val="21"/>
              </w:rPr>
              <w:t xml:space="preserve">响应情况</w:t>
            </w:r>
            <w:r/>
          </w:p>
        </w:tc>
        <w:tc>
          <w:tcPr>
            <w:tcW w:w="992" w:type="dxa"/>
            <w:vAlign w:val="center"/>
            <w:textDirection w:val="lrTb"/>
            <w:noWrap w:val="false"/>
          </w:tcPr>
          <w:p>
            <w:pPr>
              <w:pStyle w:val="855"/>
              <w:jc w:val="center"/>
              <w:spacing w:beforeAutospacing="0" w:afterAutospacing="0"/>
              <w:rPr>
                <w:sz w:val="21"/>
                <w:szCs w:val="21"/>
              </w:rPr>
            </w:pPr>
            <w:r>
              <w:rPr>
                <w:rFonts w:hint="eastAsia"/>
                <w:sz w:val="21"/>
                <w:szCs w:val="21"/>
              </w:rPr>
              <w:t xml:space="preserve">超出、符合或偏离</w:t>
            </w:r>
            <w:r/>
          </w:p>
        </w:tc>
        <w:tc>
          <w:tcPr>
            <w:tcW w:w="3432" w:type="dxa"/>
            <w:vAlign w:val="center"/>
            <w:textDirection w:val="lrTb"/>
            <w:noWrap w:val="false"/>
          </w:tcPr>
          <w:p>
            <w:pPr>
              <w:pStyle w:val="855"/>
              <w:jc w:val="center"/>
              <w:spacing w:beforeAutospacing="0" w:afterAutospacing="0"/>
              <w:rPr>
                <w:sz w:val="21"/>
                <w:szCs w:val="21"/>
              </w:rPr>
            </w:pPr>
            <w:r>
              <w:rPr>
                <w:rFonts w:hint="eastAsia"/>
                <w:sz w:val="21"/>
                <w:szCs w:val="21"/>
              </w:rPr>
              <w:t xml:space="preserve">证明</w:t>
            </w:r>
            <w:r/>
          </w:p>
          <w:p>
            <w:pPr>
              <w:pStyle w:val="855"/>
              <w:jc w:val="center"/>
              <w:spacing w:beforeAutospacing="0" w:afterAutospacing="0"/>
              <w:rPr>
                <w:sz w:val="21"/>
                <w:szCs w:val="21"/>
              </w:rPr>
            </w:pPr>
            <w:r>
              <w:rPr>
                <w:rFonts w:hint="eastAsia"/>
                <w:sz w:val="21"/>
                <w:szCs w:val="21"/>
              </w:rPr>
              <w:t xml:space="preserve">材料</w:t>
            </w:r>
            <w:r/>
          </w:p>
        </w:tc>
      </w:tr>
      <w:tr>
        <w:trPr>
          <w:tblCellSpacing w:w="0" w:type="dxa"/>
          <w:trHeight w:val="640"/>
        </w:trPr>
        <w:tc>
          <w:tcPr>
            <w:tcW w:w="836" w:type="dxa"/>
            <w:vAlign w:val="center"/>
            <w:textDirection w:val="lrTb"/>
            <w:noWrap w:val="false"/>
          </w:tcPr>
          <w:p>
            <w:pPr>
              <w:pStyle w:val="855"/>
              <w:jc w:val="center"/>
              <w:spacing w:beforeAutospacing="0" w:afterAutospacing="0"/>
              <w:rPr>
                <w:sz w:val="21"/>
                <w:szCs w:val="21"/>
              </w:rPr>
            </w:pPr>
            <w:r>
              <w:rPr>
                <w:sz w:val="21"/>
                <w:szCs w:val="21"/>
              </w:rPr>
              <w:t xml:space="preserve"> </w:t>
            </w:r>
            <w:r>
              <w:rPr>
                <w:rFonts w:hint="eastAsia"/>
                <w:sz w:val="21"/>
                <w:szCs w:val="21"/>
              </w:rPr>
              <w:t xml:space="preserve">1</w:t>
            </w:r>
            <w:r/>
          </w:p>
        </w:tc>
        <w:tc>
          <w:tcPr>
            <w:tcW w:w="1843" w:type="dxa"/>
            <w:vAlign w:val="center"/>
            <w:textDirection w:val="lrTb"/>
            <w:noWrap w:val="false"/>
          </w:tcPr>
          <w:p>
            <w:pPr>
              <w:pStyle w:val="855"/>
              <w:jc w:val="center"/>
              <w:spacing w:beforeAutospacing="0" w:afterAutospacing="0"/>
              <w:rPr>
                <w:sz w:val="21"/>
                <w:szCs w:val="21"/>
              </w:rPr>
            </w:pPr>
            <w:r>
              <w:rPr>
                <w:rFonts w:hint="eastAsia"/>
                <w:sz w:val="21"/>
                <w:szCs w:val="21"/>
              </w:rPr>
              <w:t xml:space="preserve">项目概况内容</w:t>
            </w:r>
            <w:r>
              <w:rPr>
                <w:sz w:val="21"/>
                <w:szCs w:val="21"/>
              </w:rPr>
              <w:t xml:space="preserve"> </w:t>
            </w:r>
            <w:r/>
          </w:p>
        </w:tc>
        <w:tc>
          <w:tcPr>
            <w:tcW w:w="1417" w:type="dxa"/>
            <w:vAlign w:val="center"/>
            <w:textDirection w:val="lrTb"/>
            <w:noWrap w:val="false"/>
          </w:tcPr>
          <w:p>
            <w:pPr>
              <w:pStyle w:val="855"/>
              <w:jc w:val="center"/>
              <w:spacing w:beforeAutospacing="0" w:afterAutospacing="0"/>
              <w:rPr>
                <w:sz w:val="21"/>
                <w:szCs w:val="21"/>
              </w:rPr>
            </w:pPr>
            <w:r>
              <w:rPr>
                <w:rFonts w:hint="eastAsia"/>
                <w:sz w:val="21"/>
                <w:szCs w:val="21"/>
              </w:rPr>
              <w:t xml:space="preserve">项目概况内容</w:t>
            </w:r>
            <w:r>
              <w:rPr>
                <w:sz w:val="21"/>
                <w:szCs w:val="21"/>
              </w:rPr>
              <w:t xml:space="preserve">  </w:t>
            </w:r>
            <w:r/>
          </w:p>
        </w:tc>
        <w:tc>
          <w:tcPr>
            <w:tcW w:w="992" w:type="dxa"/>
            <w:vAlign w:val="center"/>
            <w:textDirection w:val="lrTb"/>
            <w:noWrap w:val="false"/>
          </w:tcPr>
          <w:p>
            <w:pPr>
              <w:pStyle w:val="855"/>
              <w:jc w:val="center"/>
              <w:spacing w:beforeAutospacing="0" w:afterAutospacing="0"/>
              <w:rPr>
                <w:sz w:val="21"/>
                <w:szCs w:val="21"/>
              </w:rPr>
            </w:pPr>
            <w:r>
              <w:rPr>
                <w:rFonts w:hint="eastAsia"/>
                <w:sz w:val="21"/>
                <w:szCs w:val="21"/>
              </w:rPr>
              <w:t xml:space="preserve">符合</w:t>
            </w:r>
            <w:r>
              <w:rPr>
                <w:sz w:val="21"/>
                <w:szCs w:val="21"/>
              </w:rPr>
              <w:t xml:space="preserve"> </w:t>
            </w:r>
            <w:r/>
          </w:p>
        </w:tc>
        <w:tc>
          <w:tcPr>
            <w:tcW w:w="3432" w:type="dxa"/>
            <w:vAlign w:val="center"/>
            <w:textDirection w:val="lrTb"/>
            <w:noWrap w:val="false"/>
          </w:tcPr>
          <w:p>
            <w:pPr>
              <w:pStyle w:val="855"/>
              <w:jc w:val="center"/>
              <w:spacing w:beforeAutospacing="0" w:afterAutospacing="0"/>
              <w:rPr>
                <w:sz w:val="21"/>
                <w:szCs w:val="21"/>
              </w:rPr>
            </w:pPr>
            <w:r>
              <w:rPr>
                <w:sz w:val="21"/>
                <w:szCs w:val="21"/>
              </w:rPr>
              <w:t xml:space="preserve"> </w:t>
            </w:r>
            <w:r/>
          </w:p>
        </w:tc>
      </w:tr>
      <w:tr>
        <w:trPr>
          <w:tblCellSpacing w:w="0" w:type="dxa"/>
          <w:trHeight w:val="640"/>
        </w:trPr>
        <w:tc>
          <w:tcPr>
            <w:tcW w:w="836" w:type="dxa"/>
            <w:vAlign w:val="center"/>
            <w:textDirection w:val="lrTb"/>
            <w:noWrap w:val="false"/>
          </w:tcPr>
          <w:p>
            <w:pPr>
              <w:pStyle w:val="855"/>
              <w:jc w:val="center"/>
              <w:spacing w:beforeAutospacing="0" w:afterAutospacing="0"/>
              <w:rPr>
                <w:sz w:val="21"/>
                <w:szCs w:val="21"/>
              </w:rPr>
            </w:pPr>
            <w:r>
              <w:rPr>
                <w:sz w:val="21"/>
                <w:szCs w:val="21"/>
              </w:rPr>
              <w:t xml:space="preserve"> </w:t>
            </w:r>
            <w:r>
              <w:rPr>
                <w:rFonts w:hint="eastAsia"/>
                <w:sz w:val="21"/>
                <w:szCs w:val="21"/>
              </w:rPr>
              <w:t xml:space="preserve">2</w:t>
            </w:r>
            <w:r/>
          </w:p>
        </w:tc>
        <w:tc>
          <w:tcPr>
            <w:tcW w:w="1843" w:type="dxa"/>
            <w:vAlign w:val="center"/>
            <w:textDirection w:val="lrTb"/>
            <w:noWrap w:val="false"/>
          </w:tcPr>
          <w:p>
            <w:pPr>
              <w:pStyle w:val="855"/>
              <w:jc w:val="center"/>
              <w:spacing w:beforeAutospacing="0" w:afterAutospacing="0"/>
              <w:rPr>
                <w:sz w:val="21"/>
                <w:szCs w:val="21"/>
              </w:rPr>
            </w:pPr>
            <w:r>
              <w:rPr>
                <w:sz w:val="21"/>
                <w:szCs w:val="21"/>
              </w:rPr>
              <w:t xml:space="preserve">服务</w:t>
            </w:r>
            <w:r>
              <w:rPr>
                <w:rFonts w:hint="eastAsia"/>
                <w:sz w:val="21"/>
                <w:szCs w:val="21"/>
              </w:rPr>
              <w:t xml:space="preserve">要求内容</w:t>
            </w:r>
            <w:r>
              <w:rPr>
                <w:sz w:val="21"/>
                <w:szCs w:val="21"/>
              </w:rPr>
              <w:t xml:space="preserve"> </w:t>
            </w:r>
            <w:r/>
          </w:p>
        </w:tc>
        <w:tc>
          <w:tcPr>
            <w:tcW w:w="1417" w:type="dxa"/>
            <w:vAlign w:val="center"/>
            <w:textDirection w:val="lrTb"/>
            <w:noWrap w:val="false"/>
          </w:tcPr>
          <w:p>
            <w:pPr>
              <w:pStyle w:val="855"/>
              <w:jc w:val="center"/>
              <w:spacing w:beforeAutospacing="0" w:afterAutospacing="0"/>
              <w:rPr>
                <w:sz w:val="21"/>
                <w:szCs w:val="21"/>
              </w:rPr>
            </w:pPr>
            <w:r>
              <w:rPr>
                <w:sz w:val="21"/>
                <w:szCs w:val="21"/>
              </w:rPr>
              <w:t xml:space="preserve">服务</w:t>
            </w:r>
            <w:r>
              <w:rPr>
                <w:rFonts w:hint="eastAsia"/>
                <w:sz w:val="21"/>
                <w:szCs w:val="21"/>
              </w:rPr>
              <w:t xml:space="preserve">要求内容</w:t>
            </w:r>
            <w:r>
              <w:rPr>
                <w:sz w:val="21"/>
                <w:szCs w:val="21"/>
              </w:rPr>
              <w:t xml:space="preserve">  </w:t>
            </w:r>
            <w:r/>
          </w:p>
        </w:tc>
        <w:tc>
          <w:tcPr>
            <w:tcW w:w="992" w:type="dxa"/>
            <w:vAlign w:val="center"/>
            <w:textDirection w:val="lrTb"/>
            <w:noWrap w:val="false"/>
          </w:tcPr>
          <w:p>
            <w:pPr>
              <w:pStyle w:val="855"/>
              <w:jc w:val="center"/>
              <w:spacing w:beforeAutospacing="0" w:afterAutospacing="0"/>
              <w:rPr>
                <w:sz w:val="21"/>
                <w:szCs w:val="21"/>
              </w:rPr>
            </w:pPr>
            <w:r>
              <w:rPr>
                <w:rFonts w:hint="eastAsia"/>
                <w:sz w:val="21"/>
                <w:szCs w:val="21"/>
              </w:rPr>
              <w:t xml:space="preserve">符合</w:t>
            </w:r>
            <w:r>
              <w:rPr>
                <w:sz w:val="21"/>
                <w:szCs w:val="21"/>
              </w:rPr>
              <w:t xml:space="preserve"> </w:t>
            </w:r>
            <w:r/>
          </w:p>
        </w:tc>
        <w:tc>
          <w:tcPr>
            <w:tcW w:w="3432" w:type="dxa"/>
            <w:vAlign w:val="center"/>
            <w:textDirection w:val="lrTb"/>
            <w:noWrap w:val="false"/>
          </w:tcPr>
          <w:p>
            <w:pPr>
              <w:pStyle w:val="855"/>
              <w:jc w:val="center"/>
              <w:spacing w:beforeAutospacing="0" w:afterAutospacing="0"/>
              <w:rPr>
                <w:sz w:val="21"/>
                <w:szCs w:val="21"/>
              </w:rPr>
            </w:pPr>
            <w:r>
              <w:rPr>
                <w:sz w:val="21"/>
                <w:szCs w:val="21"/>
              </w:rPr>
              <w:t xml:space="preserve"> </w:t>
            </w:r>
            <w:r/>
          </w:p>
        </w:tc>
      </w:tr>
      <w:tr>
        <w:trPr>
          <w:tblCellSpacing w:w="0" w:type="dxa"/>
          <w:trHeight w:val="640"/>
        </w:trPr>
        <w:tc>
          <w:tcPr>
            <w:tcW w:w="836" w:type="dxa"/>
            <w:vAlign w:val="center"/>
            <w:textDirection w:val="lrTb"/>
            <w:noWrap w:val="false"/>
          </w:tcPr>
          <w:p>
            <w:pPr>
              <w:pStyle w:val="855"/>
              <w:jc w:val="center"/>
              <w:spacing w:beforeAutospacing="0" w:afterAutospacing="0"/>
              <w:rPr>
                <w:sz w:val="21"/>
                <w:szCs w:val="21"/>
              </w:rPr>
            </w:pPr>
            <w:r>
              <w:rPr>
                <w:rFonts w:hint="eastAsia"/>
                <w:sz w:val="21"/>
                <w:szCs w:val="21"/>
              </w:rPr>
              <w:t xml:space="preserve">2.1</w:t>
            </w:r>
            <w:r/>
          </w:p>
        </w:tc>
        <w:tc>
          <w:tcPr>
            <w:tcW w:w="1843" w:type="dxa"/>
            <w:vAlign w:val="center"/>
            <w:textDirection w:val="lrTb"/>
            <w:noWrap w:val="false"/>
          </w:tcPr>
          <w:p>
            <w:pPr>
              <w:pStyle w:val="855"/>
              <w:jc w:val="center"/>
              <w:spacing w:beforeAutospacing="0" w:afterAutospacing="0"/>
              <w:rPr>
                <w:sz w:val="21"/>
                <w:szCs w:val="21"/>
              </w:rPr>
            </w:pPr>
            <w:r>
              <w:rPr>
                <w:rFonts w:hint="eastAsia"/>
                <w:sz w:val="21"/>
                <w:szCs w:val="21"/>
              </w:rPr>
              <w:t xml:space="preserve">餐食原材料的质量标准内容</w:t>
            </w:r>
            <w:r>
              <w:rPr>
                <w:sz w:val="21"/>
                <w:szCs w:val="21"/>
              </w:rPr>
              <w:t xml:space="preserve">  </w:t>
            </w:r>
            <w:r/>
          </w:p>
        </w:tc>
        <w:tc>
          <w:tcPr>
            <w:tcW w:w="1417" w:type="dxa"/>
            <w:vAlign w:val="center"/>
            <w:textDirection w:val="lrTb"/>
            <w:noWrap w:val="false"/>
          </w:tcPr>
          <w:p>
            <w:pPr>
              <w:pStyle w:val="855"/>
              <w:jc w:val="center"/>
              <w:spacing w:beforeAutospacing="0" w:afterAutospacing="0"/>
              <w:rPr>
                <w:sz w:val="21"/>
                <w:szCs w:val="21"/>
              </w:rPr>
            </w:pPr>
            <w:r>
              <w:rPr>
                <w:rFonts w:hint="eastAsia"/>
                <w:sz w:val="21"/>
                <w:szCs w:val="21"/>
              </w:rPr>
              <w:t xml:space="preserve">餐食原材料的质量标准内容</w:t>
            </w:r>
            <w:r>
              <w:rPr>
                <w:sz w:val="21"/>
                <w:szCs w:val="21"/>
              </w:rPr>
              <w:t xml:space="preserve">  </w:t>
            </w:r>
            <w:r/>
          </w:p>
        </w:tc>
        <w:tc>
          <w:tcPr>
            <w:tcW w:w="992" w:type="dxa"/>
            <w:vAlign w:val="center"/>
            <w:textDirection w:val="lrTb"/>
            <w:noWrap w:val="false"/>
          </w:tcPr>
          <w:p>
            <w:pPr>
              <w:pStyle w:val="855"/>
              <w:jc w:val="center"/>
              <w:spacing w:beforeAutospacing="0" w:afterAutospacing="0"/>
              <w:rPr>
                <w:sz w:val="21"/>
                <w:szCs w:val="21"/>
              </w:rPr>
            </w:pPr>
            <w:r>
              <w:rPr>
                <w:rFonts w:hint="eastAsia"/>
                <w:sz w:val="21"/>
                <w:szCs w:val="21"/>
              </w:rPr>
              <w:t xml:space="preserve">符合</w:t>
            </w:r>
            <w:r>
              <w:rPr>
                <w:sz w:val="21"/>
                <w:szCs w:val="21"/>
              </w:rPr>
              <w:t xml:space="preserve"> </w:t>
            </w:r>
            <w:r/>
          </w:p>
        </w:tc>
        <w:tc>
          <w:tcPr>
            <w:tcW w:w="3432" w:type="dxa"/>
            <w:vAlign w:val="center"/>
            <w:textDirection w:val="lrTb"/>
            <w:noWrap w:val="false"/>
          </w:tcPr>
          <w:p>
            <w:pPr>
              <w:pStyle w:val="855"/>
              <w:jc w:val="center"/>
              <w:spacing w:beforeAutospacing="0" w:afterAutospacing="0"/>
              <w:rPr>
                <w:sz w:val="21"/>
                <w:szCs w:val="21"/>
              </w:rPr>
            </w:pPr>
            <w:r>
              <w:rPr>
                <w:sz w:val="21"/>
                <w:szCs w:val="21"/>
              </w:rPr>
              <w:t xml:space="preserve"> </w:t>
            </w:r>
            <w:r/>
          </w:p>
        </w:tc>
      </w:tr>
      <w:tr>
        <w:trPr>
          <w:tblCellSpacing w:w="0" w:type="dxa"/>
          <w:trHeight w:val="640"/>
        </w:trPr>
        <w:tc>
          <w:tcPr>
            <w:tcW w:w="836" w:type="dxa"/>
            <w:vAlign w:val="center"/>
            <w:textDirection w:val="lrTb"/>
            <w:noWrap w:val="false"/>
          </w:tcPr>
          <w:p>
            <w:pPr>
              <w:pStyle w:val="855"/>
              <w:jc w:val="center"/>
              <w:spacing w:beforeAutospacing="0" w:afterAutospacing="0"/>
              <w:rPr>
                <w:sz w:val="21"/>
                <w:szCs w:val="21"/>
              </w:rPr>
            </w:pPr>
            <w:r>
              <w:rPr>
                <w:rFonts w:hint="eastAsia"/>
                <w:sz w:val="21"/>
                <w:szCs w:val="21"/>
              </w:rPr>
              <w:t xml:space="preserve">2.2</w:t>
            </w:r>
            <w:r/>
          </w:p>
        </w:tc>
        <w:tc>
          <w:tcPr>
            <w:tcW w:w="1843" w:type="dxa"/>
            <w:vAlign w:val="center"/>
            <w:textDirection w:val="lrTb"/>
            <w:noWrap w:val="false"/>
          </w:tcPr>
          <w:p>
            <w:pPr>
              <w:pStyle w:val="855"/>
              <w:jc w:val="center"/>
              <w:spacing w:beforeAutospacing="0" w:afterAutospacing="0"/>
              <w:rPr>
                <w:sz w:val="21"/>
                <w:szCs w:val="21"/>
              </w:rPr>
            </w:pPr>
            <w:r>
              <w:rPr>
                <w:rFonts w:hint="eastAsia"/>
                <w:sz w:val="21"/>
                <w:szCs w:val="21"/>
              </w:rPr>
              <w:t xml:space="preserve">配餐标准内容</w:t>
            </w:r>
            <w:r>
              <w:rPr>
                <w:sz w:val="21"/>
                <w:szCs w:val="21"/>
              </w:rPr>
              <w:t xml:space="preserve">  </w:t>
            </w:r>
            <w:r/>
          </w:p>
        </w:tc>
        <w:tc>
          <w:tcPr>
            <w:tcW w:w="1417" w:type="dxa"/>
            <w:vAlign w:val="center"/>
            <w:textDirection w:val="lrTb"/>
            <w:noWrap w:val="false"/>
          </w:tcPr>
          <w:p>
            <w:pPr>
              <w:pStyle w:val="855"/>
              <w:jc w:val="center"/>
              <w:spacing w:beforeAutospacing="0" w:afterAutospacing="0"/>
              <w:rPr>
                <w:sz w:val="21"/>
                <w:szCs w:val="21"/>
              </w:rPr>
            </w:pPr>
            <w:r>
              <w:rPr>
                <w:rFonts w:hint="eastAsia"/>
                <w:sz w:val="21"/>
                <w:szCs w:val="21"/>
              </w:rPr>
              <w:t xml:space="preserve">配餐标准内容</w:t>
            </w:r>
            <w:r>
              <w:rPr>
                <w:sz w:val="21"/>
                <w:szCs w:val="21"/>
              </w:rPr>
              <w:t xml:space="preserve">  </w:t>
            </w:r>
            <w:r/>
          </w:p>
        </w:tc>
        <w:tc>
          <w:tcPr>
            <w:tcW w:w="992" w:type="dxa"/>
            <w:vAlign w:val="center"/>
            <w:textDirection w:val="lrTb"/>
            <w:noWrap w:val="false"/>
          </w:tcPr>
          <w:p>
            <w:pPr>
              <w:pStyle w:val="855"/>
              <w:jc w:val="center"/>
              <w:spacing w:beforeAutospacing="0" w:afterAutospacing="0"/>
              <w:rPr>
                <w:sz w:val="21"/>
                <w:szCs w:val="21"/>
              </w:rPr>
            </w:pPr>
            <w:r>
              <w:rPr>
                <w:rFonts w:hint="eastAsia"/>
                <w:sz w:val="21"/>
                <w:szCs w:val="21"/>
              </w:rPr>
              <w:t xml:space="preserve">符合</w:t>
            </w:r>
            <w:r>
              <w:rPr>
                <w:sz w:val="21"/>
                <w:szCs w:val="21"/>
              </w:rPr>
              <w:t xml:space="preserve"> </w:t>
            </w:r>
            <w:r/>
          </w:p>
        </w:tc>
        <w:tc>
          <w:tcPr>
            <w:tcW w:w="3432" w:type="dxa"/>
            <w:vAlign w:val="center"/>
            <w:textDirection w:val="lrTb"/>
            <w:noWrap w:val="false"/>
          </w:tcPr>
          <w:p>
            <w:pPr>
              <w:pStyle w:val="855"/>
              <w:jc w:val="center"/>
              <w:spacing w:beforeAutospacing="0" w:afterAutospacing="0"/>
              <w:rPr>
                <w:sz w:val="21"/>
                <w:szCs w:val="21"/>
              </w:rPr>
            </w:pPr>
            <w:r>
              <w:rPr>
                <w:sz w:val="21"/>
                <w:szCs w:val="21"/>
              </w:rPr>
              <w:t xml:space="preserve"> </w:t>
            </w:r>
            <w:r/>
          </w:p>
        </w:tc>
      </w:tr>
      <w:tr>
        <w:trPr>
          <w:tblCellSpacing w:w="0" w:type="dxa"/>
          <w:trHeight w:val="640"/>
        </w:trPr>
        <w:tc>
          <w:tcPr>
            <w:tcW w:w="836" w:type="dxa"/>
            <w:vAlign w:val="center"/>
            <w:textDirection w:val="lrTb"/>
            <w:noWrap w:val="false"/>
          </w:tcPr>
          <w:p>
            <w:pPr>
              <w:pStyle w:val="855"/>
              <w:jc w:val="center"/>
              <w:spacing w:beforeAutospacing="0" w:afterAutospacing="0"/>
              <w:rPr>
                <w:sz w:val="21"/>
                <w:szCs w:val="21"/>
              </w:rPr>
            </w:pPr>
            <w:r>
              <w:rPr>
                <w:rFonts w:hint="eastAsia"/>
                <w:sz w:val="21"/>
                <w:szCs w:val="21"/>
              </w:rPr>
              <w:t xml:space="preserve">2.3</w:t>
            </w:r>
            <w:r/>
          </w:p>
        </w:tc>
        <w:tc>
          <w:tcPr>
            <w:tcW w:w="1843" w:type="dxa"/>
            <w:vAlign w:val="center"/>
            <w:textDirection w:val="lrTb"/>
            <w:noWrap w:val="false"/>
          </w:tcPr>
          <w:p>
            <w:pPr>
              <w:pStyle w:val="855"/>
              <w:jc w:val="center"/>
              <w:spacing w:beforeAutospacing="0" w:afterAutospacing="0"/>
              <w:rPr>
                <w:sz w:val="21"/>
                <w:szCs w:val="21"/>
              </w:rPr>
            </w:pPr>
            <w:r>
              <w:rPr>
                <w:rFonts w:hint="eastAsia"/>
                <w:sz w:val="21"/>
                <w:szCs w:val="21"/>
              </w:rPr>
              <w:t xml:space="preserve">加工内容</w:t>
            </w:r>
            <w:r>
              <w:rPr>
                <w:sz w:val="21"/>
                <w:szCs w:val="21"/>
              </w:rPr>
              <w:t xml:space="preserve">  </w:t>
            </w:r>
            <w:r/>
          </w:p>
        </w:tc>
        <w:tc>
          <w:tcPr>
            <w:tcW w:w="1417" w:type="dxa"/>
            <w:vAlign w:val="center"/>
            <w:textDirection w:val="lrTb"/>
            <w:noWrap w:val="false"/>
          </w:tcPr>
          <w:p>
            <w:pPr>
              <w:pStyle w:val="855"/>
              <w:jc w:val="center"/>
              <w:spacing w:beforeAutospacing="0" w:afterAutospacing="0"/>
              <w:rPr>
                <w:sz w:val="21"/>
                <w:szCs w:val="21"/>
              </w:rPr>
            </w:pPr>
            <w:r>
              <w:rPr>
                <w:rFonts w:hint="eastAsia"/>
                <w:sz w:val="21"/>
                <w:szCs w:val="21"/>
              </w:rPr>
              <w:t xml:space="preserve">加工内容</w:t>
            </w:r>
            <w:r>
              <w:rPr>
                <w:sz w:val="21"/>
                <w:szCs w:val="21"/>
              </w:rPr>
              <w:t xml:space="preserve">  </w:t>
            </w:r>
            <w:r/>
          </w:p>
        </w:tc>
        <w:tc>
          <w:tcPr>
            <w:tcW w:w="992" w:type="dxa"/>
            <w:vAlign w:val="center"/>
            <w:textDirection w:val="lrTb"/>
            <w:noWrap w:val="false"/>
          </w:tcPr>
          <w:p>
            <w:pPr>
              <w:pStyle w:val="855"/>
              <w:jc w:val="center"/>
              <w:spacing w:beforeAutospacing="0" w:afterAutospacing="0"/>
              <w:rPr>
                <w:sz w:val="21"/>
                <w:szCs w:val="21"/>
              </w:rPr>
            </w:pPr>
            <w:r>
              <w:rPr>
                <w:sz w:val="21"/>
                <w:szCs w:val="21"/>
              </w:rPr>
              <w:t xml:space="preserve"> </w:t>
            </w:r>
            <w:r>
              <w:rPr>
                <w:rFonts w:hint="eastAsia"/>
                <w:sz w:val="21"/>
                <w:szCs w:val="21"/>
              </w:rPr>
              <w:t xml:space="preserve">符合</w:t>
            </w:r>
            <w:r/>
          </w:p>
        </w:tc>
        <w:tc>
          <w:tcPr>
            <w:tcW w:w="3432" w:type="dxa"/>
            <w:vAlign w:val="center"/>
            <w:textDirection w:val="lrTb"/>
            <w:noWrap w:val="false"/>
          </w:tcPr>
          <w:p>
            <w:pPr>
              <w:pStyle w:val="855"/>
              <w:spacing w:beforeAutospacing="0" w:afterAutospacing="0"/>
              <w:rPr>
                <w:sz w:val="21"/>
                <w:szCs w:val="21"/>
              </w:rPr>
            </w:pPr>
            <w:r>
              <w:rPr>
                <w:rFonts w:hint="eastAsia"/>
                <w:color w:val="ff0000"/>
                <w:sz w:val="21"/>
                <w:szCs w:val="21"/>
              </w:rPr>
              <w:t xml:space="preserve">投标文件中须提供与经营许可证注册地址一致的场地使用证明。自有房屋提供房产证，租赁房屋提供租赁合同、房租发票或房租费转账材料。</w:t>
            </w:r>
            <w:r>
              <w:rPr>
                <w:color w:val="ff0000"/>
                <w:sz w:val="21"/>
                <w:szCs w:val="21"/>
              </w:rPr>
              <w:t xml:space="preserve"> </w:t>
            </w:r>
            <w:r/>
          </w:p>
        </w:tc>
      </w:tr>
      <w:tr>
        <w:trPr>
          <w:tblCellSpacing w:w="0" w:type="dxa"/>
          <w:trHeight w:val="640"/>
        </w:trPr>
        <w:tc>
          <w:tcPr>
            <w:tcW w:w="836" w:type="dxa"/>
            <w:vAlign w:val="center"/>
            <w:textDirection w:val="lrTb"/>
            <w:noWrap w:val="false"/>
          </w:tcPr>
          <w:p>
            <w:pPr>
              <w:pStyle w:val="855"/>
              <w:jc w:val="center"/>
              <w:spacing w:beforeAutospacing="0" w:afterAutospacing="0"/>
              <w:rPr>
                <w:sz w:val="21"/>
                <w:szCs w:val="21"/>
              </w:rPr>
            </w:pPr>
            <w:r>
              <w:rPr>
                <w:rFonts w:hint="eastAsia"/>
                <w:sz w:val="21"/>
                <w:szCs w:val="21"/>
              </w:rPr>
              <w:t xml:space="preserve">2.4</w:t>
            </w:r>
            <w:r/>
          </w:p>
        </w:tc>
        <w:tc>
          <w:tcPr>
            <w:tcW w:w="1843" w:type="dxa"/>
            <w:vAlign w:val="center"/>
            <w:textDirection w:val="lrTb"/>
            <w:noWrap w:val="false"/>
          </w:tcPr>
          <w:p>
            <w:pPr>
              <w:pStyle w:val="855"/>
              <w:jc w:val="center"/>
              <w:spacing w:beforeAutospacing="0" w:afterAutospacing="0"/>
              <w:rPr>
                <w:sz w:val="21"/>
                <w:szCs w:val="21"/>
              </w:rPr>
            </w:pPr>
            <w:r>
              <w:rPr>
                <w:sz w:val="21"/>
                <w:szCs w:val="21"/>
              </w:rPr>
              <w:t xml:space="preserve"> </w:t>
            </w:r>
            <w:r>
              <w:rPr>
                <w:rFonts w:hint="eastAsia"/>
                <w:sz w:val="21"/>
                <w:szCs w:val="21"/>
              </w:rPr>
              <w:t xml:space="preserve">运输内容</w:t>
            </w:r>
            <w:r>
              <w:rPr>
                <w:sz w:val="21"/>
                <w:szCs w:val="21"/>
              </w:rPr>
              <w:t xml:space="preserve"> </w:t>
            </w:r>
            <w:r/>
          </w:p>
        </w:tc>
        <w:tc>
          <w:tcPr>
            <w:tcW w:w="1417" w:type="dxa"/>
            <w:vAlign w:val="center"/>
            <w:textDirection w:val="lrTb"/>
            <w:noWrap w:val="false"/>
          </w:tcPr>
          <w:p>
            <w:pPr>
              <w:pStyle w:val="855"/>
              <w:jc w:val="center"/>
              <w:spacing w:beforeAutospacing="0" w:afterAutospacing="0"/>
              <w:rPr>
                <w:sz w:val="21"/>
                <w:szCs w:val="21"/>
              </w:rPr>
            </w:pPr>
            <w:r>
              <w:rPr>
                <w:sz w:val="21"/>
                <w:szCs w:val="21"/>
              </w:rPr>
              <w:t xml:space="preserve"> </w:t>
            </w:r>
            <w:r>
              <w:rPr>
                <w:rFonts w:hint="eastAsia"/>
                <w:sz w:val="21"/>
                <w:szCs w:val="21"/>
              </w:rPr>
              <w:t xml:space="preserve">运输内容</w:t>
            </w:r>
            <w:r>
              <w:rPr>
                <w:sz w:val="21"/>
                <w:szCs w:val="21"/>
              </w:rPr>
              <w:t xml:space="preserve"> </w:t>
            </w:r>
            <w:r/>
          </w:p>
        </w:tc>
        <w:tc>
          <w:tcPr>
            <w:tcW w:w="992" w:type="dxa"/>
            <w:vAlign w:val="center"/>
            <w:textDirection w:val="lrTb"/>
            <w:noWrap w:val="false"/>
          </w:tcPr>
          <w:p>
            <w:pPr>
              <w:pStyle w:val="855"/>
              <w:jc w:val="center"/>
              <w:spacing w:beforeAutospacing="0" w:afterAutospacing="0"/>
              <w:rPr>
                <w:sz w:val="21"/>
                <w:szCs w:val="21"/>
              </w:rPr>
            </w:pPr>
            <w:r>
              <w:rPr>
                <w:sz w:val="21"/>
                <w:szCs w:val="21"/>
              </w:rPr>
              <w:t xml:space="preserve"> </w:t>
            </w:r>
            <w:r/>
          </w:p>
        </w:tc>
        <w:tc>
          <w:tcPr>
            <w:tcW w:w="3432" w:type="dxa"/>
            <w:vAlign w:val="center"/>
            <w:textDirection w:val="lrTb"/>
            <w:noWrap w:val="false"/>
          </w:tcPr>
          <w:p>
            <w:pPr>
              <w:pStyle w:val="855"/>
              <w:spacing w:beforeAutospacing="0" w:afterAutospacing="0"/>
              <w:rPr>
                <w:sz w:val="21"/>
                <w:szCs w:val="21"/>
              </w:rPr>
            </w:pPr>
            <w:r>
              <w:rPr>
                <w:rFonts w:hint="eastAsia"/>
                <w:color w:val="ff0000"/>
                <w:sz w:val="21"/>
                <w:szCs w:val="21"/>
              </w:rPr>
              <w:t xml:space="preserve">投标文件中</w:t>
            </w:r>
            <w:bookmarkStart w:id="240" w:name="OLE_LINK5"/>
            <w:r>
              <w:rPr>
                <w:rFonts w:hint="eastAsia"/>
                <w:color w:val="ff0000"/>
                <w:sz w:val="21"/>
                <w:szCs w:val="21"/>
              </w:rPr>
              <w:t xml:space="preserve">明确装盒时间以及运输所需时间的百度导航截图</w:t>
            </w:r>
            <w:r>
              <w:rPr>
                <w:sz w:val="21"/>
                <w:szCs w:val="21"/>
              </w:rPr>
              <w:t xml:space="preserve"> </w:t>
            </w:r>
            <w:bookmarkEnd w:id="240"/>
            <w:r>
              <w:rPr>
                <w:rFonts w:hint="eastAsia"/>
                <w:color w:val="ff0000"/>
                <w:sz w:val="21"/>
                <w:szCs w:val="21"/>
              </w:rPr>
              <w:t xml:space="preserve">（投标文件中</w:t>
            </w:r>
            <w:r>
              <w:rPr>
                <w:rFonts w:hint="eastAsia"/>
                <w:b/>
                <w:color w:val="ff0000"/>
                <w:sz w:val="21"/>
                <w:szCs w:val="21"/>
              </w:rPr>
              <w:t xml:space="preserve">须提供配餐企业到各配送学校的百度导航截图</w:t>
            </w:r>
            <w:r>
              <w:rPr>
                <w:rFonts w:hint="eastAsia"/>
                <w:sz w:val="21"/>
                <w:szCs w:val="21"/>
              </w:rPr>
              <w:t xml:space="preserve">）</w:t>
            </w:r>
            <w:r/>
          </w:p>
        </w:tc>
      </w:tr>
      <w:tr>
        <w:trPr>
          <w:tblCellSpacing w:w="0" w:type="dxa"/>
          <w:trHeight w:val="640"/>
        </w:trPr>
        <w:tc>
          <w:tcPr>
            <w:tcW w:w="836" w:type="dxa"/>
            <w:vAlign w:val="center"/>
            <w:textDirection w:val="lrTb"/>
            <w:noWrap w:val="false"/>
          </w:tcPr>
          <w:p>
            <w:pPr>
              <w:pStyle w:val="855"/>
              <w:jc w:val="center"/>
              <w:spacing w:beforeAutospacing="0" w:afterAutospacing="0"/>
              <w:rPr>
                <w:sz w:val="21"/>
                <w:szCs w:val="21"/>
              </w:rPr>
            </w:pPr>
            <w:r>
              <w:rPr>
                <w:rFonts w:hint="eastAsia"/>
                <w:sz w:val="21"/>
                <w:szCs w:val="21"/>
              </w:rPr>
              <w:t xml:space="preserve">2.5</w:t>
            </w:r>
            <w:r/>
          </w:p>
        </w:tc>
        <w:tc>
          <w:tcPr>
            <w:tcW w:w="1843" w:type="dxa"/>
            <w:vAlign w:val="center"/>
            <w:textDirection w:val="lrTb"/>
            <w:noWrap w:val="false"/>
          </w:tcPr>
          <w:p>
            <w:pPr>
              <w:pStyle w:val="855"/>
              <w:jc w:val="center"/>
              <w:spacing w:beforeAutospacing="0" w:afterAutospacing="0"/>
              <w:rPr>
                <w:sz w:val="21"/>
                <w:szCs w:val="21"/>
              </w:rPr>
            </w:pPr>
            <w:r>
              <w:rPr>
                <w:sz w:val="21"/>
                <w:szCs w:val="21"/>
              </w:rPr>
              <w:t xml:space="preserve"> </w:t>
            </w:r>
            <w:r>
              <w:rPr>
                <w:rFonts w:hint="eastAsia"/>
                <w:sz w:val="21"/>
                <w:szCs w:val="21"/>
              </w:rPr>
              <w:t xml:space="preserve">验收内容</w:t>
            </w:r>
            <w:r>
              <w:rPr>
                <w:sz w:val="21"/>
                <w:szCs w:val="21"/>
              </w:rPr>
              <w:t xml:space="preserve"> </w:t>
            </w:r>
            <w:r/>
          </w:p>
        </w:tc>
        <w:tc>
          <w:tcPr>
            <w:tcW w:w="1417" w:type="dxa"/>
            <w:vAlign w:val="center"/>
            <w:textDirection w:val="lrTb"/>
            <w:noWrap w:val="false"/>
          </w:tcPr>
          <w:p>
            <w:pPr>
              <w:pStyle w:val="855"/>
              <w:jc w:val="center"/>
              <w:spacing w:beforeAutospacing="0" w:afterAutospacing="0"/>
              <w:rPr>
                <w:sz w:val="21"/>
                <w:szCs w:val="21"/>
              </w:rPr>
            </w:pPr>
            <w:r>
              <w:rPr>
                <w:sz w:val="21"/>
                <w:szCs w:val="21"/>
              </w:rPr>
              <w:t xml:space="preserve"> </w:t>
            </w:r>
            <w:r>
              <w:rPr>
                <w:rFonts w:hint="eastAsia"/>
                <w:sz w:val="21"/>
                <w:szCs w:val="21"/>
              </w:rPr>
              <w:t xml:space="preserve">验收内容</w:t>
            </w:r>
            <w:r>
              <w:rPr>
                <w:sz w:val="21"/>
                <w:szCs w:val="21"/>
              </w:rPr>
              <w:t xml:space="preserve"> </w:t>
            </w:r>
            <w:r/>
          </w:p>
        </w:tc>
        <w:tc>
          <w:tcPr>
            <w:tcW w:w="992" w:type="dxa"/>
            <w:vAlign w:val="center"/>
            <w:textDirection w:val="lrTb"/>
            <w:noWrap w:val="false"/>
          </w:tcPr>
          <w:p>
            <w:pPr>
              <w:pStyle w:val="855"/>
              <w:jc w:val="center"/>
              <w:spacing w:beforeAutospacing="0" w:afterAutospacing="0"/>
              <w:rPr>
                <w:sz w:val="21"/>
                <w:szCs w:val="21"/>
              </w:rPr>
            </w:pPr>
            <w:r>
              <w:rPr>
                <w:rFonts w:hint="eastAsia"/>
                <w:sz w:val="21"/>
                <w:szCs w:val="21"/>
              </w:rPr>
              <w:t xml:space="preserve">符合</w:t>
            </w:r>
            <w:r>
              <w:rPr>
                <w:sz w:val="21"/>
                <w:szCs w:val="21"/>
              </w:rPr>
              <w:t xml:space="preserve"> </w:t>
            </w:r>
            <w:r/>
          </w:p>
        </w:tc>
        <w:tc>
          <w:tcPr>
            <w:tcW w:w="3432" w:type="dxa"/>
            <w:vAlign w:val="center"/>
            <w:textDirection w:val="lrTb"/>
            <w:noWrap w:val="false"/>
          </w:tcPr>
          <w:p>
            <w:pPr>
              <w:pStyle w:val="855"/>
              <w:jc w:val="center"/>
              <w:spacing w:beforeAutospacing="0" w:afterAutospacing="0"/>
              <w:rPr>
                <w:sz w:val="21"/>
                <w:szCs w:val="21"/>
              </w:rPr>
            </w:pPr>
            <w:r>
              <w:rPr>
                <w:sz w:val="21"/>
                <w:szCs w:val="21"/>
              </w:rPr>
              <w:t xml:space="preserve"> </w:t>
            </w:r>
            <w:r/>
          </w:p>
        </w:tc>
      </w:tr>
      <w:tr>
        <w:trPr>
          <w:tblCellSpacing w:w="0" w:type="dxa"/>
          <w:trHeight w:val="640"/>
        </w:trPr>
        <w:tc>
          <w:tcPr>
            <w:tcW w:w="836" w:type="dxa"/>
            <w:vAlign w:val="center"/>
            <w:textDirection w:val="lrTb"/>
            <w:noWrap w:val="false"/>
          </w:tcPr>
          <w:p>
            <w:pPr>
              <w:pStyle w:val="855"/>
              <w:jc w:val="center"/>
              <w:spacing w:beforeAutospacing="0" w:afterAutospacing="0"/>
              <w:rPr>
                <w:sz w:val="21"/>
                <w:szCs w:val="21"/>
              </w:rPr>
            </w:pPr>
            <w:r>
              <w:rPr>
                <w:rFonts w:hint="eastAsia"/>
                <w:sz w:val="21"/>
                <w:szCs w:val="21"/>
              </w:rPr>
              <w:t xml:space="preserve">2.6</w:t>
            </w:r>
            <w:r/>
          </w:p>
        </w:tc>
        <w:tc>
          <w:tcPr>
            <w:tcW w:w="1843" w:type="dxa"/>
            <w:vAlign w:val="center"/>
            <w:textDirection w:val="lrTb"/>
            <w:noWrap w:val="false"/>
          </w:tcPr>
          <w:p>
            <w:pPr>
              <w:pStyle w:val="855"/>
              <w:jc w:val="center"/>
              <w:spacing w:beforeAutospacing="0" w:afterAutospacing="0"/>
              <w:rPr>
                <w:sz w:val="21"/>
                <w:szCs w:val="21"/>
              </w:rPr>
            </w:pPr>
            <w:r>
              <w:rPr>
                <w:rFonts w:hint="eastAsia"/>
                <w:sz w:val="21"/>
                <w:szCs w:val="21"/>
              </w:rPr>
              <w:t xml:space="preserve">应急预案内容</w:t>
            </w:r>
            <w:r>
              <w:rPr>
                <w:sz w:val="21"/>
                <w:szCs w:val="21"/>
              </w:rPr>
              <w:t xml:space="preserve"> </w:t>
            </w:r>
            <w:r/>
          </w:p>
        </w:tc>
        <w:tc>
          <w:tcPr>
            <w:tcW w:w="1417" w:type="dxa"/>
            <w:vAlign w:val="center"/>
            <w:textDirection w:val="lrTb"/>
            <w:noWrap w:val="false"/>
          </w:tcPr>
          <w:p>
            <w:pPr>
              <w:pStyle w:val="855"/>
              <w:jc w:val="center"/>
              <w:spacing w:beforeAutospacing="0" w:afterAutospacing="0"/>
              <w:rPr>
                <w:sz w:val="21"/>
                <w:szCs w:val="21"/>
              </w:rPr>
            </w:pPr>
            <w:r>
              <w:rPr>
                <w:rFonts w:hint="eastAsia"/>
                <w:sz w:val="21"/>
                <w:szCs w:val="21"/>
              </w:rPr>
              <w:t xml:space="preserve">应急预案内容</w:t>
            </w:r>
            <w:r>
              <w:rPr>
                <w:sz w:val="21"/>
                <w:szCs w:val="21"/>
              </w:rPr>
              <w:t xml:space="preserve"> </w:t>
            </w:r>
            <w:r/>
          </w:p>
        </w:tc>
        <w:tc>
          <w:tcPr>
            <w:tcW w:w="992" w:type="dxa"/>
            <w:vAlign w:val="center"/>
            <w:textDirection w:val="lrTb"/>
            <w:noWrap w:val="false"/>
          </w:tcPr>
          <w:p>
            <w:pPr>
              <w:pStyle w:val="855"/>
              <w:jc w:val="center"/>
              <w:spacing w:beforeAutospacing="0" w:afterAutospacing="0"/>
              <w:rPr>
                <w:sz w:val="21"/>
                <w:szCs w:val="21"/>
              </w:rPr>
            </w:pPr>
            <w:r>
              <w:rPr>
                <w:rFonts w:hint="eastAsia"/>
                <w:sz w:val="21"/>
                <w:szCs w:val="21"/>
              </w:rPr>
              <w:t xml:space="preserve">符合</w:t>
            </w:r>
            <w:r/>
          </w:p>
        </w:tc>
        <w:tc>
          <w:tcPr>
            <w:tcW w:w="3432" w:type="dxa"/>
            <w:vAlign w:val="center"/>
            <w:textDirection w:val="lrTb"/>
            <w:noWrap w:val="false"/>
          </w:tcPr>
          <w:p>
            <w:pPr>
              <w:pStyle w:val="855"/>
              <w:jc w:val="center"/>
              <w:spacing w:beforeAutospacing="0" w:afterAutospacing="0"/>
              <w:rPr>
                <w:sz w:val="21"/>
                <w:szCs w:val="21"/>
              </w:rPr>
            </w:pPr>
            <w:r>
              <w:rPr>
                <w:sz w:val="21"/>
                <w:szCs w:val="21"/>
              </w:rPr>
            </w:r>
            <w:r/>
          </w:p>
        </w:tc>
      </w:tr>
      <w:tr>
        <w:trPr>
          <w:tblCellSpacing w:w="0" w:type="dxa"/>
          <w:trHeight w:val="640"/>
        </w:trPr>
        <w:tc>
          <w:tcPr>
            <w:tcW w:w="836" w:type="dxa"/>
            <w:vAlign w:val="center"/>
            <w:textDirection w:val="lrTb"/>
            <w:noWrap w:val="false"/>
          </w:tcPr>
          <w:p>
            <w:pPr>
              <w:pStyle w:val="855"/>
              <w:jc w:val="center"/>
              <w:spacing w:beforeAutospacing="0" w:afterAutospacing="0"/>
              <w:rPr>
                <w:sz w:val="21"/>
                <w:szCs w:val="21"/>
              </w:rPr>
            </w:pPr>
            <w:r>
              <w:rPr>
                <w:rFonts w:hint="eastAsia"/>
                <w:sz w:val="21"/>
                <w:szCs w:val="21"/>
              </w:rPr>
              <w:t xml:space="preserve">2.7</w:t>
            </w:r>
            <w:r/>
          </w:p>
        </w:tc>
        <w:tc>
          <w:tcPr>
            <w:tcW w:w="1843" w:type="dxa"/>
            <w:vAlign w:val="center"/>
            <w:textDirection w:val="lrTb"/>
            <w:noWrap w:val="false"/>
          </w:tcPr>
          <w:p>
            <w:pPr>
              <w:pStyle w:val="855"/>
              <w:jc w:val="center"/>
              <w:spacing w:beforeAutospacing="0" w:afterAutospacing="0"/>
              <w:rPr>
                <w:sz w:val="21"/>
                <w:szCs w:val="21"/>
              </w:rPr>
            </w:pPr>
            <w:r>
              <w:rPr>
                <w:rFonts w:hint="eastAsia"/>
                <w:sz w:val="21"/>
                <w:szCs w:val="21"/>
              </w:rPr>
              <w:t xml:space="preserve">满意度测评内容</w:t>
            </w:r>
            <w:r>
              <w:rPr>
                <w:sz w:val="21"/>
                <w:szCs w:val="21"/>
              </w:rPr>
              <w:t xml:space="preserve"> </w:t>
            </w:r>
            <w:r/>
          </w:p>
        </w:tc>
        <w:tc>
          <w:tcPr>
            <w:tcW w:w="1417" w:type="dxa"/>
            <w:vAlign w:val="center"/>
            <w:textDirection w:val="lrTb"/>
            <w:noWrap w:val="false"/>
          </w:tcPr>
          <w:p>
            <w:pPr>
              <w:pStyle w:val="855"/>
              <w:jc w:val="center"/>
              <w:spacing w:beforeAutospacing="0" w:afterAutospacing="0"/>
              <w:rPr>
                <w:sz w:val="21"/>
                <w:szCs w:val="21"/>
              </w:rPr>
            </w:pPr>
            <w:r>
              <w:rPr>
                <w:rFonts w:hint="eastAsia"/>
                <w:sz w:val="21"/>
                <w:szCs w:val="21"/>
              </w:rPr>
              <w:t xml:space="preserve">满意度测评内容</w:t>
            </w:r>
            <w:r>
              <w:rPr>
                <w:sz w:val="21"/>
                <w:szCs w:val="21"/>
              </w:rPr>
              <w:t xml:space="preserve"> </w:t>
            </w:r>
            <w:r/>
          </w:p>
        </w:tc>
        <w:tc>
          <w:tcPr>
            <w:tcW w:w="992" w:type="dxa"/>
            <w:vAlign w:val="center"/>
            <w:textDirection w:val="lrTb"/>
            <w:noWrap w:val="false"/>
          </w:tcPr>
          <w:p>
            <w:pPr>
              <w:pStyle w:val="855"/>
              <w:jc w:val="center"/>
              <w:spacing w:beforeAutospacing="0" w:afterAutospacing="0"/>
              <w:rPr>
                <w:sz w:val="21"/>
                <w:szCs w:val="21"/>
              </w:rPr>
            </w:pPr>
            <w:r>
              <w:rPr>
                <w:rFonts w:hint="eastAsia"/>
                <w:sz w:val="21"/>
                <w:szCs w:val="21"/>
              </w:rPr>
              <w:t xml:space="preserve">符合</w:t>
            </w:r>
            <w:r/>
          </w:p>
        </w:tc>
        <w:tc>
          <w:tcPr>
            <w:tcW w:w="3432" w:type="dxa"/>
            <w:vAlign w:val="center"/>
            <w:textDirection w:val="lrTb"/>
            <w:noWrap w:val="false"/>
          </w:tcPr>
          <w:p>
            <w:pPr>
              <w:pStyle w:val="855"/>
              <w:jc w:val="center"/>
              <w:spacing w:beforeAutospacing="0" w:afterAutospacing="0"/>
              <w:rPr>
                <w:sz w:val="21"/>
                <w:szCs w:val="21"/>
              </w:rPr>
            </w:pPr>
            <w:r>
              <w:rPr>
                <w:sz w:val="21"/>
                <w:szCs w:val="21"/>
              </w:rPr>
            </w:r>
            <w:r/>
          </w:p>
        </w:tc>
      </w:tr>
      <w:tr>
        <w:trPr>
          <w:tblCellSpacing w:w="0" w:type="dxa"/>
          <w:trHeight w:val="640"/>
        </w:trPr>
        <w:tc>
          <w:tcPr>
            <w:tcW w:w="836" w:type="dxa"/>
            <w:vAlign w:val="center"/>
            <w:textDirection w:val="lrTb"/>
            <w:noWrap w:val="false"/>
          </w:tcPr>
          <w:p>
            <w:pPr>
              <w:pStyle w:val="855"/>
              <w:jc w:val="center"/>
              <w:spacing w:beforeAutospacing="0" w:afterAutospacing="0"/>
              <w:rPr>
                <w:sz w:val="21"/>
                <w:szCs w:val="21"/>
              </w:rPr>
            </w:pPr>
            <w:r>
              <w:rPr>
                <w:rFonts w:hint="eastAsia"/>
                <w:sz w:val="21"/>
                <w:szCs w:val="21"/>
              </w:rPr>
              <w:t xml:space="preserve">2.9</w:t>
            </w:r>
            <w:r/>
          </w:p>
        </w:tc>
        <w:tc>
          <w:tcPr>
            <w:tcW w:w="1843" w:type="dxa"/>
            <w:vAlign w:val="center"/>
            <w:textDirection w:val="lrTb"/>
            <w:noWrap w:val="false"/>
          </w:tcPr>
          <w:p>
            <w:pPr>
              <w:pStyle w:val="855"/>
              <w:jc w:val="center"/>
              <w:spacing w:beforeAutospacing="0" w:afterAutospacing="0"/>
              <w:rPr>
                <w:sz w:val="21"/>
                <w:szCs w:val="21"/>
              </w:rPr>
            </w:pPr>
            <w:r>
              <w:rPr>
                <w:rFonts w:hint="eastAsia"/>
                <w:sz w:val="21"/>
                <w:szCs w:val="21"/>
              </w:rPr>
              <w:t xml:space="preserve">食品安全内容</w:t>
            </w:r>
            <w:r>
              <w:rPr>
                <w:sz w:val="21"/>
                <w:szCs w:val="21"/>
              </w:rPr>
              <w:t xml:space="preserve"> </w:t>
            </w:r>
            <w:r/>
          </w:p>
        </w:tc>
        <w:tc>
          <w:tcPr>
            <w:tcW w:w="1417" w:type="dxa"/>
            <w:vAlign w:val="center"/>
            <w:textDirection w:val="lrTb"/>
            <w:noWrap w:val="false"/>
          </w:tcPr>
          <w:p>
            <w:pPr>
              <w:pStyle w:val="855"/>
              <w:jc w:val="center"/>
              <w:spacing w:beforeAutospacing="0" w:afterAutospacing="0"/>
              <w:rPr>
                <w:sz w:val="21"/>
                <w:szCs w:val="21"/>
              </w:rPr>
            </w:pPr>
            <w:r>
              <w:rPr>
                <w:rFonts w:hint="eastAsia"/>
                <w:sz w:val="21"/>
                <w:szCs w:val="21"/>
              </w:rPr>
              <w:t xml:space="preserve">食品安全内容</w:t>
            </w:r>
            <w:r>
              <w:rPr>
                <w:sz w:val="21"/>
                <w:szCs w:val="21"/>
              </w:rPr>
              <w:t xml:space="preserve"> </w:t>
            </w:r>
            <w:r/>
          </w:p>
        </w:tc>
        <w:tc>
          <w:tcPr>
            <w:tcW w:w="992" w:type="dxa"/>
            <w:vAlign w:val="center"/>
            <w:textDirection w:val="lrTb"/>
            <w:noWrap w:val="false"/>
          </w:tcPr>
          <w:p>
            <w:pPr>
              <w:pStyle w:val="855"/>
              <w:jc w:val="center"/>
              <w:spacing w:beforeAutospacing="0" w:afterAutospacing="0"/>
              <w:rPr>
                <w:sz w:val="21"/>
                <w:szCs w:val="21"/>
              </w:rPr>
            </w:pPr>
            <w:r>
              <w:rPr>
                <w:rFonts w:hint="eastAsia"/>
                <w:sz w:val="21"/>
                <w:szCs w:val="21"/>
              </w:rPr>
              <w:t xml:space="preserve">符合</w:t>
            </w:r>
            <w:r/>
          </w:p>
        </w:tc>
        <w:tc>
          <w:tcPr>
            <w:tcW w:w="3432" w:type="dxa"/>
            <w:vAlign w:val="center"/>
            <w:textDirection w:val="lrTb"/>
            <w:noWrap w:val="false"/>
          </w:tcPr>
          <w:p>
            <w:pPr>
              <w:pStyle w:val="855"/>
              <w:jc w:val="center"/>
              <w:spacing w:beforeAutospacing="0" w:afterAutospacing="0"/>
              <w:rPr>
                <w:sz w:val="21"/>
                <w:szCs w:val="21"/>
              </w:rPr>
            </w:pPr>
            <w:r>
              <w:rPr>
                <w:sz w:val="21"/>
                <w:szCs w:val="21"/>
              </w:rPr>
            </w:r>
            <w:r/>
          </w:p>
        </w:tc>
      </w:tr>
      <w:tr>
        <w:trPr>
          <w:tblCellSpacing w:w="0" w:type="dxa"/>
          <w:trHeight w:val="640"/>
        </w:trPr>
        <w:tc>
          <w:tcPr>
            <w:tcW w:w="836" w:type="dxa"/>
            <w:vAlign w:val="center"/>
            <w:textDirection w:val="lrTb"/>
            <w:noWrap w:val="false"/>
          </w:tcPr>
          <w:p>
            <w:pPr>
              <w:pStyle w:val="855"/>
              <w:jc w:val="center"/>
              <w:spacing w:beforeAutospacing="0" w:afterAutospacing="0"/>
              <w:rPr>
                <w:sz w:val="21"/>
                <w:szCs w:val="21"/>
              </w:rPr>
            </w:pPr>
            <w:r>
              <w:rPr>
                <w:rFonts w:hint="eastAsia"/>
                <w:sz w:val="21"/>
                <w:szCs w:val="21"/>
              </w:rPr>
              <w:t xml:space="preserve">2.10</w:t>
            </w:r>
            <w:r>
              <w:rPr>
                <w:sz w:val="21"/>
                <w:szCs w:val="21"/>
              </w:rPr>
              <w:t xml:space="preserve"> </w:t>
            </w:r>
            <w:r/>
          </w:p>
        </w:tc>
        <w:tc>
          <w:tcPr>
            <w:tcW w:w="1843" w:type="dxa"/>
            <w:vAlign w:val="center"/>
            <w:textDirection w:val="lrTb"/>
            <w:noWrap w:val="false"/>
          </w:tcPr>
          <w:p>
            <w:pPr>
              <w:pStyle w:val="855"/>
              <w:jc w:val="center"/>
              <w:spacing w:beforeAutospacing="0" w:afterAutospacing="0"/>
              <w:rPr>
                <w:sz w:val="21"/>
                <w:szCs w:val="21"/>
              </w:rPr>
            </w:pPr>
            <w:r>
              <w:rPr>
                <w:rFonts w:hint="eastAsia"/>
                <w:sz w:val="21"/>
                <w:szCs w:val="21"/>
              </w:rPr>
              <w:t xml:space="preserve">其他内容</w:t>
            </w:r>
            <w:r>
              <w:rPr>
                <w:sz w:val="21"/>
                <w:szCs w:val="21"/>
              </w:rPr>
              <w:t xml:space="preserve"> </w:t>
            </w:r>
            <w:r/>
          </w:p>
        </w:tc>
        <w:tc>
          <w:tcPr>
            <w:tcW w:w="1417" w:type="dxa"/>
            <w:vAlign w:val="center"/>
            <w:textDirection w:val="lrTb"/>
            <w:noWrap w:val="false"/>
          </w:tcPr>
          <w:p>
            <w:pPr>
              <w:pStyle w:val="855"/>
              <w:jc w:val="center"/>
              <w:spacing w:beforeAutospacing="0" w:afterAutospacing="0"/>
              <w:rPr>
                <w:sz w:val="21"/>
                <w:szCs w:val="21"/>
              </w:rPr>
            </w:pPr>
            <w:r>
              <w:rPr>
                <w:rFonts w:hint="eastAsia"/>
                <w:sz w:val="21"/>
                <w:szCs w:val="21"/>
              </w:rPr>
              <w:t xml:space="preserve">其他内容</w:t>
            </w:r>
            <w:r>
              <w:rPr>
                <w:sz w:val="21"/>
                <w:szCs w:val="21"/>
              </w:rPr>
              <w:t xml:space="preserve"> </w:t>
            </w:r>
            <w:r/>
          </w:p>
        </w:tc>
        <w:tc>
          <w:tcPr>
            <w:tcW w:w="992" w:type="dxa"/>
            <w:vAlign w:val="center"/>
            <w:textDirection w:val="lrTb"/>
            <w:noWrap w:val="false"/>
          </w:tcPr>
          <w:p>
            <w:pPr>
              <w:pStyle w:val="855"/>
              <w:jc w:val="center"/>
              <w:spacing w:beforeAutospacing="0" w:afterAutospacing="0"/>
              <w:rPr>
                <w:sz w:val="21"/>
                <w:szCs w:val="21"/>
              </w:rPr>
            </w:pPr>
            <w:r>
              <w:rPr>
                <w:rFonts w:hint="eastAsia"/>
                <w:sz w:val="21"/>
                <w:szCs w:val="21"/>
              </w:rPr>
              <w:t xml:space="preserve">符合</w:t>
            </w:r>
            <w:r>
              <w:rPr>
                <w:sz w:val="21"/>
                <w:szCs w:val="21"/>
              </w:rPr>
              <w:t xml:space="preserve"> </w:t>
            </w:r>
            <w:r/>
          </w:p>
        </w:tc>
        <w:tc>
          <w:tcPr>
            <w:tcW w:w="3432" w:type="dxa"/>
            <w:vAlign w:val="center"/>
            <w:textDirection w:val="lrTb"/>
            <w:noWrap w:val="false"/>
          </w:tcPr>
          <w:p>
            <w:pPr>
              <w:pStyle w:val="855"/>
              <w:jc w:val="center"/>
              <w:spacing w:beforeAutospacing="0" w:afterAutospacing="0"/>
              <w:rPr>
                <w:sz w:val="21"/>
                <w:szCs w:val="21"/>
              </w:rPr>
            </w:pPr>
            <w:r>
              <w:rPr>
                <w:sz w:val="21"/>
                <w:szCs w:val="21"/>
              </w:rPr>
              <w:t xml:space="preserve"> </w:t>
            </w:r>
            <w:r/>
          </w:p>
        </w:tc>
      </w:tr>
    </w:tbl>
    <w:p>
      <w:pPr>
        <w:pStyle w:val="855"/>
        <w:jc w:val="center"/>
        <w:spacing w:beforeAutospacing="0" w:afterAutospacing="0"/>
      </w:pPr>
      <w:r>
        <w:t xml:space="preserve"> </w:t>
      </w:r>
      <w:r/>
    </w:p>
    <w:p>
      <w:pPr>
        <w:pStyle w:val="855"/>
        <w:jc w:val="both"/>
        <w:spacing w:beforeAutospacing="0" w:afterAutospacing="0" w:line="360" w:lineRule="auto"/>
      </w:pPr>
      <w:r>
        <w:rPr>
          <w:rFonts w:hint="eastAsia"/>
        </w:rPr>
        <w:t xml:space="preserve">注：</w:t>
      </w:r>
      <w:r>
        <w:rPr>
          <w:rFonts w:hint="eastAsia"/>
        </w:rPr>
        <w:t xml:space="preserve"> 1.</w:t>
      </w:r>
      <w:r>
        <w:rPr>
          <w:rFonts w:hint="eastAsia"/>
        </w:rPr>
        <w:t xml:space="preserve">行数不够，可自行添加。</w:t>
      </w:r>
      <w:r/>
    </w:p>
    <w:p>
      <w:pPr>
        <w:pStyle w:val="855"/>
        <w:ind w:firstLine="480"/>
        <w:jc w:val="both"/>
        <w:spacing w:beforeAutospacing="0" w:afterAutospacing="0" w:line="360" w:lineRule="auto"/>
      </w:pPr>
      <w:r>
        <w:rPr>
          <w:rFonts w:hint="eastAsia"/>
        </w:rPr>
        <w:t xml:space="preserve">2.</w:t>
      </w:r>
      <w:r>
        <w:rPr>
          <w:rFonts w:hint="eastAsia"/>
        </w:rPr>
        <w:t xml:space="preserve">须要提供证明材料的，以提供的证明材料为准，不得虚假承诺，否则一经发现取消中标资格。</w:t>
      </w:r>
      <w:r/>
    </w:p>
    <w:p>
      <w:pPr>
        <w:pStyle w:val="855"/>
        <w:jc w:val="both"/>
        <w:spacing w:beforeAutospacing="0" w:afterAutospacing="0" w:line="0" w:lineRule="atLeast"/>
      </w:pPr>
      <w:r/>
      <w:r/>
    </w:p>
    <w:p>
      <w:pPr>
        <w:pStyle w:val="855"/>
        <w:jc w:val="both"/>
        <w:spacing w:beforeAutospacing="0" w:afterAutospacing="0" w:line="0" w:lineRule="atLeast"/>
      </w:pPr>
      <w:r>
        <w:t xml:space="preserve"> </w:t>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Autospacing="0" w:line="0" w:lineRule="atLeast"/>
      </w:pPr>
      <w:r>
        <w:t xml:space="preserve"> </w:t>
      </w:r>
      <w:r/>
    </w:p>
    <w:p>
      <w:pPr>
        <w:pStyle w:val="855"/>
        <w:jc w:val="both"/>
        <w:spacing w:beforeAutospacing="0" w:afterAutospacing="0"/>
      </w:pPr>
      <w:r>
        <w:rPr>
          <w:rFonts w:hint="eastAsia"/>
          <w:sz w:val="21"/>
          <w:szCs w:val="21"/>
        </w:rPr>
        <w:t xml:space="preserve">2</w:t>
      </w:r>
      <w:r>
        <w:rPr>
          <w:sz w:val="21"/>
          <w:szCs w:val="21"/>
        </w:rPr>
        <w:t xml:space="preserve">.3</w:t>
      </w:r>
      <w:r>
        <w:rPr>
          <w:rFonts w:hint="eastAsia"/>
          <w:sz w:val="21"/>
          <w:szCs w:val="21"/>
        </w:rPr>
        <w:t xml:space="preserve">提供与经营许可证注册地址一致的场地使用证明。自有房屋提供房产证，租赁房屋提供租赁合同、房租发票或房租费转账材料。</w:t>
      </w:r>
      <w:r/>
    </w:p>
    <w:p>
      <w:pPr>
        <w:pStyle w:val="855"/>
        <w:jc w:val="both"/>
        <w:spacing w:beforeAutospacing="0" w:afterAutospacing="0"/>
      </w:pPr>
      <w:r>
        <w:t xml:space="preserve"> </w:t>
      </w:r>
      <w:r/>
    </w:p>
    <w:p>
      <w:pPr>
        <w:pStyle w:val="855"/>
        <w:jc w:val="both"/>
        <w:spacing w:beforeAutospacing="0" w:afterAutospacing="0"/>
      </w:pPr>
      <w:r/>
      <w:r/>
    </w:p>
    <w:p>
      <w:pPr>
        <w:pStyle w:val="855"/>
        <w:jc w:val="both"/>
        <w:spacing w:beforeAutospacing="0" w:afterAutospacing="0"/>
      </w:pPr>
      <w:r/>
      <w:r/>
    </w:p>
    <w:p>
      <w:pPr>
        <w:pStyle w:val="855"/>
        <w:jc w:val="both"/>
        <w:spacing w:beforeAutospacing="0" w:afterAutospacing="0"/>
      </w:pPr>
      <w:r/>
      <w:r/>
    </w:p>
    <w:p>
      <w:pPr>
        <w:pStyle w:val="855"/>
        <w:jc w:val="both"/>
        <w:spacing w:beforeAutospacing="0" w:afterAutospacing="0"/>
      </w:pPr>
      <w:r/>
      <w:r/>
    </w:p>
    <w:p>
      <w:pPr>
        <w:pStyle w:val="855"/>
        <w:jc w:val="both"/>
        <w:spacing w:beforeAutospacing="0" w:afterAutospacing="0"/>
      </w:pPr>
      <w:r/>
      <w:r/>
    </w:p>
    <w:p>
      <w:pPr>
        <w:pStyle w:val="855"/>
        <w:jc w:val="both"/>
        <w:spacing w:beforeAutospacing="0" w:afterAutospacing="0"/>
      </w:pPr>
      <w:r/>
      <w:r/>
    </w:p>
    <w:p>
      <w:pPr>
        <w:pStyle w:val="855"/>
        <w:jc w:val="both"/>
        <w:spacing w:beforeAutospacing="0" w:afterAutospacing="0"/>
      </w:pPr>
      <w:r/>
      <w:r/>
    </w:p>
    <w:p>
      <w:pPr>
        <w:pStyle w:val="855"/>
        <w:jc w:val="both"/>
        <w:spacing w:beforeAutospacing="0" w:afterAutospacing="0"/>
      </w:pPr>
      <w:r/>
      <w:r/>
    </w:p>
    <w:p>
      <w:pPr>
        <w:pStyle w:val="855"/>
        <w:jc w:val="both"/>
        <w:spacing w:beforeAutospacing="0" w:afterAutospacing="0"/>
      </w:pPr>
      <w:r/>
      <w:r/>
    </w:p>
    <w:p>
      <w:pPr>
        <w:pStyle w:val="855"/>
        <w:jc w:val="both"/>
        <w:spacing w:beforeAutospacing="0" w:afterAutospacing="0"/>
      </w:pPr>
      <w:r/>
      <w:r/>
    </w:p>
    <w:p>
      <w:pPr>
        <w:pStyle w:val="855"/>
        <w:jc w:val="both"/>
        <w:spacing w:beforeAutospacing="0" w:afterAutospacing="0"/>
      </w:pPr>
      <w:r/>
      <w:r/>
    </w:p>
    <w:p>
      <w:pPr>
        <w:pStyle w:val="855"/>
        <w:jc w:val="both"/>
        <w:spacing w:beforeAutospacing="0" w:afterAutospacing="0"/>
      </w:pPr>
      <w:r/>
      <w:r/>
    </w:p>
    <w:p>
      <w:pPr>
        <w:pStyle w:val="855"/>
        <w:jc w:val="both"/>
        <w:spacing w:beforeAutospacing="0" w:afterAutospacing="0"/>
      </w:pPr>
      <w:r/>
      <w:r/>
    </w:p>
    <w:p>
      <w:pPr>
        <w:pStyle w:val="855"/>
        <w:jc w:val="both"/>
        <w:spacing w:beforeAutospacing="0" w:afterAutospacing="0"/>
        <w:rPr>
          <w:color w:val="ff0000"/>
        </w:rPr>
      </w:pPr>
      <w:r>
        <w:rPr>
          <w:rFonts w:hint="eastAsia"/>
          <w:color w:val="ff0000"/>
        </w:rPr>
        <w:t xml:space="preserve">2</w:t>
      </w:r>
      <w:r>
        <w:rPr>
          <w:color w:val="ff0000"/>
        </w:rPr>
        <w:t xml:space="preserve">.4</w:t>
      </w:r>
      <w:r>
        <w:rPr>
          <w:rFonts w:hint="eastAsia"/>
          <w:color w:val="ff0000"/>
        </w:rPr>
        <w:t xml:space="preserve">投标文件中明确装盒时间以及运输所需时间的百度导航截图</w:t>
      </w:r>
      <w:r>
        <w:rPr>
          <w:rFonts w:hint="eastAsia"/>
          <w:color w:val="ff0000"/>
        </w:rPr>
        <w:t xml:space="preserve"> </w:t>
      </w:r>
      <w:r>
        <w:rPr>
          <w:rFonts w:hint="eastAsia"/>
          <w:color w:val="ff0000"/>
        </w:rPr>
        <w:t xml:space="preserve">（</w:t>
      </w:r>
      <w:r>
        <w:rPr>
          <w:rFonts w:hint="eastAsia"/>
          <w:b/>
          <w:color w:val="ff0000"/>
        </w:rPr>
        <w:t xml:space="preserve">投标文件中须提供配餐企业到各配送学校的百度导航截图</w:t>
      </w:r>
      <w:r>
        <w:rPr>
          <w:rFonts w:hint="eastAsia"/>
          <w:color w:val="ff0000"/>
        </w:rPr>
        <w:t xml:space="preserve">）</w:t>
      </w:r>
      <w:r/>
    </w:p>
    <w:p>
      <w:pPr>
        <w:pStyle w:val="855"/>
        <w:jc w:val="both"/>
        <w:spacing w:beforeAutospacing="0" w:afterAutospacing="0"/>
        <w:rPr>
          <w:color w:val="ff0000"/>
        </w:rPr>
      </w:pPr>
      <w:r>
        <w:rPr>
          <w:color w:val="ff0000"/>
        </w:rPr>
      </w:r>
      <w:r/>
    </w:p>
    <w:p>
      <w:pPr>
        <w:pStyle w:val="855"/>
        <w:jc w:val="both"/>
        <w:spacing w:beforeAutospacing="0" w:after="156" w:afterAutospacing="0"/>
        <w:rPr>
          <w:b/>
          <w:bCs/>
        </w:rPr>
      </w:pPr>
      <w:r>
        <w:t xml:space="preserve">2.4.</w:t>
      </w:r>
      <w:r>
        <w:rPr>
          <w:rFonts w:hint="eastAsia"/>
        </w:rPr>
        <w:t xml:space="preserve">1</w:t>
      </w:r>
      <w:r>
        <w:rPr>
          <w:rFonts w:hint="eastAsia"/>
        </w:rPr>
        <w:t xml:space="preserve">滨海县坎北街道中心小学：</w:t>
      </w:r>
      <w:r>
        <w:rPr>
          <w:rFonts w:hint="eastAsia"/>
          <w:b/>
          <w:bCs/>
        </w:rPr>
        <w:t xml:space="preserve">装盒时间以及运输所需时间的百度导航截图</w:t>
      </w:r>
      <w:r>
        <w:rPr>
          <w:b/>
          <w:bCs/>
        </w:rPr>
        <w:t xml:space="preserve"> </w:t>
      </w:r>
      <w:r/>
    </w:p>
    <w:p>
      <w:pPr>
        <w:pStyle w:val="855"/>
        <w:jc w:val="both"/>
        <w:spacing w:beforeAutospacing="0" w:afterAutospacing="0" w:line="360" w:lineRule="auto"/>
        <w:rPr>
          <w:rFonts w:asciiTheme="minorEastAsia" w:hAnsiTheme="minorEastAsia"/>
          <w:color w:val="ee0000"/>
        </w:rPr>
      </w:pPr>
      <w:r>
        <w:rPr>
          <w:rFonts w:hint="eastAsia" w:asciiTheme="minorEastAsia" w:hAnsiTheme="minorEastAsia"/>
          <w:sz w:val="21"/>
          <w:szCs w:val="21"/>
        </w:rPr>
        <w:t xml:space="preserve">（1）装盒时间：</w:t>
      </w:r>
      <w:r>
        <w:rPr>
          <w:rFonts w:hint="eastAsia" w:asciiTheme="minorEastAsia" w:hAnsiTheme="minorEastAsia"/>
          <w:sz w:val="21"/>
          <w:szCs w:val="21"/>
          <w:u w:val="single"/>
        </w:rPr>
        <w:t xml:space="preserve">     </w:t>
      </w:r>
      <w:r>
        <w:rPr>
          <w:rFonts w:hint="eastAsia" w:asciiTheme="minorEastAsia" w:hAnsiTheme="minorEastAsia"/>
          <w:sz w:val="21"/>
          <w:szCs w:val="21"/>
        </w:rPr>
        <w:t xml:space="preserve">分钟</w:t>
      </w:r>
      <w:r>
        <w:rPr>
          <w:rFonts w:hint="eastAsia" w:asciiTheme="minorEastAsia" w:hAnsiTheme="minorEastAsia"/>
          <w:color w:val="ee0000"/>
          <w:sz w:val="21"/>
          <w:szCs w:val="21"/>
        </w:rPr>
        <w:t xml:space="preserve">（不得超过40分钟）</w:t>
      </w:r>
      <w:r/>
    </w:p>
    <w:p>
      <w:pPr>
        <w:pStyle w:val="855"/>
        <w:jc w:val="both"/>
        <w:spacing w:beforeAutospacing="0" w:afterAutospacing="0" w:line="360" w:lineRule="auto"/>
        <w:rPr>
          <w:b/>
          <w:bCs/>
          <w:sz w:val="21"/>
          <w:szCs w:val="21"/>
        </w:rPr>
      </w:pPr>
      <w:r>
        <w:rPr>
          <w:rFonts w:hint="eastAsia" w:asciiTheme="minorEastAsia" w:hAnsiTheme="minorEastAsia"/>
          <w:sz w:val="21"/>
          <w:szCs w:val="21"/>
        </w:rPr>
        <w:t xml:space="preserve">（2）</w:t>
      </w:r>
      <w:r>
        <w:rPr>
          <w:rFonts w:hint="eastAsia"/>
          <w:color w:val="ff0000"/>
          <w:sz w:val="21"/>
          <w:szCs w:val="21"/>
        </w:rPr>
        <w:t xml:space="preserve">投标文件中</w:t>
      </w:r>
      <w:r>
        <w:rPr>
          <w:rFonts w:hint="eastAsia"/>
          <w:b/>
          <w:color w:val="ff0000"/>
          <w:sz w:val="21"/>
          <w:szCs w:val="21"/>
        </w:rPr>
        <w:t xml:space="preserve">须提供</w:t>
      </w:r>
      <w:r>
        <w:rPr>
          <w:rFonts w:hint="eastAsia" w:asciiTheme="minorEastAsia" w:hAnsiTheme="minorEastAsia"/>
          <w:sz w:val="21"/>
          <w:szCs w:val="21"/>
        </w:rPr>
        <w:t xml:space="preserve">供配餐企业到滨海县坎北街道中心小学的百度导航截图</w:t>
      </w:r>
      <w:r>
        <w:rPr>
          <w:b/>
          <w:bCs/>
          <w:sz w:val="21"/>
          <w:szCs w:val="21"/>
        </w:rPr>
        <w:t xml:space="preserve"> </w:t>
      </w:r>
      <w:r>
        <w:rPr>
          <w:rFonts w:hint="eastAsia"/>
          <w:b/>
          <w:bCs/>
          <w:sz w:val="21"/>
          <w:szCs w:val="21"/>
        </w:rPr>
        <w:t xml:space="preserve">：</w:t>
      </w:r>
      <w:r/>
    </w:p>
    <w:p>
      <w:pPr>
        <w:pStyle w:val="855"/>
        <w:jc w:val="both"/>
        <w:spacing w:beforeAutospacing="0" w:afterAutospacing="0" w:line="360" w:lineRule="auto"/>
      </w:pPr>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156" w:afterAutospacing="0"/>
        <w:rPr>
          <w:b/>
          <w:bCs/>
        </w:rPr>
      </w:pPr>
      <w:r>
        <w:t xml:space="preserve">2.4.2</w:t>
      </w:r>
      <w:r>
        <w:rPr>
          <w:rFonts w:hint="eastAsia"/>
        </w:rPr>
        <w:t xml:space="preserve">滨海县界牌镇第一中心小学：</w:t>
      </w:r>
      <w:r>
        <w:rPr>
          <w:rFonts w:hint="eastAsia"/>
          <w:b/>
          <w:bCs/>
        </w:rPr>
        <w:t xml:space="preserve">装盒时间以及运输所需时间的百度导航截图</w:t>
      </w:r>
      <w:r>
        <w:rPr>
          <w:b/>
          <w:bCs/>
        </w:rPr>
        <w:t xml:space="preserve"> </w:t>
      </w:r>
      <w:r/>
    </w:p>
    <w:p>
      <w:pPr>
        <w:pStyle w:val="855"/>
        <w:jc w:val="both"/>
        <w:spacing w:beforeAutospacing="0" w:afterAutospacing="0" w:line="360" w:lineRule="auto"/>
        <w:rPr>
          <w:rFonts w:asciiTheme="minorEastAsia" w:hAnsiTheme="minorEastAsia"/>
          <w:color w:val="ee0000"/>
        </w:rPr>
      </w:pPr>
      <w:r>
        <w:rPr>
          <w:rFonts w:hint="eastAsia" w:asciiTheme="minorEastAsia" w:hAnsiTheme="minorEastAsia"/>
          <w:sz w:val="21"/>
          <w:szCs w:val="21"/>
        </w:rPr>
        <w:t xml:space="preserve">（1）装盒时间：</w:t>
      </w:r>
      <w:r>
        <w:rPr>
          <w:rFonts w:hint="eastAsia" w:asciiTheme="minorEastAsia" w:hAnsiTheme="minorEastAsia"/>
          <w:sz w:val="21"/>
          <w:szCs w:val="21"/>
          <w:u w:val="single"/>
        </w:rPr>
        <w:t xml:space="preserve">     </w:t>
      </w:r>
      <w:r>
        <w:rPr>
          <w:rFonts w:hint="eastAsia" w:asciiTheme="minorEastAsia" w:hAnsiTheme="minorEastAsia"/>
          <w:sz w:val="21"/>
          <w:szCs w:val="21"/>
        </w:rPr>
        <w:t xml:space="preserve">分钟</w:t>
      </w:r>
      <w:r>
        <w:rPr>
          <w:rFonts w:hint="eastAsia" w:asciiTheme="minorEastAsia" w:hAnsiTheme="minorEastAsia"/>
          <w:color w:val="ee0000"/>
          <w:sz w:val="21"/>
          <w:szCs w:val="21"/>
        </w:rPr>
        <w:t xml:space="preserve">（不得超过40分钟）</w:t>
      </w:r>
      <w:r/>
    </w:p>
    <w:p>
      <w:pPr>
        <w:pStyle w:val="855"/>
        <w:jc w:val="both"/>
        <w:spacing w:beforeAutospacing="0" w:afterAutospacing="0" w:line="360" w:lineRule="auto"/>
        <w:rPr>
          <w:b/>
          <w:bCs/>
          <w:sz w:val="21"/>
          <w:szCs w:val="21"/>
        </w:rPr>
      </w:pPr>
      <w:r>
        <w:rPr>
          <w:rFonts w:hint="eastAsia" w:asciiTheme="minorEastAsia" w:hAnsiTheme="minorEastAsia"/>
          <w:sz w:val="21"/>
          <w:szCs w:val="21"/>
        </w:rPr>
        <w:t xml:space="preserve">（2）</w:t>
      </w:r>
      <w:r>
        <w:rPr>
          <w:rFonts w:hint="eastAsia"/>
          <w:color w:val="ff0000"/>
          <w:sz w:val="21"/>
          <w:szCs w:val="21"/>
        </w:rPr>
        <w:t xml:space="preserve">投标文件中</w:t>
      </w:r>
      <w:r>
        <w:rPr>
          <w:rFonts w:hint="eastAsia"/>
          <w:b/>
          <w:color w:val="ff0000"/>
          <w:sz w:val="21"/>
          <w:szCs w:val="21"/>
        </w:rPr>
        <w:t xml:space="preserve">须提供</w:t>
      </w:r>
      <w:r>
        <w:rPr>
          <w:rFonts w:hint="eastAsia" w:asciiTheme="minorEastAsia" w:hAnsiTheme="minorEastAsia"/>
          <w:sz w:val="21"/>
          <w:szCs w:val="21"/>
        </w:rPr>
        <w:t xml:space="preserve">供配餐企业到滨海县界牌镇第一中心小学的百度导航截图</w:t>
      </w:r>
      <w:r>
        <w:rPr>
          <w:b/>
          <w:bCs/>
          <w:sz w:val="21"/>
          <w:szCs w:val="21"/>
        </w:rPr>
        <w:t xml:space="preserve"> </w:t>
      </w:r>
      <w:r>
        <w:rPr>
          <w:rFonts w:hint="eastAsia"/>
          <w:b/>
          <w:bCs/>
          <w:sz w:val="21"/>
          <w:szCs w:val="21"/>
        </w:rPr>
        <w:t xml:space="preserve">：</w:t>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156" w:afterAutospacing="0"/>
        <w:rPr>
          <w:b/>
          <w:bCs/>
        </w:rPr>
      </w:pPr>
      <w:r>
        <w:t xml:space="preserve">2.4.3</w:t>
      </w:r>
      <w:r>
        <w:rPr>
          <w:rFonts w:hint="eastAsia"/>
        </w:rPr>
        <w:t xml:space="preserve">滨海县界牌镇第二中心小学：</w:t>
      </w:r>
      <w:r>
        <w:rPr>
          <w:rFonts w:hint="eastAsia"/>
          <w:b/>
          <w:bCs/>
        </w:rPr>
        <w:t xml:space="preserve">装盒时间以及运输所需时间的百度导航截图</w:t>
      </w:r>
      <w:r>
        <w:rPr>
          <w:b/>
          <w:bCs/>
        </w:rPr>
        <w:t xml:space="preserve"> </w:t>
      </w:r>
      <w:r/>
    </w:p>
    <w:p>
      <w:pPr>
        <w:pStyle w:val="855"/>
        <w:jc w:val="both"/>
        <w:spacing w:beforeAutospacing="0" w:afterAutospacing="0" w:line="360" w:lineRule="auto"/>
        <w:rPr>
          <w:rFonts w:asciiTheme="minorEastAsia" w:hAnsiTheme="minorEastAsia"/>
          <w:color w:val="ee0000"/>
        </w:rPr>
      </w:pPr>
      <w:r>
        <w:rPr>
          <w:rFonts w:hint="eastAsia" w:asciiTheme="minorEastAsia" w:hAnsiTheme="minorEastAsia"/>
          <w:sz w:val="21"/>
          <w:szCs w:val="21"/>
        </w:rPr>
        <w:t xml:space="preserve">（1）装盒时间：</w:t>
      </w:r>
      <w:r>
        <w:rPr>
          <w:rFonts w:hint="eastAsia" w:asciiTheme="minorEastAsia" w:hAnsiTheme="minorEastAsia"/>
          <w:sz w:val="21"/>
          <w:szCs w:val="21"/>
          <w:u w:val="single"/>
        </w:rPr>
        <w:t xml:space="preserve">     </w:t>
      </w:r>
      <w:r>
        <w:rPr>
          <w:rFonts w:hint="eastAsia" w:asciiTheme="minorEastAsia" w:hAnsiTheme="minorEastAsia"/>
          <w:sz w:val="21"/>
          <w:szCs w:val="21"/>
        </w:rPr>
        <w:t xml:space="preserve">分钟</w:t>
      </w:r>
      <w:r>
        <w:rPr>
          <w:rFonts w:hint="eastAsia" w:asciiTheme="minorEastAsia" w:hAnsiTheme="minorEastAsia"/>
          <w:color w:val="ee0000"/>
          <w:sz w:val="21"/>
          <w:szCs w:val="21"/>
        </w:rPr>
        <w:t xml:space="preserve">（不得超过40分钟）</w:t>
      </w:r>
      <w:r/>
    </w:p>
    <w:p>
      <w:pPr>
        <w:pStyle w:val="855"/>
        <w:jc w:val="both"/>
        <w:spacing w:beforeAutospacing="0" w:afterAutospacing="0" w:line="360" w:lineRule="auto"/>
        <w:rPr>
          <w:b/>
          <w:bCs/>
          <w:sz w:val="21"/>
          <w:szCs w:val="21"/>
        </w:rPr>
      </w:pPr>
      <w:r>
        <w:rPr>
          <w:rFonts w:hint="eastAsia" w:asciiTheme="minorEastAsia" w:hAnsiTheme="minorEastAsia"/>
          <w:sz w:val="21"/>
          <w:szCs w:val="21"/>
        </w:rPr>
        <w:t xml:space="preserve">（2）</w:t>
      </w:r>
      <w:r>
        <w:rPr>
          <w:rFonts w:hint="eastAsia"/>
          <w:color w:val="ff0000"/>
          <w:sz w:val="21"/>
          <w:szCs w:val="21"/>
        </w:rPr>
        <w:t xml:space="preserve">投标文件中</w:t>
      </w:r>
      <w:r>
        <w:rPr>
          <w:rFonts w:hint="eastAsia"/>
          <w:b/>
          <w:color w:val="ff0000"/>
          <w:sz w:val="21"/>
          <w:szCs w:val="21"/>
        </w:rPr>
        <w:t xml:space="preserve">须提供</w:t>
      </w:r>
      <w:r>
        <w:rPr>
          <w:rFonts w:hint="eastAsia" w:asciiTheme="minorEastAsia" w:hAnsiTheme="minorEastAsia"/>
          <w:sz w:val="21"/>
          <w:szCs w:val="21"/>
        </w:rPr>
        <w:t xml:space="preserve">供配餐企业到滨海县界牌镇第二中心小学的百度导航截图</w:t>
      </w:r>
      <w:r>
        <w:rPr>
          <w:b/>
          <w:bCs/>
          <w:sz w:val="21"/>
          <w:szCs w:val="21"/>
        </w:rPr>
        <w:t xml:space="preserve"> </w:t>
      </w:r>
      <w:r>
        <w:rPr>
          <w:rFonts w:hint="eastAsia"/>
          <w:b/>
          <w:bCs/>
          <w:sz w:val="21"/>
          <w:szCs w:val="21"/>
        </w:rPr>
        <w:t xml:space="preserve">：</w:t>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156" w:afterAutospacing="0"/>
        <w:rPr>
          <w:b/>
          <w:bCs/>
        </w:rPr>
      </w:pPr>
      <w:r>
        <w:t xml:space="preserve">2.4..4</w:t>
      </w:r>
      <w:r>
        <w:rPr>
          <w:rFonts w:hint="eastAsia"/>
        </w:rPr>
        <w:t xml:space="preserve">滨海县八滩镇第二中心小学：</w:t>
      </w:r>
      <w:r>
        <w:rPr>
          <w:rFonts w:hint="eastAsia"/>
          <w:b/>
          <w:bCs/>
        </w:rPr>
        <w:t xml:space="preserve">装盒时间以及运输所需时间的百度导航截图</w:t>
      </w:r>
      <w:r>
        <w:rPr>
          <w:b/>
          <w:bCs/>
        </w:rPr>
        <w:t xml:space="preserve"> </w:t>
      </w:r>
      <w:r/>
    </w:p>
    <w:p>
      <w:pPr>
        <w:pStyle w:val="855"/>
        <w:jc w:val="both"/>
        <w:spacing w:beforeAutospacing="0" w:afterAutospacing="0" w:line="360" w:lineRule="auto"/>
        <w:rPr>
          <w:rFonts w:asciiTheme="minorEastAsia" w:hAnsiTheme="minorEastAsia"/>
          <w:color w:val="ee0000"/>
        </w:rPr>
      </w:pPr>
      <w:r>
        <w:rPr>
          <w:rFonts w:hint="eastAsia" w:asciiTheme="minorEastAsia" w:hAnsiTheme="minorEastAsia"/>
          <w:sz w:val="21"/>
          <w:szCs w:val="21"/>
        </w:rPr>
        <w:t xml:space="preserve">（1）装盒时间：</w:t>
      </w:r>
      <w:r>
        <w:rPr>
          <w:rFonts w:hint="eastAsia" w:asciiTheme="minorEastAsia" w:hAnsiTheme="minorEastAsia"/>
          <w:sz w:val="21"/>
          <w:szCs w:val="21"/>
          <w:u w:val="single"/>
        </w:rPr>
        <w:t xml:space="preserve">     </w:t>
      </w:r>
      <w:r>
        <w:rPr>
          <w:rFonts w:hint="eastAsia" w:asciiTheme="minorEastAsia" w:hAnsiTheme="minorEastAsia"/>
          <w:sz w:val="21"/>
          <w:szCs w:val="21"/>
        </w:rPr>
        <w:t xml:space="preserve">分钟</w:t>
      </w:r>
      <w:r>
        <w:rPr>
          <w:rFonts w:hint="eastAsia" w:asciiTheme="minorEastAsia" w:hAnsiTheme="minorEastAsia"/>
          <w:color w:val="ee0000"/>
          <w:sz w:val="21"/>
          <w:szCs w:val="21"/>
        </w:rPr>
        <w:t xml:space="preserve">（不得超过40分钟）</w:t>
      </w:r>
      <w:r/>
    </w:p>
    <w:p>
      <w:pPr>
        <w:pStyle w:val="855"/>
        <w:jc w:val="both"/>
        <w:spacing w:beforeAutospacing="0" w:afterAutospacing="0" w:line="360" w:lineRule="auto"/>
        <w:rPr>
          <w:b/>
          <w:bCs/>
          <w:sz w:val="21"/>
          <w:szCs w:val="21"/>
        </w:rPr>
      </w:pPr>
      <w:r>
        <w:rPr>
          <w:rFonts w:hint="eastAsia" w:asciiTheme="minorEastAsia" w:hAnsiTheme="minorEastAsia"/>
          <w:sz w:val="21"/>
          <w:szCs w:val="21"/>
        </w:rPr>
        <w:t xml:space="preserve">（2）</w:t>
      </w:r>
      <w:r>
        <w:rPr>
          <w:rFonts w:hint="eastAsia"/>
          <w:color w:val="ff0000"/>
          <w:sz w:val="21"/>
          <w:szCs w:val="21"/>
        </w:rPr>
        <w:t xml:space="preserve">投标文件中</w:t>
      </w:r>
      <w:r>
        <w:rPr>
          <w:rFonts w:hint="eastAsia"/>
          <w:b/>
          <w:color w:val="ff0000"/>
          <w:sz w:val="21"/>
          <w:szCs w:val="21"/>
        </w:rPr>
        <w:t xml:space="preserve">须提供</w:t>
      </w:r>
      <w:r>
        <w:rPr>
          <w:rFonts w:hint="eastAsia" w:asciiTheme="minorEastAsia" w:hAnsiTheme="minorEastAsia"/>
          <w:sz w:val="21"/>
          <w:szCs w:val="21"/>
        </w:rPr>
        <w:t xml:space="preserve">供配餐企业到滨海县八滩镇第二中心小学的百度导航截图</w:t>
      </w:r>
      <w:r>
        <w:rPr>
          <w:b/>
          <w:bCs/>
          <w:sz w:val="21"/>
          <w:szCs w:val="21"/>
        </w:rPr>
        <w:t xml:space="preserve"> </w:t>
      </w:r>
      <w:r>
        <w:rPr>
          <w:rFonts w:hint="eastAsia"/>
          <w:b/>
          <w:bCs/>
          <w:sz w:val="21"/>
          <w:szCs w:val="21"/>
        </w:rPr>
        <w:t xml:space="preserve">：</w:t>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156" w:afterAutospacing="0"/>
        <w:rPr>
          <w:b/>
          <w:bCs/>
        </w:rPr>
      </w:pPr>
      <w:r>
        <w:t xml:space="preserve">2.4.5</w:t>
      </w:r>
      <w:r>
        <w:rPr>
          <w:rFonts w:hint="eastAsia"/>
        </w:rPr>
        <w:t xml:space="preserve">滨海县富康路实验小学：</w:t>
      </w:r>
      <w:r>
        <w:rPr>
          <w:rFonts w:hint="eastAsia"/>
          <w:b/>
          <w:bCs/>
        </w:rPr>
        <w:t xml:space="preserve">装盒时间以及运输所需时间的百度导航截图</w:t>
      </w:r>
      <w:r>
        <w:rPr>
          <w:b/>
          <w:bCs/>
        </w:rPr>
        <w:t xml:space="preserve"> </w:t>
      </w:r>
      <w:r/>
    </w:p>
    <w:p>
      <w:pPr>
        <w:pStyle w:val="855"/>
        <w:jc w:val="both"/>
        <w:spacing w:beforeAutospacing="0" w:afterAutospacing="0" w:line="360" w:lineRule="auto"/>
        <w:rPr>
          <w:rFonts w:asciiTheme="minorEastAsia" w:hAnsiTheme="minorEastAsia"/>
          <w:color w:val="ee0000"/>
        </w:rPr>
      </w:pPr>
      <w:r>
        <w:rPr>
          <w:rFonts w:hint="eastAsia" w:asciiTheme="minorEastAsia" w:hAnsiTheme="minorEastAsia"/>
          <w:sz w:val="21"/>
          <w:szCs w:val="21"/>
        </w:rPr>
        <w:t xml:space="preserve">（1）装盒时间：</w:t>
      </w:r>
      <w:r>
        <w:rPr>
          <w:rFonts w:hint="eastAsia" w:asciiTheme="minorEastAsia" w:hAnsiTheme="minorEastAsia"/>
          <w:sz w:val="21"/>
          <w:szCs w:val="21"/>
          <w:u w:val="single"/>
        </w:rPr>
        <w:t xml:space="preserve">     </w:t>
      </w:r>
      <w:r>
        <w:rPr>
          <w:rFonts w:hint="eastAsia" w:asciiTheme="minorEastAsia" w:hAnsiTheme="minorEastAsia"/>
          <w:sz w:val="21"/>
          <w:szCs w:val="21"/>
        </w:rPr>
        <w:t xml:space="preserve">分钟</w:t>
      </w:r>
      <w:r>
        <w:rPr>
          <w:rFonts w:hint="eastAsia" w:asciiTheme="minorEastAsia" w:hAnsiTheme="minorEastAsia"/>
          <w:color w:val="ee0000"/>
          <w:sz w:val="21"/>
          <w:szCs w:val="21"/>
        </w:rPr>
        <w:t xml:space="preserve">（不得超过40分钟）</w:t>
      </w:r>
      <w:r/>
    </w:p>
    <w:p>
      <w:pPr>
        <w:pStyle w:val="855"/>
        <w:jc w:val="both"/>
        <w:spacing w:beforeAutospacing="0" w:afterAutospacing="0" w:line="360" w:lineRule="auto"/>
        <w:rPr>
          <w:b/>
          <w:bCs/>
          <w:sz w:val="21"/>
          <w:szCs w:val="21"/>
        </w:rPr>
      </w:pPr>
      <w:r>
        <w:rPr>
          <w:rFonts w:hint="eastAsia" w:asciiTheme="minorEastAsia" w:hAnsiTheme="minorEastAsia"/>
          <w:sz w:val="21"/>
          <w:szCs w:val="21"/>
        </w:rPr>
        <w:t xml:space="preserve">（2）</w:t>
      </w:r>
      <w:r>
        <w:rPr>
          <w:rFonts w:hint="eastAsia"/>
          <w:color w:val="ff0000"/>
          <w:sz w:val="21"/>
          <w:szCs w:val="21"/>
        </w:rPr>
        <w:t xml:space="preserve">投标文件中</w:t>
      </w:r>
      <w:r>
        <w:rPr>
          <w:rFonts w:hint="eastAsia"/>
          <w:b/>
          <w:color w:val="ff0000"/>
          <w:sz w:val="21"/>
          <w:szCs w:val="21"/>
        </w:rPr>
        <w:t xml:space="preserve">须提供</w:t>
      </w:r>
      <w:r>
        <w:rPr>
          <w:rFonts w:hint="eastAsia" w:asciiTheme="minorEastAsia" w:hAnsiTheme="minorEastAsia"/>
          <w:sz w:val="21"/>
          <w:szCs w:val="21"/>
        </w:rPr>
        <w:t xml:space="preserve">供配餐企业到滨海县富康路实验小学的百度导航截图</w:t>
      </w:r>
      <w:r>
        <w:rPr>
          <w:b/>
          <w:bCs/>
          <w:sz w:val="21"/>
          <w:szCs w:val="21"/>
        </w:rPr>
        <w:t xml:space="preserve"> </w:t>
      </w:r>
      <w:r>
        <w:rPr>
          <w:rFonts w:hint="eastAsia"/>
          <w:b/>
          <w:bCs/>
          <w:sz w:val="21"/>
          <w:szCs w:val="21"/>
        </w:rPr>
        <w:t xml:space="preserve">：</w:t>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156" w:afterAutospacing="0"/>
        <w:rPr>
          <w:b/>
          <w:bCs/>
        </w:rPr>
      </w:pPr>
      <w:r>
        <w:t xml:space="preserve">2.4.6</w:t>
      </w:r>
      <w:r>
        <w:rPr>
          <w:rFonts w:hint="eastAsia"/>
        </w:rPr>
        <w:t xml:space="preserve">滨海县第二实验小学城南校区：</w:t>
      </w:r>
      <w:r>
        <w:rPr>
          <w:rFonts w:hint="eastAsia"/>
          <w:b/>
          <w:bCs/>
        </w:rPr>
        <w:t xml:space="preserve">装盒时间以及运输所需时间的百度导航截图</w:t>
      </w:r>
      <w:r>
        <w:rPr>
          <w:b/>
          <w:bCs/>
        </w:rPr>
        <w:t xml:space="preserve"> </w:t>
      </w:r>
      <w:r/>
    </w:p>
    <w:p>
      <w:pPr>
        <w:pStyle w:val="855"/>
        <w:jc w:val="both"/>
        <w:spacing w:beforeAutospacing="0" w:afterAutospacing="0" w:line="360" w:lineRule="auto"/>
        <w:rPr>
          <w:rFonts w:asciiTheme="minorEastAsia" w:hAnsiTheme="minorEastAsia"/>
          <w:color w:val="ee0000"/>
        </w:rPr>
      </w:pPr>
      <w:r>
        <w:rPr>
          <w:rFonts w:hint="eastAsia" w:asciiTheme="minorEastAsia" w:hAnsiTheme="minorEastAsia"/>
          <w:sz w:val="21"/>
          <w:szCs w:val="21"/>
        </w:rPr>
        <w:t xml:space="preserve">（1）装盒时间：</w:t>
      </w:r>
      <w:r>
        <w:rPr>
          <w:rFonts w:hint="eastAsia" w:asciiTheme="minorEastAsia" w:hAnsiTheme="minorEastAsia"/>
          <w:sz w:val="21"/>
          <w:szCs w:val="21"/>
          <w:u w:val="single"/>
        </w:rPr>
        <w:t xml:space="preserve">     </w:t>
      </w:r>
      <w:r>
        <w:rPr>
          <w:rFonts w:hint="eastAsia" w:asciiTheme="minorEastAsia" w:hAnsiTheme="minorEastAsia"/>
          <w:sz w:val="21"/>
          <w:szCs w:val="21"/>
        </w:rPr>
        <w:t xml:space="preserve">分钟</w:t>
      </w:r>
      <w:r>
        <w:rPr>
          <w:rFonts w:hint="eastAsia" w:asciiTheme="minorEastAsia" w:hAnsiTheme="minorEastAsia"/>
          <w:color w:val="ee0000"/>
          <w:sz w:val="21"/>
          <w:szCs w:val="21"/>
        </w:rPr>
        <w:t xml:space="preserve">（不得超过40分钟）</w:t>
      </w:r>
      <w:r/>
    </w:p>
    <w:p>
      <w:pPr>
        <w:pStyle w:val="855"/>
        <w:jc w:val="both"/>
        <w:spacing w:beforeAutospacing="0" w:afterAutospacing="0" w:line="360" w:lineRule="auto"/>
        <w:rPr>
          <w:b/>
          <w:bCs/>
          <w:sz w:val="21"/>
          <w:szCs w:val="21"/>
        </w:rPr>
      </w:pPr>
      <w:r>
        <w:rPr>
          <w:rFonts w:hint="eastAsia" w:asciiTheme="minorEastAsia" w:hAnsiTheme="minorEastAsia"/>
          <w:sz w:val="21"/>
          <w:szCs w:val="21"/>
        </w:rPr>
        <w:t xml:space="preserve">（2）</w:t>
      </w:r>
      <w:r>
        <w:rPr>
          <w:rFonts w:hint="eastAsia"/>
          <w:color w:val="ff0000"/>
          <w:sz w:val="21"/>
          <w:szCs w:val="21"/>
        </w:rPr>
        <w:t xml:space="preserve">投标文件中</w:t>
      </w:r>
      <w:r>
        <w:rPr>
          <w:rFonts w:hint="eastAsia"/>
          <w:b/>
          <w:color w:val="ff0000"/>
          <w:sz w:val="21"/>
          <w:szCs w:val="21"/>
        </w:rPr>
        <w:t xml:space="preserve">须提供</w:t>
      </w:r>
      <w:r>
        <w:rPr>
          <w:rFonts w:hint="eastAsia" w:asciiTheme="minorEastAsia" w:hAnsiTheme="minorEastAsia"/>
          <w:sz w:val="21"/>
          <w:szCs w:val="21"/>
        </w:rPr>
        <w:t xml:space="preserve">供配餐企业到滨海县第二实验小学城南校区的百度导航截图</w:t>
      </w:r>
      <w:r>
        <w:rPr>
          <w:b/>
          <w:bCs/>
          <w:sz w:val="21"/>
          <w:szCs w:val="21"/>
        </w:rPr>
        <w:t xml:space="preserve"> </w:t>
      </w:r>
      <w:r>
        <w:rPr>
          <w:rFonts w:hint="eastAsia"/>
          <w:b/>
          <w:bCs/>
          <w:sz w:val="21"/>
          <w:szCs w:val="21"/>
        </w:rPr>
        <w:t xml:space="preserve">：</w:t>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156" w:afterAutospacing="0"/>
        <w:rPr>
          <w:b/>
          <w:bCs/>
        </w:rPr>
      </w:pPr>
      <w:r>
        <w:t xml:space="preserve">2.4.7</w:t>
      </w:r>
      <w:r>
        <w:rPr>
          <w:rFonts w:hint="eastAsia"/>
        </w:rPr>
        <w:t xml:space="preserve"> </w:t>
      </w:r>
      <w:r>
        <w:rPr>
          <w:rFonts w:hint="eastAsia"/>
        </w:rPr>
        <w:t xml:space="preserve">滨海县农业产业园区中心小学：</w:t>
      </w:r>
      <w:r>
        <w:rPr>
          <w:rFonts w:hint="eastAsia"/>
          <w:b/>
          <w:bCs/>
        </w:rPr>
        <w:t xml:space="preserve">装盒时间以及运输所需时间的百度导航截图</w:t>
      </w:r>
      <w:r>
        <w:rPr>
          <w:b/>
          <w:bCs/>
        </w:rPr>
        <w:t xml:space="preserve"> </w:t>
      </w:r>
      <w:r/>
    </w:p>
    <w:p>
      <w:pPr>
        <w:pStyle w:val="855"/>
        <w:jc w:val="both"/>
        <w:spacing w:beforeAutospacing="0" w:afterAutospacing="0" w:line="360" w:lineRule="auto"/>
        <w:rPr>
          <w:rFonts w:asciiTheme="minorEastAsia" w:hAnsiTheme="minorEastAsia"/>
          <w:color w:val="ee0000"/>
        </w:rPr>
      </w:pPr>
      <w:r>
        <w:rPr>
          <w:rFonts w:hint="eastAsia" w:asciiTheme="minorEastAsia" w:hAnsiTheme="minorEastAsia"/>
          <w:sz w:val="21"/>
          <w:szCs w:val="21"/>
        </w:rPr>
        <w:t xml:space="preserve">（1）装盒时间：</w:t>
      </w:r>
      <w:r>
        <w:rPr>
          <w:rFonts w:hint="eastAsia" w:asciiTheme="minorEastAsia" w:hAnsiTheme="minorEastAsia"/>
          <w:sz w:val="21"/>
          <w:szCs w:val="21"/>
          <w:u w:val="single"/>
        </w:rPr>
        <w:t xml:space="preserve">     </w:t>
      </w:r>
      <w:r>
        <w:rPr>
          <w:rFonts w:hint="eastAsia" w:asciiTheme="minorEastAsia" w:hAnsiTheme="minorEastAsia"/>
          <w:sz w:val="21"/>
          <w:szCs w:val="21"/>
        </w:rPr>
        <w:t xml:space="preserve">分钟</w:t>
      </w:r>
      <w:r>
        <w:rPr>
          <w:rFonts w:hint="eastAsia" w:asciiTheme="minorEastAsia" w:hAnsiTheme="minorEastAsia"/>
          <w:color w:val="ee0000"/>
          <w:sz w:val="21"/>
          <w:szCs w:val="21"/>
        </w:rPr>
        <w:t xml:space="preserve">（不得超过40分钟）</w:t>
      </w:r>
      <w:r/>
    </w:p>
    <w:p>
      <w:pPr>
        <w:pStyle w:val="855"/>
        <w:jc w:val="both"/>
        <w:spacing w:beforeAutospacing="0" w:afterAutospacing="0" w:line="0" w:lineRule="atLeast"/>
      </w:pPr>
      <w:r>
        <w:rPr>
          <w:rFonts w:hint="eastAsia" w:asciiTheme="minorEastAsia" w:hAnsiTheme="minorEastAsia"/>
          <w:sz w:val="21"/>
          <w:szCs w:val="21"/>
        </w:rPr>
        <w:t xml:space="preserve">（2）</w:t>
      </w:r>
      <w:r>
        <w:rPr>
          <w:rFonts w:hint="eastAsia"/>
          <w:color w:val="ff0000"/>
          <w:sz w:val="21"/>
          <w:szCs w:val="21"/>
        </w:rPr>
        <w:t xml:space="preserve">投标文件中</w:t>
      </w:r>
      <w:r>
        <w:rPr>
          <w:rFonts w:hint="eastAsia"/>
          <w:b/>
          <w:color w:val="ff0000"/>
          <w:sz w:val="21"/>
          <w:szCs w:val="21"/>
        </w:rPr>
        <w:t xml:space="preserve">须提供</w:t>
      </w:r>
      <w:r>
        <w:rPr>
          <w:rFonts w:hint="eastAsia" w:asciiTheme="minorEastAsia" w:hAnsiTheme="minorEastAsia"/>
          <w:sz w:val="21"/>
          <w:szCs w:val="21"/>
        </w:rPr>
        <w:t xml:space="preserve">供配餐企业到滨海县农业产业园区中心小学的百度导航截图</w:t>
      </w:r>
      <w:r>
        <w:rPr>
          <w:b/>
          <w:bCs/>
          <w:sz w:val="21"/>
          <w:szCs w:val="21"/>
        </w:rPr>
        <w:t xml:space="preserve"> </w:t>
      </w:r>
      <w:r>
        <w:rPr>
          <w:rFonts w:hint="eastAsia"/>
          <w:b/>
          <w:bCs/>
          <w:sz w:val="21"/>
          <w:szCs w:val="21"/>
        </w:rPr>
        <w:t xml:space="preserve">：</w:t>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156" w:afterAutospacing="0"/>
        <w:rPr>
          <w:b/>
          <w:bCs/>
        </w:rPr>
      </w:pPr>
      <w:r>
        <w:t xml:space="preserve">2.4.8</w:t>
      </w:r>
      <w:r>
        <w:rPr>
          <w:rFonts w:hint="eastAsia"/>
        </w:rPr>
        <w:t xml:space="preserve"> </w:t>
      </w:r>
      <w:r>
        <w:rPr>
          <w:rFonts w:hint="eastAsia"/>
        </w:rPr>
        <w:t xml:space="preserve">滨海县永宁路实验学校（永宁路校区）：</w:t>
      </w:r>
      <w:r>
        <w:rPr>
          <w:rFonts w:hint="eastAsia"/>
          <w:b/>
          <w:bCs/>
        </w:rPr>
        <w:t xml:space="preserve">装盒时间以及运输所需时间的百度导航截图</w:t>
      </w:r>
      <w:r>
        <w:rPr>
          <w:b/>
          <w:bCs/>
        </w:rPr>
        <w:t xml:space="preserve"> </w:t>
      </w:r>
      <w:r/>
    </w:p>
    <w:p>
      <w:pPr>
        <w:pStyle w:val="855"/>
        <w:jc w:val="both"/>
        <w:spacing w:beforeAutospacing="0" w:afterAutospacing="0" w:line="360" w:lineRule="auto"/>
        <w:rPr>
          <w:rFonts w:asciiTheme="minorEastAsia" w:hAnsiTheme="minorEastAsia"/>
          <w:color w:val="ee0000"/>
        </w:rPr>
      </w:pPr>
      <w:r>
        <w:rPr>
          <w:rFonts w:hint="eastAsia" w:asciiTheme="minorEastAsia" w:hAnsiTheme="minorEastAsia"/>
          <w:sz w:val="21"/>
          <w:szCs w:val="21"/>
        </w:rPr>
        <w:t xml:space="preserve">（1）装盒时间：</w:t>
      </w:r>
      <w:r>
        <w:rPr>
          <w:rFonts w:hint="eastAsia" w:asciiTheme="minorEastAsia" w:hAnsiTheme="minorEastAsia"/>
          <w:sz w:val="21"/>
          <w:szCs w:val="21"/>
          <w:u w:val="single"/>
        </w:rPr>
        <w:t xml:space="preserve">     </w:t>
      </w:r>
      <w:r>
        <w:rPr>
          <w:rFonts w:hint="eastAsia" w:asciiTheme="minorEastAsia" w:hAnsiTheme="minorEastAsia"/>
          <w:sz w:val="21"/>
          <w:szCs w:val="21"/>
        </w:rPr>
        <w:t xml:space="preserve">分钟</w:t>
      </w:r>
      <w:r>
        <w:rPr>
          <w:rFonts w:hint="eastAsia" w:asciiTheme="minorEastAsia" w:hAnsiTheme="minorEastAsia"/>
          <w:color w:val="ee0000"/>
          <w:sz w:val="21"/>
          <w:szCs w:val="21"/>
        </w:rPr>
        <w:t xml:space="preserve">（不得超过40分钟）</w:t>
      </w:r>
      <w:r/>
    </w:p>
    <w:p>
      <w:pPr>
        <w:pStyle w:val="855"/>
        <w:jc w:val="both"/>
        <w:spacing w:beforeAutospacing="0" w:afterAutospacing="0" w:line="0" w:lineRule="atLeast"/>
      </w:pPr>
      <w:r>
        <w:rPr>
          <w:rFonts w:hint="eastAsia" w:asciiTheme="minorEastAsia" w:hAnsiTheme="minorEastAsia"/>
          <w:sz w:val="21"/>
          <w:szCs w:val="21"/>
        </w:rPr>
        <w:t xml:space="preserve">（2）</w:t>
      </w:r>
      <w:r>
        <w:rPr>
          <w:rFonts w:hint="eastAsia"/>
          <w:color w:val="ff0000"/>
          <w:sz w:val="21"/>
          <w:szCs w:val="21"/>
        </w:rPr>
        <w:t xml:space="preserve">投标文件中</w:t>
      </w:r>
      <w:r>
        <w:rPr>
          <w:rFonts w:hint="eastAsia"/>
          <w:b/>
          <w:color w:val="ff0000"/>
          <w:sz w:val="21"/>
          <w:szCs w:val="21"/>
        </w:rPr>
        <w:t xml:space="preserve">须提供</w:t>
      </w:r>
      <w:r>
        <w:rPr>
          <w:rFonts w:hint="eastAsia" w:asciiTheme="minorEastAsia" w:hAnsiTheme="minorEastAsia"/>
          <w:sz w:val="21"/>
          <w:szCs w:val="21"/>
        </w:rPr>
        <w:t xml:space="preserve">供配餐企业到滨海县永宁路实验学校（永宁路校区）的百度导航截图</w:t>
      </w:r>
      <w:r>
        <w:rPr>
          <w:b/>
          <w:bCs/>
          <w:sz w:val="21"/>
          <w:szCs w:val="21"/>
        </w:rPr>
        <w:t xml:space="preserve"> </w:t>
      </w:r>
      <w:r>
        <w:rPr>
          <w:rFonts w:hint="eastAsia"/>
          <w:b/>
          <w:bCs/>
          <w:sz w:val="21"/>
          <w:szCs w:val="21"/>
        </w:rPr>
        <w:t xml:space="preserve">：</w:t>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156" w:afterAutospacing="0"/>
        <w:rPr>
          <w:b/>
          <w:bCs/>
        </w:rPr>
      </w:pPr>
      <w:r>
        <w:t xml:space="preserve">2.4.9</w:t>
      </w:r>
      <w:r>
        <w:rPr>
          <w:rFonts w:hint="eastAsia"/>
        </w:rPr>
        <w:t xml:space="preserve"> </w:t>
      </w:r>
      <w:r>
        <w:rPr>
          <w:rFonts w:hint="eastAsia"/>
        </w:rPr>
        <w:t xml:space="preserve">滨海县永宁路实验学校（西湖校区）：</w:t>
      </w:r>
      <w:r>
        <w:rPr>
          <w:rFonts w:hint="eastAsia"/>
          <w:b/>
          <w:bCs/>
        </w:rPr>
        <w:t xml:space="preserve">装盒时间以及运输所需时间的百度导航截图</w:t>
      </w:r>
      <w:r>
        <w:rPr>
          <w:b/>
          <w:bCs/>
        </w:rPr>
        <w:t xml:space="preserve"> </w:t>
      </w:r>
      <w:r/>
    </w:p>
    <w:p>
      <w:pPr>
        <w:pStyle w:val="855"/>
        <w:jc w:val="both"/>
        <w:spacing w:beforeAutospacing="0" w:afterAutospacing="0" w:line="360" w:lineRule="auto"/>
        <w:rPr>
          <w:rFonts w:asciiTheme="minorEastAsia" w:hAnsiTheme="minorEastAsia"/>
          <w:color w:val="ee0000"/>
        </w:rPr>
      </w:pPr>
      <w:r>
        <w:rPr>
          <w:rFonts w:hint="eastAsia" w:asciiTheme="minorEastAsia" w:hAnsiTheme="minorEastAsia"/>
          <w:sz w:val="21"/>
          <w:szCs w:val="21"/>
        </w:rPr>
        <w:t xml:space="preserve">（1）装盒时间：</w:t>
      </w:r>
      <w:r>
        <w:rPr>
          <w:rFonts w:hint="eastAsia" w:asciiTheme="minorEastAsia" w:hAnsiTheme="minorEastAsia"/>
          <w:sz w:val="21"/>
          <w:szCs w:val="21"/>
          <w:u w:val="single"/>
        </w:rPr>
        <w:t xml:space="preserve">     </w:t>
      </w:r>
      <w:r>
        <w:rPr>
          <w:rFonts w:hint="eastAsia" w:asciiTheme="minorEastAsia" w:hAnsiTheme="minorEastAsia"/>
          <w:sz w:val="21"/>
          <w:szCs w:val="21"/>
        </w:rPr>
        <w:t xml:space="preserve">分钟</w:t>
      </w:r>
      <w:r>
        <w:rPr>
          <w:rFonts w:hint="eastAsia" w:asciiTheme="minorEastAsia" w:hAnsiTheme="minorEastAsia"/>
          <w:color w:val="ee0000"/>
          <w:sz w:val="21"/>
          <w:szCs w:val="21"/>
        </w:rPr>
        <w:t xml:space="preserve">（不得超过40分钟）</w:t>
      </w:r>
      <w:r/>
    </w:p>
    <w:p>
      <w:pPr>
        <w:pStyle w:val="855"/>
        <w:jc w:val="both"/>
        <w:spacing w:beforeAutospacing="0" w:afterAutospacing="0" w:line="0" w:lineRule="atLeast"/>
      </w:pPr>
      <w:r>
        <w:rPr>
          <w:rFonts w:hint="eastAsia" w:asciiTheme="minorEastAsia" w:hAnsiTheme="minorEastAsia"/>
          <w:sz w:val="21"/>
          <w:szCs w:val="21"/>
        </w:rPr>
        <w:t xml:space="preserve">（2）</w:t>
      </w:r>
      <w:r>
        <w:rPr>
          <w:rFonts w:hint="eastAsia"/>
          <w:color w:val="ff0000"/>
          <w:sz w:val="21"/>
          <w:szCs w:val="21"/>
        </w:rPr>
        <w:t xml:space="preserve">投标文件中</w:t>
      </w:r>
      <w:r>
        <w:rPr>
          <w:rFonts w:hint="eastAsia"/>
          <w:b/>
          <w:color w:val="ff0000"/>
          <w:sz w:val="21"/>
          <w:szCs w:val="21"/>
        </w:rPr>
        <w:t xml:space="preserve">须提供</w:t>
      </w:r>
      <w:r>
        <w:rPr>
          <w:rFonts w:hint="eastAsia" w:asciiTheme="minorEastAsia" w:hAnsiTheme="minorEastAsia"/>
          <w:sz w:val="21"/>
          <w:szCs w:val="21"/>
        </w:rPr>
        <w:t xml:space="preserve">供配餐企业到滨海县永宁路实验学校（西湖校区）的百度导航截图</w:t>
      </w:r>
      <w:r>
        <w:rPr>
          <w:b/>
          <w:bCs/>
          <w:sz w:val="21"/>
          <w:szCs w:val="21"/>
        </w:rPr>
        <w:t xml:space="preserve"> </w:t>
      </w:r>
      <w:r>
        <w:rPr>
          <w:rFonts w:hint="eastAsia"/>
          <w:b/>
          <w:bCs/>
          <w:sz w:val="21"/>
          <w:szCs w:val="21"/>
        </w:rPr>
        <w:t xml:space="preserve">：</w:t>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156" w:afterAutospacing="0"/>
        <w:rPr>
          <w:b/>
          <w:bCs/>
        </w:rPr>
      </w:pPr>
      <w:r>
        <w:t xml:space="preserve">2.4.10</w:t>
      </w:r>
      <w:r>
        <w:rPr>
          <w:rFonts w:hint="eastAsia"/>
        </w:rPr>
        <w:t xml:space="preserve"> </w:t>
      </w:r>
      <w:r>
        <w:rPr>
          <w:rFonts w:hint="eastAsia" w:ascii="宋体" w:hAnsi="宋体"/>
        </w:rPr>
        <w:t xml:space="preserve">滨海县五汛镇第二中心小学</w:t>
      </w:r>
      <w:r>
        <w:rPr>
          <w:rFonts w:hint="eastAsia"/>
        </w:rPr>
        <w:t xml:space="preserve">：</w:t>
      </w:r>
      <w:r>
        <w:rPr>
          <w:rFonts w:hint="eastAsia"/>
          <w:b/>
          <w:bCs/>
        </w:rPr>
        <w:t xml:space="preserve">装盒时间以及运输所需时间的百度导航截图</w:t>
      </w:r>
      <w:r>
        <w:rPr>
          <w:b/>
          <w:bCs/>
        </w:rPr>
        <w:t xml:space="preserve"> </w:t>
      </w:r>
      <w:r/>
    </w:p>
    <w:p>
      <w:pPr>
        <w:pStyle w:val="855"/>
        <w:jc w:val="both"/>
        <w:spacing w:beforeAutospacing="0" w:afterAutospacing="0" w:line="360" w:lineRule="auto"/>
        <w:rPr>
          <w:rFonts w:asciiTheme="minorEastAsia" w:hAnsiTheme="minorEastAsia"/>
          <w:color w:val="ee0000"/>
        </w:rPr>
      </w:pPr>
      <w:r>
        <w:rPr>
          <w:rFonts w:hint="eastAsia" w:asciiTheme="minorEastAsia" w:hAnsiTheme="minorEastAsia"/>
          <w:sz w:val="21"/>
          <w:szCs w:val="21"/>
        </w:rPr>
        <w:t xml:space="preserve">（1）装盒时间：</w:t>
      </w:r>
      <w:r>
        <w:rPr>
          <w:rFonts w:hint="eastAsia" w:asciiTheme="minorEastAsia" w:hAnsiTheme="minorEastAsia"/>
          <w:sz w:val="21"/>
          <w:szCs w:val="21"/>
          <w:u w:val="single"/>
        </w:rPr>
        <w:t xml:space="preserve">     </w:t>
      </w:r>
      <w:r>
        <w:rPr>
          <w:rFonts w:hint="eastAsia" w:asciiTheme="minorEastAsia" w:hAnsiTheme="minorEastAsia"/>
          <w:sz w:val="21"/>
          <w:szCs w:val="21"/>
        </w:rPr>
        <w:t xml:space="preserve">分钟</w:t>
      </w:r>
      <w:r>
        <w:rPr>
          <w:rFonts w:hint="eastAsia" w:asciiTheme="minorEastAsia" w:hAnsiTheme="minorEastAsia"/>
          <w:color w:val="ee0000"/>
          <w:sz w:val="21"/>
          <w:szCs w:val="21"/>
        </w:rPr>
        <w:t xml:space="preserve">（不得超过40分钟）</w:t>
      </w:r>
      <w:r/>
    </w:p>
    <w:p>
      <w:pPr>
        <w:pStyle w:val="855"/>
        <w:jc w:val="both"/>
        <w:spacing w:beforeAutospacing="0" w:afterAutospacing="0" w:line="0" w:lineRule="atLeast"/>
      </w:pPr>
      <w:r>
        <w:rPr>
          <w:rFonts w:hint="eastAsia" w:asciiTheme="minorEastAsia" w:hAnsiTheme="minorEastAsia"/>
          <w:sz w:val="21"/>
          <w:szCs w:val="21"/>
        </w:rPr>
        <w:t xml:space="preserve">（2）</w:t>
      </w:r>
      <w:r>
        <w:rPr>
          <w:rFonts w:hint="eastAsia"/>
          <w:color w:val="ff0000"/>
          <w:sz w:val="21"/>
          <w:szCs w:val="21"/>
        </w:rPr>
        <w:t xml:space="preserve">投标文件中</w:t>
      </w:r>
      <w:r>
        <w:rPr>
          <w:rFonts w:hint="eastAsia"/>
          <w:b/>
          <w:color w:val="ff0000"/>
          <w:sz w:val="21"/>
          <w:szCs w:val="21"/>
        </w:rPr>
        <w:t xml:space="preserve">须提供</w:t>
      </w:r>
      <w:r>
        <w:rPr>
          <w:rFonts w:hint="eastAsia" w:asciiTheme="minorEastAsia" w:hAnsiTheme="minorEastAsia"/>
          <w:sz w:val="21"/>
          <w:szCs w:val="21"/>
        </w:rPr>
        <w:t xml:space="preserve">供配餐企业到滨海县五汛镇第二中心小学的百度导航截图</w:t>
      </w:r>
      <w:r>
        <w:rPr>
          <w:b/>
          <w:bCs/>
          <w:sz w:val="21"/>
          <w:szCs w:val="21"/>
        </w:rPr>
        <w:t xml:space="preserve"> </w:t>
      </w:r>
      <w:r>
        <w:rPr>
          <w:rFonts w:hint="eastAsia"/>
          <w:b/>
          <w:bCs/>
          <w:sz w:val="21"/>
          <w:szCs w:val="21"/>
        </w:rPr>
        <w:t xml:space="preserve">：</w:t>
      </w:r>
      <w:r/>
    </w:p>
    <w:p>
      <w:pPr>
        <w:pStyle w:val="855"/>
        <w:jc w:val="both"/>
        <w:spacing w:beforeAutospacing="0" w:afterAutospacing="0" w:line="0" w:lineRule="atLeast"/>
      </w:pPr>
      <w:r/>
      <w:r/>
    </w:p>
    <w:p>
      <w:pPr>
        <w:pStyle w:val="855"/>
        <w:jc w:val="both"/>
        <w:spacing w:beforeAutospacing="0" w:after="156" w:afterAutospacing="0"/>
        <w:rPr>
          <w:b/>
          <w:bCs/>
        </w:rPr>
      </w:pPr>
      <w:r>
        <w:t xml:space="preserve">2.4.11</w:t>
      </w:r>
      <w:r>
        <w:rPr>
          <w:rFonts w:hint="eastAsia"/>
        </w:rPr>
        <w:t xml:space="preserve">滨海县滨海港镇中心小学</w:t>
      </w:r>
      <w:r>
        <w:rPr>
          <w:rFonts w:hint="eastAsia"/>
        </w:rPr>
        <w:t xml:space="preserve"> </w:t>
      </w:r>
      <w:r>
        <w:rPr>
          <w:rFonts w:hint="eastAsia"/>
        </w:rPr>
        <w:t xml:space="preserve">：</w:t>
      </w:r>
      <w:r>
        <w:rPr>
          <w:rFonts w:hint="eastAsia"/>
          <w:b/>
          <w:bCs/>
        </w:rPr>
        <w:t xml:space="preserve">装盒时间以及运输所需时间的百度导航截图</w:t>
      </w:r>
      <w:r>
        <w:rPr>
          <w:b/>
          <w:bCs/>
        </w:rPr>
        <w:t xml:space="preserve"> </w:t>
      </w:r>
      <w:r/>
    </w:p>
    <w:p>
      <w:pPr>
        <w:pStyle w:val="855"/>
        <w:jc w:val="both"/>
        <w:spacing w:beforeAutospacing="0" w:afterAutospacing="0" w:line="360" w:lineRule="auto"/>
        <w:rPr>
          <w:rFonts w:asciiTheme="minorEastAsia" w:hAnsiTheme="minorEastAsia"/>
          <w:color w:val="ee0000"/>
        </w:rPr>
      </w:pPr>
      <w:r>
        <w:rPr>
          <w:rFonts w:hint="eastAsia" w:asciiTheme="minorEastAsia" w:hAnsiTheme="minorEastAsia"/>
          <w:sz w:val="21"/>
          <w:szCs w:val="21"/>
        </w:rPr>
        <w:t xml:space="preserve">（1）装盒时间：</w:t>
      </w:r>
      <w:r>
        <w:rPr>
          <w:rFonts w:hint="eastAsia" w:asciiTheme="minorEastAsia" w:hAnsiTheme="minorEastAsia"/>
          <w:sz w:val="21"/>
          <w:szCs w:val="21"/>
          <w:u w:val="single"/>
        </w:rPr>
        <w:t xml:space="preserve">     </w:t>
      </w:r>
      <w:r>
        <w:rPr>
          <w:rFonts w:hint="eastAsia" w:asciiTheme="minorEastAsia" w:hAnsiTheme="minorEastAsia"/>
          <w:sz w:val="21"/>
          <w:szCs w:val="21"/>
        </w:rPr>
        <w:t xml:space="preserve">分钟</w:t>
      </w:r>
      <w:r>
        <w:rPr>
          <w:rFonts w:hint="eastAsia" w:asciiTheme="minorEastAsia" w:hAnsiTheme="minorEastAsia"/>
          <w:color w:val="ee0000"/>
          <w:sz w:val="21"/>
          <w:szCs w:val="21"/>
        </w:rPr>
        <w:t xml:space="preserve">（不得超过40分钟）</w:t>
      </w:r>
      <w:r/>
    </w:p>
    <w:p>
      <w:pPr>
        <w:pStyle w:val="855"/>
        <w:jc w:val="both"/>
        <w:spacing w:beforeAutospacing="0" w:afterAutospacing="0" w:line="0" w:lineRule="atLeast"/>
      </w:pPr>
      <w:r>
        <w:rPr>
          <w:rFonts w:hint="eastAsia" w:asciiTheme="minorEastAsia" w:hAnsiTheme="minorEastAsia"/>
          <w:sz w:val="21"/>
          <w:szCs w:val="21"/>
        </w:rPr>
        <w:t xml:space="preserve">（2）</w:t>
      </w:r>
      <w:r>
        <w:rPr>
          <w:rFonts w:hint="eastAsia"/>
          <w:color w:val="ff0000"/>
          <w:sz w:val="21"/>
          <w:szCs w:val="21"/>
        </w:rPr>
        <w:t xml:space="preserve">投标文件中</w:t>
      </w:r>
      <w:r>
        <w:rPr>
          <w:rFonts w:hint="eastAsia"/>
          <w:b/>
          <w:color w:val="ff0000"/>
          <w:sz w:val="21"/>
          <w:szCs w:val="21"/>
        </w:rPr>
        <w:t xml:space="preserve">须提供</w:t>
      </w:r>
      <w:r>
        <w:rPr>
          <w:rFonts w:hint="eastAsia" w:asciiTheme="minorEastAsia" w:hAnsiTheme="minorEastAsia"/>
          <w:sz w:val="21"/>
          <w:szCs w:val="21"/>
        </w:rPr>
        <w:t xml:space="preserve">供配餐企业到滨海县滨海港镇中心小学的百度导航截图</w:t>
      </w:r>
      <w:r>
        <w:rPr>
          <w:b/>
          <w:bCs/>
          <w:sz w:val="21"/>
          <w:szCs w:val="21"/>
        </w:rPr>
        <w:t xml:space="preserve"> </w:t>
      </w:r>
      <w:r>
        <w:rPr>
          <w:rFonts w:hint="eastAsia"/>
          <w:b/>
          <w:bCs/>
          <w:sz w:val="21"/>
          <w:szCs w:val="21"/>
        </w:rPr>
        <w:t xml:space="preserve">：</w:t>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156" w:afterAutospacing="0"/>
        <w:rPr>
          <w:b/>
          <w:bCs/>
        </w:rPr>
      </w:pPr>
      <w:r>
        <w:t xml:space="preserve">2.4.12</w:t>
      </w:r>
      <w:r>
        <w:rPr>
          <w:rFonts w:hint="eastAsia"/>
        </w:rPr>
        <w:t xml:space="preserve">滨海县五汛镇中心小学</w:t>
      </w:r>
      <w:r>
        <w:rPr>
          <w:rFonts w:hint="eastAsia"/>
        </w:rPr>
        <w:t xml:space="preserve"> </w:t>
      </w:r>
      <w:r>
        <w:rPr>
          <w:rFonts w:hint="eastAsia"/>
        </w:rPr>
        <w:t xml:space="preserve">：</w:t>
      </w:r>
      <w:r>
        <w:rPr>
          <w:rFonts w:hint="eastAsia"/>
          <w:b/>
          <w:bCs/>
        </w:rPr>
        <w:t xml:space="preserve">装盒时间以及运输所需时间的百度导航截图</w:t>
      </w:r>
      <w:r>
        <w:rPr>
          <w:b/>
          <w:bCs/>
        </w:rPr>
        <w:t xml:space="preserve"> </w:t>
      </w:r>
      <w:r/>
    </w:p>
    <w:p>
      <w:pPr>
        <w:pStyle w:val="855"/>
        <w:jc w:val="both"/>
        <w:spacing w:beforeAutospacing="0" w:afterAutospacing="0" w:line="360" w:lineRule="auto"/>
        <w:rPr>
          <w:rFonts w:asciiTheme="minorEastAsia" w:hAnsiTheme="minorEastAsia"/>
          <w:color w:val="ee0000"/>
        </w:rPr>
      </w:pPr>
      <w:r>
        <w:rPr>
          <w:rFonts w:hint="eastAsia" w:asciiTheme="minorEastAsia" w:hAnsiTheme="minorEastAsia"/>
          <w:sz w:val="21"/>
          <w:szCs w:val="21"/>
        </w:rPr>
        <w:t xml:space="preserve">（1）装盒时间：</w:t>
      </w:r>
      <w:r>
        <w:rPr>
          <w:rFonts w:hint="eastAsia" w:asciiTheme="minorEastAsia" w:hAnsiTheme="minorEastAsia"/>
          <w:sz w:val="21"/>
          <w:szCs w:val="21"/>
          <w:u w:val="single"/>
        </w:rPr>
        <w:t xml:space="preserve">     </w:t>
      </w:r>
      <w:r>
        <w:rPr>
          <w:rFonts w:hint="eastAsia" w:asciiTheme="minorEastAsia" w:hAnsiTheme="minorEastAsia"/>
          <w:sz w:val="21"/>
          <w:szCs w:val="21"/>
        </w:rPr>
        <w:t xml:space="preserve">分钟</w:t>
      </w:r>
      <w:r>
        <w:rPr>
          <w:rFonts w:hint="eastAsia" w:asciiTheme="minorEastAsia" w:hAnsiTheme="minorEastAsia"/>
          <w:color w:val="ee0000"/>
          <w:sz w:val="21"/>
          <w:szCs w:val="21"/>
        </w:rPr>
        <w:t xml:space="preserve">（不得超过40分钟）</w:t>
      </w:r>
      <w:r/>
    </w:p>
    <w:p>
      <w:pPr>
        <w:pStyle w:val="855"/>
        <w:jc w:val="both"/>
        <w:spacing w:beforeAutospacing="0" w:afterAutospacing="0" w:line="0" w:lineRule="atLeast"/>
      </w:pPr>
      <w:r>
        <w:rPr>
          <w:rFonts w:hint="eastAsia" w:asciiTheme="minorEastAsia" w:hAnsiTheme="minorEastAsia"/>
          <w:sz w:val="21"/>
          <w:szCs w:val="21"/>
        </w:rPr>
        <w:t xml:space="preserve">（2）</w:t>
      </w:r>
      <w:r>
        <w:rPr>
          <w:rFonts w:hint="eastAsia"/>
          <w:color w:val="ff0000"/>
          <w:sz w:val="21"/>
          <w:szCs w:val="21"/>
        </w:rPr>
        <w:t xml:space="preserve">投标文件中</w:t>
      </w:r>
      <w:r>
        <w:rPr>
          <w:rFonts w:hint="eastAsia"/>
          <w:b/>
          <w:color w:val="ff0000"/>
          <w:sz w:val="21"/>
          <w:szCs w:val="21"/>
        </w:rPr>
        <w:t xml:space="preserve">须提供</w:t>
      </w:r>
      <w:r>
        <w:rPr>
          <w:rFonts w:hint="eastAsia" w:asciiTheme="minorEastAsia" w:hAnsiTheme="minorEastAsia"/>
          <w:sz w:val="21"/>
          <w:szCs w:val="21"/>
        </w:rPr>
        <w:t xml:space="preserve">供配餐企业到滨海县五汛镇中心小学的百度导航截图</w:t>
      </w:r>
      <w:r>
        <w:rPr>
          <w:b/>
          <w:bCs/>
          <w:sz w:val="21"/>
          <w:szCs w:val="21"/>
        </w:rPr>
        <w:t xml:space="preserve"> </w:t>
      </w:r>
      <w:r>
        <w:rPr>
          <w:rFonts w:hint="eastAsia"/>
          <w:b/>
          <w:bCs/>
          <w:sz w:val="21"/>
          <w:szCs w:val="21"/>
        </w:rPr>
        <w:t xml:space="preserve">：</w:t>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Autospacing="0" w:line="0" w:lineRule="atLeast"/>
      </w:pPr>
      <w:r>
        <w:t xml:space="preserve"> </w:t>
      </w:r>
      <w:r/>
    </w:p>
    <w:p>
      <w:pPr>
        <w:pStyle w:val="855"/>
        <w:jc w:val="both"/>
        <w:spacing w:beforeAutospacing="0" w:afterAutospacing="0"/>
      </w:pPr>
      <w:r>
        <w:t xml:space="preserve"> </w:t>
      </w:r>
      <w:r/>
    </w:p>
    <w:p>
      <w:pPr>
        <w:ind w:firstLine="496"/>
        <w:jc w:val="center"/>
      </w:pPr>
      <w:r/>
      <w:bookmarkStart w:id="241" w:name="_Hlt26671374"/>
      <w:r/>
      <w:bookmarkStart w:id="242" w:name="_Hlt26609389"/>
      <w:r/>
      <w:bookmarkStart w:id="243" w:name="_Hlt26955054"/>
      <w:r/>
      <w:bookmarkStart w:id="244" w:name="_格式2__法定代表人授权书"/>
      <w:r/>
      <w:bookmarkStart w:id="245" w:name="_Toc462564146"/>
      <w:r/>
      <w:bookmarkStart w:id="246" w:name="_Hlt26955066"/>
      <w:r>
        <w:t xml:space="preserve"> </w:t>
      </w:r>
      <w:r>
        <w:rPr>
          <w:rFonts w:hint="eastAsia" w:ascii="黑体" w:hAnsi="宋体" w:eastAsia="黑体" w:cs="黑体"/>
          <w:b/>
          <w:color w:val="000000"/>
          <w:sz w:val="32"/>
          <w:szCs w:val="32"/>
        </w:rPr>
        <w:t xml:space="preserve">十五、商务要求响应及偏离表</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5"/>
              <w:jc w:val="center"/>
              <w:spacing w:beforeAutospacing="0" w:afterAutospacing="0"/>
            </w:pPr>
            <w:r/>
            <w:bookmarkStart w:id="247" w:name="_Hlt24879081"/>
            <w:r/>
            <w:bookmarkStart w:id="248" w:name="_Hlt26955064"/>
            <w:r/>
            <w:bookmarkStart w:id="249" w:name="_Hlt26782999"/>
            <w:r/>
            <w:bookmarkStart w:id="250" w:name="_Hlt26955056"/>
            <w:r/>
            <w:bookmarkStart w:id="251" w:name="_Hlt26671372"/>
            <w:r/>
            <w:bookmarkStart w:id="252" w:name="_Hlt26580838"/>
            <w:r/>
            <w:bookmarkStart w:id="253" w:name="_Hlt26609391"/>
            <w:r/>
            <w:bookmarkStart w:id="254" w:name="_Hlt26671343"/>
            <w:r>
              <w:rPr>
                <w:rFonts w:hint="eastAsia" w:ascii="宋体" w:hAnsi="宋体" w:eastAsia="宋体" w:cs="宋体"/>
                <w:color w:val="000000"/>
              </w:rPr>
              <w:t xml:space="preserve">序号</w:t>
            </w:r>
            <w:bookmarkEnd w:id="247"/>
            <w:r/>
            <w:bookmarkEnd w:id="248"/>
            <w:r/>
            <w:bookmarkEnd w:id="249"/>
            <w:r/>
            <w:bookmarkEnd w:id="250"/>
            <w:r/>
            <w:bookmarkEnd w:id="251"/>
            <w:r/>
            <w:bookmarkEnd w:id="252"/>
            <w:r/>
            <w:bookmarkEnd w:id="253"/>
            <w:r/>
            <w:bookmarkEnd w:id="254"/>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5"/>
              <w:jc w:val="center"/>
              <w:spacing w:beforeAutospacing="0" w:afterAutospacing="0"/>
            </w:pPr>
            <w:r>
              <w:rPr>
                <w:rFonts w:hint="eastAsia" w:ascii="宋体" w:hAnsi="宋体" w:eastAsia="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5"/>
              <w:jc w:val="center"/>
              <w:spacing w:beforeAutospacing="0" w:afterAutospacing="0"/>
            </w:pPr>
            <w:r>
              <w:rPr>
                <w:rFonts w:hint="eastAsia" w:ascii="宋体" w:hAnsi="宋体" w:eastAsia="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5"/>
              <w:jc w:val="center"/>
              <w:spacing w:beforeAutospacing="0" w:afterAutospacing="0"/>
            </w:pPr>
            <w:r>
              <w:rPr>
                <w:rFonts w:hint="eastAsia" w:ascii="宋体" w:hAnsi="宋体" w:eastAsia="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5"/>
              <w:jc w:val="center"/>
              <w:spacing w:beforeAutospacing="0" w:afterAutospacing="0"/>
            </w:pPr>
            <w:r>
              <w:rPr>
                <w:rFonts w:hint="eastAsia" w:ascii="宋体" w:hAnsi="宋体" w:eastAsia="宋体" w:cs="宋体"/>
                <w:color w:val="000000"/>
              </w:rPr>
              <w:t xml:space="preserve">证明</w:t>
            </w:r>
            <w:r/>
          </w:p>
          <w:p>
            <w:pPr>
              <w:pStyle w:val="855"/>
              <w:jc w:val="center"/>
              <w:spacing w:beforeAutospacing="0" w:afterAutospacing="0"/>
            </w:pPr>
            <w:r>
              <w:rPr>
                <w:rFonts w:hint="eastAsia" w:ascii="宋体" w:hAnsi="宋体" w:eastAsia="宋体" w:cs="宋体"/>
                <w:color w:val="000000"/>
              </w:rPr>
              <w:t xml:space="preserve">材料（如有）</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5"/>
              <w:jc w:val="center"/>
              <w:spacing w:beforeAutospacing="0" w:afterAutospacing="0"/>
            </w:pPr>
            <w:r>
              <w:rPr>
                <w:rFonts w:hint="eastAsia" w:hAnsi="宋体"/>
                <w:iCs/>
                <w:szCs w:val="22"/>
              </w:rPr>
              <w:t xml:space="preserve">1</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5"/>
              <w:jc w:val="center"/>
              <w:spacing w:beforeAutospacing="0" w:afterAutospacing="0"/>
            </w:pPr>
            <w:r>
              <w:rPr>
                <w:rFonts w:hint="eastAsia" w:hAnsi="宋体"/>
                <w:i/>
                <w:szCs w:val="22"/>
                <w:u w:val="single"/>
              </w:rPr>
              <w:t xml:space="preserve">价格（单价不得超过单价最高限价</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5"/>
              <w:jc w:val="center"/>
              <w:spacing w:beforeAutospacing="0" w:afterAutospacing="0"/>
            </w:pPr>
            <w:r>
              <w:rPr>
                <w:rFonts w:hint="eastAsia" w:hAnsi="宋体"/>
                <w:iCs/>
                <w:szCs w:val="22"/>
              </w:rPr>
              <w:t xml:space="preserve">2</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5"/>
              <w:jc w:val="center"/>
              <w:spacing w:beforeAutospacing="0" w:afterAutospacing="0"/>
            </w:pPr>
            <w:r>
              <w:rPr>
                <w:rFonts w:hint="eastAsia" w:hAnsi="宋体"/>
                <w:i/>
                <w:szCs w:val="22"/>
                <w:u w:val="single"/>
              </w:rPr>
              <w:t xml:space="preserve">投标函</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5"/>
              <w:jc w:val="center"/>
              <w:spacing w:beforeAutospacing="0" w:afterAutospacing="0"/>
            </w:pPr>
            <w:r>
              <w:rPr>
                <w:rFonts w:hint="eastAsia" w:hAnsi="宋体"/>
                <w:iCs/>
                <w:szCs w:val="22"/>
              </w:rPr>
              <w:t xml:space="preserve">3</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5"/>
              <w:jc w:val="center"/>
              <w:spacing w:beforeAutospacing="0" w:afterAutospacing="0"/>
            </w:pPr>
            <w:r>
              <w:rPr>
                <w:rFonts w:hint="eastAsia"/>
                <w:i/>
                <w:iCs/>
                <w:szCs w:val="21"/>
                <w:u w:val="single"/>
              </w:rPr>
              <w:t xml:space="preserve">法人授权书</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5"/>
              <w:jc w:val="center"/>
              <w:spacing w:beforeAutospacing="0" w:afterAutospacing="0"/>
            </w:pPr>
            <w:r>
              <w:rPr>
                <w:rFonts w:hint="eastAsia" w:hAnsi="宋体"/>
                <w:iCs/>
                <w:szCs w:val="22"/>
              </w:rPr>
              <w:t xml:space="preserve">4</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5"/>
              <w:jc w:val="center"/>
              <w:spacing w:beforeAutospacing="0" w:afterAutospacing="0"/>
            </w:pPr>
            <w:r>
              <w:rPr>
                <w:rFonts w:hint="eastAsia" w:hAnsi="宋体"/>
                <w:i/>
                <w:szCs w:val="22"/>
                <w:u w:val="single"/>
              </w:rPr>
              <w:t xml:space="preserve">服务</w:t>
            </w:r>
            <w:r>
              <w:rPr>
                <w:rFonts w:hAnsi="宋体"/>
                <w:i/>
                <w:szCs w:val="22"/>
                <w:u w:val="single"/>
              </w:rPr>
              <w:t xml:space="preserve">承诺函</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5"/>
              <w:jc w:val="center"/>
              <w:spacing w:beforeAutospacing="0" w:afterAutospacing="0"/>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5"/>
              <w:jc w:val="center"/>
              <w:spacing w:beforeAutospacing="0" w:afterAutospacing="0"/>
            </w:pPr>
            <w:r>
              <w:t xml:space="preserve"> </w:t>
            </w:r>
            <w:r/>
          </w:p>
        </w:tc>
      </w:tr>
    </w:tbl>
    <w:p>
      <w:pPr>
        <w:pStyle w:val="855"/>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55"/>
        <w:jc w:val="both"/>
        <w:spacing w:beforeAutospacing="0" w:afterAutospacing="0"/>
      </w:pPr>
      <w:r>
        <w:rPr>
          <w:rFonts w:hint="eastAsia" w:ascii="宋体" w:hAnsi="宋体" w:eastAsia="宋体" w:cs="宋体"/>
          <w:color w:val="ee0000"/>
        </w:rPr>
        <w:t xml:space="preserve">注：本表须明确填写并按招标文件要求提供材料，否则符合性检查无法通过。</w:t>
      </w:r>
      <w:r/>
    </w:p>
    <w:p>
      <w:pPr>
        <w:pStyle w:val="855"/>
        <w:jc w:val="both"/>
        <w:spacing w:beforeAutospacing="0" w:afterAutospacing="0" w:line="480" w:lineRule="auto"/>
      </w:pPr>
      <w:r>
        <w:t xml:space="preserve"> </w:t>
      </w:r>
      <w:r/>
    </w:p>
    <w:p>
      <w:pPr>
        <w:pStyle w:val="855"/>
        <w:jc w:val="both"/>
        <w:spacing w:beforeAutospacing="0" w:afterAutospacing="0" w:line="480" w:lineRule="auto"/>
      </w:pPr>
      <w:r>
        <w:t xml:space="preserve"> </w:t>
      </w:r>
      <w:r/>
    </w:p>
    <w:p>
      <w:pPr>
        <w:pStyle w:val="855"/>
        <w:jc w:val="center"/>
        <w:spacing w:beforeAutospacing="0" w:afterAutospacing="0"/>
      </w:pPr>
      <w:r>
        <w:t xml:space="preserve"> </w:t>
      </w:r>
      <w:r/>
    </w:p>
    <w:p>
      <w:pPr>
        <w:pStyle w:val="855"/>
        <w:jc w:val="center"/>
        <w:spacing w:beforeAutospacing="0" w:afterAutospacing="0"/>
      </w:pPr>
      <w:r>
        <w:t xml:space="preserve"> </w:t>
      </w:r>
      <w:r/>
    </w:p>
    <w:p>
      <w:pPr>
        <w:pStyle w:val="855"/>
        <w:jc w:val="center"/>
        <w:spacing w:beforeAutospacing="0" w:afterAutospacing="0"/>
      </w:pPr>
      <w:r>
        <w:t xml:space="preserve"> </w:t>
      </w:r>
      <w:r/>
    </w:p>
    <w:p>
      <w:pPr>
        <w:pStyle w:val="855"/>
        <w:jc w:val="center"/>
        <w:spacing w:beforeAutospacing="0" w:afterAutospacing="0"/>
      </w:pPr>
      <w:r>
        <w:t xml:space="preserve"> </w:t>
      </w:r>
      <w:r/>
    </w:p>
    <w:p>
      <w:pPr>
        <w:pStyle w:val="855"/>
        <w:jc w:val="center"/>
        <w:spacing w:beforeAutospacing="0" w:afterAutospacing="0"/>
      </w:pPr>
      <w:r>
        <w:t xml:space="preserve"> </w:t>
      </w:r>
      <w:r/>
    </w:p>
    <w:p>
      <w:pPr>
        <w:pStyle w:val="855"/>
        <w:jc w:val="center"/>
        <w:spacing w:beforeAutospacing="0" w:afterAutospacing="0"/>
      </w:pPr>
      <w:r>
        <w:t xml:space="preserve"> </w:t>
      </w:r>
      <w:r/>
    </w:p>
    <w:p>
      <w:pPr>
        <w:pStyle w:val="855"/>
        <w:jc w:val="center"/>
        <w:spacing w:beforeAutospacing="0" w:afterAutospacing="0"/>
      </w:pPr>
      <w:r/>
      <w:r/>
    </w:p>
    <w:p>
      <w:pPr>
        <w:pStyle w:val="855"/>
        <w:jc w:val="center"/>
        <w:spacing w:beforeAutospacing="0" w:afterAutospacing="0"/>
      </w:pPr>
      <w:r/>
      <w:r/>
    </w:p>
    <w:p>
      <w:pPr>
        <w:pStyle w:val="855"/>
        <w:jc w:val="center"/>
        <w:spacing w:beforeAutospacing="0" w:afterAutospacing="0"/>
      </w:pPr>
      <w:r/>
      <w:r/>
    </w:p>
    <w:p>
      <w:pPr>
        <w:pStyle w:val="855"/>
        <w:jc w:val="center"/>
        <w:spacing w:beforeAutospacing="0" w:afterAutospacing="0"/>
      </w:pPr>
      <w:r/>
      <w:r/>
    </w:p>
    <w:p>
      <w:pPr>
        <w:pStyle w:val="855"/>
        <w:jc w:val="center"/>
        <w:spacing w:beforeAutospacing="0" w:afterAutospacing="0"/>
      </w:pPr>
      <w:r/>
      <w:r/>
    </w:p>
    <w:p>
      <w:pPr>
        <w:pStyle w:val="855"/>
        <w:jc w:val="center"/>
        <w:spacing w:beforeAutospacing="0" w:afterAutospacing="0"/>
      </w:pPr>
      <w:r/>
      <w:r/>
    </w:p>
    <w:p>
      <w:pPr>
        <w:pStyle w:val="855"/>
        <w:jc w:val="center"/>
        <w:spacing w:beforeAutospacing="0" w:afterAutospacing="0"/>
      </w:pPr>
      <w:r/>
      <w:r/>
    </w:p>
    <w:p>
      <w:pPr>
        <w:pStyle w:val="855"/>
        <w:jc w:val="center"/>
        <w:spacing w:beforeAutospacing="0" w:afterAutospacing="0"/>
      </w:pPr>
      <w:r/>
      <w:r/>
    </w:p>
    <w:p>
      <w:pPr>
        <w:pStyle w:val="855"/>
        <w:jc w:val="center"/>
        <w:spacing w:beforeAutospacing="0" w:afterAutospacing="0"/>
      </w:pPr>
      <w:r>
        <w:t xml:space="preserve"> </w:t>
      </w:r>
      <w:r/>
    </w:p>
    <w:p>
      <w:pPr>
        <w:pStyle w:val="855"/>
        <w:jc w:val="center"/>
        <w:spacing w:beforeAutospacing="0" w:afterAutospacing="0"/>
      </w:pPr>
      <w:r>
        <w:t xml:space="preserve"> </w:t>
      </w:r>
      <w:r/>
    </w:p>
    <w:p>
      <w:pPr>
        <w:pStyle w:val="855"/>
        <w:jc w:val="center"/>
        <w:spacing w:beforeAutospacing="0" w:afterAutospacing="0"/>
      </w:pPr>
      <w:r/>
      <w:r/>
    </w:p>
    <w:p>
      <w:pPr>
        <w:pStyle w:val="855"/>
        <w:jc w:val="center"/>
        <w:spacing w:beforeAutospacing="0" w:afterAutospacing="0"/>
      </w:pPr>
      <w:r>
        <w:t xml:space="preserve">  </w:t>
      </w:r>
      <w:r/>
    </w:p>
    <w:p>
      <w:pPr>
        <w:pStyle w:val="855"/>
        <w:ind w:firstLine="758"/>
        <w:jc w:val="center"/>
        <w:spacing w:beforeAutospacing="0" w:afterAutospacing="0"/>
        <w:rPr>
          <w:rFonts w:ascii="Times New Roman" w:hAnsi="Times New Roman"/>
          <w:color w:val="000000"/>
          <w:sz w:val="21"/>
          <w:szCs w:val="21"/>
        </w:rPr>
      </w:pPr>
      <w:r>
        <w:rPr>
          <w:rFonts w:hint="eastAsia" w:ascii="黑体" w:hAnsi="宋体" w:eastAsia="黑体" w:cs="黑体"/>
          <w:b/>
          <w:i/>
          <w:color w:val="000000"/>
          <w:sz w:val="32"/>
          <w:szCs w:val="32"/>
          <w:u w:val="single"/>
        </w:rPr>
        <w:t xml:space="preserve">十六、报价表</w:t>
      </w:r>
      <w:r/>
    </w:p>
    <w:p>
      <w:pPr>
        <w:pStyle w:val="855"/>
        <w:ind w:firstLine="480"/>
        <w:jc w:val="both"/>
        <w:spacing w:beforeAutospacing="0" w:afterAutospacing="0"/>
      </w:pPr>
      <w:r>
        <w:rPr>
          <w:rFonts w:hint="eastAsia" w:ascii="宋体" w:hAnsi="宋体" w:eastAsia="宋体" w:cs="宋体"/>
          <w:color w:val="000000"/>
        </w:rPr>
        <w:t xml:space="preserve">投标人全称（加盖CA电子签章）：</w:t>
      </w:r>
      <w:r/>
    </w:p>
    <w:p>
      <w:pPr>
        <w:pStyle w:val="855"/>
        <w:ind w:firstLine="566"/>
        <w:jc w:val="both"/>
        <w:spacing w:beforeAutospacing="0" w:afterAutospacing="0"/>
      </w:pPr>
      <w:r>
        <w:rPr>
          <w:rFonts w:hint="eastAsia" w:ascii="宋体" w:hAnsi="宋体" w:eastAsia="宋体" w:cs="宋体"/>
          <w:color w:val="000000"/>
        </w:rPr>
        <w:t xml:space="preserve">项目名称：</w:t>
      </w:r>
      <w:r/>
    </w:p>
    <w:p>
      <w:pPr>
        <w:pStyle w:val="855"/>
        <w:ind w:firstLine="566"/>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项目编号：  </w:t>
      </w:r>
      <w:r/>
    </w:p>
    <w:p>
      <w:pPr>
        <w:pStyle w:val="855"/>
        <w:ind w:firstLine="566"/>
        <w:jc w:val="both"/>
        <w:spacing w:beforeAutospacing="0" w:afterAutospacing="0"/>
      </w:pPr>
      <w:r/>
      <w:r/>
    </w:p>
    <w:tbl>
      <w:tblPr>
        <w:tblW w:w="7988" w:type="dxa"/>
        <w:tblCellSpacing w:w="0" w:type="dxa"/>
        <w:tblInd w:w="544" w:type="dxa"/>
        <w:tblLayout w:type="fixed"/>
        <w:tblLook w:val="04A0" w:firstRow="1" w:lastRow="0" w:firstColumn="1" w:lastColumn="0" w:noHBand="0" w:noVBand="1"/>
      </w:tblPr>
      <w:tblGrid>
        <w:gridCol w:w="7988"/>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7988" w:type="dxa"/>
            <w:vAlign w:val="center"/>
            <w:textDirection w:val="lrTb"/>
            <w:noWrap w:val="false"/>
          </w:tcPr>
          <w:p>
            <w:pPr>
              <w:pStyle w:val="855"/>
              <w:ind w:firstLine="569"/>
              <w:jc w:val="center"/>
              <w:spacing w:beforeAutospacing="0" w:afterAutospacing="0"/>
            </w:pPr>
            <w:r>
              <w:rPr>
                <w:b/>
                <w:bCs/>
                <w:color w:val="ee0000"/>
              </w:rPr>
              <w:t xml:space="preserve">单份</w:t>
            </w:r>
            <w:r>
              <w:t xml:space="preserve">餐费报价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7988" w:type="dxa"/>
            <w:vAlign w:val="center"/>
            <w:textDirection w:val="lrTb"/>
            <w:noWrap w:val="false"/>
          </w:tcPr>
          <w:p>
            <w:pPr>
              <w:pStyle w:val="855"/>
              <w:spacing w:beforeAutospacing="0" w:afterAutospacing="0" w:line="0" w:lineRule="atLeast"/>
              <w:rPr>
                <w:rFonts w:hint="eastAsia" w:ascii="宋体" w:hAnsi="宋体" w:eastAsia="宋体" w:cs="宋体"/>
                <w:color w:val="000000"/>
              </w:rPr>
            </w:pPr>
            <w:r>
              <w:rPr>
                <w:rFonts w:hint="eastAsia"/>
              </w:rPr>
              <w:t xml:space="preserve">每份餐费报价：</w:t>
            </w:r>
            <w:r>
              <w:rPr>
                <w:rFonts w:hint="eastAsia" w:ascii="宋体" w:hAnsi="宋体" w:eastAsia="宋体" w:cs="宋体"/>
              </w:rPr>
              <w:t xml:space="preserve">大写：</w:t>
            </w:r>
            <w:r>
              <w:rPr>
                <w:rFonts w:hint="eastAsia"/>
                <w:u w:val="single"/>
              </w:rPr>
              <w:t xml:space="preserve">每份</w:t>
            </w:r>
            <w:r>
              <w:rPr>
                <w:rFonts w:hint="eastAsia"/>
                <w:u w:val="single"/>
              </w:rPr>
              <w:t xml:space="preserve">                </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7988" w:type="dxa"/>
            <w:vAlign w:val="center"/>
            <w:textDirection w:val="lrTb"/>
            <w:noWrap w:val="false"/>
          </w:tcPr>
          <w:p>
            <w:pPr>
              <w:pStyle w:val="855"/>
              <w:spacing w:beforeAutospacing="0" w:afterAutospacing="0" w:line="0" w:lineRule="atLeast"/>
            </w:pPr>
            <w:r>
              <w:rPr>
                <w:rFonts w:hint="eastAsia"/>
              </w:rPr>
              <w:t xml:space="preserve">每份餐费报价</w:t>
            </w:r>
            <w:r>
              <w:rPr>
                <w:rFonts w:hint="eastAsia" w:ascii="宋体" w:hAnsi="宋体" w:eastAsia="宋体" w:cs="宋体"/>
                <w:color w:val="000000"/>
              </w:rPr>
              <w:t xml:space="preserve">小写：</w:t>
            </w:r>
            <w:r>
              <w:rPr>
                <w:rFonts w:hint="eastAsia"/>
                <w:u w:val="single"/>
              </w:rPr>
              <w:t xml:space="preserve">       </w:t>
            </w:r>
            <w:r>
              <w:rPr>
                <w:rFonts w:hint="eastAsia"/>
              </w:rPr>
              <w:t xml:space="preserve">元</w:t>
            </w:r>
            <w:r>
              <w:rPr>
                <w:rFonts w:hint="eastAsia"/>
              </w:rPr>
              <w:t xml:space="preserve">/</w:t>
            </w:r>
            <w:r>
              <w:rPr>
                <w:rFonts w:hint="eastAsia"/>
              </w:rPr>
              <w:t xml:space="preserve">份（保留两位小数）</w:t>
            </w:r>
            <w:r>
              <w:rPr>
                <w:rFonts w:hint="eastAsia" w:ascii="宋体" w:hAnsi="宋体" w:eastAsia="宋体" w:cs="宋体"/>
                <w:color w:val="000000"/>
              </w:rPr>
              <w:t xml:space="preserve"> </w:t>
            </w:r>
            <w:r/>
          </w:p>
        </w:tc>
      </w:tr>
    </w:tbl>
    <w:p>
      <w:pPr>
        <w:pStyle w:val="855"/>
        <w:ind w:firstLine="480"/>
        <w:spacing w:beforeAutospacing="0" w:afterAutospacing="0" w:line="360" w:lineRule="auto"/>
      </w:pPr>
      <w:r/>
      <w:r/>
    </w:p>
    <w:p>
      <w:pPr>
        <w:pStyle w:val="855"/>
        <w:ind w:firstLine="420"/>
        <w:spacing w:beforeAutospacing="0" w:afterAutospacing="0" w:line="360" w:lineRule="auto"/>
        <w:rPr>
          <w:sz w:val="21"/>
          <w:szCs w:val="21"/>
        </w:rPr>
      </w:pPr>
      <w:r>
        <w:rPr>
          <w:sz w:val="21"/>
          <w:szCs w:val="21"/>
        </w:rPr>
        <w:t xml:space="preserve"> </w:t>
      </w:r>
      <w:r>
        <w:rPr>
          <w:rFonts w:hint="eastAsia"/>
          <w:sz w:val="21"/>
          <w:szCs w:val="21"/>
        </w:rPr>
        <w:t xml:space="preserve">注：</w:t>
      </w:r>
      <w:r>
        <w:rPr>
          <w:rFonts w:hint="eastAsia"/>
          <w:sz w:val="21"/>
          <w:szCs w:val="21"/>
        </w:rPr>
        <w:t xml:space="preserve">1.</w:t>
      </w:r>
      <w:r>
        <w:rPr>
          <w:rFonts w:hint="eastAsia"/>
          <w:sz w:val="21"/>
          <w:szCs w:val="21"/>
        </w:rPr>
        <w:t xml:space="preserve">本报价表与苏采云系统中的“开标一览表”中报价一致，如不一致以“开标一览表”中的报价为准，供应商应对全部服务内容进行报价。</w:t>
      </w:r>
      <w:r/>
    </w:p>
    <w:p>
      <w:pPr>
        <w:pStyle w:val="855"/>
        <w:ind w:firstLine="420"/>
        <w:spacing w:beforeAutospacing="0" w:afterAutospacing="0" w:line="360" w:lineRule="auto"/>
        <w:rPr>
          <w:sz w:val="21"/>
          <w:szCs w:val="21"/>
        </w:rPr>
      </w:pPr>
      <w:r>
        <w:rPr>
          <w:rFonts w:hint="eastAsia"/>
          <w:sz w:val="21"/>
          <w:szCs w:val="21"/>
        </w:rPr>
        <w:t xml:space="preserve">2. </w:t>
      </w:r>
      <w:r>
        <w:rPr>
          <w:rFonts w:hint="eastAsia"/>
          <w:sz w:val="21"/>
          <w:szCs w:val="21"/>
        </w:rPr>
        <w:t xml:space="preserve">本项目为学生提供校外供餐服务，结算时单价不允许调整，数量按照实际发生的数量为准，结算货款。</w:t>
      </w:r>
      <w:r/>
    </w:p>
    <w:p>
      <w:pPr>
        <w:pStyle w:val="855"/>
        <w:jc w:val="both"/>
        <w:spacing w:beforeAutospacing="0" w:afterAutospacing="0"/>
      </w:pPr>
      <w:r/>
      <w:r/>
    </w:p>
    <w:p>
      <w:pPr>
        <w:pStyle w:val="855"/>
        <w:ind w:right="180" w:firstLine="566"/>
        <w:jc w:val="right"/>
        <w:spacing w:beforeAutospacing="0" w:afterAutospacing="0" w:line="360" w:lineRule="auto"/>
      </w:pPr>
      <w:r>
        <w:rPr>
          <w:rFonts w:hint="eastAsia" w:ascii="宋体" w:hAnsi="宋体" w:eastAsia="宋体" w:cs="宋体"/>
          <w:color w:val="000000"/>
        </w:rPr>
        <w:t xml:space="preserve">            </w:t>
      </w:r>
      <w:r>
        <w:rPr>
          <w:rFonts w:hint="eastAsia"/>
          <w:color w:val="000000"/>
        </w:rPr>
        <w:t xml:space="preserve">企业名称（加盖</w:t>
      </w:r>
      <w:r>
        <w:rPr>
          <w:rFonts w:hint="eastAsia"/>
          <w:color w:val="000000"/>
        </w:rPr>
        <w:t xml:space="preserve">CA</w:t>
      </w:r>
      <w:r>
        <w:rPr>
          <w:rFonts w:hint="eastAsia"/>
          <w:color w:val="000000"/>
        </w:rPr>
        <w:t xml:space="preserve">电子公章）：</w:t>
      </w:r>
      <w:r/>
    </w:p>
    <w:p>
      <w:pPr>
        <w:pStyle w:val="855"/>
        <w:ind w:firstLine="566"/>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                                 </w:t>
      </w:r>
      <w:r/>
    </w:p>
    <w:p>
      <w:pPr>
        <w:pStyle w:val="855"/>
        <w:ind w:firstLine="4320"/>
        <w:jc w:val="both"/>
        <w:spacing w:beforeAutospacing="0" w:afterAutospacing="0"/>
      </w:pPr>
      <w:r>
        <w:rPr>
          <w:rFonts w:hint="eastAsia" w:ascii="宋体" w:hAnsi="宋体" w:eastAsia="宋体" w:cs="宋体"/>
          <w:color w:val="000000"/>
        </w:rPr>
        <w:t xml:space="preserve">日期：  </w:t>
      </w:r>
      <w:r>
        <w:rPr>
          <w:rFonts w:hint="eastAsia" w:ascii="宋体" w:hAnsi="宋体" w:eastAsia="宋体" w:cs="宋体"/>
          <w:color w:val="000000"/>
          <w:u w:val="single"/>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rPr>
        <w:t xml:space="preserve">   </w:t>
      </w:r>
      <w:r>
        <w:rPr>
          <w:rFonts w:hint="eastAsia" w:ascii="宋体" w:hAnsi="宋体" w:eastAsia="宋体" w:cs="宋体"/>
          <w:color w:val="000000"/>
        </w:rPr>
        <w:t xml:space="preserve">日</w:t>
      </w:r>
      <w:r/>
    </w:p>
    <w:p>
      <w:pPr>
        <w:pStyle w:val="855"/>
        <w:jc w:val="both"/>
        <w:spacing w:beforeAutospacing="0" w:afterAutospacing="0"/>
      </w:pPr>
      <w:r/>
      <w:r/>
    </w:p>
    <w:p>
      <w:pPr>
        <w:pStyle w:val="855"/>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jc w:val="center"/>
        <w:spacing w:before="50" w:after="50"/>
        <w:widowControl/>
      </w:pPr>
      <w:r>
        <w:tab/>
      </w:r>
      <w:r/>
    </w:p>
    <w:p>
      <w:pPr>
        <w:jc w:val="center"/>
        <w:spacing w:before="50" w:after="50"/>
        <w:widowControl/>
      </w:pPr>
      <w:r/>
      <w:r/>
    </w:p>
    <w:p>
      <w:pPr>
        <w:jc w:val="center"/>
        <w:spacing w:before="50" w:after="50"/>
        <w:widowControl/>
      </w:pPr>
      <w:r/>
      <w:r/>
    </w:p>
    <w:p>
      <w:pPr>
        <w:pStyle w:val="858"/>
      </w:pPr>
      <w:r/>
      <w:r/>
    </w:p>
    <w:p>
      <w:pPr>
        <w:pStyle w:val="858"/>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rPr>
          <w:rFonts w:hint="eastAsia" w:ascii="宋体" w:hAnsi="宋体" w:eastAsia="宋体" w:cs="宋体"/>
          <w:b/>
          <w:bCs/>
          <w:sz w:val="24"/>
        </w:rPr>
      </w:pPr>
      <w:r>
        <w:rPr>
          <w:rFonts w:hint="eastAsia" w:ascii="宋体" w:hAnsi="宋体" w:eastAsia="宋体" w:cs="宋体"/>
          <w:b/>
          <w:bCs/>
          <w:color w:val="000000"/>
          <w:sz w:val="32"/>
          <w:szCs w:val="32"/>
        </w:rPr>
        <w:t xml:space="preserve">十七、技术方案、服务承诺、培训承诺等</w:t>
      </w:r>
      <w:r/>
    </w:p>
    <w:p>
      <w:pPr>
        <w:pStyle w:val="855"/>
        <w:jc w:val="both"/>
        <w:spacing w:beforeAutospacing="0" w:afterAutospacing="0"/>
        <w:tabs>
          <w:tab w:val="left" w:pos="2160" w:leader="none"/>
        </w:tabs>
      </w:p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b/>
          <w:bCs/>
          <w:sz w:val="24"/>
        </w:rPr>
      </w:pPr>
      <w:r>
        <w:rPr>
          <w:rFonts w:hint="eastAsia" w:ascii="宋体" w:hAnsi="宋体" w:eastAsia="宋体" w:cs="宋体"/>
          <w:b/>
          <w:bCs/>
          <w:color w:val="000000"/>
          <w:sz w:val="32"/>
          <w:szCs w:val="32"/>
        </w:rPr>
        <w:t xml:space="preserve">十八、盐城市政府采购事前信用承诺书</w:t>
      </w:r>
      <w:r/>
    </w:p>
    <w:p>
      <w:pPr>
        <w:ind w:firstLine="640"/>
        <w:jc w:val="left"/>
        <w:spacing w:line="499" w:lineRule="atLeast"/>
        <w:widowControl/>
        <w:rPr>
          <w:rFonts w:hint="eastAsia" w:ascii="宋体" w:hAnsi="宋体" w:eastAsia="宋体" w:cs="宋体"/>
          <w:sz w:val="24"/>
        </w:rPr>
      </w:pPr>
      <w:r>
        <w:rPr>
          <w:rFonts w:hint="eastAsia" w:ascii="宋体" w:hAnsi="宋体" w:eastAsia="宋体" w:cs="宋体"/>
          <w:color w:val="000000"/>
          <w:sz w:val="32"/>
          <w:szCs w:val="32"/>
        </w:rPr>
        <w:t xml:space="preserve"> </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（四）严格遵守即时信息公示规定，及时维护和更新盐城市政府采购网中与本单位相关的信息；</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法定代表人签名：</w:t>
      </w:r>
      <w:r/>
    </w:p>
    <w:p>
      <w:pPr>
        <w:jc w:val="center"/>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年  月 日</w:t>
      </w:r>
      <w:bookmarkEnd w:id="32"/>
      <w:bookmarkEnd w:id="48"/>
      <w:bookmarkEnd w:id="93"/>
      <w:bookmarkEnd w:id="94"/>
      <w:bookmarkEnd w:id="95"/>
      <w:bookmarkEnd w:id="98"/>
      <w:bookmarkEnd w:id="99"/>
      <w:bookmarkEnd w:id="100"/>
      <w:bookmarkEnd w:id="101"/>
      <w:bookmarkEnd w:id="102"/>
      <w:bookmarkEnd w:id="103"/>
      <w:bookmarkEnd w:id="104"/>
      <w:bookmarkEnd w:id="105"/>
      <w:bookmarkEnd w:id="106"/>
      <w:bookmarkEnd w:id="107"/>
      <w:bookmarkEnd w:id="108"/>
      <w:bookmarkEnd w:id="109"/>
      <w:bookmarkEnd w:id="110"/>
      <w:bookmarkEnd w:id="115"/>
      <w:bookmarkEnd w:id="116"/>
      <w:bookmarkEnd w:id="117"/>
      <w:bookmarkEnd w:id="122"/>
      <w:bookmarkEnd w:id="123"/>
      <w:bookmarkEnd w:id="130"/>
      <w:bookmarkEnd w:id="182"/>
      <w:bookmarkEnd w:id="213"/>
      <w:bookmarkEnd w:id="232"/>
      <w:bookmarkEnd w:id="233"/>
      <w:bookmarkEnd w:id="237"/>
      <w:bookmarkEnd w:id="238"/>
      <w:bookmarkEnd w:id="239"/>
      <w:bookmarkEnd w:id="241"/>
      <w:bookmarkEnd w:id="242"/>
      <w:bookmarkEnd w:id="243"/>
      <w:bookmarkEnd w:id="244"/>
      <w:bookmarkEnd w:id="245"/>
      <w:bookmarkEnd w:id="246"/>
      <w:r/>
    </w:p>
    <w:p>
      <w:pPr>
        <w:pStyle w:val="855"/>
        <w:jc w:val="center"/>
        <w:spacing w:beforeAutospacing="0" w:afterAutospacing="0"/>
      </w:pPr>
      <w:r/>
      <w:r/>
    </w:p>
    <w:p>
      <w:r/>
      <w:r/>
    </w:p>
    <w:p>
      <w:pPr>
        <w:pStyle w:val="855"/>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855"/>
        <w:jc w:val="both"/>
        <w:spacing w:before="290" w:beforeAutospacing="0" w:afterAutospacing="0" w:line="360" w:lineRule="auto"/>
        <w:rPr>
          <w:rFonts w:hint="eastAsia" w:ascii="宋体" w:hAnsi="宋体" w:eastAsia="宋体" w:cs="宋体"/>
        </w:rPr>
      </w:pPr>
      <w:r>
        <w:rPr>
          <w:rFonts w:hint="eastAsia" w:ascii="宋体" w:hAnsi="宋体" w:eastAsia="宋体" w:cs="宋体"/>
          <w:color w:val="000000"/>
        </w:rPr>
        <w:t xml:space="preserve">一、质疑供应商基本信息</w:t>
      </w:r>
      <w:r/>
    </w:p>
    <w:p>
      <w:pPr>
        <w:pStyle w:val="85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t xml:space="preserve"> </w:t>
      </w:r>
      <w:r>
        <w:rPr>
          <w:rFonts w:hint="eastAsia" w:ascii="宋体" w:hAnsi="宋体" w:eastAsia="宋体" w:cs="宋体"/>
          <w:color w:val="000000"/>
          <w:u w:val="single"/>
        </w:rPr>
        <w:tab/>
        <w:t xml:space="preserve">       </w:t>
      </w:r>
      <w:r/>
    </w:p>
    <w:p>
      <w:pPr>
        <w:pStyle w:val="855"/>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5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55"/>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5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85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5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55"/>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5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85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二、质疑项目基本情况</w:t>
      </w:r>
      <w:r/>
    </w:p>
    <w:p>
      <w:pPr>
        <w:pStyle w:val="85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855"/>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85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5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85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85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三、质疑事项具体内容</w:t>
      </w:r>
      <w:r/>
    </w:p>
    <w:p>
      <w:pPr>
        <w:pStyle w:val="85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855"/>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85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85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质疑事项2</w:t>
      </w:r>
      <w:r/>
    </w:p>
    <w:p>
      <w:pPr>
        <w:pStyle w:val="85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w:t>
      </w:r>
      <w:r/>
    </w:p>
    <w:p>
      <w:pPr>
        <w:pStyle w:val="85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四、与质疑事项相关的质疑请求</w:t>
      </w:r>
      <w:r/>
    </w:p>
    <w:p>
      <w:pPr>
        <w:pStyle w:val="85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855"/>
        <w:jc w:val="both"/>
        <w:spacing w:beforeAutospacing="0" w:afterAutospacing="0"/>
        <w:rPr>
          <w:rFonts w:hint="eastAsia" w:ascii="宋体" w:hAnsi="宋体" w:eastAsia="宋体" w:cs="宋体"/>
        </w:rPr>
      </w:pPr>
      <w:r>
        <w:rPr>
          <w:rFonts w:hint="eastAsia" w:ascii="宋体" w:hAnsi="宋体" w:eastAsia="宋体" w:cs="宋体"/>
          <w:color w:val="000000"/>
        </w:rPr>
        <w:t xml:space="preserve">签字(签章)：                 公章：               日期：    </w:t>
      </w:r>
      <w:r/>
    </w:p>
    <w:p>
      <w:pPr>
        <w:pStyle w:val="855"/>
        <w:jc w:val="both"/>
        <w:spacing w:beforeAutospacing="0" w:afterAutospacing="0" w:line="0" w:lineRule="atLeast"/>
        <w:rPr>
          <w:rFonts w:hint="eastAsia" w:ascii="宋体" w:hAnsi="宋体" w:eastAsia="宋体" w:cs="宋体"/>
        </w:rPr>
      </w:pPr>
      <w:r>
        <w:rPr>
          <w:rFonts w:hint="eastAsia" w:ascii="宋体" w:hAnsi="宋体" w:eastAsia="宋体" w:cs="宋体"/>
          <w:b/>
          <w:color w:val="000000"/>
        </w:rPr>
        <w:t xml:space="preserve">质疑函制作说明：</w:t>
      </w:r>
      <w:r/>
    </w:p>
    <w:p>
      <w:pPr>
        <w:pStyle w:val="855"/>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855"/>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55"/>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855"/>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855"/>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5.质疑函的质疑请求应与质疑事项相关。</w:t>
      </w:r>
      <w:r/>
    </w:p>
    <w:p>
      <w:pPr>
        <w:pStyle w:val="855"/>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855"/>
        <w:ind w:firstLine="420"/>
        <w:jc w:val="both"/>
        <w:spacing w:beforeAutospacing="0" w:afterAutospacing="0"/>
        <w:rPr>
          <w:rFonts w:hint="eastAsia" w:ascii="宋体" w:hAnsi="宋体" w:eastAsia="宋体" w:cs="宋体"/>
        </w:rPr>
      </w:pPr>
      <w:r>
        <w:rPr>
          <w:rFonts w:hint="eastAsia" w:ascii="宋体" w:hAnsi="宋体" w:eastAsia="宋体" w:cs="宋体"/>
        </w:rPr>
        <w:t xml:space="preserve"> </w:t>
      </w:r>
      <w:r/>
    </w:p>
    <w:p>
      <w:r/>
      <w:r/>
    </w:p>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_GB2312">
    <w:panose1 w:val="02010609060101010101"/>
  </w:font>
  <w:font w:name="黑体">
    <w:panose1 w:val="02010609060101010101"/>
  </w:font>
  <w:font w:name="Symbol">
    <w:panose1 w:val="05050102010706020507"/>
  </w:font>
  <w:font w:name="Wingdings">
    <w:panose1 w:val="05000000000000000000"/>
  </w:font>
  <w:font w:name="方正小标宋简体">
    <w:panose1 w:val="020B0503020202020204"/>
  </w:font>
  <w:font w:name="Courier New">
    <w:panose1 w:val="02070309020205020404"/>
  </w:font>
  <w:font w:name="Calibri">
    <w:panose1 w:val="020F0502020204030204"/>
  </w:font>
  <w:font w:name="等线">
    <w:panose1 w:val="02010600030101010101"/>
  </w:font>
  <w:font w:name="仿宋">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7593435"/>
      <w:docPartObj>
        <w:docPartGallery w:val="AutoText"/>
      </w:docPartObj>
      <w:rPr/>
    </w:sdtPr>
    <w:sdtContent>
      <w:sdt>
        <w:sdtPr>
          <w15:appearance w15:val="boundingBox"/>
          <w:id w:val="1728636285"/>
          <w:docPartObj>
            <w:docPartGallery w:val="AutoText"/>
          </w:docPartObj>
          <w:rPr/>
        </w:sdtPr>
        <w:sdtContent>
          <w:p>
            <w:pPr>
              <w:pStyle w:val="852"/>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51</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72</w:t>
            </w:r>
            <w:r>
              <w:rPr>
                <w:b/>
                <w:bCs/>
                <w:sz w:val="24"/>
                <w:szCs w:val="24"/>
              </w:rPr>
              <w:fldChar w:fldCharType="end"/>
            </w:r>
            <w:r/>
          </w:p>
        </w:sdtContent>
      </w:sdt>
    </w:sdtContent>
  </w:sdt>
  <w:p>
    <w:pPr>
      <w:pStyle w:val="85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
    <w:name w:val="Heading 2 Char"/>
    <w:basedOn w:val="683"/>
    <w:link w:val="675"/>
    <w:uiPriority w:val="9"/>
    <w:rPr>
      <w:rFonts w:ascii="Arial" w:hAnsi="Arial" w:eastAsia="Arial" w:cs="Arial"/>
      <w:sz w:val="34"/>
    </w:rPr>
  </w:style>
  <w:style w:type="character" w:styleId="17">
    <w:name w:val="Heading 3 Char"/>
    <w:basedOn w:val="683"/>
    <w:link w:val="676"/>
    <w:uiPriority w:val="9"/>
    <w:rPr>
      <w:rFonts w:ascii="Arial" w:hAnsi="Arial" w:eastAsia="Arial" w:cs="Arial"/>
      <w:sz w:val="30"/>
      <w:szCs w:val="30"/>
    </w:rPr>
  </w:style>
  <w:style w:type="character" w:styleId="19">
    <w:name w:val="Heading 4 Char"/>
    <w:basedOn w:val="683"/>
    <w:link w:val="677"/>
    <w:uiPriority w:val="9"/>
    <w:rPr>
      <w:rFonts w:ascii="Arial" w:hAnsi="Arial" w:eastAsia="Arial" w:cs="Arial"/>
      <w:b/>
      <w:bCs/>
      <w:sz w:val="26"/>
      <w:szCs w:val="26"/>
    </w:rPr>
  </w:style>
  <w:style w:type="character" w:styleId="21">
    <w:name w:val="Heading 5 Char"/>
    <w:basedOn w:val="683"/>
    <w:link w:val="678"/>
    <w:uiPriority w:val="9"/>
    <w:rPr>
      <w:rFonts w:ascii="Arial" w:hAnsi="Arial" w:eastAsia="Arial" w:cs="Arial"/>
      <w:b/>
      <w:bCs/>
      <w:sz w:val="24"/>
      <w:szCs w:val="24"/>
    </w:rPr>
  </w:style>
  <w:style w:type="character" w:styleId="23">
    <w:name w:val="Heading 6 Char"/>
    <w:basedOn w:val="683"/>
    <w:link w:val="679"/>
    <w:uiPriority w:val="9"/>
    <w:rPr>
      <w:rFonts w:ascii="Arial" w:hAnsi="Arial" w:eastAsia="Arial" w:cs="Arial"/>
      <w:b/>
      <w:bCs/>
      <w:sz w:val="22"/>
      <w:szCs w:val="22"/>
    </w:rPr>
  </w:style>
  <w:style w:type="character" w:styleId="25">
    <w:name w:val="Heading 7 Char"/>
    <w:basedOn w:val="683"/>
    <w:link w:val="680"/>
    <w:uiPriority w:val="9"/>
    <w:rPr>
      <w:rFonts w:ascii="Arial" w:hAnsi="Arial" w:eastAsia="Arial" w:cs="Arial"/>
      <w:b/>
      <w:bCs/>
      <w:i/>
      <w:iCs/>
      <w:sz w:val="22"/>
      <w:szCs w:val="22"/>
    </w:rPr>
  </w:style>
  <w:style w:type="character" w:styleId="27">
    <w:name w:val="Heading 8 Char"/>
    <w:basedOn w:val="683"/>
    <w:link w:val="681"/>
    <w:uiPriority w:val="9"/>
    <w:rPr>
      <w:rFonts w:ascii="Arial" w:hAnsi="Arial" w:eastAsia="Arial" w:cs="Arial"/>
      <w:i/>
      <w:iCs/>
      <w:sz w:val="22"/>
      <w:szCs w:val="22"/>
    </w:rPr>
  </w:style>
  <w:style w:type="character" w:styleId="29">
    <w:name w:val="Heading 9 Char"/>
    <w:basedOn w:val="683"/>
    <w:link w:val="682"/>
    <w:uiPriority w:val="9"/>
    <w:rPr>
      <w:rFonts w:ascii="Arial" w:hAnsi="Arial" w:eastAsia="Arial" w:cs="Arial"/>
      <w:i/>
      <w:iCs/>
      <w:sz w:val="21"/>
      <w:szCs w:val="21"/>
    </w:rPr>
  </w:style>
  <w:style w:type="character" w:styleId="34">
    <w:name w:val="Title Char"/>
    <w:basedOn w:val="683"/>
    <w:link w:val="696"/>
    <w:uiPriority w:val="10"/>
    <w:rPr>
      <w:sz w:val="48"/>
      <w:szCs w:val="48"/>
    </w:rPr>
  </w:style>
  <w:style w:type="character" w:styleId="36">
    <w:name w:val="Subtitle Char"/>
    <w:basedOn w:val="683"/>
    <w:link w:val="698"/>
    <w:uiPriority w:val="11"/>
    <w:rPr>
      <w:sz w:val="24"/>
      <w:szCs w:val="24"/>
    </w:rPr>
  </w:style>
  <w:style w:type="character" w:styleId="38">
    <w:name w:val="Quote Char"/>
    <w:link w:val="700"/>
    <w:uiPriority w:val="29"/>
    <w:rPr>
      <w:i/>
    </w:rPr>
  </w:style>
  <w:style w:type="character" w:styleId="40">
    <w:name w:val="Intense Quote Char"/>
    <w:link w:val="702"/>
    <w:uiPriority w:val="30"/>
    <w:rPr>
      <w:i/>
    </w:rPr>
  </w:style>
  <w:style w:type="character" w:styleId="175">
    <w:name w:val="Footnote Text Char"/>
    <w:link w:val="834"/>
    <w:uiPriority w:val="99"/>
    <w:rPr>
      <w:sz w:val="18"/>
    </w:rPr>
  </w:style>
  <w:style w:type="character" w:styleId="178">
    <w:name w:val="Endnote Text Char"/>
    <w:link w:val="837"/>
    <w:uiPriority w:val="99"/>
    <w:rPr>
      <w:sz w:val="20"/>
    </w:rPr>
  </w:style>
  <w:style w:type="paragraph" w:styleId="673" w:default="1">
    <w:name w:val="Normal"/>
    <w:qFormat/>
    <w:pPr>
      <w:jc w:val="both"/>
      <w:widowControl w:val="off"/>
    </w:pPr>
    <w:rPr>
      <w:rFonts w:asciiTheme="minorHAnsi" w:hAnsiTheme="minorHAnsi" w:eastAsiaTheme="minorEastAsia" w:cstheme="minorBidi"/>
      <w:sz w:val="21"/>
      <w:szCs w:val="24"/>
    </w:rPr>
  </w:style>
  <w:style w:type="paragraph" w:styleId="674">
    <w:name w:val="Heading 1"/>
    <w:basedOn w:val="673"/>
    <w:next w:val="673"/>
    <w:link w:val="865"/>
    <w:qFormat/>
    <w:pPr>
      <w:keepLines/>
      <w:keepNext/>
      <w:spacing w:before="340" w:after="330" w:line="578" w:lineRule="auto"/>
      <w:outlineLvl w:val="0"/>
    </w:pPr>
    <w:rPr>
      <w:b/>
      <w:bCs/>
      <w:sz w:val="44"/>
      <w:szCs w:val="44"/>
    </w:rPr>
  </w:style>
  <w:style w:type="paragraph" w:styleId="675">
    <w:name w:val="Heading 2"/>
    <w:basedOn w:val="673"/>
    <w:next w:val="673"/>
    <w:link w:val="687"/>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676">
    <w:name w:val="Heading 3"/>
    <w:basedOn w:val="673"/>
    <w:next w:val="673"/>
    <w:link w:val="688"/>
    <w:uiPriority w:val="9"/>
    <w:unhideWhenUsed/>
    <w:qFormat/>
    <w:pPr>
      <w:keepLines/>
      <w:keepNext/>
      <w:spacing w:before="320" w:after="200"/>
      <w:outlineLvl w:val="2"/>
    </w:pPr>
    <w:rPr>
      <w:rFonts w:ascii="Arial" w:hAnsi="Arial" w:eastAsia="Arial" w:cs="Arial"/>
      <w:sz w:val="30"/>
      <w:szCs w:val="30"/>
    </w:rPr>
  </w:style>
  <w:style w:type="paragraph" w:styleId="677">
    <w:name w:val="Heading 4"/>
    <w:basedOn w:val="673"/>
    <w:next w:val="673"/>
    <w:link w:val="689"/>
    <w:uiPriority w:val="9"/>
    <w:unhideWhenUsed/>
    <w:qFormat/>
    <w:pPr>
      <w:keepLines/>
      <w:keepNext/>
      <w:spacing w:before="320" w:after="200"/>
      <w:outlineLvl w:val="3"/>
    </w:pPr>
    <w:rPr>
      <w:rFonts w:ascii="Arial" w:hAnsi="Arial" w:eastAsia="Arial" w:cs="Arial"/>
      <w:b/>
      <w:bCs/>
      <w:sz w:val="26"/>
      <w:szCs w:val="26"/>
    </w:rPr>
  </w:style>
  <w:style w:type="paragraph" w:styleId="678">
    <w:name w:val="Heading 5"/>
    <w:basedOn w:val="673"/>
    <w:next w:val="673"/>
    <w:link w:val="690"/>
    <w:uiPriority w:val="9"/>
    <w:unhideWhenUsed/>
    <w:qFormat/>
    <w:pPr>
      <w:keepLines/>
      <w:keepNext/>
      <w:spacing w:before="320" w:after="200"/>
      <w:outlineLvl w:val="4"/>
    </w:pPr>
    <w:rPr>
      <w:rFonts w:ascii="Arial" w:hAnsi="Arial" w:eastAsia="Arial" w:cs="Arial"/>
      <w:b/>
      <w:bCs/>
      <w:sz w:val="24"/>
    </w:rPr>
  </w:style>
  <w:style w:type="paragraph" w:styleId="679">
    <w:name w:val="Heading 6"/>
    <w:basedOn w:val="673"/>
    <w:next w:val="673"/>
    <w:link w:val="691"/>
    <w:uiPriority w:val="9"/>
    <w:unhideWhenUsed/>
    <w:qFormat/>
    <w:pPr>
      <w:keepLines/>
      <w:keepNext/>
      <w:spacing w:before="320" w:after="200"/>
      <w:outlineLvl w:val="5"/>
    </w:pPr>
    <w:rPr>
      <w:rFonts w:ascii="Arial" w:hAnsi="Arial" w:eastAsia="Arial" w:cs="Arial"/>
      <w:b/>
      <w:bCs/>
      <w:sz w:val="22"/>
      <w:szCs w:val="22"/>
    </w:rPr>
  </w:style>
  <w:style w:type="paragraph" w:styleId="680">
    <w:name w:val="Heading 7"/>
    <w:basedOn w:val="673"/>
    <w:next w:val="673"/>
    <w:link w:val="692"/>
    <w:uiPriority w:val="9"/>
    <w:unhideWhenUsed/>
    <w:qFormat/>
    <w:pPr>
      <w:keepLines/>
      <w:keepNext/>
      <w:spacing w:before="320" w:after="200"/>
      <w:outlineLvl w:val="6"/>
    </w:pPr>
    <w:rPr>
      <w:rFonts w:ascii="Arial" w:hAnsi="Arial" w:eastAsia="Arial" w:cs="Arial"/>
      <w:b/>
      <w:bCs/>
      <w:i/>
      <w:iCs/>
      <w:sz w:val="22"/>
      <w:szCs w:val="22"/>
    </w:rPr>
  </w:style>
  <w:style w:type="paragraph" w:styleId="681">
    <w:name w:val="Heading 8"/>
    <w:basedOn w:val="673"/>
    <w:next w:val="673"/>
    <w:link w:val="693"/>
    <w:uiPriority w:val="9"/>
    <w:unhideWhenUsed/>
    <w:qFormat/>
    <w:pPr>
      <w:keepLines/>
      <w:keepNext/>
      <w:spacing w:before="320" w:after="200"/>
      <w:outlineLvl w:val="7"/>
    </w:pPr>
    <w:rPr>
      <w:rFonts w:ascii="Arial" w:hAnsi="Arial" w:eastAsia="Arial" w:cs="Arial"/>
      <w:i/>
      <w:iCs/>
      <w:sz w:val="22"/>
      <w:szCs w:val="22"/>
    </w:rPr>
  </w:style>
  <w:style w:type="paragraph" w:styleId="682">
    <w:name w:val="Heading 9"/>
    <w:basedOn w:val="673"/>
    <w:next w:val="673"/>
    <w:link w:val="694"/>
    <w:uiPriority w:val="9"/>
    <w:unhideWhenUsed/>
    <w:qFormat/>
    <w:pPr>
      <w:keepLines/>
      <w:keepNext/>
      <w:spacing w:before="320" w:after="200"/>
      <w:outlineLvl w:val="8"/>
    </w:pPr>
    <w:rPr>
      <w:rFonts w:ascii="Arial" w:hAnsi="Arial" w:eastAsia="Arial" w:cs="Arial"/>
      <w:i/>
      <w:iCs/>
      <w:szCs w:val="21"/>
    </w:rPr>
  </w:style>
  <w:style w:type="character" w:styleId="683" w:default="1">
    <w:name w:val="Default Paragraph Font"/>
    <w:uiPriority w:val="1"/>
    <w:semiHidden/>
    <w:unhideWhenUsed/>
  </w:style>
  <w:style w:type="table" w:styleId="684" w:default="1">
    <w:name w:val="Normal Table"/>
    <w:uiPriority w:val="99"/>
    <w:semiHidden/>
    <w:unhideWhenUsed/>
    <w:tblPr>
      <w:tblInd w:w="0" w:type="dxa"/>
      <w:tblCellMar>
        <w:left w:w="108" w:type="dxa"/>
        <w:top w:w="0" w:type="dxa"/>
        <w:right w:w="108" w:type="dxa"/>
        <w:bottom w:w="0" w:type="dxa"/>
      </w:tblCellMar>
    </w:tblPr>
  </w:style>
  <w:style w:type="numbering" w:styleId="685" w:default="1">
    <w:name w:val="No List"/>
    <w:uiPriority w:val="99"/>
    <w:semiHidden/>
    <w:unhideWhenUsed/>
  </w:style>
  <w:style w:type="character" w:styleId="686" w:customStyle="1">
    <w:name w:val="Heading 1 Char"/>
    <w:basedOn w:val="683"/>
    <w:uiPriority w:val="9"/>
    <w:rPr>
      <w:rFonts w:ascii="Arial" w:hAnsi="Arial" w:eastAsia="Arial" w:cs="Arial"/>
      <w:sz w:val="40"/>
      <w:szCs w:val="40"/>
    </w:rPr>
  </w:style>
  <w:style w:type="character" w:styleId="687" w:customStyle="1">
    <w:name w:val="标题 2 字符"/>
    <w:basedOn w:val="683"/>
    <w:link w:val="675"/>
    <w:uiPriority w:val="9"/>
    <w:rPr>
      <w:rFonts w:ascii="Arial" w:hAnsi="Arial" w:eastAsia="Arial" w:cs="Arial"/>
      <w:sz w:val="34"/>
    </w:rPr>
  </w:style>
  <w:style w:type="character" w:styleId="688" w:customStyle="1">
    <w:name w:val="标题 3 字符"/>
    <w:basedOn w:val="683"/>
    <w:link w:val="676"/>
    <w:uiPriority w:val="9"/>
    <w:rPr>
      <w:rFonts w:ascii="Arial" w:hAnsi="Arial" w:eastAsia="Arial" w:cs="Arial"/>
      <w:sz w:val="30"/>
      <w:szCs w:val="30"/>
    </w:rPr>
  </w:style>
  <w:style w:type="character" w:styleId="689" w:customStyle="1">
    <w:name w:val="标题 4 字符"/>
    <w:basedOn w:val="683"/>
    <w:link w:val="677"/>
    <w:uiPriority w:val="9"/>
    <w:rPr>
      <w:rFonts w:ascii="Arial" w:hAnsi="Arial" w:eastAsia="Arial" w:cs="Arial"/>
      <w:b/>
      <w:bCs/>
      <w:sz w:val="26"/>
      <w:szCs w:val="26"/>
    </w:rPr>
  </w:style>
  <w:style w:type="character" w:styleId="690" w:customStyle="1">
    <w:name w:val="标题 5 字符"/>
    <w:basedOn w:val="683"/>
    <w:link w:val="678"/>
    <w:uiPriority w:val="9"/>
    <w:rPr>
      <w:rFonts w:ascii="Arial" w:hAnsi="Arial" w:eastAsia="Arial" w:cs="Arial"/>
      <w:b/>
      <w:bCs/>
      <w:sz w:val="24"/>
      <w:szCs w:val="24"/>
    </w:rPr>
  </w:style>
  <w:style w:type="character" w:styleId="691" w:customStyle="1">
    <w:name w:val="标题 6 字符"/>
    <w:basedOn w:val="683"/>
    <w:link w:val="679"/>
    <w:uiPriority w:val="9"/>
    <w:rPr>
      <w:rFonts w:ascii="Arial" w:hAnsi="Arial" w:eastAsia="Arial" w:cs="Arial"/>
      <w:b/>
      <w:bCs/>
      <w:sz w:val="22"/>
      <w:szCs w:val="22"/>
    </w:rPr>
  </w:style>
  <w:style w:type="character" w:styleId="692" w:customStyle="1">
    <w:name w:val="标题 7 字符"/>
    <w:basedOn w:val="683"/>
    <w:link w:val="680"/>
    <w:uiPriority w:val="9"/>
    <w:rPr>
      <w:rFonts w:ascii="Arial" w:hAnsi="Arial" w:eastAsia="Arial" w:cs="Arial"/>
      <w:b/>
      <w:bCs/>
      <w:i/>
      <w:iCs/>
      <w:sz w:val="22"/>
      <w:szCs w:val="22"/>
    </w:rPr>
  </w:style>
  <w:style w:type="character" w:styleId="693" w:customStyle="1">
    <w:name w:val="标题 8 字符"/>
    <w:basedOn w:val="683"/>
    <w:link w:val="681"/>
    <w:uiPriority w:val="9"/>
    <w:rPr>
      <w:rFonts w:ascii="Arial" w:hAnsi="Arial" w:eastAsia="Arial" w:cs="Arial"/>
      <w:i/>
      <w:iCs/>
      <w:sz w:val="22"/>
      <w:szCs w:val="22"/>
    </w:rPr>
  </w:style>
  <w:style w:type="character" w:styleId="694" w:customStyle="1">
    <w:name w:val="标题 9 字符"/>
    <w:basedOn w:val="683"/>
    <w:link w:val="682"/>
    <w:uiPriority w:val="9"/>
    <w:rPr>
      <w:rFonts w:ascii="Arial" w:hAnsi="Arial" w:eastAsia="Arial" w:cs="Arial"/>
      <w:i/>
      <w:iCs/>
      <w:sz w:val="21"/>
      <w:szCs w:val="21"/>
    </w:rPr>
  </w:style>
  <w:style w:type="paragraph" w:styleId="695">
    <w:name w:val="No Spacing"/>
    <w:uiPriority w:val="1"/>
    <w:qFormat/>
  </w:style>
  <w:style w:type="paragraph" w:styleId="696">
    <w:name w:val="Title"/>
    <w:basedOn w:val="673"/>
    <w:next w:val="673"/>
    <w:link w:val="697"/>
    <w:uiPriority w:val="10"/>
    <w:qFormat/>
    <w:pPr>
      <w:contextualSpacing/>
      <w:spacing w:before="300" w:after="200"/>
    </w:pPr>
    <w:rPr>
      <w:sz w:val="48"/>
      <w:szCs w:val="48"/>
    </w:rPr>
  </w:style>
  <w:style w:type="character" w:styleId="697" w:customStyle="1">
    <w:name w:val="标题 字符"/>
    <w:basedOn w:val="683"/>
    <w:link w:val="696"/>
    <w:uiPriority w:val="10"/>
    <w:rPr>
      <w:sz w:val="48"/>
      <w:szCs w:val="48"/>
    </w:rPr>
  </w:style>
  <w:style w:type="paragraph" w:styleId="698">
    <w:name w:val="Subtitle"/>
    <w:basedOn w:val="673"/>
    <w:next w:val="673"/>
    <w:link w:val="699"/>
    <w:uiPriority w:val="11"/>
    <w:qFormat/>
    <w:pPr>
      <w:spacing w:before="200" w:after="200"/>
    </w:pPr>
    <w:rPr>
      <w:sz w:val="24"/>
    </w:rPr>
  </w:style>
  <w:style w:type="character" w:styleId="699" w:customStyle="1">
    <w:name w:val="副标题 字符"/>
    <w:basedOn w:val="683"/>
    <w:link w:val="698"/>
    <w:uiPriority w:val="11"/>
    <w:rPr>
      <w:sz w:val="24"/>
      <w:szCs w:val="24"/>
    </w:rPr>
  </w:style>
  <w:style w:type="paragraph" w:styleId="700">
    <w:name w:val="Quote"/>
    <w:basedOn w:val="673"/>
    <w:next w:val="673"/>
    <w:link w:val="701"/>
    <w:uiPriority w:val="29"/>
    <w:qFormat/>
    <w:pPr>
      <w:ind w:left="720" w:right="720"/>
    </w:pPr>
    <w:rPr>
      <w:i/>
    </w:rPr>
  </w:style>
  <w:style w:type="character" w:styleId="701" w:customStyle="1">
    <w:name w:val="引用 字符"/>
    <w:link w:val="700"/>
    <w:uiPriority w:val="29"/>
    <w:rPr>
      <w:i/>
    </w:rPr>
  </w:style>
  <w:style w:type="paragraph" w:styleId="702">
    <w:name w:val="Intense Quote"/>
    <w:basedOn w:val="673"/>
    <w:next w:val="673"/>
    <w:link w:val="7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3" w:customStyle="1">
    <w:name w:val="明显引用 字符"/>
    <w:link w:val="702"/>
    <w:uiPriority w:val="30"/>
    <w:rPr>
      <w:i/>
    </w:rPr>
  </w:style>
  <w:style w:type="character" w:styleId="704" w:customStyle="1">
    <w:name w:val="Header Char"/>
    <w:basedOn w:val="683"/>
    <w:uiPriority w:val="99"/>
  </w:style>
  <w:style w:type="character" w:styleId="705" w:customStyle="1">
    <w:name w:val="Footer Char"/>
    <w:basedOn w:val="683"/>
    <w:uiPriority w:val="99"/>
  </w:style>
  <w:style w:type="paragraph" w:styleId="706">
    <w:name w:val="Caption"/>
    <w:basedOn w:val="673"/>
    <w:next w:val="673"/>
    <w:uiPriority w:val="35"/>
    <w:semiHidden/>
    <w:unhideWhenUsed/>
    <w:qFormat/>
    <w:pPr>
      <w:spacing w:line="276" w:lineRule="auto"/>
    </w:pPr>
    <w:rPr>
      <w:b/>
      <w:bCs/>
      <w:color w:val="5b9bd5" w:themeColor="accent1"/>
      <w:sz w:val="18"/>
      <w:szCs w:val="18"/>
    </w:rPr>
  </w:style>
  <w:style w:type="character" w:styleId="707" w:customStyle="1">
    <w:name w:val="Caption Char"/>
    <w:uiPriority w:val="99"/>
  </w:style>
  <w:style w:type="table" w:styleId="708">
    <w:name w:val="Table Grid"/>
    <w:basedOn w:val="684"/>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09" w:customStyle="1">
    <w:name w:val="Table Grid Light"/>
    <w:basedOn w:val="684"/>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10">
    <w:name w:val="Plain Table 1"/>
    <w:basedOn w:val="684"/>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2"/>
    <w:basedOn w:val="684"/>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3"/>
    <w:basedOn w:val="68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name w:val="Plain Table 4"/>
    <w:basedOn w:val="68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name w:val="Plain Table 5"/>
    <w:basedOn w:val="68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5">
    <w:name w:val="Grid Table 1 Light"/>
    <w:basedOn w:val="684"/>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1"/>
    <w:basedOn w:val="684"/>
    <w:uiPriority w:val="99"/>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2"/>
    <w:basedOn w:val="684"/>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3"/>
    <w:basedOn w:val="684"/>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4"/>
    <w:basedOn w:val="684"/>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5"/>
    <w:basedOn w:val="684"/>
    <w:uiPriority w:val="99"/>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6"/>
    <w:basedOn w:val="684"/>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22">
    <w:name w:val="Grid Table 2"/>
    <w:basedOn w:val="684"/>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23" w:customStyle="1">
    <w:name w:val="Grid Table 2 - Accent 1"/>
    <w:basedOn w:val="684"/>
    <w:uiPriority w:val="99"/>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724" w:customStyle="1">
    <w:name w:val="Grid Table 2 - Accent 2"/>
    <w:basedOn w:val="684"/>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25" w:customStyle="1">
    <w:name w:val="Grid Table 2 - Accent 3"/>
    <w:basedOn w:val="684"/>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26" w:customStyle="1">
    <w:name w:val="Grid Table 2 - Accent 4"/>
    <w:basedOn w:val="684"/>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27" w:customStyle="1">
    <w:name w:val="Grid Table 2 - Accent 5"/>
    <w:basedOn w:val="684"/>
    <w:uiPriority w:val="99"/>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28" w:customStyle="1">
    <w:name w:val="Grid Table 2 - Accent 6"/>
    <w:basedOn w:val="684"/>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29">
    <w:name w:val="Grid Table 3"/>
    <w:basedOn w:val="684"/>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1"/>
    <w:basedOn w:val="684"/>
    <w:uiPriority w:val="99"/>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2"/>
    <w:basedOn w:val="684"/>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3"/>
    <w:basedOn w:val="684"/>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4"/>
    <w:basedOn w:val="684"/>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5"/>
    <w:basedOn w:val="684"/>
    <w:uiPriority w:val="99"/>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6"/>
    <w:basedOn w:val="684"/>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name w:val="Grid Table 4"/>
    <w:basedOn w:val="684"/>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customStyle="1">
    <w:name w:val="Grid Table 4 - Accent 1"/>
    <w:basedOn w:val="684"/>
    <w:uiPriority w:val="59"/>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738" w:customStyle="1">
    <w:name w:val="Grid Table 4 - Accent 2"/>
    <w:basedOn w:val="684"/>
    <w:uiPriority w:val="5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739" w:customStyle="1">
    <w:name w:val="Grid Table 4 - Accent 3"/>
    <w:basedOn w:val="684"/>
    <w:uiPriority w:val="5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40" w:customStyle="1">
    <w:name w:val="Grid Table 4 - Accent 4"/>
    <w:basedOn w:val="684"/>
    <w:uiPriority w:val="5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741" w:customStyle="1">
    <w:name w:val="Grid Table 4 - Accent 5"/>
    <w:basedOn w:val="684"/>
    <w:uiPriority w:val="59"/>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42" w:customStyle="1">
    <w:name w:val="Grid Table 4 - Accent 6"/>
    <w:basedOn w:val="684"/>
    <w:uiPriority w:val="5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43">
    <w:name w:val="Grid Table 5 Dark"/>
    <w:basedOn w:val="68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4" w:customStyle="1">
    <w:name w:val="Grid Table 5 Dark- Accent 1"/>
    <w:basedOn w:val="68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45" w:customStyle="1">
    <w:name w:val="Grid Table 5 Dark - Accent 2"/>
    <w:basedOn w:val="68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46" w:customStyle="1">
    <w:name w:val="Grid Table 5 Dark - Accent 3"/>
    <w:basedOn w:val="68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47" w:customStyle="1">
    <w:name w:val="Grid Table 5 Dark- Accent 4"/>
    <w:basedOn w:val="68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48" w:customStyle="1">
    <w:name w:val="Grid Table 5 Dark - Accent 5"/>
    <w:basedOn w:val="68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49" w:customStyle="1">
    <w:name w:val="Grid Table 5 Dark - Accent 6"/>
    <w:basedOn w:val="68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50">
    <w:name w:val="Grid Table 6 Colorful"/>
    <w:basedOn w:val="684"/>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51" w:customStyle="1">
    <w:name w:val="Grid Table 6 Colorful - Accent 1"/>
    <w:basedOn w:val="684"/>
    <w:uiPriority w:val="99"/>
    <w:tblPr>
      <w:tblStyleRowBandSize w:val="1"/>
      <w:tblStyleColBandSize w:val="1"/>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b/>
        <w:color w:val="acccea" w:themeColor="accent1" w:themeTint="80" w:themeShade="95"/>
      </w:rPr>
    </w:tblStylePr>
    <w:tblStylePr w:type="firstRow">
      <w:rPr>
        <w:b/>
        <w:color w:val="acccea" w:themeColor="accent1" w:themeTint="80" w:themeShade="95"/>
      </w:rPr>
      <w:tcPr>
        <w:tcBorders>
          <w:bottom w:val="single" w:color="ACCCEA" w:themeColor="accent1" w:themeTint="80" w:sz="12" w:space="0"/>
        </w:tcBorders>
      </w:tcPr>
    </w:tblStylePr>
    <w:tblStylePr w:type="lastCol">
      <w:rPr>
        <w:b/>
        <w:color w:val="acccea" w:themeColor="accent1" w:themeTint="80" w:themeShade="95"/>
      </w:rPr>
    </w:tblStylePr>
    <w:tblStylePr w:type="lastRow">
      <w:rPr>
        <w:b/>
        <w:color w:val="acccea" w:themeColor="accent1" w:themeTint="80" w:themeShade="95"/>
      </w:rPr>
    </w:tblStylePr>
  </w:style>
  <w:style w:type="table" w:styleId="752" w:customStyle="1">
    <w:name w:val="Grid Table 6 Colorful - Accent 2"/>
    <w:basedOn w:val="684"/>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753" w:customStyle="1">
    <w:name w:val="Grid Table 6 Colorful - Accent 3"/>
    <w:basedOn w:val="684"/>
    <w:uiPriority w:val="99"/>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754" w:customStyle="1">
    <w:name w:val="Grid Table 6 Colorful - Accent 4"/>
    <w:basedOn w:val="684"/>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755" w:customStyle="1">
    <w:name w:val="Grid Table 6 Colorful - Accent 5"/>
    <w:basedOn w:val="684"/>
    <w:uiPriority w:val="99"/>
    <w:tblPr>
      <w:tblStyleRowBandSize w:val="1"/>
      <w:tblStyleColBandSize w:val="1"/>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4472C4" w:themeColor="accent5" w:sz="12" w:space="0"/>
        </w:tcBorders>
      </w:tcPr>
    </w:tblStylePr>
    <w:tblStylePr w:type="lastCol">
      <w:rPr>
        <w:b/>
        <w:color w:val="254175" w:themeColor="accent5" w:themeShade="95"/>
      </w:rPr>
    </w:tblStylePr>
    <w:tblStylePr w:type="lastRow">
      <w:rPr>
        <w:b/>
        <w:color w:val="254175" w:themeColor="accent5" w:themeShade="95"/>
      </w:rPr>
    </w:tblStylePr>
  </w:style>
  <w:style w:type="table" w:styleId="756" w:customStyle="1">
    <w:name w:val="Grid Table 6 Colorful - Accent 6"/>
    <w:basedOn w:val="684"/>
    <w:uiPriority w:val="99"/>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5"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70AD47" w:themeColor="accent6" w:sz="12" w:space="0"/>
        </w:tcBorders>
      </w:tcPr>
    </w:tblStylePr>
    <w:tblStylePr w:type="lastCol">
      <w:rPr>
        <w:b/>
        <w:color w:val="254175" w:themeColor="accent5" w:themeShade="95"/>
      </w:rPr>
    </w:tblStylePr>
    <w:tblStylePr w:type="lastRow">
      <w:rPr>
        <w:b/>
        <w:color w:val="254175" w:themeColor="accent5" w:themeShade="95"/>
      </w:rPr>
    </w:tblStylePr>
  </w:style>
  <w:style w:type="table" w:styleId="757">
    <w:name w:val="Grid Table 7 Colorful"/>
    <w:basedOn w:val="684"/>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58" w:customStyle="1">
    <w:name w:val="Grid Table 7 Colorful - Accent 1"/>
    <w:basedOn w:val="684"/>
    <w:uiPriority w:val="99"/>
    <w:tblPr>
      <w:tblStyleRowBandSize w:val="1"/>
      <w:tblStyleColBandSize w:val="1"/>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rFonts w:ascii="Arial" w:hAnsi="Arial"/>
        <w:i/>
        <w:color w:val="acccea"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themeShade="95"/>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themeShade="95"/>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themeShade="95"/>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759" w:customStyle="1">
    <w:name w:val="Grid Table 7 Colorful - Accent 2"/>
    <w:basedOn w:val="684"/>
    <w:uiPriority w:val="99"/>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760" w:customStyle="1">
    <w:name w:val="Grid Table 7 Colorful - Accent 3"/>
    <w:basedOn w:val="684"/>
    <w:uiPriority w:val="99"/>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61" w:customStyle="1">
    <w:name w:val="Grid Table 7 Colorful - Accent 4"/>
    <w:basedOn w:val="684"/>
    <w:uiPriority w:val="99"/>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762" w:customStyle="1">
    <w:name w:val="Grid Table 7 Colorful - Accent 5"/>
    <w:basedOn w:val="684"/>
    <w:uiPriority w:val="99"/>
    <w:tblPr>
      <w:tblStyleRowBandSize w:val="1"/>
      <w:tblStyleColBandSize w:val="1"/>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rFonts w:ascii="Arial" w:hAnsi="Arial"/>
        <w:i/>
        <w:color w:val="254175" w:themeColor="accent5" w:themeShade="95"/>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5" w:themeColor="accent5" w:themeShade="95"/>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5" w:themeColor="accent5" w:themeShade="95"/>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5" w:themeColor="accent5" w:themeShade="95"/>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63" w:customStyle="1">
    <w:name w:val="Grid Table 7 Colorful - Accent 6"/>
    <w:basedOn w:val="684"/>
    <w:uiPriority w:val="99"/>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64">
    <w:name w:val="List Table 1 Light"/>
    <w:basedOn w:val="684"/>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customStyle="1">
    <w:name w:val="List Table 1 Light - Accent 1"/>
    <w:basedOn w:val="684"/>
    <w:uiPriority w:val="99"/>
    <w:tblPr>
      <w:tblStyleRowBandSize w:val="1"/>
      <w:tblStyleColBandSize w:val="1"/>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66" w:customStyle="1">
    <w:name w:val="List Table 1 Light - Accent 2"/>
    <w:basedOn w:val="684"/>
    <w:uiPriority w:val="99"/>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67" w:customStyle="1">
    <w:name w:val="List Table 1 Light - Accent 3"/>
    <w:basedOn w:val="684"/>
    <w:uiPriority w:val="99"/>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68" w:customStyle="1">
    <w:name w:val="List Table 1 Light - Accent 4"/>
    <w:basedOn w:val="684"/>
    <w:uiPriority w:val="99"/>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69" w:customStyle="1">
    <w:name w:val="List Table 1 Light - Accent 5"/>
    <w:basedOn w:val="684"/>
    <w:uiPriority w:val="99"/>
    <w:tblPr>
      <w:tblStyleRowBandSize w:val="1"/>
      <w:tblStyleColBandSize w:val="1"/>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70" w:customStyle="1">
    <w:name w:val="List Table 1 Light - Accent 6"/>
    <w:basedOn w:val="684"/>
    <w:uiPriority w:val="99"/>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71">
    <w:name w:val="List Table 2"/>
    <w:basedOn w:val="684"/>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72" w:customStyle="1">
    <w:name w:val="List Table 2 - Accent 1"/>
    <w:basedOn w:val="684"/>
    <w:uiPriority w:val="99"/>
    <w:tblPr>
      <w:tblStyleRowBandSize w:val="1"/>
      <w:tblStyleColBandSize w:val="1"/>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73" w:customStyle="1">
    <w:name w:val="List Table 2 - Accent 2"/>
    <w:basedOn w:val="684"/>
    <w:uiPriority w:val="99"/>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74" w:customStyle="1">
    <w:name w:val="List Table 2 - Accent 3"/>
    <w:basedOn w:val="684"/>
    <w:uiPriority w:val="99"/>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75" w:customStyle="1">
    <w:name w:val="List Table 2 - Accent 4"/>
    <w:basedOn w:val="684"/>
    <w:uiPriority w:val="99"/>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776" w:customStyle="1">
    <w:name w:val="List Table 2 - Accent 5"/>
    <w:basedOn w:val="684"/>
    <w:uiPriority w:val="99"/>
    <w:tblPr>
      <w:tblStyleRowBandSize w:val="1"/>
      <w:tblStyleColBandSize w:val="1"/>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77" w:customStyle="1">
    <w:name w:val="List Table 2 - Accent 6"/>
    <w:basedOn w:val="684"/>
    <w:uiPriority w:val="99"/>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78">
    <w:name w:val="List Table 3"/>
    <w:basedOn w:val="684"/>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9" w:customStyle="1">
    <w:name w:val="List Table 3 - Accent 1"/>
    <w:basedOn w:val="684"/>
    <w:uiPriority w:val="99"/>
    <w:tblPr>
      <w:tblStyleRowBandSize w:val="1"/>
      <w:tblStyleColBandSize w:val="1"/>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80" w:customStyle="1">
    <w:name w:val="List Table 3 - Accent 2"/>
    <w:basedOn w:val="684"/>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781" w:customStyle="1">
    <w:name w:val="List Table 3 - Accent 3"/>
    <w:basedOn w:val="684"/>
    <w:uiPriority w:val="99"/>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82" w:customStyle="1">
    <w:name w:val="List Table 3 - Accent 4"/>
    <w:basedOn w:val="684"/>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783" w:customStyle="1">
    <w:name w:val="List Table 3 - Accent 5"/>
    <w:basedOn w:val="684"/>
    <w:uiPriority w:val="99"/>
    <w:tblPr>
      <w:tblStyleRowBandSize w:val="1"/>
      <w:tblStyleColBandSize w:val="1"/>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784" w:customStyle="1">
    <w:name w:val="List Table 3 - Accent 6"/>
    <w:basedOn w:val="684"/>
    <w:uiPriority w:val="99"/>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85">
    <w:name w:val="List Table 4"/>
    <w:basedOn w:val="684"/>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List Table 4 - Accent 1"/>
    <w:basedOn w:val="684"/>
    <w:uiPriority w:val="99"/>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87" w:customStyle="1">
    <w:name w:val="List Table 4 - Accent 2"/>
    <w:basedOn w:val="684"/>
    <w:uiPriority w:val="9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88" w:customStyle="1">
    <w:name w:val="List Table 4 - Accent 3"/>
    <w:basedOn w:val="684"/>
    <w:uiPriority w:val="9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89" w:customStyle="1">
    <w:name w:val="List Table 4 - Accent 4"/>
    <w:basedOn w:val="684"/>
    <w:uiPriority w:val="9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90" w:customStyle="1">
    <w:name w:val="List Table 4 - Accent 5"/>
    <w:basedOn w:val="684"/>
    <w:uiPriority w:val="99"/>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91" w:customStyle="1">
    <w:name w:val="List Table 4 - Accent 6"/>
    <w:basedOn w:val="684"/>
    <w:uiPriority w:val="9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92">
    <w:name w:val="List Table 5 Dark"/>
    <w:basedOn w:val="684"/>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93" w:customStyle="1">
    <w:name w:val="List Table 5 Dark - Accent 1"/>
    <w:basedOn w:val="684"/>
    <w:uiPriority w:val="99"/>
    <w:tblPr>
      <w:tblStyleRowBandSize w:val="1"/>
      <w:tblStyleColBandSize w:val="1"/>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794" w:customStyle="1">
    <w:name w:val="List Table 5 Dark - Accent 2"/>
    <w:basedOn w:val="684"/>
    <w:uiPriority w:val="99"/>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795" w:customStyle="1">
    <w:name w:val="List Table 5 Dark - Accent 3"/>
    <w:basedOn w:val="684"/>
    <w:uiPriority w:val="99"/>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796" w:customStyle="1">
    <w:name w:val="List Table 5 Dark - Accent 4"/>
    <w:basedOn w:val="684"/>
    <w:uiPriority w:val="99"/>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797" w:customStyle="1">
    <w:name w:val="List Table 5 Dark - Accent 5"/>
    <w:basedOn w:val="684"/>
    <w:uiPriority w:val="99"/>
    <w:tblPr>
      <w:tblStyleRowBandSize w:val="1"/>
      <w:tblStyleColBandSize w:val="1"/>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798" w:customStyle="1">
    <w:name w:val="List Table 5 Dark - Accent 6"/>
    <w:basedOn w:val="684"/>
    <w:uiPriority w:val="99"/>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799">
    <w:name w:val="List Table 6 Colorful"/>
    <w:basedOn w:val="684"/>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00" w:customStyle="1">
    <w:name w:val="List Table 6 Colorful - Accent 1"/>
    <w:basedOn w:val="684"/>
    <w:uiPriority w:val="99"/>
    <w:tblPr>
      <w:tblStyleRowBandSize w:val="1"/>
      <w:tblStyleColBandSize w:val="1"/>
      <w:tblBorders>
        <w:top w:val="single" w:color="5B9BD5" w:themeColor="accent1" w:sz="4" w:space="0"/>
        <w:bottom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b/>
        <w:color w:val="245a8d" w:themeColor="accent1" w:themeShade="95"/>
      </w:rPr>
    </w:tblStylePr>
    <w:tblStylePr w:type="firstRow">
      <w:rPr>
        <w:b/>
        <w:color w:val="245a8d" w:themeColor="accent1" w:themeShade="95"/>
      </w:rPr>
      <w:tcPr>
        <w:tcBorders>
          <w:bottom w:val="single" w:color="5B9BD5" w:themeColor="accent1" w:sz="4" w:space="0"/>
        </w:tcBorders>
      </w:tcPr>
    </w:tblStylePr>
    <w:tblStylePr w:type="lastCol">
      <w:rPr>
        <w:b/>
        <w:color w:val="245a8d" w:themeColor="accent1" w:themeShade="95"/>
      </w:rPr>
    </w:tblStylePr>
    <w:tblStylePr w:type="lastRow">
      <w:rPr>
        <w:b/>
        <w:color w:val="245a8d" w:themeColor="accent1" w:themeShade="95"/>
      </w:rPr>
      <w:tcPr>
        <w:tcBorders>
          <w:top w:val="single" w:color="5B9BD5" w:themeColor="accent1" w:sz="4" w:space="0"/>
        </w:tcBorders>
      </w:tcPr>
    </w:tblStylePr>
  </w:style>
  <w:style w:type="table" w:styleId="801" w:customStyle="1">
    <w:name w:val="List Table 6 Colorful - Accent 2"/>
    <w:basedOn w:val="684"/>
    <w:uiPriority w:val="99"/>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802" w:customStyle="1">
    <w:name w:val="List Table 6 Colorful - Accent 3"/>
    <w:basedOn w:val="684"/>
    <w:uiPriority w:val="99"/>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803" w:customStyle="1">
    <w:name w:val="List Table 6 Colorful - Accent 4"/>
    <w:basedOn w:val="684"/>
    <w:uiPriority w:val="99"/>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804" w:customStyle="1">
    <w:name w:val="List Table 6 Colorful - Accent 5"/>
    <w:basedOn w:val="684"/>
    <w:uiPriority w:val="99"/>
    <w:tblPr>
      <w:tblStyleRowBandSize w:val="1"/>
      <w:tblStyleColBandSize w:val="1"/>
      <w:tblBorders>
        <w:top w:val="single" w:color="8DA9DB" w:themeColor="accent5" w:themeTint="9A" w:sz="4" w:space="0"/>
        <w:bottom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b/>
        <w:color w:val="8da9db" w:themeColor="accent5" w:themeTint="9A" w:themeShade="95"/>
      </w:rPr>
    </w:tblStylePr>
    <w:tblStylePr w:type="firstRow">
      <w:rPr>
        <w:b/>
        <w:color w:val="8da9db" w:themeColor="accent5" w:themeTint="9A" w:themeShade="95"/>
      </w:rPr>
      <w:tcPr>
        <w:tcBorders>
          <w:bottom w:val="single" w:color="8DA9DB" w:themeColor="accent5" w:themeTint="9A" w:sz="4" w:space="0"/>
        </w:tcBorders>
      </w:tcPr>
    </w:tblStylePr>
    <w:tblStylePr w:type="lastCol">
      <w:rPr>
        <w:b/>
        <w:color w:val="8da9db" w:themeColor="accent5" w:themeTint="9A" w:themeShade="95"/>
      </w:rPr>
    </w:tblStylePr>
    <w:tblStylePr w:type="lastRow">
      <w:rPr>
        <w:b/>
        <w:color w:val="8da9db" w:themeColor="accent5" w:themeTint="9A" w:themeShade="95"/>
      </w:rPr>
      <w:tcPr>
        <w:tcBorders>
          <w:top w:val="single" w:color="8DA9DB" w:themeColor="accent5" w:themeTint="9A" w:sz="4" w:space="0"/>
        </w:tcBorders>
      </w:tcPr>
    </w:tblStylePr>
  </w:style>
  <w:style w:type="table" w:styleId="805" w:customStyle="1">
    <w:name w:val="List Table 6 Colorful - Accent 6"/>
    <w:basedOn w:val="684"/>
    <w:uiPriority w:val="99"/>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806">
    <w:name w:val="List Table 7 Colorful"/>
    <w:basedOn w:val="684"/>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07" w:customStyle="1">
    <w:name w:val="List Table 7 Colorful - Accent 1"/>
    <w:basedOn w:val="684"/>
    <w:uiPriority w:val="99"/>
    <w:tblPr>
      <w:tblStyleRowBandSize w:val="1"/>
      <w:tblStyleColBandSize w:val="1"/>
      <w:tblBorders>
        <w:right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rFonts w:ascii="Arial" w:hAnsi="Arial"/>
        <w:i/>
        <w:color w:val="245a8d" w:themeColor="accent1" w:themeShade="95"/>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d" w:themeColor="accent1" w:themeShade="95"/>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d" w:themeColor="accent1" w:themeShade="95"/>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d" w:themeColor="accent1" w:themeShade="95"/>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08" w:customStyle="1">
    <w:name w:val="List Table 7 Colorful - Accent 2"/>
    <w:basedOn w:val="684"/>
    <w:uiPriority w:val="99"/>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09" w:customStyle="1">
    <w:name w:val="List Table 7 Colorful - Accent 3"/>
    <w:basedOn w:val="684"/>
    <w:uiPriority w:val="99"/>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10" w:customStyle="1">
    <w:name w:val="List Table 7 Colorful - Accent 4"/>
    <w:basedOn w:val="684"/>
    <w:uiPriority w:val="99"/>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11" w:customStyle="1">
    <w:name w:val="List Table 7 Colorful - Accent 5"/>
    <w:basedOn w:val="684"/>
    <w:uiPriority w:val="99"/>
    <w:tblPr>
      <w:tblStyleRowBandSize w:val="1"/>
      <w:tblStyleColBandSize w:val="1"/>
      <w:tblBorders>
        <w:right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rFonts w:ascii="Arial" w:hAnsi="Arial"/>
        <w:i/>
        <w:color w:val="8da9db"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da9db" w:themeColor="accent5" w:themeTint="9A" w:themeShade="95"/>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da9db" w:themeColor="accent5" w:themeTint="9A" w:themeShade="95"/>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da9db" w:themeColor="accent5" w:themeTint="9A" w:themeShade="95"/>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812" w:customStyle="1">
    <w:name w:val="List Table 7 Colorful - Accent 6"/>
    <w:basedOn w:val="684"/>
    <w:uiPriority w:val="99"/>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13" w:customStyle="1">
    <w:name w:val="Lined - Accent"/>
    <w:basedOn w:val="68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14" w:customStyle="1">
    <w:name w:val="Lined - Accent 1"/>
    <w:basedOn w:val="68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15" w:customStyle="1">
    <w:name w:val="Lined - Accent 2"/>
    <w:basedOn w:val="68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16" w:customStyle="1">
    <w:name w:val="Lined - Accent 3"/>
    <w:basedOn w:val="68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17" w:customStyle="1">
    <w:name w:val="Lined - Accent 4"/>
    <w:basedOn w:val="68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18" w:customStyle="1">
    <w:name w:val="Lined - Accent 5"/>
    <w:basedOn w:val="68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19" w:customStyle="1">
    <w:name w:val="Lined - Accent 6"/>
    <w:basedOn w:val="68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20" w:customStyle="1">
    <w:name w:val="Bordered &amp; Lined - Accent"/>
    <w:basedOn w:val="684"/>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21" w:customStyle="1">
    <w:name w:val="Bordered &amp; Lined - Accent 1"/>
    <w:basedOn w:val="684"/>
    <w:uiPriority w:val="99"/>
    <w:rPr>
      <w:color w:val="404040"/>
    </w:rPr>
    <w:tblPr>
      <w:tblStyleRowBandSize w:val="1"/>
      <w:tblStyleColBandSize w:val="1"/>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22" w:customStyle="1">
    <w:name w:val="Bordered &amp; Lined - Accent 2"/>
    <w:basedOn w:val="684"/>
    <w:uiPriority w:val="99"/>
    <w:rPr>
      <w:color w:val="40404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23" w:customStyle="1">
    <w:name w:val="Bordered &amp; Lined - Accent 3"/>
    <w:basedOn w:val="684"/>
    <w:uiPriority w:val="99"/>
    <w:rPr>
      <w:color w:val="40404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24" w:customStyle="1">
    <w:name w:val="Bordered &amp; Lined - Accent 4"/>
    <w:basedOn w:val="684"/>
    <w:uiPriority w:val="99"/>
    <w:rPr>
      <w:color w:val="40404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25" w:customStyle="1">
    <w:name w:val="Bordered &amp; Lined - Accent 5"/>
    <w:basedOn w:val="684"/>
    <w:uiPriority w:val="99"/>
    <w:rPr>
      <w:color w:val="404040"/>
    </w:rPr>
    <w:tblPr>
      <w:tblStyleRowBandSize w:val="1"/>
      <w:tblStyleColBandSize w:val="1"/>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26" w:customStyle="1">
    <w:name w:val="Bordered &amp; Lined - Accent 6"/>
    <w:basedOn w:val="684"/>
    <w:uiPriority w:val="99"/>
    <w:rPr>
      <w:color w:val="40404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27" w:customStyle="1">
    <w:name w:val="Bordered"/>
    <w:basedOn w:val="684"/>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28" w:customStyle="1">
    <w:name w:val="Bordered - Accent 1"/>
    <w:basedOn w:val="684"/>
    <w:uiPriority w:val="99"/>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29" w:customStyle="1">
    <w:name w:val="Bordered - Accent 2"/>
    <w:basedOn w:val="684"/>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30" w:customStyle="1">
    <w:name w:val="Bordered - Accent 3"/>
    <w:basedOn w:val="684"/>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31" w:customStyle="1">
    <w:name w:val="Bordered - Accent 4"/>
    <w:basedOn w:val="684"/>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32" w:customStyle="1">
    <w:name w:val="Bordered - Accent 5"/>
    <w:basedOn w:val="684"/>
    <w:uiPriority w:val="99"/>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833" w:customStyle="1">
    <w:name w:val="Bordered - Accent 6"/>
    <w:basedOn w:val="684"/>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834">
    <w:name w:val="footnote text"/>
    <w:basedOn w:val="673"/>
    <w:link w:val="835"/>
    <w:uiPriority w:val="99"/>
    <w:semiHidden/>
    <w:unhideWhenUsed/>
    <w:pPr>
      <w:spacing w:after="40"/>
    </w:pPr>
    <w:rPr>
      <w:sz w:val="18"/>
    </w:rPr>
  </w:style>
  <w:style w:type="character" w:styleId="835" w:customStyle="1">
    <w:name w:val="脚注文本 字符"/>
    <w:link w:val="834"/>
    <w:uiPriority w:val="99"/>
    <w:rPr>
      <w:sz w:val="18"/>
    </w:rPr>
  </w:style>
  <w:style w:type="character" w:styleId="836">
    <w:name w:val="footnote reference"/>
    <w:basedOn w:val="683"/>
    <w:uiPriority w:val="99"/>
    <w:unhideWhenUsed/>
    <w:rPr>
      <w:vertAlign w:val="superscript"/>
    </w:rPr>
  </w:style>
  <w:style w:type="paragraph" w:styleId="837">
    <w:name w:val="endnote text"/>
    <w:basedOn w:val="673"/>
    <w:link w:val="838"/>
    <w:uiPriority w:val="99"/>
    <w:semiHidden/>
    <w:unhideWhenUsed/>
    <w:rPr>
      <w:sz w:val="20"/>
    </w:rPr>
  </w:style>
  <w:style w:type="character" w:styleId="838" w:customStyle="1">
    <w:name w:val="尾注文本 字符"/>
    <w:link w:val="837"/>
    <w:uiPriority w:val="99"/>
    <w:rPr>
      <w:sz w:val="20"/>
    </w:rPr>
  </w:style>
  <w:style w:type="character" w:styleId="839">
    <w:name w:val="endnote reference"/>
    <w:basedOn w:val="683"/>
    <w:uiPriority w:val="99"/>
    <w:semiHidden/>
    <w:unhideWhenUsed/>
    <w:rPr>
      <w:vertAlign w:val="superscript"/>
    </w:rPr>
  </w:style>
  <w:style w:type="paragraph" w:styleId="840">
    <w:name w:val="toc 2"/>
    <w:basedOn w:val="673"/>
    <w:next w:val="673"/>
    <w:uiPriority w:val="39"/>
    <w:unhideWhenUsed/>
    <w:pPr>
      <w:ind w:left="283"/>
      <w:spacing w:after="57"/>
    </w:pPr>
  </w:style>
  <w:style w:type="paragraph" w:styleId="841">
    <w:name w:val="toc 3"/>
    <w:basedOn w:val="673"/>
    <w:next w:val="673"/>
    <w:uiPriority w:val="39"/>
    <w:unhideWhenUsed/>
    <w:pPr>
      <w:ind w:left="567"/>
      <w:spacing w:after="57"/>
    </w:pPr>
  </w:style>
  <w:style w:type="paragraph" w:styleId="842">
    <w:name w:val="toc 4"/>
    <w:basedOn w:val="673"/>
    <w:next w:val="673"/>
    <w:uiPriority w:val="39"/>
    <w:unhideWhenUsed/>
    <w:pPr>
      <w:ind w:left="850"/>
      <w:spacing w:after="57"/>
    </w:pPr>
  </w:style>
  <w:style w:type="paragraph" w:styleId="843">
    <w:name w:val="toc 5"/>
    <w:basedOn w:val="673"/>
    <w:next w:val="673"/>
    <w:uiPriority w:val="39"/>
    <w:unhideWhenUsed/>
    <w:pPr>
      <w:ind w:left="1134"/>
      <w:spacing w:after="57"/>
    </w:pPr>
  </w:style>
  <w:style w:type="paragraph" w:styleId="844">
    <w:name w:val="toc 6"/>
    <w:basedOn w:val="673"/>
    <w:next w:val="673"/>
    <w:uiPriority w:val="39"/>
    <w:unhideWhenUsed/>
    <w:pPr>
      <w:ind w:left="1417"/>
      <w:spacing w:after="57"/>
    </w:pPr>
  </w:style>
  <w:style w:type="paragraph" w:styleId="845">
    <w:name w:val="toc 7"/>
    <w:basedOn w:val="673"/>
    <w:next w:val="673"/>
    <w:uiPriority w:val="39"/>
    <w:unhideWhenUsed/>
    <w:pPr>
      <w:ind w:left="1701"/>
      <w:spacing w:after="57"/>
    </w:pPr>
  </w:style>
  <w:style w:type="paragraph" w:styleId="846">
    <w:name w:val="toc 8"/>
    <w:basedOn w:val="673"/>
    <w:next w:val="673"/>
    <w:uiPriority w:val="39"/>
    <w:unhideWhenUsed/>
    <w:pPr>
      <w:ind w:left="1984"/>
      <w:spacing w:after="57"/>
    </w:pPr>
  </w:style>
  <w:style w:type="paragraph" w:styleId="847">
    <w:name w:val="toc 9"/>
    <w:basedOn w:val="673"/>
    <w:next w:val="673"/>
    <w:uiPriority w:val="39"/>
    <w:unhideWhenUsed/>
    <w:pPr>
      <w:ind w:left="2268"/>
      <w:spacing w:after="57"/>
    </w:pPr>
  </w:style>
  <w:style w:type="paragraph" w:styleId="848">
    <w:name w:val="TOC Heading"/>
    <w:uiPriority w:val="39"/>
    <w:unhideWhenUsed/>
  </w:style>
  <w:style w:type="paragraph" w:styleId="849">
    <w:name w:val="table of figures"/>
    <w:basedOn w:val="673"/>
    <w:next w:val="673"/>
    <w:uiPriority w:val="99"/>
    <w:unhideWhenUsed/>
  </w:style>
  <w:style w:type="paragraph" w:styleId="850">
    <w:name w:val="annotation text"/>
    <w:basedOn w:val="673"/>
    <w:qFormat/>
    <w:pPr>
      <w:jc w:val="left"/>
    </w:pPr>
  </w:style>
  <w:style w:type="paragraph" w:styleId="851">
    <w:name w:val="Body Text"/>
    <w:basedOn w:val="673"/>
    <w:semiHidden/>
    <w:qFormat/>
    <w:rPr>
      <w:rFonts w:ascii="仿宋" w:hAnsi="仿宋" w:eastAsia="仿宋" w:cs="仿宋"/>
      <w:sz w:val="31"/>
      <w:szCs w:val="31"/>
      <w:lang w:eastAsia="en-US"/>
    </w:rPr>
  </w:style>
  <w:style w:type="paragraph" w:styleId="852">
    <w:name w:val="Footer"/>
    <w:basedOn w:val="673"/>
    <w:link w:val="860"/>
    <w:uiPriority w:val="99"/>
    <w:qFormat/>
    <w:pPr>
      <w:jc w:val="left"/>
      <w:tabs>
        <w:tab w:val="center" w:pos="4153" w:leader="none"/>
        <w:tab w:val="right" w:pos="8306" w:leader="none"/>
      </w:tabs>
    </w:pPr>
    <w:rPr>
      <w:sz w:val="18"/>
      <w:szCs w:val="18"/>
    </w:rPr>
  </w:style>
  <w:style w:type="paragraph" w:styleId="853">
    <w:name w:val="Header"/>
    <w:basedOn w:val="673"/>
    <w:link w:val="859"/>
    <w:qFormat/>
    <w:pPr>
      <w:jc w:val="center"/>
      <w:tabs>
        <w:tab w:val="center" w:pos="4153" w:leader="none"/>
        <w:tab w:val="right" w:pos="8306" w:leader="none"/>
      </w:tabs>
      <w:pBdr>
        <w:bottom w:val="single" w:color="auto" w:sz="6" w:space="1"/>
      </w:pBdr>
    </w:pPr>
    <w:rPr>
      <w:sz w:val="18"/>
      <w:szCs w:val="18"/>
    </w:rPr>
  </w:style>
  <w:style w:type="paragraph" w:styleId="854">
    <w:name w:val="toc 1"/>
    <w:basedOn w:val="673"/>
    <w:next w:val="673"/>
    <w:uiPriority w:val="39"/>
  </w:style>
  <w:style w:type="paragraph" w:styleId="855">
    <w:name w:val="Normal (Web)"/>
    <w:basedOn w:val="673"/>
    <w:qFormat/>
    <w:pPr>
      <w:jc w:val="left"/>
      <w:spacing w:beforeAutospacing="1" w:afterAutospacing="1"/>
    </w:pPr>
    <w:rPr>
      <w:rFonts w:cs="Times New Roman"/>
      <w:sz w:val="24"/>
    </w:rPr>
  </w:style>
  <w:style w:type="character" w:styleId="856">
    <w:name w:val="Emphasis"/>
    <w:qFormat/>
    <w:rPr>
      <w:i/>
    </w:rPr>
  </w:style>
  <w:style w:type="character" w:styleId="857">
    <w:name w:val="Hyperlink"/>
    <w:basedOn w:val="683"/>
    <w:uiPriority w:val="99"/>
    <w:unhideWhenUsed/>
    <w:rPr>
      <w:color w:val="0563c1" w:themeColor="hyperlink"/>
      <w:u w:val="single"/>
    </w:rPr>
  </w:style>
  <w:style w:type="paragraph" w:styleId="858" w:customStyle="1">
    <w:name w:val="Default"/>
    <w:basedOn w:val="673"/>
    <w:semiHidden/>
    <w:qFormat/>
    <w:pPr>
      <w:jc w:val="left"/>
    </w:pPr>
    <w:rPr>
      <w:rFonts w:ascii="宋体" w:hAnsi="Calibri" w:cs="宋体"/>
      <w:color w:val="000000"/>
      <w:sz w:val="24"/>
    </w:rPr>
  </w:style>
  <w:style w:type="character" w:styleId="859" w:customStyle="1">
    <w:name w:val="页眉 字符"/>
    <w:basedOn w:val="683"/>
    <w:link w:val="853"/>
    <w:qFormat/>
    <w:rPr>
      <w:rFonts w:asciiTheme="minorHAnsi" w:hAnsiTheme="minorHAnsi" w:eastAsiaTheme="minorEastAsia" w:cstheme="minorBidi"/>
      <w:sz w:val="18"/>
      <w:szCs w:val="18"/>
    </w:rPr>
  </w:style>
  <w:style w:type="character" w:styleId="860" w:customStyle="1">
    <w:name w:val="页脚 字符"/>
    <w:basedOn w:val="683"/>
    <w:link w:val="852"/>
    <w:uiPriority w:val="99"/>
    <w:qFormat/>
    <w:rPr>
      <w:rFonts w:asciiTheme="minorHAnsi" w:hAnsiTheme="minorHAnsi" w:eastAsiaTheme="minorEastAsia" w:cstheme="minorBidi"/>
      <w:sz w:val="18"/>
      <w:szCs w:val="18"/>
    </w:rPr>
  </w:style>
  <w:style w:type="paragraph" w:styleId="861" w:customStyle="1">
    <w:name w:val="普通正文"/>
    <w:basedOn w:val="673"/>
    <w:qFormat/>
    <w:pPr>
      <w:ind w:firstLine="480"/>
      <w:jc w:val="left"/>
      <w:spacing w:before="120" w:after="120" w:line="360" w:lineRule="auto"/>
    </w:pPr>
    <w:rPr>
      <w:rFonts w:ascii="Arial" w:hAnsi="Arial" w:eastAsia="等线" w:cs="Arial"/>
      <w:sz w:val="24"/>
    </w:rPr>
  </w:style>
  <w:style w:type="paragraph" w:styleId="862" w:customStyle="1">
    <w:name w:val="正文首行缩进 21"/>
    <w:basedOn w:val="863"/>
    <w:qFormat/>
    <w:pPr>
      <w:ind w:firstLine="420"/>
    </w:pPr>
  </w:style>
  <w:style w:type="paragraph" w:styleId="863" w:customStyle="1">
    <w:name w:val="正文文本缩进1"/>
    <w:basedOn w:val="673"/>
    <w:qFormat/>
    <w:pPr>
      <w:ind w:left="420"/>
      <w:spacing w:after="120"/>
    </w:pPr>
  </w:style>
  <w:style w:type="table" w:styleId="864" w:customStyle="1">
    <w:name w:val="Table Normal"/>
    <w:unhideWhenUsed/>
    <w:qFormat/>
    <w:tblPr>
      <w:tblCellMar>
        <w:left w:w="0" w:type="dxa"/>
        <w:top w:w="0" w:type="dxa"/>
        <w:right w:w="0" w:type="dxa"/>
        <w:bottom w:w="0" w:type="dxa"/>
      </w:tblCellMar>
    </w:tblPr>
  </w:style>
  <w:style w:type="character" w:styleId="865" w:customStyle="1">
    <w:name w:val="标题 1 字符"/>
    <w:basedOn w:val="683"/>
    <w:link w:val="674"/>
    <w:rPr>
      <w:rFonts w:asciiTheme="minorHAnsi" w:hAnsiTheme="minorHAnsi" w:eastAsiaTheme="minorEastAsia" w:cstheme="minorBidi"/>
      <w:b/>
      <w:bCs/>
      <w:sz w:val="44"/>
      <w:szCs w:val="44"/>
    </w:rPr>
  </w:style>
  <w:style w:type="paragraph" w:styleId="866">
    <w:name w:val="List Paragraph"/>
    <w:basedOn w:val="673"/>
    <w:uiPriority w:val="99"/>
    <w:unhideWhenUsed/>
    <w:pPr>
      <w:ind w:firstLine="4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399E10-92C2-4423-A0F1-E0375E12C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ycgxzbdl</cp:lastModifiedBy>
  <cp:revision>36</cp:revision>
  <dcterms:created xsi:type="dcterms:W3CDTF">2026-08-11T00:26:00Z</dcterms:created>
  <dcterms:modified xsi:type="dcterms:W3CDTF">2026-08-18T09:16:21Z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65759699444F44BBBFCCC89CEABA8F49_13</vt:lpwstr>
  </property>
  <property fmtid="{D5CDD505-2E9C-101B-9397-08002B2CF9AE}" pid="4" name="KSOTemplateDocerSaveRecord">
    <vt:lpwstr>eyJoZGlkIjoiYzJmOTlhMGU5NGVjZGU0NjhiODM5ZWE4OTMyNjRjNGEiLCJ1c2VySWQiOiIyMjczNTEyMDYifQ==</vt:lpwstr>
  </property>
</Properties>
</file>