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AF7D94">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b/>
          <w:color w:val="000000"/>
          <w:sz w:val="84"/>
          <w:highlight w:val="none"/>
        </w:rPr>
      </w:pPr>
    </w:p>
    <w:p w14:paraId="64F956D0">
      <w:pPr>
        <w:pageBreakBefore w:val="0"/>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招 标 文 件</w:t>
      </w:r>
    </w:p>
    <w:p w14:paraId="4AF567AD">
      <w:pPr>
        <w:pageBreakBefore w:val="0"/>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55CADDEC">
      <w:pPr>
        <w:pageBreakBefore w:val="0"/>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3649A2EC">
      <w:pPr>
        <w:pageBreakBefore w:val="0"/>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p>
    <w:p w14:paraId="1363D73A">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2D279EA6">
      <w:pPr>
        <w:pageBreakBefore w:val="0"/>
        <w:pBdr>
          <w:top w:val="none" w:color="000000" w:sz="0" w:space="0"/>
          <w:left w:val="none" w:color="000000" w:sz="0" w:space="0"/>
          <w:bottom w:val="none" w:color="000000" w:sz="0" w:space="0"/>
          <w:right w:val="none" w:color="000000" w:sz="0" w:space="0"/>
        </w:pBdr>
        <w:spacing w:before="0" w:after="0"/>
        <w:ind w:left="0" w:right="0" w:firstLine="2692"/>
        <w:jc w:val="both"/>
        <w:rPr>
          <w:rFonts w:hint="eastAsia" w:ascii="宋体" w:hAnsi="宋体" w:eastAsia="宋体" w:cs="宋体"/>
          <w:highlight w:val="none"/>
        </w:rPr>
      </w:pPr>
      <w:r>
        <w:rPr>
          <w:rFonts w:hint="eastAsia" w:ascii="宋体" w:hAnsi="宋体" w:eastAsia="宋体" w:cs="宋体"/>
          <w:b/>
          <w:color w:val="000000"/>
          <w:sz w:val="36"/>
          <w:highlight w:val="none"/>
        </w:rPr>
        <w:t> </w:t>
      </w:r>
    </w:p>
    <w:p w14:paraId="51E000ED">
      <w:pPr>
        <w:pageBreakBefore w:val="0"/>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7EBD8E00">
      <w:pPr>
        <w:pageBreakBefore w:val="0"/>
        <w:pBdr>
          <w:top w:val="none" w:color="000000" w:sz="0" w:space="0"/>
          <w:left w:val="none" w:color="000000" w:sz="0" w:space="0"/>
          <w:bottom w:val="none" w:color="000000" w:sz="0" w:space="0"/>
          <w:right w:val="none" w:color="000000" w:sz="0" w:space="0"/>
        </w:pBdr>
        <w:shd w:val="clear" w:color="FFFFFF" w:fill="FFFFFF"/>
        <w:spacing w:before="0" w:after="0" w:line="479" w:lineRule="atLeast"/>
        <w:ind w:right="0"/>
        <w:jc w:val="both"/>
        <w:outlineLvl w:val="0"/>
        <w:rPr>
          <w:rFonts w:hint="default" w:ascii="宋体" w:hAnsi="宋体" w:eastAsia="宋体" w:cs="宋体"/>
          <w:b/>
          <w:color w:val="auto"/>
          <w:sz w:val="32"/>
          <w:szCs w:val="21"/>
          <w:highlight w:val="none"/>
          <w:lang w:val="en-US"/>
        </w:rPr>
      </w:pPr>
      <w:bookmarkStart w:id="0" w:name="_Toc8275"/>
      <w:bookmarkStart w:id="1" w:name="_Toc14894"/>
      <w:r>
        <w:rPr>
          <w:rFonts w:hint="eastAsia" w:ascii="宋体" w:hAnsi="宋体" w:eastAsia="宋体" w:cs="宋体"/>
          <w:b/>
          <w:color w:val="000000"/>
          <w:sz w:val="32"/>
          <w:highlight w:val="none"/>
        </w:rPr>
        <w:t>项目</w:t>
      </w:r>
      <w:r>
        <w:rPr>
          <w:rFonts w:hint="eastAsia" w:ascii="宋体" w:hAnsi="宋体" w:cs="宋体"/>
          <w:b/>
          <w:color w:val="000000"/>
          <w:sz w:val="32"/>
          <w:highlight w:val="none"/>
          <w:lang w:val="en-US" w:eastAsia="zh-CN"/>
        </w:rPr>
        <w:t>编号</w:t>
      </w:r>
      <w:r>
        <w:rPr>
          <w:rFonts w:hint="eastAsia" w:ascii="宋体" w:hAnsi="宋体" w:eastAsia="宋体" w:cs="宋体"/>
          <w:b/>
          <w:color w:val="000000"/>
          <w:sz w:val="32"/>
          <w:highlight w:val="none"/>
        </w:rPr>
        <w:t>：</w:t>
      </w:r>
      <w:bookmarkEnd w:id="0"/>
      <w:bookmarkEnd w:id="1"/>
      <w:r>
        <w:rPr>
          <w:rFonts w:hint="eastAsia" w:ascii="宋体" w:hAnsi="宋体" w:eastAsia="宋体" w:cs="宋体"/>
          <w:b/>
          <w:color w:val="auto"/>
          <w:sz w:val="32"/>
          <w:szCs w:val="21"/>
          <w:highlight w:val="none"/>
        </w:rPr>
        <w:t>JSZC-320902-JZCG-G202</w:t>
      </w:r>
      <w:r>
        <w:rPr>
          <w:rFonts w:hint="eastAsia" w:ascii="宋体" w:hAnsi="宋体" w:eastAsia="宋体" w:cs="宋体"/>
          <w:b/>
          <w:color w:val="auto"/>
          <w:sz w:val="32"/>
          <w:szCs w:val="21"/>
          <w:highlight w:val="none"/>
          <w:lang w:val="en-US" w:eastAsia="zh-CN"/>
        </w:rPr>
        <w:t>6-</w:t>
      </w:r>
      <w:r>
        <w:rPr>
          <w:rFonts w:hint="eastAsia" w:ascii="宋体" w:hAnsi="宋体" w:cs="宋体"/>
          <w:b/>
          <w:color w:val="auto"/>
          <w:sz w:val="32"/>
          <w:szCs w:val="21"/>
          <w:highlight w:val="none"/>
          <w:lang w:val="en-US" w:eastAsia="zh-CN"/>
        </w:rPr>
        <w:t>0056</w:t>
      </w:r>
    </w:p>
    <w:p w14:paraId="257B6946">
      <w:pPr>
        <w:pageBreakBefore w:val="0"/>
        <w:pBdr>
          <w:top w:val="none" w:color="000000" w:sz="0" w:space="0"/>
          <w:left w:val="none" w:color="000000" w:sz="0" w:space="0"/>
          <w:bottom w:val="none" w:color="000000" w:sz="0" w:space="0"/>
          <w:right w:val="none" w:color="000000" w:sz="0" w:space="0"/>
        </w:pBdr>
        <w:spacing w:before="0" w:after="0"/>
        <w:ind w:left="1606" w:right="0" w:hanging="1606" w:hangingChars="500"/>
        <w:jc w:val="left"/>
        <w:rPr>
          <w:rFonts w:hint="eastAsia" w:ascii="宋体" w:hAnsi="宋体" w:eastAsia="宋体" w:cs="宋体"/>
          <w:b/>
          <w:color w:val="auto"/>
          <w:sz w:val="32"/>
          <w:szCs w:val="21"/>
          <w:highlight w:val="none"/>
          <w:lang w:val="en-US" w:eastAsia="zh-CN"/>
        </w:rPr>
      </w:pPr>
      <w:r>
        <w:rPr>
          <w:rFonts w:hint="eastAsia" w:ascii="宋体" w:hAnsi="宋体" w:eastAsia="宋体" w:cs="宋体"/>
          <w:b/>
          <w:color w:val="auto"/>
          <w:sz w:val="32"/>
          <w:szCs w:val="21"/>
          <w:highlight w:val="none"/>
        </w:rPr>
        <w:t>项目</w:t>
      </w:r>
      <w:r>
        <w:rPr>
          <w:rFonts w:hint="eastAsia" w:ascii="宋体" w:hAnsi="宋体" w:cs="宋体"/>
          <w:b/>
          <w:color w:val="auto"/>
          <w:sz w:val="32"/>
          <w:szCs w:val="21"/>
          <w:highlight w:val="none"/>
          <w:lang w:val="en-US" w:eastAsia="zh-CN"/>
        </w:rPr>
        <w:t>名称</w:t>
      </w:r>
      <w:r>
        <w:rPr>
          <w:rFonts w:hint="eastAsia" w:ascii="宋体" w:hAnsi="宋体" w:eastAsia="宋体" w:cs="宋体"/>
          <w:b/>
          <w:color w:val="auto"/>
          <w:sz w:val="32"/>
          <w:szCs w:val="21"/>
          <w:highlight w:val="none"/>
        </w:rPr>
        <w:t>：</w:t>
      </w:r>
      <w:r>
        <w:rPr>
          <w:rFonts w:hint="eastAsia" w:ascii="宋体" w:hAnsi="宋体" w:cs="宋体"/>
          <w:b/>
          <w:color w:val="auto"/>
          <w:sz w:val="32"/>
          <w:szCs w:val="21"/>
          <w:highlight w:val="none"/>
          <w:lang w:eastAsia="zh-CN"/>
        </w:rPr>
        <w:t>盐城市亭湖区南洋镇青墩卫生院物业管理服务</w:t>
      </w:r>
    </w:p>
    <w:p w14:paraId="560068E8">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p>
    <w:p w14:paraId="40D76EBD">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559AF44F">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r>
        <w:rPr>
          <w:rFonts w:hint="eastAsia" w:ascii="宋体" w:hAnsi="宋体" w:eastAsia="宋体" w:cs="宋体"/>
          <w:color w:val="000000"/>
          <w:sz w:val="22"/>
          <w:highlight w:val="none"/>
        </w:rPr>
        <w:t> </w:t>
      </w:r>
    </w:p>
    <w:p w14:paraId="09EF6CDF">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p>
    <w:p w14:paraId="475993DD">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p>
    <w:p w14:paraId="67789700">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p>
    <w:p w14:paraId="781CF9AB">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p>
    <w:p w14:paraId="7CFA2FCC">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p>
    <w:p w14:paraId="414DED7B">
      <w:pPr>
        <w:pageBreakBefore w:val="0"/>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highlight w:val="none"/>
        </w:rPr>
      </w:pPr>
    </w:p>
    <w:p w14:paraId="3CE49BDD">
      <w:pPr>
        <w:pageBreakBefore w:val="0"/>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bCs/>
          <w:color w:val="000000"/>
          <w:sz w:val="36"/>
          <w:highlight w:val="none"/>
          <w:lang w:eastAsia="zh-CN"/>
        </w:rPr>
      </w:pPr>
      <w:r>
        <w:rPr>
          <w:rFonts w:hint="eastAsia" w:ascii="宋体" w:hAnsi="宋体" w:cs="宋体"/>
          <w:b/>
          <w:bCs/>
          <w:color w:val="000000"/>
          <w:sz w:val="36"/>
          <w:highlight w:val="none"/>
          <w:lang w:eastAsia="zh-CN"/>
        </w:rPr>
        <w:t>盐城市亭湖区南洋镇青墩卫生院</w:t>
      </w:r>
    </w:p>
    <w:p w14:paraId="20D6E840">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202</w:t>
      </w:r>
      <w:r>
        <w:rPr>
          <w:rFonts w:hint="eastAsia" w:ascii="宋体" w:hAnsi="宋体" w:cs="宋体"/>
          <w:b/>
          <w:bCs/>
          <w:color w:val="000000"/>
          <w:sz w:val="36"/>
          <w:highlight w:val="none"/>
          <w:lang w:val="en-US" w:eastAsia="zh-CN"/>
        </w:rPr>
        <w:t>6</w:t>
      </w:r>
      <w:r>
        <w:rPr>
          <w:rFonts w:hint="eastAsia" w:ascii="宋体" w:hAnsi="宋体" w:eastAsia="宋体" w:cs="宋体"/>
          <w:b/>
          <w:bCs/>
          <w:color w:val="000000"/>
          <w:sz w:val="36"/>
          <w:highlight w:val="none"/>
        </w:rPr>
        <w:t>年</w:t>
      </w:r>
      <w:r>
        <w:rPr>
          <w:rFonts w:hint="eastAsia" w:ascii="宋体" w:hAnsi="宋体" w:cs="宋体"/>
          <w:b/>
          <w:bCs/>
          <w:color w:val="000000"/>
          <w:sz w:val="36"/>
          <w:highlight w:val="none"/>
          <w:lang w:val="en-US" w:eastAsia="zh-CN"/>
        </w:rPr>
        <w:t>10</w:t>
      </w:r>
      <w:r>
        <w:rPr>
          <w:rFonts w:hint="eastAsia" w:ascii="宋体" w:hAnsi="宋体" w:eastAsia="宋体" w:cs="宋体"/>
          <w:b/>
          <w:bCs/>
          <w:color w:val="000000"/>
          <w:sz w:val="36"/>
          <w:highlight w:val="none"/>
        </w:rPr>
        <w:t>月</w:t>
      </w:r>
    </w:p>
    <w:p w14:paraId="3C5827C8">
      <w:pP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br w:type="page" w:clear="all"/>
      </w:r>
    </w:p>
    <w:sdt>
      <w:sdtPr>
        <w:rPr>
          <w:rFonts w:ascii="宋体" w:hAnsi="宋体" w:eastAsia="宋体" w:cs="Times New Roman"/>
          <w:sz w:val="44"/>
          <w:szCs w:val="48"/>
          <w:lang w:val="en-US" w:eastAsia="zh-CN" w:bidi="ar-SA"/>
        </w:rPr>
        <w:id w:val="147457139"/>
        <w15:color w:val="DBDBDB"/>
        <w:docPartObj>
          <w:docPartGallery w:val="Table of Contents"/>
          <w:docPartUnique/>
        </w:docPartObj>
      </w:sdtPr>
      <w:sdtEndPr>
        <w:rPr>
          <w:rFonts w:ascii="宋体" w:hAnsi="宋体" w:eastAsia="宋体" w:cs="Times New Roman"/>
          <w:sz w:val="44"/>
          <w:szCs w:val="48"/>
          <w:lang w:val="en-US" w:eastAsia="zh-CN" w:bidi="ar-SA"/>
        </w:rPr>
      </w:sdtEndPr>
      <w:sdtContent>
        <w:p w14:paraId="21F25BA4">
          <w:pPr>
            <w:spacing w:before="0" w:after="0" w:line="240" w:lineRule="auto"/>
            <w:ind w:left="0" w:right="0" w:firstLine="0"/>
            <w:jc w:val="center"/>
            <w:rPr>
              <w:sz w:val="56"/>
              <w:szCs w:val="48"/>
            </w:rPr>
          </w:pPr>
          <w:r>
            <w:rPr>
              <w:rFonts w:hint="eastAsia" w:ascii="宋体" w:hAnsi="宋体" w:cs="Times New Roman"/>
              <w:sz w:val="44"/>
              <w:szCs w:val="48"/>
              <w:lang w:val="en-US" w:eastAsia="zh-CN" w:bidi="ar-SA"/>
            </w:rPr>
            <w:t xml:space="preserve">总  </w:t>
          </w:r>
          <w:r>
            <w:rPr>
              <w:rFonts w:ascii="宋体" w:hAnsi="宋体" w:eastAsia="宋体"/>
              <w:sz w:val="44"/>
              <w:szCs w:val="48"/>
            </w:rPr>
            <w:t>目</w:t>
          </w:r>
          <w:r>
            <w:rPr>
              <w:rFonts w:hint="eastAsia" w:ascii="宋体" w:hAnsi="宋体" w:eastAsia="宋体"/>
              <w:sz w:val="44"/>
              <w:szCs w:val="48"/>
              <w:lang w:val="en-US" w:eastAsia="zh-CN"/>
            </w:rPr>
            <w:t xml:space="preserve">  </w:t>
          </w:r>
          <w:r>
            <w:rPr>
              <w:rFonts w:ascii="宋体" w:hAnsi="宋体" w:eastAsia="宋体"/>
              <w:sz w:val="44"/>
              <w:szCs w:val="48"/>
            </w:rPr>
            <w:t>录</w:t>
          </w:r>
        </w:p>
        <w:p w14:paraId="2C25A442">
          <w:pPr>
            <w:pStyle w:val="24"/>
            <w:tabs>
              <w:tab w:val="right" w:leader="dot" w:pos="9069"/>
            </w:tabs>
            <w:spacing w:line="600" w:lineRule="auto"/>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_Toc8511 </w:instrText>
          </w:r>
          <w:r>
            <w:rPr>
              <w:rFonts w:hint="eastAsia"/>
            </w:rPr>
            <w:fldChar w:fldCharType="separate"/>
          </w:r>
          <w:r>
            <w:rPr>
              <w:rFonts w:hint="eastAsia"/>
            </w:rPr>
            <w:t>第一章 招标公告</w:t>
          </w:r>
          <w:r>
            <w:tab/>
          </w:r>
          <w:r>
            <w:fldChar w:fldCharType="begin"/>
          </w:r>
          <w:r>
            <w:instrText xml:space="preserve"> PAGEREF _Toc8511 \h </w:instrText>
          </w:r>
          <w:r>
            <w:fldChar w:fldCharType="separate"/>
          </w:r>
          <w:r>
            <w:t>3</w:t>
          </w:r>
          <w:r>
            <w:fldChar w:fldCharType="end"/>
          </w:r>
          <w:r>
            <w:rPr>
              <w:rFonts w:hint="eastAsia"/>
            </w:rPr>
            <w:fldChar w:fldCharType="end"/>
          </w:r>
        </w:p>
        <w:p w14:paraId="7AC820E1">
          <w:pPr>
            <w:pStyle w:val="24"/>
            <w:tabs>
              <w:tab w:val="right" w:leader="dot" w:pos="9069"/>
            </w:tabs>
            <w:spacing w:line="600" w:lineRule="auto"/>
          </w:pPr>
          <w:r>
            <w:rPr>
              <w:rFonts w:hint="eastAsia"/>
            </w:rPr>
            <w:fldChar w:fldCharType="begin"/>
          </w:r>
          <w:r>
            <w:rPr>
              <w:rFonts w:hint="eastAsia"/>
            </w:rPr>
            <w:instrText xml:space="preserve"> HYPERLINK \l _Toc157 </w:instrText>
          </w:r>
          <w:r>
            <w:rPr>
              <w:rFonts w:hint="eastAsia"/>
            </w:rPr>
            <w:fldChar w:fldCharType="separate"/>
          </w:r>
          <w:r>
            <w:rPr>
              <w:rFonts w:hint="eastAsia"/>
            </w:rPr>
            <w:t>第二章 投标人须知</w:t>
          </w:r>
          <w:r>
            <w:tab/>
          </w:r>
          <w:r>
            <w:rPr>
              <w:rFonts w:hint="eastAsia"/>
              <w:lang w:val="en-US" w:eastAsia="zh-CN"/>
            </w:rPr>
            <w:t>7</w:t>
          </w:r>
          <w:r>
            <w:rPr>
              <w:rFonts w:hint="eastAsia"/>
            </w:rPr>
            <w:fldChar w:fldCharType="end"/>
          </w:r>
        </w:p>
        <w:p w14:paraId="4C3A92FE">
          <w:pPr>
            <w:pStyle w:val="24"/>
            <w:tabs>
              <w:tab w:val="right" w:leader="dot" w:pos="9069"/>
            </w:tabs>
            <w:spacing w:line="600" w:lineRule="auto"/>
            <w:rPr>
              <w:rFonts w:hint="eastAsia" w:eastAsia="宋体"/>
              <w:lang w:val="en-US" w:eastAsia="zh-CN"/>
            </w:rPr>
          </w:pPr>
          <w:r>
            <w:rPr>
              <w:rFonts w:hint="eastAsia"/>
            </w:rPr>
            <w:fldChar w:fldCharType="begin"/>
          </w:r>
          <w:r>
            <w:rPr>
              <w:rFonts w:hint="eastAsia"/>
            </w:rPr>
            <w:instrText xml:space="preserve"> HYPERLINK \l _Toc31813 </w:instrText>
          </w:r>
          <w:r>
            <w:rPr>
              <w:rFonts w:hint="eastAsia"/>
            </w:rPr>
            <w:fldChar w:fldCharType="separate"/>
          </w:r>
          <w:r>
            <w:rPr>
              <w:rFonts w:hint="eastAsia"/>
            </w:rPr>
            <w:t>第三章 合同文本</w:t>
          </w:r>
          <w:r>
            <w:tab/>
          </w:r>
          <w:r>
            <w:rPr>
              <w:rFonts w:hint="eastAsia"/>
              <w:lang w:val="en-US" w:eastAsia="zh-CN"/>
            </w:rPr>
            <w:t>2</w:t>
          </w:r>
          <w:r>
            <w:rPr>
              <w:rFonts w:hint="eastAsia"/>
            </w:rPr>
            <w:fldChar w:fldCharType="end"/>
          </w:r>
          <w:r>
            <w:rPr>
              <w:rFonts w:hint="eastAsia"/>
              <w:lang w:val="en-US" w:eastAsia="zh-CN"/>
            </w:rPr>
            <w:t>6</w:t>
          </w:r>
        </w:p>
        <w:p w14:paraId="3077DCF8">
          <w:pPr>
            <w:pStyle w:val="24"/>
            <w:tabs>
              <w:tab w:val="right" w:leader="dot" w:pos="9069"/>
            </w:tabs>
            <w:spacing w:line="600" w:lineRule="auto"/>
            <w:rPr>
              <w:rFonts w:hint="eastAsia" w:eastAsia="宋体"/>
              <w:lang w:val="en-US" w:eastAsia="zh-CN"/>
            </w:rPr>
          </w:pPr>
          <w:r>
            <w:rPr>
              <w:rFonts w:hint="eastAsia"/>
            </w:rPr>
            <w:fldChar w:fldCharType="begin"/>
          </w:r>
          <w:r>
            <w:rPr>
              <w:rFonts w:hint="eastAsia"/>
            </w:rPr>
            <w:instrText xml:space="preserve"> HYPERLINK \l _Toc30134 </w:instrText>
          </w:r>
          <w:r>
            <w:rPr>
              <w:rFonts w:hint="eastAsia"/>
            </w:rPr>
            <w:fldChar w:fldCharType="separate"/>
          </w:r>
          <w:r>
            <w:rPr>
              <w:rFonts w:hint="eastAsia"/>
            </w:rPr>
            <w:t>第四章 采购需求</w:t>
          </w:r>
          <w:r>
            <w:tab/>
          </w:r>
          <w:r>
            <w:rPr>
              <w:rFonts w:hint="eastAsia"/>
              <w:lang w:val="en-US" w:eastAsia="zh-CN"/>
            </w:rPr>
            <w:t>3</w:t>
          </w:r>
          <w:r>
            <w:rPr>
              <w:rFonts w:hint="eastAsia"/>
            </w:rPr>
            <w:fldChar w:fldCharType="end"/>
          </w:r>
          <w:r>
            <w:rPr>
              <w:rFonts w:hint="eastAsia"/>
              <w:lang w:val="en-US" w:eastAsia="zh-CN"/>
            </w:rPr>
            <w:t>6</w:t>
          </w:r>
        </w:p>
        <w:p w14:paraId="0EA4D0E0">
          <w:pPr>
            <w:pStyle w:val="24"/>
            <w:tabs>
              <w:tab w:val="right" w:leader="dot" w:pos="9069"/>
            </w:tabs>
            <w:spacing w:line="600" w:lineRule="auto"/>
            <w:rPr>
              <w:rFonts w:hint="eastAsia" w:eastAsia="宋体"/>
              <w:lang w:val="en-US" w:eastAsia="zh-CN"/>
            </w:rPr>
          </w:pPr>
          <w:r>
            <w:rPr>
              <w:rFonts w:hint="eastAsia"/>
            </w:rPr>
            <w:fldChar w:fldCharType="begin"/>
          </w:r>
          <w:r>
            <w:rPr>
              <w:rFonts w:hint="eastAsia"/>
            </w:rPr>
            <w:instrText xml:space="preserve"> HYPERLINK \l _Toc22299 </w:instrText>
          </w:r>
          <w:r>
            <w:rPr>
              <w:rFonts w:hint="eastAsia"/>
            </w:rPr>
            <w:fldChar w:fldCharType="separate"/>
          </w:r>
          <w:r>
            <w:rPr>
              <w:rFonts w:hint="eastAsia"/>
            </w:rPr>
            <w:t>第五章 评标方法与评标标准</w:t>
          </w:r>
          <w:r>
            <w:tab/>
          </w:r>
          <w:r>
            <w:rPr>
              <w:rFonts w:hint="eastAsia"/>
              <w:lang w:val="en-US" w:eastAsia="zh-CN"/>
            </w:rPr>
            <w:t>4</w:t>
          </w:r>
          <w:r>
            <w:rPr>
              <w:rFonts w:hint="eastAsia"/>
            </w:rPr>
            <w:fldChar w:fldCharType="end"/>
          </w:r>
          <w:r>
            <w:rPr>
              <w:rFonts w:hint="eastAsia"/>
              <w:lang w:val="en-US" w:eastAsia="zh-CN"/>
            </w:rPr>
            <w:t>4</w:t>
          </w:r>
        </w:p>
        <w:p w14:paraId="359F59EF">
          <w:pPr>
            <w:pStyle w:val="24"/>
            <w:tabs>
              <w:tab w:val="right" w:leader="dot" w:pos="9069"/>
            </w:tabs>
            <w:spacing w:line="600" w:lineRule="auto"/>
            <w:rPr>
              <w:rFonts w:hint="eastAsia" w:eastAsia="宋体"/>
              <w:lang w:val="en-US" w:eastAsia="zh-CN"/>
            </w:rPr>
          </w:pPr>
          <w:r>
            <w:rPr>
              <w:rFonts w:hint="eastAsia"/>
            </w:rPr>
            <w:fldChar w:fldCharType="begin"/>
          </w:r>
          <w:r>
            <w:rPr>
              <w:rFonts w:hint="eastAsia"/>
            </w:rPr>
            <w:instrText xml:space="preserve"> HYPERLINK \l _Toc20724 </w:instrText>
          </w:r>
          <w:r>
            <w:rPr>
              <w:rFonts w:hint="eastAsia"/>
            </w:rPr>
            <w:fldChar w:fldCharType="separate"/>
          </w:r>
          <w:r>
            <w:rPr>
              <w:rFonts w:hint="eastAsia"/>
            </w:rPr>
            <w:t>第六章 投标文件格式</w:t>
          </w:r>
          <w:r>
            <w:tab/>
          </w:r>
          <w:r>
            <w:rPr>
              <w:rFonts w:hint="eastAsia"/>
              <w:lang w:val="en-US" w:eastAsia="zh-CN"/>
            </w:rPr>
            <w:t>4</w:t>
          </w:r>
          <w:r>
            <w:rPr>
              <w:rFonts w:hint="eastAsia"/>
            </w:rPr>
            <w:fldChar w:fldCharType="end"/>
          </w:r>
          <w:r>
            <w:rPr>
              <w:rFonts w:hint="eastAsia"/>
              <w:lang w:val="en-US" w:eastAsia="zh-CN"/>
            </w:rPr>
            <w:t>8</w:t>
          </w:r>
        </w:p>
        <w:p w14:paraId="6A229DF7">
          <w:pPr>
            <w:pStyle w:val="190"/>
            <w:rPr>
              <w:rFonts w:hint="eastAsia" w:ascii="仿宋_GB2312" w:hAnsi="Times New Roman" w:eastAsia="仿宋_GB2312" w:cs="仿宋_GB2312"/>
              <w:color w:val="000000"/>
              <w:sz w:val="24"/>
              <w:szCs w:val="24"/>
              <w:lang w:val="en-US" w:eastAsia="zh-CN" w:bidi="ar-SA"/>
            </w:rPr>
          </w:pPr>
          <w:r>
            <w:rPr>
              <w:rFonts w:hint="eastAsia"/>
            </w:rPr>
            <w:fldChar w:fldCharType="end"/>
          </w:r>
        </w:p>
      </w:sdtContent>
    </w:sdt>
    <w:p w14:paraId="51688183">
      <w:pPr>
        <w:pStyle w:val="190"/>
        <w:rPr>
          <w:rFonts w:hint="eastAsia" w:ascii="仿宋_GB2312" w:hAnsi="Times New Roman" w:eastAsia="仿宋_GB2312" w:cs="仿宋_GB2312"/>
          <w:color w:val="000000"/>
          <w:sz w:val="24"/>
          <w:szCs w:val="24"/>
          <w:lang w:val="en-US" w:eastAsia="zh-CN" w:bidi="ar-SA"/>
        </w:rPr>
      </w:pPr>
    </w:p>
    <w:p w14:paraId="652F2DDF">
      <w:pPr>
        <w:rPr>
          <w:rFonts w:ascii="黑体" w:hAnsi="Arial" w:eastAsia="黑体"/>
          <w:b/>
          <w:sz w:val="44"/>
          <w:highlight w:val="none"/>
        </w:rPr>
      </w:pPr>
      <w:r>
        <w:rPr>
          <w:rFonts w:ascii="黑体" w:hAnsi="Arial" w:eastAsia="黑体"/>
          <w:b/>
          <w:sz w:val="44"/>
          <w:highlight w:val="none"/>
        </w:rPr>
        <w:br w:type="page" w:clear="all"/>
      </w:r>
    </w:p>
    <w:p w14:paraId="5BE2AF7E">
      <w:pPr>
        <w:pStyle w:val="2"/>
        <w:jc w:val="center"/>
        <w:rPr>
          <w:rFonts w:hint="eastAsia" w:ascii="黑体" w:hAnsi="黑体" w:eastAsia="黑体" w:cs="黑体"/>
          <w:sz w:val="44"/>
          <w:szCs w:val="44"/>
        </w:rPr>
      </w:pPr>
      <w:bookmarkStart w:id="2" w:name="_Toc8511"/>
      <w:bookmarkStart w:id="3" w:name="_Toc16633"/>
      <w:r>
        <w:rPr>
          <w:rFonts w:hint="eastAsia" w:ascii="黑体" w:hAnsi="黑体" w:eastAsia="黑体" w:cs="黑体"/>
          <w:sz w:val="44"/>
          <w:szCs w:val="44"/>
        </w:rPr>
        <w:t>第一章 招标公告</w:t>
      </w:r>
      <w:bookmarkEnd w:id="2"/>
      <w:bookmarkEnd w:id="3"/>
    </w:p>
    <w:p w14:paraId="77881EF3">
      <w:pPr>
        <w:pageBreakBefore w:val="0"/>
        <w:pBdr>
          <w:top w:val="single" w:color="000000" w:sz="4" w:space="0"/>
          <w:left w:val="single" w:color="000000" w:sz="4" w:space="0"/>
          <w:bottom w:val="single" w:color="000000" w:sz="4" w:space="0"/>
          <w:right w:val="single" w:color="000000" w:sz="4" w:space="0"/>
        </w:pBdr>
        <w:spacing w:before="0" w:after="0" w:line="430" w:lineRule="atLeast"/>
        <w:ind w:left="0" w:right="0" w:firstLine="5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46975430">
      <w:pPr>
        <w:pageBreakBefore w:val="0"/>
        <w:pBdr>
          <w:top w:val="single" w:color="000000" w:sz="4" w:space="0"/>
          <w:left w:val="single" w:color="000000" w:sz="4" w:space="0"/>
          <w:bottom w:val="single" w:color="000000" w:sz="4" w:space="0"/>
          <w:right w:val="single" w:color="000000" w:sz="4" w:space="0"/>
        </w:pBdr>
        <w:spacing w:before="0" w:after="0" w:line="430" w:lineRule="atLeast"/>
        <w:ind w:left="0" w:right="0" w:firstLine="5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w:t>
      </w:r>
      <w:r>
        <w:rPr>
          <w:rFonts w:hint="eastAsia" w:ascii="宋体" w:hAnsi="宋体" w:cs="宋体"/>
          <w:color w:val="000000"/>
          <w:sz w:val="24"/>
          <w:szCs w:val="24"/>
          <w:highlight w:val="none"/>
          <w:u w:val="single"/>
          <w:lang w:eastAsia="zh-CN"/>
        </w:rPr>
        <w:t>盐城市亭湖区南洋镇青墩卫生院物业管理服务</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的潜在投标人应在“苏采云”系统内免费下载获取招标文件（投标人必须在苏采云系统中获取招标文件，方能参与政府采购项目），并于</w:t>
      </w:r>
      <w:r>
        <w:rPr>
          <w:rFonts w:hint="eastAsia" w:ascii="宋体" w:hAnsi="宋体" w:eastAsia="宋体" w:cs="宋体"/>
          <w:b/>
          <w:color w:val="000000"/>
          <w:sz w:val="24"/>
          <w:szCs w:val="24"/>
          <w:highlight w:val="none"/>
          <w:u w:val="single"/>
        </w:rPr>
        <w:t>202</w:t>
      </w:r>
      <w:r>
        <w:rPr>
          <w:rFonts w:hint="eastAsia" w:ascii="宋体" w:hAnsi="宋体" w:cs="宋体"/>
          <w:b/>
          <w:color w:val="000000"/>
          <w:sz w:val="24"/>
          <w:szCs w:val="24"/>
          <w:highlight w:val="none"/>
          <w:u w:val="single"/>
          <w:lang w:val="en-US" w:eastAsia="zh-CN"/>
        </w:rPr>
        <w:t>6</w:t>
      </w:r>
      <w:r>
        <w:rPr>
          <w:rFonts w:hint="eastAsia" w:ascii="宋体" w:hAnsi="宋体" w:eastAsia="宋体" w:cs="宋体"/>
          <w:b/>
          <w:color w:val="000000"/>
          <w:sz w:val="24"/>
          <w:szCs w:val="24"/>
          <w:highlight w:val="none"/>
          <w:u w:val="single"/>
        </w:rPr>
        <w:t>年</w:t>
      </w:r>
      <w:r>
        <w:rPr>
          <w:rFonts w:hint="eastAsia" w:ascii="宋体" w:hAnsi="宋体" w:cs="宋体"/>
          <w:b/>
          <w:color w:val="000000"/>
          <w:sz w:val="24"/>
          <w:szCs w:val="24"/>
          <w:highlight w:val="none"/>
          <w:u w:val="single"/>
          <w:lang w:val="en-US" w:eastAsia="zh-CN"/>
        </w:rPr>
        <w:t>11</w:t>
      </w:r>
      <w:r>
        <w:rPr>
          <w:rFonts w:hint="eastAsia" w:ascii="宋体" w:hAnsi="宋体" w:eastAsia="宋体" w:cs="宋体"/>
          <w:b/>
          <w:color w:val="000000"/>
          <w:sz w:val="24"/>
          <w:szCs w:val="24"/>
          <w:highlight w:val="none"/>
          <w:u w:val="single"/>
        </w:rPr>
        <w:t>月</w:t>
      </w:r>
      <w:r>
        <w:rPr>
          <w:rFonts w:hint="eastAsia" w:ascii="宋体" w:hAnsi="宋体" w:cs="宋体"/>
          <w:b/>
          <w:color w:val="000000"/>
          <w:sz w:val="24"/>
          <w:szCs w:val="24"/>
          <w:highlight w:val="none"/>
          <w:u w:val="single"/>
          <w:lang w:val="en-US" w:eastAsia="zh-CN"/>
        </w:rPr>
        <w:t>3</w:t>
      </w:r>
      <w:r>
        <w:rPr>
          <w:rFonts w:hint="eastAsia" w:ascii="宋体" w:hAnsi="宋体" w:eastAsia="宋体" w:cs="宋体"/>
          <w:b/>
          <w:color w:val="000000"/>
          <w:sz w:val="24"/>
          <w:szCs w:val="24"/>
          <w:highlight w:val="none"/>
          <w:u w:val="single"/>
        </w:rPr>
        <w:t>日</w:t>
      </w:r>
      <w:r>
        <w:rPr>
          <w:rFonts w:hint="eastAsia" w:ascii="宋体" w:hAnsi="宋体" w:eastAsia="宋体" w:cs="宋体"/>
          <w:b/>
          <w:color w:val="000000"/>
          <w:sz w:val="24"/>
          <w:szCs w:val="24"/>
          <w:highlight w:val="none"/>
          <w:u w:val="single"/>
          <w:lang w:val="en-US" w:eastAsia="zh-CN"/>
        </w:rPr>
        <w:t xml:space="preserve"> 9 </w:t>
      </w:r>
      <w:r>
        <w:rPr>
          <w:rFonts w:hint="eastAsia" w:ascii="宋体" w:hAnsi="宋体" w:eastAsia="宋体" w:cs="宋体"/>
          <w:b/>
          <w:color w:val="000000"/>
          <w:sz w:val="24"/>
          <w:szCs w:val="24"/>
          <w:highlight w:val="none"/>
          <w:u w:val="single"/>
        </w:rPr>
        <w:t>点</w:t>
      </w:r>
      <w:r>
        <w:rPr>
          <w:rFonts w:hint="eastAsia" w:ascii="宋体" w:hAnsi="宋体" w:eastAsia="宋体" w:cs="宋体"/>
          <w:b/>
          <w:color w:val="000000"/>
          <w:sz w:val="24"/>
          <w:szCs w:val="24"/>
          <w:highlight w:val="none"/>
          <w:u w:val="single"/>
          <w:lang w:val="en-US" w:eastAsia="zh-CN"/>
        </w:rPr>
        <w:t>0</w:t>
      </w:r>
      <w:r>
        <w:rPr>
          <w:rFonts w:hint="eastAsia" w:ascii="宋体" w:hAnsi="宋体" w:eastAsia="宋体" w:cs="宋体"/>
          <w:b/>
          <w:color w:val="000000"/>
          <w:sz w:val="24"/>
          <w:szCs w:val="24"/>
          <w:highlight w:val="none"/>
          <w:u w:val="single"/>
        </w:rPr>
        <w:t>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A66E687">
      <w:pPr>
        <w:pStyle w:val="3"/>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一、项目基本情况</w:t>
      </w:r>
    </w:p>
    <w:p w14:paraId="7B9D251C">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auto"/>
          <w:sz w:val="24"/>
          <w:szCs w:val="24"/>
          <w:highlight w:val="none"/>
        </w:rPr>
        <w:t>、</w:t>
      </w:r>
      <w:r>
        <w:rPr>
          <w:rFonts w:hint="eastAsia" w:ascii="宋体" w:hAnsi="宋体" w:eastAsia="宋体" w:cs="宋体"/>
          <w:color w:val="0000FF"/>
          <w:sz w:val="24"/>
          <w:szCs w:val="24"/>
          <w:highlight w:val="none"/>
        </w:rPr>
        <w:t>项目编号：JSZC-320902-JZCG-G2026-00</w:t>
      </w:r>
      <w:r>
        <w:rPr>
          <w:rFonts w:hint="eastAsia" w:ascii="宋体" w:hAnsi="宋体" w:cs="宋体"/>
          <w:color w:val="0000FF"/>
          <w:sz w:val="24"/>
          <w:szCs w:val="24"/>
          <w:highlight w:val="none"/>
          <w:lang w:val="en-US" w:eastAsia="zh-CN"/>
        </w:rPr>
        <w:t>56</w:t>
      </w:r>
    </w:p>
    <w:p w14:paraId="558910E7">
      <w:pPr>
        <w:pageBreakBefore w:val="0"/>
        <w:pBdr>
          <w:top w:val="none" w:color="000000" w:sz="0" w:space="0"/>
          <w:left w:val="none" w:color="000000" w:sz="0" w:space="0"/>
          <w:bottom w:val="none" w:color="000000" w:sz="0" w:space="0"/>
          <w:right w:val="none" w:color="000000" w:sz="0" w:space="0"/>
        </w:pBdr>
        <w:spacing w:before="0" w:after="0" w:line="360" w:lineRule="auto"/>
        <w:ind w:left="479" w:right="0" w:firstLine="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2、项目名称：</w:t>
      </w:r>
      <w:r>
        <w:rPr>
          <w:rFonts w:hint="eastAsia" w:ascii="宋体" w:hAnsi="宋体" w:cs="宋体"/>
          <w:color w:val="000000"/>
          <w:sz w:val="24"/>
          <w:szCs w:val="24"/>
          <w:highlight w:val="none"/>
          <w:lang w:eastAsia="zh-CN"/>
        </w:rPr>
        <w:t>盐城市亭湖区南洋镇青墩卫生院物业管理服务</w:t>
      </w:r>
    </w:p>
    <w:p w14:paraId="30E3B3BD">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3、采购方式：公开招标</w:t>
      </w:r>
    </w:p>
    <w:p w14:paraId="3EE418CF">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cs="宋体"/>
          <w:color w:val="000000"/>
          <w:sz w:val="24"/>
          <w:szCs w:val="24"/>
          <w:highlight w:val="none"/>
          <w:lang w:val="en-US" w:eastAsia="zh-CN"/>
        </w:rPr>
        <w:t>38</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lang w:val="en-US" w:eastAsia="zh-CN"/>
        </w:rPr>
        <w:t>。</w:t>
      </w:r>
    </w:p>
    <w:p w14:paraId="0FCF111C">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w:t>
      </w:r>
      <w:r>
        <w:rPr>
          <w:rFonts w:hint="eastAsia" w:ascii="宋体" w:hAnsi="宋体" w:cs="宋体"/>
          <w:color w:val="000000"/>
          <w:sz w:val="24"/>
          <w:szCs w:val="24"/>
          <w:highlight w:val="none"/>
          <w:lang w:val="en-US" w:eastAsia="zh-CN"/>
        </w:rPr>
        <w:t>38</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投标报价高于最高限价的，采购人将不予接受，视为无效标书。</w:t>
      </w:r>
    </w:p>
    <w:p w14:paraId="7FA6F46D">
      <w:pPr>
        <w:spacing w:after="0"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cs="宋体"/>
          <w:color w:val="000000"/>
          <w:sz w:val="24"/>
          <w:szCs w:val="24"/>
          <w:highlight w:val="none"/>
          <w:lang w:eastAsia="zh-CN"/>
        </w:rPr>
        <w:t>盐城市亭湖区南洋镇青墩卫生院物业管理服务，服务主要内容及人员，包含保安人员3人、保洁人员4人，详见招标采购需求（详细内容见本招标文件第四章），招标人保留对服务内容进行适当调整的权利。</w:t>
      </w:r>
    </w:p>
    <w:p w14:paraId="15C533CF">
      <w:pPr>
        <w:spacing w:after="0" w:line="360" w:lineRule="auto"/>
        <w:ind w:firstLine="480"/>
        <w:rPr>
          <w:rFonts w:hint="eastAsia"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7</w:t>
      </w:r>
      <w:r>
        <w:rPr>
          <w:rFonts w:hint="eastAsia" w:ascii="宋体" w:hAnsi="宋体" w:eastAsia="宋体" w:cs="宋体"/>
          <w:color w:val="0000FF"/>
          <w:sz w:val="24"/>
          <w:szCs w:val="24"/>
          <w:highlight w:val="none"/>
        </w:rPr>
        <w:t>、</w:t>
      </w:r>
      <w:r>
        <w:rPr>
          <w:rFonts w:hint="eastAsia" w:ascii="宋体" w:hAnsi="宋体" w:cs="宋体"/>
          <w:color w:val="0000FF"/>
          <w:sz w:val="24"/>
          <w:szCs w:val="24"/>
          <w:highlight w:val="none"/>
          <w:lang w:eastAsia="zh-CN"/>
        </w:rPr>
        <w:t>服务期限: 物业管理服务合同期限一年，开始时间以签订合同日期为准。</w:t>
      </w:r>
    </w:p>
    <w:p w14:paraId="3D6CB660">
      <w:pPr>
        <w:spacing w:after="0"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lang w:eastAsia="zh-CN"/>
        </w:rPr>
        <w:t>、服务质量要</w:t>
      </w:r>
      <w:r>
        <w:rPr>
          <w:rFonts w:hint="eastAsia" w:ascii="宋体" w:hAnsi="宋体" w:eastAsia="宋体" w:cs="宋体"/>
          <w:color w:val="000000"/>
          <w:sz w:val="24"/>
          <w:szCs w:val="24"/>
          <w:highlight w:val="none"/>
          <w:lang w:val="en-US" w:eastAsia="zh-CN"/>
        </w:rPr>
        <w:t>求：投标人中标后按采购人的委托管理事项和管理服务考核细则进行管理，服务人员能很好地履行岗位职责并完成院方分配的相关工作，服从院方管理，工作认真负责，服务质量能让院方满意。</w:t>
      </w:r>
    </w:p>
    <w:p w14:paraId="67738AA4">
      <w:pPr>
        <w:pageBreakBefore w:val="0"/>
        <w:pBdr>
          <w:top w:val="none" w:color="000000" w:sz="0" w:space="0"/>
          <w:left w:val="none" w:color="000000" w:sz="0" w:space="0"/>
          <w:bottom w:val="none" w:color="000000" w:sz="0" w:space="0"/>
          <w:right w:val="none" w:color="000000" w:sz="0" w:space="0"/>
        </w:pBdr>
        <w:spacing w:before="0" w:after="0" w:line="360" w:lineRule="auto"/>
        <w:ind w:left="479" w:right="0" w:firstLine="0"/>
        <w:jc w:val="both"/>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、本项目（是/否）接受联合体投标：否。</w:t>
      </w:r>
    </w:p>
    <w:p w14:paraId="75B78D7D">
      <w:pPr>
        <w:pageBreakBefore w:val="0"/>
        <w:pBdr>
          <w:top w:val="none" w:color="000000" w:sz="0" w:space="0"/>
          <w:left w:val="none" w:color="000000" w:sz="0" w:space="0"/>
          <w:bottom w:val="none" w:color="000000" w:sz="0" w:space="0"/>
          <w:right w:val="none" w:color="000000" w:sz="0" w:space="0"/>
        </w:pBdr>
        <w:spacing w:before="0" w:after="0" w:line="360" w:lineRule="auto"/>
        <w:ind w:left="479" w:right="0" w:firstLine="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二、申请人的资格要求：</w:t>
      </w:r>
    </w:p>
    <w:p w14:paraId="0B9083A8">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2E8811C8">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法人或者其他组织的营业执照等证明文件，</w:t>
      </w:r>
      <w:r>
        <w:rPr>
          <w:rFonts w:hint="eastAsia" w:ascii="宋体" w:hAnsi="宋体" w:cs="宋体"/>
          <w:color w:val="000000"/>
          <w:sz w:val="24"/>
          <w:szCs w:val="24"/>
          <w:highlight w:val="none"/>
          <w:lang w:val="en-US" w:eastAsia="zh-CN"/>
        </w:rPr>
        <w:t>或</w:t>
      </w:r>
      <w:r>
        <w:rPr>
          <w:rFonts w:hint="eastAsia" w:ascii="宋体" w:hAnsi="宋体" w:eastAsia="宋体" w:cs="宋体"/>
          <w:color w:val="000000"/>
          <w:sz w:val="24"/>
          <w:szCs w:val="24"/>
          <w:highlight w:val="none"/>
        </w:rPr>
        <w:t>自然人的身份证明；</w:t>
      </w:r>
    </w:p>
    <w:p w14:paraId="0D08EF6E">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1.2上一年度的财务状况报表（至少提供资产负债表、利润表、现金流量表，投标人成立不满一年无需提供）；</w:t>
      </w:r>
    </w:p>
    <w:p w14:paraId="666DE46B">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43320B66">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1.4具备履行合同所必需的设备和专业技术能力的书面声明；</w:t>
      </w:r>
    </w:p>
    <w:p w14:paraId="2F612D24">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1.5参加政府采购活动前3年内在经营活动中没有重大违法记录的书面声明。</w:t>
      </w:r>
    </w:p>
    <w:p w14:paraId="130256A5">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1.6法律、行政法规规定的其他条件。</w:t>
      </w:r>
    </w:p>
    <w:p w14:paraId="2ACB3332">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223CF17">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1.8单位负责人为同一人或者存在直接控股、管理关系的不同供应商，不得参加同一合同项下的政府采购活动。</w:t>
      </w:r>
    </w:p>
    <w:p w14:paraId="1C306DAB">
      <w:pPr>
        <w:pageBreakBefore w:val="0"/>
        <w:numPr>
          <w:ilvl w:val="0"/>
          <w:numId w:val="1"/>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2"/>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落实政府采购政策需满足的资格要求：</w:t>
      </w:r>
      <w:r>
        <w:rPr>
          <w:rFonts w:hint="eastAsia" w:ascii="宋体" w:hAnsi="宋体" w:eastAsia="宋体" w:cs="宋体"/>
          <w:b/>
          <w:bCs/>
          <w:color w:val="000000"/>
          <w:sz w:val="24"/>
          <w:szCs w:val="24"/>
          <w:highlight w:val="none"/>
        </w:rPr>
        <w:t>本项目专门面向中小微企业采购。采购标的的所属行业为物业管理，投标人需按照招标文件的要求提供相应的《企业声明函》。企业标准请参照《关于印发中小企业划型标准规定的通知》（工信部联企业〔2011〕300号）文件规定自行填写。</w:t>
      </w:r>
    </w:p>
    <w:p w14:paraId="4BFB7576">
      <w:pPr>
        <w:pageBreakBefore w:val="0"/>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82" w:right="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3.本项目的特定资格要求：无。</w:t>
      </w:r>
    </w:p>
    <w:p w14:paraId="1604D6CE">
      <w:pPr>
        <w:pageBreakBefore w:val="0"/>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82" w:right="0"/>
        <w:rPr>
          <w:rFonts w:hint="eastAsia" w:ascii="宋体" w:hAnsi="宋体" w:eastAsia="宋体" w:cs="宋体"/>
          <w:sz w:val="24"/>
          <w:szCs w:val="24"/>
          <w:highlight w:val="none"/>
          <w:lang w:eastAsia="zh-CN"/>
        </w:rPr>
      </w:pPr>
      <w:r>
        <w:rPr>
          <w:rFonts w:hint="eastAsia" w:ascii="宋体" w:hAnsi="宋体" w:eastAsia="宋体" w:cs="宋体"/>
          <w:b/>
          <w:color w:val="000000"/>
          <w:sz w:val="24"/>
          <w:szCs w:val="24"/>
          <w:highlight w:val="none"/>
        </w:rPr>
        <w:t>三、获取</w:t>
      </w:r>
      <w:r>
        <w:rPr>
          <w:rFonts w:hint="eastAsia" w:ascii="宋体" w:hAnsi="宋体" w:eastAsia="宋体" w:cs="宋体"/>
          <w:b/>
          <w:color w:val="000000"/>
          <w:sz w:val="24"/>
          <w:szCs w:val="24"/>
          <w:highlight w:val="none"/>
          <w:lang w:eastAsia="zh-CN"/>
        </w:rPr>
        <w:t>采购文件</w:t>
      </w:r>
    </w:p>
    <w:p w14:paraId="2D3C7928">
      <w:pPr>
        <w:pageBreakBefore w:val="0"/>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82" w:right="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1.时间：自招标文件公告发布之日起5个工作日。</w:t>
      </w:r>
    </w:p>
    <w:p w14:paraId="29486AFC">
      <w:pPr>
        <w:pageBreakBefore w:val="0"/>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82" w:right="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2.地点：“苏采云”系统内免费下载（投标人必须在苏采云系统中获取招标文件，方能参与政府采购项目）。</w:t>
      </w:r>
    </w:p>
    <w:p w14:paraId="093F6C8B">
      <w:pPr>
        <w:pageBreakBefore w:val="0"/>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82" w:right="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3.方式：本项目采用网上注册登记方式。 </w:t>
      </w:r>
    </w:p>
    <w:p w14:paraId="1026669D">
      <w:pPr>
        <w:pageBreakBefore w:val="0"/>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82" w:right="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4.售价：0元。</w:t>
      </w:r>
    </w:p>
    <w:p w14:paraId="30A19C84">
      <w:pPr>
        <w:pageBreakBefore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2"/>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575EEFCB">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lang w:val="en-US" w:eastAsia="zh-CN"/>
        </w:rPr>
        <w:t>1、时间：</w:t>
      </w:r>
      <w:r>
        <w:rPr>
          <w:rFonts w:hint="eastAsia" w:ascii="宋体" w:hAnsi="宋体" w:cs="宋体"/>
          <w:b/>
          <w:bCs w:val="0"/>
          <w:color w:val="0000FF"/>
          <w:sz w:val="24"/>
          <w:szCs w:val="24"/>
          <w:highlight w:val="none"/>
          <w:lang w:eastAsia="zh-CN"/>
        </w:rPr>
        <w:t>2026</w:t>
      </w:r>
      <w:r>
        <w:rPr>
          <w:rFonts w:hint="eastAsia" w:ascii="宋体" w:hAnsi="宋体" w:eastAsia="宋体" w:cs="宋体"/>
          <w:b/>
          <w:bCs w:val="0"/>
          <w:color w:val="0000FF"/>
          <w:sz w:val="24"/>
          <w:szCs w:val="24"/>
          <w:highlight w:val="none"/>
        </w:rPr>
        <w:t>年</w:t>
      </w:r>
      <w:r>
        <w:rPr>
          <w:rFonts w:hint="eastAsia" w:ascii="宋体" w:hAnsi="宋体" w:cs="宋体"/>
          <w:b/>
          <w:bCs w:val="0"/>
          <w:color w:val="0000FF"/>
          <w:sz w:val="24"/>
          <w:szCs w:val="24"/>
          <w:highlight w:val="none"/>
          <w:lang w:val="en-US" w:eastAsia="zh-CN"/>
        </w:rPr>
        <w:t xml:space="preserve"> 11</w:t>
      </w:r>
      <w:r>
        <w:rPr>
          <w:rFonts w:hint="eastAsia" w:ascii="宋体" w:hAnsi="宋体" w:eastAsia="宋体" w:cs="宋体"/>
          <w:b/>
          <w:bCs w:val="0"/>
          <w:color w:val="0000FF"/>
          <w:sz w:val="24"/>
          <w:szCs w:val="24"/>
          <w:highlight w:val="none"/>
        </w:rPr>
        <w:t>月</w:t>
      </w:r>
      <w:r>
        <w:rPr>
          <w:rFonts w:hint="eastAsia" w:ascii="宋体" w:hAnsi="宋体" w:cs="宋体"/>
          <w:b/>
          <w:bCs w:val="0"/>
          <w:color w:val="0000FF"/>
          <w:sz w:val="24"/>
          <w:szCs w:val="24"/>
          <w:highlight w:val="none"/>
          <w:lang w:val="en-US" w:eastAsia="zh-CN"/>
        </w:rPr>
        <w:t xml:space="preserve">3 </w:t>
      </w:r>
      <w:r>
        <w:rPr>
          <w:rFonts w:hint="eastAsia" w:ascii="宋体" w:hAnsi="宋体" w:eastAsia="宋体" w:cs="宋体"/>
          <w:b/>
          <w:bCs w:val="0"/>
          <w:color w:val="0000FF"/>
          <w:sz w:val="24"/>
          <w:szCs w:val="24"/>
          <w:highlight w:val="none"/>
        </w:rPr>
        <w:t>日</w:t>
      </w:r>
      <w:r>
        <w:rPr>
          <w:rFonts w:hint="eastAsia" w:ascii="宋体" w:hAnsi="宋体" w:eastAsia="宋体" w:cs="宋体"/>
          <w:b/>
          <w:bCs w:val="0"/>
          <w:color w:val="0000FF"/>
          <w:sz w:val="24"/>
          <w:szCs w:val="24"/>
          <w:highlight w:val="none"/>
          <w:lang w:val="en-US" w:eastAsia="zh-CN"/>
        </w:rPr>
        <w:t xml:space="preserve"> </w:t>
      </w:r>
      <w:r>
        <w:rPr>
          <w:rFonts w:hint="eastAsia" w:ascii="宋体" w:hAnsi="宋体" w:cs="宋体"/>
          <w:b/>
          <w:bCs w:val="0"/>
          <w:color w:val="0000FF"/>
          <w:sz w:val="24"/>
          <w:szCs w:val="24"/>
          <w:highlight w:val="none"/>
          <w:lang w:val="en-US" w:eastAsia="zh-CN"/>
        </w:rPr>
        <w:t>9</w:t>
      </w:r>
      <w:r>
        <w:rPr>
          <w:rFonts w:hint="eastAsia" w:ascii="宋体" w:hAnsi="宋体" w:eastAsia="宋体" w:cs="宋体"/>
          <w:b/>
          <w:bCs w:val="0"/>
          <w:color w:val="0000FF"/>
          <w:sz w:val="24"/>
          <w:szCs w:val="24"/>
          <w:highlight w:val="none"/>
        </w:rPr>
        <w:t>点</w:t>
      </w:r>
      <w:r>
        <w:rPr>
          <w:rFonts w:hint="eastAsia" w:ascii="宋体" w:hAnsi="宋体" w:eastAsia="宋体" w:cs="宋体"/>
          <w:b/>
          <w:bCs w:val="0"/>
          <w:color w:val="0000FF"/>
          <w:sz w:val="24"/>
          <w:szCs w:val="24"/>
          <w:highlight w:val="none"/>
          <w:lang w:val="en-US" w:eastAsia="zh-CN"/>
        </w:rPr>
        <w:t>0</w:t>
      </w:r>
      <w:r>
        <w:rPr>
          <w:rFonts w:hint="eastAsia" w:ascii="宋体" w:hAnsi="宋体" w:eastAsia="宋体" w:cs="宋体"/>
          <w:b/>
          <w:bCs w:val="0"/>
          <w:color w:val="0000FF"/>
          <w:sz w:val="24"/>
          <w:szCs w:val="24"/>
          <w:highlight w:val="none"/>
        </w:rPr>
        <w:t>0分（北京时间）</w:t>
      </w:r>
    </w:p>
    <w:p w14:paraId="75B0FC85">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rPr>
        <w:t>地点：苏采云“不见面”开标大厅。</w:t>
      </w:r>
    </w:p>
    <w:p w14:paraId="024A21FC">
      <w:pPr>
        <w:pageBreakBefore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82"/>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五、公告期限</w:t>
      </w:r>
    </w:p>
    <w:p w14:paraId="5A5D9CD1">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自本公告发布之日起5个工作日。</w:t>
      </w:r>
    </w:p>
    <w:p w14:paraId="37DCEB54">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3EA994F6">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38E6D13">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44C3C12D">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潜在供应商访问电子招标响应交易平台的网络地址和方法：</w:t>
      </w:r>
    </w:p>
    <w:p w14:paraId="3507F3EC">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BC4EF45">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2.2潜在投标人访问“苏采云”系统方法：江苏省政府采购网首页-“苏采云”链接。 </w:t>
      </w:r>
    </w:p>
    <w:p w14:paraId="574D7B1A">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2.3采购文件（后缀名为“.kedt”）、供应商操作手册及政府采购客户端 工具可通过“苏采云”系统相应链接进行下载。 </w:t>
      </w:r>
    </w:p>
    <w:p w14:paraId="14CE30FD">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2.4采购代理机构将数据电文形式的采购文件加载至“苏采云”系统，供潜在供应商下载或者查阅。 </w:t>
      </w:r>
    </w:p>
    <w:p w14:paraId="44F50167">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2.5请潜在投标单位提前安装相应的控件（详见《“苏采云”系统供应商操作手册》）并使用谷歌浏览器登录“苏采云”系统参与不见面开评标。 </w:t>
      </w:r>
    </w:p>
    <w:p w14:paraId="00FD0A94">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如潜在投标人未按上述要求操作，将自行承担所产生的风险。</w:t>
      </w:r>
    </w:p>
    <w:p w14:paraId="3CAA3385">
      <w:pPr>
        <w:keepNext w:val="0"/>
        <w:keepLines w:val="0"/>
        <w:pageBreakBefore w:val="0"/>
        <w:widowControl/>
        <w:spacing w:line="500" w:lineRule="exact"/>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3.有关本次招标的事项若存在变动或修改，敬请及时关注盐城市亭湖区公共资源交易中心在“中国政府采购网”“江苏政府采购网”“盐城市政府采购网”发布的更正公告。</w:t>
      </w:r>
    </w:p>
    <w:p w14:paraId="1186C2A4">
      <w:pPr>
        <w:keepNext w:val="0"/>
        <w:keepLines w:val="0"/>
        <w:pageBreakBefore w:val="0"/>
        <w:widowControl/>
        <w:spacing w:line="50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4.本次招标不收取投标保证金，不收取质量保证金</w:t>
      </w:r>
      <w:r>
        <w:rPr>
          <w:rFonts w:hint="eastAsia" w:ascii="宋体" w:hAnsi="宋体" w:eastAsia="宋体" w:cs="宋体"/>
          <w:color w:val="auto"/>
          <w:sz w:val="24"/>
          <w:szCs w:val="24"/>
        </w:rPr>
        <w:t>。</w:t>
      </w:r>
    </w:p>
    <w:p w14:paraId="07E20EDA">
      <w:pPr>
        <w:pStyle w:val="3"/>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七、对本次招标提出询问，请按以下方式联系。</w:t>
      </w:r>
    </w:p>
    <w:p w14:paraId="1C33F0E7">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1、采购人信息</w:t>
      </w:r>
    </w:p>
    <w:p w14:paraId="4A84312E">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名    称：</w:t>
      </w:r>
      <w:r>
        <w:rPr>
          <w:rFonts w:hint="eastAsia" w:ascii="宋体" w:hAnsi="宋体" w:cs="宋体"/>
          <w:color w:val="000000"/>
          <w:sz w:val="24"/>
          <w:szCs w:val="24"/>
          <w:highlight w:val="none"/>
          <w:lang w:eastAsia="zh-CN"/>
        </w:rPr>
        <w:t>盐城市亭湖区南洋镇青墩卫生院</w:t>
      </w:r>
    </w:p>
    <w:p w14:paraId="6F9BCC7E">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地    址：盐城市亭湖区南洋镇青墩街道</w:t>
      </w:r>
    </w:p>
    <w:p w14:paraId="1E61EB8C">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联 系 人：王先生</w:t>
      </w:r>
    </w:p>
    <w:p w14:paraId="58FB2CAE">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联系电话：18261279418</w:t>
      </w:r>
    </w:p>
    <w:p w14:paraId="233AAEC6">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default" w:ascii="宋体" w:hAnsi="宋体" w:cs="宋体"/>
          <w:color w:val="000000"/>
          <w:sz w:val="24"/>
          <w:szCs w:val="24"/>
          <w:highlight w:val="none"/>
          <w:lang w:val="en-US" w:eastAsia="zh-CN"/>
        </w:rPr>
      </w:pPr>
    </w:p>
    <w:p w14:paraId="37C3CD5E">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2、采购代理机构信息</w:t>
      </w:r>
    </w:p>
    <w:p w14:paraId="31666A7A">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名  称：盐城市亭湖区公共资源交易中心</w:t>
      </w:r>
    </w:p>
    <w:p w14:paraId="21FED53F">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地　 址：盐城市亭湖区希望大道中路18号</w:t>
      </w:r>
    </w:p>
    <w:p w14:paraId="2D938A6A">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联 系人：纪先生</w:t>
      </w:r>
      <w:r>
        <w:rPr>
          <w:rFonts w:hint="eastAsia" w:ascii="宋体" w:hAnsi="宋体" w:cs="宋体"/>
          <w:color w:val="000000"/>
          <w:sz w:val="24"/>
          <w:szCs w:val="24"/>
          <w:highlight w:val="none"/>
          <w:lang w:eastAsia="zh-CN"/>
        </w:rPr>
        <w:tab/>
      </w:r>
    </w:p>
    <w:p w14:paraId="249C4FE5">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联系方式：</w:t>
      </w:r>
      <w:r>
        <w:rPr>
          <w:rFonts w:hint="eastAsia" w:ascii="宋体" w:hAnsi="宋体" w:cs="宋体"/>
          <w:color w:val="000000"/>
          <w:sz w:val="24"/>
          <w:szCs w:val="24"/>
          <w:highlight w:val="none"/>
          <w:lang w:val="en-US" w:eastAsia="zh-CN"/>
        </w:rPr>
        <w:t>0515-89802019</w:t>
      </w:r>
    </w:p>
    <w:p w14:paraId="5173C886">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3、项目联系方式</w:t>
      </w:r>
    </w:p>
    <w:p w14:paraId="2BBCB026">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联 系 人：</w:t>
      </w:r>
      <w:r>
        <w:rPr>
          <w:rFonts w:hint="eastAsia" w:ascii="宋体" w:hAnsi="宋体" w:cs="宋体"/>
          <w:color w:val="000000"/>
          <w:sz w:val="24"/>
          <w:szCs w:val="24"/>
          <w:highlight w:val="none"/>
          <w:lang w:eastAsia="zh-CN"/>
        </w:rPr>
        <w:t>纪先生</w:t>
      </w:r>
    </w:p>
    <w:p w14:paraId="2D21CFFB">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联系电话：</w:t>
      </w:r>
      <w:bookmarkStart w:id="4" w:name="_Toc157"/>
      <w:r>
        <w:rPr>
          <w:rFonts w:hint="eastAsia" w:ascii="宋体" w:hAnsi="宋体" w:cs="宋体"/>
          <w:color w:val="000000"/>
          <w:sz w:val="24"/>
          <w:szCs w:val="24"/>
          <w:highlight w:val="none"/>
          <w:lang w:val="en-US" w:eastAsia="zh-CN"/>
        </w:rPr>
        <w:t>0515-89802019</w:t>
      </w:r>
    </w:p>
    <w:p w14:paraId="32E2368B">
      <w:pPr>
        <w:pStyle w:val="35"/>
        <w:rPr>
          <w:rFonts w:hint="eastAsia" w:ascii="宋体" w:hAnsi="宋体" w:cs="宋体"/>
          <w:color w:val="000000"/>
          <w:sz w:val="21"/>
          <w:szCs w:val="21"/>
          <w:highlight w:val="none"/>
          <w:lang w:val="en-US" w:eastAsia="zh-CN"/>
        </w:rPr>
      </w:pPr>
    </w:p>
    <w:p w14:paraId="19F86F5A">
      <w:pPr>
        <w:pStyle w:val="28"/>
        <w:rPr>
          <w:rFonts w:hint="eastAsia" w:ascii="宋体" w:hAnsi="宋体" w:cs="宋体"/>
          <w:color w:val="000000"/>
          <w:sz w:val="21"/>
          <w:szCs w:val="21"/>
          <w:highlight w:val="none"/>
          <w:lang w:val="en-US" w:eastAsia="zh-CN"/>
        </w:rPr>
      </w:pPr>
    </w:p>
    <w:p w14:paraId="557F6EC2">
      <w:pPr>
        <w:rPr>
          <w:rFonts w:hint="eastAsia" w:ascii="宋体" w:hAnsi="宋体" w:cs="宋体"/>
          <w:color w:val="000000"/>
          <w:sz w:val="21"/>
          <w:szCs w:val="21"/>
          <w:highlight w:val="none"/>
          <w:lang w:val="en-US" w:eastAsia="zh-CN"/>
        </w:rPr>
      </w:pPr>
    </w:p>
    <w:p w14:paraId="263BADAD">
      <w:pPr>
        <w:pStyle w:val="35"/>
        <w:rPr>
          <w:rFonts w:hint="eastAsia" w:ascii="宋体" w:hAnsi="宋体" w:cs="宋体"/>
          <w:color w:val="000000"/>
          <w:sz w:val="21"/>
          <w:szCs w:val="21"/>
          <w:highlight w:val="none"/>
          <w:lang w:val="en-US" w:eastAsia="zh-CN"/>
        </w:rPr>
      </w:pPr>
    </w:p>
    <w:p w14:paraId="20AF62EA">
      <w:pPr>
        <w:pStyle w:val="28"/>
        <w:rPr>
          <w:rFonts w:hint="eastAsia" w:ascii="宋体" w:hAnsi="宋体" w:cs="宋体"/>
          <w:color w:val="000000"/>
          <w:sz w:val="21"/>
          <w:szCs w:val="21"/>
          <w:highlight w:val="none"/>
          <w:lang w:val="en-US" w:eastAsia="zh-CN"/>
        </w:rPr>
      </w:pPr>
    </w:p>
    <w:p w14:paraId="6253CB03">
      <w:pPr>
        <w:rPr>
          <w:rFonts w:hint="eastAsia" w:ascii="宋体" w:hAnsi="宋体" w:cs="宋体"/>
          <w:color w:val="000000"/>
          <w:sz w:val="21"/>
          <w:szCs w:val="21"/>
          <w:highlight w:val="none"/>
          <w:lang w:val="en-US" w:eastAsia="zh-CN"/>
        </w:rPr>
      </w:pPr>
    </w:p>
    <w:p w14:paraId="16A62525">
      <w:pPr>
        <w:pStyle w:val="35"/>
        <w:rPr>
          <w:rFonts w:hint="eastAsia" w:ascii="宋体" w:hAnsi="宋体" w:cs="宋体"/>
          <w:color w:val="000000"/>
          <w:sz w:val="21"/>
          <w:szCs w:val="21"/>
          <w:highlight w:val="none"/>
          <w:lang w:val="en-US" w:eastAsia="zh-CN"/>
        </w:rPr>
      </w:pPr>
    </w:p>
    <w:p w14:paraId="29010D95">
      <w:pPr>
        <w:pStyle w:val="28"/>
        <w:rPr>
          <w:rFonts w:hint="eastAsia" w:ascii="宋体" w:hAnsi="宋体" w:cs="宋体"/>
          <w:color w:val="000000"/>
          <w:sz w:val="21"/>
          <w:szCs w:val="21"/>
          <w:highlight w:val="none"/>
          <w:lang w:val="en-US" w:eastAsia="zh-CN"/>
        </w:rPr>
      </w:pPr>
    </w:p>
    <w:p w14:paraId="4BFF1138">
      <w:pPr>
        <w:rPr>
          <w:rFonts w:hint="eastAsia" w:ascii="宋体" w:hAnsi="宋体" w:cs="宋体"/>
          <w:color w:val="000000"/>
          <w:sz w:val="21"/>
          <w:szCs w:val="21"/>
          <w:highlight w:val="none"/>
          <w:lang w:val="en-US" w:eastAsia="zh-CN"/>
        </w:rPr>
      </w:pPr>
    </w:p>
    <w:p w14:paraId="6A7C5F60">
      <w:pPr>
        <w:pStyle w:val="35"/>
        <w:rPr>
          <w:rFonts w:hint="eastAsia" w:ascii="宋体" w:hAnsi="宋体" w:cs="宋体"/>
          <w:color w:val="000000"/>
          <w:sz w:val="21"/>
          <w:szCs w:val="21"/>
          <w:highlight w:val="none"/>
          <w:lang w:val="en-US" w:eastAsia="zh-CN"/>
        </w:rPr>
      </w:pPr>
    </w:p>
    <w:p w14:paraId="31B05316">
      <w:pPr>
        <w:pStyle w:val="28"/>
        <w:rPr>
          <w:rFonts w:hint="eastAsia" w:ascii="宋体" w:hAnsi="宋体" w:cs="宋体"/>
          <w:color w:val="000000"/>
          <w:sz w:val="21"/>
          <w:szCs w:val="21"/>
          <w:highlight w:val="none"/>
          <w:lang w:val="en-US" w:eastAsia="zh-CN"/>
        </w:rPr>
      </w:pPr>
    </w:p>
    <w:p w14:paraId="1994A938">
      <w:pPr>
        <w:rPr>
          <w:rFonts w:hint="eastAsia" w:ascii="宋体" w:hAnsi="宋体" w:cs="宋体"/>
          <w:color w:val="000000"/>
          <w:sz w:val="21"/>
          <w:szCs w:val="21"/>
          <w:highlight w:val="none"/>
          <w:lang w:val="en-US" w:eastAsia="zh-CN"/>
        </w:rPr>
      </w:pPr>
    </w:p>
    <w:p w14:paraId="34F03482">
      <w:pPr>
        <w:pStyle w:val="35"/>
        <w:rPr>
          <w:rFonts w:hint="eastAsia" w:ascii="宋体" w:hAnsi="宋体" w:cs="宋体"/>
          <w:color w:val="000000"/>
          <w:sz w:val="21"/>
          <w:szCs w:val="21"/>
          <w:highlight w:val="none"/>
          <w:lang w:val="en-US" w:eastAsia="zh-CN"/>
        </w:rPr>
      </w:pPr>
    </w:p>
    <w:p w14:paraId="4B39C082">
      <w:pPr>
        <w:pStyle w:val="28"/>
        <w:rPr>
          <w:rFonts w:hint="eastAsia" w:ascii="宋体" w:hAnsi="宋体" w:cs="宋体"/>
          <w:color w:val="000000"/>
          <w:sz w:val="21"/>
          <w:szCs w:val="21"/>
          <w:highlight w:val="none"/>
          <w:lang w:val="en-US" w:eastAsia="zh-CN"/>
        </w:rPr>
      </w:pPr>
    </w:p>
    <w:p w14:paraId="6B15A2CF">
      <w:pPr>
        <w:pStyle w:val="2"/>
        <w:jc w:val="center"/>
        <w:rPr>
          <w:rFonts w:hint="eastAsia" w:ascii="黑体" w:hAnsi="黑体" w:eastAsia="黑体" w:cs="黑体"/>
          <w:sz w:val="44"/>
          <w:szCs w:val="44"/>
        </w:rPr>
      </w:pPr>
      <w:r>
        <w:rPr>
          <w:rFonts w:hint="eastAsia" w:ascii="黑体" w:hAnsi="黑体" w:eastAsia="黑体" w:cs="黑体"/>
          <w:sz w:val="44"/>
          <w:szCs w:val="44"/>
        </w:rPr>
        <w:t>第二章  投标人须知</w:t>
      </w:r>
      <w:bookmarkEnd w:id="4"/>
    </w:p>
    <w:p w14:paraId="7300C5B4">
      <w:pPr>
        <w:keepNext w:val="0"/>
        <w:keepLines w:val="0"/>
        <w:pageBreakBefore w:val="0"/>
        <w:spacing w:line="500" w:lineRule="exact"/>
        <w:ind w:firstLine="482"/>
        <w:jc w:val="left"/>
        <w:rPr>
          <w:rFonts w:hint="eastAsia" w:ascii="宋体" w:hAnsi="宋体" w:cs="宋体"/>
          <w:b/>
          <w:bCs/>
          <w:color w:val="auto"/>
          <w:sz w:val="24"/>
          <w:szCs w:val="24"/>
        </w:rPr>
      </w:pPr>
      <w:bookmarkStart w:id="5" w:name="_Toc16938519"/>
      <w:bookmarkStart w:id="6" w:name="_Toc120614214"/>
      <w:bookmarkStart w:id="7" w:name="_Toc513029203"/>
      <w:bookmarkStart w:id="8" w:name="_Toc20823275"/>
      <w:r>
        <w:rPr>
          <w:rFonts w:hint="eastAsia" w:ascii="宋体" w:hAnsi="宋体" w:cs="宋体"/>
          <w:b/>
          <w:bCs/>
          <w:color w:val="auto"/>
          <w:sz w:val="24"/>
          <w:szCs w:val="24"/>
        </w:rPr>
        <w:t>一、总则</w:t>
      </w:r>
      <w:bookmarkEnd w:id="5"/>
      <w:bookmarkEnd w:id="6"/>
      <w:bookmarkEnd w:id="7"/>
      <w:bookmarkEnd w:id="8"/>
    </w:p>
    <w:p w14:paraId="7478B6EE">
      <w:pPr>
        <w:keepNext w:val="0"/>
        <w:keepLines w:val="0"/>
        <w:pageBreakBefore w:val="0"/>
        <w:spacing w:line="500" w:lineRule="exact"/>
        <w:ind w:firstLine="482"/>
        <w:jc w:val="left"/>
        <w:rPr>
          <w:rFonts w:hint="eastAsia" w:ascii="宋体" w:hAnsi="宋体" w:cs="宋体"/>
          <w:b/>
          <w:bCs/>
          <w:color w:val="auto"/>
          <w:sz w:val="24"/>
          <w:szCs w:val="24"/>
        </w:rPr>
      </w:pPr>
      <w:bookmarkStart w:id="9" w:name="_Hlt16619475"/>
      <w:bookmarkEnd w:id="9"/>
      <w:bookmarkStart w:id="10" w:name="_Toc16938520"/>
      <w:bookmarkStart w:id="11" w:name="_Toc513029204"/>
      <w:bookmarkStart w:id="12" w:name="_Toc458694821"/>
      <w:bookmarkStart w:id="13" w:name="_Toc20823276"/>
      <w:r>
        <w:rPr>
          <w:rFonts w:hint="eastAsia" w:ascii="宋体" w:hAnsi="宋体" w:cs="宋体"/>
          <w:b/>
          <w:bCs/>
          <w:color w:val="auto"/>
          <w:sz w:val="24"/>
          <w:szCs w:val="24"/>
        </w:rPr>
        <w:t>1</w:t>
      </w:r>
      <w:bookmarkEnd w:id="10"/>
      <w:bookmarkEnd w:id="11"/>
      <w:bookmarkEnd w:id="12"/>
      <w:bookmarkEnd w:id="13"/>
      <w:r>
        <w:rPr>
          <w:rFonts w:hint="eastAsia" w:ascii="宋体" w:hAnsi="宋体" w:cs="宋体"/>
          <w:b/>
          <w:bCs/>
          <w:color w:val="auto"/>
          <w:sz w:val="24"/>
          <w:szCs w:val="24"/>
        </w:rPr>
        <w:t>.</w:t>
      </w:r>
      <w:r>
        <w:rPr>
          <w:rFonts w:hint="eastAsia" w:ascii="宋体" w:hAnsi="宋体" w:cs="宋体"/>
          <w:b/>
          <w:bCs/>
          <w:color w:val="auto"/>
          <w:sz w:val="24"/>
          <w:szCs w:val="24"/>
          <w:lang w:val="en-US" w:eastAsia="zh-CN"/>
        </w:rPr>
        <w:t>招标</w:t>
      </w:r>
      <w:r>
        <w:rPr>
          <w:rFonts w:hint="eastAsia" w:ascii="宋体" w:hAnsi="宋体" w:cs="宋体"/>
          <w:b/>
          <w:bCs/>
          <w:color w:val="auto"/>
          <w:sz w:val="24"/>
          <w:szCs w:val="24"/>
        </w:rPr>
        <w:t>方式</w:t>
      </w:r>
    </w:p>
    <w:p w14:paraId="1633A9A8">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1.1 本次招标采取公开招标方式，本招标文件仅适用于招标公告中所述项目。</w:t>
      </w:r>
    </w:p>
    <w:p w14:paraId="0084AF8F">
      <w:pPr>
        <w:keepNext w:val="0"/>
        <w:keepLines w:val="0"/>
        <w:pageBreakBefore w:val="0"/>
        <w:spacing w:line="500" w:lineRule="exact"/>
        <w:ind w:firstLine="482"/>
        <w:jc w:val="left"/>
        <w:rPr>
          <w:rFonts w:hint="eastAsia" w:ascii="宋体" w:hAnsi="宋体" w:cs="宋体"/>
          <w:b/>
          <w:bCs/>
          <w:color w:val="auto"/>
          <w:sz w:val="24"/>
          <w:szCs w:val="24"/>
        </w:rPr>
      </w:pPr>
      <w:bookmarkStart w:id="14" w:name="_Toc16938521"/>
      <w:bookmarkStart w:id="15" w:name="_Toc513029205"/>
      <w:bookmarkStart w:id="16" w:name="_Toc20823277"/>
      <w:r>
        <w:rPr>
          <w:rFonts w:hint="eastAsia" w:ascii="宋体" w:hAnsi="宋体" w:cs="宋体"/>
          <w:b/>
          <w:bCs/>
          <w:color w:val="auto"/>
          <w:sz w:val="24"/>
          <w:szCs w:val="24"/>
        </w:rPr>
        <w:t>2.合格的</w:t>
      </w:r>
      <w:bookmarkEnd w:id="14"/>
      <w:bookmarkEnd w:id="15"/>
      <w:bookmarkEnd w:id="16"/>
      <w:r>
        <w:rPr>
          <w:rFonts w:hint="eastAsia" w:ascii="宋体" w:hAnsi="宋体" w:cs="宋体"/>
          <w:b/>
          <w:bCs/>
          <w:color w:val="auto"/>
          <w:sz w:val="24"/>
          <w:szCs w:val="24"/>
        </w:rPr>
        <w:t>投标人</w:t>
      </w:r>
    </w:p>
    <w:p w14:paraId="55DF7678">
      <w:pPr>
        <w:keepNext w:val="0"/>
        <w:keepLines w:val="0"/>
        <w:pageBreakBefore w:val="0"/>
        <w:spacing w:line="500" w:lineRule="exact"/>
        <w:ind w:firstLine="482"/>
        <w:jc w:val="left"/>
        <w:rPr>
          <w:rFonts w:ascii="宋体" w:hAnsi="宋体" w:cs="宋体"/>
          <w:color w:val="auto"/>
          <w:sz w:val="24"/>
        </w:rPr>
      </w:pPr>
      <w:bookmarkStart w:id="17" w:name="_Toc16938522"/>
      <w:bookmarkStart w:id="18" w:name="_Toc20823278"/>
      <w:bookmarkStart w:id="19" w:name="_Toc513029206"/>
      <w:r>
        <w:rPr>
          <w:rFonts w:hint="eastAsia" w:ascii="宋体" w:hAnsi="宋体" w:cs="宋体"/>
          <w:color w:val="auto"/>
          <w:sz w:val="24"/>
        </w:rPr>
        <w:t>2.1满足招标公告中供应商的资格要求的规定。</w:t>
      </w:r>
    </w:p>
    <w:p w14:paraId="6075CCDB">
      <w:pPr>
        <w:keepNext w:val="0"/>
        <w:keepLines w:val="0"/>
        <w:pageBreakBefore w:val="0"/>
        <w:spacing w:line="500" w:lineRule="exact"/>
        <w:ind w:firstLine="482"/>
        <w:jc w:val="left"/>
        <w:rPr>
          <w:rFonts w:ascii="宋体" w:hAnsi="宋体" w:cs="宋体"/>
          <w:color w:val="auto"/>
          <w:sz w:val="24"/>
        </w:rPr>
      </w:pPr>
      <w:r>
        <w:rPr>
          <w:rFonts w:hint="eastAsia" w:ascii="宋体" w:hAnsi="宋体" w:cs="宋体"/>
          <w:color w:val="auto"/>
          <w:sz w:val="24"/>
        </w:rPr>
        <w:t>2.2满足本文件实质性要求和条件的规定。</w:t>
      </w:r>
    </w:p>
    <w:p w14:paraId="0DFFC207">
      <w:pPr>
        <w:keepNext w:val="0"/>
        <w:keepLines w:val="0"/>
        <w:pageBreakBefore w:val="0"/>
        <w:spacing w:line="500" w:lineRule="exact"/>
        <w:ind w:firstLine="482"/>
        <w:jc w:val="lef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3.适用法律</w:t>
      </w:r>
      <w:bookmarkEnd w:id="17"/>
      <w:bookmarkEnd w:id="18"/>
      <w:bookmarkEnd w:id="19"/>
      <w:r>
        <w:rPr>
          <w:rFonts w:hint="eastAsia" w:ascii="宋体" w:hAnsi="宋体" w:cs="宋体"/>
          <w:b/>
          <w:bCs/>
          <w:color w:val="auto"/>
          <w:sz w:val="24"/>
          <w:szCs w:val="24"/>
          <w:lang w:val="en-US" w:eastAsia="zh-CN"/>
        </w:rPr>
        <w:t>和标准</w:t>
      </w:r>
    </w:p>
    <w:p w14:paraId="5292ECFE">
      <w:pPr>
        <w:keepNext w:val="0"/>
        <w:keepLines w:val="0"/>
        <w:pageBreakBefore w:val="0"/>
        <w:spacing w:line="500" w:lineRule="exact"/>
        <w:ind w:firstLine="482"/>
        <w:jc w:val="left"/>
        <w:rPr>
          <w:rFonts w:hint="eastAsia" w:ascii="宋体" w:hAnsi="宋体" w:cs="宋体"/>
          <w:color w:val="auto"/>
          <w:sz w:val="24"/>
          <w:szCs w:val="24"/>
        </w:rPr>
      </w:pPr>
      <w:bookmarkStart w:id="20" w:name="_Toc16938523"/>
      <w:bookmarkStart w:id="21" w:name="_Toc20823279"/>
      <w:bookmarkStart w:id="22" w:name="_Toc513029207"/>
      <w:bookmarkStart w:id="23" w:name="_Toc462564067"/>
      <w:r>
        <w:rPr>
          <w:rFonts w:hint="eastAsia" w:ascii="宋体" w:hAnsi="宋体" w:cs="宋体"/>
          <w:color w:val="auto"/>
          <w:sz w:val="24"/>
          <w:szCs w:val="24"/>
        </w:rPr>
        <w:t>3.1本次招标及由此产生的合同受中华人民共和国有关的法律法规制约和保护。</w:t>
      </w:r>
    </w:p>
    <w:p w14:paraId="067F7A0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3.2在本项目政府采购活动过程中，如果所执行的标准有更新的，按照最新标准执行。</w:t>
      </w:r>
    </w:p>
    <w:p w14:paraId="14CE8CD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b/>
          <w:bCs/>
          <w:color w:val="auto"/>
          <w:sz w:val="24"/>
          <w:szCs w:val="24"/>
        </w:rPr>
        <w:t>4.投标费用</w:t>
      </w:r>
      <w:bookmarkEnd w:id="20"/>
      <w:bookmarkEnd w:id="21"/>
      <w:bookmarkEnd w:id="22"/>
      <w:bookmarkEnd w:id="23"/>
    </w:p>
    <w:p w14:paraId="5A9FE62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4.1投标人应自行承担所有与参加投标有关的费用，无论投标过程中的做法和结果如何，盐城市亭湖区公共资源交易中心（以下简称交易中心）在任何情况下均无义务和责任承担这些费用。</w:t>
      </w:r>
    </w:p>
    <w:p w14:paraId="17E1427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4.2本次招标交易中心和采购人不收取标书工本费与中标服务费。</w:t>
      </w:r>
    </w:p>
    <w:p w14:paraId="69107769">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5.招标文件的约束力</w:t>
      </w:r>
    </w:p>
    <w:p w14:paraId="64968AB1">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5.1投标人一旦参加本项目采购活动，即被认为接受了本招标文件的规定和约束。</w:t>
      </w:r>
    </w:p>
    <w:p w14:paraId="1FC7220D">
      <w:pPr>
        <w:keepNext w:val="0"/>
        <w:keepLines w:val="0"/>
        <w:pageBreakBefore w:val="0"/>
        <w:spacing w:line="500" w:lineRule="exact"/>
        <w:ind w:firstLine="482"/>
        <w:jc w:val="left"/>
        <w:rPr>
          <w:rFonts w:hint="eastAsia" w:ascii="宋体" w:hAnsi="宋体" w:cs="宋体"/>
          <w:b/>
          <w:bCs/>
          <w:color w:val="auto"/>
          <w:sz w:val="24"/>
          <w:szCs w:val="24"/>
        </w:rPr>
      </w:pPr>
      <w:bookmarkStart w:id="24" w:name="_Toc120614215"/>
      <w:bookmarkStart w:id="25" w:name="_Toc20823281"/>
      <w:bookmarkStart w:id="26" w:name="_Toc513029209"/>
      <w:bookmarkStart w:id="27" w:name="_Toc16938525"/>
      <w:r>
        <w:rPr>
          <w:rFonts w:hint="eastAsia" w:ascii="宋体" w:hAnsi="宋体" w:cs="宋体"/>
          <w:b/>
          <w:bCs/>
          <w:color w:val="auto"/>
          <w:sz w:val="24"/>
          <w:szCs w:val="24"/>
        </w:rPr>
        <w:t>二、招标文件</w:t>
      </w:r>
      <w:bookmarkEnd w:id="24"/>
      <w:bookmarkEnd w:id="25"/>
      <w:bookmarkEnd w:id="26"/>
      <w:bookmarkEnd w:id="27"/>
    </w:p>
    <w:p w14:paraId="39FE9DB3">
      <w:pPr>
        <w:keepNext w:val="0"/>
        <w:keepLines w:val="0"/>
        <w:pageBreakBefore w:val="0"/>
        <w:spacing w:line="500" w:lineRule="exact"/>
        <w:ind w:firstLine="482"/>
        <w:jc w:val="left"/>
        <w:rPr>
          <w:rFonts w:hint="eastAsia" w:ascii="宋体" w:hAnsi="宋体" w:cs="宋体"/>
          <w:b/>
          <w:bCs/>
          <w:color w:val="auto"/>
          <w:sz w:val="24"/>
          <w:szCs w:val="24"/>
        </w:rPr>
      </w:pPr>
      <w:bookmarkStart w:id="28" w:name="_Toc16938526"/>
      <w:bookmarkStart w:id="29" w:name="_Toc20823282"/>
      <w:bookmarkStart w:id="30" w:name="_Toc513029210"/>
      <w:r>
        <w:rPr>
          <w:rFonts w:hint="eastAsia" w:ascii="宋体" w:hAnsi="宋体" w:cs="宋体"/>
          <w:b/>
          <w:bCs/>
          <w:color w:val="auto"/>
          <w:sz w:val="24"/>
          <w:szCs w:val="24"/>
          <w:lang w:val="en-US" w:eastAsia="zh-CN"/>
        </w:rPr>
        <w:t>6</w:t>
      </w:r>
      <w:r>
        <w:rPr>
          <w:rFonts w:hint="eastAsia" w:ascii="宋体" w:hAnsi="宋体" w:cs="宋体"/>
          <w:b/>
          <w:bCs/>
          <w:color w:val="auto"/>
          <w:sz w:val="24"/>
          <w:szCs w:val="24"/>
        </w:rPr>
        <w:t>.招标文件构成</w:t>
      </w:r>
      <w:bookmarkEnd w:id="28"/>
      <w:bookmarkEnd w:id="29"/>
      <w:bookmarkEnd w:id="30"/>
    </w:p>
    <w:p w14:paraId="1C3AB2D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.1 招标文件有以下部分组成：</w:t>
      </w:r>
    </w:p>
    <w:p w14:paraId="3DE88E06">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（1）招标公告</w:t>
      </w:r>
    </w:p>
    <w:p w14:paraId="4348DBA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（2）投标人须知</w:t>
      </w:r>
    </w:p>
    <w:p w14:paraId="44515C5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（3）合同文本</w:t>
      </w:r>
    </w:p>
    <w:p w14:paraId="239EC25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（4）采购需求</w:t>
      </w:r>
    </w:p>
    <w:p w14:paraId="310CD341">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（5）评标方法与评标标准</w:t>
      </w:r>
    </w:p>
    <w:p w14:paraId="41735298">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（6）投标文件格式</w:t>
      </w:r>
    </w:p>
    <w:p w14:paraId="742F914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请仔细检查招标文件是否齐全，如有缺漏请立即与采购代理机构联系解决。</w:t>
      </w:r>
    </w:p>
    <w:p w14:paraId="0335DCC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31" w:name="_Toc462564070"/>
      <w:bookmarkStart w:id="32" w:name="_Toc20823283"/>
      <w:bookmarkStart w:id="33" w:name="_Toc16938527"/>
      <w:bookmarkStart w:id="34" w:name="_Toc513029211"/>
    </w:p>
    <w:p w14:paraId="7D3202D4">
      <w:pPr>
        <w:keepNext w:val="0"/>
        <w:keepLines w:val="0"/>
        <w:pageBreakBefore w:val="0"/>
        <w:spacing w:line="500" w:lineRule="exact"/>
        <w:ind w:firstLine="482"/>
        <w:jc w:val="left"/>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7</w:t>
      </w:r>
      <w:r>
        <w:rPr>
          <w:rFonts w:hint="eastAsia" w:ascii="宋体" w:hAnsi="宋体" w:cs="宋体"/>
          <w:b/>
          <w:bCs/>
          <w:color w:val="auto"/>
          <w:sz w:val="24"/>
          <w:szCs w:val="24"/>
        </w:rPr>
        <w:t>.招标文件的</w:t>
      </w:r>
      <w:bookmarkEnd w:id="31"/>
      <w:bookmarkEnd w:id="32"/>
      <w:bookmarkEnd w:id="33"/>
      <w:bookmarkEnd w:id="34"/>
      <w:r>
        <w:rPr>
          <w:rFonts w:hint="eastAsia" w:ascii="宋体" w:hAnsi="宋体" w:cs="宋体"/>
          <w:b/>
          <w:bCs/>
          <w:color w:val="auto"/>
          <w:sz w:val="24"/>
          <w:szCs w:val="24"/>
          <w:lang w:val="en-US" w:eastAsia="zh-CN"/>
        </w:rPr>
        <w:t>澄清</w:t>
      </w:r>
    </w:p>
    <w:p w14:paraId="6006FF88">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7</w:t>
      </w:r>
      <w:r>
        <w:rPr>
          <w:rFonts w:hint="eastAsia" w:ascii="宋体" w:hAnsi="宋体" w:cs="宋体"/>
          <w:color w:val="auto"/>
          <w:sz w:val="24"/>
          <w:szCs w:val="24"/>
        </w:rPr>
        <w:t>.1 任何要求对招标文件进行询问的投标人，应在投标截止日期十日前按招标公告中的通讯地址，以书面形式向采购代理机构提出。</w:t>
      </w:r>
    </w:p>
    <w:p w14:paraId="341DFA94">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lang w:val="en-US" w:eastAsia="zh-CN"/>
        </w:rPr>
        <w:t>8</w:t>
      </w:r>
      <w:r>
        <w:rPr>
          <w:rFonts w:hint="eastAsia" w:ascii="宋体" w:hAnsi="宋体" w:cs="宋体"/>
          <w:b/>
          <w:bCs/>
          <w:color w:val="auto"/>
          <w:sz w:val="24"/>
          <w:szCs w:val="24"/>
        </w:rPr>
        <w:t>.招标文件的修改</w:t>
      </w:r>
    </w:p>
    <w:p w14:paraId="0AA9EB5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8</w:t>
      </w:r>
      <w:r>
        <w:rPr>
          <w:rFonts w:hint="eastAsia" w:ascii="宋体" w:hAnsi="宋体" w:cs="宋体"/>
          <w:color w:val="auto"/>
          <w:sz w:val="24"/>
          <w:szCs w:val="24"/>
        </w:rPr>
        <w:t>.1 在投标截止时间前，采购代理机构可以对招标文件进行澄清或修改。</w:t>
      </w:r>
    </w:p>
    <w:p w14:paraId="1299F8D5">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8</w:t>
      </w:r>
      <w:r>
        <w:rPr>
          <w:rFonts w:hint="eastAsia" w:ascii="宋体" w:hAnsi="宋体" w:cs="宋体"/>
          <w:color w:val="auto"/>
          <w:sz w:val="24"/>
          <w:szCs w:val="24"/>
        </w:rPr>
        <w:t>.2采购代理机构有权依法推迟投标截止日期和开标日期。</w:t>
      </w:r>
    </w:p>
    <w:p w14:paraId="45F8251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8</w:t>
      </w:r>
      <w:r>
        <w:rPr>
          <w:rFonts w:hint="eastAsia" w:ascii="宋体" w:hAnsi="宋体" w:cs="宋体"/>
          <w:color w:val="auto"/>
          <w:sz w:val="24"/>
          <w:szCs w:val="24"/>
        </w:rPr>
        <w:t>.3招标文件的修改将在中国政府采购网、江苏省政府采购网、盐城市政府采购网公布，补充文件将作为招标文件的组成部分，并对投标人具有约束力。</w:t>
      </w:r>
    </w:p>
    <w:p w14:paraId="3D064F53">
      <w:pPr>
        <w:keepNext w:val="0"/>
        <w:keepLines w:val="0"/>
        <w:pageBreakBefore w:val="0"/>
        <w:spacing w:line="500" w:lineRule="exact"/>
        <w:ind w:firstLine="482"/>
        <w:jc w:val="left"/>
        <w:rPr>
          <w:rFonts w:hint="eastAsia" w:ascii="宋体" w:hAnsi="宋体" w:cs="宋体"/>
          <w:b/>
          <w:bCs/>
          <w:color w:val="auto"/>
          <w:sz w:val="24"/>
          <w:szCs w:val="24"/>
        </w:rPr>
      </w:pPr>
      <w:bookmarkStart w:id="35" w:name="_Toc513029213"/>
      <w:bookmarkStart w:id="36" w:name="_Toc120614216"/>
      <w:bookmarkStart w:id="37" w:name="_Toc462564072"/>
      <w:bookmarkStart w:id="38" w:name="_Toc20823285"/>
      <w:bookmarkStart w:id="39" w:name="_Toc16938529"/>
      <w:r>
        <w:rPr>
          <w:rFonts w:hint="eastAsia" w:ascii="宋体" w:hAnsi="宋体" w:cs="宋体"/>
          <w:b/>
          <w:bCs/>
          <w:color w:val="auto"/>
          <w:sz w:val="24"/>
          <w:szCs w:val="24"/>
        </w:rPr>
        <w:t>三、投标文件的编制</w:t>
      </w:r>
      <w:bookmarkEnd w:id="35"/>
      <w:bookmarkEnd w:id="36"/>
      <w:bookmarkEnd w:id="37"/>
      <w:bookmarkEnd w:id="38"/>
      <w:bookmarkEnd w:id="39"/>
    </w:p>
    <w:p w14:paraId="5CFC3350">
      <w:pPr>
        <w:keepNext w:val="0"/>
        <w:keepLines w:val="0"/>
        <w:pageBreakBefore w:val="0"/>
        <w:spacing w:line="500" w:lineRule="exact"/>
        <w:ind w:firstLine="482"/>
        <w:jc w:val="left"/>
        <w:rPr>
          <w:rFonts w:hint="eastAsia" w:ascii="宋体" w:hAnsi="宋体" w:cs="宋体"/>
          <w:b/>
          <w:bCs/>
          <w:color w:val="auto"/>
          <w:sz w:val="24"/>
          <w:szCs w:val="24"/>
        </w:rPr>
      </w:pPr>
      <w:bookmarkStart w:id="40" w:name="_Toc462564073"/>
      <w:bookmarkStart w:id="41" w:name="_Toc16938530"/>
      <w:bookmarkStart w:id="42" w:name="_Toc513029214"/>
      <w:bookmarkStart w:id="43" w:name="_Toc20823286"/>
      <w:r>
        <w:rPr>
          <w:rFonts w:hint="eastAsia" w:ascii="宋体" w:hAnsi="宋体" w:cs="宋体"/>
          <w:b/>
          <w:bCs/>
          <w:color w:val="auto"/>
          <w:sz w:val="24"/>
          <w:szCs w:val="24"/>
          <w:lang w:val="en-US" w:eastAsia="zh-CN"/>
        </w:rPr>
        <w:t>9</w:t>
      </w:r>
      <w:r>
        <w:rPr>
          <w:rFonts w:hint="eastAsia" w:ascii="宋体" w:hAnsi="宋体" w:cs="宋体"/>
          <w:b/>
          <w:bCs/>
          <w:color w:val="auto"/>
          <w:sz w:val="24"/>
          <w:szCs w:val="24"/>
        </w:rPr>
        <w:t>.投标文件的语言及度量衡单位</w:t>
      </w:r>
      <w:bookmarkEnd w:id="40"/>
      <w:bookmarkEnd w:id="41"/>
      <w:bookmarkEnd w:id="42"/>
      <w:bookmarkEnd w:id="43"/>
    </w:p>
    <w:p w14:paraId="5E737E30">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9</w:t>
      </w:r>
      <w:r>
        <w:rPr>
          <w:rFonts w:hint="eastAsia" w:ascii="宋体" w:hAnsi="宋体" w:cs="宋体"/>
          <w:color w:val="auto"/>
          <w:sz w:val="24"/>
          <w:szCs w:val="24"/>
        </w:rPr>
        <w:t>.1 投标人提交的投标文件以及投标人与采购代理机构就有关投标的所有来往通知、函件和文件均应使用</w:t>
      </w:r>
      <w:r>
        <w:rPr>
          <w:rFonts w:hint="eastAsia" w:ascii="宋体" w:hAnsi="宋体" w:cs="宋体"/>
          <w:b/>
          <w:bCs/>
          <w:color w:val="auto"/>
          <w:sz w:val="24"/>
          <w:szCs w:val="24"/>
        </w:rPr>
        <w:t>简体中文</w:t>
      </w:r>
      <w:r>
        <w:rPr>
          <w:rFonts w:hint="eastAsia" w:ascii="宋体" w:hAnsi="宋体" w:cs="宋体"/>
          <w:color w:val="auto"/>
          <w:sz w:val="24"/>
          <w:szCs w:val="24"/>
        </w:rPr>
        <w:t>。</w:t>
      </w:r>
    </w:p>
    <w:p w14:paraId="28BB6918">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9</w:t>
      </w:r>
      <w:r>
        <w:rPr>
          <w:rFonts w:hint="eastAsia" w:ascii="宋体" w:hAnsi="宋体" w:cs="宋体"/>
          <w:color w:val="auto"/>
          <w:sz w:val="24"/>
          <w:szCs w:val="24"/>
        </w:rPr>
        <w:t>.2 除技术性能另有规定外，投标文件所使用的度量衡单位，均须采用国家法定计量单位。</w:t>
      </w:r>
    </w:p>
    <w:p w14:paraId="26443B7E">
      <w:pPr>
        <w:keepNext w:val="0"/>
        <w:keepLines w:val="0"/>
        <w:pageBreakBefore w:val="0"/>
        <w:spacing w:line="500" w:lineRule="exact"/>
        <w:ind w:firstLine="482"/>
        <w:jc w:val="left"/>
        <w:rPr>
          <w:rFonts w:hint="eastAsia" w:ascii="宋体" w:hAnsi="宋体" w:cs="宋体"/>
          <w:b/>
          <w:bCs/>
          <w:color w:val="auto"/>
          <w:sz w:val="24"/>
          <w:szCs w:val="24"/>
        </w:rPr>
      </w:pPr>
      <w:bookmarkStart w:id="44" w:name="_Toc462564074"/>
      <w:bookmarkStart w:id="45" w:name="_Toc20823287"/>
      <w:bookmarkStart w:id="46" w:name="_Toc513029215"/>
      <w:bookmarkStart w:id="47" w:name="_Toc16938531"/>
      <w:r>
        <w:rPr>
          <w:rFonts w:hint="eastAsia" w:ascii="宋体" w:hAnsi="宋体" w:cs="宋体"/>
          <w:b/>
          <w:bCs/>
          <w:color w:val="auto"/>
          <w:sz w:val="24"/>
          <w:szCs w:val="24"/>
        </w:rPr>
        <w:t>1</w:t>
      </w:r>
      <w:r>
        <w:rPr>
          <w:rFonts w:hint="eastAsia" w:ascii="宋体" w:hAnsi="宋体" w:cs="宋体"/>
          <w:b/>
          <w:bCs/>
          <w:color w:val="auto"/>
          <w:sz w:val="24"/>
          <w:szCs w:val="24"/>
          <w:lang w:val="en-US" w:eastAsia="zh-CN"/>
        </w:rPr>
        <w:t>0</w:t>
      </w:r>
      <w:r>
        <w:rPr>
          <w:rFonts w:hint="eastAsia" w:ascii="宋体" w:hAnsi="宋体" w:cs="宋体"/>
          <w:b/>
          <w:bCs/>
          <w:color w:val="auto"/>
          <w:sz w:val="24"/>
          <w:szCs w:val="24"/>
        </w:rPr>
        <w:t>.投标文件构成</w:t>
      </w:r>
      <w:bookmarkEnd w:id="44"/>
      <w:bookmarkEnd w:id="45"/>
      <w:bookmarkEnd w:id="46"/>
      <w:bookmarkEnd w:id="47"/>
    </w:p>
    <w:p w14:paraId="7F0C56E2">
      <w:pPr>
        <w:keepNext w:val="0"/>
        <w:keepLines w:val="0"/>
        <w:pageBreakBefore w:val="0"/>
        <w:spacing w:line="500" w:lineRule="exact"/>
        <w:ind w:firstLine="482"/>
        <w:jc w:val="left"/>
        <w:rPr>
          <w:rFonts w:hint="eastAsia" w:ascii="宋体" w:hAnsi="宋体" w:cs="宋体"/>
          <w:color w:val="auto"/>
          <w:sz w:val="24"/>
          <w:szCs w:val="24"/>
          <w:lang w:val="zh-CN"/>
        </w:rPr>
      </w:pPr>
      <w:r>
        <w:rPr>
          <w:rFonts w:hint="eastAsia" w:ascii="宋体" w:hAnsi="宋体" w:cs="宋体"/>
          <w:color w:val="auto"/>
          <w:sz w:val="24"/>
          <w:szCs w:val="24"/>
        </w:rPr>
        <w:t>1</w:t>
      </w:r>
      <w:r>
        <w:rPr>
          <w:rFonts w:hint="eastAsia" w:ascii="宋体" w:hAnsi="宋体" w:cs="宋体"/>
          <w:color w:val="auto"/>
          <w:sz w:val="24"/>
          <w:szCs w:val="24"/>
          <w:lang w:val="en-US" w:eastAsia="zh-CN"/>
        </w:rPr>
        <w:t>0</w:t>
      </w:r>
      <w:r>
        <w:rPr>
          <w:rFonts w:hint="eastAsia" w:ascii="宋体" w:hAnsi="宋体" w:cs="宋体"/>
          <w:color w:val="auto"/>
          <w:sz w:val="24"/>
          <w:szCs w:val="24"/>
        </w:rPr>
        <w:t>.1投标人编写的投标文件应包括资格证明文件、符合性证明文件、技术条款响应及偏离表、商务条款响应及偏离表、其他证明文件、投标函、开标一览表、分项明细报价表等部分</w:t>
      </w:r>
      <w:r>
        <w:rPr>
          <w:rFonts w:hint="eastAsia" w:ascii="宋体" w:hAnsi="宋体" w:cs="宋体"/>
          <w:color w:val="auto"/>
          <w:sz w:val="24"/>
          <w:szCs w:val="24"/>
          <w:lang w:val="zh-CN"/>
        </w:rPr>
        <w:t>（格式详见招标文件“第六章  投标文件格式”）</w:t>
      </w:r>
      <w:r>
        <w:rPr>
          <w:rFonts w:hint="eastAsia" w:ascii="宋体" w:hAnsi="宋体" w:cs="宋体"/>
          <w:color w:val="auto"/>
          <w:sz w:val="24"/>
          <w:szCs w:val="24"/>
        </w:rPr>
        <w:t>。</w:t>
      </w:r>
    </w:p>
    <w:p w14:paraId="5CA32FBD">
      <w:pPr>
        <w:keepNext w:val="0"/>
        <w:keepLines w:val="0"/>
        <w:pageBreakBefore w:val="0"/>
        <w:spacing w:line="500" w:lineRule="exact"/>
        <w:ind w:firstLine="482"/>
        <w:jc w:val="left"/>
        <w:rPr>
          <w:rFonts w:hint="eastAsia" w:ascii="宋体" w:hAnsi="宋体" w:cs="宋体"/>
          <w:color w:val="auto"/>
          <w:sz w:val="24"/>
          <w:szCs w:val="24"/>
        </w:rPr>
      </w:pPr>
      <w:bookmarkStart w:id="48" w:name="_Toc49090507"/>
      <w:bookmarkStart w:id="49" w:name="_Toc513029216"/>
      <w:bookmarkStart w:id="50" w:name="_Toc14577357"/>
      <w:bookmarkStart w:id="51" w:name="_Toc14577354"/>
      <w:bookmarkStart w:id="52" w:name="_Toc49090509"/>
      <w:bookmarkStart w:id="53" w:name="_Toc513029219"/>
      <w:r>
        <w:rPr>
          <w:rFonts w:hint="eastAsia" w:ascii="宋体" w:hAnsi="宋体" w:cs="宋体"/>
          <w:color w:val="auto"/>
          <w:sz w:val="24"/>
          <w:szCs w:val="24"/>
        </w:rPr>
        <w:t>1</w:t>
      </w:r>
      <w:r>
        <w:rPr>
          <w:rFonts w:hint="eastAsia" w:ascii="宋体" w:hAnsi="宋体" w:cs="宋体"/>
          <w:color w:val="auto"/>
          <w:sz w:val="24"/>
          <w:szCs w:val="24"/>
          <w:lang w:val="en-US" w:eastAsia="zh-CN"/>
        </w:rPr>
        <w:t>0</w:t>
      </w:r>
      <w:r>
        <w:rPr>
          <w:rFonts w:hint="eastAsia" w:ascii="宋体" w:hAnsi="宋体" w:cs="宋体"/>
          <w:color w:val="auto"/>
          <w:sz w:val="24"/>
          <w:szCs w:val="24"/>
        </w:rPr>
        <w:t>.2如标书制作工具中格式和内容与“中国政府采购网”、“江苏政府采购网”、“盐城市政府采购网”发布的招标文件不一致，请以“中国政府采购网”、“江苏政府采购网”、“盐城市政府采购网”发布的招标文件为准。</w:t>
      </w:r>
    </w:p>
    <w:p w14:paraId="64DDB808">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1</w:t>
      </w:r>
      <w:r>
        <w:rPr>
          <w:rFonts w:hint="eastAsia" w:ascii="宋体" w:hAnsi="宋体" w:cs="宋体"/>
          <w:b/>
          <w:bCs/>
          <w:color w:val="auto"/>
          <w:sz w:val="24"/>
          <w:szCs w:val="24"/>
          <w:lang w:val="en-US" w:eastAsia="zh-CN"/>
        </w:rPr>
        <w:t>1</w:t>
      </w:r>
      <w:r>
        <w:rPr>
          <w:rFonts w:hint="eastAsia" w:ascii="宋体" w:hAnsi="宋体" w:cs="宋体"/>
          <w:b/>
          <w:bCs/>
          <w:color w:val="auto"/>
          <w:sz w:val="24"/>
          <w:szCs w:val="24"/>
        </w:rPr>
        <w:t>.证明投标人资格及符合招标文件规定的文件</w:t>
      </w:r>
      <w:bookmarkEnd w:id="48"/>
      <w:bookmarkEnd w:id="49"/>
      <w:bookmarkEnd w:id="50"/>
      <w:bookmarkEnd w:id="51"/>
      <w:bookmarkEnd w:id="52"/>
      <w:bookmarkEnd w:id="53"/>
    </w:p>
    <w:p w14:paraId="75C74137">
      <w:pPr>
        <w:keepNext w:val="0"/>
        <w:keepLines w:val="0"/>
        <w:pageBreakBefore w:val="0"/>
        <w:spacing w:line="500" w:lineRule="exact"/>
        <w:ind w:firstLine="482"/>
        <w:jc w:val="left"/>
        <w:rPr>
          <w:rFonts w:hint="eastAsia" w:ascii="宋体" w:hAnsi="宋体" w:cs="宋体"/>
          <w:color w:val="auto"/>
          <w:sz w:val="24"/>
          <w:szCs w:val="24"/>
        </w:rPr>
      </w:pPr>
      <w:bookmarkStart w:id="54" w:name="_Toc49090508"/>
      <w:bookmarkStart w:id="55" w:name="_Toc14577355"/>
      <w:r>
        <w:rPr>
          <w:rFonts w:hint="eastAsia" w:ascii="宋体" w:hAnsi="宋体" w:cs="宋体"/>
          <w:color w:val="auto"/>
          <w:sz w:val="24"/>
          <w:szCs w:val="24"/>
          <w:lang w:val="en-US" w:eastAsia="zh-CN"/>
        </w:rPr>
        <w:t>11</w:t>
      </w:r>
      <w:r>
        <w:rPr>
          <w:rFonts w:hint="eastAsia" w:ascii="宋体" w:hAnsi="宋体" w:cs="宋体"/>
          <w:color w:val="auto"/>
          <w:sz w:val="24"/>
          <w:szCs w:val="24"/>
        </w:rPr>
        <w:t>.1投标人应按照法律、法规、规章和规范性文件以及招标文件要求提交证明文件，证明其及投标标的符合招标文件规定。</w:t>
      </w:r>
    </w:p>
    <w:p w14:paraId="44A5C763">
      <w:pPr>
        <w:keepNext w:val="0"/>
        <w:keepLines w:val="0"/>
        <w:pageBreakBefore w:val="0"/>
        <w:spacing w:line="500" w:lineRule="exact"/>
        <w:ind w:firstLine="482"/>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r>
        <w:rPr>
          <w:rFonts w:hint="eastAsia" w:ascii="宋体" w:hAnsi="宋体" w:cs="宋体"/>
          <w:color w:val="auto"/>
          <w:sz w:val="24"/>
          <w:szCs w:val="24"/>
        </w:rPr>
        <w:t>.2招标文件对证明文件无明确形式要求的，证明文件可以以文字资料、图纸和数据等形式提交。</w:t>
      </w:r>
    </w:p>
    <w:p w14:paraId="149BAC2A">
      <w:pPr>
        <w:keepNext w:val="0"/>
        <w:keepLines w:val="0"/>
        <w:pageBreakBefore w:val="0"/>
        <w:spacing w:line="500" w:lineRule="exact"/>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w:t>
      </w:r>
      <w:bookmarkEnd w:id="54"/>
      <w:bookmarkEnd w:id="55"/>
      <w:bookmarkStart w:id="56" w:name="_Hlt26670373"/>
      <w:bookmarkEnd w:id="56"/>
      <w:r>
        <w:rPr>
          <w:rFonts w:hint="eastAsia" w:ascii="宋体" w:hAnsi="宋体" w:cs="宋体"/>
          <w:b/>
          <w:bCs/>
          <w:color w:val="auto"/>
          <w:sz w:val="24"/>
          <w:szCs w:val="24"/>
          <w:highlight w:val="none"/>
        </w:rPr>
        <w:t>投标分项报价表</w:t>
      </w:r>
    </w:p>
    <w:p w14:paraId="38520D4E">
      <w:pPr>
        <w:keepNext w:val="0"/>
        <w:keepLines w:val="0"/>
        <w:pageBreakBefore w:val="0"/>
        <w:spacing w:line="500" w:lineRule="exact"/>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.1投标人应按照招标文件规定格式填报投标分项报价表。</w:t>
      </w:r>
    </w:p>
    <w:p w14:paraId="4248D384">
      <w:pPr>
        <w:keepNext w:val="0"/>
        <w:keepLines w:val="0"/>
        <w:pageBreakBefore w:val="0"/>
        <w:spacing w:line="500" w:lineRule="exact"/>
        <w:ind w:firstLine="482"/>
        <w:jc w:val="left"/>
        <w:rPr>
          <w:rFonts w:hint="eastAsia" w:ascii="宋体" w:hAnsi="宋体" w:cs="宋体"/>
          <w:color w:val="auto"/>
          <w:sz w:val="24"/>
          <w:szCs w:val="24"/>
          <w:lang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2</w:t>
      </w:r>
      <w:r>
        <w:rPr>
          <w:rFonts w:hint="eastAsia" w:ascii="宋体" w:hAnsi="宋体" w:cs="宋体"/>
          <w:color w:val="auto"/>
          <w:sz w:val="24"/>
          <w:szCs w:val="24"/>
        </w:rPr>
        <w:t>.2投标货币。投标文件中的单价和总价无特殊规定的采用人民币报价，以元为单位标注。招标文件中另有规定的按规定执行</w:t>
      </w:r>
      <w:r>
        <w:rPr>
          <w:rFonts w:hint="eastAsia" w:ascii="宋体" w:hAnsi="宋体" w:cs="宋体"/>
          <w:color w:val="auto"/>
          <w:sz w:val="24"/>
          <w:szCs w:val="24"/>
          <w:lang w:eastAsia="zh-CN"/>
        </w:rPr>
        <w:t>。</w:t>
      </w:r>
    </w:p>
    <w:p w14:paraId="552C23E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12.3投标分项报价表，不仅应包括所有人员的工资、法定节假日加班费、社保、公积金、福利费及法定税费，还应包括为完成招标文件规定的物业服务工作所涉及的一切相关费用。</w:t>
      </w:r>
    </w:p>
    <w:p w14:paraId="4B8D1DDB">
      <w:pPr>
        <w:keepNext w:val="0"/>
        <w:keepLines w:val="0"/>
        <w:pageBreakBefore w:val="0"/>
        <w:spacing w:line="500" w:lineRule="exact"/>
        <w:ind w:firstLine="482"/>
        <w:jc w:val="lef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1</w:t>
      </w: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.4</w:t>
      </w:r>
      <w:r>
        <w:rPr>
          <w:rFonts w:hint="eastAsia" w:ascii="宋体" w:hAnsi="宋体" w:cs="宋体"/>
          <w:b/>
          <w:bCs/>
          <w:color w:val="auto"/>
          <w:sz w:val="24"/>
          <w:szCs w:val="24"/>
          <w:lang w:val="en-US" w:eastAsia="zh-CN"/>
        </w:rPr>
        <w:t xml:space="preserve"> 人员工资</w:t>
      </w:r>
    </w:p>
    <w:p w14:paraId="41571CD1">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lang w:val="zh-CN"/>
        </w:rPr>
        <w:t>所有工作人员基本工资不低于本市最低工资标准2</w:t>
      </w:r>
      <w:r>
        <w:rPr>
          <w:rFonts w:hint="eastAsia" w:ascii="宋体" w:hAnsi="宋体" w:cs="宋体"/>
          <w:b/>
          <w:bCs/>
          <w:color w:val="auto"/>
          <w:sz w:val="24"/>
          <w:szCs w:val="24"/>
          <w:lang w:val="en-US" w:eastAsia="zh-CN"/>
        </w:rPr>
        <w:t>430</w:t>
      </w:r>
      <w:r>
        <w:rPr>
          <w:rFonts w:hint="eastAsia" w:ascii="宋体" w:hAnsi="宋体" w:cs="宋体"/>
          <w:b/>
          <w:bCs/>
          <w:color w:val="auto"/>
          <w:sz w:val="24"/>
          <w:szCs w:val="24"/>
          <w:lang w:val="zh-CN"/>
        </w:rPr>
        <w:t>元/人</w:t>
      </w:r>
      <w:r>
        <w:rPr>
          <w:rFonts w:hint="eastAsia" w:ascii="宋体" w:hAnsi="宋体" w:cs="宋体"/>
          <w:b/>
          <w:bCs/>
          <w:color w:val="auto"/>
          <w:sz w:val="24"/>
          <w:szCs w:val="24"/>
          <w:lang w:val="en-US" w:eastAsia="zh-CN"/>
        </w:rPr>
        <w:t>/</w:t>
      </w:r>
      <w:r>
        <w:rPr>
          <w:rFonts w:hint="eastAsia" w:ascii="宋体" w:hAnsi="宋体" w:cs="宋体"/>
          <w:b/>
          <w:bCs/>
          <w:color w:val="auto"/>
          <w:sz w:val="24"/>
          <w:szCs w:val="24"/>
          <w:lang w:val="zh-CN"/>
        </w:rPr>
        <w:t>月，所有人员必须足额缴纳社保费用，社保（企业部分）不得低于</w:t>
      </w:r>
      <w:r>
        <w:rPr>
          <w:rFonts w:hint="eastAsia" w:ascii="宋体" w:hAnsi="宋体" w:cs="宋体"/>
          <w:b/>
          <w:bCs/>
          <w:color w:val="auto"/>
          <w:sz w:val="24"/>
          <w:szCs w:val="24"/>
        </w:rPr>
        <w:t>12</w:t>
      </w:r>
      <w:r>
        <w:rPr>
          <w:rFonts w:hint="eastAsia" w:ascii="宋体" w:hAnsi="宋体" w:cs="宋体"/>
          <w:b/>
          <w:bCs/>
          <w:color w:val="auto"/>
          <w:sz w:val="24"/>
          <w:szCs w:val="24"/>
          <w:lang w:val="en-US" w:eastAsia="zh-CN"/>
        </w:rPr>
        <w:t>92.47</w:t>
      </w:r>
      <w:r>
        <w:rPr>
          <w:rFonts w:hint="eastAsia" w:ascii="宋体" w:hAnsi="宋体" w:cs="宋体"/>
          <w:b/>
          <w:bCs/>
          <w:color w:val="auto"/>
          <w:sz w:val="24"/>
          <w:szCs w:val="24"/>
          <w:lang w:val="zh-CN"/>
        </w:rPr>
        <w:t>元/人</w:t>
      </w:r>
      <w:r>
        <w:rPr>
          <w:rFonts w:hint="eastAsia" w:ascii="宋体" w:hAnsi="宋体" w:cs="宋体"/>
          <w:b/>
          <w:bCs/>
          <w:color w:val="auto"/>
          <w:sz w:val="24"/>
          <w:szCs w:val="24"/>
          <w:lang w:val="en-US" w:eastAsia="zh-CN"/>
        </w:rPr>
        <w:t>/</w:t>
      </w:r>
      <w:r>
        <w:rPr>
          <w:rFonts w:hint="eastAsia" w:ascii="宋体" w:hAnsi="宋体" w:cs="宋体"/>
          <w:b/>
          <w:bCs/>
          <w:color w:val="auto"/>
          <w:sz w:val="24"/>
          <w:szCs w:val="24"/>
          <w:lang w:val="zh-CN"/>
        </w:rPr>
        <w:t>月，住房公积金不得低于1</w:t>
      </w:r>
      <w:r>
        <w:rPr>
          <w:rFonts w:hint="eastAsia" w:ascii="宋体" w:hAnsi="宋体" w:cs="宋体"/>
          <w:b/>
          <w:bCs/>
          <w:color w:val="auto"/>
          <w:sz w:val="24"/>
          <w:szCs w:val="24"/>
          <w:lang w:val="en-US" w:eastAsia="zh-CN"/>
        </w:rPr>
        <w:t>14</w:t>
      </w:r>
      <w:r>
        <w:rPr>
          <w:rFonts w:hint="eastAsia" w:ascii="宋体" w:hAnsi="宋体" w:cs="宋体"/>
          <w:b/>
          <w:bCs/>
          <w:color w:val="auto"/>
          <w:sz w:val="24"/>
          <w:szCs w:val="24"/>
          <w:lang w:val="zh-CN"/>
        </w:rPr>
        <w:t>元/人</w:t>
      </w:r>
      <w:r>
        <w:rPr>
          <w:rFonts w:hint="eastAsia" w:ascii="宋体" w:hAnsi="宋体" w:cs="宋体"/>
          <w:b/>
          <w:bCs/>
          <w:color w:val="auto"/>
          <w:sz w:val="24"/>
          <w:szCs w:val="24"/>
          <w:lang w:val="en-US" w:eastAsia="zh-CN"/>
        </w:rPr>
        <w:t>/</w:t>
      </w:r>
      <w:r>
        <w:rPr>
          <w:rFonts w:hint="eastAsia" w:ascii="宋体" w:hAnsi="宋体" w:cs="宋体"/>
          <w:b/>
          <w:bCs/>
          <w:color w:val="auto"/>
          <w:sz w:val="24"/>
          <w:szCs w:val="24"/>
          <w:lang w:val="zh-CN"/>
        </w:rPr>
        <w:t>月，法定节假日加班费不得低于</w:t>
      </w:r>
      <w:r>
        <w:rPr>
          <w:rFonts w:hint="eastAsia" w:ascii="宋体" w:hAnsi="宋体" w:cs="宋体"/>
          <w:b/>
          <w:bCs/>
          <w:color w:val="auto"/>
          <w:sz w:val="24"/>
          <w:szCs w:val="24"/>
          <w:lang w:val="en-US" w:eastAsia="zh-CN"/>
        </w:rPr>
        <w:t>4357.25</w:t>
      </w:r>
      <w:r>
        <w:rPr>
          <w:rFonts w:hint="eastAsia" w:ascii="宋体" w:hAnsi="宋体" w:cs="宋体"/>
          <w:b/>
          <w:bCs/>
          <w:color w:val="auto"/>
          <w:sz w:val="24"/>
          <w:szCs w:val="24"/>
          <w:lang w:val="zh-CN"/>
        </w:rPr>
        <w:t>元/人</w:t>
      </w:r>
      <w:r>
        <w:rPr>
          <w:rFonts w:hint="eastAsia" w:ascii="宋体" w:hAnsi="宋体" w:cs="宋体"/>
          <w:b/>
          <w:bCs/>
          <w:color w:val="auto"/>
          <w:sz w:val="24"/>
          <w:szCs w:val="24"/>
          <w:lang w:val="en-US" w:eastAsia="zh-CN"/>
        </w:rPr>
        <w:t>/</w:t>
      </w:r>
      <w:r>
        <w:rPr>
          <w:rFonts w:hint="eastAsia" w:ascii="宋体" w:hAnsi="宋体" w:cs="宋体"/>
          <w:b/>
          <w:bCs/>
          <w:color w:val="auto"/>
          <w:sz w:val="24"/>
          <w:szCs w:val="24"/>
          <w:lang w:val="zh-CN"/>
        </w:rPr>
        <w:t>年，福利</w:t>
      </w:r>
      <w:r>
        <w:rPr>
          <w:rFonts w:hint="eastAsia" w:ascii="宋体" w:hAnsi="宋体" w:cs="宋体"/>
          <w:b/>
          <w:bCs/>
          <w:color w:val="auto"/>
          <w:sz w:val="24"/>
          <w:szCs w:val="24"/>
          <w:lang w:val="en-US" w:eastAsia="zh-CN"/>
        </w:rPr>
        <w:t>300</w:t>
      </w:r>
      <w:r>
        <w:rPr>
          <w:rFonts w:hint="eastAsia" w:ascii="宋体" w:hAnsi="宋体" w:cs="宋体"/>
          <w:b/>
          <w:bCs/>
          <w:color w:val="auto"/>
          <w:sz w:val="24"/>
          <w:szCs w:val="24"/>
          <w:lang w:val="zh-CN"/>
        </w:rPr>
        <w:t>元/</w:t>
      </w:r>
      <w:r>
        <w:rPr>
          <w:rFonts w:hint="eastAsia" w:ascii="宋体" w:hAnsi="宋体" w:cs="宋体"/>
          <w:b/>
          <w:bCs/>
          <w:color w:val="auto"/>
          <w:sz w:val="24"/>
          <w:szCs w:val="24"/>
          <w:lang w:val="en-US" w:eastAsia="zh-CN"/>
        </w:rPr>
        <w:t>人</w:t>
      </w:r>
      <w:r>
        <w:rPr>
          <w:rFonts w:hint="eastAsia" w:ascii="宋体" w:hAnsi="宋体" w:cs="宋体"/>
          <w:b/>
          <w:bCs/>
          <w:color w:val="auto"/>
          <w:sz w:val="24"/>
          <w:szCs w:val="24"/>
          <w:lang w:val="zh-CN"/>
        </w:rPr>
        <w:t>/</w:t>
      </w:r>
      <w:r>
        <w:rPr>
          <w:rFonts w:hint="eastAsia" w:ascii="宋体" w:hAnsi="宋体" w:cs="宋体"/>
          <w:b/>
          <w:bCs/>
          <w:color w:val="auto"/>
          <w:sz w:val="24"/>
          <w:szCs w:val="24"/>
          <w:lang w:val="en-US" w:eastAsia="zh-CN"/>
        </w:rPr>
        <w:t>年</w:t>
      </w:r>
      <w:r>
        <w:rPr>
          <w:rFonts w:hint="eastAsia" w:ascii="宋体" w:hAnsi="宋体" w:cs="宋体"/>
          <w:b/>
          <w:bCs/>
          <w:color w:val="auto"/>
          <w:sz w:val="24"/>
          <w:szCs w:val="24"/>
          <w:lang w:val="zh-CN"/>
        </w:rPr>
        <w:t>。物业人员每月提交缴纳社会保险、公积金凭证。税金费率不得低于6.72%</w:t>
      </w:r>
      <w:r>
        <w:rPr>
          <w:rFonts w:hint="eastAsia" w:ascii="宋体" w:hAnsi="宋体" w:cs="宋体"/>
          <w:b/>
          <w:bCs/>
          <w:color w:val="auto"/>
          <w:sz w:val="24"/>
          <w:szCs w:val="24"/>
        </w:rPr>
        <w:t>。按照实际税款结算。补贴费用一并计税。</w:t>
      </w:r>
    </w:p>
    <w:p w14:paraId="7CF8A4B9">
      <w:pPr>
        <w:keepNext w:val="0"/>
        <w:keepLines w:val="0"/>
        <w:pageBreakBefore w:val="0"/>
        <w:spacing w:line="500" w:lineRule="exact"/>
        <w:ind w:firstLine="482"/>
        <w:jc w:val="left"/>
        <w:rPr>
          <w:rFonts w:hint="eastAsia" w:ascii="宋体" w:hAnsi="宋体" w:cs="宋体"/>
          <w:b/>
          <w:bCs/>
          <w:color w:val="auto"/>
          <w:sz w:val="24"/>
          <w:szCs w:val="24"/>
          <w:lang w:val="zh-CN"/>
        </w:rPr>
      </w:pPr>
      <w:r>
        <w:rPr>
          <w:rFonts w:hint="eastAsia" w:ascii="宋体" w:hAnsi="宋体" w:cs="宋体"/>
          <w:b/>
          <w:bCs/>
          <w:color w:val="auto"/>
          <w:sz w:val="24"/>
          <w:szCs w:val="24"/>
          <w:lang w:val="zh-CN"/>
        </w:rPr>
        <w:t>投标人所提供人员的费用（</w:t>
      </w:r>
      <w:r>
        <w:rPr>
          <w:rFonts w:hint="eastAsia" w:ascii="宋体" w:hAnsi="宋体" w:cs="宋体"/>
          <w:b/>
          <w:bCs/>
          <w:color w:val="auto"/>
          <w:sz w:val="24"/>
          <w:szCs w:val="24"/>
        </w:rPr>
        <w:t>人工工资</w:t>
      </w:r>
      <w:r>
        <w:rPr>
          <w:rFonts w:hint="eastAsia" w:ascii="宋体" w:hAnsi="宋体" w:cs="宋体"/>
          <w:b/>
          <w:bCs/>
          <w:color w:val="auto"/>
          <w:sz w:val="24"/>
          <w:szCs w:val="24"/>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17EBDCF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2</w:t>
      </w:r>
      <w:r>
        <w:rPr>
          <w:rFonts w:hint="eastAsia" w:ascii="宋体" w:hAnsi="宋体" w:cs="宋体"/>
          <w:color w:val="auto"/>
          <w:sz w:val="24"/>
          <w:szCs w:val="24"/>
        </w:rPr>
        <w:t>.5  投标人根据招标内容的要求准确报价，一经报出，不得更改。</w:t>
      </w:r>
    </w:p>
    <w:p w14:paraId="120B3BC2">
      <w:pPr>
        <w:keepNext w:val="0"/>
        <w:keepLines w:val="0"/>
        <w:pageBreakBefore w:val="0"/>
        <w:spacing w:line="500" w:lineRule="exact"/>
        <w:ind w:firstLine="480"/>
        <w:jc w:val="left"/>
        <w:rPr>
          <w:rFonts w:hint="eastAsia" w:ascii="宋体" w:hAnsi="宋体" w:cs="宋体"/>
          <w:color w:val="auto"/>
          <w:sz w:val="24"/>
          <w:szCs w:val="24"/>
          <w:lang w:val="zh-CN"/>
        </w:rPr>
      </w:pPr>
      <w:r>
        <w:rPr>
          <w:rFonts w:hint="eastAsia" w:ascii="宋体" w:hAnsi="宋体" w:cs="宋体"/>
          <w:color w:val="auto"/>
          <w:sz w:val="24"/>
          <w:szCs w:val="24"/>
        </w:rPr>
        <w:t>1</w:t>
      </w:r>
      <w:r>
        <w:rPr>
          <w:rFonts w:hint="eastAsia" w:ascii="宋体" w:hAnsi="宋体" w:cs="宋体"/>
          <w:color w:val="auto"/>
          <w:sz w:val="24"/>
          <w:szCs w:val="24"/>
          <w:lang w:val="en-US" w:eastAsia="zh-CN"/>
        </w:rPr>
        <w:t>2</w:t>
      </w:r>
      <w:r>
        <w:rPr>
          <w:rFonts w:hint="eastAsia" w:ascii="宋体" w:hAnsi="宋体" w:cs="宋体"/>
          <w:color w:val="auto"/>
          <w:sz w:val="24"/>
          <w:szCs w:val="24"/>
        </w:rPr>
        <w:t>.6</w:t>
      </w:r>
      <w:r>
        <w:rPr>
          <w:rFonts w:hint="eastAsia" w:ascii="宋体" w:hAnsi="宋体" w:cs="宋体"/>
          <w:color w:val="auto"/>
          <w:sz w:val="24"/>
          <w:szCs w:val="24"/>
          <w:lang w:val="en-US" w:eastAsia="zh-CN"/>
        </w:rPr>
        <w:t xml:space="preserve"> </w:t>
      </w:r>
      <w:r>
        <w:rPr>
          <w:rFonts w:hint="eastAsia" w:ascii="宋体" w:hAnsi="宋体" w:cs="宋体"/>
          <w:color w:val="auto"/>
          <w:sz w:val="24"/>
          <w:lang w:val="zh-CN"/>
        </w:rPr>
        <w:t>投标报价的单位为人民币(元)年。如果</w:t>
      </w:r>
      <w:r>
        <w:rPr>
          <w:rFonts w:hint="eastAsia" w:ascii="宋体" w:hAnsi="宋体" w:cs="宋体"/>
          <w:color w:val="auto"/>
          <w:sz w:val="24"/>
        </w:rPr>
        <w:t>中标人</w:t>
      </w:r>
      <w:r>
        <w:rPr>
          <w:rFonts w:hint="eastAsia" w:ascii="宋体" w:hAnsi="宋体" w:cs="宋体"/>
          <w:color w:val="auto"/>
          <w:sz w:val="24"/>
          <w:lang w:val="zh-CN"/>
        </w:rPr>
        <w:t>未能按合同、招标投标文件履约的，采购人</w:t>
      </w:r>
      <w:r>
        <w:rPr>
          <w:rFonts w:hint="eastAsia" w:ascii="宋体" w:hAnsi="宋体" w:cs="宋体"/>
          <w:color w:val="auto"/>
          <w:sz w:val="24"/>
        </w:rPr>
        <w:t>有权</w:t>
      </w:r>
      <w:r>
        <w:rPr>
          <w:rFonts w:hint="eastAsia" w:ascii="宋体" w:hAnsi="宋体" w:cs="宋体"/>
          <w:color w:val="auto"/>
          <w:sz w:val="24"/>
          <w:lang w:val="zh-CN"/>
        </w:rPr>
        <w:t>终止合同，履约保证金不予退还，并不支付服务期间的物业服务费用。采购人终止合同的，</w:t>
      </w:r>
      <w:r>
        <w:rPr>
          <w:rFonts w:hint="eastAsia" w:ascii="宋体" w:hAnsi="宋体" w:cs="宋体"/>
          <w:color w:val="auto"/>
          <w:sz w:val="24"/>
        </w:rPr>
        <w:t>中标人</w:t>
      </w:r>
      <w:r>
        <w:rPr>
          <w:rFonts w:hint="eastAsia" w:ascii="宋体" w:hAnsi="宋体" w:cs="宋体"/>
          <w:color w:val="auto"/>
          <w:sz w:val="24"/>
          <w:lang w:val="zh-CN"/>
        </w:rPr>
        <w:t>应承担相应的完全责任，包括赔偿因此而给采购人及第三人带来的相应损失。合同期满并完成与后续物业服务企业的衔接后，方可退出，</w:t>
      </w:r>
      <w:r>
        <w:rPr>
          <w:rFonts w:hint="eastAsia" w:ascii="宋体" w:hAnsi="宋体" w:cs="宋体"/>
          <w:color w:val="auto"/>
          <w:sz w:val="24"/>
        </w:rPr>
        <w:t>中标人</w:t>
      </w:r>
      <w:r>
        <w:rPr>
          <w:rFonts w:hint="eastAsia" w:ascii="宋体" w:hAnsi="宋体" w:cs="宋体"/>
          <w:color w:val="auto"/>
          <w:sz w:val="24"/>
          <w:lang w:val="zh-CN"/>
        </w:rPr>
        <w:t>退出本物业管理时必须向采购人移交全套档案等资料，经采购人验收合格</w:t>
      </w:r>
      <w:r>
        <w:rPr>
          <w:rFonts w:hint="eastAsia" w:ascii="宋体" w:hAnsi="宋体" w:cs="宋体"/>
          <w:color w:val="auto"/>
          <w:sz w:val="24"/>
        </w:rPr>
        <w:t>后，采购人</w:t>
      </w:r>
      <w:r>
        <w:rPr>
          <w:rFonts w:hint="eastAsia" w:ascii="宋体" w:hAnsi="宋体" w:cs="宋体"/>
          <w:color w:val="auto"/>
          <w:sz w:val="24"/>
          <w:lang w:val="zh-CN"/>
        </w:rPr>
        <w:t>退还履约保证金。</w:t>
      </w:r>
    </w:p>
    <w:p w14:paraId="27C46656">
      <w:pPr>
        <w:keepNext w:val="0"/>
        <w:keepLines w:val="0"/>
        <w:pageBreakBefore w:val="0"/>
        <w:spacing w:line="500" w:lineRule="exact"/>
        <w:ind w:firstLine="482"/>
        <w:jc w:val="left"/>
        <w:rPr>
          <w:rFonts w:hint="eastAsia" w:ascii="宋体" w:hAnsi="宋体" w:cs="宋体"/>
          <w:color w:val="auto"/>
          <w:sz w:val="24"/>
          <w:szCs w:val="24"/>
          <w:lang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2</w:t>
      </w:r>
      <w:r>
        <w:rPr>
          <w:rFonts w:hint="eastAsia" w:ascii="宋体" w:hAnsi="宋体" w:cs="宋体"/>
          <w:color w:val="auto"/>
          <w:sz w:val="24"/>
          <w:szCs w:val="24"/>
        </w:rPr>
        <w:t>.7对于超出招标文件的其他临时性服务项目，由甲乙双方协商解决。</w:t>
      </w:r>
    </w:p>
    <w:p w14:paraId="4ED6C592">
      <w:pPr>
        <w:keepNext w:val="0"/>
        <w:keepLines w:val="0"/>
        <w:pageBreakBefore w:val="0"/>
        <w:spacing w:line="500" w:lineRule="exact"/>
        <w:ind w:firstLine="482"/>
        <w:jc w:val="left"/>
        <w:rPr>
          <w:rFonts w:hint="eastAsia" w:ascii="宋体" w:hAnsi="宋体" w:cs="宋体"/>
          <w:color w:val="auto"/>
          <w:sz w:val="24"/>
          <w:szCs w:val="24"/>
        </w:rPr>
      </w:pPr>
      <w:bookmarkStart w:id="57" w:name="_Hlt26954731"/>
      <w:bookmarkEnd w:id="57"/>
      <w:bookmarkStart w:id="58" w:name="_Hlt26954846"/>
      <w:bookmarkEnd w:id="58"/>
      <w:bookmarkStart w:id="59" w:name="_Hlt26670482"/>
      <w:bookmarkEnd w:id="59"/>
      <w:bookmarkStart w:id="60" w:name="_Hlt26954848"/>
      <w:bookmarkEnd w:id="60"/>
      <w:bookmarkStart w:id="61" w:name="_Hlt26670486"/>
      <w:bookmarkEnd w:id="61"/>
      <w:r>
        <w:rPr>
          <w:rFonts w:hint="eastAsia" w:ascii="宋体" w:hAnsi="宋体" w:cs="宋体"/>
          <w:b/>
          <w:bCs/>
          <w:color w:val="auto"/>
          <w:sz w:val="24"/>
          <w:szCs w:val="24"/>
        </w:rPr>
        <w:t>1</w:t>
      </w: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.技术条款响应及偏离表、商务条款响应及偏离表</w:t>
      </w:r>
    </w:p>
    <w:p w14:paraId="35D0A630">
      <w:pPr>
        <w:keepNext w:val="0"/>
        <w:keepLines w:val="0"/>
        <w:pageBreakBefore w:val="0"/>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3</w:t>
      </w:r>
      <w:r>
        <w:rPr>
          <w:rFonts w:hint="eastAsia" w:ascii="宋体" w:hAnsi="宋体" w:cs="宋体"/>
          <w:color w:val="auto"/>
          <w:sz w:val="24"/>
          <w:szCs w:val="24"/>
        </w:rPr>
        <w:t>.1对招标文件中的技术与商务条款要求逐项作出响应或偏离，并说明原因。</w:t>
      </w:r>
    </w:p>
    <w:p w14:paraId="4DDA9ECB">
      <w:pPr>
        <w:keepNext w:val="0"/>
        <w:keepLines w:val="0"/>
        <w:pageBreakBefore w:val="0"/>
        <w:spacing w:line="500" w:lineRule="exact"/>
        <w:ind w:firstLine="480"/>
        <w:jc w:val="left"/>
        <w:rPr>
          <w:rFonts w:hint="eastAsia" w:ascii="宋体" w:hAnsi="宋体" w:cs="宋体"/>
          <w:color w:val="auto"/>
          <w:sz w:val="24"/>
          <w:szCs w:val="24"/>
        </w:rPr>
      </w:pPr>
      <w:r>
        <w:rPr>
          <w:rFonts w:hint="eastAsia" w:ascii="宋体" w:hAnsi="宋体" w:cs="宋体"/>
          <w:color w:val="auto"/>
          <w:sz w:val="24"/>
        </w:rPr>
        <w:t>13.2投标人可在投标文件中提供认为需要的其他技术文件或说明。</w:t>
      </w:r>
    </w:p>
    <w:p w14:paraId="549C0283">
      <w:pPr>
        <w:keepNext w:val="0"/>
        <w:keepLines w:val="0"/>
        <w:pageBreakBefore w:val="0"/>
        <w:spacing w:line="500" w:lineRule="exact"/>
        <w:ind w:firstLine="482"/>
        <w:jc w:val="left"/>
        <w:rPr>
          <w:rFonts w:hint="eastAsia" w:ascii="宋体" w:hAnsi="宋体" w:cs="宋体"/>
          <w:b/>
          <w:bCs/>
          <w:color w:val="auto"/>
          <w:sz w:val="24"/>
          <w:szCs w:val="24"/>
        </w:rPr>
      </w:pPr>
      <w:bookmarkStart w:id="62" w:name="_Toc49090510"/>
      <w:bookmarkStart w:id="63" w:name="_Toc14577359"/>
      <w:r>
        <w:rPr>
          <w:rFonts w:hint="eastAsia" w:ascii="宋体" w:hAnsi="宋体" w:cs="宋体"/>
          <w:b/>
          <w:bCs/>
          <w:color w:val="auto"/>
          <w:sz w:val="24"/>
          <w:szCs w:val="24"/>
        </w:rPr>
        <w:t>1</w:t>
      </w:r>
      <w:r>
        <w:rPr>
          <w:rFonts w:hint="eastAsia" w:ascii="宋体" w:hAnsi="宋体" w:cs="宋体"/>
          <w:b/>
          <w:bCs/>
          <w:color w:val="auto"/>
          <w:sz w:val="24"/>
          <w:szCs w:val="24"/>
          <w:lang w:val="en-US" w:eastAsia="zh-CN"/>
        </w:rPr>
        <w:t>4</w:t>
      </w:r>
      <w:r>
        <w:rPr>
          <w:rFonts w:hint="eastAsia" w:ascii="宋体" w:hAnsi="宋体" w:cs="宋体"/>
          <w:b/>
          <w:bCs/>
          <w:color w:val="auto"/>
          <w:sz w:val="24"/>
          <w:szCs w:val="24"/>
        </w:rPr>
        <w:t>.投标函和开标一览表</w:t>
      </w:r>
    </w:p>
    <w:bookmarkEnd w:id="62"/>
    <w:bookmarkEnd w:id="63"/>
    <w:p w14:paraId="7D494918">
      <w:pPr>
        <w:keepNext w:val="0"/>
        <w:keepLines w:val="0"/>
        <w:pageBreakBefore w:val="0"/>
        <w:spacing w:line="500" w:lineRule="exact"/>
        <w:ind w:firstLine="420"/>
        <w:rPr>
          <w:rFonts w:hint="eastAsia" w:ascii="宋体" w:hAnsi="宋体" w:eastAsia="宋体" w:cs="宋体"/>
          <w:color w:val="auto"/>
          <w:sz w:val="24"/>
          <w:szCs w:val="20"/>
          <w:lang w:eastAsia="zh-CN"/>
        </w:rPr>
      </w:pPr>
      <w:bookmarkStart w:id="64" w:name="_Hlt26670489"/>
      <w:bookmarkEnd w:id="64"/>
      <w:bookmarkStart w:id="65" w:name="_Hlt26954850"/>
      <w:bookmarkEnd w:id="65"/>
      <w:bookmarkStart w:id="66" w:name="_Hlt26954734"/>
      <w:bookmarkEnd w:id="66"/>
      <w:bookmarkStart w:id="67" w:name="_Toc49090511"/>
      <w:bookmarkStart w:id="68" w:name="_Toc14577360"/>
      <w:r>
        <w:rPr>
          <w:rFonts w:hint="eastAsia" w:ascii="宋体" w:hAnsi="宋体" w:cs="宋体"/>
          <w:color w:val="auto"/>
          <w:sz w:val="24"/>
        </w:rPr>
        <w:t>14.1投标人应按照招标文件中提供的格式完整、正确填写投标函、开标一览表。</w:t>
      </w:r>
      <w:r>
        <w:rPr>
          <w:rFonts w:hint="eastAsia" w:ascii="宋体" w:hAnsi="宋体" w:eastAsia="宋体" w:cs="宋体"/>
          <w:color w:val="auto"/>
          <w:sz w:val="24"/>
          <w:szCs w:val="20"/>
          <w:lang w:eastAsia="zh-CN"/>
        </w:rPr>
        <w:t>（</w:t>
      </w:r>
      <w:r>
        <w:rPr>
          <w:rFonts w:hint="eastAsia" w:ascii="宋体" w:hAnsi="宋体" w:cs="宋体"/>
          <w:b/>
          <w:bCs/>
          <w:i w:val="0"/>
          <w:iCs w:val="0"/>
          <w:color w:val="auto"/>
          <w:sz w:val="21"/>
          <w:szCs w:val="21"/>
          <w:lang w:val="en-US" w:eastAsia="zh-CN"/>
        </w:rPr>
        <w:t>注：九、投标函格式中“</w:t>
      </w:r>
      <w:r>
        <w:rPr>
          <w:rFonts w:hint="eastAsia" w:ascii="宋体" w:hAnsi="宋体" w:cs="宋体"/>
          <w:b/>
          <w:bCs/>
          <w:i w:val="0"/>
          <w:iCs w:val="0"/>
          <w:color w:val="auto"/>
          <w:sz w:val="21"/>
          <w:szCs w:val="21"/>
        </w:rPr>
        <w:t>正式授权下述签字人____(姓名)代表我方</w:t>
      </w:r>
      <w:r>
        <w:rPr>
          <w:rFonts w:hint="eastAsia" w:ascii="宋体" w:hAnsi="宋体" w:cs="宋体"/>
          <w:b/>
          <w:bCs/>
          <w:i w:val="0"/>
          <w:iCs w:val="0"/>
          <w:color w:val="auto"/>
          <w:sz w:val="21"/>
          <w:szCs w:val="21"/>
          <w:lang w:val="en-US" w:eastAsia="zh-CN"/>
        </w:rPr>
        <w:t>”及“</w:t>
      </w:r>
      <w:r>
        <w:rPr>
          <w:rFonts w:hint="eastAsia" w:ascii="宋体" w:hAnsi="宋体" w:cs="宋体"/>
          <w:b/>
          <w:bCs/>
          <w:i w:val="0"/>
          <w:iCs w:val="0"/>
          <w:color w:val="auto"/>
          <w:sz w:val="21"/>
          <w:szCs w:val="21"/>
        </w:rPr>
        <w:t>据此函，_____签字人兹宣布同意如下</w:t>
      </w:r>
      <w:r>
        <w:rPr>
          <w:rFonts w:ascii="宋体" w:hAnsi="宋体" w:cs="宋体"/>
          <w:b/>
          <w:bCs/>
          <w:i w:val="0"/>
          <w:iCs w:val="0"/>
          <w:color w:val="auto"/>
          <w:sz w:val="21"/>
          <w:szCs w:val="21"/>
          <w:lang w:val="en-US" w:eastAsia="zh-CN"/>
        </w:rPr>
        <w:t>”</w:t>
      </w:r>
      <w:r>
        <w:rPr>
          <w:rFonts w:hint="eastAsia" w:ascii="宋体" w:hAnsi="宋体" w:cs="宋体"/>
          <w:b/>
          <w:bCs/>
          <w:i w:val="0"/>
          <w:iCs w:val="0"/>
          <w:color w:val="auto"/>
          <w:sz w:val="21"/>
          <w:szCs w:val="21"/>
          <w:lang w:val="en-US" w:eastAsia="zh-CN"/>
        </w:rPr>
        <w:t>此处填空手写签字、机打签名均可。</w:t>
      </w:r>
      <w:r>
        <w:rPr>
          <w:rFonts w:hint="eastAsia" w:ascii="宋体" w:hAnsi="宋体" w:eastAsia="宋体" w:cs="宋体"/>
          <w:color w:val="auto"/>
          <w:sz w:val="24"/>
          <w:szCs w:val="20"/>
          <w:lang w:eastAsia="zh-CN"/>
        </w:rPr>
        <w:t>）</w:t>
      </w:r>
    </w:p>
    <w:p w14:paraId="5A206DF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14.2对于采用货币报价的项目，开标一览表中的投标总报价应与投标分项报价表中的投标总报价一致，如不一致，不作为无效投标处理，但评标时按开标一览表中价格为准。</w:t>
      </w:r>
    </w:p>
    <w:p w14:paraId="683CEA3D">
      <w:pPr>
        <w:keepNext w:val="0"/>
        <w:keepLines w:val="0"/>
        <w:pageBreakBefore w:val="0"/>
        <w:spacing w:line="500" w:lineRule="exact"/>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.投标有效期</w:t>
      </w:r>
      <w:bookmarkEnd w:id="67"/>
      <w:bookmarkEnd w:id="68"/>
    </w:p>
    <w:p w14:paraId="4B313CA0">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5</w:t>
      </w:r>
      <w:r>
        <w:rPr>
          <w:rFonts w:hint="eastAsia" w:ascii="宋体" w:hAnsi="宋体" w:cs="宋体"/>
          <w:color w:val="auto"/>
          <w:sz w:val="24"/>
          <w:szCs w:val="24"/>
        </w:rPr>
        <w:t>.1 投标有效期为采购人规定的开标之日</w:t>
      </w:r>
      <w:r>
        <w:rPr>
          <w:rFonts w:hint="eastAsia" w:ascii="宋体" w:hAnsi="宋体" w:cs="宋体"/>
          <w:color w:val="auto"/>
          <w:sz w:val="24"/>
          <w:szCs w:val="24"/>
          <w:lang w:eastAsia="zh-CN"/>
        </w:rPr>
        <w:t>后九</w:t>
      </w:r>
      <w:r>
        <w:rPr>
          <w:rFonts w:hint="eastAsia" w:ascii="宋体" w:hAnsi="宋体" w:cs="宋体"/>
          <w:color w:val="auto"/>
          <w:sz w:val="24"/>
          <w:szCs w:val="24"/>
        </w:rPr>
        <w:t>十（</w:t>
      </w:r>
      <w:r>
        <w:rPr>
          <w:rFonts w:hint="eastAsia" w:ascii="宋体" w:hAnsi="宋体" w:cs="宋体"/>
          <w:color w:val="auto"/>
          <w:sz w:val="24"/>
          <w:szCs w:val="24"/>
          <w:lang w:val="en-US" w:eastAsia="zh-CN"/>
        </w:rPr>
        <w:t>9</w:t>
      </w:r>
      <w:r>
        <w:rPr>
          <w:rFonts w:hint="eastAsia" w:ascii="宋体" w:hAnsi="宋体" w:cs="宋体"/>
          <w:color w:val="auto"/>
          <w:sz w:val="24"/>
          <w:szCs w:val="24"/>
        </w:rPr>
        <w:t>0）天。投标有效期比规定短的将被视为非响应性投标而予以拒绝。</w:t>
      </w:r>
    </w:p>
    <w:p w14:paraId="2F516E62">
      <w:pPr>
        <w:keepNext w:val="0"/>
        <w:keepLines w:val="0"/>
        <w:pageBreakBefore w:val="0"/>
        <w:spacing w:line="500" w:lineRule="exact"/>
        <w:ind w:firstLine="482"/>
        <w:jc w:val="lef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16.投标有效期的延长</w:t>
      </w:r>
    </w:p>
    <w:p w14:paraId="29B7FD38">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6.1</w:t>
      </w:r>
      <w:r>
        <w:rPr>
          <w:rFonts w:hint="eastAsia" w:ascii="宋体" w:hAnsi="宋体" w:cs="宋体"/>
          <w:color w:val="auto"/>
          <w:sz w:val="24"/>
          <w:szCs w:val="24"/>
        </w:rPr>
        <w:t xml:space="preserve"> 在特殊情况下，采购</w:t>
      </w:r>
      <w:r>
        <w:rPr>
          <w:rFonts w:hint="eastAsia" w:ascii="宋体" w:hAnsi="宋体" w:cs="宋体"/>
          <w:color w:val="auto"/>
          <w:sz w:val="24"/>
          <w:szCs w:val="24"/>
          <w:lang w:val="en-US" w:eastAsia="zh-CN"/>
        </w:rPr>
        <w:t>人</w:t>
      </w:r>
      <w:r>
        <w:rPr>
          <w:rFonts w:hint="eastAsia" w:ascii="宋体" w:hAnsi="宋体" w:cs="宋体"/>
          <w:color w:val="auto"/>
          <w:sz w:val="24"/>
          <w:szCs w:val="24"/>
        </w:rPr>
        <w:t>于原投标有效期满之前，可向投标人提出延长投标有效期的要求。这种要求与答复均应采用书面形式。投标人可以拒绝采购</w:t>
      </w:r>
      <w:r>
        <w:rPr>
          <w:rFonts w:hint="eastAsia" w:ascii="宋体" w:hAnsi="宋体" w:cs="宋体"/>
          <w:color w:val="auto"/>
          <w:sz w:val="24"/>
          <w:szCs w:val="24"/>
          <w:lang w:val="en-US" w:eastAsia="zh-CN"/>
        </w:rPr>
        <w:t>人</w:t>
      </w:r>
      <w:r>
        <w:rPr>
          <w:rFonts w:hint="eastAsia" w:ascii="宋体" w:hAnsi="宋体" w:cs="宋体"/>
          <w:color w:val="auto"/>
          <w:sz w:val="24"/>
          <w:szCs w:val="24"/>
        </w:rPr>
        <w:t>的这一要求而放弃投标。同意延长投标有效期的投标人既不能要求也不允许修改其投标文件，同时受投标有效期约束的所有权利与义务均延长至新的有效期。</w:t>
      </w:r>
    </w:p>
    <w:p w14:paraId="63DDBE63">
      <w:pPr>
        <w:keepNext w:val="0"/>
        <w:keepLines w:val="0"/>
        <w:pageBreakBefore w:val="0"/>
        <w:spacing w:line="500" w:lineRule="exact"/>
        <w:ind w:firstLine="482"/>
        <w:jc w:val="left"/>
        <w:rPr>
          <w:rFonts w:hint="eastAsia" w:ascii="宋体" w:hAnsi="宋体" w:cs="宋体"/>
          <w:b/>
          <w:bCs/>
          <w:color w:val="auto"/>
          <w:sz w:val="24"/>
          <w:szCs w:val="24"/>
        </w:rPr>
      </w:pPr>
      <w:bookmarkStart w:id="69" w:name="_Hlt26954852"/>
      <w:bookmarkEnd w:id="69"/>
      <w:bookmarkStart w:id="70" w:name="_Hlt26954739"/>
      <w:bookmarkEnd w:id="70"/>
      <w:r>
        <w:rPr>
          <w:rFonts w:hint="eastAsia" w:ascii="宋体" w:hAnsi="宋体" w:cs="宋体"/>
          <w:b/>
          <w:bCs/>
          <w:color w:val="auto"/>
          <w:sz w:val="24"/>
          <w:szCs w:val="24"/>
        </w:rPr>
        <w:t>四、投标文件的递交</w:t>
      </w:r>
    </w:p>
    <w:p w14:paraId="31738B96">
      <w:pPr>
        <w:keepNext w:val="0"/>
        <w:keepLines w:val="0"/>
        <w:pageBreakBefore w:val="0"/>
        <w:spacing w:line="500" w:lineRule="exact"/>
        <w:ind w:firstLine="482"/>
        <w:jc w:val="left"/>
        <w:rPr>
          <w:rFonts w:hint="eastAsia" w:ascii="宋体" w:hAnsi="宋体" w:cs="宋体"/>
          <w:b/>
          <w:bCs/>
          <w:color w:val="auto"/>
          <w:sz w:val="24"/>
          <w:szCs w:val="24"/>
        </w:rPr>
      </w:pPr>
      <w:bookmarkStart w:id="71" w:name="_Toc120614218"/>
      <w:bookmarkStart w:id="72" w:name="_Toc513029229"/>
      <w:bookmarkStart w:id="73" w:name="_Toc16938545"/>
      <w:bookmarkStart w:id="74" w:name="_Toc20823301"/>
      <w:r>
        <w:rPr>
          <w:rFonts w:hint="eastAsia" w:ascii="宋体" w:hAnsi="宋体" w:cs="宋体"/>
          <w:b/>
          <w:bCs/>
          <w:color w:val="auto"/>
          <w:sz w:val="24"/>
          <w:szCs w:val="24"/>
        </w:rPr>
        <w:t>1</w:t>
      </w:r>
      <w:r>
        <w:rPr>
          <w:rFonts w:hint="eastAsia" w:ascii="宋体" w:hAnsi="宋体" w:cs="宋体"/>
          <w:b/>
          <w:bCs/>
          <w:color w:val="auto"/>
          <w:sz w:val="24"/>
          <w:szCs w:val="24"/>
          <w:lang w:val="en-US" w:eastAsia="zh-CN"/>
        </w:rPr>
        <w:t>7</w:t>
      </w:r>
      <w:r>
        <w:rPr>
          <w:rFonts w:hint="eastAsia" w:ascii="宋体" w:hAnsi="宋体" w:cs="宋体"/>
          <w:b/>
          <w:bCs/>
          <w:color w:val="auto"/>
          <w:sz w:val="24"/>
          <w:szCs w:val="24"/>
        </w:rPr>
        <w:t>.投标文件的递交</w:t>
      </w:r>
    </w:p>
    <w:p w14:paraId="2F038E63">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1</w:t>
      </w:r>
      <w:r>
        <w:rPr>
          <w:rFonts w:hint="eastAsia" w:ascii="宋体" w:hAnsi="宋体" w:cs="宋体"/>
          <w:b/>
          <w:bCs/>
          <w:color w:val="auto"/>
          <w:sz w:val="24"/>
          <w:szCs w:val="24"/>
          <w:lang w:val="en-US" w:eastAsia="zh-CN"/>
        </w:rPr>
        <w:t>7</w:t>
      </w:r>
      <w:r>
        <w:rPr>
          <w:rFonts w:hint="eastAsia" w:ascii="宋体" w:hAnsi="宋体" w:cs="宋体"/>
          <w:b/>
          <w:bCs/>
          <w:color w:val="auto"/>
          <w:sz w:val="24"/>
          <w:szCs w:val="24"/>
        </w:rPr>
        <w:t>.1 电子投标文件的递交</w:t>
      </w:r>
    </w:p>
    <w:p w14:paraId="47000F28">
      <w:pPr>
        <w:keepNext w:val="0"/>
        <w:keepLines w:val="0"/>
        <w:pageBreakBefore w:val="0"/>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投标人应当按照《操作手册》规定，在投标截止时间前制作并上传电子投标文件。</w:t>
      </w:r>
    </w:p>
    <w:p w14:paraId="320E7186">
      <w:pPr>
        <w:keepNext w:val="0"/>
        <w:keepLines w:val="0"/>
        <w:pageBreakBefore w:val="0"/>
        <w:spacing w:line="500" w:lineRule="exact"/>
        <w:ind w:firstLine="480"/>
        <w:jc w:val="left"/>
        <w:rPr>
          <w:rFonts w:hint="eastAsia" w:ascii="宋体" w:hAnsi="宋体" w:cs="宋体"/>
          <w:color w:val="auto"/>
          <w:sz w:val="24"/>
          <w:szCs w:val="24"/>
        </w:rPr>
      </w:pPr>
      <w:r>
        <w:rPr>
          <w:rFonts w:hint="eastAsia"/>
          <w:b/>
          <w:bCs/>
          <w:i/>
          <w:iCs/>
          <w:color w:val="auto"/>
          <w:sz w:val="24"/>
          <w:szCs w:val="24"/>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593FB0D6">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1</w:t>
      </w:r>
      <w:r>
        <w:rPr>
          <w:rFonts w:hint="eastAsia" w:ascii="宋体" w:hAnsi="宋体" w:cs="宋体"/>
          <w:b/>
          <w:bCs/>
          <w:color w:val="auto"/>
          <w:sz w:val="24"/>
          <w:szCs w:val="24"/>
          <w:lang w:val="en-US" w:eastAsia="zh-CN"/>
        </w:rPr>
        <w:t>8</w:t>
      </w:r>
      <w:r>
        <w:rPr>
          <w:rFonts w:hint="eastAsia" w:ascii="宋体" w:hAnsi="宋体" w:cs="宋体"/>
          <w:b/>
          <w:bCs/>
          <w:color w:val="auto"/>
          <w:sz w:val="24"/>
          <w:szCs w:val="24"/>
        </w:rPr>
        <w:t>.投标截止时间</w:t>
      </w:r>
    </w:p>
    <w:p w14:paraId="3B2CFB1D">
      <w:pPr>
        <w:keepNext w:val="0"/>
        <w:keepLines w:val="0"/>
        <w:pageBreakBefore w:val="0"/>
        <w:spacing w:line="500" w:lineRule="exact"/>
        <w:ind w:firstLine="482"/>
        <w:jc w:val="left"/>
        <w:rPr>
          <w:rFonts w:hint="eastAsia" w:ascii="宋体" w:hAnsi="宋体" w:cs="宋体"/>
          <w:i/>
          <w:iCs/>
          <w:color w:val="auto"/>
          <w:sz w:val="24"/>
          <w:szCs w:val="24"/>
          <w:u w:val="single"/>
        </w:rPr>
      </w:pPr>
      <w:r>
        <w:rPr>
          <w:rFonts w:hint="eastAsia" w:ascii="宋体" w:hAnsi="宋体" w:cs="宋体"/>
          <w:i/>
          <w:iCs/>
          <w:color w:val="auto"/>
          <w:sz w:val="24"/>
          <w:szCs w:val="24"/>
          <w:u w:val="single"/>
        </w:rPr>
        <w:t>1</w:t>
      </w:r>
      <w:r>
        <w:rPr>
          <w:rFonts w:hint="eastAsia" w:ascii="宋体" w:hAnsi="宋体" w:cs="宋体"/>
          <w:i/>
          <w:iCs/>
          <w:color w:val="auto"/>
          <w:sz w:val="24"/>
          <w:szCs w:val="24"/>
          <w:u w:val="single"/>
          <w:lang w:val="en-US" w:eastAsia="zh-CN"/>
        </w:rPr>
        <w:t>8</w:t>
      </w:r>
      <w:r>
        <w:rPr>
          <w:rFonts w:hint="eastAsia" w:ascii="宋体" w:hAnsi="宋体" w:cs="宋体"/>
          <w:i/>
          <w:iCs/>
          <w:color w:val="auto"/>
          <w:sz w:val="24"/>
          <w:szCs w:val="24"/>
          <w:u w:val="single"/>
        </w:rPr>
        <w:t>.1投标人上传电子投标文件的时间不得迟于招标公告中规定的投标截止时间。</w:t>
      </w:r>
    </w:p>
    <w:p w14:paraId="29BF27B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投标人应充分考虑到网络环境、网络带宽等风险因素，如因投标人自身原因造成的电子投标文件上传不成功的按照本招标文件第二章第27.1.2条规定做无效投标处理。</w:t>
      </w:r>
    </w:p>
    <w:p w14:paraId="2FB5EB73">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8</w:t>
      </w:r>
      <w:r>
        <w:rPr>
          <w:rFonts w:hint="eastAsia" w:ascii="宋体" w:hAnsi="宋体" w:cs="宋体"/>
          <w:color w:val="auto"/>
          <w:sz w:val="24"/>
          <w:szCs w:val="24"/>
        </w:rPr>
        <w:t>.2采购代理机构可以按照规定，通过修改招标文件酌情延长投标截止时间，在此情况下，投标人的所有权利和义务以及投标人受制的截止时间均应以延长后新的截止时间为准。</w:t>
      </w:r>
    </w:p>
    <w:p w14:paraId="39F8826A">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lang w:val="en-US" w:eastAsia="zh-CN"/>
        </w:rPr>
        <w:t>19</w:t>
      </w:r>
      <w:r>
        <w:rPr>
          <w:rFonts w:hint="eastAsia" w:ascii="宋体" w:hAnsi="宋体" w:cs="宋体"/>
          <w:b/>
          <w:bCs/>
          <w:color w:val="auto"/>
          <w:sz w:val="24"/>
          <w:szCs w:val="24"/>
        </w:rPr>
        <w:t>.投标文件的拒收</w:t>
      </w:r>
    </w:p>
    <w:p w14:paraId="72855C8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en-US" w:eastAsia="zh-CN"/>
        </w:rPr>
        <w:t>19</w:t>
      </w:r>
      <w:r>
        <w:rPr>
          <w:rFonts w:hint="eastAsia" w:ascii="宋体" w:hAnsi="宋体" w:cs="宋体"/>
          <w:color w:val="auto"/>
          <w:sz w:val="24"/>
          <w:szCs w:val="24"/>
        </w:rPr>
        <w:t>.1采购代理机构拒绝接收在其规定的投标截止时间后上传的任何投标文件。</w:t>
      </w:r>
    </w:p>
    <w:p w14:paraId="4370B2A3">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0</w:t>
      </w:r>
      <w:r>
        <w:rPr>
          <w:rFonts w:hint="eastAsia" w:ascii="宋体" w:hAnsi="宋体" w:cs="宋体"/>
          <w:b/>
          <w:bCs/>
          <w:color w:val="auto"/>
          <w:sz w:val="24"/>
          <w:szCs w:val="24"/>
        </w:rPr>
        <w:t>.投标文件的撤回和修改</w:t>
      </w:r>
    </w:p>
    <w:p w14:paraId="698680C0">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0</w:t>
      </w:r>
      <w:r>
        <w:rPr>
          <w:rFonts w:hint="eastAsia" w:ascii="宋体" w:hAnsi="宋体" w:cs="宋体"/>
          <w:b/>
          <w:bCs/>
          <w:color w:val="auto"/>
          <w:sz w:val="24"/>
          <w:szCs w:val="24"/>
        </w:rPr>
        <w:t>.1投标文件的撤回</w:t>
      </w:r>
    </w:p>
    <w:p w14:paraId="394D188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0</w:t>
      </w:r>
      <w:r>
        <w:rPr>
          <w:rFonts w:hint="eastAsia" w:ascii="宋体" w:hAnsi="宋体" w:cs="宋体"/>
          <w:color w:val="auto"/>
          <w:sz w:val="24"/>
          <w:szCs w:val="24"/>
        </w:rPr>
        <w:t>.1.1电子投标文件的撤回</w:t>
      </w:r>
    </w:p>
    <w:p w14:paraId="72DEFD33">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投标人可在投标截止时间前，撤回其电子投标文件，具体操作方法见《操作手册》。</w:t>
      </w:r>
    </w:p>
    <w:p w14:paraId="5E2C794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0</w:t>
      </w:r>
      <w:r>
        <w:rPr>
          <w:rFonts w:hint="eastAsia" w:ascii="宋体" w:hAnsi="宋体" w:cs="宋体"/>
          <w:color w:val="auto"/>
          <w:sz w:val="24"/>
          <w:szCs w:val="24"/>
        </w:rPr>
        <w:t>.1.2投标人撤回电子投标文件，则认为其不再参与本项目投标活动。</w:t>
      </w:r>
    </w:p>
    <w:p w14:paraId="3236D67E">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0</w:t>
      </w:r>
      <w:r>
        <w:rPr>
          <w:rFonts w:hint="eastAsia" w:ascii="宋体" w:hAnsi="宋体" w:cs="宋体"/>
          <w:b/>
          <w:bCs/>
          <w:color w:val="auto"/>
          <w:sz w:val="24"/>
          <w:szCs w:val="24"/>
        </w:rPr>
        <w:t>.2 投标文件的修改</w:t>
      </w:r>
    </w:p>
    <w:p w14:paraId="42D4ED8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0</w:t>
      </w:r>
      <w:r>
        <w:rPr>
          <w:rFonts w:hint="eastAsia" w:ascii="宋体" w:hAnsi="宋体" w:cs="宋体"/>
          <w:color w:val="auto"/>
          <w:sz w:val="24"/>
          <w:szCs w:val="24"/>
        </w:rPr>
        <w:t>.2.1投标人可在投标截止时间前，对其电子投标文件进行修改，具体操作方法见《操作手册》。</w:t>
      </w:r>
    </w:p>
    <w:p w14:paraId="1D200B57">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0</w:t>
      </w:r>
      <w:r>
        <w:rPr>
          <w:rFonts w:hint="eastAsia" w:ascii="宋体" w:hAnsi="宋体" w:cs="宋体"/>
          <w:color w:val="auto"/>
          <w:sz w:val="24"/>
          <w:szCs w:val="24"/>
        </w:rPr>
        <w:t>.2.2在投标截止时间之后，投标人不得对其电子投标文件作任何修改。</w:t>
      </w:r>
    </w:p>
    <w:p w14:paraId="311ACFF3">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0</w:t>
      </w:r>
      <w:r>
        <w:rPr>
          <w:rFonts w:hint="eastAsia" w:ascii="宋体" w:hAnsi="宋体" w:cs="宋体"/>
          <w:color w:val="auto"/>
          <w:sz w:val="24"/>
          <w:szCs w:val="24"/>
        </w:rPr>
        <w:t>.3在投标截止时间至招标文件中规定的投标有效期满之间的这段时间内，投标人不得撤回其投标。</w:t>
      </w:r>
    </w:p>
    <w:p w14:paraId="6898290F">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五、开标与评标</w:t>
      </w:r>
      <w:bookmarkEnd w:id="71"/>
      <w:bookmarkEnd w:id="72"/>
      <w:bookmarkEnd w:id="73"/>
      <w:bookmarkEnd w:id="74"/>
    </w:p>
    <w:p w14:paraId="393047CF">
      <w:pPr>
        <w:keepNext w:val="0"/>
        <w:keepLines w:val="0"/>
        <w:pageBreakBefore w:val="0"/>
        <w:spacing w:line="500" w:lineRule="exact"/>
        <w:ind w:firstLine="482"/>
        <w:jc w:val="left"/>
        <w:rPr>
          <w:rFonts w:hint="eastAsia" w:ascii="宋体" w:hAnsi="宋体" w:cs="宋体"/>
          <w:b/>
          <w:bCs/>
          <w:color w:val="auto"/>
          <w:sz w:val="24"/>
          <w:szCs w:val="24"/>
        </w:rPr>
      </w:pPr>
      <w:bookmarkStart w:id="75" w:name="_Toc16938546"/>
      <w:bookmarkStart w:id="76" w:name="_Toc513029230"/>
      <w:bookmarkStart w:id="77" w:name="_Toc20823302"/>
      <w:r>
        <w:rPr>
          <w:rFonts w:hint="eastAsia" w:ascii="宋体" w:hAnsi="宋体" w:cs="宋体"/>
          <w:b/>
          <w:bCs/>
          <w:color w:val="auto"/>
          <w:sz w:val="24"/>
          <w:szCs w:val="24"/>
        </w:rPr>
        <w:t>2</w:t>
      </w:r>
      <w:r>
        <w:rPr>
          <w:rFonts w:hint="eastAsia" w:ascii="宋体" w:hAnsi="宋体" w:cs="宋体"/>
          <w:b/>
          <w:bCs/>
          <w:color w:val="auto"/>
          <w:sz w:val="24"/>
          <w:szCs w:val="24"/>
          <w:lang w:val="en-US" w:eastAsia="zh-CN"/>
        </w:rPr>
        <w:t>1</w:t>
      </w:r>
      <w:r>
        <w:rPr>
          <w:rFonts w:hint="eastAsia" w:ascii="宋体" w:hAnsi="宋体" w:cs="宋体"/>
          <w:b/>
          <w:bCs/>
          <w:color w:val="auto"/>
          <w:sz w:val="24"/>
          <w:szCs w:val="24"/>
        </w:rPr>
        <w:t>.开标</w:t>
      </w:r>
      <w:bookmarkEnd w:id="75"/>
      <w:bookmarkEnd w:id="76"/>
      <w:bookmarkEnd w:id="77"/>
    </w:p>
    <w:p w14:paraId="7A31C827">
      <w:pPr>
        <w:keepNext w:val="0"/>
        <w:keepLines w:val="0"/>
        <w:pageBreakBefore w:val="0"/>
        <w:spacing w:line="500" w:lineRule="exact"/>
        <w:ind w:firstLine="482"/>
        <w:jc w:val="left"/>
        <w:rPr>
          <w:rFonts w:hint="eastAsia" w:ascii="宋体" w:hAnsi="宋体" w:cs="宋体"/>
          <w:color w:val="auto"/>
          <w:sz w:val="24"/>
          <w:szCs w:val="24"/>
        </w:rPr>
      </w:pPr>
      <w:bookmarkStart w:id="78" w:name="_Toc20823303"/>
      <w:bookmarkStart w:id="79" w:name="_Toc513029231"/>
      <w:bookmarkStart w:id="80" w:name="_Toc16938547"/>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.1采购代理机构将在招标公告中规定的时间和地点组织公开开标。投标人应当按照《操作手册》规定，参加开标活动和在苏采云系统规定的时间内对投标文件进行解密。</w:t>
      </w:r>
    </w:p>
    <w:p w14:paraId="1A46F825">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.2开标仪式由采购代理机构组织。苏采云系统将自动对项目进行开标，并宣布各投标人名称和投标价格。</w:t>
      </w:r>
    </w:p>
    <w:p w14:paraId="48D71BF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.3投标人在开标过程中涉及到的投标文件解密、开标结果确认等工作，应按照《操作手册》规定执行。</w:t>
      </w:r>
    </w:p>
    <w:p w14:paraId="5DD3C6C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.4投标人如果对开标过程和开标记录有疑义，应当根据《操作手册》规定提出，如苏采云系统中《开标记录表》宣布后5分钟内未提出的，视同认可开标结果。</w:t>
      </w:r>
      <w:bookmarkEnd w:id="78"/>
      <w:bookmarkEnd w:id="79"/>
      <w:bookmarkEnd w:id="80"/>
    </w:p>
    <w:p w14:paraId="5D5828C7">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.评标委员会</w:t>
      </w:r>
    </w:p>
    <w:p w14:paraId="09FCCD36">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2</w:t>
      </w:r>
      <w:r>
        <w:rPr>
          <w:rFonts w:hint="eastAsia" w:ascii="宋体" w:hAnsi="宋体" w:cs="宋体"/>
          <w:color w:val="auto"/>
          <w:sz w:val="24"/>
          <w:szCs w:val="24"/>
        </w:rPr>
        <w:t>.1开标后，采购</w:t>
      </w:r>
      <w:r>
        <w:rPr>
          <w:rFonts w:hint="eastAsia" w:ascii="宋体" w:hAnsi="宋体" w:cs="宋体"/>
          <w:color w:val="auto"/>
          <w:sz w:val="24"/>
          <w:szCs w:val="24"/>
          <w:lang w:val="en-US" w:eastAsia="zh-CN"/>
        </w:rPr>
        <w:t>人</w:t>
      </w:r>
      <w:r>
        <w:rPr>
          <w:rFonts w:hint="eastAsia" w:ascii="宋体" w:hAnsi="宋体" w:cs="宋体"/>
          <w:color w:val="auto"/>
          <w:sz w:val="24"/>
          <w:szCs w:val="24"/>
        </w:rPr>
        <w:t>将立即组织评标委员会（以下简称评委会）进行评标。</w:t>
      </w:r>
    </w:p>
    <w:p w14:paraId="0623A85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2</w:t>
      </w:r>
      <w:r>
        <w:rPr>
          <w:rFonts w:hint="eastAsia" w:ascii="宋体" w:hAnsi="宋体" w:cs="宋体"/>
          <w:color w:val="auto"/>
          <w:sz w:val="24"/>
          <w:szCs w:val="24"/>
        </w:rPr>
        <w:t>.2评委会由采购人代表和有关技术、经济等方面的专家组成，且人员构成符合政府采购有关规定。</w:t>
      </w:r>
    </w:p>
    <w:p w14:paraId="688D963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2</w:t>
      </w:r>
      <w:r>
        <w:rPr>
          <w:rFonts w:hint="eastAsia" w:ascii="宋体" w:hAnsi="宋体" w:cs="宋体"/>
          <w:color w:val="auto"/>
          <w:sz w:val="24"/>
          <w:szCs w:val="24"/>
        </w:rPr>
        <w:t>.3评委会独立工作，负责评审所有投标文件并确定中标侯选人。</w:t>
      </w:r>
    </w:p>
    <w:p w14:paraId="4233C6D3">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.评标过程的保密与公正</w:t>
      </w:r>
    </w:p>
    <w:p w14:paraId="0ADFD4D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3</w:t>
      </w:r>
      <w:r>
        <w:rPr>
          <w:rFonts w:hint="eastAsia" w:ascii="宋体" w:hAnsi="宋体" w:cs="宋体"/>
          <w:color w:val="auto"/>
          <w:sz w:val="24"/>
          <w:szCs w:val="24"/>
        </w:rPr>
        <w:t>.1凡是与审查、澄清、评价和比较投标的有关资料以及授标建议等，采购人、评委、采购代理机构均不得向投标人或与评标无关的其他人员透露。</w:t>
      </w:r>
    </w:p>
    <w:p w14:paraId="610C16D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3</w:t>
      </w:r>
      <w:r>
        <w:rPr>
          <w:rFonts w:hint="eastAsia" w:ascii="宋体" w:hAnsi="宋体" w:cs="宋体"/>
          <w:color w:val="auto"/>
          <w:sz w:val="24"/>
          <w:szCs w:val="24"/>
        </w:rPr>
        <w:t>.2在评标过程中，投标人不得以任何行为影响评标过程，否则其投标文件将被作为无效投标文件。</w:t>
      </w:r>
    </w:p>
    <w:p w14:paraId="4FD7529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3</w:t>
      </w:r>
      <w:r>
        <w:rPr>
          <w:rFonts w:hint="eastAsia" w:ascii="宋体" w:hAnsi="宋体" w:cs="宋体"/>
          <w:color w:val="auto"/>
          <w:sz w:val="24"/>
          <w:szCs w:val="24"/>
        </w:rPr>
        <w:t>.3采购代理机构和评标委员会不向未中标的投标人解释未中标原因，也不公布评标过程中的相关细节。</w:t>
      </w:r>
    </w:p>
    <w:p w14:paraId="0C910D76">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3</w:t>
      </w:r>
      <w:r>
        <w:rPr>
          <w:rFonts w:hint="eastAsia" w:ascii="宋体" w:hAnsi="宋体" w:cs="宋体"/>
          <w:color w:val="auto"/>
          <w:sz w:val="24"/>
          <w:szCs w:val="24"/>
        </w:rPr>
        <w:t>.4采用综合评分法的项目，未中标的投标人可于中标结果公告期限届满之日起通过苏采云系统查看自己的评审得分及排序情况。</w:t>
      </w:r>
    </w:p>
    <w:p w14:paraId="14EF1C73">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4</w:t>
      </w:r>
      <w:r>
        <w:rPr>
          <w:rFonts w:hint="eastAsia" w:ascii="宋体" w:hAnsi="宋体" w:cs="宋体"/>
          <w:b/>
          <w:bCs/>
          <w:color w:val="auto"/>
          <w:sz w:val="24"/>
          <w:szCs w:val="24"/>
        </w:rPr>
        <w:t>.投标文件的澄清</w:t>
      </w:r>
    </w:p>
    <w:p w14:paraId="0572BC4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.1评标期间，评委会对投标文件中含义不明确、同类问题表述不一致或者有明显文字和计算错误的内容，有权要求投标人作出必要的澄清、说明或者补正。</w:t>
      </w:r>
    </w:p>
    <w:p w14:paraId="5594FCC1">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投标人的澄清、说明或者补正不得超出投标文件的范围或者改变投标文件的实质性内容。</w:t>
      </w:r>
    </w:p>
    <w:p w14:paraId="69DCC8D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评标委员会并非对每个投标人都做澄清要求。</w:t>
      </w:r>
    </w:p>
    <w:p w14:paraId="28732AD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40E8178F">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.3接到评委会澄清、说明和补正要求的投标人如未按规定做出澄清、说明和补正，其风险由投标人自行承担。</w:t>
      </w:r>
    </w:p>
    <w:p w14:paraId="1A73A5E1">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5</w:t>
      </w:r>
      <w:r>
        <w:rPr>
          <w:rFonts w:hint="eastAsia" w:ascii="宋体" w:hAnsi="宋体" w:cs="宋体"/>
          <w:b/>
          <w:bCs/>
          <w:color w:val="auto"/>
          <w:sz w:val="24"/>
          <w:szCs w:val="24"/>
        </w:rPr>
        <w:t>.对投标文件的初审</w:t>
      </w:r>
    </w:p>
    <w:p w14:paraId="7366325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.1投标文件初审分为资格审查和符合性审查。</w:t>
      </w:r>
    </w:p>
    <w:p w14:paraId="09F9038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.1.1资格审查：依据法律法规和招标文件的规定，由采购人对投标文件中的资格证明文件进行审查。资格审查的结论，采购人以书面形式向评委会进行反馈。</w:t>
      </w:r>
    </w:p>
    <w:p w14:paraId="77C5B9EF">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采购人在进行资格性审查的同时，将在“信用中国”网站（www.creditchina.gov.cn）查询投标人的信用记录，以确定投标人是否具备投标资格,查询结果留存并归档。</w:t>
      </w:r>
    </w:p>
    <w:p w14:paraId="4CF7504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.1.2符合性审查：依据招标文件的规定，由评委会从投标文件的有效性、完整性和对招标文件的响应程度进行审查，以确定是否对招标文件的实质性要求作出响应。</w:t>
      </w:r>
    </w:p>
    <w:p w14:paraId="77D182A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.1.3未通过资格审查或符合性审查的投标人，采购代理机构将在苏采云系统中告知未通过资格审查或符合性审查的原因，评标结束后，采购代理机构将不再告知未通过资格审查和符合性审查的原因。</w:t>
      </w:r>
    </w:p>
    <w:p w14:paraId="5D0A3BC6">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14:paraId="5356908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56E01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.3如果投标文件实质上没有响应招标文件的要求，评委会将予以拒绝，投标人不得通过修改或撤销不合要求的偏离或保留而使其投标成为实质性响应的投标。</w:t>
      </w:r>
    </w:p>
    <w:p w14:paraId="00B8739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.4评委会将对确定为实质性响应的投标进行进一步审核，确定其是否有计算上或累加上的算术错误，修正错误的原则如下：</w:t>
      </w:r>
    </w:p>
    <w:p w14:paraId="0956E9A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（1）投标文件中开标一览表内容与投标文件中相应内容不一致的，以开标一览表为准。</w:t>
      </w:r>
    </w:p>
    <w:p w14:paraId="36CFF7F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（2）大写金额和小写金额不一致的，以大写金额为准。</w:t>
      </w:r>
    </w:p>
    <w:p w14:paraId="36D8929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（3）单价金额小数点或者百分比有明显错位的，以开标一览表的总价为准，并修改单价。</w:t>
      </w:r>
    </w:p>
    <w:p w14:paraId="15DDF977">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（4）总价金额与按单价汇总金额不一致的，以单价金额计算结果为准。</w:t>
      </w:r>
    </w:p>
    <w:p w14:paraId="37905C35">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同时出现两种以上错误的，按照前款规定的顺序修正。</w:t>
      </w:r>
    </w:p>
    <w:p w14:paraId="60D46478">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.5评委会将按上述修正错误的方法调整投标文件中的投标报价，并通过苏采云系统告知投标人，调整后的价格应对投标人具有约束力。如果投标人不接受修正后的价格，则其投标将被拒绝。</w:t>
      </w:r>
    </w:p>
    <w:p w14:paraId="2F81E4E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.6投标人在开、评标全过程中应保持通讯畅通，及时登录苏采云系统查阅、答复相关信息，并安排专人与采购人及评标委员会联系。</w:t>
      </w:r>
    </w:p>
    <w:p w14:paraId="32300D2D">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6</w:t>
      </w:r>
      <w:r>
        <w:rPr>
          <w:rFonts w:hint="eastAsia" w:ascii="宋体" w:hAnsi="宋体" w:cs="宋体"/>
          <w:b/>
          <w:bCs/>
          <w:color w:val="auto"/>
          <w:sz w:val="24"/>
          <w:szCs w:val="24"/>
        </w:rPr>
        <w:t>.无效投标条款和废标条款</w:t>
      </w:r>
    </w:p>
    <w:p w14:paraId="07ED20AF">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.1无效投标条款</w:t>
      </w:r>
    </w:p>
    <w:p w14:paraId="5ED17101">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.1.1投标人在苏采云系统规定的时间内未成功解密电子投标文件的。</w:t>
      </w:r>
    </w:p>
    <w:p w14:paraId="575DFB2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.1.2投标人未按照招标文件要求上传电子投标文件的。</w:t>
      </w:r>
    </w:p>
    <w:p w14:paraId="77B22A8E">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.1.3同一投标人提交两个（含两个）以上不同的投标报价的。</w:t>
      </w:r>
    </w:p>
    <w:p w14:paraId="7C0AF3F5">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.1.4投标人不具备招标文件中规定资格要求的。</w:t>
      </w:r>
    </w:p>
    <w:p w14:paraId="63C1C5E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.1.5投标人的报价超过了采购预算或最高限价的。</w:t>
      </w:r>
    </w:p>
    <w:p w14:paraId="3F717DD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.1.6未通过符合性审查的。</w:t>
      </w:r>
    </w:p>
    <w:p w14:paraId="160389FA">
      <w:pPr>
        <w:keepNext w:val="0"/>
        <w:keepLines w:val="0"/>
        <w:pageBreakBefore w:val="0"/>
        <w:spacing w:line="500" w:lineRule="exact"/>
        <w:ind w:firstLine="482"/>
        <w:jc w:val="left"/>
        <w:rPr>
          <w:rFonts w:hint="eastAsia" w:ascii="宋体" w:hAnsi="宋体" w:cs="宋体"/>
          <w:i/>
          <w:iCs/>
          <w:color w:val="auto"/>
          <w:sz w:val="24"/>
          <w:szCs w:val="24"/>
          <w:u w:val="single"/>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.1.7不符合招标文件中规定的实质性要求和条件的。（</w:t>
      </w:r>
      <w:r>
        <w:rPr>
          <w:rFonts w:hint="eastAsia" w:ascii="宋体" w:hAnsi="宋体" w:cs="宋体"/>
          <w:i/>
          <w:iCs/>
          <w:color w:val="auto"/>
          <w:sz w:val="24"/>
          <w:szCs w:val="24"/>
          <w:u w:val="single"/>
        </w:rPr>
        <w:t>本招标文件中斜体且有下划线部分为实质性要求和条件）。</w:t>
      </w:r>
    </w:p>
    <w:p w14:paraId="06C06576">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CDB111">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.1.9投标文件含有采购人不能接受的附加条件的。</w:t>
      </w:r>
    </w:p>
    <w:p w14:paraId="24CC7B03">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.1.10投标人不能证明其报价合理性的，评</w:t>
      </w:r>
      <w:r>
        <w:rPr>
          <w:rFonts w:hint="eastAsia" w:ascii="宋体" w:hAnsi="宋体" w:cs="宋体"/>
          <w:color w:val="auto"/>
          <w:sz w:val="24"/>
          <w:szCs w:val="24"/>
          <w:lang w:val="en-US" w:eastAsia="zh-CN"/>
        </w:rPr>
        <w:t>标</w:t>
      </w:r>
      <w:r>
        <w:rPr>
          <w:rFonts w:hint="eastAsia" w:ascii="宋体" w:hAnsi="宋体" w:cs="宋体"/>
          <w:color w:val="auto"/>
          <w:sz w:val="24"/>
          <w:szCs w:val="24"/>
        </w:rPr>
        <w:t>委员会应当将其作为无效投标处理。</w:t>
      </w:r>
    </w:p>
    <w:p w14:paraId="5D820C6C">
      <w:pPr>
        <w:keepNext w:val="0"/>
        <w:keepLines w:val="0"/>
        <w:pageBreakBefore w:val="0"/>
        <w:spacing w:line="500" w:lineRule="exact"/>
        <w:ind w:firstLine="482"/>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（一）评审过程中出现下列情形之一的，评标委员会应当启动异常低价投标审查程序：</w:t>
      </w:r>
    </w:p>
    <w:p w14:paraId="74083063">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1.投标（响应）报价低于全部通过符合性审查供应商投标（响应）报价平均值50%的，即投标（响应）报价＜全部通过符合性审查供应商投标（响应）报价平均值×50%；</w:t>
      </w:r>
    </w:p>
    <w:p w14:paraId="1D4FA05D">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2.投标（响应）报价低于通过符合性审查的次低报价供应商投标（响应）报价50%的，即投标（响应）报价＜通过符合性审查的次低报价供应商投标（响应）报价×50%；</w:t>
      </w:r>
    </w:p>
    <w:p w14:paraId="28DBA50B">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3.投标（响应）报价低于采购项目最高限价45%的，即投标（响应）报价＜采购项目最高限价×45%；</w:t>
      </w:r>
    </w:p>
    <w:p w14:paraId="59137B79">
      <w:pPr>
        <w:keepNext w:val="0"/>
        <w:keepLines w:val="0"/>
        <w:pageBreakBefore w:val="0"/>
        <w:spacing w:line="500" w:lineRule="exact"/>
        <w:ind w:firstLine="482"/>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4.评标委员会认定的供应商报价过低、有可能影响产品质量或者不能诚信履约的其他情形。</w:t>
      </w:r>
    </w:p>
    <w:p w14:paraId="61081A0F">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相关法律法规对供应商报价有规定的，从其规定。</w:t>
      </w:r>
    </w:p>
    <w:p w14:paraId="4837D4DF">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2E693B">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0B3731">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40EE68">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10A3D8D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.1.11投标文件未按照招标文件要求加盖CA电子公章的。</w:t>
      </w:r>
    </w:p>
    <w:p w14:paraId="6B26732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.1.12其他法律、法规及本招标文件规定的属无效投标的情形。</w:t>
      </w:r>
    </w:p>
    <w:p w14:paraId="4EF24B4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.2废标条款</w:t>
      </w:r>
    </w:p>
    <w:p w14:paraId="60A1F97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.2.1符合专业条件的投标人或者对招标文件作实质响应的投标人不足三家的。</w:t>
      </w:r>
    </w:p>
    <w:p w14:paraId="01AE44B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.2.2出现影响采购公正的违法、违规行为的。</w:t>
      </w:r>
    </w:p>
    <w:p w14:paraId="713B9AB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.2.3因重大变故，采购任务取消的。</w:t>
      </w:r>
    </w:p>
    <w:p w14:paraId="7E8613A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.2.4评标委员会认定招标文件存在歧义、重大缺陷导致评审工作无法进行。</w:t>
      </w:r>
    </w:p>
    <w:p w14:paraId="63ABBE27">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.2.5因苏采云系统系统故障原因造成开标不成功的。</w:t>
      </w:r>
    </w:p>
    <w:p w14:paraId="2E23D7EF">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.3 投标截止时间结束后参加投标的投标人不足三家的处理：</w:t>
      </w:r>
    </w:p>
    <w:p w14:paraId="6D425890">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.3.1如出现投标截止时间结束后参加投标的投标人或者在评标期间对招标文件做出实质响应的投标人不足三家情况，按政府采购相关规定执行。</w:t>
      </w:r>
    </w:p>
    <w:p w14:paraId="231214DE">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六、定标</w:t>
      </w:r>
    </w:p>
    <w:p w14:paraId="273490F1">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7</w:t>
      </w:r>
      <w:r>
        <w:rPr>
          <w:rFonts w:hint="eastAsia" w:ascii="宋体" w:hAnsi="宋体" w:cs="宋体"/>
          <w:b/>
          <w:bCs/>
          <w:color w:val="auto"/>
          <w:sz w:val="24"/>
          <w:szCs w:val="24"/>
        </w:rPr>
        <w:t>.确定中标单位</w:t>
      </w:r>
    </w:p>
    <w:p w14:paraId="5BB9016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 xml:space="preserve">.1中标候选人的选取原则和数量见招标文件第五章规定。 </w:t>
      </w:r>
    </w:p>
    <w:p w14:paraId="234AA21B">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.2采购人应根据评委会推荐的中标候选人确定中标人。</w:t>
      </w:r>
    </w:p>
    <w:p w14:paraId="5B994BB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.3采购代理机构将在“中国政府采购网”、“江苏政府采购网”、“盐城市政府采购网”发布中标公告，公告期限为1个工作日。</w:t>
      </w:r>
    </w:p>
    <w:p w14:paraId="2096035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.4若有充分证据证明，中标人出现下列情况之一的，一经查实，将被取消中标资格：</w:t>
      </w:r>
    </w:p>
    <w:p w14:paraId="547E26A4">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.4.1提供虚假材料谋取中标的。</w:t>
      </w:r>
    </w:p>
    <w:p w14:paraId="647305F7">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.4.2向采购人、采购代理机构行贿或者提供其他不正当利益的。</w:t>
      </w:r>
    </w:p>
    <w:p w14:paraId="78AB85DC">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.4.3属于本文件规定的无效条件，但在评标过程中又未被评委会发现的。</w:t>
      </w:r>
    </w:p>
    <w:p w14:paraId="53C9E721">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.4.4与采购人或者其他投标人恶意串通的。</w:t>
      </w:r>
    </w:p>
    <w:p w14:paraId="242AECB9">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.4.5采取不正当手段诋毁、排挤其他投标人的。</w:t>
      </w:r>
    </w:p>
    <w:p w14:paraId="7C3967E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.5 有下列情形之一的，视为投标人串通投标，投标无效：</w:t>
      </w:r>
    </w:p>
    <w:p w14:paraId="1047C96A">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.5.1不同投标人的投标文件由同一单位或者个人编制。</w:t>
      </w:r>
    </w:p>
    <w:p w14:paraId="4FDE4882">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.5.2不同投标人委托同一单位或者个人办理投标事宜。</w:t>
      </w:r>
    </w:p>
    <w:p w14:paraId="64C0323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.5.3不同投标人的投标文件载明的项目管理成员或者联系人员为同一人。</w:t>
      </w:r>
    </w:p>
    <w:p w14:paraId="01C2BDAF">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.5.4不同投标人的投标文件异常一致或者投标报价呈规律性差异。</w:t>
      </w:r>
    </w:p>
    <w:p w14:paraId="145565D9">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2</w:t>
      </w:r>
      <w:r>
        <w:rPr>
          <w:rFonts w:hint="eastAsia" w:ascii="宋体" w:hAnsi="宋体" w:cs="宋体"/>
          <w:b/>
          <w:bCs/>
          <w:color w:val="auto"/>
          <w:sz w:val="24"/>
          <w:szCs w:val="24"/>
          <w:lang w:val="en-US" w:eastAsia="zh-CN"/>
        </w:rPr>
        <w:t>8</w:t>
      </w:r>
      <w:r>
        <w:rPr>
          <w:rFonts w:hint="eastAsia" w:ascii="宋体" w:hAnsi="宋体" w:cs="宋体"/>
          <w:b/>
          <w:bCs/>
          <w:color w:val="auto"/>
          <w:sz w:val="24"/>
          <w:szCs w:val="24"/>
        </w:rPr>
        <w:t>.质疑处理</w:t>
      </w:r>
    </w:p>
    <w:p w14:paraId="3E275366">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8</w:t>
      </w:r>
      <w:r>
        <w:rPr>
          <w:rFonts w:hint="eastAsia" w:ascii="宋体" w:hAnsi="宋体" w:cs="宋体"/>
          <w:color w:val="auto"/>
          <w:sz w:val="24"/>
          <w:szCs w:val="24"/>
        </w:rPr>
        <w:t>.1提出质疑的投标人应当是参与所质疑项目采购活动的投标人。潜在投标人依法获取其可质疑的招标文件的，可以对招标文件提出质疑。</w:t>
      </w:r>
    </w:p>
    <w:p w14:paraId="0FF0E45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lang w:eastAsia="zh-CN"/>
        </w:rPr>
        <w:t>交易中心</w:t>
      </w:r>
      <w:r>
        <w:rPr>
          <w:rFonts w:hint="eastAsia" w:ascii="宋体" w:hAnsi="宋体" w:cs="宋体"/>
          <w:color w:val="auto"/>
          <w:sz w:val="24"/>
        </w:rPr>
        <w:t>或采购人提出质疑。上述应知其权益受到损害之日，是指：</w:t>
      </w:r>
    </w:p>
    <w:p w14:paraId="2C9B1F5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28.2.1对可以质疑的采购文件提出质疑的，为收到采购文件之日或者采购文件公告期限届满之日；</w:t>
      </w:r>
    </w:p>
    <w:p w14:paraId="1A137C9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28.2.2对采购过程提出质疑的，为各采购程序环节结束之日；</w:t>
      </w:r>
    </w:p>
    <w:p w14:paraId="5ED908DB">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28.2.3对中标或者成交结果提出质疑的，为中标或者成交结果公告期限届满之日。</w:t>
      </w:r>
    </w:p>
    <w:p w14:paraId="51C2800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供应商应当在法定质疑期内一次性提出针对同一采购程序环节的质疑。供应商如在法定期限内对同一采购程序环节提出多次质疑的，</w:t>
      </w:r>
      <w:r>
        <w:rPr>
          <w:rFonts w:hint="eastAsia" w:ascii="宋体" w:hAnsi="宋体" w:cs="宋体"/>
          <w:color w:val="auto"/>
          <w:sz w:val="24"/>
          <w:lang w:eastAsia="zh-CN"/>
        </w:rPr>
        <w:t>交易中心</w:t>
      </w:r>
      <w:r>
        <w:rPr>
          <w:rFonts w:hint="eastAsia" w:ascii="宋体" w:hAnsi="宋体" w:cs="宋体"/>
          <w:color w:val="auto"/>
          <w:sz w:val="24"/>
        </w:rPr>
        <w:t>、采购人将只对供应商第一次质疑作出答复。</w:t>
      </w:r>
    </w:p>
    <w:p w14:paraId="005ABFB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4B9E9226">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lang w:eastAsia="zh-CN"/>
        </w:rPr>
        <w:t>交易中心</w:t>
      </w:r>
      <w:r>
        <w:rPr>
          <w:rFonts w:hint="eastAsia" w:ascii="宋体" w:hAnsi="宋体" w:cs="宋体"/>
          <w:b/>
          <w:bCs/>
          <w:color w:val="auto"/>
          <w:sz w:val="24"/>
        </w:rPr>
        <w:t>提出，由</w:t>
      </w:r>
      <w:r>
        <w:rPr>
          <w:rFonts w:hint="eastAsia" w:ascii="宋体" w:hAnsi="宋体" w:cs="宋体"/>
          <w:b/>
          <w:bCs/>
          <w:color w:val="auto"/>
          <w:sz w:val="24"/>
          <w:lang w:eastAsia="zh-CN"/>
        </w:rPr>
        <w:t>交易中心</w:t>
      </w:r>
      <w:r>
        <w:rPr>
          <w:rFonts w:hint="eastAsia" w:ascii="宋体" w:hAnsi="宋体" w:cs="宋体"/>
          <w:b/>
          <w:bCs/>
          <w:color w:val="auto"/>
          <w:sz w:val="24"/>
        </w:rPr>
        <w:t>负责答复。</w:t>
      </w:r>
    </w:p>
    <w:p w14:paraId="5B33AD90">
      <w:pPr>
        <w:keepNext w:val="0"/>
        <w:keepLines w:val="0"/>
        <w:pageBreakBefore w:val="0"/>
        <w:widowControl/>
        <w:spacing w:line="500" w:lineRule="exact"/>
        <w:ind w:firstLine="482"/>
        <w:jc w:val="left"/>
        <w:rPr>
          <w:rFonts w:ascii="宋体" w:hAnsi="宋体" w:cs="宋体"/>
          <w:color w:val="auto"/>
          <w:sz w:val="24"/>
        </w:rPr>
      </w:pPr>
      <w:r>
        <w:rPr>
          <w:rFonts w:hint="eastAsia" w:ascii="宋体" w:hAnsi="宋体" w:cs="宋体"/>
          <w:color w:val="auto"/>
          <w:sz w:val="24"/>
          <w:lang w:eastAsia="zh-CN"/>
        </w:rPr>
        <w:t>交易中心</w:t>
      </w:r>
      <w:r>
        <w:rPr>
          <w:rFonts w:hint="eastAsia" w:ascii="宋体" w:hAnsi="宋体" w:cs="宋体"/>
          <w:color w:val="auto"/>
          <w:sz w:val="24"/>
        </w:rPr>
        <w:t>及采购人只接收以纸质原件形式送达的质疑，采购人和</w:t>
      </w:r>
      <w:r>
        <w:rPr>
          <w:rFonts w:hint="eastAsia" w:ascii="宋体" w:hAnsi="宋体" w:cs="宋体"/>
          <w:color w:val="auto"/>
          <w:sz w:val="24"/>
          <w:lang w:eastAsia="zh-CN"/>
        </w:rPr>
        <w:t>交易中心</w:t>
      </w:r>
      <w:r>
        <w:rPr>
          <w:rFonts w:hint="eastAsia" w:ascii="宋体" w:hAnsi="宋体" w:cs="宋体"/>
          <w:color w:val="auto"/>
          <w:sz w:val="24"/>
        </w:rPr>
        <w:t>不接受未填写快递运单的快件。质疑接收部门为公共资源交易中心业务受理处，联系地址：</w:t>
      </w:r>
      <w:r>
        <w:rPr>
          <w:rFonts w:hint="eastAsia" w:ascii="宋体" w:hAnsi="宋体" w:eastAsia="宋体" w:cs="宋体"/>
          <w:color w:val="auto"/>
          <w:sz w:val="24"/>
          <w:szCs w:val="20"/>
        </w:rPr>
        <w:t>盐城市亭湖区希望大道中路18号</w:t>
      </w:r>
      <w:r>
        <w:rPr>
          <w:rFonts w:hint="eastAsia" w:ascii="宋体" w:hAnsi="宋体" w:cs="宋体"/>
          <w:color w:val="auto"/>
          <w:sz w:val="24"/>
        </w:rPr>
        <w:t>，联系电话：</w:t>
      </w:r>
      <w:r>
        <w:rPr>
          <w:rFonts w:hint="eastAsia" w:ascii="宋体" w:hAnsi="宋体" w:eastAsia="宋体" w:cs="宋体"/>
          <w:color w:val="auto"/>
          <w:sz w:val="24"/>
          <w:szCs w:val="20"/>
        </w:rPr>
        <w:t>0515-89802019</w:t>
      </w:r>
      <w:r>
        <w:rPr>
          <w:rFonts w:hint="eastAsia" w:ascii="宋体" w:hAnsi="宋体" w:cs="宋体"/>
          <w:color w:val="auto"/>
          <w:sz w:val="24"/>
        </w:rPr>
        <w:t>。</w:t>
      </w:r>
    </w:p>
    <w:p w14:paraId="3C0873C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28.5以下情形的质疑不予受理</w:t>
      </w:r>
    </w:p>
    <w:p w14:paraId="70BEE4C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28.5.1内容不符合《政府采购质疑和投诉办法》第十二条规定的质疑。</w:t>
      </w:r>
    </w:p>
    <w:p w14:paraId="2ABDC73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28.5.2超出政府采购法定期限的质疑。</w:t>
      </w:r>
    </w:p>
    <w:p w14:paraId="038E2B7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28.5.3以传真、电子邮件等方式递交的非原件形式的质疑。</w:t>
      </w:r>
    </w:p>
    <w:p w14:paraId="3E4F7A8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28.5.4未参加投标活动的供应商或在投标活动中自身权益未受到损害的供应商所提出的质疑。</w:t>
      </w:r>
    </w:p>
    <w:p w14:paraId="438BB08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28.5.5供应商组成联合体参加投标，联合体中任何一方或多方未按要求签字、盖章、加盖公章的质疑。</w:t>
      </w:r>
    </w:p>
    <w:p w14:paraId="66B96282">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28.6供应商提出书面质疑必须有理、有据，不得捏造事实、提供虚假材料进行恶意质疑。否则，一经查实，</w:t>
      </w:r>
      <w:r>
        <w:rPr>
          <w:rFonts w:hint="eastAsia" w:ascii="宋体" w:hAnsi="宋体" w:cs="宋体"/>
          <w:color w:val="auto"/>
          <w:sz w:val="24"/>
          <w:lang w:eastAsia="zh-CN"/>
        </w:rPr>
        <w:t>交易中心</w:t>
      </w:r>
      <w:r>
        <w:rPr>
          <w:rFonts w:hint="eastAsia" w:ascii="宋体" w:hAnsi="宋体" w:cs="宋体"/>
          <w:color w:val="auto"/>
          <w:sz w:val="24"/>
        </w:rPr>
        <w:t>有权依据政府采购的有关规定，报请政府采购监管部门对该供应商进行相应的行政处罚和记录该供应商的失信信息。</w:t>
      </w:r>
    </w:p>
    <w:p w14:paraId="12FFC66E">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29、中标通知书</w:t>
      </w:r>
    </w:p>
    <w:p w14:paraId="716E6ED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29.l中标结果确定后，</w:t>
      </w:r>
      <w:r>
        <w:rPr>
          <w:rFonts w:hint="eastAsia" w:ascii="宋体" w:hAnsi="宋体" w:cs="宋体"/>
          <w:color w:val="auto"/>
          <w:sz w:val="24"/>
          <w:lang w:eastAsia="zh-CN"/>
        </w:rPr>
        <w:t>交易中心</w:t>
      </w:r>
      <w:r>
        <w:rPr>
          <w:rFonts w:hint="eastAsia" w:ascii="宋体" w:hAnsi="宋体" w:cs="宋体"/>
          <w:color w:val="auto"/>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0EC156">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29.2中标通知书将是合同的一个组成部分。对采购人和中标人均具有法律效力。中标通知书发出后，采购人改变中标结果的，或者中标人放弃中标项目的，应当依法承担法律责任。</w:t>
      </w:r>
    </w:p>
    <w:p w14:paraId="5C819768">
      <w:pPr>
        <w:keepNext w:val="0"/>
        <w:keepLines w:val="0"/>
        <w:pageBreakBefore w:val="0"/>
        <w:spacing w:line="500" w:lineRule="exact"/>
        <w:ind w:firstLine="482"/>
        <w:jc w:val="left"/>
        <w:rPr>
          <w:rFonts w:hint="eastAsia" w:ascii="宋体" w:hAnsi="宋体" w:cs="宋体"/>
          <w:b/>
          <w:bCs/>
          <w:color w:val="auto"/>
          <w:sz w:val="24"/>
          <w:szCs w:val="24"/>
        </w:rPr>
      </w:pPr>
      <w:r>
        <w:rPr>
          <w:rFonts w:hint="eastAsia" w:ascii="宋体" w:hAnsi="宋体" w:cs="宋体"/>
          <w:b/>
          <w:bCs/>
          <w:color w:val="auto"/>
          <w:sz w:val="24"/>
          <w:szCs w:val="24"/>
        </w:rPr>
        <w:t>七、授予合同</w:t>
      </w:r>
    </w:p>
    <w:p w14:paraId="0ED12D5C">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30.签订合同</w:t>
      </w:r>
    </w:p>
    <w:p w14:paraId="4257443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30.l中标人应当在中标通知书发出之日起三十日内，按照招标文件确定的事项与采购人签订政府采购合同。</w:t>
      </w:r>
    </w:p>
    <w:p w14:paraId="112D7BC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30.2招标文件、中标人的投标文件及招标过程中有关澄清、承诺文件均应作为合同附件。</w:t>
      </w:r>
    </w:p>
    <w:p w14:paraId="5C62E14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30.3签订合同后，</w:t>
      </w:r>
      <w:r>
        <w:rPr>
          <w:rFonts w:hint="eastAsia" w:ascii="宋体" w:hAnsi="宋体" w:cs="宋体"/>
          <w:i/>
          <w:iCs/>
          <w:color w:val="auto"/>
          <w:sz w:val="24"/>
          <w:u w:val="single"/>
        </w:rPr>
        <w:t>中标人不得将合同标的进行转包</w:t>
      </w:r>
      <w:r>
        <w:rPr>
          <w:rFonts w:hint="eastAsia" w:ascii="宋体" w:hAnsi="宋体" w:cs="宋体"/>
          <w:color w:val="auto"/>
          <w:sz w:val="24"/>
        </w:rPr>
        <w:t>。未经采购人同意，中标人也不得采用分包的形式履行合同，否则采购人有权终止合同。转包或分包造成采购人损失的，中标人应承担相应赔偿责任。</w:t>
      </w:r>
    </w:p>
    <w:p w14:paraId="526A15AD">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31、服务（包含与服务相关的货物）的追加</w:t>
      </w:r>
    </w:p>
    <w:p w14:paraId="7D519A5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18E1EC2">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32、政府采购政策功能落实</w:t>
      </w:r>
    </w:p>
    <w:p w14:paraId="6071B515">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b/>
          <w:bCs/>
          <w:color w:val="auto"/>
          <w:sz w:val="24"/>
        </w:rPr>
      </w:pPr>
      <w:r>
        <w:rPr>
          <w:rFonts w:hint="eastAsia" w:ascii="宋体" w:hAnsi="宋体" w:cs="宋体"/>
          <w:b/>
          <w:bCs/>
          <w:color w:val="auto"/>
          <w:sz w:val="24"/>
        </w:rPr>
        <w:t>32.1政府采购线上合同信用融资政策</w:t>
      </w:r>
    </w:p>
    <w:p w14:paraId="5A51F31D">
      <w:pPr>
        <w:keepNext w:val="0"/>
        <w:keepLines w:val="0"/>
        <w:pageBreakBefore w:val="0"/>
        <w:spacing w:line="500" w:lineRule="exact"/>
        <w:ind w:firstLine="482"/>
        <w:jc w:val="left"/>
        <w:rPr>
          <w:rFonts w:hint="eastAsia" w:ascii="宋体" w:hAnsi="宋体" w:cs="宋体"/>
          <w:color w:val="auto"/>
          <w:sz w:val="24"/>
          <w:szCs w:val="24"/>
        </w:rPr>
      </w:pPr>
      <w:r>
        <w:rPr>
          <w:rFonts w:hint="eastAsia" w:ascii="宋体" w:hAnsi="宋体" w:cs="宋体"/>
          <w:color w:val="auto"/>
          <w:sz w:val="24"/>
          <w:szCs w:val="24"/>
          <w:lang w:val="zh-CN"/>
        </w:rPr>
        <w:t>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cs="宋体"/>
          <w:color w:val="auto"/>
          <w:sz w:val="24"/>
          <w:szCs w:val="24"/>
        </w:rPr>
        <w:t>。</w:t>
      </w:r>
    </w:p>
    <w:p w14:paraId="3EE8076B">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bookmarkStart w:id="81" w:name="_Toc31813"/>
      <w:r>
        <w:rPr>
          <w:rFonts w:hint="eastAsia" w:ascii="宋体" w:hAnsi="宋体" w:cs="宋体"/>
          <w:b/>
          <w:bCs/>
          <w:color w:val="auto"/>
          <w:sz w:val="24"/>
        </w:rPr>
        <w:t>32.2进口产品</w:t>
      </w:r>
    </w:p>
    <w:p w14:paraId="632B46E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35A4E8">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32.3中小企业、监狱企业及残疾人福利性单位</w:t>
      </w:r>
    </w:p>
    <w:p w14:paraId="3B0DB702">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32.3.1中小企业定义：</w:t>
      </w:r>
    </w:p>
    <w:p w14:paraId="5DAB141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4F213BD">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32.3.2供应商提供的货物、工程或者服务符合下列情形的，享受中小企业扶持政策：</w:t>
      </w:r>
    </w:p>
    <w:p w14:paraId="3C35424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32.3.2.1在货物采购项目中，货物由中小企业制造，即货物由中小企业生产且使用该中小企业商号或者注册商标；</w:t>
      </w:r>
    </w:p>
    <w:p w14:paraId="67EBD5CC">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32.3.2.2在工程采购项目中，工程由中小企业承建，即工程施工单位为中小企业；</w:t>
      </w:r>
    </w:p>
    <w:p w14:paraId="265C286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32.3.2.3在服务采购项目中，服务由中小企业承接，即提供服务的人员为中小企业依照《中华人民共和国劳动合同法》订立劳动合同的从业人员。</w:t>
      </w:r>
    </w:p>
    <w:p w14:paraId="0FBE4F2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w:t>
      </w:r>
      <w:r>
        <w:rPr>
          <w:rFonts w:hint="eastAsia" w:ascii="宋体" w:hAnsi="宋体" w:cs="宋体"/>
          <w:color w:val="auto"/>
          <w:sz w:val="24"/>
          <w:lang w:val="en-US" w:eastAsia="zh-CN"/>
        </w:rPr>
        <w:t>3</w:t>
      </w:r>
      <w:r>
        <w:rPr>
          <w:rFonts w:hint="eastAsia" w:ascii="宋体" w:hAnsi="宋体" w:cs="宋体"/>
          <w:color w:val="auto"/>
          <w:sz w:val="24"/>
          <w:lang w:eastAsia="zh-CN"/>
        </w:rPr>
        <w:t>.</w:t>
      </w:r>
      <w:r>
        <w:rPr>
          <w:rFonts w:hint="eastAsia" w:ascii="宋体" w:hAnsi="宋体" w:cs="宋体"/>
          <w:color w:val="auto"/>
          <w:sz w:val="24"/>
          <w:lang w:val="en-US" w:eastAsia="zh-CN"/>
        </w:rPr>
        <w:t>3</w:t>
      </w:r>
      <w:r>
        <w:rPr>
          <w:rFonts w:hint="eastAsia" w:ascii="宋体" w:hAnsi="宋体" w:cs="宋体"/>
          <w:color w:val="auto"/>
          <w:sz w:val="24"/>
        </w:rPr>
        <w:t>在货物采购项目中，供应商提供的货物既有中小企业制造货物，也有大型企业制造货物的，不享受中小企业扶持政策。</w:t>
      </w:r>
    </w:p>
    <w:p w14:paraId="7FAF97E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32.3.4以联合体形式参加政府采购活动，联合体各方均为中小企业的，联合体视同中小企业。其中，联合体各方均为小微企业的，联合体视同小微企业。</w:t>
      </w:r>
    </w:p>
    <w:p w14:paraId="6E7C9571">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3B172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32.3.6残疾人福利单位定义：享受政府采购支持政策的残疾人福利性单位应当同时满足以下条件：</w:t>
      </w:r>
    </w:p>
    <w:p w14:paraId="5361E5BB">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32.3.6.1安置的残疾人占本单位在职职工人数的比例不低于25%（含25%），并且安置的残疾人人数不少于10人（含10人）；</w:t>
      </w:r>
    </w:p>
    <w:p w14:paraId="5ED6DB0D">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32.3.6.2依法与安置的每位残疾人签订了一年以上（含一年）的劳动合同或服务协议；</w:t>
      </w:r>
    </w:p>
    <w:p w14:paraId="00474C3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32.3.6.3为安置的每位残疾人按月足额缴纳了基本养老保险、基本医疗保险、失业保险、工伤保险和生育保险等社会保险费；</w:t>
      </w:r>
    </w:p>
    <w:p w14:paraId="196B760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32.3.6.4通过银行等金融机构向安置的每位残疾人，按月支付了不低于单位所在区县适用的经省级人民政府批准的月最低工资标准的工资；</w:t>
      </w:r>
    </w:p>
    <w:p w14:paraId="0610BE8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32.3.6.5提供本单位制造的货物、承担的工程或者服务（以下简称产品），或者提供其他残疾人福利性单位制造的货物（不包括使用非残疾人福利性单位注册商标的货物）；</w:t>
      </w:r>
    </w:p>
    <w:p w14:paraId="1AFED3A3">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32.3.6.6前款所称残疾人是指法定劳动年龄内，持有《中华人民共和国残疾人证》或者《中华人民共和国残疾军人证》</w:t>
      </w:r>
      <w:r>
        <w:rPr>
          <w:rFonts w:ascii="宋体" w:hAnsi="宋体" w:cs="宋体"/>
          <w:color w:val="auto"/>
          <w:sz w:val="24"/>
        </w:rPr>
        <w:t>（1至8级）</w:t>
      </w:r>
      <w:r>
        <w:rPr>
          <w:rFonts w:hint="eastAsia" w:ascii="宋体" w:hAnsi="宋体" w:cs="宋体"/>
          <w:color w:val="auto"/>
          <w:sz w:val="24"/>
        </w:rPr>
        <w:t>的自然人，包括具有劳动条件和劳动意愿的精神残疾人。在职职工人数是指与残疾人福利性单位建立劳动关系并依法签订劳动合同或服务协议的雇员人数。</w:t>
      </w:r>
    </w:p>
    <w:p w14:paraId="02DB843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32.3.7本项目是否专门面向中小企业预留采购份额见第一章《招标公告》。</w:t>
      </w:r>
    </w:p>
    <w:p w14:paraId="73BFB16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32.3.8采购标的对应的中小企业划分标准所属行业见第四章《采购需求》。</w:t>
      </w:r>
    </w:p>
    <w:p w14:paraId="1CBD2CCE">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32.3.9小微企业价格评审优惠的政策：见第五章《评标方法和评标标准》。</w:t>
      </w:r>
    </w:p>
    <w:p w14:paraId="5A31FAEB">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32.4政府采购节能产品、环境标志产品</w:t>
      </w:r>
    </w:p>
    <w:p w14:paraId="06940605">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rPr>
        <w:t>如属政府强制采购产品未提供认证证书的或认证证书提供不全的将视为未实质性响应采购要求</w:t>
      </w:r>
      <w:r>
        <w:rPr>
          <w:rFonts w:hint="eastAsia" w:ascii="宋体" w:hAnsi="宋体" w:cs="宋体"/>
          <w:i/>
          <w:color w:val="auto"/>
          <w:sz w:val="24"/>
        </w:rPr>
        <w:t>。</w:t>
      </w:r>
      <w:r>
        <w:rPr>
          <w:rFonts w:hint="eastAsia" w:ascii="宋体" w:hAnsi="宋体" w:cs="宋体"/>
          <w:color w:val="auto"/>
          <w:sz w:val="24"/>
        </w:rPr>
        <w:t>其他条件相同情况下，应当优先采购节能产品、环境标志产品。</w:t>
      </w:r>
    </w:p>
    <w:p w14:paraId="236908D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DE391E5">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32.5绿色包装</w:t>
      </w:r>
    </w:p>
    <w:p w14:paraId="67E94E87">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2E95A3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color w:val="auto"/>
          <w:sz w:val="24"/>
        </w:rPr>
      </w:pPr>
      <w:r>
        <w:rPr>
          <w:rFonts w:hint="eastAsia" w:ascii="宋体" w:hAnsi="宋体" w:cs="宋体"/>
          <w:b/>
          <w:bCs/>
          <w:color w:val="auto"/>
          <w:sz w:val="24"/>
        </w:rPr>
        <w:t>32.6政府采购创新产品</w:t>
      </w:r>
    </w:p>
    <w:p w14:paraId="5DA2300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78"/>
        <w:rPr>
          <w:rFonts w:ascii="宋体" w:hAnsi="宋体" w:cs="宋体"/>
          <w:color w:val="auto"/>
          <w:sz w:val="24"/>
        </w:rPr>
      </w:pPr>
      <w:r>
        <w:rPr>
          <w:rFonts w:hint="eastAsia" w:ascii="宋体" w:hAnsi="宋体" w:cs="宋体"/>
          <w:color w:val="auto"/>
          <w:sz w:val="24"/>
        </w:rPr>
        <w:t>采购人优先采购各级政府部门公开发布的有效期内的创新产品、创新服务、首台套、首购首用等《目录》的创新产品。</w:t>
      </w:r>
    </w:p>
    <w:p w14:paraId="00762BB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32.7绿色数据中心政策</w:t>
      </w:r>
    </w:p>
    <w:p w14:paraId="661D180C">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3C16461">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2"/>
        <w:jc w:val="both"/>
        <w:rPr>
          <w:color w:val="auto"/>
        </w:rPr>
      </w:pPr>
      <w:r>
        <w:rPr>
          <w:rFonts w:ascii="宋体" w:hAnsi="宋体" w:eastAsia="宋体" w:cs="宋体"/>
          <w:b/>
          <w:color w:val="auto"/>
          <w:sz w:val="24"/>
        </w:rPr>
        <w:t>32.8实施本国产品标准及相关政策</w:t>
      </w:r>
    </w:p>
    <w:p w14:paraId="6EF5ABF8">
      <w:pPr>
        <w:keepNext w:val="0"/>
        <w:keepLines w:val="0"/>
        <w:pageBreakBefore w:val="0"/>
        <w:widowControl/>
        <w:numPr>
          <w:ilvl w:val="0"/>
          <w:numId w:val="0"/>
        </w:numPr>
        <w:spacing w:line="50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32.8.1本项目对采购本国产品给予政策支持。</w:t>
      </w:r>
    </w:p>
    <w:p w14:paraId="755E5154">
      <w:pPr>
        <w:keepNext w:val="0"/>
        <w:keepLines w:val="0"/>
        <w:pageBreakBefore w:val="0"/>
        <w:widowControl/>
        <w:numPr>
          <w:ilvl w:val="0"/>
          <w:numId w:val="0"/>
        </w:numPr>
        <w:spacing w:line="50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65128F">
      <w:pPr>
        <w:keepNext w:val="0"/>
        <w:keepLines w:val="0"/>
        <w:pageBreakBefore w:val="0"/>
        <w:widowControl/>
        <w:spacing w:line="500" w:lineRule="exact"/>
        <w:ind w:firstLine="482"/>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99F781">
      <w:pPr>
        <w:keepNext w:val="0"/>
        <w:keepLines w:val="0"/>
        <w:pageBreakBefore w:val="0"/>
        <w:widowControl/>
        <w:spacing w:line="500" w:lineRule="exact"/>
        <w:ind w:firstLine="482"/>
        <w:jc w:val="left"/>
        <w:outlineLvl w:val="3"/>
        <w:rPr>
          <w:rFonts w:hint="eastAsia" w:ascii="宋体" w:hAnsi="宋体" w:eastAsia="Arial" w:cs="宋体"/>
          <w:b/>
          <w:bCs/>
          <w:color w:val="auto"/>
          <w:sz w:val="24"/>
          <w:szCs w:val="20"/>
        </w:rPr>
      </w:pPr>
      <w:r>
        <w:rPr>
          <w:rFonts w:hint="eastAsia" w:ascii="宋体" w:hAnsi="宋体" w:eastAsia="Arial" w:cs="宋体"/>
          <w:b/>
          <w:bCs/>
          <w:color w:val="auto"/>
          <w:sz w:val="24"/>
          <w:szCs w:val="20"/>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w:t>
      </w:r>
    </w:p>
    <w:p w14:paraId="63577F20">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32.9履约保证金政策</w:t>
      </w:r>
    </w:p>
    <w:p w14:paraId="57B23E07">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确需收取履约保证金的，履约保证金的缴纳形式：</w:t>
      </w:r>
    </w:p>
    <w:p w14:paraId="34E980C0">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79DAE2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如以履约保函（保险）形式缴纳履约保证金，供应商可通过政府采购电子履约保函（保险）平台（www.jsdzbh.com）在线申请履约保函（保险）。</w:t>
      </w:r>
    </w:p>
    <w:p w14:paraId="496D0553">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rPr>
        <w:t>降低履约保证金缴纳比例为</w:t>
      </w:r>
      <w:r>
        <w:rPr>
          <w:rFonts w:hint="eastAsia" w:ascii="宋体" w:hAnsi="宋体" w:cs="宋体"/>
          <w:b/>
          <w:bCs/>
          <w:color w:val="auto"/>
          <w:sz w:val="24"/>
          <w:u w:val="single"/>
        </w:rPr>
        <w:t>5%</w:t>
      </w:r>
      <w:r>
        <w:rPr>
          <w:rFonts w:hint="eastAsia" w:ascii="宋体" w:hAnsi="宋体" w:cs="宋体"/>
          <w:color w:val="auto"/>
          <w:sz w:val="24"/>
        </w:rPr>
        <w:t>。</w:t>
      </w:r>
    </w:p>
    <w:p w14:paraId="6715A2FD">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b/>
          <w:color w:val="auto"/>
          <w:sz w:val="24"/>
        </w:rPr>
        <w:t>33.预付款制度</w:t>
      </w:r>
    </w:p>
    <w:p w14:paraId="5A9BC5FE">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本项目落实预付款制度，预付款比例为</w:t>
      </w:r>
      <w:r>
        <w:rPr>
          <w:rFonts w:hint="eastAsia" w:ascii="宋体" w:hAnsi="宋体" w:cs="宋体"/>
          <w:color w:val="auto"/>
          <w:sz w:val="24"/>
          <w:u w:val="single"/>
        </w:rPr>
        <w:t>30%</w:t>
      </w:r>
      <w:r>
        <w:rPr>
          <w:rFonts w:hint="eastAsia" w:ascii="宋体" w:hAnsi="宋体" w:cs="宋体"/>
          <w:color w:val="auto"/>
          <w:sz w:val="24"/>
        </w:rPr>
        <w:t>。在签订合同时，中标、成交供应商明确书面表示无需预付款或者主动要求降低预付款比例的，采购人可就预付款比例作相应调整。</w:t>
      </w:r>
    </w:p>
    <w:p w14:paraId="6189298E">
      <w:pPr>
        <w:spacing w:line="560" w:lineRule="exact"/>
        <w:rPr>
          <w:rFonts w:ascii="宋体" w:hAnsi="宋体" w:cs="宋体"/>
          <w:color w:val="auto"/>
          <w:sz w:val="24"/>
        </w:rPr>
      </w:pPr>
      <w:r>
        <w:rPr>
          <w:rFonts w:hint="eastAsia" w:ascii="宋体" w:hAnsi="宋体" w:cs="宋体"/>
          <w:color w:val="auto"/>
          <w:sz w:val="24"/>
        </w:rPr>
        <w:br w:type="page" w:clear="all"/>
      </w:r>
    </w:p>
    <w:p w14:paraId="24EA6A71">
      <w:pPr>
        <w:pStyle w:val="2"/>
        <w:numPr>
          <w:ilvl w:val="0"/>
          <w:numId w:val="2"/>
        </w:numPr>
        <w:jc w:val="center"/>
        <w:rPr>
          <w:rFonts w:hint="eastAsia"/>
        </w:rPr>
      </w:pPr>
      <w:r>
        <w:rPr>
          <w:rFonts w:hint="eastAsia"/>
        </w:rPr>
        <w:t>合同文本</w:t>
      </w:r>
      <w:bookmarkEnd w:id="81"/>
    </w:p>
    <w:p w14:paraId="5BE6FC80">
      <w:pPr>
        <w:pStyle w:val="201"/>
        <w:keepNext w:val="0"/>
        <w:keepLines w:val="0"/>
        <w:pageBreakBefore w:val="0"/>
        <w:spacing w:line="500" w:lineRule="exact"/>
        <w:ind w:left="0"/>
        <w:jc w:val="center"/>
        <w:rPr>
          <w:rFonts w:hint="eastAsia" w:ascii="宋体" w:hAnsi="宋体" w:cs="宋体"/>
          <w:color w:val="auto"/>
          <w:sz w:val="24"/>
          <w:szCs w:val="24"/>
        </w:rPr>
      </w:pPr>
      <w:r>
        <w:rPr>
          <w:rFonts w:hint="eastAsia" w:ascii="宋体" w:hAnsi="宋体" w:cs="宋体"/>
          <w:color w:val="auto"/>
          <w:sz w:val="24"/>
          <w:szCs w:val="24"/>
        </w:rPr>
        <w:t>以下为中标后签</w:t>
      </w:r>
      <w:r>
        <w:rPr>
          <w:rFonts w:hint="eastAsia" w:ascii="宋体" w:hAnsi="宋体" w:cs="宋体"/>
          <w:color w:val="auto"/>
          <w:sz w:val="24"/>
          <w:szCs w:val="24"/>
          <w:lang w:eastAsia="zh-CN"/>
        </w:rPr>
        <w:t>订</w:t>
      </w:r>
      <w:r>
        <w:rPr>
          <w:rFonts w:hint="eastAsia" w:ascii="宋体" w:hAnsi="宋体" w:cs="宋体"/>
          <w:color w:val="auto"/>
          <w:sz w:val="24"/>
          <w:szCs w:val="24"/>
        </w:rPr>
        <w:t>本项目合同的通用条款，中标人不得提出实质性的修改。</w:t>
      </w:r>
    </w:p>
    <w:p w14:paraId="4D19CBB8">
      <w:pPr>
        <w:pStyle w:val="201"/>
        <w:keepNext w:val="0"/>
        <w:keepLines w:val="0"/>
        <w:pageBreakBefore w:val="0"/>
        <w:spacing w:line="500" w:lineRule="exact"/>
        <w:ind w:left="0"/>
        <w:jc w:val="cente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政府采购合同</w:t>
      </w:r>
    </w:p>
    <w:p w14:paraId="7006A8F5">
      <w:pPr>
        <w:spacing w:line="400" w:lineRule="exact"/>
        <w:ind w:firstLine="420"/>
        <w:rPr>
          <w:rFonts w:hint="eastAsia" w:ascii="宋体" w:hAnsi="宋体" w:eastAsia="宋体" w:cs="宋体"/>
          <w:color w:val="auto"/>
          <w:sz w:val="24"/>
          <w:szCs w:val="24"/>
          <w:lang w:val="en-US" w:eastAsia="zh-CN"/>
        </w:rPr>
      </w:pPr>
      <w:r>
        <w:rPr>
          <w:rFonts w:hint="eastAsia" w:ascii="宋体" w:hAnsi="宋体" w:eastAsia="宋体" w:cs="宋体"/>
          <w:sz w:val="24"/>
          <w:szCs w:val="24"/>
          <w:highlight w:val="none"/>
        </w:rPr>
        <w:t>项目名称：</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u w:val="single"/>
          <w:lang w:val="en-US" w:eastAsia="zh-CN"/>
        </w:rPr>
        <w:t>盐城市亭湖区南洋镇青墩卫生院物业管理服务</w:t>
      </w:r>
      <w:r>
        <w:rPr>
          <w:rFonts w:hint="eastAsia" w:ascii="宋体" w:hAnsi="宋体" w:eastAsia="宋体" w:cs="宋体"/>
          <w:b w:val="0"/>
          <w:bCs w:val="0"/>
          <w:sz w:val="24"/>
          <w:szCs w:val="24"/>
          <w:highlight w:val="none"/>
          <w:u w:val="single"/>
          <w:lang w:val="en-US" w:eastAsia="zh-CN"/>
        </w:rPr>
        <w:t xml:space="preserve"> </w:t>
      </w:r>
    </w:p>
    <w:p w14:paraId="4C0464CA">
      <w:pPr>
        <w:spacing w:line="400" w:lineRule="exact"/>
        <w:ind w:firstLine="42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lang w:val="en-US" w:eastAsia="zh-CN"/>
        </w:rPr>
        <w:t xml:space="preserve">                                    </w:t>
      </w:r>
    </w:p>
    <w:p w14:paraId="73F0AEDE">
      <w:pPr>
        <w:spacing w:line="400" w:lineRule="exact"/>
        <w:ind w:firstLine="420"/>
        <w:rPr>
          <w:rFonts w:hint="eastAsia" w:ascii="宋体" w:hAnsi="宋体" w:eastAsia="宋体" w:cs="宋体"/>
          <w:b/>
          <w:bCs/>
          <w:sz w:val="24"/>
          <w:szCs w:val="24"/>
          <w:highlight w:val="none"/>
          <w:u w:val="none"/>
          <w:lang w:val="en-US" w:eastAsia="zh-CN"/>
        </w:rPr>
      </w:pPr>
      <w:r>
        <w:rPr>
          <w:rFonts w:hint="eastAsia" w:ascii="宋体" w:hAnsi="宋体" w:eastAsia="宋体" w:cs="宋体"/>
          <w:sz w:val="24"/>
          <w:szCs w:val="24"/>
          <w:highlight w:val="none"/>
        </w:rPr>
        <w:t>甲方（</w:t>
      </w:r>
      <w:r>
        <w:rPr>
          <w:rFonts w:hint="eastAsia" w:ascii="宋体" w:hAnsi="宋体" w:eastAsia="宋体" w:cs="宋体"/>
          <w:sz w:val="24"/>
          <w:szCs w:val="24"/>
          <w:highlight w:val="none"/>
          <w:lang w:val="en-US" w:eastAsia="zh-CN"/>
        </w:rPr>
        <w:t>买方</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u w:val="single"/>
        </w:rPr>
        <w:t>：</w:t>
      </w:r>
      <w:r>
        <w:rPr>
          <w:rFonts w:hint="eastAsia" w:ascii="宋体" w:hAnsi="宋体" w:eastAsia="宋体" w:cs="宋体"/>
          <w:b w:val="0"/>
          <w:bCs w:val="0"/>
          <w:sz w:val="24"/>
          <w:szCs w:val="24"/>
          <w:highlight w:val="none"/>
          <w:u w:val="single"/>
          <w:lang w:val="en-US" w:eastAsia="zh-CN"/>
        </w:rPr>
        <w:t>盐城市亭湖区南洋镇青墩卫生院</w:t>
      </w:r>
      <w:r>
        <w:rPr>
          <w:rFonts w:hint="eastAsia" w:ascii="宋体" w:hAnsi="宋体" w:eastAsia="宋体" w:cs="宋体"/>
          <w:b w:val="0"/>
          <w:bCs w:val="0"/>
          <w:sz w:val="24"/>
          <w:szCs w:val="24"/>
          <w:highlight w:val="none"/>
          <w:u w:val="none"/>
          <w:lang w:val="en-US" w:eastAsia="zh-CN"/>
        </w:rPr>
        <w:t>（简称甲方）</w:t>
      </w:r>
    </w:p>
    <w:p w14:paraId="5CC34203">
      <w:pPr>
        <w:spacing w:line="400" w:lineRule="exact"/>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乙方（</w:t>
      </w:r>
      <w:r>
        <w:rPr>
          <w:rFonts w:hint="eastAsia" w:ascii="宋体" w:hAnsi="宋体" w:eastAsia="宋体" w:cs="宋体"/>
          <w:sz w:val="24"/>
          <w:szCs w:val="24"/>
          <w:highlight w:val="none"/>
          <w:lang w:val="en-US" w:eastAsia="zh-CN"/>
        </w:rPr>
        <w:t>卖方</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（简称乙方）</w:t>
      </w:r>
    </w:p>
    <w:p w14:paraId="2D082964">
      <w:pPr>
        <w:spacing w:line="460" w:lineRule="exact"/>
        <w:ind w:firstLine="480" w:firstLineChars="200"/>
        <w:rPr>
          <w:rFonts w:hint="eastAsia" w:ascii="宋体" w:hAnsi="宋体" w:eastAsia="宋体" w:cs="宋体"/>
          <w:sz w:val="24"/>
          <w:szCs w:val="24"/>
        </w:rPr>
      </w:pPr>
      <w:bookmarkStart w:id="82" w:name="_Toc30134"/>
      <w:r>
        <w:rPr>
          <w:rFonts w:hint="eastAsia" w:ascii="宋体" w:hAnsi="宋体" w:eastAsia="宋体" w:cs="宋体"/>
          <w:sz w:val="24"/>
          <w:szCs w:val="24"/>
        </w:rPr>
        <w:t>甲、乙双方根据盐城市亭湖区公共资源交易中心</w:t>
      </w:r>
      <w:r>
        <w:rPr>
          <w:rFonts w:hint="eastAsia" w:ascii="宋体" w:hAnsi="宋体" w:cs="宋体"/>
          <w:b w:val="0"/>
          <w:bCs w:val="0"/>
          <w:sz w:val="24"/>
          <w:szCs w:val="24"/>
          <w:highlight w:val="none"/>
          <w:u w:val="single"/>
          <w:lang w:val="en-US" w:eastAsia="zh-CN"/>
        </w:rPr>
        <w:t>盐城市亭湖区南洋镇青墩卫生院物业管理服务</w:t>
      </w:r>
      <w:r>
        <w:rPr>
          <w:rFonts w:hint="eastAsia" w:ascii="宋体" w:hAnsi="宋体" w:eastAsia="宋体" w:cs="宋体"/>
          <w:sz w:val="24"/>
          <w:szCs w:val="24"/>
        </w:rPr>
        <w:t>公开招标的结果，依照《中华人民共和国民法典》《中华人民共和国政府采购法》《物业管理条例》《江苏省物业管理条例》及其他有关法律、行政法规，遵循平等、自愿、公平和诚实信用的原则，签署本合同。</w:t>
      </w:r>
    </w:p>
    <w:p w14:paraId="52CB3F8B">
      <w:pPr>
        <w:spacing w:line="46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物业基本情况 </w:t>
      </w:r>
      <w:r>
        <w:rPr>
          <w:rFonts w:hint="eastAsia" w:ascii="宋体" w:hAnsi="宋体" w:eastAsia="宋体" w:cs="宋体"/>
          <w:b/>
          <w:bCs/>
          <w:sz w:val="24"/>
          <w:szCs w:val="24"/>
          <w:highlight w:val="none"/>
        </w:rPr>
        <w:tab/>
      </w:r>
    </w:p>
    <w:p w14:paraId="0047C7A6">
      <w:pPr>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物业名称：</w:t>
      </w:r>
      <w:r>
        <w:rPr>
          <w:rFonts w:hint="eastAsia" w:ascii="宋体" w:hAnsi="宋体" w:cs="宋体"/>
          <w:b/>
          <w:bCs/>
          <w:sz w:val="24"/>
          <w:szCs w:val="24"/>
          <w:highlight w:val="none"/>
          <w:u w:val="single"/>
          <w:lang w:val="en-US" w:eastAsia="zh-CN"/>
        </w:rPr>
        <w:t>盐城市亭湖区南洋镇青墩卫生院物业管理服务</w:t>
      </w:r>
    </w:p>
    <w:p w14:paraId="6032BB60">
      <w:pPr>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坐</w:t>
      </w:r>
      <w:r>
        <w:rPr>
          <w:rFonts w:hint="eastAsia" w:ascii="宋体" w:hAnsi="宋体" w:eastAsia="宋体" w:cs="宋体"/>
          <w:sz w:val="24"/>
          <w:szCs w:val="24"/>
          <w:highlight w:val="none"/>
        </w:rPr>
        <w:t>落位置：</w:t>
      </w:r>
    </w:p>
    <w:p w14:paraId="2BD14787">
      <w:pPr>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建筑面积：</w:t>
      </w:r>
    </w:p>
    <w:p w14:paraId="33029AEF">
      <w:pPr>
        <w:spacing w:line="46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第二条  委托管理事项</w:t>
      </w:r>
    </w:p>
    <w:p w14:paraId="2E34CEF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highlight w:val="none"/>
        </w:rPr>
        <w:t>盐城市亭湖区南洋镇青墩</w:t>
      </w:r>
      <w:r>
        <w:rPr>
          <w:rFonts w:hint="eastAsia" w:ascii="宋体" w:hAnsi="宋体" w:eastAsia="宋体" w:cs="宋体"/>
          <w:sz w:val="24"/>
          <w:szCs w:val="24"/>
        </w:rPr>
        <w:t>卫生院门急诊大厅，各诊室、侯诊区、楼梯通道、走廊、楼层卫生间、电梯、住院病区、院区室外广场及绿化带等整个医院区域内外的卫生保洁、被服洗涤、医疗废物收集、生活垃圾收集、报刊收发等后勤服务及门卫、巡逻、监控室及消防监测设备的监视、公共安全防范、医院车辆管理、突发事件处理、疫情防控、消防管理、重要场地保卫、门前三包（包括清理大门外的流动摊点）、医院交通安全（包括交通设施设备的安放、杂物清理和对乱停乱放的管理）、安防设施设备的管理和使用等工作。具体内容及要求详见招标文件项目需求。</w:t>
      </w:r>
    </w:p>
    <w:p w14:paraId="50A9B95A">
      <w:pPr>
        <w:numPr>
          <w:ilvl w:val="0"/>
          <w:numId w:val="3"/>
        </w:num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委托管理主要服务内容</w:t>
      </w:r>
    </w:p>
    <w:p w14:paraId="76F9B5E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1．保洁人员：</w:t>
      </w:r>
    </w:p>
    <w:p w14:paraId="62EE65B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1.1.环境卫生：</w:t>
      </w:r>
    </w:p>
    <w:p w14:paraId="0687C9E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（1）医院室内:大厅、诊室、病房、楼梯通道、走廊、茶水间、楼层卫生间、洗涤间、医生护士值班室、办公室、行政人员办公室、垂直电梯、扶梯、门窗、楼梯扶手、下水道等。</w:t>
      </w:r>
    </w:p>
    <w:p w14:paraId="764E05F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（2）室外：广场、院内路面、家属区包干区域、院门前包干区域、花园、屋面清理、垃圾池周围等环境卫生。</w:t>
      </w:r>
    </w:p>
    <w:p w14:paraId="5044B81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（3）灭</w:t>
      </w:r>
      <w:r>
        <w:rPr>
          <w:rStyle w:val="192"/>
          <w:rFonts w:hint="eastAsia" w:ascii="宋体" w:hAnsi="宋体" w:eastAsia="宋体" w:cs="宋体"/>
          <w:sz w:val="24"/>
          <w:szCs w:val="24"/>
        </w:rPr>
        <w:t>蚊</w:t>
      </w:r>
      <w:r>
        <w:rPr>
          <w:rFonts w:hint="eastAsia" w:ascii="宋体" w:hAnsi="宋体" w:eastAsia="宋体" w:cs="宋体"/>
          <w:sz w:val="24"/>
          <w:szCs w:val="24"/>
        </w:rPr>
        <w:t>蝇工作：各楼梯的梯口、梯间及楼宇周围，各医生护士值班室、办公室、行政人员办公室、各诊室、病房及大厅，医院内走廊、茶水间、楼层卫生间、洗涤间等区域的灭</w:t>
      </w:r>
      <w:r>
        <w:rPr>
          <w:rStyle w:val="192"/>
          <w:rFonts w:hint="eastAsia" w:ascii="宋体" w:hAnsi="宋体" w:eastAsia="宋体" w:cs="宋体"/>
          <w:sz w:val="24"/>
          <w:szCs w:val="24"/>
        </w:rPr>
        <w:t>蚊</w:t>
      </w:r>
      <w:r>
        <w:rPr>
          <w:rFonts w:hint="eastAsia" w:ascii="宋体" w:hAnsi="宋体" w:eastAsia="宋体" w:cs="宋体"/>
          <w:sz w:val="24"/>
          <w:szCs w:val="24"/>
        </w:rPr>
        <w:t>蝇工作。</w:t>
      </w:r>
    </w:p>
    <w:p w14:paraId="01FC956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1.2．会议服务及临时性工作</w:t>
      </w:r>
    </w:p>
    <w:p w14:paraId="598D0AE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保证会议室整洁，随时使用。按照医院要求，完成院部的临时性工作。</w:t>
      </w:r>
    </w:p>
    <w:p w14:paraId="10217BD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1.3.被服洗涤服务</w:t>
      </w:r>
    </w:p>
    <w:p w14:paraId="158252F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负责病区被服、床单、枕套、手术巾、治疗巾等送洗和收发，按时完成各科送洗的被服任务，确保洗涤后的物件干净、整洁。</w:t>
      </w:r>
    </w:p>
    <w:p w14:paraId="28CA507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1.4.院内日常绿化修剪及除杂草工作</w:t>
      </w:r>
    </w:p>
    <w:p w14:paraId="73D06BB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根据植物的生长特性和长势，应适时对其进行修剪和造型，以增强绿化、美化的效果，并保证责任区内路边无杂草。</w:t>
      </w:r>
    </w:p>
    <w:p w14:paraId="583F2BB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1.5.其他配合工作</w:t>
      </w:r>
    </w:p>
    <w:p w14:paraId="6ECBA7D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（1）药品搬运、中药熬煎、制剂包装、物资送发工作。</w:t>
      </w:r>
    </w:p>
    <w:p w14:paraId="1A415DB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（2）医疗废物的收集、生活垃圾的收集。</w:t>
      </w:r>
    </w:p>
    <w:p w14:paraId="43251EA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（3）医学检验、内镜中心、医学影像、手术室等科室勤杂工。</w:t>
      </w:r>
    </w:p>
    <w:p w14:paraId="625DEC8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2.安保人员：</w:t>
      </w:r>
    </w:p>
    <w:p w14:paraId="3DD379F2">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主要包括门卫、巡逻、监控室及消防监测设备的监视、公共安全防范、医院车辆管理、突发事件处理、疫情防控、消防管理、重要场地保卫、门前三包（包括清理大门外的流动摊点）、医院交通安全（包括交通设施设备的安放、杂物清理和对乱停乱放的管理）、安防设施设备的管理和使用等。</w:t>
      </w:r>
    </w:p>
    <w:p w14:paraId="653679A4">
      <w:pPr>
        <w:spacing w:line="460" w:lineRule="exact"/>
        <w:ind w:firstLine="482" w:firstLineChars="200"/>
        <w:rPr>
          <w:rFonts w:hint="eastAsia" w:ascii="宋体" w:hAnsi="宋体" w:eastAsia="宋体" w:cs="宋体"/>
          <w:b/>
          <w:bCs/>
          <w:color w:val="0000FF"/>
          <w:sz w:val="24"/>
          <w:szCs w:val="24"/>
        </w:rPr>
      </w:pPr>
      <w:r>
        <w:rPr>
          <w:rFonts w:hint="eastAsia" w:ascii="宋体" w:hAnsi="宋体" w:eastAsia="宋体" w:cs="宋体"/>
          <w:b/>
          <w:bCs/>
          <w:sz w:val="24"/>
          <w:szCs w:val="24"/>
        </w:rPr>
        <w:t>第四条  合同期限及付款方式</w:t>
      </w:r>
    </w:p>
    <w:p w14:paraId="6DA51251">
      <w:pPr>
        <w:spacing w:line="460" w:lineRule="exact"/>
        <w:ind w:firstLine="480" w:firstLineChars="200"/>
        <w:rPr>
          <w:rFonts w:hint="eastAsia" w:ascii="宋体" w:hAnsi="宋体" w:eastAsia="宋体" w:cs="宋体"/>
          <w:bCs/>
          <w:sz w:val="24"/>
          <w:szCs w:val="24"/>
          <w:highlight w:val="yellow"/>
        </w:rPr>
      </w:pPr>
      <w:r>
        <w:rPr>
          <w:rFonts w:hint="eastAsia" w:ascii="宋体" w:hAnsi="宋体" w:eastAsia="宋体" w:cs="宋体"/>
          <w:color w:val="0000FF"/>
          <w:sz w:val="24"/>
          <w:szCs w:val="24"/>
          <w:highlight w:val="none"/>
        </w:rPr>
        <w:t>4.1服务管理时间：</w:t>
      </w:r>
      <w:r>
        <w:rPr>
          <w:rFonts w:hint="eastAsia" w:ascii="宋体" w:hAnsi="宋体" w:eastAsia="宋体" w:cs="宋体"/>
          <w:color w:val="0000FF"/>
          <w:sz w:val="24"/>
          <w:szCs w:val="24"/>
          <w:highlight w:val="none"/>
          <w:u w:val="single"/>
        </w:rPr>
        <w:t>1年</w:t>
      </w:r>
      <w:r>
        <w:rPr>
          <w:rFonts w:hint="eastAsia" w:ascii="宋体" w:hAnsi="宋体" w:eastAsia="宋体" w:cs="宋体"/>
          <w:color w:val="0000FF"/>
          <w:sz w:val="24"/>
          <w:szCs w:val="24"/>
          <w:highlight w:val="none"/>
        </w:rPr>
        <w:t>。本合同有效期为自</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年</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月</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日至</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年</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月</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日止</w:t>
      </w:r>
      <w:bookmarkStart w:id="83" w:name="_Hlk107240296"/>
      <w:r>
        <w:rPr>
          <w:rFonts w:hint="eastAsia" w:ascii="宋体" w:hAnsi="宋体" w:eastAsia="宋体" w:cs="宋体"/>
          <w:color w:val="0000FF"/>
          <w:sz w:val="24"/>
          <w:szCs w:val="24"/>
          <w:highlight w:val="none"/>
        </w:rPr>
        <w:t>。由甲方成立的考核小组对乙方的服务每月进行一次考核，考核满意度达到85%为合格。如考核结果不合格的，一次扣当月劳务费用的3%</w:t>
      </w:r>
      <w:bookmarkEnd w:id="83"/>
      <w:r>
        <w:rPr>
          <w:rFonts w:hint="eastAsia" w:ascii="宋体" w:hAnsi="宋体" w:eastAsia="宋体" w:cs="宋体"/>
          <w:bCs/>
          <w:color w:val="0000FF"/>
          <w:sz w:val="24"/>
          <w:szCs w:val="24"/>
          <w:highlight w:val="none"/>
        </w:rPr>
        <w:t>。</w:t>
      </w:r>
    </w:p>
    <w:p w14:paraId="0693C00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2</w:t>
      </w:r>
      <w:r>
        <w:rPr>
          <w:rFonts w:hint="eastAsia" w:ascii="宋体" w:hAnsi="宋体" w:eastAsia="宋体" w:cs="宋体"/>
          <w:sz w:val="24"/>
          <w:szCs w:val="24"/>
        </w:rPr>
        <w:t>本合同履约期间的物业服务费为人民币（大写）元：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780FD38C">
      <w:pPr>
        <w:spacing w:line="460" w:lineRule="exact"/>
        <w:ind w:firstLine="480" w:firstLineChars="200"/>
        <w:rPr>
          <w:rFonts w:hint="eastAsia" w:ascii="宋体" w:hAnsi="宋体" w:eastAsia="宋体" w:cs="宋体"/>
          <w:color w:val="0000FF"/>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付款方式：</w:t>
      </w:r>
      <w:r>
        <w:rPr>
          <w:rFonts w:hint="eastAsia" w:ascii="宋体" w:hAnsi="宋体" w:eastAsia="宋体" w:cs="宋体"/>
          <w:color w:val="0000FF"/>
          <w:sz w:val="24"/>
          <w:szCs w:val="24"/>
        </w:rPr>
        <w:t>合同签订后支付合同总价的</w:t>
      </w:r>
      <w:r>
        <w:rPr>
          <w:rFonts w:hint="eastAsia" w:ascii="宋体" w:hAnsi="宋体" w:eastAsia="宋体" w:cs="宋体"/>
          <w:color w:val="0000FF"/>
          <w:sz w:val="24"/>
          <w:szCs w:val="24"/>
          <w:lang w:val="en-US" w:eastAsia="zh-CN"/>
        </w:rPr>
        <w:t>3</w:t>
      </w:r>
      <w:r>
        <w:rPr>
          <w:rFonts w:hint="eastAsia" w:ascii="宋体" w:hAnsi="宋体" w:eastAsia="宋体" w:cs="宋体"/>
          <w:color w:val="0000FF"/>
          <w:sz w:val="24"/>
          <w:szCs w:val="24"/>
        </w:rPr>
        <w:t>0%为预付款</w:t>
      </w:r>
      <w:r>
        <w:rPr>
          <w:rFonts w:hint="eastAsia" w:ascii="宋体" w:hAnsi="宋体" w:eastAsia="宋体" w:cs="宋体"/>
          <w:color w:val="0000FF"/>
          <w:sz w:val="24"/>
          <w:szCs w:val="24"/>
          <w:lang w:eastAsia="zh-CN"/>
        </w:rPr>
        <w:t>，</w:t>
      </w:r>
      <w:r>
        <w:rPr>
          <w:rFonts w:hint="eastAsia" w:ascii="宋体" w:hAnsi="宋体" w:eastAsia="宋体" w:cs="宋体"/>
          <w:color w:val="0000FF"/>
          <w:sz w:val="24"/>
          <w:szCs w:val="24"/>
        </w:rPr>
        <w:t>甲方采取服务后付费的方式，余款按照合同总价的</w:t>
      </w:r>
      <w:r>
        <w:rPr>
          <w:rFonts w:hint="eastAsia" w:ascii="宋体" w:hAnsi="宋体" w:eastAsia="宋体" w:cs="宋体"/>
          <w:color w:val="0000FF"/>
          <w:sz w:val="24"/>
          <w:szCs w:val="24"/>
          <w:lang w:val="en-US" w:eastAsia="zh-CN"/>
        </w:rPr>
        <w:t>7</w:t>
      </w:r>
      <w:r>
        <w:rPr>
          <w:rFonts w:hint="eastAsia" w:ascii="宋体" w:hAnsi="宋体" w:eastAsia="宋体" w:cs="宋体"/>
          <w:color w:val="0000FF"/>
          <w:sz w:val="24"/>
          <w:szCs w:val="24"/>
        </w:rPr>
        <w:t>0%按月计付服务费，乙方开具服务发票，甲方转入乙方提供的银行账户。</w:t>
      </w:r>
    </w:p>
    <w:p w14:paraId="7A3DAC8F">
      <w:pPr>
        <w:pStyle w:val="32"/>
        <w:keepNext w:val="0"/>
        <w:keepLines w:val="0"/>
        <w:pageBreakBefore w:val="0"/>
        <w:spacing w:line="460" w:lineRule="exact"/>
        <w:ind w:firstLine="48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第五条　履约保证金</w:t>
      </w:r>
    </w:p>
    <w:p w14:paraId="7776BB56">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1、乙方交纳人民币_________元作为本合同的履约保证金。</w:t>
      </w:r>
    </w:p>
    <w:p w14:paraId="5C531D57">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（备注：合同金额10%，采购人对AA评级及以上政府采购供应商（需提供信用管理部门备案的第三方信用报告）降低履约保证金缴纳比例至5%。）</w:t>
      </w:r>
    </w:p>
    <w:p w14:paraId="6AC28E22">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2、确需收取履约保证金的，履约保证金的缴纳形式：</w:t>
      </w:r>
    </w:p>
    <w:p w14:paraId="23EB0E68">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C17AC5D">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 如以履约保函（保险）形式缴纳履约保证金，乙方可通过政府采购电子履约保函（保险）平台（www.jsdzbh.com）在线申请履约保函（保险）。</w:t>
      </w:r>
    </w:p>
    <w:p w14:paraId="0D9DCB87">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2.3合同履行结束后，甲方应在30日内无息退还乙方交纳的履约保证金。验收标准以甲方书面确认为准，若存在质量争议，保证金退还期限自动顺延至争议解决之日。</w:t>
      </w:r>
    </w:p>
    <w:p w14:paraId="0E0459DF">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2.4履约保证金的退还：</w:t>
      </w:r>
    </w:p>
    <w:p w14:paraId="09DB14E8">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2.4.1方式：无息退还至投标人缴纳履约保证金的账户。如为保函，在到期时自行失效。</w:t>
      </w:r>
    </w:p>
    <w:p w14:paraId="7CABB0AC">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2.4.2时间：验收合格且采购人收到发票后30日内。</w:t>
      </w:r>
    </w:p>
    <w:p w14:paraId="59D1B0A3">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2.4.3条件：按合同要求全部履约完成并经甲方验收合格，且甲方收到乙方出具的发票。</w:t>
      </w:r>
    </w:p>
    <w:p w14:paraId="483E0F56">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2.4.4不予退还情形：</w:t>
      </w:r>
    </w:p>
    <w:p w14:paraId="1A5111C6">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除不可抗力情况外，乙方出现下列情形之一的，其履约保证金，甲方将视情节决定不予退还或部分不予退还。</w:t>
      </w:r>
    </w:p>
    <w:p w14:paraId="2CC28183">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（1）乙方无正当理由拒绝签订合同的，或者在签订合同时向甲方提出附加条件或者更改合同实质性内容要求的；</w:t>
      </w:r>
    </w:p>
    <w:p w14:paraId="621BE6F1">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（2）乙方不履行与甲方订立的合同的；</w:t>
      </w:r>
    </w:p>
    <w:p w14:paraId="6596F90E">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（3）乙方所供服务不符合招标文件规定要求的；</w:t>
      </w:r>
    </w:p>
    <w:p w14:paraId="5EC8FD54">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（4）乙方采取欺骗、弄虚作假方式投标的或与其他投标人串通投标的；</w:t>
      </w:r>
    </w:p>
    <w:p w14:paraId="41B052F6">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（5）乙方将合同内容转包、违法分包的；</w:t>
      </w:r>
    </w:p>
    <w:p w14:paraId="7D9354AB">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（6）乙方故意捏造事实或伪造证明材料，进行虚假恶意投诉或反映的。</w:t>
      </w:r>
    </w:p>
    <w:p w14:paraId="097B9FE6">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2.4.5逾期退还的违约责任：甲方逾期无故未退还履约保证金的，按中国人民银行同期贷款基准利率上浮20%后的利率支付超期资金占用费，但因供应商自身原因导致无法及时退还的除外。</w:t>
      </w:r>
    </w:p>
    <w:p w14:paraId="743B09C0">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3.本合同履约期间的物业服务费为人民币(大写):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元。</w:t>
      </w:r>
    </w:p>
    <w:p w14:paraId="70445DBE">
      <w:p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eastAsia="zh-CN"/>
        </w:rPr>
        <w:t>六</w:t>
      </w:r>
      <w:r>
        <w:rPr>
          <w:rFonts w:hint="eastAsia" w:ascii="宋体" w:hAnsi="宋体" w:eastAsia="宋体" w:cs="宋体"/>
          <w:b/>
          <w:bCs/>
          <w:sz w:val="24"/>
          <w:szCs w:val="24"/>
        </w:rPr>
        <w:t>条  甲方的权利和义务</w:t>
      </w:r>
    </w:p>
    <w:p w14:paraId="765A35A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1、乙方招录员工须进行政审，经培训合格并报甲方备案后上岗。甲方有权根据本单位服务工作实际需要，有权要求调整物业服务岗位，乙方应予执行。</w:t>
      </w:r>
    </w:p>
    <w:p w14:paraId="3B915B8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2、对乙方管理服务情况实施监督检查，每月审议一次乙方物业管理工作。如乙方因管理不善，造成甲方重大经济损失或管理水平下降的，甲方有权终止合同。</w:t>
      </w:r>
    </w:p>
    <w:p w14:paraId="449118A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3、制定人员、车辆等有关管理规定，协助乙方做好物业管理方面的工作，配合乙方对违反物业管理规定的行为进行处理。</w:t>
      </w:r>
    </w:p>
    <w:p w14:paraId="463C8DA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4、积极配合乙方依法和依照本合同规定开展管理活动。</w:t>
      </w:r>
    </w:p>
    <w:p w14:paraId="4A089FA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5、法律法规规定的应由甲方承担的其他责任。</w:t>
      </w:r>
    </w:p>
    <w:p w14:paraId="099FE6F7">
      <w:p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eastAsia="zh-CN"/>
        </w:rPr>
        <w:t>七</w:t>
      </w:r>
      <w:r>
        <w:rPr>
          <w:rFonts w:hint="eastAsia" w:ascii="宋体" w:hAnsi="宋体" w:eastAsia="宋体" w:cs="宋体"/>
          <w:b/>
          <w:bCs/>
          <w:sz w:val="24"/>
          <w:szCs w:val="24"/>
        </w:rPr>
        <w:t>条  乙方的权利和义务</w:t>
      </w:r>
    </w:p>
    <w:p w14:paraId="322F559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1、依照有关法律、法规及本合同的规定，对本物业实行统一管理，综合服务，开展各项管理服务活动。每月一次向甲方报告本物业管理服务工作情况，并根据甲方的审议要求做好相应整改、完善工作。</w:t>
      </w:r>
    </w:p>
    <w:p w14:paraId="6E6DB89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2、遵照有关法律、法规及物业管理有关规定，拟定本物业的管理规定、规章制度，实施方案和考核办法，提交甲方审议后执行。</w:t>
      </w:r>
    </w:p>
    <w:p w14:paraId="41FB475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3、加强员工职业道德教育和业务培训，爱岗敬业，确保各项管理服务规范有序进行。</w:t>
      </w:r>
    </w:p>
    <w:p w14:paraId="050A633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4、对本物业公共设施不得擅自占用和改变使用功能，如需改变用途，须报甲方批准。</w:t>
      </w:r>
    </w:p>
    <w:p w14:paraId="3C07F13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734CD49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6、不得将本物业的管理责任转让给第三方，不得与任何一家物业管理公司进行合作管理本物业。</w:t>
      </w:r>
    </w:p>
    <w:p w14:paraId="6FAAD2A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7、乙方应加强对员工的教育管理，员工如出现违规、违纪行为，造成纠纷、财产损失、人员伤亡的（包括由于乙方工作人员保洁服务不及时，不彻底导致入院人员意外伤害的），乙方负全部责任。</w:t>
      </w:r>
    </w:p>
    <w:p w14:paraId="2A1ACCC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8、协助处理非乙方原因产生的各种纠纷。</w:t>
      </w:r>
    </w:p>
    <w:p w14:paraId="1D831C82">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9、乙方必须按《劳动合同法》和政府有关部门规定按时足额发放物业公司员工的工资，并为全体物业服务人员交纳所有相关的社会保险及其他相关费用，并在投标文件中作出明确承诺。</w:t>
      </w:r>
    </w:p>
    <w:p w14:paraId="75108AE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10、乙方所有服务人员上班时均统一着装并挂牌上岗。</w:t>
      </w:r>
    </w:p>
    <w:p w14:paraId="06F10AE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11、接受政府有关部门的监督指导，遵守甲方的管理制度，服从甲方整体管理。</w:t>
      </w:r>
    </w:p>
    <w:p w14:paraId="7C776F44">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12、法律法规规定的应由乙方承担的其他责任。</w:t>
      </w:r>
    </w:p>
    <w:p w14:paraId="64261B9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13、本合同终止后，乙方必须向甲方移交全部管理用房及物业管理的全部档案资料，甲方不负责乙方招聘人员的安排。</w:t>
      </w:r>
    </w:p>
    <w:p w14:paraId="6C895DB6">
      <w:p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eastAsia="zh-CN"/>
        </w:rPr>
        <w:t>八</w:t>
      </w:r>
      <w:r>
        <w:rPr>
          <w:rFonts w:hint="eastAsia" w:ascii="宋体" w:hAnsi="宋体" w:eastAsia="宋体" w:cs="宋体"/>
          <w:b/>
          <w:bCs/>
          <w:sz w:val="24"/>
          <w:szCs w:val="24"/>
        </w:rPr>
        <w:t>条  管理目标</w:t>
      </w:r>
    </w:p>
    <w:p w14:paraId="19AC0B24">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总体要求：乙方根据甲方的委托管理事项制定出本物业“管理分项标准”（各项管理服务的工作标准和考核办法），与甲方协商同意后作为本合同的必备附件。 </w:t>
      </w:r>
    </w:p>
    <w:p w14:paraId="3D3F3077">
      <w:pPr>
        <w:autoSpaceDE w:val="0"/>
        <w:autoSpaceDN w:val="0"/>
        <w:adjustRightInd w:val="0"/>
        <w:spacing w:line="460" w:lineRule="exact"/>
        <w:ind w:firstLine="480"/>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eastAsia="zh-CN"/>
        </w:rPr>
        <w:t>九</w:t>
      </w:r>
      <w:r>
        <w:rPr>
          <w:rFonts w:hint="eastAsia" w:ascii="宋体" w:hAnsi="宋体" w:eastAsia="宋体" w:cs="宋体"/>
          <w:b/>
          <w:bCs/>
          <w:sz w:val="24"/>
          <w:szCs w:val="24"/>
        </w:rPr>
        <w:t>条  合同的构成</w:t>
      </w:r>
    </w:p>
    <w:p w14:paraId="222BAAC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1、本合同书；</w:t>
      </w:r>
    </w:p>
    <w:p w14:paraId="2218841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2、本招标文件；</w:t>
      </w:r>
    </w:p>
    <w:p w14:paraId="3F4F7AC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3、中标人投标文件；</w:t>
      </w:r>
    </w:p>
    <w:p w14:paraId="33C8443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4、盐城市亭湖区南洋镇青墩卫生院物业管理服务考核办法；</w:t>
      </w:r>
    </w:p>
    <w:p w14:paraId="2155D04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5、国家相关法律法规。</w:t>
      </w:r>
    </w:p>
    <w:p w14:paraId="1A7D0685">
      <w:p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eastAsia="zh-CN"/>
        </w:rPr>
        <w:t>十</w:t>
      </w:r>
      <w:r>
        <w:rPr>
          <w:rFonts w:hint="eastAsia" w:ascii="宋体" w:hAnsi="宋体" w:eastAsia="宋体" w:cs="宋体"/>
          <w:b/>
          <w:bCs/>
          <w:sz w:val="24"/>
          <w:szCs w:val="24"/>
        </w:rPr>
        <w:t>条  考核标准及履约办法</w:t>
      </w:r>
    </w:p>
    <w:p w14:paraId="0081C28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甲方根据《考核办法》对乙方进行考核，乙方如在服务过程中管理指标未达到承诺标准，甲方有权单方面解除本合同。合同期满后，如未因故扣除履约保证金又不再续约，在双方交接后甲方无息退还履约保证金。</w:t>
      </w:r>
    </w:p>
    <w:p w14:paraId="06FE14CB">
      <w:p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eastAsia="zh-CN"/>
        </w:rPr>
        <w:t>十一</w:t>
      </w:r>
      <w:r>
        <w:rPr>
          <w:rFonts w:hint="eastAsia" w:ascii="宋体" w:hAnsi="宋体" w:eastAsia="宋体" w:cs="宋体"/>
          <w:b/>
          <w:bCs/>
          <w:sz w:val="24"/>
          <w:szCs w:val="24"/>
        </w:rPr>
        <w:t>条  违约责任</w:t>
      </w:r>
    </w:p>
    <w:p w14:paraId="1D338574">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1、因甲方违反本合同第四条，造成乙方未完成规定管理目标或直接造成经济损失的，乙方可要求甲方限期整改或终止合同，并有权要求甲方给与赔偿。</w:t>
      </w:r>
    </w:p>
    <w:p w14:paraId="1FD0FB6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2、因乙方违反本合同第五条，造成未完成管理目标或直接造成甲方经济损失的，甲方可要求乙方限期整改或终止合同，并有权要求乙方给与赔偿。</w:t>
      </w:r>
    </w:p>
    <w:p w14:paraId="377A06A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3、因甲方房屋建筑、设施（设备）质量或安装技术不良等原因造成重大事故的，由甲方承担责任并作善后处理。事故的发生原因，以行业主管部门的调查鉴定结论为准。</w:t>
      </w:r>
    </w:p>
    <w:p w14:paraId="7138514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4、在合同期内，乙方的项目负责人要保持稳定，不得随意调整或更换，确需调整或更换时，必须经过甲方同意后方可进行；甲方发现有擅自调整或更换的，扣履约保证金10%，且甲方有权终止合同。</w:t>
      </w:r>
    </w:p>
    <w:p w14:paraId="57CB8064">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5、合同履行期间，如遇不可抗力的因素造成经济损失的，双方应相互体谅，协调处理善后事宜。</w:t>
      </w:r>
    </w:p>
    <w:p w14:paraId="2CDD7088">
      <w:pPr>
        <w:spacing w:line="4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第十</w:t>
      </w:r>
      <w:r>
        <w:rPr>
          <w:rFonts w:hint="eastAsia" w:ascii="宋体" w:hAnsi="宋体" w:eastAsia="宋体" w:cs="宋体"/>
          <w:b/>
          <w:bCs/>
          <w:sz w:val="24"/>
          <w:szCs w:val="24"/>
          <w:lang w:eastAsia="zh-CN"/>
        </w:rPr>
        <w:t>二</w:t>
      </w:r>
      <w:r>
        <w:rPr>
          <w:rFonts w:hint="eastAsia" w:ascii="宋体" w:hAnsi="宋体" w:eastAsia="宋体" w:cs="宋体"/>
          <w:b/>
          <w:bCs/>
          <w:sz w:val="24"/>
          <w:szCs w:val="24"/>
        </w:rPr>
        <w:t>条  其它事项</w:t>
      </w:r>
    </w:p>
    <w:p w14:paraId="537B4A3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1、双方可对本合同的条款进行修订更改或补充，以书面签订补充协议，补充协议与本合同具有同等效力。</w:t>
      </w:r>
    </w:p>
    <w:p w14:paraId="6D3223F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合同规定的管理期满，本合同自然终止，双方如续订合同，应在该合同期满3个月前向对方提出书面意见。乙方在通知时间期满10日内必须撤离甲方物业管理区，并将相关全部物业管理资料交还甲方，如因未及时提前书面通知对方给对方造成损失的，损失由过失方承担。</w:t>
      </w:r>
    </w:p>
    <w:p w14:paraId="7C59B00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3、在履行合同中发生纠纷，双方应协商解决。协商不成时，提交本物业所在地人民法院裁决。</w:t>
      </w:r>
    </w:p>
    <w:p w14:paraId="0AEA8AC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4、本合同本连同附件共  页，一式肆份，甲、乙双方各执贰份，自签订之日起生效。</w:t>
      </w:r>
    </w:p>
    <w:p w14:paraId="41A4E3C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甲方（盖章）：                          乙方（盖章）： </w:t>
      </w:r>
    </w:p>
    <w:p w14:paraId="67CE350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法定代表人或授权委托人</w:t>
      </w:r>
      <w:r>
        <w:rPr>
          <w:rFonts w:hint="eastAsia" w:ascii="宋体" w:hAnsi="宋体" w:eastAsia="宋体" w:cs="宋体"/>
          <w:sz w:val="24"/>
          <w:szCs w:val="24"/>
        </w:rPr>
        <w:t>（签字）：</w:t>
      </w:r>
      <w:r>
        <w:rPr>
          <w:rFonts w:hint="eastAsia" w:ascii="宋体" w:hAnsi="宋体" w:eastAsia="宋体" w:cs="宋体"/>
          <w:sz w:val="24"/>
          <w:szCs w:val="24"/>
          <w:lang w:val="en-US" w:eastAsia="zh-CN"/>
        </w:rPr>
        <w:t xml:space="preserve">        法定代表人或授权委托人</w:t>
      </w:r>
      <w:r>
        <w:rPr>
          <w:rFonts w:hint="eastAsia" w:ascii="宋体" w:hAnsi="宋体" w:eastAsia="宋体" w:cs="宋体"/>
          <w:sz w:val="24"/>
          <w:szCs w:val="24"/>
        </w:rPr>
        <w:t xml:space="preserve">（签字）：                     </w:t>
      </w:r>
    </w:p>
    <w:p w14:paraId="16AD348D">
      <w:pPr>
        <w:ind w:firstLine="1200" w:firstLineChars="500"/>
        <w:rPr>
          <w:rFonts w:hint="eastAsia" w:ascii="宋体" w:hAnsi="宋体" w:eastAsia="宋体" w:cs="宋体"/>
          <w:sz w:val="24"/>
          <w:szCs w:val="24"/>
        </w:rPr>
      </w:pPr>
      <w:r>
        <w:rPr>
          <w:rFonts w:hint="eastAsia" w:ascii="宋体" w:hAnsi="宋体" w:eastAsia="宋体" w:cs="宋体"/>
          <w:sz w:val="24"/>
          <w:szCs w:val="24"/>
        </w:rPr>
        <w:t>年  月  日                                 年  月  日</w:t>
      </w:r>
    </w:p>
    <w:p w14:paraId="10FA90AF">
      <w:pPr>
        <w:pageBreakBefore/>
        <w:tabs>
          <w:tab w:val="left" w:pos="2780"/>
          <w:tab w:val="center" w:pos="4961"/>
        </w:tabs>
        <w:snapToGrid w:val="0"/>
        <w:spacing w:line="360" w:lineRule="auto"/>
        <w:jc w:val="center"/>
        <w:rPr>
          <w:rFonts w:hint="eastAsia" w:ascii="宋体" w:hAnsi="宋体" w:eastAsia="宋体" w:cs="宋体"/>
          <w:sz w:val="24"/>
          <w:szCs w:val="24"/>
        </w:rPr>
        <w:sectPr>
          <w:footerReference r:id="rId3" w:type="default"/>
          <w:pgSz w:w="11906" w:h="16838"/>
          <w:pgMar w:top="1440" w:right="1800" w:bottom="1440" w:left="1800" w:header="851" w:footer="992" w:gutter="0"/>
          <w:cols w:space="720" w:num="1"/>
          <w:docGrid w:type="lines" w:linePitch="312" w:charSpace="0"/>
        </w:sectPr>
      </w:pPr>
    </w:p>
    <w:p w14:paraId="641B4D9F">
      <w:pPr>
        <w:snapToGrid w:val="0"/>
        <w:spacing w:line="480" w:lineRule="exact"/>
        <w:rPr>
          <w:rFonts w:ascii="宋体" w:hAnsi="宋体"/>
          <w:b/>
          <w:bCs/>
          <w:sz w:val="30"/>
          <w:szCs w:val="30"/>
        </w:rPr>
      </w:pPr>
      <w:r>
        <w:rPr>
          <w:rFonts w:hint="eastAsia" w:ascii="宋体" w:hAnsi="宋体"/>
          <w:b/>
          <w:sz w:val="24"/>
          <w:szCs w:val="24"/>
        </w:rPr>
        <w:t>考核细则表</w:t>
      </w:r>
    </w:p>
    <w:p w14:paraId="15FF8792">
      <w:pPr>
        <w:spacing w:line="480" w:lineRule="exact"/>
        <w:jc w:val="center"/>
        <w:rPr>
          <w:rFonts w:ascii="宋体" w:hAnsi="宋体"/>
          <w:b/>
          <w:bCs/>
          <w:sz w:val="30"/>
          <w:szCs w:val="30"/>
        </w:rPr>
      </w:pPr>
      <w:r>
        <w:rPr>
          <w:rFonts w:hint="eastAsia" w:ascii="宋体" w:hAnsi="宋体"/>
          <w:b/>
          <w:bCs/>
          <w:sz w:val="30"/>
          <w:szCs w:val="30"/>
        </w:rPr>
        <w:t>考核检查表——卫生保洁</w:t>
      </w:r>
    </w:p>
    <w:tbl>
      <w:tblPr>
        <w:tblStyle w:val="3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32"/>
        <w:gridCol w:w="3321"/>
        <w:gridCol w:w="636"/>
        <w:gridCol w:w="636"/>
        <w:gridCol w:w="846"/>
        <w:gridCol w:w="846"/>
        <w:gridCol w:w="846"/>
        <w:gridCol w:w="426"/>
      </w:tblGrid>
      <w:tr w14:paraId="0DD6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247" w:type="pct"/>
            <w:shd w:val="clear" w:color="auto" w:fill="D7D7D7"/>
            <w:noWrap w:val="0"/>
            <w:vAlign w:val="center"/>
          </w:tcPr>
          <w:p w14:paraId="27221334">
            <w:pPr>
              <w:spacing w:line="240" w:lineRule="exact"/>
              <w:jc w:val="center"/>
              <w:rPr>
                <w:rFonts w:ascii="宋体" w:hAnsi="宋体" w:cs="楷体"/>
                <w:sz w:val="21"/>
                <w:szCs w:val="21"/>
              </w:rPr>
            </w:pPr>
            <w:r>
              <w:rPr>
                <w:rFonts w:hint="eastAsia" w:ascii="宋体" w:hAnsi="宋体" w:cs="楷体"/>
                <w:sz w:val="21"/>
                <w:szCs w:val="21"/>
              </w:rPr>
              <w:t>序号</w:t>
            </w:r>
          </w:p>
        </w:tc>
        <w:tc>
          <w:tcPr>
            <w:tcW w:w="402" w:type="pct"/>
            <w:shd w:val="clear" w:color="auto" w:fill="D7D7D7"/>
            <w:noWrap w:val="0"/>
            <w:vAlign w:val="center"/>
          </w:tcPr>
          <w:p w14:paraId="2D2D8889">
            <w:pPr>
              <w:spacing w:line="240" w:lineRule="exact"/>
              <w:jc w:val="center"/>
              <w:rPr>
                <w:rFonts w:ascii="宋体" w:hAnsi="宋体" w:cs="楷体"/>
                <w:sz w:val="21"/>
                <w:szCs w:val="21"/>
              </w:rPr>
            </w:pPr>
            <w:r>
              <w:rPr>
                <w:rFonts w:hint="eastAsia" w:ascii="宋体" w:hAnsi="宋体" w:cs="楷体"/>
                <w:sz w:val="21"/>
                <w:szCs w:val="21"/>
              </w:rPr>
              <w:t>检查项目</w:t>
            </w:r>
          </w:p>
        </w:tc>
        <w:tc>
          <w:tcPr>
            <w:tcW w:w="2039" w:type="pct"/>
            <w:shd w:val="clear" w:color="auto" w:fill="D7D7D7"/>
            <w:noWrap w:val="0"/>
            <w:vAlign w:val="center"/>
          </w:tcPr>
          <w:p w14:paraId="67720F9E">
            <w:pPr>
              <w:spacing w:line="240" w:lineRule="exact"/>
              <w:jc w:val="center"/>
              <w:rPr>
                <w:rFonts w:ascii="宋体" w:hAnsi="宋体" w:cs="楷体"/>
                <w:sz w:val="21"/>
                <w:szCs w:val="21"/>
              </w:rPr>
            </w:pPr>
            <w:r>
              <w:rPr>
                <w:rFonts w:hint="eastAsia" w:ascii="宋体" w:hAnsi="宋体" w:cs="楷体"/>
                <w:sz w:val="21"/>
                <w:szCs w:val="21"/>
              </w:rPr>
              <w:t>评分细则</w:t>
            </w:r>
          </w:p>
        </w:tc>
        <w:tc>
          <w:tcPr>
            <w:tcW w:w="396" w:type="pct"/>
            <w:shd w:val="clear" w:color="auto" w:fill="D7D7D7"/>
            <w:noWrap w:val="0"/>
            <w:vAlign w:val="center"/>
          </w:tcPr>
          <w:p w14:paraId="2AEB341C">
            <w:pPr>
              <w:spacing w:line="240" w:lineRule="exact"/>
              <w:jc w:val="center"/>
              <w:rPr>
                <w:rFonts w:ascii="宋体" w:hAnsi="宋体" w:cs="楷体"/>
                <w:sz w:val="21"/>
                <w:szCs w:val="21"/>
              </w:rPr>
            </w:pPr>
            <w:r>
              <w:rPr>
                <w:rFonts w:hint="eastAsia" w:ascii="宋体" w:hAnsi="宋体" w:cs="楷体"/>
                <w:sz w:val="21"/>
                <w:szCs w:val="21"/>
              </w:rPr>
              <w:t>扣分标准（分/次）</w:t>
            </w:r>
          </w:p>
        </w:tc>
        <w:tc>
          <w:tcPr>
            <w:tcW w:w="396" w:type="pct"/>
            <w:shd w:val="clear" w:color="auto" w:fill="D7D7D7"/>
            <w:noWrap w:val="0"/>
            <w:vAlign w:val="center"/>
          </w:tcPr>
          <w:p w14:paraId="49F4AA67">
            <w:pPr>
              <w:spacing w:line="240" w:lineRule="exact"/>
              <w:jc w:val="center"/>
              <w:rPr>
                <w:rFonts w:ascii="宋体" w:hAnsi="宋体" w:cs="楷体"/>
                <w:sz w:val="21"/>
                <w:szCs w:val="21"/>
              </w:rPr>
            </w:pPr>
            <w:r>
              <w:rPr>
                <w:rFonts w:hint="eastAsia" w:ascii="宋体" w:hAnsi="宋体" w:cs="楷体"/>
                <w:sz w:val="21"/>
                <w:szCs w:val="21"/>
              </w:rPr>
              <w:t>扣款标准（元/次）</w:t>
            </w:r>
          </w:p>
        </w:tc>
        <w:tc>
          <w:tcPr>
            <w:tcW w:w="396" w:type="pct"/>
            <w:shd w:val="clear" w:color="auto" w:fill="D7D7D7"/>
            <w:noWrap w:val="0"/>
            <w:vAlign w:val="center"/>
          </w:tcPr>
          <w:p w14:paraId="583333CC">
            <w:pPr>
              <w:spacing w:line="240" w:lineRule="exact"/>
              <w:jc w:val="center"/>
              <w:rPr>
                <w:rFonts w:ascii="宋体" w:hAnsi="宋体" w:cs="楷体"/>
                <w:sz w:val="21"/>
                <w:szCs w:val="21"/>
              </w:rPr>
            </w:pPr>
            <w:r>
              <w:rPr>
                <w:rFonts w:hint="eastAsia" w:ascii="宋体" w:hAnsi="宋体" w:cs="楷体"/>
                <w:sz w:val="21"/>
                <w:szCs w:val="21"/>
              </w:rPr>
              <w:t>处罚次数（次）</w:t>
            </w:r>
          </w:p>
        </w:tc>
        <w:tc>
          <w:tcPr>
            <w:tcW w:w="396" w:type="pct"/>
            <w:shd w:val="clear" w:color="auto" w:fill="D7D7D7"/>
            <w:noWrap w:val="0"/>
            <w:vAlign w:val="center"/>
          </w:tcPr>
          <w:p w14:paraId="5C722079">
            <w:pPr>
              <w:spacing w:line="240" w:lineRule="exact"/>
              <w:jc w:val="center"/>
              <w:rPr>
                <w:rFonts w:ascii="宋体" w:hAnsi="宋体" w:cs="楷体"/>
                <w:sz w:val="21"/>
                <w:szCs w:val="21"/>
              </w:rPr>
            </w:pPr>
            <w:r>
              <w:rPr>
                <w:rFonts w:hint="eastAsia" w:ascii="宋体" w:hAnsi="宋体" w:cs="楷体"/>
                <w:sz w:val="21"/>
                <w:szCs w:val="21"/>
              </w:rPr>
              <w:t>累计扣分（分）</w:t>
            </w:r>
          </w:p>
        </w:tc>
        <w:tc>
          <w:tcPr>
            <w:tcW w:w="396" w:type="pct"/>
            <w:shd w:val="clear" w:color="auto" w:fill="D7D7D7"/>
            <w:noWrap w:val="0"/>
            <w:vAlign w:val="center"/>
          </w:tcPr>
          <w:p w14:paraId="74C240B9">
            <w:pPr>
              <w:spacing w:line="240" w:lineRule="exact"/>
              <w:jc w:val="center"/>
              <w:rPr>
                <w:rFonts w:ascii="宋体" w:hAnsi="宋体" w:cs="楷体"/>
                <w:sz w:val="21"/>
                <w:szCs w:val="21"/>
              </w:rPr>
            </w:pPr>
            <w:r>
              <w:rPr>
                <w:rFonts w:hint="eastAsia" w:ascii="宋体" w:hAnsi="宋体" w:cs="楷体"/>
                <w:sz w:val="21"/>
                <w:szCs w:val="21"/>
              </w:rPr>
              <w:t>累计扣款（元）</w:t>
            </w:r>
          </w:p>
        </w:tc>
        <w:tc>
          <w:tcPr>
            <w:tcW w:w="331" w:type="pct"/>
            <w:shd w:val="clear" w:color="auto" w:fill="D7D7D7"/>
            <w:noWrap w:val="0"/>
            <w:vAlign w:val="center"/>
          </w:tcPr>
          <w:p w14:paraId="4D24F8B7">
            <w:pPr>
              <w:spacing w:line="240" w:lineRule="exact"/>
              <w:jc w:val="center"/>
              <w:rPr>
                <w:rFonts w:ascii="宋体" w:hAnsi="宋体" w:cs="楷体"/>
                <w:sz w:val="21"/>
                <w:szCs w:val="21"/>
              </w:rPr>
            </w:pPr>
            <w:r>
              <w:rPr>
                <w:rFonts w:hint="eastAsia" w:ascii="宋体" w:hAnsi="宋体" w:cs="楷体"/>
                <w:sz w:val="21"/>
                <w:szCs w:val="21"/>
                <w:lang w:bidi="ar"/>
              </w:rPr>
              <w:t>不合格原因描述</w:t>
            </w:r>
          </w:p>
        </w:tc>
      </w:tr>
      <w:tr w14:paraId="4B8E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47" w:type="pct"/>
            <w:noWrap w:val="0"/>
            <w:vAlign w:val="center"/>
          </w:tcPr>
          <w:p w14:paraId="6697BEA5">
            <w:pPr>
              <w:spacing w:line="240" w:lineRule="exact"/>
              <w:jc w:val="center"/>
              <w:rPr>
                <w:rFonts w:ascii="宋体" w:hAnsi="宋体" w:cs="楷体"/>
                <w:sz w:val="21"/>
                <w:szCs w:val="21"/>
              </w:rPr>
            </w:pPr>
            <w:r>
              <w:rPr>
                <w:rFonts w:hint="eastAsia" w:ascii="宋体" w:hAnsi="宋体" w:cs="楷体"/>
                <w:sz w:val="21"/>
                <w:szCs w:val="21"/>
              </w:rPr>
              <w:t>1</w:t>
            </w:r>
          </w:p>
        </w:tc>
        <w:tc>
          <w:tcPr>
            <w:tcW w:w="402" w:type="pct"/>
            <w:vMerge w:val="restart"/>
            <w:noWrap w:val="0"/>
            <w:vAlign w:val="center"/>
          </w:tcPr>
          <w:p w14:paraId="20AA7786">
            <w:pPr>
              <w:spacing w:line="240" w:lineRule="exact"/>
              <w:jc w:val="center"/>
              <w:rPr>
                <w:rFonts w:ascii="宋体" w:hAnsi="宋体" w:cs="楷体"/>
                <w:sz w:val="21"/>
                <w:szCs w:val="21"/>
              </w:rPr>
            </w:pPr>
            <w:r>
              <w:rPr>
                <w:rFonts w:hint="eastAsia" w:ascii="宋体" w:hAnsi="宋体" w:cs="楷体"/>
                <w:sz w:val="21"/>
                <w:szCs w:val="21"/>
              </w:rPr>
              <w:t>基本要求</w:t>
            </w:r>
          </w:p>
        </w:tc>
        <w:tc>
          <w:tcPr>
            <w:tcW w:w="2039" w:type="pct"/>
            <w:noWrap w:val="0"/>
            <w:vAlign w:val="center"/>
          </w:tcPr>
          <w:p w14:paraId="4BFE1D9A">
            <w:pPr>
              <w:spacing w:line="240" w:lineRule="exact"/>
              <w:jc w:val="left"/>
              <w:rPr>
                <w:rFonts w:ascii="宋体" w:hAnsi="宋体" w:cs="楷体"/>
                <w:sz w:val="21"/>
                <w:szCs w:val="21"/>
              </w:rPr>
            </w:pPr>
            <w:r>
              <w:rPr>
                <w:rFonts w:hint="eastAsia" w:ascii="宋体" w:hAnsi="宋体" w:cs="楷体"/>
                <w:sz w:val="21"/>
                <w:szCs w:val="21"/>
              </w:rPr>
              <w:t>服务人员服从工作安排，及时完成工作任务；</w:t>
            </w:r>
          </w:p>
        </w:tc>
        <w:tc>
          <w:tcPr>
            <w:tcW w:w="396" w:type="pct"/>
            <w:noWrap w:val="0"/>
            <w:vAlign w:val="center"/>
          </w:tcPr>
          <w:p w14:paraId="0D632E94">
            <w:pPr>
              <w:jc w:val="center"/>
              <w:rPr>
                <w:rFonts w:ascii="宋体" w:hAnsi="宋体"/>
                <w:sz w:val="21"/>
                <w:szCs w:val="21"/>
              </w:rPr>
            </w:pPr>
            <w:r>
              <w:rPr>
                <w:rFonts w:hint="eastAsia" w:ascii="宋体" w:hAnsi="宋体" w:cs="楷体"/>
                <w:sz w:val="21"/>
                <w:szCs w:val="21"/>
              </w:rPr>
              <w:t>1</w:t>
            </w:r>
          </w:p>
        </w:tc>
        <w:tc>
          <w:tcPr>
            <w:tcW w:w="396" w:type="pct"/>
            <w:noWrap w:val="0"/>
            <w:vAlign w:val="center"/>
          </w:tcPr>
          <w:p w14:paraId="39CD8513">
            <w:pPr>
              <w:spacing w:line="240" w:lineRule="exact"/>
              <w:jc w:val="center"/>
              <w:rPr>
                <w:rFonts w:ascii="宋体" w:hAnsi="宋体" w:cs="楷体"/>
                <w:sz w:val="21"/>
                <w:szCs w:val="21"/>
              </w:rPr>
            </w:pPr>
            <w:r>
              <w:rPr>
                <w:rFonts w:hint="eastAsia" w:ascii="宋体" w:hAnsi="宋体" w:cs="楷体"/>
                <w:sz w:val="21"/>
                <w:szCs w:val="21"/>
              </w:rPr>
              <w:t>100</w:t>
            </w:r>
          </w:p>
        </w:tc>
        <w:tc>
          <w:tcPr>
            <w:tcW w:w="396" w:type="pct"/>
            <w:noWrap w:val="0"/>
            <w:vAlign w:val="center"/>
          </w:tcPr>
          <w:p w14:paraId="53A874C4">
            <w:pPr>
              <w:spacing w:line="240" w:lineRule="exact"/>
              <w:jc w:val="center"/>
              <w:rPr>
                <w:rFonts w:ascii="宋体" w:hAnsi="宋体" w:cs="楷体"/>
                <w:sz w:val="21"/>
                <w:szCs w:val="21"/>
              </w:rPr>
            </w:pPr>
          </w:p>
        </w:tc>
        <w:tc>
          <w:tcPr>
            <w:tcW w:w="396" w:type="pct"/>
            <w:noWrap w:val="0"/>
            <w:vAlign w:val="center"/>
          </w:tcPr>
          <w:p w14:paraId="6365A19D">
            <w:pPr>
              <w:spacing w:line="240" w:lineRule="exact"/>
              <w:jc w:val="center"/>
              <w:rPr>
                <w:rFonts w:ascii="宋体" w:hAnsi="宋体" w:cs="楷体"/>
                <w:sz w:val="21"/>
                <w:szCs w:val="21"/>
              </w:rPr>
            </w:pPr>
          </w:p>
        </w:tc>
        <w:tc>
          <w:tcPr>
            <w:tcW w:w="396" w:type="pct"/>
            <w:noWrap w:val="0"/>
            <w:vAlign w:val="center"/>
          </w:tcPr>
          <w:p w14:paraId="3350BA10">
            <w:pPr>
              <w:spacing w:line="240" w:lineRule="exact"/>
              <w:jc w:val="center"/>
              <w:rPr>
                <w:rFonts w:ascii="宋体" w:hAnsi="宋体" w:cs="楷体"/>
                <w:sz w:val="21"/>
                <w:szCs w:val="21"/>
              </w:rPr>
            </w:pPr>
          </w:p>
        </w:tc>
        <w:tc>
          <w:tcPr>
            <w:tcW w:w="331" w:type="pct"/>
            <w:noWrap w:val="0"/>
            <w:vAlign w:val="center"/>
          </w:tcPr>
          <w:p w14:paraId="447B6749">
            <w:pPr>
              <w:spacing w:line="240" w:lineRule="exact"/>
              <w:jc w:val="center"/>
              <w:rPr>
                <w:rFonts w:ascii="宋体" w:hAnsi="宋体" w:cs="楷体"/>
                <w:sz w:val="21"/>
                <w:szCs w:val="21"/>
              </w:rPr>
            </w:pPr>
          </w:p>
        </w:tc>
      </w:tr>
      <w:tr w14:paraId="299C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247" w:type="pct"/>
            <w:noWrap w:val="0"/>
            <w:vAlign w:val="center"/>
          </w:tcPr>
          <w:p w14:paraId="145E0A80">
            <w:pPr>
              <w:spacing w:line="240" w:lineRule="exact"/>
              <w:jc w:val="center"/>
              <w:rPr>
                <w:rFonts w:ascii="宋体" w:hAnsi="宋体" w:cs="楷体"/>
                <w:sz w:val="21"/>
                <w:szCs w:val="21"/>
              </w:rPr>
            </w:pPr>
            <w:r>
              <w:rPr>
                <w:rFonts w:hint="eastAsia" w:ascii="宋体" w:hAnsi="宋体" w:cs="楷体"/>
                <w:sz w:val="21"/>
                <w:szCs w:val="21"/>
              </w:rPr>
              <w:t>2</w:t>
            </w:r>
          </w:p>
        </w:tc>
        <w:tc>
          <w:tcPr>
            <w:tcW w:w="402" w:type="pct"/>
            <w:vMerge w:val="continue"/>
            <w:noWrap w:val="0"/>
            <w:vAlign w:val="center"/>
          </w:tcPr>
          <w:p w14:paraId="66F4B314">
            <w:pPr>
              <w:spacing w:line="240" w:lineRule="exact"/>
              <w:jc w:val="center"/>
              <w:rPr>
                <w:rFonts w:ascii="宋体" w:hAnsi="宋体" w:cs="楷体"/>
                <w:sz w:val="21"/>
                <w:szCs w:val="21"/>
              </w:rPr>
            </w:pPr>
          </w:p>
        </w:tc>
        <w:tc>
          <w:tcPr>
            <w:tcW w:w="2039" w:type="pct"/>
            <w:noWrap w:val="0"/>
            <w:vAlign w:val="center"/>
          </w:tcPr>
          <w:p w14:paraId="6DF401A6">
            <w:pPr>
              <w:spacing w:line="240" w:lineRule="exact"/>
              <w:jc w:val="left"/>
              <w:rPr>
                <w:rFonts w:ascii="宋体" w:hAnsi="宋体" w:cs="楷体"/>
                <w:sz w:val="21"/>
                <w:szCs w:val="21"/>
              </w:rPr>
            </w:pPr>
            <w:r>
              <w:rPr>
                <w:rFonts w:hint="eastAsia" w:ascii="宋体" w:hAnsi="宋体" w:cs="楷体"/>
                <w:sz w:val="21"/>
                <w:szCs w:val="21"/>
              </w:rPr>
              <w:t>服务人员按要求统一服装，佩戴工牌，上下班按时签到；</w:t>
            </w:r>
          </w:p>
        </w:tc>
        <w:tc>
          <w:tcPr>
            <w:tcW w:w="396" w:type="pct"/>
            <w:noWrap w:val="0"/>
            <w:vAlign w:val="center"/>
          </w:tcPr>
          <w:p w14:paraId="261485E2">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3D25243E">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0E5D467">
            <w:pPr>
              <w:spacing w:line="240" w:lineRule="exact"/>
              <w:jc w:val="center"/>
              <w:rPr>
                <w:rFonts w:ascii="宋体" w:hAnsi="宋体" w:cs="楷体"/>
                <w:sz w:val="21"/>
                <w:szCs w:val="21"/>
              </w:rPr>
            </w:pPr>
          </w:p>
        </w:tc>
        <w:tc>
          <w:tcPr>
            <w:tcW w:w="396" w:type="pct"/>
            <w:noWrap w:val="0"/>
            <w:vAlign w:val="center"/>
          </w:tcPr>
          <w:p w14:paraId="01375A2D">
            <w:pPr>
              <w:spacing w:line="240" w:lineRule="exact"/>
              <w:jc w:val="center"/>
              <w:rPr>
                <w:rFonts w:ascii="宋体" w:hAnsi="宋体" w:cs="楷体"/>
                <w:sz w:val="21"/>
                <w:szCs w:val="21"/>
              </w:rPr>
            </w:pPr>
          </w:p>
        </w:tc>
        <w:tc>
          <w:tcPr>
            <w:tcW w:w="396" w:type="pct"/>
            <w:noWrap w:val="0"/>
            <w:vAlign w:val="center"/>
          </w:tcPr>
          <w:p w14:paraId="3353035C">
            <w:pPr>
              <w:spacing w:line="240" w:lineRule="exact"/>
              <w:jc w:val="center"/>
              <w:rPr>
                <w:rFonts w:ascii="宋体" w:hAnsi="宋体" w:cs="楷体"/>
                <w:sz w:val="21"/>
                <w:szCs w:val="21"/>
              </w:rPr>
            </w:pPr>
          </w:p>
        </w:tc>
        <w:tc>
          <w:tcPr>
            <w:tcW w:w="331" w:type="pct"/>
            <w:noWrap w:val="0"/>
            <w:vAlign w:val="center"/>
          </w:tcPr>
          <w:p w14:paraId="722227B3">
            <w:pPr>
              <w:spacing w:line="240" w:lineRule="exact"/>
              <w:jc w:val="center"/>
              <w:rPr>
                <w:rFonts w:ascii="宋体" w:hAnsi="宋体" w:cs="楷体"/>
                <w:sz w:val="21"/>
                <w:szCs w:val="21"/>
              </w:rPr>
            </w:pPr>
          </w:p>
        </w:tc>
      </w:tr>
      <w:tr w14:paraId="05E3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1ED24E88">
            <w:pPr>
              <w:spacing w:line="240" w:lineRule="exact"/>
              <w:jc w:val="center"/>
              <w:rPr>
                <w:rFonts w:ascii="宋体" w:hAnsi="宋体" w:cs="楷体"/>
                <w:sz w:val="21"/>
                <w:szCs w:val="21"/>
              </w:rPr>
            </w:pPr>
            <w:r>
              <w:rPr>
                <w:rFonts w:hint="eastAsia" w:ascii="宋体" w:hAnsi="宋体" w:cs="楷体"/>
                <w:sz w:val="21"/>
                <w:szCs w:val="21"/>
              </w:rPr>
              <w:t>3</w:t>
            </w:r>
          </w:p>
        </w:tc>
        <w:tc>
          <w:tcPr>
            <w:tcW w:w="402" w:type="pct"/>
            <w:vMerge w:val="continue"/>
            <w:noWrap w:val="0"/>
            <w:vAlign w:val="center"/>
          </w:tcPr>
          <w:p w14:paraId="2BDE3FED">
            <w:pPr>
              <w:spacing w:line="240" w:lineRule="exact"/>
              <w:jc w:val="center"/>
              <w:rPr>
                <w:rFonts w:ascii="宋体" w:hAnsi="宋体" w:cs="楷体"/>
                <w:sz w:val="21"/>
                <w:szCs w:val="21"/>
              </w:rPr>
            </w:pPr>
          </w:p>
        </w:tc>
        <w:tc>
          <w:tcPr>
            <w:tcW w:w="2039" w:type="pct"/>
            <w:noWrap w:val="0"/>
            <w:vAlign w:val="center"/>
          </w:tcPr>
          <w:p w14:paraId="3AFB42AF">
            <w:pPr>
              <w:spacing w:line="240" w:lineRule="exact"/>
              <w:jc w:val="left"/>
              <w:rPr>
                <w:rFonts w:ascii="宋体" w:hAnsi="宋体" w:cs="楷体"/>
                <w:sz w:val="21"/>
                <w:szCs w:val="21"/>
              </w:rPr>
            </w:pPr>
            <w:r>
              <w:rPr>
                <w:rFonts w:hint="eastAsia" w:ascii="宋体" w:hAnsi="宋体" w:cs="楷体"/>
                <w:sz w:val="21"/>
                <w:szCs w:val="21"/>
              </w:rPr>
              <w:t>服务人员熟悉服务标准和操作规程，按保洁频率签到；</w:t>
            </w:r>
          </w:p>
        </w:tc>
        <w:tc>
          <w:tcPr>
            <w:tcW w:w="396" w:type="pct"/>
            <w:noWrap w:val="0"/>
            <w:vAlign w:val="center"/>
          </w:tcPr>
          <w:p w14:paraId="6EFFD7EC">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63C0E573">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4FE9EE00">
            <w:pPr>
              <w:spacing w:line="240" w:lineRule="exact"/>
              <w:jc w:val="center"/>
              <w:rPr>
                <w:rFonts w:ascii="宋体" w:hAnsi="宋体" w:cs="楷体"/>
                <w:sz w:val="21"/>
                <w:szCs w:val="21"/>
              </w:rPr>
            </w:pPr>
          </w:p>
        </w:tc>
        <w:tc>
          <w:tcPr>
            <w:tcW w:w="396" w:type="pct"/>
            <w:noWrap w:val="0"/>
            <w:vAlign w:val="center"/>
          </w:tcPr>
          <w:p w14:paraId="57B79296">
            <w:pPr>
              <w:spacing w:line="240" w:lineRule="exact"/>
              <w:jc w:val="center"/>
              <w:rPr>
                <w:rFonts w:ascii="宋体" w:hAnsi="宋体" w:cs="楷体"/>
                <w:sz w:val="21"/>
                <w:szCs w:val="21"/>
              </w:rPr>
            </w:pPr>
          </w:p>
        </w:tc>
        <w:tc>
          <w:tcPr>
            <w:tcW w:w="396" w:type="pct"/>
            <w:noWrap w:val="0"/>
            <w:vAlign w:val="center"/>
          </w:tcPr>
          <w:p w14:paraId="3EFE59B2">
            <w:pPr>
              <w:spacing w:line="240" w:lineRule="exact"/>
              <w:jc w:val="center"/>
              <w:rPr>
                <w:rFonts w:ascii="宋体" w:hAnsi="宋体" w:cs="楷体"/>
                <w:sz w:val="21"/>
                <w:szCs w:val="21"/>
              </w:rPr>
            </w:pPr>
          </w:p>
        </w:tc>
        <w:tc>
          <w:tcPr>
            <w:tcW w:w="331" w:type="pct"/>
            <w:noWrap w:val="0"/>
            <w:vAlign w:val="center"/>
          </w:tcPr>
          <w:p w14:paraId="68287B1A">
            <w:pPr>
              <w:spacing w:line="240" w:lineRule="exact"/>
              <w:jc w:val="center"/>
              <w:rPr>
                <w:rFonts w:ascii="宋体" w:hAnsi="宋体" w:cs="楷体"/>
                <w:sz w:val="21"/>
                <w:szCs w:val="21"/>
              </w:rPr>
            </w:pPr>
          </w:p>
        </w:tc>
      </w:tr>
      <w:tr w14:paraId="20BB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798503F9">
            <w:pPr>
              <w:spacing w:line="240" w:lineRule="exact"/>
              <w:jc w:val="center"/>
              <w:rPr>
                <w:rFonts w:ascii="宋体" w:hAnsi="宋体" w:cs="楷体"/>
                <w:sz w:val="21"/>
                <w:szCs w:val="21"/>
              </w:rPr>
            </w:pPr>
            <w:r>
              <w:rPr>
                <w:rFonts w:hint="eastAsia" w:ascii="宋体" w:hAnsi="宋体" w:cs="楷体"/>
                <w:sz w:val="21"/>
                <w:szCs w:val="21"/>
              </w:rPr>
              <w:t>4</w:t>
            </w:r>
          </w:p>
        </w:tc>
        <w:tc>
          <w:tcPr>
            <w:tcW w:w="402" w:type="pct"/>
            <w:vMerge w:val="continue"/>
            <w:noWrap w:val="0"/>
            <w:vAlign w:val="center"/>
          </w:tcPr>
          <w:p w14:paraId="1780FACB">
            <w:pPr>
              <w:spacing w:line="240" w:lineRule="exact"/>
              <w:jc w:val="center"/>
              <w:rPr>
                <w:rFonts w:ascii="宋体" w:hAnsi="宋体" w:cs="楷体"/>
                <w:sz w:val="21"/>
                <w:szCs w:val="21"/>
              </w:rPr>
            </w:pPr>
          </w:p>
        </w:tc>
        <w:tc>
          <w:tcPr>
            <w:tcW w:w="2039" w:type="pct"/>
            <w:noWrap w:val="0"/>
            <w:vAlign w:val="center"/>
          </w:tcPr>
          <w:p w14:paraId="1B56E74C">
            <w:pPr>
              <w:spacing w:line="240" w:lineRule="exact"/>
              <w:jc w:val="left"/>
              <w:rPr>
                <w:rFonts w:ascii="宋体" w:hAnsi="宋体" w:cs="楷体"/>
                <w:sz w:val="21"/>
                <w:szCs w:val="21"/>
              </w:rPr>
            </w:pPr>
            <w:r>
              <w:rPr>
                <w:rFonts w:hint="eastAsia" w:ascii="宋体" w:hAnsi="宋体" w:cs="楷体"/>
                <w:sz w:val="21"/>
                <w:szCs w:val="21"/>
              </w:rPr>
              <w:t>按时制定提供区域责任分配表、清洁、消杀实施计划；</w:t>
            </w:r>
          </w:p>
        </w:tc>
        <w:tc>
          <w:tcPr>
            <w:tcW w:w="396" w:type="pct"/>
            <w:noWrap w:val="0"/>
            <w:vAlign w:val="center"/>
          </w:tcPr>
          <w:p w14:paraId="0C858A37">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2B06B32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3641DE8E">
            <w:pPr>
              <w:spacing w:line="240" w:lineRule="exact"/>
              <w:jc w:val="center"/>
              <w:rPr>
                <w:rFonts w:ascii="宋体" w:hAnsi="宋体" w:cs="楷体"/>
                <w:sz w:val="21"/>
                <w:szCs w:val="21"/>
              </w:rPr>
            </w:pPr>
          </w:p>
        </w:tc>
        <w:tc>
          <w:tcPr>
            <w:tcW w:w="396" w:type="pct"/>
            <w:noWrap w:val="0"/>
            <w:vAlign w:val="center"/>
          </w:tcPr>
          <w:p w14:paraId="27773F8D">
            <w:pPr>
              <w:spacing w:line="240" w:lineRule="exact"/>
              <w:jc w:val="center"/>
              <w:rPr>
                <w:rFonts w:ascii="宋体" w:hAnsi="宋体" w:cs="楷体"/>
                <w:sz w:val="21"/>
                <w:szCs w:val="21"/>
              </w:rPr>
            </w:pPr>
          </w:p>
        </w:tc>
        <w:tc>
          <w:tcPr>
            <w:tcW w:w="396" w:type="pct"/>
            <w:noWrap w:val="0"/>
            <w:vAlign w:val="center"/>
          </w:tcPr>
          <w:p w14:paraId="7E898520">
            <w:pPr>
              <w:spacing w:line="240" w:lineRule="exact"/>
              <w:jc w:val="center"/>
              <w:rPr>
                <w:rFonts w:ascii="宋体" w:hAnsi="宋体" w:cs="楷体"/>
                <w:sz w:val="21"/>
                <w:szCs w:val="21"/>
              </w:rPr>
            </w:pPr>
          </w:p>
        </w:tc>
        <w:tc>
          <w:tcPr>
            <w:tcW w:w="331" w:type="pct"/>
            <w:noWrap w:val="0"/>
            <w:vAlign w:val="center"/>
          </w:tcPr>
          <w:p w14:paraId="599F69D8">
            <w:pPr>
              <w:spacing w:line="240" w:lineRule="exact"/>
              <w:jc w:val="center"/>
              <w:rPr>
                <w:rFonts w:ascii="宋体" w:hAnsi="宋体" w:cs="楷体"/>
                <w:sz w:val="21"/>
                <w:szCs w:val="21"/>
              </w:rPr>
            </w:pPr>
          </w:p>
        </w:tc>
      </w:tr>
      <w:tr w14:paraId="772C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47" w:type="pct"/>
            <w:noWrap w:val="0"/>
            <w:vAlign w:val="center"/>
          </w:tcPr>
          <w:p w14:paraId="234014F5">
            <w:pPr>
              <w:spacing w:line="240" w:lineRule="exact"/>
              <w:jc w:val="center"/>
              <w:rPr>
                <w:rFonts w:ascii="宋体" w:hAnsi="宋体" w:cs="楷体"/>
                <w:sz w:val="21"/>
                <w:szCs w:val="21"/>
              </w:rPr>
            </w:pPr>
            <w:r>
              <w:rPr>
                <w:rFonts w:hint="eastAsia" w:ascii="宋体" w:hAnsi="宋体" w:cs="楷体"/>
                <w:sz w:val="21"/>
                <w:szCs w:val="21"/>
              </w:rPr>
              <w:t>5</w:t>
            </w:r>
          </w:p>
        </w:tc>
        <w:tc>
          <w:tcPr>
            <w:tcW w:w="402" w:type="pct"/>
            <w:vMerge w:val="continue"/>
            <w:noWrap w:val="0"/>
            <w:vAlign w:val="center"/>
          </w:tcPr>
          <w:p w14:paraId="0FD45BF5">
            <w:pPr>
              <w:spacing w:line="240" w:lineRule="exact"/>
              <w:jc w:val="center"/>
              <w:rPr>
                <w:rFonts w:ascii="宋体" w:hAnsi="宋体" w:cs="楷体"/>
                <w:sz w:val="21"/>
                <w:szCs w:val="21"/>
              </w:rPr>
            </w:pPr>
          </w:p>
        </w:tc>
        <w:tc>
          <w:tcPr>
            <w:tcW w:w="2039" w:type="pct"/>
            <w:noWrap w:val="0"/>
            <w:vAlign w:val="center"/>
          </w:tcPr>
          <w:p w14:paraId="1A788EC2">
            <w:pPr>
              <w:spacing w:line="240" w:lineRule="exact"/>
              <w:jc w:val="left"/>
              <w:rPr>
                <w:rFonts w:ascii="宋体" w:hAnsi="宋体" w:cs="楷体"/>
                <w:sz w:val="21"/>
                <w:szCs w:val="21"/>
              </w:rPr>
            </w:pPr>
            <w:r>
              <w:rPr>
                <w:rFonts w:hint="eastAsia" w:ascii="宋体" w:hAnsi="宋体" w:cs="楷体"/>
                <w:sz w:val="21"/>
                <w:szCs w:val="21"/>
              </w:rPr>
              <w:t>日、周检记录规范，发现问题处理及时；</w:t>
            </w:r>
          </w:p>
        </w:tc>
        <w:tc>
          <w:tcPr>
            <w:tcW w:w="396" w:type="pct"/>
            <w:noWrap w:val="0"/>
            <w:vAlign w:val="center"/>
          </w:tcPr>
          <w:p w14:paraId="02E9287D">
            <w:pPr>
              <w:jc w:val="center"/>
              <w:rPr>
                <w:rFonts w:ascii="宋体" w:hAnsi="宋体"/>
                <w:sz w:val="21"/>
                <w:szCs w:val="21"/>
              </w:rPr>
            </w:pPr>
            <w:r>
              <w:rPr>
                <w:rFonts w:hint="eastAsia" w:ascii="宋体" w:hAnsi="宋体" w:cs="楷体"/>
                <w:sz w:val="21"/>
                <w:szCs w:val="21"/>
              </w:rPr>
              <w:t>1</w:t>
            </w:r>
          </w:p>
        </w:tc>
        <w:tc>
          <w:tcPr>
            <w:tcW w:w="396" w:type="pct"/>
            <w:noWrap w:val="0"/>
            <w:vAlign w:val="center"/>
          </w:tcPr>
          <w:p w14:paraId="08743605">
            <w:pPr>
              <w:spacing w:line="240" w:lineRule="exact"/>
              <w:jc w:val="center"/>
              <w:rPr>
                <w:rFonts w:ascii="宋体" w:hAnsi="宋体" w:cs="楷体"/>
                <w:sz w:val="21"/>
                <w:szCs w:val="21"/>
              </w:rPr>
            </w:pPr>
            <w:r>
              <w:rPr>
                <w:rFonts w:hint="eastAsia" w:ascii="宋体" w:hAnsi="宋体" w:cs="楷体"/>
                <w:sz w:val="21"/>
                <w:szCs w:val="21"/>
              </w:rPr>
              <w:t>100</w:t>
            </w:r>
          </w:p>
        </w:tc>
        <w:tc>
          <w:tcPr>
            <w:tcW w:w="396" w:type="pct"/>
            <w:noWrap w:val="0"/>
            <w:vAlign w:val="center"/>
          </w:tcPr>
          <w:p w14:paraId="7A32B08E">
            <w:pPr>
              <w:spacing w:line="240" w:lineRule="exact"/>
              <w:jc w:val="center"/>
              <w:rPr>
                <w:rFonts w:ascii="宋体" w:hAnsi="宋体" w:cs="楷体"/>
                <w:sz w:val="21"/>
                <w:szCs w:val="21"/>
              </w:rPr>
            </w:pPr>
          </w:p>
        </w:tc>
        <w:tc>
          <w:tcPr>
            <w:tcW w:w="396" w:type="pct"/>
            <w:noWrap w:val="0"/>
            <w:vAlign w:val="center"/>
          </w:tcPr>
          <w:p w14:paraId="570A5EB4">
            <w:pPr>
              <w:spacing w:line="240" w:lineRule="exact"/>
              <w:jc w:val="center"/>
              <w:rPr>
                <w:rFonts w:ascii="宋体" w:hAnsi="宋体" w:cs="楷体"/>
                <w:sz w:val="21"/>
                <w:szCs w:val="21"/>
              </w:rPr>
            </w:pPr>
          </w:p>
        </w:tc>
        <w:tc>
          <w:tcPr>
            <w:tcW w:w="396" w:type="pct"/>
            <w:noWrap w:val="0"/>
            <w:vAlign w:val="center"/>
          </w:tcPr>
          <w:p w14:paraId="05D2E3D3">
            <w:pPr>
              <w:spacing w:line="240" w:lineRule="exact"/>
              <w:jc w:val="center"/>
              <w:rPr>
                <w:rFonts w:ascii="宋体" w:hAnsi="宋体" w:cs="楷体"/>
                <w:sz w:val="21"/>
                <w:szCs w:val="21"/>
              </w:rPr>
            </w:pPr>
          </w:p>
        </w:tc>
        <w:tc>
          <w:tcPr>
            <w:tcW w:w="331" w:type="pct"/>
            <w:noWrap w:val="0"/>
            <w:vAlign w:val="center"/>
          </w:tcPr>
          <w:p w14:paraId="557FFAE0">
            <w:pPr>
              <w:spacing w:line="240" w:lineRule="exact"/>
              <w:jc w:val="center"/>
              <w:rPr>
                <w:rFonts w:ascii="宋体" w:hAnsi="宋体" w:cs="楷体"/>
                <w:sz w:val="21"/>
                <w:szCs w:val="21"/>
              </w:rPr>
            </w:pPr>
          </w:p>
        </w:tc>
      </w:tr>
      <w:tr w14:paraId="54738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0DE54AC4">
            <w:pPr>
              <w:spacing w:line="240" w:lineRule="exact"/>
              <w:jc w:val="center"/>
              <w:rPr>
                <w:rFonts w:ascii="宋体" w:hAnsi="宋体" w:cs="楷体"/>
                <w:sz w:val="21"/>
                <w:szCs w:val="21"/>
              </w:rPr>
            </w:pPr>
            <w:r>
              <w:rPr>
                <w:rFonts w:hint="eastAsia" w:ascii="宋体" w:hAnsi="宋体" w:cs="楷体"/>
                <w:sz w:val="21"/>
                <w:szCs w:val="21"/>
              </w:rPr>
              <w:t>6</w:t>
            </w:r>
          </w:p>
        </w:tc>
        <w:tc>
          <w:tcPr>
            <w:tcW w:w="402" w:type="pct"/>
            <w:vMerge w:val="restart"/>
            <w:noWrap w:val="0"/>
            <w:vAlign w:val="center"/>
          </w:tcPr>
          <w:p w14:paraId="602EFB62">
            <w:pPr>
              <w:spacing w:line="240" w:lineRule="exact"/>
              <w:jc w:val="center"/>
              <w:rPr>
                <w:rFonts w:ascii="宋体" w:hAnsi="宋体" w:cs="楷体"/>
                <w:sz w:val="21"/>
                <w:szCs w:val="21"/>
              </w:rPr>
            </w:pPr>
            <w:r>
              <w:rPr>
                <w:rFonts w:hint="eastAsia" w:ascii="宋体" w:hAnsi="宋体" w:cs="楷体"/>
                <w:sz w:val="21"/>
                <w:szCs w:val="21"/>
              </w:rPr>
              <w:t>公共区域</w:t>
            </w:r>
          </w:p>
        </w:tc>
        <w:tc>
          <w:tcPr>
            <w:tcW w:w="2039" w:type="pct"/>
            <w:noWrap w:val="0"/>
            <w:vAlign w:val="center"/>
          </w:tcPr>
          <w:p w14:paraId="54127428">
            <w:pPr>
              <w:spacing w:line="240" w:lineRule="exact"/>
              <w:jc w:val="left"/>
              <w:rPr>
                <w:rFonts w:ascii="宋体" w:hAnsi="宋体" w:cs="楷体"/>
                <w:sz w:val="21"/>
                <w:szCs w:val="21"/>
              </w:rPr>
            </w:pPr>
            <w:r>
              <w:rPr>
                <w:rFonts w:hint="eastAsia" w:ascii="宋体" w:hAnsi="宋体" w:cs="楷体"/>
                <w:sz w:val="21"/>
                <w:szCs w:val="21"/>
              </w:rPr>
              <w:t>公共部位地面、墙面、玻璃、门窗干净，无灰尘、污迹；</w:t>
            </w:r>
          </w:p>
        </w:tc>
        <w:tc>
          <w:tcPr>
            <w:tcW w:w="396" w:type="pct"/>
            <w:noWrap w:val="0"/>
            <w:vAlign w:val="center"/>
          </w:tcPr>
          <w:p w14:paraId="62FEBFC6">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4FB20C90">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64111F7">
            <w:pPr>
              <w:spacing w:line="240" w:lineRule="exact"/>
              <w:jc w:val="center"/>
              <w:rPr>
                <w:rFonts w:ascii="宋体" w:hAnsi="宋体" w:cs="楷体"/>
                <w:sz w:val="21"/>
                <w:szCs w:val="21"/>
              </w:rPr>
            </w:pPr>
          </w:p>
        </w:tc>
        <w:tc>
          <w:tcPr>
            <w:tcW w:w="396" w:type="pct"/>
            <w:noWrap w:val="0"/>
            <w:vAlign w:val="center"/>
          </w:tcPr>
          <w:p w14:paraId="581D56EA">
            <w:pPr>
              <w:spacing w:line="240" w:lineRule="exact"/>
              <w:jc w:val="center"/>
              <w:rPr>
                <w:rFonts w:ascii="宋体" w:hAnsi="宋体" w:cs="楷体"/>
                <w:sz w:val="21"/>
                <w:szCs w:val="21"/>
              </w:rPr>
            </w:pPr>
          </w:p>
        </w:tc>
        <w:tc>
          <w:tcPr>
            <w:tcW w:w="396" w:type="pct"/>
            <w:noWrap w:val="0"/>
            <w:vAlign w:val="center"/>
          </w:tcPr>
          <w:p w14:paraId="7593B25A">
            <w:pPr>
              <w:spacing w:line="240" w:lineRule="exact"/>
              <w:jc w:val="center"/>
              <w:rPr>
                <w:rFonts w:ascii="宋体" w:hAnsi="宋体" w:cs="楷体"/>
                <w:sz w:val="21"/>
                <w:szCs w:val="21"/>
              </w:rPr>
            </w:pPr>
          </w:p>
        </w:tc>
        <w:tc>
          <w:tcPr>
            <w:tcW w:w="331" w:type="pct"/>
            <w:noWrap w:val="0"/>
            <w:vAlign w:val="center"/>
          </w:tcPr>
          <w:p w14:paraId="679A57A5">
            <w:pPr>
              <w:spacing w:line="240" w:lineRule="exact"/>
              <w:jc w:val="center"/>
              <w:rPr>
                <w:rFonts w:ascii="宋体" w:hAnsi="宋体" w:cs="楷体"/>
                <w:sz w:val="21"/>
                <w:szCs w:val="21"/>
              </w:rPr>
            </w:pPr>
          </w:p>
        </w:tc>
      </w:tr>
      <w:tr w14:paraId="4084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247" w:type="pct"/>
            <w:noWrap w:val="0"/>
            <w:vAlign w:val="center"/>
          </w:tcPr>
          <w:p w14:paraId="42FF0B97">
            <w:pPr>
              <w:spacing w:line="240" w:lineRule="exact"/>
              <w:jc w:val="center"/>
              <w:rPr>
                <w:rFonts w:ascii="宋体" w:hAnsi="宋体" w:cs="楷体"/>
                <w:sz w:val="21"/>
                <w:szCs w:val="21"/>
              </w:rPr>
            </w:pPr>
            <w:r>
              <w:rPr>
                <w:rFonts w:hint="eastAsia" w:ascii="宋体" w:hAnsi="宋体" w:cs="楷体"/>
                <w:sz w:val="21"/>
                <w:szCs w:val="21"/>
              </w:rPr>
              <w:t>7</w:t>
            </w:r>
          </w:p>
        </w:tc>
        <w:tc>
          <w:tcPr>
            <w:tcW w:w="402" w:type="pct"/>
            <w:vMerge w:val="continue"/>
            <w:noWrap w:val="0"/>
            <w:vAlign w:val="center"/>
          </w:tcPr>
          <w:p w14:paraId="1E7C4B88">
            <w:pPr>
              <w:spacing w:line="240" w:lineRule="exact"/>
              <w:jc w:val="center"/>
              <w:rPr>
                <w:rFonts w:ascii="宋体" w:hAnsi="宋体" w:cs="楷体"/>
                <w:sz w:val="21"/>
                <w:szCs w:val="21"/>
              </w:rPr>
            </w:pPr>
          </w:p>
        </w:tc>
        <w:tc>
          <w:tcPr>
            <w:tcW w:w="2039" w:type="pct"/>
            <w:noWrap w:val="0"/>
            <w:vAlign w:val="center"/>
          </w:tcPr>
          <w:p w14:paraId="643DFEB5">
            <w:pPr>
              <w:spacing w:line="240" w:lineRule="exact"/>
              <w:jc w:val="left"/>
              <w:rPr>
                <w:rFonts w:ascii="宋体" w:hAnsi="宋体" w:cs="楷体"/>
                <w:sz w:val="21"/>
                <w:szCs w:val="21"/>
              </w:rPr>
            </w:pPr>
            <w:r>
              <w:rPr>
                <w:rFonts w:hint="eastAsia" w:ascii="宋体" w:hAnsi="宋体" w:cs="楷体"/>
                <w:sz w:val="21"/>
                <w:szCs w:val="21"/>
              </w:rPr>
              <w:t>公共设施、设备、物品、灯饰无锈迹、无灰尘；摆放整齐，干净；</w:t>
            </w:r>
          </w:p>
        </w:tc>
        <w:tc>
          <w:tcPr>
            <w:tcW w:w="396" w:type="pct"/>
            <w:noWrap w:val="0"/>
            <w:vAlign w:val="center"/>
          </w:tcPr>
          <w:p w14:paraId="59DE5063">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1EA4F7E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77A2BF1">
            <w:pPr>
              <w:spacing w:line="240" w:lineRule="exact"/>
              <w:jc w:val="center"/>
              <w:rPr>
                <w:rFonts w:ascii="宋体" w:hAnsi="宋体" w:cs="楷体"/>
                <w:sz w:val="21"/>
                <w:szCs w:val="21"/>
              </w:rPr>
            </w:pPr>
          </w:p>
        </w:tc>
        <w:tc>
          <w:tcPr>
            <w:tcW w:w="396" w:type="pct"/>
            <w:noWrap w:val="0"/>
            <w:vAlign w:val="center"/>
          </w:tcPr>
          <w:p w14:paraId="35B5F6F8">
            <w:pPr>
              <w:spacing w:line="240" w:lineRule="exact"/>
              <w:jc w:val="center"/>
              <w:rPr>
                <w:rFonts w:ascii="宋体" w:hAnsi="宋体" w:cs="楷体"/>
                <w:sz w:val="21"/>
                <w:szCs w:val="21"/>
              </w:rPr>
            </w:pPr>
          </w:p>
        </w:tc>
        <w:tc>
          <w:tcPr>
            <w:tcW w:w="396" w:type="pct"/>
            <w:noWrap w:val="0"/>
            <w:vAlign w:val="center"/>
          </w:tcPr>
          <w:p w14:paraId="15B205CD">
            <w:pPr>
              <w:spacing w:line="240" w:lineRule="exact"/>
              <w:jc w:val="center"/>
              <w:rPr>
                <w:rFonts w:ascii="宋体" w:hAnsi="宋体" w:cs="楷体"/>
                <w:sz w:val="21"/>
                <w:szCs w:val="21"/>
              </w:rPr>
            </w:pPr>
          </w:p>
        </w:tc>
        <w:tc>
          <w:tcPr>
            <w:tcW w:w="331" w:type="pct"/>
            <w:noWrap w:val="0"/>
            <w:vAlign w:val="center"/>
          </w:tcPr>
          <w:p w14:paraId="45AEE29A">
            <w:pPr>
              <w:spacing w:line="240" w:lineRule="exact"/>
              <w:jc w:val="center"/>
              <w:rPr>
                <w:rFonts w:ascii="宋体" w:hAnsi="宋体" w:cs="楷体"/>
                <w:sz w:val="21"/>
                <w:szCs w:val="21"/>
              </w:rPr>
            </w:pPr>
          </w:p>
        </w:tc>
      </w:tr>
      <w:tr w14:paraId="207E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47" w:type="pct"/>
            <w:noWrap w:val="0"/>
            <w:vAlign w:val="center"/>
          </w:tcPr>
          <w:p w14:paraId="1682F000">
            <w:pPr>
              <w:spacing w:line="240" w:lineRule="exact"/>
              <w:jc w:val="center"/>
              <w:rPr>
                <w:rFonts w:ascii="宋体" w:hAnsi="宋体" w:cs="楷体"/>
                <w:sz w:val="21"/>
                <w:szCs w:val="21"/>
              </w:rPr>
            </w:pPr>
            <w:r>
              <w:rPr>
                <w:rFonts w:hint="eastAsia" w:ascii="宋体" w:hAnsi="宋体" w:cs="楷体"/>
                <w:sz w:val="21"/>
                <w:szCs w:val="21"/>
              </w:rPr>
              <w:t>8</w:t>
            </w:r>
          </w:p>
        </w:tc>
        <w:tc>
          <w:tcPr>
            <w:tcW w:w="402" w:type="pct"/>
            <w:vMerge w:val="continue"/>
            <w:noWrap w:val="0"/>
            <w:vAlign w:val="center"/>
          </w:tcPr>
          <w:p w14:paraId="4DD12B54">
            <w:pPr>
              <w:spacing w:line="240" w:lineRule="exact"/>
              <w:jc w:val="center"/>
              <w:rPr>
                <w:rFonts w:ascii="宋体" w:hAnsi="宋体" w:cs="楷体"/>
                <w:sz w:val="21"/>
                <w:szCs w:val="21"/>
              </w:rPr>
            </w:pPr>
          </w:p>
        </w:tc>
        <w:tc>
          <w:tcPr>
            <w:tcW w:w="2039" w:type="pct"/>
            <w:noWrap w:val="0"/>
            <w:vAlign w:val="center"/>
          </w:tcPr>
          <w:p w14:paraId="4178AB53">
            <w:pPr>
              <w:spacing w:line="240" w:lineRule="exact"/>
              <w:jc w:val="left"/>
              <w:rPr>
                <w:rFonts w:ascii="宋体" w:hAnsi="宋体" w:cs="楷体"/>
                <w:sz w:val="21"/>
                <w:szCs w:val="21"/>
              </w:rPr>
            </w:pPr>
            <w:r>
              <w:rPr>
                <w:rFonts w:hint="eastAsia" w:ascii="宋体" w:hAnsi="宋体"/>
                <w:sz w:val="21"/>
                <w:szCs w:val="21"/>
              </w:rPr>
              <w:t>每天清扫室外场地的地面，巡回保洁，发现污染物应及时处理。对区域内各种设施、标识标牌进行抹尘和清洗，保持外围干净、整洁；</w:t>
            </w:r>
          </w:p>
        </w:tc>
        <w:tc>
          <w:tcPr>
            <w:tcW w:w="396" w:type="pct"/>
            <w:noWrap w:val="0"/>
            <w:vAlign w:val="center"/>
          </w:tcPr>
          <w:p w14:paraId="7EDDE50C">
            <w:pPr>
              <w:jc w:val="center"/>
              <w:rPr>
                <w:rFonts w:ascii="宋体" w:hAnsi="宋体" w:cs="楷体"/>
                <w:sz w:val="21"/>
                <w:szCs w:val="21"/>
              </w:rPr>
            </w:pPr>
            <w:r>
              <w:rPr>
                <w:rFonts w:hint="eastAsia" w:ascii="宋体" w:hAnsi="宋体" w:cs="楷体"/>
                <w:sz w:val="21"/>
                <w:szCs w:val="21"/>
              </w:rPr>
              <w:t>0.5</w:t>
            </w:r>
          </w:p>
        </w:tc>
        <w:tc>
          <w:tcPr>
            <w:tcW w:w="396" w:type="pct"/>
            <w:noWrap w:val="0"/>
            <w:vAlign w:val="center"/>
          </w:tcPr>
          <w:p w14:paraId="4D7874B5">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16510E9">
            <w:pPr>
              <w:spacing w:line="240" w:lineRule="exact"/>
              <w:jc w:val="center"/>
              <w:rPr>
                <w:rFonts w:ascii="宋体" w:hAnsi="宋体" w:cs="楷体"/>
                <w:sz w:val="21"/>
                <w:szCs w:val="21"/>
              </w:rPr>
            </w:pPr>
          </w:p>
        </w:tc>
        <w:tc>
          <w:tcPr>
            <w:tcW w:w="396" w:type="pct"/>
            <w:noWrap w:val="0"/>
            <w:vAlign w:val="center"/>
          </w:tcPr>
          <w:p w14:paraId="502CA3A3">
            <w:pPr>
              <w:spacing w:line="240" w:lineRule="exact"/>
              <w:jc w:val="center"/>
              <w:rPr>
                <w:rFonts w:ascii="宋体" w:hAnsi="宋体" w:cs="楷体"/>
                <w:sz w:val="21"/>
                <w:szCs w:val="21"/>
              </w:rPr>
            </w:pPr>
          </w:p>
        </w:tc>
        <w:tc>
          <w:tcPr>
            <w:tcW w:w="396" w:type="pct"/>
            <w:noWrap w:val="0"/>
            <w:vAlign w:val="center"/>
          </w:tcPr>
          <w:p w14:paraId="4B5688D2">
            <w:pPr>
              <w:spacing w:line="240" w:lineRule="exact"/>
              <w:jc w:val="center"/>
              <w:rPr>
                <w:rFonts w:ascii="宋体" w:hAnsi="宋体" w:cs="楷体"/>
                <w:sz w:val="21"/>
                <w:szCs w:val="21"/>
              </w:rPr>
            </w:pPr>
          </w:p>
        </w:tc>
        <w:tc>
          <w:tcPr>
            <w:tcW w:w="331" w:type="pct"/>
            <w:noWrap w:val="0"/>
            <w:vAlign w:val="center"/>
          </w:tcPr>
          <w:p w14:paraId="1E7F8622">
            <w:pPr>
              <w:spacing w:line="240" w:lineRule="exact"/>
              <w:jc w:val="center"/>
              <w:rPr>
                <w:rFonts w:ascii="宋体" w:hAnsi="宋体" w:cs="楷体"/>
                <w:sz w:val="21"/>
                <w:szCs w:val="21"/>
              </w:rPr>
            </w:pPr>
          </w:p>
        </w:tc>
      </w:tr>
      <w:tr w14:paraId="597A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47" w:type="pct"/>
            <w:noWrap w:val="0"/>
            <w:vAlign w:val="center"/>
          </w:tcPr>
          <w:p w14:paraId="1F919712">
            <w:pPr>
              <w:spacing w:line="240" w:lineRule="exact"/>
              <w:jc w:val="center"/>
              <w:rPr>
                <w:rFonts w:ascii="宋体" w:hAnsi="宋体" w:cs="楷体"/>
                <w:sz w:val="21"/>
                <w:szCs w:val="21"/>
              </w:rPr>
            </w:pPr>
            <w:r>
              <w:rPr>
                <w:rFonts w:hint="eastAsia" w:ascii="宋体" w:hAnsi="宋体" w:cs="楷体"/>
                <w:sz w:val="21"/>
                <w:szCs w:val="21"/>
              </w:rPr>
              <w:t>9</w:t>
            </w:r>
          </w:p>
        </w:tc>
        <w:tc>
          <w:tcPr>
            <w:tcW w:w="402" w:type="pct"/>
            <w:vMerge w:val="continue"/>
            <w:noWrap w:val="0"/>
            <w:vAlign w:val="center"/>
          </w:tcPr>
          <w:p w14:paraId="2FC7382E">
            <w:pPr>
              <w:spacing w:line="240" w:lineRule="exact"/>
              <w:jc w:val="center"/>
              <w:rPr>
                <w:rFonts w:ascii="宋体" w:hAnsi="宋体" w:cs="楷体"/>
                <w:sz w:val="21"/>
                <w:szCs w:val="21"/>
              </w:rPr>
            </w:pPr>
          </w:p>
        </w:tc>
        <w:tc>
          <w:tcPr>
            <w:tcW w:w="2039" w:type="pct"/>
            <w:noWrap w:val="0"/>
            <w:vAlign w:val="center"/>
          </w:tcPr>
          <w:p w14:paraId="0F21BE49">
            <w:pPr>
              <w:spacing w:line="240" w:lineRule="exact"/>
              <w:jc w:val="left"/>
              <w:rPr>
                <w:rFonts w:ascii="宋体" w:hAnsi="宋体" w:cs="楷体"/>
                <w:sz w:val="21"/>
                <w:szCs w:val="21"/>
              </w:rPr>
            </w:pPr>
            <w:r>
              <w:rPr>
                <w:rFonts w:hint="eastAsia" w:ascii="宋体" w:hAnsi="宋体" w:cs="楷体"/>
                <w:sz w:val="21"/>
                <w:szCs w:val="21"/>
              </w:rPr>
              <w:t>垃圾堆放不超过桶身1/2；垃圾桶身无污渍、痰迹；大楼外垃圾桶日产日清；</w:t>
            </w:r>
          </w:p>
        </w:tc>
        <w:tc>
          <w:tcPr>
            <w:tcW w:w="396" w:type="pct"/>
            <w:noWrap w:val="0"/>
            <w:vAlign w:val="center"/>
          </w:tcPr>
          <w:p w14:paraId="0AE81B12">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46638E6C">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3C58BA9F">
            <w:pPr>
              <w:spacing w:line="240" w:lineRule="exact"/>
              <w:jc w:val="center"/>
              <w:rPr>
                <w:rFonts w:ascii="宋体" w:hAnsi="宋体" w:cs="楷体"/>
                <w:sz w:val="21"/>
                <w:szCs w:val="21"/>
              </w:rPr>
            </w:pPr>
          </w:p>
        </w:tc>
        <w:tc>
          <w:tcPr>
            <w:tcW w:w="396" w:type="pct"/>
            <w:noWrap w:val="0"/>
            <w:vAlign w:val="center"/>
          </w:tcPr>
          <w:p w14:paraId="3551A770">
            <w:pPr>
              <w:spacing w:line="240" w:lineRule="exact"/>
              <w:jc w:val="center"/>
              <w:rPr>
                <w:rFonts w:ascii="宋体" w:hAnsi="宋体" w:cs="楷体"/>
                <w:sz w:val="21"/>
                <w:szCs w:val="21"/>
              </w:rPr>
            </w:pPr>
          </w:p>
        </w:tc>
        <w:tc>
          <w:tcPr>
            <w:tcW w:w="396" w:type="pct"/>
            <w:noWrap w:val="0"/>
            <w:vAlign w:val="center"/>
          </w:tcPr>
          <w:p w14:paraId="4867DE09">
            <w:pPr>
              <w:spacing w:line="240" w:lineRule="exact"/>
              <w:jc w:val="center"/>
              <w:rPr>
                <w:rFonts w:ascii="宋体" w:hAnsi="宋体" w:cs="楷体"/>
                <w:sz w:val="21"/>
                <w:szCs w:val="21"/>
              </w:rPr>
            </w:pPr>
          </w:p>
        </w:tc>
        <w:tc>
          <w:tcPr>
            <w:tcW w:w="331" w:type="pct"/>
            <w:noWrap w:val="0"/>
            <w:vAlign w:val="center"/>
          </w:tcPr>
          <w:p w14:paraId="5FD33967">
            <w:pPr>
              <w:spacing w:line="240" w:lineRule="exact"/>
              <w:jc w:val="center"/>
              <w:rPr>
                <w:rFonts w:ascii="宋体" w:hAnsi="宋体" w:cs="楷体"/>
                <w:sz w:val="21"/>
                <w:szCs w:val="21"/>
              </w:rPr>
            </w:pPr>
          </w:p>
        </w:tc>
      </w:tr>
      <w:tr w14:paraId="5058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0EA1C490">
            <w:pPr>
              <w:spacing w:line="240" w:lineRule="exact"/>
              <w:jc w:val="center"/>
              <w:rPr>
                <w:rFonts w:ascii="宋体" w:hAnsi="宋体" w:cs="楷体"/>
                <w:sz w:val="21"/>
                <w:szCs w:val="21"/>
              </w:rPr>
            </w:pPr>
            <w:r>
              <w:rPr>
                <w:rFonts w:hint="eastAsia" w:ascii="宋体" w:hAnsi="宋体" w:cs="楷体"/>
                <w:sz w:val="21"/>
                <w:szCs w:val="21"/>
              </w:rPr>
              <w:t>10</w:t>
            </w:r>
          </w:p>
        </w:tc>
        <w:tc>
          <w:tcPr>
            <w:tcW w:w="402" w:type="pct"/>
            <w:vMerge w:val="restart"/>
            <w:noWrap w:val="0"/>
            <w:vAlign w:val="center"/>
          </w:tcPr>
          <w:p w14:paraId="2B3E1218">
            <w:pPr>
              <w:spacing w:line="240" w:lineRule="exact"/>
              <w:jc w:val="center"/>
              <w:rPr>
                <w:rFonts w:ascii="宋体" w:hAnsi="宋体" w:cs="楷体"/>
                <w:sz w:val="21"/>
                <w:szCs w:val="21"/>
              </w:rPr>
            </w:pPr>
            <w:r>
              <w:rPr>
                <w:rFonts w:hint="eastAsia" w:ascii="宋体" w:hAnsi="宋体" w:cs="楷体"/>
                <w:sz w:val="21"/>
                <w:szCs w:val="21"/>
              </w:rPr>
              <w:t>楼道</w:t>
            </w:r>
          </w:p>
        </w:tc>
        <w:tc>
          <w:tcPr>
            <w:tcW w:w="2039" w:type="pct"/>
            <w:noWrap w:val="0"/>
            <w:vAlign w:val="center"/>
          </w:tcPr>
          <w:p w14:paraId="3E1340E2">
            <w:pPr>
              <w:spacing w:line="240" w:lineRule="exact"/>
              <w:jc w:val="left"/>
              <w:rPr>
                <w:rFonts w:ascii="宋体" w:hAnsi="宋体" w:cs="楷体"/>
                <w:sz w:val="21"/>
                <w:szCs w:val="21"/>
              </w:rPr>
            </w:pPr>
            <w:r>
              <w:rPr>
                <w:rFonts w:hint="eastAsia" w:ascii="宋体" w:hAnsi="宋体" w:cs="楷体"/>
                <w:sz w:val="21"/>
                <w:szCs w:val="21"/>
              </w:rPr>
              <w:t>楼道打扫干净，无杂物堆放，无乱贴乱放，无蜘蛛网；</w:t>
            </w:r>
          </w:p>
        </w:tc>
        <w:tc>
          <w:tcPr>
            <w:tcW w:w="396" w:type="pct"/>
            <w:noWrap w:val="0"/>
            <w:vAlign w:val="center"/>
          </w:tcPr>
          <w:p w14:paraId="3B37325B">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7576FDFA">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52414591">
            <w:pPr>
              <w:spacing w:line="240" w:lineRule="exact"/>
              <w:jc w:val="center"/>
              <w:rPr>
                <w:rFonts w:ascii="宋体" w:hAnsi="宋体" w:cs="楷体"/>
                <w:sz w:val="21"/>
                <w:szCs w:val="21"/>
              </w:rPr>
            </w:pPr>
          </w:p>
        </w:tc>
        <w:tc>
          <w:tcPr>
            <w:tcW w:w="396" w:type="pct"/>
            <w:noWrap w:val="0"/>
            <w:vAlign w:val="center"/>
          </w:tcPr>
          <w:p w14:paraId="7EEF1E78">
            <w:pPr>
              <w:spacing w:line="240" w:lineRule="exact"/>
              <w:jc w:val="center"/>
              <w:rPr>
                <w:rFonts w:ascii="宋体" w:hAnsi="宋体" w:cs="楷体"/>
                <w:sz w:val="21"/>
                <w:szCs w:val="21"/>
              </w:rPr>
            </w:pPr>
          </w:p>
        </w:tc>
        <w:tc>
          <w:tcPr>
            <w:tcW w:w="396" w:type="pct"/>
            <w:noWrap w:val="0"/>
            <w:vAlign w:val="center"/>
          </w:tcPr>
          <w:p w14:paraId="31053456">
            <w:pPr>
              <w:spacing w:line="240" w:lineRule="exact"/>
              <w:jc w:val="center"/>
              <w:rPr>
                <w:rFonts w:ascii="宋体" w:hAnsi="宋体" w:cs="楷体"/>
                <w:sz w:val="21"/>
                <w:szCs w:val="21"/>
              </w:rPr>
            </w:pPr>
          </w:p>
        </w:tc>
        <w:tc>
          <w:tcPr>
            <w:tcW w:w="331" w:type="pct"/>
            <w:noWrap w:val="0"/>
            <w:vAlign w:val="center"/>
          </w:tcPr>
          <w:p w14:paraId="178EC71D">
            <w:pPr>
              <w:spacing w:line="240" w:lineRule="exact"/>
              <w:jc w:val="center"/>
              <w:rPr>
                <w:rFonts w:ascii="宋体" w:hAnsi="宋体" w:cs="楷体"/>
                <w:sz w:val="21"/>
                <w:szCs w:val="21"/>
              </w:rPr>
            </w:pPr>
          </w:p>
        </w:tc>
      </w:tr>
      <w:tr w14:paraId="4209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47" w:type="pct"/>
            <w:noWrap w:val="0"/>
            <w:vAlign w:val="center"/>
          </w:tcPr>
          <w:p w14:paraId="36337A6E">
            <w:pPr>
              <w:spacing w:line="240" w:lineRule="exact"/>
              <w:jc w:val="center"/>
              <w:rPr>
                <w:rFonts w:ascii="宋体" w:hAnsi="宋体" w:cs="楷体"/>
                <w:sz w:val="21"/>
                <w:szCs w:val="21"/>
              </w:rPr>
            </w:pPr>
            <w:r>
              <w:rPr>
                <w:rFonts w:hint="eastAsia" w:ascii="宋体" w:hAnsi="宋体" w:cs="楷体"/>
                <w:sz w:val="21"/>
                <w:szCs w:val="21"/>
              </w:rPr>
              <w:t>11</w:t>
            </w:r>
          </w:p>
        </w:tc>
        <w:tc>
          <w:tcPr>
            <w:tcW w:w="402" w:type="pct"/>
            <w:vMerge w:val="continue"/>
            <w:noWrap w:val="0"/>
            <w:vAlign w:val="center"/>
          </w:tcPr>
          <w:p w14:paraId="3DC877A9">
            <w:pPr>
              <w:spacing w:line="240" w:lineRule="exact"/>
              <w:rPr>
                <w:rFonts w:ascii="宋体" w:hAnsi="宋体" w:cs="楷体"/>
                <w:sz w:val="21"/>
                <w:szCs w:val="21"/>
              </w:rPr>
            </w:pPr>
          </w:p>
        </w:tc>
        <w:tc>
          <w:tcPr>
            <w:tcW w:w="2039" w:type="pct"/>
            <w:noWrap w:val="0"/>
            <w:vAlign w:val="center"/>
          </w:tcPr>
          <w:p w14:paraId="5CA9BFA6">
            <w:pPr>
              <w:spacing w:line="240" w:lineRule="exact"/>
              <w:jc w:val="left"/>
              <w:rPr>
                <w:rFonts w:ascii="宋体" w:hAnsi="宋体" w:cs="楷体"/>
                <w:sz w:val="21"/>
                <w:szCs w:val="21"/>
              </w:rPr>
            </w:pPr>
            <w:r>
              <w:rPr>
                <w:rFonts w:hint="eastAsia" w:ascii="宋体" w:hAnsi="宋体" w:cs="楷体"/>
                <w:sz w:val="21"/>
                <w:szCs w:val="21"/>
              </w:rPr>
              <w:t>楼道墙面、地面、护栏、扶手、玻璃、窗台干净，无锈迹；</w:t>
            </w:r>
          </w:p>
        </w:tc>
        <w:tc>
          <w:tcPr>
            <w:tcW w:w="396" w:type="pct"/>
            <w:noWrap w:val="0"/>
            <w:vAlign w:val="center"/>
          </w:tcPr>
          <w:p w14:paraId="6ED4856D">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069F9282">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7A963058">
            <w:pPr>
              <w:spacing w:line="240" w:lineRule="exact"/>
              <w:jc w:val="center"/>
              <w:rPr>
                <w:rFonts w:ascii="宋体" w:hAnsi="宋体" w:cs="楷体"/>
                <w:sz w:val="21"/>
                <w:szCs w:val="21"/>
              </w:rPr>
            </w:pPr>
          </w:p>
        </w:tc>
        <w:tc>
          <w:tcPr>
            <w:tcW w:w="396" w:type="pct"/>
            <w:noWrap w:val="0"/>
            <w:vAlign w:val="center"/>
          </w:tcPr>
          <w:p w14:paraId="4B3F13A8">
            <w:pPr>
              <w:spacing w:line="240" w:lineRule="exact"/>
              <w:jc w:val="center"/>
              <w:rPr>
                <w:rFonts w:ascii="宋体" w:hAnsi="宋体" w:cs="楷体"/>
                <w:sz w:val="21"/>
                <w:szCs w:val="21"/>
              </w:rPr>
            </w:pPr>
          </w:p>
        </w:tc>
        <w:tc>
          <w:tcPr>
            <w:tcW w:w="396" w:type="pct"/>
            <w:noWrap w:val="0"/>
            <w:vAlign w:val="center"/>
          </w:tcPr>
          <w:p w14:paraId="74E3B879">
            <w:pPr>
              <w:spacing w:line="240" w:lineRule="exact"/>
              <w:jc w:val="center"/>
              <w:rPr>
                <w:rFonts w:ascii="宋体" w:hAnsi="宋体" w:cs="楷体"/>
                <w:sz w:val="21"/>
                <w:szCs w:val="21"/>
              </w:rPr>
            </w:pPr>
          </w:p>
        </w:tc>
        <w:tc>
          <w:tcPr>
            <w:tcW w:w="331" w:type="pct"/>
            <w:noWrap w:val="0"/>
            <w:vAlign w:val="center"/>
          </w:tcPr>
          <w:p w14:paraId="3F84BB73">
            <w:pPr>
              <w:spacing w:line="240" w:lineRule="exact"/>
              <w:jc w:val="center"/>
              <w:rPr>
                <w:rFonts w:ascii="宋体" w:hAnsi="宋体" w:cs="楷体"/>
                <w:sz w:val="21"/>
                <w:szCs w:val="21"/>
              </w:rPr>
            </w:pPr>
          </w:p>
        </w:tc>
      </w:tr>
      <w:tr w14:paraId="1F0F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47" w:type="pct"/>
            <w:noWrap w:val="0"/>
            <w:vAlign w:val="center"/>
          </w:tcPr>
          <w:p w14:paraId="6D2D062A">
            <w:pPr>
              <w:spacing w:line="240" w:lineRule="exact"/>
              <w:jc w:val="center"/>
              <w:rPr>
                <w:rFonts w:ascii="宋体" w:hAnsi="宋体" w:cs="楷体"/>
                <w:sz w:val="21"/>
                <w:szCs w:val="21"/>
              </w:rPr>
            </w:pPr>
            <w:r>
              <w:rPr>
                <w:rFonts w:hint="eastAsia" w:ascii="宋体" w:hAnsi="宋体" w:cs="楷体"/>
                <w:sz w:val="21"/>
                <w:szCs w:val="21"/>
              </w:rPr>
              <w:t>12</w:t>
            </w:r>
          </w:p>
        </w:tc>
        <w:tc>
          <w:tcPr>
            <w:tcW w:w="402" w:type="pct"/>
            <w:vMerge w:val="restart"/>
            <w:noWrap w:val="0"/>
            <w:vAlign w:val="center"/>
          </w:tcPr>
          <w:p w14:paraId="74BD84E6">
            <w:pPr>
              <w:spacing w:line="240" w:lineRule="exact"/>
              <w:jc w:val="center"/>
              <w:rPr>
                <w:rFonts w:ascii="宋体" w:hAnsi="宋体" w:cs="楷体"/>
                <w:sz w:val="21"/>
                <w:szCs w:val="21"/>
              </w:rPr>
            </w:pPr>
            <w:r>
              <w:rPr>
                <w:rFonts w:hint="eastAsia" w:ascii="宋体" w:hAnsi="宋体" w:cs="楷体"/>
                <w:sz w:val="21"/>
                <w:szCs w:val="21"/>
              </w:rPr>
              <w:t>会议室</w:t>
            </w:r>
          </w:p>
        </w:tc>
        <w:tc>
          <w:tcPr>
            <w:tcW w:w="2039" w:type="pct"/>
            <w:noWrap w:val="0"/>
            <w:vAlign w:val="center"/>
          </w:tcPr>
          <w:p w14:paraId="1FFE8BBC">
            <w:pPr>
              <w:spacing w:line="240" w:lineRule="exact"/>
              <w:jc w:val="left"/>
              <w:rPr>
                <w:rFonts w:ascii="宋体" w:hAnsi="宋体" w:cs="楷体"/>
                <w:sz w:val="21"/>
                <w:szCs w:val="21"/>
              </w:rPr>
            </w:pPr>
            <w:r>
              <w:rPr>
                <w:rFonts w:hint="eastAsia" w:ascii="宋体" w:hAnsi="宋体" w:cs="楷体"/>
                <w:sz w:val="21"/>
                <w:szCs w:val="21"/>
              </w:rPr>
              <w:t>会议桌打扫干净，无污迹、无灰尘；光亮，无手印、污迹，无异味；</w:t>
            </w:r>
          </w:p>
        </w:tc>
        <w:tc>
          <w:tcPr>
            <w:tcW w:w="396" w:type="pct"/>
            <w:noWrap w:val="0"/>
            <w:vAlign w:val="center"/>
          </w:tcPr>
          <w:p w14:paraId="1336BC49">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187E5BD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102E5AF">
            <w:pPr>
              <w:spacing w:line="240" w:lineRule="exact"/>
              <w:jc w:val="center"/>
              <w:rPr>
                <w:rFonts w:ascii="宋体" w:hAnsi="宋体" w:cs="楷体"/>
                <w:sz w:val="21"/>
                <w:szCs w:val="21"/>
              </w:rPr>
            </w:pPr>
          </w:p>
        </w:tc>
        <w:tc>
          <w:tcPr>
            <w:tcW w:w="396" w:type="pct"/>
            <w:noWrap w:val="0"/>
            <w:vAlign w:val="center"/>
          </w:tcPr>
          <w:p w14:paraId="10D4E0E7">
            <w:pPr>
              <w:spacing w:line="240" w:lineRule="exact"/>
              <w:jc w:val="center"/>
              <w:rPr>
                <w:rFonts w:ascii="宋体" w:hAnsi="宋体" w:cs="楷体"/>
                <w:sz w:val="21"/>
                <w:szCs w:val="21"/>
              </w:rPr>
            </w:pPr>
          </w:p>
        </w:tc>
        <w:tc>
          <w:tcPr>
            <w:tcW w:w="396" w:type="pct"/>
            <w:noWrap w:val="0"/>
            <w:vAlign w:val="center"/>
          </w:tcPr>
          <w:p w14:paraId="7DA37F17">
            <w:pPr>
              <w:spacing w:line="240" w:lineRule="exact"/>
              <w:jc w:val="center"/>
              <w:rPr>
                <w:rFonts w:ascii="宋体" w:hAnsi="宋体" w:cs="楷体"/>
                <w:sz w:val="21"/>
                <w:szCs w:val="21"/>
              </w:rPr>
            </w:pPr>
          </w:p>
        </w:tc>
        <w:tc>
          <w:tcPr>
            <w:tcW w:w="331" w:type="pct"/>
            <w:noWrap w:val="0"/>
            <w:vAlign w:val="center"/>
          </w:tcPr>
          <w:p w14:paraId="233CECAB">
            <w:pPr>
              <w:spacing w:line="240" w:lineRule="exact"/>
              <w:jc w:val="center"/>
              <w:rPr>
                <w:rFonts w:ascii="宋体" w:hAnsi="宋体" w:cs="楷体"/>
                <w:sz w:val="21"/>
                <w:szCs w:val="21"/>
              </w:rPr>
            </w:pPr>
          </w:p>
        </w:tc>
      </w:tr>
      <w:tr w14:paraId="07F1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4D118495">
            <w:pPr>
              <w:spacing w:line="240" w:lineRule="exact"/>
              <w:jc w:val="center"/>
              <w:rPr>
                <w:rFonts w:ascii="宋体" w:hAnsi="宋体" w:cs="楷体"/>
                <w:sz w:val="21"/>
                <w:szCs w:val="21"/>
              </w:rPr>
            </w:pPr>
            <w:r>
              <w:rPr>
                <w:rFonts w:hint="eastAsia" w:ascii="宋体" w:hAnsi="宋体" w:cs="楷体"/>
                <w:sz w:val="21"/>
                <w:szCs w:val="21"/>
              </w:rPr>
              <w:t>13</w:t>
            </w:r>
          </w:p>
        </w:tc>
        <w:tc>
          <w:tcPr>
            <w:tcW w:w="402" w:type="pct"/>
            <w:vMerge w:val="continue"/>
            <w:noWrap w:val="0"/>
            <w:vAlign w:val="center"/>
          </w:tcPr>
          <w:p w14:paraId="458C9429">
            <w:pPr>
              <w:spacing w:line="240" w:lineRule="exact"/>
              <w:jc w:val="center"/>
              <w:rPr>
                <w:rFonts w:ascii="宋体" w:hAnsi="宋体" w:cs="楷体"/>
                <w:sz w:val="21"/>
                <w:szCs w:val="21"/>
              </w:rPr>
            </w:pPr>
          </w:p>
        </w:tc>
        <w:tc>
          <w:tcPr>
            <w:tcW w:w="2039" w:type="pct"/>
            <w:noWrap w:val="0"/>
            <w:vAlign w:val="center"/>
          </w:tcPr>
          <w:p w14:paraId="7E763B49">
            <w:pPr>
              <w:spacing w:line="240" w:lineRule="exact"/>
              <w:jc w:val="left"/>
              <w:rPr>
                <w:rFonts w:ascii="宋体" w:hAnsi="宋体" w:cs="楷体"/>
                <w:sz w:val="21"/>
                <w:szCs w:val="21"/>
              </w:rPr>
            </w:pPr>
            <w:r>
              <w:rPr>
                <w:rFonts w:hint="eastAsia" w:ascii="宋体" w:hAnsi="宋体" w:cs="楷体"/>
                <w:sz w:val="21"/>
                <w:szCs w:val="21"/>
              </w:rPr>
              <w:t>天花板灯饰、灯具无灰尘，轨槽干净，无杂物、积灰；</w:t>
            </w:r>
          </w:p>
        </w:tc>
        <w:tc>
          <w:tcPr>
            <w:tcW w:w="396" w:type="pct"/>
            <w:noWrap w:val="0"/>
            <w:vAlign w:val="center"/>
          </w:tcPr>
          <w:p w14:paraId="329964C1">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2FF3452C">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9399842">
            <w:pPr>
              <w:spacing w:line="240" w:lineRule="exact"/>
              <w:jc w:val="center"/>
              <w:rPr>
                <w:rFonts w:ascii="宋体" w:hAnsi="宋体" w:cs="楷体"/>
                <w:sz w:val="21"/>
                <w:szCs w:val="21"/>
              </w:rPr>
            </w:pPr>
          </w:p>
        </w:tc>
        <w:tc>
          <w:tcPr>
            <w:tcW w:w="396" w:type="pct"/>
            <w:noWrap w:val="0"/>
            <w:vAlign w:val="center"/>
          </w:tcPr>
          <w:p w14:paraId="7ED67C6C">
            <w:pPr>
              <w:spacing w:line="240" w:lineRule="exact"/>
              <w:jc w:val="center"/>
              <w:rPr>
                <w:rFonts w:ascii="宋体" w:hAnsi="宋体" w:cs="楷体"/>
                <w:sz w:val="21"/>
                <w:szCs w:val="21"/>
              </w:rPr>
            </w:pPr>
          </w:p>
        </w:tc>
        <w:tc>
          <w:tcPr>
            <w:tcW w:w="396" w:type="pct"/>
            <w:noWrap w:val="0"/>
            <w:vAlign w:val="center"/>
          </w:tcPr>
          <w:p w14:paraId="5E28010E">
            <w:pPr>
              <w:spacing w:line="240" w:lineRule="exact"/>
              <w:jc w:val="center"/>
              <w:rPr>
                <w:rFonts w:ascii="宋体" w:hAnsi="宋体" w:cs="楷体"/>
                <w:sz w:val="21"/>
                <w:szCs w:val="21"/>
              </w:rPr>
            </w:pPr>
          </w:p>
        </w:tc>
        <w:tc>
          <w:tcPr>
            <w:tcW w:w="331" w:type="pct"/>
            <w:noWrap w:val="0"/>
            <w:vAlign w:val="center"/>
          </w:tcPr>
          <w:p w14:paraId="7E6F20A7">
            <w:pPr>
              <w:spacing w:line="240" w:lineRule="exact"/>
              <w:jc w:val="center"/>
              <w:rPr>
                <w:rFonts w:ascii="宋体" w:hAnsi="宋体" w:cs="楷体"/>
                <w:sz w:val="21"/>
                <w:szCs w:val="21"/>
              </w:rPr>
            </w:pPr>
          </w:p>
        </w:tc>
      </w:tr>
      <w:tr w14:paraId="6809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47" w:type="pct"/>
            <w:noWrap w:val="0"/>
            <w:vAlign w:val="center"/>
          </w:tcPr>
          <w:p w14:paraId="031E3A4F">
            <w:pPr>
              <w:spacing w:line="240" w:lineRule="exact"/>
              <w:jc w:val="center"/>
              <w:rPr>
                <w:rFonts w:ascii="宋体" w:hAnsi="宋体" w:cs="楷体"/>
                <w:sz w:val="21"/>
                <w:szCs w:val="21"/>
              </w:rPr>
            </w:pPr>
            <w:r>
              <w:rPr>
                <w:rFonts w:hint="eastAsia" w:ascii="宋体" w:hAnsi="宋体" w:cs="楷体"/>
                <w:sz w:val="21"/>
                <w:szCs w:val="21"/>
              </w:rPr>
              <w:t>14</w:t>
            </w:r>
          </w:p>
        </w:tc>
        <w:tc>
          <w:tcPr>
            <w:tcW w:w="402" w:type="pct"/>
            <w:vMerge w:val="restart"/>
            <w:noWrap w:val="0"/>
            <w:vAlign w:val="center"/>
          </w:tcPr>
          <w:p w14:paraId="7FC90903">
            <w:pPr>
              <w:spacing w:line="240" w:lineRule="exact"/>
              <w:jc w:val="center"/>
              <w:rPr>
                <w:rFonts w:ascii="宋体" w:hAnsi="宋体" w:cs="楷体"/>
                <w:sz w:val="21"/>
                <w:szCs w:val="21"/>
              </w:rPr>
            </w:pPr>
            <w:r>
              <w:rPr>
                <w:rFonts w:hint="eastAsia" w:ascii="宋体" w:hAnsi="宋体" w:cs="楷体"/>
                <w:sz w:val="21"/>
                <w:szCs w:val="21"/>
              </w:rPr>
              <w:t>停车场</w:t>
            </w:r>
          </w:p>
        </w:tc>
        <w:tc>
          <w:tcPr>
            <w:tcW w:w="2039" w:type="pct"/>
            <w:noWrap w:val="0"/>
            <w:vAlign w:val="center"/>
          </w:tcPr>
          <w:p w14:paraId="5DD45C93">
            <w:pPr>
              <w:spacing w:line="240" w:lineRule="exact"/>
              <w:jc w:val="left"/>
              <w:rPr>
                <w:rFonts w:ascii="宋体" w:hAnsi="宋体" w:cs="楷体"/>
                <w:sz w:val="21"/>
                <w:szCs w:val="21"/>
              </w:rPr>
            </w:pPr>
            <w:r>
              <w:rPr>
                <w:rFonts w:hint="eastAsia" w:ascii="宋体" w:hAnsi="宋体" w:cs="楷体"/>
                <w:sz w:val="21"/>
                <w:szCs w:val="21"/>
              </w:rPr>
              <w:t>机动车、非机动车停车场地，雨雪特殊天气加强清扫力度造成路面无积水、泥土；</w:t>
            </w:r>
          </w:p>
        </w:tc>
        <w:tc>
          <w:tcPr>
            <w:tcW w:w="396" w:type="pct"/>
            <w:noWrap w:val="0"/>
            <w:vAlign w:val="center"/>
          </w:tcPr>
          <w:p w14:paraId="4D2A78BB">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380844E5">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75EE67CE">
            <w:pPr>
              <w:spacing w:line="240" w:lineRule="exact"/>
              <w:jc w:val="center"/>
              <w:rPr>
                <w:rFonts w:ascii="宋体" w:hAnsi="宋体" w:cs="楷体"/>
                <w:sz w:val="21"/>
                <w:szCs w:val="21"/>
              </w:rPr>
            </w:pPr>
          </w:p>
        </w:tc>
        <w:tc>
          <w:tcPr>
            <w:tcW w:w="396" w:type="pct"/>
            <w:noWrap w:val="0"/>
            <w:vAlign w:val="center"/>
          </w:tcPr>
          <w:p w14:paraId="27EFAD1C">
            <w:pPr>
              <w:spacing w:line="240" w:lineRule="exact"/>
              <w:jc w:val="center"/>
              <w:rPr>
                <w:rFonts w:ascii="宋体" w:hAnsi="宋体" w:cs="楷体"/>
                <w:sz w:val="21"/>
                <w:szCs w:val="21"/>
              </w:rPr>
            </w:pPr>
          </w:p>
        </w:tc>
        <w:tc>
          <w:tcPr>
            <w:tcW w:w="396" w:type="pct"/>
            <w:noWrap w:val="0"/>
            <w:vAlign w:val="center"/>
          </w:tcPr>
          <w:p w14:paraId="43DB4B96">
            <w:pPr>
              <w:spacing w:line="240" w:lineRule="exact"/>
              <w:jc w:val="center"/>
              <w:rPr>
                <w:rFonts w:ascii="宋体" w:hAnsi="宋体" w:cs="楷体"/>
                <w:sz w:val="21"/>
                <w:szCs w:val="21"/>
              </w:rPr>
            </w:pPr>
          </w:p>
        </w:tc>
        <w:tc>
          <w:tcPr>
            <w:tcW w:w="331" w:type="pct"/>
            <w:noWrap w:val="0"/>
            <w:vAlign w:val="center"/>
          </w:tcPr>
          <w:p w14:paraId="072EA6D8">
            <w:pPr>
              <w:spacing w:line="240" w:lineRule="exact"/>
              <w:jc w:val="center"/>
              <w:rPr>
                <w:rFonts w:ascii="宋体" w:hAnsi="宋体" w:cs="楷体"/>
                <w:sz w:val="21"/>
                <w:szCs w:val="21"/>
              </w:rPr>
            </w:pPr>
          </w:p>
        </w:tc>
      </w:tr>
      <w:tr w14:paraId="0453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5E5ACB0E">
            <w:pPr>
              <w:spacing w:line="240" w:lineRule="exact"/>
              <w:jc w:val="center"/>
              <w:rPr>
                <w:rFonts w:ascii="宋体" w:hAnsi="宋体" w:cs="楷体"/>
                <w:sz w:val="21"/>
                <w:szCs w:val="21"/>
              </w:rPr>
            </w:pPr>
            <w:r>
              <w:rPr>
                <w:rFonts w:hint="eastAsia" w:ascii="宋体" w:hAnsi="宋体" w:cs="楷体"/>
                <w:sz w:val="21"/>
                <w:szCs w:val="21"/>
              </w:rPr>
              <w:t>15</w:t>
            </w:r>
          </w:p>
        </w:tc>
        <w:tc>
          <w:tcPr>
            <w:tcW w:w="402" w:type="pct"/>
            <w:vMerge w:val="continue"/>
            <w:noWrap w:val="0"/>
            <w:vAlign w:val="center"/>
          </w:tcPr>
          <w:p w14:paraId="67DB9A04">
            <w:pPr>
              <w:spacing w:line="240" w:lineRule="exact"/>
              <w:jc w:val="center"/>
              <w:rPr>
                <w:rFonts w:ascii="宋体" w:hAnsi="宋体" w:cs="楷体"/>
                <w:sz w:val="21"/>
                <w:szCs w:val="21"/>
              </w:rPr>
            </w:pPr>
          </w:p>
        </w:tc>
        <w:tc>
          <w:tcPr>
            <w:tcW w:w="2039" w:type="pct"/>
            <w:noWrap w:val="0"/>
            <w:vAlign w:val="center"/>
          </w:tcPr>
          <w:p w14:paraId="4886D63E">
            <w:pPr>
              <w:spacing w:line="240" w:lineRule="exact"/>
              <w:jc w:val="left"/>
              <w:rPr>
                <w:rFonts w:ascii="宋体" w:hAnsi="宋体" w:cs="楷体"/>
                <w:sz w:val="21"/>
                <w:szCs w:val="21"/>
              </w:rPr>
            </w:pPr>
            <w:r>
              <w:rPr>
                <w:rFonts w:hint="eastAsia" w:ascii="宋体" w:hAnsi="宋体" w:cs="楷体"/>
                <w:sz w:val="21"/>
                <w:szCs w:val="21"/>
              </w:rPr>
              <w:t>地下车库主要过道，指示牌，停车位按要求打扫；</w:t>
            </w:r>
          </w:p>
        </w:tc>
        <w:tc>
          <w:tcPr>
            <w:tcW w:w="396" w:type="pct"/>
            <w:noWrap w:val="0"/>
            <w:vAlign w:val="center"/>
          </w:tcPr>
          <w:p w14:paraId="58C11B32">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0FB17EF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6E82470">
            <w:pPr>
              <w:spacing w:line="240" w:lineRule="exact"/>
              <w:jc w:val="center"/>
              <w:rPr>
                <w:rFonts w:ascii="宋体" w:hAnsi="宋体" w:cs="楷体"/>
                <w:sz w:val="21"/>
                <w:szCs w:val="21"/>
              </w:rPr>
            </w:pPr>
          </w:p>
        </w:tc>
        <w:tc>
          <w:tcPr>
            <w:tcW w:w="396" w:type="pct"/>
            <w:noWrap w:val="0"/>
            <w:vAlign w:val="center"/>
          </w:tcPr>
          <w:p w14:paraId="55C9CE7F">
            <w:pPr>
              <w:spacing w:line="240" w:lineRule="exact"/>
              <w:jc w:val="center"/>
              <w:rPr>
                <w:rFonts w:ascii="宋体" w:hAnsi="宋体" w:cs="楷体"/>
                <w:sz w:val="21"/>
                <w:szCs w:val="21"/>
              </w:rPr>
            </w:pPr>
          </w:p>
        </w:tc>
        <w:tc>
          <w:tcPr>
            <w:tcW w:w="396" w:type="pct"/>
            <w:noWrap w:val="0"/>
            <w:vAlign w:val="center"/>
          </w:tcPr>
          <w:p w14:paraId="6548EA8D">
            <w:pPr>
              <w:spacing w:line="240" w:lineRule="exact"/>
              <w:jc w:val="center"/>
              <w:rPr>
                <w:rFonts w:ascii="宋体" w:hAnsi="宋体" w:cs="楷体"/>
                <w:sz w:val="21"/>
                <w:szCs w:val="21"/>
              </w:rPr>
            </w:pPr>
          </w:p>
        </w:tc>
        <w:tc>
          <w:tcPr>
            <w:tcW w:w="331" w:type="pct"/>
            <w:noWrap w:val="0"/>
            <w:vAlign w:val="center"/>
          </w:tcPr>
          <w:p w14:paraId="39D1AFF1">
            <w:pPr>
              <w:spacing w:line="240" w:lineRule="exact"/>
              <w:jc w:val="center"/>
              <w:rPr>
                <w:rFonts w:ascii="宋体" w:hAnsi="宋体" w:cs="楷体"/>
                <w:sz w:val="21"/>
                <w:szCs w:val="21"/>
              </w:rPr>
            </w:pPr>
          </w:p>
        </w:tc>
      </w:tr>
      <w:tr w14:paraId="0D88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2E06AB01">
            <w:pPr>
              <w:spacing w:line="240" w:lineRule="exact"/>
              <w:jc w:val="center"/>
              <w:rPr>
                <w:rFonts w:ascii="宋体" w:hAnsi="宋体" w:cs="楷体"/>
                <w:sz w:val="21"/>
                <w:szCs w:val="21"/>
              </w:rPr>
            </w:pPr>
            <w:r>
              <w:rPr>
                <w:rFonts w:hint="eastAsia" w:ascii="宋体" w:hAnsi="宋体" w:cs="楷体"/>
                <w:sz w:val="21"/>
                <w:szCs w:val="21"/>
              </w:rPr>
              <w:t>16</w:t>
            </w:r>
          </w:p>
        </w:tc>
        <w:tc>
          <w:tcPr>
            <w:tcW w:w="402" w:type="pct"/>
            <w:vMerge w:val="restart"/>
            <w:noWrap w:val="0"/>
            <w:vAlign w:val="center"/>
          </w:tcPr>
          <w:p w14:paraId="4FF89F57">
            <w:pPr>
              <w:spacing w:line="240" w:lineRule="exact"/>
              <w:jc w:val="center"/>
              <w:rPr>
                <w:rFonts w:ascii="宋体" w:hAnsi="宋体" w:cs="楷体"/>
                <w:sz w:val="21"/>
                <w:szCs w:val="21"/>
              </w:rPr>
            </w:pPr>
            <w:r>
              <w:rPr>
                <w:rFonts w:hint="eastAsia" w:ascii="宋体" w:hAnsi="宋体" w:cs="楷体"/>
                <w:sz w:val="21"/>
                <w:szCs w:val="21"/>
              </w:rPr>
              <w:t xml:space="preserve"> 公厕</w:t>
            </w:r>
          </w:p>
        </w:tc>
        <w:tc>
          <w:tcPr>
            <w:tcW w:w="2039" w:type="pct"/>
            <w:noWrap w:val="0"/>
            <w:vAlign w:val="center"/>
          </w:tcPr>
          <w:p w14:paraId="28134397">
            <w:pPr>
              <w:spacing w:line="240" w:lineRule="exact"/>
              <w:jc w:val="left"/>
              <w:rPr>
                <w:rFonts w:ascii="宋体" w:hAnsi="宋体" w:cs="楷体"/>
                <w:sz w:val="21"/>
                <w:szCs w:val="21"/>
              </w:rPr>
            </w:pPr>
            <w:r>
              <w:rPr>
                <w:rFonts w:hint="eastAsia" w:ascii="宋体" w:hAnsi="宋体" w:cs="楷体"/>
                <w:sz w:val="21"/>
                <w:szCs w:val="21"/>
              </w:rPr>
              <w:t>墙面、地面、台面、镜面打扫干净，无积水，无异味；</w:t>
            </w:r>
          </w:p>
        </w:tc>
        <w:tc>
          <w:tcPr>
            <w:tcW w:w="396" w:type="pct"/>
            <w:noWrap w:val="0"/>
            <w:vAlign w:val="center"/>
          </w:tcPr>
          <w:p w14:paraId="51947391">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3A8264B8">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1F8D7D14">
            <w:pPr>
              <w:spacing w:line="240" w:lineRule="exact"/>
              <w:jc w:val="center"/>
              <w:rPr>
                <w:rFonts w:ascii="宋体" w:hAnsi="宋体" w:cs="楷体"/>
                <w:sz w:val="21"/>
                <w:szCs w:val="21"/>
              </w:rPr>
            </w:pPr>
          </w:p>
        </w:tc>
        <w:tc>
          <w:tcPr>
            <w:tcW w:w="396" w:type="pct"/>
            <w:noWrap w:val="0"/>
            <w:vAlign w:val="center"/>
          </w:tcPr>
          <w:p w14:paraId="368FE2BF">
            <w:pPr>
              <w:spacing w:line="240" w:lineRule="exact"/>
              <w:jc w:val="center"/>
              <w:rPr>
                <w:rFonts w:ascii="宋体" w:hAnsi="宋体" w:cs="楷体"/>
                <w:sz w:val="21"/>
                <w:szCs w:val="21"/>
              </w:rPr>
            </w:pPr>
          </w:p>
        </w:tc>
        <w:tc>
          <w:tcPr>
            <w:tcW w:w="396" w:type="pct"/>
            <w:noWrap w:val="0"/>
            <w:vAlign w:val="center"/>
          </w:tcPr>
          <w:p w14:paraId="6CA8CEA1">
            <w:pPr>
              <w:spacing w:line="240" w:lineRule="exact"/>
              <w:jc w:val="center"/>
              <w:rPr>
                <w:rFonts w:ascii="宋体" w:hAnsi="宋体" w:cs="楷体"/>
                <w:sz w:val="21"/>
                <w:szCs w:val="21"/>
              </w:rPr>
            </w:pPr>
          </w:p>
        </w:tc>
        <w:tc>
          <w:tcPr>
            <w:tcW w:w="331" w:type="pct"/>
            <w:noWrap w:val="0"/>
            <w:vAlign w:val="center"/>
          </w:tcPr>
          <w:p w14:paraId="628C9B18">
            <w:pPr>
              <w:spacing w:line="240" w:lineRule="exact"/>
              <w:jc w:val="center"/>
              <w:rPr>
                <w:rFonts w:ascii="宋体" w:hAnsi="宋体" w:cs="楷体"/>
                <w:sz w:val="21"/>
                <w:szCs w:val="21"/>
              </w:rPr>
            </w:pPr>
          </w:p>
        </w:tc>
      </w:tr>
      <w:tr w14:paraId="4361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47" w:type="pct"/>
            <w:noWrap w:val="0"/>
            <w:vAlign w:val="center"/>
          </w:tcPr>
          <w:p w14:paraId="53A0A58A">
            <w:pPr>
              <w:spacing w:line="240" w:lineRule="exact"/>
              <w:jc w:val="center"/>
              <w:rPr>
                <w:rFonts w:ascii="宋体" w:hAnsi="宋体" w:cs="楷体"/>
                <w:sz w:val="21"/>
                <w:szCs w:val="21"/>
              </w:rPr>
            </w:pPr>
            <w:r>
              <w:rPr>
                <w:rFonts w:hint="eastAsia" w:ascii="宋体" w:hAnsi="宋体" w:cs="楷体"/>
                <w:sz w:val="21"/>
                <w:szCs w:val="21"/>
              </w:rPr>
              <w:t>17</w:t>
            </w:r>
          </w:p>
        </w:tc>
        <w:tc>
          <w:tcPr>
            <w:tcW w:w="402" w:type="pct"/>
            <w:vMerge w:val="continue"/>
            <w:noWrap w:val="0"/>
            <w:vAlign w:val="center"/>
          </w:tcPr>
          <w:p w14:paraId="107B0A7F">
            <w:pPr>
              <w:spacing w:line="240" w:lineRule="exact"/>
              <w:jc w:val="center"/>
              <w:rPr>
                <w:rFonts w:ascii="宋体" w:hAnsi="宋体" w:cs="楷体"/>
                <w:sz w:val="21"/>
                <w:szCs w:val="21"/>
              </w:rPr>
            </w:pPr>
          </w:p>
        </w:tc>
        <w:tc>
          <w:tcPr>
            <w:tcW w:w="2039" w:type="pct"/>
            <w:noWrap w:val="0"/>
            <w:vAlign w:val="center"/>
          </w:tcPr>
          <w:p w14:paraId="72A8C8E2">
            <w:pPr>
              <w:spacing w:line="240" w:lineRule="exact"/>
              <w:jc w:val="left"/>
              <w:rPr>
                <w:rFonts w:ascii="宋体" w:hAnsi="宋体" w:cs="楷体"/>
                <w:sz w:val="21"/>
                <w:szCs w:val="21"/>
              </w:rPr>
            </w:pPr>
            <w:r>
              <w:rPr>
                <w:rFonts w:hint="eastAsia" w:ascii="宋体" w:hAnsi="宋体" w:cs="楷体"/>
                <w:sz w:val="21"/>
                <w:szCs w:val="21"/>
              </w:rPr>
              <w:t>卫生间便器洁净，无色渍；</w:t>
            </w:r>
          </w:p>
        </w:tc>
        <w:tc>
          <w:tcPr>
            <w:tcW w:w="396" w:type="pct"/>
            <w:noWrap w:val="0"/>
            <w:vAlign w:val="center"/>
          </w:tcPr>
          <w:p w14:paraId="1F446439">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48737E0D">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02FD9409">
            <w:pPr>
              <w:spacing w:line="240" w:lineRule="exact"/>
              <w:jc w:val="center"/>
              <w:rPr>
                <w:rFonts w:ascii="宋体" w:hAnsi="宋体" w:cs="楷体"/>
                <w:sz w:val="21"/>
                <w:szCs w:val="21"/>
              </w:rPr>
            </w:pPr>
          </w:p>
        </w:tc>
        <w:tc>
          <w:tcPr>
            <w:tcW w:w="396" w:type="pct"/>
            <w:noWrap w:val="0"/>
            <w:vAlign w:val="center"/>
          </w:tcPr>
          <w:p w14:paraId="3CEF3151">
            <w:pPr>
              <w:spacing w:line="240" w:lineRule="exact"/>
              <w:jc w:val="center"/>
              <w:rPr>
                <w:rFonts w:ascii="宋体" w:hAnsi="宋体" w:cs="楷体"/>
                <w:sz w:val="21"/>
                <w:szCs w:val="21"/>
              </w:rPr>
            </w:pPr>
          </w:p>
        </w:tc>
        <w:tc>
          <w:tcPr>
            <w:tcW w:w="396" w:type="pct"/>
            <w:noWrap w:val="0"/>
            <w:vAlign w:val="center"/>
          </w:tcPr>
          <w:p w14:paraId="6A4EC146">
            <w:pPr>
              <w:spacing w:line="240" w:lineRule="exact"/>
              <w:jc w:val="center"/>
              <w:rPr>
                <w:rFonts w:ascii="宋体" w:hAnsi="宋体" w:cs="楷体"/>
                <w:sz w:val="21"/>
                <w:szCs w:val="21"/>
              </w:rPr>
            </w:pPr>
          </w:p>
        </w:tc>
        <w:tc>
          <w:tcPr>
            <w:tcW w:w="331" w:type="pct"/>
            <w:noWrap w:val="0"/>
            <w:vAlign w:val="center"/>
          </w:tcPr>
          <w:p w14:paraId="694FAAD4">
            <w:pPr>
              <w:spacing w:line="240" w:lineRule="exact"/>
              <w:jc w:val="center"/>
              <w:rPr>
                <w:rFonts w:ascii="宋体" w:hAnsi="宋体" w:cs="楷体"/>
                <w:sz w:val="21"/>
                <w:szCs w:val="21"/>
              </w:rPr>
            </w:pPr>
          </w:p>
        </w:tc>
      </w:tr>
      <w:tr w14:paraId="38BB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205FA420">
            <w:pPr>
              <w:spacing w:line="240" w:lineRule="exact"/>
              <w:jc w:val="center"/>
              <w:rPr>
                <w:rFonts w:ascii="宋体" w:hAnsi="宋体" w:cs="楷体"/>
                <w:sz w:val="21"/>
                <w:szCs w:val="21"/>
              </w:rPr>
            </w:pPr>
            <w:r>
              <w:rPr>
                <w:rFonts w:hint="eastAsia" w:ascii="宋体" w:hAnsi="宋体" w:cs="楷体"/>
                <w:sz w:val="21"/>
                <w:szCs w:val="21"/>
              </w:rPr>
              <w:t>18</w:t>
            </w:r>
          </w:p>
        </w:tc>
        <w:tc>
          <w:tcPr>
            <w:tcW w:w="402" w:type="pct"/>
            <w:vMerge w:val="restart"/>
            <w:noWrap w:val="0"/>
            <w:vAlign w:val="center"/>
          </w:tcPr>
          <w:p w14:paraId="472EABC0">
            <w:pPr>
              <w:spacing w:line="240" w:lineRule="exact"/>
              <w:jc w:val="center"/>
              <w:rPr>
                <w:rFonts w:ascii="宋体" w:hAnsi="宋体" w:cs="楷体"/>
                <w:sz w:val="21"/>
                <w:szCs w:val="21"/>
              </w:rPr>
            </w:pPr>
            <w:r>
              <w:rPr>
                <w:rFonts w:hint="eastAsia" w:ascii="宋体" w:hAnsi="宋体" w:cs="楷体"/>
                <w:sz w:val="21"/>
                <w:szCs w:val="21"/>
              </w:rPr>
              <w:t>道路</w:t>
            </w:r>
          </w:p>
        </w:tc>
        <w:tc>
          <w:tcPr>
            <w:tcW w:w="2039" w:type="pct"/>
            <w:noWrap w:val="0"/>
            <w:vAlign w:val="center"/>
          </w:tcPr>
          <w:p w14:paraId="4CBB409F">
            <w:pPr>
              <w:spacing w:line="240" w:lineRule="exact"/>
              <w:jc w:val="left"/>
              <w:rPr>
                <w:rFonts w:ascii="宋体" w:hAnsi="宋体" w:cs="楷体"/>
                <w:sz w:val="21"/>
                <w:szCs w:val="21"/>
              </w:rPr>
            </w:pPr>
            <w:r>
              <w:rPr>
                <w:rFonts w:hint="eastAsia" w:ascii="宋体" w:hAnsi="宋体" w:cs="楷体"/>
                <w:sz w:val="21"/>
                <w:szCs w:val="21"/>
              </w:rPr>
              <w:t>路面打扫干净，无杂物、油污、积水、污渍；</w:t>
            </w:r>
          </w:p>
        </w:tc>
        <w:tc>
          <w:tcPr>
            <w:tcW w:w="396" w:type="pct"/>
            <w:noWrap w:val="0"/>
            <w:vAlign w:val="center"/>
          </w:tcPr>
          <w:p w14:paraId="626FAD8D">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6F77849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7CF4201A">
            <w:pPr>
              <w:spacing w:line="240" w:lineRule="exact"/>
              <w:jc w:val="center"/>
              <w:rPr>
                <w:rFonts w:ascii="宋体" w:hAnsi="宋体" w:cs="楷体"/>
                <w:sz w:val="21"/>
                <w:szCs w:val="21"/>
              </w:rPr>
            </w:pPr>
          </w:p>
        </w:tc>
        <w:tc>
          <w:tcPr>
            <w:tcW w:w="396" w:type="pct"/>
            <w:noWrap w:val="0"/>
            <w:vAlign w:val="center"/>
          </w:tcPr>
          <w:p w14:paraId="6AEB22F3">
            <w:pPr>
              <w:spacing w:line="240" w:lineRule="exact"/>
              <w:jc w:val="center"/>
              <w:rPr>
                <w:rFonts w:ascii="宋体" w:hAnsi="宋体" w:cs="楷体"/>
                <w:sz w:val="21"/>
                <w:szCs w:val="21"/>
              </w:rPr>
            </w:pPr>
          </w:p>
        </w:tc>
        <w:tc>
          <w:tcPr>
            <w:tcW w:w="396" w:type="pct"/>
            <w:noWrap w:val="0"/>
            <w:vAlign w:val="center"/>
          </w:tcPr>
          <w:p w14:paraId="25081FF7">
            <w:pPr>
              <w:spacing w:line="240" w:lineRule="exact"/>
              <w:jc w:val="center"/>
              <w:rPr>
                <w:rFonts w:ascii="宋体" w:hAnsi="宋体" w:cs="楷体"/>
                <w:sz w:val="21"/>
                <w:szCs w:val="21"/>
              </w:rPr>
            </w:pPr>
          </w:p>
        </w:tc>
        <w:tc>
          <w:tcPr>
            <w:tcW w:w="331" w:type="pct"/>
            <w:noWrap w:val="0"/>
            <w:vAlign w:val="center"/>
          </w:tcPr>
          <w:p w14:paraId="6F1CE7D7">
            <w:pPr>
              <w:spacing w:line="240" w:lineRule="exact"/>
              <w:jc w:val="center"/>
              <w:rPr>
                <w:rFonts w:ascii="宋体" w:hAnsi="宋体" w:cs="楷体"/>
                <w:sz w:val="21"/>
                <w:szCs w:val="21"/>
              </w:rPr>
            </w:pPr>
          </w:p>
        </w:tc>
      </w:tr>
      <w:tr w14:paraId="54A4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347A78A4">
            <w:pPr>
              <w:spacing w:line="240" w:lineRule="exact"/>
              <w:jc w:val="center"/>
              <w:rPr>
                <w:rFonts w:ascii="宋体" w:hAnsi="宋体" w:cs="楷体"/>
                <w:sz w:val="21"/>
                <w:szCs w:val="21"/>
              </w:rPr>
            </w:pPr>
            <w:r>
              <w:rPr>
                <w:rFonts w:hint="eastAsia" w:ascii="宋体" w:hAnsi="宋体" w:cs="楷体"/>
                <w:sz w:val="21"/>
                <w:szCs w:val="21"/>
              </w:rPr>
              <w:t>19</w:t>
            </w:r>
          </w:p>
        </w:tc>
        <w:tc>
          <w:tcPr>
            <w:tcW w:w="402" w:type="pct"/>
            <w:vMerge w:val="continue"/>
            <w:noWrap w:val="0"/>
            <w:vAlign w:val="center"/>
          </w:tcPr>
          <w:p w14:paraId="661B0935">
            <w:pPr>
              <w:spacing w:line="240" w:lineRule="exact"/>
              <w:jc w:val="center"/>
              <w:rPr>
                <w:rFonts w:ascii="宋体" w:hAnsi="宋体" w:cs="楷体"/>
                <w:sz w:val="21"/>
                <w:szCs w:val="21"/>
              </w:rPr>
            </w:pPr>
          </w:p>
        </w:tc>
        <w:tc>
          <w:tcPr>
            <w:tcW w:w="2039" w:type="pct"/>
            <w:noWrap w:val="0"/>
            <w:vAlign w:val="center"/>
          </w:tcPr>
          <w:p w14:paraId="0C48E455">
            <w:pPr>
              <w:spacing w:line="240" w:lineRule="exact"/>
              <w:jc w:val="left"/>
              <w:rPr>
                <w:rFonts w:ascii="宋体" w:hAnsi="宋体" w:cs="楷体"/>
                <w:sz w:val="21"/>
                <w:szCs w:val="21"/>
              </w:rPr>
            </w:pPr>
            <w:r>
              <w:rPr>
                <w:rFonts w:hint="eastAsia" w:ascii="宋体" w:hAnsi="宋体" w:cs="楷体"/>
                <w:sz w:val="21"/>
                <w:szCs w:val="21"/>
              </w:rPr>
              <w:t>地沟、沙井沟内无杂物、垃圾，井盖无缺损；</w:t>
            </w:r>
          </w:p>
        </w:tc>
        <w:tc>
          <w:tcPr>
            <w:tcW w:w="396" w:type="pct"/>
            <w:noWrap w:val="0"/>
            <w:vAlign w:val="center"/>
          </w:tcPr>
          <w:p w14:paraId="208B1D9D">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60EF65D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1A44CBC4">
            <w:pPr>
              <w:spacing w:line="240" w:lineRule="exact"/>
              <w:jc w:val="center"/>
              <w:rPr>
                <w:rFonts w:ascii="宋体" w:hAnsi="宋体" w:cs="楷体"/>
                <w:sz w:val="21"/>
                <w:szCs w:val="21"/>
              </w:rPr>
            </w:pPr>
          </w:p>
        </w:tc>
        <w:tc>
          <w:tcPr>
            <w:tcW w:w="396" w:type="pct"/>
            <w:noWrap w:val="0"/>
            <w:vAlign w:val="center"/>
          </w:tcPr>
          <w:p w14:paraId="1C95422D">
            <w:pPr>
              <w:spacing w:line="240" w:lineRule="exact"/>
              <w:jc w:val="center"/>
              <w:rPr>
                <w:rFonts w:ascii="宋体" w:hAnsi="宋体" w:cs="楷体"/>
                <w:sz w:val="21"/>
                <w:szCs w:val="21"/>
              </w:rPr>
            </w:pPr>
          </w:p>
        </w:tc>
        <w:tc>
          <w:tcPr>
            <w:tcW w:w="396" w:type="pct"/>
            <w:noWrap w:val="0"/>
            <w:vAlign w:val="center"/>
          </w:tcPr>
          <w:p w14:paraId="17EDB36D">
            <w:pPr>
              <w:spacing w:line="240" w:lineRule="exact"/>
              <w:jc w:val="center"/>
              <w:rPr>
                <w:rFonts w:ascii="宋体" w:hAnsi="宋体" w:cs="楷体"/>
                <w:sz w:val="21"/>
                <w:szCs w:val="21"/>
              </w:rPr>
            </w:pPr>
          </w:p>
        </w:tc>
        <w:tc>
          <w:tcPr>
            <w:tcW w:w="331" w:type="pct"/>
            <w:noWrap w:val="0"/>
            <w:vAlign w:val="center"/>
          </w:tcPr>
          <w:p w14:paraId="54254382">
            <w:pPr>
              <w:spacing w:line="240" w:lineRule="exact"/>
              <w:jc w:val="center"/>
              <w:rPr>
                <w:rFonts w:ascii="宋体" w:hAnsi="宋体" w:cs="楷体"/>
                <w:sz w:val="21"/>
                <w:szCs w:val="21"/>
              </w:rPr>
            </w:pPr>
          </w:p>
        </w:tc>
      </w:tr>
      <w:tr w14:paraId="722A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47" w:type="pct"/>
            <w:noWrap w:val="0"/>
            <w:vAlign w:val="center"/>
          </w:tcPr>
          <w:p w14:paraId="498133A1">
            <w:pPr>
              <w:spacing w:line="240" w:lineRule="exact"/>
              <w:jc w:val="center"/>
              <w:rPr>
                <w:rFonts w:ascii="宋体" w:hAnsi="宋体" w:cs="楷体"/>
                <w:sz w:val="21"/>
                <w:szCs w:val="21"/>
              </w:rPr>
            </w:pPr>
            <w:r>
              <w:rPr>
                <w:rFonts w:hint="eastAsia" w:ascii="宋体" w:hAnsi="宋体" w:cs="楷体"/>
                <w:sz w:val="21"/>
                <w:szCs w:val="21"/>
              </w:rPr>
              <w:t>20</w:t>
            </w:r>
          </w:p>
        </w:tc>
        <w:tc>
          <w:tcPr>
            <w:tcW w:w="402" w:type="pct"/>
            <w:vMerge w:val="continue"/>
            <w:noWrap w:val="0"/>
            <w:vAlign w:val="center"/>
          </w:tcPr>
          <w:p w14:paraId="47C33C90">
            <w:pPr>
              <w:spacing w:line="240" w:lineRule="exact"/>
              <w:jc w:val="center"/>
              <w:rPr>
                <w:rFonts w:ascii="宋体" w:hAnsi="宋体" w:cs="楷体"/>
                <w:sz w:val="21"/>
                <w:szCs w:val="21"/>
              </w:rPr>
            </w:pPr>
          </w:p>
        </w:tc>
        <w:tc>
          <w:tcPr>
            <w:tcW w:w="2039" w:type="pct"/>
            <w:noWrap w:val="0"/>
            <w:vAlign w:val="center"/>
          </w:tcPr>
          <w:p w14:paraId="7004169E">
            <w:pPr>
              <w:spacing w:line="240" w:lineRule="exact"/>
              <w:jc w:val="left"/>
              <w:rPr>
                <w:rFonts w:ascii="宋体" w:hAnsi="宋体" w:cs="楷体"/>
                <w:sz w:val="21"/>
                <w:szCs w:val="21"/>
              </w:rPr>
            </w:pPr>
            <w:r>
              <w:rPr>
                <w:rFonts w:hint="eastAsia" w:ascii="宋体" w:hAnsi="宋体" w:cs="楷体"/>
                <w:sz w:val="21"/>
                <w:szCs w:val="21"/>
              </w:rPr>
              <w:t>楼外垃圾桶桶身干净，周围无杂物，无异味；</w:t>
            </w:r>
          </w:p>
        </w:tc>
        <w:tc>
          <w:tcPr>
            <w:tcW w:w="396" w:type="pct"/>
            <w:noWrap w:val="0"/>
            <w:vAlign w:val="center"/>
          </w:tcPr>
          <w:p w14:paraId="4D886747">
            <w:pPr>
              <w:jc w:val="center"/>
              <w:rPr>
                <w:rFonts w:ascii="宋体" w:hAnsi="宋体"/>
                <w:sz w:val="21"/>
                <w:szCs w:val="21"/>
              </w:rPr>
            </w:pPr>
            <w:r>
              <w:rPr>
                <w:rFonts w:hint="eastAsia" w:ascii="宋体" w:hAnsi="宋体" w:cs="楷体"/>
                <w:sz w:val="21"/>
                <w:szCs w:val="21"/>
              </w:rPr>
              <w:t>0.5</w:t>
            </w:r>
          </w:p>
        </w:tc>
        <w:tc>
          <w:tcPr>
            <w:tcW w:w="396" w:type="pct"/>
            <w:noWrap w:val="0"/>
            <w:vAlign w:val="center"/>
          </w:tcPr>
          <w:p w14:paraId="0E400B76">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noWrap w:val="0"/>
            <w:vAlign w:val="center"/>
          </w:tcPr>
          <w:p w14:paraId="27D29F7E">
            <w:pPr>
              <w:spacing w:line="240" w:lineRule="exact"/>
              <w:jc w:val="center"/>
              <w:rPr>
                <w:rFonts w:ascii="宋体" w:hAnsi="宋体" w:cs="楷体"/>
                <w:sz w:val="21"/>
                <w:szCs w:val="21"/>
              </w:rPr>
            </w:pPr>
          </w:p>
        </w:tc>
        <w:tc>
          <w:tcPr>
            <w:tcW w:w="396" w:type="pct"/>
            <w:noWrap w:val="0"/>
            <w:vAlign w:val="center"/>
          </w:tcPr>
          <w:p w14:paraId="3D699C19">
            <w:pPr>
              <w:spacing w:line="240" w:lineRule="exact"/>
              <w:jc w:val="center"/>
              <w:rPr>
                <w:rFonts w:ascii="宋体" w:hAnsi="宋体" w:cs="楷体"/>
                <w:sz w:val="21"/>
                <w:szCs w:val="21"/>
              </w:rPr>
            </w:pPr>
          </w:p>
        </w:tc>
        <w:tc>
          <w:tcPr>
            <w:tcW w:w="396" w:type="pct"/>
            <w:noWrap w:val="0"/>
            <w:vAlign w:val="center"/>
          </w:tcPr>
          <w:p w14:paraId="31FDC50B">
            <w:pPr>
              <w:spacing w:line="240" w:lineRule="exact"/>
              <w:jc w:val="center"/>
              <w:rPr>
                <w:rFonts w:ascii="宋体" w:hAnsi="宋体" w:cs="楷体"/>
                <w:sz w:val="21"/>
                <w:szCs w:val="21"/>
              </w:rPr>
            </w:pPr>
          </w:p>
        </w:tc>
        <w:tc>
          <w:tcPr>
            <w:tcW w:w="331" w:type="pct"/>
            <w:noWrap w:val="0"/>
            <w:vAlign w:val="center"/>
          </w:tcPr>
          <w:p w14:paraId="6A7EC36E">
            <w:pPr>
              <w:spacing w:line="240" w:lineRule="exact"/>
              <w:jc w:val="center"/>
              <w:rPr>
                <w:rFonts w:ascii="宋体" w:hAnsi="宋体" w:cs="楷体"/>
                <w:sz w:val="21"/>
                <w:szCs w:val="21"/>
              </w:rPr>
            </w:pPr>
          </w:p>
        </w:tc>
      </w:tr>
    </w:tbl>
    <w:p w14:paraId="048F2510">
      <w:pPr>
        <w:rPr>
          <w:rFonts w:ascii="宋体" w:hAnsi="宋体"/>
          <w:b/>
          <w:bCs/>
          <w:sz w:val="21"/>
          <w:szCs w:val="21"/>
        </w:rPr>
      </w:pPr>
      <w:r>
        <w:rPr>
          <w:rFonts w:hint="eastAsia" w:ascii="宋体" w:hAnsi="宋体"/>
          <w:b/>
          <w:bCs/>
          <w:sz w:val="21"/>
          <w:szCs w:val="21"/>
        </w:rPr>
        <w:t>注：1、每月进行考核，每年共计12次（每次不定时进行检查），每月每项检查按百分制考核。</w:t>
      </w:r>
    </w:p>
    <w:p w14:paraId="272D4D8E">
      <w:pPr>
        <w:ind w:firstLine="422" w:firstLineChars="200"/>
        <w:rPr>
          <w:rFonts w:ascii="宋体" w:hAnsi="宋体"/>
          <w:b/>
          <w:color w:val="FF0000"/>
          <w:sz w:val="21"/>
          <w:szCs w:val="21"/>
        </w:rPr>
      </w:pPr>
      <w:r>
        <w:rPr>
          <w:rFonts w:hint="eastAsia" w:ascii="宋体" w:hAnsi="宋体"/>
          <w:b/>
          <w:bCs/>
          <w:sz w:val="21"/>
          <w:szCs w:val="21"/>
        </w:rPr>
        <w:t>2、具体考核条款不限定为上述内容，采购人保留对其适当调整的权利。</w:t>
      </w:r>
    </w:p>
    <w:p w14:paraId="08D38582">
      <w:pPr>
        <w:pStyle w:val="35"/>
        <w:ind w:left="0" w:leftChars="0" w:firstLine="0" w:firstLineChars="0"/>
        <w:rPr>
          <w:rFonts w:hint="eastAsia" w:ascii="黑体" w:hAnsi="黑体" w:eastAsia="黑体"/>
          <w:sz w:val="44"/>
          <w:szCs w:val="44"/>
        </w:rPr>
      </w:pPr>
    </w:p>
    <w:p w14:paraId="5F13A40C">
      <w:pPr>
        <w:spacing w:line="480" w:lineRule="exact"/>
        <w:jc w:val="center"/>
        <w:rPr>
          <w:rFonts w:ascii="宋体" w:hAnsi="宋体"/>
          <w:b/>
          <w:bCs/>
          <w:sz w:val="30"/>
          <w:szCs w:val="30"/>
        </w:rPr>
      </w:pPr>
      <w:r>
        <w:rPr>
          <w:rFonts w:hint="eastAsia" w:ascii="宋体" w:hAnsi="宋体"/>
          <w:b/>
          <w:bCs/>
          <w:sz w:val="30"/>
          <w:szCs w:val="30"/>
        </w:rPr>
        <w:t>考核检查表——安保</w:t>
      </w:r>
    </w:p>
    <w:tbl>
      <w:tblPr>
        <w:tblStyle w:val="3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32"/>
        <w:gridCol w:w="3321"/>
        <w:gridCol w:w="636"/>
        <w:gridCol w:w="636"/>
        <w:gridCol w:w="846"/>
        <w:gridCol w:w="846"/>
        <w:gridCol w:w="846"/>
        <w:gridCol w:w="426"/>
      </w:tblGrid>
      <w:tr w14:paraId="14B5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247"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4B49B196">
            <w:pPr>
              <w:spacing w:line="240" w:lineRule="exact"/>
              <w:jc w:val="center"/>
              <w:rPr>
                <w:rFonts w:ascii="宋体" w:hAnsi="宋体" w:cs="楷体"/>
                <w:sz w:val="21"/>
                <w:szCs w:val="21"/>
              </w:rPr>
            </w:pPr>
            <w:r>
              <w:rPr>
                <w:rFonts w:hint="eastAsia" w:ascii="宋体" w:hAnsi="宋体" w:cs="楷体"/>
                <w:sz w:val="21"/>
                <w:szCs w:val="21"/>
              </w:rPr>
              <w:t>序号</w:t>
            </w:r>
          </w:p>
        </w:tc>
        <w:tc>
          <w:tcPr>
            <w:tcW w:w="402"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23ADBB5E">
            <w:pPr>
              <w:spacing w:line="240" w:lineRule="exact"/>
              <w:jc w:val="center"/>
              <w:rPr>
                <w:rFonts w:ascii="宋体" w:hAnsi="宋体" w:cs="楷体"/>
                <w:sz w:val="21"/>
                <w:szCs w:val="21"/>
              </w:rPr>
            </w:pPr>
            <w:r>
              <w:rPr>
                <w:rFonts w:hint="eastAsia" w:ascii="宋体" w:hAnsi="宋体" w:cs="楷体"/>
                <w:sz w:val="21"/>
                <w:szCs w:val="21"/>
              </w:rPr>
              <w:t>检查项目</w:t>
            </w:r>
          </w:p>
        </w:tc>
        <w:tc>
          <w:tcPr>
            <w:tcW w:w="2039"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10914E0D">
            <w:pPr>
              <w:spacing w:line="240" w:lineRule="exact"/>
              <w:jc w:val="center"/>
              <w:rPr>
                <w:rFonts w:ascii="宋体" w:hAnsi="宋体" w:cs="楷体"/>
                <w:sz w:val="21"/>
                <w:szCs w:val="21"/>
              </w:rPr>
            </w:pPr>
            <w:r>
              <w:rPr>
                <w:rFonts w:hint="eastAsia" w:ascii="宋体" w:hAnsi="宋体" w:cs="楷体"/>
                <w:sz w:val="21"/>
                <w:szCs w:val="21"/>
              </w:rPr>
              <w:t>评分细则</w:t>
            </w:r>
          </w:p>
        </w:tc>
        <w:tc>
          <w:tcPr>
            <w:tcW w:w="396"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582D3FDF">
            <w:pPr>
              <w:spacing w:line="240" w:lineRule="exact"/>
              <w:jc w:val="center"/>
              <w:rPr>
                <w:rFonts w:ascii="宋体" w:hAnsi="宋体" w:cs="楷体"/>
                <w:sz w:val="21"/>
                <w:szCs w:val="21"/>
              </w:rPr>
            </w:pPr>
            <w:r>
              <w:rPr>
                <w:rFonts w:hint="eastAsia" w:ascii="宋体" w:hAnsi="宋体" w:cs="楷体"/>
                <w:sz w:val="21"/>
                <w:szCs w:val="21"/>
              </w:rPr>
              <w:t>扣分标准（分/次）</w:t>
            </w:r>
          </w:p>
        </w:tc>
        <w:tc>
          <w:tcPr>
            <w:tcW w:w="396"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4C2AA413">
            <w:pPr>
              <w:spacing w:line="240" w:lineRule="exact"/>
              <w:jc w:val="center"/>
              <w:rPr>
                <w:rFonts w:ascii="宋体" w:hAnsi="宋体" w:cs="楷体"/>
                <w:sz w:val="21"/>
                <w:szCs w:val="21"/>
              </w:rPr>
            </w:pPr>
            <w:r>
              <w:rPr>
                <w:rFonts w:hint="eastAsia" w:ascii="宋体" w:hAnsi="宋体" w:cs="楷体"/>
                <w:sz w:val="21"/>
                <w:szCs w:val="21"/>
              </w:rPr>
              <w:t>扣款标准（元/次）</w:t>
            </w:r>
          </w:p>
        </w:tc>
        <w:tc>
          <w:tcPr>
            <w:tcW w:w="396"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726D917B">
            <w:pPr>
              <w:spacing w:line="240" w:lineRule="exact"/>
              <w:jc w:val="center"/>
              <w:rPr>
                <w:rFonts w:ascii="宋体" w:hAnsi="宋体" w:cs="楷体"/>
                <w:sz w:val="21"/>
                <w:szCs w:val="21"/>
              </w:rPr>
            </w:pPr>
            <w:r>
              <w:rPr>
                <w:rFonts w:hint="eastAsia" w:ascii="宋体" w:hAnsi="宋体" w:cs="楷体"/>
                <w:sz w:val="21"/>
                <w:szCs w:val="21"/>
              </w:rPr>
              <w:t>处罚次数（次）</w:t>
            </w:r>
          </w:p>
        </w:tc>
        <w:tc>
          <w:tcPr>
            <w:tcW w:w="396"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1C66113B">
            <w:pPr>
              <w:spacing w:line="240" w:lineRule="exact"/>
              <w:jc w:val="center"/>
              <w:rPr>
                <w:rFonts w:ascii="宋体" w:hAnsi="宋体" w:cs="楷体"/>
                <w:sz w:val="21"/>
                <w:szCs w:val="21"/>
              </w:rPr>
            </w:pPr>
            <w:r>
              <w:rPr>
                <w:rFonts w:hint="eastAsia" w:ascii="宋体" w:hAnsi="宋体" w:cs="楷体"/>
                <w:sz w:val="21"/>
                <w:szCs w:val="21"/>
              </w:rPr>
              <w:t>累计扣分（分）</w:t>
            </w:r>
          </w:p>
        </w:tc>
        <w:tc>
          <w:tcPr>
            <w:tcW w:w="396"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516A23A0">
            <w:pPr>
              <w:spacing w:line="240" w:lineRule="exact"/>
              <w:jc w:val="center"/>
              <w:rPr>
                <w:rFonts w:ascii="宋体" w:hAnsi="宋体" w:cs="楷体"/>
                <w:sz w:val="21"/>
                <w:szCs w:val="21"/>
              </w:rPr>
            </w:pPr>
            <w:r>
              <w:rPr>
                <w:rFonts w:hint="eastAsia" w:ascii="宋体" w:hAnsi="宋体" w:cs="楷体"/>
                <w:sz w:val="21"/>
                <w:szCs w:val="21"/>
              </w:rPr>
              <w:t>累计扣款（元）</w:t>
            </w:r>
          </w:p>
        </w:tc>
        <w:tc>
          <w:tcPr>
            <w:tcW w:w="331"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72763560">
            <w:pPr>
              <w:spacing w:line="240" w:lineRule="exact"/>
              <w:jc w:val="center"/>
              <w:rPr>
                <w:rFonts w:ascii="宋体" w:hAnsi="宋体" w:cs="楷体"/>
                <w:sz w:val="21"/>
                <w:szCs w:val="21"/>
              </w:rPr>
            </w:pPr>
            <w:r>
              <w:rPr>
                <w:rFonts w:hint="eastAsia" w:ascii="宋体" w:hAnsi="宋体" w:cs="楷体"/>
                <w:sz w:val="21"/>
                <w:szCs w:val="21"/>
                <w:lang w:bidi="ar"/>
              </w:rPr>
              <w:t>不合格原因描述</w:t>
            </w:r>
          </w:p>
        </w:tc>
      </w:tr>
      <w:tr w14:paraId="0F59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32FBF819">
            <w:pPr>
              <w:spacing w:line="240" w:lineRule="exact"/>
              <w:jc w:val="center"/>
              <w:rPr>
                <w:rFonts w:ascii="宋体" w:hAnsi="宋体" w:cs="楷体"/>
                <w:sz w:val="21"/>
                <w:szCs w:val="21"/>
              </w:rPr>
            </w:pPr>
            <w:r>
              <w:rPr>
                <w:rFonts w:hint="eastAsia" w:ascii="宋体" w:hAnsi="宋体" w:cs="楷体"/>
                <w:sz w:val="21"/>
                <w:szCs w:val="21"/>
              </w:rPr>
              <w:t>1</w:t>
            </w:r>
          </w:p>
        </w:tc>
        <w:tc>
          <w:tcPr>
            <w:tcW w:w="402" w:type="pct"/>
            <w:vMerge w:val="restart"/>
            <w:tcBorders>
              <w:top w:val="single" w:color="auto" w:sz="4" w:space="0"/>
              <w:left w:val="single" w:color="auto" w:sz="4" w:space="0"/>
              <w:bottom w:val="single" w:color="auto" w:sz="4" w:space="0"/>
              <w:right w:val="single" w:color="auto" w:sz="4" w:space="0"/>
            </w:tcBorders>
            <w:noWrap w:val="0"/>
            <w:vAlign w:val="center"/>
          </w:tcPr>
          <w:p w14:paraId="7E5D88F2">
            <w:pPr>
              <w:spacing w:line="240" w:lineRule="exact"/>
              <w:jc w:val="center"/>
              <w:rPr>
                <w:rFonts w:ascii="宋体" w:hAnsi="宋体" w:cs="楷体"/>
                <w:sz w:val="21"/>
                <w:szCs w:val="21"/>
              </w:rPr>
            </w:pPr>
            <w:r>
              <w:rPr>
                <w:rFonts w:hint="eastAsia" w:ascii="宋体" w:hAnsi="宋体" w:cs="楷体"/>
                <w:sz w:val="21"/>
                <w:szCs w:val="21"/>
              </w:rPr>
              <w:t>基本要求</w:t>
            </w:r>
          </w:p>
          <w:p w14:paraId="69B2E99C">
            <w:pPr>
              <w:spacing w:line="240" w:lineRule="exact"/>
              <w:jc w:val="center"/>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07C1784B">
            <w:pPr>
              <w:spacing w:line="240" w:lineRule="exact"/>
              <w:jc w:val="left"/>
              <w:rPr>
                <w:rFonts w:ascii="宋体" w:hAnsi="宋体" w:cs="楷体"/>
                <w:sz w:val="21"/>
                <w:szCs w:val="21"/>
              </w:rPr>
            </w:pPr>
            <w:r>
              <w:rPr>
                <w:rFonts w:hint="eastAsia" w:ascii="宋体" w:hAnsi="宋体"/>
                <w:sz w:val="21"/>
                <w:szCs w:val="21"/>
              </w:rPr>
              <w:t>不按规定着装或者着装不整齐的；</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921DBB0">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545E951A">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A3FA89D">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073CD626">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0D8A479B">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407229C1">
            <w:pPr>
              <w:spacing w:line="240" w:lineRule="exact"/>
              <w:jc w:val="center"/>
              <w:rPr>
                <w:rFonts w:ascii="宋体" w:hAnsi="宋体" w:cs="楷体"/>
                <w:sz w:val="21"/>
                <w:szCs w:val="21"/>
              </w:rPr>
            </w:pPr>
          </w:p>
        </w:tc>
      </w:tr>
      <w:tr w14:paraId="541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5F69D0E1">
            <w:pPr>
              <w:spacing w:line="240" w:lineRule="exact"/>
              <w:jc w:val="center"/>
              <w:rPr>
                <w:rFonts w:ascii="宋体" w:hAnsi="宋体" w:cs="楷体"/>
                <w:sz w:val="21"/>
                <w:szCs w:val="21"/>
              </w:rPr>
            </w:pPr>
            <w:r>
              <w:rPr>
                <w:rFonts w:hint="eastAsia" w:ascii="宋体" w:hAnsi="宋体" w:cs="楷体"/>
                <w:sz w:val="21"/>
                <w:szCs w:val="21"/>
              </w:rPr>
              <w:t>2</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221FA55">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7EBE7862">
            <w:pPr>
              <w:spacing w:line="240" w:lineRule="exact"/>
              <w:jc w:val="left"/>
              <w:rPr>
                <w:rFonts w:ascii="宋体" w:hAnsi="宋体" w:cs="楷体"/>
                <w:sz w:val="21"/>
                <w:szCs w:val="21"/>
              </w:rPr>
            </w:pPr>
            <w:r>
              <w:rPr>
                <w:rFonts w:hint="eastAsia" w:ascii="宋体" w:hAnsi="宋体"/>
                <w:sz w:val="21"/>
                <w:szCs w:val="21"/>
              </w:rPr>
              <w:t>交接班记录簿不按规定认真填写，字迹模糊不工整；</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A396ECD">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EE2DF45">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48A942E">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71259887">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3F501574">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66A51CD8">
            <w:pPr>
              <w:spacing w:line="240" w:lineRule="exact"/>
              <w:jc w:val="center"/>
              <w:rPr>
                <w:rFonts w:ascii="宋体" w:hAnsi="宋体" w:cs="楷体"/>
                <w:sz w:val="21"/>
                <w:szCs w:val="21"/>
              </w:rPr>
            </w:pPr>
          </w:p>
        </w:tc>
      </w:tr>
      <w:tr w14:paraId="72E3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73BFD3FC">
            <w:pPr>
              <w:spacing w:line="240" w:lineRule="exact"/>
              <w:jc w:val="center"/>
              <w:rPr>
                <w:rFonts w:ascii="宋体" w:hAnsi="宋体" w:cs="楷体"/>
                <w:sz w:val="21"/>
                <w:szCs w:val="21"/>
              </w:rPr>
            </w:pPr>
            <w:r>
              <w:rPr>
                <w:rFonts w:hint="eastAsia" w:ascii="宋体" w:hAnsi="宋体" w:cs="楷体"/>
                <w:sz w:val="21"/>
                <w:szCs w:val="21"/>
              </w:rPr>
              <w:t>3</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41B1C3">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409264B9">
            <w:pPr>
              <w:spacing w:line="240" w:lineRule="exact"/>
              <w:jc w:val="left"/>
              <w:rPr>
                <w:rFonts w:ascii="宋体" w:hAnsi="宋体" w:cs="楷体"/>
                <w:sz w:val="21"/>
                <w:szCs w:val="21"/>
              </w:rPr>
            </w:pPr>
            <w:r>
              <w:rPr>
                <w:rFonts w:hint="eastAsia" w:ascii="宋体" w:hAnsi="宋体"/>
                <w:sz w:val="21"/>
                <w:szCs w:val="21"/>
              </w:rPr>
              <w:t>当班执勤中不按站姿、站位或站姿不规范的；</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4CD5B34F">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4DCC7617">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62A94E1">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7BB45CE2">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54D788D">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67517341">
            <w:pPr>
              <w:spacing w:line="240" w:lineRule="exact"/>
              <w:jc w:val="center"/>
              <w:rPr>
                <w:rFonts w:ascii="宋体" w:hAnsi="宋体" w:cs="楷体"/>
                <w:sz w:val="21"/>
                <w:szCs w:val="21"/>
              </w:rPr>
            </w:pPr>
          </w:p>
        </w:tc>
      </w:tr>
      <w:tr w14:paraId="3950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1732056A">
            <w:pPr>
              <w:spacing w:line="240" w:lineRule="exact"/>
              <w:jc w:val="center"/>
              <w:rPr>
                <w:rFonts w:ascii="宋体" w:hAnsi="宋体" w:cs="楷体"/>
                <w:sz w:val="21"/>
                <w:szCs w:val="21"/>
              </w:rPr>
            </w:pPr>
            <w:r>
              <w:rPr>
                <w:rFonts w:hint="eastAsia" w:ascii="宋体" w:hAnsi="宋体" w:cs="楷体"/>
                <w:sz w:val="21"/>
                <w:szCs w:val="21"/>
              </w:rPr>
              <w:t>4</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79B8698">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3B55A26A">
            <w:pPr>
              <w:spacing w:line="240" w:lineRule="exact"/>
              <w:jc w:val="left"/>
              <w:rPr>
                <w:rFonts w:ascii="宋体" w:hAnsi="宋体" w:cs="楷体"/>
                <w:sz w:val="21"/>
                <w:szCs w:val="21"/>
              </w:rPr>
            </w:pPr>
            <w:r>
              <w:rPr>
                <w:rFonts w:hint="eastAsia" w:ascii="宋体" w:hAnsi="宋体"/>
                <w:sz w:val="21"/>
                <w:szCs w:val="21"/>
              </w:rPr>
              <w:t>熟悉公司及上级主管部门领导（由甲方书面提供）车辆号码，无故扣阻拦；</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2CE6FFA">
            <w:pPr>
              <w:jc w:val="center"/>
              <w:rPr>
                <w:rFonts w:ascii="宋体" w:hAnsi="宋体"/>
                <w:sz w:val="21"/>
                <w:szCs w:val="21"/>
              </w:rPr>
            </w:pPr>
            <w:r>
              <w:rPr>
                <w:rFonts w:hint="eastAsia" w:ascii="宋体" w:hAnsi="宋体" w:cs="楷体"/>
                <w:sz w:val="21"/>
                <w:szCs w:val="21"/>
              </w:rPr>
              <w:t>1</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D7057FE">
            <w:pPr>
              <w:spacing w:line="240" w:lineRule="exact"/>
              <w:jc w:val="center"/>
              <w:rPr>
                <w:rFonts w:ascii="宋体" w:hAnsi="宋体" w:cs="楷体"/>
                <w:sz w:val="21"/>
                <w:szCs w:val="21"/>
              </w:rPr>
            </w:pPr>
            <w:r>
              <w:rPr>
                <w:rFonts w:hint="eastAsia" w:ascii="宋体" w:hAnsi="宋体" w:cs="楷体"/>
                <w:sz w:val="21"/>
                <w:szCs w:val="21"/>
              </w:rPr>
              <w:t>100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1C4A1ADD">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1B50019F">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2DE4C027">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5E61895C">
            <w:pPr>
              <w:spacing w:line="240" w:lineRule="exact"/>
              <w:jc w:val="center"/>
              <w:rPr>
                <w:rFonts w:ascii="宋体" w:hAnsi="宋体" w:cs="楷体"/>
                <w:sz w:val="21"/>
                <w:szCs w:val="21"/>
              </w:rPr>
            </w:pPr>
          </w:p>
        </w:tc>
      </w:tr>
      <w:tr w14:paraId="55B23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3BB2FD06">
            <w:pPr>
              <w:spacing w:line="240" w:lineRule="exact"/>
              <w:jc w:val="center"/>
              <w:rPr>
                <w:rFonts w:ascii="宋体" w:hAnsi="宋体" w:cs="楷体"/>
                <w:sz w:val="21"/>
                <w:szCs w:val="21"/>
              </w:rPr>
            </w:pPr>
            <w:r>
              <w:rPr>
                <w:rFonts w:hint="eastAsia" w:ascii="宋体" w:hAnsi="宋体" w:cs="楷体"/>
                <w:sz w:val="21"/>
                <w:szCs w:val="21"/>
              </w:rPr>
              <w:t>5</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C80F2F">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2A998A47">
            <w:pPr>
              <w:spacing w:line="240" w:lineRule="exact"/>
              <w:jc w:val="left"/>
              <w:rPr>
                <w:rFonts w:ascii="宋体" w:hAnsi="宋体" w:cs="楷体"/>
                <w:sz w:val="21"/>
                <w:szCs w:val="21"/>
              </w:rPr>
            </w:pPr>
            <w:r>
              <w:rPr>
                <w:rFonts w:hint="eastAsia" w:ascii="宋体" w:hAnsi="宋体"/>
                <w:sz w:val="21"/>
                <w:szCs w:val="21"/>
              </w:rPr>
              <w:t>未对外来车辆（含机动车和非机动车）进行检查登记，合理安排车位，未对甲方内部人员车辆（含机动车和非机动车）加强管理、停放进位、整齐；</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5BB58F1">
            <w:pPr>
              <w:jc w:val="center"/>
              <w:rPr>
                <w:rFonts w:ascii="宋体" w:hAnsi="宋体"/>
                <w:sz w:val="21"/>
                <w:szCs w:val="21"/>
              </w:rPr>
            </w:pPr>
            <w:r>
              <w:rPr>
                <w:rFonts w:hint="eastAsia" w:ascii="宋体" w:hAnsi="宋体" w:cs="楷体"/>
                <w:sz w:val="21"/>
                <w:szCs w:val="21"/>
              </w:rPr>
              <w:t>1</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C193E4A">
            <w:pPr>
              <w:spacing w:line="240" w:lineRule="exact"/>
              <w:jc w:val="center"/>
              <w:rPr>
                <w:rFonts w:ascii="宋体" w:hAnsi="宋体" w:cs="楷体"/>
                <w:sz w:val="21"/>
                <w:szCs w:val="21"/>
              </w:rPr>
            </w:pPr>
            <w:r>
              <w:rPr>
                <w:rFonts w:hint="eastAsia" w:ascii="宋体" w:hAnsi="宋体" w:cs="楷体"/>
                <w:sz w:val="21"/>
                <w:szCs w:val="21"/>
              </w:rPr>
              <w:t>100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48798F91">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25766274">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35A017AD">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134F1153">
            <w:pPr>
              <w:spacing w:line="240" w:lineRule="exact"/>
              <w:jc w:val="center"/>
              <w:rPr>
                <w:rFonts w:ascii="宋体" w:hAnsi="宋体" w:cs="楷体"/>
                <w:sz w:val="21"/>
                <w:szCs w:val="21"/>
              </w:rPr>
            </w:pPr>
          </w:p>
        </w:tc>
      </w:tr>
      <w:tr w14:paraId="451F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6E1CC709">
            <w:pPr>
              <w:spacing w:line="240" w:lineRule="exact"/>
              <w:jc w:val="center"/>
              <w:rPr>
                <w:rFonts w:ascii="宋体" w:hAnsi="宋体" w:cs="楷体"/>
                <w:sz w:val="21"/>
                <w:szCs w:val="21"/>
              </w:rPr>
            </w:pPr>
            <w:r>
              <w:rPr>
                <w:rFonts w:hint="eastAsia" w:ascii="宋体" w:hAnsi="宋体" w:cs="楷体"/>
                <w:sz w:val="21"/>
                <w:szCs w:val="21"/>
              </w:rPr>
              <w:t>6</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CC5F656">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24E2A67A">
            <w:pPr>
              <w:spacing w:line="240" w:lineRule="exact"/>
              <w:jc w:val="left"/>
              <w:rPr>
                <w:rFonts w:ascii="宋体" w:hAnsi="宋体" w:cs="楷体"/>
                <w:sz w:val="21"/>
                <w:szCs w:val="21"/>
              </w:rPr>
            </w:pPr>
            <w:r>
              <w:rPr>
                <w:rFonts w:hint="eastAsia" w:ascii="宋体" w:hAnsi="宋体"/>
                <w:sz w:val="21"/>
                <w:szCs w:val="21"/>
              </w:rPr>
              <w:t>未对外来人员进入办公区域应及时登记，按规定填写“会客单”，来访人员离开时应及时收回，并登记离开时间</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651E6DC">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68A2C17">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4BC36607">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E89C225">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12F3ED4D">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4195F280">
            <w:pPr>
              <w:spacing w:line="240" w:lineRule="exact"/>
              <w:jc w:val="center"/>
              <w:rPr>
                <w:rFonts w:ascii="宋体" w:hAnsi="宋体" w:cs="楷体"/>
                <w:sz w:val="21"/>
                <w:szCs w:val="21"/>
              </w:rPr>
            </w:pPr>
          </w:p>
        </w:tc>
      </w:tr>
      <w:tr w14:paraId="773F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285B22A0">
            <w:pPr>
              <w:spacing w:line="240" w:lineRule="exact"/>
              <w:jc w:val="center"/>
              <w:rPr>
                <w:rFonts w:ascii="宋体" w:hAnsi="宋体" w:cs="楷体"/>
                <w:sz w:val="21"/>
                <w:szCs w:val="21"/>
              </w:rPr>
            </w:pPr>
            <w:r>
              <w:rPr>
                <w:rFonts w:hint="eastAsia" w:ascii="宋体" w:hAnsi="宋体" w:cs="楷体"/>
                <w:sz w:val="21"/>
                <w:szCs w:val="21"/>
              </w:rPr>
              <w:t>7</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4256C5">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392FAE30">
            <w:pPr>
              <w:spacing w:line="240" w:lineRule="exact"/>
              <w:jc w:val="left"/>
              <w:rPr>
                <w:rFonts w:ascii="宋体" w:hAnsi="宋体" w:cs="楷体"/>
                <w:sz w:val="21"/>
                <w:szCs w:val="21"/>
              </w:rPr>
            </w:pPr>
            <w:r>
              <w:rPr>
                <w:rFonts w:hint="eastAsia" w:ascii="宋体" w:hAnsi="宋体"/>
                <w:sz w:val="21"/>
                <w:szCs w:val="21"/>
              </w:rPr>
              <w:t>保安人员未按规定2小时巡视一次，巡视时间次数与巡视记录等填写不符</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6D345E2">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5E9A6992">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55FF9C95">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52E6E6D3">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14D4FBC2">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69A9A7C7">
            <w:pPr>
              <w:spacing w:line="240" w:lineRule="exact"/>
              <w:jc w:val="center"/>
              <w:rPr>
                <w:rFonts w:ascii="宋体" w:hAnsi="宋体" w:cs="楷体"/>
                <w:sz w:val="21"/>
                <w:szCs w:val="21"/>
              </w:rPr>
            </w:pPr>
          </w:p>
        </w:tc>
      </w:tr>
      <w:tr w14:paraId="31863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64310BA3">
            <w:pPr>
              <w:spacing w:line="240" w:lineRule="exact"/>
              <w:jc w:val="center"/>
              <w:rPr>
                <w:rFonts w:ascii="宋体" w:hAnsi="宋体" w:cs="楷体"/>
                <w:sz w:val="21"/>
                <w:szCs w:val="21"/>
              </w:rPr>
            </w:pPr>
            <w:r>
              <w:rPr>
                <w:rFonts w:hint="eastAsia" w:ascii="宋体" w:hAnsi="宋体" w:cs="楷体"/>
                <w:sz w:val="21"/>
                <w:szCs w:val="21"/>
              </w:rPr>
              <w:t>8</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C1D6B95">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33E7058A">
            <w:pPr>
              <w:spacing w:line="240" w:lineRule="exact"/>
              <w:jc w:val="left"/>
              <w:rPr>
                <w:rFonts w:ascii="宋体" w:hAnsi="宋体" w:cs="楷体"/>
                <w:sz w:val="21"/>
                <w:szCs w:val="21"/>
              </w:rPr>
            </w:pPr>
            <w:r>
              <w:rPr>
                <w:rFonts w:hint="eastAsia" w:ascii="宋体" w:hAnsi="宋体"/>
                <w:sz w:val="21"/>
                <w:szCs w:val="21"/>
              </w:rPr>
              <w:t>安防设施运行不正常或出现故障未及时向甲方汇报的；</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1E89267E">
            <w:pPr>
              <w:jc w:val="center"/>
              <w:rPr>
                <w:rFonts w:ascii="宋体" w:hAnsi="宋体" w:cs="楷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1689CC69">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1C9716B1">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7946E667">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6C008C4D">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578D0088">
            <w:pPr>
              <w:spacing w:line="240" w:lineRule="exact"/>
              <w:jc w:val="center"/>
              <w:rPr>
                <w:rFonts w:ascii="宋体" w:hAnsi="宋体" w:cs="楷体"/>
                <w:sz w:val="21"/>
                <w:szCs w:val="21"/>
              </w:rPr>
            </w:pPr>
          </w:p>
        </w:tc>
      </w:tr>
      <w:tr w14:paraId="1323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0D09046A">
            <w:pPr>
              <w:spacing w:line="240" w:lineRule="exact"/>
              <w:jc w:val="center"/>
              <w:rPr>
                <w:rFonts w:ascii="宋体" w:hAnsi="宋体" w:cs="楷体"/>
                <w:sz w:val="21"/>
                <w:szCs w:val="21"/>
              </w:rPr>
            </w:pPr>
            <w:r>
              <w:rPr>
                <w:rFonts w:hint="eastAsia" w:ascii="宋体" w:hAnsi="宋体" w:cs="楷体"/>
                <w:sz w:val="21"/>
                <w:szCs w:val="21"/>
              </w:rPr>
              <w:t>9</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407BF47">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6FC205F6">
            <w:pPr>
              <w:spacing w:line="240" w:lineRule="exact"/>
              <w:jc w:val="left"/>
              <w:rPr>
                <w:rFonts w:ascii="宋体" w:hAnsi="宋体" w:cs="楷体"/>
                <w:sz w:val="21"/>
                <w:szCs w:val="21"/>
              </w:rPr>
            </w:pPr>
            <w:r>
              <w:rPr>
                <w:rFonts w:hint="eastAsia" w:ascii="宋体" w:hAnsi="宋体"/>
                <w:sz w:val="21"/>
                <w:szCs w:val="21"/>
              </w:rPr>
              <w:t>安保人员夜间值班发现睡岗的</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E4E6D6F">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90CC8DD">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B5F3C57">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7EA86A0">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3B0AEA34">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5E05D86A">
            <w:pPr>
              <w:spacing w:line="240" w:lineRule="exact"/>
              <w:jc w:val="center"/>
              <w:rPr>
                <w:rFonts w:ascii="宋体" w:hAnsi="宋体" w:cs="楷体"/>
                <w:sz w:val="21"/>
                <w:szCs w:val="21"/>
              </w:rPr>
            </w:pPr>
          </w:p>
        </w:tc>
      </w:tr>
      <w:tr w14:paraId="32C5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62FA6B6F">
            <w:pPr>
              <w:spacing w:line="240" w:lineRule="exact"/>
              <w:jc w:val="center"/>
              <w:rPr>
                <w:rFonts w:ascii="宋体" w:hAnsi="宋体" w:cs="楷体"/>
                <w:sz w:val="21"/>
                <w:szCs w:val="21"/>
              </w:rPr>
            </w:pPr>
            <w:r>
              <w:rPr>
                <w:rFonts w:hint="eastAsia" w:ascii="宋体" w:hAnsi="宋体" w:cs="楷体"/>
                <w:sz w:val="21"/>
                <w:szCs w:val="21"/>
              </w:rPr>
              <w:t>10</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011279">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1F4C7DD8">
            <w:pPr>
              <w:spacing w:line="240" w:lineRule="exact"/>
              <w:jc w:val="left"/>
              <w:rPr>
                <w:rFonts w:ascii="宋体" w:hAnsi="宋体" w:cs="楷体"/>
                <w:sz w:val="21"/>
                <w:szCs w:val="21"/>
              </w:rPr>
            </w:pPr>
            <w:r>
              <w:rPr>
                <w:rFonts w:hint="eastAsia" w:ascii="宋体" w:hAnsi="宋体"/>
                <w:sz w:val="21"/>
                <w:szCs w:val="21"/>
              </w:rPr>
              <w:t>值班室内外不整洁，物品不按要求摆放</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96F74FE">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15ACACBA">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FBEE79A">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73A76390">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6286DA51">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0E0A8DE9">
            <w:pPr>
              <w:spacing w:line="240" w:lineRule="exact"/>
              <w:jc w:val="center"/>
              <w:rPr>
                <w:rFonts w:ascii="宋体" w:hAnsi="宋体" w:cs="楷体"/>
                <w:sz w:val="21"/>
                <w:szCs w:val="21"/>
              </w:rPr>
            </w:pPr>
          </w:p>
        </w:tc>
      </w:tr>
      <w:tr w14:paraId="4859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5D074015">
            <w:pPr>
              <w:spacing w:line="240" w:lineRule="exact"/>
              <w:jc w:val="center"/>
              <w:rPr>
                <w:rFonts w:ascii="宋体" w:hAnsi="宋体" w:cs="楷体"/>
                <w:sz w:val="21"/>
                <w:szCs w:val="21"/>
              </w:rPr>
            </w:pPr>
            <w:r>
              <w:rPr>
                <w:rFonts w:hint="eastAsia" w:ascii="宋体" w:hAnsi="宋体" w:cs="楷体"/>
                <w:sz w:val="21"/>
                <w:szCs w:val="21"/>
              </w:rPr>
              <w:t>11</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914B860">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0A6BF1AF">
            <w:pPr>
              <w:spacing w:line="240" w:lineRule="exact"/>
              <w:jc w:val="left"/>
              <w:rPr>
                <w:rFonts w:ascii="宋体" w:hAnsi="宋体" w:cs="楷体"/>
                <w:sz w:val="21"/>
                <w:szCs w:val="21"/>
              </w:rPr>
            </w:pPr>
            <w:r>
              <w:rPr>
                <w:rFonts w:hint="eastAsia" w:ascii="宋体" w:hAnsi="宋体"/>
                <w:sz w:val="21"/>
                <w:szCs w:val="21"/>
              </w:rPr>
              <w:t>安保人员值班时间未经同意擅自离岗的</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67B886F">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763803E">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607E2C39">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50954C7">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651FA817">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26315019">
            <w:pPr>
              <w:spacing w:line="240" w:lineRule="exact"/>
              <w:jc w:val="center"/>
              <w:rPr>
                <w:rFonts w:ascii="宋体" w:hAnsi="宋体" w:cs="楷体"/>
                <w:sz w:val="21"/>
                <w:szCs w:val="21"/>
              </w:rPr>
            </w:pPr>
          </w:p>
        </w:tc>
      </w:tr>
      <w:tr w14:paraId="3A76B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10AD0E8D">
            <w:pPr>
              <w:spacing w:line="240" w:lineRule="exact"/>
              <w:jc w:val="center"/>
              <w:rPr>
                <w:rFonts w:ascii="宋体" w:hAnsi="宋体" w:cs="楷体"/>
                <w:sz w:val="21"/>
                <w:szCs w:val="21"/>
              </w:rPr>
            </w:pPr>
            <w:r>
              <w:rPr>
                <w:rFonts w:hint="eastAsia" w:ascii="宋体" w:hAnsi="宋体" w:cs="楷体"/>
                <w:sz w:val="21"/>
                <w:szCs w:val="21"/>
              </w:rPr>
              <w:t>12</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82B5127">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015311E7">
            <w:pPr>
              <w:spacing w:line="240" w:lineRule="exact"/>
              <w:jc w:val="left"/>
              <w:rPr>
                <w:rFonts w:ascii="宋体" w:hAnsi="宋体" w:cs="楷体"/>
                <w:sz w:val="21"/>
                <w:szCs w:val="21"/>
              </w:rPr>
            </w:pPr>
            <w:r>
              <w:rPr>
                <w:rFonts w:hint="eastAsia" w:ascii="宋体" w:hAnsi="宋体"/>
                <w:sz w:val="21"/>
                <w:szCs w:val="21"/>
              </w:rPr>
              <w:t>安保人员值班时间做与安保门卫工作无关的事</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5827D4DC">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4BFC36F4">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6C906B4">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587FC781">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204D38E3">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10BBCF31">
            <w:pPr>
              <w:spacing w:line="240" w:lineRule="exact"/>
              <w:jc w:val="center"/>
              <w:rPr>
                <w:rFonts w:ascii="宋体" w:hAnsi="宋体" w:cs="楷体"/>
                <w:sz w:val="21"/>
                <w:szCs w:val="21"/>
              </w:rPr>
            </w:pPr>
          </w:p>
        </w:tc>
      </w:tr>
      <w:tr w14:paraId="5B20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4820C85D">
            <w:pPr>
              <w:spacing w:line="240" w:lineRule="exact"/>
              <w:jc w:val="center"/>
              <w:rPr>
                <w:rFonts w:ascii="宋体" w:hAnsi="宋体" w:cs="楷体"/>
                <w:sz w:val="21"/>
                <w:szCs w:val="21"/>
              </w:rPr>
            </w:pPr>
            <w:r>
              <w:rPr>
                <w:rFonts w:hint="eastAsia" w:ascii="宋体" w:hAnsi="宋体" w:cs="楷体"/>
                <w:sz w:val="21"/>
                <w:szCs w:val="21"/>
              </w:rPr>
              <w:t>13</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570B08">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1CDD5E1E">
            <w:pPr>
              <w:spacing w:line="240" w:lineRule="exact"/>
              <w:jc w:val="left"/>
              <w:rPr>
                <w:rFonts w:ascii="宋体" w:hAnsi="宋体" w:cs="楷体"/>
                <w:sz w:val="21"/>
                <w:szCs w:val="21"/>
              </w:rPr>
            </w:pPr>
            <w:r>
              <w:rPr>
                <w:rFonts w:hint="eastAsia" w:ascii="宋体" w:hAnsi="宋体"/>
                <w:sz w:val="21"/>
                <w:szCs w:val="21"/>
              </w:rPr>
              <w:t>饮酒上岗</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12ECE030">
            <w:pPr>
              <w:jc w:val="center"/>
              <w:rPr>
                <w:rFonts w:ascii="宋体" w:hAnsi="宋体"/>
                <w:sz w:val="21"/>
                <w:szCs w:val="21"/>
              </w:rPr>
            </w:pPr>
            <w:r>
              <w:rPr>
                <w:rFonts w:hint="eastAsia" w:ascii="宋体" w:hAnsi="宋体" w:cs="楷体"/>
                <w:sz w:val="21"/>
                <w:szCs w:val="21"/>
              </w:rPr>
              <w:t>1</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67786660">
            <w:pPr>
              <w:spacing w:line="240" w:lineRule="exact"/>
              <w:jc w:val="center"/>
              <w:rPr>
                <w:rFonts w:ascii="宋体" w:hAnsi="宋体" w:cs="楷体"/>
                <w:sz w:val="21"/>
                <w:szCs w:val="21"/>
              </w:rPr>
            </w:pPr>
            <w:r>
              <w:rPr>
                <w:rFonts w:hint="eastAsia" w:ascii="宋体" w:hAnsi="宋体" w:cs="楷体"/>
                <w:sz w:val="21"/>
                <w:szCs w:val="21"/>
              </w:rPr>
              <w:t>100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DA2EF9A">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5DBC7740">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37248504">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57B2095B">
            <w:pPr>
              <w:spacing w:line="240" w:lineRule="exact"/>
              <w:jc w:val="center"/>
              <w:rPr>
                <w:rFonts w:ascii="宋体" w:hAnsi="宋体" w:cs="楷体"/>
                <w:sz w:val="21"/>
                <w:szCs w:val="21"/>
              </w:rPr>
            </w:pPr>
          </w:p>
        </w:tc>
      </w:tr>
      <w:tr w14:paraId="4472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2A983FFB">
            <w:pPr>
              <w:spacing w:line="240" w:lineRule="exact"/>
              <w:jc w:val="center"/>
              <w:rPr>
                <w:rFonts w:ascii="宋体" w:hAnsi="宋体" w:cs="楷体"/>
                <w:sz w:val="21"/>
                <w:szCs w:val="21"/>
              </w:rPr>
            </w:pPr>
            <w:r>
              <w:rPr>
                <w:rFonts w:hint="eastAsia" w:ascii="宋体" w:hAnsi="宋体" w:cs="楷体"/>
                <w:sz w:val="21"/>
                <w:szCs w:val="21"/>
              </w:rPr>
              <w:t>14</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92B3F0E">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60413D26">
            <w:pPr>
              <w:spacing w:line="240" w:lineRule="exact"/>
              <w:jc w:val="left"/>
              <w:rPr>
                <w:rFonts w:ascii="宋体" w:hAnsi="宋体" w:cs="楷体"/>
                <w:sz w:val="21"/>
                <w:szCs w:val="21"/>
              </w:rPr>
            </w:pPr>
            <w:r>
              <w:rPr>
                <w:rFonts w:hint="eastAsia" w:ascii="宋体" w:hAnsi="宋体"/>
                <w:color w:val="FF0000"/>
                <w:sz w:val="21"/>
                <w:szCs w:val="21"/>
              </w:rPr>
              <w:t>醉酒上岗</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B659161">
            <w:pPr>
              <w:jc w:val="center"/>
              <w:rPr>
                <w:rFonts w:ascii="宋体" w:hAnsi="宋体"/>
                <w:sz w:val="21"/>
                <w:szCs w:val="21"/>
              </w:rPr>
            </w:pPr>
            <w:r>
              <w:rPr>
                <w:rFonts w:hint="eastAsia" w:ascii="宋体" w:hAnsi="宋体" w:cs="楷体"/>
                <w:sz w:val="21"/>
                <w:szCs w:val="21"/>
              </w:rPr>
              <w:t>2</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D8D700E">
            <w:pPr>
              <w:spacing w:line="240" w:lineRule="exact"/>
              <w:jc w:val="center"/>
              <w:rPr>
                <w:rFonts w:ascii="宋体" w:hAnsi="宋体" w:cs="楷体"/>
                <w:sz w:val="21"/>
                <w:szCs w:val="21"/>
              </w:rPr>
            </w:pPr>
            <w:r>
              <w:rPr>
                <w:rFonts w:hint="eastAsia" w:ascii="宋体" w:hAnsi="宋体" w:cs="楷体"/>
                <w:sz w:val="21"/>
                <w:szCs w:val="21"/>
              </w:rPr>
              <w:t>200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0EF14DA1">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0B8DBD4">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0C720E63">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30EA6949">
            <w:pPr>
              <w:spacing w:line="240" w:lineRule="exact"/>
              <w:jc w:val="center"/>
              <w:rPr>
                <w:rFonts w:ascii="宋体" w:hAnsi="宋体" w:cs="楷体"/>
                <w:sz w:val="21"/>
                <w:szCs w:val="21"/>
              </w:rPr>
            </w:pPr>
          </w:p>
        </w:tc>
      </w:tr>
      <w:tr w14:paraId="5717A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1328441B">
            <w:pPr>
              <w:spacing w:line="240" w:lineRule="exact"/>
              <w:jc w:val="center"/>
              <w:rPr>
                <w:rFonts w:ascii="宋体" w:hAnsi="宋体" w:cs="楷体"/>
                <w:sz w:val="21"/>
                <w:szCs w:val="21"/>
              </w:rPr>
            </w:pPr>
            <w:r>
              <w:rPr>
                <w:rFonts w:hint="eastAsia" w:ascii="宋体" w:hAnsi="宋体" w:cs="楷体"/>
                <w:sz w:val="21"/>
                <w:szCs w:val="21"/>
              </w:rPr>
              <w:t>15</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0F45968">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6B6DBCAF">
            <w:pPr>
              <w:spacing w:line="240" w:lineRule="exact"/>
              <w:jc w:val="left"/>
              <w:rPr>
                <w:rFonts w:ascii="宋体" w:hAnsi="宋体" w:cs="楷体"/>
                <w:sz w:val="21"/>
                <w:szCs w:val="21"/>
              </w:rPr>
            </w:pPr>
            <w:r>
              <w:rPr>
                <w:rFonts w:hint="eastAsia" w:ascii="宋体" w:hAnsi="宋体"/>
                <w:sz w:val="21"/>
                <w:szCs w:val="21"/>
              </w:rPr>
              <w:t>发生的问题，不按规定及时上报的</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4387CB3">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4BC1E7F5">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59F7B397">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7C40F09A">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11946F0">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09B8AC75">
            <w:pPr>
              <w:spacing w:line="240" w:lineRule="exact"/>
              <w:jc w:val="center"/>
              <w:rPr>
                <w:rFonts w:ascii="宋体" w:hAnsi="宋体" w:cs="楷体"/>
                <w:sz w:val="21"/>
                <w:szCs w:val="21"/>
              </w:rPr>
            </w:pPr>
          </w:p>
        </w:tc>
      </w:tr>
      <w:tr w14:paraId="4561D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26F62C49">
            <w:pPr>
              <w:spacing w:line="240" w:lineRule="exact"/>
              <w:jc w:val="center"/>
              <w:rPr>
                <w:rFonts w:ascii="宋体" w:hAnsi="宋体" w:cs="楷体"/>
                <w:sz w:val="21"/>
                <w:szCs w:val="21"/>
              </w:rPr>
            </w:pPr>
            <w:r>
              <w:rPr>
                <w:rFonts w:hint="eastAsia" w:ascii="宋体" w:hAnsi="宋体" w:cs="楷体"/>
                <w:sz w:val="21"/>
                <w:szCs w:val="21"/>
              </w:rPr>
              <w:t>16</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2AE16A0">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2E91246D">
            <w:pPr>
              <w:spacing w:line="240" w:lineRule="exact"/>
              <w:jc w:val="left"/>
              <w:rPr>
                <w:rFonts w:ascii="宋体" w:hAnsi="宋体" w:cs="楷体"/>
                <w:sz w:val="21"/>
                <w:szCs w:val="21"/>
              </w:rPr>
            </w:pPr>
            <w:r>
              <w:rPr>
                <w:rFonts w:hint="eastAsia" w:ascii="宋体" w:hAnsi="宋体"/>
                <w:sz w:val="21"/>
                <w:szCs w:val="21"/>
              </w:rPr>
              <w:t>因态度或服务受到投拆，损坏公司形象</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655E7981">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3311B75B">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992FEAD">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7C29E91B">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2D68EB0A">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4CB720A8">
            <w:pPr>
              <w:spacing w:line="240" w:lineRule="exact"/>
              <w:jc w:val="center"/>
              <w:rPr>
                <w:rFonts w:ascii="宋体" w:hAnsi="宋体" w:cs="楷体"/>
                <w:sz w:val="21"/>
                <w:szCs w:val="21"/>
              </w:rPr>
            </w:pPr>
          </w:p>
        </w:tc>
      </w:tr>
      <w:tr w14:paraId="69F7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34852680">
            <w:pPr>
              <w:spacing w:line="240" w:lineRule="exact"/>
              <w:jc w:val="center"/>
              <w:rPr>
                <w:rFonts w:ascii="宋体" w:hAnsi="宋体" w:cs="楷体"/>
                <w:sz w:val="21"/>
                <w:szCs w:val="21"/>
              </w:rPr>
            </w:pPr>
            <w:r>
              <w:rPr>
                <w:rFonts w:hint="eastAsia" w:ascii="宋体" w:hAnsi="宋体" w:cs="楷体"/>
                <w:sz w:val="21"/>
                <w:szCs w:val="21"/>
              </w:rPr>
              <w:t>17</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FB8DDB">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3745DDB2">
            <w:pPr>
              <w:spacing w:line="240" w:lineRule="exact"/>
              <w:jc w:val="left"/>
              <w:rPr>
                <w:rFonts w:ascii="宋体" w:hAnsi="宋体" w:cs="楷体"/>
                <w:sz w:val="21"/>
                <w:szCs w:val="21"/>
              </w:rPr>
            </w:pPr>
            <w:r>
              <w:rPr>
                <w:rFonts w:hint="eastAsia" w:ascii="宋体" w:hAnsi="宋体"/>
                <w:sz w:val="21"/>
                <w:szCs w:val="21"/>
              </w:rPr>
              <w:t>工作失职致使公司财产受到损失</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3595015">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C1D18E5">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DD084CE">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549345B4">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1082616B">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14AB67F7">
            <w:pPr>
              <w:spacing w:line="240" w:lineRule="exact"/>
              <w:jc w:val="center"/>
              <w:rPr>
                <w:rFonts w:ascii="宋体" w:hAnsi="宋体" w:cs="楷体"/>
                <w:sz w:val="21"/>
                <w:szCs w:val="21"/>
              </w:rPr>
            </w:pPr>
          </w:p>
        </w:tc>
      </w:tr>
      <w:tr w14:paraId="631C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7" w:type="pct"/>
            <w:tcBorders>
              <w:top w:val="single" w:color="auto" w:sz="4" w:space="0"/>
              <w:left w:val="single" w:color="auto" w:sz="4" w:space="0"/>
              <w:bottom w:val="single" w:color="auto" w:sz="4" w:space="0"/>
              <w:right w:val="single" w:color="auto" w:sz="4" w:space="0"/>
            </w:tcBorders>
            <w:noWrap w:val="0"/>
            <w:vAlign w:val="center"/>
          </w:tcPr>
          <w:p w14:paraId="401742CF">
            <w:pPr>
              <w:spacing w:line="240" w:lineRule="exact"/>
              <w:jc w:val="center"/>
              <w:rPr>
                <w:rFonts w:ascii="宋体" w:hAnsi="宋体" w:cs="楷体"/>
                <w:sz w:val="21"/>
                <w:szCs w:val="21"/>
              </w:rPr>
            </w:pPr>
            <w:r>
              <w:rPr>
                <w:rFonts w:hint="eastAsia" w:ascii="宋体" w:hAnsi="宋体" w:cs="楷体"/>
                <w:sz w:val="21"/>
                <w:szCs w:val="21"/>
              </w:rPr>
              <w:t>18</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9A08C08">
            <w:pPr>
              <w:widowControl/>
              <w:jc w:val="left"/>
              <w:rPr>
                <w:rFonts w:ascii="宋体" w:hAnsi="宋体" w:cs="楷体"/>
                <w:sz w:val="21"/>
                <w:szCs w:val="21"/>
              </w:rPr>
            </w:pPr>
          </w:p>
        </w:tc>
        <w:tc>
          <w:tcPr>
            <w:tcW w:w="2039" w:type="pct"/>
            <w:tcBorders>
              <w:top w:val="single" w:color="auto" w:sz="4" w:space="0"/>
              <w:left w:val="single" w:color="auto" w:sz="4" w:space="0"/>
              <w:bottom w:val="single" w:color="auto" w:sz="4" w:space="0"/>
              <w:right w:val="single" w:color="auto" w:sz="4" w:space="0"/>
            </w:tcBorders>
            <w:noWrap w:val="0"/>
            <w:vAlign w:val="center"/>
          </w:tcPr>
          <w:p w14:paraId="6C5F416A">
            <w:pPr>
              <w:spacing w:line="240" w:lineRule="exact"/>
              <w:jc w:val="left"/>
              <w:rPr>
                <w:rFonts w:ascii="宋体" w:hAnsi="宋体" w:cs="楷体"/>
                <w:sz w:val="21"/>
                <w:szCs w:val="21"/>
              </w:rPr>
            </w:pPr>
            <w:r>
              <w:rPr>
                <w:rFonts w:hint="eastAsia" w:ascii="宋体" w:hAnsi="宋体"/>
                <w:sz w:val="21"/>
                <w:szCs w:val="21"/>
              </w:rPr>
              <w:t>未完成公司和上级部门交办的临时性工作，如临时性工作未能完成或完成不到位</w:t>
            </w:r>
            <w:r>
              <w:rPr>
                <w:rFonts w:hint="eastAsia" w:ascii="宋体" w:hAnsi="宋体" w:cs="楷体"/>
                <w:sz w:val="21"/>
                <w:szCs w:val="21"/>
              </w:rPr>
              <w:t>；</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54E43213">
            <w:pPr>
              <w:jc w:val="center"/>
              <w:rPr>
                <w:rFonts w:ascii="宋体" w:hAnsi="宋体"/>
                <w:sz w:val="21"/>
                <w:szCs w:val="21"/>
              </w:rPr>
            </w:pPr>
            <w:r>
              <w:rPr>
                <w:rFonts w:hint="eastAsia" w:ascii="宋体" w:hAnsi="宋体" w:cs="楷体"/>
                <w:sz w:val="21"/>
                <w:szCs w:val="21"/>
              </w:rPr>
              <w:t>0.5</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70902EFD">
            <w:pPr>
              <w:spacing w:line="240" w:lineRule="exact"/>
              <w:jc w:val="center"/>
              <w:rPr>
                <w:rFonts w:ascii="宋体" w:hAnsi="宋体" w:cs="楷体"/>
                <w:sz w:val="21"/>
                <w:szCs w:val="21"/>
              </w:rPr>
            </w:pPr>
            <w:r>
              <w:rPr>
                <w:rFonts w:hint="eastAsia" w:ascii="宋体" w:hAnsi="宋体" w:cs="楷体"/>
                <w:sz w:val="21"/>
                <w:szCs w:val="21"/>
              </w:rPr>
              <w:t>50</w:t>
            </w:r>
          </w:p>
        </w:tc>
        <w:tc>
          <w:tcPr>
            <w:tcW w:w="396" w:type="pct"/>
            <w:tcBorders>
              <w:top w:val="single" w:color="auto" w:sz="4" w:space="0"/>
              <w:left w:val="single" w:color="auto" w:sz="4" w:space="0"/>
              <w:bottom w:val="single" w:color="auto" w:sz="4" w:space="0"/>
              <w:right w:val="single" w:color="auto" w:sz="4" w:space="0"/>
            </w:tcBorders>
            <w:noWrap w:val="0"/>
            <w:vAlign w:val="center"/>
          </w:tcPr>
          <w:p w14:paraId="2B9421BB">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6443E2D4">
            <w:pPr>
              <w:spacing w:line="240" w:lineRule="exact"/>
              <w:jc w:val="center"/>
              <w:rPr>
                <w:rFonts w:ascii="宋体" w:hAnsi="宋体" w:cs="楷体"/>
                <w:sz w:val="21"/>
                <w:szCs w:val="21"/>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D51BBDF">
            <w:pPr>
              <w:spacing w:line="240" w:lineRule="exact"/>
              <w:jc w:val="center"/>
              <w:rPr>
                <w:rFonts w:ascii="宋体" w:hAnsi="宋体" w:cs="楷体"/>
                <w:sz w:val="21"/>
                <w:szCs w:val="21"/>
              </w:rPr>
            </w:pPr>
          </w:p>
        </w:tc>
        <w:tc>
          <w:tcPr>
            <w:tcW w:w="331" w:type="pct"/>
            <w:tcBorders>
              <w:top w:val="single" w:color="auto" w:sz="4" w:space="0"/>
              <w:left w:val="single" w:color="auto" w:sz="4" w:space="0"/>
              <w:bottom w:val="single" w:color="auto" w:sz="4" w:space="0"/>
              <w:right w:val="single" w:color="auto" w:sz="4" w:space="0"/>
            </w:tcBorders>
            <w:noWrap w:val="0"/>
            <w:vAlign w:val="center"/>
          </w:tcPr>
          <w:p w14:paraId="31C77AD1">
            <w:pPr>
              <w:spacing w:line="240" w:lineRule="exact"/>
              <w:jc w:val="center"/>
              <w:rPr>
                <w:rFonts w:ascii="宋体" w:hAnsi="宋体" w:cs="楷体"/>
                <w:sz w:val="21"/>
                <w:szCs w:val="21"/>
              </w:rPr>
            </w:pPr>
          </w:p>
        </w:tc>
      </w:tr>
    </w:tbl>
    <w:p w14:paraId="670C339B">
      <w:pPr>
        <w:rPr>
          <w:rFonts w:ascii="宋体" w:hAnsi="宋体"/>
          <w:b/>
          <w:bCs/>
          <w:sz w:val="21"/>
          <w:szCs w:val="21"/>
        </w:rPr>
      </w:pPr>
      <w:r>
        <w:rPr>
          <w:rFonts w:hint="eastAsia" w:ascii="宋体" w:hAnsi="宋体"/>
          <w:b/>
          <w:bCs/>
          <w:sz w:val="21"/>
          <w:szCs w:val="21"/>
        </w:rPr>
        <w:t>注：1、每月进行考核，每年共计12次（每次不定时进行检查），每月每项检查按百分制考核。</w:t>
      </w:r>
    </w:p>
    <w:p w14:paraId="56D20E66">
      <w:pPr>
        <w:ind w:firstLine="422" w:firstLineChars="200"/>
        <w:rPr>
          <w:rFonts w:ascii="宋体" w:hAnsi="宋体"/>
          <w:b/>
          <w:color w:val="FF0000"/>
          <w:sz w:val="21"/>
          <w:szCs w:val="21"/>
        </w:rPr>
      </w:pPr>
      <w:r>
        <w:rPr>
          <w:rFonts w:hint="eastAsia" w:ascii="宋体" w:hAnsi="宋体"/>
          <w:b/>
          <w:bCs/>
          <w:sz w:val="21"/>
          <w:szCs w:val="21"/>
        </w:rPr>
        <w:t>2、具体考核条款不限定为上述内容，采购人保留对其适当调整的权利。</w:t>
      </w:r>
    </w:p>
    <w:p w14:paraId="6896CBDE">
      <w:pPr>
        <w:rPr>
          <w:rFonts w:hint="eastAsia"/>
        </w:rPr>
      </w:pPr>
    </w:p>
    <w:p w14:paraId="06C7854D">
      <w:pPr>
        <w:pStyle w:val="2"/>
        <w:spacing w:before="0" w:after="0" w:line="240" w:lineRule="auto"/>
        <w:jc w:val="center"/>
        <w:rPr>
          <w:rFonts w:hint="eastAsia"/>
        </w:rPr>
      </w:pPr>
    </w:p>
    <w:p w14:paraId="56FAFA4D">
      <w:pPr>
        <w:rPr>
          <w:rFonts w:hint="eastAsia"/>
        </w:rPr>
      </w:pPr>
    </w:p>
    <w:p w14:paraId="7F9357E1">
      <w:pPr>
        <w:pStyle w:val="2"/>
        <w:spacing w:before="0" w:after="0" w:line="240" w:lineRule="auto"/>
        <w:jc w:val="center"/>
        <w:rPr>
          <w:rFonts w:hint="eastAsia"/>
        </w:rPr>
      </w:pPr>
    </w:p>
    <w:p w14:paraId="3934D96F">
      <w:pPr>
        <w:rPr>
          <w:rFonts w:hint="eastAsia"/>
        </w:rPr>
      </w:pPr>
    </w:p>
    <w:p w14:paraId="1A0ECA3F">
      <w:pPr>
        <w:rPr>
          <w:rFonts w:hint="eastAsia"/>
        </w:rPr>
      </w:pPr>
    </w:p>
    <w:p w14:paraId="646D74CC">
      <w:pPr>
        <w:rPr>
          <w:rFonts w:hint="eastAsia"/>
        </w:rPr>
      </w:pPr>
    </w:p>
    <w:p w14:paraId="6A6D67AE">
      <w:pPr>
        <w:rPr>
          <w:rFonts w:hint="eastAsia"/>
        </w:rPr>
      </w:pPr>
    </w:p>
    <w:p w14:paraId="6B47314E">
      <w:pPr>
        <w:rPr>
          <w:rFonts w:hint="eastAsia"/>
        </w:rPr>
      </w:pPr>
    </w:p>
    <w:p w14:paraId="34B3165A">
      <w:pPr>
        <w:rPr>
          <w:rFonts w:hint="eastAsia"/>
        </w:rPr>
      </w:pPr>
    </w:p>
    <w:p w14:paraId="01A0E0B0">
      <w:pPr>
        <w:rPr>
          <w:rFonts w:hint="eastAsia"/>
        </w:rPr>
      </w:pPr>
    </w:p>
    <w:p w14:paraId="37F8C5D1">
      <w:pPr>
        <w:rPr>
          <w:rFonts w:hint="eastAsia"/>
        </w:rPr>
      </w:pPr>
    </w:p>
    <w:p w14:paraId="36F2EBF2">
      <w:pPr>
        <w:rPr>
          <w:rFonts w:hint="eastAsia"/>
        </w:rPr>
      </w:pPr>
    </w:p>
    <w:p w14:paraId="1B72E0F9">
      <w:pPr>
        <w:rPr>
          <w:rFonts w:hint="eastAsia"/>
        </w:rPr>
      </w:pPr>
    </w:p>
    <w:p w14:paraId="5E06BE13">
      <w:pPr>
        <w:rPr>
          <w:rFonts w:hint="eastAsia"/>
        </w:rPr>
      </w:pPr>
    </w:p>
    <w:p w14:paraId="5D65B782">
      <w:pPr>
        <w:rPr>
          <w:rFonts w:hint="eastAsia"/>
        </w:rPr>
      </w:pPr>
    </w:p>
    <w:p w14:paraId="118AC4FF">
      <w:pPr>
        <w:rPr>
          <w:rFonts w:hint="eastAsia"/>
        </w:rPr>
      </w:pPr>
    </w:p>
    <w:p w14:paraId="46106E92">
      <w:pPr>
        <w:rPr>
          <w:rFonts w:hint="eastAsia"/>
        </w:rPr>
      </w:pPr>
    </w:p>
    <w:p w14:paraId="528A083E">
      <w:pPr>
        <w:rPr>
          <w:rFonts w:hint="eastAsia"/>
        </w:rPr>
      </w:pPr>
    </w:p>
    <w:p w14:paraId="35CC248F">
      <w:pPr>
        <w:rPr>
          <w:rFonts w:hint="eastAsia"/>
        </w:rPr>
      </w:pPr>
    </w:p>
    <w:p w14:paraId="11B03A13">
      <w:pPr>
        <w:rPr>
          <w:rFonts w:hint="eastAsia"/>
        </w:rPr>
      </w:pPr>
    </w:p>
    <w:p w14:paraId="2D91C952">
      <w:pPr>
        <w:rPr>
          <w:rFonts w:hint="eastAsia"/>
        </w:rPr>
      </w:pPr>
    </w:p>
    <w:p w14:paraId="6D8038EE">
      <w:pPr>
        <w:rPr>
          <w:rFonts w:hint="eastAsia"/>
        </w:rPr>
      </w:pPr>
    </w:p>
    <w:p w14:paraId="59D07872">
      <w:pPr>
        <w:rPr>
          <w:rFonts w:hint="eastAsia"/>
        </w:rPr>
      </w:pPr>
    </w:p>
    <w:p w14:paraId="39F823EB">
      <w:pPr>
        <w:rPr>
          <w:rFonts w:hint="eastAsia"/>
        </w:rPr>
      </w:pPr>
    </w:p>
    <w:p w14:paraId="7CA26F75">
      <w:pPr>
        <w:rPr>
          <w:rFonts w:hint="eastAsia"/>
        </w:rPr>
      </w:pPr>
    </w:p>
    <w:p w14:paraId="37B9116D">
      <w:pPr>
        <w:rPr>
          <w:rFonts w:hint="eastAsia"/>
        </w:rPr>
      </w:pPr>
    </w:p>
    <w:p w14:paraId="3F446B9B">
      <w:pPr>
        <w:rPr>
          <w:rFonts w:hint="eastAsia"/>
        </w:rPr>
      </w:pPr>
    </w:p>
    <w:p w14:paraId="6D2FE47D">
      <w:pPr>
        <w:rPr>
          <w:rFonts w:hint="eastAsia"/>
        </w:rPr>
      </w:pPr>
    </w:p>
    <w:p w14:paraId="2777DCC9">
      <w:pPr>
        <w:rPr>
          <w:rFonts w:hint="eastAsia"/>
        </w:rPr>
      </w:pPr>
    </w:p>
    <w:p w14:paraId="44C69298">
      <w:pPr>
        <w:rPr>
          <w:rFonts w:hint="eastAsia"/>
        </w:rPr>
      </w:pPr>
    </w:p>
    <w:p w14:paraId="7E7969F9">
      <w:pPr>
        <w:rPr>
          <w:rFonts w:hint="eastAsia"/>
        </w:rPr>
      </w:pPr>
    </w:p>
    <w:p w14:paraId="6C72CA7C">
      <w:pPr>
        <w:rPr>
          <w:rFonts w:hint="eastAsia"/>
        </w:rPr>
      </w:pPr>
    </w:p>
    <w:p w14:paraId="448A9542">
      <w:pPr>
        <w:pStyle w:val="2"/>
        <w:spacing w:before="0" w:after="0" w:line="240" w:lineRule="auto"/>
        <w:jc w:val="center"/>
        <w:rPr>
          <w:rFonts w:hint="eastAsia"/>
          <w:sz w:val="24"/>
          <w:szCs w:val="24"/>
        </w:rPr>
      </w:pPr>
      <w:r>
        <w:rPr>
          <w:rFonts w:hint="eastAsia"/>
          <w:sz w:val="24"/>
          <w:szCs w:val="24"/>
        </w:rPr>
        <w:t>第四章 采购需求</w:t>
      </w:r>
      <w:bookmarkEnd w:id="82"/>
    </w:p>
    <w:p w14:paraId="510B2752">
      <w:pPr>
        <w:spacing w:line="240" w:lineRule="auto"/>
        <w:ind w:firstLine="600"/>
        <w:rPr>
          <w:rFonts w:ascii="黑体" w:hAnsi="黑体" w:eastAsia="黑体" w:cs="黑体"/>
          <w:sz w:val="24"/>
          <w:szCs w:val="24"/>
          <w:highlight w:val="none"/>
        </w:rPr>
      </w:pPr>
    </w:p>
    <w:p w14:paraId="1E45ED06">
      <w:pPr>
        <w:adjustRightInd w:val="0"/>
        <w:snapToGrid w:val="0"/>
        <w:spacing w:after="0" w:line="360" w:lineRule="auto"/>
        <w:ind w:firstLine="482" w:firstLineChars="200"/>
        <w:jc w:val="both"/>
        <w:rPr>
          <w:rFonts w:hint="default" w:ascii="宋体" w:hAnsi="宋体" w:eastAsia="宋体" w:cs="宋体"/>
          <w:b/>
          <w:bCs/>
          <w:sz w:val="24"/>
          <w:szCs w:val="24"/>
          <w:lang w:val="en-US" w:eastAsia="zh-CN"/>
          <w14:ligatures w14:val="none"/>
        </w:rPr>
      </w:pPr>
      <w:r>
        <w:rPr>
          <w:rFonts w:hint="eastAsia" w:ascii="宋体" w:hAnsi="宋体" w:cs="宋体"/>
          <w:b/>
          <w:bCs/>
          <w:sz w:val="24"/>
          <w:szCs w:val="24"/>
          <w:lang w:val="en-US" w:eastAsia="zh-CN"/>
          <w14:ligatures w14:val="none"/>
        </w:rPr>
        <w:t>项目属性：服务类项目</w:t>
      </w:r>
    </w:p>
    <w:p w14:paraId="7464FFA3">
      <w:pPr>
        <w:adjustRightInd w:val="0"/>
        <w:snapToGrid w:val="0"/>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一、采购范围</w:t>
      </w:r>
    </w:p>
    <w:p w14:paraId="30C1D490">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盐城市亭湖区南洋镇青墩卫生院物业管理服务工作。</w:t>
      </w:r>
    </w:p>
    <w:p w14:paraId="170472AE">
      <w:pPr>
        <w:spacing w:after="0" w:line="360" w:lineRule="auto"/>
        <w:ind w:firstLine="482" w:firstLineChars="200"/>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二、项目总体要求</w:t>
      </w:r>
    </w:p>
    <w:p w14:paraId="20B032F0">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1、中标人在医院独立进行内部管理的同时，还必须服从医院相关职能部门的监督和领导。</w:t>
      </w:r>
    </w:p>
    <w:p w14:paraId="229EDDBB">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2、投标单位必须全面认真了解医院的全天候管理内容及要求，能够确保按时保质保量完成管理任务。</w:t>
      </w:r>
    </w:p>
    <w:p w14:paraId="43AD1FC8">
      <w:pPr>
        <w:adjustRightInd w:val="0"/>
        <w:snapToGrid w:val="0"/>
        <w:spacing w:after="0" w:line="360" w:lineRule="auto"/>
        <w:ind w:left="140" w:leftChars="50" w:firstLine="480" w:firstLineChars="200"/>
        <w:jc w:val="both"/>
        <w:rPr>
          <w:rFonts w:hint="eastAsia" w:ascii="宋体" w:hAnsi="宋体" w:eastAsia="宋体" w:cs="宋体"/>
          <w:color w:val="0000FF"/>
          <w:sz w:val="24"/>
          <w:szCs w:val="24"/>
          <w14:ligatures w14:val="none"/>
        </w:rPr>
      </w:pPr>
      <w:r>
        <w:rPr>
          <w:rFonts w:hint="eastAsia" w:ascii="宋体" w:hAnsi="宋体" w:eastAsia="宋体" w:cs="宋体"/>
          <w:sz w:val="24"/>
          <w:szCs w:val="24"/>
          <w14:ligatures w14:val="none"/>
        </w:rPr>
        <w:t xml:space="preserve"> 3、中标人招聘的工作的人员，原则上均不得超过60周岁</w:t>
      </w:r>
      <w:r>
        <w:rPr>
          <w:rFonts w:hint="eastAsia" w:ascii="宋体" w:hAnsi="宋体" w:eastAsia="宋体" w:cs="宋体"/>
          <w:sz w:val="24"/>
          <w:szCs w:val="24"/>
          <w:lang w:eastAsia="zh-CN"/>
          <w14:ligatures w14:val="none"/>
        </w:rPr>
        <w:t>、</w:t>
      </w:r>
      <w:r>
        <w:rPr>
          <w:rFonts w:hint="eastAsia" w:ascii="宋体" w:hAnsi="宋体" w:eastAsia="宋体" w:cs="宋体"/>
          <w:color w:val="0000FF"/>
          <w:sz w:val="24"/>
          <w:szCs w:val="24"/>
          <w:lang w:eastAsia="zh-CN"/>
          <w14:ligatures w14:val="none"/>
        </w:rPr>
        <w:t>项目负责人</w:t>
      </w:r>
      <w:r>
        <w:rPr>
          <w:rFonts w:hint="eastAsia" w:ascii="宋体" w:hAnsi="宋体" w:eastAsia="宋体" w:cs="宋体"/>
          <w:color w:val="0000FF"/>
          <w:sz w:val="24"/>
          <w:szCs w:val="24"/>
          <w14:ligatures w14:val="none"/>
        </w:rPr>
        <w:t xml:space="preserve">不得超过55周岁（以身份证为准）。 </w:t>
      </w:r>
    </w:p>
    <w:p w14:paraId="63A9151E">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4、中标人安排到医院工作的人员，必须服从招标人的工作安排，遵守医院的相关纪律要求，品德高尚，作风正派，身体、心理健康，吃苦耐劳；无犯罪记录。</w:t>
      </w:r>
    </w:p>
    <w:p w14:paraId="689C1B74">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5、对因工作不到位而引起医院财产损失的，将追究当事人责任并根据情况予以赔偿。</w:t>
      </w:r>
    </w:p>
    <w:p w14:paraId="47D61F23">
      <w:pPr>
        <w:adjustRightInd w:val="0"/>
        <w:snapToGrid w:val="0"/>
        <w:spacing w:after="0" w:line="360" w:lineRule="auto"/>
        <w:ind w:firstLine="720" w:firstLineChars="3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凡因为中标人不力，造成医院重大安全事故等而被有关部门曝光或被报纸、电视、广播等媒体披露或被上级相关部门批评造成恶劣影响的，第一次扣除本年度总费用的三分之一，第二次扣除本年度总费用的一半，第三次解除聘任合同。 </w:t>
      </w:r>
    </w:p>
    <w:p w14:paraId="7C754E10">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8、招标人考核时如发现现场人数与投标人数不符的，招标人付款时将按投标工资双倍扣款。</w:t>
      </w:r>
    </w:p>
    <w:p w14:paraId="3B40BF89">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9、中标人为所聘用的人员的养老保险、医疗保险、工伤保险、失业保险等社会保险均须按相关规定缴纳到位。</w:t>
      </w:r>
    </w:p>
    <w:p w14:paraId="3E00D132">
      <w:pPr>
        <w:adjustRightInd w:val="0"/>
        <w:snapToGrid w:val="0"/>
        <w:spacing w:after="0" w:line="360" w:lineRule="auto"/>
        <w:ind w:left="140" w:leftChars="50"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10、中标人要按时足额发放所有人员工资。 </w:t>
      </w:r>
    </w:p>
    <w:p w14:paraId="4066509E">
      <w:pPr>
        <w:spacing w:after="0" w:line="360" w:lineRule="auto"/>
        <w:ind w:firstLine="482" w:firstLineChars="200"/>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二、项目服务范围：</w:t>
      </w:r>
    </w:p>
    <w:p w14:paraId="302F94FE">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1．保洁人员：</w:t>
      </w:r>
    </w:p>
    <w:p w14:paraId="2C7394B7">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1.1.环境卫生：</w:t>
      </w:r>
    </w:p>
    <w:p w14:paraId="691CEC0C">
      <w:pPr>
        <w:spacing w:after="0" w:line="360" w:lineRule="auto"/>
        <w:ind w:firstLine="360" w:firstLineChars="150"/>
        <w:rPr>
          <w:rFonts w:hint="eastAsia" w:ascii="宋体" w:hAnsi="宋体" w:eastAsia="宋体" w:cs="宋体"/>
          <w:sz w:val="24"/>
          <w:szCs w:val="24"/>
          <w14:ligatures w14:val="none"/>
        </w:rPr>
      </w:pPr>
      <w:r>
        <w:rPr>
          <w:rFonts w:hint="eastAsia" w:ascii="宋体" w:hAnsi="宋体" w:eastAsia="宋体" w:cs="宋体"/>
          <w:sz w:val="24"/>
          <w:szCs w:val="24"/>
          <w14:ligatures w14:val="none"/>
        </w:rPr>
        <w:t>（1）医院室内:大厅、诊室、病房、楼梯通道、走廊、茶水间、楼层卫生间、洗涤间、医生护士值班室、办公室、行政人员办公室、</w:t>
      </w:r>
      <w:r>
        <w:rPr>
          <w:rFonts w:hint="eastAsia" w:ascii="宋体" w:hAnsi="宋体" w:eastAsia="宋体" w:cs="宋体"/>
          <w:sz w:val="24"/>
          <w:szCs w:val="24"/>
          <w:u w:val="single"/>
          <w14:ligatures w14:val="none"/>
        </w:rPr>
        <w:t>垂直电梯、扶梯、</w:t>
      </w:r>
      <w:r>
        <w:rPr>
          <w:rFonts w:hint="eastAsia" w:ascii="宋体" w:hAnsi="宋体" w:eastAsia="宋体" w:cs="宋体"/>
          <w:sz w:val="24"/>
          <w:szCs w:val="24"/>
          <w14:ligatures w14:val="none"/>
        </w:rPr>
        <w:t>门窗、楼梯扶手、下水道等。</w:t>
      </w:r>
    </w:p>
    <w:p w14:paraId="159871B6">
      <w:pPr>
        <w:spacing w:after="0" w:line="360" w:lineRule="auto"/>
        <w:ind w:firstLine="360" w:firstLineChars="150"/>
        <w:rPr>
          <w:rFonts w:hint="eastAsia" w:ascii="宋体" w:hAnsi="宋体" w:eastAsia="宋体" w:cs="宋体"/>
          <w:sz w:val="24"/>
          <w:szCs w:val="24"/>
          <w14:ligatures w14:val="none"/>
        </w:rPr>
      </w:pPr>
      <w:r>
        <w:rPr>
          <w:rFonts w:hint="eastAsia" w:ascii="宋体" w:hAnsi="宋体" w:eastAsia="宋体" w:cs="宋体"/>
          <w:sz w:val="24"/>
          <w:szCs w:val="24"/>
          <w14:ligatures w14:val="none"/>
        </w:rPr>
        <w:t>（2）室外：广场、院内路面、家属区包干区域、院门前包干区域、花园、屋面清理、垃圾池周围等环境卫生。</w:t>
      </w:r>
    </w:p>
    <w:p w14:paraId="144F156F">
      <w:pPr>
        <w:spacing w:after="0" w:line="360" w:lineRule="auto"/>
        <w:ind w:firstLine="360" w:firstLineChars="150"/>
        <w:rPr>
          <w:rFonts w:hint="eastAsia" w:ascii="宋体" w:hAnsi="宋体" w:eastAsia="宋体" w:cs="宋体"/>
          <w:sz w:val="24"/>
          <w:szCs w:val="24"/>
          <w:highlight w:val="yellow"/>
          <w14:ligatures w14:val="none"/>
        </w:rPr>
      </w:pPr>
      <w:r>
        <w:rPr>
          <w:rFonts w:hint="eastAsia" w:ascii="宋体" w:hAnsi="宋体" w:eastAsia="宋体" w:cs="宋体"/>
          <w:sz w:val="24"/>
          <w:szCs w:val="24"/>
          <w14:ligatures w14:val="none"/>
        </w:rPr>
        <w:t>（3）灭蚊蝇工作：各楼梯的梯口、梯间及楼宇周围，各医生护士值班室、办公室、行政人员办公室、各诊室、病房及大厅，医院内走廊、茶水间、楼层卫生间、洗涤间等区域的灭蚊蝇工作。</w:t>
      </w:r>
    </w:p>
    <w:p w14:paraId="38F5ED49">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1.2．会议服务及临时性工作</w:t>
      </w:r>
    </w:p>
    <w:p w14:paraId="4D9CD892">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保证会议室整洁，随时使用。按照医院要求，完成院部的临时性工作。</w:t>
      </w:r>
    </w:p>
    <w:p w14:paraId="152D24B8">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1.3.被服洗涤服务</w:t>
      </w:r>
    </w:p>
    <w:p w14:paraId="7FE66BD9">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负责病区被服、床单、枕套、手术巾、治疗巾等送洗和收发，按时完成各科送洗的被服任务，确保洗涤后的物件干净、整洁。</w:t>
      </w:r>
    </w:p>
    <w:p w14:paraId="45C46F33">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1.4.院内日常绿化修剪及除杂草工作</w:t>
      </w:r>
    </w:p>
    <w:p w14:paraId="1BEACBAD">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根据植物的生长特性和长势，应适时对其进行修剪和造型，以增强绿化、美化的效果，并保证责任区内路边无杂草。</w:t>
      </w:r>
    </w:p>
    <w:p w14:paraId="19945EA7">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1.5.其他配合工作</w:t>
      </w:r>
    </w:p>
    <w:p w14:paraId="6BFFE5FC">
      <w:pPr>
        <w:spacing w:after="0" w:line="360" w:lineRule="auto"/>
        <w:ind w:firstLine="360" w:firstLineChars="150"/>
        <w:rPr>
          <w:rFonts w:hint="eastAsia" w:ascii="宋体" w:hAnsi="宋体" w:eastAsia="宋体" w:cs="宋体"/>
          <w:sz w:val="24"/>
          <w:szCs w:val="24"/>
          <w14:ligatures w14:val="none"/>
        </w:rPr>
      </w:pPr>
      <w:r>
        <w:rPr>
          <w:rFonts w:hint="eastAsia" w:ascii="宋体" w:hAnsi="宋体" w:eastAsia="宋体" w:cs="宋体"/>
          <w:sz w:val="24"/>
          <w:szCs w:val="24"/>
          <w14:ligatures w14:val="none"/>
        </w:rPr>
        <w:t>（1）药品搬运、中药熬煎、制剂包装、物资送发工作。</w:t>
      </w:r>
    </w:p>
    <w:p w14:paraId="5326F306">
      <w:pPr>
        <w:spacing w:after="0" w:line="360" w:lineRule="auto"/>
        <w:ind w:firstLine="360" w:firstLineChars="150"/>
        <w:rPr>
          <w:rFonts w:hint="eastAsia" w:ascii="宋体" w:hAnsi="宋体" w:eastAsia="宋体" w:cs="宋体"/>
          <w:sz w:val="24"/>
          <w:szCs w:val="24"/>
          <w14:ligatures w14:val="none"/>
        </w:rPr>
      </w:pPr>
      <w:r>
        <w:rPr>
          <w:rFonts w:hint="eastAsia" w:ascii="宋体" w:hAnsi="宋体" w:eastAsia="宋体" w:cs="宋体"/>
          <w:sz w:val="24"/>
          <w:szCs w:val="24"/>
          <w14:ligatures w14:val="none"/>
        </w:rPr>
        <w:t>（2）医疗废物的收集、生活垃圾的收集。</w:t>
      </w:r>
    </w:p>
    <w:p w14:paraId="18461E66">
      <w:pPr>
        <w:spacing w:after="0" w:line="360" w:lineRule="auto"/>
        <w:ind w:firstLine="360" w:firstLineChars="150"/>
        <w:rPr>
          <w:rFonts w:hint="eastAsia" w:ascii="宋体" w:hAnsi="宋体" w:eastAsia="宋体" w:cs="宋体"/>
          <w:sz w:val="24"/>
          <w:szCs w:val="24"/>
          <w14:ligatures w14:val="none"/>
        </w:rPr>
      </w:pPr>
      <w:r>
        <w:rPr>
          <w:rFonts w:hint="eastAsia" w:ascii="宋体" w:hAnsi="宋体" w:eastAsia="宋体" w:cs="宋体"/>
          <w:sz w:val="24"/>
          <w:szCs w:val="24"/>
          <w14:ligatures w14:val="none"/>
        </w:rPr>
        <w:t>（3）</w:t>
      </w:r>
      <w:r>
        <w:rPr>
          <w:rFonts w:hint="eastAsia" w:ascii="宋体" w:hAnsi="宋体" w:eastAsia="宋体" w:cs="宋体"/>
          <w:sz w:val="24"/>
          <w:szCs w:val="24"/>
          <w:u w:val="single"/>
          <w14:ligatures w14:val="none"/>
        </w:rPr>
        <w:t>医学检验、内镜中心、医学影像、手术室</w:t>
      </w:r>
      <w:r>
        <w:rPr>
          <w:rFonts w:hint="eastAsia" w:ascii="宋体" w:hAnsi="宋体" w:eastAsia="宋体" w:cs="宋体"/>
          <w:sz w:val="24"/>
          <w:szCs w:val="24"/>
          <w14:ligatures w14:val="none"/>
        </w:rPr>
        <w:t>等科室勤杂工。</w:t>
      </w:r>
    </w:p>
    <w:p w14:paraId="5508F423">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2.安保人员：</w:t>
      </w:r>
    </w:p>
    <w:p w14:paraId="538ACEB0">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主要包括门卫、巡逻、监控室及消防监测设备的监视、公共安全防范、医院车辆管理、突发事件处理、消防管理、重要场地保卫、门前三包（包括清理大门外的流动摊点）、医院交通安全（包括交通设施设备的安放、杂物清理和对乱停乱放的管理）、安防设施设备的管理和使用等。</w:t>
      </w:r>
    </w:p>
    <w:p w14:paraId="0F2805F7">
      <w:pPr>
        <w:spacing w:after="0" w:line="360" w:lineRule="auto"/>
        <w:ind w:firstLine="482" w:firstLineChars="200"/>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三、服务标准：</w:t>
      </w:r>
    </w:p>
    <w:p w14:paraId="0D7987E9">
      <w:pPr>
        <w:spacing w:after="0" w:line="360" w:lineRule="auto"/>
        <w:ind w:firstLine="482" w:firstLineChars="200"/>
        <w:jc w:val="both"/>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（一）保洁服务</w:t>
      </w:r>
      <w:r>
        <w:rPr>
          <w:rFonts w:hint="eastAsia" w:ascii="宋体" w:hAnsi="宋体" w:eastAsia="宋体" w:cs="宋体"/>
          <w:sz w:val="24"/>
          <w:szCs w:val="24"/>
          <w14:ligatures w14:val="none"/>
        </w:rPr>
        <w:t>：</w:t>
      </w:r>
    </w:p>
    <w:p w14:paraId="0A5FAB72">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总体要求达到星级宾馆保洁服务的标准，所有人员必须服从医院用工科室和管理人员的统一管理、调度，上班要求精神饱满、仪表端正、着装整洁得体、热情服务、尽心尽职。</w:t>
      </w:r>
    </w:p>
    <w:p w14:paraId="1340F7ED">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保洁：病房、门诊、办公室等门窗整洁卫生，干净、明亮，不得有浮灰；柜台、地面保持清洁卫生，不得有灰尘纸屑；各楼层厕所随时冲洗，不得有异味；大厅、走廊、楼梯、电梯厢等场所保持清洁无杂物；所有室内、外卫生区域的保洁达三星级宾馆要求，保持托管区域环境的整洁卫生，清理保洁及时、彻底。保证病区床单元和家具的卫生保洁，床单、被套等即时更换。达到创建全国文明城市卫生标准。</w:t>
      </w:r>
    </w:p>
    <w:p w14:paraId="3E740BD3">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2、电梯：每天对电梯轿厢内、外进行擦拭，保持电梯内外洁净。</w:t>
      </w:r>
    </w:p>
    <w:p w14:paraId="04F6777F">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3、会议室：保持清洁、卫生，桌椅摆放整齐，医院对会场有特殊要求时，能及时调整座椅到位。</w:t>
      </w:r>
    </w:p>
    <w:p w14:paraId="7E52EE71">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4、医疗废物及生活垃圾的收集转运：及时收集各医疗环节医疗废弃物，做好相关记录、签字；运送到暂存地分类存放，按时清洗消毒场地及物具；与定点收集公司交接转移手续。做好生活垃圾二次收集转运。</w:t>
      </w:r>
    </w:p>
    <w:p w14:paraId="4E9264CE">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5、下水道：院内涉及到的下水道区域保证清洁卫生，避免造成堵塞。</w:t>
      </w:r>
    </w:p>
    <w:p w14:paraId="61320122">
      <w:pPr>
        <w:spacing w:after="0" w:line="360" w:lineRule="auto"/>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6、其他项目：接受科室常规性、指令性、随机性等工作。</w:t>
      </w:r>
    </w:p>
    <w:p w14:paraId="56626E6F">
      <w:pPr>
        <w:spacing w:after="0" w:line="360" w:lineRule="auto"/>
        <w:ind w:firstLine="480" w:firstLineChars="200"/>
        <w:jc w:val="both"/>
        <w:rPr>
          <w:rFonts w:hint="eastAsia" w:ascii="宋体" w:hAnsi="宋体" w:eastAsia="宋体" w:cs="宋体"/>
          <w:b/>
          <w:bCs/>
          <w:sz w:val="24"/>
          <w:szCs w:val="24"/>
          <w14:ligatures w14:val="none"/>
        </w:rPr>
      </w:pPr>
      <w:r>
        <w:rPr>
          <w:rFonts w:hint="eastAsia" w:ascii="宋体" w:hAnsi="宋体" w:eastAsia="宋体" w:cs="宋体"/>
          <w:sz w:val="24"/>
          <w:szCs w:val="24"/>
          <w14:ligatures w14:val="none"/>
        </w:rPr>
        <w:t>7、灭蚊蝇工作：各楼梯的梯口、梯间及楼宇周围，各医生护士值班室、办公室、行政人员办公室、各诊室、病房及大厅，医院内走廊、茶水间、楼层卫生间、洗涤间等各区域确保每星期进行两次消杀工作，要做到蚊蝇孳生地得到有效控制，目视无蚊蝇虫</w:t>
      </w:r>
      <w:r>
        <w:rPr>
          <w:rFonts w:hint="eastAsia" w:ascii="宋体" w:hAnsi="宋体" w:eastAsia="宋体" w:cs="宋体"/>
          <w:b/>
          <w:bCs/>
          <w:sz w:val="24"/>
          <w:szCs w:val="24"/>
          <w14:ligatures w14:val="none"/>
        </w:rPr>
        <w:t>。</w:t>
      </w:r>
    </w:p>
    <w:p w14:paraId="1933868C">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8、门厅、大堂清洁要求及标准</w:t>
      </w:r>
    </w:p>
    <w:p w14:paraId="68BD63C0">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8.1、门厅入口处应铺设防尘脚垫，每天清洁两次，确保脚垫无尘土积压；</w:t>
      </w:r>
    </w:p>
    <w:p w14:paraId="44A8B41C">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8.2、入口区域及时清尘，随时擦拭脚印等污迹，（视人流量及其他因素而定）巡回清扫，确保地面持续处于清洁状态；</w:t>
      </w:r>
    </w:p>
    <w:p w14:paraId="17127D93">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8.3、地面每天拖擦2次，加强巡回保洁，确保持续清洁，无明显杂物和污渍：</w:t>
      </w:r>
    </w:p>
    <w:p w14:paraId="3B683D5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8.4、门厅的玻璃门每天维护一次，确保无明显水痕、污渍；</w:t>
      </w:r>
    </w:p>
    <w:p w14:paraId="29069471">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8.5、垃圾筒每天清倒，并更换垃圾袋一次，确保筒内垃圾不超过1/2；</w:t>
      </w:r>
    </w:p>
    <w:p w14:paraId="7C79785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8.6、墙面、地脚线、标牌、开关盒、壁灯等，每天掸尘一次，两天擦拭1次。</w:t>
      </w:r>
    </w:p>
    <w:p w14:paraId="5B0B3BEF">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8.7、按照疫情防控要求，落实好环境及物品表面的消毒工作。</w:t>
      </w:r>
    </w:p>
    <w:p w14:paraId="590729D9">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9、走道、楼梯、电梯清洁要求及标准</w:t>
      </w:r>
    </w:p>
    <w:p w14:paraId="02DD4480">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9.1、清扫楼梯自上而下倒退作业，不能让垃圾、尘土等从楼梯边洒落，拖擦时拖布不能太湿，不能让楼梯边侧留下污水痕迹，每天拖擦2次，巡回保洁若干次；</w:t>
      </w:r>
    </w:p>
    <w:p w14:paraId="7D998DB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9.2、走道每天拖擦两次，每天巡视保洁若干次：</w:t>
      </w:r>
    </w:p>
    <w:p w14:paraId="06DF37B9">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9.3、电梯内地面每天擦2次，电梯轿箱内壁不锈钢材质，应及时擦拭各种印痕，并用不锈钢光亮剂维护，确保不锈钢材质的清洁、光亮；</w:t>
      </w:r>
    </w:p>
    <w:p w14:paraId="3C697745">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9.4、楼梯扶手每天擦拭1次；</w:t>
      </w:r>
    </w:p>
    <w:p w14:paraId="35115B59">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9.5、垃圾桶每天清1次，并冲洗抹擦干净；</w:t>
      </w:r>
    </w:p>
    <w:p w14:paraId="75EA3188">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9.6、窗户、窗台、墙壁、地脚线、消防栓、开关标牌等每天维护一次，发现污迹及时清洁。</w:t>
      </w:r>
    </w:p>
    <w:p w14:paraId="347B2432">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9.7、按照疫情防控要求，落实好环境及物品表面的消毒工作。</w:t>
      </w:r>
    </w:p>
    <w:p w14:paraId="73285A51">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10、卫生间清洁要求及标准</w:t>
      </w:r>
    </w:p>
    <w:p w14:paraId="6E1DD28E">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10.1、经常冲刷便池，确保无污垢，每天定时清洗2次，不定时巡视若干次；</w:t>
      </w:r>
    </w:p>
    <w:p w14:paraId="0923789E">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10.2、及时清倒手纸篓，篓内手纸不得多于1/2；</w:t>
      </w:r>
    </w:p>
    <w:p w14:paraId="30D6EF96">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10.3、地面保持干爽、洁净；每天拖擦2次，巡视保洁若干次；</w:t>
      </w:r>
    </w:p>
    <w:p w14:paraId="40B20B15">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10.4、门窗、隔断、墙壁、窗台、云台、洗手盆及时擦拭、维护，确保洁净无渍；</w:t>
      </w:r>
    </w:p>
    <w:p w14:paraId="09600A4F">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10.5、定期喷洒1次除臭剂、清香剂，及时清除异味。</w:t>
      </w:r>
    </w:p>
    <w:p w14:paraId="44783ED5">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10.6、按照疫情防控要求，落实好环境及物品表面的消毒工作。</w:t>
      </w:r>
    </w:p>
    <w:p w14:paraId="540F4BD1">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11、病房清洁要求及标准</w:t>
      </w:r>
    </w:p>
    <w:p w14:paraId="69DC73F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11.1、地面每天拖擦2次，维护若干次；每天喷洒消毒液2次，（必要时按疫情防控的要求执行）；</w:t>
      </w:r>
    </w:p>
    <w:p w14:paraId="495A42F8">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11.2、室内垃圾篓每天清倒1次，确保篓内垃圾不多于1/2；</w:t>
      </w:r>
    </w:p>
    <w:p w14:paraId="26C7F551">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11.3、室内卫生间每天清洗1次，每半天维护1次；</w:t>
      </w:r>
    </w:p>
    <w:p w14:paraId="601AFA5E">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11.4、门、窗、窗台、墙壁、地脚线、开关及时维护，无明显污渍。</w:t>
      </w:r>
    </w:p>
    <w:p w14:paraId="0603CF1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11.5、按照疫情防控要求，落实好环境及物品表面的消毒工作。</w:t>
      </w:r>
    </w:p>
    <w:p w14:paraId="5B2CE1F3">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12、输液室清洁要求及标准</w:t>
      </w:r>
    </w:p>
    <w:p w14:paraId="63E50862">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12.1、地面每天拖擦3次，维护若干次，每天喷洒消毒液1次；</w:t>
      </w:r>
    </w:p>
    <w:p w14:paraId="647F8106">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12.2、室内垃圾篓每天清倒2次，确保篓内垃圾不多于1/2；</w:t>
      </w:r>
    </w:p>
    <w:p w14:paraId="0A85B2D4">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12.3、门、窗、窗台、墙壁、地脚线、开关等及时维护，无明显污渍；</w:t>
      </w:r>
    </w:p>
    <w:p w14:paraId="462A14D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12.4、隔断、座椅、沙发及时擦拭，每天消毒2次，并及时维护；</w:t>
      </w:r>
    </w:p>
    <w:p w14:paraId="576EE4FB">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12.5、按照疫情防控要求，落实好环境及物品表面的消毒工作。</w:t>
      </w:r>
    </w:p>
    <w:p w14:paraId="54535FB4">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13、外围广场（道路）及家属区包干区域保洁人员的工作标准</w:t>
      </w:r>
    </w:p>
    <w:p w14:paraId="1D8B5329">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广场（道路）及家属区包干区域保洁：每日上、下午彻底打扫2次外围广场及家属区包干区域浮尘、杂物，每月彻底冲刷1次广场，及时清除痰迹、污泥、水渍、油迹，并进行不间断的巡回保洁，及时清除纸屑、烟蒂、落叶、垃圾等杂物，目视道路广场整洁、干爽、干净，无垃圾、杂物、浮砂，无污迹、积水、石子和积雪，无果皮、纸屑、明显异味；花坛表面洁净无污渍。</w:t>
      </w:r>
    </w:p>
    <w:p w14:paraId="05020C69">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14、垃圾清运、机动突击</w:t>
      </w:r>
    </w:p>
    <w:p w14:paraId="3AA2DAAE">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14.1、对病房大楼内的垃圾原则上每天清运2次，特殊情况下增加次数，保证楼内无垃圾积压；</w:t>
      </w:r>
    </w:p>
    <w:p w14:paraId="14AC2A71">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14.2、遇有医院重大活动或重大节日，公司可另外抽调人员进行卫生突击。</w:t>
      </w:r>
    </w:p>
    <w:p w14:paraId="2BE4F3BD">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15、物业负责人工作标准</w:t>
      </w:r>
    </w:p>
    <w:p w14:paraId="09676677">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15.1、负责与院方沟通协调工作，每月至少向院方用工部门征求意见一次，如有工作不到位，立即整改。对用工部门的投诉要及时处理并反馈，时间不得超过两天，并记录归档。</w:t>
      </w:r>
    </w:p>
    <w:p w14:paraId="5ED29DAC">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15.2、负责督查各岗位现场工作质量情况，每天上、下午各一次，发现问题及时处理。并记录归档。</w:t>
      </w:r>
    </w:p>
    <w:p w14:paraId="50F7C366">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15.3、按时上下班。</w:t>
      </w:r>
    </w:p>
    <w:p w14:paraId="4C0FF9D2">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15.4、负责考勤、考核、工资及物品发放和物业费服务费结算工作，对工作人员奖惩提出建议。</w:t>
      </w:r>
    </w:p>
    <w:p w14:paraId="1BEFB7FF">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15.5、以身作则，因突发情况造成岗位人员临时空缺时，必需自动顶岗。</w:t>
      </w:r>
    </w:p>
    <w:p w14:paraId="567268C8">
      <w:pPr>
        <w:spacing w:after="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（二）治安保卫：</w:t>
      </w:r>
    </w:p>
    <w:p w14:paraId="7E2AB4DE">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1、门卫责任：按医院规定检查进出医院的来访人员和车辆的登记工作，做好物资验证与放行工作，阻止医院物资财产被窃出院。</w:t>
      </w:r>
    </w:p>
    <w:p w14:paraId="47699E49">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2、医院巡逻：负责院内及大门周边的巡逻。巡查各楼层、路面、消防器材、水、电等情况。避免出现长明灯、长流水现象。如发生，立即报告医院保卫科及时维修。在巡逻中若发现有事故隐患，能排除的现场解决，不能排除的立即报告医院保卫科或当日值班领导；如遇突发安全事件，应当现场制止和维持秩序，同时报告安保处及当日值班领导。</w:t>
      </w:r>
    </w:p>
    <w:p w14:paraId="39EA3741">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3、监控室及消防监测设备的监视：负责监控室电视屏幕及消防监测设备的监视；负责监控室内的环境卫生工作，设备维护保养，发现异常情况和可疑人员及时报告，并通知相应安保人员到现场查看处理；负责监控录像带的管理和保密工作，协助门卫做好进出人员的安检工作，发现火警及其他异常情况理解报告并按报警程序报警；及时完成领导交办的其他事项。</w:t>
      </w:r>
    </w:p>
    <w:p w14:paraId="69567F32">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4、疫情防控：疫情防控期间的测温登记手续，服从甲方调整。</w:t>
      </w:r>
    </w:p>
    <w:p w14:paraId="365A7F0D">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5、消防管理：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工作及时采取有效措施。定期组织人员对医院的消防设施、设备及器材进行检查，及时消除火灾隐患，做到防患于未然。发生火警时，在公安消防未到火场时维持现场秩序，协调灭火工作。</w:t>
      </w:r>
    </w:p>
    <w:p w14:paraId="48C8E00D">
      <w:pPr>
        <w:spacing w:after="0" w:line="360" w:lineRule="auto"/>
        <w:ind w:firstLine="480" w:firstLineChars="200"/>
        <w:jc w:val="both"/>
        <w:rPr>
          <w:rFonts w:hint="eastAsia" w:ascii="宋体" w:hAnsi="宋体" w:eastAsia="宋体" w:cs="宋体"/>
          <w:sz w:val="24"/>
          <w:szCs w:val="24"/>
          <w14:ligatures w14:val="none"/>
        </w:rPr>
      </w:pPr>
      <w:r>
        <w:rPr>
          <w:rFonts w:hint="eastAsia" w:ascii="宋体" w:hAnsi="宋体" w:eastAsia="宋体" w:cs="宋体"/>
          <w:sz w:val="24"/>
          <w:szCs w:val="24"/>
          <w14:ligatures w14:val="none"/>
        </w:rPr>
        <w:t>6、治安防范：发现有人员在区域内打架或是日常治安行为，接通知或是发现，立即派有关工作人员到现场进行制止、劝说、调解，不能制止或是不听劝说、调解，报医院相关部门或视情节轻重，请公安部门来处理。发现有盗窃或者其他违法行为时，一是制止，二是阻吓，三是报案，四是保护现场，五等公安机关来处理。如有火情或其他灾情，管理处工作人员将保护现场，疏散人群，进行一些不危及人身安全的救助行为并及时通知相关行政部门来抢险救灾。</w:t>
      </w:r>
    </w:p>
    <w:p w14:paraId="5C0026D0">
      <w:pPr>
        <w:spacing w:after="0" w:line="360" w:lineRule="auto"/>
        <w:ind w:firstLine="482" w:firstLineChars="200"/>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四、人员要求：</w:t>
      </w:r>
    </w:p>
    <w:p w14:paraId="5D4833C1">
      <w:pPr>
        <w:spacing w:after="0" w:line="360" w:lineRule="auto"/>
        <w:ind w:firstLine="480" w:firstLineChars="200"/>
        <w:rPr>
          <w:rFonts w:hint="eastAsia" w:ascii="宋体" w:hAnsi="宋体" w:eastAsia="宋体" w:cs="宋体"/>
          <w:b w:val="0"/>
          <w:bCs/>
          <w:sz w:val="24"/>
          <w:szCs w:val="24"/>
          <w14:ligatures w14:val="none"/>
        </w:rPr>
      </w:pPr>
      <w:r>
        <w:rPr>
          <w:rFonts w:hint="eastAsia" w:ascii="宋体" w:hAnsi="宋体" w:eastAsia="宋体" w:cs="宋体"/>
          <w:b w:val="0"/>
          <w:bCs/>
          <w:sz w:val="24"/>
          <w:szCs w:val="24"/>
          <w14:ligatures w14:val="none"/>
        </w:rPr>
        <w:t>1、本项目配置1 名保安兼项目负责人</w:t>
      </w:r>
      <w:r>
        <w:rPr>
          <w:rFonts w:hint="eastAsia" w:ascii="宋体" w:hAnsi="宋体" w:cs="宋体"/>
          <w:b w:val="0"/>
          <w:bCs/>
          <w:sz w:val="24"/>
          <w:szCs w:val="24"/>
          <w:lang w:eastAsia="zh-CN"/>
          <w14:ligatures w14:val="none"/>
        </w:rPr>
        <w:t>（</w:t>
      </w:r>
      <w:r>
        <w:rPr>
          <w:rFonts w:hint="eastAsia" w:ascii="宋体" w:hAnsi="宋体" w:eastAsia="宋体" w:cs="宋体"/>
          <w:color w:val="000000" w:themeColor="text1"/>
          <w:sz w:val="24"/>
          <w:szCs w:val="24"/>
          <w:highlight w:val="none"/>
          <w14:textFill>
            <w14:solidFill>
              <w14:schemeClr w14:val="tx1"/>
            </w14:solidFill>
          </w14:textFill>
          <w14:ligatures w14:val="none"/>
        </w:rPr>
        <w:t>年龄55周岁以下</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非退休人员</w:t>
      </w:r>
      <w:r>
        <w:rPr>
          <w:rFonts w:hint="eastAsia" w:ascii="宋体" w:hAnsi="宋体" w:eastAsia="宋体" w:cs="宋体"/>
          <w:color w:val="000000" w:themeColor="text1"/>
          <w:sz w:val="24"/>
          <w:szCs w:val="24"/>
          <w:highlight w:val="none"/>
          <w14:textFill>
            <w14:solidFill>
              <w14:schemeClr w14:val="tx1"/>
            </w14:solidFill>
          </w14:textFill>
          <w14:ligatures w14:val="none"/>
        </w:rPr>
        <w:t>）</w:t>
      </w:r>
      <w:r>
        <w:rPr>
          <w:rFonts w:hint="eastAsia" w:ascii="宋体" w:hAnsi="宋体" w:eastAsia="宋体" w:cs="宋体"/>
          <w:b w:val="0"/>
          <w:bCs/>
          <w:sz w:val="24"/>
          <w:szCs w:val="24"/>
          <w14:ligatures w14:val="none"/>
        </w:rPr>
        <w:t>，全面负责本项目整体物业管理、安保团队管理、日常工作统筹、人员调度、院内安全巡查、消防管理、突发事件处置、医患秩序维护、迎检保障、日常工作考核及台账管理等全部工作。</w:t>
      </w:r>
    </w:p>
    <w:p w14:paraId="35F65592">
      <w:pPr>
        <w:spacing w:after="0" w:line="360" w:lineRule="auto"/>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2</w:t>
      </w:r>
      <w:r>
        <w:rPr>
          <w:rFonts w:hint="eastAsia" w:ascii="宋体" w:hAnsi="宋体" w:eastAsia="宋体" w:cs="宋体"/>
          <w:color w:val="000000" w:themeColor="text1"/>
          <w:sz w:val="24"/>
          <w:szCs w:val="24"/>
          <w:highlight w:val="none"/>
          <w14:textFill>
            <w14:solidFill>
              <w14:schemeClr w14:val="tx1"/>
            </w14:solidFill>
          </w14:textFill>
          <w14:ligatures w14:val="none"/>
        </w:rPr>
        <w:t>、保安人员共需3名含1名项目负责人。（</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除项目负责人外</w:t>
      </w:r>
      <w:r>
        <w:rPr>
          <w:rFonts w:hint="eastAsia" w:ascii="宋体" w:hAnsi="宋体" w:eastAsia="宋体" w:cs="宋体"/>
          <w:color w:val="000000" w:themeColor="text1"/>
          <w:sz w:val="24"/>
          <w:szCs w:val="24"/>
          <w:highlight w:val="none"/>
          <w14:textFill>
            <w14:solidFill>
              <w14:schemeClr w14:val="tx1"/>
            </w14:solidFill>
          </w14:textFill>
          <w14:ligatures w14:val="none"/>
        </w:rPr>
        <w:t>普通保安人员年龄在60周岁以下，均需持有保安证</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消防设施操作员证）</w:t>
      </w:r>
      <w:r>
        <w:rPr>
          <w:rFonts w:hint="eastAsia"/>
          <w:b/>
          <w:bCs/>
          <w:i/>
          <w:iCs/>
          <w:color w:val="auto"/>
          <w:sz w:val="24"/>
          <w:szCs w:val="24"/>
          <w:u w:val="single"/>
          <w:lang w:val="en-US" w:eastAsia="zh-CN"/>
        </w:rPr>
        <w:t>投标时需提供上述证书，本项目计入符合性审查评审中</w:t>
      </w:r>
      <w:r>
        <w:rPr>
          <w:rFonts w:hint="eastAsia" w:ascii="宋体" w:hAnsi="宋体" w:eastAsia="宋体" w:cs="宋体"/>
          <w:color w:val="000000" w:themeColor="text1"/>
          <w:sz w:val="24"/>
          <w:szCs w:val="24"/>
          <w:highlight w:val="none"/>
          <w14:textFill>
            <w14:solidFill>
              <w14:schemeClr w14:val="tx1"/>
            </w14:solidFill>
          </w14:textFill>
          <w14:ligatures w14:val="none"/>
        </w:rPr>
        <w:t>；</w:t>
      </w:r>
    </w:p>
    <w:p w14:paraId="3C459FD4">
      <w:pPr>
        <w:spacing w:after="0" w:line="360" w:lineRule="auto"/>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3</w:t>
      </w:r>
      <w:r>
        <w:rPr>
          <w:rFonts w:hint="eastAsia" w:ascii="宋体" w:hAnsi="宋体" w:eastAsia="宋体" w:cs="宋体"/>
          <w:color w:val="000000" w:themeColor="text1"/>
          <w:sz w:val="24"/>
          <w:szCs w:val="24"/>
          <w:highlight w:val="none"/>
          <w14:textFill>
            <w14:solidFill>
              <w14:schemeClr w14:val="tx1"/>
            </w14:solidFill>
          </w14:textFill>
          <w14:ligatures w14:val="none"/>
        </w:rPr>
        <w:t>、保洁人员共需4名（年龄在60岁以下</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非退休人员</w:t>
      </w:r>
      <w:r>
        <w:rPr>
          <w:rFonts w:hint="eastAsia" w:ascii="宋体" w:hAnsi="宋体" w:eastAsia="宋体" w:cs="宋体"/>
          <w:color w:val="000000" w:themeColor="text1"/>
          <w:sz w:val="24"/>
          <w:szCs w:val="24"/>
          <w:highlight w:val="none"/>
          <w14:textFill>
            <w14:solidFill>
              <w14:schemeClr w14:val="tx1"/>
            </w14:solidFill>
          </w14:textFill>
          <w14:ligatures w14:val="none"/>
        </w:rPr>
        <w:t>）。</w:t>
      </w:r>
    </w:p>
    <w:p w14:paraId="42B4ADE1">
      <w:pPr>
        <w:spacing w:after="0" w:line="360" w:lineRule="auto"/>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注：投标时无须提供以上人员其他相关证书及证明，中标人必须按岗位定员数量和素质要求配备人员，否则视为违约。</w:t>
      </w:r>
    </w:p>
    <w:p w14:paraId="287F63B0">
      <w:pPr>
        <w:spacing w:after="120" w:line="360" w:lineRule="auto"/>
        <w:ind w:firstLine="482" w:firstLineChars="200"/>
        <w:jc w:val="both"/>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五、投标报价</w:t>
      </w:r>
    </w:p>
    <w:p w14:paraId="3A200D56">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本项目设定投标报价的最高限价，年物业管理服务费最高限价为：</w:t>
      </w:r>
      <w:r>
        <w:rPr>
          <w:rFonts w:hint="eastAsia" w:ascii="宋体" w:hAnsi="宋体" w:cs="宋体"/>
          <w:bCs/>
          <w:sz w:val="24"/>
          <w:szCs w:val="24"/>
          <w:lang w:val="en-US" w:eastAsia="zh-CN"/>
          <w14:ligatures w14:val="none"/>
        </w:rPr>
        <w:t>38</w:t>
      </w:r>
      <w:r>
        <w:rPr>
          <w:rFonts w:hint="eastAsia" w:ascii="宋体" w:hAnsi="宋体" w:eastAsia="宋体" w:cs="宋体"/>
          <w:bCs/>
          <w:sz w:val="24"/>
          <w:szCs w:val="24"/>
          <w14:ligatures w14:val="none"/>
        </w:rPr>
        <w:t>万元，招标人将拒绝高于最高限价的投标报价。</w:t>
      </w:r>
    </w:p>
    <w:p w14:paraId="7AAC7122">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投标报价采用总承包方式，投标人所报价格应包括（但不限于）所有配备人员工资及节假日加班费等补助、社保费、区域清洁费、办公费、固定资产折旧费、法定税费及公众责任保险费和合理利润，还应包括：管理、劳务、培训、体检、国家法定假日加班、服装、保修、特殊岗位补贴、宣传服务、</w:t>
      </w:r>
      <w:r>
        <w:rPr>
          <w:rFonts w:hint="eastAsia" w:ascii="宋体" w:hAnsi="宋体" w:cs="宋体"/>
          <w:bCs/>
          <w:sz w:val="24"/>
          <w:szCs w:val="24"/>
          <w:lang w:eastAsia="zh-CN"/>
          <w14:ligatures w14:val="none"/>
        </w:rPr>
        <w:t>招标代理服务费、</w:t>
      </w:r>
      <w:r>
        <w:rPr>
          <w:rFonts w:hint="eastAsia" w:ascii="宋体" w:hAnsi="宋体" w:eastAsia="宋体" w:cs="宋体"/>
          <w:bCs/>
          <w:sz w:val="24"/>
          <w:szCs w:val="24"/>
          <w14:ligatures w14:val="none"/>
        </w:rPr>
        <w:t>风险、税金及政策性文件规定等各项应有费用，以及为完成招标文件规定服务工作所涉及到的一切相关费用。</w:t>
      </w:r>
    </w:p>
    <w:p w14:paraId="447D1DD6">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（1）保洁用具（清洗、保洁设备、保洁用品、各类物品使用专用清洗剂、器具、垃圾篓等）由采购人购置并承担费用。所有人员的工作服装由投标人购置并承担费用。</w:t>
      </w:r>
    </w:p>
    <w:p w14:paraId="0EEE7795">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（2）安保人员的随身装备和相关装备（含通讯、保安用器械等）等由投标人购置并承担费用，但需甲方认可。</w:t>
      </w:r>
    </w:p>
    <w:p w14:paraId="6D6E44A0">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（3）由于各类活动、突击迎检、节假日期间等因素导致的费用，不论这些因素是可预测或不可预测的，均已包含在投标报价中。</w:t>
      </w:r>
    </w:p>
    <w:p w14:paraId="3A4BA27D">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（4）报价中不包含空调、电梯、消防等专业维保费用及检测费用、需更换材料的费用，以及所有设备设施维修服务过程中的材料消耗费用。报价中也不包含房屋及装潢的维修费用。</w:t>
      </w:r>
    </w:p>
    <w:p w14:paraId="02A572B3">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（5）各投标人自行根据招标人提供的服务内容、招标文件及答疑文件等资料要求，并根据市场行情、结合自身公司实力、管理水平等因素，按要求进行报价。</w:t>
      </w:r>
    </w:p>
    <w:p w14:paraId="531BEEC6">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lang w:val="zh-CN"/>
          <w14:ligatures w14:val="none"/>
        </w:rPr>
        <w:t>（6）人员工资及相关费用测算依据根据按苏人社规(2023)4号《江苏省人力资源社会保障厅关于调整全省最低工资标准的通知》:所有工作人员基本工资不低于本市最低工资标准2</w:t>
      </w:r>
      <w:r>
        <w:rPr>
          <w:rFonts w:hint="eastAsia" w:ascii="宋体" w:hAnsi="宋体" w:eastAsia="宋体" w:cs="宋体"/>
          <w:bCs/>
          <w:sz w:val="24"/>
          <w:szCs w:val="24"/>
          <w:lang w:val="en-US" w:eastAsia="zh-CN"/>
          <w14:ligatures w14:val="none"/>
        </w:rPr>
        <w:t>430</w:t>
      </w:r>
      <w:r>
        <w:rPr>
          <w:rFonts w:hint="eastAsia" w:ascii="宋体" w:hAnsi="宋体" w:eastAsia="宋体" w:cs="宋体"/>
          <w:bCs/>
          <w:sz w:val="24"/>
          <w:szCs w:val="24"/>
          <w:lang w:val="zh-CN"/>
          <w14:ligatures w14:val="none"/>
        </w:rPr>
        <w:t>元/人</w:t>
      </w:r>
      <w:r>
        <w:rPr>
          <w:rFonts w:hint="eastAsia" w:ascii="宋体" w:hAnsi="宋体" w:eastAsia="宋体" w:cs="宋体"/>
          <w:bCs/>
          <w:sz w:val="24"/>
          <w:szCs w:val="24"/>
          <w:lang w:val="en-US" w:eastAsia="zh-CN"/>
          <w14:ligatures w14:val="none"/>
        </w:rPr>
        <w:t>*</w:t>
      </w:r>
      <w:r>
        <w:rPr>
          <w:rFonts w:hint="eastAsia" w:ascii="宋体" w:hAnsi="宋体" w:eastAsia="宋体" w:cs="宋体"/>
          <w:bCs/>
          <w:sz w:val="24"/>
          <w:szCs w:val="24"/>
          <w:lang w:val="zh-CN"/>
          <w14:ligatures w14:val="none"/>
        </w:rPr>
        <w:t>月，所有人员必须足额缴纳社保费用，社保（企业部分）不得低于</w:t>
      </w:r>
      <w:r>
        <w:rPr>
          <w:rFonts w:hint="eastAsia" w:ascii="宋体" w:hAnsi="宋体" w:eastAsia="宋体" w:cs="宋体"/>
          <w:bCs/>
          <w:sz w:val="24"/>
          <w:szCs w:val="24"/>
          <w14:ligatures w14:val="none"/>
        </w:rPr>
        <w:t>12</w:t>
      </w:r>
      <w:r>
        <w:rPr>
          <w:rFonts w:hint="eastAsia" w:ascii="宋体" w:hAnsi="宋体" w:eastAsia="宋体" w:cs="宋体"/>
          <w:bCs/>
          <w:sz w:val="24"/>
          <w:szCs w:val="24"/>
          <w:lang w:val="en-US" w:eastAsia="zh-CN"/>
          <w14:ligatures w14:val="none"/>
        </w:rPr>
        <w:t>92.47</w:t>
      </w:r>
      <w:r>
        <w:rPr>
          <w:rFonts w:hint="eastAsia" w:ascii="宋体" w:hAnsi="宋体" w:eastAsia="宋体" w:cs="宋体"/>
          <w:bCs/>
          <w:sz w:val="24"/>
          <w:szCs w:val="24"/>
          <w:lang w:val="zh-CN"/>
          <w14:ligatures w14:val="none"/>
        </w:rPr>
        <w:t>元/人</w:t>
      </w:r>
      <w:r>
        <w:rPr>
          <w:rFonts w:hint="eastAsia" w:ascii="宋体" w:hAnsi="宋体" w:eastAsia="宋体" w:cs="宋体"/>
          <w:bCs/>
          <w:sz w:val="24"/>
          <w:szCs w:val="24"/>
          <w:lang w:val="en-US" w:eastAsia="zh-CN"/>
          <w14:ligatures w14:val="none"/>
        </w:rPr>
        <w:t>*</w:t>
      </w:r>
      <w:r>
        <w:rPr>
          <w:rFonts w:hint="eastAsia" w:ascii="宋体" w:hAnsi="宋体" w:eastAsia="宋体" w:cs="宋体"/>
          <w:bCs/>
          <w:sz w:val="24"/>
          <w:szCs w:val="24"/>
          <w:lang w:val="zh-CN"/>
          <w14:ligatures w14:val="none"/>
        </w:rPr>
        <w:t>月，住房公积金不得低于1</w:t>
      </w:r>
      <w:r>
        <w:rPr>
          <w:rFonts w:hint="eastAsia" w:ascii="宋体" w:hAnsi="宋体" w:eastAsia="宋体" w:cs="宋体"/>
          <w:bCs/>
          <w:sz w:val="24"/>
          <w:szCs w:val="24"/>
          <w:lang w:val="en-US" w:eastAsia="zh-CN"/>
          <w14:ligatures w14:val="none"/>
        </w:rPr>
        <w:t>14</w:t>
      </w:r>
      <w:r>
        <w:rPr>
          <w:rFonts w:hint="eastAsia" w:ascii="宋体" w:hAnsi="宋体" w:eastAsia="宋体" w:cs="宋体"/>
          <w:bCs/>
          <w:sz w:val="24"/>
          <w:szCs w:val="24"/>
          <w:lang w:val="zh-CN"/>
          <w14:ligatures w14:val="none"/>
        </w:rPr>
        <w:t>元/人</w:t>
      </w:r>
      <w:r>
        <w:rPr>
          <w:rFonts w:hint="eastAsia" w:ascii="宋体" w:hAnsi="宋体" w:eastAsia="宋体" w:cs="宋体"/>
          <w:bCs/>
          <w:sz w:val="24"/>
          <w:szCs w:val="24"/>
          <w:lang w:val="en-US" w:eastAsia="zh-CN"/>
          <w14:ligatures w14:val="none"/>
        </w:rPr>
        <w:t>*</w:t>
      </w:r>
      <w:r>
        <w:rPr>
          <w:rFonts w:hint="eastAsia" w:ascii="宋体" w:hAnsi="宋体" w:eastAsia="宋体" w:cs="宋体"/>
          <w:bCs/>
          <w:sz w:val="24"/>
          <w:szCs w:val="24"/>
          <w:lang w:val="zh-CN"/>
          <w14:ligatures w14:val="none"/>
        </w:rPr>
        <w:t>月，法定节假日加班费不得低于</w:t>
      </w:r>
      <w:r>
        <w:rPr>
          <w:rFonts w:hint="eastAsia" w:ascii="宋体" w:hAnsi="宋体" w:eastAsia="宋体" w:cs="宋体"/>
          <w:bCs/>
          <w:sz w:val="24"/>
          <w:szCs w:val="24"/>
          <w:lang w:val="en-US" w:eastAsia="zh-CN"/>
          <w14:ligatures w14:val="none"/>
        </w:rPr>
        <w:t>4357.25</w:t>
      </w:r>
      <w:r>
        <w:rPr>
          <w:rFonts w:hint="eastAsia" w:ascii="宋体" w:hAnsi="宋体" w:eastAsia="宋体" w:cs="宋体"/>
          <w:bCs/>
          <w:sz w:val="24"/>
          <w:szCs w:val="24"/>
          <w:lang w:val="zh-CN"/>
          <w14:ligatures w14:val="none"/>
        </w:rPr>
        <w:t>元/人</w:t>
      </w:r>
      <w:r>
        <w:rPr>
          <w:rFonts w:hint="eastAsia" w:ascii="宋体" w:hAnsi="宋体" w:eastAsia="宋体" w:cs="宋体"/>
          <w:bCs/>
          <w:sz w:val="24"/>
          <w:szCs w:val="24"/>
          <w:lang w:val="en-US" w:eastAsia="zh-CN"/>
          <w14:ligatures w14:val="none"/>
        </w:rPr>
        <w:t>*</w:t>
      </w:r>
      <w:r>
        <w:rPr>
          <w:rFonts w:hint="eastAsia" w:ascii="宋体" w:hAnsi="宋体" w:eastAsia="宋体" w:cs="宋体"/>
          <w:bCs/>
          <w:sz w:val="24"/>
          <w:szCs w:val="24"/>
          <w:lang w:val="zh-CN"/>
          <w14:ligatures w14:val="none"/>
        </w:rPr>
        <w:t>年，福利</w:t>
      </w:r>
      <w:r>
        <w:rPr>
          <w:rFonts w:hint="eastAsia" w:ascii="宋体" w:hAnsi="宋体" w:eastAsia="宋体" w:cs="宋体"/>
          <w:bCs/>
          <w:sz w:val="24"/>
          <w:szCs w:val="24"/>
          <w:lang w:val="en-US" w:eastAsia="zh-CN"/>
          <w14:ligatures w14:val="none"/>
        </w:rPr>
        <w:t>300</w:t>
      </w:r>
      <w:r>
        <w:rPr>
          <w:rFonts w:hint="eastAsia" w:ascii="宋体" w:hAnsi="宋体" w:eastAsia="宋体" w:cs="宋体"/>
          <w:bCs/>
          <w:sz w:val="24"/>
          <w:szCs w:val="24"/>
          <w:lang w:val="zh-CN"/>
          <w14:ligatures w14:val="none"/>
        </w:rPr>
        <w:t>元</w:t>
      </w:r>
      <w:r>
        <w:rPr>
          <w:rFonts w:hint="eastAsia" w:ascii="宋体" w:hAnsi="宋体" w:eastAsia="宋体" w:cs="宋体"/>
          <w:bCs/>
          <w:sz w:val="24"/>
          <w:szCs w:val="24"/>
          <w:lang w:val="en-US" w:eastAsia="zh-CN"/>
          <w14:ligatures w14:val="none"/>
        </w:rPr>
        <w:t>/人</w:t>
      </w:r>
      <w:r>
        <w:rPr>
          <w:rFonts w:hint="eastAsia" w:ascii="宋体" w:hAnsi="宋体" w:eastAsia="宋体" w:cs="宋体"/>
          <w:bCs/>
          <w:sz w:val="24"/>
          <w:szCs w:val="24"/>
          <w:lang w:val="zh-CN"/>
          <w14:ligatures w14:val="none"/>
        </w:rPr>
        <w:t>/年，税金费率统一按</w:t>
      </w:r>
      <w:r>
        <w:rPr>
          <w:rFonts w:hint="eastAsia" w:ascii="宋体" w:hAnsi="宋体" w:eastAsia="宋体" w:cs="宋体"/>
          <w:bCs/>
          <w:sz w:val="24"/>
          <w:szCs w:val="24"/>
          <w:lang w:val="en-US" w:eastAsia="zh-CN"/>
          <w14:ligatures w14:val="none"/>
        </w:rPr>
        <w:t>不低于</w:t>
      </w:r>
      <w:r>
        <w:rPr>
          <w:rFonts w:hint="eastAsia" w:ascii="宋体" w:hAnsi="宋体" w:eastAsia="宋体" w:cs="宋体"/>
          <w:bCs/>
          <w:sz w:val="24"/>
          <w:szCs w:val="24"/>
          <w:lang w:val="zh-CN"/>
          <w14:ligatures w14:val="none"/>
        </w:rPr>
        <w:t>6.72%进行</w:t>
      </w:r>
      <w:r>
        <w:rPr>
          <w:rFonts w:hint="eastAsia" w:ascii="宋体" w:hAnsi="宋体" w:eastAsia="宋体" w:cs="宋体"/>
          <w:bCs/>
          <w:sz w:val="24"/>
          <w:szCs w:val="24"/>
          <w14:ligatures w14:val="none"/>
        </w:rPr>
        <w:t>计算。</w:t>
      </w:r>
    </w:p>
    <w:p w14:paraId="1E422D19">
      <w:pPr>
        <w:spacing w:after="0" w:line="360" w:lineRule="auto"/>
        <w:ind w:firstLine="480" w:firstLineChars="200"/>
        <w:jc w:val="both"/>
        <w:rPr>
          <w:rFonts w:hint="eastAsia" w:ascii="宋体" w:hAnsi="宋体" w:eastAsia="宋体" w:cs="宋体"/>
          <w:bCs/>
          <w:sz w:val="24"/>
          <w:szCs w:val="24"/>
          <w14:ligatures w14:val="none"/>
        </w:rPr>
      </w:pPr>
      <w:r>
        <w:rPr>
          <w:rFonts w:hint="eastAsia" w:ascii="宋体" w:hAnsi="宋体" w:eastAsia="宋体" w:cs="宋体"/>
          <w:bCs/>
          <w:sz w:val="24"/>
          <w:szCs w:val="24"/>
          <w:lang w:val="zh-CN"/>
          <w14:ligatures w14:val="none"/>
        </w:rPr>
        <w:t>（7）投标人所提供人员的费用（</w:t>
      </w:r>
      <w:r>
        <w:rPr>
          <w:rFonts w:hint="eastAsia" w:ascii="宋体" w:hAnsi="宋体" w:eastAsia="宋体" w:cs="宋体"/>
          <w:bCs/>
          <w:sz w:val="24"/>
          <w:szCs w:val="24"/>
          <w14:ligatures w14:val="none"/>
        </w:rPr>
        <w:t>人工工资</w:t>
      </w:r>
      <w:r>
        <w:rPr>
          <w:rFonts w:hint="eastAsia" w:ascii="宋体" w:hAnsi="宋体" w:eastAsia="宋体" w:cs="宋体"/>
          <w:bCs/>
          <w:sz w:val="24"/>
          <w:szCs w:val="24"/>
          <w:lang w:val="zh-CN"/>
          <w14:ligatures w14:val="none"/>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6BC8E82E">
      <w:pPr>
        <w:spacing w:after="0" w:line="360" w:lineRule="auto"/>
        <w:ind w:firstLine="480" w:firstLineChars="200"/>
        <w:jc w:val="both"/>
        <w:rPr>
          <w:rFonts w:hint="eastAsia" w:ascii="宋体" w:hAnsi="宋体" w:eastAsia="宋体" w:cs="宋体"/>
          <w:b/>
          <w:bCs/>
          <w:sz w:val="24"/>
          <w:szCs w:val="24"/>
          <w:lang w:val="zh-CN"/>
          <w14:ligatures w14:val="none"/>
        </w:rPr>
      </w:pPr>
      <w:r>
        <w:rPr>
          <w:rFonts w:hint="eastAsia" w:ascii="宋体" w:hAnsi="宋体" w:eastAsia="宋体" w:cs="宋体"/>
          <w:bCs/>
          <w:sz w:val="24"/>
          <w:szCs w:val="24"/>
          <w14:ligatures w14:val="none"/>
        </w:rPr>
        <w:t>（8）投标报价时，所有劳务服务人员工资及社保标准不得低于盐人社发《盐城市人力资源和社会保障局关于调整全市最低工资标准的通知》和苏人社发[2024]3号《关于2024年度社会保险缴费工资基数上下限暂行标准的通知》</w:t>
      </w:r>
      <w:r>
        <w:rPr>
          <w:rFonts w:hint="eastAsia" w:ascii="宋体" w:hAnsi="宋体" w:eastAsia="宋体" w:cs="宋体"/>
          <w:b/>
          <w:bCs/>
          <w:sz w:val="24"/>
          <w:szCs w:val="24"/>
          <w14:ligatures w14:val="none"/>
        </w:rPr>
        <w:t>标准。用工制度必须按国家《劳动法》、《江苏省劳动管理条例》有关规定执行。中标人派驻现场的服务人员与中标人必须签订用工合同，同时服务人员必须经培训合格后方可上岗</w:t>
      </w:r>
      <w:r>
        <w:rPr>
          <w:rFonts w:hint="eastAsia" w:ascii="宋体" w:hAnsi="宋体" w:eastAsia="宋体" w:cs="宋体"/>
          <w:b/>
          <w:bCs/>
          <w:sz w:val="24"/>
          <w:szCs w:val="24"/>
          <w:lang w:val="zh-CN"/>
          <w14:ligatures w14:val="none"/>
        </w:rPr>
        <w:t>。</w:t>
      </w:r>
    </w:p>
    <w:p w14:paraId="6C87F562">
      <w:pPr>
        <w:spacing w:after="0" w:line="360" w:lineRule="auto"/>
        <w:ind w:firstLine="720" w:firstLineChars="300"/>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本项目日常工作中所有人员的风险及一切赔偿责任均由中标人负责。</w:t>
      </w:r>
    </w:p>
    <w:p w14:paraId="36DD9ADA">
      <w:pPr>
        <w:spacing w:after="0" w:line="360" w:lineRule="auto"/>
        <w:ind w:firstLine="720" w:firstLineChars="300"/>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税金包含增值税、城市维护建设税、教育费附加。最终结算时，增值税税率按实际票面税率计算，城市维护建设税和教育费附加按其相关政策性文件规定的计费方式和费率计算。</w:t>
      </w:r>
    </w:p>
    <w:p w14:paraId="177C40FC">
      <w:pPr>
        <w:spacing w:line="288" w:lineRule="auto"/>
        <w:jc w:val="center"/>
        <w:rPr>
          <w:rFonts w:ascii="宋体" w:hAnsi="宋体" w:cs="宋体"/>
          <w:b/>
          <w:bCs/>
          <w:sz w:val="24"/>
          <w:szCs w:val="24"/>
          <w:highlight w:val="none"/>
        </w:rPr>
      </w:pPr>
    </w:p>
    <w:p w14:paraId="6F30A6B9">
      <w:pPr>
        <w:pStyle w:val="35"/>
        <w:rPr>
          <w:rFonts w:ascii="宋体" w:hAnsi="宋体" w:cs="宋体"/>
          <w:b/>
          <w:bCs/>
          <w:sz w:val="24"/>
          <w:szCs w:val="24"/>
          <w:highlight w:val="none"/>
        </w:rPr>
      </w:pPr>
    </w:p>
    <w:p w14:paraId="1EF14DA6">
      <w:pPr>
        <w:pStyle w:val="28"/>
        <w:rPr>
          <w:rFonts w:ascii="宋体" w:hAnsi="宋体" w:cs="宋体"/>
          <w:b/>
          <w:bCs/>
          <w:sz w:val="24"/>
          <w:szCs w:val="24"/>
          <w:highlight w:val="none"/>
        </w:rPr>
      </w:pPr>
    </w:p>
    <w:p w14:paraId="7DEE68D4">
      <w:pPr>
        <w:rPr>
          <w:rFonts w:ascii="宋体" w:hAnsi="宋体" w:cs="宋体"/>
          <w:b/>
          <w:bCs/>
          <w:sz w:val="24"/>
          <w:szCs w:val="24"/>
          <w:highlight w:val="none"/>
        </w:rPr>
      </w:pPr>
    </w:p>
    <w:p w14:paraId="0A84BAD0">
      <w:pPr>
        <w:pStyle w:val="35"/>
        <w:rPr>
          <w:rFonts w:ascii="宋体" w:hAnsi="宋体" w:cs="宋体"/>
          <w:b/>
          <w:bCs/>
          <w:sz w:val="24"/>
          <w:szCs w:val="24"/>
          <w:highlight w:val="none"/>
        </w:rPr>
      </w:pPr>
    </w:p>
    <w:p w14:paraId="13477DF5">
      <w:pPr>
        <w:pStyle w:val="28"/>
        <w:rPr>
          <w:rFonts w:ascii="宋体" w:hAnsi="宋体" w:cs="宋体"/>
          <w:b/>
          <w:bCs/>
          <w:sz w:val="24"/>
          <w:szCs w:val="24"/>
          <w:highlight w:val="none"/>
        </w:rPr>
      </w:pPr>
    </w:p>
    <w:p w14:paraId="78B21491">
      <w:pPr>
        <w:rPr>
          <w:rFonts w:ascii="宋体" w:hAnsi="宋体" w:cs="宋体"/>
          <w:b/>
          <w:bCs/>
          <w:sz w:val="24"/>
          <w:szCs w:val="24"/>
          <w:highlight w:val="none"/>
        </w:rPr>
      </w:pPr>
    </w:p>
    <w:p w14:paraId="3B50DFD9">
      <w:pPr>
        <w:pStyle w:val="202"/>
        <w:rPr>
          <w:rFonts w:ascii="宋体" w:hAnsi="宋体" w:cs="宋体"/>
          <w:b/>
          <w:bCs/>
          <w:sz w:val="24"/>
          <w:szCs w:val="24"/>
          <w:highlight w:val="none"/>
        </w:rPr>
      </w:pPr>
    </w:p>
    <w:p w14:paraId="19359B34">
      <w:pPr>
        <w:pStyle w:val="202"/>
        <w:rPr>
          <w:rFonts w:ascii="宋体" w:hAnsi="宋体" w:cs="宋体"/>
          <w:b/>
          <w:bCs/>
          <w:sz w:val="24"/>
          <w:szCs w:val="24"/>
          <w:highlight w:val="none"/>
        </w:rPr>
      </w:pPr>
    </w:p>
    <w:p w14:paraId="13BC4A07">
      <w:pPr>
        <w:pStyle w:val="202"/>
        <w:rPr>
          <w:rFonts w:ascii="宋体" w:hAnsi="宋体" w:cs="宋体"/>
          <w:b/>
          <w:bCs/>
          <w:sz w:val="24"/>
          <w:szCs w:val="24"/>
          <w:highlight w:val="none"/>
        </w:rPr>
      </w:pPr>
    </w:p>
    <w:p w14:paraId="66D509FC">
      <w:pPr>
        <w:pStyle w:val="202"/>
        <w:rPr>
          <w:rFonts w:ascii="宋体" w:hAnsi="宋体" w:cs="宋体"/>
          <w:b/>
          <w:bCs/>
          <w:sz w:val="24"/>
          <w:szCs w:val="24"/>
          <w:highlight w:val="none"/>
        </w:rPr>
      </w:pPr>
    </w:p>
    <w:p w14:paraId="47EC50C1">
      <w:pPr>
        <w:pStyle w:val="202"/>
        <w:rPr>
          <w:rFonts w:ascii="宋体" w:hAnsi="宋体" w:cs="宋体"/>
          <w:b/>
          <w:bCs/>
          <w:sz w:val="24"/>
          <w:szCs w:val="24"/>
          <w:highlight w:val="none"/>
        </w:rPr>
      </w:pPr>
    </w:p>
    <w:p w14:paraId="64F08A6D">
      <w:pPr>
        <w:pStyle w:val="202"/>
        <w:rPr>
          <w:rFonts w:ascii="宋体" w:hAnsi="宋体" w:cs="宋体"/>
          <w:b/>
          <w:bCs/>
          <w:sz w:val="24"/>
          <w:szCs w:val="24"/>
          <w:highlight w:val="none"/>
        </w:rPr>
      </w:pPr>
    </w:p>
    <w:p w14:paraId="22CE6BD1">
      <w:pPr>
        <w:pStyle w:val="202"/>
        <w:rPr>
          <w:rFonts w:ascii="宋体" w:hAnsi="宋体" w:cs="宋体"/>
          <w:b/>
          <w:bCs/>
          <w:sz w:val="24"/>
          <w:szCs w:val="24"/>
          <w:highlight w:val="none"/>
        </w:rPr>
      </w:pPr>
    </w:p>
    <w:p w14:paraId="3C56E24A">
      <w:pPr>
        <w:pStyle w:val="202"/>
        <w:rPr>
          <w:rFonts w:ascii="宋体" w:hAnsi="宋体" w:cs="宋体"/>
          <w:b/>
          <w:bCs/>
          <w:sz w:val="24"/>
          <w:szCs w:val="24"/>
          <w:highlight w:val="none"/>
        </w:rPr>
      </w:pPr>
    </w:p>
    <w:p w14:paraId="3B6BDC5A">
      <w:pPr>
        <w:pStyle w:val="202"/>
        <w:rPr>
          <w:rFonts w:ascii="宋体" w:hAnsi="宋体" w:cs="宋体"/>
          <w:b/>
          <w:bCs/>
          <w:sz w:val="24"/>
          <w:szCs w:val="24"/>
          <w:highlight w:val="none"/>
        </w:rPr>
      </w:pPr>
    </w:p>
    <w:p w14:paraId="42080903">
      <w:pPr>
        <w:pStyle w:val="202"/>
        <w:rPr>
          <w:rFonts w:ascii="宋体" w:hAnsi="宋体" w:cs="宋体"/>
          <w:b/>
          <w:bCs/>
          <w:sz w:val="24"/>
          <w:szCs w:val="24"/>
          <w:highlight w:val="none"/>
        </w:rPr>
      </w:pPr>
    </w:p>
    <w:p w14:paraId="4E17DA0E">
      <w:pPr>
        <w:pStyle w:val="202"/>
        <w:rPr>
          <w:rFonts w:ascii="宋体" w:hAnsi="宋体" w:cs="宋体"/>
          <w:b/>
          <w:bCs/>
          <w:sz w:val="24"/>
          <w:szCs w:val="24"/>
          <w:highlight w:val="none"/>
        </w:rPr>
      </w:pPr>
    </w:p>
    <w:p w14:paraId="390BC9DD">
      <w:pPr>
        <w:pStyle w:val="202"/>
        <w:rPr>
          <w:rFonts w:ascii="宋体" w:hAnsi="宋体" w:cs="宋体"/>
          <w:b/>
          <w:bCs/>
          <w:sz w:val="24"/>
          <w:szCs w:val="24"/>
          <w:highlight w:val="none"/>
        </w:rPr>
      </w:pPr>
    </w:p>
    <w:p w14:paraId="79F61BDB">
      <w:pPr>
        <w:pStyle w:val="202"/>
        <w:rPr>
          <w:rFonts w:ascii="宋体" w:hAnsi="宋体" w:cs="宋体"/>
          <w:b/>
          <w:bCs/>
          <w:sz w:val="24"/>
          <w:szCs w:val="24"/>
          <w:highlight w:val="none"/>
        </w:rPr>
      </w:pPr>
    </w:p>
    <w:p w14:paraId="588FF312">
      <w:pPr>
        <w:pStyle w:val="202"/>
        <w:rPr>
          <w:rFonts w:ascii="宋体" w:hAnsi="宋体" w:cs="宋体"/>
          <w:b/>
          <w:bCs/>
          <w:sz w:val="24"/>
          <w:szCs w:val="24"/>
          <w:highlight w:val="none"/>
        </w:rPr>
      </w:pPr>
    </w:p>
    <w:p w14:paraId="14387869">
      <w:pPr>
        <w:pStyle w:val="202"/>
        <w:rPr>
          <w:rFonts w:ascii="宋体" w:hAnsi="宋体" w:cs="宋体"/>
          <w:b/>
          <w:bCs/>
          <w:sz w:val="24"/>
          <w:szCs w:val="24"/>
          <w:highlight w:val="none"/>
        </w:rPr>
      </w:pPr>
    </w:p>
    <w:p w14:paraId="2F1DD644">
      <w:pPr>
        <w:jc w:val="both"/>
        <w:rPr>
          <w:rFonts w:hint="eastAsia"/>
          <w:sz w:val="36"/>
          <w:szCs w:val="28"/>
        </w:rPr>
      </w:pPr>
      <w:bookmarkStart w:id="84" w:name="OLE_LINK15"/>
      <w:bookmarkStart w:id="85" w:name="_Toc22299"/>
    </w:p>
    <w:p w14:paraId="6DEF6310">
      <w:pPr>
        <w:jc w:val="center"/>
        <w:rPr>
          <w:rFonts w:hint="eastAsia"/>
          <w:sz w:val="36"/>
          <w:szCs w:val="28"/>
        </w:rPr>
      </w:pPr>
      <w:r>
        <w:rPr>
          <w:rFonts w:hint="eastAsia"/>
          <w:sz w:val="36"/>
          <w:szCs w:val="28"/>
        </w:rPr>
        <w:t>第五章  评标方法与评标标准</w:t>
      </w:r>
      <w:bookmarkEnd w:id="84"/>
      <w:bookmarkEnd w:id="85"/>
    </w:p>
    <w:p w14:paraId="60F8A66D">
      <w:pPr>
        <w:widowControl/>
        <w:spacing w:line="560" w:lineRule="exact"/>
        <w:ind w:firstLine="480"/>
        <w:jc w:val="left"/>
        <w:rPr>
          <w:rFonts w:ascii="宋体" w:hAnsi="宋体" w:cs="宋体"/>
          <w:b/>
          <w:bCs/>
          <w:color w:val="auto"/>
          <w:sz w:val="24"/>
          <w:szCs w:val="20"/>
          <w:highlight w:val="none"/>
          <w:lang w:val="zh-CN"/>
        </w:rPr>
      </w:pPr>
      <w:bookmarkStart w:id="86" w:name="OLE_LINK21"/>
      <w:r>
        <w:rPr>
          <w:rFonts w:hint="eastAsia" w:ascii="宋体" w:hAnsi="宋体" w:cs="宋体"/>
          <w:b/>
          <w:bCs/>
          <w:color w:val="auto"/>
          <w:sz w:val="24"/>
          <w:szCs w:val="20"/>
          <w:highlight w:val="none"/>
          <w:lang w:val="zh-CN"/>
        </w:rPr>
        <w:t>一、定标原则</w:t>
      </w:r>
    </w:p>
    <w:p w14:paraId="28C91429">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本项目采用</w:t>
      </w:r>
      <w:r>
        <w:rPr>
          <w:rFonts w:hint="eastAsia" w:ascii="宋体" w:hAnsi="宋体" w:cs="宋体"/>
          <w:color w:val="auto"/>
          <w:sz w:val="24"/>
          <w:szCs w:val="20"/>
          <w:highlight w:val="none"/>
          <w:u w:val="single"/>
          <w:lang w:val="zh-CN"/>
        </w:rPr>
        <w:t>综合评分</w:t>
      </w:r>
      <w:r>
        <w:rPr>
          <w:rFonts w:hint="eastAsia" w:ascii="宋体" w:hAnsi="宋体" w:cs="宋体"/>
          <w:color w:val="auto"/>
          <w:sz w:val="24"/>
          <w:szCs w:val="20"/>
          <w:highlight w:val="none"/>
          <w:lang w:val="zh-CN"/>
        </w:rPr>
        <w:t>法。</w:t>
      </w:r>
      <w:r>
        <w:rPr>
          <w:rFonts w:hint="eastAsia" w:ascii="宋体" w:hAnsi="宋体" w:cs="宋体"/>
          <w:color w:val="auto"/>
          <w:sz w:val="24"/>
          <w:szCs w:val="20"/>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1BE895E">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小微型企业价格扣除</w:t>
      </w:r>
    </w:p>
    <w:p w14:paraId="34A1BD3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2F1F2EAE">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1EF02926">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537F49C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残疾人福利单位价格扣除</w:t>
      </w:r>
    </w:p>
    <w:p w14:paraId="127BC028">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21940BE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1860A04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2257512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监狱和戒毒企业价格扣除</w:t>
      </w:r>
    </w:p>
    <w:p w14:paraId="709D77F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74D16984">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出具的属于监狱企业的证明文件。供应商如不提供上述证明文件，价格将不做相应扣除。</w:t>
      </w:r>
    </w:p>
    <w:p w14:paraId="6CDCC3BF">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03FB356B">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残疾人福利单位、监狱企业属于小型、微型企业的，不重复享受政策。</w:t>
      </w:r>
    </w:p>
    <w:p w14:paraId="063BC8B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采购本国产品的支持政策</w:t>
      </w:r>
    </w:p>
    <w:p w14:paraId="099B2D98">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3EAA2F8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1C7FB2">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供应商需按照招标文件的要求提供《关于符合本国产品标准的声明函》（以下简称《声明函》），如不提供将不享受本国产品价格评审优惠。</w:t>
      </w:r>
    </w:p>
    <w:p w14:paraId="46E70E5F">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5A659A59">
      <w:pPr>
        <w:pageBreakBefore w:val="0"/>
        <w:widowControl/>
        <w:spacing w:line="560" w:lineRule="exact"/>
        <w:ind w:firstLine="482"/>
        <w:jc w:val="left"/>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651C663">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Arial" w:cs="宋体"/>
          <w:color w:val="auto"/>
          <w:sz w:val="24"/>
          <w:szCs w:val="20"/>
          <w:highlight w:val="none"/>
        </w:rPr>
        <w:t>。其他条件相同情况下，应当优先采购节能产品、环境标志产品。</w:t>
      </w:r>
    </w:p>
    <w:p w14:paraId="2D353739">
      <w:pPr>
        <w:spacing w:line="400" w:lineRule="exact"/>
        <w:ind w:firstLine="420"/>
        <w:jc w:val="left"/>
        <w:rPr>
          <w:rFonts w:hint="eastAsia" w:ascii="宋体" w:hAnsi="宋体" w:cs="宋体"/>
          <w:b/>
          <w:bCs/>
          <w:sz w:val="24"/>
          <w:szCs w:val="24"/>
          <w:highlight w:val="none"/>
          <w:lang w:val="en-US" w:eastAsia="zh-CN"/>
        </w:rPr>
      </w:pPr>
    </w:p>
    <w:p w14:paraId="39AF5095">
      <w:pPr>
        <w:spacing w:line="400" w:lineRule="exact"/>
        <w:ind w:firstLine="420"/>
        <w:jc w:val="lef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二</w:t>
      </w:r>
      <w:r>
        <w:rPr>
          <w:rFonts w:hint="eastAsia" w:ascii="宋体" w:hAnsi="宋体" w:eastAsia="宋体" w:cs="宋体"/>
          <w:b/>
          <w:bCs/>
          <w:sz w:val="24"/>
          <w:szCs w:val="24"/>
          <w:highlight w:val="none"/>
        </w:rPr>
        <w:t>.评分</w:t>
      </w:r>
      <w:r>
        <w:rPr>
          <w:rFonts w:hint="eastAsia" w:ascii="宋体" w:hAnsi="宋体" w:cs="宋体"/>
          <w:b/>
          <w:bCs/>
          <w:sz w:val="24"/>
          <w:szCs w:val="24"/>
          <w:highlight w:val="none"/>
          <w:lang w:val="en-US" w:eastAsia="zh-CN"/>
        </w:rPr>
        <w:t>方法与评分</w:t>
      </w:r>
      <w:r>
        <w:rPr>
          <w:rFonts w:hint="eastAsia" w:ascii="宋体" w:hAnsi="宋体" w:eastAsia="宋体" w:cs="宋体"/>
          <w:b/>
          <w:bCs/>
          <w:sz w:val="24"/>
          <w:szCs w:val="24"/>
          <w:highlight w:val="none"/>
        </w:rPr>
        <w:t>标准</w:t>
      </w:r>
      <w:bookmarkEnd w:id="86"/>
    </w:p>
    <w:p w14:paraId="74CE0083">
      <w:pPr>
        <w:spacing w:line="400" w:lineRule="exact"/>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评标时，评标委员会各成员独立对每个投标人的投标文件进行评价，并汇总每个投标人的得分。本项目评分总分值为100分。</w:t>
      </w:r>
    </w:p>
    <w:tbl>
      <w:tblPr>
        <w:tblStyle w:val="36"/>
        <w:tblW w:w="851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5995"/>
        <w:gridCol w:w="840"/>
      </w:tblGrid>
      <w:tr w14:paraId="1367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1680" w:type="dxa"/>
            <w:tcBorders>
              <w:top w:val="single" w:color="auto" w:sz="4" w:space="0"/>
              <w:left w:val="single" w:color="auto" w:sz="4" w:space="0"/>
              <w:bottom w:val="single" w:color="auto" w:sz="4" w:space="0"/>
              <w:right w:val="single" w:color="auto" w:sz="4" w:space="0"/>
            </w:tcBorders>
            <w:noWrap w:val="0"/>
            <w:vAlign w:val="center"/>
          </w:tcPr>
          <w:p w14:paraId="618603A7">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color w:val="000000"/>
                <w:sz w:val="21"/>
                <w:szCs w:val="21"/>
              </w:rPr>
              <w:t>评审项目</w:t>
            </w:r>
          </w:p>
        </w:tc>
        <w:tc>
          <w:tcPr>
            <w:tcW w:w="5995" w:type="dxa"/>
            <w:tcBorders>
              <w:top w:val="single" w:color="auto" w:sz="4" w:space="0"/>
              <w:left w:val="nil"/>
              <w:bottom w:val="single" w:color="auto" w:sz="4" w:space="0"/>
              <w:right w:val="single" w:color="auto" w:sz="4" w:space="0"/>
            </w:tcBorders>
            <w:noWrap w:val="0"/>
            <w:vAlign w:val="center"/>
          </w:tcPr>
          <w:p w14:paraId="44893AB0">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color w:val="000000"/>
                <w:sz w:val="21"/>
                <w:szCs w:val="21"/>
              </w:rPr>
              <w:t>评审标准</w:t>
            </w:r>
          </w:p>
        </w:tc>
        <w:tc>
          <w:tcPr>
            <w:tcW w:w="840" w:type="dxa"/>
            <w:tcBorders>
              <w:top w:val="single" w:color="auto" w:sz="4" w:space="0"/>
              <w:left w:val="single" w:color="auto" w:sz="4" w:space="0"/>
              <w:bottom w:val="single" w:color="auto" w:sz="4" w:space="0"/>
              <w:right w:val="single" w:color="auto" w:sz="4" w:space="0"/>
            </w:tcBorders>
            <w:noWrap w:val="0"/>
            <w:vAlign w:val="center"/>
          </w:tcPr>
          <w:p w14:paraId="61CDB9FF">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color w:val="000000"/>
                <w:sz w:val="21"/>
                <w:szCs w:val="21"/>
              </w:rPr>
              <w:t>分值</w:t>
            </w:r>
          </w:p>
        </w:tc>
      </w:tr>
      <w:tr w14:paraId="11A3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80" w:type="dxa"/>
            <w:tcBorders>
              <w:top w:val="single" w:color="auto" w:sz="4" w:space="0"/>
              <w:left w:val="single" w:color="auto" w:sz="4" w:space="0"/>
              <w:bottom w:val="single" w:color="auto" w:sz="4" w:space="0"/>
              <w:right w:val="single" w:color="auto" w:sz="4" w:space="0"/>
            </w:tcBorders>
            <w:noWrap w:val="0"/>
            <w:vAlign w:val="center"/>
          </w:tcPr>
          <w:p w14:paraId="56933236">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sz w:val="21"/>
                <w:szCs w:val="21"/>
              </w:rPr>
            </w:pPr>
            <w:r>
              <w:rPr>
                <w:rFonts w:ascii="宋体" w:hAnsi="宋体" w:eastAsia="宋体" w:cs="宋体"/>
                <w:color w:val="000000"/>
                <w:sz w:val="21"/>
                <w:szCs w:val="21"/>
              </w:rPr>
              <w:t>投标报价</w:t>
            </w:r>
          </w:p>
        </w:tc>
        <w:tc>
          <w:tcPr>
            <w:tcW w:w="5995" w:type="dxa"/>
            <w:tcBorders>
              <w:top w:val="single" w:color="auto" w:sz="4" w:space="0"/>
              <w:left w:val="nil"/>
              <w:bottom w:val="single" w:color="auto" w:sz="4" w:space="0"/>
              <w:right w:val="single" w:color="auto" w:sz="4" w:space="0"/>
            </w:tcBorders>
            <w:noWrap w:val="0"/>
            <w:vAlign w:val="center"/>
          </w:tcPr>
          <w:p w14:paraId="32113FEB">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ascii="宋体" w:hAnsi="宋体" w:eastAsia="宋体" w:cs="宋体"/>
                <w:color w:val="000000"/>
                <w:sz w:val="21"/>
                <w:szCs w:val="21"/>
              </w:rPr>
            </w:pPr>
            <w:r>
              <w:rPr>
                <w:rFonts w:ascii="宋体" w:hAnsi="宋体" w:eastAsia="宋体" w:cs="宋体"/>
                <w:color w:val="000000"/>
                <w:sz w:val="21"/>
                <w:szCs w:val="21"/>
              </w:rPr>
              <w:t>1.采用低价优先法，即满足招标文件要求且投标价格最低的投标报价为评标基准价，其价格分为满分。</w:t>
            </w:r>
          </w:p>
          <w:p w14:paraId="5ED65BE4">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sz w:val="21"/>
                <w:szCs w:val="21"/>
              </w:rPr>
            </w:pPr>
            <w:r>
              <w:rPr>
                <w:rFonts w:ascii="宋体" w:hAnsi="宋体" w:eastAsia="宋体" w:cs="宋体"/>
                <w:color w:val="000000"/>
                <w:sz w:val="21"/>
                <w:szCs w:val="21"/>
              </w:rPr>
              <w:t>2.其他投标人的价格分统一按下列公式计算：投标报价得分＝（评标基准价/投标报价）×</w:t>
            </w:r>
            <w:r>
              <w:rPr>
                <w:rFonts w:hint="eastAsia" w:ascii="宋体" w:hAnsi="宋体" w:eastAsia="宋体" w:cs="宋体"/>
                <w:color w:val="000000"/>
                <w:sz w:val="21"/>
                <w:szCs w:val="21"/>
                <w:lang w:val="en-US" w:eastAsia="zh-CN"/>
              </w:rPr>
              <w:t>50</w:t>
            </w:r>
            <w:r>
              <w:rPr>
                <w:rFonts w:ascii="宋体" w:hAnsi="宋体" w:eastAsia="宋体" w:cs="宋体"/>
                <w:color w:val="000000"/>
                <w:sz w:val="21"/>
                <w:szCs w:val="21"/>
              </w:rPr>
              <w:t>（小数点保留两位）</w:t>
            </w:r>
          </w:p>
        </w:tc>
        <w:tc>
          <w:tcPr>
            <w:tcW w:w="840" w:type="dxa"/>
            <w:tcBorders>
              <w:top w:val="single" w:color="auto" w:sz="4" w:space="0"/>
              <w:left w:val="nil"/>
              <w:bottom w:val="single" w:color="auto" w:sz="4" w:space="0"/>
              <w:right w:val="single" w:color="auto" w:sz="4" w:space="0"/>
            </w:tcBorders>
            <w:noWrap w:val="0"/>
            <w:vAlign w:val="center"/>
          </w:tcPr>
          <w:p w14:paraId="4F9C63E7">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50</w:t>
            </w:r>
          </w:p>
        </w:tc>
      </w:tr>
      <w:tr w14:paraId="6DC4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80" w:type="dxa"/>
            <w:tcBorders>
              <w:top w:val="single" w:color="auto" w:sz="4" w:space="0"/>
              <w:left w:val="single" w:color="auto" w:sz="4" w:space="0"/>
              <w:bottom w:val="single" w:color="auto" w:sz="4" w:space="0"/>
              <w:right w:val="single" w:color="auto" w:sz="4" w:space="0"/>
            </w:tcBorders>
            <w:noWrap w:val="0"/>
            <w:vAlign w:val="center"/>
          </w:tcPr>
          <w:p w14:paraId="6D3028C6">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投标人业绩</w:t>
            </w:r>
          </w:p>
        </w:tc>
        <w:tc>
          <w:tcPr>
            <w:tcW w:w="5995" w:type="dxa"/>
            <w:tcBorders>
              <w:top w:val="single" w:color="auto" w:sz="4" w:space="0"/>
              <w:left w:val="nil"/>
              <w:bottom w:val="single" w:color="auto" w:sz="4" w:space="0"/>
              <w:right w:val="single" w:color="auto" w:sz="4" w:space="0"/>
            </w:tcBorders>
            <w:noWrap w:val="0"/>
            <w:vAlign w:val="center"/>
          </w:tcPr>
          <w:p w14:paraId="557197E9">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2023年1月1日以来承接过类似业绩打分，每有一个得2分，最多得8分。</w:t>
            </w:r>
          </w:p>
          <w:p w14:paraId="26FB0F01">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（1）类似业绩指：</w:t>
            </w:r>
            <w:r>
              <w:rPr>
                <w:rFonts w:hint="eastAsia" w:ascii="宋体" w:hAnsi="宋体" w:cs="宋体"/>
                <w:color w:val="000000" w:themeColor="text1"/>
                <w:sz w:val="21"/>
                <w:szCs w:val="21"/>
                <w:lang w:val="en-US" w:eastAsia="zh-CN"/>
                <w14:textFill>
                  <w14:solidFill>
                    <w14:schemeClr w14:val="tx1"/>
                  </w14:solidFill>
                </w14:textFill>
              </w:rPr>
              <w:t>至少同时包含保安、保洁服务内容的</w:t>
            </w:r>
            <w:r>
              <w:rPr>
                <w:rFonts w:hint="eastAsia" w:ascii="宋体" w:hAnsi="宋体" w:eastAsia="宋体" w:cs="宋体"/>
                <w:color w:val="000000" w:themeColor="text1"/>
                <w:sz w:val="21"/>
                <w:szCs w:val="21"/>
                <w14:textFill>
                  <w14:solidFill>
                    <w14:schemeClr w14:val="tx1"/>
                  </w14:solidFill>
                </w14:textFill>
              </w:rPr>
              <w:t>物业管理项</w:t>
            </w:r>
            <w:r>
              <w:rPr>
                <w:rFonts w:hint="eastAsia" w:ascii="宋体" w:hAnsi="宋体" w:cs="宋体"/>
                <w:color w:val="000000" w:themeColor="text1"/>
                <w:sz w:val="21"/>
                <w:szCs w:val="21"/>
                <w:lang w:val="en-US" w:eastAsia="zh-CN"/>
                <w14:textFill>
                  <w14:solidFill>
                    <w14:schemeClr w14:val="tx1"/>
                  </w14:solidFill>
                </w14:textFill>
              </w:rPr>
              <w:t>目</w:t>
            </w:r>
            <w:r>
              <w:rPr>
                <w:rFonts w:hint="eastAsia" w:ascii="宋体" w:hAnsi="宋体" w:eastAsia="宋体" w:cs="宋体"/>
                <w:color w:val="000000" w:themeColor="text1"/>
                <w:sz w:val="21"/>
                <w:szCs w:val="21"/>
                <w14:textFill>
                  <w14:solidFill>
                    <w14:schemeClr w14:val="tx1"/>
                  </w14:solidFill>
                </w14:textFill>
              </w:rPr>
              <w:t>。（2）每个类似业绩均提供合同扫描件，时间以合同签订时间为准。</w:t>
            </w:r>
          </w:p>
        </w:tc>
        <w:tc>
          <w:tcPr>
            <w:tcW w:w="840" w:type="dxa"/>
            <w:tcBorders>
              <w:top w:val="single" w:color="auto" w:sz="4" w:space="0"/>
              <w:left w:val="single" w:color="auto" w:sz="4" w:space="0"/>
              <w:bottom w:val="single" w:color="auto" w:sz="4" w:space="0"/>
              <w:right w:val="single" w:color="auto" w:sz="4" w:space="0"/>
            </w:tcBorders>
            <w:noWrap w:val="0"/>
            <w:vAlign w:val="center"/>
          </w:tcPr>
          <w:p w14:paraId="19DBF6C1">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default" w:ascii="宋体" w:hAnsi="宋体" w:eastAsia="宋体" w:cs="宋体"/>
                <w:color w:val="0000FF"/>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8</w:t>
            </w:r>
          </w:p>
        </w:tc>
      </w:tr>
      <w:tr w14:paraId="05322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80" w:type="dxa"/>
            <w:tcBorders>
              <w:top w:val="single" w:color="auto" w:sz="4" w:space="0"/>
              <w:left w:val="single" w:color="auto" w:sz="4" w:space="0"/>
              <w:bottom w:val="single" w:color="auto" w:sz="4" w:space="0"/>
              <w:right w:val="single" w:color="auto" w:sz="4" w:space="0"/>
            </w:tcBorders>
            <w:noWrap w:val="0"/>
            <w:vAlign w:val="center"/>
          </w:tcPr>
          <w:p w14:paraId="00981DFB">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企业实力</w:t>
            </w:r>
          </w:p>
        </w:tc>
        <w:tc>
          <w:tcPr>
            <w:tcW w:w="5995" w:type="dxa"/>
            <w:tcBorders>
              <w:top w:val="single" w:color="auto" w:sz="4" w:space="0"/>
              <w:left w:val="nil"/>
              <w:bottom w:val="single" w:color="auto" w:sz="4" w:space="0"/>
              <w:right w:val="single" w:color="auto" w:sz="4" w:space="0"/>
            </w:tcBorders>
            <w:noWrap w:val="0"/>
            <w:vAlign w:val="center"/>
          </w:tcPr>
          <w:p w14:paraId="3BC67B1E">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sz w:val="21"/>
                <w:szCs w:val="21"/>
              </w:rPr>
            </w:pPr>
            <w:r>
              <w:rPr>
                <w:rFonts w:hint="eastAsia" w:ascii="宋体" w:hAnsi="宋体" w:eastAsia="宋体" w:cs="宋体"/>
                <w:color w:val="000000"/>
                <w:sz w:val="21"/>
                <w:szCs w:val="21"/>
              </w:rPr>
              <w:t>1.投标人通过质量管理体系认证证书、环境管理体系认证证书、职业健康安全管理体系认证证书，每一项得2分，本项最高得6分。</w:t>
            </w:r>
          </w:p>
          <w:p w14:paraId="34FB1C75">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注：上述证件均需在有效期内原件扫描盖章上传、上述证书须提供中国国家认证认可监督管理委员会网站http://www.cnca.gov.cn/查询页面完整截图扫描盖章后上传，否则不予认可。</w:t>
            </w:r>
          </w:p>
        </w:tc>
        <w:tc>
          <w:tcPr>
            <w:tcW w:w="840" w:type="dxa"/>
            <w:tcBorders>
              <w:top w:val="single" w:color="auto" w:sz="4" w:space="0"/>
              <w:left w:val="single" w:color="auto" w:sz="4" w:space="0"/>
              <w:bottom w:val="single" w:color="auto" w:sz="4" w:space="0"/>
              <w:right w:val="single" w:color="auto" w:sz="4" w:space="0"/>
            </w:tcBorders>
            <w:noWrap w:val="0"/>
            <w:vAlign w:val="center"/>
          </w:tcPr>
          <w:p w14:paraId="0FD9E38E">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w:t>
            </w:r>
          </w:p>
        </w:tc>
      </w:tr>
      <w:tr w14:paraId="46CB6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80" w:type="dxa"/>
            <w:tcBorders>
              <w:top w:val="single" w:color="auto" w:sz="4" w:space="0"/>
              <w:left w:val="single" w:color="auto" w:sz="4" w:space="0"/>
              <w:bottom w:val="single" w:color="auto" w:sz="4" w:space="0"/>
              <w:right w:val="single" w:color="auto" w:sz="4" w:space="0"/>
            </w:tcBorders>
            <w:noWrap w:val="0"/>
            <w:vAlign w:val="center"/>
          </w:tcPr>
          <w:p w14:paraId="1D3B8D45">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拟派人员证书情况</w:t>
            </w:r>
          </w:p>
        </w:tc>
        <w:tc>
          <w:tcPr>
            <w:tcW w:w="5995" w:type="dxa"/>
            <w:tcBorders>
              <w:top w:val="single" w:color="auto" w:sz="4" w:space="0"/>
              <w:left w:val="nil"/>
              <w:bottom w:val="single" w:color="auto" w:sz="4" w:space="0"/>
              <w:right w:val="single" w:color="auto" w:sz="4" w:space="0"/>
            </w:tcBorders>
            <w:noWrap w:val="0"/>
            <w:vAlign w:val="center"/>
          </w:tcPr>
          <w:p w14:paraId="7CC6FD8E">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1.拟派保安兼项目负责人员中具有本科及以上学历的加</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分，具有大专学历的加</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分，具有《消防设施操作员》职业资格（技能）四级及以上等级证书或《建（构）筑物消防员》职业资格（技能）等级四级及以上证书（包括原依法取得仍在有效期内的相应等级证书）得1分，本项最高得</w:t>
            </w:r>
            <w:r>
              <w:rPr>
                <w:rFonts w:hint="eastAsia" w:ascii="宋体" w:hAnsi="宋体" w:eastAsia="宋体" w:cs="宋体"/>
                <w:color w:val="000000" w:themeColor="text1"/>
                <w:sz w:val="21"/>
                <w:szCs w:val="21"/>
                <w:lang w:val="en-US" w:eastAsia="zh-CN"/>
                <w14:textFill>
                  <w14:solidFill>
                    <w14:schemeClr w14:val="tx1"/>
                  </w14:solidFill>
                </w14:textFill>
              </w:rPr>
              <w:t>3分</w:t>
            </w:r>
            <w:r>
              <w:rPr>
                <w:rFonts w:hint="eastAsia" w:ascii="宋体" w:hAnsi="宋体" w:eastAsia="宋体" w:cs="宋体"/>
                <w:color w:val="000000" w:themeColor="text1"/>
                <w:sz w:val="21"/>
                <w:szCs w:val="21"/>
                <w:lang w:eastAsia="zh-CN"/>
                <w14:textFill>
                  <w14:solidFill>
                    <w14:schemeClr w14:val="tx1"/>
                  </w14:solidFill>
                </w14:textFill>
              </w:rPr>
              <w:t>。</w:t>
            </w:r>
          </w:p>
          <w:p w14:paraId="43DC8876">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投标时须提供证书原件扫描件，以上人员必须为本单位正式职工，以上人员须提供招标文件上网公示之日当月向前1个月在本单位缴纳养老保险证明复印件加盖投标人公章，不提供不得分。</w:t>
            </w:r>
          </w:p>
        </w:tc>
        <w:tc>
          <w:tcPr>
            <w:tcW w:w="840" w:type="dxa"/>
            <w:tcBorders>
              <w:top w:val="single" w:color="auto" w:sz="4" w:space="0"/>
              <w:left w:val="single" w:color="auto" w:sz="4" w:space="0"/>
              <w:bottom w:val="single" w:color="auto" w:sz="4" w:space="0"/>
              <w:right w:val="single" w:color="auto" w:sz="4" w:space="0"/>
            </w:tcBorders>
            <w:noWrap w:val="0"/>
            <w:vAlign w:val="center"/>
          </w:tcPr>
          <w:p w14:paraId="5C64541F">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p>
        </w:tc>
      </w:tr>
      <w:tr w14:paraId="56711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80" w:type="dxa"/>
            <w:tcBorders>
              <w:top w:val="single" w:color="auto" w:sz="4" w:space="0"/>
              <w:left w:val="single" w:color="auto" w:sz="4" w:space="0"/>
              <w:bottom w:val="single" w:color="auto" w:sz="4" w:space="0"/>
              <w:right w:val="single" w:color="auto" w:sz="4" w:space="0"/>
            </w:tcBorders>
            <w:noWrap w:val="0"/>
            <w:vAlign w:val="center"/>
          </w:tcPr>
          <w:p w14:paraId="1F390F0B">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物业服务管理实施方案</w:t>
            </w:r>
          </w:p>
        </w:tc>
        <w:tc>
          <w:tcPr>
            <w:tcW w:w="5995" w:type="dxa"/>
            <w:tcBorders>
              <w:top w:val="single" w:color="auto" w:sz="4" w:space="0"/>
              <w:left w:val="nil"/>
              <w:bottom w:val="single" w:color="auto" w:sz="4" w:space="0"/>
              <w:right w:val="single" w:color="auto" w:sz="4" w:space="0"/>
            </w:tcBorders>
            <w:noWrap w:val="0"/>
            <w:vAlign w:val="center"/>
          </w:tcPr>
          <w:p w14:paraId="431D8D16">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1、对本项目的认识、服务定位、管理理念及整体设想（本项最高得</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eastAsia="zh-CN"/>
                <w14:textFill>
                  <w14:solidFill>
                    <w14:schemeClr w14:val="tx1"/>
                  </w14:solidFill>
                </w14:textFill>
              </w:rPr>
              <w:t>分）</w:t>
            </w:r>
          </w:p>
          <w:p w14:paraId="14556CA4">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评标委员会根据招标文件中有关对本项目的认识、服务定位、管理理念及整体设想进行打分。</w:t>
            </w:r>
          </w:p>
          <w:p w14:paraId="0248BD38">
            <w:pPr>
              <w:numPr>
                <w:ilvl w:val="0"/>
                <w:numId w:val="4"/>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优于项目需求得</w:t>
            </w:r>
            <w:r>
              <w:rPr>
                <w:rFonts w:hint="eastAsia" w:ascii="宋体" w:hAnsi="宋体" w:eastAsia="宋体" w:cs="宋体"/>
                <w:color w:val="000000" w:themeColor="text1"/>
                <w:sz w:val="21"/>
                <w:szCs w:val="21"/>
                <w:lang w:val="en-US" w:eastAsia="zh-CN"/>
                <w14:textFill>
                  <w14:solidFill>
                    <w14:schemeClr w14:val="tx1"/>
                  </w14:solidFill>
                </w14:textFill>
              </w:rPr>
              <w:t>7分</w:t>
            </w:r>
          </w:p>
          <w:p w14:paraId="1BA527B8">
            <w:pPr>
              <w:numPr>
                <w:ilvl w:val="0"/>
                <w:numId w:val="4"/>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满足项目需求得</w:t>
            </w:r>
            <w:r>
              <w:rPr>
                <w:rFonts w:hint="eastAsia" w:ascii="宋体" w:hAnsi="宋体" w:eastAsia="宋体" w:cs="宋体"/>
                <w:color w:val="000000" w:themeColor="text1"/>
                <w:sz w:val="21"/>
                <w:szCs w:val="21"/>
                <w:lang w:val="en-US" w:eastAsia="zh-CN"/>
                <w14:textFill>
                  <w14:solidFill>
                    <w14:schemeClr w14:val="tx1"/>
                  </w14:solidFill>
                </w14:textFill>
              </w:rPr>
              <w:t>6分；</w:t>
            </w:r>
          </w:p>
          <w:p w14:paraId="0F4F03A0">
            <w:pPr>
              <w:numPr>
                <w:ilvl w:val="0"/>
                <w:numId w:val="4"/>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不满足项目需求或不提供不得分。</w:t>
            </w:r>
          </w:p>
          <w:p w14:paraId="44D5162F">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2、对本项目具体的服务方案（本项最高得</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eastAsia="zh-CN"/>
                <w14:textFill>
                  <w14:solidFill>
                    <w14:schemeClr w14:val="tx1"/>
                  </w14:solidFill>
                </w14:textFill>
              </w:rPr>
              <w:t>分）</w:t>
            </w:r>
          </w:p>
          <w:p w14:paraId="5B82D1E5">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评标委员会根据投标文件中有关安全保卫、卫生保洁、监控值班及日常巡查、绿化养护等物业服务项目阐述内容进行打分。</w:t>
            </w:r>
          </w:p>
          <w:p w14:paraId="55960F8E">
            <w:pPr>
              <w:numPr>
                <w:ilvl w:val="0"/>
                <w:numId w:val="5"/>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优于项目需求得</w:t>
            </w:r>
            <w:r>
              <w:rPr>
                <w:rFonts w:hint="eastAsia" w:ascii="宋体" w:hAnsi="宋体" w:eastAsia="宋体" w:cs="宋体"/>
                <w:color w:val="000000" w:themeColor="text1"/>
                <w:sz w:val="21"/>
                <w:szCs w:val="21"/>
                <w:lang w:val="en-US" w:eastAsia="zh-CN"/>
                <w14:textFill>
                  <w14:solidFill>
                    <w14:schemeClr w14:val="tx1"/>
                  </w14:solidFill>
                </w14:textFill>
              </w:rPr>
              <w:t>7分</w:t>
            </w:r>
          </w:p>
          <w:p w14:paraId="36C9355D">
            <w:pPr>
              <w:numPr>
                <w:ilvl w:val="0"/>
                <w:numId w:val="5"/>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满足项目需求得</w:t>
            </w:r>
            <w:r>
              <w:rPr>
                <w:rFonts w:hint="eastAsia" w:ascii="宋体" w:hAnsi="宋体" w:eastAsia="宋体" w:cs="宋体"/>
                <w:color w:val="000000" w:themeColor="text1"/>
                <w:sz w:val="21"/>
                <w:szCs w:val="21"/>
                <w:lang w:val="en-US" w:eastAsia="zh-CN"/>
                <w14:textFill>
                  <w14:solidFill>
                    <w14:schemeClr w14:val="tx1"/>
                  </w14:solidFill>
                </w14:textFill>
              </w:rPr>
              <w:t>6分；</w:t>
            </w:r>
          </w:p>
          <w:p w14:paraId="25A517DB">
            <w:pPr>
              <w:numPr>
                <w:ilvl w:val="0"/>
                <w:numId w:val="5"/>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不满足项目需求或不提供不得分。</w:t>
            </w:r>
          </w:p>
          <w:p w14:paraId="07F01A78">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岗位工作职责、管理规章制度（本项最高得</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eastAsia="zh-CN"/>
                <w14:textFill>
                  <w14:solidFill>
                    <w14:schemeClr w14:val="tx1"/>
                  </w14:solidFill>
                </w14:textFill>
              </w:rPr>
              <w:t>分）</w:t>
            </w:r>
          </w:p>
          <w:p w14:paraId="13DEE4AC">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评标委员会根据投标文件中岗位工作职责、管理规章制度进行打分。</w:t>
            </w:r>
          </w:p>
          <w:p w14:paraId="07474A88">
            <w:pPr>
              <w:numPr>
                <w:ilvl w:val="0"/>
                <w:numId w:val="6"/>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优于项目需求得</w:t>
            </w:r>
            <w:r>
              <w:rPr>
                <w:rFonts w:hint="eastAsia" w:ascii="宋体" w:hAnsi="宋体" w:eastAsia="宋体" w:cs="宋体"/>
                <w:color w:val="000000" w:themeColor="text1"/>
                <w:sz w:val="21"/>
                <w:szCs w:val="21"/>
                <w:lang w:val="en-US" w:eastAsia="zh-CN"/>
                <w14:textFill>
                  <w14:solidFill>
                    <w14:schemeClr w14:val="tx1"/>
                  </w14:solidFill>
                </w14:textFill>
              </w:rPr>
              <w:t>7分</w:t>
            </w:r>
          </w:p>
          <w:p w14:paraId="353438A1">
            <w:pPr>
              <w:numPr>
                <w:ilvl w:val="0"/>
                <w:numId w:val="6"/>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满足项目需求得</w:t>
            </w:r>
            <w:r>
              <w:rPr>
                <w:rFonts w:hint="eastAsia" w:ascii="宋体" w:hAnsi="宋体" w:eastAsia="宋体" w:cs="宋体"/>
                <w:color w:val="000000" w:themeColor="text1"/>
                <w:sz w:val="21"/>
                <w:szCs w:val="21"/>
                <w:lang w:val="en-US" w:eastAsia="zh-CN"/>
                <w14:textFill>
                  <w14:solidFill>
                    <w14:schemeClr w14:val="tx1"/>
                  </w14:solidFill>
                </w14:textFill>
              </w:rPr>
              <w:t>6分；</w:t>
            </w:r>
          </w:p>
          <w:p w14:paraId="52C169F6">
            <w:pPr>
              <w:numPr>
                <w:ilvl w:val="0"/>
                <w:numId w:val="6"/>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不满足项目需求或不提供不得分。</w:t>
            </w:r>
          </w:p>
          <w:p w14:paraId="29708D9F">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4、对本项目突发事件的处理预案（本项最高得</w:t>
            </w:r>
            <w:r>
              <w:rPr>
                <w:rFonts w:hint="eastAsia" w:ascii="宋体" w:hAnsi="宋体" w:eastAsia="宋体" w:cs="宋体"/>
                <w:color w:val="000000" w:themeColor="text1"/>
                <w:sz w:val="21"/>
                <w:szCs w:val="21"/>
                <w:lang w:val="en-US" w:eastAsia="zh-CN"/>
                <w14:textFill>
                  <w14:solidFill>
                    <w14:schemeClr w14:val="tx1"/>
                  </w14:solidFill>
                </w14:textFill>
              </w:rPr>
              <w:t>6分</w:t>
            </w:r>
            <w:r>
              <w:rPr>
                <w:rFonts w:hint="eastAsia" w:ascii="宋体" w:hAnsi="宋体" w:eastAsia="宋体" w:cs="宋体"/>
                <w:color w:val="000000" w:themeColor="text1"/>
                <w:sz w:val="21"/>
                <w:szCs w:val="21"/>
                <w:lang w:eastAsia="zh-CN"/>
                <w14:textFill>
                  <w14:solidFill>
                    <w14:schemeClr w14:val="tx1"/>
                  </w14:solidFill>
                </w14:textFill>
              </w:rPr>
              <w:t>）</w:t>
            </w:r>
          </w:p>
          <w:p w14:paraId="580AA5F9">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评标委员会根据投标文件中对本项目的各种突发事件的处理预案，包括台风、洪涝等自然灾害以及停电、停水、火灾、医患纠纷、盗窃等情况的处理预案进行打分。</w:t>
            </w:r>
          </w:p>
          <w:p w14:paraId="4F55CD3E">
            <w:pPr>
              <w:numPr>
                <w:ilvl w:val="0"/>
                <w:numId w:val="7"/>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优于项目需求得</w:t>
            </w:r>
            <w:r>
              <w:rPr>
                <w:rFonts w:hint="eastAsia" w:ascii="宋体" w:hAnsi="宋体" w:eastAsia="宋体" w:cs="宋体"/>
                <w:color w:val="000000" w:themeColor="text1"/>
                <w:sz w:val="21"/>
                <w:szCs w:val="21"/>
                <w:lang w:val="en-US" w:eastAsia="zh-CN"/>
                <w14:textFill>
                  <w14:solidFill>
                    <w14:schemeClr w14:val="tx1"/>
                  </w14:solidFill>
                </w14:textFill>
              </w:rPr>
              <w:t>6分</w:t>
            </w:r>
          </w:p>
          <w:p w14:paraId="11D6AE05">
            <w:pPr>
              <w:numPr>
                <w:ilvl w:val="0"/>
                <w:numId w:val="7"/>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满足项目需求得</w:t>
            </w:r>
            <w:r>
              <w:rPr>
                <w:rFonts w:hint="eastAsia" w:ascii="宋体" w:hAnsi="宋体" w:eastAsia="宋体" w:cs="宋体"/>
                <w:color w:val="000000" w:themeColor="text1"/>
                <w:sz w:val="21"/>
                <w:szCs w:val="21"/>
                <w:lang w:val="en-US" w:eastAsia="zh-CN"/>
                <w14:textFill>
                  <w14:solidFill>
                    <w14:schemeClr w14:val="tx1"/>
                  </w14:solidFill>
                </w14:textFill>
              </w:rPr>
              <w:t>5分；</w:t>
            </w:r>
          </w:p>
          <w:p w14:paraId="2D6A4175">
            <w:pPr>
              <w:numPr>
                <w:ilvl w:val="0"/>
                <w:numId w:val="7"/>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不满足项目需求或不提供不得分。</w:t>
            </w:r>
          </w:p>
          <w:p w14:paraId="1985DB82">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5、进场</w:t>
            </w:r>
            <w:r>
              <w:rPr>
                <w:rFonts w:hint="eastAsia" w:ascii="宋体" w:hAnsi="宋体" w:eastAsia="宋体" w:cs="宋体"/>
                <w:color w:val="000000" w:themeColor="text1"/>
                <w:sz w:val="21"/>
                <w:szCs w:val="21"/>
                <w:lang w:val="en-US" w:eastAsia="zh-CN"/>
                <w14:textFill>
                  <w14:solidFill>
                    <w14:schemeClr w14:val="tx1"/>
                  </w14:solidFill>
                </w14:textFill>
              </w:rPr>
              <w:t>退场交接</w:t>
            </w:r>
            <w:r>
              <w:rPr>
                <w:rFonts w:hint="eastAsia" w:ascii="宋体" w:hAnsi="宋体" w:eastAsia="宋体" w:cs="宋体"/>
                <w:color w:val="000000" w:themeColor="text1"/>
                <w:sz w:val="21"/>
                <w:szCs w:val="21"/>
                <w:lang w:eastAsia="zh-CN"/>
                <w14:textFill>
                  <w14:solidFill>
                    <w14:schemeClr w14:val="tx1"/>
                  </w14:solidFill>
                </w14:textFill>
              </w:rPr>
              <w:t>方案（本项最高得</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eastAsia="zh-CN"/>
                <w14:textFill>
                  <w14:solidFill>
                    <w14:schemeClr w14:val="tx1"/>
                  </w14:solidFill>
                </w14:textFill>
              </w:rPr>
              <w:t>分）</w:t>
            </w:r>
          </w:p>
          <w:p w14:paraId="77A09BBA">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评标委员会根据投标文件中对本项目物业进退场方案的内容进行打分。</w:t>
            </w:r>
          </w:p>
          <w:p w14:paraId="38308168">
            <w:pPr>
              <w:numPr>
                <w:ilvl w:val="0"/>
                <w:numId w:val="8"/>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优于项目需求得</w:t>
            </w:r>
            <w:r>
              <w:rPr>
                <w:rFonts w:hint="eastAsia" w:ascii="宋体" w:hAnsi="宋体" w:eastAsia="宋体" w:cs="宋体"/>
                <w:color w:val="000000" w:themeColor="text1"/>
                <w:sz w:val="21"/>
                <w:szCs w:val="21"/>
                <w:lang w:val="en-US" w:eastAsia="zh-CN"/>
                <w14:textFill>
                  <w14:solidFill>
                    <w14:schemeClr w14:val="tx1"/>
                  </w14:solidFill>
                </w14:textFill>
              </w:rPr>
              <w:t>6分</w:t>
            </w:r>
          </w:p>
          <w:p w14:paraId="626E98AA">
            <w:pPr>
              <w:numPr>
                <w:ilvl w:val="0"/>
                <w:numId w:val="8"/>
              </w:num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满足项目需求得</w:t>
            </w:r>
            <w:r>
              <w:rPr>
                <w:rFonts w:hint="eastAsia" w:ascii="宋体" w:hAnsi="宋体" w:eastAsia="宋体" w:cs="宋体"/>
                <w:color w:val="000000" w:themeColor="text1"/>
                <w:sz w:val="21"/>
                <w:szCs w:val="21"/>
                <w:lang w:val="en-US" w:eastAsia="zh-CN"/>
                <w14:textFill>
                  <w14:solidFill>
                    <w14:schemeClr w14:val="tx1"/>
                  </w14:solidFill>
                </w14:textFill>
              </w:rPr>
              <w:t>5分；</w:t>
            </w:r>
          </w:p>
          <w:p w14:paraId="07091F9F">
            <w:pPr>
              <w:numPr>
                <w:ilvl w:val="0"/>
                <w:numId w:val="0"/>
              </w:numPr>
              <w:pBdr>
                <w:top w:val="none" w:color="000000" w:sz="0" w:space="0"/>
                <w:left w:val="none" w:color="000000" w:sz="0" w:space="0"/>
                <w:bottom w:val="none" w:color="000000" w:sz="0" w:space="0"/>
                <w:right w:val="none" w:color="000000" w:sz="0" w:space="0"/>
              </w:pBdr>
              <w:snapToGrid w:val="0"/>
              <w:spacing w:before="0" w:after="0" w:line="240" w:lineRule="auto"/>
              <w:ind w:right="0" w:rightChars="0"/>
              <w:jc w:val="left"/>
              <w:rPr>
                <w:rFonts w:hint="eastAsia" w:ascii="宋体" w:eastAsia="宋体"/>
                <w:color w:val="000000" w:themeColor="text1"/>
                <w:sz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（3）不满足项目需求或不提供不得分。</w:t>
            </w:r>
          </w:p>
        </w:tc>
        <w:tc>
          <w:tcPr>
            <w:tcW w:w="840" w:type="dxa"/>
            <w:tcBorders>
              <w:top w:val="single" w:color="auto" w:sz="4" w:space="0"/>
              <w:left w:val="single" w:color="auto" w:sz="4" w:space="0"/>
              <w:bottom w:val="single" w:color="auto" w:sz="4" w:space="0"/>
              <w:right w:val="single" w:color="auto" w:sz="4" w:space="0"/>
            </w:tcBorders>
            <w:noWrap w:val="0"/>
            <w:vAlign w:val="center"/>
          </w:tcPr>
          <w:p w14:paraId="37B54133">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33</w:t>
            </w:r>
          </w:p>
        </w:tc>
      </w:tr>
    </w:tbl>
    <w:p w14:paraId="11E8E7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000000" w:themeColor="text1"/>
          <w:sz w:val="21"/>
          <w:szCs w:val="21"/>
          <w:lang w:eastAsia="zh-CN"/>
          <w14:textFill>
            <w14:solidFill>
              <w14:schemeClr w14:val="tx1"/>
            </w14:solidFill>
          </w14:textFill>
        </w:rPr>
      </w:pPr>
    </w:p>
    <w:p w14:paraId="715C4B3C">
      <w:pPr>
        <w:spacing w:line="400" w:lineRule="exact"/>
        <w:ind w:firstLine="420"/>
        <w:jc w:val="left"/>
        <w:rPr>
          <w:rFonts w:hint="eastAsia" w:ascii="宋体" w:hAnsi="宋体" w:eastAsia="宋体" w:cs="宋体"/>
          <w:color w:val="000000" w:themeColor="text1"/>
          <w:sz w:val="21"/>
          <w:szCs w:val="21"/>
          <w:highlight w:val="none"/>
          <w14:textFill>
            <w14:solidFill>
              <w14:schemeClr w14:val="tx1"/>
            </w14:solidFill>
          </w14:textFill>
        </w:rPr>
      </w:pPr>
    </w:p>
    <w:p w14:paraId="3CBCD257">
      <w:pPr>
        <w:keepNext w:val="0"/>
        <w:keepLines w:val="0"/>
        <w:pageBreakBefore w:val="0"/>
        <w:widowControl w:val="0"/>
        <w:spacing w:line="500" w:lineRule="exact"/>
        <w:ind w:firstLine="482"/>
        <w:jc w:val="left"/>
        <w:rPr>
          <w:rFonts w:hint="eastAsia"/>
          <w:b/>
          <w:bCs/>
          <w:i/>
          <w:iCs/>
          <w:color w:val="auto"/>
          <w:sz w:val="24"/>
          <w:szCs w:val="24"/>
          <w:u w:val="single"/>
        </w:rPr>
      </w:pPr>
      <w:r>
        <w:rPr>
          <w:rFonts w:hint="eastAsia"/>
          <w:b/>
          <w:bCs/>
          <w:i/>
          <w:iCs/>
          <w:color w:val="auto"/>
          <w:sz w:val="24"/>
          <w:szCs w:val="24"/>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32A58A57">
      <w:pPr>
        <w:spacing w:line="400" w:lineRule="exact"/>
        <w:ind w:firstLine="420"/>
        <w:jc w:val="left"/>
        <w:rPr>
          <w:rFonts w:hint="eastAsia" w:ascii="宋体" w:hAnsi="宋体" w:eastAsia="宋体" w:cs="宋体"/>
          <w:sz w:val="21"/>
          <w:szCs w:val="21"/>
          <w:highlight w:val="none"/>
        </w:rPr>
      </w:pPr>
    </w:p>
    <w:p w14:paraId="44C34C25">
      <w:pPr>
        <w:rPr>
          <w:rFonts w:asciiTheme="majorEastAsia" w:hAnsiTheme="majorEastAsia" w:eastAsiaTheme="majorEastAsia"/>
          <w:highlight w:val="none"/>
        </w:rPr>
      </w:pPr>
    </w:p>
    <w:p w14:paraId="2F32B53F">
      <w:pPr>
        <w:rPr>
          <w:rFonts w:asciiTheme="majorEastAsia" w:hAnsiTheme="majorEastAsia" w:eastAsiaTheme="majorEastAsia"/>
          <w:highlight w:val="none"/>
        </w:rPr>
      </w:pPr>
    </w:p>
    <w:p w14:paraId="099F6C60">
      <w:pPr>
        <w:rPr>
          <w:rFonts w:asciiTheme="majorEastAsia" w:hAnsiTheme="majorEastAsia" w:eastAsiaTheme="majorEastAsia"/>
          <w:highlight w:val="none"/>
        </w:rPr>
      </w:pPr>
    </w:p>
    <w:p w14:paraId="5C3982CD">
      <w:pPr>
        <w:jc w:val="center"/>
        <w:rPr>
          <w:rFonts w:hint="eastAsia"/>
          <w:sz w:val="36"/>
          <w:szCs w:val="28"/>
        </w:rPr>
      </w:pPr>
      <w:bookmarkStart w:id="87" w:name="_Toc20724"/>
    </w:p>
    <w:p w14:paraId="15AA78CD">
      <w:pPr>
        <w:pStyle w:val="202"/>
        <w:ind w:left="0" w:leftChars="0" w:firstLine="0" w:firstLineChars="0"/>
        <w:rPr>
          <w:rFonts w:hint="eastAsia"/>
          <w:sz w:val="36"/>
          <w:szCs w:val="28"/>
        </w:rPr>
      </w:pPr>
    </w:p>
    <w:p w14:paraId="1E9D1452">
      <w:pPr>
        <w:pStyle w:val="202"/>
        <w:ind w:left="0" w:leftChars="0" w:firstLine="0" w:firstLineChars="0"/>
        <w:rPr>
          <w:rFonts w:hint="eastAsia"/>
          <w:sz w:val="36"/>
          <w:szCs w:val="28"/>
        </w:rPr>
      </w:pPr>
    </w:p>
    <w:p w14:paraId="2FC2B8D9">
      <w:pPr>
        <w:jc w:val="center"/>
        <w:rPr>
          <w:rFonts w:hint="eastAsia"/>
          <w:sz w:val="36"/>
          <w:szCs w:val="28"/>
        </w:rPr>
      </w:pPr>
      <w:r>
        <w:rPr>
          <w:rFonts w:hint="eastAsia"/>
          <w:sz w:val="36"/>
          <w:szCs w:val="28"/>
        </w:rPr>
        <w:t>第六章  投标文件格式</w:t>
      </w:r>
      <w:bookmarkEnd w:id="87"/>
    </w:p>
    <w:p w14:paraId="29EDDB7F">
      <w:pPr>
        <w:jc w:val="center"/>
        <w:rPr>
          <w:rFonts w:ascii="宋体" w:hAnsi="宋体"/>
          <w:b/>
          <w:sz w:val="72"/>
          <w:highlight w:val="none"/>
        </w:rPr>
      </w:pPr>
      <w:bookmarkStart w:id="88" w:name="_Hlt26955039"/>
      <w:bookmarkEnd w:id="88"/>
      <w:bookmarkStart w:id="89" w:name="_Hlt26671244"/>
      <w:bookmarkEnd w:id="89"/>
    </w:p>
    <w:p w14:paraId="0C6A6683">
      <w:pPr>
        <w:jc w:val="center"/>
        <w:rPr>
          <w:rFonts w:ascii="宋体" w:hAnsi="宋体"/>
          <w:b/>
          <w:sz w:val="72"/>
          <w:highlight w:val="none"/>
        </w:rPr>
      </w:pPr>
      <w:r>
        <w:rPr>
          <w:rFonts w:hint="eastAsia" w:ascii="黑体" w:hAnsi="黑体" w:eastAsia="黑体" w:cs="黑体"/>
          <w:bCs/>
          <w:sz w:val="72"/>
          <w:highlight w:val="none"/>
        </w:rPr>
        <w:t>投  标  文  件</w:t>
      </w:r>
    </w:p>
    <w:p w14:paraId="79486A17">
      <w:pPr>
        <w:jc w:val="center"/>
        <w:rPr>
          <w:rFonts w:ascii="宋体" w:hAnsi="宋体"/>
          <w:b/>
          <w:sz w:val="72"/>
          <w:highlight w:val="none"/>
        </w:rPr>
      </w:pPr>
    </w:p>
    <w:p w14:paraId="7EF7A88F">
      <w:pPr>
        <w:pStyle w:val="190"/>
        <w:rPr>
          <w:rFonts w:ascii="宋体" w:hAnsi="宋体"/>
          <w:b/>
          <w:sz w:val="72"/>
          <w:highlight w:val="none"/>
        </w:rPr>
      </w:pPr>
    </w:p>
    <w:p w14:paraId="058A968B">
      <w:pPr>
        <w:pStyle w:val="190"/>
        <w:rPr>
          <w:rFonts w:ascii="宋体" w:hAnsi="宋体"/>
          <w:b/>
          <w:sz w:val="72"/>
          <w:highlight w:val="none"/>
        </w:rPr>
      </w:pPr>
    </w:p>
    <w:p w14:paraId="39EEAFBD">
      <w:pPr>
        <w:jc w:val="center"/>
        <w:rPr>
          <w:rFonts w:ascii="宋体" w:hAnsi="宋体"/>
          <w:b/>
          <w:sz w:val="36"/>
          <w:highlight w:val="none"/>
        </w:rPr>
      </w:pPr>
    </w:p>
    <w:p w14:paraId="0331028D">
      <w:pPr>
        <w:jc w:val="center"/>
        <w:rPr>
          <w:rFonts w:ascii="宋体" w:hAnsi="宋体"/>
          <w:b/>
          <w:sz w:val="36"/>
          <w:highlight w:val="none"/>
        </w:rPr>
      </w:pPr>
    </w:p>
    <w:p w14:paraId="05D3D315">
      <w:pPr>
        <w:jc w:val="center"/>
        <w:rPr>
          <w:rFonts w:ascii="宋体" w:hAnsi="宋体"/>
          <w:b/>
          <w:sz w:val="36"/>
          <w:highlight w:val="none"/>
        </w:rPr>
      </w:pPr>
    </w:p>
    <w:p w14:paraId="7CACE42C">
      <w:pPr>
        <w:pStyle w:val="33"/>
        <w:spacing w:beforeAutospacing="0" w:afterAutospacing="0" w:line="360" w:lineRule="auto"/>
        <w:ind w:firstLine="1084"/>
        <w:jc w:val="both"/>
        <w:rPr>
          <w:highlight w:val="none"/>
        </w:rPr>
      </w:pPr>
      <w:r>
        <w:rPr>
          <w:rFonts w:hint="eastAsia" w:ascii="宋体" w:hAnsi="宋体" w:cs="宋体"/>
          <w:b/>
          <w:color w:val="000000"/>
          <w:sz w:val="36"/>
          <w:szCs w:val="36"/>
          <w:highlight w:val="none"/>
        </w:rPr>
        <w:t>项 目 名 称：</w:t>
      </w:r>
      <w:r>
        <w:rPr>
          <w:rFonts w:hint="eastAsia" w:ascii="宋体" w:hAnsi="宋体" w:cs="宋体"/>
          <w:b/>
          <w:color w:val="000000"/>
          <w:sz w:val="36"/>
          <w:szCs w:val="36"/>
          <w:highlight w:val="none"/>
          <w:u w:val="single"/>
        </w:rPr>
        <w:t xml:space="preserve">             </w:t>
      </w:r>
    </w:p>
    <w:p w14:paraId="575ECC41">
      <w:pPr>
        <w:pStyle w:val="33"/>
        <w:spacing w:beforeAutospacing="0" w:afterAutospacing="0" w:line="360" w:lineRule="auto"/>
        <w:ind w:firstLine="1084"/>
        <w:jc w:val="both"/>
        <w:rPr>
          <w:highlight w:val="none"/>
        </w:rPr>
      </w:pPr>
      <w:r>
        <w:rPr>
          <w:rFonts w:hint="eastAsia" w:ascii="宋体" w:hAnsi="宋体" w:cs="宋体"/>
          <w:b/>
          <w:color w:val="000000"/>
          <w:sz w:val="36"/>
          <w:szCs w:val="36"/>
          <w:highlight w:val="none"/>
        </w:rPr>
        <w:t>项 目 编 号：</w:t>
      </w:r>
      <w:r>
        <w:rPr>
          <w:rFonts w:hint="eastAsia" w:ascii="宋体" w:hAnsi="宋体" w:cs="宋体"/>
          <w:b/>
          <w:color w:val="000000"/>
          <w:sz w:val="36"/>
          <w:szCs w:val="36"/>
          <w:highlight w:val="none"/>
          <w:u w:val="single"/>
        </w:rPr>
        <w:t xml:space="preserve">          </w:t>
      </w:r>
    </w:p>
    <w:p w14:paraId="04C04FBD">
      <w:pPr>
        <w:pStyle w:val="33"/>
        <w:spacing w:beforeAutospacing="0" w:afterAutospacing="0" w:line="360" w:lineRule="auto"/>
        <w:ind w:firstLine="1084"/>
        <w:jc w:val="both"/>
        <w:rPr>
          <w:highlight w:val="none"/>
        </w:rPr>
      </w:pPr>
      <w:r>
        <w:rPr>
          <w:rFonts w:hint="eastAsia" w:ascii="宋体" w:hAnsi="宋体" w:cs="宋体"/>
          <w:b/>
          <w:color w:val="000000"/>
          <w:sz w:val="36"/>
          <w:szCs w:val="36"/>
          <w:highlight w:val="none"/>
        </w:rPr>
        <w:t>供应商名称 ：</w:t>
      </w:r>
      <w:r>
        <w:rPr>
          <w:rFonts w:hint="eastAsia" w:ascii="宋体" w:hAnsi="宋体" w:cs="宋体"/>
          <w:b/>
          <w:color w:val="000000"/>
          <w:sz w:val="36"/>
          <w:szCs w:val="36"/>
          <w:highlight w:val="none"/>
          <w:u w:val="single"/>
        </w:rPr>
        <w:t>（加盖CA电子公章）</w:t>
      </w:r>
    </w:p>
    <w:p w14:paraId="4928C843">
      <w:pPr>
        <w:pStyle w:val="33"/>
        <w:spacing w:beforeAutospacing="0" w:afterAutospacing="0" w:line="360" w:lineRule="auto"/>
        <w:ind w:firstLine="1084"/>
        <w:jc w:val="both"/>
        <w:rPr>
          <w:highlight w:val="none"/>
        </w:rPr>
      </w:pPr>
      <w:r>
        <w:rPr>
          <w:rFonts w:hint="eastAsia" w:ascii="宋体" w:hAnsi="宋体" w:cs="宋体"/>
          <w:b/>
          <w:color w:val="000000"/>
          <w:sz w:val="36"/>
          <w:szCs w:val="36"/>
          <w:highlight w:val="none"/>
        </w:rPr>
        <w:t>日   期 ：</w:t>
      </w:r>
      <w:r>
        <w:rPr>
          <w:rFonts w:hint="eastAsia" w:ascii="宋体" w:hAnsi="宋体" w:cs="宋体"/>
          <w:b/>
          <w:color w:val="000000"/>
          <w:sz w:val="36"/>
          <w:szCs w:val="36"/>
          <w:highlight w:val="none"/>
          <w:u w:val="single"/>
        </w:rPr>
        <w:t xml:space="preserve">          </w:t>
      </w:r>
    </w:p>
    <w:p w14:paraId="4BA4AD82">
      <w:pPr>
        <w:spacing w:line="440" w:lineRule="exact"/>
        <w:jc w:val="center"/>
        <w:rPr>
          <w:rFonts w:ascii="宋体" w:hAnsi="宋体"/>
          <w:b/>
          <w:bCs/>
          <w:sz w:val="32"/>
          <w:szCs w:val="32"/>
          <w:highlight w:val="none"/>
        </w:rPr>
      </w:pPr>
    </w:p>
    <w:p w14:paraId="42DCA8C8">
      <w:pPr>
        <w:spacing w:line="440" w:lineRule="exact"/>
        <w:ind w:firstLine="480"/>
        <w:rPr>
          <w:rFonts w:ascii="宋体" w:hAnsi="宋体"/>
          <w:sz w:val="24"/>
          <w:highlight w:val="none"/>
        </w:rPr>
      </w:pPr>
    </w:p>
    <w:p w14:paraId="08D14A3B">
      <w:pPr>
        <w:spacing w:line="440" w:lineRule="exact"/>
        <w:ind w:firstLine="480"/>
        <w:rPr>
          <w:rFonts w:ascii="宋体" w:hAnsi="宋体"/>
          <w:sz w:val="24"/>
          <w:highlight w:val="none"/>
        </w:rPr>
      </w:pPr>
    </w:p>
    <w:p w14:paraId="1D9CD062">
      <w:pPr>
        <w:rPr>
          <w:rFonts w:ascii="黑体" w:hAnsi="黑体" w:eastAsia="黑体" w:cs="黑体"/>
          <w:szCs w:val="28"/>
          <w:highlight w:val="none"/>
        </w:rPr>
      </w:pPr>
      <w:r>
        <w:rPr>
          <w:rFonts w:ascii="黑体" w:hAnsi="黑体" w:eastAsia="黑体" w:cs="黑体"/>
          <w:szCs w:val="28"/>
          <w:highlight w:val="none"/>
        </w:rPr>
        <w:br w:type="page" w:clear="all"/>
      </w:r>
    </w:p>
    <w:p w14:paraId="2E0E9EFF">
      <w:pPr>
        <w:spacing w:line="440" w:lineRule="exact"/>
        <w:jc w:val="center"/>
        <w:rPr>
          <w:rFonts w:ascii="黑体" w:hAnsi="黑体" w:eastAsia="黑体" w:cs="黑体"/>
          <w:szCs w:val="28"/>
          <w:highlight w:val="none"/>
        </w:rPr>
      </w:pPr>
    </w:p>
    <w:p w14:paraId="5200F4F4">
      <w:pPr>
        <w:jc w:val="center"/>
        <w:rPr>
          <w:color w:val="auto"/>
        </w:rPr>
      </w:pPr>
      <w:r>
        <w:rPr>
          <w:rFonts w:hint="eastAsia"/>
          <w:b/>
          <w:bCs/>
          <w:color w:val="auto"/>
          <w:sz w:val="32"/>
          <w:szCs w:val="32"/>
        </w:rPr>
        <w:t>投标文件目录</w:t>
      </w:r>
    </w:p>
    <w:p w14:paraId="65E39A24">
      <w:pPr>
        <w:widowControl/>
        <w:spacing w:line="360" w:lineRule="auto"/>
        <w:ind w:firstLine="561"/>
        <w:outlineLvl w:val="1"/>
        <w:rPr>
          <w:rFonts w:hint="eastAsia" w:ascii="宋体" w:hAnsi="宋体" w:eastAsia="宋体" w:cs="宋体"/>
          <w:color w:val="auto"/>
          <w:sz w:val="24"/>
        </w:rPr>
      </w:pPr>
    </w:p>
    <w:p w14:paraId="71F030CC">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一、法人或者其他组织的营业执照等证明文件，</w:t>
      </w:r>
      <w:r>
        <w:rPr>
          <w:rFonts w:hint="eastAsia" w:ascii="宋体" w:hAnsi="宋体" w:cs="宋体"/>
          <w:color w:val="auto"/>
          <w:sz w:val="24"/>
          <w:lang w:val="en-US" w:eastAsia="zh-CN"/>
        </w:rPr>
        <w:t>或</w:t>
      </w:r>
      <w:r>
        <w:rPr>
          <w:rFonts w:hint="eastAsia" w:ascii="宋体" w:hAnsi="宋体" w:eastAsia="宋体" w:cs="宋体"/>
          <w:color w:val="auto"/>
          <w:sz w:val="24"/>
        </w:rPr>
        <w:t>自然人的身份证明</w:t>
      </w:r>
    </w:p>
    <w:p w14:paraId="13B1EE21">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二、</w:t>
      </w:r>
      <w:r>
        <w:rPr>
          <w:rFonts w:hint="eastAsia" w:ascii="宋体" w:hAnsi="宋体" w:eastAsia="宋体" w:cs="宋体"/>
          <w:color w:val="auto"/>
          <w:sz w:val="24"/>
          <w:szCs w:val="20"/>
        </w:rPr>
        <w:t xml:space="preserve"> </w:t>
      </w:r>
      <w:r>
        <w:rPr>
          <w:rFonts w:hint="eastAsia" w:ascii="宋体" w:hAnsi="宋体" w:cs="宋体"/>
          <w:color w:val="auto"/>
          <w:sz w:val="24"/>
          <w:szCs w:val="20"/>
        </w:rPr>
        <w:t>上一年度的财务状况报表（</w:t>
      </w:r>
      <w:r>
        <w:rPr>
          <w:rFonts w:hint="eastAsia" w:ascii="宋体" w:hAnsi="宋体" w:cs="宋体"/>
          <w:color w:val="auto"/>
          <w:sz w:val="24"/>
          <w:szCs w:val="24"/>
        </w:rPr>
        <w:t>至少提供资产负债表、利润表、现金流量表，</w:t>
      </w:r>
      <w:r>
        <w:rPr>
          <w:rFonts w:hint="eastAsia" w:ascii="宋体" w:hAnsi="宋体" w:cs="宋体"/>
          <w:color w:val="auto"/>
          <w:sz w:val="24"/>
          <w:szCs w:val="20"/>
        </w:rPr>
        <w:t>成立不满一年无需提供）</w:t>
      </w:r>
      <w:r>
        <w:rPr>
          <w:rFonts w:hint="eastAsia" w:ascii="宋体" w:hAnsi="宋体" w:cs="宋体"/>
          <w:color w:val="auto"/>
          <w:sz w:val="24"/>
          <w:szCs w:val="20"/>
          <w:lang w:eastAsia="zh-CN"/>
        </w:rPr>
        <w:t>。</w:t>
      </w:r>
    </w:p>
    <w:p w14:paraId="6F251247">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三、具备履行合同所必需的设备和专业技术能力的书面声明</w:t>
      </w:r>
    </w:p>
    <w:p w14:paraId="2E2FA624">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983AE31">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五、参加政府采购活动前3年内在经营活动中没有重大违法记录的书面声明</w:t>
      </w:r>
    </w:p>
    <w:p w14:paraId="26A20E69">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六、单位负责人为同一人或者存在直接控股、管理关系的不同供应商，不得参加同一合同项下的政府采购活动（投标文件中需提供声明）</w:t>
      </w:r>
    </w:p>
    <w:p w14:paraId="5EB342B7">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七、特定资格要求的证明文件（如果本项目设置特定资格要求，则需要提供）</w:t>
      </w:r>
    </w:p>
    <w:p w14:paraId="38BDE8E6">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八、法人授权书</w:t>
      </w:r>
    </w:p>
    <w:p w14:paraId="2119A812">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九、投标函</w:t>
      </w:r>
    </w:p>
    <w:p w14:paraId="717CEA26">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十、中小企业声明函</w:t>
      </w:r>
    </w:p>
    <w:p w14:paraId="6DFF874D">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十一、残疾人福利性单位声明函</w:t>
      </w:r>
    </w:p>
    <w:p w14:paraId="36053F0B">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lang w:val="en-US" w:eastAsia="zh-CN"/>
        </w:rPr>
        <w:t>十</w:t>
      </w:r>
      <w:r>
        <w:rPr>
          <w:rFonts w:hint="eastAsia" w:ascii="宋体" w:hAnsi="宋体" w:cs="宋体"/>
          <w:color w:val="auto"/>
          <w:sz w:val="24"/>
          <w:lang w:val="en-US" w:eastAsia="zh-CN"/>
        </w:rPr>
        <w:t>二</w:t>
      </w:r>
      <w:r>
        <w:rPr>
          <w:rFonts w:hint="eastAsia" w:ascii="宋体" w:hAnsi="宋体" w:eastAsia="宋体" w:cs="宋体"/>
          <w:color w:val="auto"/>
          <w:sz w:val="24"/>
          <w:lang w:val="en-US" w:eastAsia="zh-CN"/>
        </w:rPr>
        <w:t>、</w:t>
      </w:r>
      <w:r>
        <w:rPr>
          <w:rFonts w:hint="eastAsia" w:ascii="宋体" w:hAnsi="宋体" w:eastAsia="宋体" w:cs="宋体"/>
          <w:color w:val="auto"/>
          <w:sz w:val="24"/>
        </w:rPr>
        <w:t>投标分项报价表</w:t>
      </w:r>
    </w:p>
    <w:p w14:paraId="2C6BF067">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三</w:t>
      </w:r>
      <w:r>
        <w:rPr>
          <w:rFonts w:hint="eastAsia" w:ascii="宋体" w:hAnsi="宋体" w:eastAsia="宋体" w:cs="宋体"/>
          <w:color w:val="auto"/>
          <w:sz w:val="24"/>
        </w:rPr>
        <w:t>、技术要求响应及偏离表</w:t>
      </w:r>
    </w:p>
    <w:p w14:paraId="37B5E7EB">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四</w:t>
      </w:r>
      <w:r>
        <w:rPr>
          <w:rFonts w:hint="eastAsia" w:ascii="宋体" w:hAnsi="宋体" w:eastAsia="宋体" w:cs="宋体"/>
          <w:color w:val="auto"/>
          <w:sz w:val="24"/>
        </w:rPr>
        <w:t>、商务要求响应及偏离表</w:t>
      </w:r>
    </w:p>
    <w:p w14:paraId="7F0EE0E1">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五</w:t>
      </w:r>
      <w:r>
        <w:rPr>
          <w:rFonts w:hint="eastAsia" w:ascii="宋体" w:hAnsi="宋体" w:eastAsia="宋体" w:cs="宋体"/>
          <w:color w:val="auto"/>
          <w:sz w:val="24"/>
        </w:rPr>
        <w:t>、开标一览表</w:t>
      </w:r>
    </w:p>
    <w:p w14:paraId="05C42B03">
      <w:pPr>
        <w:spacing w:line="360" w:lineRule="auto"/>
        <w:ind w:right="420" w:firstLine="480"/>
        <w:jc w:val="both"/>
        <w:rPr>
          <w:rFonts w:hint="eastAsia"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六</w:t>
      </w:r>
      <w:r>
        <w:rPr>
          <w:rFonts w:hint="eastAsia" w:ascii="宋体" w:hAnsi="宋体" w:eastAsia="宋体" w:cs="宋体"/>
          <w:color w:val="auto"/>
          <w:sz w:val="24"/>
        </w:rPr>
        <w:t>、服务方案等</w:t>
      </w:r>
    </w:p>
    <w:p w14:paraId="5656A158">
      <w:pPr>
        <w:spacing w:line="360" w:lineRule="auto"/>
        <w:ind w:right="420" w:firstLine="480"/>
        <w:jc w:val="both"/>
        <w:rPr>
          <w:rFonts w:eastAsia="方正小标宋_GBK" w:cs="方正小标宋_GBK"/>
          <w:color w:val="auto"/>
          <w:sz w:val="44"/>
          <w:szCs w:val="44"/>
        </w:rPr>
      </w:pPr>
      <w:r>
        <w:rPr>
          <w:rFonts w:hint="eastAsia" w:ascii="宋体" w:hAnsi="宋体" w:eastAsia="宋体" w:cs="宋体"/>
          <w:color w:val="auto"/>
          <w:sz w:val="24"/>
        </w:rPr>
        <w:t>十</w:t>
      </w:r>
      <w:r>
        <w:rPr>
          <w:rFonts w:hint="eastAsia" w:ascii="宋体" w:hAnsi="宋体" w:eastAsia="宋体" w:cs="宋体"/>
          <w:color w:val="auto"/>
          <w:sz w:val="24"/>
          <w:lang w:val="en-US" w:eastAsia="zh-CN"/>
        </w:rPr>
        <w:t>七</w:t>
      </w:r>
      <w:r>
        <w:rPr>
          <w:rFonts w:hint="eastAsia" w:ascii="宋体" w:hAnsi="宋体" w:eastAsia="宋体" w:cs="宋体"/>
          <w:color w:val="auto"/>
          <w:sz w:val="24"/>
        </w:rPr>
        <w:t xml:space="preserve">、招标投标廉洁自律承诺保证书 </w:t>
      </w:r>
    </w:p>
    <w:p w14:paraId="1EA93759">
      <w:pPr>
        <w:widowControl/>
        <w:spacing w:line="360" w:lineRule="auto"/>
        <w:ind w:firstLine="480"/>
        <w:outlineLvl w:val="1"/>
        <w:rPr>
          <w:rFonts w:hint="eastAsia"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八</w:t>
      </w:r>
      <w:r>
        <w:rPr>
          <w:rFonts w:hint="eastAsia" w:ascii="宋体" w:hAnsi="宋体" w:eastAsia="宋体" w:cs="宋体"/>
          <w:color w:val="auto"/>
          <w:sz w:val="24"/>
          <w:lang w:val="en-US" w:eastAsia="zh-CN"/>
        </w:rPr>
        <w:t>、</w:t>
      </w:r>
      <w:r>
        <w:rPr>
          <w:rFonts w:hint="eastAsia" w:ascii="宋体" w:hAnsi="宋体" w:eastAsia="宋体" w:cs="宋体"/>
          <w:color w:val="auto"/>
          <w:sz w:val="24"/>
        </w:rPr>
        <w:t>盐城市</w:t>
      </w:r>
      <w:r>
        <w:rPr>
          <w:rFonts w:hint="eastAsia" w:ascii="宋体" w:hAnsi="宋体" w:cs="宋体"/>
          <w:color w:val="auto"/>
          <w:sz w:val="24"/>
          <w:lang w:val="en-US" w:eastAsia="zh-CN"/>
        </w:rPr>
        <w:t>亭湖区</w:t>
      </w:r>
      <w:r>
        <w:rPr>
          <w:rFonts w:hint="eastAsia" w:ascii="宋体" w:hAnsi="宋体" w:eastAsia="宋体" w:cs="宋体"/>
          <w:color w:val="auto"/>
          <w:sz w:val="24"/>
        </w:rPr>
        <w:t>政府采购事前信用承诺书</w:t>
      </w:r>
    </w:p>
    <w:p w14:paraId="22C2CB63">
      <w:pPr>
        <w:widowControl/>
        <w:spacing w:line="560" w:lineRule="exact"/>
        <w:ind w:firstLine="480"/>
        <w:outlineLvl w:val="1"/>
        <w:rPr>
          <w:rFonts w:hint="eastAsia" w:ascii="宋体" w:hAnsi="宋体" w:eastAsia="宋体" w:cs="宋体"/>
          <w:color w:val="auto"/>
          <w:sz w:val="24"/>
        </w:rPr>
      </w:pPr>
    </w:p>
    <w:p w14:paraId="506E50E7">
      <w:pPr>
        <w:widowControl/>
        <w:spacing w:line="500" w:lineRule="exact"/>
        <w:jc w:val="center"/>
        <w:rPr>
          <w:rFonts w:ascii="黑体" w:hAnsi="黑体" w:eastAsia="黑体" w:cs="黑体"/>
          <w:i/>
          <w:color w:val="auto"/>
          <w:sz w:val="32"/>
          <w:szCs w:val="32"/>
          <w:u w:val="single"/>
        </w:rPr>
      </w:pPr>
      <w:r>
        <w:rPr>
          <w:rFonts w:hint="eastAsia" w:ascii="宋体" w:hAnsi="宋体" w:cs="宋体"/>
          <w:b/>
          <w:color w:val="auto"/>
          <w:sz w:val="32"/>
          <w:szCs w:val="32"/>
        </w:rPr>
        <w:br w:type="page" w:clear="all"/>
      </w:r>
      <w:r>
        <w:rPr>
          <w:rFonts w:hint="eastAsia" w:ascii="黑体" w:hAnsi="黑体" w:eastAsia="黑体" w:cs="黑体"/>
          <w:i/>
          <w:color w:val="auto"/>
          <w:sz w:val="32"/>
          <w:szCs w:val="32"/>
          <w:u w:val="single"/>
        </w:rPr>
        <w:t>一、法人或者其他组织的营业执照等证明文件，</w:t>
      </w:r>
      <w:r>
        <w:rPr>
          <w:rFonts w:hint="eastAsia" w:ascii="黑体" w:hAnsi="黑体" w:eastAsia="黑体" w:cs="黑体"/>
          <w:i/>
          <w:color w:val="auto"/>
          <w:sz w:val="32"/>
          <w:szCs w:val="32"/>
          <w:u w:val="single"/>
          <w:lang w:val="en-US" w:eastAsia="zh-CN"/>
        </w:rPr>
        <w:t>或</w:t>
      </w:r>
      <w:r>
        <w:rPr>
          <w:rFonts w:hint="eastAsia" w:ascii="黑体" w:hAnsi="黑体" w:eastAsia="黑体" w:cs="黑体"/>
          <w:i/>
          <w:color w:val="auto"/>
          <w:sz w:val="32"/>
          <w:szCs w:val="32"/>
          <w:u w:val="single"/>
        </w:rPr>
        <w:t>自然人的身份证明</w:t>
      </w:r>
    </w:p>
    <w:p w14:paraId="3D41E61E">
      <w:pPr>
        <w:widowControl/>
        <w:spacing w:line="500" w:lineRule="exact"/>
        <w:jc w:val="center"/>
        <w:rPr>
          <w:rFonts w:hint="eastAsia" w:ascii="黑体" w:hAnsi="黑体" w:eastAsia="黑体" w:cs="黑体"/>
          <w:i/>
          <w:color w:val="auto"/>
          <w:sz w:val="32"/>
          <w:szCs w:val="32"/>
          <w:u w:val="single"/>
        </w:rPr>
      </w:pPr>
    </w:p>
    <w:p w14:paraId="40181468">
      <w:pPr>
        <w:widowControl/>
        <w:spacing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二、 上一年度的财务状况报表</w:t>
      </w:r>
    </w:p>
    <w:p w14:paraId="238F44C7">
      <w:pPr>
        <w:tabs>
          <w:tab w:val="left" w:pos="1331"/>
        </w:tabs>
        <w:spacing w:line="500" w:lineRule="exact"/>
        <w:jc w:val="center"/>
        <w:rPr>
          <w:rFonts w:ascii="宋体" w:hAnsi="宋体" w:cs="宋体"/>
          <w:iCs/>
          <w:color w:val="auto"/>
          <w:sz w:val="24"/>
        </w:rPr>
      </w:pPr>
      <w:r>
        <w:rPr>
          <w:rFonts w:hint="eastAsia" w:ascii="宋体" w:hAnsi="宋体" w:cs="宋体"/>
          <w:iCs/>
          <w:color w:val="auto"/>
          <w:sz w:val="24"/>
        </w:rPr>
        <w:t>（至少提供资产负债表、利润表、现金流量表，投标人成立不满一年无需提供）</w:t>
      </w:r>
    </w:p>
    <w:p w14:paraId="484C1FE2">
      <w:pPr>
        <w:widowControl/>
        <w:spacing w:before="180"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三、具备履行合同所必需的设备和专业技术能力的书面声明</w:t>
      </w:r>
    </w:p>
    <w:p w14:paraId="382F6FA0">
      <w:pPr>
        <w:pStyle w:val="203"/>
        <w:spacing w:afterAutospacing="0" w:line="500" w:lineRule="exact"/>
        <w:ind w:firstLine="480"/>
        <w:jc w:val="both"/>
        <w:rPr>
          <w:rFonts w:ascii="宋体" w:hAnsi="宋体" w:eastAsia="宋体" w:cs="宋体"/>
          <w:color w:val="auto"/>
        </w:rPr>
      </w:pPr>
      <w:r>
        <w:rPr>
          <w:rFonts w:hint="eastAsia" w:ascii="宋体" w:hAnsi="宋体" w:eastAsia="宋体" w:cs="宋体"/>
          <w:color w:val="auto"/>
        </w:rPr>
        <w:t>我单位郑重声明：我单位具备履行本项采购合同所必需的设备和专业技术能力，为履行本项采购合同我公司具备如下主要设备和主要专业技术能力：</w:t>
      </w:r>
    </w:p>
    <w:p w14:paraId="38299C94">
      <w:pPr>
        <w:pStyle w:val="203"/>
        <w:spacing w:afterAutospacing="0" w:line="380" w:lineRule="exact"/>
        <w:ind w:firstLine="480"/>
        <w:jc w:val="both"/>
        <w:rPr>
          <w:rFonts w:ascii="宋体" w:hAnsi="宋体" w:cs="宋体"/>
          <w:color w:val="auto"/>
        </w:rPr>
      </w:pPr>
      <w:r>
        <w:rPr>
          <w:rFonts w:hint="eastAsia" w:ascii="宋体" w:hAnsi="宋体" w:cs="宋体"/>
          <w:color w:val="auto"/>
        </w:rPr>
        <w:t>主要设备有：</w:t>
      </w:r>
      <w:r>
        <w:rPr>
          <w:rFonts w:hint="eastAsia" w:ascii="宋体" w:hAnsi="宋体" w:cs="宋体"/>
          <w:color w:val="auto"/>
          <w:u w:val="single"/>
        </w:rPr>
        <w:t xml:space="preserve">              </w:t>
      </w:r>
      <w:r>
        <w:rPr>
          <w:rFonts w:hint="eastAsia" w:ascii="宋体" w:hAnsi="宋体" w:cs="宋体"/>
          <w:color w:val="auto"/>
        </w:rPr>
        <w:t>。</w:t>
      </w:r>
    </w:p>
    <w:p w14:paraId="3040A966">
      <w:pPr>
        <w:pStyle w:val="203"/>
        <w:spacing w:afterAutospacing="0" w:line="380" w:lineRule="exact"/>
        <w:ind w:firstLine="480"/>
        <w:jc w:val="both"/>
        <w:rPr>
          <w:rFonts w:ascii="宋体" w:hAnsi="宋体" w:cs="宋体"/>
          <w:color w:val="auto"/>
        </w:rPr>
      </w:pPr>
      <w:r>
        <w:rPr>
          <w:rFonts w:hint="eastAsia" w:ascii="宋体" w:hAnsi="宋体" w:cs="宋体"/>
          <w:color w:val="auto"/>
        </w:rPr>
        <w:t>主要专业技术能力有：</w:t>
      </w:r>
      <w:r>
        <w:rPr>
          <w:rFonts w:hint="eastAsia" w:ascii="宋体" w:hAnsi="宋体" w:cs="宋体"/>
          <w:color w:val="auto"/>
          <w:u w:val="single"/>
        </w:rPr>
        <w:t xml:space="preserve">       </w:t>
      </w:r>
      <w:r>
        <w:rPr>
          <w:rFonts w:hint="eastAsia" w:ascii="宋体" w:hAnsi="宋体" w:cs="宋体"/>
          <w:color w:val="auto"/>
        </w:rPr>
        <w:t>。</w:t>
      </w:r>
    </w:p>
    <w:p w14:paraId="683AA132">
      <w:pPr>
        <w:widowControl/>
        <w:spacing w:before="180"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四、依法缴纳税收和社会保障资金的相关材料</w:t>
      </w:r>
    </w:p>
    <w:p w14:paraId="0A04CE1B">
      <w:pPr>
        <w:pStyle w:val="203"/>
        <w:spacing w:afterAutospacing="0" w:line="500" w:lineRule="exact"/>
        <w:ind w:firstLine="480"/>
        <w:jc w:val="both"/>
        <w:rPr>
          <w:rFonts w:ascii="宋体" w:hAnsi="宋体" w:eastAsia="宋体" w:cs="宋体"/>
          <w:color w:val="auto"/>
        </w:rPr>
      </w:pPr>
      <w:r>
        <w:rPr>
          <w:rFonts w:hint="eastAsia" w:ascii="宋体" w:hAnsi="宋体" w:eastAsia="宋体" w:cs="宋体"/>
          <w:color w:val="auto"/>
        </w:rPr>
        <w:t>提供提交响应文件截止时间前一年内至少一个月依法缴纳税收及缴纳社会保障资金的证明材料。供应商依法享受缓缴、免缴税收、社会保障资金的提供证明材料。</w:t>
      </w:r>
    </w:p>
    <w:p w14:paraId="2C30EA42">
      <w:pPr>
        <w:widowControl/>
        <w:jc w:val="left"/>
        <w:rPr>
          <w:rFonts w:ascii="方正小标宋_GBK" w:hAnsi="宋体" w:eastAsia="方正小标宋_GBK" w:cs="黑体"/>
          <w:iCs/>
          <w:color w:val="auto"/>
          <w:sz w:val="30"/>
          <w:szCs w:val="30"/>
        </w:rPr>
      </w:pPr>
    </w:p>
    <w:p w14:paraId="0366032E">
      <w:pPr>
        <w:widowControl/>
        <w:spacing w:before="18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五、参加政府采购活动前3年内在经营活动中没有重大违法 记录的书面声明</w:t>
      </w:r>
    </w:p>
    <w:p w14:paraId="4A2D7D47">
      <w:pPr>
        <w:pStyle w:val="203"/>
        <w:widowControl/>
        <w:jc w:val="center"/>
        <w:rPr>
          <w:rFonts w:ascii="方正小标宋_GBK" w:eastAsia="方正小标宋_GBK"/>
          <w:bCs/>
          <w:color w:val="auto"/>
        </w:rPr>
      </w:pPr>
      <w:r>
        <w:rPr>
          <w:rFonts w:hint="eastAsia" w:ascii="方正小标宋_GBK" w:hAnsi="宋体" w:eastAsia="方正小标宋_GBK" w:cs="宋体"/>
          <w:bCs/>
          <w:color w:val="auto"/>
          <w:sz w:val="44"/>
          <w:szCs w:val="44"/>
        </w:rPr>
        <w:t>声  明</w:t>
      </w:r>
    </w:p>
    <w:p w14:paraId="5849E3CA">
      <w:pPr>
        <w:pStyle w:val="203"/>
        <w:spacing w:line="560" w:lineRule="exact"/>
        <w:ind w:firstLine="480"/>
        <w:jc w:val="both"/>
        <w:rPr>
          <w:rFonts w:ascii="宋体" w:hAnsi="宋体" w:cs="宋体"/>
          <w:color w:val="auto"/>
        </w:rPr>
      </w:pPr>
      <w:r>
        <w:rPr>
          <w:rFonts w:hint="eastAsia" w:ascii="宋体" w:hAnsi="宋体" w:cs="宋体"/>
          <w:color w:val="auto"/>
        </w:rPr>
        <w:t>我单位郑重声明：参加本次政府采购活动前3年内，我单位在经营活动中没有因违法经营受到刑事处罚或者责令停产停业、吊销许可证或者执照、较大数额罚款等行政处罚。</w:t>
      </w:r>
    </w:p>
    <w:p w14:paraId="5A6F62D4">
      <w:pPr>
        <w:pStyle w:val="203"/>
        <w:widowControl/>
        <w:spacing w:line="560" w:lineRule="exact"/>
        <w:ind w:firstLine="492"/>
        <w:jc w:val="both"/>
        <w:rPr>
          <w:rFonts w:ascii="黑体" w:hAnsi="黑体" w:eastAsia="黑体" w:cs="黑体"/>
          <w:i/>
          <w:color w:val="auto"/>
          <w:sz w:val="32"/>
          <w:szCs w:val="32"/>
          <w:u w:val="single"/>
        </w:rPr>
      </w:pPr>
      <w:r>
        <w:rPr>
          <w:rFonts w:hint="eastAsia" w:ascii="宋体" w:hAnsi="宋体" w:eastAsia="宋体" w:cs="宋体"/>
          <w:color w:val="auto"/>
        </w:rPr>
        <w:t> </w:t>
      </w:r>
      <w:r>
        <w:rPr>
          <w:rFonts w:hint="eastAsia" w:ascii="黑体" w:hAnsi="黑体" w:eastAsia="黑体" w:cs="黑体"/>
          <w:i/>
          <w:color w:val="auto"/>
          <w:sz w:val="32"/>
          <w:szCs w:val="32"/>
          <w:u w:val="single"/>
        </w:rPr>
        <w:t>六、单位负责人为同一人或者存在直接控股、管理关系的不同供应商，不得参加同一合同项下的政府采购活动</w:t>
      </w:r>
    </w:p>
    <w:p w14:paraId="0E99E4B9">
      <w:pPr>
        <w:pStyle w:val="203"/>
        <w:widowControl/>
        <w:jc w:val="center"/>
        <w:rPr>
          <w:rFonts w:ascii="方正小标宋_GBK" w:hAnsi="宋体" w:eastAsia="方正小标宋_GBK" w:cs="宋体"/>
          <w:bCs/>
          <w:color w:val="auto"/>
          <w:sz w:val="44"/>
          <w:szCs w:val="44"/>
        </w:rPr>
      </w:pPr>
      <w:r>
        <w:rPr>
          <w:rFonts w:hint="eastAsia" w:ascii="方正小标宋_GBK" w:hAnsi="宋体" w:eastAsia="方正小标宋_GBK" w:cs="宋体"/>
          <w:bCs/>
          <w:color w:val="auto"/>
          <w:sz w:val="44"/>
          <w:szCs w:val="44"/>
        </w:rPr>
        <w:t>声 明</w:t>
      </w:r>
    </w:p>
    <w:p w14:paraId="60F4BA7C">
      <w:pPr>
        <w:pStyle w:val="194"/>
        <w:spacing w:beforeAutospacing="0" w:afterAutospacing="0" w:line="500" w:lineRule="exact"/>
        <w:ind w:firstLine="482"/>
        <w:jc w:val="both"/>
        <w:rPr>
          <w:color w:val="auto"/>
        </w:rPr>
      </w:pPr>
      <w:r>
        <w:rPr>
          <w:rFonts w:hint="eastAsia"/>
          <w:color w:val="auto"/>
        </w:rPr>
        <w:t>我单位郑重声明：在参加本次政府采购活动中，我单位没有与参加本项目投标的其他供应商存在单位负责人为同一人或者存在直接控股、管理关系情形。</w:t>
      </w:r>
    </w:p>
    <w:p w14:paraId="3942414F">
      <w:pPr>
        <w:pStyle w:val="203"/>
        <w:spacing w:beforeAutospacing="0" w:afterAutospacing="0" w:line="500" w:lineRule="exact"/>
        <w:jc w:val="center"/>
        <w:rPr>
          <w:rFonts w:ascii="宋体" w:hAnsi="宋体" w:cs="宋体"/>
          <w:i/>
          <w:color w:val="auto"/>
          <w:sz w:val="32"/>
          <w:szCs w:val="32"/>
          <w:u w:val="single"/>
        </w:rPr>
      </w:pPr>
    </w:p>
    <w:p w14:paraId="7EC9410F">
      <w:pPr>
        <w:pStyle w:val="203"/>
        <w:spacing w:beforeAutospacing="0" w:afterAutospacing="0" w:line="500" w:lineRule="exact"/>
        <w:jc w:val="center"/>
        <w:rPr>
          <w:rFonts w:ascii="宋体" w:hAnsi="宋体" w:cs="宋体"/>
          <w:i/>
          <w:color w:val="auto"/>
          <w:sz w:val="32"/>
          <w:szCs w:val="32"/>
          <w:u w:val="single"/>
        </w:rPr>
      </w:pPr>
    </w:p>
    <w:p w14:paraId="3C1317C7">
      <w:pPr>
        <w:pStyle w:val="203"/>
        <w:spacing w:beforeAutospacing="0" w:afterAutospacing="0" w:line="500" w:lineRule="exact"/>
        <w:jc w:val="center"/>
        <w:rPr>
          <w:rFonts w:ascii="宋体" w:hAnsi="宋体" w:cs="宋体"/>
          <w:i/>
          <w:color w:val="auto"/>
          <w:sz w:val="32"/>
          <w:szCs w:val="32"/>
          <w:u w:val="single"/>
        </w:rPr>
      </w:pPr>
    </w:p>
    <w:p w14:paraId="013C3E12">
      <w:pPr>
        <w:spacing w:line="520" w:lineRule="exact"/>
        <w:ind w:firstLine="3120"/>
        <w:rPr>
          <w:rFonts w:ascii="宋体" w:hAnsi="宋体" w:cs="宋体"/>
          <w:color w:val="auto"/>
          <w:sz w:val="24"/>
        </w:rPr>
      </w:pPr>
      <w:r>
        <w:rPr>
          <w:rFonts w:hint="eastAsia" w:ascii="宋体" w:hAnsi="宋体" w:cs="宋体"/>
          <w:color w:val="auto"/>
          <w:sz w:val="24"/>
        </w:rPr>
        <w:t>企业名称（加盖CA电子公章）：</w:t>
      </w:r>
    </w:p>
    <w:p w14:paraId="6A876043">
      <w:pPr>
        <w:spacing w:line="520" w:lineRule="exact"/>
        <w:ind w:firstLine="3120"/>
        <w:rPr>
          <w:rFonts w:ascii="宋体" w:hAnsi="宋体" w:cs="宋体"/>
          <w:color w:val="auto"/>
          <w:sz w:val="24"/>
        </w:rPr>
      </w:pPr>
      <w:r>
        <w:rPr>
          <w:rFonts w:hint="eastAsia" w:ascii="宋体" w:hAnsi="宋体" w:cs="宋体"/>
          <w:color w:val="auto"/>
          <w:sz w:val="24"/>
        </w:rPr>
        <w:t>日 期：</w:t>
      </w:r>
    </w:p>
    <w:p w14:paraId="1DDA825F">
      <w:pPr>
        <w:widowControl/>
        <w:jc w:val="left"/>
        <w:rPr>
          <w:rFonts w:hint="eastAsia" w:ascii="黑体" w:hAnsi="黑体" w:eastAsia="黑体" w:cs="黑体"/>
          <w:i/>
          <w:color w:val="auto"/>
          <w:sz w:val="32"/>
          <w:szCs w:val="32"/>
          <w:u w:val="single"/>
        </w:rPr>
      </w:pPr>
    </w:p>
    <w:p w14:paraId="7A4BB9C5">
      <w:pPr>
        <w:widowControl/>
        <w:jc w:val="left"/>
        <w:rPr>
          <w:rFonts w:hint="eastAsia" w:ascii="黑体" w:hAnsi="黑体" w:eastAsia="黑体" w:cs="黑体"/>
          <w:i/>
          <w:color w:val="auto"/>
          <w:sz w:val="32"/>
          <w:szCs w:val="32"/>
          <w:u w:val="single"/>
        </w:rPr>
      </w:pPr>
    </w:p>
    <w:p w14:paraId="36250A19">
      <w:pPr>
        <w:widowControl/>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七、特定资格要求的证明文件</w:t>
      </w:r>
    </w:p>
    <w:p w14:paraId="47E00D13">
      <w:pPr>
        <w:widowControl/>
        <w:spacing w:before="180" w:line="400" w:lineRule="exact"/>
        <w:jc w:val="center"/>
        <w:rPr>
          <w:rFonts w:ascii="宋体" w:hAnsi="宋体" w:cs="宋体"/>
          <w:color w:val="auto"/>
          <w:sz w:val="24"/>
        </w:rPr>
      </w:pPr>
      <w:r>
        <w:rPr>
          <w:rFonts w:hint="eastAsia" w:ascii="宋体" w:hAnsi="宋体" w:cs="宋体"/>
          <w:color w:val="auto"/>
          <w:sz w:val="24"/>
        </w:rPr>
        <w:t>如果本项目申请人的特定资格要求中要求提供的，必须提供。</w:t>
      </w:r>
    </w:p>
    <w:p w14:paraId="2C6EE11B">
      <w:pP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p>
    <w:p w14:paraId="185B6DAE">
      <w:pPr>
        <w:widowControl/>
        <w:spacing w:before="18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八、法人授权书</w:t>
      </w:r>
    </w:p>
    <w:p w14:paraId="61F02935">
      <w:pPr>
        <w:pStyle w:val="203"/>
        <w:widowControl/>
        <w:spacing w:line="560" w:lineRule="exact"/>
        <w:ind w:firstLine="480"/>
        <w:jc w:val="both"/>
        <w:rPr>
          <w:rFonts w:ascii="宋体" w:hAnsi="宋体" w:cs="宋体"/>
          <w:color w:val="auto"/>
        </w:rPr>
      </w:pPr>
      <w:r>
        <w:rPr>
          <w:rFonts w:hint="eastAsia" w:ascii="宋体" w:hAnsi="宋体" w:cs="宋体"/>
          <w:color w:val="auto"/>
        </w:rPr>
        <w:t>本授权书声明：</w:t>
      </w:r>
      <w:r>
        <w:rPr>
          <w:rFonts w:hint="eastAsia" w:ascii="宋体" w:hAnsi="宋体" w:cs="宋体"/>
          <w:color w:val="auto"/>
          <w:u w:val="single"/>
        </w:rPr>
        <w:t xml:space="preserve">               </w:t>
      </w:r>
      <w:r>
        <w:rPr>
          <w:rFonts w:hint="eastAsia" w:ascii="宋体" w:hAnsi="宋体" w:cs="宋体"/>
          <w:color w:val="auto"/>
        </w:rPr>
        <w:t>（供应商名称）授权</w:t>
      </w:r>
      <w:r>
        <w:rPr>
          <w:rFonts w:hint="eastAsia" w:ascii="宋体" w:hAnsi="宋体" w:cs="宋体"/>
          <w:color w:val="auto"/>
          <w:u w:val="single"/>
        </w:rPr>
        <w:t xml:space="preserve">            </w:t>
      </w:r>
      <w:r>
        <w:rPr>
          <w:rFonts w:hint="eastAsia" w:ascii="宋体" w:hAnsi="宋体" w:cs="宋体"/>
          <w:color w:val="auto"/>
        </w:rPr>
        <w:t>（被授权人的姓名）为我方就</w:t>
      </w:r>
      <w:r>
        <w:rPr>
          <w:rFonts w:hint="eastAsia" w:ascii="宋体" w:hAnsi="宋体" w:cs="宋体"/>
          <w:color w:val="auto"/>
          <w:u w:val="single"/>
          <w:lang w:val="en-US" w:eastAsia="zh-CN"/>
        </w:rPr>
        <w:t xml:space="preserve"> JSZC-320902-JZCG-G2026-0056 </w:t>
      </w:r>
      <w:r>
        <w:rPr>
          <w:rFonts w:hint="eastAsia" w:ascii="宋体" w:hAnsi="宋体" w:cs="宋体"/>
          <w:color w:val="auto"/>
        </w:rPr>
        <w:t>号</w:t>
      </w:r>
      <w:r>
        <w:rPr>
          <w:rFonts w:hint="eastAsia" w:ascii="宋体" w:hAnsi="宋体" w:cs="宋体"/>
          <w:color w:val="auto"/>
          <w:lang w:val="en-US" w:eastAsia="zh-CN"/>
        </w:rPr>
        <w:t xml:space="preserve"> </w:t>
      </w:r>
      <w:r>
        <w:rPr>
          <w:rFonts w:hint="eastAsia" w:ascii="宋体" w:hAnsi="宋体" w:cs="宋体"/>
          <w:color w:val="auto"/>
          <w:u w:val="single"/>
          <w:lang w:val="en-US" w:eastAsia="zh-CN"/>
        </w:rPr>
        <w:t xml:space="preserve"> 盐城市亭湖区南洋镇青墩卫生院物业管理服务</w:t>
      </w:r>
      <w:bookmarkStart w:id="90" w:name="_GoBack"/>
      <w:bookmarkEnd w:id="90"/>
      <w:r>
        <w:rPr>
          <w:rFonts w:hint="eastAsia" w:ascii="宋体" w:hAnsi="宋体" w:cs="宋体"/>
          <w:color w:val="auto"/>
          <w:u w:val="single"/>
        </w:rPr>
        <w:t>项目</w:t>
      </w:r>
      <w:r>
        <w:rPr>
          <w:rFonts w:hint="eastAsia" w:ascii="宋体" w:hAnsi="宋体" w:cs="宋体"/>
          <w:color w:val="auto"/>
        </w:rPr>
        <w:t>采购活动的合法代理人，以本单位名义全权处理一切与该项目采购有关的事务。</w:t>
      </w:r>
    </w:p>
    <w:p w14:paraId="582BBA4B">
      <w:pPr>
        <w:pStyle w:val="194"/>
        <w:tabs>
          <w:tab w:val="left" w:pos="360"/>
        </w:tabs>
        <w:spacing w:beforeAutospacing="0" w:afterAutospacing="0" w:line="500" w:lineRule="exact"/>
        <w:ind w:firstLine="480"/>
        <w:jc w:val="both"/>
        <w:rPr>
          <w:color w:val="auto"/>
        </w:rPr>
      </w:pPr>
      <w:r>
        <w:rPr>
          <w:rFonts w:hint="eastAsia"/>
          <w:color w:val="auto"/>
        </w:rPr>
        <w:t>本授权书于______年____月____日起生效，特此声明。</w:t>
      </w:r>
    </w:p>
    <w:p w14:paraId="4EBF2024">
      <w:pPr>
        <w:pStyle w:val="194"/>
        <w:tabs>
          <w:tab w:val="left" w:pos="360"/>
        </w:tabs>
        <w:spacing w:beforeAutospacing="0" w:afterAutospacing="0" w:line="500" w:lineRule="exact"/>
        <w:ind w:firstLine="480"/>
        <w:jc w:val="both"/>
        <w:rPr>
          <w:color w:val="auto"/>
        </w:rPr>
      </w:pPr>
      <w:r>
        <w:rPr>
          <w:rFonts w:hint="eastAsia"/>
          <w:color w:val="auto"/>
        </w:rPr>
        <w:t>被授权人身份证号码：</w:t>
      </w:r>
      <w:r>
        <w:rPr>
          <w:rFonts w:hint="eastAsia"/>
          <w:color w:val="auto"/>
          <w:u w:val="single"/>
        </w:rPr>
        <w:t xml:space="preserve">                        </w:t>
      </w:r>
    </w:p>
    <w:p w14:paraId="54536C95">
      <w:pPr>
        <w:pStyle w:val="194"/>
        <w:tabs>
          <w:tab w:val="left" w:pos="360"/>
        </w:tabs>
        <w:spacing w:beforeAutospacing="0" w:afterAutospacing="0" w:line="500" w:lineRule="exact"/>
        <w:ind w:firstLine="480"/>
        <w:jc w:val="both"/>
        <w:rPr>
          <w:color w:val="auto"/>
        </w:rPr>
      </w:pPr>
      <w:r>
        <w:rPr>
          <w:rFonts w:hint="eastAsia"/>
          <w:color w:val="auto"/>
        </w:rPr>
        <w:t>被授权人联系电话：</w:t>
      </w:r>
      <w:r>
        <w:rPr>
          <w:rFonts w:hint="eastAsia"/>
          <w:color w:val="auto"/>
          <w:u w:val="single"/>
        </w:rPr>
        <w:t xml:space="preserve">         （手机）         </w:t>
      </w:r>
    </w:p>
    <w:p w14:paraId="28FAA278">
      <w:pPr>
        <w:pStyle w:val="194"/>
        <w:tabs>
          <w:tab w:val="left" w:pos="360"/>
        </w:tabs>
        <w:spacing w:beforeAutospacing="0" w:afterAutospacing="0" w:line="500" w:lineRule="exact"/>
        <w:ind w:firstLine="480"/>
        <w:jc w:val="both"/>
        <w:rPr>
          <w:color w:val="auto"/>
        </w:rPr>
      </w:pPr>
      <w:r>
        <w:rPr>
          <w:rFonts w:hint="eastAsia"/>
          <w:color w:val="auto"/>
        </w:rPr>
        <w:t>授权单位名称：</w:t>
      </w:r>
      <w:r>
        <w:rPr>
          <w:rFonts w:hint="eastAsia"/>
          <w:color w:val="auto"/>
          <w:u w:val="single"/>
        </w:rPr>
        <w:t xml:space="preserve">      （加盖CA电子公章）      </w:t>
      </w:r>
    </w:p>
    <w:p w14:paraId="6ABA5808">
      <w:pPr>
        <w:pStyle w:val="194"/>
        <w:tabs>
          <w:tab w:val="left" w:pos="360"/>
        </w:tabs>
        <w:spacing w:beforeAutospacing="0" w:afterAutospacing="0" w:line="500" w:lineRule="exact"/>
        <w:ind w:firstLine="480"/>
        <w:jc w:val="both"/>
        <w:rPr>
          <w:color w:val="auto"/>
        </w:rPr>
      </w:pPr>
      <w:r>
        <w:rPr>
          <w:rFonts w:hint="eastAsia"/>
          <w:color w:val="auto"/>
        </w:rPr>
        <w:t>单位地址：</w:t>
      </w:r>
      <w:r>
        <w:rPr>
          <w:rFonts w:hint="eastAsia"/>
          <w:color w:val="auto"/>
          <w:u w:val="single"/>
        </w:rPr>
        <w:t xml:space="preserve">                                  </w:t>
      </w:r>
    </w:p>
    <w:p w14:paraId="57CFF29B">
      <w:pPr>
        <w:pStyle w:val="194"/>
        <w:tabs>
          <w:tab w:val="left" w:pos="360"/>
        </w:tabs>
        <w:spacing w:beforeAutospacing="0" w:afterAutospacing="0" w:line="500" w:lineRule="exact"/>
        <w:ind w:firstLine="480"/>
        <w:jc w:val="center"/>
        <w:rPr>
          <w:rFonts w:ascii="黑体" w:hAnsi="黑体" w:eastAsia="黑体" w:cs="黑体"/>
          <w:i/>
          <w:color w:val="auto"/>
          <w:sz w:val="32"/>
          <w:szCs w:val="32"/>
          <w:u w:val="single"/>
        </w:rPr>
      </w:pPr>
      <w:r>
        <w:rPr>
          <w:rFonts w:hint="eastAsia"/>
          <w:color w:val="auto"/>
        </w:rPr>
        <w:t>日期：</w:t>
      </w:r>
      <w:r>
        <w:rPr>
          <w:rFonts w:hint="eastAsia"/>
          <w:color w:val="auto"/>
          <w:u w:val="single"/>
        </w:rPr>
        <w:t xml:space="preserve">                                       </w:t>
      </w: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九、投标函</w:t>
      </w:r>
    </w:p>
    <w:p w14:paraId="7A33CB6C">
      <w:pPr>
        <w:spacing w:line="520" w:lineRule="exact"/>
        <w:jc w:val="left"/>
        <w:rPr>
          <w:rFonts w:hint="eastAsia" w:ascii="宋体" w:hAnsi="宋体" w:eastAsia="宋体" w:cs="宋体"/>
          <w:color w:val="auto"/>
          <w:sz w:val="24"/>
          <w:lang w:eastAsia="zh-CN"/>
        </w:rPr>
      </w:pPr>
      <w:r>
        <w:rPr>
          <w:rFonts w:hint="eastAsia" w:ascii="宋体" w:hAnsi="宋体" w:cs="宋体"/>
          <w:color w:val="auto"/>
          <w:sz w:val="24"/>
        </w:rPr>
        <w:t>致：</w:t>
      </w:r>
    </w:p>
    <w:p w14:paraId="7C56D162">
      <w:pPr>
        <w:spacing w:line="520" w:lineRule="exact"/>
        <w:ind w:firstLine="480"/>
        <w:jc w:val="left"/>
        <w:rPr>
          <w:rFonts w:ascii="宋体" w:hAnsi="宋体" w:cs="宋体"/>
          <w:color w:val="auto"/>
          <w:sz w:val="24"/>
        </w:rPr>
      </w:pPr>
      <w:r>
        <w:rPr>
          <w:rFonts w:hint="eastAsia" w:ascii="宋体" w:hAnsi="宋体" w:cs="宋体"/>
          <w:color w:val="auto"/>
          <w:sz w:val="24"/>
        </w:rPr>
        <w:t>根据贵方的</w:t>
      </w:r>
      <w:r>
        <w:rPr>
          <w:rFonts w:hint="eastAsia" w:ascii="宋体" w:hAnsi="宋体" w:cs="宋体"/>
          <w:color w:val="auto"/>
          <w:sz w:val="24"/>
          <w:u w:val="single"/>
          <w:lang w:val="en-US" w:eastAsia="zh-CN"/>
        </w:rPr>
        <w:t xml:space="preserve"> JSZC-320902-JZCG-G2026-0056 </w:t>
      </w:r>
      <w:r>
        <w:rPr>
          <w:rFonts w:hint="eastAsia" w:ascii="宋体" w:hAnsi="宋体" w:cs="宋体"/>
          <w:color w:val="auto"/>
          <w:sz w:val="24"/>
        </w:rPr>
        <w:t>号招标文件，正式授权下述签字人</w:t>
      </w:r>
      <w:r>
        <w:rPr>
          <w:rFonts w:hint="eastAsia" w:ascii="宋体" w:hAnsi="宋体" w:cs="宋体"/>
          <w:color w:val="auto"/>
          <w:sz w:val="24"/>
          <w:u w:val="single"/>
        </w:rPr>
        <w:t xml:space="preserve">         </w:t>
      </w:r>
      <w:r>
        <w:rPr>
          <w:rFonts w:hint="eastAsia" w:ascii="宋体" w:hAnsi="宋体" w:cs="宋体"/>
          <w:color w:val="auto"/>
          <w:sz w:val="24"/>
        </w:rPr>
        <w:t>(姓名)（</w:t>
      </w:r>
      <w:r>
        <w:rPr>
          <w:rFonts w:hint="eastAsia" w:ascii="宋体" w:hAnsi="宋体" w:cs="宋体"/>
          <w:b/>
          <w:bCs/>
          <w:color w:val="auto"/>
          <w:sz w:val="24"/>
        </w:rPr>
        <w:t>此处手写签字、机打姓名均可</w:t>
      </w:r>
      <w:r>
        <w:rPr>
          <w:rFonts w:hint="eastAsia" w:ascii="宋体" w:hAnsi="宋体" w:cs="宋体"/>
          <w:color w:val="auto"/>
          <w:sz w:val="24"/>
        </w:rPr>
        <w:t>）代表我方____________（投标人的名称），全权处理本次项目投标的有关事宜。</w:t>
      </w:r>
    </w:p>
    <w:p w14:paraId="04CEB146">
      <w:pPr>
        <w:spacing w:line="520" w:lineRule="exact"/>
        <w:ind w:firstLine="480"/>
        <w:jc w:val="left"/>
        <w:rPr>
          <w:rFonts w:ascii="宋体" w:hAnsi="宋体" w:cs="宋体"/>
          <w:color w:val="auto"/>
          <w:sz w:val="24"/>
        </w:rPr>
      </w:pPr>
      <w:r>
        <w:rPr>
          <w:rFonts w:hint="eastAsia" w:ascii="宋体" w:hAnsi="宋体" w:cs="宋体"/>
          <w:color w:val="auto"/>
          <w:sz w:val="24"/>
        </w:rPr>
        <w:t>据此函，__________签字人（</w:t>
      </w:r>
      <w:r>
        <w:rPr>
          <w:rFonts w:hint="eastAsia" w:ascii="宋体" w:hAnsi="宋体" w:cs="宋体"/>
          <w:b/>
          <w:bCs/>
          <w:color w:val="auto"/>
          <w:sz w:val="24"/>
        </w:rPr>
        <w:t>此处手写签字、机打姓名均可</w:t>
      </w:r>
      <w:r>
        <w:rPr>
          <w:rFonts w:hint="eastAsia" w:ascii="宋体" w:hAnsi="宋体" w:cs="宋体"/>
          <w:color w:val="auto"/>
          <w:sz w:val="24"/>
        </w:rPr>
        <w:t>）兹宣布同意如下：</w:t>
      </w:r>
    </w:p>
    <w:p w14:paraId="773B75B7">
      <w:pPr>
        <w:spacing w:line="520" w:lineRule="exact"/>
        <w:ind w:firstLine="480"/>
        <w:jc w:val="left"/>
        <w:rPr>
          <w:rFonts w:ascii="宋体" w:hAnsi="宋体" w:cs="宋体"/>
          <w:color w:val="auto"/>
          <w:sz w:val="24"/>
        </w:rPr>
      </w:pPr>
      <w:r>
        <w:rPr>
          <w:rFonts w:hint="eastAsia" w:ascii="宋体" w:hAnsi="宋体" w:cs="宋体"/>
          <w:color w:val="auto"/>
          <w:sz w:val="24"/>
        </w:rPr>
        <w:t>1.按招标文件规定的各项要求，向买方提供所需服务（包含与服务相关的货物）。</w:t>
      </w:r>
    </w:p>
    <w:p w14:paraId="0C467F40">
      <w:pPr>
        <w:spacing w:line="520" w:lineRule="exact"/>
        <w:ind w:firstLine="480"/>
        <w:jc w:val="left"/>
        <w:rPr>
          <w:rFonts w:ascii="宋体" w:hAnsi="宋体" w:cs="宋体"/>
          <w:color w:val="auto"/>
          <w:sz w:val="24"/>
        </w:rPr>
      </w:pPr>
      <w:r>
        <w:rPr>
          <w:rFonts w:hint="eastAsia" w:ascii="宋体" w:hAnsi="宋体" w:cs="宋体"/>
          <w:color w:val="auto"/>
          <w:sz w:val="24"/>
        </w:rPr>
        <w:t>2.我们完全理解贵方不一定将合同授予最低报价的投标人。</w:t>
      </w:r>
    </w:p>
    <w:p w14:paraId="115EB297">
      <w:pPr>
        <w:spacing w:line="520" w:lineRule="exact"/>
        <w:ind w:firstLine="480"/>
        <w:jc w:val="left"/>
        <w:rPr>
          <w:rFonts w:ascii="宋体" w:hAnsi="宋体" w:cs="宋体"/>
          <w:color w:val="auto"/>
          <w:sz w:val="24"/>
        </w:rPr>
      </w:pPr>
      <w:r>
        <w:rPr>
          <w:rFonts w:hint="eastAsia" w:ascii="宋体" w:hAnsi="宋体" w:cs="宋体"/>
          <w:color w:val="auto"/>
          <w:sz w:val="24"/>
        </w:rPr>
        <w:t>3.我们已详细审核全部招标文件及其有效补充文件，我们知道必须放弃提出含糊不清或误解问题的权利。</w:t>
      </w:r>
    </w:p>
    <w:p w14:paraId="2BD206C2">
      <w:pPr>
        <w:spacing w:line="520" w:lineRule="exact"/>
        <w:ind w:firstLine="480"/>
        <w:jc w:val="left"/>
        <w:rPr>
          <w:rFonts w:ascii="宋体" w:hAnsi="宋体" w:cs="宋体"/>
          <w:color w:val="auto"/>
          <w:sz w:val="24"/>
        </w:rPr>
      </w:pPr>
      <w:r>
        <w:rPr>
          <w:rFonts w:hint="eastAsia" w:ascii="宋体" w:hAnsi="宋体" w:cs="宋体"/>
          <w:color w:val="auto"/>
          <w:sz w:val="24"/>
        </w:rPr>
        <w:t>4.我们同意从规定的开标日期起遵循本投标文件，并在规定的投标有效期期满之前均具有约束力。</w:t>
      </w:r>
    </w:p>
    <w:p w14:paraId="3D02CD26">
      <w:pPr>
        <w:spacing w:line="520" w:lineRule="exact"/>
        <w:ind w:firstLine="480"/>
        <w:jc w:val="left"/>
        <w:rPr>
          <w:rFonts w:ascii="宋体" w:hAnsi="宋体" w:cs="宋体"/>
          <w:color w:val="auto"/>
          <w:sz w:val="24"/>
        </w:rPr>
      </w:pPr>
      <w:r>
        <w:rPr>
          <w:rFonts w:hint="eastAsia" w:ascii="宋体" w:hAnsi="宋体" w:cs="宋体"/>
          <w:color w:val="auto"/>
          <w:sz w:val="24"/>
        </w:rPr>
        <w:t>5.同意向贵方提供贵方可能另外要求的与投标有关的任何证据或资料，并保证我方已提供和将要提供的文件是真实的、准确的。</w:t>
      </w:r>
    </w:p>
    <w:p w14:paraId="2A1447D0">
      <w:pPr>
        <w:spacing w:line="520" w:lineRule="exact"/>
        <w:ind w:firstLine="480"/>
        <w:jc w:val="left"/>
        <w:rPr>
          <w:rFonts w:ascii="宋体" w:hAnsi="宋体" w:cs="宋体"/>
          <w:color w:val="auto"/>
          <w:sz w:val="24"/>
        </w:rPr>
      </w:pPr>
      <w:r>
        <w:rPr>
          <w:rFonts w:hint="eastAsia" w:ascii="宋体" w:hAnsi="宋体" w:cs="宋体"/>
          <w:color w:val="auto"/>
          <w:sz w:val="24"/>
        </w:rPr>
        <w:t>6.一旦我方中标，我方将根据招标文件的规定，严格履行合同的责任和义务，并保证在招标文件规定的时间完成项目，交付买方验收、使用。</w:t>
      </w:r>
    </w:p>
    <w:p w14:paraId="187431F1">
      <w:pPr>
        <w:spacing w:line="520" w:lineRule="exact"/>
        <w:ind w:firstLine="480"/>
        <w:jc w:val="left"/>
        <w:rPr>
          <w:rFonts w:ascii="宋体" w:hAnsi="宋体" w:cs="宋体"/>
          <w:color w:val="auto"/>
          <w:sz w:val="24"/>
        </w:rPr>
      </w:pPr>
      <w:r>
        <w:rPr>
          <w:rFonts w:hint="eastAsia" w:ascii="宋体" w:hAnsi="宋体" w:cs="宋体"/>
          <w:color w:val="auto"/>
          <w:sz w:val="24"/>
        </w:rPr>
        <w:t>7.与本投标有关的正式通讯地址为：</w:t>
      </w:r>
    </w:p>
    <w:p w14:paraId="0ED3E8FC">
      <w:pPr>
        <w:spacing w:line="520" w:lineRule="exact"/>
        <w:ind w:firstLine="480"/>
        <w:jc w:val="left"/>
        <w:rPr>
          <w:rFonts w:ascii="宋体" w:hAnsi="宋体" w:cs="宋体"/>
          <w:color w:val="auto"/>
          <w:sz w:val="24"/>
        </w:rPr>
      </w:pPr>
      <w:r>
        <w:rPr>
          <w:rFonts w:hint="eastAsia" w:ascii="宋体" w:hAnsi="宋体" w:cs="宋体"/>
          <w:color w:val="auto"/>
          <w:sz w:val="24"/>
        </w:rPr>
        <w:t>地        址：</w:t>
      </w:r>
    </w:p>
    <w:p w14:paraId="0A52E20F">
      <w:pPr>
        <w:spacing w:line="520" w:lineRule="exact"/>
        <w:ind w:firstLine="480"/>
        <w:jc w:val="left"/>
        <w:rPr>
          <w:rFonts w:ascii="宋体" w:hAnsi="宋体" w:cs="宋体"/>
          <w:color w:val="auto"/>
          <w:sz w:val="24"/>
        </w:rPr>
      </w:pPr>
      <w:r>
        <w:rPr>
          <w:rFonts w:hint="eastAsia" w:ascii="宋体" w:hAnsi="宋体" w:cs="宋体"/>
          <w:color w:val="auto"/>
          <w:sz w:val="24"/>
        </w:rPr>
        <w:t>邮        编：</w:t>
      </w:r>
    </w:p>
    <w:p w14:paraId="24B3C7F9">
      <w:pPr>
        <w:spacing w:line="520" w:lineRule="exact"/>
        <w:ind w:firstLine="480"/>
        <w:jc w:val="left"/>
        <w:rPr>
          <w:rFonts w:ascii="宋体" w:hAnsi="宋体" w:cs="宋体"/>
          <w:color w:val="auto"/>
          <w:sz w:val="24"/>
        </w:rPr>
      </w:pPr>
      <w:r>
        <w:rPr>
          <w:rFonts w:hint="eastAsia" w:ascii="宋体" w:hAnsi="宋体" w:cs="宋体"/>
          <w:color w:val="auto"/>
          <w:sz w:val="24"/>
        </w:rPr>
        <w:t>电        话：</w:t>
      </w:r>
    </w:p>
    <w:p w14:paraId="4FC30F1A">
      <w:pPr>
        <w:spacing w:line="520" w:lineRule="exact"/>
        <w:ind w:firstLine="480"/>
        <w:jc w:val="left"/>
        <w:rPr>
          <w:rFonts w:ascii="宋体" w:hAnsi="宋体" w:cs="宋体"/>
          <w:color w:val="auto"/>
          <w:sz w:val="24"/>
        </w:rPr>
      </w:pPr>
      <w:r>
        <w:rPr>
          <w:rFonts w:hint="eastAsia" w:ascii="宋体" w:hAnsi="宋体" w:cs="宋体"/>
          <w:color w:val="auto"/>
          <w:sz w:val="24"/>
        </w:rPr>
        <w:t>传        真：</w:t>
      </w:r>
    </w:p>
    <w:p w14:paraId="6AB89CCB">
      <w:pPr>
        <w:spacing w:line="520" w:lineRule="exact"/>
        <w:ind w:firstLine="480"/>
        <w:jc w:val="left"/>
        <w:rPr>
          <w:rFonts w:ascii="宋体" w:hAnsi="宋体" w:cs="宋体"/>
          <w:color w:val="auto"/>
          <w:sz w:val="24"/>
        </w:rPr>
      </w:pPr>
      <w:r>
        <w:rPr>
          <w:rFonts w:hint="eastAsia" w:ascii="宋体" w:hAnsi="宋体" w:cs="宋体"/>
          <w:color w:val="auto"/>
          <w:sz w:val="24"/>
        </w:rPr>
        <w:t>投标人开户行：</w:t>
      </w:r>
    </w:p>
    <w:p w14:paraId="7F48AFA2">
      <w:pPr>
        <w:spacing w:line="520" w:lineRule="exact"/>
        <w:ind w:firstLine="480"/>
        <w:jc w:val="left"/>
        <w:rPr>
          <w:rFonts w:ascii="宋体" w:hAnsi="宋体" w:cs="宋体"/>
          <w:color w:val="auto"/>
          <w:sz w:val="24"/>
        </w:rPr>
      </w:pPr>
      <w:r>
        <w:rPr>
          <w:rFonts w:hint="eastAsia" w:ascii="宋体" w:hAnsi="宋体" w:cs="宋体"/>
          <w:color w:val="auto"/>
          <w:sz w:val="24"/>
        </w:rPr>
        <w:t xml:space="preserve">账        号： </w:t>
      </w:r>
    </w:p>
    <w:p w14:paraId="04339558">
      <w:pPr>
        <w:spacing w:line="520" w:lineRule="exact"/>
        <w:ind w:firstLine="480"/>
        <w:jc w:val="left"/>
        <w:rPr>
          <w:rFonts w:ascii="宋体" w:hAnsi="宋体" w:cs="宋体"/>
          <w:color w:val="auto"/>
          <w:sz w:val="24"/>
        </w:rPr>
      </w:pPr>
      <w:r>
        <w:rPr>
          <w:rFonts w:hint="eastAsia" w:ascii="宋体" w:hAnsi="宋体" w:cs="宋体"/>
          <w:color w:val="auto"/>
          <w:sz w:val="24"/>
        </w:rPr>
        <w:t>日        期：______年____月____日</w:t>
      </w:r>
    </w:p>
    <w:p w14:paraId="2A72E6D1">
      <w:pPr>
        <w:widowControl/>
        <w:spacing w:before="18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十、中小企业声明函（服务）</w:t>
      </w:r>
    </w:p>
    <w:p w14:paraId="34CF39C7">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本公司（联合体）郑重声明，根据《政府采购促进中小企业发展管理办法》(财库</w:t>
      </w:r>
      <w:r>
        <w:rPr>
          <w:rFonts w:hint="eastAsia" w:ascii="宋体" w:hAnsi="宋体" w:cs="宋体"/>
          <w:color w:val="auto"/>
          <w:sz w:val="24"/>
        </w:rPr>
        <w:t>〔2020〕46号</w:t>
      </w:r>
      <w:r>
        <w:rPr>
          <w:rFonts w:ascii="宋体" w:hAnsi="宋体" w:cs="宋体"/>
          <w:color w:val="auto"/>
          <w:sz w:val="24"/>
        </w:rPr>
        <w:t>)的规定，本公司（联合体）参加</w:t>
      </w:r>
      <w:r>
        <w:rPr>
          <w:rFonts w:hint="eastAsia" w:ascii="宋体" w:hAnsi="宋体" w:cs="宋体"/>
          <w:color w:val="auto"/>
          <w:sz w:val="24"/>
          <w:u w:val="single"/>
          <w:lang w:val="en-US" w:eastAsia="zh-CN"/>
        </w:rPr>
        <w:t xml:space="preserve">  盐城市亭湖区公共资源交易中心  </w:t>
      </w:r>
      <w:r>
        <w:rPr>
          <w:rFonts w:ascii="宋体" w:hAnsi="宋体" w:cs="宋体"/>
          <w:color w:val="auto"/>
          <w:sz w:val="24"/>
        </w:rPr>
        <w:t>组织的</w:t>
      </w:r>
      <w:r>
        <w:rPr>
          <w:rFonts w:hint="eastAsia" w:ascii="宋体" w:hAnsi="宋体" w:cs="宋体"/>
          <w:color w:val="auto"/>
          <w:sz w:val="24"/>
          <w:u w:val="single"/>
          <w:lang w:val="en-US" w:eastAsia="zh-CN"/>
        </w:rPr>
        <w:t xml:space="preserve">  盐城市亭湖区南洋镇青墩卫生院 </w:t>
      </w:r>
      <w:r>
        <w:rPr>
          <w:rFonts w:hint="eastAsia" w:ascii="宋体" w:hAnsi="宋体" w:cs="宋体"/>
          <w:color w:val="auto"/>
          <w:sz w:val="24"/>
        </w:rPr>
        <w:t>，</w:t>
      </w:r>
      <w:r>
        <w:rPr>
          <w:rFonts w:ascii="宋体" w:hAnsi="宋体" w:cs="宋体"/>
          <w:color w:val="auto"/>
          <w:sz w:val="24"/>
        </w:rPr>
        <w:t>采购编号为</w:t>
      </w:r>
      <w:r>
        <w:rPr>
          <w:rFonts w:hint="eastAsia" w:ascii="宋体" w:hAnsi="宋体" w:cs="宋体"/>
          <w:color w:val="auto"/>
          <w:sz w:val="24"/>
          <w:u w:val="single"/>
          <w:lang w:val="en-US" w:eastAsia="zh-CN"/>
        </w:rPr>
        <w:t xml:space="preserve"> JSZC-320902-JZCG-G2026-0056</w:t>
      </w:r>
      <w:r>
        <w:rPr>
          <w:rFonts w:ascii="宋体" w:hAnsi="宋体" w:cs="宋体"/>
          <w:color w:val="auto"/>
          <w:sz w:val="24"/>
        </w:rPr>
        <w:t>，</w:t>
      </w:r>
      <w:r>
        <w:rPr>
          <w:rFonts w:hint="eastAsia" w:ascii="宋体" w:hAnsi="宋体" w:cs="宋体"/>
          <w:color w:val="auto"/>
          <w:sz w:val="24"/>
          <w:u w:val="single"/>
          <w:lang w:val="en-US" w:eastAsia="zh-CN"/>
        </w:rPr>
        <w:t xml:space="preserve"> 盐城市亭湖区南洋镇青墩卫生院物业管理服务项目</w:t>
      </w:r>
      <w:r>
        <w:rPr>
          <w:rFonts w:ascii="宋体" w:hAnsi="宋体" w:cs="宋体"/>
          <w:color w:val="auto"/>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221A441">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1.</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行业；承接企业为（</w:t>
      </w:r>
      <w:r>
        <w:rPr>
          <w:rFonts w:ascii="宋体" w:hAnsi="宋体" w:cs="宋体"/>
          <w:i/>
          <w:color w:val="auto"/>
          <w:sz w:val="24"/>
          <w:u w:val="single"/>
        </w:rPr>
        <w:t>企业名称</w:t>
      </w:r>
      <w:r>
        <w:rPr>
          <w:rFonts w:ascii="宋体" w:hAnsi="宋体" w:cs="宋体"/>
          <w:color w:val="auto"/>
          <w:sz w:val="24"/>
        </w:rPr>
        <w:t>），从业人员</w:t>
      </w:r>
      <w:r>
        <w:rPr>
          <w:rFonts w:ascii="宋体" w:hAnsi="宋体" w:cs="宋体"/>
          <w:color w:val="auto"/>
          <w:sz w:val="24"/>
          <w:u w:val="single"/>
        </w:rPr>
        <w:t xml:space="preserve">     </w:t>
      </w:r>
      <w:r>
        <w:rPr>
          <w:rFonts w:ascii="宋体" w:hAnsi="宋体" w:cs="宋体"/>
          <w:color w:val="auto"/>
          <w:sz w:val="24"/>
        </w:rPr>
        <w:t>人，营业收入为</w:t>
      </w:r>
      <w:r>
        <w:rPr>
          <w:rFonts w:ascii="宋体" w:hAnsi="宋体" w:cs="宋体"/>
          <w:color w:val="auto"/>
          <w:sz w:val="24"/>
          <w:u w:val="single"/>
        </w:rPr>
        <w:t>     </w:t>
      </w:r>
      <w:r>
        <w:rPr>
          <w:rFonts w:ascii="宋体" w:hAnsi="宋体" w:cs="宋体"/>
          <w:color w:val="auto"/>
          <w:sz w:val="24"/>
        </w:rPr>
        <w:t>万元，资产总额为</w:t>
      </w:r>
      <w:r>
        <w:rPr>
          <w:rFonts w:ascii="宋体" w:hAnsi="宋体" w:cs="宋体"/>
          <w:color w:val="auto"/>
          <w:sz w:val="24"/>
          <w:u w:val="single"/>
        </w:rPr>
        <w:t>    </w:t>
      </w:r>
      <w:r>
        <w:rPr>
          <w:rFonts w:ascii="宋体" w:hAnsi="宋体" w:cs="宋体"/>
          <w:color w:val="auto"/>
          <w:sz w:val="24"/>
        </w:rPr>
        <w:t>万元，属于（</w:t>
      </w:r>
      <w:r>
        <w:rPr>
          <w:rFonts w:ascii="宋体" w:hAnsi="宋体" w:cs="宋体"/>
          <w:i/>
          <w:color w:val="auto"/>
          <w:sz w:val="24"/>
          <w:u w:val="single"/>
        </w:rPr>
        <w:t>中型企业、小型企业、微型企业</w:t>
      </w:r>
      <w:r>
        <w:rPr>
          <w:rFonts w:ascii="宋体" w:hAnsi="宋体" w:cs="宋体"/>
          <w:color w:val="auto"/>
          <w:sz w:val="24"/>
        </w:rPr>
        <w:t>）；</w:t>
      </w:r>
    </w:p>
    <w:p w14:paraId="1CCF10A7">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2.</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行业；承接企业为（</w:t>
      </w:r>
      <w:r>
        <w:rPr>
          <w:rFonts w:ascii="宋体" w:hAnsi="宋体" w:cs="宋体"/>
          <w:i/>
          <w:color w:val="auto"/>
          <w:sz w:val="24"/>
          <w:u w:val="single"/>
        </w:rPr>
        <w:t>企业名称</w:t>
      </w:r>
      <w:r>
        <w:rPr>
          <w:rFonts w:ascii="宋体" w:hAnsi="宋体" w:cs="宋体"/>
          <w:color w:val="auto"/>
          <w:sz w:val="24"/>
        </w:rPr>
        <w:t>），从业人员</w:t>
      </w:r>
      <w:r>
        <w:rPr>
          <w:rFonts w:ascii="宋体" w:hAnsi="宋体" w:cs="宋体"/>
          <w:color w:val="auto"/>
          <w:sz w:val="24"/>
          <w:u w:val="single"/>
        </w:rPr>
        <w:t xml:space="preserve">     </w:t>
      </w:r>
      <w:r>
        <w:rPr>
          <w:rFonts w:ascii="宋体" w:hAnsi="宋体" w:cs="宋体"/>
          <w:color w:val="auto"/>
          <w:sz w:val="24"/>
        </w:rPr>
        <w:t>人，营业收入为</w:t>
      </w:r>
      <w:r>
        <w:rPr>
          <w:rFonts w:ascii="宋体" w:hAnsi="宋体" w:cs="宋体"/>
          <w:color w:val="auto"/>
          <w:sz w:val="24"/>
          <w:u w:val="single"/>
        </w:rPr>
        <w:t>     </w:t>
      </w:r>
      <w:r>
        <w:rPr>
          <w:rFonts w:ascii="宋体" w:hAnsi="宋体" w:cs="宋体"/>
          <w:color w:val="auto"/>
          <w:sz w:val="24"/>
        </w:rPr>
        <w:t>万元，资产总额为</w:t>
      </w:r>
      <w:r>
        <w:rPr>
          <w:rFonts w:ascii="宋体" w:hAnsi="宋体" w:cs="宋体"/>
          <w:color w:val="auto"/>
          <w:sz w:val="24"/>
          <w:u w:val="single"/>
        </w:rPr>
        <w:t>    </w:t>
      </w:r>
      <w:r>
        <w:rPr>
          <w:rFonts w:ascii="宋体" w:hAnsi="宋体" w:cs="宋体"/>
          <w:color w:val="auto"/>
          <w:sz w:val="24"/>
        </w:rPr>
        <w:t>万元，属于（</w:t>
      </w:r>
      <w:r>
        <w:rPr>
          <w:rFonts w:ascii="宋体" w:hAnsi="宋体" w:cs="宋体"/>
          <w:i/>
          <w:color w:val="auto"/>
          <w:sz w:val="24"/>
          <w:u w:val="single"/>
        </w:rPr>
        <w:t>中型企业、小型企业、微型企业</w:t>
      </w:r>
      <w:r>
        <w:rPr>
          <w:rFonts w:ascii="宋体" w:hAnsi="宋体" w:cs="宋体"/>
          <w:color w:val="auto"/>
          <w:sz w:val="24"/>
        </w:rPr>
        <w:t>）；</w:t>
      </w:r>
    </w:p>
    <w:p w14:paraId="42EB723E">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w:t>
      </w:r>
    </w:p>
    <w:p w14:paraId="0A31CE92">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以上企业，不属于大企业的分支机构，不存在控股股东为大企业的情形，也不存在与大企业的负责人为同一人的情形。</w:t>
      </w:r>
    </w:p>
    <w:p w14:paraId="6E7ECB99">
      <w:pPr>
        <w:pBdr>
          <w:top w:val="none" w:color="000000" w:sz="0" w:space="0"/>
          <w:left w:val="none" w:color="000000" w:sz="0" w:space="0"/>
          <w:bottom w:val="none" w:color="000000" w:sz="0" w:space="0"/>
          <w:right w:val="none" w:color="000000" w:sz="0" w:space="0"/>
        </w:pBdr>
        <w:spacing w:line="519" w:lineRule="atLeast"/>
        <w:ind w:firstLine="480"/>
        <w:outlineLvl w:val="2"/>
        <w:rPr>
          <w:color w:val="auto"/>
        </w:rPr>
      </w:pPr>
      <w:r>
        <w:rPr>
          <w:rFonts w:ascii="宋体" w:hAnsi="宋体" w:cs="宋体"/>
          <w:color w:val="auto"/>
          <w:sz w:val="24"/>
        </w:rPr>
        <w:t>本企业对上述声明内容的真实性负责。如有虚假，将依法承担相应责任</w:t>
      </w:r>
    </w:p>
    <w:p w14:paraId="687EA1C2">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 </w:t>
      </w:r>
    </w:p>
    <w:p w14:paraId="15BFD133">
      <w:pPr>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企业名称（加盖CA电子公章）：</w:t>
      </w:r>
    </w:p>
    <w:p w14:paraId="0903C692">
      <w:pPr>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日  期：</w:t>
      </w:r>
    </w:p>
    <w:p w14:paraId="3F3862EE">
      <w:pPr>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cs="宋体"/>
          <w:color w:val="auto"/>
          <w:sz w:val="24"/>
        </w:rPr>
        <w:t>备注1：从业人员、营业收入、资产总额填报上一年度数据，无上一年度数据的新成立企业可不填报。</w:t>
      </w:r>
    </w:p>
    <w:p w14:paraId="7A0376F5">
      <w:pPr>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cs="宋体"/>
          <w:color w:val="auto"/>
          <w:sz w:val="24"/>
        </w:rPr>
        <w:t>备注2：供应商如不提供此声明函，价格将不做相应扣除（如项目全面面向中小企业，则资格审查不通过）。</w:t>
      </w:r>
    </w:p>
    <w:p w14:paraId="25841CC1">
      <w:pPr>
        <w:shd w:val="clear" w:color="FFFFFF" w:fill="FFFFFF"/>
        <w:spacing w:line="500" w:lineRule="exact"/>
        <w:ind w:firstLine="480"/>
        <w:jc w:val="center"/>
        <w:rPr>
          <w:rFonts w:ascii="黑体" w:hAnsi="黑体" w:eastAsia="黑体" w:cs="黑体"/>
          <w:i/>
          <w:color w:val="auto"/>
          <w:sz w:val="32"/>
          <w:szCs w:val="32"/>
          <w:u w:val="single"/>
        </w:rPr>
      </w:pPr>
      <w:r>
        <w:rPr>
          <w:rFonts w:eastAsia="方正小标宋_GBK"/>
          <w:bCs/>
          <w:color w:val="auto"/>
          <w:sz w:val="32"/>
          <w:szCs w:val="32"/>
        </w:rPr>
        <w:br w:type="page" w:clear="all"/>
      </w:r>
      <w:r>
        <w:rPr>
          <w:rFonts w:hint="eastAsia" w:ascii="黑体" w:hAnsi="黑体" w:eastAsia="黑体" w:cs="黑体"/>
          <w:i/>
          <w:color w:val="auto"/>
          <w:sz w:val="32"/>
          <w:szCs w:val="32"/>
          <w:u w:val="single"/>
        </w:rPr>
        <w:t>十一、残疾人福利性单位声明函</w:t>
      </w:r>
    </w:p>
    <w:p w14:paraId="00968A30">
      <w:pPr>
        <w:spacing w:line="520" w:lineRule="exact"/>
        <w:ind w:firstLine="480"/>
        <w:jc w:val="left"/>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lang w:val="en-US" w:eastAsia="zh-CN"/>
        </w:rPr>
        <w:t>盐城市亭湖区南洋镇青墩卫生院</w:t>
      </w:r>
      <w:r>
        <w:rPr>
          <w:rFonts w:hint="eastAsia" w:ascii="宋体" w:hAnsi="宋体" w:cs="宋体"/>
          <w:color w:val="auto"/>
          <w:sz w:val="24"/>
        </w:rPr>
        <w:t>单位的采购文件编号为</w:t>
      </w:r>
      <w:r>
        <w:rPr>
          <w:rFonts w:hint="eastAsia" w:ascii="宋体" w:hAnsi="宋体" w:cs="宋体"/>
          <w:color w:val="auto"/>
          <w:sz w:val="24"/>
          <w:u w:val="single"/>
          <w:lang w:val="en-US" w:eastAsia="zh-CN"/>
        </w:rPr>
        <w:t>JSZC-320902-JZCG-G2026-0056</w:t>
      </w:r>
      <w:r>
        <w:rPr>
          <w:rFonts w:hint="eastAsia" w:ascii="宋体" w:hAnsi="宋体" w:cs="宋体"/>
          <w:color w:val="auto"/>
          <w:sz w:val="24"/>
        </w:rPr>
        <w:t>的</w:t>
      </w:r>
      <w:r>
        <w:rPr>
          <w:rFonts w:hint="eastAsia" w:ascii="宋体" w:hAnsi="宋体" w:cs="宋体"/>
          <w:color w:val="auto"/>
          <w:sz w:val="24"/>
          <w:u w:val="single"/>
          <w:lang w:val="en-US" w:eastAsia="zh-CN"/>
        </w:rPr>
        <w:t xml:space="preserve"> 盐城市亭湖区南洋镇青墩卫生院物业管理服务</w:t>
      </w:r>
      <w:r>
        <w:rPr>
          <w:rFonts w:hint="eastAsia" w:ascii="宋体" w:hAnsi="宋体" w:cs="宋体"/>
          <w:color w:val="auto"/>
          <w:sz w:val="24"/>
          <w:szCs w:val="20"/>
          <w:u w:val="single"/>
        </w:rPr>
        <w:t>项目</w:t>
      </w:r>
      <w:r>
        <w:rPr>
          <w:rFonts w:hint="eastAsia" w:ascii="宋体" w:hAnsi="宋体" w:cs="宋体"/>
          <w:color w:val="auto"/>
          <w:sz w:val="24"/>
        </w:rPr>
        <w:t>采购活动由本单位提供服务。</w:t>
      </w:r>
    </w:p>
    <w:p w14:paraId="15325581">
      <w:pPr>
        <w:spacing w:line="520" w:lineRule="exact"/>
        <w:ind w:firstLine="480"/>
        <w:jc w:val="left"/>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14977379">
      <w:pPr>
        <w:spacing w:line="520" w:lineRule="exact"/>
        <w:ind w:firstLine="480"/>
        <w:jc w:val="left"/>
        <w:rPr>
          <w:rFonts w:ascii="宋体" w:hAnsi="宋体" w:cs="宋体"/>
          <w:color w:val="auto"/>
          <w:sz w:val="24"/>
        </w:rPr>
      </w:pPr>
      <w:r>
        <w:rPr>
          <w:rFonts w:hint="eastAsia" w:ascii="宋体" w:hAnsi="宋体" w:cs="宋体"/>
          <w:color w:val="auto"/>
          <w:sz w:val="24"/>
        </w:rPr>
        <w:t> </w:t>
      </w:r>
    </w:p>
    <w:p w14:paraId="362CCA76">
      <w:pPr>
        <w:spacing w:line="520" w:lineRule="exact"/>
        <w:ind w:firstLine="480"/>
        <w:jc w:val="left"/>
        <w:rPr>
          <w:rFonts w:ascii="宋体" w:hAnsi="宋体" w:cs="宋体"/>
          <w:color w:val="auto"/>
          <w:sz w:val="24"/>
        </w:rPr>
      </w:pPr>
      <w:r>
        <w:rPr>
          <w:rFonts w:hint="eastAsia" w:ascii="宋体" w:hAnsi="宋体" w:cs="宋体"/>
          <w:color w:val="auto"/>
          <w:sz w:val="24"/>
        </w:rPr>
        <w:t>备注：1、供应商如不提供此声明函，价格将不做相应扣除（如项目全面面向中小企业，则资格审查不通过）。</w:t>
      </w:r>
    </w:p>
    <w:p w14:paraId="0F1D2892">
      <w:pPr>
        <w:spacing w:line="520" w:lineRule="exact"/>
        <w:ind w:firstLine="480"/>
        <w:jc w:val="left"/>
        <w:rPr>
          <w:rFonts w:ascii="宋体" w:hAnsi="宋体" w:cs="宋体"/>
          <w:color w:val="auto"/>
          <w:sz w:val="24"/>
        </w:rPr>
      </w:pPr>
      <w:r>
        <w:rPr>
          <w:rFonts w:hint="eastAsia" w:ascii="宋体" w:hAnsi="宋体" w:cs="宋体"/>
          <w:color w:val="auto"/>
          <w:sz w:val="24"/>
        </w:rPr>
        <w:t>2、中标人为残疾人福利单位的，此声明函将随中标结果同时公告，接受社会监督。</w:t>
      </w:r>
    </w:p>
    <w:p w14:paraId="549F70F8">
      <w:pPr>
        <w:spacing w:line="520" w:lineRule="exact"/>
        <w:ind w:firstLine="480"/>
        <w:jc w:val="left"/>
        <w:rPr>
          <w:rFonts w:ascii="宋体" w:hAnsi="宋体" w:cs="宋体"/>
          <w:color w:val="auto"/>
          <w:sz w:val="24"/>
        </w:rPr>
      </w:pPr>
      <w:r>
        <w:rPr>
          <w:rFonts w:hint="eastAsia" w:ascii="宋体" w:hAnsi="宋体" w:cs="宋体"/>
          <w:color w:val="auto"/>
          <w:sz w:val="24"/>
        </w:rPr>
        <w:t> </w:t>
      </w:r>
    </w:p>
    <w:p w14:paraId="5EA8DEA5">
      <w:pPr>
        <w:spacing w:line="520" w:lineRule="exact"/>
        <w:ind w:firstLine="480"/>
        <w:jc w:val="right"/>
        <w:rPr>
          <w:rFonts w:ascii="宋体" w:hAnsi="宋体" w:cs="宋体"/>
          <w:color w:val="auto"/>
          <w:sz w:val="24"/>
        </w:rPr>
      </w:pPr>
      <w:r>
        <w:rPr>
          <w:rFonts w:hint="eastAsia" w:ascii="宋体" w:hAnsi="宋体" w:cs="宋体"/>
          <w:color w:val="auto"/>
          <w:sz w:val="24"/>
        </w:rPr>
        <w:t>                  企业名称（加盖CA电子公章）：</w:t>
      </w:r>
    </w:p>
    <w:p w14:paraId="5074A3D8">
      <w:pPr>
        <w:spacing w:line="520" w:lineRule="exact"/>
        <w:ind w:firstLine="480"/>
        <w:jc w:val="right"/>
        <w:rPr>
          <w:rFonts w:ascii="宋体" w:hAnsi="宋体" w:cs="宋体"/>
          <w:color w:val="auto"/>
          <w:sz w:val="24"/>
        </w:rPr>
      </w:pPr>
      <w:r>
        <w:rPr>
          <w:rFonts w:hint="eastAsia" w:ascii="宋体" w:hAnsi="宋体" w:cs="宋体"/>
          <w:color w:val="auto"/>
          <w:sz w:val="24"/>
        </w:rPr>
        <w:t>日  期：</w:t>
      </w:r>
    </w:p>
    <w:p w14:paraId="7325E260">
      <w:pPr>
        <w:jc w:val="center"/>
        <w:rPr>
          <w:rFonts w:ascii="宋体" w:hAnsi="宋体" w:cs="宋体"/>
          <w:sz w:val="21"/>
          <w:szCs w:val="21"/>
          <w:highlight w:val="none"/>
        </w:rPr>
      </w:pPr>
    </w:p>
    <w:p w14:paraId="0A576D73">
      <w:pPr>
        <w:jc w:val="center"/>
        <w:rPr>
          <w:rFonts w:ascii="宋体" w:hAnsi="宋体" w:cs="宋体"/>
          <w:sz w:val="21"/>
          <w:szCs w:val="21"/>
          <w:highlight w:val="none"/>
        </w:rPr>
      </w:pPr>
    </w:p>
    <w:p w14:paraId="4C86E4C3">
      <w:pPr>
        <w:jc w:val="center"/>
        <w:rPr>
          <w:rFonts w:ascii="宋体" w:hAnsi="宋体" w:cs="宋体"/>
          <w:sz w:val="21"/>
          <w:szCs w:val="21"/>
          <w:highlight w:val="none"/>
        </w:rPr>
      </w:pPr>
    </w:p>
    <w:p w14:paraId="65272C78">
      <w:pPr>
        <w:jc w:val="center"/>
        <w:rPr>
          <w:rFonts w:ascii="宋体" w:hAnsi="宋体" w:cs="宋体"/>
          <w:sz w:val="21"/>
          <w:szCs w:val="21"/>
          <w:highlight w:val="none"/>
        </w:rPr>
      </w:pPr>
    </w:p>
    <w:p w14:paraId="0043820B">
      <w:pPr>
        <w:jc w:val="center"/>
        <w:rPr>
          <w:rFonts w:ascii="宋体" w:hAnsi="宋体" w:cs="宋体"/>
          <w:sz w:val="21"/>
          <w:szCs w:val="21"/>
          <w:highlight w:val="none"/>
        </w:rPr>
      </w:pPr>
    </w:p>
    <w:p w14:paraId="475EE0BC">
      <w:pPr>
        <w:jc w:val="center"/>
        <w:rPr>
          <w:rFonts w:ascii="宋体" w:hAnsi="宋体" w:cs="宋体"/>
          <w:sz w:val="21"/>
          <w:szCs w:val="21"/>
          <w:highlight w:val="none"/>
        </w:rPr>
      </w:pPr>
    </w:p>
    <w:p w14:paraId="1BA56F47">
      <w:pPr>
        <w:jc w:val="center"/>
        <w:rPr>
          <w:rFonts w:ascii="宋体" w:hAnsi="宋体" w:cs="宋体"/>
          <w:sz w:val="21"/>
          <w:szCs w:val="21"/>
          <w:highlight w:val="none"/>
        </w:rPr>
      </w:pPr>
    </w:p>
    <w:p w14:paraId="50EA3591">
      <w:pPr>
        <w:jc w:val="center"/>
        <w:rPr>
          <w:rFonts w:ascii="宋体" w:hAnsi="宋体" w:cs="宋体"/>
          <w:sz w:val="21"/>
          <w:szCs w:val="21"/>
          <w:highlight w:val="none"/>
        </w:rPr>
      </w:pPr>
    </w:p>
    <w:p w14:paraId="146AA5C2">
      <w:pPr>
        <w:jc w:val="center"/>
        <w:rPr>
          <w:rFonts w:ascii="宋体" w:hAnsi="宋体" w:cs="宋体"/>
          <w:sz w:val="21"/>
          <w:szCs w:val="21"/>
          <w:highlight w:val="none"/>
        </w:rPr>
      </w:pPr>
    </w:p>
    <w:p w14:paraId="4C3BC055">
      <w:pPr>
        <w:jc w:val="center"/>
        <w:rPr>
          <w:rFonts w:ascii="宋体" w:hAnsi="宋体" w:cs="宋体"/>
          <w:sz w:val="21"/>
          <w:szCs w:val="21"/>
          <w:highlight w:val="none"/>
        </w:rPr>
      </w:pPr>
    </w:p>
    <w:p w14:paraId="5A724E12">
      <w:pPr>
        <w:pStyle w:val="194"/>
        <w:ind w:firstLine="480"/>
        <w:rPr>
          <w:highlight w:val="none"/>
        </w:rPr>
      </w:pPr>
      <w:r>
        <w:rPr>
          <w:rFonts w:hint="eastAsia"/>
          <w:highlight w:val="none"/>
        </w:rPr>
        <w:t> </w:t>
      </w:r>
    </w:p>
    <w:p w14:paraId="7B0A50F4">
      <w:pPr>
        <w:ind w:firstLine="440"/>
        <w:rPr>
          <w:highlight w:val="none"/>
        </w:rPr>
      </w:pPr>
    </w:p>
    <w:p w14:paraId="12CAD369">
      <w:pPr>
        <w:ind w:firstLine="440"/>
        <w:rPr>
          <w:highlight w:val="none"/>
        </w:rPr>
      </w:pPr>
    </w:p>
    <w:p w14:paraId="4B17BEE9">
      <w:pPr>
        <w:ind w:firstLine="440"/>
        <w:rPr>
          <w:highlight w:val="none"/>
        </w:rPr>
      </w:pPr>
    </w:p>
    <w:p w14:paraId="1F9EAD6C">
      <w:pPr>
        <w:ind w:firstLine="440"/>
        <w:rPr>
          <w:highlight w:val="none"/>
        </w:rPr>
      </w:pPr>
    </w:p>
    <w:p w14:paraId="070B27FE">
      <w:pPr>
        <w:ind w:firstLine="440"/>
        <w:rPr>
          <w:highlight w:val="none"/>
        </w:rPr>
      </w:pPr>
    </w:p>
    <w:p w14:paraId="702D3EE8">
      <w:pPr>
        <w:ind w:firstLine="440"/>
        <w:rPr>
          <w:highlight w:val="none"/>
        </w:rPr>
      </w:pPr>
    </w:p>
    <w:p w14:paraId="5FCD088F">
      <w:pPr>
        <w:ind w:firstLine="440"/>
        <w:rPr>
          <w:highlight w:val="none"/>
        </w:rPr>
      </w:pPr>
    </w:p>
    <w:p w14:paraId="1CA34C77">
      <w:pPr>
        <w:ind w:firstLine="440"/>
        <w:rPr>
          <w:highlight w:val="none"/>
        </w:rPr>
      </w:pPr>
    </w:p>
    <w:p w14:paraId="5FB99F74">
      <w:pPr>
        <w:rPr>
          <w:rFonts w:ascii="宋体" w:hAnsi="宋体" w:cs="宋体"/>
          <w:color w:val="000000"/>
          <w:sz w:val="24"/>
          <w:highlight w:val="none"/>
        </w:rPr>
      </w:pPr>
      <w:r>
        <w:rPr>
          <w:rFonts w:ascii="宋体" w:hAnsi="宋体" w:cs="宋体"/>
          <w:color w:val="000000"/>
          <w:sz w:val="24"/>
          <w:highlight w:val="none"/>
        </w:rPr>
        <w:br w:type="page" w:clear="all"/>
      </w:r>
    </w:p>
    <w:p w14:paraId="62CDE621">
      <w:pPr>
        <w:spacing w:line="400" w:lineRule="exact"/>
        <w:rPr>
          <w:rFonts w:ascii="宋体" w:hAnsi="宋体" w:cs="宋体"/>
          <w:color w:val="000000"/>
          <w:sz w:val="24"/>
          <w:highlight w:val="none"/>
        </w:rPr>
      </w:pPr>
    </w:p>
    <w:p w14:paraId="2785720E">
      <w:pPr>
        <w:ind w:firstLine="442"/>
        <w:jc w:val="center"/>
        <w:rPr>
          <w:rFonts w:ascii="黑体" w:hAnsi="黑体" w:eastAsia="黑体" w:cs="黑体"/>
          <w:iCs/>
          <w:sz w:val="32"/>
          <w:szCs w:val="32"/>
          <w:highlight w:val="none"/>
        </w:rPr>
      </w:pPr>
      <w:r>
        <w:rPr>
          <w:rFonts w:hint="eastAsia" w:ascii="黑体" w:hAnsi="黑体" w:eastAsia="黑体" w:cs="黑体"/>
          <w:iCs/>
          <w:sz w:val="32"/>
          <w:szCs w:val="32"/>
          <w:highlight w:val="none"/>
        </w:rPr>
        <w:t>十</w:t>
      </w:r>
      <w:r>
        <w:rPr>
          <w:rFonts w:hint="eastAsia" w:ascii="黑体" w:hAnsi="黑体" w:eastAsia="黑体" w:cs="黑体"/>
          <w:iCs/>
          <w:sz w:val="32"/>
          <w:szCs w:val="32"/>
          <w:highlight w:val="none"/>
          <w:lang w:val="en-US" w:eastAsia="zh-CN"/>
        </w:rPr>
        <w:t>二</w:t>
      </w:r>
      <w:r>
        <w:rPr>
          <w:rFonts w:hint="eastAsia" w:ascii="黑体" w:hAnsi="黑体" w:eastAsia="黑体" w:cs="黑体"/>
          <w:iCs/>
          <w:sz w:val="32"/>
          <w:szCs w:val="32"/>
          <w:highlight w:val="none"/>
        </w:rPr>
        <w:t>、分项明细报价表</w:t>
      </w:r>
    </w:p>
    <w:p w14:paraId="433A9AE3">
      <w:pPr>
        <w:rPr>
          <w:rFonts w:ascii="宋体" w:hAnsi="宋体" w:cs="宋体"/>
          <w:sz w:val="24"/>
          <w:szCs w:val="24"/>
          <w:highlight w:val="none"/>
        </w:rPr>
      </w:pPr>
    </w:p>
    <w:p w14:paraId="049EB77B">
      <w:pPr>
        <w:rPr>
          <w:rFonts w:hint="eastAsia" w:ascii="宋体" w:hAnsi="宋体" w:cs="宋体"/>
          <w:sz w:val="21"/>
          <w:szCs w:val="21"/>
          <w:highlight w:val="none"/>
        </w:rPr>
      </w:pPr>
      <w:r>
        <w:rPr>
          <w:rFonts w:hint="eastAsia" w:ascii="宋体" w:hAnsi="宋体" w:cs="宋体"/>
          <w:sz w:val="21"/>
          <w:szCs w:val="21"/>
          <w:highlight w:val="none"/>
        </w:rPr>
        <w:t>投标人全称（加盖CA电子签章）：</w:t>
      </w:r>
    </w:p>
    <w:p w14:paraId="67455872">
      <w:pPr>
        <w:pStyle w:val="35"/>
        <w:rPr>
          <w:rFonts w:hint="eastAsia"/>
        </w:rPr>
      </w:pPr>
    </w:p>
    <w:tbl>
      <w:tblPr>
        <w:tblStyle w:val="36"/>
        <w:tblW w:w="9887"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2162"/>
        <w:gridCol w:w="975"/>
        <w:gridCol w:w="1113"/>
        <w:gridCol w:w="887"/>
        <w:gridCol w:w="1088"/>
        <w:gridCol w:w="3037"/>
      </w:tblGrid>
      <w:tr w14:paraId="1941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625" w:type="dxa"/>
            <w:vAlign w:val="center"/>
          </w:tcPr>
          <w:p w14:paraId="5B008F30">
            <w:pPr>
              <w:widowControl/>
              <w:spacing w:after="0" w:line="240" w:lineRule="auto"/>
              <w:jc w:val="center"/>
              <w:rPr>
                <w:rFonts w:hint="eastAsia" w:ascii="宋体" w:hAnsi="宋体" w:eastAsia="宋体" w:cs="宋体"/>
                <w:b/>
                <w:bCs/>
                <w:color w:val="0000FF"/>
                <w:kern w:val="0"/>
                <w:sz w:val="20"/>
                <w:szCs w:val="20"/>
                <w14:ligatures w14:val="none"/>
              </w:rPr>
            </w:pPr>
            <w:r>
              <w:rPr>
                <w:rFonts w:hint="eastAsia" w:ascii="宋体" w:hAnsi="宋体" w:eastAsia="宋体" w:cs="宋体"/>
                <w:b/>
                <w:bCs/>
                <w:color w:val="0000FF"/>
                <w:kern w:val="0"/>
                <w:sz w:val="20"/>
                <w:szCs w:val="20"/>
                <w14:ligatures w14:val="none"/>
              </w:rPr>
              <w:t>序号</w:t>
            </w:r>
          </w:p>
        </w:tc>
        <w:tc>
          <w:tcPr>
            <w:tcW w:w="2162" w:type="dxa"/>
            <w:vAlign w:val="center"/>
          </w:tcPr>
          <w:p w14:paraId="52FDFB3B">
            <w:pPr>
              <w:widowControl/>
              <w:spacing w:after="0" w:line="240" w:lineRule="auto"/>
              <w:jc w:val="center"/>
              <w:rPr>
                <w:rFonts w:hint="eastAsia" w:ascii="宋体" w:hAnsi="宋体" w:eastAsia="宋体" w:cs="宋体"/>
                <w:b/>
                <w:bCs/>
                <w:color w:val="0000FF"/>
                <w:kern w:val="0"/>
                <w:sz w:val="20"/>
                <w:szCs w:val="20"/>
                <w14:ligatures w14:val="none"/>
              </w:rPr>
            </w:pPr>
            <w:r>
              <w:rPr>
                <w:rFonts w:hint="eastAsia" w:ascii="宋体" w:hAnsi="宋体" w:eastAsia="宋体" w:cs="宋体"/>
                <w:b/>
                <w:bCs/>
                <w:color w:val="0000FF"/>
                <w:kern w:val="0"/>
                <w:sz w:val="20"/>
                <w:szCs w:val="20"/>
                <w14:ligatures w14:val="none"/>
              </w:rPr>
              <w:t>标的物名称</w:t>
            </w:r>
          </w:p>
        </w:tc>
        <w:tc>
          <w:tcPr>
            <w:tcW w:w="975" w:type="dxa"/>
            <w:vAlign w:val="center"/>
          </w:tcPr>
          <w:p w14:paraId="17BDE057">
            <w:pPr>
              <w:widowControl/>
              <w:spacing w:after="0" w:line="240" w:lineRule="auto"/>
              <w:jc w:val="center"/>
              <w:rPr>
                <w:rFonts w:hint="eastAsia" w:ascii="宋体" w:hAnsi="宋体" w:eastAsia="宋体" w:cs="宋体"/>
                <w:b/>
                <w:bCs/>
                <w:color w:val="0000FF"/>
                <w:kern w:val="0"/>
                <w:sz w:val="20"/>
                <w:szCs w:val="20"/>
                <w:lang w:eastAsia="zh-CN"/>
                <w14:ligatures w14:val="none"/>
              </w:rPr>
            </w:pPr>
            <w:r>
              <w:rPr>
                <w:rFonts w:hint="eastAsia" w:ascii="宋体" w:hAnsi="宋体" w:cs="宋体"/>
                <w:b/>
                <w:bCs/>
                <w:color w:val="0000FF"/>
                <w:kern w:val="0"/>
                <w:sz w:val="20"/>
                <w:szCs w:val="20"/>
                <w:lang w:eastAsia="zh-CN"/>
                <w14:ligatures w14:val="none"/>
              </w:rPr>
              <w:t>时间（月）</w:t>
            </w:r>
          </w:p>
        </w:tc>
        <w:tc>
          <w:tcPr>
            <w:tcW w:w="1113" w:type="dxa"/>
            <w:vAlign w:val="center"/>
          </w:tcPr>
          <w:p w14:paraId="6AD32720">
            <w:pPr>
              <w:widowControl/>
              <w:spacing w:after="0" w:line="240" w:lineRule="auto"/>
              <w:jc w:val="center"/>
              <w:rPr>
                <w:rFonts w:hint="eastAsia" w:ascii="宋体" w:hAnsi="宋体" w:eastAsia="宋体" w:cs="宋体"/>
                <w:b/>
                <w:bCs/>
                <w:color w:val="0000FF"/>
                <w:kern w:val="0"/>
                <w:sz w:val="20"/>
                <w:szCs w:val="20"/>
                <w:lang w:eastAsia="zh-CN"/>
                <w14:ligatures w14:val="none"/>
              </w:rPr>
            </w:pPr>
            <w:r>
              <w:rPr>
                <w:rFonts w:hint="eastAsia" w:ascii="宋体" w:hAnsi="宋体" w:eastAsia="宋体" w:cs="宋体"/>
                <w:b/>
                <w:bCs/>
                <w:color w:val="0000FF"/>
                <w:kern w:val="0"/>
                <w:sz w:val="20"/>
                <w:szCs w:val="20"/>
                <w14:ligatures w14:val="none"/>
              </w:rPr>
              <w:t>单价（元/</w:t>
            </w:r>
            <w:r>
              <w:rPr>
                <w:rFonts w:hint="eastAsia" w:ascii="宋体" w:hAnsi="宋体" w:cs="宋体"/>
                <w:b/>
                <w:bCs/>
                <w:color w:val="0000FF"/>
                <w:kern w:val="0"/>
                <w:sz w:val="20"/>
                <w:szCs w:val="20"/>
                <w:lang w:eastAsia="zh-CN"/>
                <w14:ligatures w14:val="none"/>
              </w:rPr>
              <w:t>月</w:t>
            </w:r>
            <w:r>
              <w:rPr>
                <w:rFonts w:hint="eastAsia" w:ascii="宋体" w:hAnsi="宋体" w:eastAsia="宋体" w:cs="宋体"/>
                <w:b/>
                <w:bCs/>
                <w:color w:val="0000FF"/>
                <w:kern w:val="0"/>
                <w:sz w:val="20"/>
                <w:szCs w:val="20"/>
                <w14:ligatures w14:val="none"/>
              </w:rPr>
              <w:t>）</w:t>
            </w:r>
          </w:p>
        </w:tc>
        <w:tc>
          <w:tcPr>
            <w:tcW w:w="887" w:type="dxa"/>
            <w:vAlign w:val="center"/>
          </w:tcPr>
          <w:p w14:paraId="5945FAD3">
            <w:pPr>
              <w:widowControl/>
              <w:spacing w:after="0" w:line="240" w:lineRule="auto"/>
              <w:jc w:val="center"/>
              <w:rPr>
                <w:rFonts w:hint="eastAsia" w:ascii="宋体" w:hAnsi="宋体" w:eastAsia="宋体" w:cs="宋体"/>
                <w:b/>
                <w:bCs/>
                <w:color w:val="0000FF"/>
                <w:kern w:val="0"/>
                <w:sz w:val="20"/>
                <w:szCs w:val="20"/>
                <w14:ligatures w14:val="none"/>
              </w:rPr>
            </w:pPr>
            <w:r>
              <w:rPr>
                <w:rFonts w:hint="eastAsia" w:ascii="宋体" w:hAnsi="宋体" w:eastAsia="宋体" w:cs="宋体"/>
                <w:b/>
                <w:bCs/>
                <w:color w:val="0000FF"/>
                <w:kern w:val="0"/>
                <w:sz w:val="20"/>
                <w:szCs w:val="20"/>
                <w14:ligatures w14:val="none"/>
              </w:rPr>
              <w:t>数量</w:t>
            </w:r>
            <w:r>
              <w:rPr>
                <w:rFonts w:hint="eastAsia" w:ascii="宋体" w:hAnsi="宋体" w:cs="宋体"/>
                <w:b/>
                <w:bCs/>
                <w:color w:val="0000FF"/>
                <w:kern w:val="0"/>
                <w:sz w:val="20"/>
                <w:szCs w:val="20"/>
                <w:lang w:eastAsia="zh-CN"/>
                <w14:ligatures w14:val="none"/>
              </w:rPr>
              <w:t>（人）</w:t>
            </w:r>
          </w:p>
        </w:tc>
        <w:tc>
          <w:tcPr>
            <w:tcW w:w="1088" w:type="dxa"/>
            <w:vAlign w:val="center"/>
          </w:tcPr>
          <w:p w14:paraId="7C438CDB">
            <w:pPr>
              <w:widowControl/>
              <w:spacing w:after="0" w:line="240" w:lineRule="auto"/>
              <w:jc w:val="center"/>
              <w:rPr>
                <w:rFonts w:hint="eastAsia" w:ascii="宋体" w:hAnsi="宋体" w:eastAsia="宋体" w:cs="宋体"/>
                <w:b/>
                <w:bCs/>
                <w:color w:val="0000FF"/>
                <w:kern w:val="0"/>
                <w:sz w:val="20"/>
                <w:szCs w:val="20"/>
                <w14:ligatures w14:val="none"/>
              </w:rPr>
            </w:pPr>
            <w:r>
              <w:rPr>
                <w:rFonts w:hint="eastAsia" w:ascii="宋体" w:hAnsi="宋体" w:cs="宋体"/>
                <w:b/>
                <w:bCs/>
                <w:color w:val="0000FF"/>
                <w:kern w:val="0"/>
                <w:sz w:val="20"/>
                <w:szCs w:val="20"/>
                <w:lang w:eastAsia="zh-CN"/>
                <w14:ligatures w14:val="none"/>
              </w:rPr>
              <w:t>合计</w:t>
            </w:r>
            <w:r>
              <w:rPr>
                <w:rFonts w:hint="eastAsia" w:ascii="宋体" w:hAnsi="宋体" w:eastAsia="宋体" w:cs="宋体"/>
                <w:b/>
                <w:bCs/>
                <w:color w:val="0000FF"/>
                <w:kern w:val="0"/>
                <w:sz w:val="20"/>
                <w:szCs w:val="20"/>
                <w14:ligatures w14:val="none"/>
              </w:rPr>
              <w:t>（元/年）</w:t>
            </w:r>
          </w:p>
        </w:tc>
        <w:tc>
          <w:tcPr>
            <w:tcW w:w="3037" w:type="dxa"/>
            <w:vAlign w:val="center"/>
          </w:tcPr>
          <w:p w14:paraId="2361F8A2">
            <w:pPr>
              <w:widowControl/>
              <w:spacing w:after="0" w:line="240" w:lineRule="auto"/>
              <w:jc w:val="center"/>
              <w:rPr>
                <w:rFonts w:hint="eastAsia" w:ascii="宋体" w:hAnsi="宋体" w:eastAsia="宋体" w:cs="宋体"/>
                <w:b/>
                <w:bCs/>
                <w:color w:val="0000FF"/>
                <w:kern w:val="0"/>
                <w:sz w:val="20"/>
                <w:szCs w:val="20"/>
                <w:lang w:eastAsia="zh-CN"/>
                <w14:ligatures w14:val="none"/>
              </w:rPr>
            </w:pPr>
            <w:r>
              <w:rPr>
                <w:rFonts w:hint="eastAsia" w:ascii="宋体" w:hAnsi="宋体" w:cs="宋体"/>
                <w:b/>
                <w:bCs/>
                <w:color w:val="0000FF"/>
                <w:kern w:val="0"/>
                <w:sz w:val="20"/>
                <w:szCs w:val="20"/>
                <w:lang w:eastAsia="zh-CN"/>
                <w14:ligatures w14:val="none"/>
              </w:rPr>
              <w:t>备注</w:t>
            </w:r>
          </w:p>
        </w:tc>
      </w:tr>
      <w:tr w14:paraId="3C2C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25" w:type="dxa"/>
            <w:vAlign w:val="center"/>
          </w:tcPr>
          <w:p w14:paraId="70BA4AB2">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14:ligatures w14:val="none"/>
              </w:rPr>
              <w:t>1</w:t>
            </w:r>
          </w:p>
        </w:tc>
        <w:tc>
          <w:tcPr>
            <w:tcW w:w="2162" w:type="dxa"/>
            <w:vAlign w:val="center"/>
          </w:tcPr>
          <w:p w14:paraId="0C64A733">
            <w:pPr>
              <w:widowControl/>
              <w:spacing w:after="0" w:line="240" w:lineRule="auto"/>
              <w:jc w:val="center"/>
              <w:rPr>
                <w:rFonts w:hint="default" w:ascii="宋体" w:hAnsi="宋体" w:eastAsia="宋体" w:cs="宋体"/>
                <w:b/>
                <w:bCs/>
                <w:color w:val="0000FF"/>
                <w:kern w:val="0"/>
                <w:sz w:val="20"/>
                <w:szCs w:val="20"/>
                <w:lang w:val="en-US" w:eastAsia="zh-CN"/>
                <w14:ligatures w14:val="none"/>
              </w:rPr>
            </w:pPr>
            <w:r>
              <w:rPr>
                <w:rFonts w:hint="eastAsia" w:ascii="宋体" w:hAnsi="宋体" w:cs="宋体"/>
                <w:b w:val="0"/>
                <w:bCs w:val="0"/>
                <w:color w:val="0000FF"/>
                <w:kern w:val="0"/>
                <w:sz w:val="20"/>
                <w:szCs w:val="20"/>
                <w:lang w:val="en-US" w:eastAsia="zh-CN"/>
                <w14:ligatures w14:val="none"/>
              </w:rPr>
              <w:t>人员工资</w:t>
            </w:r>
          </w:p>
        </w:tc>
        <w:tc>
          <w:tcPr>
            <w:tcW w:w="2975" w:type="dxa"/>
            <w:gridSpan w:val="3"/>
            <w:vAlign w:val="center"/>
          </w:tcPr>
          <w:p w14:paraId="4DAFAED3">
            <w:pPr>
              <w:widowControl/>
              <w:spacing w:after="0" w:line="240" w:lineRule="auto"/>
              <w:jc w:val="center"/>
              <w:rPr>
                <w:rFonts w:hint="eastAsia" w:ascii="宋体" w:hAnsi="宋体" w:eastAsia="宋体" w:cs="宋体"/>
                <w:b/>
                <w:bCs/>
                <w:color w:val="0000FF"/>
                <w:kern w:val="0"/>
                <w:sz w:val="20"/>
                <w:szCs w:val="20"/>
                <w14:ligatures w14:val="none"/>
              </w:rPr>
            </w:pPr>
          </w:p>
        </w:tc>
        <w:tc>
          <w:tcPr>
            <w:tcW w:w="1088" w:type="dxa"/>
            <w:vAlign w:val="center"/>
          </w:tcPr>
          <w:p w14:paraId="18EF96BA">
            <w:pPr>
              <w:widowControl/>
              <w:spacing w:after="0" w:line="240" w:lineRule="auto"/>
              <w:jc w:val="center"/>
              <w:rPr>
                <w:rFonts w:hint="default" w:ascii="宋体" w:hAnsi="宋体" w:eastAsia="宋体" w:cs="宋体"/>
                <w:b/>
                <w:bCs/>
                <w:color w:val="0000FF"/>
                <w:kern w:val="0"/>
                <w:sz w:val="20"/>
                <w:szCs w:val="20"/>
                <w:lang w:val="en-US" w:eastAsia="zh-CN"/>
                <w14:ligatures w14:val="none"/>
              </w:rPr>
            </w:pPr>
          </w:p>
        </w:tc>
        <w:tc>
          <w:tcPr>
            <w:tcW w:w="3037" w:type="dxa"/>
            <w:vAlign w:val="center"/>
          </w:tcPr>
          <w:p w14:paraId="4BA07F78">
            <w:pPr>
              <w:widowControl/>
              <w:spacing w:after="0" w:line="240" w:lineRule="auto"/>
              <w:jc w:val="center"/>
              <w:rPr>
                <w:rFonts w:hint="default" w:ascii="宋体" w:hAnsi="宋体" w:eastAsia="宋体" w:cs="宋体"/>
                <w:b/>
                <w:bCs/>
                <w:color w:val="0000FF"/>
                <w:kern w:val="0"/>
                <w:sz w:val="20"/>
                <w:szCs w:val="20"/>
                <w:lang w:val="en-US" w:eastAsia="zh-CN"/>
                <w14:ligatures w14:val="none"/>
              </w:rPr>
            </w:pPr>
            <w:r>
              <w:rPr>
                <w:rFonts w:hint="eastAsia" w:ascii="宋体" w:hAnsi="宋体" w:eastAsia="宋体" w:cs="宋体"/>
                <w:b/>
                <w:bCs/>
                <w:color w:val="0000FF"/>
                <w:kern w:val="0"/>
                <w:sz w:val="20"/>
                <w:szCs w:val="20"/>
                <w:lang w:val="en-US" w:eastAsia="zh-CN"/>
                <w14:ligatures w14:val="none"/>
              </w:rPr>
              <w:t>备注栏内要求必须完全响应否则作无效标书处理</w:t>
            </w:r>
          </w:p>
        </w:tc>
      </w:tr>
      <w:tr w14:paraId="4D96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25" w:type="dxa"/>
            <w:vMerge w:val="restart"/>
            <w:vAlign w:val="center"/>
          </w:tcPr>
          <w:p w14:paraId="68BFBBCE">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lang w:val="en-US" w:eastAsia="zh-CN"/>
                <w14:ligatures w14:val="none"/>
              </w:rPr>
              <w:t>1.1</w:t>
            </w:r>
            <w:r>
              <w:rPr>
                <w:rFonts w:hint="eastAsia" w:ascii="宋体" w:hAnsi="宋体" w:eastAsia="宋体" w:cs="宋体"/>
                <w:color w:val="0000FF"/>
                <w:kern w:val="0"/>
                <w:sz w:val="20"/>
                <w:szCs w:val="20"/>
                <w14:ligatures w14:val="none"/>
              </w:rPr>
              <w:t>　</w:t>
            </w:r>
          </w:p>
        </w:tc>
        <w:tc>
          <w:tcPr>
            <w:tcW w:w="2162" w:type="dxa"/>
            <w:vAlign w:val="center"/>
          </w:tcPr>
          <w:p w14:paraId="03DF557F">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14:ligatures w14:val="none"/>
              </w:rPr>
              <w:t>保洁人员</w:t>
            </w:r>
          </w:p>
        </w:tc>
        <w:tc>
          <w:tcPr>
            <w:tcW w:w="975" w:type="dxa"/>
            <w:vAlign w:val="center"/>
          </w:tcPr>
          <w:p w14:paraId="07871CDC">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eastAsia="宋体" w:cs="宋体"/>
                <w:color w:val="0000FF"/>
                <w:kern w:val="0"/>
                <w:sz w:val="20"/>
                <w:szCs w:val="20"/>
                <w:lang w:val="en-US" w:eastAsia="zh-CN"/>
                <w14:ligatures w14:val="none"/>
              </w:rPr>
              <w:t>12</w:t>
            </w:r>
          </w:p>
        </w:tc>
        <w:tc>
          <w:tcPr>
            <w:tcW w:w="1113" w:type="dxa"/>
            <w:vAlign w:val="center"/>
          </w:tcPr>
          <w:p w14:paraId="06AC5BCB">
            <w:pPr>
              <w:widowControl/>
              <w:spacing w:after="0" w:line="240" w:lineRule="auto"/>
              <w:jc w:val="center"/>
              <w:rPr>
                <w:rFonts w:hint="eastAsia" w:ascii="宋体" w:hAnsi="宋体" w:eastAsia="宋体" w:cs="宋体"/>
                <w:color w:val="0000FF"/>
                <w:kern w:val="0"/>
                <w:sz w:val="20"/>
                <w:szCs w:val="20"/>
                <w14:ligatures w14:val="none"/>
              </w:rPr>
            </w:pPr>
          </w:p>
        </w:tc>
        <w:tc>
          <w:tcPr>
            <w:tcW w:w="887" w:type="dxa"/>
            <w:shd w:val="clear" w:color="auto" w:fill="auto"/>
            <w:vAlign w:val="center"/>
          </w:tcPr>
          <w:p w14:paraId="4ADD32B0">
            <w:pPr>
              <w:widowControl/>
              <w:spacing w:after="0" w:line="240" w:lineRule="auto"/>
              <w:jc w:val="center"/>
              <w:rPr>
                <w:rFonts w:hint="default" w:ascii="宋体" w:hAnsi="宋体" w:eastAsia="宋体" w:cs="宋体"/>
                <w:color w:val="0000FF"/>
                <w:kern w:val="0"/>
                <w:sz w:val="20"/>
                <w:szCs w:val="20"/>
                <w:lang w:val="en-US" w:eastAsia="zh-CN" w:bidi="ar-SA"/>
                <w14:ligatures w14:val="none"/>
              </w:rPr>
            </w:pPr>
            <w:r>
              <w:rPr>
                <w:rFonts w:hint="eastAsia" w:ascii="宋体" w:hAnsi="宋体" w:eastAsia="宋体" w:cs="宋体"/>
                <w:color w:val="0000FF"/>
                <w:kern w:val="0"/>
                <w:sz w:val="20"/>
                <w:szCs w:val="20"/>
                <w14:ligatures w14:val="none"/>
              </w:rPr>
              <w:t>4</w:t>
            </w:r>
          </w:p>
        </w:tc>
        <w:tc>
          <w:tcPr>
            <w:tcW w:w="1088" w:type="dxa"/>
            <w:vAlign w:val="center"/>
          </w:tcPr>
          <w:p w14:paraId="780C6D84">
            <w:pPr>
              <w:widowControl/>
              <w:spacing w:after="0" w:line="240" w:lineRule="auto"/>
              <w:jc w:val="center"/>
              <w:rPr>
                <w:rFonts w:hint="default" w:ascii="宋体" w:hAnsi="宋体" w:eastAsia="宋体" w:cs="宋体"/>
                <w:color w:val="0000FF"/>
                <w:kern w:val="0"/>
                <w:sz w:val="20"/>
                <w:szCs w:val="20"/>
                <w:lang w:val="en-US" w:eastAsia="zh-CN"/>
                <w14:ligatures w14:val="none"/>
              </w:rPr>
            </w:pPr>
          </w:p>
        </w:tc>
        <w:tc>
          <w:tcPr>
            <w:tcW w:w="3037" w:type="dxa"/>
            <w:vMerge w:val="restart"/>
            <w:vAlign w:val="center"/>
          </w:tcPr>
          <w:p w14:paraId="4B0B55D3">
            <w:pPr>
              <w:widowControl/>
              <w:spacing w:after="0" w:line="240" w:lineRule="auto"/>
              <w:jc w:val="center"/>
              <w:rPr>
                <w:rFonts w:hint="default" w:ascii="宋体" w:hAnsi="宋体" w:eastAsia="宋体" w:cs="宋体"/>
                <w:color w:val="0000FF"/>
                <w:kern w:val="0"/>
                <w:sz w:val="18"/>
                <w:szCs w:val="18"/>
                <w:lang w:val="en-US" w:eastAsia="zh-CN"/>
                <w14:ligatures w14:val="none"/>
              </w:rPr>
            </w:pPr>
            <w:r>
              <w:rPr>
                <w:rFonts w:hint="eastAsia" w:ascii="宋体" w:hAnsi="宋体" w:eastAsia="宋体" w:cs="宋体"/>
                <w:color w:val="0000FF"/>
                <w:kern w:val="0"/>
                <w:sz w:val="18"/>
                <w:szCs w:val="18"/>
                <w:lang w:val="zh-CN"/>
                <w14:ligatures w14:val="none"/>
              </w:rPr>
              <w:t>所有工作人员基本工资不低于本市最低工资标准2</w:t>
            </w:r>
            <w:r>
              <w:rPr>
                <w:rFonts w:hint="eastAsia" w:ascii="宋体" w:hAnsi="宋体" w:cs="宋体"/>
                <w:color w:val="0000FF"/>
                <w:kern w:val="0"/>
                <w:sz w:val="18"/>
                <w:szCs w:val="18"/>
                <w:lang w:val="en-US" w:eastAsia="zh-CN"/>
                <w14:ligatures w14:val="none"/>
              </w:rPr>
              <w:t>430</w:t>
            </w:r>
            <w:r>
              <w:rPr>
                <w:rFonts w:hint="eastAsia" w:ascii="宋体" w:hAnsi="宋体" w:eastAsia="宋体" w:cs="宋体"/>
                <w:color w:val="0000FF"/>
                <w:kern w:val="0"/>
                <w:sz w:val="18"/>
                <w:szCs w:val="18"/>
                <w:lang w:val="zh-CN"/>
                <w14:ligatures w14:val="none"/>
              </w:rPr>
              <w:t>元/人</w:t>
            </w:r>
            <w:r>
              <w:rPr>
                <w:rFonts w:hint="eastAsia" w:ascii="宋体" w:hAnsi="宋体" w:cs="宋体"/>
                <w:color w:val="0000FF"/>
                <w:kern w:val="0"/>
                <w:sz w:val="18"/>
                <w:szCs w:val="18"/>
                <w:lang w:val="en-US" w:eastAsia="zh-CN"/>
                <w14:ligatures w14:val="none"/>
              </w:rPr>
              <w:t>/</w:t>
            </w:r>
            <w:r>
              <w:rPr>
                <w:rFonts w:hint="eastAsia" w:ascii="宋体" w:hAnsi="宋体" w:eastAsia="宋体" w:cs="宋体"/>
                <w:color w:val="0000FF"/>
                <w:kern w:val="0"/>
                <w:sz w:val="18"/>
                <w:szCs w:val="18"/>
                <w:lang w:val="zh-CN"/>
                <w14:ligatures w14:val="none"/>
              </w:rPr>
              <w:t>月，所提供人员的费用（人工工资）不得低于上述标准进行测算，</w:t>
            </w:r>
            <w:r>
              <w:rPr>
                <w:rFonts w:hint="eastAsia" w:ascii="宋体" w:hAnsi="宋体" w:eastAsia="宋体" w:cs="宋体"/>
                <w:color w:val="0000FF"/>
                <w:kern w:val="0"/>
                <w:sz w:val="18"/>
                <w:szCs w:val="18"/>
                <w:lang w:val="en-US" w:eastAsia="zh-CN"/>
                <w14:ligatures w14:val="none"/>
              </w:rPr>
              <w:t>否则将视为未实质性响应招标文件要求。</w:t>
            </w:r>
          </w:p>
        </w:tc>
      </w:tr>
      <w:tr w14:paraId="6DD3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25" w:type="dxa"/>
            <w:vMerge w:val="continue"/>
            <w:vAlign w:val="center"/>
          </w:tcPr>
          <w:p w14:paraId="1B194510">
            <w:pPr>
              <w:widowControl/>
              <w:spacing w:after="0" w:line="240" w:lineRule="auto"/>
              <w:jc w:val="center"/>
              <w:rPr>
                <w:rFonts w:hint="eastAsia" w:ascii="宋体" w:hAnsi="宋体" w:eastAsia="宋体" w:cs="宋体"/>
                <w:color w:val="0000FF"/>
                <w:kern w:val="0"/>
                <w:sz w:val="20"/>
                <w:szCs w:val="20"/>
                <w14:ligatures w14:val="none"/>
              </w:rPr>
            </w:pPr>
          </w:p>
        </w:tc>
        <w:tc>
          <w:tcPr>
            <w:tcW w:w="2162" w:type="dxa"/>
            <w:vAlign w:val="center"/>
          </w:tcPr>
          <w:p w14:paraId="4F3C7C58">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14:ligatures w14:val="none"/>
              </w:rPr>
              <w:t>保安人员</w:t>
            </w:r>
          </w:p>
        </w:tc>
        <w:tc>
          <w:tcPr>
            <w:tcW w:w="975" w:type="dxa"/>
            <w:vAlign w:val="center"/>
          </w:tcPr>
          <w:p w14:paraId="52903750">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lang w:val="en-US" w:eastAsia="zh-CN"/>
                <w14:ligatures w14:val="none"/>
              </w:rPr>
              <w:t>12</w:t>
            </w:r>
          </w:p>
        </w:tc>
        <w:tc>
          <w:tcPr>
            <w:tcW w:w="1113" w:type="dxa"/>
            <w:vAlign w:val="center"/>
          </w:tcPr>
          <w:p w14:paraId="15847B22">
            <w:pPr>
              <w:widowControl/>
              <w:spacing w:after="0" w:line="240" w:lineRule="auto"/>
              <w:jc w:val="center"/>
              <w:rPr>
                <w:rFonts w:hint="eastAsia" w:ascii="宋体" w:hAnsi="宋体" w:eastAsia="宋体" w:cs="宋体"/>
                <w:color w:val="0000FF"/>
                <w:kern w:val="0"/>
                <w:sz w:val="20"/>
                <w:szCs w:val="20"/>
                <w14:ligatures w14:val="none"/>
              </w:rPr>
            </w:pPr>
          </w:p>
        </w:tc>
        <w:tc>
          <w:tcPr>
            <w:tcW w:w="887" w:type="dxa"/>
            <w:shd w:val="clear" w:color="auto" w:fill="auto"/>
            <w:vAlign w:val="center"/>
          </w:tcPr>
          <w:p w14:paraId="6C745EB0">
            <w:pPr>
              <w:widowControl/>
              <w:spacing w:after="0" w:line="240" w:lineRule="auto"/>
              <w:jc w:val="center"/>
              <w:rPr>
                <w:rFonts w:hint="eastAsia" w:ascii="宋体" w:hAnsi="宋体" w:eastAsia="宋体" w:cs="宋体"/>
                <w:color w:val="0000FF"/>
                <w:kern w:val="0"/>
                <w:sz w:val="20"/>
                <w:szCs w:val="20"/>
                <w:lang w:val="en-US" w:eastAsia="zh-CN" w:bidi="ar-SA"/>
                <w14:ligatures w14:val="none"/>
              </w:rPr>
            </w:pPr>
            <w:r>
              <w:rPr>
                <w:rFonts w:hint="eastAsia" w:ascii="宋体" w:hAnsi="宋体" w:eastAsia="宋体" w:cs="宋体"/>
                <w:color w:val="0000FF"/>
                <w:kern w:val="0"/>
                <w:sz w:val="20"/>
                <w:szCs w:val="20"/>
                <w14:ligatures w14:val="none"/>
              </w:rPr>
              <w:t>3</w:t>
            </w:r>
          </w:p>
        </w:tc>
        <w:tc>
          <w:tcPr>
            <w:tcW w:w="1088" w:type="dxa"/>
            <w:vAlign w:val="center"/>
          </w:tcPr>
          <w:p w14:paraId="229B66C0">
            <w:pPr>
              <w:widowControl/>
              <w:spacing w:after="0" w:line="240" w:lineRule="auto"/>
              <w:jc w:val="center"/>
              <w:rPr>
                <w:rFonts w:hint="default" w:ascii="宋体" w:hAnsi="宋体" w:eastAsia="宋体" w:cs="宋体"/>
                <w:color w:val="0000FF"/>
                <w:kern w:val="0"/>
                <w:sz w:val="20"/>
                <w:szCs w:val="20"/>
                <w:lang w:val="en-US" w:eastAsia="zh-CN"/>
                <w14:ligatures w14:val="none"/>
              </w:rPr>
            </w:pPr>
          </w:p>
        </w:tc>
        <w:tc>
          <w:tcPr>
            <w:tcW w:w="3037" w:type="dxa"/>
            <w:vMerge w:val="continue"/>
            <w:vAlign w:val="center"/>
          </w:tcPr>
          <w:p w14:paraId="00E0D676">
            <w:pPr>
              <w:widowControl/>
              <w:spacing w:after="0" w:line="240" w:lineRule="auto"/>
              <w:jc w:val="center"/>
              <w:rPr>
                <w:rFonts w:hint="default" w:ascii="宋体" w:hAnsi="宋体" w:eastAsia="宋体" w:cs="宋体"/>
                <w:color w:val="0000FF"/>
                <w:kern w:val="0"/>
                <w:sz w:val="18"/>
                <w:szCs w:val="18"/>
                <w:lang w:val="en-US" w:eastAsia="zh-CN"/>
                <w14:ligatures w14:val="none"/>
              </w:rPr>
            </w:pPr>
          </w:p>
        </w:tc>
      </w:tr>
      <w:tr w14:paraId="60E4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625" w:type="dxa"/>
            <w:vAlign w:val="center"/>
          </w:tcPr>
          <w:p w14:paraId="745D685B">
            <w:pPr>
              <w:widowControl/>
              <w:spacing w:after="0" w:line="240" w:lineRule="auto"/>
              <w:jc w:val="center"/>
              <w:rPr>
                <w:rFonts w:hint="eastAsia"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2</w:t>
            </w:r>
          </w:p>
        </w:tc>
        <w:tc>
          <w:tcPr>
            <w:tcW w:w="2162" w:type="dxa"/>
            <w:vAlign w:val="center"/>
          </w:tcPr>
          <w:p w14:paraId="088598C5">
            <w:pPr>
              <w:widowControl/>
              <w:spacing w:after="0" w:line="240" w:lineRule="auto"/>
              <w:jc w:val="center"/>
              <w:rPr>
                <w:rFonts w:hint="eastAsia" w:ascii="宋体" w:hAnsi="宋体" w:eastAsia="宋体" w:cs="宋体"/>
                <w:color w:val="0000FF"/>
                <w:kern w:val="0"/>
                <w:sz w:val="20"/>
                <w:szCs w:val="20"/>
                <w:lang w:eastAsia="zh-CN"/>
                <w14:ligatures w14:val="none"/>
              </w:rPr>
            </w:pPr>
            <w:r>
              <w:rPr>
                <w:rFonts w:hint="eastAsia" w:ascii="宋体" w:hAnsi="宋体" w:eastAsia="宋体" w:cs="宋体"/>
                <w:color w:val="0000FF"/>
                <w:kern w:val="0"/>
                <w:sz w:val="20"/>
                <w:szCs w:val="20"/>
                <w:lang w:eastAsia="zh-CN"/>
                <w14:ligatures w14:val="none"/>
              </w:rPr>
              <w:t>国家</w:t>
            </w:r>
            <w:r>
              <w:rPr>
                <w:rFonts w:hint="eastAsia" w:ascii="宋体" w:hAnsi="宋体" w:cs="宋体"/>
                <w:color w:val="0000FF"/>
                <w:kern w:val="0"/>
                <w:sz w:val="20"/>
                <w:szCs w:val="20"/>
                <w:lang w:val="en-US" w:eastAsia="zh-CN"/>
                <w14:ligatures w14:val="none"/>
              </w:rPr>
              <w:t>法定节假日</w:t>
            </w:r>
            <w:r>
              <w:rPr>
                <w:rFonts w:hint="eastAsia" w:ascii="宋体" w:hAnsi="宋体" w:eastAsia="宋体" w:cs="宋体"/>
                <w:color w:val="0000FF"/>
                <w:kern w:val="0"/>
                <w:sz w:val="20"/>
                <w:szCs w:val="20"/>
                <w:lang w:eastAsia="zh-CN"/>
                <w14:ligatures w14:val="none"/>
              </w:rPr>
              <w:t>加班费</w:t>
            </w:r>
          </w:p>
        </w:tc>
        <w:tc>
          <w:tcPr>
            <w:tcW w:w="975" w:type="dxa"/>
            <w:vAlign w:val="center"/>
          </w:tcPr>
          <w:p w14:paraId="47317434">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lang w:val="en-US" w:eastAsia="zh-CN"/>
                <w14:ligatures w14:val="none"/>
              </w:rPr>
              <w:t>12</w:t>
            </w:r>
          </w:p>
        </w:tc>
        <w:tc>
          <w:tcPr>
            <w:tcW w:w="1113" w:type="dxa"/>
            <w:vAlign w:val="center"/>
          </w:tcPr>
          <w:p w14:paraId="3A011FBE">
            <w:pPr>
              <w:widowControl/>
              <w:spacing w:after="0" w:line="240" w:lineRule="auto"/>
              <w:jc w:val="center"/>
              <w:rPr>
                <w:rFonts w:hint="eastAsia" w:ascii="宋体" w:hAnsi="宋体" w:eastAsia="宋体" w:cs="宋体"/>
                <w:color w:val="0000FF"/>
                <w:kern w:val="0"/>
                <w:sz w:val="20"/>
                <w:szCs w:val="20"/>
                <w:lang w:val="en-US" w:eastAsia="zh-CN"/>
                <w14:ligatures w14:val="none"/>
              </w:rPr>
            </w:pPr>
          </w:p>
        </w:tc>
        <w:tc>
          <w:tcPr>
            <w:tcW w:w="887" w:type="dxa"/>
            <w:shd w:val="clear" w:color="auto" w:fill="auto"/>
            <w:vAlign w:val="center"/>
          </w:tcPr>
          <w:p w14:paraId="42EEF1C3">
            <w:pPr>
              <w:widowControl/>
              <w:spacing w:after="0" w:line="240" w:lineRule="auto"/>
              <w:jc w:val="center"/>
              <w:rPr>
                <w:rFonts w:hint="eastAsia" w:ascii="宋体" w:hAnsi="宋体" w:eastAsia="宋体" w:cs="宋体"/>
                <w:color w:val="0000FF"/>
                <w:kern w:val="0"/>
                <w:sz w:val="20"/>
                <w:szCs w:val="20"/>
                <w:lang w:val="en-US" w:eastAsia="zh-CN" w:bidi="ar-SA"/>
                <w14:ligatures w14:val="none"/>
              </w:rPr>
            </w:pPr>
            <w:r>
              <w:rPr>
                <w:rFonts w:hint="eastAsia" w:ascii="宋体" w:hAnsi="宋体" w:cs="宋体"/>
                <w:color w:val="0000FF"/>
                <w:kern w:val="0"/>
                <w:sz w:val="20"/>
                <w:szCs w:val="20"/>
                <w:lang w:val="en-US" w:eastAsia="zh-CN"/>
                <w14:ligatures w14:val="none"/>
              </w:rPr>
              <w:t>4</w:t>
            </w:r>
          </w:p>
        </w:tc>
        <w:tc>
          <w:tcPr>
            <w:tcW w:w="1088" w:type="dxa"/>
            <w:vAlign w:val="center"/>
          </w:tcPr>
          <w:p w14:paraId="0A02E48F">
            <w:pPr>
              <w:widowControl/>
              <w:spacing w:after="0" w:line="240" w:lineRule="auto"/>
              <w:jc w:val="center"/>
              <w:rPr>
                <w:rFonts w:hint="eastAsia" w:ascii="宋体" w:hAnsi="宋体" w:eastAsia="宋体" w:cs="宋体"/>
                <w:color w:val="0000FF"/>
                <w:kern w:val="0"/>
                <w:sz w:val="20"/>
                <w:szCs w:val="20"/>
                <w14:ligatures w14:val="none"/>
              </w:rPr>
            </w:pPr>
          </w:p>
        </w:tc>
        <w:tc>
          <w:tcPr>
            <w:tcW w:w="3037" w:type="dxa"/>
            <w:vAlign w:val="center"/>
          </w:tcPr>
          <w:p w14:paraId="03D80B2D">
            <w:pPr>
              <w:widowControl/>
              <w:spacing w:after="0" w:line="240" w:lineRule="auto"/>
              <w:jc w:val="center"/>
              <w:rPr>
                <w:rFonts w:hint="default" w:ascii="宋体" w:hAnsi="宋体" w:eastAsia="宋体" w:cs="宋体"/>
                <w:color w:val="0000FF"/>
                <w:kern w:val="0"/>
                <w:sz w:val="18"/>
                <w:szCs w:val="18"/>
                <w:lang w:val="en-US" w:eastAsia="zh-CN"/>
                <w14:ligatures w14:val="none"/>
              </w:rPr>
            </w:pPr>
            <w:r>
              <w:rPr>
                <w:rFonts w:hint="eastAsia" w:ascii="宋体" w:hAnsi="宋体" w:eastAsia="宋体" w:cs="宋体"/>
                <w:color w:val="0000FF"/>
                <w:kern w:val="0"/>
                <w:sz w:val="18"/>
                <w:szCs w:val="18"/>
                <w:lang w:val="zh-CN" w:eastAsia="zh-CN"/>
                <w14:ligatures w14:val="none"/>
              </w:rPr>
              <w:t>每年国假加班天数为</w:t>
            </w:r>
            <w:r>
              <w:rPr>
                <w:rFonts w:hint="eastAsia" w:ascii="宋体" w:hAnsi="宋体" w:eastAsia="宋体" w:cs="宋体"/>
                <w:color w:val="0000FF"/>
                <w:kern w:val="0"/>
                <w:sz w:val="18"/>
                <w:szCs w:val="18"/>
                <w:lang w:val="en-US" w:eastAsia="zh-CN"/>
                <w14:ligatures w14:val="none"/>
              </w:rPr>
              <w:t>13天，各投标人须按</w:t>
            </w:r>
            <w:r>
              <w:rPr>
                <w:rFonts w:hint="eastAsia" w:ascii="宋体" w:hAnsi="宋体" w:eastAsia="宋体" w:cs="宋体"/>
                <w:color w:val="0000FF"/>
                <w:kern w:val="0"/>
                <w:sz w:val="18"/>
                <w:szCs w:val="18"/>
                <w:lang w:val="zh-CN"/>
                <w14:ligatures w14:val="none"/>
              </w:rPr>
              <w:t>不低于</w:t>
            </w:r>
            <w:r>
              <w:rPr>
                <w:rFonts w:hint="eastAsia" w:ascii="宋体" w:hAnsi="宋体" w:cs="宋体"/>
                <w:color w:val="0000FF"/>
                <w:kern w:val="0"/>
                <w:sz w:val="18"/>
                <w:szCs w:val="18"/>
                <w:lang w:val="en-US" w:eastAsia="zh-CN"/>
                <w14:ligatures w14:val="none"/>
              </w:rPr>
              <w:t>4357.25</w:t>
            </w:r>
            <w:r>
              <w:rPr>
                <w:rFonts w:hint="eastAsia" w:ascii="宋体" w:hAnsi="宋体" w:eastAsia="宋体" w:cs="宋体"/>
                <w:color w:val="0000FF"/>
                <w:kern w:val="0"/>
                <w:sz w:val="18"/>
                <w:szCs w:val="18"/>
                <w:lang w:val="zh-CN"/>
                <w14:ligatures w14:val="none"/>
              </w:rPr>
              <w:t>元/人</w:t>
            </w:r>
            <w:r>
              <w:rPr>
                <w:rFonts w:hint="eastAsia" w:ascii="宋体" w:hAnsi="宋体" w:cs="宋体"/>
                <w:color w:val="0000FF"/>
                <w:kern w:val="0"/>
                <w:sz w:val="18"/>
                <w:szCs w:val="18"/>
                <w:lang w:val="en-US" w:eastAsia="zh-CN"/>
                <w14:ligatures w14:val="none"/>
              </w:rPr>
              <w:t>/</w:t>
            </w:r>
            <w:r>
              <w:rPr>
                <w:rFonts w:hint="eastAsia" w:ascii="宋体" w:hAnsi="宋体" w:eastAsia="宋体" w:cs="宋体"/>
                <w:color w:val="0000FF"/>
                <w:kern w:val="0"/>
                <w:sz w:val="18"/>
                <w:szCs w:val="18"/>
                <w:lang w:val="zh-CN"/>
                <w14:ligatures w14:val="none"/>
              </w:rPr>
              <w:t>年</w:t>
            </w:r>
            <w:r>
              <w:rPr>
                <w:rFonts w:hint="eastAsia" w:ascii="宋体" w:hAnsi="宋体" w:cs="宋体"/>
                <w:color w:val="0000FF"/>
                <w:kern w:val="0"/>
                <w:sz w:val="18"/>
                <w:szCs w:val="18"/>
                <w:lang w:val="zh-CN"/>
                <w14:ligatures w14:val="none"/>
              </w:rPr>
              <w:t>，</w:t>
            </w:r>
            <w:r>
              <w:rPr>
                <w:rFonts w:hint="eastAsia" w:ascii="宋体" w:hAnsi="宋体" w:eastAsia="宋体" w:cs="宋体"/>
                <w:color w:val="0000FF"/>
                <w:kern w:val="0"/>
                <w:sz w:val="18"/>
                <w:szCs w:val="18"/>
                <w:lang w:val="zh-CN"/>
                <w14:ligatures w14:val="none"/>
              </w:rPr>
              <w:t>人数按不少于</w:t>
            </w:r>
            <w:r>
              <w:rPr>
                <w:rFonts w:hint="eastAsia" w:ascii="宋体" w:hAnsi="宋体" w:cs="宋体"/>
                <w:color w:val="0000FF"/>
                <w:kern w:val="0"/>
                <w:sz w:val="18"/>
                <w:szCs w:val="18"/>
                <w:lang w:val="en-US" w:eastAsia="zh-CN"/>
                <w14:ligatures w14:val="none"/>
              </w:rPr>
              <w:t>4</w:t>
            </w:r>
            <w:r>
              <w:rPr>
                <w:rFonts w:hint="eastAsia" w:ascii="宋体" w:hAnsi="宋体" w:eastAsia="宋体" w:cs="宋体"/>
                <w:color w:val="0000FF"/>
                <w:kern w:val="0"/>
                <w:sz w:val="18"/>
                <w:szCs w:val="18"/>
                <w:lang w:val="zh-CN"/>
                <w14:ligatures w14:val="none"/>
              </w:rPr>
              <w:t>人数加班计算。</w:t>
            </w:r>
          </w:p>
        </w:tc>
      </w:tr>
      <w:tr w14:paraId="39B8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25" w:type="dxa"/>
            <w:vAlign w:val="center"/>
          </w:tcPr>
          <w:p w14:paraId="0C85E175">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eastAsia="宋体" w:cs="宋体"/>
                <w:color w:val="0000FF"/>
                <w:kern w:val="0"/>
                <w:sz w:val="20"/>
                <w:szCs w:val="20"/>
                <w:lang w:val="en-US" w:eastAsia="zh-CN"/>
                <w14:ligatures w14:val="none"/>
              </w:rPr>
              <w:t>3</w:t>
            </w:r>
          </w:p>
        </w:tc>
        <w:tc>
          <w:tcPr>
            <w:tcW w:w="2162" w:type="dxa"/>
            <w:vAlign w:val="center"/>
          </w:tcPr>
          <w:p w14:paraId="0C904B7D">
            <w:pPr>
              <w:widowControl/>
              <w:spacing w:after="0" w:line="240" w:lineRule="auto"/>
              <w:jc w:val="center"/>
              <w:rPr>
                <w:rFonts w:hint="eastAsia" w:ascii="宋体" w:hAnsi="宋体" w:eastAsia="宋体" w:cs="宋体"/>
                <w:color w:val="0000FF"/>
                <w:kern w:val="0"/>
                <w:sz w:val="20"/>
                <w:szCs w:val="20"/>
                <w:lang w:eastAsia="zh-CN"/>
                <w14:ligatures w14:val="none"/>
              </w:rPr>
            </w:pPr>
            <w:r>
              <w:rPr>
                <w:rFonts w:hint="eastAsia" w:ascii="宋体" w:hAnsi="宋体" w:eastAsia="宋体" w:cs="宋体"/>
                <w:color w:val="0000FF"/>
                <w:kern w:val="0"/>
                <w:sz w:val="20"/>
                <w:szCs w:val="20"/>
                <w:lang w:eastAsia="zh-CN"/>
                <w14:ligatures w14:val="none"/>
              </w:rPr>
              <w:t>社保</w:t>
            </w:r>
          </w:p>
        </w:tc>
        <w:tc>
          <w:tcPr>
            <w:tcW w:w="975" w:type="dxa"/>
            <w:vAlign w:val="center"/>
          </w:tcPr>
          <w:p w14:paraId="143B04F6">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lang w:val="en-US" w:eastAsia="zh-CN"/>
                <w14:ligatures w14:val="none"/>
              </w:rPr>
              <w:t>12</w:t>
            </w:r>
          </w:p>
        </w:tc>
        <w:tc>
          <w:tcPr>
            <w:tcW w:w="1113" w:type="dxa"/>
            <w:vAlign w:val="center"/>
          </w:tcPr>
          <w:p w14:paraId="1CCEA493">
            <w:pPr>
              <w:widowControl/>
              <w:spacing w:after="0" w:line="240" w:lineRule="auto"/>
              <w:jc w:val="center"/>
              <w:rPr>
                <w:rFonts w:hint="eastAsia" w:ascii="宋体" w:hAnsi="宋体" w:eastAsia="宋体" w:cs="宋体"/>
                <w:color w:val="0000FF"/>
                <w:kern w:val="0"/>
                <w:sz w:val="20"/>
                <w:szCs w:val="20"/>
                <w:lang w:eastAsia="zh-CN"/>
                <w14:ligatures w14:val="none"/>
              </w:rPr>
            </w:pPr>
          </w:p>
        </w:tc>
        <w:tc>
          <w:tcPr>
            <w:tcW w:w="887" w:type="dxa"/>
            <w:shd w:val="clear" w:color="auto" w:fill="auto"/>
            <w:vAlign w:val="center"/>
          </w:tcPr>
          <w:p w14:paraId="7B094235">
            <w:pPr>
              <w:widowControl/>
              <w:spacing w:after="0" w:line="240" w:lineRule="auto"/>
              <w:jc w:val="center"/>
              <w:rPr>
                <w:rFonts w:hint="eastAsia" w:ascii="宋体" w:hAnsi="宋体" w:eastAsia="宋体" w:cs="宋体"/>
                <w:color w:val="0000FF"/>
                <w:kern w:val="0"/>
                <w:sz w:val="20"/>
                <w:szCs w:val="20"/>
                <w:lang w:val="en-US" w:eastAsia="zh-CN" w:bidi="ar-SA"/>
                <w14:ligatures w14:val="none"/>
              </w:rPr>
            </w:pPr>
            <w:r>
              <w:rPr>
                <w:rFonts w:hint="eastAsia" w:ascii="宋体" w:hAnsi="宋体" w:eastAsia="宋体" w:cs="宋体"/>
                <w:color w:val="0000FF"/>
                <w:kern w:val="0"/>
                <w:sz w:val="20"/>
                <w:szCs w:val="20"/>
                <w:lang w:val="en-US" w:eastAsia="zh-CN"/>
                <w14:ligatures w14:val="none"/>
              </w:rPr>
              <w:t>7</w:t>
            </w:r>
          </w:p>
        </w:tc>
        <w:tc>
          <w:tcPr>
            <w:tcW w:w="1088" w:type="dxa"/>
            <w:vAlign w:val="center"/>
          </w:tcPr>
          <w:p w14:paraId="75A24529">
            <w:pPr>
              <w:widowControl/>
              <w:spacing w:after="0" w:line="240" w:lineRule="auto"/>
              <w:jc w:val="center"/>
              <w:rPr>
                <w:rFonts w:hint="eastAsia" w:ascii="宋体" w:hAnsi="宋体" w:eastAsia="宋体" w:cs="宋体"/>
                <w:color w:val="0000FF"/>
                <w:kern w:val="0"/>
                <w:sz w:val="20"/>
                <w:szCs w:val="20"/>
                <w14:ligatures w14:val="none"/>
              </w:rPr>
            </w:pPr>
          </w:p>
        </w:tc>
        <w:tc>
          <w:tcPr>
            <w:tcW w:w="3037" w:type="dxa"/>
            <w:vAlign w:val="center"/>
          </w:tcPr>
          <w:p w14:paraId="7BDEDB83">
            <w:pPr>
              <w:widowControl/>
              <w:spacing w:after="0" w:line="240" w:lineRule="auto"/>
              <w:jc w:val="center"/>
              <w:rPr>
                <w:rFonts w:hint="eastAsia" w:ascii="宋体" w:hAnsi="宋体" w:eastAsia="宋体" w:cs="宋体"/>
                <w:color w:val="0000FF"/>
                <w:kern w:val="0"/>
                <w:sz w:val="18"/>
                <w:szCs w:val="18"/>
                <w:lang w:val="zh-CN"/>
                <w14:ligatures w14:val="none"/>
              </w:rPr>
            </w:pPr>
            <w:r>
              <w:rPr>
                <w:rFonts w:hint="eastAsia" w:ascii="宋体" w:hAnsi="宋体" w:eastAsia="宋体" w:cs="宋体"/>
                <w:color w:val="0000FF"/>
                <w:kern w:val="0"/>
                <w:sz w:val="18"/>
                <w:szCs w:val="18"/>
                <w:lang w:val="zh-CN"/>
                <w14:ligatures w14:val="none"/>
              </w:rPr>
              <w:t>所有人员必须足额缴纳社保费用，社保（企业部分）不得低于12</w:t>
            </w:r>
            <w:r>
              <w:rPr>
                <w:rFonts w:hint="eastAsia" w:ascii="宋体" w:hAnsi="宋体" w:cs="宋体"/>
                <w:color w:val="0000FF"/>
                <w:kern w:val="0"/>
                <w:sz w:val="18"/>
                <w:szCs w:val="18"/>
                <w:lang w:val="en-US" w:eastAsia="zh-CN"/>
                <w14:ligatures w14:val="none"/>
              </w:rPr>
              <w:t>92.47</w:t>
            </w:r>
            <w:r>
              <w:rPr>
                <w:rFonts w:hint="eastAsia" w:ascii="宋体" w:hAnsi="宋体" w:eastAsia="宋体" w:cs="宋体"/>
                <w:color w:val="0000FF"/>
                <w:kern w:val="0"/>
                <w:sz w:val="18"/>
                <w:szCs w:val="18"/>
                <w:lang w:val="zh-CN"/>
                <w14:ligatures w14:val="none"/>
              </w:rPr>
              <w:t>元/人</w:t>
            </w:r>
            <w:r>
              <w:rPr>
                <w:rFonts w:hint="eastAsia" w:ascii="宋体" w:hAnsi="宋体" w:cs="宋体"/>
                <w:color w:val="0000FF"/>
                <w:kern w:val="0"/>
                <w:sz w:val="18"/>
                <w:szCs w:val="18"/>
                <w:lang w:val="en-US" w:eastAsia="zh-CN"/>
                <w14:ligatures w14:val="none"/>
              </w:rPr>
              <w:t>/</w:t>
            </w:r>
            <w:r>
              <w:rPr>
                <w:rFonts w:hint="eastAsia" w:ascii="宋体" w:hAnsi="宋体" w:eastAsia="宋体" w:cs="宋体"/>
                <w:color w:val="0000FF"/>
                <w:kern w:val="0"/>
                <w:sz w:val="18"/>
                <w:szCs w:val="18"/>
                <w:lang w:val="zh-CN"/>
                <w14:ligatures w14:val="none"/>
              </w:rPr>
              <w:t>月。</w:t>
            </w:r>
          </w:p>
        </w:tc>
      </w:tr>
      <w:tr w14:paraId="01DE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25" w:type="dxa"/>
            <w:vAlign w:val="center"/>
          </w:tcPr>
          <w:p w14:paraId="11602611">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eastAsia="宋体" w:cs="宋体"/>
                <w:color w:val="0000FF"/>
                <w:kern w:val="0"/>
                <w:sz w:val="20"/>
                <w:szCs w:val="20"/>
                <w:lang w:val="en-US" w:eastAsia="zh-CN"/>
                <w14:ligatures w14:val="none"/>
              </w:rPr>
              <w:t>4</w:t>
            </w:r>
          </w:p>
        </w:tc>
        <w:tc>
          <w:tcPr>
            <w:tcW w:w="2162" w:type="dxa"/>
            <w:vAlign w:val="center"/>
          </w:tcPr>
          <w:p w14:paraId="6A16A217">
            <w:pPr>
              <w:widowControl/>
              <w:spacing w:after="0" w:line="240" w:lineRule="auto"/>
              <w:jc w:val="center"/>
              <w:rPr>
                <w:rFonts w:hint="eastAsia"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住房</w:t>
            </w:r>
            <w:r>
              <w:rPr>
                <w:rFonts w:hint="eastAsia" w:ascii="宋体" w:hAnsi="宋体" w:eastAsia="宋体" w:cs="宋体"/>
                <w:color w:val="0000FF"/>
                <w:kern w:val="0"/>
                <w:sz w:val="20"/>
                <w:szCs w:val="20"/>
                <w:lang w:val="en-US" w:eastAsia="zh-CN"/>
                <w14:ligatures w14:val="none"/>
              </w:rPr>
              <w:t>公积金</w:t>
            </w:r>
          </w:p>
        </w:tc>
        <w:tc>
          <w:tcPr>
            <w:tcW w:w="975" w:type="dxa"/>
            <w:vAlign w:val="center"/>
          </w:tcPr>
          <w:p w14:paraId="0D761E6F">
            <w:pPr>
              <w:widowControl/>
              <w:spacing w:after="0" w:line="240" w:lineRule="auto"/>
              <w:jc w:val="center"/>
              <w:rPr>
                <w:rFonts w:hint="eastAsia" w:ascii="宋体" w:hAnsi="宋体" w:eastAsia="宋体" w:cs="宋体"/>
                <w:color w:val="0000FF"/>
                <w:kern w:val="0"/>
                <w:sz w:val="20"/>
                <w:szCs w:val="20"/>
                <w:lang w:val="en-US" w:eastAsia="zh-CN"/>
                <w14:ligatures w14:val="none"/>
              </w:rPr>
            </w:pPr>
            <w:r>
              <w:rPr>
                <w:rFonts w:hint="eastAsia" w:ascii="宋体" w:hAnsi="宋体" w:eastAsia="宋体" w:cs="宋体"/>
                <w:color w:val="0000FF"/>
                <w:kern w:val="0"/>
                <w:sz w:val="20"/>
                <w:szCs w:val="20"/>
                <w:lang w:val="en-US" w:eastAsia="zh-CN"/>
                <w14:ligatures w14:val="none"/>
              </w:rPr>
              <w:t>12</w:t>
            </w:r>
          </w:p>
        </w:tc>
        <w:tc>
          <w:tcPr>
            <w:tcW w:w="1113" w:type="dxa"/>
            <w:vAlign w:val="center"/>
          </w:tcPr>
          <w:p w14:paraId="3500DF3F">
            <w:pPr>
              <w:widowControl/>
              <w:spacing w:after="0" w:line="240" w:lineRule="auto"/>
              <w:jc w:val="center"/>
              <w:rPr>
                <w:rFonts w:hint="eastAsia" w:ascii="宋体" w:hAnsi="宋体" w:eastAsia="宋体" w:cs="宋体"/>
                <w:color w:val="0000FF"/>
                <w:kern w:val="0"/>
                <w:sz w:val="20"/>
                <w:szCs w:val="20"/>
                <w:lang w:val="en-US" w:eastAsia="zh-CN"/>
                <w14:ligatures w14:val="none"/>
              </w:rPr>
            </w:pPr>
          </w:p>
        </w:tc>
        <w:tc>
          <w:tcPr>
            <w:tcW w:w="887" w:type="dxa"/>
            <w:shd w:val="clear" w:color="auto" w:fill="auto"/>
            <w:vAlign w:val="center"/>
          </w:tcPr>
          <w:p w14:paraId="190E42EE">
            <w:pPr>
              <w:widowControl/>
              <w:spacing w:after="0" w:line="240" w:lineRule="auto"/>
              <w:jc w:val="center"/>
              <w:rPr>
                <w:rFonts w:hint="eastAsia" w:ascii="宋体" w:hAnsi="宋体" w:eastAsia="宋体" w:cs="宋体"/>
                <w:color w:val="0000FF"/>
                <w:kern w:val="0"/>
                <w:sz w:val="20"/>
                <w:szCs w:val="20"/>
                <w:lang w:val="en-US" w:eastAsia="zh-CN" w:bidi="ar-SA"/>
                <w14:ligatures w14:val="none"/>
              </w:rPr>
            </w:pPr>
            <w:r>
              <w:rPr>
                <w:rFonts w:hint="eastAsia" w:ascii="宋体" w:hAnsi="宋体" w:eastAsia="宋体" w:cs="宋体"/>
                <w:color w:val="0000FF"/>
                <w:kern w:val="0"/>
                <w:sz w:val="20"/>
                <w:szCs w:val="20"/>
                <w:lang w:val="en-US" w:eastAsia="zh-CN"/>
                <w14:ligatures w14:val="none"/>
              </w:rPr>
              <w:t>7</w:t>
            </w:r>
          </w:p>
        </w:tc>
        <w:tc>
          <w:tcPr>
            <w:tcW w:w="1088" w:type="dxa"/>
            <w:vAlign w:val="center"/>
          </w:tcPr>
          <w:p w14:paraId="30AC8F85">
            <w:pPr>
              <w:widowControl/>
              <w:spacing w:after="0" w:line="240" w:lineRule="auto"/>
              <w:jc w:val="center"/>
              <w:rPr>
                <w:rFonts w:hint="eastAsia" w:ascii="宋体" w:hAnsi="宋体" w:eastAsia="宋体" w:cs="宋体"/>
                <w:color w:val="0000FF"/>
                <w:kern w:val="0"/>
                <w:sz w:val="20"/>
                <w:szCs w:val="20"/>
                <w14:ligatures w14:val="none"/>
              </w:rPr>
            </w:pPr>
          </w:p>
        </w:tc>
        <w:tc>
          <w:tcPr>
            <w:tcW w:w="3037" w:type="dxa"/>
            <w:vAlign w:val="center"/>
          </w:tcPr>
          <w:p w14:paraId="15E4E6DA">
            <w:pPr>
              <w:widowControl/>
              <w:spacing w:after="0" w:line="240" w:lineRule="auto"/>
              <w:jc w:val="center"/>
              <w:rPr>
                <w:rFonts w:hint="eastAsia" w:ascii="宋体" w:hAnsi="宋体" w:eastAsia="宋体" w:cs="宋体"/>
                <w:color w:val="0000FF"/>
                <w:kern w:val="0"/>
                <w:sz w:val="18"/>
                <w:szCs w:val="18"/>
                <w:lang w:val="zh-CN"/>
                <w14:ligatures w14:val="none"/>
              </w:rPr>
            </w:pPr>
            <w:r>
              <w:rPr>
                <w:rFonts w:hint="eastAsia" w:ascii="宋体" w:hAnsi="宋体" w:eastAsia="宋体" w:cs="宋体"/>
                <w:color w:val="0000FF"/>
                <w:kern w:val="0"/>
                <w:sz w:val="18"/>
                <w:szCs w:val="18"/>
                <w:lang w:val="zh-CN"/>
                <w14:ligatures w14:val="none"/>
              </w:rPr>
              <w:t>住房公积金不得低于1</w:t>
            </w:r>
            <w:r>
              <w:rPr>
                <w:rFonts w:hint="eastAsia" w:ascii="宋体" w:hAnsi="宋体" w:cs="宋体"/>
                <w:color w:val="0000FF"/>
                <w:kern w:val="0"/>
                <w:sz w:val="18"/>
                <w:szCs w:val="18"/>
                <w:lang w:val="en-US" w:eastAsia="zh-CN"/>
                <w14:ligatures w14:val="none"/>
              </w:rPr>
              <w:t>14</w:t>
            </w:r>
            <w:r>
              <w:rPr>
                <w:rFonts w:hint="eastAsia" w:ascii="宋体" w:hAnsi="宋体" w:eastAsia="宋体" w:cs="宋体"/>
                <w:color w:val="0000FF"/>
                <w:kern w:val="0"/>
                <w:sz w:val="18"/>
                <w:szCs w:val="18"/>
                <w:lang w:val="zh-CN"/>
                <w14:ligatures w14:val="none"/>
              </w:rPr>
              <w:t>元/人</w:t>
            </w:r>
            <w:r>
              <w:rPr>
                <w:rFonts w:hint="eastAsia" w:ascii="宋体" w:hAnsi="宋体" w:cs="宋体"/>
                <w:color w:val="0000FF"/>
                <w:kern w:val="0"/>
                <w:sz w:val="18"/>
                <w:szCs w:val="18"/>
                <w:lang w:val="en-US" w:eastAsia="zh-CN"/>
                <w14:ligatures w14:val="none"/>
              </w:rPr>
              <w:t>/</w:t>
            </w:r>
            <w:r>
              <w:rPr>
                <w:rFonts w:hint="eastAsia" w:ascii="宋体" w:hAnsi="宋体" w:eastAsia="宋体" w:cs="宋体"/>
                <w:color w:val="0000FF"/>
                <w:kern w:val="0"/>
                <w:sz w:val="18"/>
                <w:szCs w:val="18"/>
                <w:lang w:val="zh-CN"/>
                <w14:ligatures w14:val="none"/>
              </w:rPr>
              <w:t>月</w:t>
            </w:r>
          </w:p>
        </w:tc>
      </w:tr>
      <w:tr w14:paraId="7218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625" w:type="dxa"/>
            <w:vAlign w:val="center"/>
          </w:tcPr>
          <w:p w14:paraId="486858CC">
            <w:pPr>
              <w:widowControl/>
              <w:spacing w:after="0" w:line="240" w:lineRule="auto"/>
              <w:jc w:val="center"/>
              <w:rPr>
                <w:rFonts w:hint="eastAsia"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5</w:t>
            </w:r>
          </w:p>
        </w:tc>
        <w:tc>
          <w:tcPr>
            <w:tcW w:w="2162" w:type="dxa"/>
            <w:vAlign w:val="center"/>
          </w:tcPr>
          <w:p w14:paraId="7269FE52">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综合管理服务费</w:t>
            </w:r>
          </w:p>
        </w:tc>
        <w:tc>
          <w:tcPr>
            <w:tcW w:w="975" w:type="dxa"/>
            <w:shd w:val="clear" w:color="auto" w:fill="auto"/>
            <w:vAlign w:val="center"/>
          </w:tcPr>
          <w:p w14:paraId="3E685050">
            <w:pPr>
              <w:widowControl/>
              <w:spacing w:after="0" w:line="240" w:lineRule="auto"/>
              <w:jc w:val="center"/>
              <w:rPr>
                <w:rFonts w:hint="default" w:ascii="宋体" w:hAnsi="宋体" w:eastAsia="宋体" w:cs="宋体"/>
                <w:color w:val="0000FF"/>
                <w:kern w:val="0"/>
                <w:sz w:val="20"/>
                <w:szCs w:val="20"/>
                <w:lang w:val="en-US" w:eastAsia="zh-CN" w:bidi="ar-SA"/>
                <w14:ligatures w14:val="none"/>
              </w:rPr>
            </w:pPr>
          </w:p>
        </w:tc>
        <w:tc>
          <w:tcPr>
            <w:tcW w:w="1113" w:type="dxa"/>
            <w:vAlign w:val="center"/>
          </w:tcPr>
          <w:p w14:paraId="02D78E43">
            <w:pPr>
              <w:widowControl/>
              <w:spacing w:after="0" w:line="240" w:lineRule="auto"/>
              <w:jc w:val="center"/>
              <w:rPr>
                <w:rFonts w:hint="eastAsia" w:ascii="宋体" w:hAnsi="宋体" w:eastAsia="宋体" w:cs="宋体"/>
                <w:color w:val="0000FF"/>
                <w:kern w:val="0"/>
                <w:sz w:val="20"/>
                <w:szCs w:val="20"/>
                <w14:ligatures w14:val="none"/>
              </w:rPr>
            </w:pPr>
          </w:p>
        </w:tc>
        <w:tc>
          <w:tcPr>
            <w:tcW w:w="887" w:type="dxa"/>
            <w:vAlign w:val="center"/>
          </w:tcPr>
          <w:p w14:paraId="51455DA5">
            <w:pPr>
              <w:widowControl/>
              <w:spacing w:after="0" w:line="240" w:lineRule="auto"/>
              <w:jc w:val="center"/>
              <w:rPr>
                <w:rFonts w:hint="default" w:ascii="宋体" w:hAnsi="宋体" w:eastAsia="宋体" w:cs="宋体"/>
                <w:color w:val="0000FF"/>
                <w:kern w:val="0"/>
                <w:sz w:val="20"/>
                <w:szCs w:val="20"/>
                <w:lang w:val="en-US" w:eastAsia="zh-CN"/>
                <w14:ligatures w14:val="none"/>
              </w:rPr>
            </w:pPr>
          </w:p>
        </w:tc>
        <w:tc>
          <w:tcPr>
            <w:tcW w:w="1088" w:type="dxa"/>
            <w:vAlign w:val="center"/>
          </w:tcPr>
          <w:p w14:paraId="43D72185">
            <w:pPr>
              <w:widowControl/>
              <w:spacing w:after="0" w:line="240" w:lineRule="auto"/>
              <w:jc w:val="center"/>
              <w:rPr>
                <w:rFonts w:hint="eastAsia" w:ascii="宋体" w:hAnsi="宋体" w:eastAsia="宋体" w:cs="宋体"/>
                <w:color w:val="0000FF"/>
                <w:kern w:val="0"/>
                <w:sz w:val="20"/>
                <w:szCs w:val="20"/>
                <w14:ligatures w14:val="none"/>
              </w:rPr>
            </w:pPr>
          </w:p>
        </w:tc>
        <w:tc>
          <w:tcPr>
            <w:tcW w:w="3037" w:type="dxa"/>
            <w:vAlign w:val="center"/>
          </w:tcPr>
          <w:p w14:paraId="23D8A02B">
            <w:pPr>
              <w:widowControl/>
              <w:spacing w:after="0" w:line="240" w:lineRule="auto"/>
              <w:jc w:val="center"/>
              <w:rPr>
                <w:rFonts w:hint="eastAsia" w:ascii="宋体" w:hAnsi="宋体" w:eastAsia="宋体" w:cs="宋体"/>
                <w:color w:val="0000FF"/>
                <w:kern w:val="0"/>
                <w:sz w:val="18"/>
                <w:szCs w:val="18"/>
                <w:lang w:val="zh-CN"/>
                <w14:ligatures w14:val="none"/>
              </w:rPr>
            </w:pPr>
          </w:p>
        </w:tc>
      </w:tr>
      <w:tr w14:paraId="4C0C6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25" w:type="dxa"/>
            <w:vAlign w:val="center"/>
          </w:tcPr>
          <w:p w14:paraId="7C46B8B9">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5.1</w:t>
            </w:r>
          </w:p>
        </w:tc>
        <w:tc>
          <w:tcPr>
            <w:tcW w:w="2162" w:type="dxa"/>
            <w:vAlign w:val="center"/>
          </w:tcPr>
          <w:p w14:paraId="6DACC71C">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福利费</w:t>
            </w:r>
          </w:p>
        </w:tc>
        <w:tc>
          <w:tcPr>
            <w:tcW w:w="975" w:type="dxa"/>
            <w:shd w:val="clear" w:color="auto" w:fill="auto"/>
            <w:vAlign w:val="center"/>
          </w:tcPr>
          <w:p w14:paraId="64535B3D">
            <w:pPr>
              <w:widowControl/>
              <w:spacing w:after="0" w:line="240" w:lineRule="auto"/>
              <w:jc w:val="center"/>
              <w:rPr>
                <w:rFonts w:hint="default" w:ascii="宋体" w:hAnsi="宋体" w:eastAsia="宋体" w:cs="宋体"/>
                <w:color w:val="0000FF"/>
                <w:kern w:val="0"/>
                <w:sz w:val="20"/>
                <w:szCs w:val="20"/>
                <w:lang w:val="en-US" w:eastAsia="zh-CN" w:bidi="ar-SA"/>
                <w14:ligatures w14:val="none"/>
              </w:rPr>
            </w:pPr>
            <w:r>
              <w:rPr>
                <w:rFonts w:hint="eastAsia" w:ascii="宋体" w:hAnsi="宋体" w:cs="宋体"/>
                <w:color w:val="0000FF"/>
                <w:kern w:val="0"/>
                <w:sz w:val="20"/>
                <w:szCs w:val="20"/>
                <w:lang w:val="en-US" w:eastAsia="zh-CN" w:bidi="ar-SA"/>
                <w14:ligatures w14:val="none"/>
              </w:rPr>
              <w:t>年</w:t>
            </w:r>
          </w:p>
        </w:tc>
        <w:tc>
          <w:tcPr>
            <w:tcW w:w="1113" w:type="dxa"/>
            <w:vAlign w:val="center"/>
          </w:tcPr>
          <w:p w14:paraId="24A1BA63">
            <w:pPr>
              <w:widowControl/>
              <w:spacing w:after="0" w:line="240" w:lineRule="auto"/>
              <w:jc w:val="center"/>
              <w:rPr>
                <w:rFonts w:hint="eastAsia" w:ascii="宋体" w:hAnsi="宋体" w:eastAsia="宋体" w:cs="宋体"/>
                <w:color w:val="0000FF"/>
                <w:kern w:val="0"/>
                <w:sz w:val="20"/>
                <w:szCs w:val="20"/>
                <w:lang w:val="en-US" w:eastAsia="zh-CN"/>
                <w14:ligatures w14:val="none"/>
              </w:rPr>
            </w:pPr>
          </w:p>
        </w:tc>
        <w:tc>
          <w:tcPr>
            <w:tcW w:w="887" w:type="dxa"/>
            <w:vAlign w:val="center"/>
          </w:tcPr>
          <w:p w14:paraId="5FDA4D9A">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7</w:t>
            </w:r>
          </w:p>
        </w:tc>
        <w:tc>
          <w:tcPr>
            <w:tcW w:w="1088" w:type="dxa"/>
            <w:shd w:val="clear" w:color="auto" w:fill="auto"/>
            <w:vAlign w:val="center"/>
          </w:tcPr>
          <w:p w14:paraId="22C68349">
            <w:pPr>
              <w:widowControl/>
              <w:spacing w:after="0" w:line="240" w:lineRule="auto"/>
              <w:jc w:val="center"/>
              <w:rPr>
                <w:rFonts w:hint="eastAsia" w:ascii="宋体" w:hAnsi="宋体" w:eastAsia="宋体" w:cs="宋体"/>
                <w:color w:val="0000FF"/>
                <w:kern w:val="0"/>
                <w:sz w:val="20"/>
                <w:szCs w:val="20"/>
                <w:lang w:val="en-US" w:eastAsia="zh-CN" w:bidi="ar-SA"/>
                <w14:ligatures w14:val="none"/>
              </w:rPr>
            </w:pPr>
          </w:p>
        </w:tc>
        <w:tc>
          <w:tcPr>
            <w:tcW w:w="3037" w:type="dxa"/>
            <w:vAlign w:val="center"/>
          </w:tcPr>
          <w:p w14:paraId="59A85AB9">
            <w:pPr>
              <w:widowControl/>
              <w:spacing w:after="0" w:line="240" w:lineRule="auto"/>
              <w:jc w:val="center"/>
              <w:rPr>
                <w:rFonts w:hint="default" w:ascii="宋体" w:hAnsi="宋体" w:eastAsia="宋体" w:cs="宋体"/>
                <w:color w:val="0000FF"/>
                <w:kern w:val="0"/>
                <w:sz w:val="18"/>
                <w:szCs w:val="18"/>
                <w:lang w:val="en-US" w:eastAsia="zh-CN"/>
                <w14:ligatures w14:val="none"/>
              </w:rPr>
            </w:pPr>
            <w:r>
              <w:rPr>
                <w:rFonts w:hint="eastAsia" w:ascii="宋体" w:hAnsi="宋体" w:cs="宋体"/>
                <w:color w:val="0000FF"/>
                <w:kern w:val="0"/>
                <w:sz w:val="18"/>
                <w:szCs w:val="18"/>
                <w:lang w:val="en-US" w:eastAsia="zh-CN"/>
                <w14:ligatures w14:val="none"/>
              </w:rPr>
              <w:t>不低于300元/人/年</w:t>
            </w:r>
          </w:p>
        </w:tc>
      </w:tr>
      <w:tr w14:paraId="4AA3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25" w:type="dxa"/>
            <w:vAlign w:val="center"/>
          </w:tcPr>
          <w:p w14:paraId="0F7CC105">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5.2</w:t>
            </w:r>
          </w:p>
        </w:tc>
        <w:tc>
          <w:tcPr>
            <w:tcW w:w="2162" w:type="dxa"/>
            <w:vAlign w:val="center"/>
          </w:tcPr>
          <w:p w14:paraId="6EE63B72">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14:ligatures w14:val="none"/>
              </w:rPr>
              <w:t>利润（管理费）</w:t>
            </w:r>
          </w:p>
        </w:tc>
        <w:tc>
          <w:tcPr>
            <w:tcW w:w="975" w:type="dxa"/>
            <w:vAlign w:val="center"/>
          </w:tcPr>
          <w:p w14:paraId="5986C712">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12</w:t>
            </w:r>
          </w:p>
        </w:tc>
        <w:tc>
          <w:tcPr>
            <w:tcW w:w="1113" w:type="dxa"/>
            <w:vAlign w:val="center"/>
          </w:tcPr>
          <w:p w14:paraId="66AE0F8B">
            <w:pPr>
              <w:widowControl/>
              <w:spacing w:after="0" w:line="240" w:lineRule="auto"/>
              <w:jc w:val="center"/>
              <w:rPr>
                <w:rFonts w:hint="eastAsia" w:ascii="宋体" w:hAnsi="宋体" w:eastAsia="宋体" w:cs="宋体"/>
                <w:color w:val="0000FF"/>
                <w:kern w:val="0"/>
                <w:sz w:val="20"/>
                <w:szCs w:val="20"/>
                <w14:ligatures w14:val="none"/>
              </w:rPr>
            </w:pPr>
          </w:p>
        </w:tc>
        <w:tc>
          <w:tcPr>
            <w:tcW w:w="887" w:type="dxa"/>
            <w:vAlign w:val="center"/>
          </w:tcPr>
          <w:p w14:paraId="7F8B56F9">
            <w:pPr>
              <w:widowControl/>
              <w:spacing w:after="0" w:line="240" w:lineRule="auto"/>
              <w:jc w:val="center"/>
              <w:rPr>
                <w:rFonts w:hint="eastAsia" w:ascii="宋体" w:hAnsi="宋体" w:eastAsia="宋体" w:cs="宋体"/>
                <w:color w:val="0000FF"/>
                <w:kern w:val="0"/>
                <w:sz w:val="20"/>
                <w:szCs w:val="20"/>
                <w14:ligatures w14:val="none"/>
              </w:rPr>
            </w:pPr>
          </w:p>
        </w:tc>
        <w:tc>
          <w:tcPr>
            <w:tcW w:w="1088" w:type="dxa"/>
            <w:vAlign w:val="center"/>
          </w:tcPr>
          <w:p w14:paraId="3D1FB059">
            <w:pPr>
              <w:widowControl/>
              <w:spacing w:after="0" w:line="240" w:lineRule="auto"/>
              <w:jc w:val="center"/>
              <w:rPr>
                <w:rFonts w:hint="eastAsia" w:ascii="宋体" w:hAnsi="宋体" w:eastAsia="宋体" w:cs="宋体"/>
                <w:color w:val="0000FF"/>
                <w:kern w:val="0"/>
                <w:sz w:val="20"/>
                <w:szCs w:val="20"/>
                <w14:ligatures w14:val="none"/>
              </w:rPr>
            </w:pPr>
          </w:p>
        </w:tc>
        <w:tc>
          <w:tcPr>
            <w:tcW w:w="3037" w:type="dxa"/>
            <w:vAlign w:val="center"/>
          </w:tcPr>
          <w:p w14:paraId="04DF185F">
            <w:pPr>
              <w:widowControl/>
              <w:spacing w:after="0" w:line="240" w:lineRule="auto"/>
              <w:jc w:val="center"/>
              <w:rPr>
                <w:rFonts w:hint="eastAsia" w:ascii="宋体" w:hAnsi="宋体" w:eastAsia="宋体" w:cs="宋体"/>
                <w:color w:val="0000FF"/>
                <w:kern w:val="0"/>
                <w:sz w:val="18"/>
                <w:szCs w:val="18"/>
                <w14:ligatures w14:val="none"/>
              </w:rPr>
            </w:pPr>
            <w:r>
              <w:rPr>
                <w:rFonts w:hint="eastAsia" w:ascii="宋体" w:hAnsi="宋体" w:eastAsia="宋体" w:cs="宋体"/>
                <w:color w:val="0000FF"/>
                <w:kern w:val="0"/>
                <w:sz w:val="18"/>
                <w:szCs w:val="18"/>
                <w:lang w:val="en-US" w:eastAsia="zh-CN"/>
                <w14:ligatures w14:val="none"/>
              </w:rPr>
              <w:t>投标人依据自身的情况综合考虑</w:t>
            </w:r>
          </w:p>
        </w:tc>
      </w:tr>
      <w:tr w14:paraId="5DBC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25" w:type="dxa"/>
            <w:vAlign w:val="center"/>
          </w:tcPr>
          <w:p w14:paraId="07C4E000">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6</w:t>
            </w:r>
          </w:p>
        </w:tc>
        <w:tc>
          <w:tcPr>
            <w:tcW w:w="2162" w:type="dxa"/>
            <w:vAlign w:val="center"/>
          </w:tcPr>
          <w:p w14:paraId="42205EA7">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14:ligatures w14:val="none"/>
              </w:rPr>
              <w:t>法定税费</w:t>
            </w:r>
          </w:p>
        </w:tc>
        <w:tc>
          <w:tcPr>
            <w:tcW w:w="975" w:type="dxa"/>
            <w:vAlign w:val="center"/>
          </w:tcPr>
          <w:p w14:paraId="3488F698">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lang w:val="en-US" w:eastAsia="zh-CN"/>
                <w14:ligatures w14:val="none"/>
              </w:rPr>
              <w:t>12</w:t>
            </w:r>
          </w:p>
        </w:tc>
        <w:tc>
          <w:tcPr>
            <w:tcW w:w="1113" w:type="dxa"/>
            <w:vAlign w:val="center"/>
          </w:tcPr>
          <w:p w14:paraId="1EC17043">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color w:val="0000FF"/>
                <w:kern w:val="0"/>
                <w:sz w:val="20"/>
                <w:szCs w:val="20"/>
                <w14:ligatures w14:val="none"/>
              </w:rPr>
              <w:t>6.72%</w:t>
            </w:r>
          </w:p>
        </w:tc>
        <w:tc>
          <w:tcPr>
            <w:tcW w:w="887" w:type="dxa"/>
            <w:vAlign w:val="center"/>
          </w:tcPr>
          <w:p w14:paraId="17A9C1E6">
            <w:pPr>
              <w:widowControl/>
              <w:spacing w:after="0" w:line="240" w:lineRule="auto"/>
              <w:jc w:val="center"/>
              <w:rPr>
                <w:rFonts w:hint="eastAsia" w:ascii="宋体" w:hAnsi="宋体" w:eastAsia="宋体" w:cs="宋体"/>
                <w:color w:val="0000FF"/>
                <w:kern w:val="0"/>
                <w:sz w:val="20"/>
                <w:szCs w:val="20"/>
                <w14:ligatures w14:val="none"/>
              </w:rPr>
            </w:pPr>
            <w:r>
              <w:rPr>
                <w:rFonts w:hint="eastAsia" w:ascii="宋体" w:hAnsi="宋体" w:eastAsia="宋体" w:cs="宋体"/>
                <w:b/>
                <w:color w:val="0000FF"/>
                <w:kern w:val="0"/>
                <w:sz w:val="20"/>
                <w:szCs w:val="20"/>
                <w14:ligatures w14:val="none"/>
              </w:rPr>
              <w:t>（1+2+…+</w:t>
            </w:r>
            <w:r>
              <w:rPr>
                <w:rFonts w:hint="eastAsia" w:ascii="宋体" w:hAnsi="宋体" w:cs="宋体"/>
                <w:b/>
                <w:color w:val="0000FF"/>
                <w:kern w:val="0"/>
                <w:sz w:val="20"/>
                <w:szCs w:val="20"/>
                <w:lang w:val="en-US" w:eastAsia="zh-CN"/>
                <w14:ligatures w14:val="none"/>
              </w:rPr>
              <w:t>5</w:t>
            </w:r>
            <w:r>
              <w:rPr>
                <w:rFonts w:hint="eastAsia" w:ascii="宋体" w:hAnsi="宋体" w:eastAsia="宋体" w:cs="宋体"/>
                <w:b/>
                <w:color w:val="0000FF"/>
                <w:kern w:val="0"/>
                <w:sz w:val="20"/>
                <w:szCs w:val="20"/>
                <w14:ligatures w14:val="none"/>
              </w:rPr>
              <w:t>）</w:t>
            </w:r>
            <w:r>
              <w:rPr>
                <w:rFonts w:hint="eastAsia" w:ascii="宋体" w:hAnsi="宋体" w:eastAsia="宋体" w:cs="宋体"/>
                <w:color w:val="0000FF"/>
                <w:kern w:val="0"/>
                <w:sz w:val="20"/>
                <w:szCs w:val="20"/>
                <w14:ligatures w14:val="none"/>
              </w:rPr>
              <w:t>*6.72%</w:t>
            </w:r>
          </w:p>
        </w:tc>
        <w:tc>
          <w:tcPr>
            <w:tcW w:w="1088" w:type="dxa"/>
            <w:vAlign w:val="center"/>
          </w:tcPr>
          <w:p w14:paraId="6BCB2268">
            <w:pPr>
              <w:widowControl/>
              <w:spacing w:after="0" w:line="240" w:lineRule="auto"/>
              <w:jc w:val="center"/>
              <w:rPr>
                <w:rFonts w:hint="default" w:ascii="宋体" w:hAnsi="宋体" w:eastAsia="宋体" w:cs="宋体"/>
                <w:color w:val="0000FF"/>
                <w:kern w:val="0"/>
                <w:sz w:val="20"/>
                <w:szCs w:val="20"/>
                <w:lang w:val="en-US" w:eastAsia="zh-CN"/>
                <w14:ligatures w14:val="none"/>
              </w:rPr>
            </w:pPr>
          </w:p>
        </w:tc>
        <w:tc>
          <w:tcPr>
            <w:tcW w:w="3037" w:type="dxa"/>
            <w:vAlign w:val="center"/>
          </w:tcPr>
          <w:p w14:paraId="75DCEF2A">
            <w:pPr>
              <w:widowControl/>
              <w:spacing w:after="0" w:line="240" w:lineRule="auto"/>
              <w:jc w:val="center"/>
              <w:rPr>
                <w:rFonts w:hint="default" w:ascii="宋体" w:hAnsi="宋体" w:eastAsia="宋体" w:cs="宋体"/>
                <w:color w:val="0000FF"/>
                <w:kern w:val="0"/>
                <w:sz w:val="18"/>
                <w:szCs w:val="18"/>
                <w:lang w:val="en-US" w:eastAsia="zh-CN"/>
                <w14:ligatures w14:val="none"/>
              </w:rPr>
            </w:pPr>
            <w:r>
              <w:rPr>
                <w:rFonts w:hint="eastAsia" w:ascii="宋体" w:hAnsi="宋体" w:eastAsia="宋体" w:cs="宋体"/>
                <w:color w:val="0000FF"/>
                <w:kern w:val="0"/>
                <w:sz w:val="18"/>
                <w:szCs w:val="18"/>
                <w:lang w:val="zh-CN"/>
                <w14:ligatures w14:val="none"/>
              </w:rPr>
              <w:t>投标人填报的税金费率</w:t>
            </w:r>
            <w:r>
              <w:rPr>
                <w:rFonts w:hint="eastAsia" w:ascii="宋体" w:hAnsi="宋体" w:cs="宋体"/>
                <w:color w:val="0000FF"/>
                <w:kern w:val="0"/>
                <w:sz w:val="18"/>
                <w:szCs w:val="18"/>
                <w:lang w:val="en-US" w:eastAsia="zh-CN"/>
                <w14:ligatures w14:val="none"/>
              </w:rPr>
              <w:t>不得低于</w:t>
            </w:r>
            <w:r>
              <w:rPr>
                <w:rFonts w:hint="eastAsia" w:ascii="宋体" w:hAnsi="宋体" w:eastAsia="宋体" w:cs="宋体"/>
                <w:color w:val="0000FF"/>
                <w:kern w:val="0"/>
                <w:sz w:val="18"/>
                <w:szCs w:val="18"/>
                <w:lang w:val="zh-CN"/>
                <w14:ligatures w14:val="none"/>
              </w:rPr>
              <w:t>6.72%进行</w:t>
            </w:r>
            <w:r>
              <w:rPr>
                <w:rFonts w:hint="eastAsia" w:ascii="宋体" w:hAnsi="宋体" w:eastAsia="宋体" w:cs="宋体"/>
                <w:color w:val="0000FF"/>
                <w:kern w:val="0"/>
                <w:sz w:val="18"/>
                <w:szCs w:val="18"/>
                <w14:ligatures w14:val="none"/>
              </w:rPr>
              <w:t>计算</w:t>
            </w:r>
          </w:p>
        </w:tc>
      </w:tr>
      <w:tr w14:paraId="6D67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787" w:type="dxa"/>
            <w:gridSpan w:val="2"/>
            <w:vAlign w:val="center"/>
          </w:tcPr>
          <w:p w14:paraId="316C6ED6">
            <w:pPr>
              <w:widowControl/>
              <w:spacing w:after="0" w:line="240" w:lineRule="auto"/>
              <w:jc w:val="center"/>
              <w:rPr>
                <w:rFonts w:hint="eastAsia" w:ascii="宋体" w:hAnsi="宋体" w:eastAsia="宋体" w:cs="宋体"/>
                <w:b/>
                <w:color w:val="0000FF"/>
                <w:kern w:val="0"/>
                <w:sz w:val="20"/>
                <w:szCs w:val="20"/>
                <w:lang w:eastAsia="zh-CN"/>
                <w14:ligatures w14:val="none"/>
              </w:rPr>
            </w:pPr>
            <w:r>
              <w:rPr>
                <w:rFonts w:hint="eastAsia" w:ascii="宋体" w:hAnsi="宋体" w:eastAsia="宋体" w:cs="宋体"/>
                <w:b/>
                <w:color w:val="0000FF"/>
                <w:kern w:val="0"/>
                <w:sz w:val="20"/>
                <w:szCs w:val="20"/>
                <w14:ligatures w14:val="none"/>
              </w:rPr>
              <w:t>投标总报价</w:t>
            </w:r>
            <w:r>
              <w:rPr>
                <w:rFonts w:hint="eastAsia" w:ascii="宋体" w:hAnsi="宋体" w:cs="宋体"/>
                <w:b/>
                <w:color w:val="0000FF"/>
                <w:kern w:val="0"/>
                <w:sz w:val="20"/>
                <w:szCs w:val="20"/>
                <w:lang w:eastAsia="zh-CN"/>
                <w14:ligatures w14:val="none"/>
              </w:rPr>
              <w:t>（</w:t>
            </w:r>
            <w:r>
              <w:rPr>
                <w:rFonts w:hint="eastAsia" w:ascii="宋体" w:hAnsi="宋体" w:cs="宋体"/>
                <w:b/>
                <w:color w:val="0000FF"/>
                <w:kern w:val="0"/>
                <w:sz w:val="20"/>
                <w:szCs w:val="20"/>
                <w:lang w:val="en-US" w:eastAsia="zh-CN"/>
                <w14:ligatures w14:val="none"/>
              </w:rPr>
              <w:t>12个月费用</w:t>
            </w:r>
            <w:r>
              <w:rPr>
                <w:rFonts w:hint="eastAsia" w:ascii="宋体" w:hAnsi="宋体" w:cs="宋体"/>
                <w:b/>
                <w:color w:val="0000FF"/>
                <w:kern w:val="0"/>
                <w:sz w:val="20"/>
                <w:szCs w:val="20"/>
                <w:lang w:eastAsia="zh-CN"/>
                <w14:ligatures w14:val="none"/>
              </w:rPr>
              <w:t>）</w:t>
            </w:r>
          </w:p>
        </w:tc>
        <w:tc>
          <w:tcPr>
            <w:tcW w:w="975" w:type="dxa"/>
          </w:tcPr>
          <w:p w14:paraId="79B8A615">
            <w:pPr>
              <w:widowControl/>
              <w:spacing w:after="0" w:line="240" w:lineRule="auto"/>
              <w:jc w:val="center"/>
              <w:rPr>
                <w:rFonts w:hint="eastAsia" w:ascii="宋体" w:hAnsi="宋体" w:eastAsia="宋体" w:cs="宋体"/>
                <w:color w:val="0000FF"/>
                <w:kern w:val="0"/>
                <w:sz w:val="20"/>
                <w:szCs w:val="20"/>
                <w14:ligatures w14:val="none"/>
              </w:rPr>
            </w:pPr>
          </w:p>
        </w:tc>
        <w:tc>
          <w:tcPr>
            <w:tcW w:w="1113" w:type="dxa"/>
            <w:vAlign w:val="center"/>
          </w:tcPr>
          <w:p w14:paraId="2C3A8487">
            <w:pPr>
              <w:widowControl/>
              <w:spacing w:after="0" w:line="240" w:lineRule="auto"/>
              <w:jc w:val="center"/>
              <w:rPr>
                <w:rFonts w:hint="eastAsia" w:ascii="宋体" w:hAnsi="宋体" w:eastAsia="宋体" w:cs="宋体"/>
                <w:color w:val="0000FF"/>
                <w:kern w:val="0"/>
                <w:sz w:val="20"/>
                <w:szCs w:val="20"/>
                <w14:ligatures w14:val="none"/>
              </w:rPr>
            </w:pPr>
          </w:p>
        </w:tc>
        <w:tc>
          <w:tcPr>
            <w:tcW w:w="887" w:type="dxa"/>
            <w:vAlign w:val="center"/>
          </w:tcPr>
          <w:p w14:paraId="43FAD760">
            <w:pPr>
              <w:widowControl/>
              <w:spacing w:after="0" w:line="240" w:lineRule="auto"/>
              <w:jc w:val="center"/>
              <w:rPr>
                <w:rFonts w:hint="eastAsia" w:ascii="宋体" w:hAnsi="宋体" w:eastAsia="宋体" w:cs="宋体"/>
                <w:b/>
                <w:color w:val="0000FF"/>
                <w:kern w:val="0"/>
                <w:sz w:val="20"/>
                <w:szCs w:val="20"/>
                <w14:ligatures w14:val="none"/>
              </w:rPr>
            </w:pPr>
          </w:p>
        </w:tc>
        <w:tc>
          <w:tcPr>
            <w:tcW w:w="1088" w:type="dxa"/>
            <w:vAlign w:val="center"/>
          </w:tcPr>
          <w:p w14:paraId="509DF9E7">
            <w:pPr>
              <w:widowControl/>
              <w:spacing w:after="0" w:line="240" w:lineRule="auto"/>
              <w:jc w:val="center"/>
              <w:rPr>
                <w:rFonts w:hint="default" w:ascii="宋体" w:hAnsi="宋体" w:eastAsia="宋体" w:cs="宋体"/>
                <w:color w:val="0000FF"/>
                <w:kern w:val="0"/>
                <w:sz w:val="20"/>
                <w:szCs w:val="20"/>
                <w:lang w:val="en-US" w:eastAsia="zh-CN"/>
                <w14:ligatures w14:val="none"/>
              </w:rPr>
            </w:pPr>
            <w:r>
              <w:rPr>
                <w:rFonts w:hint="eastAsia" w:ascii="宋体" w:hAnsi="宋体" w:cs="宋体"/>
                <w:color w:val="0000FF"/>
                <w:kern w:val="0"/>
                <w:sz w:val="20"/>
                <w:szCs w:val="20"/>
                <w:lang w:val="en-US" w:eastAsia="zh-CN"/>
                <w14:ligatures w14:val="none"/>
              </w:rPr>
              <w:t xml:space="preserve"> </w:t>
            </w:r>
          </w:p>
        </w:tc>
        <w:tc>
          <w:tcPr>
            <w:tcW w:w="3037" w:type="dxa"/>
            <w:vAlign w:val="center"/>
          </w:tcPr>
          <w:p w14:paraId="456DDAD3">
            <w:pPr>
              <w:widowControl/>
              <w:spacing w:after="0" w:line="240" w:lineRule="auto"/>
              <w:jc w:val="center"/>
              <w:rPr>
                <w:rFonts w:hint="default" w:ascii="宋体" w:hAnsi="宋体" w:eastAsia="宋体" w:cs="宋体"/>
                <w:color w:val="0000FF"/>
                <w:kern w:val="0"/>
                <w:sz w:val="18"/>
                <w:szCs w:val="18"/>
                <w:lang w:val="en-US" w:eastAsia="zh-CN"/>
                <w14:ligatures w14:val="none"/>
              </w:rPr>
            </w:pPr>
            <w:r>
              <w:rPr>
                <w:rFonts w:hint="eastAsia" w:ascii="宋体" w:hAnsi="宋体" w:cs="宋体"/>
                <w:b/>
                <w:color w:val="0000FF"/>
                <w:kern w:val="0"/>
                <w:sz w:val="18"/>
                <w:szCs w:val="18"/>
                <w:lang w:eastAsia="zh-CN"/>
                <w14:ligatures w14:val="none"/>
              </w:rPr>
              <w:t>计算式：</w:t>
            </w:r>
            <w:r>
              <w:rPr>
                <w:rFonts w:hint="eastAsia" w:ascii="宋体" w:hAnsi="宋体" w:eastAsia="宋体" w:cs="宋体"/>
                <w:b/>
                <w:color w:val="0000FF"/>
                <w:kern w:val="0"/>
                <w:sz w:val="18"/>
                <w:szCs w:val="18"/>
                <w14:ligatures w14:val="none"/>
              </w:rPr>
              <w:t>（1+2+…+</w:t>
            </w:r>
            <w:r>
              <w:rPr>
                <w:rFonts w:hint="eastAsia" w:ascii="宋体" w:hAnsi="宋体" w:cs="宋体"/>
                <w:b/>
                <w:color w:val="0000FF"/>
                <w:kern w:val="0"/>
                <w:sz w:val="18"/>
                <w:szCs w:val="18"/>
                <w:lang w:val="en-US" w:eastAsia="zh-CN"/>
                <w14:ligatures w14:val="none"/>
              </w:rPr>
              <w:t>6</w:t>
            </w:r>
            <w:r>
              <w:rPr>
                <w:rFonts w:hint="eastAsia" w:ascii="宋体" w:hAnsi="宋体" w:eastAsia="宋体" w:cs="宋体"/>
                <w:b/>
                <w:color w:val="0000FF"/>
                <w:kern w:val="0"/>
                <w:sz w:val="18"/>
                <w:szCs w:val="18"/>
                <w14:ligatures w14:val="none"/>
              </w:rPr>
              <w:t>）</w:t>
            </w:r>
          </w:p>
        </w:tc>
      </w:tr>
    </w:tbl>
    <w:p w14:paraId="7A264697">
      <w:pPr>
        <w:spacing w:after="0" w:line="240" w:lineRule="auto"/>
        <w:ind w:firstLine="422" w:firstLineChars="200"/>
        <w:jc w:val="both"/>
        <w:rPr>
          <w:rFonts w:hint="eastAsia" w:ascii="宋体" w:hAnsi="宋体" w:eastAsia="宋体" w:cs="宋体"/>
          <w:b/>
          <w:color w:val="4874CB" w:themeColor="accent1"/>
          <w:sz w:val="21"/>
          <w:szCs w:val="21"/>
          <w14:textFill>
            <w14:solidFill>
              <w14:schemeClr w14:val="accent1"/>
            </w14:solidFill>
          </w14:textFill>
          <w14:ligatures w14:val="none"/>
        </w:rPr>
      </w:pPr>
    </w:p>
    <w:p w14:paraId="206A2032">
      <w:pPr>
        <w:spacing w:line="400" w:lineRule="exact"/>
        <w:jc w:val="left"/>
        <w:rPr>
          <w:rFonts w:ascii="宋体" w:hAnsi="宋体" w:cs="宋体"/>
          <w:sz w:val="24"/>
          <w:szCs w:val="24"/>
          <w:highlight w:val="none"/>
        </w:rPr>
      </w:pPr>
      <w:r>
        <w:rPr>
          <w:rFonts w:hint="eastAsia" w:ascii="宋体" w:hAnsi="宋体" w:eastAsia="宋体" w:cs="宋体"/>
          <w:b/>
          <w:bCs/>
          <w:kern w:val="0"/>
          <w:sz w:val="21"/>
          <w:szCs w:val="21"/>
          <w14:ligatures w14:val="none"/>
        </w:rPr>
        <w:t>注：</w:t>
      </w:r>
      <w:r>
        <w:rPr>
          <w:rFonts w:hint="eastAsia" w:ascii="宋体" w:hAnsi="宋体" w:eastAsia="宋体" w:cs="宋体"/>
          <w:b/>
          <w:bCs/>
          <w:i/>
          <w:iCs/>
          <w:kern w:val="0"/>
          <w:sz w:val="21"/>
          <w:szCs w:val="21"/>
          <w:u w:val="single"/>
          <w14:ligatures w14:val="none"/>
        </w:rPr>
        <w:t>投标人所提供人员的费用不得低于上述标准进行测算，否则视为未实质性响应招标文件要求。</w:t>
      </w:r>
      <w:r>
        <w:rPr>
          <w:rFonts w:hint="eastAsia" w:ascii="宋体" w:hAnsi="宋体" w:eastAsia="宋体" w:cs="宋体"/>
          <w:b/>
          <w:bCs/>
          <w:kern w:val="0"/>
          <w:sz w:val="21"/>
          <w:szCs w:val="21"/>
          <w14:ligatures w14:val="none"/>
        </w:rPr>
        <w:t>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sz w:val="22"/>
          <w:szCs w:val="22"/>
          <w:highlight w:val="none"/>
        </w:rPr>
        <w:t xml:space="preserve">   </w:t>
      </w:r>
      <w:r>
        <w:rPr>
          <w:rFonts w:hint="eastAsia" w:ascii="宋体" w:hAnsi="宋体" w:cs="宋体"/>
          <w:sz w:val="24"/>
          <w:szCs w:val="24"/>
          <w:highlight w:val="none"/>
        </w:rPr>
        <w:t xml:space="preserve">                                </w:t>
      </w:r>
    </w:p>
    <w:p w14:paraId="301ADA4A">
      <w:pPr>
        <w:pStyle w:val="33"/>
        <w:spacing w:beforeAutospacing="0" w:afterAutospacing="0"/>
        <w:jc w:val="center"/>
        <w:rPr>
          <w:highlight w:val="yellow"/>
        </w:rPr>
      </w:pPr>
      <w:r>
        <w:rPr>
          <w:rFonts w:hint="eastAsia"/>
          <w:highlight w:val="none"/>
          <w:lang w:val="en-US" w:eastAsia="zh-CN" w:bidi="ar"/>
        </w:rPr>
        <w:t xml:space="preserve">                                                 </w:t>
      </w:r>
      <w:r>
        <w:rPr>
          <w:rFonts w:hint="eastAsia"/>
          <w:highlight w:val="none"/>
          <w:lang w:bidi="ar"/>
        </w:rPr>
        <w:t xml:space="preserve"> 日期： 年  月  日</w:t>
      </w:r>
    </w:p>
    <w:p w14:paraId="5CE8FCF3">
      <w:pPr>
        <w:rPr>
          <w:rFonts w:hint="eastAsia" w:ascii="黑体" w:hAnsi="黑体" w:eastAsia="黑体" w:cs="黑体"/>
          <w:iCs/>
          <w:szCs w:val="28"/>
          <w:highlight w:val="yellow"/>
        </w:rPr>
      </w:pPr>
    </w:p>
    <w:p w14:paraId="2A1C6E78">
      <w:pPr>
        <w:jc w:val="center"/>
        <w:rPr>
          <w:rFonts w:hint="eastAsia" w:ascii="黑体" w:hAnsi="黑体" w:eastAsia="黑体" w:cs="黑体"/>
          <w:iCs/>
          <w:szCs w:val="28"/>
          <w:highlight w:val="none"/>
        </w:rPr>
      </w:pPr>
    </w:p>
    <w:p w14:paraId="61319400">
      <w:pPr>
        <w:jc w:val="center"/>
        <w:rPr>
          <w:rFonts w:hint="eastAsia" w:ascii="黑体" w:hAnsi="黑体" w:eastAsia="黑体" w:cs="黑体"/>
          <w:iCs/>
          <w:szCs w:val="28"/>
          <w:highlight w:val="none"/>
        </w:rPr>
      </w:pPr>
    </w:p>
    <w:p w14:paraId="42A1CD57">
      <w:pPr>
        <w:jc w:val="center"/>
        <w:rPr>
          <w:rFonts w:hint="eastAsia" w:ascii="黑体" w:hAnsi="黑体" w:eastAsia="黑体" w:cs="黑体"/>
          <w:iCs/>
          <w:szCs w:val="28"/>
          <w:highlight w:val="none"/>
        </w:rPr>
      </w:pPr>
    </w:p>
    <w:p w14:paraId="6E442C6E">
      <w:pPr>
        <w:jc w:val="center"/>
        <w:rPr>
          <w:rFonts w:hint="eastAsia" w:ascii="黑体" w:hAnsi="黑体" w:eastAsia="黑体" w:cs="黑体"/>
          <w:iCs/>
          <w:szCs w:val="28"/>
          <w:highlight w:val="none"/>
        </w:rPr>
      </w:pPr>
    </w:p>
    <w:p w14:paraId="0EA67EA4">
      <w:pPr>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三</w:t>
      </w:r>
      <w:r>
        <w:rPr>
          <w:rFonts w:hint="eastAsia" w:ascii="黑体" w:hAnsi="黑体" w:eastAsia="黑体" w:cs="黑体"/>
          <w:i/>
          <w:color w:val="auto"/>
          <w:sz w:val="32"/>
          <w:szCs w:val="32"/>
          <w:u w:val="single"/>
        </w:rPr>
        <w:t>、技术要求响应及偏离表</w:t>
      </w:r>
    </w:p>
    <w:p w14:paraId="384E6872">
      <w:pPr>
        <w:pStyle w:val="194"/>
        <w:spacing w:beforeAutospacing="0" w:afterAutospacing="0"/>
        <w:jc w:val="both"/>
        <w:rPr>
          <w:bCs/>
          <w:i/>
          <w:color w:val="auto"/>
          <w:sz w:val="13"/>
          <w:szCs w:val="13"/>
          <w:u w:val="single"/>
        </w:rPr>
      </w:pPr>
    </w:p>
    <w:tbl>
      <w:tblPr>
        <w:tblStyle w:val="36"/>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337CF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1DBA7FD5">
            <w:pPr>
              <w:pStyle w:val="194"/>
              <w:spacing w:beforeAutospacing="0" w:afterAutospacing="0"/>
              <w:jc w:val="center"/>
              <w:rPr>
                <w:color w:val="auto"/>
              </w:rPr>
            </w:pPr>
            <w:r>
              <w:rPr>
                <w:rFonts w:hint="eastAsia"/>
                <w:color w:val="auto"/>
              </w:rPr>
              <w:t>序号</w:t>
            </w:r>
          </w:p>
        </w:tc>
        <w:tc>
          <w:tcPr>
            <w:tcW w:w="2369" w:type="dxa"/>
            <w:noWrap/>
            <w:vAlign w:val="center"/>
          </w:tcPr>
          <w:p w14:paraId="444DF042">
            <w:pPr>
              <w:pStyle w:val="194"/>
              <w:spacing w:beforeAutospacing="0" w:afterAutospacing="0"/>
              <w:jc w:val="center"/>
              <w:rPr>
                <w:color w:val="auto"/>
              </w:rPr>
            </w:pPr>
            <w:r>
              <w:rPr>
                <w:rFonts w:hint="eastAsia"/>
                <w:color w:val="auto"/>
              </w:rPr>
              <w:t>招标文件要求</w:t>
            </w:r>
          </w:p>
        </w:tc>
        <w:tc>
          <w:tcPr>
            <w:tcW w:w="2240" w:type="dxa"/>
            <w:noWrap/>
            <w:vAlign w:val="center"/>
          </w:tcPr>
          <w:p w14:paraId="6BE8A1CD">
            <w:pPr>
              <w:pStyle w:val="194"/>
              <w:spacing w:beforeAutospacing="0" w:afterAutospacing="0"/>
              <w:jc w:val="center"/>
              <w:rPr>
                <w:color w:val="auto"/>
              </w:rPr>
            </w:pPr>
            <w:r>
              <w:rPr>
                <w:rFonts w:hint="eastAsia"/>
                <w:color w:val="auto"/>
              </w:rPr>
              <w:t>投标响应情况</w:t>
            </w:r>
          </w:p>
        </w:tc>
        <w:tc>
          <w:tcPr>
            <w:tcW w:w="1679" w:type="dxa"/>
            <w:noWrap/>
            <w:vAlign w:val="center"/>
          </w:tcPr>
          <w:p w14:paraId="313E10E7">
            <w:pPr>
              <w:pStyle w:val="194"/>
              <w:spacing w:beforeAutospacing="0" w:afterAutospacing="0"/>
              <w:jc w:val="center"/>
              <w:rPr>
                <w:color w:val="auto"/>
              </w:rPr>
            </w:pPr>
            <w:r>
              <w:rPr>
                <w:rFonts w:hint="eastAsia"/>
                <w:color w:val="auto"/>
              </w:rPr>
              <w:t>超出、符合或偏离</w:t>
            </w:r>
          </w:p>
        </w:tc>
        <w:tc>
          <w:tcPr>
            <w:tcW w:w="1679" w:type="dxa"/>
            <w:noWrap/>
            <w:vAlign w:val="center"/>
          </w:tcPr>
          <w:p w14:paraId="4B546E5B">
            <w:pPr>
              <w:pStyle w:val="194"/>
              <w:spacing w:beforeAutospacing="0" w:afterAutospacing="0"/>
              <w:jc w:val="center"/>
              <w:rPr>
                <w:color w:val="auto"/>
              </w:rPr>
            </w:pPr>
            <w:r>
              <w:rPr>
                <w:rFonts w:hint="eastAsia"/>
                <w:color w:val="auto"/>
              </w:rPr>
              <w:t>证明</w:t>
            </w:r>
          </w:p>
          <w:p w14:paraId="130B22A4">
            <w:pPr>
              <w:pStyle w:val="194"/>
              <w:spacing w:beforeAutospacing="0" w:afterAutospacing="0"/>
              <w:jc w:val="center"/>
              <w:rPr>
                <w:color w:val="auto"/>
              </w:rPr>
            </w:pPr>
            <w:r>
              <w:rPr>
                <w:rFonts w:hint="eastAsia"/>
                <w:color w:val="auto"/>
              </w:rPr>
              <w:t>材料</w:t>
            </w:r>
          </w:p>
        </w:tc>
      </w:tr>
      <w:tr w14:paraId="4F2EC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42A15B5">
            <w:pPr>
              <w:pStyle w:val="194"/>
              <w:spacing w:beforeAutospacing="0" w:afterAutospacing="0"/>
              <w:ind w:firstLine="600"/>
              <w:jc w:val="center"/>
              <w:rPr>
                <w:color w:val="auto"/>
              </w:rPr>
            </w:pPr>
            <w:r>
              <w:rPr>
                <w:rFonts w:hint="eastAsia"/>
                <w:color w:val="auto"/>
              </w:rPr>
              <w:t> </w:t>
            </w:r>
          </w:p>
        </w:tc>
        <w:tc>
          <w:tcPr>
            <w:tcW w:w="2369" w:type="dxa"/>
            <w:noWrap/>
            <w:vAlign w:val="center"/>
          </w:tcPr>
          <w:p w14:paraId="7A2D79D2">
            <w:pPr>
              <w:pStyle w:val="194"/>
              <w:spacing w:beforeAutospacing="0" w:afterAutospacing="0"/>
              <w:ind w:firstLine="600"/>
              <w:jc w:val="center"/>
              <w:rPr>
                <w:color w:val="auto"/>
              </w:rPr>
            </w:pPr>
            <w:r>
              <w:rPr>
                <w:rFonts w:hint="eastAsia"/>
                <w:color w:val="auto"/>
              </w:rPr>
              <w:t> </w:t>
            </w:r>
          </w:p>
        </w:tc>
        <w:tc>
          <w:tcPr>
            <w:tcW w:w="2240" w:type="dxa"/>
            <w:noWrap/>
            <w:vAlign w:val="center"/>
          </w:tcPr>
          <w:p w14:paraId="44DAC861">
            <w:pPr>
              <w:pStyle w:val="194"/>
              <w:spacing w:beforeAutospacing="0" w:afterAutospacing="0"/>
              <w:ind w:firstLine="600"/>
              <w:jc w:val="center"/>
              <w:rPr>
                <w:color w:val="auto"/>
              </w:rPr>
            </w:pPr>
            <w:r>
              <w:rPr>
                <w:rFonts w:hint="eastAsia"/>
                <w:color w:val="auto"/>
              </w:rPr>
              <w:t> </w:t>
            </w:r>
          </w:p>
        </w:tc>
        <w:tc>
          <w:tcPr>
            <w:tcW w:w="1679" w:type="dxa"/>
            <w:noWrap/>
            <w:vAlign w:val="center"/>
          </w:tcPr>
          <w:p w14:paraId="70384CB1">
            <w:pPr>
              <w:pStyle w:val="194"/>
              <w:spacing w:beforeAutospacing="0" w:afterAutospacing="0"/>
              <w:ind w:firstLine="600"/>
              <w:jc w:val="center"/>
              <w:rPr>
                <w:color w:val="auto"/>
              </w:rPr>
            </w:pPr>
            <w:r>
              <w:rPr>
                <w:rFonts w:hint="eastAsia"/>
                <w:color w:val="auto"/>
              </w:rPr>
              <w:t> </w:t>
            </w:r>
          </w:p>
        </w:tc>
        <w:tc>
          <w:tcPr>
            <w:tcW w:w="1679" w:type="dxa"/>
            <w:noWrap/>
            <w:vAlign w:val="center"/>
          </w:tcPr>
          <w:p w14:paraId="51190F44">
            <w:pPr>
              <w:pStyle w:val="194"/>
              <w:spacing w:beforeAutospacing="0" w:afterAutospacing="0"/>
              <w:ind w:firstLine="600"/>
              <w:jc w:val="center"/>
              <w:rPr>
                <w:color w:val="auto"/>
              </w:rPr>
            </w:pPr>
            <w:r>
              <w:rPr>
                <w:rFonts w:hint="eastAsia"/>
                <w:color w:val="auto"/>
              </w:rPr>
              <w:t> </w:t>
            </w:r>
          </w:p>
        </w:tc>
      </w:tr>
      <w:tr w14:paraId="5218A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91260F5">
            <w:pPr>
              <w:pStyle w:val="194"/>
              <w:spacing w:beforeAutospacing="0" w:afterAutospacing="0"/>
              <w:ind w:firstLine="600"/>
              <w:jc w:val="center"/>
              <w:rPr>
                <w:color w:val="auto"/>
              </w:rPr>
            </w:pPr>
            <w:r>
              <w:rPr>
                <w:rFonts w:hint="eastAsia"/>
                <w:color w:val="auto"/>
              </w:rPr>
              <w:t> </w:t>
            </w:r>
          </w:p>
        </w:tc>
        <w:tc>
          <w:tcPr>
            <w:tcW w:w="2369" w:type="dxa"/>
            <w:noWrap/>
            <w:vAlign w:val="center"/>
          </w:tcPr>
          <w:p w14:paraId="59AC6849">
            <w:pPr>
              <w:pStyle w:val="194"/>
              <w:spacing w:beforeAutospacing="0" w:afterAutospacing="0"/>
              <w:ind w:firstLine="600"/>
              <w:jc w:val="center"/>
              <w:rPr>
                <w:color w:val="auto"/>
              </w:rPr>
            </w:pPr>
            <w:r>
              <w:rPr>
                <w:rFonts w:hint="eastAsia"/>
                <w:color w:val="auto"/>
              </w:rPr>
              <w:t> </w:t>
            </w:r>
          </w:p>
        </w:tc>
        <w:tc>
          <w:tcPr>
            <w:tcW w:w="2240" w:type="dxa"/>
            <w:noWrap/>
            <w:vAlign w:val="center"/>
          </w:tcPr>
          <w:p w14:paraId="4A59F04B">
            <w:pPr>
              <w:pStyle w:val="194"/>
              <w:spacing w:beforeAutospacing="0" w:afterAutospacing="0"/>
              <w:ind w:firstLine="600"/>
              <w:jc w:val="center"/>
              <w:rPr>
                <w:color w:val="auto"/>
              </w:rPr>
            </w:pPr>
            <w:r>
              <w:rPr>
                <w:rFonts w:hint="eastAsia"/>
                <w:color w:val="auto"/>
              </w:rPr>
              <w:t> </w:t>
            </w:r>
          </w:p>
        </w:tc>
        <w:tc>
          <w:tcPr>
            <w:tcW w:w="1679" w:type="dxa"/>
            <w:noWrap/>
            <w:vAlign w:val="center"/>
          </w:tcPr>
          <w:p w14:paraId="58529C5E">
            <w:pPr>
              <w:pStyle w:val="194"/>
              <w:spacing w:beforeAutospacing="0" w:afterAutospacing="0"/>
              <w:ind w:firstLine="600"/>
              <w:jc w:val="center"/>
              <w:rPr>
                <w:color w:val="auto"/>
              </w:rPr>
            </w:pPr>
            <w:r>
              <w:rPr>
                <w:rFonts w:hint="eastAsia"/>
                <w:color w:val="auto"/>
              </w:rPr>
              <w:t> </w:t>
            </w:r>
          </w:p>
        </w:tc>
        <w:tc>
          <w:tcPr>
            <w:tcW w:w="1679" w:type="dxa"/>
            <w:noWrap/>
            <w:vAlign w:val="center"/>
          </w:tcPr>
          <w:p w14:paraId="75959D8F">
            <w:pPr>
              <w:pStyle w:val="194"/>
              <w:spacing w:beforeAutospacing="0" w:afterAutospacing="0"/>
              <w:ind w:firstLine="600"/>
              <w:jc w:val="center"/>
              <w:rPr>
                <w:color w:val="auto"/>
              </w:rPr>
            </w:pPr>
            <w:r>
              <w:rPr>
                <w:rFonts w:hint="eastAsia"/>
                <w:color w:val="auto"/>
              </w:rPr>
              <w:t> </w:t>
            </w:r>
          </w:p>
        </w:tc>
      </w:tr>
      <w:tr w14:paraId="6C416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2D2B7A86">
            <w:pPr>
              <w:pStyle w:val="194"/>
              <w:spacing w:beforeAutospacing="0" w:afterAutospacing="0"/>
              <w:ind w:firstLine="600"/>
              <w:jc w:val="center"/>
              <w:rPr>
                <w:color w:val="auto"/>
              </w:rPr>
            </w:pPr>
            <w:r>
              <w:rPr>
                <w:rFonts w:hint="eastAsia"/>
                <w:color w:val="auto"/>
              </w:rPr>
              <w:t> </w:t>
            </w:r>
          </w:p>
        </w:tc>
        <w:tc>
          <w:tcPr>
            <w:tcW w:w="2369" w:type="dxa"/>
            <w:noWrap/>
            <w:vAlign w:val="center"/>
          </w:tcPr>
          <w:p w14:paraId="080C3F91">
            <w:pPr>
              <w:pStyle w:val="194"/>
              <w:spacing w:beforeAutospacing="0" w:afterAutospacing="0"/>
              <w:ind w:firstLine="600"/>
              <w:jc w:val="center"/>
              <w:rPr>
                <w:color w:val="auto"/>
              </w:rPr>
            </w:pPr>
            <w:r>
              <w:rPr>
                <w:rFonts w:hint="eastAsia"/>
                <w:color w:val="auto"/>
              </w:rPr>
              <w:t> </w:t>
            </w:r>
          </w:p>
        </w:tc>
        <w:tc>
          <w:tcPr>
            <w:tcW w:w="2240" w:type="dxa"/>
            <w:noWrap/>
            <w:vAlign w:val="center"/>
          </w:tcPr>
          <w:p w14:paraId="1056D0AF">
            <w:pPr>
              <w:pStyle w:val="194"/>
              <w:spacing w:beforeAutospacing="0" w:afterAutospacing="0"/>
              <w:ind w:firstLine="600"/>
              <w:jc w:val="center"/>
              <w:rPr>
                <w:color w:val="auto"/>
              </w:rPr>
            </w:pPr>
            <w:r>
              <w:rPr>
                <w:rFonts w:hint="eastAsia"/>
                <w:color w:val="auto"/>
              </w:rPr>
              <w:t> </w:t>
            </w:r>
          </w:p>
        </w:tc>
        <w:tc>
          <w:tcPr>
            <w:tcW w:w="1679" w:type="dxa"/>
            <w:noWrap/>
            <w:vAlign w:val="center"/>
          </w:tcPr>
          <w:p w14:paraId="48207826">
            <w:pPr>
              <w:pStyle w:val="194"/>
              <w:spacing w:beforeAutospacing="0" w:afterAutospacing="0"/>
              <w:ind w:firstLine="600"/>
              <w:jc w:val="center"/>
              <w:rPr>
                <w:color w:val="auto"/>
              </w:rPr>
            </w:pPr>
            <w:r>
              <w:rPr>
                <w:rFonts w:hint="eastAsia"/>
                <w:color w:val="auto"/>
              </w:rPr>
              <w:t> </w:t>
            </w:r>
          </w:p>
        </w:tc>
        <w:tc>
          <w:tcPr>
            <w:tcW w:w="1679" w:type="dxa"/>
            <w:noWrap/>
            <w:vAlign w:val="center"/>
          </w:tcPr>
          <w:p w14:paraId="43EBEF73">
            <w:pPr>
              <w:pStyle w:val="194"/>
              <w:spacing w:beforeAutospacing="0" w:afterAutospacing="0"/>
              <w:ind w:firstLine="600"/>
              <w:jc w:val="center"/>
              <w:rPr>
                <w:color w:val="auto"/>
              </w:rPr>
            </w:pPr>
            <w:r>
              <w:rPr>
                <w:rFonts w:hint="eastAsia"/>
                <w:color w:val="auto"/>
              </w:rPr>
              <w:t> </w:t>
            </w:r>
          </w:p>
        </w:tc>
      </w:tr>
      <w:tr w14:paraId="44ED2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3C0AD80">
            <w:pPr>
              <w:pStyle w:val="194"/>
              <w:spacing w:beforeAutospacing="0" w:afterAutospacing="0"/>
              <w:ind w:firstLine="600"/>
              <w:jc w:val="center"/>
              <w:rPr>
                <w:color w:val="auto"/>
              </w:rPr>
            </w:pPr>
            <w:r>
              <w:rPr>
                <w:rFonts w:hint="eastAsia"/>
                <w:color w:val="auto"/>
              </w:rPr>
              <w:t> </w:t>
            </w:r>
          </w:p>
        </w:tc>
        <w:tc>
          <w:tcPr>
            <w:tcW w:w="2369" w:type="dxa"/>
            <w:noWrap/>
            <w:vAlign w:val="center"/>
          </w:tcPr>
          <w:p w14:paraId="4B300068">
            <w:pPr>
              <w:pStyle w:val="194"/>
              <w:spacing w:beforeAutospacing="0" w:afterAutospacing="0"/>
              <w:ind w:firstLine="600"/>
              <w:jc w:val="center"/>
              <w:rPr>
                <w:color w:val="auto"/>
              </w:rPr>
            </w:pPr>
            <w:r>
              <w:rPr>
                <w:rFonts w:hint="eastAsia"/>
                <w:color w:val="auto"/>
              </w:rPr>
              <w:t> </w:t>
            </w:r>
          </w:p>
        </w:tc>
        <w:tc>
          <w:tcPr>
            <w:tcW w:w="2240" w:type="dxa"/>
            <w:noWrap/>
            <w:vAlign w:val="center"/>
          </w:tcPr>
          <w:p w14:paraId="4D8AAE44">
            <w:pPr>
              <w:pStyle w:val="194"/>
              <w:spacing w:beforeAutospacing="0" w:afterAutospacing="0"/>
              <w:ind w:firstLine="600"/>
              <w:jc w:val="center"/>
              <w:rPr>
                <w:color w:val="auto"/>
              </w:rPr>
            </w:pPr>
            <w:r>
              <w:rPr>
                <w:rFonts w:hint="eastAsia"/>
                <w:color w:val="auto"/>
              </w:rPr>
              <w:t> </w:t>
            </w:r>
          </w:p>
        </w:tc>
        <w:tc>
          <w:tcPr>
            <w:tcW w:w="1679" w:type="dxa"/>
            <w:noWrap/>
            <w:vAlign w:val="center"/>
          </w:tcPr>
          <w:p w14:paraId="344F85EC">
            <w:pPr>
              <w:pStyle w:val="194"/>
              <w:spacing w:beforeAutospacing="0" w:afterAutospacing="0"/>
              <w:ind w:firstLine="600"/>
              <w:jc w:val="center"/>
              <w:rPr>
                <w:color w:val="auto"/>
              </w:rPr>
            </w:pPr>
            <w:r>
              <w:rPr>
                <w:rFonts w:hint="eastAsia"/>
                <w:color w:val="auto"/>
              </w:rPr>
              <w:t> </w:t>
            </w:r>
          </w:p>
        </w:tc>
        <w:tc>
          <w:tcPr>
            <w:tcW w:w="1679" w:type="dxa"/>
            <w:noWrap/>
            <w:vAlign w:val="center"/>
          </w:tcPr>
          <w:p w14:paraId="6F7220EE">
            <w:pPr>
              <w:pStyle w:val="194"/>
              <w:spacing w:beforeAutospacing="0" w:afterAutospacing="0"/>
              <w:ind w:firstLine="600"/>
              <w:jc w:val="center"/>
              <w:rPr>
                <w:color w:val="auto"/>
              </w:rPr>
            </w:pPr>
            <w:r>
              <w:rPr>
                <w:rFonts w:hint="eastAsia"/>
                <w:color w:val="auto"/>
              </w:rPr>
              <w:t> </w:t>
            </w:r>
          </w:p>
        </w:tc>
      </w:tr>
      <w:tr w14:paraId="420EB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E9F6804">
            <w:pPr>
              <w:pStyle w:val="194"/>
              <w:spacing w:beforeAutospacing="0" w:afterAutospacing="0"/>
              <w:ind w:firstLine="600"/>
              <w:jc w:val="center"/>
              <w:rPr>
                <w:color w:val="auto"/>
              </w:rPr>
            </w:pPr>
            <w:r>
              <w:rPr>
                <w:rFonts w:hint="eastAsia"/>
                <w:color w:val="auto"/>
              </w:rPr>
              <w:t> </w:t>
            </w:r>
          </w:p>
        </w:tc>
        <w:tc>
          <w:tcPr>
            <w:tcW w:w="2369" w:type="dxa"/>
            <w:noWrap/>
            <w:vAlign w:val="center"/>
          </w:tcPr>
          <w:p w14:paraId="76E281AE">
            <w:pPr>
              <w:pStyle w:val="194"/>
              <w:spacing w:beforeAutospacing="0" w:afterAutospacing="0"/>
              <w:ind w:firstLine="600"/>
              <w:jc w:val="center"/>
              <w:rPr>
                <w:color w:val="auto"/>
              </w:rPr>
            </w:pPr>
            <w:r>
              <w:rPr>
                <w:rFonts w:hint="eastAsia"/>
                <w:color w:val="auto"/>
              </w:rPr>
              <w:t> </w:t>
            </w:r>
          </w:p>
        </w:tc>
        <w:tc>
          <w:tcPr>
            <w:tcW w:w="2240" w:type="dxa"/>
            <w:noWrap/>
            <w:vAlign w:val="center"/>
          </w:tcPr>
          <w:p w14:paraId="27506E87">
            <w:pPr>
              <w:pStyle w:val="194"/>
              <w:spacing w:beforeAutospacing="0" w:afterAutospacing="0"/>
              <w:ind w:firstLine="600"/>
              <w:jc w:val="center"/>
              <w:rPr>
                <w:color w:val="auto"/>
              </w:rPr>
            </w:pPr>
            <w:r>
              <w:rPr>
                <w:rFonts w:hint="eastAsia"/>
                <w:color w:val="auto"/>
              </w:rPr>
              <w:t> </w:t>
            </w:r>
          </w:p>
        </w:tc>
        <w:tc>
          <w:tcPr>
            <w:tcW w:w="1679" w:type="dxa"/>
            <w:noWrap/>
            <w:vAlign w:val="center"/>
          </w:tcPr>
          <w:p w14:paraId="4D51B75E">
            <w:pPr>
              <w:pStyle w:val="194"/>
              <w:spacing w:beforeAutospacing="0" w:afterAutospacing="0"/>
              <w:ind w:firstLine="600"/>
              <w:jc w:val="center"/>
              <w:rPr>
                <w:color w:val="auto"/>
              </w:rPr>
            </w:pPr>
            <w:r>
              <w:rPr>
                <w:rFonts w:hint="eastAsia"/>
                <w:color w:val="auto"/>
              </w:rPr>
              <w:t> </w:t>
            </w:r>
          </w:p>
        </w:tc>
        <w:tc>
          <w:tcPr>
            <w:tcW w:w="1679" w:type="dxa"/>
            <w:noWrap/>
            <w:vAlign w:val="center"/>
          </w:tcPr>
          <w:p w14:paraId="56DD3CA3">
            <w:pPr>
              <w:pStyle w:val="194"/>
              <w:spacing w:beforeAutospacing="0" w:afterAutospacing="0"/>
              <w:ind w:firstLine="600"/>
              <w:jc w:val="center"/>
              <w:rPr>
                <w:color w:val="auto"/>
              </w:rPr>
            </w:pPr>
            <w:r>
              <w:rPr>
                <w:rFonts w:hint="eastAsia"/>
                <w:color w:val="auto"/>
              </w:rPr>
              <w:t> </w:t>
            </w:r>
          </w:p>
        </w:tc>
      </w:tr>
      <w:tr w14:paraId="365FD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6342917">
            <w:pPr>
              <w:pStyle w:val="194"/>
              <w:spacing w:beforeAutospacing="0" w:afterAutospacing="0"/>
              <w:ind w:firstLine="600"/>
              <w:jc w:val="center"/>
              <w:rPr>
                <w:color w:val="auto"/>
              </w:rPr>
            </w:pPr>
            <w:r>
              <w:rPr>
                <w:rFonts w:hint="eastAsia"/>
                <w:color w:val="auto"/>
              </w:rPr>
              <w:t> </w:t>
            </w:r>
          </w:p>
        </w:tc>
        <w:tc>
          <w:tcPr>
            <w:tcW w:w="2369" w:type="dxa"/>
            <w:noWrap/>
            <w:vAlign w:val="center"/>
          </w:tcPr>
          <w:p w14:paraId="5D4326E8">
            <w:pPr>
              <w:pStyle w:val="194"/>
              <w:spacing w:beforeAutospacing="0" w:afterAutospacing="0"/>
              <w:ind w:firstLine="600"/>
              <w:jc w:val="center"/>
              <w:rPr>
                <w:color w:val="auto"/>
              </w:rPr>
            </w:pPr>
            <w:r>
              <w:rPr>
                <w:rFonts w:hint="eastAsia"/>
                <w:color w:val="auto"/>
              </w:rPr>
              <w:t> </w:t>
            </w:r>
          </w:p>
        </w:tc>
        <w:tc>
          <w:tcPr>
            <w:tcW w:w="2240" w:type="dxa"/>
            <w:noWrap/>
            <w:vAlign w:val="center"/>
          </w:tcPr>
          <w:p w14:paraId="18207748">
            <w:pPr>
              <w:pStyle w:val="194"/>
              <w:spacing w:beforeAutospacing="0" w:afterAutospacing="0"/>
              <w:ind w:firstLine="600"/>
              <w:jc w:val="center"/>
              <w:rPr>
                <w:color w:val="auto"/>
              </w:rPr>
            </w:pPr>
            <w:r>
              <w:rPr>
                <w:rFonts w:hint="eastAsia"/>
                <w:color w:val="auto"/>
              </w:rPr>
              <w:t> </w:t>
            </w:r>
          </w:p>
        </w:tc>
        <w:tc>
          <w:tcPr>
            <w:tcW w:w="1679" w:type="dxa"/>
            <w:noWrap/>
            <w:vAlign w:val="center"/>
          </w:tcPr>
          <w:p w14:paraId="07A1727D">
            <w:pPr>
              <w:pStyle w:val="194"/>
              <w:spacing w:beforeAutospacing="0" w:afterAutospacing="0"/>
              <w:ind w:firstLine="600"/>
              <w:jc w:val="center"/>
              <w:rPr>
                <w:color w:val="auto"/>
              </w:rPr>
            </w:pPr>
            <w:r>
              <w:rPr>
                <w:rFonts w:hint="eastAsia"/>
                <w:color w:val="auto"/>
              </w:rPr>
              <w:t> </w:t>
            </w:r>
          </w:p>
        </w:tc>
        <w:tc>
          <w:tcPr>
            <w:tcW w:w="1679" w:type="dxa"/>
            <w:noWrap/>
            <w:vAlign w:val="center"/>
          </w:tcPr>
          <w:p w14:paraId="443A8A23">
            <w:pPr>
              <w:pStyle w:val="194"/>
              <w:spacing w:beforeAutospacing="0" w:afterAutospacing="0"/>
              <w:ind w:firstLine="600"/>
              <w:jc w:val="center"/>
              <w:rPr>
                <w:color w:val="auto"/>
              </w:rPr>
            </w:pPr>
            <w:r>
              <w:rPr>
                <w:rFonts w:hint="eastAsia"/>
                <w:color w:val="auto"/>
              </w:rPr>
              <w:t> </w:t>
            </w:r>
          </w:p>
        </w:tc>
      </w:tr>
      <w:tr w14:paraId="68F31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69F9FAD">
            <w:pPr>
              <w:pStyle w:val="194"/>
              <w:spacing w:beforeAutospacing="0" w:afterAutospacing="0"/>
              <w:ind w:firstLine="600"/>
              <w:jc w:val="center"/>
              <w:rPr>
                <w:color w:val="auto"/>
              </w:rPr>
            </w:pPr>
            <w:r>
              <w:rPr>
                <w:rFonts w:hint="eastAsia"/>
                <w:color w:val="auto"/>
              </w:rPr>
              <w:t> </w:t>
            </w:r>
          </w:p>
        </w:tc>
        <w:tc>
          <w:tcPr>
            <w:tcW w:w="2369" w:type="dxa"/>
            <w:noWrap/>
            <w:vAlign w:val="center"/>
          </w:tcPr>
          <w:p w14:paraId="7895711D">
            <w:pPr>
              <w:pStyle w:val="194"/>
              <w:spacing w:beforeAutospacing="0" w:afterAutospacing="0"/>
              <w:ind w:firstLine="600"/>
              <w:jc w:val="center"/>
              <w:rPr>
                <w:color w:val="auto"/>
              </w:rPr>
            </w:pPr>
            <w:r>
              <w:rPr>
                <w:rFonts w:hint="eastAsia"/>
                <w:color w:val="auto"/>
              </w:rPr>
              <w:t> </w:t>
            </w:r>
          </w:p>
        </w:tc>
        <w:tc>
          <w:tcPr>
            <w:tcW w:w="2240" w:type="dxa"/>
            <w:noWrap/>
            <w:vAlign w:val="center"/>
          </w:tcPr>
          <w:p w14:paraId="42D1D6E3">
            <w:pPr>
              <w:pStyle w:val="194"/>
              <w:spacing w:beforeAutospacing="0" w:afterAutospacing="0"/>
              <w:ind w:firstLine="600"/>
              <w:jc w:val="center"/>
              <w:rPr>
                <w:color w:val="auto"/>
              </w:rPr>
            </w:pPr>
            <w:r>
              <w:rPr>
                <w:rFonts w:hint="eastAsia"/>
                <w:color w:val="auto"/>
              </w:rPr>
              <w:t> </w:t>
            </w:r>
          </w:p>
        </w:tc>
        <w:tc>
          <w:tcPr>
            <w:tcW w:w="1679" w:type="dxa"/>
            <w:noWrap/>
            <w:vAlign w:val="center"/>
          </w:tcPr>
          <w:p w14:paraId="7C80E917">
            <w:pPr>
              <w:pStyle w:val="194"/>
              <w:spacing w:beforeAutospacing="0" w:afterAutospacing="0"/>
              <w:ind w:firstLine="600"/>
              <w:jc w:val="center"/>
              <w:rPr>
                <w:color w:val="auto"/>
              </w:rPr>
            </w:pPr>
            <w:r>
              <w:rPr>
                <w:rFonts w:hint="eastAsia"/>
                <w:color w:val="auto"/>
              </w:rPr>
              <w:t> </w:t>
            </w:r>
          </w:p>
        </w:tc>
        <w:tc>
          <w:tcPr>
            <w:tcW w:w="1679" w:type="dxa"/>
            <w:noWrap/>
            <w:vAlign w:val="center"/>
          </w:tcPr>
          <w:p w14:paraId="76E7A11D">
            <w:pPr>
              <w:pStyle w:val="194"/>
              <w:spacing w:beforeAutospacing="0" w:afterAutospacing="0"/>
              <w:ind w:firstLine="600"/>
              <w:jc w:val="center"/>
              <w:rPr>
                <w:color w:val="auto"/>
              </w:rPr>
            </w:pPr>
            <w:r>
              <w:rPr>
                <w:rFonts w:hint="eastAsia"/>
                <w:color w:val="auto"/>
              </w:rPr>
              <w:t> </w:t>
            </w:r>
          </w:p>
        </w:tc>
      </w:tr>
      <w:tr w14:paraId="5CD31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6A21778E">
            <w:pPr>
              <w:pStyle w:val="194"/>
              <w:spacing w:beforeAutospacing="0" w:afterAutospacing="0"/>
              <w:ind w:firstLine="600"/>
              <w:jc w:val="center"/>
              <w:rPr>
                <w:color w:val="auto"/>
              </w:rPr>
            </w:pPr>
            <w:r>
              <w:rPr>
                <w:rFonts w:hint="eastAsia"/>
                <w:color w:val="auto"/>
              </w:rPr>
              <w:t> </w:t>
            </w:r>
          </w:p>
        </w:tc>
        <w:tc>
          <w:tcPr>
            <w:tcW w:w="2369" w:type="dxa"/>
            <w:noWrap/>
            <w:vAlign w:val="center"/>
          </w:tcPr>
          <w:p w14:paraId="50F24126">
            <w:pPr>
              <w:pStyle w:val="194"/>
              <w:spacing w:beforeAutospacing="0" w:afterAutospacing="0"/>
              <w:ind w:firstLine="480"/>
              <w:jc w:val="center"/>
              <w:rPr>
                <w:color w:val="auto"/>
              </w:rPr>
            </w:pPr>
            <w:r>
              <w:rPr>
                <w:rFonts w:hint="eastAsia"/>
                <w:color w:val="auto"/>
              </w:rPr>
              <w:t>……</w:t>
            </w:r>
          </w:p>
        </w:tc>
        <w:tc>
          <w:tcPr>
            <w:tcW w:w="2240" w:type="dxa"/>
            <w:noWrap/>
            <w:vAlign w:val="center"/>
          </w:tcPr>
          <w:p w14:paraId="58FD7A5B">
            <w:pPr>
              <w:pStyle w:val="194"/>
              <w:spacing w:beforeAutospacing="0" w:afterAutospacing="0"/>
              <w:ind w:firstLine="600"/>
              <w:jc w:val="center"/>
              <w:rPr>
                <w:color w:val="auto"/>
              </w:rPr>
            </w:pPr>
            <w:r>
              <w:rPr>
                <w:rFonts w:hint="eastAsia"/>
                <w:color w:val="auto"/>
              </w:rPr>
              <w:t> </w:t>
            </w:r>
          </w:p>
        </w:tc>
        <w:tc>
          <w:tcPr>
            <w:tcW w:w="1679" w:type="dxa"/>
            <w:noWrap/>
            <w:vAlign w:val="center"/>
          </w:tcPr>
          <w:p w14:paraId="3F46FBE6">
            <w:pPr>
              <w:pStyle w:val="194"/>
              <w:spacing w:beforeAutospacing="0" w:afterAutospacing="0"/>
              <w:ind w:firstLine="600"/>
              <w:jc w:val="center"/>
              <w:rPr>
                <w:color w:val="auto"/>
              </w:rPr>
            </w:pPr>
            <w:r>
              <w:rPr>
                <w:rFonts w:hint="eastAsia"/>
                <w:color w:val="auto"/>
              </w:rPr>
              <w:t> </w:t>
            </w:r>
          </w:p>
        </w:tc>
        <w:tc>
          <w:tcPr>
            <w:tcW w:w="1679" w:type="dxa"/>
            <w:noWrap/>
            <w:vAlign w:val="center"/>
          </w:tcPr>
          <w:p w14:paraId="2132588E">
            <w:pPr>
              <w:pStyle w:val="194"/>
              <w:spacing w:beforeAutospacing="0" w:afterAutospacing="0"/>
              <w:ind w:firstLine="600"/>
              <w:jc w:val="center"/>
              <w:rPr>
                <w:color w:val="auto"/>
              </w:rPr>
            </w:pPr>
            <w:r>
              <w:rPr>
                <w:rFonts w:hint="eastAsia"/>
                <w:color w:val="auto"/>
              </w:rPr>
              <w:t> </w:t>
            </w:r>
          </w:p>
        </w:tc>
      </w:tr>
    </w:tbl>
    <w:p w14:paraId="5C01F035">
      <w:pPr>
        <w:pStyle w:val="194"/>
        <w:spacing w:beforeAutospacing="0" w:afterAutospacing="0"/>
        <w:ind w:firstLine="480"/>
        <w:jc w:val="both"/>
        <w:rPr>
          <w:color w:val="auto"/>
        </w:rPr>
      </w:pPr>
      <w:r>
        <w:rPr>
          <w:rFonts w:hint="eastAsia"/>
          <w:color w:val="auto"/>
        </w:rPr>
        <w:t>注：行数不够，可自行添加。</w:t>
      </w:r>
    </w:p>
    <w:p w14:paraId="3425AFB7">
      <w:pPr>
        <w:pStyle w:val="194"/>
        <w:spacing w:beforeAutospacing="0" w:afterAutospacing="0" w:line="0" w:lineRule="atLeast"/>
        <w:jc w:val="center"/>
        <w:rPr>
          <w:color w:val="auto"/>
        </w:rPr>
      </w:pPr>
      <w:r>
        <w:rPr>
          <w:rFonts w:hint="eastAsia"/>
          <w:color w:val="auto"/>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四</w:t>
      </w:r>
      <w:r>
        <w:rPr>
          <w:rFonts w:hint="eastAsia" w:ascii="黑体" w:hAnsi="黑体" w:eastAsia="黑体" w:cs="黑体"/>
          <w:i/>
          <w:color w:val="auto"/>
          <w:sz w:val="32"/>
          <w:szCs w:val="32"/>
          <w:u w:val="single"/>
        </w:rPr>
        <w:t>、商务要求响应及偏离表</w:t>
      </w:r>
    </w:p>
    <w:p w14:paraId="2DCB2FBF">
      <w:pPr>
        <w:pStyle w:val="194"/>
        <w:spacing w:beforeAutospacing="0" w:afterAutospacing="0"/>
        <w:jc w:val="both"/>
        <w:rPr>
          <w:bCs/>
          <w:i/>
          <w:color w:val="auto"/>
          <w:sz w:val="13"/>
          <w:szCs w:val="13"/>
          <w:u w:val="single"/>
        </w:rPr>
      </w:pPr>
    </w:p>
    <w:tbl>
      <w:tblPr>
        <w:tblStyle w:val="36"/>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320E4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7B6F969A">
            <w:pPr>
              <w:pStyle w:val="194"/>
              <w:spacing w:beforeAutospacing="0" w:afterAutospacing="0"/>
              <w:jc w:val="center"/>
              <w:rPr>
                <w:color w:val="auto"/>
              </w:rPr>
            </w:pPr>
            <w:r>
              <w:rPr>
                <w:rFonts w:hint="eastAsia"/>
                <w:color w:val="auto"/>
              </w:rPr>
              <w:t>序号</w:t>
            </w:r>
          </w:p>
        </w:tc>
        <w:tc>
          <w:tcPr>
            <w:tcW w:w="2011" w:type="dxa"/>
            <w:noWrap/>
            <w:vAlign w:val="center"/>
          </w:tcPr>
          <w:p w14:paraId="399DAA13">
            <w:pPr>
              <w:pStyle w:val="194"/>
              <w:spacing w:beforeAutospacing="0" w:afterAutospacing="0"/>
              <w:jc w:val="center"/>
              <w:rPr>
                <w:color w:val="auto"/>
              </w:rPr>
            </w:pPr>
            <w:r>
              <w:rPr>
                <w:rFonts w:hint="eastAsia"/>
                <w:color w:val="auto"/>
              </w:rPr>
              <w:t>招标文件要求</w:t>
            </w:r>
          </w:p>
        </w:tc>
        <w:tc>
          <w:tcPr>
            <w:tcW w:w="2304" w:type="dxa"/>
            <w:noWrap/>
            <w:vAlign w:val="center"/>
          </w:tcPr>
          <w:p w14:paraId="0B37B406">
            <w:pPr>
              <w:pStyle w:val="194"/>
              <w:spacing w:beforeAutospacing="0" w:afterAutospacing="0"/>
              <w:jc w:val="center"/>
              <w:rPr>
                <w:color w:val="auto"/>
              </w:rPr>
            </w:pPr>
            <w:r>
              <w:rPr>
                <w:rFonts w:hint="eastAsia"/>
                <w:color w:val="auto"/>
              </w:rPr>
              <w:t>投标响应情况</w:t>
            </w:r>
          </w:p>
        </w:tc>
        <w:tc>
          <w:tcPr>
            <w:tcW w:w="1872" w:type="dxa"/>
            <w:noWrap/>
            <w:vAlign w:val="center"/>
          </w:tcPr>
          <w:p w14:paraId="79129B33">
            <w:pPr>
              <w:pStyle w:val="194"/>
              <w:spacing w:beforeAutospacing="0" w:afterAutospacing="0"/>
              <w:jc w:val="center"/>
              <w:rPr>
                <w:color w:val="auto"/>
              </w:rPr>
            </w:pPr>
            <w:r>
              <w:rPr>
                <w:rFonts w:hint="eastAsia"/>
                <w:color w:val="auto"/>
              </w:rPr>
              <w:t>超出、符合或偏离</w:t>
            </w:r>
          </w:p>
        </w:tc>
        <w:tc>
          <w:tcPr>
            <w:tcW w:w="1813" w:type="dxa"/>
            <w:noWrap/>
            <w:vAlign w:val="center"/>
          </w:tcPr>
          <w:p w14:paraId="1A3D6560">
            <w:pPr>
              <w:pStyle w:val="194"/>
              <w:spacing w:beforeAutospacing="0" w:afterAutospacing="0"/>
              <w:jc w:val="center"/>
              <w:rPr>
                <w:color w:val="auto"/>
              </w:rPr>
            </w:pPr>
            <w:r>
              <w:rPr>
                <w:rFonts w:hint="eastAsia"/>
                <w:color w:val="auto"/>
              </w:rPr>
              <w:t>证明</w:t>
            </w:r>
          </w:p>
          <w:p w14:paraId="7E6D64F9">
            <w:pPr>
              <w:pStyle w:val="194"/>
              <w:spacing w:beforeAutospacing="0" w:afterAutospacing="0"/>
              <w:jc w:val="center"/>
              <w:rPr>
                <w:color w:val="auto"/>
              </w:rPr>
            </w:pPr>
            <w:r>
              <w:rPr>
                <w:rFonts w:hint="eastAsia"/>
                <w:color w:val="auto"/>
              </w:rPr>
              <w:t>材料</w:t>
            </w:r>
          </w:p>
        </w:tc>
      </w:tr>
      <w:tr w14:paraId="605D8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6B7B038">
            <w:pPr>
              <w:pStyle w:val="194"/>
              <w:spacing w:beforeAutospacing="0" w:afterAutospacing="0"/>
              <w:ind w:firstLine="600"/>
              <w:jc w:val="center"/>
              <w:rPr>
                <w:color w:val="auto"/>
              </w:rPr>
            </w:pPr>
            <w:r>
              <w:rPr>
                <w:rFonts w:hint="eastAsia"/>
                <w:color w:val="auto"/>
              </w:rPr>
              <w:t> </w:t>
            </w:r>
          </w:p>
        </w:tc>
        <w:tc>
          <w:tcPr>
            <w:tcW w:w="2011" w:type="dxa"/>
            <w:noWrap/>
            <w:vAlign w:val="center"/>
          </w:tcPr>
          <w:p w14:paraId="3ACE7CDE">
            <w:pPr>
              <w:pStyle w:val="194"/>
              <w:spacing w:beforeAutospacing="0" w:afterAutospacing="0"/>
              <w:ind w:firstLine="600"/>
              <w:jc w:val="center"/>
              <w:rPr>
                <w:color w:val="auto"/>
              </w:rPr>
            </w:pPr>
            <w:r>
              <w:rPr>
                <w:rFonts w:hint="eastAsia"/>
                <w:color w:val="auto"/>
              </w:rPr>
              <w:t> </w:t>
            </w:r>
          </w:p>
        </w:tc>
        <w:tc>
          <w:tcPr>
            <w:tcW w:w="2304" w:type="dxa"/>
            <w:noWrap/>
            <w:vAlign w:val="center"/>
          </w:tcPr>
          <w:p w14:paraId="6B145621">
            <w:pPr>
              <w:pStyle w:val="194"/>
              <w:spacing w:beforeAutospacing="0" w:afterAutospacing="0"/>
              <w:ind w:firstLine="600"/>
              <w:jc w:val="center"/>
              <w:rPr>
                <w:color w:val="auto"/>
              </w:rPr>
            </w:pPr>
            <w:r>
              <w:rPr>
                <w:rFonts w:hint="eastAsia"/>
                <w:color w:val="auto"/>
              </w:rPr>
              <w:t> </w:t>
            </w:r>
          </w:p>
        </w:tc>
        <w:tc>
          <w:tcPr>
            <w:tcW w:w="1872" w:type="dxa"/>
            <w:noWrap/>
            <w:vAlign w:val="center"/>
          </w:tcPr>
          <w:p w14:paraId="23C1DCCF">
            <w:pPr>
              <w:pStyle w:val="194"/>
              <w:spacing w:beforeAutospacing="0" w:afterAutospacing="0"/>
              <w:ind w:firstLine="600"/>
              <w:jc w:val="center"/>
              <w:rPr>
                <w:color w:val="auto"/>
              </w:rPr>
            </w:pPr>
            <w:r>
              <w:rPr>
                <w:rFonts w:hint="eastAsia"/>
                <w:color w:val="auto"/>
              </w:rPr>
              <w:t> </w:t>
            </w:r>
          </w:p>
        </w:tc>
        <w:tc>
          <w:tcPr>
            <w:tcW w:w="1813" w:type="dxa"/>
            <w:noWrap/>
            <w:vAlign w:val="center"/>
          </w:tcPr>
          <w:p w14:paraId="25C9D8F4">
            <w:pPr>
              <w:pStyle w:val="194"/>
              <w:spacing w:beforeAutospacing="0" w:afterAutospacing="0"/>
              <w:ind w:firstLine="600"/>
              <w:jc w:val="center"/>
              <w:rPr>
                <w:color w:val="auto"/>
              </w:rPr>
            </w:pPr>
            <w:r>
              <w:rPr>
                <w:rFonts w:hint="eastAsia"/>
                <w:color w:val="auto"/>
              </w:rPr>
              <w:t> </w:t>
            </w:r>
          </w:p>
        </w:tc>
      </w:tr>
      <w:tr w14:paraId="16FE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D7FD10A">
            <w:pPr>
              <w:pStyle w:val="194"/>
              <w:spacing w:beforeAutospacing="0" w:afterAutospacing="0"/>
              <w:ind w:firstLine="600"/>
              <w:jc w:val="center"/>
              <w:rPr>
                <w:color w:val="auto"/>
              </w:rPr>
            </w:pPr>
            <w:r>
              <w:rPr>
                <w:rFonts w:hint="eastAsia"/>
                <w:color w:val="auto"/>
              </w:rPr>
              <w:t> </w:t>
            </w:r>
          </w:p>
        </w:tc>
        <w:tc>
          <w:tcPr>
            <w:tcW w:w="2011" w:type="dxa"/>
            <w:noWrap/>
            <w:vAlign w:val="center"/>
          </w:tcPr>
          <w:p w14:paraId="091FE5B1">
            <w:pPr>
              <w:pStyle w:val="194"/>
              <w:spacing w:beforeAutospacing="0" w:afterAutospacing="0"/>
              <w:ind w:firstLine="600"/>
              <w:jc w:val="center"/>
              <w:rPr>
                <w:color w:val="auto"/>
              </w:rPr>
            </w:pPr>
            <w:r>
              <w:rPr>
                <w:rFonts w:hint="eastAsia"/>
                <w:color w:val="auto"/>
              </w:rPr>
              <w:t> </w:t>
            </w:r>
          </w:p>
        </w:tc>
        <w:tc>
          <w:tcPr>
            <w:tcW w:w="2304" w:type="dxa"/>
            <w:noWrap/>
            <w:vAlign w:val="center"/>
          </w:tcPr>
          <w:p w14:paraId="08B4BF2A">
            <w:pPr>
              <w:pStyle w:val="194"/>
              <w:spacing w:beforeAutospacing="0" w:afterAutospacing="0"/>
              <w:ind w:firstLine="600"/>
              <w:jc w:val="center"/>
              <w:rPr>
                <w:color w:val="auto"/>
              </w:rPr>
            </w:pPr>
            <w:r>
              <w:rPr>
                <w:rFonts w:hint="eastAsia"/>
                <w:color w:val="auto"/>
              </w:rPr>
              <w:t> </w:t>
            </w:r>
          </w:p>
        </w:tc>
        <w:tc>
          <w:tcPr>
            <w:tcW w:w="1872" w:type="dxa"/>
            <w:noWrap/>
            <w:vAlign w:val="center"/>
          </w:tcPr>
          <w:p w14:paraId="3D0A0626">
            <w:pPr>
              <w:pStyle w:val="194"/>
              <w:spacing w:beforeAutospacing="0" w:afterAutospacing="0"/>
              <w:ind w:firstLine="600"/>
              <w:jc w:val="center"/>
              <w:rPr>
                <w:color w:val="auto"/>
              </w:rPr>
            </w:pPr>
            <w:r>
              <w:rPr>
                <w:rFonts w:hint="eastAsia"/>
                <w:color w:val="auto"/>
              </w:rPr>
              <w:t> </w:t>
            </w:r>
          </w:p>
        </w:tc>
        <w:tc>
          <w:tcPr>
            <w:tcW w:w="1813" w:type="dxa"/>
            <w:noWrap/>
            <w:vAlign w:val="center"/>
          </w:tcPr>
          <w:p w14:paraId="5ED7D4DF">
            <w:pPr>
              <w:pStyle w:val="194"/>
              <w:spacing w:beforeAutospacing="0" w:afterAutospacing="0"/>
              <w:ind w:firstLine="600"/>
              <w:jc w:val="center"/>
              <w:rPr>
                <w:color w:val="auto"/>
              </w:rPr>
            </w:pPr>
            <w:r>
              <w:rPr>
                <w:rFonts w:hint="eastAsia"/>
                <w:color w:val="auto"/>
              </w:rPr>
              <w:t> </w:t>
            </w:r>
          </w:p>
        </w:tc>
      </w:tr>
      <w:tr w14:paraId="60063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6860EA4">
            <w:pPr>
              <w:pStyle w:val="194"/>
              <w:spacing w:beforeAutospacing="0" w:afterAutospacing="0"/>
              <w:ind w:firstLine="600"/>
              <w:jc w:val="center"/>
              <w:rPr>
                <w:color w:val="auto"/>
              </w:rPr>
            </w:pPr>
            <w:r>
              <w:rPr>
                <w:rFonts w:hint="eastAsia"/>
                <w:color w:val="auto"/>
              </w:rPr>
              <w:t> </w:t>
            </w:r>
          </w:p>
        </w:tc>
        <w:tc>
          <w:tcPr>
            <w:tcW w:w="2011" w:type="dxa"/>
            <w:noWrap/>
            <w:vAlign w:val="center"/>
          </w:tcPr>
          <w:p w14:paraId="0A47C34C">
            <w:pPr>
              <w:pStyle w:val="194"/>
              <w:spacing w:beforeAutospacing="0" w:afterAutospacing="0"/>
              <w:ind w:firstLine="600"/>
              <w:jc w:val="center"/>
              <w:rPr>
                <w:color w:val="auto"/>
              </w:rPr>
            </w:pPr>
            <w:r>
              <w:rPr>
                <w:rFonts w:hint="eastAsia"/>
                <w:color w:val="auto"/>
              </w:rPr>
              <w:t> </w:t>
            </w:r>
          </w:p>
        </w:tc>
        <w:tc>
          <w:tcPr>
            <w:tcW w:w="2304" w:type="dxa"/>
            <w:noWrap/>
            <w:vAlign w:val="center"/>
          </w:tcPr>
          <w:p w14:paraId="6DFBA23E">
            <w:pPr>
              <w:pStyle w:val="194"/>
              <w:spacing w:beforeAutospacing="0" w:afterAutospacing="0"/>
              <w:ind w:firstLine="600"/>
              <w:jc w:val="center"/>
              <w:rPr>
                <w:color w:val="auto"/>
              </w:rPr>
            </w:pPr>
            <w:r>
              <w:rPr>
                <w:rFonts w:hint="eastAsia"/>
                <w:color w:val="auto"/>
              </w:rPr>
              <w:t> </w:t>
            </w:r>
          </w:p>
        </w:tc>
        <w:tc>
          <w:tcPr>
            <w:tcW w:w="1872" w:type="dxa"/>
            <w:noWrap/>
            <w:vAlign w:val="center"/>
          </w:tcPr>
          <w:p w14:paraId="6B223EF2">
            <w:pPr>
              <w:pStyle w:val="194"/>
              <w:spacing w:beforeAutospacing="0" w:afterAutospacing="0"/>
              <w:ind w:firstLine="600"/>
              <w:jc w:val="center"/>
              <w:rPr>
                <w:color w:val="auto"/>
              </w:rPr>
            </w:pPr>
            <w:r>
              <w:rPr>
                <w:rFonts w:hint="eastAsia"/>
                <w:color w:val="auto"/>
              </w:rPr>
              <w:t> </w:t>
            </w:r>
          </w:p>
        </w:tc>
        <w:tc>
          <w:tcPr>
            <w:tcW w:w="1813" w:type="dxa"/>
            <w:noWrap/>
            <w:vAlign w:val="center"/>
          </w:tcPr>
          <w:p w14:paraId="06721978">
            <w:pPr>
              <w:pStyle w:val="194"/>
              <w:spacing w:beforeAutospacing="0" w:afterAutospacing="0"/>
              <w:ind w:firstLine="600"/>
              <w:jc w:val="center"/>
              <w:rPr>
                <w:color w:val="auto"/>
              </w:rPr>
            </w:pPr>
            <w:r>
              <w:rPr>
                <w:rFonts w:hint="eastAsia"/>
                <w:color w:val="auto"/>
              </w:rPr>
              <w:t> </w:t>
            </w:r>
          </w:p>
        </w:tc>
      </w:tr>
      <w:tr w14:paraId="67BC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D0C9B21">
            <w:pPr>
              <w:pStyle w:val="194"/>
              <w:spacing w:beforeAutospacing="0" w:afterAutospacing="0"/>
              <w:ind w:firstLine="600"/>
              <w:jc w:val="center"/>
              <w:rPr>
                <w:color w:val="auto"/>
              </w:rPr>
            </w:pPr>
            <w:r>
              <w:rPr>
                <w:rFonts w:hint="eastAsia"/>
                <w:color w:val="auto"/>
              </w:rPr>
              <w:t> </w:t>
            </w:r>
          </w:p>
        </w:tc>
        <w:tc>
          <w:tcPr>
            <w:tcW w:w="2011" w:type="dxa"/>
            <w:noWrap/>
            <w:vAlign w:val="center"/>
          </w:tcPr>
          <w:p w14:paraId="4462AFCF">
            <w:pPr>
              <w:pStyle w:val="194"/>
              <w:spacing w:beforeAutospacing="0" w:afterAutospacing="0"/>
              <w:ind w:firstLine="600"/>
              <w:jc w:val="center"/>
              <w:rPr>
                <w:color w:val="auto"/>
              </w:rPr>
            </w:pPr>
            <w:r>
              <w:rPr>
                <w:rFonts w:hint="eastAsia"/>
                <w:color w:val="auto"/>
              </w:rPr>
              <w:t> </w:t>
            </w:r>
          </w:p>
        </w:tc>
        <w:tc>
          <w:tcPr>
            <w:tcW w:w="2304" w:type="dxa"/>
            <w:noWrap/>
            <w:vAlign w:val="center"/>
          </w:tcPr>
          <w:p w14:paraId="6B470E9F">
            <w:pPr>
              <w:pStyle w:val="194"/>
              <w:spacing w:beforeAutospacing="0" w:afterAutospacing="0"/>
              <w:ind w:firstLine="600"/>
              <w:jc w:val="center"/>
              <w:rPr>
                <w:color w:val="auto"/>
              </w:rPr>
            </w:pPr>
            <w:r>
              <w:rPr>
                <w:rFonts w:hint="eastAsia"/>
                <w:color w:val="auto"/>
              </w:rPr>
              <w:t> </w:t>
            </w:r>
          </w:p>
        </w:tc>
        <w:tc>
          <w:tcPr>
            <w:tcW w:w="1872" w:type="dxa"/>
            <w:noWrap/>
            <w:vAlign w:val="center"/>
          </w:tcPr>
          <w:p w14:paraId="6632D28D">
            <w:pPr>
              <w:pStyle w:val="194"/>
              <w:spacing w:beforeAutospacing="0" w:afterAutospacing="0"/>
              <w:ind w:firstLine="600"/>
              <w:jc w:val="center"/>
              <w:rPr>
                <w:color w:val="auto"/>
              </w:rPr>
            </w:pPr>
            <w:r>
              <w:rPr>
                <w:rFonts w:hint="eastAsia"/>
                <w:color w:val="auto"/>
              </w:rPr>
              <w:t> </w:t>
            </w:r>
          </w:p>
        </w:tc>
        <w:tc>
          <w:tcPr>
            <w:tcW w:w="1813" w:type="dxa"/>
            <w:noWrap/>
            <w:vAlign w:val="center"/>
          </w:tcPr>
          <w:p w14:paraId="61B0DE3E">
            <w:pPr>
              <w:pStyle w:val="194"/>
              <w:spacing w:beforeAutospacing="0" w:afterAutospacing="0"/>
              <w:ind w:firstLine="600"/>
              <w:jc w:val="center"/>
              <w:rPr>
                <w:color w:val="auto"/>
              </w:rPr>
            </w:pPr>
            <w:r>
              <w:rPr>
                <w:rFonts w:hint="eastAsia"/>
                <w:color w:val="auto"/>
              </w:rPr>
              <w:t> </w:t>
            </w:r>
          </w:p>
        </w:tc>
      </w:tr>
      <w:tr w14:paraId="7C6E6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F658365">
            <w:pPr>
              <w:pStyle w:val="194"/>
              <w:spacing w:beforeAutospacing="0" w:afterAutospacing="0"/>
              <w:ind w:firstLine="600"/>
              <w:jc w:val="center"/>
              <w:rPr>
                <w:color w:val="auto"/>
              </w:rPr>
            </w:pPr>
            <w:r>
              <w:rPr>
                <w:rFonts w:hint="eastAsia"/>
                <w:color w:val="auto"/>
              </w:rPr>
              <w:t> </w:t>
            </w:r>
          </w:p>
        </w:tc>
        <w:tc>
          <w:tcPr>
            <w:tcW w:w="2011" w:type="dxa"/>
            <w:noWrap/>
            <w:vAlign w:val="center"/>
          </w:tcPr>
          <w:p w14:paraId="18B18614">
            <w:pPr>
              <w:pStyle w:val="194"/>
              <w:spacing w:beforeAutospacing="0" w:afterAutospacing="0"/>
              <w:ind w:firstLine="600"/>
              <w:jc w:val="center"/>
              <w:rPr>
                <w:color w:val="auto"/>
              </w:rPr>
            </w:pPr>
            <w:r>
              <w:rPr>
                <w:rFonts w:hint="eastAsia"/>
                <w:color w:val="auto"/>
              </w:rPr>
              <w:t> </w:t>
            </w:r>
          </w:p>
        </w:tc>
        <w:tc>
          <w:tcPr>
            <w:tcW w:w="2304" w:type="dxa"/>
            <w:noWrap/>
            <w:vAlign w:val="center"/>
          </w:tcPr>
          <w:p w14:paraId="724DC877">
            <w:pPr>
              <w:pStyle w:val="194"/>
              <w:spacing w:beforeAutospacing="0" w:afterAutospacing="0"/>
              <w:ind w:firstLine="600"/>
              <w:jc w:val="center"/>
              <w:rPr>
                <w:color w:val="auto"/>
              </w:rPr>
            </w:pPr>
            <w:r>
              <w:rPr>
                <w:rFonts w:hint="eastAsia"/>
                <w:color w:val="auto"/>
              </w:rPr>
              <w:t> </w:t>
            </w:r>
          </w:p>
        </w:tc>
        <w:tc>
          <w:tcPr>
            <w:tcW w:w="1872" w:type="dxa"/>
            <w:noWrap/>
            <w:vAlign w:val="center"/>
          </w:tcPr>
          <w:p w14:paraId="23FB83CD">
            <w:pPr>
              <w:pStyle w:val="194"/>
              <w:spacing w:beforeAutospacing="0" w:afterAutospacing="0"/>
              <w:ind w:firstLine="600"/>
              <w:jc w:val="center"/>
              <w:rPr>
                <w:color w:val="auto"/>
              </w:rPr>
            </w:pPr>
            <w:r>
              <w:rPr>
                <w:rFonts w:hint="eastAsia"/>
                <w:color w:val="auto"/>
              </w:rPr>
              <w:t> </w:t>
            </w:r>
          </w:p>
        </w:tc>
        <w:tc>
          <w:tcPr>
            <w:tcW w:w="1813" w:type="dxa"/>
            <w:noWrap/>
            <w:vAlign w:val="center"/>
          </w:tcPr>
          <w:p w14:paraId="39415AF8">
            <w:pPr>
              <w:pStyle w:val="194"/>
              <w:spacing w:beforeAutospacing="0" w:afterAutospacing="0"/>
              <w:ind w:firstLine="600"/>
              <w:jc w:val="center"/>
              <w:rPr>
                <w:color w:val="auto"/>
              </w:rPr>
            </w:pPr>
            <w:r>
              <w:rPr>
                <w:rFonts w:hint="eastAsia"/>
                <w:color w:val="auto"/>
              </w:rPr>
              <w:t> </w:t>
            </w:r>
          </w:p>
        </w:tc>
      </w:tr>
      <w:tr w14:paraId="732EC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4DF7648">
            <w:pPr>
              <w:pStyle w:val="194"/>
              <w:spacing w:beforeAutospacing="0" w:afterAutospacing="0"/>
              <w:ind w:firstLine="600"/>
              <w:jc w:val="center"/>
              <w:rPr>
                <w:color w:val="auto"/>
              </w:rPr>
            </w:pPr>
            <w:r>
              <w:rPr>
                <w:rFonts w:hint="eastAsia"/>
                <w:color w:val="auto"/>
              </w:rPr>
              <w:t> </w:t>
            </w:r>
          </w:p>
        </w:tc>
        <w:tc>
          <w:tcPr>
            <w:tcW w:w="2011" w:type="dxa"/>
            <w:noWrap/>
            <w:vAlign w:val="center"/>
          </w:tcPr>
          <w:p w14:paraId="32AA5D2B">
            <w:pPr>
              <w:pStyle w:val="194"/>
              <w:spacing w:beforeAutospacing="0" w:afterAutospacing="0"/>
              <w:ind w:firstLine="600"/>
              <w:jc w:val="center"/>
              <w:rPr>
                <w:color w:val="auto"/>
              </w:rPr>
            </w:pPr>
            <w:r>
              <w:rPr>
                <w:rFonts w:hint="eastAsia"/>
                <w:color w:val="auto"/>
              </w:rPr>
              <w:t> </w:t>
            </w:r>
          </w:p>
        </w:tc>
        <w:tc>
          <w:tcPr>
            <w:tcW w:w="2304" w:type="dxa"/>
            <w:noWrap/>
            <w:vAlign w:val="center"/>
          </w:tcPr>
          <w:p w14:paraId="6DC9BF29">
            <w:pPr>
              <w:pStyle w:val="194"/>
              <w:spacing w:beforeAutospacing="0" w:afterAutospacing="0"/>
              <w:ind w:firstLine="600"/>
              <w:jc w:val="center"/>
              <w:rPr>
                <w:color w:val="auto"/>
              </w:rPr>
            </w:pPr>
            <w:r>
              <w:rPr>
                <w:rFonts w:hint="eastAsia"/>
                <w:color w:val="auto"/>
              </w:rPr>
              <w:t> </w:t>
            </w:r>
          </w:p>
        </w:tc>
        <w:tc>
          <w:tcPr>
            <w:tcW w:w="1872" w:type="dxa"/>
            <w:noWrap/>
            <w:vAlign w:val="center"/>
          </w:tcPr>
          <w:p w14:paraId="4BDCF632">
            <w:pPr>
              <w:pStyle w:val="194"/>
              <w:spacing w:beforeAutospacing="0" w:afterAutospacing="0"/>
              <w:ind w:firstLine="600"/>
              <w:jc w:val="center"/>
              <w:rPr>
                <w:color w:val="auto"/>
              </w:rPr>
            </w:pPr>
            <w:r>
              <w:rPr>
                <w:rFonts w:hint="eastAsia"/>
                <w:color w:val="auto"/>
              </w:rPr>
              <w:t> </w:t>
            </w:r>
          </w:p>
        </w:tc>
        <w:tc>
          <w:tcPr>
            <w:tcW w:w="1813" w:type="dxa"/>
            <w:noWrap/>
            <w:vAlign w:val="center"/>
          </w:tcPr>
          <w:p w14:paraId="775EA6D7">
            <w:pPr>
              <w:pStyle w:val="194"/>
              <w:spacing w:beforeAutospacing="0" w:afterAutospacing="0"/>
              <w:ind w:firstLine="600"/>
              <w:jc w:val="center"/>
              <w:rPr>
                <w:color w:val="auto"/>
              </w:rPr>
            </w:pPr>
            <w:r>
              <w:rPr>
                <w:rFonts w:hint="eastAsia"/>
                <w:color w:val="auto"/>
              </w:rPr>
              <w:t> </w:t>
            </w:r>
          </w:p>
        </w:tc>
      </w:tr>
      <w:tr w14:paraId="2911F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F259961">
            <w:pPr>
              <w:pStyle w:val="194"/>
              <w:spacing w:beforeAutospacing="0" w:afterAutospacing="0"/>
              <w:ind w:firstLine="600"/>
              <w:jc w:val="center"/>
              <w:rPr>
                <w:color w:val="auto"/>
              </w:rPr>
            </w:pPr>
            <w:r>
              <w:rPr>
                <w:rFonts w:hint="eastAsia"/>
                <w:color w:val="auto"/>
              </w:rPr>
              <w:t> </w:t>
            </w:r>
          </w:p>
        </w:tc>
        <w:tc>
          <w:tcPr>
            <w:tcW w:w="2011" w:type="dxa"/>
            <w:noWrap/>
            <w:vAlign w:val="center"/>
          </w:tcPr>
          <w:p w14:paraId="57BEA662">
            <w:pPr>
              <w:pStyle w:val="194"/>
              <w:spacing w:beforeAutospacing="0" w:afterAutospacing="0"/>
              <w:ind w:firstLine="600"/>
              <w:jc w:val="center"/>
              <w:rPr>
                <w:color w:val="auto"/>
              </w:rPr>
            </w:pPr>
            <w:r>
              <w:rPr>
                <w:rFonts w:hint="eastAsia"/>
                <w:color w:val="auto"/>
              </w:rPr>
              <w:t> </w:t>
            </w:r>
          </w:p>
        </w:tc>
        <w:tc>
          <w:tcPr>
            <w:tcW w:w="2304" w:type="dxa"/>
            <w:noWrap/>
            <w:vAlign w:val="center"/>
          </w:tcPr>
          <w:p w14:paraId="7B6B4168">
            <w:pPr>
              <w:pStyle w:val="194"/>
              <w:spacing w:beforeAutospacing="0" w:afterAutospacing="0"/>
              <w:ind w:firstLine="600"/>
              <w:jc w:val="center"/>
              <w:rPr>
                <w:color w:val="auto"/>
              </w:rPr>
            </w:pPr>
            <w:r>
              <w:rPr>
                <w:rFonts w:hint="eastAsia"/>
                <w:color w:val="auto"/>
              </w:rPr>
              <w:t> </w:t>
            </w:r>
          </w:p>
        </w:tc>
        <w:tc>
          <w:tcPr>
            <w:tcW w:w="1872" w:type="dxa"/>
            <w:noWrap/>
            <w:vAlign w:val="center"/>
          </w:tcPr>
          <w:p w14:paraId="0A1EAFB0">
            <w:pPr>
              <w:pStyle w:val="194"/>
              <w:spacing w:beforeAutospacing="0" w:afterAutospacing="0"/>
              <w:ind w:firstLine="600"/>
              <w:jc w:val="center"/>
              <w:rPr>
                <w:color w:val="auto"/>
              </w:rPr>
            </w:pPr>
            <w:r>
              <w:rPr>
                <w:rFonts w:hint="eastAsia"/>
                <w:color w:val="auto"/>
              </w:rPr>
              <w:t> </w:t>
            </w:r>
          </w:p>
        </w:tc>
        <w:tc>
          <w:tcPr>
            <w:tcW w:w="1813" w:type="dxa"/>
            <w:noWrap/>
            <w:vAlign w:val="center"/>
          </w:tcPr>
          <w:p w14:paraId="43519018">
            <w:pPr>
              <w:pStyle w:val="194"/>
              <w:spacing w:beforeAutospacing="0" w:afterAutospacing="0"/>
              <w:ind w:firstLine="600"/>
              <w:jc w:val="center"/>
              <w:rPr>
                <w:color w:val="auto"/>
              </w:rPr>
            </w:pPr>
            <w:r>
              <w:rPr>
                <w:rFonts w:hint="eastAsia"/>
                <w:color w:val="auto"/>
              </w:rPr>
              <w:t> </w:t>
            </w:r>
          </w:p>
        </w:tc>
      </w:tr>
      <w:tr w14:paraId="3DA59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1E628BAC">
            <w:pPr>
              <w:pStyle w:val="194"/>
              <w:spacing w:beforeAutospacing="0" w:afterAutospacing="0"/>
              <w:ind w:firstLine="600"/>
              <w:jc w:val="center"/>
              <w:rPr>
                <w:color w:val="auto"/>
              </w:rPr>
            </w:pPr>
            <w:r>
              <w:rPr>
                <w:rFonts w:hint="eastAsia"/>
                <w:color w:val="auto"/>
              </w:rPr>
              <w:t> </w:t>
            </w:r>
          </w:p>
        </w:tc>
        <w:tc>
          <w:tcPr>
            <w:tcW w:w="2011" w:type="dxa"/>
            <w:noWrap/>
            <w:vAlign w:val="center"/>
          </w:tcPr>
          <w:p w14:paraId="0806148A">
            <w:pPr>
              <w:pStyle w:val="194"/>
              <w:spacing w:beforeAutospacing="0" w:afterAutospacing="0"/>
              <w:ind w:firstLine="600"/>
              <w:jc w:val="center"/>
              <w:rPr>
                <w:color w:val="auto"/>
              </w:rPr>
            </w:pPr>
            <w:r>
              <w:rPr>
                <w:rFonts w:hint="eastAsia"/>
                <w:color w:val="auto"/>
              </w:rPr>
              <w:t> </w:t>
            </w:r>
          </w:p>
        </w:tc>
        <w:tc>
          <w:tcPr>
            <w:tcW w:w="2304" w:type="dxa"/>
            <w:noWrap/>
            <w:vAlign w:val="center"/>
          </w:tcPr>
          <w:p w14:paraId="2EAA906D">
            <w:pPr>
              <w:pStyle w:val="194"/>
              <w:spacing w:beforeAutospacing="0" w:afterAutospacing="0"/>
              <w:ind w:firstLine="600"/>
              <w:jc w:val="center"/>
              <w:rPr>
                <w:color w:val="auto"/>
              </w:rPr>
            </w:pPr>
            <w:r>
              <w:rPr>
                <w:rFonts w:hint="eastAsia"/>
                <w:color w:val="auto"/>
              </w:rPr>
              <w:t> </w:t>
            </w:r>
          </w:p>
        </w:tc>
        <w:tc>
          <w:tcPr>
            <w:tcW w:w="1872" w:type="dxa"/>
            <w:noWrap/>
            <w:vAlign w:val="center"/>
          </w:tcPr>
          <w:p w14:paraId="77A65B40">
            <w:pPr>
              <w:pStyle w:val="194"/>
              <w:spacing w:beforeAutospacing="0" w:afterAutospacing="0"/>
              <w:ind w:firstLine="600"/>
              <w:jc w:val="center"/>
              <w:rPr>
                <w:color w:val="auto"/>
              </w:rPr>
            </w:pPr>
            <w:r>
              <w:rPr>
                <w:rFonts w:hint="eastAsia"/>
                <w:color w:val="auto"/>
              </w:rPr>
              <w:t> </w:t>
            </w:r>
          </w:p>
        </w:tc>
        <w:tc>
          <w:tcPr>
            <w:tcW w:w="1813" w:type="dxa"/>
            <w:noWrap/>
            <w:vAlign w:val="center"/>
          </w:tcPr>
          <w:p w14:paraId="7F17E6B6">
            <w:pPr>
              <w:pStyle w:val="194"/>
              <w:spacing w:beforeAutospacing="0" w:afterAutospacing="0"/>
              <w:ind w:firstLine="600"/>
              <w:jc w:val="center"/>
              <w:rPr>
                <w:color w:val="auto"/>
              </w:rPr>
            </w:pPr>
            <w:r>
              <w:rPr>
                <w:rFonts w:hint="eastAsia"/>
                <w:color w:val="auto"/>
              </w:rPr>
              <w:t> </w:t>
            </w:r>
          </w:p>
        </w:tc>
      </w:tr>
    </w:tbl>
    <w:p w14:paraId="0033A6C5">
      <w:pPr>
        <w:pStyle w:val="194"/>
        <w:spacing w:beforeAutospacing="0" w:afterAutospacing="0"/>
        <w:jc w:val="both"/>
        <w:rPr>
          <w:color w:val="auto"/>
        </w:rPr>
      </w:pPr>
      <w:r>
        <w:rPr>
          <w:rFonts w:hint="eastAsia"/>
          <w:color w:val="auto"/>
        </w:rPr>
        <w:t>注：行数不够，可自行添加。</w:t>
      </w:r>
    </w:p>
    <w:p w14:paraId="11AA7F46">
      <w:pPr>
        <w:pStyle w:val="194"/>
        <w:spacing w:beforeAutospacing="0" w:afterAutospacing="0"/>
        <w:ind w:firstLine="600"/>
        <w:jc w:val="both"/>
        <w:rPr>
          <w:color w:val="auto"/>
        </w:rPr>
      </w:pPr>
    </w:p>
    <w:p w14:paraId="68D5928D">
      <w:pPr>
        <w:pStyle w:val="194"/>
        <w:spacing w:beforeAutospacing="0" w:afterAutospacing="0" w:line="0" w:lineRule="atLeast"/>
        <w:jc w:val="center"/>
        <w:rPr>
          <w:bCs/>
          <w:color w:val="auto"/>
          <w:sz w:val="32"/>
          <w:szCs w:val="32"/>
        </w:rPr>
      </w:pPr>
      <w:r>
        <w:rPr>
          <w:rFonts w:hint="eastAsia"/>
          <w:b/>
          <w:i/>
          <w:color w:val="auto"/>
          <w:sz w:val="32"/>
          <w:szCs w:val="32"/>
          <w:u w:val="single"/>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五</w:t>
      </w:r>
      <w:r>
        <w:rPr>
          <w:rFonts w:hint="eastAsia" w:ascii="黑体" w:hAnsi="黑体" w:eastAsia="黑体" w:cs="黑体"/>
          <w:i/>
          <w:color w:val="auto"/>
          <w:sz w:val="32"/>
          <w:szCs w:val="32"/>
          <w:u w:val="single"/>
        </w:rPr>
        <w:t>、开标一览表</w:t>
      </w:r>
    </w:p>
    <w:p w14:paraId="3FAD7271">
      <w:pPr>
        <w:pStyle w:val="194"/>
        <w:spacing w:beforeAutospacing="0" w:afterAutospacing="0" w:line="500" w:lineRule="exact"/>
        <w:ind w:firstLine="482"/>
        <w:jc w:val="both"/>
        <w:rPr>
          <w:color w:val="auto"/>
        </w:rPr>
      </w:pPr>
      <w:r>
        <w:rPr>
          <w:rFonts w:hint="eastAsia"/>
          <w:color w:val="auto"/>
        </w:rPr>
        <w:t>投标人全称（加盖CA电子签章）：</w:t>
      </w:r>
    </w:p>
    <w:p w14:paraId="1B7A1AA0">
      <w:pPr>
        <w:pStyle w:val="194"/>
        <w:spacing w:beforeAutospacing="0" w:afterAutospacing="0" w:line="500" w:lineRule="exact"/>
        <w:ind w:firstLine="482"/>
        <w:jc w:val="both"/>
        <w:rPr>
          <w:color w:val="auto"/>
        </w:rPr>
      </w:pPr>
      <w:r>
        <w:rPr>
          <w:rFonts w:hint="eastAsia"/>
          <w:color w:val="auto"/>
        </w:rPr>
        <w:t>项目名称：盐城市亭湖区南洋镇青墩卫生院物业管理服务</w:t>
      </w:r>
    </w:p>
    <w:p w14:paraId="2F06F32C">
      <w:pPr>
        <w:pStyle w:val="194"/>
        <w:spacing w:beforeAutospacing="0" w:afterAutospacing="0" w:line="500" w:lineRule="exact"/>
        <w:ind w:firstLine="482"/>
        <w:jc w:val="both"/>
        <w:rPr>
          <w:color w:val="auto"/>
        </w:rPr>
      </w:pPr>
      <w:r>
        <w:rPr>
          <w:rFonts w:hint="eastAsia"/>
          <w:color w:val="auto"/>
        </w:rPr>
        <w:t>项目编号：</w:t>
      </w:r>
    </w:p>
    <w:tbl>
      <w:tblPr>
        <w:tblStyle w:val="36"/>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7B974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3665F33F">
            <w:pPr>
              <w:pStyle w:val="194"/>
              <w:spacing w:beforeAutospacing="0" w:afterAutospacing="0" w:line="400" w:lineRule="exact"/>
              <w:jc w:val="center"/>
              <w:rPr>
                <w:color w:val="auto"/>
              </w:rPr>
            </w:pPr>
            <w:r>
              <w:rPr>
                <w:rFonts w:hint="eastAsia"/>
                <w:color w:val="auto"/>
              </w:rPr>
              <w:t>投标总报价：</w:t>
            </w:r>
          </w:p>
        </w:tc>
      </w:tr>
      <w:tr w14:paraId="1D734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109F8514">
            <w:pPr>
              <w:pStyle w:val="194"/>
              <w:spacing w:beforeAutospacing="0" w:afterAutospacing="0" w:line="400" w:lineRule="exact"/>
              <w:rPr>
                <w:color w:val="auto"/>
              </w:rPr>
            </w:pPr>
            <w:r>
              <w:rPr>
                <w:rFonts w:hint="eastAsia"/>
                <w:color w:val="auto"/>
              </w:rPr>
              <w:t>小写：           （人民币：元）       </w:t>
            </w:r>
          </w:p>
        </w:tc>
      </w:tr>
      <w:tr w14:paraId="6F1B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7E4CD2BC">
            <w:pPr>
              <w:pStyle w:val="194"/>
              <w:spacing w:beforeAutospacing="0" w:afterAutospacing="0" w:line="400" w:lineRule="exact"/>
              <w:rPr>
                <w:color w:val="auto"/>
              </w:rPr>
            </w:pPr>
            <w:r>
              <w:rPr>
                <w:rFonts w:hint="eastAsia"/>
                <w:color w:val="auto"/>
                <w:szCs w:val="21"/>
              </w:rPr>
              <w:t xml:space="preserve">报价（大写）：   </w:t>
            </w:r>
            <w:r>
              <w:rPr>
                <w:rFonts w:hint="eastAsia"/>
                <w:color w:val="auto"/>
              </w:rPr>
              <w:t xml:space="preserve">     金额大写     </w:t>
            </w:r>
          </w:p>
        </w:tc>
      </w:tr>
    </w:tbl>
    <w:p w14:paraId="5879B2BA">
      <w:pPr>
        <w:pStyle w:val="194"/>
        <w:spacing w:beforeAutospacing="0" w:afterAutospacing="0" w:line="500" w:lineRule="exact"/>
        <w:ind w:firstLine="600"/>
        <w:jc w:val="both"/>
        <w:rPr>
          <w:color w:val="auto"/>
        </w:rPr>
      </w:pPr>
      <w:r>
        <w:rPr>
          <w:color w:val="auto"/>
        </w:rPr>
        <w:t> </w:t>
      </w:r>
    </w:p>
    <w:p w14:paraId="0D10A566">
      <w:pPr>
        <w:pStyle w:val="194"/>
        <w:spacing w:beforeAutospacing="0" w:afterAutospacing="0" w:line="500" w:lineRule="exact"/>
        <w:ind w:firstLine="480"/>
        <w:jc w:val="right"/>
        <w:rPr>
          <w:color w:val="auto"/>
        </w:rPr>
      </w:pPr>
      <w:r>
        <w:rPr>
          <w:rFonts w:hint="eastAsia"/>
          <w:color w:val="auto"/>
        </w:rPr>
        <w:t>                  日期：</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p>
    <w:p w14:paraId="63D0D550">
      <w:pPr>
        <w:pStyle w:val="194"/>
        <w:spacing w:beforeAutospacing="0" w:afterAutospacing="0" w:line="500" w:lineRule="exact"/>
        <w:ind w:firstLine="600"/>
        <w:jc w:val="both"/>
        <w:rPr>
          <w:color w:val="auto"/>
        </w:rPr>
      </w:pPr>
      <w:r>
        <w:rPr>
          <w:rFonts w:hint="eastAsia"/>
          <w:color w:val="auto"/>
        </w:rPr>
        <w:t> </w:t>
      </w:r>
    </w:p>
    <w:p w14:paraId="34AD86E4">
      <w:pPr>
        <w:rPr>
          <w:rFonts w:ascii="宋体" w:hAnsi="宋体" w:cs="宋体"/>
          <w:color w:val="auto"/>
        </w:rPr>
      </w:pPr>
      <w:r>
        <w:rPr>
          <w:rFonts w:hint="eastAsia" w:ascii="宋体" w:hAnsi="宋体" w:cs="宋体"/>
          <w:color w:val="auto"/>
        </w:rPr>
        <w:br w:type="page" w:clear="all"/>
      </w:r>
    </w:p>
    <w:p w14:paraId="5864FF98">
      <w:pPr>
        <w:pStyle w:val="194"/>
        <w:spacing w:beforeAutospacing="0" w:afterAutospacing="0"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六</w:t>
      </w:r>
      <w:r>
        <w:rPr>
          <w:rFonts w:hint="eastAsia" w:ascii="黑体" w:hAnsi="黑体" w:eastAsia="黑体" w:cs="黑体"/>
          <w:i/>
          <w:color w:val="auto"/>
          <w:sz w:val="32"/>
          <w:szCs w:val="32"/>
          <w:u w:val="single"/>
        </w:rPr>
        <w:t>、服务方案等</w:t>
      </w:r>
    </w:p>
    <w:p w14:paraId="5D3E9AB7">
      <w:pPr>
        <w:spacing w:line="560" w:lineRule="exact"/>
        <w:ind w:firstLine="480"/>
        <w:jc w:val="left"/>
        <w:rPr>
          <w:rFonts w:hint="eastAsia"/>
          <w:b/>
          <w:bCs/>
          <w:i/>
          <w:iCs/>
          <w:color w:val="auto"/>
          <w:sz w:val="24"/>
          <w:szCs w:val="24"/>
          <w:u w:val="single"/>
        </w:rPr>
      </w:pPr>
      <w:r>
        <w:rPr>
          <w:rFonts w:hint="eastAsia"/>
          <w:b/>
          <w:bCs/>
          <w:i/>
          <w:iCs/>
          <w:color w:val="auto"/>
          <w:sz w:val="24"/>
          <w:szCs w:val="24"/>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auto"/>
          <w:sz w:val="24"/>
          <w:szCs w:val="24"/>
          <w:u w:val="single"/>
          <w:lang w:val="en-US" w:eastAsia="zh-CN"/>
        </w:rPr>
        <w:t>间接</w:t>
      </w:r>
      <w:r>
        <w:rPr>
          <w:rFonts w:hint="eastAsia"/>
          <w:b/>
          <w:bCs/>
          <w:i/>
          <w:iCs/>
          <w:color w:val="auto"/>
          <w:sz w:val="24"/>
          <w:szCs w:val="24"/>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u w:val="single"/>
          <w:lang w:val="en-US" w:eastAsia="zh-CN"/>
        </w:rPr>
        <w:t>80</w:t>
      </w:r>
      <w:r>
        <w:rPr>
          <w:rFonts w:hint="eastAsia"/>
          <w:b/>
          <w:bCs/>
          <w:i/>
          <w:iCs/>
          <w:color w:val="auto"/>
          <w:sz w:val="24"/>
          <w:szCs w:val="24"/>
          <w:u w:val="single"/>
        </w:rPr>
        <w:t>页，违反上述规定方案分得0分;上传的“明标”材料中不得出现与服务方案相关的内容，否则作无效标书处理。</w:t>
      </w:r>
    </w:p>
    <w:p w14:paraId="44109AA8">
      <w:pPr>
        <w:pStyle w:val="194"/>
        <w:spacing w:beforeAutospacing="0" w:afterAutospacing="0" w:line="0" w:lineRule="atLeast"/>
        <w:jc w:val="center"/>
        <w:rPr>
          <w:rFonts w:eastAsia="方正小标宋_GBK" w:cs="方正小标宋_GBK"/>
          <w:color w:val="auto"/>
          <w:sz w:val="44"/>
          <w:szCs w:val="44"/>
        </w:rPr>
      </w:pPr>
      <w:r>
        <w:rPr>
          <w:rFonts w:hint="eastAsia"/>
          <w:color w:val="auto"/>
          <w:sz w:val="32"/>
          <w:szCs w:val="32"/>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七</w:t>
      </w:r>
      <w:r>
        <w:rPr>
          <w:rFonts w:hint="eastAsia" w:ascii="黑体" w:hAnsi="黑体" w:eastAsia="黑体" w:cs="黑体"/>
          <w:i/>
          <w:color w:val="auto"/>
          <w:sz w:val="32"/>
          <w:szCs w:val="32"/>
          <w:u w:val="single"/>
        </w:rPr>
        <w:t xml:space="preserve">、招标投标廉洁自律承诺保证书 </w:t>
      </w:r>
    </w:p>
    <w:p w14:paraId="5F5C27A6">
      <w:pPr>
        <w:ind w:firstLine="420"/>
        <w:rPr>
          <w:rFonts w:ascii="方正仿宋_GBK" w:hAnsi="方正仿宋_GBK" w:eastAsia="方正仿宋_GBK" w:cs="方正仿宋_GBK"/>
          <w:color w:val="auto"/>
        </w:rPr>
      </w:pPr>
    </w:p>
    <w:p w14:paraId="52EEBB75">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为了保证此次采购交易活动正常有序进行，有效遏制虚假招投标和围标、串标等问题的发生，确保整个招投标过程公开、公平、公正，我们特向招标单位承诺：  </w:t>
      </w:r>
    </w:p>
    <w:p w14:paraId="496E4534">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1.自觉遵守国家法律法规及亭湖区财政局、亭湖区公共资源交易中心的各项制度。限额标准以下的，自觉遵守采购单位的内部控制制度。</w:t>
      </w:r>
    </w:p>
    <w:p w14:paraId="148EF7EA">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2.不使用不正当手段妨碍、排挤其他投标单位或串通投标。按照招标文件规定的方式组织投标，不组织、不参与围标、串标。保证不弄虚作假，协助他人骗取中标。 </w:t>
      </w:r>
    </w:p>
    <w:p w14:paraId="75F7E2A9">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3.不向涉及招标的部门及个人支付好处费、介绍费等。发现相关人员在招标过程中有索要财物，或其他违纪违规行为的，及时向监督管理部门和纪检监察部门举报。</w:t>
      </w:r>
    </w:p>
    <w:p w14:paraId="0FFF8BB8">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520116C8">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5.本承诺书对我方具有法律效力。</w:t>
      </w:r>
    </w:p>
    <w:p w14:paraId="4B6D9723">
      <w:pPr>
        <w:pStyle w:val="203"/>
        <w:widowControl/>
        <w:spacing w:beforeAutospacing="0" w:afterAutospacing="0" w:line="500" w:lineRule="exact"/>
        <w:ind w:firstLine="480"/>
        <w:rPr>
          <w:rFonts w:hint="eastAsia" w:ascii="宋体" w:hAnsi="宋体" w:eastAsia="宋体" w:cs="宋体"/>
          <w:color w:val="auto"/>
        </w:rPr>
      </w:pPr>
    </w:p>
    <w:p w14:paraId="7FA4F1DA">
      <w:pPr>
        <w:pStyle w:val="203"/>
        <w:widowControl/>
        <w:spacing w:beforeAutospacing="0" w:afterAutospacing="0" w:line="500" w:lineRule="exact"/>
        <w:ind w:firstLine="5760"/>
        <w:rPr>
          <w:rFonts w:hint="eastAsia" w:ascii="宋体" w:hAnsi="宋体" w:eastAsia="宋体" w:cs="宋体"/>
          <w:color w:val="auto"/>
        </w:rPr>
      </w:pPr>
    </w:p>
    <w:p w14:paraId="4C49BE90">
      <w:pPr>
        <w:pStyle w:val="203"/>
        <w:widowControl/>
        <w:spacing w:beforeAutospacing="0" w:afterAutospacing="0" w:line="500" w:lineRule="exact"/>
        <w:ind w:firstLine="5760"/>
        <w:rPr>
          <w:rFonts w:hint="eastAsia" w:ascii="宋体" w:hAnsi="宋体" w:eastAsia="宋体" w:cs="宋体"/>
          <w:color w:val="auto"/>
        </w:rPr>
      </w:pPr>
      <w:r>
        <w:rPr>
          <w:rFonts w:hint="eastAsia" w:ascii="宋体" w:hAnsi="宋体" w:eastAsia="宋体" w:cs="宋体"/>
          <w:color w:val="auto"/>
        </w:rPr>
        <w:t xml:space="preserve">单位（盖章）：    </w:t>
      </w:r>
    </w:p>
    <w:p w14:paraId="3DBDE708">
      <w:pPr>
        <w:pStyle w:val="203"/>
        <w:widowControl/>
        <w:spacing w:beforeAutospacing="0" w:afterAutospacing="0" w:line="500" w:lineRule="exact"/>
        <w:ind w:firstLine="2880"/>
        <w:rPr>
          <w:rFonts w:hint="eastAsia" w:ascii="宋体" w:hAnsi="宋体" w:eastAsia="宋体" w:cs="宋体"/>
          <w:color w:val="auto"/>
        </w:rPr>
      </w:pPr>
      <w:r>
        <w:rPr>
          <w:rFonts w:hint="eastAsia" w:ascii="宋体" w:hAnsi="宋体" w:eastAsia="宋体" w:cs="宋体"/>
          <w:color w:val="auto"/>
        </w:rPr>
        <w:t>法定代表人或授权代理人（签字或盖章）：</w:t>
      </w:r>
    </w:p>
    <w:p w14:paraId="771ECF9A">
      <w:pPr>
        <w:pStyle w:val="203"/>
        <w:widowControl/>
        <w:spacing w:beforeAutospacing="0" w:afterAutospacing="0" w:line="500" w:lineRule="exact"/>
        <w:ind w:firstLine="480"/>
        <w:rPr>
          <w:rFonts w:hint="eastAsia" w:ascii="宋体" w:hAnsi="宋体" w:eastAsia="宋体" w:cs="宋体"/>
          <w:color w:val="auto"/>
        </w:rPr>
      </w:pPr>
    </w:p>
    <w:p w14:paraId="21934B84">
      <w:pPr>
        <w:pStyle w:val="203"/>
        <w:widowControl/>
        <w:spacing w:beforeAutospacing="0" w:afterAutospacing="0" w:line="500" w:lineRule="exact"/>
        <w:ind w:firstLine="5822"/>
        <w:rPr>
          <w:rFonts w:hint="eastAsia" w:ascii="宋体" w:hAnsi="宋体" w:eastAsia="宋体" w:cs="宋体"/>
          <w:color w:val="auto"/>
        </w:rPr>
      </w:pPr>
      <w:r>
        <w:rPr>
          <w:rFonts w:hint="eastAsia" w:ascii="宋体" w:hAnsi="宋体" w:eastAsia="宋体" w:cs="宋体"/>
          <w:color w:val="auto"/>
        </w:rPr>
        <w:t>年   月   日</w:t>
      </w:r>
    </w:p>
    <w:p w14:paraId="140DE719">
      <w:pPr>
        <w:spacing w:line="640" w:lineRule="exact"/>
        <w:jc w:val="center"/>
        <w:rPr>
          <w:rFonts w:hint="eastAsia" w:eastAsia="方正小标宋_GBK" w:cs="方正小标宋_GBK"/>
          <w:color w:val="auto"/>
          <w:sz w:val="36"/>
          <w:szCs w:val="36"/>
        </w:rPr>
      </w:pPr>
    </w:p>
    <w:p w14:paraId="3165B82C">
      <w:pPr>
        <w:spacing w:line="640" w:lineRule="exact"/>
        <w:jc w:val="center"/>
        <w:rPr>
          <w:rFonts w:hint="eastAsia" w:eastAsia="方正小标宋_GBK" w:cs="方正小标宋_GBK"/>
          <w:color w:val="auto"/>
          <w:sz w:val="36"/>
          <w:szCs w:val="36"/>
        </w:rPr>
      </w:pPr>
    </w:p>
    <w:p w14:paraId="5E598075">
      <w:pPr>
        <w:spacing w:line="640" w:lineRule="exact"/>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八</w:t>
      </w:r>
      <w:r>
        <w:rPr>
          <w:rFonts w:hint="eastAsia" w:ascii="黑体" w:hAnsi="黑体" w:eastAsia="黑体" w:cs="黑体"/>
          <w:i/>
          <w:color w:val="auto"/>
          <w:sz w:val="32"/>
          <w:szCs w:val="32"/>
          <w:u w:val="single"/>
        </w:rPr>
        <w:t>、盐城市亭湖区政府采购事前信用承诺书</w:t>
      </w:r>
    </w:p>
    <w:p w14:paraId="07D6D5CB">
      <w:pPr>
        <w:widowControl/>
        <w:spacing w:line="400" w:lineRule="exact"/>
        <w:ind w:firstLine="720"/>
        <w:jc w:val="left"/>
        <w:rPr>
          <w:color w:val="auto"/>
          <w:sz w:val="36"/>
          <w:szCs w:val="36"/>
        </w:rPr>
      </w:pPr>
    </w:p>
    <w:p w14:paraId="41C89EBD">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为营造我区公开、公平、公正、诚实守信的政府采购交易环境，树立诚信守法的投标人形象，本人代表本单位作出以下承诺：</w:t>
      </w:r>
    </w:p>
    <w:p w14:paraId="3A5863D5">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23E399C">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DB3CE5">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（三）严格依照国家和省、市关于政府采购的法律法规、规章、规范性文件，参加政府采购投标活动；积极履行社会责任，促进廉政建设； </w:t>
      </w:r>
    </w:p>
    <w:p w14:paraId="3D56668C">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（四）严格遵守即时信息公示规定，及时维护和更新盐城市政府采购网中与本单位相关的信息；</w:t>
      </w:r>
    </w:p>
    <w:p w14:paraId="0A4E65B6">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728CD6DA">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（六）自觉接受政府、行业组织、社会公众、新闻舆论的监督；</w:t>
      </w:r>
    </w:p>
    <w:p w14:paraId="26A99BF8">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CA37206">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（八）本人已认真阅读上述承诺，并向本单位员工做了宣传教育。</w:t>
      </w:r>
    </w:p>
    <w:p w14:paraId="4BD24DCB">
      <w:pPr>
        <w:pStyle w:val="203"/>
        <w:widowControl/>
        <w:spacing w:beforeAutospacing="0" w:afterAutospacing="0" w:line="500" w:lineRule="exact"/>
        <w:ind w:firstLine="5102"/>
        <w:rPr>
          <w:rFonts w:hint="eastAsia" w:ascii="宋体" w:hAnsi="宋体" w:eastAsia="宋体" w:cs="宋体"/>
          <w:color w:val="auto"/>
        </w:rPr>
      </w:pPr>
    </w:p>
    <w:p w14:paraId="2FA9FBB2">
      <w:pPr>
        <w:pStyle w:val="203"/>
        <w:widowControl/>
        <w:spacing w:beforeAutospacing="0" w:afterAutospacing="0" w:line="500" w:lineRule="exact"/>
        <w:ind w:firstLine="5102"/>
        <w:rPr>
          <w:rFonts w:hint="eastAsia" w:ascii="宋体" w:hAnsi="宋体" w:eastAsia="宋体" w:cs="宋体"/>
          <w:color w:val="auto"/>
        </w:rPr>
      </w:pPr>
      <w:r>
        <w:rPr>
          <w:rFonts w:hint="eastAsia" w:ascii="宋体" w:hAnsi="宋体" w:eastAsia="宋体" w:cs="宋体"/>
          <w:color w:val="auto"/>
        </w:rPr>
        <w:t>法定代表人（签名）：</w:t>
      </w:r>
    </w:p>
    <w:p w14:paraId="2EFCF6F2">
      <w:pPr>
        <w:pStyle w:val="203"/>
        <w:widowControl/>
        <w:spacing w:beforeAutospacing="0" w:afterAutospacing="0" w:line="500" w:lineRule="exact"/>
        <w:ind w:firstLine="5102"/>
        <w:rPr>
          <w:rFonts w:hint="eastAsia" w:ascii="宋体" w:hAnsi="宋体" w:eastAsia="宋体" w:cs="宋体"/>
          <w:color w:val="auto"/>
        </w:rPr>
      </w:pPr>
      <w:r>
        <w:rPr>
          <w:rFonts w:hint="eastAsia" w:ascii="宋体" w:hAnsi="宋体" w:eastAsia="宋体" w:cs="宋体"/>
          <w:color w:val="auto"/>
        </w:rPr>
        <w:t xml:space="preserve">单位名称（盖章）：          </w:t>
      </w:r>
    </w:p>
    <w:p w14:paraId="30799279">
      <w:pPr>
        <w:pStyle w:val="203"/>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年   月   日</w:t>
      </w:r>
    </w:p>
    <w:p w14:paraId="70857673">
      <w:pPr>
        <w:pStyle w:val="203"/>
        <w:spacing w:beforeAutospacing="0" w:afterAutospacing="0"/>
        <w:jc w:val="center"/>
        <w:rPr>
          <w:rFonts w:ascii="宋体" w:hAnsi="宋体" w:cs="宋体"/>
          <w:color w:val="auto"/>
        </w:rPr>
      </w:pPr>
    </w:p>
    <w:p w14:paraId="2928056A">
      <w:pPr>
        <w:rPr>
          <w:rFonts w:ascii="宋体" w:hAnsi="宋体" w:cs="宋体"/>
          <w:color w:val="auto"/>
        </w:rPr>
      </w:pPr>
    </w:p>
    <w:p w14:paraId="6F2ECC84">
      <w:pPr>
        <w:rPr>
          <w:rFonts w:ascii="宋体" w:hAnsi="宋体" w:cs="宋体"/>
          <w:color w:val="auto"/>
        </w:rPr>
      </w:pPr>
    </w:p>
    <w:p w14:paraId="7B153ED5">
      <w:pPr>
        <w:pStyle w:val="203"/>
        <w:spacing w:beforeAutospacing="0" w:afterAutospacing="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质疑函范本</w:t>
      </w:r>
    </w:p>
    <w:p w14:paraId="41940BD3">
      <w:pPr>
        <w:pStyle w:val="203"/>
        <w:spacing w:before="290" w:beforeAutospacing="0" w:afterAutospacing="0" w:line="500" w:lineRule="exact"/>
        <w:jc w:val="both"/>
        <w:rPr>
          <w:rFonts w:ascii="宋体" w:hAnsi="宋体" w:cs="宋体"/>
          <w:color w:val="auto"/>
        </w:rPr>
      </w:pPr>
      <w:r>
        <w:rPr>
          <w:rFonts w:hint="eastAsia" w:ascii="宋体" w:hAnsi="宋体" w:cs="宋体"/>
          <w:color w:val="auto"/>
        </w:rPr>
        <w:t>一、质疑供应商基本信息</w:t>
      </w:r>
    </w:p>
    <w:p w14:paraId="2FD1BCAF">
      <w:pPr>
        <w:pStyle w:val="203"/>
        <w:spacing w:beforeAutospacing="0" w:afterAutospacing="0" w:line="500" w:lineRule="exact"/>
        <w:jc w:val="both"/>
        <w:rPr>
          <w:rFonts w:ascii="宋体" w:hAnsi="宋体" w:cs="宋体"/>
          <w:color w:val="auto"/>
        </w:rPr>
      </w:pPr>
      <w:r>
        <w:rPr>
          <w:rFonts w:hint="eastAsia" w:ascii="宋体" w:hAnsi="宋体" w:cs="宋体"/>
          <w:color w:val="auto"/>
        </w:rPr>
        <w:t>质疑供应商：</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 xml:space="preserve">       </w:t>
      </w:r>
    </w:p>
    <w:p w14:paraId="11B32EDF">
      <w:pPr>
        <w:pStyle w:val="203"/>
        <w:spacing w:beforeAutospacing="0" w:afterAutospacing="0" w:line="500" w:lineRule="exact"/>
        <w:jc w:val="both"/>
        <w:rPr>
          <w:rFonts w:ascii="宋体" w:hAnsi="宋体" w:cs="宋体"/>
          <w:color w:val="auto"/>
          <w:u w:val="single"/>
        </w:rPr>
      </w:pPr>
      <w:r>
        <w:rPr>
          <w:rFonts w:hint="eastAsia" w:ascii="宋体" w:hAnsi="宋体" w:cs="宋体"/>
          <w:color w:val="auto"/>
        </w:rPr>
        <w:t>地址：</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w:t>
      </w:r>
    </w:p>
    <w:p w14:paraId="47C89361">
      <w:pPr>
        <w:pStyle w:val="203"/>
        <w:spacing w:beforeAutospacing="0" w:afterAutospacing="0" w:line="500" w:lineRule="exact"/>
        <w:jc w:val="both"/>
        <w:rPr>
          <w:rFonts w:ascii="宋体" w:hAnsi="宋体" w:cs="宋体"/>
          <w:color w:val="auto"/>
        </w:rPr>
      </w:pPr>
      <w:r>
        <w:rPr>
          <w:rFonts w:hint="eastAsia" w:ascii="宋体" w:hAnsi="宋体" w:cs="宋体"/>
          <w:color w:val="auto"/>
        </w:rPr>
        <w:t>邮编：</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7F5E4C34">
      <w:pPr>
        <w:pStyle w:val="203"/>
        <w:spacing w:beforeAutospacing="0" w:afterAutospacing="0" w:line="500" w:lineRule="exact"/>
        <w:jc w:val="both"/>
        <w:rPr>
          <w:rFonts w:ascii="宋体" w:hAnsi="宋体" w:cs="宋体"/>
          <w:color w:val="auto"/>
          <w:u w:val="single"/>
        </w:rPr>
      </w:pPr>
      <w:r>
        <w:rPr>
          <w:rFonts w:hint="eastAsia" w:ascii="宋体" w:hAnsi="宋体" w:cs="宋体"/>
          <w:color w:val="auto"/>
        </w:rPr>
        <w:t>联系人：</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125E567B">
      <w:pPr>
        <w:pStyle w:val="203"/>
        <w:spacing w:beforeAutospacing="0" w:afterAutospacing="0" w:line="500" w:lineRule="exact"/>
        <w:jc w:val="both"/>
        <w:rPr>
          <w:rFonts w:ascii="宋体" w:hAnsi="宋体" w:cs="宋体"/>
          <w:color w:val="auto"/>
        </w:rPr>
      </w:pPr>
      <w:r>
        <w:rPr>
          <w:rFonts w:hint="eastAsia" w:ascii="宋体" w:hAnsi="宋体" w:cs="宋体"/>
          <w:color w:val="auto"/>
        </w:rPr>
        <w:t>联系电话：</w:t>
      </w:r>
      <w:r>
        <w:rPr>
          <w:rFonts w:hint="eastAsia" w:ascii="宋体" w:hAnsi="宋体" w:cs="宋体"/>
          <w:color w:val="auto"/>
          <w:u w:val="single"/>
        </w:rPr>
        <w:t xml:space="preserve">                                           </w:t>
      </w:r>
    </w:p>
    <w:p w14:paraId="1169C8F1">
      <w:pPr>
        <w:pStyle w:val="203"/>
        <w:spacing w:beforeAutospacing="0" w:afterAutospacing="0" w:line="500" w:lineRule="exact"/>
        <w:jc w:val="both"/>
        <w:rPr>
          <w:rFonts w:ascii="宋体" w:hAnsi="宋体" w:cs="宋体"/>
          <w:color w:val="auto"/>
        </w:rPr>
      </w:pPr>
      <w:r>
        <w:rPr>
          <w:rFonts w:hint="eastAsia" w:ascii="宋体" w:hAnsi="宋体" w:cs="宋体"/>
          <w:color w:val="auto"/>
        </w:rPr>
        <w:t>授权代表：</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6315D818">
      <w:pPr>
        <w:pStyle w:val="203"/>
        <w:spacing w:beforeAutospacing="0" w:afterAutospacing="0" w:line="500" w:lineRule="exact"/>
        <w:jc w:val="both"/>
        <w:rPr>
          <w:rFonts w:ascii="宋体" w:hAnsi="宋体" w:cs="宋体"/>
          <w:color w:val="auto"/>
        </w:rPr>
      </w:pPr>
      <w:r>
        <w:rPr>
          <w:rFonts w:hint="eastAsia" w:ascii="宋体" w:hAnsi="宋体" w:cs="宋体"/>
          <w:color w:val="auto"/>
        </w:rPr>
        <w:t>联系电话：</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2855B591">
      <w:pPr>
        <w:pStyle w:val="203"/>
        <w:spacing w:beforeAutospacing="0" w:afterAutospacing="0" w:line="500" w:lineRule="exact"/>
        <w:jc w:val="both"/>
        <w:rPr>
          <w:rFonts w:ascii="宋体" w:hAnsi="宋体" w:cs="宋体"/>
          <w:color w:val="auto"/>
          <w:u w:val="single"/>
        </w:rPr>
      </w:pPr>
      <w:r>
        <w:rPr>
          <w:rFonts w:hint="eastAsia" w:ascii="宋体" w:hAnsi="宋体" w:cs="宋体"/>
          <w:color w:val="auto"/>
        </w:rPr>
        <w:t>地址： </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3BCE7DFF">
      <w:pPr>
        <w:pStyle w:val="203"/>
        <w:spacing w:beforeAutospacing="0" w:afterAutospacing="0" w:line="500" w:lineRule="exact"/>
        <w:jc w:val="both"/>
        <w:rPr>
          <w:rFonts w:ascii="宋体" w:hAnsi="宋体" w:cs="宋体"/>
          <w:color w:val="auto"/>
        </w:rPr>
      </w:pPr>
      <w:r>
        <w:rPr>
          <w:rFonts w:hint="eastAsia" w:ascii="宋体" w:hAnsi="宋体" w:cs="宋体"/>
          <w:color w:val="auto"/>
        </w:rPr>
        <w:t>邮编：</w:t>
      </w:r>
      <w:r>
        <w:rPr>
          <w:rFonts w:hint="eastAsia" w:ascii="宋体" w:hAnsi="宋体" w:cs="宋体"/>
          <w:color w:val="auto"/>
          <w:u w:val="single"/>
        </w:rPr>
        <w:t xml:space="preserve">                                </w:t>
      </w:r>
    </w:p>
    <w:p w14:paraId="3F49B744">
      <w:pPr>
        <w:pStyle w:val="203"/>
        <w:spacing w:beforeAutospacing="0" w:afterAutospacing="0" w:line="500" w:lineRule="exact"/>
        <w:jc w:val="both"/>
        <w:rPr>
          <w:rFonts w:ascii="宋体" w:hAnsi="宋体" w:cs="宋体"/>
          <w:color w:val="auto"/>
        </w:rPr>
      </w:pPr>
      <w:r>
        <w:rPr>
          <w:rFonts w:hint="eastAsia" w:ascii="宋体" w:hAnsi="宋体" w:cs="宋体"/>
          <w:color w:val="auto"/>
        </w:rPr>
        <w:t>二、质疑项目基本情况</w:t>
      </w:r>
    </w:p>
    <w:p w14:paraId="1EEE402D">
      <w:pPr>
        <w:pStyle w:val="203"/>
        <w:spacing w:beforeAutospacing="0" w:afterAutospacing="0" w:line="500" w:lineRule="exact"/>
        <w:jc w:val="both"/>
        <w:rPr>
          <w:rFonts w:ascii="宋体" w:hAnsi="宋体" w:cs="宋体"/>
          <w:color w:val="auto"/>
        </w:rPr>
      </w:pPr>
      <w:r>
        <w:rPr>
          <w:rFonts w:hint="eastAsia" w:ascii="宋体" w:hAnsi="宋体" w:cs="宋体"/>
          <w:color w:val="auto"/>
        </w:rPr>
        <w:t>质疑项目的名称：</w:t>
      </w:r>
      <w:r>
        <w:rPr>
          <w:rFonts w:hint="eastAsia" w:ascii="宋体" w:hAnsi="宋体" w:cs="宋体"/>
          <w:color w:val="auto"/>
          <w:u w:val="single"/>
        </w:rPr>
        <w:t xml:space="preserve">                            </w:t>
      </w:r>
    </w:p>
    <w:p w14:paraId="55C18D7E">
      <w:pPr>
        <w:pStyle w:val="203"/>
        <w:spacing w:beforeAutospacing="0" w:afterAutospacing="0" w:line="500" w:lineRule="exact"/>
        <w:jc w:val="both"/>
        <w:rPr>
          <w:rFonts w:ascii="宋体" w:hAnsi="宋体" w:cs="宋体"/>
          <w:color w:val="auto"/>
          <w:u w:val="single"/>
        </w:rPr>
      </w:pPr>
      <w:r>
        <w:rPr>
          <w:rFonts w:hint="eastAsia" w:ascii="宋体" w:hAnsi="宋体" w:cs="宋体"/>
          <w:color w:val="auto"/>
        </w:rPr>
        <w:t>质疑项目的编号：</w:t>
      </w:r>
      <w:r>
        <w:rPr>
          <w:rFonts w:hint="eastAsia" w:ascii="宋体" w:hAnsi="宋体" w:cs="宋体"/>
          <w:color w:val="auto"/>
          <w:u w:val="single"/>
        </w:rPr>
        <w:t xml:space="preserve">                          </w:t>
      </w:r>
    </w:p>
    <w:p w14:paraId="6A451B01">
      <w:pPr>
        <w:pStyle w:val="203"/>
        <w:spacing w:beforeAutospacing="0" w:afterAutospacing="0" w:line="500" w:lineRule="exact"/>
        <w:jc w:val="both"/>
        <w:rPr>
          <w:rFonts w:ascii="宋体" w:hAnsi="宋体" w:cs="宋体"/>
          <w:color w:val="auto"/>
        </w:rPr>
      </w:pPr>
      <w:r>
        <w:rPr>
          <w:rFonts w:hint="eastAsia" w:ascii="宋体" w:hAnsi="宋体" w:cs="宋体"/>
          <w:color w:val="auto"/>
        </w:rPr>
        <w:t>包号：</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7DE4056C">
      <w:pPr>
        <w:pStyle w:val="203"/>
        <w:spacing w:beforeAutospacing="0" w:afterAutospacing="0" w:line="500" w:lineRule="exact"/>
        <w:jc w:val="both"/>
        <w:rPr>
          <w:rFonts w:ascii="宋体" w:hAnsi="宋体" w:cs="宋体"/>
          <w:color w:val="auto"/>
        </w:rPr>
      </w:pPr>
      <w:r>
        <w:rPr>
          <w:rFonts w:hint="eastAsia" w:ascii="宋体" w:hAnsi="宋体" w:cs="宋体"/>
          <w:color w:val="auto"/>
        </w:rPr>
        <w:t>采购人名称：</w:t>
      </w:r>
      <w:r>
        <w:rPr>
          <w:rFonts w:hint="eastAsia" w:ascii="宋体" w:hAnsi="宋体" w:cs="宋体"/>
          <w:color w:val="auto"/>
          <w:u w:val="single"/>
        </w:rPr>
        <w:t xml:space="preserve">                            </w:t>
      </w:r>
    </w:p>
    <w:p w14:paraId="626E0A32">
      <w:pPr>
        <w:pStyle w:val="203"/>
        <w:spacing w:beforeAutospacing="0" w:afterAutospacing="0" w:line="500" w:lineRule="exact"/>
        <w:jc w:val="both"/>
        <w:rPr>
          <w:rFonts w:ascii="宋体" w:hAnsi="宋体" w:cs="宋体"/>
          <w:color w:val="auto"/>
        </w:rPr>
      </w:pPr>
      <w:r>
        <w:rPr>
          <w:rFonts w:hint="eastAsia" w:ascii="宋体" w:hAnsi="宋体" w:cs="宋体"/>
          <w:color w:val="auto"/>
        </w:rPr>
        <w:t>采购文件获取日期：</w:t>
      </w:r>
      <w:r>
        <w:rPr>
          <w:rFonts w:hint="eastAsia" w:ascii="宋体" w:hAnsi="宋体" w:cs="宋体"/>
          <w:color w:val="auto"/>
          <w:u w:val="single"/>
        </w:rPr>
        <w:t xml:space="preserve">                             </w:t>
      </w:r>
    </w:p>
    <w:p w14:paraId="4C967B34">
      <w:pPr>
        <w:pStyle w:val="203"/>
        <w:spacing w:beforeAutospacing="0" w:afterAutospacing="0" w:line="500" w:lineRule="exact"/>
        <w:jc w:val="both"/>
        <w:rPr>
          <w:rFonts w:ascii="宋体" w:hAnsi="宋体" w:cs="宋体"/>
          <w:color w:val="auto"/>
        </w:rPr>
      </w:pPr>
      <w:r>
        <w:rPr>
          <w:rFonts w:hint="eastAsia" w:ascii="宋体" w:hAnsi="宋体" w:cs="宋体"/>
          <w:color w:val="auto"/>
        </w:rPr>
        <w:t>三、质疑事项具体内容</w:t>
      </w:r>
    </w:p>
    <w:p w14:paraId="20FC908A">
      <w:pPr>
        <w:pStyle w:val="203"/>
        <w:spacing w:beforeAutospacing="0" w:afterAutospacing="0" w:line="500" w:lineRule="exact"/>
        <w:jc w:val="both"/>
        <w:rPr>
          <w:rFonts w:ascii="宋体" w:hAnsi="宋体" w:cs="宋体"/>
          <w:color w:val="auto"/>
        </w:rPr>
      </w:pPr>
      <w:r>
        <w:rPr>
          <w:rFonts w:hint="eastAsia" w:ascii="宋体" w:hAnsi="宋体" w:cs="宋体"/>
          <w:color w:val="auto"/>
        </w:rPr>
        <w:t>质疑事项1：</w:t>
      </w:r>
      <w:r>
        <w:rPr>
          <w:rFonts w:hint="eastAsia" w:ascii="宋体" w:hAnsi="宋体" w:cs="宋体"/>
          <w:color w:val="auto"/>
          <w:u w:val="single"/>
        </w:rPr>
        <w:t xml:space="preserve">                             </w:t>
      </w:r>
    </w:p>
    <w:p w14:paraId="25E3B8A3">
      <w:pPr>
        <w:pStyle w:val="203"/>
        <w:spacing w:beforeAutospacing="0" w:afterAutospacing="0" w:line="500" w:lineRule="exact"/>
        <w:rPr>
          <w:rFonts w:ascii="宋体" w:hAnsi="宋体" w:cs="宋体"/>
          <w:color w:val="auto"/>
        </w:rPr>
      </w:pPr>
      <w:r>
        <w:rPr>
          <w:rFonts w:hint="eastAsia" w:ascii="宋体" w:hAnsi="宋体" w:cs="宋体"/>
          <w:color w:val="auto"/>
        </w:rPr>
        <w:t>事实依据：</w:t>
      </w:r>
      <w:r>
        <w:rPr>
          <w:rFonts w:hint="eastAsia" w:ascii="宋体" w:hAnsi="宋体" w:cs="宋体"/>
          <w:color w:val="auto"/>
          <w:u w:val="single"/>
        </w:rPr>
        <w:t xml:space="preserve">                                                   </w:t>
      </w:r>
    </w:p>
    <w:p w14:paraId="7A48CB70">
      <w:pPr>
        <w:pStyle w:val="203"/>
        <w:spacing w:beforeAutospacing="0" w:afterAutospacing="0" w:line="500" w:lineRule="exact"/>
        <w:jc w:val="both"/>
        <w:rPr>
          <w:rFonts w:ascii="宋体" w:hAnsi="宋体" w:cs="宋体"/>
          <w:color w:val="auto"/>
        </w:rPr>
      </w:pPr>
      <w:r>
        <w:rPr>
          <w:rFonts w:hint="eastAsia" w:ascii="宋体" w:hAnsi="宋体" w:cs="宋体"/>
          <w:color w:val="auto"/>
        </w:rPr>
        <w:t>法律依据：</w:t>
      </w:r>
      <w:r>
        <w:rPr>
          <w:rFonts w:hint="eastAsia" w:ascii="宋体" w:hAnsi="宋体" w:cs="宋体"/>
          <w:color w:val="auto"/>
          <w:u w:val="single"/>
        </w:rPr>
        <w:t xml:space="preserve">                                                    </w:t>
      </w:r>
    </w:p>
    <w:p w14:paraId="0DC100B0">
      <w:pPr>
        <w:pStyle w:val="203"/>
        <w:spacing w:beforeAutospacing="0" w:afterAutospacing="0" w:line="500" w:lineRule="exact"/>
        <w:jc w:val="both"/>
        <w:rPr>
          <w:rFonts w:ascii="宋体" w:hAnsi="宋体" w:cs="宋体"/>
          <w:color w:val="auto"/>
        </w:rPr>
      </w:pPr>
      <w:r>
        <w:rPr>
          <w:rFonts w:hint="eastAsia" w:ascii="宋体" w:hAnsi="宋体" w:cs="宋体"/>
          <w:color w:val="auto"/>
        </w:rPr>
        <w:t>质疑事项2</w:t>
      </w:r>
    </w:p>
    <w:p w14:paraId="5653AE01">
      <w:pPr>
        <w:pStyle w:val="203"/>
        <w:spacing w:beforeAutospacing="0" w:afterAutospacing="0" w:line="500" w:lineRule="exact"/>
        <w:jc w:val="both"/>
        <w:rPr>
          <w:rFonts w:ascii="宋体" w:hAnsi="宋体" w:cs="宋体"/>
          <w:color w:val="auto"/>
        </w:rPr>
      </w:pPr>
      <w:r>
        <w:rPr>
          <w:rFonts w:hint="eastAsia" w:ascii="宋体" w:hAnsi="宋体" w:cs="宋体"/>
          <w:color w:val="auto"/>
        </w:rPr>
        <w:t>……</w:t>
      </w:r>
    </w:p>
    <w:p w14:paraId="714C39FB">
      <w:pPr>
        <w:pStyle w:val="203"/>
        <w:spacing w:beforeAutospacing="0" w:afterAutospacing="0" w:line="360" w:lineRule="auto"/>
        <w:jc w:val="both"/>
        <w:rPr>
          <w:rFonts w:ascii="宋体" w:hAnsi="宋体" w:cs="宋体"/>
          <w:color w:val="auto"/>
        </w:rPr>
      </w:pPr>
      <w:r>
        <w:rPr>
          <w:rFonts w:hint="eastAsia" w:ascii="宋体" w:hAnsi="宋体" w:cs="宋体"/>
          <w:color w:val="auto"/>
        </w:rPr>
        <w:t>四、与质疑事项相关的质疑请求</w:t>
      </w:r>
    </w:p>
    <w:p w14:paraId="4BA2FD2E">
      <w:pPr>
        <w:pStyle w:val="203"/>
        <w:spacing w:beforeAutospacing="0" w:afterAutospacing="0" w:line="360" w:lineRule="auto"/>
        <w:jc w:val="both"/>
        <w:rPr>
          <w:rFonts w:ascii="宋体" w:hAnsi="宋体" w:cs="宋体"/>
          <w:color w:val="auto"/>
        </w:rPr>
      </w:pPr>
      <w:r>
        <w:rPr>
          <w:rFonts w:hint="eastAsia" w:ascii="宋体" w:hAnsi="宋体" w:cs="宋体"/>
          <w:color w:val="auto"/>
        </w:rPr>
        <w:t>请求：</w:t>
      </w:r>
      <w:r>
        <w:rPr>
          <w:rFonts w:hint="eastAsia" w:ascii="宋体" w:hAnsi="宋体" w:cs="宋体"/>
          <w:color w:val="auto"/>
          <w:u w:val="single"/>
        </w:rPr>
        <w:t xml:space="preserve">                                                          </w:t>
      </w:r>
    </w:p>
    <w:p w14:paraId="44E625AA">
      <w:pPr>
        <w:pStyle w:val="203"/>
        <w:spacing w:beforeAutospacing="0" w:afterAutospacing="0" w:line="360" w:lineRule="auto"/>
        <w:jc w:val="both"/>
        <w:rPr>
          <w:rFonts w:ascii="宋体" w:hAnsi="宋体" w:cs="宋体"/>
          <w:color w:val="auto"/>
        </w:rPr>
      </w:pPr>
      <w:r>
        <w:rPr>
          <w:rFonts w:hint="eastAsia" w:ascii="宋体" w:hAnsi="宋体" w:cs="宋体"/>
          <w:color w:val="auto"/>
        </w:rPr>
        <w:t xml:space="preserve">签字(签章)：                 公章：               日期：    </w:t>
      </w:r>
    </w:p>
    <w:p w14:paraId="64F67995">
      <w:pPr>
        <w:pStyle w:val="203"/>
        <w:spacing w:beforeAutospacing="0" w:afterAutospacing="0" w:line="500" w:lineRule="exact"/>
        <w:jc w:val="both"/>
        <w:rPr>
          <w:rFonts w:ascii="宋体" w:hAnsi="宋体" w:cs="宋体"/>
          <w:color w:val="auto"/>
        </w:rPr>
      </w:pPr>
      <w:r>
        <w:rPr>
          <w:rFonts w:hint="eastAsia" w:ascii="宋体" w:hAnsi="宋体" w:cs="宋体"/>
          <w:b/>
          <w:color w:val="auto"/>
        </w:rPr>
        <w:t>质疑函制作说明：</w:t>
      </w:r>
    </w:p>
    <w:p w14:paraId="36665C31">
      <w:pPr>
        <w:pStyle w:val="203"/>
        <w:widowControl/>
        <w:spacing w:beforeAutospacing="0" w:afterAutospacing="0" w:line="500" w:lineRule="exact"/>
        <w:ind w:firstLine="480"/>
        <w:rPr>
          <w:rFonts w:ascii="宋体" w:hAnsi="宋体" w:cs="宋体"/>
          <w:color w:val="auto"/>
        </w:rPr>
      </w:pPr>
      <w:r>
        <w:rPr>
          <w:rFonts w:hint="eastAsia" w:ascii="宋体" w:hAnsi="宋体" w:cs="宋体"/>
          <w:color w:val="auto"/>
        </w:rPr>
        <w:t>1.供应商提出质疑时，应提交质疑函和必要的证明材料。</w:t>
      </w:r>
    </w:p>
    <w:p w14:paraId="5B4362B5">
      <w:pPr>
        <w:pStyle w:val="203"/>
        <w:widowControl/>
        <w:spacing w:beforeAutospacing="0" w:afterAutospacing="0" w:line="500" w:lineRule="exact"/>
        <w:ind w:firstLine="480"/>
        <w:rPr>
          <w:rFonts w:ascii="宋体" w:hAnsi="宋体" w:cs="宋体"/>
          <w:color w:val="auto"/>
        </w:rPr>
      </w:pPr>
      <w:r>
        <w:rPr>
          <w:rFonts w:hint="eastAsia" w:ascii="宋体" w:hAnsi="宋体" w:cs="宋体"/>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F10C00">
      <w:pPr>
        <w:pStyle w:val="203"/>
        <w:widowControl/>
        <w:spacing w:beforeAutospacing="0" w:afterAutospacing="0" w:line="500" w:lineRule="exact"/>
        <w:ind w:firstLine="480"/>
        <w:rPr>
          <w:rFonts w:ascii="宋体" w:hAnsi="宋体" w:cs="宋体"/>
          <w:color w:val="auto"/>
        </w:rPr>
      </w:pPr>
      <w:r>
        <w:rPr>
          <w:rFonts w:hint="eastAsia" w:ascii="宋体" w:hAnsi="宋体" w:cs="宋体"/>
          <w:color w:val="auto"/>
        </w:rPr>
        <w:t>3.质疑供应商若对项目的某一分包进行质疑，质疑函中应列明具体分包号。</w:t>
      </w:r>
    </w:p>
    <w:p w14:paraId="69B6F575">
      <w:pPr>
        <w:pStyle w:val="203"/>
        <w:widowControl/>
        <w:spacing w:beforeAutospacing="0" w:afterAutospacing="0" w:line="500" w:lineRule="exact"/>
        <w:ind w:firstLine="480"/>
        <w:rPr>
          <w:rFonts w:ascii="宋体" w:hAnsi="宋体" w:cs="宋体"/>
          <w:color w:val="auto"/>
        </w:rPr>
      </w:pPr>
      <w:r>
        <w:rPr>
          <w:rFonts w:hint="eastAsia" w:ascii="宋体" w:hAnsi="宋体" w:cs="宋体"/>
          <w:color w:val="auto"/>
        </w:rPr>
        <w:t>4.质疑函的质疑事项应具体、明确，并有必要的事实依据和法律依据。</w:t>
      </w:r>
    </w:p>
    <w:p w14:paraId="1E25B350">
      <w:pPr>
        <w:pStyle w:val="203"/>
        <w:widowControl/>
        <w:spacing w:beforeAutospacing="0" w:afterAutospacing="0" w:line="500" w:lineRule="exact"/>
        <w:ind w:firstLine="480"/>
        <w:rPr>
          <w:rFonts w:ascii="宋体" w:hAnsi="宋体" w:cs="宋体"/>
          <w:color w:val="auto"/>
        </w:rPr>
      </w:pPr>
      <w:r>
        <w:rPr>
          <w:rFonts w:hint="eastAsia" w:ascii="宋体" w:hAnsi="宋体" w:cs="宋体"/>
          <w:color w:val="auto"/>
        </w:rPr>
        <w:t>5.质疑函的质疑请求应与质疑事项相关。</w:t>
      </w:r>
    </w:p>
    <w:p w14:paraId="5A941C19">
      <w:pPr>
        <w:pStyle w:val="203"/>
        <w:widowControl/>
        <w:spacing w:beforeAutospacing="0" w:afterAutospacing="0" w:line="500" w:lineRule="exact"/>
        <w:ind w:firstLine="480"/>
        <w:rPr>
          <w:rFonts w:ascii="宋体" w:hAnsi="宋体" w:cs="宋体"/>
          <w:color w:val="auto"/>
        </w:rPr>
      </w:pPr>
      <w:r>
        <w:rPr>
          <w:rFonts w:hint="eastAsia" w:ascii="宋体" w:hAnsi="宋体" w:cs="宋体"/>
          <w:color w:val="auto"/>
        </w:rPr>
        <w:t>6.质疑供应商为自然人的，质疑函应由本人签字；质疑供应商为法人或者其他组织的，质疑函应由法定代表人、主要负责人，或者其授权代表签字或者盖章，并加盖公章。</w:t>
      </w:r>
    </w:p>
    <w:p w14:paraId="596E7C58">
      <w:pPr>
        <w:rPr>
          <w:highlight w:val="none"/>
        </w:rPr>
      </w:pPr>
    </w:p>
    <w:sectPr>
      <w:headerReference r:id="rId4" w:type="default"/>
      <w:footerReference r:id="rId5" w:type="default"/>
      <w:pgSz w:w="11905" w:h="16838"/>
      <w:pgMar w:top="1440" w:right="1803" w:bottom="1440" w:left="1803" w:header="102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61D08">
    <w:pPr>
      <w:pStyle w:val="22"/>
      <w:tabs>
        <w:tab w:val="center" w:pos="4153"/>
        <w:tab w:val="right" w:pos="8306"/>
        <w:tab w:val="clear" w:pos="7143"/>
        <w:tab w:val="clear" w:pos="14287"/>
      </w:tabs>
      <w:jc w:val="center"/>
    </w:pPr>
    <w:r>
      <w:fldChar w:fldCharType="begin"/>
    </w:r>
    <w:r>
      <w:instrText xml:space="preserve">PAGE   \* MERGEFORMAT</w:instrText>
    </w:r>
    <w:r>
      <w:fldChar w:fldCharType="separate"/>
    </w:r>
    <w:r>
      <w:t>31</w:t>
    </w:r>
    <w:r>
      <w:fldChar w:fldCharType="end"/>
    </w:r>
  </w:p>
  <w:p w14:paraId="17D73A03">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6793F">
    <w:pPr>
      <w:pStyle w:val="19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373EC">
                          <w:pPr>
                            <w:pStyle w:val="2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20F373EC">
                    <w:pPr>
                      <w:pStyle w:val="2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58E17">
    <w:pPr>
      <w:pStyle w:val="198"/>
      <w:pBdr>
        <w:bottom w:val="none" w:color="auto" w:sz="0" w:space="1"/>
      </w:pBdr>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0A6A"/>
    <w:multiLevelType w:val="singleLevel"/>
    <w:tmpl w:val="83720A6A"/>
    <w:lvl w:ilvl="0" w:tentative="0">
      <w:start w:val="3"/>
      <w:numFmt w:val="chineseCounting"/>
      <w:suff w:val="space"/>
      <w:lvlText w:val="第%1章"/>
      <w:lvlJc w:val="left"/>
      <w:rPr>
        <w:rFonts w:hint="eastAsia"/>
      </w:rPr>
    </w:lvl>
  </w:abstractNum>
  <w:abstractNum w:abstractNumId="1">
    <w:nsid w:val="85A9913E"/>
    <w:multiLevelType w:val="multilevel"/>
    <w:tmpl w:val="85A9913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0954A0B"/>
    <w:multiLevelType w:val="singleLevel"/>
    <w:tmpl w:val="90954A0B"/>
    <w:lvl w:ilvl="0" w:tentative="0">
      <w:start w:val="1"/>
      <w:numFmt w:val="decimal"/>
      <w:suff w:val="nothing"/>
      <w:lvlText w:val="（%1）"/>
      <w:lvlJc w:val="left"/>
    </w:lvl>
  </w:abstractNum>
  <w:abstractNum w:abstractNumId="3">
    <w:nsid w:val="9C14B484"/>
    <w:multiLevelType w:val="singleLevel"/>
    <w:tmpl w:val="9C14B484"/>
    <w:lvl w:ilvl="0" w:tentative="0">
      <w:start w:val="1"/>
      <w:numFmt w:val="decimal"/>
      <w:suff w:val="nothing"/>
      <w:lvlText w:val="（%1）"/>
      <w:lvlJc w:val="left"/>
    </w:lvl>
  </w:abstractNum>
  <w:abstractNum w:abstractNumId="4">
    <w:nsid w:val="C4153FC0"/>
    <w:multiLevelType w:val="singleLevel"/>
    <w:tmpl w:val="C4153FC0"/>
    <w:lvl w:ilvl="0" w:tentative="0">
      <w:start w:val="3"/>
      <w:numFmt w:val="chineseCounting"/>
      <w:suff w:val="space"/>
      <w:lvlText w:val="第%1条"/>
      <w:lvlJc w:val="left"/>
      <w:rPr>
        <w:rFonts w:hint="eastAsia"/>
      </w:rPr>
    </w:lvl>
  </w:abstractNum>
  <w:abstractNum w:abstractNumId="5">
    <w:nsid w:val="01421E8B"/>
    <w:multiLevelType w:val="singleLevel"/>
    <w:tmpl w:val="01421E8B"/>
    <w:lvl w:ilvl="0" w:tentative="0">
      <w:start w:val="1"/>
      <w:numFmt w:val="decimal"/>
      <w:suff w:val="nothing"/>
      <w:lvlText w:val="（%1）"/>
      <w:lvlJc w:val="left"/>
    </w:lvl>
  </w:abstractNum>
  <w:abstractNum w:abstractNumId="6">
    <w:nsid w:val="3E286539"/>
    <w:multiLevelType w:val="singleLevel"/>
    <w:tmpl w:val="3E286539"/>
    <w:lvl w:ilvl="0" w:tentative="0">
      <w:start w:val="1"/>
      <w:numFmt w:val="decimal"/>
      <w:suff w:val="nothing"/>
      <w:lvlText w:val="（%1）"/>
      <w:lvlJc w:val="left"/>
    </w:lvl>
  </w:abstractNum>
  <w:abstractNum w:abstractNumId="7">
    <w:nsid w:val="4F6BBA1E"/>
    <w:multiLevelType w:val="singleLevel"/>
    <w:tmpl w:val="4F6BBA1E"/>
    <w:lvl w:ilvl="0" w:tentative="0">
      <w:start w:val="1"/>
      <w:numFmt w:val="decimal"/>
      <w:suff w:val="nothing"/>
      <w:lvlText w:val="（%1）"/>
      <w:lvlJc w:val="left"/>
    </w:lvl>
  </w:abstractNum>
  <w:num w:numId="1">
    <w:abstractNumId w:val="1"/>
  </w:num>
  <w:num w:numId="2">
    <w:abstractNumId w:val="0"/>
  </w:num>
  <w:num w:numId="3">
    <w:abstractNumId w:val="4"/>
  </w:num>
  <w:num w:numId="4">
    <w:abstractNumId w:val="6"/>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340B6"/>
    <w:rsid w:val="02067D98"/>
    <w:rsid w:val="026223A4"/>
    <w:rsid w:val="032E737C"/>
    <w:rsid w:val="05586233"/>
    <w:rsid w:val="058A29A2"/>
    <w:rsid w:val="05DE2950"/>
    <w:rsid w:val="06C451CB"/>
    <w:rsid w:val="07BC569B"/>
    <w:rsid w:val="0852117A"/>
    <w:rsid w:val="08F9394F"/>
    <w:rsid w:val="0B752DD1"/>
    <w:rsid w:val="0C3221BD"/>
    <w:rsid w:val="0DD759F4"/>
    <w:rsid w:val="0F6E6A60"/>
    <w:rsid w:val="100F7808"/>
    <w:rsid w:val="10856C25"/>
    <w:rsid w:val="11423ACC"/>
    <w:rsid w:val="11743EDB"/>
    <w:rsid w:val="12A92585"/>
    <w:rsid w:val="12BA7692"/>
    <w:rsid w:val="13370CE3"/>
    <w:rsid w:val="142F69E9"/>
    <w:rsid w:val="148461AA"/>
    <w:rsid w:val="150D0F65"/>
    <w:rsid w:val="16610551"/>
    <w:rsid w:val="1706617A"/>
    <w:rsid w:val="18784278"/>
    <w:rsid w:val="18A706B9"/>
    <w:rsid w:val="19A44707"/>
    <w:rsid w:val="19AD0A1E"/>
    <w:rsid w:val="19CF4422"/>
    <w:rsid w:val="1AD51892"/>
    <w:rsid w:val="1B3C77DE"/>
    <w:rsid w:val="1D300C7D"/>
    <w:rsid w:val="21F4496F"/>
    <w:rsid w:val="228C2BA5"/>
    <w:rsid w:val="23A173F1"/>
    <w:rsid w:val="257E042D"/>
    <w:rsid w:val="26C970A4"/>
    <w:rsid w:val="28650375"/>
    <w:rsid w:val="28825125"/>
    <w:rsid w:val="28ED6355"/>
    <w:rsid w:val="28FB471E"/>
    <w:rsid w:val="2956612D"/>
    <w:rsid w:val="29A0718A"/>
    <w:rsid w:val="29D01AEA"/>
    <w:rsid w:val="29E67293"/>
    <w:rsid w:val="2A134705"/>
    <w:rsid w:val="2B195597"/>
    <w:rsid w:val="2B6A3EF4"/>
    <w:rsid w:val="2C736DD8"/>
    <w:rsid w:val="2D0A0836"/>
    <w:rsid w:val="2E057F04"/>
    <w:rsid w:val="2EED2E56"/>
    <w:rsid w:val="300F5657"/>
    <w:rsid w:val="31D200FD"/>
    <w:rsid w:val="32454D73"/>
    <w:rsid w:val="32D305D1"/>
    <w:rsid w:val="331D7A9E"/>
    <w:rsid w:val="335D7E9A"/>
    <w:rsid w:val="34D97170"/>
    <w:rsid w:val="34DD6F81"/>
    <w:rsid w:val="35B376A5"/>
    <w:rsid w:val="36396D04"/>
    <w:rsid w:val="36E16BA3"/>
    <w:rsid w:val="37751C56"/>
    <w:rsid w:val="37A9411C"/>
    <w:rsid w:val="385D37E7"/>
    <w:rsid w:val="38A9721D"/>
    <w:rsid w:val="39096AFA"/>
    <w:rsid w:val="39244AFE"/>
    <w:rsid w:val="3925145A"/>
    <w:rsid w:val="3B20012B"/>
    <w:rsid w:val="3CBC20D5"/>
    <w:rsid w:val="3E833E1A"/>
    <w:rsid w:val="3F9F3806"/>
    <w:rsid w:val="40AB5373"/>
    <w:rsid w:val="421738D0"/>
    <w:rsid w:val="42187DAE"/>
    <w:rsid w:val="439D1502"/>
    <w:rsid w:val="44765407"/>
    <w:rsid w:val="45EF52CA"/>
    <w:rsid w:val="45FF375F"/>
    <w:rsid w:val="46CE3131"/>
    <w:rsid w:val="46D83FB0"/>
    <w:rsid w:val="4800556C"/>
    <w:rsid w:val="483600FD"/>
    <w:rsid w:val="48384D06"/>
    <w:rsid w:val="48641A97"/>
    <w:rsid w:val="4A0F2B90"/>
    <w:rsid w:val="4AB63AFD"/>
    <w:rsid w:val="4B95421D"/>
    <w:rsid w:val="4C843C10"/>
    <w:rsid w:val="4CBA258C"/>
    <w:rsid w:val="4D333CEE"/>
    <w:rsid w:val="4D493511"/>
    <w:rsid w:val="4D7560B4"/>
    <w:rsid w:val="4F3B214B"/>
    <w:rsid w:val="50DB373D"/>
    <w:rsid w:val="51D72D57"/>
    <w:rsid w:val="53D665BC"/>
    <w:rsid w:val="54210D44"/>
    <w:rsid w:val="548D15F0"/>
    <w:rsid w:val="56AF797A"/>
    <w:rsid w:val="58BC54DF"/>
    <w:rsid w:val="593D3381"/>
    <w:rsid w:val="596F471E"/>
    <w:rsid w:val="59F1740B"/>
    <w:rsid w:val="5A71428A"/>
    <w:rsid w:val="5AAB75B9"/>
    <w:rsid w:val="5C5D48E3"/>
    <w:rsid w:val="5CE24DE9"/>
    <w:rsid w:val="5D01565D"/>
    <w:rsid w:val="5D722610"/>
    <w:rsid w:val="5D8B36D2"/>
    <w:rsid w:val="5DDC7A8A"/>
    <w:rsid w:val="5E781EA8"/>
    <w:rsid w:val="5F882D4D"/>
    <w:rsid w:val="60C170FF"/>
    <w:rsid w:val="616B7AA3"/>
    <w:rsid w:val="64782568"/>
    <w:rsid w:val="65184CF0"/>
    <w:rsid w:val="653A1C66"/>
    <w:rsid w:val="659C46CE"/>
    <w:rsid w:val="674F751F"/>
    <w:rsid w:val="6792057C"/>
    <w:rsid w:val="681B7D03"/>
    <w:rsid w:val="689C6793"/>
    <w:rsid w:val="692F13B6"/>
    <w:rsid w:val="6AAE27AE"/>
    <w:rsid w:val="6B7003D8"/>
    <w:rsid w:val="6BAC3AB3"/>
    <w:rsid w:val="6CCE7137"/>
    <w:rsid w:val="6E2214E9"/>
    <w:rsid w:val="6EB82B5D"/>
    <w:rsid w:val="6F305E87"/>
    <w:rsid w:val="6FE0340A"/>
    <w:rsid w:val="6FE24721"/>
    <w:rsid w:val="72017972"/>
    <w:rsid w:val="724907B5"/>
    <w:rsid w:val="744C0277"/>
    <w:rsid w:val="7548400B"/>
    <w:rsid w:val="78D41F79"/>
    <w:rsid w:val="791660EE"/>
    <w:rsid w:val="79AB4A88"/>
    <w:rsid w:val="7B060CA1"/>
    <w:rsid w:val="7E4B2FD1"/>
    <w:rsid w:val="7EA87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8"/>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ody Text"/>
    <w:basedOn w:val="1"/>
    <w:next w:val="14"/>
    <w:qFormat/>
    <w:uiPriority w:val="0"/>
    <w:rPr>
      <w:rFonts w:ascii="楷体_GB2312" w:hAnsi="Arial" w:eastAsia="楷体_GB2312"/>
      <w:sz w:val="28"/>
      <w:szCs w:val="28"/>
    </w:rPr>
  </w:style>
  <w:style w:type="paragraph" w:customStyle="1" w:styleId="14">
    <w:name w:val="一级条标题"/>
    <w:basedOn w:val="15"/>
    <w:next w:val="16"/>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5">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16">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paragraph" w:styleId="17">
    <w:name w:val="Block Text"/>
    <w:basedOn w:val="1"/>
    <w:next w:val="5"/>
    <w:qFormat/>
    <w:uiPriority w:val="99"/>
    <w:pPr>
      <w:tabs>
        <w:tab w:val="left" w:pos="9000"/>
      </w:tabs>
      <w:spacing w:after="120"/>
      <w:ind w:left="1440" w:right="144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p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qFormat/>
    <w:uiPriority w:val="0"/>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33">
    <w:name w:val="Normal (Web)"/>
    <w:basedOn w:val="1"/>
    <w:qFormat/>
    <w:uiPriority w:val="0"/>
    <w:pPr>
      <w:spacing w:beforeAutospacing="1" w:afterAutospacing="1"/>
      <w:jc w:val="left"/>
    </w:pPr>
    <w:rPr>
      <w:sz w:val="24"/>
    </w:rPr>
  </w:style>
  <w:style w:type="paragraph" w:styleId="34">
    <w:name w:val="Title"/>
    <w:basedOn w:val="1"/>
    <w:next w:val="1"/>
    <w:link w:val="53"/>
    <w:qFormat/>
    <w:uiPriority w:val="10"/>
    <w:pPr>
      <w:spacing w:before="300" w:after="200"/>
      <w:contextualSpacing/>
    </w:pPr>
    <w:rPr>
      <w:sz w:val="48"/>
      <w:szCs w:val="48"/>
    </w:rPr>
  </w:style>
  <w:style w:type="paragraph" w:styleId="35">
    <w:name w:val="Body Text First Indent"/>
    <w:basedOn w:val="1"/>
    <w:next w:val="28"/>
    <w:qFormat/>
    <w:uiPriority w:val="0"/>
    <w:pPr>
      <w:ind w:firstLine="420"/>
    </w:pPr>
    <w:rPr>
      <w:rFonts w:ascii="Times New Roman" w:hAnsi="Times New Roman"/>
      <w:sz w:val="21"/>
      <w:szCs w:val="24"/>
    </w:rPr>
  </w:style>
  <w:style w:type="table" w:styleId="3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Hyperlink"/>
    <w:unhideWhenUsed/>
    <w:qFormat/>
    <w:uiPriority w:val="99"/>
    <w:rPr>
      <w:color w:val="0026E5"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link w:val="4"/>
    <w:qFormat/>
    <w:uiPriority w:val="9"/>
    <w:rPr>
      <w:rFonts w:ascii="Arial" w:hAnsi="Arial" w:eastAsia="Arial" w:cs="Arial"/>
      <w:sz w:val="30"/>
      <w:szCs w:val="30"/>
    </w:rPr>
  </w:style>
  <w:style w:type="character" w:customStyle="1" w:styleId="45">
    <w:name w:val="Heading 4 Char"/>
    <w:basedOn w:val="38"/>
    <w:qFormat/>
    <w:uiPriority w:val="9"/>
    <w:rPr>
      <w:rFonts w:ascii="Arial" w:hAnsi="Arial" w:eastAsia="Arial" w:cs="Arial"/>
      <w:b/>
      <w:bCs/>
      <w:sz w:val="26"/>
      <w:szCs w:val="26"/>
    </w:rPr>
  </w:style>
  <w:style w:type="character" w:customStyle="1" w:styleId="46">
    <w:name w:val="Heading 5 Char"/>
    <w:basedOn w:val="38"/>
    <w:link w:val="6"/>
    <w:qFormat/>
    <w:uiPriority w:val="9"/>
    <w:rPr>
      <w:rFonts w:ascii="Arial" w:hAnsi="Arial" w:eastAsia="Arial" w:cs="Arial"/>
      <w:b/>
      <w:bCs/>
      <w:sz w:val="24"/>
      <w:szCs w:val="24"/>
    </w:rPr>
  </w:style>
  <w:style w:type="character" w:customStyle="1" w:styleId="47">
    <w:name w:val="Heading 6 Char"/>
    <w:basedOn w:val="38"/>
    <w:link w:val="7"/>
    <w:qFormat/>
    <w:uiPriority w:val="9"/>
    <w:rPr>
      <w:rFonts w:ascii="Arial" w:hAnsi="Arial" w:eastAsia="Arial" w:cs="Arial"/>
      <w:b/>
      <w:bCs/>
      <w:sz w:val="22"/>
      <w:szCs w:val="22"/>
    </w:rPr>
  </w:style>
  <w:style w:type="character" w:customStyle="1" w:styleId="48">
    <w:name w:val="Heading 7 Char"/>
    <w:basedOn w:val="38"/>
    <w:link w:val="8"/>
    <w:qFormat/>
    <w:uiPriority w:val="9"/>
    <w:rPr>
      <w:rFonts w:ascii="Arial" w:hAnsi="Arial" w:eastAsia="Arial" w:cs="Arial"/>
      <w:b/>
      <w:bCs/>
      <w:i/>
      <w:iCs/>
      <w:sz w:val="22"/>
      <w:szCs w:val="22"/>
    </w:rPr>
  </w:style>
  <w:style w:type="character" w:customStyle="1" w:styleId="49">
    <w:name w:val="Heading 8 Char"/>
    <w:basedOn w:val="38"/>
    <w:link w:val="9"/>
    <w:qFormat/>
    <w:uiPriority w:val="9"/>
    <w:rPr>
      <w:rFonts w:ascii="Arial" w:hAnsi="Arial" w:eastAsia="Arial" w:cs="Arial"/>
      <w:i/>
      <w:iCs/>
      <w:sz w:val="22"/>
      <w:szCs w:val="22"/>
    </w:rPr>
  </w:style>
  <w:style w:type="character" w:customStyle="1" w:styleId="50">
    <w:name w:val="Heading 9 Char"/>
    <w:basedOn w:val="38"/>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8"/>
    <w:link w:val="34"/>
    <w:qFormat/>
    <w:uiPriority w:val="10"/>
    <w:rPr>
      <w:sz w:val="48"/>
      <w:szCs w:val="48"/>
    </w:rPr>
  </w:style>
  <w:style w:type="character" w:customStyle="1" w:styleId="54">
    <w:name w:val="Subtitle Char"/>
    <w:basedOn w:val="38"/>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8"/>
    <w:link w:val="23"/>
    <w:qFormat/>
    <w:uiPriority w:val="99"/>
  </w:style>
  <w:style w:type="character" w:customStyle="1" w:styleId="60">
    <w:name w:val="Footer Char"/>
    <w:basedOn w:val="38"/>
    <w:qFormat/>
    <w:uiPriority w:val="99"/>
  </w:style>
  <w:style w:type="character" w:customStyle="1" w:styleId="61">
    <w:name w:val="Caption Char"/>
    <w:qFormat/>
    <w:uiPriority w:val="99"/>
  </w:style>
  <w:style w:type="table" w:customStyle="1" w:styleId="62">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0">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1">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2">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3">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4">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5">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1">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8">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9">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0">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1">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2">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0">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7">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9">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0">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1">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2">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3">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4">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6">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7">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8">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9">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0">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1">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3">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4">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5">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6">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7">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7">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8">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9">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0">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1">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2">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2">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3">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4">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5">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6">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191">
    <w:name w:val="普通正文"/>
    <w:basedOn w:val="1"/>
    <w:qFormat/>
    <w:uiPriority w:val="99"/>
    <w:pPr>
      <w:spacing w:before="120" w:after="120" w:line="360" w:lineRule="auto"/>
      <w:ind w:firstLine="480"/>
      <w:jc w:val="left"/>
    </w:pPr>
    <w:rPr>
      <w:rFonts w:ascii="Arial" w:hAnsi="Arial"/>
      <w:sz w:val="24"/>
      <w:szCs w:val="24"/>
    </w:rPr>
  </w:style>
  <w:style w:type="character" w:customStyle="1" w:styleId="192">
    <w:name w:val="NormalCharacter"/>
    <w:semiHidden/>
    <w:qFormat/>
    <w:uiPriority w:val="0"/>
  </w:style>
  <w:style w:type="paragraph" w:customStyle="1" w:styleId="193">
    <w:name w:val="Char"/>
    <w:basedOn w:val="1"/>
    <w:qFormat/>
    <w:uiPriority w:val="0"/>
    <w:pPr>
      <w:tabs>
        <w:tab w:val="left" w:pos="360"/>
      </w:tabs>
      <w:ind w:firstLine="200"/>
    </w:pPr>
    <w:rPr>
      <w:szCs w:val="30"/>
    </w:rPr>
  </w:style>
  <w:style w:type="paragraph" w:customStyle="1" w:styleId="194">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195">
    <w:name w:val="普通(网站)111"/>
    <w:basedOn w:val="1"/>
    <w:qFormat/>
    <w:uiPriority w:val="0"/>
    <w:pPr>
      <w:spacing w:beforeAutospacing="1" w:afterAutospacing="1"/>
      <w:jc w:val="left"/>
    </w:pPr>
    <w:rPr>
      <w:sz w:val="24"/>
    </w:rPr>
  </w:style>
  <w:style w:type="paragraph" w:customStyle="1" w:styleId="196">
    <w:name w:val="正文缩进11"/>
    <w:basedOn w:val="1"/>
    <w:qFormat/>
    <w:uiPriority w:val="0"/>
    <w:rPr>
      <w:szCs w:val="20"/>
    </w:rPr>
  </w:style>
  <w:style w:type="paragraph" w:customStyle="1" w:styleId="197">
    <w:name w:val="普通(网站)112"/>
    <w:basedOn w:val="1"/>
    <w:qFormat/>
    <w:uiPriority w:val="0"/>
    <w:pPr>
      <w:spacing w:beforeAutospacing="1" w:afterAutospacing="1"/>
      <w:jc w:val="left"/>
    </w:pPr>
    <w:rPr>
      <w:sz w:val="24"/>
    </w:rPr>
  </w:style>
  <w:style w:type="paragraph" w:customStyle="1" w:styleId="198">
    <w:name w:val="页眉11"/>
    <w:basedOn w:val="1"/>
    <w:qFormat/>
    <w:uiPriority w:val="99"/>
    <w:pPr>
      <w:pBdr>
        <w:bottom w:val="single" w:color="000000" w:sz="6" w:space="1"/>
      </w:pBdr>
      <w:tabs>
        <w:tab w:val="center" w:pos="4153"/>
        <w:tab w:val="right" w:pos="8306"/>
      </w:tabs>
      <w:jc w:val="center"/>
    </w:pPr>
    <w:rPr>
      <w:sz w:val="18"/>
    </w:rPr>
  </w:style>
  <w:style w:type="paragraph" w:customStyle="1" w:styleId="199">
    <w:name w:val="页脚1"/>
    <w:basedOn w:val="1"/>
    <w:qFormat/>
    <w:uiPriority w:val="99"/>
    <w:pPr>
      <w:tabs>
        <w:tab w:val="center" w:pos="4153"/>
        <w:tab w:val="right" w:pos="8306"/>
      </w:tabs>
      <w:jc w:val="left"/>
    </w:pPr>
    <w:rPr>
      <w:sz w:val="18"/>
    </w:rPr>
  </w:style>
  <w:style w:type="paragraph" w:customStyle="1" w:styleId="20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01">
    <w:name w:val="批注文字1"/>
    <w:basedOn w:val="1"/>
    <w:qFormat/>
    <w:uiPriority w:val="0"/>
    <w:pPr>
      <w:jc w:val="left"/>
    </w:pPr>
    <w:rPr>
      <w:rFonts w:ascii="Calibri" w:hAnsi="Calibri"/>
      <w:szCs w:val="22"/>
    </w:rPr>
  </w:style>
  <w:style w:type="paragraph" w:customStyle="1" w:styleId="202">
    <w:name w:val="文本块1"/>
    <w:basedOn w:val="1"/>
    <w:qFormat/>
    <w:uiPriority w:val="99"/>
    <w:pPr>
      <w:tabs>
        <w:tab w:val="left" w:pos="9000"/>
      </w:tabs>
      <w:spacing w:after="120"/>
      <w:ind w:left="1440" w:right="1440"/>
    </w:pPr>
  </w:style>
  <w:style w:type="paragraph" w:customStyle="1" w:styleId="203">
    <w:name w:val="普通(网站)12"/>
    <w:basedOn w:val="1"/>
    <w:qFormat/>
    <w:uiPriority w:val="0"/>
    <w:pPr>
      <w:spacing w:beforeAutospacing="1" w:afterAutospacing="1"/>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18112</Words>
  <Characters>19286</Characters>
  <TotalTime>12</TotalTime>
  <ScaleCrop>false</ScaleCrop>
  <LinksUpToDate>false</LinksUpToDate>
  <CharactersWithSpaces>19654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2025-04-27T06:50:00Z</dcterms:created>
  <dc:creator>小顾2</dc:creator>
  <cp:lastModifiedBy>培培</cp:lastModifiedBy>
  <cp:lastPrinted>2025-08-07T03:34:00Z</cp:lastPrinted>
  <dcterms:modified xsi:type="dcterms:W3CDTF">2026-10-09T02:38:25Z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89E5744B35BD468DB2AEC4D7772FBA87_13</vt:lpwstr>
  </property>
  <property fmtid="{D5CDD505-2E9C-101B-9397-08002B2CF9AE}" pid="4" name="KSOTemplateDocerSaveRecord">
    <vt:lpwstr>eyJoZGlkIjoiMzEwNTM5NzYwMDRjMzkwZTVkZjY2ODkwMGIxNGU0OTUiLCJ1c2VySWQiOiIyNTM4ODk0NzUifQ==</vt:lpwstr>
  </property>
</Properties>
</file>