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jc w:val="center"/>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60"/>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0"/>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0"/>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0"/>
        <w:spacing w:before="120" w:beforeAutospacing="0" w:after="120" w:afterAutospacing="0" w:line="360" w:lineRule="auto"/>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0"/>
        <w:spacing w:before="120" w:beforeAutospacing="0" w:after="120" w:afterAutospacing="0" w:line="360" w:lineRule="auto"/>
        <w:rPr>
          <w:rFonts w:ascii="宋体" w:hAnsi="宋体" w:eastAsia="宋体" w:cs="宋体"/>
          <w:color w:val="auto"/>
          <w:sz w:val="30"/>
          <w:szCs w:val="30"/>
          <w:highlight w:val="none"/>
        </w:rPr>
      </w:pPr>
      <w:r>
        <w:rPr>
          <w:rFonts w:hint="eastAsia" w:ascii="宋体" w:hAnsi="宋体" w:eastAsia="宋体" w:cs="宋体"/>
          <w:b/>
          <w:color w:val="auto"/>
          <w:sz w:val="30"/>
          <w:szCs w:val="30"/>
          <w:highlight w:val="none"/>
        </w:rPr>
        <w:t xml:space="preserve">项目名称：盐城市住房和城乡建设局排涝设备采购项目（三次）</w:t>
      </w:r>
      <w:r/>
    </w:p>
    <w:p>
      <w:pPr>
        <w:pStyle w:val="760"/>
        <w:jc w:val="both"/>
        <w:spacing w:before="120" w:beforeAutospacing="0" w:after="120" w:afterAutospacing="0"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z w:val="30"/>
          <w:szCs w:val="30"/>
          <w:highlight w:val="none"/>
        </w:rPr>
        <w:t xml:space="preserve">项目编号：</w:t>
      </w:r>
      <w:bookmarkStart w:id="391" w:name="_GoBack"/>
      <w:r/>
      <w:bookmarkEnd w:id="391"/>
      <w:r>
        <w:rPr>
          <w:rFonts w:hint="eastAsia" w:ascii="宋体" w:hAnsi="宋体" w:eastAsia="宋体" w:cs="宋体"/>
          <w:b/>
          <w:color w:val="auto"/>
          <w:sz w:val="30"/>
          <w:szCs w:val="30"/>
          <w:highlight w:val="none"/>
          <w:lang w:eastAsia="zh-CN"/>
        </w:rPr>
        <w:t xml:space="preserve">JSZC-320900-JSYF-G2026-0012</w:t>
      </w:r>
      <w:r/>
    </w:p>
    <w:p>
      <w:pPr>
        <w:pStyle w:val="7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spacing w:beforeAutospacing="0" w:afterAutospacing="0" w:line="360" w:lineRule="auto"/>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line="360" w:lineRule="auto"/>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line="360" w:lineRule="auto"/>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line="360" w:lineRule="auto"/>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before="120" w:after="12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盐城市住房和城乡建设局</w:t>
      </w:r>
      <w:r/>
    </w:p>
    <w:p>
      <w:pPr>
        <w:jc w:val="center"/>
        <w:spacing w:before="120" w:after="12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2026年5月</w:t>
      </w:r>
      <w:r/>
    </w:p>
    <w:p>
      <w:pPr>
        <w:pStyle w:val="760"/>
        <w:jc w:val="center"/>
        <w:spacing w:before="120" w:beforeAutospacing="0" w:after="120" w:afterAutospacing="0" w:line="360" w:lineRule="auto"/>
        <w:rPr>
          <w:rFonts w:ascii="宋体" w:hAnsi="宋体" w:eastAsia="宋体" w:cs="宋体"/>
          <w:color w:val="auto"/>
          <w:highlight w:val="none"/>
        </w:rPr>
      </w:pPr>
      <w:r>
        <w:rPr>
          <w:rFonts w:ascii="宋体" w:hAnsi="宋体" w:eastAsia="宋体" w:cs="宋体"/>
          <w:color w:val="auto"/>
          <w:highlight w:val="none"/>
        </w:rPr>
      </w:r>
      <w:r/>
    </w:p>
    <w:p>
      <w:pPr>
        <w:pStyle w:val="760"/>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120" w:beforeAutospacing="0" w:after="120" w:afterAutospacing="0" w:line="360" w:lineRule="auto"/>
        <w:rPr>
          <w:rFonts w:ascii="宋体" w:hAnsi="宋体" w:eastAsia="宋体" w:cs="宋体"/>
          <w:b/>
          <w:color w:val="auto"/>
          <w:highlight w:val="none"/>
        </w:rPr>
      </w:pPr>
      <w:r>
        <w:rPr>
          <w:rFonts w:hint="eastAsia" w:ascii="宋体" w:hAnsi="宋体" w:eastAsia="宋体" w:cs="宋体"/>
          <w:color w:val="auto"/>
          <w:highlight w:val="none"/>
        </w:rPr>
        <w:t xml:space="preserve"> </w:t>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760"/>
        <w:jc w:val="both"/>
        <w:spacing w:beforeAutospacing="0" w:afterAutospacing="0" w:line="480" w:lineRule="auto"/>
        <w:rPr>
          <w:rFonts w:ascii="宋体" w:hAnsi="宋体" w:eastAsia="宋体" w:cs="宋体"/>
          <w:b/>
          <w:color w:val="auto"/>
          <w:highlight w:val="none"/>
        </w:rPr>
      </w:pPr>
      <w:r>
        <w:rPr>
          <w:rFonts w:hint="eastAsia" w:ascii="宋体" w:hAnsi="宋体" w:eastAsia="宋体" w:cs="宋体"/>
          <w:b/>
          <w:color w:val="auto"/>
          <w:highlight w:val="none"/>
        </w:rPr>
        <w:t xml:space="preserve"> </w:t>
      </w:r>
      <w:r/>
    </w:p>
    <w:p>
      <w:pPr>
        <w:pStyle w:val="760"/>
        <w:jc w:val="both"/>
        <w:spacing w:beforeAutospacing="0" w:afterAutospacing="0" w:line="480" w:lineRule="auto"/>
        <w:tabs>
          <w:tab w:val="left" w:pos="1441" w:leader="none"/>
        </w:tabs>
        <w:rPr>
          <w:rFonts w:ascii="宋体" w:hAnsi="宋体" w:eastAsia="宋体" w:cs="宋体"/>
          <w:b/>
          <w:color w:val="auto"/>
          <w:highlight w:val="none"/>
        </w:rPr>
      </w:pPr>
      <w:r>
        <w:rPr>
          <w:rFonts w:hint="eastAsia" w:ascii="宋体" w:hAnsi="宋体" w:eastAsia="宋体" w:cs="宋体"/>
          <w:b/>
          <w:color w:val="auto"/>
          <w:sz w:val="36"/>
          <w:szCs w:val="36"/>
          <w:highlight w:val="none"/>
        </w:rPr>
        <w:t xml:space="preserve">第一章  招标公告………………………………3</w:t>
      </w:r>
      <w:r/>
    </w:p>
    <w:p>
      <w:pPr>
        <w:pStyle w:val="760"/>
        <w:jc w:val="both"/>
        <w:spacing w:beforeAutospacing="0" w:afterAutospacing="0" w:line="480" w:lineRule="auto"/>
        <w:tabs>
          <w:tab w:val="left" w:pos="1441" w:leader="none"/>
        </w:tabs>
        <w:rPr>
          <w:rFonts w:ascii="宋体" w:hAnsi="宋体" w:eastAsia="宋体" w:cs="宋体"/>
          <w:b/>
          <w:color w:val="auto"/>
          <w:highlight w:val="none"/>
        </w:rPr>
      </w:pPr>
      <w:r>
        <w:rPr>
          <w:rFonts w:hint="eastAsia" w:ascii="宋体" w:hAnsi="宋体" w:eastAsia="宋体" w:cs="宋体"/>
          <w:b/>
          <w:color w:val="auto"/>
          <w:sz w:val="36"/>
          <w:szCs w:val="36"/>
          <w:highlight w:val="none"/>
        </w:rPr>
        <w:t xml:space="preserve">第二章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投标人须知……………………………7  </w:t>
      </w:r>
      <w:r/>
    </w:p>
    <w:p>
      <w:pPr>
        <w:pStyle w:val="760"/>
        <w:jc w:val="both"/>
        <w:spacing w:beforeAutospacing="0" w:afterAutospacing="0" w:line="480" w:lineRule="auto"/>
        <w:tabs>
          <w:tab w:val="left" w:pos="1441" w:leader="none"/>
        </w:tabs>
        <w:rPr>
          <w:rFonts w:ascii="宋体" w:hAnsi="宋体" w:eastAsia="宋体" w:cs="宋体"/>
          <w:b/>
          <w:color w:val="auto"/>
          <w:highlight w:val="none"/>
        </w:rPr>
      </w:pPr>
      <w:r>
        <w:rPr>
          <w:rFonts w:hint="eastAsia" w:ascii="宋体" w:hAnsi="宋体" w:eastAsia="宋体" w:cs="宋体"/>
          <w:b/>
          <w:color w:val="auto"/>
          <w:sz w:val="36"/>
          <w:szCs w:val="36"/>
          <w:highlight w:val="none"/>
        </w:rPr>
        <w:t xml:space="preserve">第三章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合同条款………………………………23</w:t>
      </w:r>
      <w:r/>
    </w:p>
    <w:p>
      <w:pPr>
        <w:pStyle w:val="760"/>
        <w:jc w:val="both"/>
        <w:spacing w:beforeAutospacing="0" w:afterAutospacing="0" w:line="480" w:lineRule="auto"/>
        <w:tabs>
          <w:tab w:val="left" w:pos="1441" w:leader="none"/>
        </w:tabs>
        <w:rPr>
          <w:rFonts w:ascii="宋体" w:hAnsi="宋体" w:eastAsia="宋体" w:cs="宋体"/>
          <w:b/>
          <w:color w:val="auto"/>
          <w:highlight w:val="none"/>
        </w:rPr>
      </w:pPr>
      <w:r>
        <w:rPr>
          <w:rFonts w:hint="eastAsia" w:ascii="宋体" w:hAnsi="宋体" w:eastAsia="宋体" w:cs="宋体"/>
          <w:b/>
          <w:color w:val="auto"/>
          <w:sz w:val="36"/>
          <w:szCs w:val="36"/>
          <w:highlight w:val="none"/>
        </w:rPr>
        <w:t xml:space="preserve">第四章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采购需求………………………………51</w:t>
      </w:r>
      <w:r/>
    </w:p>
    <w:p>
      <w:pPr>
        <w:pStyle w:val="760"/>
        <w:jc w:val="both"/>
        <w:spacing w:beforeAutospacing="0" w:afterAutospacing="0" w:line="480" w:lineRule="auto"/>
        <w:tabs>
          <w:tab w:val="left" w:pos="1441" w:leader="none"/>
        </w:tabs>
        <w:rPr>
          <w:rFonts w:ascii="宋体" w:hAnsi="宋体" w:eastAsia="宋体" w:cs="宋体"/>
          <w:b/>
          <w:color w:val="auto"/>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评标方法与评标标准…………………73</w:t>
      </w:r>
      <w:r/>
    </w:p>
    <w:p>
      <w:pPr>
        <w:pStyle w:val="760"/>
        <w:jc w:val="both"/>
        <w:spacing w:beforeAutospacing="0" w:afterAutospacing="0" w:line="480" w:lineRule="auto"/>
        <w:tabs>
          <w:tab w:val="left" w:pos="1441" w:leader="none"/>
        </w:tabs>
        <w:rPr>
          <w:rFonts w:ascii="宋体" w:hAnsi="宋体" w:eastAsia="宋体" w:cs="宋体"/>
          <w:b/>
          <w:color w:val="auto"/>
          <w:highlight w:val="none"/>
        </w:rPr>
      </w:pPr>
      <w:r>
        <w:rPr>
          <w:rFonts w:hint="eastAsia" w:ascii="宋体" w:hAnsi="宋体" w:eastAsia="宋体" w:cs="宋体"/>
          <w:b/>
          <w:color w:val="auto"/>
          <w:sz w:val="36"/>
          <w:szCs w:val="36"/>
          <w:highlight w:val="none"/>
        </w:rPr>
        <w:t xml:space="preserve">第六章</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投标文件格式…………………………79</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rPr>
          <w:rFonts w:ascii="宋体" w:hAnsi="宋体" w:eastAsia="宋体" w:cs="宋体"/>
          <w:b/>
          <w:bCs/>
          <w:color w:val="auto"/>
          <w:highlight w:val="none"/>
        </w:rPr>
      </w:pPr>
      <w:r/>
      <w:bookmarkStart w:id="6" w:name="_Toc28359086"/>
      <w:r>
        <w:rPr>
          <w:rFonts w:hint="eastAsia" w:ascii="宋体" w:hAnsi="宋体" w:eastAsia="宋体" w:cs="宋体"/>
          <w:b/>
          <w:bCs/>
          <w:color w:val="auto"/>
          <w:sz w:val="44"/>
          <w:szCs w:val="44"/>
          <w:highlight w:val="none"/>
        </w:rPr>
        <w:t xml:space="preserve">第一章 招标公告</w:t>
      </w:r>
      <w:r/>
    </w:p>
    <w:p>
      <w:pPr>
        <w:pStyle w:val="760"/>
        <w:ind w:firstLine="482"/>
        <w:jc w:val="both"/>
        <w:spacing w:beforeAutospacing="0" w:afterAutospacing="0" w:line="50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60"/>
        <w:ind w:firstLine="482"/>
        <w:jc w:val="both"/>
        <w:spacing w:beforeAutospacing="0" w:afterAutospacing="0" w:line="500" w:lineRule="exact"/>
        <w:rPr>
          <w:rFonts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rPr>
        <w:t xml:space="preserve">盐城市住房和城乡建设局排涝设备采购项目（三次）</w:t>
      </w:r>
      <w:r>
        <w:rPr>
          <w:rFonts w:hint="eastAsia" w:ascii="宋体" w:hAnsi="宋体" w:eastAsia="宋体" w:cs="宋体"/>
          <w:color w:val="auto"/>
          <w:highlight w:val="none"/>
          <w:u w:val="single"/>
          <w:lang w:eastAsia="zh-CN"/>
        </w:rPr>
        <w:t xml:space="preserve">JSZC-320900-JSYF-G2026-0012</w:t>
      </w:r>
      <w:r>
        <w:rPr>
          <w:rFonts w:hint="eastAsia" w:ascii="宋体" w:hAnsi="宋体" w:eastAsia="宋体" w:cs="宋体"/>
          <w:color w:val="auto"/>
          <w:highlight w:val="none"/>
        </w:rPr>
        <w:t xml:space="preserve">招标项目的潜在投标人可在</w:t>
      </w:r>
      <w:r>
        <w:rPr>
          <w:rFonts w:hint="eastAsia" w:ascii="宋体" w:hAnsi="宋体" w:eastAsia="宋体" w:cs="宋体"/>
          <w:color w:val="auto"/>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highlight w:val="none"/>
        </w:rPr>
        <w:t xml:space="preserve">，并于</w:t>
      </w:r>
      <w:r>
        <w:rPr>
          <w:rFonts w:hint="eastAsia" w:ascii="宋体" w:hAnsi="宋体" w:eastAsia="宋体" w:cs="宋体"/>
          <w:color w:val="auto"/>
          <w:highlight w:val="none"/>
          <w:u w:val="single"/>
        </w:rPr>
        <w:t xml:space="preserve">2026年</w:t>
      </w:r>
      <w:r>
        <w:rPr>
          <w:rFonts w:hint="eastAsia" w:ascii="宋体" w:hAnsi="宋体" w:eastAsia="宋体" w:cs="宋体"/>
          <w:color w:val="auto"/>
          <w:highlight w:val="none"/>
          <w:u w:val="single"/>
          <w:lang w:val="en-US" w:eastAsia="zh-CN"/>
        </w:rPr>
        <w:t xml:space="preserve">6</w:t>
      </w:r>
      <w:r>
        <w:rPr>
          <w:rFonts w:hint="eastAsia" w:ascii="宋体" w:hAnsi="宋体" w:eastAsia="宋体" w:cs="宋体"/>
          <w:color w:val="auto"/>
          <w:highlight w:val="none"/>
          <w:u w:val="single"/>
        </w:rPr>
        <w:t xml:space="preserve">月</w:t>
      </w:r>
      <w:r>
        <w:rPr>
          <w:rFonts w:hint="eastAsia" w:ascii="宋体" w:hAnsi="宋体" w:eastAsia="宋体" w:cs="宋体"/>
          <w:color w:val="auto"/>
          <w:highlight w:val="none"/>
          <w:u w:val="single"/>
          <w:lang w:val="en-US" w:eastAsia="zh-CN"/>
        </w:rPr>
        <w:t xml:space="preserve">1</w:t>
      </w:r>
      <w:r>
        <w:rPr>
          <w:rFonts w:hint="eastAsia" w:ascii="宋体" w:hAnsi="宋体" w:eastAsia="宋体" w:cs="宋体"/>
          <w:color w:val="auto"/>
          <w:highlight w:val="none"/>
          <w:u w:val="single"/>
        </w:rPr>
        <w:t xml:space="preserve">日9点00分（</w:t>
      </w:r>
      <w:r>
        <w:rPr>
          <w:rFonts w:hint="eastAsia" w:ascii="宋体" w:hAnsi="宋体" w:eastAsia="宋体" w:cs="宋体"/>
          <w:color w:val="auto"/>
          <w:highlight w:val="none"/>
        </w:rPr>
        <w:t xml:space="preserve">北京时间）前递交投标文件。</w:t>
      </w:r>
      <w:r/>
    </w:p>
    <w:p>
      <w:pPr>
        <w:pStyle w:val="760"/>
        <w:ind w:firstLine="498"/>
        <w:jc w:val="both"/>
        <w:keepLines/>
        <w:keepNext/>
        <w:spacing w:beforeAutospacing="0" w:afterAutospacing="0" w:line="460" w:lineRule="exact"/>
        <w:rPr>
          <w:rFonts w:ascii="宋体" w:hAnsi="宋体" w:eastAsia="宋体" w:cs="宋体"/>
          <w:color w:val="auto"/>
          <w:highlight w:val="none"/>
        </w:rPr>
      </w:pPr>
      <w:r/>
      <w:bookmarkStart w:id="7" w:name="_Toc28359079"/>
      <w:r/>
      <w:bookmarkStart w:id="8" w:name="_Toc38985263"/>
      <w:r/>
      <w:bookmarkStart w:id="9" w:name="_Toc28359002"/>
      <w:r/>
      <w:bookmarkStart w:id="10" w:name="_Toc35393621"/>
      <w:r/>
      <w:bookmarkStart w:id="11" w:name="_Toc35393790"/>
      <w:r/>
      <w:bookmarkStart w:id="12" w:name="_Hlk24379207"/>
      <w:r>
        <w:rPr>
          <w:rFonts w:hint="eastAsia" w:ascii="宋体" w:hAnsi="宋体" w:eastAsia="宋体" w:cs="宋体"/>
          <w:b/>
          <w:color w:val="auto"/>
          <w:highlight w:val="none"/>
        </w:rPr>
        <w:t xml:space="preserve">一、项目基本情况</w:t>
      </w:r>
      <w:bookmarkEnd w:id="7"/>
      <w:r/>
      <w:bookmarkEnd w:id="8"/>
      <w:r/>
      <w:bookmarkEnd w:id="9"/>
      <w:r/>
      <w:bookmarkEnd w:id="10"/>
      <w:r/>
      <w:bookmarkEnd w:id="11"/>
      <w:r/>
      <w:bookmarkEnd w:id="12"/>
      <w:r/>
      <w:r/>
    </w:p>
    <w:p>
      <w:pPr>
        <w:pStyle w:val="760"/>
        <w:ind w:firstLine="480"/>
        <w:jc w:val="both"/>
        <w:spacing w:beforeAutospacing="0" w:afterAutospacing="0" w:line="460" w:lineRule="exact"/>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 xml:space="preserve">1.项目编号：</w:t>
      </w:r>
      <w:r>
        <w:rPr>
          <w:rFonts w:hint="eastAsia" w:ascii="宋体" w:hAnsi="宋体" w:eastAsia="宋体" w:cs="宋体"/>
          <w:color w:val="auto"/>
          <w:highlight w:val="none"/>
          <w:shd w:val="clear" w:color="auto" w:fill="ffffff"/>
          <w:lang w:eastAsia="zh-CN"/>
        </w:rPr>
        <w:t xml:space="preserve">JSZC-320900-JSYF-G2026-0012</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2.项目名称：盐城市住房和城乡建设局排涝设备采购项目（三次）</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3.采购方式：公开招标</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4.预算金额：1550万元</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5.最高限价：</w:t>
      </w:r>
      <w:r>
        <w:rPr>
          <w:rFonts w:hint="eastAsia" w:ascii="宋体" w:hAnsi="宋体" w:eastAsia="宋体" w:cs="宋体"/>
          <w:color w:val="auto"/>
          <w:highlight w:val="none"/>
        </w:rPr>
        <w:t xml:space="preserve">1400万元</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6.采购需求（简介）：盐城市住房和城乡建设局防汛应急排涝泵车、联合疏通车、拖拽式移动自吸泵，主要为</w:t>
      </w:r>
      <w:bookmarkStart w:id="13" w:name="OLE_LINK8"/>
      <w:r/>
      <w:bookmarkStart w:id="14" w:name="OLE_LINK7"/>
      <w:r>
        <w:rPr>
          <w:rFonts w:hint="eastAsia" w:ascii="宋体" w:hAnsi="宋体" w:eastAsia="宋体" w:cs="宋体"/>
          <w:color w:val="auto"/>
          <w:highlight w:val="none"/>
        </w:rPr>
        <w:t xml:space="preserve">1辆</w:t>
      </w:r>
      <w:bookmarkStart w:id="15" w:name="OLE_LINK23"/>
      <w:r/>
      <w:bookmarkStart w:id="16" w:name="OLE_LINK24"/>
      <w:r>
        <w:rPr>
          <w:rFonts w:hint="eastAsia" w:ascii="宋体" w:hAnsi="宋体" w:eastAsia="宋体" w:cs="宋体"/>
          <w:color w:val="auto"/>
          <w:highlight w:val="none"/>
        </w:rPr>
        <w:t xml:space="preserve">排涝泵车</w:t>
      </w:r>
      <w:bookmarkEnd w:id="15"/>
      <w:r/>
      <w:bookmarkEnd w:id="16"/>
      <w:r>
        <w:rPr>
          <w:rFonts w:hint="eastAsia" w:ascii="宋体" w:hAnsi="宋体" w:eastAsia="宋体" w:cs="宋体"/>
          <w:color w:val="auto"/>
          <w:highlight w:val="none"/>
        </w:rPr>
        <w:t xml:space="preserve">（≥1000m³/h）</w:t>
      </w:r>
      <w:bookmarkEnd w:id="13"/>
      <w:r/>
      <w:bookmarkEnd w:id="14"/>
      <w:r>
        <w:rPr>
          <w:rFonts w:hint="eastAsia" w:ascii="宋体" w:hAnsi="宋体" w:eastAsia="宋体" w:cs="宋体"/>
          <w:color w:val="auto"/>
          <w:highlight w:val="none"/>
        </w:rPr>
        <w:t xml:space="preserve">、2辆排涝泵车（子母式、≥2000m³/h）、2辆排涝泵车（≥3000m³/h）、3辆</w:t>
      </w:r>
      <w:bookmarkStart w:id="17" w:name="OLE_LINK61"/>
      <w:r/>
      <w:bookmarkStart w:id="18" w:name="OLE_LINK60"/>
      <w:r>
        <w:rPr>
          <w:rFonts w:hint="eastAsia" w:ascii="宋体" w:hAnsi="宋体" w:eastAsia="宋体" w:cs="宋体"/>
          <w:color w:val="auto"/>
          <w:highlight w:val="none"/>
        </w:rPr>
        <w:t xml:space="preserve">联合疏通车（含清洗吸污、18吨）</w:t>
      </w:r>
      <w:bookmarkEnd w:id="17"/>
      <w:r/>
      <w:bookmarkEnd w:id="18"/>
      <w:r>
        <w:rPr>
          <w:rFonts w:hint="eastAsia" w:ascii="宋体" w:hAnsi="宋体" w:eastAsia="宋体" w:cs="宋体"/>
          <w:color w:val="auto"/>
          <w:highlight w:val="none"/>
        </w:rPr>
        <w:t xml:space="preserve">、15台</w:t>
      </w:r>
      <w:bookmarkStart w:id="19" w:name="OLE_LINK18"/>
      <w:r/>
      <w:bookmarkStart w:id="20" w:name="OLE_LINK10"/>
      <w:r/>
      <w:bookmarkStart w:id="21" w:name="OLE_LINK55"/>
      <w:r>
        <w:rPr>
          <w:rFonts w:hint="eastAsia" w:ascii="宋体" w:hAnsi="宋体" w:eastAsia="宋体" w:cs="宋体"/>
          <w:color w:val="auto"/>
          <w:highlight w:val="none"/>
        </w:rPr>
        <w:t xml:space="preserve">拖拽式移动</w:t>
      </w:r>
      <w:bookmarkEnd w:id="19"/>
      <w:r/>
      <w:bookmarkEnd w:id="20"/>
      <w:r>
        <w:rPr>
          <w:rFonts w:hint="eastAsia" w:ascii="宋体" w:hAnsi="宋体" w:eastAsia="宋体" w:cs="宋体"/>
          <w:color w:val="auto"/>
          <w:highlight w:val="none"/>
        </w:rPr>
        <w:t xml:space="preserve">自吸泵（≥360m³/h）</w:t>
      </w:r>
      <w:bookmarkEnd w:id="21"/>
      <w:r>
        <w:rPr>
          <w:rFonts w:hint="eastAsia" w:ascii="宋体" w:hAnsi="宋体" w:eastAsia="宋体" w:cs="宋体"/>
          <w:color w:val="auto"/>
          <w:highlight w:val="none"/>
        </w:rPr>
        <w:t xml:space="preserve">、10台</w:t>
      </w:r>
      <w:bookmarkStart w:id="22" w:name="OLE_LINK59"/>
      <w:r>
        <w:rPr>
          <w:rFonts w:hint="eastAsia" w:ascii="宋体" w:hAnsi="宋体" w:eastAsia="宋体" w:cs="宋体"/>
          <w:color w:val="auto"/>
          <w:highlight w:val="none"/>
        </w:rPr>
        <w:t xml:space="preserve">拖拽式移动自吸泵（≥550m³/h）</w:t>
      </w:r>
      <w:bookmarkEnd w:id="22"/>
      <w:r>
        <w:rPr>
          <w:rFonts w:hint="eastAsia" w:ascii="宋体" w:hAnsi="宋体" w:eastAsia="宋体" w:cs="宋体"/>
          <w:color w:val="auto"/>
          <w:highlight w:val="none"/>
        </w:rPr>
        <w:t xml:space="preserve">的采购、安装、调试服务等。（详细内容见本招标文件第四章）</w:t>
      </w:r>
      <w:r/>
    </w:p>
    <w:p>
      <w:pPr>
        <w:ind w:firstLine="480"/>
        <w:spacing w:line="460" w:lineRule="exact"/>
        <w:widowControl/>
        <w:tabs>
          <w:tab w:val="left" w:pos="426" w:leader="none"/>
        </w:tabs>
        <w:rPr>
          <w:rFonts w:ascii="宋体" w:hAnsi="宋体" w:eastAsia="宋体" w:cs="宋体"/>
          <w:color w:val="auto"/>
          <w:sz w:val="24"/>
          <w:szCs w:val="20"/>
          <w:highlight w:val="none"/>
        </w:rPr>
      </w:pPr>
      <w:r/>
      <w:bookmarkStart w:id="23" w:name="_Toc38985264"/>
      <w:r/>
      <w:bookmarkStart w:id="24" w:name="_Toc28359080"/>
      <w:r/>
      <w:bookmarkStart w:id="25" w:name="_Toc28359003"/>
      <w:r/>
      <w:bookmarkStart w:id="26" w:name="_Toc35393622"/>
      <w:r/>
      <w:bookmarkStart w:id="27" w:name="_Toc35393791"/>
      <w:r>
        <w:rPr>
          <w:rFonts w:hint="eastAsia" w:ascii="宋体" w:hAnsi="宋体" w:eastAsia="宋体" w:cs="宋体"/>
          <w:color w:val="auto"/>
          <w:sz w:val="24"/>
          <w:szCs w:val="20"/>
          <w:highlight w:val="none"/>
        </w:rPr>
        <w:t xml:space="preserve">7.质量要求：符合相关国家标准、行业标准及招标文件的要求，质保期不少于三年。</w:t>
      </w:r>
      <w:r/>
    </w:p>
    <w:p>
      <w:pPr>
        <w:ind w:firstLine="48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8.合同履行期限：</w:t>
      </w:r>
      <w:bookmarkStart w:id="28" w:name="OLE_LINK62"/>
      <w:r/>
      <w:bookmarkStart w:id="29" w:name="OLE_LINK41"/>
      <w:r/>
      <w:bookmarkStart w:id="30" w:name="OLE_LINK40"/>
      <w:r>
        <w:rPr>
          <w:rFonts w:hint="eastAsia" w:ascii="宋体" w:hAnsi="宋体" w:eastAsia="宋体" w:cs="宋体"/>
          <w:color w:val="auto"/>
          <w:sz w:val="24"/>
          <w:szCs w:val="20"/>
          <w:highlight w:val="none"/>
        </w:rPr>
        <w:t xml:space="preserve">合同签定后30日历天内供货、安装、调试完毕并交付采购人正常运行使用。</w:t>
      </w:r>
      <w:bookmarkEnd w:id="28"/>
      <w:r/>
      <w:bookmarkEnd w:id="29"/>
      <w:r/>
      <w:bookmarkEnd w:id="30"/>
      <w:r/>
      <w:r/>
    </w:p>
    <w:p>
      <w:pPr>
        <w:pStyle w:val="760"/>
        <w:ind w:firstLine="498"/>
        <w:jc w:val="both"/>
        <w:keepLines/>
        <w:keepNext/>
        <w:spacing w:beforeAutospacing="0" w:afterAutospacing="0" w:line="460" w:lineRule="exact"/>
        <w:rPr>
          <w:rFonts w:ascii="宋体" w:hAnsi="宋体" w:eastAsia="宋体" w:cs="宋体"/>
          <w:color w:val="auto"/>
          <w:szCs w:val="20"/>
          <w:highlight w:val="none"/>
        </w:rPr>
      </w:pPr>
      <w:r>
        <w:rPr>
          <w:rFonts w:hint="eastAsia" w:ascii="宋体" w:hAnsi="宋体" w:eastAsia="宋体" w:cs="宋体"/>
          <w:color w:val="auto"/>
          <w:szCs w:val="20"/>
          <w:highlight w:val="none"/>
        </w:rPr>
        <w:t xml:space="preserve">9.本项目（是/否）接受联合体投标：否。</w:t>
      </w:r>
      <w:r/>
    </w:p>
    <w:p>
      <w:pPr>
        <w:pStyle w:val="760"/>
        <w:ind w:firstLine="498"/>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b/>
          <w:color w:val="auto"/>
          <w:highlight w:val="none"/>
        </w:rPr>
        <w:t xml:space="preserve">二、申请人的资格要求：</w:t>
      </w:r>
      <w:bookmarkEnd w:id="23"/>
      <w:r/>
      <w:bookmarkEnd w:id="24"/>
      <w:r/>
      <w:bookmarkEnd w:id="25"/>
      <w:r/>
      <w:bookmarkEnd w:id="26"/>
      <w:r/>
      <w:bookmarkEnd w:id="27"/>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1.2上一年度的财务状况报表（2025年财务状况表未出的，可使用2024年度报表，成立不满一年无需提供）；</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1.3具备履行合同所必需的设备和专业技术能力的书面声明；</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1.5参加政府采购活动前3年内在经营活动中没有重大违法记录的书面声明。</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1.6法律、行政法规规定的其他条件。</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1.8单位负责人为同一人或者存在直接控股、管理关系的不同供应商，不得参加同一合同项下的政府采购活动。</w:t>
      </w:r>
      <w:r/>
    </w:p>
    <w:p>
      <w:pPr>
        <w:ind w:firstLine="480"/>
        <w:spacing w:line="460" w:lineRule="exact"/>
        <w:widowControl/>
        <w:rPr>
          <w:rFonts w:ascii="宋体" w:hAnsi="宋体" w:eastAsia="宋体" w:cs="宋体"/>
          <w:b/>
          <w:color w:val="auto"/>
          <w:highlight w:val="none"/>
        </w:rPr>
      </w:pPr>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b/>
          <w:color w:val="auto"/>
          <w:highlight w:val="none"/>
        </w:rPr>
        <w:t xml:space="preserve">本项目专门面向中小企业采购。采购标的的所属行业为工业，投标人需按照招标文件的要求提供相应的《中小企业声明函》。企业标准请参照《关于印发中小企业划型标准规定的通知》（工信部联企业[2011]300号）文件规定自行填写。</w:t>
      </w:r>
      <w:r/>
    </w:p>
    <w:p>
      <w:pPr>
        <w:pStyle w:val="760"/>
        <w:ind w:firstLine="480"/>
        <w:jc w:val="both"/>
        <w:spacing w:beforeAutospacing="0" w:afterAutospacing="0" w:line="4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3.本项目的特定资格要求：无。</w:t>
      </w:r>
      <w:r/>
    </w:p>
    <w:p>
      <w:pPr>
        <w:pStyle w:val="760"/>
        <w:ind w:firstLine="498"/>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b/>
          <w:color w:val="auto"/>
          <w:highlight w:val="none"/>
        </w:rPr>
        <w:t xml:space="preserve">三、获取招标文件</w:t>
      </w:r>
      <w:r/>
    </w:p>
    <w:p>
      <w:pPr>
        <w:pStyle w:val="760"/>
        <w:ind w:firstLine="540"/>
        <w:jc w:val="both"/>
        <w:spacing w:beforeAutospacing="0" w:afterAutospacing="0" w:line="460" w:lineRule="exact"/>
        <w:widowControl/>
        <w:rPr>
          <w:rFonts w:ascii="宋体" w:hAnsi="宋体" w:eastAsia="宋体" w:cs="宋体"/>
          <w:color w:val="auto"/>
          <w:highlight w:val="none"/>
        </w:rPr>
      </w:pPr>
      <w:r/>
      <w:bookmarkStart w:id="31" w:name="_Toc35393793"/>
      <w:r/>
      <w:bookmarkStart w:id="32" w:name="_Toc28359005"/>
      <w:r/>
      <w:bookmarkStart w:id="33" w:name="_Toc38985266"/>
      <w:r/>
      <w:bookmarkStart w:id="34" w:name="_Toc28359082"/>
      <w:r/>
      <w:bookmarkStart w:id="35" w:name="_Toc35393624"/>
      <w:r>
        <w:rPr>
          <w:rFonts w:hint="eastAsia" w:ascii="宋体" w:hAnsi="宋体" w:eastAsia="宋体" w:cs="宋体"/>
          <w:color w:val="auto"/>
          <w:highlight w:val="none"/>
        </w:rPr>
        <w:t xml:space="preserve">1.时间：</w:t>
      </w:r>
      <w:bookmarkEnd w:id="31"/>
      <w:r/>
      <w:bookmarkEnd w:id="32"/>
      <w:r/>
      <w:bookmarkEnd w:id="33"/>
      <w:r/>
      <w:bookmarkEnd w:id="34"/>
      <w:r/>
      <w:bookmarkEnd w:id="35"/>
      <w:r>
        <w:rPr>
          <w:rFonts w:hint="eastAsia" w:ascii="宋体" w:hAnsi="宋体" w:eastAsia="宋体" w:cs="宋体"/>
          <w:color w:val="auto"/>
          <w:highlight w:val="none"/>
        </w:rPr>
        <w:t xml:space="preserve">自招标文件公告发布之日起5个工作日</w:t>
      </w:r>
      <w:r/>
    </w:p>
    <w:p>
      <w:pPr>
        <w:pStyle w:val="760"/>
        <w:ind w:firstLine="540"/>
        <w:jc w:val="both"/>
        <w:spacing w:beforeAutospacing="0" w:afterAutospacing="0" w:line="4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2.地点：“苏采云”系统内免费下载（投标人必须在苏采云系统中获取采购文件，方能参与政府采购项目）</w:t>
      </w:r>
      <w:r/>
    </w:p>
    <w:p>
      <w:pPr>
        <w:pStyle w:val="760"/>
        <w:ind w:firstLine="540"/>
        <w:jc w:val="both"/>
        <w:spacing w:beforeAutospacing="0" w:afterAutospacing="0" w:line="4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3.方式：本项目采用网上注册登记方式。</w:t>
      </w:r>
      <w:r/>
    </w:p>
    <w:p>
      <w:pPr>
        <w:pStyle w:val="760"/>
        <w:ind w:firstLine="540"/>
        <w:jc w:val="both"/>
        <w:spacing w:beforeAutospacing="0" w:afterAutospacing="0" w:line="4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4.售价：0元</w:t>
      </w:r>
      <w:r/>
    </w:p>
    <w:p>
      <w:pPr>
        <w:pStyle w:val="760"/>
        <w:ind w:firstLine="498"/>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b/>
          <w:color w:val="auto"/>
          <w:highlight w:val="none"/>
        </w:rPr>
        <w:t xml:space="preserve">四、提交投标文件截止时间、开标时间和地点</w:t>
      </w:r>
      <w:r/>
    </w:p>
    <w:p>
      <w:pPr>
        <w:pStyle w:val="760"/>
        <w:ind w:firstLine="540"/>
        <w:jc w:val="both"/>
        <w:spacing w:beforeAutospacing="0" w:afterAutospacing="0" w:line="4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1.时间：2026年</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日09点00分（北京时间）</w:t>
      </w:r>
      <w:r/>
    </w:p>
    <w:p>
      <w:pPr>
        <w:pStyle w:val="760"/>
        <w:ind w:firstLine="540"/>
        <w:jc w:val="both"/>
        <w:spacing w:beforeAutospacing="0" w:afterAutospacing="0" w:line="460" w:lineRule="exact"/>
        <w:widowControl/>
        <w:rPr>
          <w:rFonts w:ascii="宋体" w:hAnsi="宋体" w:eastAsia="宋体" w:cs="宋体"/>
          <w:color w:val="auto"/>
          <w:highlight w:val="none"/>
        </w:rPr>
      </w:pPr>
      <w:r>
        <w:rPr>
          <w:rFonts w:hint="eastAsia" w:ascii="宋体" w:hAnsi="宋体" w:eastAsia="宋体" w:cs="宋体"/>
          <w:color w:val="auto"/>
          <w:highlight w:val="none"/>
        </w:rPr>
        <w:t xml:space="preserve">2.地点：“苏采云”政府采购交易系统网上开标大厅</w:t>
      </w:r>
      <w:r/>
    </w:p>
    <w:p>
      <w:pPr>
        <w:pStyle w:val="760"/>
        <w:ind w:firstLine="498"/>
        <w:jc w:val="both"/>
        <w:keepLines/>
        <w:keepNext/>
        <w:spacing w:beforeAutospacing="0" w:afterAutospacing="0" w:line="460" w:lineRule="exact"/>
        <w:rPr>
          <w:rFonts w:ascii="宋体" w:hAnsi="宋体" w:eastAsia="宋体" w:cs="宋体"/>
          <w:color w:val="auto"/>
          <w:highlight w:val="none"/>
        </w:rPr>
      </w:pPr>
      <w:r/>
      <w:bookmarkStart w:id="36" w:name="_Toc28359007"/>
      <w:r/>
      <w:bookmarkStart w:id="37" w:name="_Toc35393625"/>
      <w:r/>
      <w:bookmarkStart w:id="38" w:name="_Toc38985267"/>
      <w:r/>
      <w:bookmarkStart w:id="39" w:name="_Toc35393794"/>
      <w:r/>
      <w:bookmarkStart w:id="40" w:name="_Toc28359084"/>
      <w:r>
        <w:rPr>
          <w:rFonts w:hint="eastAsia" w:ascii="宋体" w:hAnsi="宋体" w:eastAsia="宋体" w:cs="宋体"/>
          <w:b/>
          <w:color w:val="auto"/>
          <w:highlight w:val="none"/>
        </w:rPr>
        <w:t xml:space="preserve">五、公告期限</w:t>
      </w:r>
      <w:bookmarkEnd w:id="36"/>
      <w:r/>
      <w:bookmarkEnd w:id="37"/>
      <w:r/>
      <w:bookmarkEnd w:id="38"/>
      <w:r/>
      <w:bookmarkEnd w:id="39"/>
      <w:r/>
      <w:bookmarkEnd w:id="40"/>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bookmarkStart w:id="41" w:name="_Toc35393626"/>
      <w:r/>
      <w:bookmarkStart w:id="42" w:name="_Toc35393795"/>
      <w:r/>
      <w:bookmarkStart w:id="43" w:name="_Toc38985268"/>
      <w:r>
        <w:rPr>
          <w:rFonts w:hint="eastAsia" w:ascii="宋体" w:hAnsi="宋体" w:eastAsia="宋体" w:cs="宋体"/>
          <w:color w:val="auto"/>
          <w:highlight w:val="none"/>
          <w:shd w:val="clear" w:color="auto" w:fill="ffffff"/>
        </w:rPr>
        <w:t xml:space="preserve">自本公告发布之日起5个工作日。</w:t>
      </w:r>
      <w:bookmarkEnd w:id="41"/>
      <w:r/>
      <w:bookmarkEnd w:id="42"/>
      <w:r/>
      <w:bookmarkEnd w:id="43"/>
      <w:r/>
      <w:r/>
    </w:p>
    <w:p>
      <w:pPr>
        <w:pStyle w:val="760"/>
        <w:ind w:firstLine="498"/>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b/>
          <w:color w:val="auto"/>
          <w:highlight w:val="none"/>
        </w:rPr>
        <w:t xml:space="preserve">六、其他补充事宜</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bookmarkStart w:id="44" w:name="_Toc28359018"/>
      <w:r>
        <w:rPr>
          <w:rFonts w:hint="eastAsia" w:ascii="宋体" w:hAnsi="宋体" w:eastAsia="宋体" w:cs="宋体"/>
          <w:color w:val="auto"/>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 潜在供应商访问电子招标响应交易平台的网络地址和方法：</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2.2 潜在投标人访问“苏采云”系统方法：江苏省政府采购网首页-“苏采云”链接。</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2.3 采购文件（后缀名为“.kedt”）、供应商操作手册及政府采购客户端 工具可通过“苏采云”系统相应链接进行下载。</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2.4 采购代理机构将数据电文形式的采购文件加载至“苏采云”系统，供潜在供应商下载或者查阅。</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2.5 请潜在投标单位提前安装相应的控件（详见《“苏采云”系统供应商操作手册》）并使用谷歌浏览器登录“苏采云”系统参与不见面开评标。</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如潜在投标人未按上述要求操作，将自行承担所产生的风险。</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3.有关本次招标的事项若存在变动或修改，敬请及时关注采购代理机构在“中国政府采购网”“江苏政府采购网”“盐城市政府采购网”发布的更正公告。</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4.本次招标不收取投标保证金，不收取质量保证金。</w:t>
      </w:r>
      <w:r/>
    </w:p>
    <w:p>
      <w:pPr>
        <w:pStyle w:val="725"/>
        <w:ind w:firstLine="480"/>
        <w:jc w:val="both"/>
        <w:spacing w:beforeAutospacing="0" w:afterAutospacing="0" w:line="460" w:lineRule="exact"/>
        <w:widowControl/>
        <w:rPr>
          <w:rFonts w:hint="default" w:cs="宋体"/>
          <w:b w:val="0"/>
          <w:bCs w:val="0"/>
          <w:color w:val="auto"/>
          <w:sz w:val="24"/>
          <w:szCs w:val="24"/>
          <w:highlight w:val="none"/>
        </w:rPr>
      </w:pPr>
      <w:r>
        <w:rPr>
          <w:rFonts w:cs="宋体"/>
          <w:b w:val="0"/>
          <w:bCs w:val="0"/>
          <w:color w:val="auto"/>
          <w:sz w:val="24"/>
          <w:szCs w:val="24"/>
          <w:highlight w:val="none"/>
          <w:shd w:val="clear" w:color="auto" w:fill="ffffff"/>
        </w:rPr>
        <w:t xml:space="preserve">七、对本次招标提出询问，请按以下方式联系。</w:t>
      </w:r>
      <w:bookmarkEnd w:id="44"/>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1.采购人信息</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名    称：盐城市住房和城乡建设局</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地    址：盐城市亭湖区解放南路112号（解放路与腾飞路交叉口向西50米小桥南院内）</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 系 人：戴先生</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联系电话：0515-68666829     </w:t>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2.采购代理机构信息</w:t>
      </w:r>
      <w:r/>
    </w:p>
    <w:p>
      <w:pPr>
        <w:ind w:firstLine="480"/>
        <w:spacing w:line="460" w:lineRule="exact"/>
        <w:widowControl/>
        <w:rPr>
          <w:rFonts w:ascii="宋体" w:hAnsi="宋体" w:eastAsia="宋体" w:cs="宋体"/>
          <w:color w:val="auto"/>
          <w:sz w:val="24"/>
          <w:szCs w:val="20"/>
          <w:highlight w:val="none"/>
        </w:rPr>
      </w:pPr>
      <w:r/>
      <w:bookmarkStart w:id="45" w:name="_Toc28359087"/>
      <w:r/>
      <w:bookmarkStart w:id="46" w:name="_Toc28359010"/>
      <w:r>
        <w:rPr>
          <w:rFonts w:hint="eastAsia" w:ascii="宋体" w:hAnsi="宋体" w:eastAsia="宋体" w:cs="宋体"/>
          <w:color w:val="auto"/>
          <w:sz w:val="24"/>
          <w:szCs w:val="20"/>
          <w:highlight w:val="none"/>
        </w:rPr>
        <w:t xml:space="preserve">名    称：江苏昱丰华项目管理有限公司</w:t>
      </w:r>
      <w:r/>
    </w:p>
    <w:p>
      <w:pPr>
        <w:ind w:firstLine="48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    址：盐城市大丰区人民北路西侧、通港大道北侧丰尚商务中心17层</w:t>
      </w:r>
      <w:r/>
    </w:p>
    <w:p>
      <w:pPr>
        <w:ind w:firstLine="48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 系 人：孙女士</w:t>
      </w:r>
      <w:r/>
    </w:p>
    <w:p>
      <w:pPr>
        <w:ind w:firstLine="480"/>
        <w:spacing w:line="460" w:lineRule="exact"/>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szCs w:val="20"/>
          <w:highlight w:val="none"/>
        </w:rPr>
        <w:t xml:space="preserve">联系方式：13222456210</w:t>
      </w:r>
      <w:r>
        <w:rPr>
          <w:rFonts w:hint="eastAsia" w:ascii="宋体" w:hAnsi="宋体" w:eastAsia="宋体" w:cs="宋体"/>
          <w:color w:val="auto"/>
          <w:sz w:val="24"/>
          <w:highlight w:val="none"/>
          <w:shd w:val="clear" w:color="auto" w:fill="ffffff"/>
        </w:rPr>
        <w:t xml:space="preserve">       </w:t>
      </w:r>
      <w:bookmarkEnd w:id="45"/>
      <w:r/>
      <w:bookmarkEnd w:id="46"/>
      <w:r/>
      <w:r/>
    </w:p>
    <w:p>
      <w:pPr>
        <w:pStyle w:val="760"/>
        <w:ind w:firstLine="560"/>
        <w:jc w:val="both"/>
        <w:spacing w:beforeAutospacing="0" w:afterAutospacing="0" w:line="460" w:lineRule="exact"/>
        <w:widowControl/>
        <w:rPr>
          <w:rFonts w:ascii="宋体" w:hAnsi="宋体" w:eastAsia="宋体" w:cs="宋体"/>
          <w:color w:val="auto"/>
          <w:highlight w:val="none"/>
          <w:shd w:val="clear" w:color="auto" w:fill="ffffff"/>
        </w:rPr>
      </w:pPr>
      <w:r/>
      <w:bookmarkStart w:id="47" w:name="_Toc28359021"/>
      <w:r>
        <w:rPr>
          <w:rFonts w:hint="eastAsia" w:ascii="宋体" w:hAnsi="宋体" w:eastAsia="宋体" w:cs="宋体"/>
          <w:color w:val="auto"/>
          <w:highlight w:val="none"/>
          <w:shd w:val="clear" w:color="auto" w:fill="ffffff"/>
        </w:rPr>
        <w:t xml:space="preserve">3.</w:t>
      </w:r>
      <w:bookmarkEnd w:id="47"/>
      <w:r>
        <w:rPr>
          <w:rFonts w:hint="eastAsia" w:ascii="宋体" w:hAnsi="宋体" w:eastAsia="宋体" w:cs="宋体"/>
          <w:color w:val="auto"/>
          <w:highlight w:val="none"/>
          <w:shd w:val="clear" w:color="auto" w:fill="ffffff"/>
        </w:rPr>
        <w:t xml:space="preserve">项目联系方式</w:t>
      </w:r>
      <w:r/>
    </w:p>
    <w:p>
      <w:pPr>
        <w:ind w:firstLine="48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 系 人：戴先生</w:t>
      </w:r>
      <w:r/>
    </w:p>
    <w:p>
      <w:pPr>
        <w:ind w:firstLine="48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联系方式：0515-68666829</w:t>
      </w:r>
      <w:r/>
    </w:p>
    <w:p>
      <w:pPr>
        <w:pStyle w:val="760"/>
        <w:ind w:firstLine="560"/>
        <w:jc w:val="both"/>
        <w:spacing w:beforeAutospacing="0" w:afterAutospacing="0" w:line="500" w:lineRule="exact"/>
        <w:widowControl/>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　　　　　　　　　　　　</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ascii="宋体" w:hAnsi="宋体" w:eastAsia="宋体" w:cs="宋体"/>
          <w:b/>
          <w:color w:val="auto"/>
          <w:sz w:val="24"/>
          <w:highlight w:val="none"/>
        </w:rPr>
      </w:pPr>
      <w:r>
        <w:rPr>
          <w:rFonts w:hint="eastAsia" w:ascii="宋体" w:hAnsi="宋体" w:eastAsia="宋体" w:cs="宋体"/>
          <w:color w:val="auto"/>
          <w:sz w:val="24"/>
          <w:highlight w:val="none"/>
        </w:rPr>
        <w:br w:type="page" w:clear="all"/>
      </w:r>
      <w:bookmarkStart w:id="48" w:name="_Toc120614211"/>
      <w:r/>
      <w:r/>
    </w:p>
    <w:p>
      <w:pPr>
        <w:pStyle w:val="760"/>
        <w:ind w:firstLine="2429"/>
        <w:jc w:val="both"/>
        <w:keepLines/>
        <w:keepNext/>
        <w:spacing w:before="260" w:beforeAutospacing="0" w:after="260" w:afterAutospacing="0" w:line="415" w:lineRule="auto"/>
        <w:rPr>
          <w:rFonts w:ascii="宋体" w:hAnsi="宋体" w:eastAsia="宋体" w:cs="宋体"/>
          <w:color w:val="auto"/>
          <w:sz w:val="44"/>
          <w:szCs w:val="44"/>
          <w:highlight w:val="none"/>
        </w:rPr>
        <w:outlineLvl w:val="0"/>
      </w:pPr>
      <w:r>
        <w:rPr>
          <w:rFonts w:hint="eastAsia" w:ascii="宋体" w:hAnsi="宋体" w:eastAsia="宋体" w:cs="宋体"/>
          <w:b/>
          <w:color w:val="auto"/>
          <w:sz w:val="44"/>
          <w:szCs w:val="44"/>
          <w:highlight w:val="none"/>
        </w:rPr>
        <w:t xml:space="preserve">第二章  </w:t>
      </w:r>
      <w:bookmarkEnd w:id="48"/>
      <w:r/>
      <w:bookmarkStart w:id="49" w:name="_Toc20823274"/>
      <w:r/>
      <w:bookmarkStart w:id="50" w:name="_Toc120614213"/>
      <w:r/>
      <w:bookmarkStart w:id="51" w:name="_Toc513029202"/>
      <w:r/>
      <w:bookmarkStart w:id="52" w:name="_Toc16938518"/>
      <w:r>
        <w:rPr>
          <w:rFonts w:hint="eastAsia" w:ascii="宋体" w:hAnsi="宋体" w:eastAsia="宋体" w:cs="宋体"/>
          <w:b/>
          <w:color w:val="auto"/>
          <w:sz w:val="44"/>
          <w:szCs w:val="44"/>
          <w:highlight w:val="none"/>
        </w:rPr>
        <w:t xml:space="preserve">投标人须知</w:t>
      </w:r>
      <w:bookmarkEnd w:id="49"/>
      <w:r/>
      <w:bookmarkEnd w:id="50"/>
      <w:r/>
      <w:bookmarkEnd w:id="51"/>
      <w:r/>
      <w:bookmarkEnd w:id="52"/>
      <w:r/>
      <w:r/>
    </w:p>
    <w:p>
      <w:pPr>
        <w:pStyle w:val="760"/>
        <w:ind w:firstLine="498"/>
        <w:jc w:val="both"/>
        <w:keepLines/>
        <w:keepNext/>
        <w:spacing w:beforeAutospacing="0" w:afterAutospacing="0" w:line="460" w:lineRule="exact"/>
        <w:rPr>
          <w:rFonts w:ascii="宋体" w:hAnsi="宋体" w:eastAsia="宋体" w:cs="宋体"/>
          <w:color w:val="auto"/>
          <w:highlight w:val="none"/>
        </w:rPr>
      </w:pPr>
      <w:r/>
      <w:bookmarkStart w:id="53" w:name="_Toc513029203"/>
      <w:r/>
      <w:bookmarkStart w:id="54" w:name="_Toc16938519"/>
      <w:r/>
      <w:bookmarkStart w:id="55" w:name="_Toc20823275"/>
      <w:r/>
      <w:bookmarkStart w:id="56" w:name="_Toc120614214"/>
      <w:r>
        <w:rPr>
          <w:rFonts w:hint="eastAsia" w:ascii="宋体" w:hAnsi="宋体" w:eastAsia="宋体" w:cs="宋体"/>
          <w:b/>
          <w:color w:val="auto"/>
          <w:highlight w:val="none"/>
        </w:rPr>
        <w:t xml:space="preserve">一、总则</w:t>
      </w:r>
      <w:bookmarkEnd w:id="53"/>
      <w:r/>
      <w:bookmarkEnd w:id="54"/>
      <w:r/>
      <w:bookmarkEnd w:id="55"/>
      <w:r/>
      <w:bookmarkEnd w:id="56"/>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57" w:name="_Toc20823276"/>
      <w:r/>
      <w:bookmarkStart w:id="58" w:name="_Toc513029204"/>
      <w:r/>
      <w:bookmarkStart w:id="59" w:name="_Toc458694821"/>
      <w:r/>
      <w:bookmarkStart w:id="60" w:name="_Toc16938520"/>
      <w:r/>
      <w:bookmarkStart w:id="61" w:name="_Hlt16619475"/>
      <w:r>
        <w:rPr>
          <w:rFonts w:hint="eastAsia" w:ascii="宋体" w:hAnsi="宋体" w:eastAsia="宋体" w:cs="宋体"/>
          <w:color w:val="auto"/>
          <w:highlight w:val="none"/>
        </w:rPr>
        <w:t xml:space="preserve">1</w:t>
      </w:r>
      <w:bookmarkEnd w:id="57"/>
      <w:r>
        <w:rPr>
          <w:rFonts w:hint="eastAsia" w:ascii="宋体" w:hAnsi="宋体" w:eastAsia="宋体" w:cs="宋体"/>
          <w:color w:val="auto"/>
          <w:highlight w:val="none"/>
        </w:rPr>
        <w:t xml:space="preserve">、招标方式</w:t>
      </w:r>
      <w:bookmarkEnd w:id="58"/>
      <w:r/>
      <w:bookmarkEnd w:id="59"/>
      <w:r/>
      <w:bookmarkEnd w:id="60"/>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62" w:name="_Toc513029205"/>
      <w:r/>
      <w:bookmarkStart w:id="63" w:name="_Toc16938521"/>
      <w:r/>
      <w:bookmarkStart w:id="64" w:name="_Toc20823277"/>
      <w:r>
        <w:rPr>
          <w:rFonts w:hint="eastAsia" w:ascii="宋体" w:hAnsi="宋体" w:eastAsia="宋体" w:cs="宋体"/>
          <w:color w:val="auto"/>
          <w:highlight w:val="none"/>
        </w:rPr>
        <w:t xml:space="preserve">2、合格的投标人</w:t>
      </w:r>
      <w:bookmarkEnd w:id="62"/>
      <w:r/>
      <w:bookmarkEnd w:id="63"/>
      <w:r/>
      <w:bookmarkEnd w:id="64"/>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65" w:name="_Toc513029206"/>
      <w:r/>
      <w:bookmarkStart w:id="66" w:name="_Toc20823278"/>
      <w:r/>
      <w:bookmarkStart w:id="67" w:name="_Toc16938522"/>
      <w:r>
        <w:rPr>
          <w:rFonts w:hint="eastAsia" w:ascii="宋体" w:hAnsi="宋体" w:eastAsia="宋体" w:cs="宋体"/>
          <w:color w:val="auto"/>
          <w:highlight w:val="none"/>
        </w:rPr>
        <w:t xml:space="preserve">3、适用法律</w:t>
      </w:r>
      <w:bookmarkEnd w:id="65"/>
      <w:r/>
      <w:bookmarkEnd w:id="66"/>
      <w:r/>
      <w:bookmarkEnd w:id="67"/>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760"/>
        <w:ind w:firstLine="480"/>
        <w:jc w:val="both"/>
        <w:spacing w:beforeAutospacing="0" w:afterAutospacing="0" w:line="460" w:lineRule="exact"/>
        <w:rPr>
          <w:rFonts w:ascii="宋体" w:hAnsi="宋体" w:eastAsia="宋体" w:cs="宋体"/>
          <w:color w:val="auto"/>
          <w:highlight w:val="none"/>
        </w:rPr>
      </w:pPr>
      <w:r/>
      <w:bookmarkStart w:id="68" w:name="_Toc462564067"/>
      <w:r/>
      <w:bookmarkStart w:id="69" w:name="_Toc513029207"/>
      <w:r/>
      <w:bookmarkStart w:id="70" w:name="_Toc20823279"/>
      <w:r/>
      <w:bookmarkStart w:id="71" w:name="_Toc16938523"/>
      <w:r>
        <w:rPr>
          <w:rFonts w:hint="eastAsia" w:ascii="宋体" w:hAnsi="宋体" w:eastAsia="宋体" w:cs="宋体"/>
          <w:color w:val="auto"/>
          <w:highlight w:val="none"/>
        </w:rPr>
        <w:t xml:space="preserve">3.2 在本项目政府采购活动过程中，如果所执行的标准有更新的，按照最新标准执行。</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4、投标费用</w:t>
      </w:r>
      <w:bookmarkEnd w:id="68"/>
      <w:r/>
      <w:bookmarkEnd w:id="69"/>
      <w:r/>
      <w:bookmarkEnd w:id="70"/>
      <w:r/>
      <w:bookmarkEnd w:id="71"/>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4.1投标人应自行承担所有与参加投标有关的费用，无论投标过程中的做法和结果如何，采购人和代理机构在任何情况下均无义务和责任承担这些费用。</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4.2本项目招标代理服务费由招标人支付，按《江苏省招标代理服务收费的指导意见》（苏招协[2022]02）的收费标准的36.88%计取。各投标人在投标报价无需考虑该项费用。</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5、招标文件的约束力</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760"/>
        <w:ind w:firstLine="321"/>
        <w:jc w:val="both"/>
        <w:keepLines/>
        <w:keepNext/>
        <w:spacing w:beforeAutospacing="0" w:afterAutospacing="0" w:line="460" w:lineRule="exact"/>
        <w:rPr>
          <w:rFonts w:ascii="宋体" w:hAnsi="宋体" w:eastAsia="宋体" w:cs="宋体"/>
          <w:color w:val="auto"/>
          <w:highlight w:val="none"/>
        </w:rPr>
      </w:pPr>
      <w:r/>
      <w:bookmarkStart w:id="72" w:name="_Toc120614215"/>
      <w:r/>
      <w:bookmarkStart w:id="73" w:name="_Toc16938525"/>
      <w:r/>
      <w:bookmarkStart w:id="74" w:name="_Toc513029209"/>
      <w:r/>
      <w:bookmarkStart w:id="75" w:name="_Toc20823281"/>
      <w:r>
        <w:rPr>
          <w:rFonts w:hint="eastAsia" w:ascii="宋体" w:hAnsi="宋体" w:eastAsia="宋体" w:cs="宋体"/>
          <w:b/>
          <w:color w:val="auto"/>
          <w:highlight w:val="none"/>
        </w:rPr>
        <w:t xml:space="preserve">二、招标文件</w:t>
      </w:r>
      <w:bookmarkEnd w:id="72"/>
      <w:r/>
      <w:bookmarkEnd w:id="73"/>
      <w:r/>
      <w:bookmarkEnd w:id="74"/>
      <w:r/>
      <w:bookmarkEnd w:id="75"/>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76" w:name="_Toc16938526"/>
      <w:r/>
      <w:bookmarkStart w:id="77" w:name="_Toc513029210"/>
      <w:r/>
      <w:bookmarkStart w:id="78" w:name="_Toc20823282"/>
      <w:r>
        <w:rPr>
          <w:rFonts w:hint="eastAsia" w:ascii="宋体" w:hAnsi="宋体" w:eastAsia="宋体" w:cs="宋体"/>
          <w:color w:val="auto"/>
          <w:highlight w:val="none"/>
        </w:rPr>
        <w:t xml:space="preserve">6、招标文件构成</w:t>
      </w:r>
      <w:bookmarkEnd w:id="76"/>
      <w:r/>
      <w:bookmarkEnd w:id="77"/>
      <w:r/>
      <w:bookmarkEnd w:id="78"/>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6.1招标文件由以下部分组成：</w:t>
      </w:r>
      <w:r/>
    </w:p>
    <w:p>
      <w:pPr>
        <w:pStyle w:val="760"/>
        <w:ind w:firstLine="36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760"/>
        <w:ind w:firstLine="36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760"/>
        <w:ind w:firstLine="36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（3）合同条款</w:t>
      </w:r>
      <w:r/>
    </w:p>
    <w:p>
      <w:pPr>
        <w:pStyle w:val="760"/>
        <w:ind w:firstLine="36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760"/>
        <w:ind w:firstLine="36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760"/>
        <w:ind w:firstLine="36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请仔细检查招标文件是否齐全，如有缺漏请立即与招标代理机构联系解决。</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79" w:name="_Toc16938527"/>
      <w:r/>
      <w:bookmarkStart w:id="80" w:name="_Toc462564070"/>
      <w:r/>
      <w:bookmarkStart w:id="81" w:name="_Toc513029211"/>
      <w:r/>
      <w:bookmarkStart w:id="82" w:name="_Toc20823283"/>
      <w:r>
        <w:rPr>
          <w:rFonts w:hint="eastAsia" w:ascii="宋体" w:hAnsi="宋体" w:eastAsia="宋体" w:cs="宋体"/>
          <w:color w:val="auto"/>
          <w:highlight w:val="none"/>
        </w:rPr>
        <w:t xml:space="preserve">7、招标文件的澄清</w:t>
      </w:r>
      <w:bookmarkEnd w:id="79"/>
      <w:r/>
      <w:bookmarkEnd w:id="80"/>
      <w:r/>
      <w:bookmarkEnd w:id="81"/>
      <w:r/>
      <w:bookmarkEnd w:id="82"/>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前按招标公告中的通讯地址，以书面形式通知招标代理机构。</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83" w:name="_Toc20823284"/>
      <w:r/>
      <w:bookmarkStart w:id="84" w:name="_Toc462564071"/>
      <w:r/>
      <w:bookmarkStart w:id="85" w:name="_Toc513029212"/>
      <w:r/>
      <w:bookmarkStart w:id="86" w:name="_Toc16938528"/>
      <w:r>
        <w:rPr>
          <w:rFonts w:hint="eastAsia" w:ascii="宋体" w:hAnsi="宋体" w:eastAsia="宋体" w:cs="宋体"/>
          <w:color w:val="auto"/>
          <w:highlight w:val="none"/>
        </w:rPr>
        <w:t xml:space="preserve">8、招标文件的修改</w:t>
      </w:r>
      <w:bookmarkEnd w:id="83"/>
      <w:r/>
      <w:bookmarkEnd w:id="84"/>
      <w:r/>
      <w:bookmarkEnd w:id="85"/>
      <w:r/>
      <w:bookmarkEnd w:id="86"/>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8.1在投标截止时间前，招标代理机构可以对招标文件进行修改。</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8.2招标代理机构有权按照法定的要求推迟投标截止日期和开标日期。</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8.3招标文件的修改将在中国政府采购网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江苏政府采购网、盐城市政府采购网公布，补充文件将作为招标文件的组成部分，并对投标人具有约束力。</w:t>
      </w:r>
      <w:r/>
    </w:p>
    <w:p>
      <w:pPr>
        <w:pStyle w:val="760"/>
        <w:ind w:firstLine="482"/>
        <w:jc w:val="both"/>
        <w:keepLines/>
        <w:keepNext/>
        <w:spacing w:beforeAutospacing="0" w:afterAutospacing="0" w:line="460" w:lineRule="exact"/>
        <w:rPr>
          <w:rFonts w:ascii="宋体" w:hAnsi="宋体" w:eastAsia="宋体" w:cs="宋体"/>
          <w:color w:val="auto"/>
          <w:highlight w:val="none"/>
        </w:rPr>
      </w:pPr>
      <w:r/>
      <w:bookmarkStart w:id="87" w:name="_Toc513029213"/>
      <w:r/>
      <w:bookmarkStart w:id="88" w:name="_Toc120614216"/>
      <w:r/>
      <w:bookmarkStart w:id="89" w:name="_Toc16938529"/>
      <w:r/>
      <w:bookmarkStart w:id="90" w:name="_Toc20823285"/>
      <w:r/>
      <w:bookmarkStart w:id="91" w:name="_Toc462564072"/>
      <w:r>
        <w:rPr>
          <w:rFonts w:hint="eastAsia" w:ascii="宋体" w:hAnsi="宋体" w:eastAsia="宋体" w:cs="宋体"/>
          <w:b/>
          <w:color w:val="auto"/>
          <w:highlight w:val="none"/>
        </w:rPr>
        <w:t xml:space="preserve">三、投标文件的编制</w:t>
      </w:r>
      <w:bookmarkEnd w:id="87"/>
      <w:r/>
      <w:bookmarkEnd w:id="88"/>
      <w:r/>
      <w:bookmarkEnd w:id="89"/>
      <w:r/>
      <w:bookmarkEnd w:id="90"/>
      <w:r/>
      <w:bookmarkEnd w:id="91"/>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92" w:name="_Toc16938530"/>
      <w:r/>
      <w:bookmarkStart w:id="93" w:name="_Toc462564073"/>
      <w:r/>
      <w:bookmarkStart w:id="94" w:name="_Toc20823286"/>
      <w:r/>
      <w:bookmarkStart w:id="95" w:name="_Toc513029214"/>
      <w:r>
        <w:rPr>
          <w:rFonts w:hint="eastAsia" w:ascii="宋体" w:hAnsi="宋体" w:eastAsia="宋体" w:cs="宋体"/>
          <w:color w:val="auto"/>
          <w:highlight w:val="none"/>
        </w:rPr>
        <w:t xml:space="preserve">9、投标文件的语言及度量衡单位</w:t>
      </w:r>
      <w:bookmarkEnd w:id="92"/>
      <w:r/>
      <w:bookmarkEnd w:id="93"/>
      <w:r/>
      <w:bookmarkEnd w:id="94"/>
      <w:r/>
      <w:bookmarkEnd w:id="95"/>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9.1投标人提交的投标文件以及投标人与招标代理机构就有关投标的所有来往通知、函件和文件均应使用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96" w:name="_Toc462564074"/>
      <w:r/>
      <w:bookmarkStart w:id="97" w:name="_Toc20823287"/>
      <w:r/>
      <w:bookmarkStart w:id="98" w:name="_Toc513029215"/>
      <w:r/>
      <w:bookmarkStart w:id="99" w:name="_Toc16938531"/>
      <w:r>
        <w:rPr>
          <w:rFonts w:hint="eastAsia" w:ascii="宋体" w:hAnsi="宋体" w:eastAsia="宋体" w:cs="宋体"/>
          <w:color w:val="auto"/>
          <w:highlight w:val="none"/>
        </w:rPr>
        <w:t xml:space="preserve">10、投标文件构成</w:t>
      </w:r>
      <w:bookmarkEnd w:id="96"/>
      <w:r/>
      <w:bookmarkEnd w:id="97"/>
      <w:r/>
      <w:bookmarkEnd w:id="98"/>
      <w:r/>
      <w:bookmarkEnd w:id="99"/>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10.2如标书制作工具中格式和内容与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发布的招标文件不一致，请以“中国政府采购网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发布的招标文件为准。</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00" w:name="_Toc49090508"/>
      <w:r/>
      <w:bookmarkStart w:id="101" w:name="_Toc14577357"/>
      <w:r/>
      <w:bookmarkStart w:id="102" w:name="_Toc14577355"/>
      <w:r/>
      <w:bookmarkStart w:id="103" w:name="_Toc513029216"/>
      <w:r/>
      <w:bookmarkStart w:id="104" w:name="_Toc513029219"/>
      <w:r/>
      <w:bookmarkStart w:id="105" w:name="_Toc49090509"/>
      <w:r/>
      <w:bookmarkStart w:id="106" w:name="_Toc49090507"/>
      <w:r/>
      <w:bookmarkStart w:id="107" w:name="_Toc14577354"/>
      <w:r/>
      <w:bookmarkStart w:id="108" w:name="_Hlt26954838"/>
      <w:r/>
      <w:bookmarkStart w:id="109" w:name="_Hlt26668975"/>
      <w:r/>
      <w:bookmarkStart w:id="110" w:name="_Hlt26670360"/>
      <w:r>
        <w:rPr>
          <w:rFonts w:hint="eastAsia" w:ascii="宋体" w:hAnsi="宋体" w:eastAsia="宋体" w:cs="宋体"/>
          <w:color w:val="auto"/>
          <w:highlight w:val="none"/>
        </w:rPr>
        <w:t xml:space="preserve">11、证明投标人及投标标的符合招标文件规定的文件</w:t>
      </w:r>
      <w:bookmarkEnd w:id="100"/>
      <w:r/>
      <w:bookmarkEnd w:id="101"/>
      <w:r/>
      <w:bookmarkEnd w:id="102"/>
      <w:r/>
      <w:bookmarkEnd w:id="103"/>
      <w:r/>
      <w:bookmarkEnd w:id="104"/>
      <w:r/>
      <w:bookmarkEnd w:id="105"/>
      <w:r/>
      <w:bookmarkEnd w:id="106"/>
      <w:r/>
      <w:bookmarkEnd w:id="107"/>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11.1投标人应按照招标文件要求提交证明文件，证明其及投标标的符合招标文件规定。</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11.2招标文件对证明文件无明确形式要求的，证明文件可以以文字资料、图纸和数据等形式提交。</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12、投标分项报价表</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12.1投标人应按照招标文件规定格式填报投标分项报价表。</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11" w:name="_Hlt26670486"/>
      <w:r/>
      <w:bookmarkStart w:id="112" w:name="_Hlt26670482"/>
      <w:r/>
      <w:bookmarkStart w:id="113" w:name="_Hlt26954731"/>
      <w:r/>
      <w:bookmarkStart w:id="114" w:name="_Hlt26954846"/>
      <w:r/>
      <w:bookmarkStart w:id="115" w:name="_Hlt26954848"/>
      <w:r>
        <w:rPr>
          <w:rFonts w:hint="eastAsia" w:ascii="宋体" w:hAnsi="宋体" w:eastAsia="宋体" w:cs="宋体"/>
          <w:color w:val="auto"/>
          <w:highlight w:val="none"/>
        </w:rPr>
        <w:t xml:space="preserve">13、技术要求响应及偏离表、商务要求响应及偏离表</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14、服务承诺、培训计划、人员安排及其他</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14.1投标人需根据招标文件要求提供有关售后服务的管理制度，售后服务机构的分布情况，售后服务人员的数量、素质、技术水平及售后服务的反应能力等。</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14.2投标人需根据招标文件要求提供培训计划。</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14.3投标人需根据招标文件要求提供所投标的的主要组成部分、功能设计、实现思路及关键技术等。</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16" w:name="_Toc49090510"/>
      <w:r/>
      <w:bookmarkStart w:id="117" w:name="_Toc14577359"/>
      <w:r>
        <w:rPr>
          <w:rFonts w:hint="eastAsia" w:ascii="宋体" w:hAnsi="宋体" w:eastAsia="宋体" w:cs="宋体"/>
          <w:color w:val="auto"/>
          <w:highlight w:val="none"/>
        </w:rPr>
        <w:t xml:space="preserve">15、投标函和开标一览表</w:t>
      </w:r>
      <w:bookmarkEnd w:id="116"/>
      <w:r/>
      <w:bookmarkEnd w:id="117"/>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15.1投标人应按照招标文件中提供的格式完整、正确填写投标函、开标一览表。</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18" w:name="_Toc49090511"/>
      <w:r/>
      <w:bookmarkStart w:id="119" w:name="_Toc14577360"/>
      <w:r>
        <w:rPr>
          <w:rFonts w:hint="eastAsia" w:ascii="宋体" w:hAnsi="宋体" w:eastAsia="宋体" w:cs="宋体"/>
          <w:color w:val="auto"/>
          <w:highlight w:val="none"/>
        </w:rPr>
        <w:t xml:space="preserve">16、投标有效期</w:t>
      </w:r>
      <w:bookmarkEnd w:id="118"/>
      <w:r/>
      <w:bookmarkEnd w:id="119"/>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16.1投标有效期为招标代理机构规定的开标之日后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17、投标有效期的延长</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760"/>
        <w:jc w:val="both"/>
        <w:keepLines/>
        <w:keepNext/>
        <w:spacing w:beforeAutospacing="0" w:afterAutospacing="0" w:line="460" w:lineRule="exact"/>
        <w:rPr>
          <w:rFonts w:ascii="宋体" w:hAnsi="宋体" w:eastAsia="宋体" w:cs="宋体"/>
          <w:color w:val="auto"/>
          <w:highlight w:val="none"/>
        </w:rPr>
      </w:pPr>
      <w:r/>
      <w:bookmarkStart w:id="120" w:name="_Toc16938540"/>
      <w:r/>
      <w:bookmarkStart w:id="121" w:name="_Toc20823296"/>
      <w:r/>
      <w:bookmarkStart w:id="122" w:name="_Toc120614217"/>
      <w:r/>
      <w:bookmarkStart w:id="123" w:name="_Toc513029224"/>
      <w:r/>
      <w:bookmarkStart w:id="124" w:name="_Hlt26954852"/>
      <w:r/>
      <w:bookmarkStart w:id="125" w:name="_Hlt26954739"/>
      <w:r>
        <w:rPr>
          <w:rFonts w:hint="eastAsia" w:ascii="宋体" w:hAnsi="宋体" w:eastAsia="宋体" w:cs="宋体"/>
          <w:b/>
          <w:color w:val="auto"/>
          <w:highlight w:val="none"/>
        </w:rPr>
        <w:t xml:space="preserve">四、投标文件的递交</w:t>
      </w:r>
      <w:bookmarkEnd w:id="120"/>
      <w:r/>
      <w:bookmarkEnd w:id="121"/>
      <w:r/>
      <w:bookmarkEnd w:id="122"/>
      <w:r/>
      <w:bookmarkEnd w:id="123"/>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26" w:name="_Toc16938541"/>
      <w:r/>
      <w:bookmarkStart w:id="127" w:name="_Toc513029225"/>
      <w:r/>
      <w:bookmarkStart w:id="128" w:name="_Toc20823297"/>
      <w:r/>
      <w:bookmarkStart w:id="129" w:name="_Toc462564084"/>
      <w:r>
        <w:rPr>
          <w:rFonts w:hint="eastAsia" w:ascii="宋体" w:hAnsi="宋体" w:eastAsia="宋体" w:cs="宋体"/>
          <w:color w:val="auto"/>
          <w:highlight w:val="none"/>
        </w:rPr>
        <w:t xml:space="preserve">18、电子投标文件</w:t>
      </w:r>
      <w:bookmarkEnd w:id="126"/>
      <w:r/>
      <w:bookmarkEnd w:id="127"/>
      <w:r/>
      <w:bookmarkEnd w:id="128"/>
      <w:r/>
      <w:bookmarkEnd w:id="129"/>
      <w:r>
        <w:rPr>
          <w:rFonts w:hint="eastAsia" w:ascii="宋体" w:hAnsi="宋体" w:eastAsia="宋体" w:cs="宋体"/>
          <w:color w:val="auto"/>
          <w:highlight w:val="none"/>
        </w:rPr>
        <w:t xml:space="preserve">的递交</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18.1投标人应当按照《操作手册》规定，在投标截止时间前制作并上传电子投标</w:t>
      </w:r>
      <w:r/>
    </w:p>
    <w:p>
      <w:pPr>
        <w:pStyle w:val="76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文件。</w:t>
      </w:r>
      <w:bookmarkStart w:id="130" w:name="_Toc16938542"/>
      <w:r/>
      <w:bookmarkEnd w:id="130"/>
      <w:r/>
      <w:bookmarkStart w:id="131" w:name="_Toc20823298"/>
      <w:r/>
      <w:bookmarkEnd w:id="131"/>
      <w:r/>
      <w:bookmarkStart w:id="132" w:name="_Toc513029226"/>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19、投标截止日期</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i/>
          <w:color w:val="auto"/>
          <w:highlight w:val="none"/>
          <w:u w:val="single"/>
        </w:rPr>
        <w:t xml:space="preserve">19.1投标人上传电子投标文件的时间不得迟于招标公告中规定的投标截止时间。</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19.2招标代理机构可以按照规定，通过修改招标文件酌情延长投标截止日期，在此情况下，投标人的所有权利和义务以及投标人受制的截止日期均应以延长后新的截止日期为准。</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33" w:name="_Toc513029227"/>
      <w:r/>
      <w:bookmarkStart w:id="134" w:name="_Toc16938543"/>
      <w:r/>
      <w:bookmarkStart w:id="135" w:name="_Toc20823299"/>
      <w:r>
        <w:rPr>
          <w:rFonts w:hint="eastAsia" w:ascii="宋体" w:hAnsi="宋体" w:eastAsia="宋体" w:cs="宋体"/>
          <w:color w:val="auto"/>
          <w:highlight w:val="none"/>
        </w:rPr>
        <w:t xml:space="preserve">20、投标文件</w:t>
      </w:r>
      <w:bookmarkEnd w:id="133"/>
      <w:r/>
      <w:bookmarkEnd w:id="134"/>
      <w:r/>
      <w:bookmarkEnd w:id="135"/>
      <w:r>
        <w:rPr>
          <w:rFonts w:hint="eastAsia" w:ascii="宋体" w:hAnsi="宋体" w:eastAsia="宋体" w:cs="宋体"/>
          <w:color w:val="auto"/>
          <w:highlight w:val="none"/>
        </w:rPr>
        <w:t xml:space="preserve">的拒收</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20.1招标代理机构拒绝接收在其规定的投标截止时间后上传的任何投标文件。</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36" w:name="_Toc513029228"/>
      <w:r/>
      <w:bookmarkStart w:id="137" w:name="_Toc20823300"/>
      <w:r/>
      <w:bookmarkStart w:id="138" w:name="_Toc16938544"/>
      <w:r>
        <w:rPr>
          <w:rFonts w:hint="eastAsia" w:ascii="宋体" w:hAnsi="宋体" w:eastAsia="宋体" w:cs="宋体"/>
          <w:color w:val="auto"/>
          <w:highlight w:val="none"/>
        </w:rPr>
        <w:t xml:space="preserve">21、投标文件的撤回和修改</w:t>
      </w:r>
      <w:bookmarkEnd w:id="136"/>
      <w:r/>
      <w:bookmarkEnd w:id="137"/>
      <w:r/>
      <w:bookmarkEnd w:id="138"/>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21.1投标文件的撤回</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21.1.1电子投标文件的撤回</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21.1.2投标人撤回电子投标文件，则认为其不再参与本项目投标活动。</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21.2投标文件的修改</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21.2.1投标人可在投标截止时间前，对其电子投标文件进行修改，具体操作方法见《操作手册》。</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21.2.2在投标截止时间之后，投标人不得对其电子投标文件作任何修改。</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21.3在投标截止时间至招标文件中规定的投标有效期满之间的这段时间内，投标人不得撤回其投标。</w:t>
      </w:r>
      <w:r/>
    </w:p>
    <w:p>
      <w:pPr>
        <w:pStyle w:val="760"/>
        <w:ind w:firstLine="482"/>
        <w:jc w:val="both"/>
        <w:keepLines/>
        <w:keepNext/>
        <w:spacing w:beforeAutospacing="0" w:afterAutospacing="0" w:line="460" w:lineRule="exact"/>
        <w:rPr>
          <w:rFonts w:ascii="宋体" w:hAnsi="宋体" w:eastAsia="宋体" w:cs="宋体"/>
          <w:color w:val="auto"/>
          <w:highlight w:val="none"/>
        </w:rPr>
      </w:pPr>
      <w:r/>
      <w:bookmarkStart w:id="139" w:name="_Toc16938545"/>
      <w:r/>
      <w:bookmarkStart w:id="140" w:name="_Toc20823301"/>
      <w:r/>
      <w:bookmarkStart w:id="141" w:name="_Toc513029229"/>
      <w:r/>
      <w:bookmarkStart w:id="142" w:name="_Toc120614218"/>
      <w:r>
        <w:rPr>
          <w:rFonts w:hint="eastAsia" w:ascii="宋体" w:hAnsi="宋体" w:eastAsia="宋体" w:cs="宋体"/>
          <w:b/>
          <w:color w:val="auto"/>
          <w:highlight w:val="none"/>
        </w:rPr>
        <w:t xml:space="preserve">五、开标与评标</w:t>
      </w:r>
      <w:bookmarkEnd w:id="139"/>
      <w:r/>
      <w:bookmarkEnd w:id="140"/>
      <w:r/>
      <w:bookmarkEnd w:id="141"/>
      <w:r/>
      <w:bookmarkEnd w:id="142"/>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43" w:name="_Toc16938546"/>
      <w:r/>
      <w:bookmarkStart w:id="144" w:name="_Toc20823302"/>
      <w:r/>
      <w:bookmarkStart w:id="145" w:name="_Toc513029230"/>
      <w:r>
        <w:rPr>
          <w:rFonts w:hint="eastAsia" w:ascii="宋体" w:hAnsi="宋体" w:eastAsia="宋体" w:cs="宋体"/>
          <w:color w:val="auto"/>
          <w:highlight w:val="none"/>
        </w:rPr>
        <w:t xml:space="preserve">22、开标</w:t>
      </w:r>
      <w:bookmarkEnd w:id="143"/>
      <w:r/>
      <w:bookmarkEnd w:id="144"/>
      <w:r/>
      <w:bookmarkEnd w:id="145"/>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22.1招标代理机构将在招标公告中规定的时间和地点组织公开开标。投标人应当按照《操作手册》规定，参加开标活动和在苏采云系统规定的时间内对投标文件进行解密。</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22.2开标仪式由招标代理机构组织。苏采云系统将自动对项目进行开标，并宣布各投标人名称和投标价格。</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22.3投标人在开标过程中涉及到的投标文件解密、开标结果确认等工作，应按照《操作手册》规定执行。</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22.4投标人如果对开标过程和开标记录有疑义，应当根据《操作手册》规定提出，如 苏采云系统中《开标记录表》宣布后5分钟内未提出的，视同认可开标结果。</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46" w:name="_Toc16938547"/>
      <w:r/>
      <w:bookmarkStart w:id="147" w:name="_Toc513029231"/>
      <w:r/>
      <w:bookmarkStart w:id="148" w:name="_Toc20823303"/>
      <w:r>
        <w:rPr>
          <w:rFonts w:hint="eastAsia" w:ascii="宋体" w:hAnsi="宋体" w:eastAsia="宋体" w:cs="宋体"/>
          <w:color w:val="auto"/>
          <w:highlight w:val="none"/>
        </w:rPr>
        <w:t xml:space="preserve">23、评标委员会</w:t>
      </w:r>
      <w:bookmarkEnd w:id="146"/>
      <w:r/>
      <w:bookmarkEnd w:id="147"/>
      <w:r/>
      <w:bookmarkEnd w:id="148"/>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23.1开标后，招标代理机构将立即组织评标委员会（以下简称评委会）进行评标。</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23.2评委会由采购人代表和有关技术、经济等方面的专家组成，且人员构成符合政府采购有关规定。</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23.3评委会独立工作，负责评审所有投标文件并确定中标候选人。</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24、评标过程的保密与公正</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24.1凡是与审查、澄清、评价和比较投标的有关资料以及授标建议等，采购人、评委、招标代理机构均不得向投标人或与评标无关的其他人员透露。</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24.2在评标过程中，投标人不得以任何行为影响评标过程，否则其投标文件将被作为无效投标文件。</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24.3招标代理机构和评标委员会不向未中标的投标人解释未中标原因，也不公布评标过程中的相关细节。</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24.4采用综合评分法的项目，未中标的投标人可于中标结果公告期限届满之日起通过苏采云系统查看自己的评审得分及排序情况。</w:t>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49" w:name="_Toc513029232"/>
      <w:r/>
      <w:bookmarkStart w:id="150" w:name="_Toc16938548"/>
      <w:r/>
      <w:bookmarkStart w:id="151" w:name="_Toc20823304"/>
      <w:r>
        <w:rPr>
          <w:rFonts w:hint="eastAsia" w:ascii="宋体" w:hAnsi="宋体" w:eastAsia="宋体" w:cs="宋体"/>
          <w:color w:val="auto"/>
          <w:highlight w:val="none"/>
        </w:rPr>
        <w:t xml:space="preserve">25、投标文件的澄清</w:t>
      </w:r>
      <w:bookmarkEnd w:id="149"/>
      <w:r/>
      <w:bookmarkEnd w:id="150"/>
      <w:r/>
      <w:bookmarkEnd w:id="151"/>
      <w:r/>
      <w:r/>
    </w:p>
    <w:p>
      <w:pPr>
        <w:pStyle w:val="760"/>
        <w:ind w:firstLine="480"/>
        <w:jc w:val="both"/>
        <w:spacing w:beforeAutospacing="0" w:afterAutospacing="0" w:line="460" w:lineRule="exact"/>
        <w:rPr>
          <w:rFonts w:ascii="宋体" w:hAnsi="宋体" w:eastAsia="宋体" w:cs="宋体"/>
          <w:color w:val="auto"/>
          <w:highlight w:val="none"/>
        </w:rPr>
      </w:pPr>
      <w:r/>
      <w:bookmarkStart w:id="152" w:name="_Toc513029233"/>
      <w:r/>
      <w:bookmarkStart w:id="153" w:name="_Toc20823305"/>
      <w:r/>
      <w:bookmarkStart w:id="154" w:name="_Toc16938549"/>
      <w:r>
        <w:rPr>
          <w:rFonts w:hint="eastAsia" w:ascii="宋体" w:hAnsi="宋体" w:eastAsia="宋体" w:cs="宋体"/>
          <w:color w:val="auto"/>
          <w:highlight w:val="none"/>
        </w:rPr>
        <w:t xml:space="preserve">25.1评标期间，评委会对投标文件中含义不明确、同类问题表述不一致或者有明显文字和计算错误的内容，有权要求投标人作出必要的澄清、说明或者补正。</w:t>
      </w:r>
      <w:bookmarkEnd w:id="152"/>
      <w:r/>
      <w:bookmarkEnd w:id="153"/>
      <w:r/>
      <w:bookmarkEnd w:id="154"/>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25.3接到评委会澄清、说明和补正要求的投标人如未按规定做出澄清、说明和补正，其风险由投标人自行承担。</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26、对投标文件的初审</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26.1投标文件初审分为资格审查和符合性审查。</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26.1.1资格审查：依据法律法规和招标文件的规定，由采购人对投标文件中的资格证明文件进行审查。资格审查的结论，采购人以书面形式向评委会进行反馈。</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26.1.2符合性审查：依据招标文件的规定，由评委会从投标文件的有效性、完整性和对招标文件的响应程度进行审查，以确定是否对招标文件的实质性要求作出响应。</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26.1.3未通过资格审查或符合性审查的投标人，招标代理机构将在苏采云系统中告知未通过资格审查或符合性审查的原因，评审结束后，招标代理机构将不再告知未通过资格审查或符合性审查的原因。</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26.3如果投标文件实质上没有响应招标文件的要求，评委会将予以拒绝，投标人不得通过修改或撤销不合要求的偏离或保留而使其投标成为实质性响应的投标。</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26.4评委会将对确定为实质性响应的投标进行进一步审核，看其是否有计算上或累加上的算术错误，修正错误的原则如下：</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60"/>
        <w:ind w:firstLine="480"/>
        <w:jc w:val="both"/>
        <w:spacing w:beforeAutospacing="0" w:afterAutospacing="0" w:line="460" w:lineRule="exact"/>
        <w:rPr>
          <w:rFonts w:ascii="宋体" w:hAnsi="宋体" w:eastAsia="宋体" w:cs="宋体"/>
          <w:color w:val="auto"/>
          <w:highlight w:val="none"/>
        </w:rPr>
      </w:pPr>
      <w:r/>
      <w:bookmarkStart w:id="155" w:name="_Toc513029234"/>
      <w:r/>
      <w:bookmarkStart w:id="156" w:name="_Toc20823306"/>
      <w:r/>
      <w:bookmarkStart w:id="157" w:name="_Toc16938550"/>
      <w:r>
        <w:rPr>
          <w:rFonts w:hint="eastAsia" w:ascii="宋体" w:hAnsi="宋体" w:eastAsia="宋体" w:cs="宋体"/>
          <w:color w:val="auto"/>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5"/>
      <w:r/>
      <w:bookmarkEnd w:id="156"/>
      <w:r/>
      <w:bookmarkEnd w:id="157"/>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60"/>
        <w:ind w:firstLine="42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非单一产品采购项目，招标文件中将载明其中的核心产品。多家投标人提供的核心产品品牌相同的，按前两款规定处理。</w:t>
      </w:r>
      <w:r/>
    </w:p>
    <w:p>
      <w:pPr>
        <w:pStyle w:val="760"/>
        <w:ind w:firstLine="42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26.7投标人在开、评标全过程中应保持通讯畅通，及时登录苏采云系统查阅、答复相关信息，并安排专人与招标代理机构及评标委员会联系。</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27、无效投标条款和废标条款</w:t>
      </w:r>
      <w:r/>
    </w:p>
    <w:p>
      <w:pPr>
        <w:pStyle w:val="760"/>
        <w:ind w:left="479"/>
        <w:jc w:val="both"/>
        <w:spacing w:beforeAutospacing="0" w:afterAutospacing="0" w:line="460" w:lineRule="exact"/>
        <w:rPr>
          <w:rFonts w:ascii="宋体" w:hAnsi="宋体" w:eastAsia="宋体" w:cs="宋体"/>
          <w:color w:val="auto"/>
          <w:highlight w:val="none"/>
        </w:rPr>
      </w:pPr>
      <w:r/>
      <w:bookmarkStart w:id="158" w:name="_Toc513029235"/>
      <w:r/>
      <w:bookmarkStart w:id="159" w:name="_Toc16938551"/>
      <w:r/>
      <w:bookmarkStart w:id="160" w:name="_Toc20823307"/>
      <w:r>
        <w:rPr>
          <w:rFonts w:hint="eastAsia" w:ascii="宋体" w:hAnsi="宋体" w:eastAsia="宋体" w:cs="宋体"/>
          <w:color w:val="auto"/>
          <w:highlight w:val="none"/>
        </w:rPr>
        <w:t xml:space="preserve">27.1无效投标条款</w:t>
      </w:r>
      <w:bookmarkEnd w:id="158"/>
      <w:r/>
      <w:bookmarkEnd w:id="159"/>
      <w:r/>
      <w:bookmarkEnd w:id="160"/>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27.1.1投标人在苏采云系统规定的时间内未成功解密电子投标文件的。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27.1.2投标人未按照招标文件要求上传电子投标文件的。</w:t>
      </w:r>
      <w:r/>
    </w:p>
    <w:p>
      <w:pPr>
        <w:pStyle w:val="760"/>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27.1.3同一投标人提交两个（含两个）以上不同的投标报价的。</w:t>
      </w:r>
      <w:r/>
    </w:p>
    <w:p>
      <w:pPr>
        <w:pStyle w:val="760"/>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27.1.4投标人不具备招标文件中规定资格要求的。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27.1.5投标人的报价超过了采购预算或最高限价的。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27.1.6未通过符合性审查的。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27.1.7不符合招标文件中规定的实质性要求和条件的（</w:t>
      </w:r>
      <w:r>
        <w:rPr>
          <w:rFonts w:hint="eastAsia" w:ascii="宋体" w:hAnsi="宋体" w:eastAsia="宋体" w:cs="宋体"/>
          <w:i/>
          <w:color w:val="auto"/>
          <w:highlight w:val="none"/>
          <w:u w:val="single"/>
        </w:rPr>
        <w:t xml:space="preserve">本招标文件中斜体且有下划线部分为实质性要求和条件）。</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27.1.9投标文件含有采购人不能接受的附加条件的。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27.1.10投标人不能证明其报价合理性的，评标委员会应当将其作为无效投标处理。</w:t>
      </w:r>
      <w:r/>
    </w:p>
    <w:p>
      <w:pPr>
        <w:pStyle w:val="760"/>
        <w:ind w:firstLine="48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（一）评审过程中出现下列情形之一的，评标委员会应当启动异常低价投标审查程序：</w:t>
      </w:r>
      <w:r/>
    </w:p>
    <w:p>
      <w:pPr>
        <w:pStyle w:val="760"/>
        <w:ind w:firstLine="48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1.投标（响应）报价低于全部通过符合性审查供应商投标（响应）报价平均值50%的，即投标（响应）报价&lt;全部通过符合性审查供应商投标（响应）报价平均值×50%；</w:t>
      </w:r>
      <w:r/>
    </w:p>
    <w:p>
      <w:pPr>
        <w:pStyle w:val="760"/>
        <w:ind w:firstLine="48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2.投标（响应）报价低于通过符合性审查的次低报价供应商投标（响应）报价50%的，即投标（响应）报价&lt;通过符合性审查的次低报价供应商投标（响应）报价×50%；</w:t>
      </w:r>
      <w:r/>
    </w:p>
    <w:p>
      <w:pPr>
        <w:pStyle w:val="760"/>
        <w:ind w:firstLine="48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3.投标（响应）报价低于采购项目最高限价45%的，即投标（响应）报价&lt;采购项目最高限价×45%；</w:t>
      </w:r>
      <w:r/>
    </w:p>
    <w:p>
      <w:pPr>
        <w:pStyle w:val="760"/>
        <w:ind w:firstLine="48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4.评审委员会基于专业判断，认为供应商报价过低，有可能影响产品质量或者不能诚信履约的其他情形。</w:t>
      </w:r>
      <w:r/>
    </w:p>
    <w:p>
      <w:pPr>
        <w:pStyle w:val="760"/>
        <w:ind w:firstLine="480"/>
        <w:jc w:val="both"/>
        <w:spacing w:beforeAutospacing="0" w:afterAutospacing="0" w:line="460" w:lineRule="exact"/>
        <w:rPr>
          <w:rFonts w:ascii="宋体" w:hAnsi="宋体" w:eastAsia="宋体" w:cs="宋体"/>
          <w:b/>
          <w:bCs/>
          <w:color w:val="auto"/>
          <w:highlight w:val="none"/>
          <w:u w:val="single"/>
        </w:rPr>
      </w:pPr>
      <w:r>
        <w:rPr>
          <w:rFonts w:hint="eastAsia" w:ascii="宋体" w:hAnsi="宋体" w:eastAsia="宋体" w:cs="宋体"/>
          <w:b/>
          <w:bCs/>
          <w:color w:val="auto"/>
          <w:highlight w:val="none"/>
          <w:u w:val="single"/>
        </w:rPr>
        <w:t xml:space="preserve">提醒：采购人可以结合具体项目实际情况，提高上述第1项至第3项中启动异常低价投标（响应）审查的数值标准，但是最高不得超过65%。</w:t>
      </w:r>
      <w:r/>
    </w:p>
    <w:p>
      <w:pPr>
        <w:pStyle w:val="760"/>
        <w:ind w:firstLine="48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相关法律法规对供应商报价有规定的，从其规定。</w:t>
      </w:r>
      <w:r/>
    </w:p>
    <w:p>
      <w:pPr>
        <w:pStyle w:val="760"/>
        <w:ind w:firstLine="48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0"/>
        <w:ind w:firstLine="48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0"/>
        <w:ind w:firstLine="48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0"/>
        <w:ind w:firstLine="48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27.1.12投标文件未按照招标文件要求加盖CA电子公章的。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27.1.13其他法律、法规及本招标文件规定的属无效投标的情形。</w:t>
      </w:r>
      <w:r/>
    </w:p>
    <w:p>
      <w:pPr>
        <w:pStyle w:val="760"/>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27.2废标条款</w:t>
      </w:r>
      <w:r/>
    </w:p>
    <w:p>
      <w:pPr>
        <w:pStyle w:val="760"/>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27.2.1符合专业条件的供应商或者对招标文件作实质响应的供应商不足三家的。</w:t>
      </w:r>
      <w:r/>
    </w:p>
    <w:p>
      <w:pPr>
        <w:pStyle w:val="760"/>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27.2.2出现影响采购公正的违法、违规行为的。</w:t>
      </w:r>
      <w:r/>
    </w:p>
    <w:p>
      <w:pPr>
        <w:pStyle w:val="760"/>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27.2.3因重大变故，采购任务取消的。</w:t>
      </w:r>
      <w:r/>
    </w:p>
    <w:p>
      <w:pPr>
        <w:pStyle w:val="760"/>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27.2.4评标委员会认定招标文件存在歧义、重大缺陷导致评审工作无法进行。</w:t>
      </w:r>
      <w:r/>
    </w:p>
    <w:p>
      <w:pPr>
        <w:pStyle w:val="760"/>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27.2.5因苏采云系统故障原因造成开标不成功的。</w:t>
      </w:r>
      <w:r/>
    </w:p>
    <w:p>
      <w:pPr>
        <w:pStyle w:val="760"/>
        <w:ind w:left="479"/>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27.3投标截止时间结束后参加投标的供应商不足三家的处理：</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27.3.1如出现投标截止时间结束后参加投标的供应商或者在评标期间对招标文件做出实质响应的供应商不足三家情况，按政府采购相关规定执行。</w:t>
      </w:r>
      <w:r/>
    </w:p>
    <w:p>
      <w:pPr>
        <w:pStyle w:val="760"/>
        <w:ind w:firstLine="482"/>
        <w:jc w:val="both"/>
        <w:keepLines/>
        <w:keepNext/>
        <w:spacing w:beforeAutospacing="0" w:afterAutospacing="0" w:line="460" w:lineRule="exact"/>
        <w:rPr>
          <w:rFonts w:ascii="宋体" w:hAnsi="宋体" w:eastAsia="宋体" w:cs="宋体"/>
          <w:color w:val="auto"/>
          <w:highlight w:val="none"/>
        </w:rPr>
      </w:pPr>
      <w:r/>
      <w:bookmarkStart w:id="161" w:name="_Toc120614219"/>
      <w:r>
        <w:rPr>
          <w:rFonts w:hint="eastAsia" w:ascii="宋体" w:hAnsi="宋体" w:eastAsia="宋体" w:cs="宋体"/>
          <w:b/>
          <w:color w:val="auto"/>
          <w:highlight w:val="none"/>
        </w:rPr>
        <w:t xml:space="preserve">六、定标</w:t>
      </w:r>
      <w:bookmarkEnd w:id="161"/>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62" w:name="_Toc20823310"/>
      <w:r/>
      <w:bookmarkStart w:id="163" w:name="_Toc16938554"/>
      <w:r/>
      <w:bookmarkStart w:id="164" w:name="_Toc513029238"/>
      <w:r>
        <w:rPr>
          <w:rFonts w:hint="eastAsia" w:ascii="宋体" w:hAnsi="宋体" w:eastAsia="宋体" w:cs="宋体"/>
          <w:color w:val="auto"/>
          <w:highlight w:val="none"/>
        </w:rPr>
        <w:t xml:space="preserve">28、</w:t>
      </w:r>
      <w:bookmarkEnd w:id="162"/>
      <w:r>
        <w:rPr>
          <w:rFonts w:hint="eastAsia" w:ascii="宋体" w:hAnsi="宋体" w:eastAsia="宋体" w:cs="宋体"/>
          <w:color w:val="auto"/>
          <w:highlight w:val="none"/>
        </w:rPr>
        <w:t xml:space="preserve">确定</w:t>
      </w:r>
      <w:bookmarkEnd w:id="163"/>
      <w:r/>
      <w:bookmarkEnd w:id="164"/>
      <w:r>
        <w:rPr>
          <w:rFonts w:hint="eastAsia" w:ascii="宋体" w:hAnsi="宋体" w:eastAsia="宋体" w:cs="宋体"/>
          <w:color w:val="auto"/>
          <w:highlight w:val="none"/>
        </w:rPr>
        <w:t xml:space="preserve">中标单位</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28.1中标候选人的选取原则和数量见招标文件第五章规定。 </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28.2采购人应根据评委会推荐的中标候选人确定中标人。</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28.3招标代理机构将在中国政府采购网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发布中标公告，公告期限为1个工作日。</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28.4若有充分证据证明，中标人出现下列情况之一的，一经查实，将被取消中标资格：</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28.4.1提供虚假材料谋取中标的。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28.4.2向采购人、招标代理机构行贿或者提供其他不正当利益的。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28.4.3属于本文件规定的无效条件，但在评标过程中又未被评委会发现的。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28.4.4与采购人或者其他供应商恶意串通的。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28.4.5采取不正当手段诋毁、排挤其他供应商的。</w:t>
      </w:r>
      <w:r/>
    </w:p>
    <w:p>
      <w:pPr>
        <w:pStyle w:val="760"/>
        <w:ind w:firstLine="480"/>
        <w:jc w:val="both"/>
        <w:spacing w:beforeAutospacing="0" w:afterAutospacing="0" w:line="460" w:lineRule="exact"/>
        <w:rPr>
          <w:rFonts w:ascii="宋体" w:hAnsi="宋体" w:eastAsia="宋体" w:cs="宋体"/>
          <w:color w:val="auto"/>
          <w:highlight w:val="none"/>
        </w:rPr>
      </w:pPr>
      <w:r/>
      <w:bookmarkStart w:id="165" w:name="_Toc200451960"/>
      <w:r>
        <w:rPr>
          <w:rFonts w:hint="eastAsia" w:ascii="宋体" w:hAnsi="宋体" w:eastAsia="宋体" w:cs="宋体"/>
          <w:color w:val="auto"/>
          <w:highlight w:val="none"/>
        </w:rPr>
        <w:t xml:space="preserve">28.5有下列情形之一的，视为投标人串通投标，投标无效：</w:t>
      </w:r>
      <w:bookmarkEnd w:id="165"/>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28.5.1不同投标人的投标文件由同一单位或者个人编制；</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28.5.2不同投标人委托同一单位或者个人办理投标事宜；</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28.5.3不同投标人的投标文件载明的项目管理成员或者联系人员为同一人；</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28.5.4不同投标人的投标文件异常一致或者投标报价呈规律性差异；</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29、质疑处理</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29.1提出质疑的供应商应当是参与所质疑项目采购活动的供应商。潜在供应商依法获取其可质疑的采购文件的，可以对采购文件提出质疑。</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760"/>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29.2.1对可以质疑的采购文件提出质疑的，为收到采购文件之日或者采购文件公告期限届满之日；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29.2.2对采购过程提出质疑的，为各采购程序环节结束之日；</w:t>
      </w:r>
      <w:r>
        <w:rPr>
          <w:rFonts w:hint="eastAsia" w:ascii="宋体" w:hAnsi="宋体" w:eastAsia="宋体" w:cs="宋体"/>
          <w:color w:val="auto"/>
          <w:highlight w:val="none"/>
        </w:rPr>
        <w:br/>
      </w:r>
      <w:r>
        <w:rPr>
          <w:rFonts w:hint="eastAsia" w:ascii="宋体" w:hAnsi="宋体" w:eastAsia="宋体" w:cs="宋体"/>
          <w:color w:val="auto"/>
          <w:highlight w:val="none"/>
        </w:rPr>
        <w:t xml:space="preserve">  29.2.3对中标或者成交结果提出质疑的，为中标或者成交结果公告期限届满之日。</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采购人及招标代理机构只接收以纸质原件形式送达的质疑,采购人和招标代理机构不接受未填写快递运单的快件。联系地址及联系方式同招标公告。</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29.5以下情形的质疑不予受理</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29.5.1内容不符合《政府采购质疑和投诉办法》第十二条规定的质疑。</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29.5.2超出政府采购法定期限的质疑。</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29.5.3以传真、电子邮件等方式递交的非原件形式的质疑。</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29.5.4未参加投标活动的供应商或在投标活动中自身权益未受到损害的供应商所提出的质疑。</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29.5.5供应商组成联合体参加投标，联合体中任何一方或多方未按要求签字、盖章、加盖公章的质疑。</w:t>
      </w:r>
      <w:r/>
    </w:p>
    <w:p>
      <w:pPr>
        <w:pStyle w:val="760"/>
        <w:ind w:firstLine="468"/>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30、中标通知书</w:t>
      </w:r>
      <w:r/>
    </w:p>
    <w:p>
      <w:pPr>
        <w:pStyle w:val="760"/>
        <w:ind w:firstLine="468"/>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60"/>
        <w:ind w:firstLine="468"/>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60"/>
        <w:jc w:val="both"/>
        <w:keepLines/>
        <w:keepNext/>
        <w:spacing w:beforeAutospacing="0" w:afterAutospacing="0" w:line="460" w:lineRule="exact"/>
        <w:rPr>
          <w:rFonts w:ascii="宋体" w:hAnsi="宋体" w:eastAsia="宋体" w:cs="宋体"/>
          <w:color w:val="auto"/>
          <w:highlight w:val="none"/>
        </w:rPr>
      </w:pPr>
      <w:r/>
      <w:bookmarkStart w:id="166" w:name="_Toc120614220"/>
      <w:r/>
      <w:bookmarkStart w:id="167" w:name="_Toc20823308"/>
      <w:r/>
      <w:bookmarkStart w:id="168" w:name="_Toc513029236"/>
      <w:r/>
      <w:bookmarkStart w:id="169" w:name="_Toc16938552"/>
      <w:r>
        <w:rPr>
          <w:rFonts w:hint="eastAsia" w:ascii="宋体" w:hAnsi="宋体" w:eastAsia="宋体" w:cs="宋体"/>
          <w:b/>
          <w:color w:val="auto"/>
          <w:highlight w:val="none"/>
        </w:rPr>
        <w:t xml:space="preserve">七、授予合同</w:t>
      </w:r>
      <w:bookmarkEnd w:id="166"/>
      <w:r/>
      <w:bookmarkEnd w:id="167"/>
      <w:r/>
      <w:bookmarkEnd w:id="168"/>
      <w:r/>
      <w:bookmarkEnd w:id="169"/>
      <w:r/>
      <w:r/>
    </w:p>
    <w:p>
      <w:pPr>
        <w:pStyle w:val="760"/>
        <w:ind w:firstLine="420"/>
        <w:jc w:val="both"/>
        <w:keepLines/>
        <w:keepNext/>
        <w:spacing w:beforeAutospacing="0" w:afterAutospacing="0" w:line="460" w:lineRule="exact"/>
        <w:rPr>
          <w:rFonts w:ascii="宋体" w:hAnsi="宋体" w:eastAsia="宋体" w:cs="宋体"/>
          <w:color w:val="auto"/>
          <w:highlight w:val="none"/>
        </w:rPr>
      </w:pPr>
      <w:r/>
      <w:bookmarkStart w:id="170" w:name="_Toc513029237"/>
      <w:r/>
      <w:bookmarkStart w:id="171" w:name="_Toc20823309"/>
      <w:r/>
      <w:bookmarkStart w:id="172" w:name="_Toc16938553"/>
      <w:r>
        <w:rPr>
          <w:rFonts w:hint="eastAsia" w:ascii="宋体" w:hAnsi="宋体" w:eastAsia="宋体" w:cs="宋体"/>
          <w:color w:val="auto"/>
          <w:highlight w:val="none"/>
        </w:rPr>
        <w:t xml:space="preserve">31、签订合同</w:t>
      </w:r>
      <w:bookmarkEnd w:id="170"/>
      <w:r/>
      <w:bookmarkEnd w:id="171"/>
      <w:r/>
      <w:bookmarkEnd w:id="172"/>
      <w:r/>
      <w:r/>
    </w:p>
    <w:p>
      <w:pPr>
        <w:pStyle w:val="760"/>
        <w:ind w:firstLine="60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31.l中标人应当在中标通知书发出之日起三十日内，按照招标文件确定的事项与采购人签订政府采购合同。</w:t>
      </w:r>
      <w:r/>
    </w:p>
    <w:p>
      <w:pPr>
        <w:pStyle w:val="760"/>
        <w:ind w:firstLine="60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31.2招标文件、中标人的投标文件及招标过程中有关澄清、承诺文件均应作为合同附件。</w:t>
      </w:r>
      <w:r/>
    </w:p>
    <w:p>
      <w:pPr>
        <w:pStyle w:val="760"/>
        <w:ind w:firstLine="60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31.3签订合同后，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32、货物（包含与货物相关的服务）的追加</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33、政府采购政策功能落实</w:t>
      </w:r>
      <w:r/>
    </w:p>
    <w:p>
      <w:pPr>
        <w:pStyle w:val="760"/>
        <w:ind w:firstLine="48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33.1政府采购线上合同信用融资政策</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33.2进口产品</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33.3中小企业、监狱企业及残疾人福利性单位</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33.3.1中小企业定义：</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33.3.2供应商提供的货物、工程或者服务符合下列情形的，享受中小企业扶持政策：</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33.3.2.1在货物采购项目中，货物由中小企业制造，即货物由中小企业生产且使用该中小企业商号或者注册商标；</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33.3.2.2在工程采购项目中，工程由中小企业承建，即工程施工单位为中小企业；</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33.3.2.3在服务采购项目中，服务由中小企业承接，即提供服务的人员为中小企业依照《中华人民共和国劳动合同法》订立劳动合同的从业人员。</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33.3.3在货物采购项目中，供应商提供的货物既有中小企业制造货物，也有大型企业制造货物的，不享受中小企业扶持政策。</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33.3.4以联合体形式参加政府采购活动，联合体各方均为中小企业的，联合体视同中小企业。其中，联合体各方均为小微企业的，联合体视同小微企业。</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33.3.6残疾人福利单位定义：享受政府采购支持政策的残疾人福利性单位应当同时满足以下条件：</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33.3.6.1安置的残疾人占本单位在职职工人数的比例不低于25%（含25%），并且安置的残疾人人数不少于10 人（含10 人）；</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33.3.6.2依法与安置的每位残疾人签订了一年以上（含一年）的劳动合同或服务协议；</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33.3.6.3为安置的每位残疾人按月足额缴纳了基本养老保险、基本医疗保险、失业保险、工伤保险和生育保险等社会保险费；</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33.3.6.4通过银行等金融机构向安置的每位残疾人，按月支付了不低于单位所在区县适用的经省级人民政府批准的月最低工资标准的工资；</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33.3.6.5提供本单位制造的货物、承担的工程或者服务（以下简称产品），或者提供其他残疾人福利性单位制造的货物（不包括使用非残疾人福利性单位注册商标的货物）；</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33.3.7本项目是否专门面向中小企业预留采购份额见第一章《招标公告》。</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33.3.8采购标的对应的中小企业划分标准所属行业见第四章《采购需求》。</w:t>
      </w:r>
      <w:r/>
    </w:p>
    <w:p>
      <w:pPr>
        <w:pStyle w:val="760"/>
        <w:ind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33.3.9小微企业价格评审优惠的政策：见第五章《评标方法和评标标准》。</w:t>
      </w:r>
      <w:r/>
    </w:p>
    <w:p>
      <w:pPr>
        <w:ind w:firstLine="482"/>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33.4政府采购节能产品、环境标志产品</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33.5绿色包装</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33.6政府采购创新产品</w:t>
      </w:r>
      <w:r/>
    </w:p>
    <w:p>
      <w:pPr>
        <w:ind w:firstLine="478"/>
        <w:spacing w:line="46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采购人优先采购各级政府部门公开发布的有效期内的创新产品、创新服务、首台套、首购首用等《目录》的创新产品。</w:t>
      </w:r>
      <w:r/>
    </w:p>
    <w:p>
      <w:pPr>
        <w:ind w:firstLine="482"/>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60" w:lineRule="exact"/>
        <w:tabs>
          <w:tab w:val="left" w:pos="1381"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33.8实施本国产品标准及相关政策</w:t>
      </w:r>
      <w:r/>
    </w:p>
    <w:p>
      <w:pPr>
        <w:ind w:firstLine="482"/>
        <w:spacing w:line="460" w:lineRule="exact"/>
        <w:tabs>
          <w:tab w:val="left" w:pos="1381"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1.本项目对采购本国产品给予政策支持，具体内容见招标文件“第五章 评标方法与评标标准”。</w:t>
      </w:r>
      <w:r/>
    </w:p>
    <w:p>
      <w:pPr>
        <w:ind w:firstLine="482"/>
        <w:spacing w:line="460" w:lineRule="exact"/>
        <w:tabs>
          <w:tab w:val="left" w:pos="1381"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60" w:lineRule="exact"/>
        <w:tabs>
          <w:tab w:val="left" w:pos="1381"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60" w:lineRule="exact"/>
        <w:tabs>
          <w:tab w:val="left" w:pos="1381" w:leader="none"/>
        </w:tabs>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60" w:lineRule="exact"/>
        <w:tabs>
          <w:tab w:val="left" w:pos="1381"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33.9履约保证金政策</w:t>
      </w:r>
      <w:r/>
    </w:p>
    <w:p>
      <w:pPr>
        <w:pStyle w:val="936"/>
        <w:ind w:left="0" w:firstLine="560"/>
        <w:spacing w:after="0"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确需收取履约保证金的，履约保证金的缴纳形式：</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pStyle w:val="760"/>
        <w:ind w:firstLine="420"/>
        <w:jc w:val="both"/>
        <w:keepLines/>
        <w:keepNext/>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34. 预付款制度</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rPr>
          <w:rFonts w:ascii="宋体" w:hAnsi="宋体" w:eastAsia="宋体" w:cs="宋体"/>
          <w:color w:val="auto"/>
          <w:sz w:val="36"/>
          <w:szCs w:val="44"/>
          <w:highlight w:val="none"/>
        </w:rPr>
      </w:pPr>
      <w:r>
        <w:rPr>
          <w:rFonts w:ascii="宋体" w:hAnsi="宋体" w:eastAsia="宋体" w:cs="宋体"/>
          <w:color w:val="auto"/>
          <w:sz w:val="36"/>
          <w:szCs w:val="44"/>
          <w:highlight w:val="none"/>
        </w:rPr>
      </w:r>
      <w:r/>
    </w:p>
    <w:p>
      <w:pPr>
        <w:rPr>
          <w:rFonts w:ascii="宋体" w:hAnsi="宋体" w:eastAsia="宋体" w:cs="宋体"/>
          <w:color w:val="auto"/>
          <w:sz w:val="36"/>
          <w:szCs w:val="44"/>
          <w:highlight w:val="none"/>
        </w:rPr>
      </w:pPr>
      <w:r>
        <w:rPr>
          <w:rFonts w:hint="eastAsia" w:ascii="宋体" w:hAnsi="宋体" w:eastAsia="宋体" w:cs="宋体"/>
          <w:color w:val="auto"/>
          <w:sz w:val="36"/>
          <w:szCs w:val="44"/>
          <w:highlight w:val="none"/>
        </w:rPr>
        <w:br w:type="page" w:clear="all"/>
      </w:r>
      <w:r/>
    </w:p>
    <w:p>
      <w:pPr>
        <w:jc w:val="center"/>
        <w:spacing w:line="360" w:lineRule="auto"/>
        <w:widowControl/>
        <w:rPr>
          <w:rFonts w:ascii="宋体" w:hAnsi="宋体" w:eastAsia="宋体" w:cs="宋体"/>
          <w:b/>
          <w:color w:val="auto"/>
          <w:sz w:val="48"/>
          <w:szCs w:val="44"/>
          <w:highlight w:val="none"/>
        </w:rPr>
        <w:outlineLvl w:val="0"/>
      </w:pPr>
      <w:r>
        <w:rPr>
          <w:rFonts w:hint="eastAsia" w:ascii="宋体" w:hAnsi="宋体" w:eastAsia="宋体" w:cs="宋体"/>
          <w:color w:val="auto"/>
          <w:sz w:val="36"/>
          <w:szCs w:val="44"/>
          <w:highlight w:val="none"/>
        </w:rPr>
        <w:t xml:space="preserve"> </w:t>
      </w:r>
      <w:bookmarkStart w:id="173" w:name="_Toc120614244"/>
      <w:r/>
      <w:bookmarkStart w:id="174" w:name="_Hlt16619350"/>
      <w:r/>
      <w:bookmarkStart w:id="175" w:name="_Toc16938590"/>
      <w:r/>
      <w:bookmarkStart w:id="176" w:name="_Toc479757211"/>
      <w:r/>
      <w:bookmarkStart w:id="177" w:name="_Toc20823346"/>
      <w:r/>
      <w:bookmarkStart w:id="178" w:name="_Toc462564139"/>
      <w:r/>
      <w:bookmarkStart w:id="179" w:name="_Hlt16619369"/>
      <w:r>
        <w:rPr>
          <w:rFonts w:hint="eastAsia" w:ascii="宋体" w:hAnsi="宋体" w:eastAsia="宋体" w:cs="宋体"/>
          <w:b/>
          <w:color w:val="auto"/>
          <w:sz w:val="48"/>
          <w:szCs w:val="44"/>
          <w:highlight w:val="none"/>
        </w:rPr>
        <w:t xml:space="preserve">第三章  合同条款</w:t>
      </w:r>
      <w:bookmarkEnd w:id="173"/>
      <w:r/>
      <w:bookmarkEnd w:id="174"/>
      <w:r/>
      <w:bookmarkEnd w:id="175"/>
      <w:r/>
      <w:bookmarkEnd w:id="176"/>
      <w:r/>
      <w:bookmarkEnd w:id="177"/>
      <w:r/>
      <w:bookmarkEnd w:id="178"/>
      <w:r/>
      <w:r/>
    </w:p>
    <w:p>
      <w:pPr>
        <w:rPr>
          <w:rFonts w:ascii="宋体" w:hAnsi="宋体" w:eastAsia="宋体" w:cs="宋体"/>
          <w:color w:val="auto"/>
          <w:highlight w:val="none"/>
        </w:rPr>
      </w:pPr>
      <w:r/>
      <w:bookmarkStart w:id="180" w:name="EB6d2006462e294de090c16e672cecc3bd"/>
      <w:r/>
      <w:bookmarkEnd w:id="180"/>
      <w:r/>
      <w:r/>
    </w:p>
    <w:p>
      <w:pPr>
        <w:jc w:val="center"/>
        <w:rPr>
          <w:rFonts w:ascii="宋体" w:hAnsi="宋体" w:eastAsia="宋体" w:cs="宋体"/>
          <w:b/>
          <w:bCs/>
          <w:color w:val="auto"/>
          <w:spacing w:val="-20"/>
          <w:sz w:val="48"/>
          <w:szCs w:val="48"/>
          <w:highlight w:val="none"/>
        </w:rPr>
      </w:pPr>
      <w:r/>
      <w:bookmarkStart w:id="181" w:name="_Toc120614281"/>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rPr>
          <w:rFonts w:ascii="宋体" w:hAnsi="宋体" w:eastAsia="宋体" w:cs="宋体"/>
          <w:color w:val="auto"/>
          <w:sz w:val="30"/>
          <w:highlight w:val="none"/>
        </w:rPr>
      </w:pPr>
      <w:r>
        <w:rPr>
          <w:rFonts w:ascii="宋体" w:hAnsi="宋体" w:eastAsia="宋体" w:cs="宋体"/>
          <w:color w:val="auto"/>
          <w:sz w:val="30"/>
          <w:highlight w:val="none"/>
        </w:rPr>
      </w:r>
      <w:r/>
    </w:p>
    <w:p>
      <w:pPr>
        <w:jc w:val="center"/>
        <w:rPr>
          <w:rFonts w:ascii="宋体" w:hAnsi="宋体" w:eastAsia="宋体" w:cs="宋体"/>
          <w:color w:val="auto"/>
          <w:sz w:val="30"/>
          <w:highlight w:val="none"/>
        </w:rPr>
      </w:pPr>
      <w:r>
        <w:rPr>
          <w:rFonts w:hint="eastAsia" w:ascii="宋体" w:hAnsi="宋体" w:eastAsia="宋体" w:cs="宋体"/>
          <w:color w:val="auto"/>
          <w:sz w:val="30"/>
          <w:highlight w:val="none"/>
        </w:rPr>
        <w:t xml:space="preserve">政府采购货物买卖合同</w:t>
      </w:r>
      <w:r/>
    </w:p>
    <w:p>
      <w:pPr>
        <w:jc w:val="center"/>
        <w:rPr>
          <w:rFonts w:ascii="宋体" w:hAnsi="宋体" w:eastAsia="宋体" w:cs="宋体"/>
          <w:color w:val="auto"/>
          <w:sz w:val="30"/>
          <w:highlight w:val="none"/>
        </w:rPr>
      </w:pPr>
      <w:r>
        <w:rPr>
          <w:rFonts w:ascii="宋体" w:hAnsi="宋体" w:eastAsia="宋体" w:cs="宋体"/>
          <w:color w:val="auto"/>
          <w:sz w:val="30"/>
          <w:highlight w:val="none"/>
        </w:rPr>
      </w:r>
      <w:r/>
    </w:p>
    <w:p>
      <w:pPr>
        <w:rPr>
          <w:rFonts w:ascii="宋体" w:hAnsi="宋体" w:eastAsia="宋体" w:cs="宋体"/>
          <w:color w:val="auto"/>
          <w:sz w:val="30"/>
          <w:highlight w:val="none"/>
        </w:rPr>
      </w:pPr>
      <w:r>
        <w:rPr>
          <w:rFonts w:ascii="宋体" w:hAnsi="宋体" w:eastAsia="宋体" w:cs="宋体"/>
          <w:color w:val="auto"/>
          <w:sz w:val="30"/>
          <w:highlight w:val="none"/>
        </w:rPr>
      </w:r>
      <w:r/>
    </w:p>
    <w:p>
      <w:pPr>
        <w:rPr>
          <w:rFonts w:ascii="宋体" w:hAnsi="宋体" w:eastAsia="宋体" w:cs="宋体"/>
          <w:color w:val="auto"/>
          <w:sz w:val="30"/>
          <w:highlight w:val="none"/>
        </w:rPr>
      </w:pPr>
      <w:r>
        <w:rPr>
          <w:rFonts w:ascii="宋体" w:hAnsi="宋体" w:eastAsia="宋体" w:cs="宋体"/>
          <w:color w:val="auto"/>
          <w:sz w:val="30"/>
          <w:highlight w:val="none"/>
        </w:rPr>
      </w:r>
      <w:r/>
    </w:p>
    <w:p>
      <w:pPr>
        <w:rPr>
          <w:rFonts w:ascii="宋体" w:hAnsi="宋体" w:eastAsia="宋体" w:cs="宋体"/>
          <w:color w:val="auto"/>
          <w:sz w:val="30"/>
          <w:highlight w:val="none"/>
        </w:rPr>
      </w:pPr>
      <w:r>
        <w:rPr>
          <w:rFonts w:ascii="宋体" w:hAnsi="宋体" w:eastAsia="宋体" w:cs="宋体"/>
          <w:color w:val="auto"/>
          <w:sz w:val="30"/>
          <w:highlight w:val="none"/>
        </w:rPr>
      </w:r>
      <w:r/>
    </w:p>
    <w:p>
      <w:pPr>
        <w:spacing w:line="460" w:lineRule="exact"/>
        <w:rPr>
          <w:rFonts w:ascii="宋体" w:hAnsi="宋体" w:eastAsia="宋体" w:cs="宋体"/>
          <w:color w:val="auto"/>
          <w:sz w:val="30"/>
          <w:highlight w:val="none"/>
        </w:rPr>
      </w:pPr>
      <w:r>
        <w:rPr>
          <w:rFonts w:hint="eastAsia" w:ascii="宋体" w:hAnsi="宋体" w:eastAsia="宋体" w:cs="宋体"/>
          <w:color w:val="auto"/>
          <w:sz w:val="30"/>
          <w:highlight w:val="none"/>
        </w:rPr>
        <w:t xml:space="preserve">项目名称：盐城市住房和城乡建设局排涝设备采购项目（三次）</w:t>
      </w:r>
      <w:r/>
    </w:p>
    <w:p>
      <w:pPr>
        <w:spacing w:line="460" w:lineRule="exact"/>
        <w:rPr>
          <w:rFonts w:ascii="宋体" w:hAnsi="宋体" w:eastAsia="宋体" w:cs="宋体"/>
          <w:color w:val="auto"/>
          <w:sz w:val="30"/>
          <w:highlight w:val="none"/>
        </w:rPr>
      </w:pPr>
      <w:r>
        <w:rPr>
          <w:rFonts w:hint="eastAsia" w:ascii="宋体" w:hAnsi="宋体" w:eastAsia="宋体" w:cs="宋体"/>
          <w:color w:val="auto"/>
          <w:sz w:val="30"/>
          <w:highlight w:val="none"/>
        </w:rPr>
        <w:t xml:space="preserve">合同编号：</w:t>
      </w:r>
      <w:r/>
    </w:p>
    <w:p>
      <w:pPr>
        <w:spacing w:line="460" w:lineRule="exact"/>
        <w:rPr>
          <w:rFonts w:ascii="宋体" w:hAnsi="宋体" w:eastAsia="宋体" w:cs="宋体"/>
          <w:color w:val="auto"/>
          <w:sz w:val="30"/>
          <w:highlight w:val="none"/>
        </w:rPr>
      </w:pPr>
      <w:r>
        <w:rPr>
          <w:rFonts w:hint="eastAsia" w:ascii="宋体" w:hAnsi="宋体" w:eastAsia="宋体" w:cs="宋体"/>
          <w:color w:val="auto"/>
          <w:sz w:val="30"/>
          <w:highlight w:val="none"/>
        </w:rPr>
        <w:t xml:space="preserve">甲    方：盐城市住房和城乡建设局</w:t>
      </w:r>
      <w:r/>
    </w:p>
    <w:p>
      <w:pPr>
        <w:spacing w:line="460" w:lineRule="exact"/>
        <w:rPr>
          <w:rFonts w:ascii="宋体" w:hAnsi="宋体" w:eastAsia="宋体" w:cs="宋体"/>
          <w:color w:val="auto"/>
          <w:sz w:val="30"/>
          <w:highlight w:val="none"/>
        </w:rPr>
      </w:pPr>
      <w:r>
        <w:rPr>
          <w:rFonts w:hint="eastAsia" w:ascii="宋体" w:hAnsi="宋体" w:eastAsia="宋体" w:cs="宋体"/>
          <w:color w:val="auto"/>
          <w:sz w:val="30"/>
          <w:highlight w:val="none"/>
        </w:rPr>
        <w:t xml:space="preserve">乙    方：</w:t>
      </w:r>
      <w:r/>
    </w:p>
    <w:p>
      <w:pPr>
        <w:spacing w:line="460" w:lineRule="exact"/>
        <w:rPr>
          <w:rFonts w:ascii="宋体" w:hAnsi="宋体" w:eastAsia="宋体" w:cs="宋体"/>
          <w:color w:val="auto"/>
          <w:sz w:val="30"/>
          <w:highlight w:val="none"/>
        </w:rPr>
      </w:pPr>
      <w:r>
        <w:rPr>
          <w:rFonts w:hint="eastAsia" w:ascii="宋体" w:hAnsi="宋体" w:eastAsia="宋体" w:cs="宋体"/>
          <w:color w:val="auto"/>
          <w:sz w:val="30"/>
          <w:highlight w:val="none"/>
        </w:rPr>
        <w:t xml:space="preserve">签订时间：年   月   日</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使用说明</w:t>
      </w:r>
      <w:r/>
    </w:p>
    <w:p>
      <w:pPr>
        <w:ind w:firstLine="64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1.本合同标准文本适用于购买现成货物的采购项目，不包括需要供应商定制开发、创新研发的货物采购项目。</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2.本合同标准文本为政府采购货物买卖合同编制提供参考，可以结合采购项目具体情况，对文本做必要的调整修订后使用。</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3.本合同标准文本各条款中，如涉及填写多家供应商、制造商，多种采购标的、分包主要内容等信息的，可根据采购项目具体情况添加信息项。</w:t>
      </w:r>
      <w:r/>
    </w:p>
    <w:p>
      <w:pPr>
        <w:ind w:firstLine="880"/>
        <w:rPr>
          <w:rFonts w:ascii="宋体" w:hAnsi="宋体" w:eastAsia="宋体" w:cs="宋体"/>
          <w:color w:val="auto"/>
          <w:sz w:val="44"/>
          <w:szCs w:val="44"/>
          <w:highlight w:val="none"/>
        </w:rPr>
        <w:sectPr>
          <w:footerReference w:type="default" r:id="rId9"/>
          <w:footnotePr/>
          <w:endnotePr/>
          <w:type w:val="nextPage"/>
          <w:pgSz w:w="11906" w:h="16838" w:orient="portrait"/>
          <w:pgMar w:top="1440" w:right="1633" w:bottom="1440" w:left="1633" w:header="851" w:footer="992" w:gutter="0"/>
          <w:cols w:num="1" w:sep="0" w:space="425" w:equalWidth="1"/>
          <w:docGrid w:linePitch="360"/>
        </w:sectPr>
      </w:pPr>
      <w:r>
        <w:rPr>
          <w:rFonts w:ascii="宋体" w:hAnsi="宋体" w:eastAsia="宋体" w:cs="宋体"/>
          <w:color w:val="auto"/>
          <w:sz w:val="44"/>
          <w:szCs w:val="44"/>
          <w:highlight w:val="none"/>
        </w:rPr>
      </w:r>
      <w:r/>
    </w:p>
    <w:p>
      <w:pPr>
        <w:pStyle w:val="760"/>
        <w:jc w:val="center"/>
        <w:spacing w:beforeAutospacing="0" w:afterAutospacing="0" w:line="0" w:lineRule="atLeast"/>
        <w:rPr>
          <w:rFonts w:ascii="宋体" w:hAnsi="宋体" w:eastAsia="宋体" w:cs="宋体"/>
          <w:b/>
          <w:bCs/>
          <w:color w:val="auto"/>
          <w:sz w:val="36"/>
          <w:szCs w:val="36"/>
          <w:highlight w:val="none"/>
        </w:rPr>
      </w:pPr>
      <w:r/>
      <w:bookmarkStart w:id="182" w:name="_Toc18982"/>
      <w:r/>
      <w:bookmarkStart w:id="183" w:name="_Toc7062"/>
      <w:r>
        <w:rPr>
          <w:rFonts w:hint="eastAsia" w:ascii="宋体" w:hAnsi="宋体" w:eastAsia="宋体" w:cs="宋体"/>
          <w:b/>
          <w:bCs/>
          <w:color w:val="auto"/>
          <w:sz w:val="36"/>
          <w:szCs w:val="36"/>
          <w:highlight w:val="none"/>
        </w:rPr>
        <w:t xml:space="preserve">第三章  合同文本</w:t>
      </w:r>
      <w:bookmarkEnd w:id="182"/>
      <w:r/>
      <w:bookmarkEnd w:id="183"/>
      <w:r/>
      <w:r/>
    </w:p>
    <w:p>
      <w:pPr>
        <w:pStyle w:val="760"/>
        <w:ind w:firstLine="480"/>
        <w:jc w:val="both"/>
        <w:spacing w:beforeAutospacing="0" w:afterAutospacing="0" w:line="46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以下为中标后签定本项目合同的通用条款，中标人不得提出实质性的修改。</w:t>
      </w:r>
      <w:r/>
    </w:p>
    <w:p>
      <w:pPr>
        <w:pStyle w:val="760"/>
        <w:jc w:val="center"/>
        <w:spacing w:before="145" w:beforeAutospacing="0" w:after="145"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第一节  政府采购合同（货物）协议书</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甲方（全称）：</w:t>
      </w:r>
      <w:r>
        <w:rPr>
          <w:rFonts w:hint="eastAsia" w:ascii="宋体" w:hAnsi="宋体" w:eastAsia="宋体" w:cs="宋体"/>
          <w:color w:val="auto"/>
          <w:sz w:val="24"/>
          <w:highlight w:val="none"/>
          <w:u w:val="single"/>
        </w:rPr>
        <w:t xml:space="preserve"> 盐城市住房和城乡建设局   </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乙方（全称）：</w:t>
      </w:r>
      <w:r/>
    </w:p>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1.项目信息</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（1）采购项目名称：盐城市住房和城乡建设局排涝设备采购项目（三次）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（2）采购项目编号：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（3）采购计划编号：             </w:t>
      </w:r>
      <w:r/>
    </w:p>
    <w:p>
      <w:pPr>
        <w:pStyle w:val="940"/>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项目内容：盐城市住房和城乡建设局防汛应急排涝泵车、联合疏通车、拖拽式移动自吸泵，主要为1辆排涝泵车（≥1000m³/h）、2辆排涝泵车（子母式、≥2000m³/h）、2辆排涝泵车（≥3000m³/h）、3辆联合疏通车（含清洗吸污、18吨）、15台拖拽式移动自吸泵（≥360m³/h）、10台拖拽式移动自吸泵（≥550m³/h）的采购、安装、调试服务等。</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品牌：      </w:t>
      </w:r>
      <w:r/>
    </w:p>
    <w:p>
      <w:pPr>
        <w:ind w:firstLine="696"/>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规格型号： 详见招标文件  </w:t>
      </w:r>
      <w:r/>
    </w:p>
    <w:p>
      <w:pPr>
        <w:ind w:firstLine="696"/>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采购标的的技术要求、商务要求具体见附件。</w:t>
      </w:r>
      <w:r/>
    </w:p>
    <w:p>
      <w:pPr>
        <w:ind w:firstLine="696"/>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①涉及信息类产品，请填写该产品关键部件的品牌、型号：</w:t>
      </w:r>
      <w:r/>
    </w:p>
    <w:p>
      <w:pPr>
        <w:ind w:firstLine="480"/>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  标的名称：</w:t>
      </w:r>
      <w:r/>
    </w:p>
    <w:p>
      <w:pPr>
        <w:pStyle w:val="933"/>
        <w:ind w:firstLine="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33"/>
        <w:ind w:firstLine="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②涉及车辆采购，请填写是否属于新能源汽车：</w:t>
      </w:r>
      <w:r/>
    </w:p>
    <w:p>
      <w:pPr>
        <w:pStyle w:val="933"/>
        <w:ind w:firstLine="0"/>
        <w:spacing w:line="460" w:lineRule="exact"/>
        <w:rPr>
          <w:rFonts w:ascii="宋体" w:hAnsi="宋体" w:eastAsia="宋体" w:cs="宋体"/>
          <w:color w:val="auto"/>
          <w:sz w:val="24"/>
          <w:szCs w:val="24"/>
          <w:highlight w:val="none"/>
        </w:rPr>
      </w:pP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是，《政府采购品目分类目录》底级品目名称： 数量： 金额：</w:t>
      </w:r>
      <w:r/>
    </w:p>
    <w:p>
      <w:pPr>
        <w:pStyle w:val="933"/>
        <w:ind w:firstLine="0"/>
        <w:spacing w:line="460" w:lineRule="exact"/>
        <w:rPr>
          <w:rFonts w:ascii="宋体" w:hAnsi="宋体" w:eastAsia="宋体" w:cs="宋体"/>
          <w:color w:val="auto"/>
          <w:sz w:val="24"/>
          <w:szCs w:val="24"/>
          <w:highlight w:val="none"/>
        </w:rPr>
      </w:pP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pStyle w:val="933"/>
        <w:ind w:firstLine="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（4）政府采购组织形式：</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政府集中采购 </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部门集中采购</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分散采购</w:t>
      </w:r>
      <w:r/>
    </w:p>
    <w:p>
      <w:pPr>
        <w:pStyle w:val="933"/>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（5）政府采购方式：</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公开招标</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邀请招标</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竞争性谈判</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竞争性磋商</w:t>
      </w:r>
      <w:r/>
    </w:p>
    <w:p>
      <w:pPr>
        <w:pStyle w:val="933"/>
        <w:ind w:firstLine="420"/>
        <w:spacing w:line="460" w:lineRule="exact"/>
        <w:rPr>
          <w:rFonts w:ascii="宋体" w:hAnsi="宋体" w:eastAsia="宋体" w:cs="宋体"/>
          <w:color w:val="auto"/>
          <w:sz w:val="24"/>
          <w:szCs w:val="24"/>
          <w:highlight w:val="none"/>
          <w:u w:val="single"/>
        </w:rPr>
      </w:pP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询价</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单一来源</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框架协议</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其他：</w:t>
      </w:r>
      <w:r/>
    </w:p>
    <w:p>
      <w:pPr>
        <w:pStyle w:val="933"/>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（注：在框架协议采购的第二阶段，可选择使用该合同文本）</w:t>
      </w:r>
      <w:r/>
    </w:p>
    <w:p>
      <w:pPr>
        <w:pStyle w:val="933"/>
        <w:ind w:firstLine="24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（6）中标（成交）采购标的制造商是否为中小企业：</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spacing w:line="460" w:lineRule="exact"/>
        <w:rPr>
          <w:rFonts w:ascii="宋体" w:hAnsi="宋体" w:eastAsia="宋体" w:cs="宋体"/>
          <w:iCs/>
          <w:color w:val="auto"/>
          <w:sz w:val="24"/>
          <w:highlight w:val="none"/>
        </w:rPr>
      </w:pPr>
      <w:r>
        <w:rPr>
          <w:rFonts w:hint="eastAsia" w:ascii="宋体" w:hAnsi="宋体" w:eastAsia="宋体" w:cs="宋体"/>
          <w:color w:val="auto"/>
          <w:sz w:val="24"/>
          <w:highlight w:val="none"/>
        </w:rPr>
        <w:t xml:space="preserve">本合同是否为专门面向中小企业的采购合同（中小企业预留合同）：</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否</w:t>
      </w:r>
      <w:r/>
    </w:p>
    <w:p>
      <w:pPr>
        <w:ind w:firstLine="480"/>
        <w:spacing w:line="460" w:lineRule="exact"/>
        <w:rPr>
          <w:rFonts w:ascii="宋体" w:hAnsi="宋体" w:eastAsia="宋体" w:cs="宋体"/>
          <w:iCs/>
          <w:color w:val="auto"/>
          <w:sz w:val="24"/>
          <w:highlight w:val="none"/>
        </w:rPr>
      </w:pPr>
      <w:r>
        <w:rPr>
          <w:rFonts w:hint="eastAsia" w:ascii="宋体" w:hAnsi="宋体" w:eastAsia="宋体" w:cs="宋体"/>
          <w:color w:val="auto"/>
          <w:sz w:val="24"/>
          <w:highlight w:val="none"/>
        </w:rPr>
        <w:t xml:space="preserve">若本项目不专门面向中小企业采购，是否给予小微企业评审优惠：</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否</w:t>
      </w:r>
      <w:r/>
    </w:p>
    <w:p>
      <w:pPr>
        <w:ind w:firstLine="480"/>
        <w:spacing w:line="460" w:lineRule="exact"/>
        <w:rPr>
          <w:rFonts w:ascii="宋体" w:hAnsi="宋体" w:eastAsia="宋体" w:cs="宋体"/>
          <w:iCs/>
          <w:color w:val="auto"/>
          <w:sz w:val="24"/>
          <w:highlight w:val="none"/>
        </w:rPr>
      </w:pPr>
      <w:r>
        <w:rPr>
          <w:rFonts w:hint="eastAsia" w:ascii="宋体" w:hAnsi="宋体" w:eastAsia="宋体" w:cs="宋体"/>
          <w:color w:val="auto"/>
          <w:sz w:val="24"/>
          <w:highlight w:val="none"/>
        </w:rPr>
        <w:t xml:space="preserve">中标（成交）采购标的制造商是否为残疾人福利性单位：</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否</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中标（成交）采购标的制造商是否为监狱企业：</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否</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（7）合同是否分包：</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否</w:t>
      </w:r>
      <w:r/>
    </w:p>
    <w:p>
      <w:pPr>
        <w:ind w:firstLine="960"/>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 分包主要内容：</w:t>
      </w:r>
      <w:r/>
    </w:p>
    <w:p>
      <w:pPr>
        <w:ind w:firstLine="96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分包供应商/制造商名称（如供应商和制造商不同，请分别填写）：</w:t>
      </w:r>
      <w:r/>
    </w:p>
    <w:p>
      <w:pPr>
        <w:ind w:firstLine="10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分包供应商/制造商类型（如果供应商和制造商不同，只填写制造商类型）：</w:t>
      </w:r>
      <w:r/>
    </w:p>
    <w:p>
      <w:pPr>
        <w:ind w:firstLine="960"/>
        <w:spacing w:line="460" w:lineRule="exact"/>
        <w:rPr>
          <w:rFonts w:ascii="宋体" w:hAnsi="宋体" w:eastAsia="宋体" w:cs="宋体"/>
          <w:iCs/>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大型企业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中型企业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小微型企业  </w:t>
      </w:r>
      <w:r/>
    </w:p>
    <w:p>
      <w:pPr>
        <w:ind w:firstLine="960"/>
        <w:spacing w:line="460" w:lineRule="exact"/>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残疾人福利性单位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监狱企业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其他</w:t>
      </w:r>
      <w:r/>
    </w:p>
    <w:p>
      <w:pPr>
        <w:ind w:firstLine="480"/>
        <w:spacing w:line="460" w:lineRule="exact"/>
        <w:rPr>
          <w:rFonts w:ascii="宋体" w:hAnsi="宋体" w:eastAsia="宋体" w:cs="宋体"/>
          <w:iCs/>
          <w:color w:val="auto"/>
          <w:sz w:val="24"/>
          <w:highlight w:val="none"/>
        </w:rPr>
      </w:pPr>
      <w:r>
        <w:rPr>
          <w:rFonts w:hint="eastAsia" w:ascii="宋体" w:hAnsi="宋体" w:eastAsia="宋体" w:cs="宋体"/>
          <w:color w:val="auto"/>
          <w:sz w:val="24"/>
          <w:highlight w:val="none"/>
        </w:rPr>
        <w:t xml:space="preserve">（8）中标（成交）供应商是否为外商投资企业：</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否</w:t>
      </w:r>
      <w:r/>
    </w:p>
    <w:p>
      <w:pPr>
        <w:pStyle w:val="933"/>
        <w:ind w:firstLine="420"/>
        <w:spacing w:line="460" w:lineRule="exact"/>
        <w:tabs>
          <w:tab w:val="left" w:pos="1340" w:leader="none"/>
        </w:tabs>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外商投资企业类型：</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全部由外国投资者投资  </w:t>
      </w:r>
      <w:r>
        <w:rPr>
          <w:rFonts w:ascii="Wingdings" w:hAnsi="Wingdings" w:eastAsia="宋体" w:cs="Wingdings"/>
          <w:color w:val="auto"/>
          <w:sz w:val="24"/>
          <w:szCs w:val="24"/>
          <w:highlight w:val="none"/>
        </w:rPr>
        <w:t xml:space="preserve">□</w:t>
      </w:r>
      <w:r>
        <w:rPr>
          <w:rFonts w:hint="eastAsia" w:ascii="宋体" w:hAnsi="宋体" w:eastAsia="宋体" w:cs="宋体"/>
          <w:iCs/>
          <w:color w:val="auto"/>
          <w:sz w:val="24"/>
          <w:szCs w:val="24"/>
          <w:highlight w:val="none"/>
        </w:rPr>
        <w:t xml:space="preserve">部分由外国投资者投资</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（9）是否涉及进口产品：</w:t>
      </w:r>
      <w:r/>
    </w:p>
    <w:p>
      <w:pPr>
        <w:ind w:firstLine="960"/>
        <w:spacing w:line="460" w:lineRule="exact"/>
        <w:rPr>
          <w:rFonts w:ascii="宋体" w:hAnsi="宋体" w:eastAsia="宋体" w:cs="宋体"/>
          <w:color w:val="auto"/>
          <w:sz w:val="24"/>
          <w:highlight w:val="none"/>
          <w:u w:val="singl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是，《政府采购品目分类目录》底级品目名称： 金额：</w:t>
      </w:r>
      <w:r/>
    </w:p>
    <w:p>
      <w:pPr>
        <w:ind w:firstLine="96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国别： 品牌： 规格型号：</w:t>
      </w:r>
      <w:r/>
    </w:p>
    <w:p>
      <w:pPr>
        <w:ind w:firstLine="960"/>
        <w:spacing w:line="460" w:lineRule="exact"/>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否</w:t>
      </w:r>
      <w:r/>
    </w:p>
    <w:p>
      <w:pPr>
        <w:ind w:firstLine="480"/>
        <w:spacing w:line="460" w:lineRule="exact"/>
        <w:tabs>
          <w:tab w:val="left" w:pos="7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（10）是否涉及节能产品：</w:t>
      </w:r>
      <w:r/>
    </w:p>
    <w:p>
      <w:pPr>
        <w:spacing w:line="460" w:lineRule="exact"/>
        <w:tabs>
          <w:tab w:val="left" w:pos="740" w:leader="none"/>
        </w:tabs>
        <w:rPr>
          <w:rFonts w:ascii="宋体" w:hAnsi="宋体" w:eastAsia="宋体" w:cs="宋体"/>
          <w:color w:val="auto"/>
          <w:sz w:val="24"/>
          <w:highlight w:val="none"/>
          <w:u w:val="singl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是，《节能产品政府采购品目清单》的底级品目名称：</w:t>
      </w:r>
      <w:r/>
    </w:p>
    <w:p>
      <w:pPr>
        <w:ind w:firstLine="720"/>
        <w:spacing w:line="460" w:lineRule="exact"/>
        <w:tabs>
          <w:tab w:val="left" w:pos="740" w:leader="none"/>
        </w:tabs>
        <w:rPr>
          <w:rFonts w:ascii="宋体" w:hAnsi="宋体" w:eastAsia="宋体" w:cs="宋体"/>
          <w:iCs/>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强制采购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优先采购    </w:t>
      </w:r>
      <w:r/>
    </w:p>
    <w:p>
      <w:pPr>
        <w:spacing w:line="460" w:lineRule="exact"/>
        <w:tabs>
          <w:tab w:val="left" w:pos="740" w:leader="none"/>
        </w:tabs>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否</w:t>
      </w:r>
      <w:r/>
    </w:p>
    <w:p>
      <w:pPr>
        <w:spacing w:line="460" w:lineRule="exact"/>
        <w:tabs>
          <w:tab w:val="left" w:pos="7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是否涉及环境标志产品：</w:t>
      </w:r>
      <w:r/>
    </w:p>
    <w:p>
      <w:pPr>
        <w:ind w:firstLine="480"/>
        <w:spacing w:line="460" w:lineRule="exact"/>
        <w:widowControl/>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是，《环境标志产品政府采购品目清单》的底级品目名称：</w:t>
      </w:r>
      <w:r/>
    </w:p>
    <w:p>
      <w:pPr>
        <w:ind w:firstLine="720"/>
        <w:spacing w:line="460" w:lineRule="exact"/>
        <w:tabs>
          <w:tab w:val="left" w:pos="740" w:leader="none"/>
        </w:tabs>
        <w:rPr>
          <w:rFonts w:ascii="宋体" w:hAnsi="宋体" w:eastAsia="宋体" w:cs="宋体"/>
          <w:iCs/>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强制采购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优先采购    </w:t>
      </w:r>
      <w:r/>
    </w:p>
    <w:p>
      <w:pPr>
        <w:ind w:firstLine="480"/>
        <w:spacing w:line="460" w:lineRule="exact"/>
        <w:tabs>
          <w:tab w:val="left" w:pos="740" w:leader="none"/>
        </w:tabs>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否</w:t>
      </w:r>
      <w:r/>
    </w:p>
    <w:p>
      <w:pPr>
        <w:pStyle w:val="933"/>
        <w:ind w:firstLine="48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是否涉及绿色产品： </w:t>
      </w:r>
      <w:r/>
    </w:p>
    <w:p>
      <w:pPr>
        <w:pStyle w:val="933"/>
        <w:ind w:firstLine="420"/>
        <w:spacing w:line="460" w:lineRule="exact"/>
        <w:rPr>
          <w:rFonts w:ascii="宋体" w:hAnsi="宋体" w:eastAsia="宋体" w:cs="宋体"/>
          <w:color w:val="auto"/>
          <w:sz w:val="24"/>
          <w:szCs w:val="24"/>
          <w:highlight w:val="none"/>
          <w:u w:val="single"/>
        </w:rPr>
      </w:pP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是，绿色产品政府采购相关政策确定的底级品目名称：</w:t>
      </w:r>
      <w:r/>
    </w:p>
    <w:p>
      <w:pPr>
        <w:ind w:firstLine="720"/>
        <w:spacing w:line="460" w:lineRule="exact"/>
        <w:tabs>
          <w:tab w:val="left" w:pos="740" w:leader="none"/>
        </w:tabs>
        <w:rPr>
          <w:rFonts w:ascii="宋体" w:hAnsi="宋体" w:eastAsia="宋体" w:cs="宋体"/>
          <w:iCs/>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强制采购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优先采购    </w:t>
      </w:r>
      <w:r/>
    </w:p>
    <w:p>
      <w:pPr>
        <w:pStyle w:val="933"/>
        <w:ind w:firstLine="420"/>
        <w:spacing w:line="460" w:lineRule="exact"/>
        <w:rPr>
          <w:rFonts w:ascii="宋体" w:hAnsi="宋体" w:eastAsia="宋体" w:cs="宋体"/>
          <w:color w:val="auto"/>
          <w:sz w:val="24"/>
          <w:szCs w:val="24"/>
          <w:highlight w:val="none"/>
        </w:rPr>
      </w:pP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（11）涉及商品包装和快递包装的，是否参考《商品包装政府采购需求标准（试行）》、《快递包装政府采购需求标准（试行）》明确产品及相关快递服务的具体包装要求：</w:t>
      </w:r>
      <w:r/>
    </w:p>
    <w:p>
      <w:pPr>
        <w:ind w:firstLine="960"/>
        <w:spacing w:line="460" w:lineRule="exact"/>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否      </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不涉及</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2.合同金额</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（1）合同金额小写：</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大写：</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（2）合同定价方式（采用组合定价方式的，可以勾选多项）：</w:t>
      </w:r>
      <w:r/>
    </w:p>
    <w:p>
      <w:pPr>
        <w:ind w:firstLine="480"/>
        <w:spacing w:line="460" w:lineRule="exact"/>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固定总价</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固定单价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固定费率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成本补偿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绩效激励 </w:t>
      </w:r>
      <w:r>
        <w:rPr>
          <w:rFonts w:ascii="Wingdings" w:hAnsi="Wingdings" w:eastAsia="宋体" w:cs="Wingdings"/>
          <w:color w:val="auto"/>
          <w:sz w:val="24"/>
          <w:highlight w:val="none"/>
        </w:rPr>
        <w:t xml:space="preserve">□</w:t>
      </w:r>
      <w:r>
        <w:rPr>
          <w:rFonts w:hint="eastAsia" w:ascii="宋体" w:hAnsi="宋体" w:eastAsia="宋体" w:cs="宋体"/>
          <w:iCs/>
          <w:color w:val="auto"/>
          <w:sz w:val="24"/>
          <w:highlight w:val="none"/>
        </w:rPr>
        <w:t xml:space="preserve">其他</w:t>
      </w:r>
      <w:r/>
    </w:p>
    <w:p>
      <w:pPr>
        <w:pStyle w:val="941"/>
        <w:ind w:left="0" w:firstLine="480"/>
        <w:spacing w:line="460" w:lineRule="exact"/>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（3）付款方式（按项目实际勾选填写）：</w:t>
      </w:r>
      <w:r/>
    </w:p>
    <w:p>
      <w:pPr>
        <w:ind w:firstLine="720"/>
        <w:spacing w:line="460" w:lineRule="exact"/>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全额付款：</w:t>
      </w:r>
      <w:r/>
    </w:p>
    <w:p>
      <w:pPr>
        <w:ind w:firstLine="720"/>
        <w:spacing w:line="460" w:lineRule="exact"/>
        <w:rPr>
          <w:rFonts w:ascii="宋体" w:hAnsi="宋体" w:eastAsia="宋体" w:cs="宋体"/>
          <w:color w:val="auto"/>
          <w:highlight w:val="non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分期付款：</w:t>
      </w:r>
      <w:r/>
    </w:p>
    <w:p>
      <w:pPr>
        <w:pStyle w:val="760"/>
        <w:ind w:left="210" w:firstLine="480"/>
        <w:jc w:val="both"/>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预付款支付时间：1.</w:t>
      </w:r>
      <w:r>
        <w:rPr>
          <w:rFonts w:hint="eastAsia" w:ascii="宋体" w:hAnsi="宋体" w:eastAsia="宋体" w:cs="宋体"/>
          <w:color w:val="auto"/>
          <w:highlight w:val="none"/>
          <w:u w:val="single"/>
        </w:rPr>
        <w:t xml:space="preserve">合同签订后，甲方在收到乙方预付款发票后10个工作日内支付合同金额的30%作为预付款</w:t>
      </w:r>
      <w:r>
        <w:rPr>
          <w:rFonts w:hint="eastAsia" w:ascii="宋体" w:hAnsi="宋体" w:eastAsia="宋体" w:cs="宋体"/>
          <w:color w:val="auto"/>
          <w:highlight w:val="none"/>
        </w:rPr>
        <w:t xml:space="preserve">；</w:t>
      </w:r>
      <w:r/>
    </w:p>
    <w:p>
      <w:pPr>
        <w:ind w:firstLine="720"/>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2.所有货物安装调试完毕，经初步验收合格后，付至合同总价的80%；</w:t>
      </w:r>
      <w:r/>
    </w:p>
    <w:p>
      <w:pPr>
        <w:ind w:firstLine="717"/>
        <w:spacing w:line="460" w:lineRule="exact"/>
        <w:tabs>
          <w:tab w:val="left" w:pos="710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 初步验收合格且满12个月，经最终验收合格后付清货款。</w:t>
      </w:r>
      <w:r>
        <w:rPr>
          <w:rFonts w:hint="eastAsia" w:ascii="宋体" w:hAnsi="宋体" w:eastAsia="宋体" w:cs="宋体"/>
          <w:color w:val="auto"/>
          <w:sz w:val="24"/>
          <w:highlight w:val="none"/>
          <w:u w:val="single"/>
        </w:rPr>
        <w:tab/>
      </w:r>
      <w:r/>
    </w:p>
    <w:p>
      <w:pPr>
        <w:ind w:left="210" w:firstLine="477"/>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注：1）在签订合同时，乙方明确表示无需预付款或者主动要求降低预付款比例的，甲方可不适用前述预付款规定。</w:t>
      </w:r>
      <w:r/>
    </w:p>
    <w:p>
      <w:pPr>
        <w:ind w:firstLine="717"/>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2）上述付款，甲方在收到发票后10个工作日内支付。</w:t>
      </w:r>
      <w:r/>
    </w:p>
    <w:p>
      <w:pPr>
        <w:ind w:firstLine="72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当采购数量与实际使用数量不一致时，乙方应根据实际使用量供货，合同的最终结算金额按实际使用量乘以成交单价进行计算。</w:t>
      </w:r>
      <w:r/>
    </w:p>
    <w:p>
      <w:pPr>
        <w:ind w:firstLine="720"/>
        <w:spacing w:line="460" w:lineRule="exact"/>
        <w:rPr>
          <w:rFonts w:ascii="宋体" w:hAnsi="宋体" w:eastAsia="宋体" w:cs="宋体"/>
          <w:color w:val="auto"/>
          <w:sz w:val="24"/>
          <w:highlight w:val="none"/>
          <w:u w:val="singl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成本补偿：</w:t>
      </w:r>
      <w:r>
        <w:rPr>
          <w:rFonts w:hint="eastAsia" w:ascii="宋体" w:hAnsi="宋体" w:eastAsia="宋体" w:cs="宋体"/>
          <w:color w:val="auto"/>
          <w:sz w:val="24"/>
          <w:highlight w:val="none"/>
          <w:u w:val="single"/>
        </w:rPr>
        <w:t xml:space="preserve">      （应明确按照成本补偿方式的支付方式和支付条件）   </w:t>
      </w:r>
      <w:r/>
    </w:p>
    <w:p>
      <w:pPr>
        <w:ind w:firstLine="720"/>
        <w:spacing w:line="460" w:lineRule="exact"/>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绩效激励：</w:t>
      </w:r>
      <w:r>
        <w:rPr>
          <w:rFonts w:hint="eastAsia" w:ascii="宋体" w:hAnsi="宋体" w:eastAsia="宋体" w:cs="宋体"/>
          <w:color w:val="auto"/>
          <w:sz w:val="24"/>
          <w:highlight w:val="none"/>
          <w:u w:val="single"/>
        </w:rPr>
        <w:t xml:space="preserve">      （应明确按照绩效激励方式的支付方式和支付条件）   </w:t>
      </w:r>
      <w:r/>
    </w:p>
    <w:p>
      <w:pPr>
        <w:ind w:firstLine="482"/>
        <w:spacing w:line="460" w:lineRule="exact"/>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3.合同履行</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（1）起始日期：年月日，完成日期：年月日。</w:t>
      </w:r>
      <w:r/>
    </w:p>
    <w:p>
      <w:pPr>
        <w:ind w:firstLine="480"/>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（2）履约地点：</w:t>
      </w:r>
      <w:r>
        <w:rPr>
          <w:rFonts w:hint="eastAsia" w:ascii="宋体" w:hAnsi="宋体" w:eastAsia="宋体" w:cs="宋体"/>
          <w:color w:val="auto"/>
          <w:sz w:val="24"/>
          <w:highlight w:val="none"/>
          <w:u w:val="single"/>
        </w:rPr>
        <w:t xml:space="preserve"> 盐城市  </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4.合同验收</w:t>
      </w:r>
      <w:r/>
    </w:p>
    <w:p>
      <w:pPr>
        <w:numPr>
          <w:ilvl w:val="0"/>
          <w:numId w:val="1"/>
        </w:num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验收组织方式：</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自行组织 </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委托第三方组织</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验收主体：</w:t>
      </w:r>
      <w:r>
        <w:rPr>
          <w:rFonts w:hint="eastAsia" w:ascii="宋体" w:hAnsi="宋体" w:eastAsia="宋体" w:cs="宋体"/>
          <w:color w:val="auto"/>
          <w:sz w:val="24"/>
          <w:highlight w:val="none"/>
          <w:u w:val="single"/>
        </w:rPr>
        <w:t xml:space="preserve">   盐城市住房和城乡建设局  </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是否邀请本项目的其他供应商参加验收：</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否</w:t>
      </w:r>
      <w:r/>
    </w:p>
    <w:p>
      <w:pPr>
        <w:ind w:firstLine="96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是否邀请专家参加验收：</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否</w:t>
      </w:r>
      <w:r/>
    </w:p>
    <w:p>
      <w:pPr>
        <w:ind w:firstLine="96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是否邀请服务对象参加验收：</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否</w:t>
      </w:r>
      <w:r/>
    </w:p>
    <w:p>
      <w:pPr>
        <w:ind w:firstLine="96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是否邀请第三方检测机构参加验收：</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是  </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否</w:t>
      </w:r>
      <w:r/>
    </w:p>
    <w:p>
      <w:pPr>
        <w:ind w:firstLine="96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是否进行抽查检测：</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是，抽查比例：</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否</w:t>
      </w:r>
      <w:r/>
    </w:p>
    <w:p>
      <w:pPr>
        <w:ind w:firstLine="960"/>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是否存在破坏性检测：</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是，</w:t>
      </w:r>
      <w:r>
        <w:rPr>
          <w:rFonts w:hint="eastAsia" w:ascii="宋体" w:hAnsi="宋体" w:eastAsia="宋体" w:cs="宋体"/>
          <w:color w:val="auto"/>
          <w:sz w:val="24"/>
          <w:highlight w:val="none"/>
          <w:u w:val="single"/>
        </w:rPr>
        <w:t xml:space="preserve">（应明确对被破坏的检测产品的处理方式）</w:t>
      </w:r>
      <w:r/>
    </w:p>
    <w:p>
      <w:pPr>
        <w:ind w:firstLine="960"/>
        <w:spacing w:line="460" w:lineRule="exact"/>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否</w:t>
      </w:r>
      <w:r/>
    </w:p>
    <w:p>
      <w:pPr>
        <w:ind w:firstLine="960"/>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验收组织的其他事项：</w:t>
      </w:r>
      <w:r/>
    </w:p>
    <w:p>
      <w:pPr>
        <w:ind w:firstLine="480"/>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（2）履约验收时间：</w:t>
      </w:r>
      <w:r>
        <w:rPr>
          <w:rFonts w:hint="eastAsia" w:ascii="宋体" w:hAnsi="宋体" w:eastAsia="宋体" w:cs="宋体"/>
          <w:color w:val="auto"/>
          <w:sz w:val="24"/>
          <w:highlight w:val="none"/>
          <w:u w:val="single"/>
        </w:rPr>
        <w:t xml:space="preserve">供应商提出验收申请之日起7日内组织验收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（3）履约验收方式：</w:t>
      </w: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一次性验收         </w:t>
      </w:r>
      <w:r/>
    </w:p>
    <w:p>
      <w:pPr>
        <w:spacing w:line="460" w:lineRule="exact"/>
        <w:rPr>
          <w:rFonts w:ascii="宋体" w:hAnsi="宋体" w:eastAsia="宋体" w:cs="宋体"/>
          <w:color w:val="auto"/>
          <w:sz w:val="24"/>
          <w:highlight w:val="none"/>
        </w:rPr>
      </w:pPr>
      <w:r>
        <w:rPr>
          <w:rFonts w:ascii="Wingdings" w:hAnsi="Wingdings" w:eastAsia="宋体" w:cs="Wingdings"/>
          <w:color w:val="auto"/>
          <w:sz w:val="24"/>
          <w:highlight w:val="none"/>
        </w:rPr>
        <w:t xml:space="preserve">☑</w:t>
      </w:r>
      <w:r>
        <w:rPr>
          <w:rFonts w:hint="eastAsia" w:ascii="宋体" w:hAnsi="宋体" w:eastAsia="宋体" w:cs="宋体"/>
          <w:color w:val="auto"/>
          <w:sz w:val="24"/>
          <w:highlight w:val="none"/>
        </w:rPr>
        <w:t xml:space="preserve">分期/分项验收：</w:t>
      </w:r>
      <w:r>
        <w:rPr>
          <w:rFonts w:hint="eastAsia" w:ascii="宋体" w:hAnsi="宋体" w:eastAsia="宋体" w:cs="宋体"/>
          <w:color w:val="auto"/>
          <w:sz w:val="24"/>
          <w:highlight w:val="none"/>
          <w:u w:val="single"/>
        </w:rPr>
        <w:t xml:space="preserve">甲方应在</w:t>
      </w:r>
      <w:bookmarkStart w:id="184" w:name="OLE_LINK38"/>
      <w:r/>
      <w:bookmarkStart w:id="185" w:name="OLE_LINK37"/>
      <w:r>
        <w:rPr>
          <w:rFonts w:hint="eastAsia" w:ascii="宋体" w:hAnsi="宋体" w:eastAsia="宋体" w:cs="宋体"/>
          <w:color w:val="auto"/>
          <w:sz w:val="24"/>
          <w:highlight w:val="none"/>
          <w:u w:val="single"/>
        </w:rPr>
        <w:t xml:space="preserve">全部货物到货安装完毕后的7日内</w:t>
      </w:r>
      <w:bookmarkEnd w:id="184"/>
      <w:r/>
      <w:bookmarkEnd w:id="185"/>
      <w:r>
        <w:rPr>
          <w:rFonts w:hint="eastAsia" w:ascii="宋体" w:hAnsi="宋体" w:eastAsia="宋体" w:cs="宋体"/>
          <w:color w:val="auto"/>
          <w:sz w:val="24"/>
          <w:highlight w:val="none"/>
          <w:u w:val="single"/>
        </w:rPr>
        <w:t xml:space="preserve">进行初步验收，验收包括：型号、规格、数量、外观是否完好，安装调试是否合格等。验收合格后甲方应在验收报告上签字盖章，初步验收合格且项目运行满12个月后，甲方组织对货物的质量及使用状况等进行最终验收</w:t>
      </w:r>
      <w:r>
        <w:rPr>
          <w:rFonts w:hint="eastAsia" w:ascii="宋体" w:hAnsi="宋体" w:eastAsia="宋体" w:cs="宋体"/>
          <w:color w:val="auto"/>
          <w:sz w:val="24"/>
          <w:highlight w:val="none"/>
        </w:rPr>
        <w:t xml:space="preserve">。</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（4）履约验收程序：</w:t>
      </w:r>
      <w:r>
        <w:rPr>
          <w:rFonts w:hint="eastAsia" w:ascii="宋体" w:hAnsi="宋体" w:eastAsia="宋体" w:cs="宋体"/>
          <w:color w:val="auto"/>
          <w:sz w:val="24"/>
          <w:highlight w:val="none"/>
          <w:u w:val="single"/>
        </w:rPr>
        <w:t xml:space="preserve">遵从国家法律法规规定   </w:t>
      </w:r>
      <w:r/>
    </w:p>
    <w:p>
      <w:pPr>
        <w:ind w:firstLine="480"/>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（5）履约验收的内容：</w:t>
      </w:r>
      <w:r>
        <w:rPr>
          <w:rFonts w:hint="eastAsia" w:ascii="宋体" w:hAnsi="宋体" w:eastAsia="宋体" w:cs="宋体"/>
          <w:color w:val="auto"/>
          <w:sz w:val="24"/>
          <w:highlight w:val="none"/>
          <w:u w:val="single"/>
        </w:rPr>
        <w:t xml:space="preserve"> 包括每一项技术和商务要求的履约情况，特别是落实政府采购扶持中小企业，支持绿色发展和乡村振兴等政策情况  </w:t>
      </w:r>
      <w:r/>
    </w:p>
    <w:p>
      <w:pPr>
        <w:ind w:firstLine="480"/>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（6）履约验收标准：</w:t>
      </w:r>
      <w:r>
        <w:rPr>
          <w:rFonts w:hint="eastAsia" w:ascii="宋体" w:hAnsi="宋体" w:eastAsia="宋体" w:cs="宋体"/>
          <w:color w:val="auto"/>
          <w:sz w:val="24"/>
          <w:highlight w:val="none"/>
          <w:u w:val="single"/>
        </w:rPr>
        <w:t xml:space="preserve">遵从国家法律法规规定  </w:t>
      </w:r>
      <w:r/>
    </w:p>
    <w:p>
      <w:pPr>
        <w:pStyle w:val="933"/>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（7）是否以采购活动中供应商提供的样品作为参考：</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宋体"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p>
    <w:p>
      <w:pPr>
        <w:ind w:firstLine="480"/>
        <w:spacing w:line="460" w:lineRule="exact"/>
        <w:rPr>
          <w:rFonts w:ascii="宋体" w:hAnsi="宋体" w:eastAsia="宋体" w:cs="宋体"/>
          <w:color w:val="auto"/>
          <w:highlight w:val="none"/>
        </w:rPr>
      </w:pPr>
      <w:r>
        <w:rPr>
          <w:rFonts w:hint="eastAsia" w:ascii="宋体" w:hAnsi="宋体" w:eastAsia="宋体" w:cs="宋体"/>
          <w:color w:val="auto"/>
          <w:sz w:val="24"/>
          <w:highlight w:val="none"/>
        </w:rPr>
        <w:t xml:space="preserve">（8）履约验收其他事项：</w:t>
      </w:r>
      <w:r>
        <w:rPr>
          <w:rFonts w:hint="eastAsia" w:ascii="宋体" w:hAnsi="宋体" w:eastAsia="宋体" w:cs="宋体"/>
          <w:color w:val="auto"/>
          <w:sz w:val="24"/>
          <w:highlight w:val="none"/>
          <w:u w:val="single"/>
        </w:rPr>
        <w:t xml:space="preserve">严格按照招标文件要求进行验收。根据实际需要，可对部分设备的技术参数进行现场测试，乙方负责提供现场测试所需的辅助设备、材料等。对出现假冒产品、以次充好、质量缺陷的，甲方有权退货，乙方承担全部责任，且产生所有费用均由乙方承担。车辆验收合格后，乙方负责产权登记，产生所有费用（购置税、上牌费、保险费等）均由乙方承担。</w:t>
      </w:r>
      <w:r/>
    </w:p>
    <w:p>
      <w:pPr>
        <w:ind w:firstLine="480"/>
        <w:spacing w:line="46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（9）履约保证金的退还：经最终验收合格后，合同全部履约完成后退还（根据投标时承诺的质保期限退还）。</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5.组成合同的文件</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本协议书与下列文件一起构成合同文件，如下述文件之间有任何抵触、矛盾或歧义，应按以下顺序解释：</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（1）政府采购合同协议书及其变更、补充协议</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（2）政府采购合同专用条款</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（3）政府采购合同通用条款</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（4）中标（成交）通知书</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（5）投标（响应）文件</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（6）采购文件</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（7）有关技术文件，图纸</w:t>
      </w:r>
      <w:r/>
    </w:p>
    <w:p>
      <w:pPr>
        <w:pStyle w:val="933"/>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6.合同生效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本合同自</w:t>
      </w:r>
      <w:r>
        <w:rPr>
          <w:rFonts w:hint="eastAsia" w:ascii="宋体" w:hAnsi="宋体" w:eastAsia="宋体" w:cs="宋体"/>
          <w:color w:val="auto"/>
          <w:sz w:val="24"/>
          <w:highlight w:val="none"/>
          <w:u w:val="single"/>
        </w:rPr>
        <w:t xml:space="preserve">  甲乙双方签订本合同之日起 </w:t>
      </w:r>
      <w:r>
        <w:rPr>
          <w:rFonts w:hint="eastAsia" w:ascii="宋体" w:hAnsi="宋体" w:eastAsia="宋体" w:cs="宋体"/>
          <w:color w:val="auto"/>
          <w:sz w:val="24"/>
          <w:highlight w:val="none"/>
        </w:rPr>
        <w:t xml:space="preserve">生效。</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7.合同份数</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rPr>
        <w:t xml:space="preserve"> 拾 </w:t>
      </w:r>
      <w:r>
        <w:rPr>
          <w:rFonts w:hint="eastAsia" w:ascii="宋体" w:hAnsi="宋体" w:eastAsia="宋体" w:cs="宋体"/>
          <w:color w:val="auto"/>
          <w:sz w:val="24"/>
          <w:highlight w:val="none"/>
        </w:rPr>
        <w:t xml:space="preserve">份，甲方执</w:t>
      </w:r>
      <w:r>
        <w:rPr>
          <w:rFonts w:hint="eastAsia" w:ascii="宋体" w:hAnsi="宋体" w:eastAsia="宋体" w:cs="宋体"/>
          <w:color w:val="auto"/>
          <w:sz w:val="24"/>
          <w:highlight w:val="none"/>
          <w:u w:val="single"/>
        </w:rPr>
        <w:t xml:space="preserve"> 伍 </w:t>
      </w:r>
      <w:r>
        <w:rPr>
          <w:rFonts w:hint="eastAsia" w:ascii="宋体" w:hAnsi="宋体" w:eastAsia="宋体" w:cs="宋体"/>
          <w:color w:val="auto"/>
          <w:sz w:val="24"/>
          <w:highlight w:val="none"/>
        </w:rPr>
        <w:t xml:space="preserve">份，乙方执</w:t>
      </w:r>
      <w:r>
        <w:rPr>
          <w:rFonts w:hint="eastAsia" w:ascii="宋体" w:hAnsi="宋体" w:eastAsia="宋体" w:cs="宋体"/>
          <w:color w:val="auto"/>
          <w:sz w:val="24"/>
          <w:highlight w:val="none"/>
          <w:u w:val="single"/>
        </w:rPr>
        <w:t xml:space="preserve"> 伍 </w:t>
      </w:r>
      <w:r>
        <w:rPr>
          <w:rFonts w:hint="eastAsia" w:ascii="宋体" w:hAnsi="宋体" w:eastAsia="宋体" w:cs="宋体"/>
          <w:color w:val="auto"/>
          <w:sz w:val="24"/>
          <w:highlight w:val="none"/>
        </w:rPr>
        <w:t xml:space="preserve">份，均具有同等法律效力。</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合同订立时间：年月日</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合同订立地点：</w:t>
      </w:r>
      <w:r>
        <w:rPr>
          <w:rFonts w:hint="eastAsia" w:ascii="宋体" w:hAnsi="宋体" w:eastAsia="宋体" w:cs="宋体"/>
          <w:color w:val="auto"/>
          <w:sz w:val="24"/>
          <w:highlight w:val="none"/>
          <w:u w:val="single"/>
        </w:rPr>
        <w:t xml:space="preserve">   盐城市住房和城乡建设局  </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附件：具体标的及其技术要求和商务要求、联合协议、分包意向协议等。</w:t>
      </w:r>
      <w:r/>
    </w:p>
    <w:p>
      <w:pPr>
        <w:pStyle w:val="941"/>
        <w:spacing w:line="400" w:lineRule="exact"/>
        <w:rPr>
          <w:rFonts w:ascii="宋体" w:hAnsi="宋体" w:eastAsia="宋体" w:cs="宋体"/>
          <w:color w:val="auto"/>
          <w:highlight w:val="none"/>
          <w:lang w:eastAsia="zh-CN"/>
        </w:rPr>
      </w:pPr>
      <w:r>
        <w:rPr>
          <w:rFonts w:ascii="宋体" w:hAnsi="宋体" w:eastAsia="宋体" w:cs="宋体"/>
          <w:color w:val="auto"/>
          <w:highlight w:val="none"/>
          <w:lang w:eastAsia="zh-CN"/>
        </w:rPr>
      </w:r>
      <w:r/>
    </w:p>
    <w:tbl>
      <w:tblPr>
        <w:tblStyle w:val="73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895"/>
        <w:gridCol w:w="3681"/>
        <w:gridCol w:w="2513"/>
        <w:gridCol w:w="221"/>
      </w:tblGrid>
      <w:tr>
        <w:trPr>
          <w:trHeight w:val="490"/>
        </w:trPr>
        <w:tc>
          <w:tcPr>
            <w:gridSpan w:val="2"/>
            <w:tcBorders>
              <w:bottom w:val="single" w:color="auto" w:sz="2" w:space="0"/>
              <w:right w:val="single" w:color="auto" w:sz="2" w:space="0"/>
            </w:tcBorders>
            <w:tcW w:w="2562"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ind w:firstLine="115"/>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tcPr>
          <w:p>
            <w:pPr>
              <w:jc w:val="center"/>
              <w:spacing w:line="300" w:lineRule="exact"/>
              <w:rPr>
                <w:rFonts w:ascii="宋体" w:hAnsi="宋体" w:eastAsia="宋体" w:cs="宋体"/>
                <w:color w:val="auto"/>
                <w:spacing w:val="20"/>
                <w:sz w:val="24"/>
                <w:highlight w:val="none"/>
              </w:rPr>
            </w:pPr>
            <w:r>
              <w:rPr>
                <w:rFonts w:ascii="宋体" w:hAnsi="宋体" w:eastAsia="宋体" w:cs="宋体"/>
                <w:color w:val="auto"/>
                <w:spacing w:val="20"/>
                <w:sz w:val="24"/>
                <w:highlight w:val="none"/>
              </w:rPr>
            </w:r>
            <w:r/>
          </w:p>
        </w:tc>
      </w:tr>
      <w:tr>
        <w:trPr>
          <w:trHeight w:val="586"/>
        </w:trPr>
        <w:tc>
          <w:tcPr>
            <w:gridSpan w:val="4"/>
            <w:tcBorders>
              <w:top w:val="single" w:color="auto" w:sz="2" w:space="0"/>
            </w:tcBorders>
            <w:tcW w:w="5000" w:type="pct"/>
            <w:vAlign w:val="center"/>
            <w:textDirection w:val="lrTb"/>
            <w:noWrap/>
          </w:tcPr>
          <w:p>
            <w:pPr>
              <w:jc w:val="center"/>
              <w:spacing w:line="300" w:lineRule="exact"/>
              <w:rPr>
                <w:rFonts w:ascii="宋体" w:hAnsi="宋体" w:eastAsia="宋体" w:cs="宋体"/>
                <w:color w:val="auto"/>
                <w:spacing w:val="20"/>
                <w:sz w:val="24"/>
                <w:highlight w:val="none"/>
              </w:rPr>
            </w:pPr>
            <w:r>
              <w:rPr>
                <w:rFonts w:hint="eastAsia" w:ascii="宋体" w:hAnsi="宋体" w:eastAsia="宋体" w:cs="宋体"/>
                <w:color w:val="auto"/>
                <w:sz w:val="24"/>
                <w:highlight w:val="none"/>
              </w:rPr>
              <w:t xml:space="preserve">注：涉及联合体或其他合同主体的信息应按上表格式加列。</w:t>
            </w:r>
            <w:r/>
          </w:p>
        </w:tc>
      </w:tr>
    </w:tbl>
    <w:p>
      <w:pPr>
        <w:rPr>
          <w:rFonts w:ascii="宋体" w:hAnsi="宋体" w:eastAsia="宋体" w:cs="宋体"/>
          <w:b/>
          <w:bCs/>
          <w:color w:val="auto"/>
          <w:sz w:val="24"/>
          <w:highlight w:val="none"/>
        </w:rPr>
      </w:pPr>
      <w:r>
        <w:rPr>
          <w:rFonts w:ascii="宋体" w:hAnsi="宋体" w:eastAsia="宋体" w:cs="宋体"/>
          <w:b/>
          <w:bCs/>
          <w:color w:val="auto"/>
          <w:sz w:val="24"/>
          <w:highlight w:val="none"/>
        </w:rPr>
      </w:r>
      <w:r/>
    </w:p>
    <w:p>
      <w:pPr>
        <w:rPr>
          <w:rFonts w:ascii="宋体" w:hAnsi="宋体" w:eastAsia="宋体" w:cs="宋体"/>
          <w:color w:val="auto"/>
          <w:sz w:val="24"/>
          <w:highlight w:val="none"/>
        </w:rPr>
      </w:pPr>
      <w:r/>
      <w:bookmarkStart w:id="186" w:name="_Toc27624"/>
      <w:r/>
      <w:bookmarkStart w:id="187" w:name="_Toc20313"/>
      <w:r>
        <w:rPr>
          <w:rFonts w:hint="eastAsia" w:ascii="宋体" w:hAnsi="宋体" w:eastAsia="宋体" w:cs="宋体"/>
          <w:color w:val="auto"/>
          <w:sz w:val="24"/>
          <w:highlight w:val="none"/>
        </w:rPr>
        <w:br w:type="page" w:clear="all"/>
      </w:r>
      <w:r/>
    </w:p>
    <w:p>
      <w:pPr>
        <w:pStyle w:val="725"/>
        <w:jc w:val="center"/>
        <w:rPr>
          <w:rFonts w:hint="default" w:cs="宋体"/>
          <w:color w:val="auto"/>
          <w:sz w:val="24"/>
          <w:szCs w:val="24"/>
          <w:highlight w:val="none"/>
        </w:rPr>
      </w:pPr>
      <w:r>
        <w:rPr>
          <w:rFonts w:cs="宋体"/>
          <w:color w:val="auto"/>
          <w:sz w:val="24"/>
          <w:szCs w:val="24"/>
          <w:highlight w:val="none"/>
        </w:rPr>
        <w:t xml:space="preserve">第二节  政府采购合同通用条款</w:t>
      </w:r>
      <w:bookmarkEnd w:id="186"/>
      <w:r/>
      <w:r/>
    </w:p>
    <w:p>
      <w:pPr>
        <w:ind w:firstLine="482"/>
        <w:spacing w:line="460" w:lineRule="exact"/>
        <w:tabs>
          <w:tab w:val="left" w:pos="8820" w:leader="none"/>
          <w:tab w:val="left" w:pos="9345" w:leader="none"/>
          <w:tab w:val="left" w:pos="9765" w:leader="none"/>
        </w:tabs>
        <w:rPr>
          <w:rFonts w:ascii="宋体" w:hAnsi="宋体" w:eastAsia="宋体" w:cs="宋体"/>
          <w:b/>
          <w:bCs/>
          <w:color w:val="auto"/>
          <w:sz w:val="24"/>
          <w:highlight w:val="none"/>
        </w:rPr>
      </w:pPr>
      <w:r>
        <w:rPr>
          <w:rFonts w:hint="eastAsia" w:ascii="宋体" w:hAnsi="宋体" w:eastAsia="宋体" w:cs="宋体"/>
          <w:b/>
          <w:color w:val="auto"/>
          <w:sz w:val="24"/>
          <w:highlight w:val="none"/>
        </w:rPr>
        <w:t xml:space="preserve">1. </w:t>
      </w:r>
      <w:r>
        <w:rPr>
          <w:rFonts w:hint="eastAsia" w:ascii="宋体" w:hAnsi="宋体" w:eastAsia="宋体" w:cs="宋体"/>
          <w:b/>
          <w:bCs/>
          <w:color w:val="auto"/>
          <w:sz w:val="24"/>
          <w:highlight w:val="none"/>
        </w:rPr>
        <w:t xml:space="preserve">定义</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1.1合同当事人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（1）采购人（以下称甲方）是指使用财政性资金，通过政府采购方式向供应商购买货物及其相关服务的国家机关、事业单位、团体组织。</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（2）供应商（以下称乙方）是指参加政府采购活动并且中标（成交），向采购人提供合同约定的货物及其相关服务的法人、非法人组织或者自然人。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（3）其他合同主体是指除采购人和供应商以外，</w:t>
      </w:r>
      <w:r>
        <w:rPr>
          <w:rFonts w:hint="eastAsia" w:ascii="宋体" w:hAnsi="宋体" w:eastAsia="宋体" w:cs="宋体"/>
          <w:bCs/>
          <w:color w:val="auto"/>
          <w:sz w:val="24"/>
          <w:highlight w:val="none"/>
        </w:rPr>
        <w:t xml:space="preserve">依法参与合同缔结或履行，享有权利、承担义务的合同当事人</w:t>
      </w:r>
      <w:r>
        <w:rPr>
          <w:rFonts w:hint="eastAsia" w:ascii="宋体" w:hAnsi="宋体" w:eastAsia="宋体" w:cs="宋体"/>
          <w:color w:val="auto"/>
          <w:sz w:val="24"/>
          <w:highlight w:val="none"/>
        </w:rPr>
        <w:t xml:space="preserve">。</w:t>
      </w:r>
      <w:r/>
    </w:p>
    <w:p>
      <w:pPr>
        <w:ind w:firstLine="480"/>
        <w:spacing w:line="460" w:lineRule="exact"/>
        <w:tabs>
          <w:tab w:val="left" w:pos="570" w:leader="none"/>
          <w:tab w:val="left" w:pos="9240" w:leader="none"/>
          <w:tab w:val="left" w:pos="95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1.2本合同下列术语应解释为：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（1）“合同”系指</w:t>
      </w:r>
      <w:r>
        <w:rPr>
          <w:rFonts w:hint="eastAsia" w:ascii="宋体" w:hAnsi="宋体" w:eastAsia="宋体" w:cs="宋体"/>
          <w:bCs/>
          <w:color w:val="auto"/>
          <w:sz w:val="24"/>
          <w:highlight w:val="none"/>
        </w:rPr>
        <w:t xml:space="preserve">合同当事人意思表示达成一致的任何协议，包括签署的</w:t>
      </w:r>
      <w:r>
        <w:rPr>
          <w:rFonts w:hint="eastAsia" w:ascii="宋体" w:hAnsi="宋体" w:eastAsia="宋体" w:cs="宋体"/>
          <w:color w:val="auto"/>
          <w:sz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460" w:lineRule="exact"/>
        <w:tabs>
          <w:tab w:val="left" w:pos="570" w:leader="none"/>
          <w:tab w:val="left" w:pos="9240" w:leader="none"/>
          <w:tab w:val="left" w:pos="95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（2）“合同价款”系指根据本合同规定乙方在全面履行合同义务后甲方应支付给乙方的价款。</w:t>
      </w:r>
      <w:r/>
    </w:p>
    <w:p>
      <w:pPr>
        <w:ind w:firstLine="480"/>
        <w:spacing w:line="460" w:lineRule="exact"/>
        <w:tabs>
          <w:tab w:val="left" w:pos="570" w:leader="none"/>
          <w:tab w:val="left" w:pos="9240" w:leader="none"/>
          <w:tab w:val="left" w:pos="95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（3）“货物”系指乙方根据本合同规定须向甲方提供的各种形态和种类的物品，包括原材料、设备、产品（包括软件）及相关的备品备件、工具、手册及其他技术资料和材料等。</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460" w:lineRule="exact"/>
        <w:tabs>
          <w:tab w:val="left" w:pos="570" w:leader="none"/>
          <w:tab w:val="left" w:pos="9240" w:leader="none"/>
          <w:tab w:val="left" w:pos="95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w:t>
      </w:r>
      <w:r/>
    </w:p>
    <w:p>
      <w:pPr>
        <w:ind w:firstLine="480"/>
        <w:spacing w:line="460" w:lineRule="exact"/>
        <w:tabs>
          <w:tab w:val="left" w:pos="570" w:leader="none"/>
          <w:tab w:val="left" w:pos="9240" w:leader="none"/>
          <w:tab w:val="left" w:pos="95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（7）其他术语解释，见【</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color w:val="auto"/>
          <w:sz w:val="24"/>
          <w:highlight w:val="none"/>
        </w:rPr>
        <w:t xml:space="preserve">2.合同标的及金额</w:t>
      </w:r>
      <w:r/>
    </w:p>
    <w:p>
      <w:pPr>
        <w:ind w:firstLine="480"/>
        <w:spacing w:line="460" w:lineRule="exact"/>
        <w:rPr>
          <w:rFonts w:ascii="宋体" w:hAnsi="宋体" w:eastAsia="宋体" w:cs="宋体"/>
          <w:b/>
          <w:bCs/>
          <w:i/>
          <w:iCs/>
          <w:color w:val="auto"/>
          <w:sz w:val="24"/>
          <w:highlight w:val="none"/>
        </w:rPr>
      </w:pPr>
      <w:r>
        <w:rPr>
          <w:rFonts w:hint="eastAsia" w:ascii="宋体" w:hAnsi="宋体" w:eastAsia="宋体" w:cs="宋体"/>
          <w:color w:val="auto"/>
          <w:sz w:val="24"/>
          <w:highlight w:val="none"/>
        </w:rPr>
        <w:t xml:space="preserve">2.1 合同标的及金额应与中标（成交）结果一致。乙方为履行本合同而发生的所有费用均应包含在合同价款中，甲方不再另行支付其他任何费用。</w:t>
      </w:r>
      <w:r/>
    </w:p>
    <w:p>
      <w:pPr>
        <w:ind w:firstLine="482"/>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 履行合同的时间、地点和方式</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3.1 乙方应当在约定的时间、地点，按照约定方式履行合同。</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 甲方的权利和义务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4.3 甲方有权要求乙方对缺陷部分予以修复，并按合同约定享有货物保修及其他合同约定的权利。</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4.4 甲方应当按照合同约定及时对交付的货物进行验收，未在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约定的期限内对乙方履约提出任何异议或者向乙方作出任何说明的，视为验收通过。</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4.5 甲方应当根据合同约定及时向乙方支付合同价款，不得以内部人员变更、履行内部付款流程等为由，拒绝或迟延支付。</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4.6 国家法律法规规定及</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约定应由甲方承担的其他义务和责任。</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 乙方的权利和义务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5.1 签署合同后，乙方应确定项目负责人（或项目联系人），负责与本合同有关的事务。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39"/>
        <w:ind w:firstLine="422"/>
        <w:spacing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5.3乙方有权根据合同约定向甲方收取合同价款。</w:t>
      </w:r>
      <w:r/>
    </w:p>
    <w:p>
      <w:pPr>
        <w:pStyle w:val="739"/>
        <w:ind w:firstLine="422"/>
        <w:spacing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5.4国家法律法规规定及</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约定应由乙方承担的其他义务和责任。</w:t>
      </w:r>
      <w:r/>
    </w:p>
    <w:p>
      <w:pPr>
        <w:numPr>
          <w:ilvl w:val="0"/>
          <w:numId w:val="2"/>
        </w:num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合同履行</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6.1 甲乙双方应当按照</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约定顺序履行合同义务；如果没有先后顺序的，应当同时履行。</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 货物包装、运输、保险和交付要求</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7.1 本合同</w:t>
      </w:r>
      <w:r>
        <w:rPr>
          <w:rFonts w:hint="eastAsia" w:ascii="宋体" w:hAnsi="宋体" w:eastAsia="宋体" w:cs="宋体"/>
          <w:bCs/>
          <w:color w:val="auto"/>
          <w:sz w:val="24"/>
          <w:highlight w:val="none"/>
        </w:rPr>
        <w:t xml:space="preserve">涉及商品包装、快递包装的，</w:t>
      </w:r>
      <w:r>
        <w:rPr>
          <w:rFonts w:hint="eastAsia" w:ascii="宋体" w:hAnsi="宋体" w:eastAsia="宋体" w:cs="宋体"/>
          <w:color w:val="auto"/>
          <w:sz w:val="24"/>
          <w:highlight w:val="none"/>
        </w:rPr>
        <w:t xml:space="preserve">除</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另有约定外，</w:t>
      </w:r>
      <w:r>
        <w:rPr>
          <w:rFonts w:hint="eastAsia" w:ascii="宋体" w:hAnsi="宋体" w:eastAsia="宋体" w:cs="宋体"/>
          <w:color w:val="auto"/>
          <w:sz w:val="24"/>
          <w:highlight w:val="none"/>
        </w:rPr>
        <w:t xml:space="preserve">包装应适应远距离运输、防潮、防震、防锈和防野蛮装卸等要求，确保货物安全无损地运抵</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约定的</w:t>
      </w:r>
      <w:r>
        <w:rPr>
          <w:rFonts w:hint="eastAsia" w:ascii="宋体" w:hAnsi="宋体" w:eastAsia="宋体" w:cs="宋体"/>
          <w:color w:val="auto"/>
          <w:sz w:val="24"/>
          <w:highlight w:val="none"/>
        </w:rPr>
        <w:t xml:space="preserve">指定现场。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7.2 除</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另有约定外，</w:t>
      </w:r>
      <w:r>
        <w:rPr>
          <w:rFonts w:hint="eastAsia" w:ascii="宋体" w:hAnsi="宋体" w:eastAsia="宋体" w:cs="宋体"/>
          <w:color w:val="auto"/>
          <w:sz w:val="24"/>
          <w:highlight w:val="none"/>
        </w:rPr>
        <w:t xml:space="preserve">乙方负责办理将货物运抵本合同规定的交货地点，并装卸、交付至甲方的一切运输事项，相关费用应包含在合同价款中。</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7.3 货物保险要求按</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规定执行</w:t>
      </w:r>
      <w:r>
        <w:rPr>
          <w:rFonts w:hint="eastAsia" w:ascii="宋体" w:hAnsi="宋体" w:eastAsia="宋体" w:cs="宋体"/>
          <w:color w:val="auto"/>
          <w:sz w:val="24"/>
          <w:highlight w:val="none"/>
        </w:rPr>
        <w:t xml:space="preserve">。</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7.5 乙方在运输到达之前应提前通知甲方，并提示货物运输装卸的注意事项，甲方配合乙方做好货物的接收工作。</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7.6 如因包装、运输问题导致货物损毁、丢失或者品质下降，甲方有权要求降价、换货、拒收部分或整批货物，由此产生的费用和损失，均由乙方承担。</w:t>
      </w:r>
      <w:r/>
    </w:p>
    <w:p>
      <w:pPr>
        <w:ind w:firstLine="482"/>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8. 质量标准和保证</w:t>
      </w:r>
      <w:r/>
    </w:p>
    <w:p>
      <w:pPr>
        <w:pStyle w:val="744"/>
        <w:ind w:firstLine="480"/>
        <w:spacing w:line="46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8.1 质量标准</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4"/>
        <w:ind w:firstLine="480"/>
        <w:spacing w:line="46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（2）采用中华人民共和国法定计量单位。</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（3）乙方所提供的货物应符合国家有关安全、环保、卫生的规定。</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8.2 保证</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规定或乙方书面承诺（两者以较长的为准）的质量保证期内，本保证保持有效。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（2）在质量保证期内所发现的缺陷，甲方应尽快以书面形式通知乙方。</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（3）乙方收到通知后，应在</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规定的响应时间内以合理的速度免费维修或更换有缺陷的货物或部件。</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（5）乙方在约定的时间内未能弥补缺陷，甲方可采取必要的补救措施，但其风险和费用将由乙方承担，甲方根据合同约定对乙方行使的其他权利不受影响。</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9.权利瑕疵担保</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9.1 乙方保证对其出售的货物享有合法的权利。</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9.2 乙方保证在交付的货物上不存在抵押权等担保物权。</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9.3 如甲方使用上述货物构成对第三人侵权的，则由乙方承担全部责任。</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 知识产权保护</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10.1 乙方对其所销售的货物应当享有知识产权或经权利人合法授权，保证没有侵犯任何第三人的知识产权等权利。</w:t>
      </w:r>
      <w:bookmarkStart w:id="188" w:name="_Hlk163047038"/>
      <w:r>
        <w:rPr>
          <w:rFonts w:hint="eastAsia" w:ascii="宋体" w:hAnsi="宋体" w:eastAsia="宋体" w:cs="宋体"/>
          <w:color w:val="auto"/>
          <w:sz w:val="24"/>
          <w:highlight w:val="none"/>
        </w:rPr>
        <w:t xml:space="preserve">因违反前述约定对第三人构成侵权的，应当由乙方向第三人承担法律责任；甲方依法向第三人赔偿后，有权向乙方追偿。甲方有其他损失的，乙方应当赔偿</w:t>
      </w:r>
      <w:bookmarkEnd w:id="188"/>
      <w:r>
        <w:rPr>
          <w:rFonts w:hint="eastAsia" w:ascii="宋体" w:hAnsi="宋体" w:eastAsia="宋体" w:cs="宋体"/>
          <w:color w:val="auto"/>
          <w:sz w:val="24"/>
          <w:highlight w:val="none"/>
        </w:rPr>
        <w:t xml:space="preserve">。</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 保密义务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中约定。</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 合同价款支付</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12.1 合同价款支付按照国库集中支付制度及财政管理相关规定执行。</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中约定。</w:t>
      </w:r>
      <w:r/>
    </w:p>
    <w:p>
      <w:pPr>
        <w:pStyle w:val="739"/>
        <w:ind w:firstLine="482"/>
        <w:spacing w:after="0"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履约保证金</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13.1 乙方应当以支票、汇票、本票或者金融机构、担保机构出具的保函等非现金形式提交。</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13.2 如果乙方出现</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13.3 甲方在项目通过验收后按照</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规定支付。</w:t>
      </w:r>
      <w:r/>
    </w:p>
    <w:p>
      <w:pPr>
        <w:ind w:firstLine="482"/>
        <w:spacing w:line="460" w:lineRule="exact"/>
        <w:rPr>
          <w:rFonts w:ascii="宋体" w:hAnsi="宋体" w:eastAsia="宋体" w:cs="宋体"/>
          <w:b/>
          <w:color w:val="auto"/>
          <w:sz w:val="24"/>
          <w:highlight w:val="none"/>
        </w:rPr>
      </w:pPr>
      <w:r>
        <w:rPr>
          <w:rFonts w:hint="eastAsia" w:ascii="宋体" w:hAnsi="宋体" w:eastAsia="宋体" w:cs="宋体"/>
          <w:b/>
          <w:bCs/>
          <w:color w:val="auto"/>
          <w:sz w:val="24"/>
          <w:highlight w:val="none"/>
        </w:rPr>
        <w:t xml:space="preserve">14. </w:t>
      </w:r>
      <w:r>
        <w:rPr>
          <w:rFonts w:hint="eastAsia" w:ascii="宋体" w:hAnsi="宋体" w:eastAsia="宋体" w:cs="宋体"/>
          <w:b/>
          <w:color w:val="auto"/>
          <w:sz w:val="24"/>
          <w:highlight w:val="none"/>
        </w:rPr>
        <w:t xml:space="preserve">售后服务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14.1 除项目不涉及或采购活动中明确约定无须承担外，乙方还应提供下列服务：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（1）货物的现场移动、安装、调试、启动监督及技术支持；</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（2）提供货物组装和维修所需的专用工具和辅助材料；</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（3）在</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约定的期限内对所有的货物实施运行监督、维修，但前提条件是该服务并不能免除乙方在质量保证期内所承担的义务；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（4）在制造商所在地或指定现场就货物的安装、启动、运营、维护、废弃处置等对甲方操作人员进行培训；</w:t>
      </w:r>
      <w:r/>
    </w:p>
    <w:p>
      <w:pPr>
        <w:pStyle w:val="933"/>
        <w:ind w:firstLine="42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（5）依照法律、行政法规的规定或者按照</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约定，货物在有效使用年限届满后应予回收的，乙方负有自行或者委托第三人对货物予以回收的义务；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规定由乙方提供的其他服务。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14.2 乙方提供的售后服务的费用已包含在合同价款中，甲方不再另行支付。</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 违约责任</w:t>
      </w:r>
      <w:r/>
    </w:p>
    <w:p>
      <w:pPr>
        <w:ind w:firstLine="480"/>
        <w:spacing w:line="46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15.1质量瑕疵的违约责任</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乙方提供的产品不符合合同约定的质量标准或存在产品质量缺陷，甲方有权要求乙方根据</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要求</w:t>
      </w:r>
      <w:r>
        <w:rPr>
          <w:rFonts w:hint="eastAsia" w:ascii="宋体" w:hAnsi="宋体" w:eastAsia="宋体" w:cs="宋体"/>
          <w:color w:val="auto"/>
          <w:sz w:val="24"/>
          <w:highlight w:val="none"/>
        </w:rPr>
        <w:t xml:space="preserve">及时修理、重作、更换，并承担由此给甲方造成的损失。</w:t>
      </w:r>
      <w:r/>
    </w:p>
    <w:p>
      <w:pPr>
        <w:ind w:firstLine="480"/>
        <w:spacing w:line="46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15.2 迟延交货的违约责任</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color w:val="auto"/>
          <w:sz w:val="24"/>
          <w:highlight w:val="none"/>
        </w:rPr>
        <w:t xml:space="preserve">规定执行。如果涉及公共利益，且赔偿金额无法弥补公共利益损失，甲方可要求继续履行或者采取其他补救措施。</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15.3 迟延支付的违约责任</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甲方存在迟延支付乙方合同款项的，应当承担</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规定的逾期付款利息。</w:t>
      </w:r>
      <w:r/>
    </w:p>
    <w:p>
      <w:pPr>
        <w:ind w:firstLine="480"/>
        <w:spacing w:line="460" w:lineRule="exact"/>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15.4其他违约责任根据项目实际需要按</w:t>
      </w:r>
      <w:r>
        <w:rPr>
          <w:rFonts w:hint="eastAsia" w:ascii="宋体" w:hAnsi="宋体" w:eastAsia="宋体" w:cs="宋体"/>
          <w:b/>
          <w:bCs/>
          <w:color w:val="auto"/>
          <w:sz w:val="24"/>
          <w:highlight w:val="none"/>
        </w:rPr>
        <w:t xml:space="preserve">【政府采购合同专用条款】</w:t>
      </w:r>
      <w:r>
        <w:rPr>
          <w:rFonts w:hint="eastAsia" w:ascii="宋体" w:hAnsi="宋体" w:eastAsia="宋体" w:cs="宋体"/>
          <w:color w:val="auto"/>
          <w:sz w:val="24"/>
          <w:highlight w:val="none"/>
        </w:rPr>
        <w:t xml:space="preserve">规定执行。</w:t>
      </w:r>
      <w:r/>
    </w:p>
    <w:p>
      <w:pPr>
        <w:numPr>
          <w:ilvl w:val="0"/>
          <w:numId w:val="3"/>
        </w:numPr>
        <w:ind w:firstLine="482"/>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合同变更、中止与终止</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16.1合同的变更</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16.2合同的中止</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（1）合同履行过程中因供应商就采购文件、采购过程或结果提起投诉的，甲方认为有必要的，可以中止合同的履行。</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3"/>
        <w:ind w:firstLine="420"/>
        <w:jc w:val="both"/>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（4）甲方不得以行政区划调整、政府换届、机构或者职能调整以及相关责任人更替为由中止合同。</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16.3合同的终止</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（1）合同因有效期限届满而终止；</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（2）乙方未按合同约定履行，构成根本性违约的，甲方有权终止合同，并追究乙方的违约责任。</w:t>
      </w:r>
      <w:r/>
    </w:p>
    <w:p>
      <w:pPr>
        <w:pStyle w:val="933"/>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涉及国家利益、社会公共利益的情形</w:t>
      </w:r>
      <w:r/>
    </w:p>
    <w:p>
      <w:pPr>
        <w:pStyle w:val="933"/>
        <w:ind w:firstLine="420"/>
        <w:jc w:val="both"/>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 合同分包</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17.1 乙方不得将合同转包给其他供应商。涉及合同分包的，乙方应根据采购文件和投标（响应）文件规定进行合同分包。</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17.2 乙方执行政府采购政策向中小企业依法分包的，乙方应当按采购文件和投标（响应）文件签订分包意向协议，分包意向协议属于本合同组成部分。</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18. 不可抗力</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18.1 不可抗力是指合同双方不能预见、不能避免且不能克服的客观情况。</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18.2 任何一方对由于不可抗力造成的部分或全部不能履行合同不承担违约责任。但迟延履行后发生不可抗力的，不能免除责任。</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 解决争议的方法</w:t>
      </w:r>
      <w:r/>
    </w:p>
    <w:p>
      <w:pPr>
        <w:pStyle w:val="933"/>
        <w:ind w:firstLine="420"/>
        <w:jc w:val="both"/>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3"/>
        <w:ind w:firstLine="420"/>
        <w:jc w:val="both"/>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中进一步约定选择与争议有实际联系的地点的人民法院管辖，但管辖法院的约定不得违反级别管辖和专属管辖的规定。</w:t>
      </w:r>
      <w:r/>
    </w:p>
    <w:p>
      <w:pPr>
        <w:pStyle w:val="933"/>
        <w:ind w:firstLine="420"/>
        <w:jc w:val="both"/>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如甲乙双方有争议的事项不影响合同其他部分的履行，在争议解决期间，合同其他部分应当继续履行。</w:t>
      </w:r>
      <w:r/>
    </w:p>
    <w:p>
      <w:pPr>
        <w:ind w:firstLine="482"/>
        <w:spacing w:line="460" w:lineRule="exact"/>
        <w:rPr>
          <w:rFonts w:ascii="宋体" w:hAnsi="宋体" w:eastAsia="宋体" w:cs="宋体"/>
          <w:color w:val="auto"/>
          <w:sz w:val="24"/>
          <w:highlight w:val="none"/>
        </w:rPr>
      </w:pPr>
      <w:r>
        <w:rPr>
          <w:rFonts w:hint="eastAsia" w:ascii="宋体" w:hAnsi="宋体" w:eastAsia="宋体" w:cs="宋体"/>
          <w:b/>
          <w:color w:val="auto"/>
          <w:sz w:val="24"/>
          <w:highlight w:val="none"/>
        </w:rPr>
        <w:t xml:space="preserve">20. 政府采购政策</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20.1 </w:t>
      </w:r>
      <w:r>
        <w:rPr>
          <w:rFonts w:hint="eastAsia" w:ascii="宋体" w:hAnsi="宋体" w:eastAsia="宋体" w:cs="宋体"/>
          <w:color w:val="auto"/>
          <w:sz w:val="24"/>
          <w:highlight w:val="none"/>
          <w:lang w:val="en-GB"/>
        </w:rPr>
        <w:t xml:space="preserve">本合同应当按照规定执行政府采购政策。</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20.2 本合同依法执行政府采购政策的方式和内容，属于合同履约验收的范围。甲乙双方</w:t>
      </w:r>
      <w:r>
        <w:rPr>
          <w:rFonts w:hint="eastAsia" w:ascii="宋体" w:hAnsi="宋体" w:eastAsia="宋体" w:cs="宋体"/>
          <w:color w:val="auto"/>
          <w:sz w:val="24"/>
          <w:highlight w:val="none"/>
          <w:lang w:val="en-GB"/>
        </w:rPr>
        <w:t xml:space="preserve">未按规定要求执行政府采购政策造成损失的</w:t>
      </w:r>
      <w:r>
        <w:rPr>
          <w:rFonts w:hint="eastAsia" w:ascii="宋体" w:hAnsi="宋体" w:eastAsia="宋体" w:cs="宋体"/>
          <w:color w:val="auto"/>
          <w:sz w:val="24"/>
          <w:highlight w:val="none"/>
        </w:rPr>
        <w:t xml:space="preserve">，有过错的一方应当承担赔偿责任，双方都有过错的，各自承担相应的责任。</w:t>
      </w:r>
      <w:r/>
    </w:p>
    <w:p>
      <w:pPr>
        <w:pStyle w:val="739"/>
        <w:ind w:firstLine="480"/>
        <w:spacing w:after="0"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21. 法律适用</w:t>
      </w:r>
      <w:r/>
    </w:p>
    <w:p>
      <w:pPr>
        <w:pStyle w:val="933"/>
        <w:ind w:firstLine="420"/>
        <w:jc w:val="both"/>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本合同的订立、生效、解释、履行及与本合同有关的争议解决，均适用法律、行政法规。</w:t>
      </w:r>
      <w:r/>
    </w:p>
    <w:p>
      <w:pPr>
        <w:pStyle w:val="933"/>
        <w:ind w:firstLine="420"/>
        <w:jc w:val="both"/>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2"/>
        <w:spacing w:line="46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22. 通知</w:t>
      </w:r>
      <w:r/>
    </w:p>
    <w:p>
      <w:pPr>
        <w:pStyle w:val="933"/>
        <w:ind w:firstLine="420"/>
        <w:jc w:val="both"/>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933"/>
        <w:ind w:firstLine="0"/>
        <w:jc w:val="both"/>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22.2 一方当事人变更名称、住所、联系人、联系电话或电子邮箱等信息的，应当在变更后3日内及时书面通知对方，对方实际收到变更通知前的送达仍为有效送达。</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22.3本合同一方给另一方的通知均应采用书面形式，传真或快递送到本合同中规定的对方的地址和办理签收手续。</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22.4通知以送达之日或通知书中规定的生效之日起生效，两者中以较迟之日为准。</w:t>
      </w:r>
      <w:r/>
    </w:p>
    <w:p>
      <w:pPr>
        <w:numPr>
          <w:ilvl w:val="0"/>
          <w:numId w:val="4"/>
        </w:num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80"/>
        <w:spacing w:line="46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23.1合同未尽事项见</w:t>
      </w:r>
      <w:r>
        <w:rPr>
          <w:rFonts w:hint="eastAsia" w:ascii="宋体" w:hAnsi="宋体" w:eastAsia="宋体" w:cs="宋体"/>
          <w:b/>
          <w:color w:val="auto"/>
          <w:sz w:val="24"/>
          <w:highlight w:val="none"/>
        </w:rPr>
        <w:t xml:space="preserve">【政府采购合同专用条款】</w:t>
      </w:r>
      <w:r>
        <w:rPr>
          <w:rFonts w:hint="eastAsia" w:ascii="宋体" w:hAnsi="宋体" w:eastAsia="宋体" w:cs="宋体"/>
          <w:bCs/>
          <w:color w:val="auto"/>
          <w:sz w:val="24"/>
          <w:highlight w:val="none"/>
        </w:rPr>
        <w:t xml:space="preserve">。</w:t>
      </w:r>
      <w:r/>
    </w:p>
    <w:p>
      <w:pPr>
        <w:ind w:firstLine="480"/>
        <w:spacing w:line="460" w:lineRule="exact"/>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23.2 合同附件与合同正文具有同等的法律效力。</w:t>
      </w:r>
      <w:r/>
    </w:p>
    <w:p>
      <w:pPr>
        <w:jc w:val="center"/>
        <w:keepLines/>
        <w:keepNext/>
        <w:rPr>
          <w:rFonts w:ascii="宋体" w:hAnsi="宋体" w:eastAsia="宋体" w:cs="宋体"/>
          <w:color w:val="auto"/>
          <w:sz w:val="24"/>
          <w:highlight w:val="none"/>
        </w:rPr>
        <w:outlineLvl w:val="1"/>
      </w:pPr>
      <w:r>
        <w:rPr>
          <w:rFonts w:hint="eastAsia" w:ascii="宋体" w:hAnsi="宋体" w:eastAsia="宋体" w:cs="宋体"/>
          <w:color w:val="auto"/>
          <w:sz w:val="24"/>
          <w:highlight w:val="none"/>
        </w:rPr>
        <w:br w:type="page" w:clear="all"/>
      </w:r>
      <w:r/>
    </w:p>
    <w:p>
      <w:pPr>
        <w:jc w:val="center"/>
        <w:keepLines/>
        <w:keepNext/>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第三节  政府采购合同专用条款</w:t>
      </w:r>
      <w:bookmarkEnd w:id="187"/>
      <w:r/>
      <w:r/>
    </w:p>
    <w:tbl>
      <w:tblPr>
        <w:tblStyle w:val="734"/>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第1.2（6）项</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联合体具体要求</w:t>
            </w:r>
            <w:r/>
          </w:p>
        </w:tc>
        <w:tc>
          <w:tcPr>
            <w:tcW w:w="5170"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本项目不接受联合体投标。</w:t>
            </w:r>
            <w:r/>
          </w:p>
        </w:tc>
      </w:tr>
      <w:tr>
        <w:trPr>
          <w:trHeight w:val="604"/>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第1.2（7）项</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其他术语解释</w:t>
            </w:r>
            <w:r/>
          </w:p>
        </w:tc>
        <w:tc>
          <w:tcPr>
            <w:tcW w:w="5170"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遵从相关法律法规规定。</w:t>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第4.4款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履约验收中甲方提出异议或作出说明的期限</w:t>
            </w:r>
            <w:r/>
          </w:p>
        </w:tc>
        <w:tc>
          <w:tcPr>
            <w:tcW w:w="5170"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全部货物到货安装完毕，乙方提出验收申请后的7日内。</w:t>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第4.6款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约定甲方承担的其他义务和责任</w:t>
            </w:r>
            <w:r/>
          </w:p>
        </w:tc>
        <w:tc>
          <w:tcPr>
            <w:tcW w:w="5170" w:type="dxa"/>
            <w:vAlign w:val="center"/>
            <w:textDirection w:val="lrTb"/>
            <w:noWrap/>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第5.4款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约定乙方承担的其他义务和责任</w:t>
            </w:r>
            <w:r/>
          </w:p>
        </w:tc>
        <w:tc>
          <w:tcPr>
            <w:tcW w:w="5170" w:type="dxa"/>
            <w:vAlign w:val="center"/>
            <w:textDirection w:val="lrTb"/>
            <w:noWrap/>
          </w:tcPr>
          <w:p>
            <w:pPr>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第6.1款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履行合同义务的顺序</w:t>
            </w:r>
            <w:r/>
          </w:p>
        </w:tc>
        <w:tc>
          <w:tcPr>
            <w:tcW w:w="5170"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参照招标文件执行，主要为：乙方履行供货义务；甲方履行验收、付款等义务；乙方履行质保义务。</w:t>
            </w:r>
            <w:r/>
          </w:p>
        </w:tc>
      </w:tr>
      <w:tr>
        <w:trPr>
          <w:cantSplit/>
          <w:trHeight w:val="667"/>
        </w:trPr>
        <w:tc>
          <w:tcPr>
            <w:tcW w:w="1560" w:type="dxa"/>
            <w:vAlign w:val="center"/>
            <w:vMerge w:val="restart"/>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第7.1款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包装特殊要求</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1.商品包装层数不得超过3层，空隙率不大于40%；</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2.商品包装尽可能使用单一材质的包装材料，如因功能需求必需使用不同材质，不同材质间应便于分离；</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3.商品包装中铅、汞、镉、六价铬的总含量应不大于100mg/kg；</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4.商品包装印刷使用的油墨中挥发性有机化合物(VOCs)含量应不大于 5%（以重量计）；</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5.塑料材质商品包装上呈现的印刷颜色不得超过6色；</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6.纸质商品包装应使用75%以上的可再生纤维原料生产；</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7.木质商品包装的原料应来源于可持续性森林。</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9.每件包装箱内应附一份详细装箱单和质量合格凭证。</w:t>
            </w:r>
            <w:r/>
          </w:p>
          <w:p>
            <w:pP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67"/>
        </w:trPr>
        <w:tc>
          <w:tcPr>
            <w:tcW w:w="1560" w:type="dxa"/>
            <w:vAlign w:val="center"/>
            <w:vMerge w:val="continue"/>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指定现场</w:t>
            </w:r>
            <w:r/>
          </w:p>
        </w:tc>
        <w:tc>
          <w:tcPr>
            <w:tcW w:w="5170"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盐城市区，具体已甲方通知为准。</w:t>
            </w:r>
            <w:r/>
          </w:p>
        </w:tc>
      </w:tr>
      <w:tr>
        <w:trPr>
          <w:trHeight w:val="772"/>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第7.2款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运输特殊要求</w:t>
            </w:r>
            <w:r/>
          </w:p>
        </w:tc>
        <w:tc>
          <w:tcPr>
            <w:tcW w:w="5170" w:type="dxa"/>
            <w:vAlign w:val="center"/>
            <w:textDirection w:val="lrTb"/>
            <w:noWrap/>
          </w:tcPr>
          <w:p>
            <w:pPr>
              <w:spacing w:line="400" w:lineRule="exact"/>
              <w:rPr>
                <w:rFonts w:ascii="宋体" w:hAnsi="宋体" w:eastAsia="宋体" w:cs="宋体"/>
                <w:color w:val="auto"/>
                <w:sz w:val="24"/>
                <w:highlight w:val="none"/>
              </w:rPr>
            </w:pPr>
            <w:r/>
            <w:bookmarkStart w:id="189" w:name="OLE_LINK39"/>
            <w:r>
              <w:rPr>
                <w:rFonts w:hint="eastAsia" w:ascii="宋体" w:hAnsi="宋体" w:eastAsia="宋体" w:cs="宋体"/>
                <w:color w:val="auto"/>
                <w:sz w:val="24"/>
                <w:highlight w:val="none"/>
              </w:rPr>
              <w:t xml:space="preserve">1.货物初步验收合格的，交付使用并提供所需单据的日期视为交货日期；货物初步验收不合格的，整改后通过验收的日期视为交货日期。</w:t>
            </w:r>
            <w:bookmarkEnd w:id="189"/>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2.乙方在货物发运手续办理完毕后24小时内或货到48小时前通知甲方，以准备接货。（具体时间根据双方实际需求调整）</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3.乙方装运的货物不应超过合同规定的数量或重量。乙方应对超交数量或超重而产生的一切后果负责。</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4.货物在交付甲方前发生的风险均由乙方负责。</w:t>
            </w:r>
            <w:r/>
          </w:p>
        </w:tc>
      </w:tr>
      <w:tr>
        <w:trPr>
          <w:trHeight w:val="667"/>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第7.3款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保险要求</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货物交货前由乙方承担保险义务</w:t>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第8.2（1）项</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质量保证期</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1.货物免费质保期</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年。（自交货验收合格之日起计，期限为约定的三年质保期和乙方额外承诺的延长期限），因人为因素出现的故障不在免费保修范围内。超过保修期的机器设备，终身维修，维修时只收部件成本费。</w:t>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第8.2（3）项</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货物质量缺陷</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响应时间</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如在使用过程中发生质量问题，</w:t>
            </w:r>
            <w:bookmarkStart w:id="190" w:name="OLE_LINK68"/>
            <w:r/>
            <w:bookmarkStart w:id="191" w:name="OLE_LINK69"/>
            <w:r>
              <w:rPr>
                <w:rFonts w:hint="eastAsia" w:ascii="宋体" w:hAnsi="宋体" w:eastAsia="宋体" w:cs="宋体"/>
                <w:color w:val="auto"/>
                <w:sz w:val="24"/>
                <w:highlight w:val="none"/>
              </w:rPr>
              <w:t xml:space="preserve">响应时限明确“日常故障1小时内电话响应、24小时内上门服务；应急故障（如防汛期间）12小时内抵达现场”，24小时内无法完成维修或部件更换的，应免费提供同等设备供甲方使用，直至维修或部件更换完成。</w:t>
            </w:r>
            <w:bookmarkEnd w:id="190"/>
            <w:r/>
            <w:bookmarkEnd w:id="191"/>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第8款补充</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质量保证要求</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 在质保期内，乙方应对货物出现的质量及安全问题负责处理解决并承担一切费用（经专业机构鉴定为甲方不当使用的除外）。</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2.乙方应按照国家有关法律法规规章和“三包”规定以及招标文件售后服务要求及投标文件售后服务承诺提供售后服务。</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3.所有货物保修服务方式均为乙方上门保修，由乙方派员到货物使用现场维修，所产生的一切费用由乙方承担（双方视项目情况调整）。</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7.对货物的品牌、型号、数量、产地等进行检查和清点。如检验中发现短缺、损坏或假冒伪劣商品，乙方应立即采取补救措施，不得因此影响供货，否则一切损失由乙方负责。</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乙方应保证货物是全新（产品出厂日期距本次招标公告发布之日不超过6个月）、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第11.1款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其他应当保密的信息</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遵从相关法律法规规定。</w:t>
            </w:r>
            <w:r/>
          </w:p>
        </w:tc>
      </w:tr>
      <w:tr>
        <w:trPr>
          <w:trHeight w:val="697"/>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第12.2款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合同价款支付时间及要求</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1.合同款项的支付方式及进度安排：</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预付款支付时间：（1）合同签订后，甲方在收到乙方预付款发票后10个工作日内支付合同金额的30%作为预付款；</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（2）所有货物安装调试完毕，经初步验收合格后，付至合同总价的80%；</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（3）初步验收合格且满12个月，经最终验收合格后付清货款。</w:t>
            </w:r>
            <w:r>
              <w:rPr>
                <w:rFonts w:hint="eastAsia" w:ascii="宋体" w:hAnsi="宋体" w:eastAsia="宋体" w:cs="宋体"/>
                <w:color w:val="auto"/>
                <w:sz w:val="24"/>
                <w:highlight w:val="none"/>
              </w:rPr>
              <w:tab/>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注：1）在签订合同时，乙方明确表示无需预付款或者主动要求降低预付款比例的，甲方可不适用前述预付款规定。</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上述付款，甲方在收到发票后10个工作日内支付。</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 发票；</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 制造厂家出具的质量检验证书等；</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 装箱单；</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 甲方加盖公章证明交付使用合格的验收单。</w:t>
            </w:r>
            <w:r/>
          </w:p>
        </w:tc>
      </w:tr>
      <w:tr>
        <w:trPr>
          <w:trHeight w:val="697"/>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第13.2款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履约保证金不予退还的情形</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（4）中标人采取欺骗、弄虚作假方式投标的或与其他投标人串通投标的；</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第13.3款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履约保证金退还时间及逾期退还的违约金</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1.合同履行结束后，甲方应及时退还交纳的履约保证金。</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2.退还方式：退还至投标人缴纳履约保证金的账户。如为保函，在到期时自行失效。</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3.退还时间：经最终验收合格后，合同全部履约完成后退还（根据投标时承诺的质保期限退还）。</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4.退还条件：按合同要求全部履约完成并经采购人验收合格。</w:t>
            </w:r>
            <w:r/>
          </w:p>
        </w:tc>
      </w:tr>
      <w:tr>
        <w:trPr>
          <w:trHeight w:val="784"/>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第14.1（3）项</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运行监督、维修期限</w:t>
            </w:r>
            <w:r/>
          </w:p>
        </w:tc>
        <w:tc>
          <w:tcPr>
            <w:tcW w:w="5170"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约定的三年质保期和乙方额外承诺的延长期限。</w:t>
            </w:r>
            <w:r/>
          </w:p>
        </w:tc>
      </w:tr>
      <w:tr>
        <w:trPr>
          <w:trHeight w:val="784"/>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第14.1（5）项</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货物回收的约定</w:t>
            </w:r>
            <w:r/>
          </w:p>
        </w:tc>
        <w:tc>
          <w:tcPr>
            <w:tcW w:w="5170"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无</w:t>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第14.1（6）项</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乙方提供的其他服务</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提供人员培训（培训形式分为理论授课+现场实操）和应急演练、抢险等服务，具体以甲方要求为准。</w:t>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第15.1款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修理、重做、更换相关具体规定</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详见合同通用条款8.2条款、合同专用条款第二节第8款补充条款及合同专用条款中索赔条款。</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第15.2（2）项</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迟延交货赔偿费</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1.乙方应按照“开标（报价）一览表”中规定的交货期或承诺交货和提供服务，并交付甲方验收使用。</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2.如果乙方无正当理由拖延交货，将受到以下制裁：加收误期赔偿或终止合同。</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 乙方逾期交付货物的，乙方应按逾期交货总额每日向甲方支付</w:t>
            </w:r>
            <w:bookmarkStart w:id="192" w:name="OLE_LINK48"/>
            <w:r/>
            <w:bookmarkStart w:id="193" w:name="OLE_LINK49"/>
            <w:r>
              <w:rPr>
                <w:rFonts w:hint="eastAsia" w:ascii="宋体" w:hAnsi="宋体" w:eastAsia="宋体" w:cs="宋体"/>
                <w:color w:val="auto"/>
                <w:sz w:val="24"/>
                <w:highlight w:val="none"/>
              </w:rPr>
              <w:t xml:space="preserve">3‰</w:t>
            </w:r>
            <w:bookmarkEnd w:id="192"/>
            <w:r/>
            <w:bookmarkEnd w:id="193"/>
            <w:r>
              <w:rPr>
                <w:rFonts w:hint="eastAsia" w:ascii="宋体" w:hAnsi="宋体" w:eastAsia="宋体" w:cs="宋体"/>
                <w:color w:val="auto"/>
                <w:sz w:val="24"/>
                <w:highlight w:val="none"/>
              </w:rPr>
              <w:t xml:space="preserve">违约金，由甲方从待付货款中扣除。逾期超过约定15个工作日不能交货的，甲方可解除本合同。乙方因逾期交货或因其他违约行为导致甲方解除合同的，乙方应向甲方支付合同总值10%的违约金（扣除乙方履约保证金），并在甲方解除合同之日起5个工作日内退还甲方支付的预付款，如造成甲方损失超过违约金的，超出部分由乙方继续承担赔偿责任。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4.如乙方不能交付货物，或者有违法转包他人情形，乙方应向甲方支付合同总价的10%滞纳金（扣除乙方履约保证金）。</w:t>
            </w:r>
            <w:r/>
          </w:p>
        </w:tc>
      </w:tr>
      <w:tr>
        <w:trPr>
          <w:trHeight w:val="736"/>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第15.3款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逾期付款利息</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1.甲方无正当理由拒收货物的，甲方向乙方偿付拒收货款总值10% 的违约金。</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2.甲方无故逾期验收和办理货款支付手续（财政资金审批时间除外）的,甲方应按逾期付款总额每日3‰向乙方支付违约金。</w:t>
            </w:r>
            <w:r/>
          </w:p>
        </w:tc>
      </w:tr>
      <w:tr>
        <w:trPr>
          <w:trHeight w:val="876"/>
        </w:trPr>
        <w:tc>
          <w:tcPr>
            <w:tcBorders>
              <w:bottom w:val="single" w:color="000000" w:sz="2" w:space="0"/>
              <w:right w:val="single" w:color="000000" w:sz="2" w:space="0"/>
            </w:tcBorders>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遵从相关法律法规规定。</w:t>
            </w:r>
            <w:r/>
          </w:p>
        </w:tc>
      </w:tr>
      <w:tr>
        <w:trPr>
          <w:trHeight w:val="90"/>
        </w:trPr>
        <w:tc>
          <w:tcPr>
            <w:tcBorders>
              <w:top w:val="single" w:color="000000" w:sz="2" w:space="0"/>
              <w:right w:val="single" w:color="000000" w:sz="2" w:space="0"/>
            </w:tcBorders>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1.因本合同及合同有关事项发生的争议，由双方协商解决，协商不成时，按下列第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种方式解决：</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（1）向仲裁委员会申请仲裁；</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（2）向甲方所在地人民法院起诉。</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 纠纷解决办法</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第二节</w:t>
            </w:r>
            <w:r/>
          </w:p>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第23.1款</w:t>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其他专用条款</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验收不合格的货物，乙方应在2个工作日内予以更换，逾期按交货延误予以处罚。乙方所交付的货物品种、型号、规格不符合合同规定的，甲方有权拒收。甲方拒收的，乙方向甲方支付货款总额10%的违约金。在乙方承诺的或国家规定的质量保证期内，若经乙方维修或更换，货物仍不能达到合同约定的质量标准，甲方有权退货，乙方应退回全部货款，同时，乙方还须赔偿甲方因此遭受的损失。</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4.货物验收要求</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（1）依照招标文件要求对全部货物、型号、规格、数量、外型、外观、包装及资料、文件（如装箱单、保修单、随箱介质等）进行验收</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（2）甲方与乙方对货物到货后共同进行开箱检查，出现损坏、数量不全或产品不对等问题时，由乙方负责解决。</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（4）乙方应按照本合同规定的时间、地点和方式向乙方交付货物。</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交货时间：</w:t>
            </w:r>
            <w:r>
              <w:rPr>
                <w:rFonts w:hint="eastAsia" w:ascii="宋体" w:hAnsi="宋体" w:eastAsia="宋体" w:cs="宋体"/>
                <w:color w:val="auto"/>
                <w:sz w:val="24"/>
                <w:highlight w:val="none"/>
                <w:u w:val="single"/>
              </w:rPr>
              <w:t xml:space="preserve">30日前完成供货（安装）并交付使用。</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交货地点：</w:t>
            </w:r>
            <w:r>
              <w:rPr>
                <w:rFonts w:hint="eastAsia" w:ascii="宋体" w:hAnsi="宋体" w:eastAsia="宋体" w:cs="宋体"/>
                <w:color w:val="auto"/>
                <w:sz w:val="24"/>
                <w:highlight w:val="none"/>
                <w:u w:val="single"/>
              </w:rPr>
              <w:t xml:space="preserve">盐城市区，具体以甲方通知为准。</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甲方应在全部货物到货安装完毕后的7日内进行验收，验收包括：型号、规格、数量、外观是否完好，安装调试是否合格等。验收合格后甲方应在验收报告上签字盖章，初步验收合格且项目运行满12个月后，甲方组织对货物的质量及使用状况等进行最终验收。</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在甲方要求的时间内，乙方为所供车辆完成上牌手续，包括但不限于车辆登记、号牌申领等，确保车辆具备合法上路条件。应提前收集并准备所有必要的车辆资料，包括但不限于车辆合格证、购车发票、车辆识别代号（VIN码）证明等，以便顺利办理上牌手续。上牌过程中产生的所有费用【包括但不限于登记费、号牌费、检测费、契税、车辆保险包括交强险、第三者责任险（不低于200万元）及车损险】均由乙方承担。</w:t>
            </w:r>
            <w:r/>
          </w:p>
        </w:tc>
      </w:tr>
      <w:tr>
        <w:trPr>
          <w:trHeight w:val="770"/>
        </w:trPr>
        <w:tc>
          <w:tcPr>
            <w:tcW w:w="1560"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789" w:type="dxa"/>
            <w:vAlign w:val="center"/>
            <w:textDirection w:val="lrTb"/>
            <w:noWrap/>
          </w:tcPr>
          <w:p>
            <w:pPr>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税费</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1.中国政府根据现行税法规定对甲方征收的与本合同有关的一切税费均由甲方负担（免税部分除外），招标文件另有规定的除外。</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789" w:type="dxa"/>
            <w:vAlign w:val="center"/>
            <w:textDirection w:val="lrTb"/>
            <w:noWrap/>
          </w:tcPr>
          <w:p>
            <w:pPr>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伴随服务</w:t>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1.乙方应按照国家“新三包”规定和合同中所附的服务承诺提供服务。</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2.除第1条规定外，乙方还应提供下列服务：</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(1) 招标文件中的“服务要求”所规定的服务内容以及投标文件承诺提供的其他服务内容；</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(2) 负责货物的开孔，货物的现场安装；</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(3) 提供货物组装和维修所需的工具；</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(4) 在合同中乙方承诺的质保期限内对所提供货物正常使用实施监督、维修，但前提条件是该服务并不能免除乙方在质量保证期内应承担的义务；</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(5) 在货物交货现场就货物的安装、启用、维护等对甲方人员进行培训。</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3.伴随服务的费用应含在合同价中，不单独进行支付。</w:t>
            </w:r>
            <w:r/>
          </w:p>
        </w:tc>
      </w:tr>
      <w:tr>
        <w:trPr>
          <w:trHeight w:val="770"/>
        </w:trPr>
        <w:tc>
          <w:tcPr>
            <w:tcW w:w="1560"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索赔</w:t>
            </w:r>
            <w:r/>
          </w:p>
          <w:p>
            <w:pPr>
              <w:rPr>
                <w:rFonts w:ascii="宋体" w:hAnsi="宋体" w:eastAsia="宋体" w:cs="宋体"/>
                <w:color w:val="auto"/>
                <w:sz w:val="24"/>
                <w:highlight w:val="none"/>
              </w:rPr>
            </w:pPr>
            <w:r>
              <w:rPr>
                <w:rFonts w:ascii="宋体" w:hAnsi="宋体" w:eastAsia="宋体" w:cs="宋体"/>
                <w:color w:val="auto"/>
                <w:sz w:val="24"/>
                <w:highlight w:val="none"/>
              </w:rPr>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1.甲方有权根据当地质检部门出具的检验报告，向乙方提出索赔。</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(2) 根据货物的低劣程度、损坏程度以及甲方所遭受损失的数额，乙方必须降低货物的价格。</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789" w:type="dxa"/>
            <w:vAlign w:val="center"/>
            <w:textDirection w:val="lrTb"/>
            <w:noWrap/>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合同生效及其他</w:t>
            </w:r>
            <w:r/>
          </w:p>
          <w:p>
            <w:pPr>
              <w:rPr>
                <w:rFonts w:ascii="宋体" w:hAnsi="宋体" w:eastAsia="宋体" w:cs="宋体"/>
                <w:bCs/>
                <w:color w:val="auto"/>
                <w:sz w:val="24"/>
                <w:highlight w:val="none"/>
              </w:rPr>
            </w:pPr>
            <w:r>
              <w:rPr>
                <w:rFonts w:ascii="宋体" w:hAnsi="宋体" w:eastAsia="宋体" w:cs="宋体"/>
                <w:bCs/>
                <w:color w:val="auto"/>
                <w:sz w:val="24"/>
                <w:highlight w:val="none"/>
              </w:rPr>
            </w:r>
            <w:r/>
          </w:p>
        </w:tc>
        <w:tc>
          <w:tcPr>
            <w:tcW w:w="5170" w:type="dxa"/>
            <w:vAlign w:val="center"/>
            <w:textDirection w:val="lrTb"/>
            <w:noWrap/>
          </w:tcPr>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1.合同经甲方、乙方盖章后生效。</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2.货物交付使用后所发生的合同纠纷，由甲方与乙方协商处理。</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4.本合同应按照中华人民共和国的现行法律进行解释。本合同未尽事宜，遵照《中华人民共和国民法典》、《中华人民共和国政府采购法》等有关条文执行。</w:t>
            </w:r>
            <w:r/>
          </w:p>
        </w:tc>
      </w:tr>
    </w:tbl>
    <w:p>
      <w:pPr>
        <w:rPr>
          <w:rFonts w:ascii="宋体" w:hAnsi="宋体" w:eastAsia="宋体" w:cs="宋体"/>
          <w:bCs/>
          <w:color w:val="auto"/>
          <w:sz w:val="44"/>
          <w:highlight w:val="none"/>
        </w:rPr>
      </w:pPr>
      <w:r>
        <w:rPr>
          <w:rFonts w:hint="eastAsia" w:ascii="宋体" w:hAnsi="宋体" w:eastAsia="宋体" w:cs="宋体"/>
          <w:bCs/>
          <w:color w:val="auto"/>
          <w:sz w:val="44"/>
          <w:highlight w:val="none"/>
        </w:rPr>
        <w:br w:type="page" w:clear="all"/>
      </w:r>
      <w:r/>
    </w:p>
    <w:p>
      <w:pPr>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第四章  采购需求</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一、项目概述</w:t>
      </w:r>
      <w:r/>
    </w:p>
    <w:p>
      <w:pPr>
        <w:ind w:firstLine="480"/>
        <w:keepLines/>
        <w:keepNext/>
        <w:spacing w:line="460" w:lineRule="exact"/>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1.项目属性:货物类项目。</w:t>
      </w:r>
      <w:r/>
    </w:p>
    <w:p>
      <w:pPr>
        <w:ind w:firstLine="480"/>
        <w:keepLines/>
        <w:keepNext/>
        <w:spacing w:line="460" w:lineRule="exact"/>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2.采购需求(简介)：</w:t>
      </w:r>
      <w:bookmarkStart w:id="194" w:name="OLE_LINK28"/>
      <w:r/>
      <w:bookmarkStart w:id="195" w:name="OLE_LINK25"/>
      <w:r/>
      <w:bookmarkStart w:id="196" w:name="OLE_LINK29"/>
      <w:r/>
      <w:bookmarkStart w:id="197" w:name="OLE_LINK32"/>
      <w:r>
        <w:rPr>
          <w:rFonts w:hint="eastAsia" w:ascii="宋体" w:hAnsi="宋体" w:eastAsia="宋体" w:cs="宋体"/>
          <w:color w:val="auto"/>
          <w:sz w:val="24"/>
          <w:highlight w:val="none"/>
        </w:rPr>
        <w:t xml:space="preserve">盐城市住房和城乡建设局防汛应急排涝泵车、联合疏通车、拖拽式移动自吸泵，主要为1辆排涝泵车（≥1000m³/h）、2辆排涝泵车（子母式、≥2000m³/h）、2辆排涝泵车（≥3000m³/h）、3辆联合疏通车（含清洗吸污、18吨）、15台拖拽式移动自吸泵（≥360m³/h）、10台拖拽式移动自吸泵（≥550m³/h）的采购、安装、调试服务等。</w:t>
      </w:r>
      <w:bookmarkEnd w:id="194"/>
      <w:r/>
      <w:bookmarkEnd w:id="195"/>
      <w:r/>
      <w:bookmarkEnd w:id="196"/>
      <w:r/>
      <w:bookmarkEnd w:id="197"/>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质量要求：符合相关国家标准、行业标准及招标文件的要求，质保期不少于三年。</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3.合同履行期限：合同签定后30日历天内供货、安装、调试完毕并交付采购人正常运行使用。</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 中标供应商如为代理商（或经销商）须提供制造商的授权书或承诺中标后五个工作日内提供制造商的授权书（承诺格式详见附件），否则按无效响应处理。</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bookmarkStart w:id="198" w:name="OLE_LINK79"/>
      <w:r/>
      <w:bookmarkStart w:id="199" w:name="OLE_LINK78"/>
      <w:r/>
      <w:bookmarkStart w:id="200" w:name="OLE_LINK34"/>
      <w:r>
        <w:rPr>
          <w:rFonts w:hint="eastAsia" w:ascii="宋体" w:hAnsi="宋体" w:eastAsia="宋体" w:cs="宋体"/>
          <w:color w:val="auto"/>
          <w:sz w:val="24"/>
          <w:highlight w:val="none"/>
        </w:rPr>
        <w:t xml:space="preserve">开标后，中标供应商需根据采购人要求，提供本次投标时提供的涉及证明材料原件（包括但不限于类似业绩、制造商认证证书、制造商授权委托书、车辆公告等），如未能提供或提供资料存在伪造等不符合要求情况，取消供应商中标资格，采购人可移交采购监管部门处理。</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6.供货前，中标供应商需根据采购人要求，提供本次投标时涉及设备的</w:t>
      </w:r>
      <w:bookmarkStart w:id="201" w:name="OLE_LINK84"/>
      <w:r/>
      <w:bookmarkStart w:id="202" w:name="OLE_LINK85"/>
      <w:r>
        <w:rPr>
          <w:rFonts w:hint="eastAsia" w:ascii="宋体" w:hAnsi="宋体" w:eastAsia="宋体" w:cs="宋体"/>
          <w:color w:val="auto"/>
          <w:sz w:val="24"/>
          <w:highlight w:val="none"/>
        </w:rPr>
        <w:t xml:space="preserve">检测报告</w:t>
      </w:r>
      <w:bookmarkEnd w:id="201"/>
      <w:r/>
      <w:bookmarkEnd w:id="202"/>
      <w:r>
        <w:rPr>
          <w:rFonts w:hint="eastAsia" w:ascii="宋体" w:hAnsi="宋体" w:eastAsia="宋体" w:cs="宋体"/>
          <w:color w:val="auto"/>
          <w:sz w:val="24"/>
          <w:highlight w:val="none"/>
        </w:rPr>
        <w:t xml:space="preserve">，具体为排涝泵车（≥1000m³/h）第7-8、10-15项及整车</w:t>
      </w:r>
      <w:bookmarkStart w:id="203" w:name="OLE_LINK86"/>
      <w:r/>
      <w:bookmarkStart w:id="204" w:name="OLE_LINK87"/>
      <w:r>
        <w:rPr>
          <w:rFonts w:hint="eastAsia" w:ascii="宋体" w:hAnsi="宋体" w:eastAsia="宋体" w:cs="宋体"/>
          <w:color w:val="auto"/>
          <w:sz w:val="24"/>
          <w:highlight w:val="none"/>
        </w:rPr>
        <w:t xml:space="preserve">提供CMA或CNAS检测报告</w:t>
      </w:r>
      <w:bookmarkEnd w:id="203"/>
      <w:r/>
      <w:bookmarkEnd w:id="204"/>
      <w:r>
        <w:rPr>
          <w:rFonts w:hint="eastAsia" w:ascii="宋体" w:hAnsi="宋体" w:eastAsia="宋体" w:cs="宋体"/>
          <w:color w:val="auto"/>
          <w:sz w:val="24"/>
          <w:highlight w:val="none"/>
        </w:rPr>
        <w:t xml:space="preserve">；排涝泵车（子母式、≥2000m³/h）第13项、第19项、第22项、第24项及整车提供CMA或CNAS检测报告；排涝泵车（≥3000m³/h）第9项、第11-14项、第17项及整车提供CMA或CNAS检测报告；联合疏通车（含清洗吸污、18吨）整车提供CMA或CNAS检测报告；拖拽式移动自吸泵（≥360m³/h）第2项、第4项、第6项、</w:t>
      </w:r>
      <w:bookmarkStart w:id="205" w:name="OLE_LINK81"/>
      <w:r/>
      <w:bookmarkStart w:id="206" w:name="OLE_LINK114"/>
      <w:r>
        <w:rPr>
          <w:rFonts w:hint="eastAsia" w:ascii="宋体" w:hAnsi="宋体" w:eastAsia="宋体" w:cs="宋体"/>
          <w:color w:val="auto"/>
          <w:sz w:val="24"/>
          <w:highlight w:val="none"/>
        </w:rPr>
        <w:t xml:space="preserve">第8项提供CMA或CNAS检测报告,第14项</w:t>
      </w:r>
      <w:bookmarkStart w:id="207" w:name="OLE_LINK91"/>
      <w:r/>
      <w:bookmarkStart w:id="208" w:name="OLE_LINK90"/>
      <w:r>
        <w:rPr>
          <w:rFonts w:hint="eastAsia" w:ascii="宋体" w:hAnsi="宋体" w:eastAsia="宋体" w:cs="宋体"/>
          <w:color w:val="auto"/>
          <w:sz w:val="24"/>
          <w:highlight w:val="none"/>
        </w:rPr>
        <w:t xml:space="preserve">提供CMA或CNAS检测报告或环保信息清单</w:t>
      </w:r>
      <w:bookmarkEnd w:id="205"/>
      <w:r/>
      <w:bookmarkEnd w:id="206"/>
      <w:r>
        <w:rPr>
          <w:rFonts w:hint="eastAsia" w:ascii="宋体" w:hAnsi="宋体" w:eastAsia="宋体" w:cs="宋体"/>
          <w:color w:val="auto"/>
          <w:sz w:val="24"/>
          <w:highlight w:val="none"/>
        </w:rPr>
        <w:t xml:space="preserve">，真空泵提供CMA或CNAS检测报告或ISO认证证书</w:t>
      </w:r>
      <w:bookmarkEnd w:id="207"/>
      <w:r/>
      <w:bookmarkEnd w:id="208"/>
      <w:r>
        <w:rPr>
          <w:rFonts w:hint="eastAsia" w:ascii="宋体" w:hAnsi="宋体" w:eastAsia="宋体" w:cs="宋体"/>
          <w:color w:val="auto"/>
          <w:sz w:val="24"/>
          <w:highlight w:val="none"/>
        </w:rPr>
        <w:t xml:space="preserve">；拖拽式移动自吸泵（≥550m³/h）第2项、第4项、第6项、第8项提供CMA或CNAS检测报告,第14项提供CMA或CNAS检测报告或环保信息清单，真空泵提供CMA或CNAS检测报告或ISO认证证书。如未能提供或提供资料存在伪造等不符合要求情况，取消供应商中标资格，采购人可移交采购监管部门处理。</w:t>
      </w:r>
      <w:r>
        <w:rPr>
          <w:rFonts w:ascii="SimSun" w:hAnsi="SimSun" w:eastAsia="SimSun" w:cs="SimSun"/>
          <w:color w:val="000000"/>
          <w:sz w:val="24"/>
        </w:rPr>
        <w:t xml:space="preserve">（投标人应当核实检测报告的真实性，包括确认检测机构是否具备相应资质、检测范围是否包含投标产品、检测报告是否在市场监管部门官网可查、检测报告内容是否真实等，如投标人未尽审查义务，依法承担相应法律责任）</w:t>
      </w:r>
      <w:r>
        <w:rPr>
          <w:rFonts w:hint="eastAsia" w:ascii="宋体" w:hAnsi="宋体" w:eastAsia="宋体" w:cs="宋体"/>
          <w:color w:val="auto"/>
          <w:sz w:val="24"/>
          <w:highlight w:val="none"/>
        </w:rPr>
      </w:r>
      <w:bookmarkEnd w:id="198"/>
      <w:r/>
      <w:bookmarkEnd w:id="199"/>
      <w:r/>
      <w:bookmarkEnd w:id="200"/>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二、采购要求</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1.1采购标的需实现的功能或者目标、质量、规格、物理特性等要求。</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1.1.1、</w:t>
      </w:r>
      <w:bookmarkStart w:id="209" w:name="OLE_LINK83"/>
      <w:r/>
      <w:bookmarkStart w:id="210" w:name="OLE_LINK82"/>
      <w:r>
        <w:rPr>
          <w:rFonts w:hint="eastAsia" w:ascii="宋体" w:hAnsi="宋体" w:eastAsia="宋体" w:cs="宋体"/>
          <w:b/>
          <w:bCs/>
          <w:color w:val="auto"/>
          <w:sz w:val="24"/>
          <w:highlight w:val="none"/>
        </w:rPr>
        <w:t xml:space="preserve">排涝泵车（≥1000m³/h）</w:t>
      </w:r>
      <w:bookmarkEnd w:id="209"/>
      <w:r/>
      <w:bookmarkEnd w:id="210"/>
      <w:r/>
      <w:r/>
    </w:p>
    <w:tbl>
      <w:tblPr>
        <w:tblStyle w:val="734"/>
        <w:tblW w:w="8984" w:type="dxa"/>
        <w:tblInd w:w="1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41"/>
        <w:gridCol w:w="2051"/>
        <w:gridCol w:w="6292"/>
      </w:tblGrid>
      <w:tr>
        <w:trPr>
          <w:trHeight w:val="471"/>
        </w:trPr>
        <w:tc>
          <w:tcPr>
            <w:tcMar>
              <w:left w:w="108" w:type="dxa"/>
              <w:top w:w="0" w:type="dxa"/>
              <w:right w:w="108" w:type="dxa"/>
              <w:bottom w:w="0" w:type="dxa"/>
            </w:tcMar>
            <w:tcW w:w="64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序号</w:t>
            </w:r>
            <w:r/>
          </w:p>
        </w:tc>
        <w:tc>
          <w:tcPr>
            <w:tcMar>
              <w:left w:w="108" w:type="dxa"/>
              <w:top w:w="0" w:type="dxa"/>
              <w:right w:w="108" w:type="dxa"/>
              <w:bottom w:w="0" w:type="dxa"/>
            </w:tcMar>
            <w:tcW w:w="2051"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名称</w:t>
            </w:r>
            <w:r/>
          </w:p>
        </w:tc>
        <w:tc>
          <w:tcPr>
            <w:tcMar>
              <w:left w:w="108" w:type="dxa"/>
              <w:top w:w="0" w:type="dxa"/>
              <w:right w:w="108" w:type="dxa"/>
              <w:bottom w:w="0" w:type="dxa"/>
            </w:tcMar>
            <w:tcW w:w="6292"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技术参数、要求</w:t>
            </w:r>
            <w:r/>
          </w:p>
        </w:tc>
      </w:tr>
      <w:tr>
        <w:trPr>
          <w:trHeight w:val="470"/>
        </w:trPr>
        <w:tc>
          <w:tcPr>
            <w:tcMar>
              <w:left w:w="108" w:type="dxa"/>
              <w:top w:w="0" w:type="dxa"/>
              <w:right w:w="108" w:type="dxa"/>
              <w:bottom w:w="0" w:type="dxa"/>
            </w:tcMar>
            <w:tcW w:w="64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整车</w:t>
            </w:r>
            <w:r/>
          </w:p>
        </w:tc>
        <w:tc>
          <w:tcPr>
            <w:tcMar>
              <w:left w:w="108" w:type="dxa"/>
              <w:top w:w="0" w:type="dxa"/>
              <w:right w:w="108" w:type="dxa"/>
              <w:bottom w:w="0" w:type="dxa"/>
            </w:tcMar>
            <w:tcW w:w="6292"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r>
      <w:tr>
        <w:trPr>
          <w:trHeight w:val="424"/>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11" w:name="OLE_LINK124"/>
            <w:r/>
            <w:bookmarkStart w:id="212" w:name="OLE_LINK117"/>
            <w:r>
              <w:rPr>
                <w:rFonts w:hint="eastAsia" w:ascii="宋体" w:hAnsi="宋体" w:eastAsia="宋体" w:cs="宋体"/>
                <w:color w:val="auto"/>
                <w:sz w:val="24"/>
                <w:highlight w:val="none"/>
              </w:rPr>
              <w:t xml:space="preserve">★基本配置</w:t>
            </w:r>
            <w:bookmarkEnd w:id="211"/>
            <w:r/>
            <w:bookmarkEnd w:id="212"/>
            <w:r/>
            <w:r/>
          </w:p>
        </w:tc>
        <w:tc>
          <w:tcPr>
            <w:tcMar>
              <w:left w:w="108" w:type="dxa"/>
              <w:top w:w="0" w:type="dxa"/>
              <w:right w:w="108" w:type="dxa"/>
              <w:bottom w:w="0" w:type="dxa"/>
            </w:tcMar>
            <w:tcW w:w="6292" w:type="dxa"/>
            <w:vAlign w:val="center"/>
            <w:textDirection w:val="lrTb"/>
            <w:noWrap/>
          </w:tcPr>
          <w:p>
            <w:pPr>
              <w:spacing w:line="460" w:lineRule="exact"/>
              <w:rPr>
                <w:rStyle w:val="943"/>
                <w:rFonts w:ascii="宋体" w:hAnsi="宋体" w:cs="宋体"/>
                <w:bCs/>
                <w:color w:val="auto"/>
                <w:sz w:val="24"/>
                <w:highlight w:val="none"/>
              </w:rPr>
            </w:pPr>
            <w:r>
              <w:rPr>
                <w:rFonts w:hint="eastAsia" w:ascii="宋体" w:hAnsi="宋体" w:eastAsia="宋体" w:cs="宋体"/>
                <w:color w:val="auto"/>
                <w:sz w:val="24"/>
                <w:highlight w:val="none"/>
              </w:rPr>
              <w:t xml:space="preserve">排放标准、燃油类别：国Ⅵ、柴油、ABS防抱死</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发动机功率：≥85Kw （提供国家工信部公告）</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厢体结构：内部多舱分布，厢体左右侧和后部开门</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▲整车质量</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总质量≤4500kg，整备质量≥4100kg（提供国家工信部公告）</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▲车辆尺寸</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长≤6000mm，宽≤2100mm ，高≤3000mm（提供国家工信部公告）</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▲驾驶室准乘人员</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≥2+3人</w:t>
            </w:r>
            <w:bookmarkStart w:id="213" w:name="OLE_LINK132"/>
            <w:r/>
            <w:bookmarkStart w:id="214" w:name="OLE_LINK133"/>
            <w:r>
              <w:rPr>
                <w:rFonts w:hint="eastAsia" w:ascii="宋体" w:hAnsi="宋体" w:eastAsia="宋体" w:cs="宋体"/>
                <w:color w:val="auto"/>
                <w:sz w:val="24"/>
                <w:highlight w:val="none"/>
              </w:rPr>
              <w:t xml:space="preserve">（提供国家工信部公告）</w:t>
            </w:r>
            <w:bookmarkEnd w:id="213"/>
            <w:r/>
            <w:bookmarkEnd w:id="214"/>
            <w:r/>
            <w:r/>
          </w:p>
        </w:tc>
      </w:tr>
      <w:tr>
        <w:trPr>
          <w:trHeight w:val="470"/>
        </w:trPr>
        <w:tc>
          <w:tcPr>
            <w:tcMar>
              <w:left w:w="108" w:type="dxa"/>
              <w:top w:w="0" w:type="dxa"/>
              <w:right w:w="108" w:type="dxa"/>
              <w:bottom w:w="0" w:type="dxa"/>
            </w:tcMar>
            <w:tcW w:w="641"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发电机组</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★基本配置</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柴油发电机组：三相四线制，排放标准国Ⅲ或以上</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电机组控制系统：自动数显模式启动、监测电流、电压、水温、故障报警、使用功率、输出电流电压等数值</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配电系统：外接电源220V、380V通用插座2只</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安全接地装置：专用接地线和地锚组件</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▲电机组额定功率</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≥60KW，油箱容积在额定输出功率下，保证连续满负荷工作7小时</w:t>
            </w:r>
            <w:r/>
          </w:p>
        </w:tc>
      </w:tr>
      <w:tr>
        <w:trPr>
          <w:trHeight w:val="470"/>
        </w:trPr>
        <w:tc>
          <w:tcPr>
            <w:tcMar>
              <w:left w:w="108" w:type="dxa"/>
              <w:top w:w="0" w:type="dxa"/>
              <w:right w:w="108" w:type="dxa"/>
              <w:bottom w:w="0" w:type="dxa"/>
            </w:tcMar>
            <w:tcW w:w="641"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2台便携式潜水泵</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★流量及扬程</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总流量≥1000m³/h；单台水泵规定点流量≥500m³/h，单台水泵规定点扬程≥10m</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通过性</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水泵最大通过颗粒≥20mm</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材质</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壳体采用铝合金材质，不锈钢滤网及不锈钢叶轮</w:t>
            </w:r>
            <w:r/>
          </w:p>
        </w:tc>
      </w:tr>
      <w:tr>
        <w:trPr>
          <w:trHeight w:val="447"/>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▲安全性</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防护等级≥IP68</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▲功率</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≥20Kw</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额定转速</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≥3000r/min</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▲重量</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单泵重量≤25Kg</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▲不锈钢叶轮</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叶轮维氏硬度≥2500HV</w:t>
            </w:r>
            <w:r/>
          </w:p>
        </w:tc>
      </w:tr>
      <w:tr>
        <w:trPr>
          <w:trHeight w:val="470"/>
        </w:trPr>
        <w:tc>
          <w:tcPr>
            <w:tcMar>
              <w:left w:w="108" w:type="dxa"/>
              <w:top w:w="0" w:type="dxa"/>
              <w:right w:w="108" w:type="dxa"/>
              <w:bottom w:w="0" w:type="dxa"/>
            </w:tcMar>
            <w:tcW w:w="641"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2台水泵控制柜</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防护等级</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防护等级≥IP55</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重量</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≤30Kg</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▲柜体结构</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一泵一控制柜，采用拉杆厢式一体式结构，两侧带有拉环提手，含有拉杆和行走轮。可方便拆卸离车，实现远距离排水</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▲控制方式</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每台水泵配有单独的控制系统，控制系统相互独立，可同时开启，亦可单独开启。采用变频控制,转速可调并采用智能系统控制。中文界面，具有自动障碍保护功能。带有漏电、电流过载、缺相、过压、欠压、过频、欠频、电机过热等保护功能</w:t>
            </w:r>
            <w:r/>
          </w:p>
        </w:tc>
      </w:tr>
      <w:tr>
        <w:trPr>
          <w:trHeight w:val="470"/>
        </w:trPr>
        <w:tc>
          <w:tcPr>
            <w:tcMar>
              <w:left w:w="108" w:type="dxa"/>
              <w:top w:w="0" w:type="dxa"/>
              <w:right w:w="108" w:type="dxa"/>
              <w:bottom w:w="0" w:type="dxa"/>
            </w:tcMar>
            <w:tcW w:w="64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附件</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★公告</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具有工信部公告、符合免征购置税要求、具有3C认证、具有环保公告，整车一体化设计，符合专项作业车改装要求（提供国家工信部公告）</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★配套装置</w:t>
            </w:r>
            <w:r/>
          </w:p>
        </w:tc>
        <w:tc>
          <w:tcPr>
            <w:tcMar>
              <w:left w:w="108" w:type="dxa"/>
              <w:top w:w="0" w:type="dxa"/>
              <w:right w:w="108" w:type="dxa"/>
              <w:bottom w:w="0" w:type="dxa"/>
            </w:tcMar>
            <w:tcW w:w="6292"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救援工具：个人防护服15套、五点式安全带10个、警戒带1000米、防爆照明灯具15套、头灯15个、防护手套15套、对讲机15台</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安全消防：配水泵浮圈2个，安全绳2根</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配手提式干粉灭火器≥2只，摆放于车上易拿取处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电缆：单台水泵自带电缆线2根（≥20m/根），配防</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水航空插头</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水带：配100m（20-25m分段）排水带含快速接头，材质</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耐压、耐腐蚀、防穿刺</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水带直角转弯保护器2个，水带上水过程遇到直角转弯时减少流量的损耗</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倒车影像及行车记录仪：</w:t>
            </w:r>
            <w:r>
              <w:rPr>
                <w:rFonts w:hint="eastAsia" w:ascii="宋体" w:hAnsi="宋体" w:eastAsia="宋体" w:cs="宋体"/>
                <w:color w:val="auto"/>
                <w:sz w:val="24"/>
                <w:highlight w:val="none"/>
              </w:rPr>
              <w:t xml:space="preserve">车辆配备彩色显示屏，配有倒车影像；配有行车记录仪</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▲警示标识</w:t>
            </w:r>
            <w:r/>
          </w:p>
        </w:tc>
        <w:tc>
          <w:tcPr>
            <w:tcMar>
              <w:left w:w="108" w:type="dxa"/>
              <w:top w:w="0" w:type="dxa"/>
              <w:right w:w="108" w:type="dxa"/>
              <w:bottom w:w="0" w:type="dxa"/>
            </w:tcMar>
            <w:tcW w:w="6292" w:type="dxa"/>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警示标识：驾驶室顶部配有工程警灯，并具有喊话器功能</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厢体两侧有爆闪灯，车尾有警示灯，方便行车和警示，车辆车身形象根据采购人要求进行喷绘（提供国家工信部公告，公告中车辆图片需显示上述所有灯具，公告扫描件应</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作明显标记）</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照明灯具：</w:t>
            </w:r>
            <w:bookmarkStart w:id="215" w:name="OLE_LINK35"/>
            <w:r/>
            <w:bookmarkStart w:id="216" w:name="OLE_LINK36"/>
            <w:r>
              <w:rPr>
                <w:rFonts w:hint="eastAsia" w:ascii="宋体" w:hAnsi="宋体" w:eastAsia="宋体" w:cs="宋体"/>
                <w:color w:val="auto"/>
                <w:sz w:val="24"/>
                <w:highlight w:val="none"/>
              </w:rPr>
              <w:t xml:space="preserve">车辆顶部</w:t>
            </w:r>
            <w:bookmarkEnd w:id="215"/>
            <w:r/>
            <w:bookmarkEnd w:id="216"/>
            <w:r>
              <w:rPr>
                <w:rFonts w:hint="eastAsia" w:ascii="宋体" w:hAnsi="宋体" w:eastAsia="宋体" w:cs="宋体"/>
                <w:color w:val="auto"/>
                <w:sz w:val="24"/>
                <w:highlight w:val="none"/>
              </w:rPr>
              <w:t xml:space="preserve">安装升降照明灯，可360°旋转，带底座，可折叠回收，可遥控和线控两种操作（提供国家工信部公告，公告中文字说明或车辆图片需显示上述灯具，公告扫描件应作明显标记）</w:t>
            </w:r>
            <w:r/>
          </w:p>
        </w:tc>
      </w:tr>
      <w:tr>
        <w:trPr>
          <w:trHeight w:val="470"/>
        </w:trPr>
        <w:tc>
          <w:tcPr>
            <w:tcMar>
              <w:left w:w="108" w:type="dxa"/>
              <w:top w:w="0" w:type="dxa"/>
              <w:right w:w="108" w:type="dxa"/>
              <w:bottom w:w="0" w:type="dxa"/>
            </w:tcMar>
            <w:tcW w:w="641" w:type="dxa"/>
            <w:vAlign w:val="center"/>
            <w:textDirection w:val="lrTb"/>
            <w:noWrap/>
          </w:tcPr>
          <w:p>
            <w:pPr>
              <w:numPr>
                <w:ilvl w:val="0"/>
                <w:numId w:val="5"/>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5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★组合式防洪板</w:t>
            </w:r>
            <w:r/>
          </w:p>
        </w:tc>
        <w:tc>
          <w:tcPr>
            <w:tcMar>
              <w:left w:w="108" w:type="dxa"/>
              <w:top w:w="0" w:type="dxa"/>
              <w:right w:w="108" w:type="dxa"/>
              <w:bottom w:w="0" w:type="dxa"/>
            </w:tcMar>
            <w:tcW w:w="6292" w:type="dxa"/>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材质：ABS  制造工艺：一体成型</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直板防洪板整体尺寸：长70cm、宽70cm、高60cm，±5cm重量：4.4kg/个，±5%</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内弯防洪板整体尺寸：长70cm、宽60cm、高60cm，±5cm重量：3.2kg/个，±5%</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外弯防洪板整体尺寸：长70cm、宽40cm、高60cm，±5cm重量：3.2kg/个,±5%</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拉伸强度≥21.5MPa、弯曲强度≥40.5MPa、硬度≥58HD</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直板防洪板、内弯防洪板、外弯防洪板能配套使用，配置比例：70:15:15</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数量：共300块</w:t>
            </w:r>
            <w:r/>
          </w:p>
        </w:tc>
      </w:tr>
    </w:tbl>
    <w:p>
      <w:pPr>
        <w:ind w:firstLine="482"/>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2"/>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1.1.2、</w:t>
      </w:r>
      <w:bookmarkStart w:id="217" w:name="OLE_LINK89"/>
      <w:r/>
      <w:bookmarkStart w:id="218" w:name="OLE_LINK88"/>
      <w:r>
        <w:rPr>
          <w:rFonts w:hint="eastAsia" w:ascii="宋体" w:hAnsi="宋体" w:eastAsia="宋体" w:cs="宋体"/>
          <w:b/>
          <w:bCs/>
          <w:color w:val="auto"/>
          <w:sz w:val="24"/>
          <w:highlight w:val="none"/>
        </w:rPr>
        <w:t xml:space="preserve">排涝泵车（子母式、≥2000m³/h）</w:t>
      </w:r>
      <w:bookmarkEnd w:id="217"/>
      <w:r/>
      <w:bookmarkEnd w:id="218"/>
      <w:r/>
      <w:r/>
    </w:p>
    <w:tbl>
      <w:tblPr>
        <w:tblStyle w:val="734"/>
        <w:tblW w:w="8984" w:type="dxa"/>
        <w:tblInd w:w="1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40"/>
        <w:gridCol w:w="2048"/>
        <w:gridCol w:w="6296"/>
      </w:tblGrid>
      <w:tr>
        <w:trPr>
          <w:trHeight w:val="471"/>
        </w:trPr>
        <w:tc>
          <w:tcPr>
            <w:tcMar>
              <w:left w:w="108" w:type="dxa"/>
              <w:top w:w="0" w:type="dxa"/>
              <w:right w:w="108" w:type="dxa"/>
              <w:bottom w:w="0" w:type="dxa"/>
            </w:tcMar>
            <w:tcW w:w="640"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序号</w:t>
            </w:r>
            <w:r/>
          </w:p>
        </w:tc>
        <w:tc>
          <w:tcPr>
            <w:tcMar>
              <w:left w:w="108" w:type="dxa"/>
              <w:top w:w="0" w:type="dxa"/>
              <w:right w:w="108" w:type="dxa"/>
              <w:bottom w:w="0" w:type="dxa"/>
            </w:tcMar>
            <w:tcW w:w="2048"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名称</w:t>
            </w:r>
            <w:r/>
          </w:p>
        </w:tc>
        <w:tc>
          <w:tcPr>
            <w:tcMar>
              <w:left w:w="108" w:type="dxa"/>
              <w:top w:w="0" w:type="dxa"/>
              <w:right w:w="108" w:type="dxa"/>
              <w:bottom w:w="0" w:type="dxa"/>
            </w:tcMar>
            <w:tcW w:w="6296"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技术参数、要求</w:t>
            </w:r>
            <w:r/>
          </w:p>
        </w:tc>
      </w:tr>
      <w:tr>
        <w:trPr>
          <w:trHeight w:val="462"/>
        </w:trPr>
        <w:tc>
          <w:tcPr>
            <w:tcMar>
              <w:left w:w="108" w:type="dxa"/>
              <w:top w:w="0" w:type="dxa"/>
              <w:right w:w="108" w:type="dxa"/>
              <w:bottom w:w="0" w:type="dxa"/>
            </w:tcMar>
            <w:tcW w:w="640"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gridSpan w:val="2"/>
            <w:tcMar>
              <w:left w:w="108" w:type="dxa"/>
              <w:top w:w="0" w:type="dxa"/>
              <w:right w:w="108" w:type="dxa"/>
              <w:bottom w:w="0" w:type="dxa"/>
            </w:tcMar>
            <w:tcW w:w="8344"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整车</w:t>
            </w:r>
            <w:r/>
          </w:p>
        </w:tc>
      </w:tr>
      <w:tr>
        <w:trPr>
          <w:trHeight w:val="424"/>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19" w:name="OLE_LINK125"/>
            <w:r/>
            <w:bookmarkStart w:id="220" w:name="OLE_LINK126"/>
            <w:r>
              <w:rPr>
                <w:rFonts w:hint="eastAsia" w:ascii="宋体" w:hAnsi="宋体" w:eastAsia="宋体" w:cs="宋体"/>
                <w:color w:val="auto"/>
                <w:sz w:val="24"/>
                <w:highlight w:val="none"/>
              </w:rPr>
              <w:t xml:space="preserve">★</w:t>
            </w:r>
            <w:bookmarkEnd w:id="219"/>
            <w:r/>
            <w:bookmarkEnd w:id="220"/>
            <w:r>
              <w:rPr>
                <w:rFonts w:hint="eastAsia" w:ascii="宋体" w:hAnsi="宋体" w:eastAsia="宋体" w:cs="宋体"/>
                <w:color w:val="auto"/>
                <w:sz w:val="24"/>
                <w:highlight w:val="none"/>
              </w:rPr>
              <w:t xml:space="preserve">基本配置</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排放标准、燃油类别：国Ⅵ、柴油、ABS防抱死</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发动机功率：≥200Kw（提供国家工信部公告）</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功能要求：直接利用原汽车底盘上发动机或车载发电机或自带动力作为动力源，对移动排水泵站进行远程控制，使移动排水泵站进入地下通道、地下车库等低矮环境中，快速开展排水抢险作业</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主要构成：整车由汽车底盘、车厢、移动排水泵、便携式水泵、液压系统、控制系统及其他附件等构成</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▲整车质量</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总质量≤18000kg，整备质量≥15000kg</w:t>
            </w:r>
            <w:bookmarkStart w:id="221" w:name="OLE_LINK167"/>
            <w:r/>
            <w:bookmarkStart w:id="222" w:name="OLE_LINK152"/>
            <w:r>
              <w:rPr>
                <w:rFonts w:hint="eastAsia" w:ascii="宋体" w:hAnsi="宋体" w:eastAsia="宋体" w:cs="宋体"/>
                <w:color w:val="auto"/>
                <w:sz w:val="24"/>
                <w:highlight w:val="none"/>
              </w:rPr>
              <w:t xml:space="preserve">（提供国家工信部公告）</w:t>
            </w:r>
            <w:bookmarkEnd w:id="221"/>
            <w:r/>
            <w:bookmarkEnd w:id="222"/>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▲车辆尺寸</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长≤9900mm，宽≤2600mm ，高≤4000mm（提供国家工信部公告）</w:t>
            </w:r>
            <w:r/>
          </w:p>
        </w:tc>
      </w:tr>
      <w:tr>
        <w:trPr>
          <w:trHeight w:val="9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液压升降装置</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车辆配备液压升降装置，采用遥控+手动控制两种方式，便于设备上下车辆</w:t>
            </w:r>
            <w:r/>
          </w:p>
        </w:tc>
      </w:tr>
      <w:tr>
        <w:trPr>
          <w:trHeight w:val="9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燃油箱</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采用铝合金材质，容积</w:t>
            </w:r>
            <w:r>
              <w:rPr>
                <w:rFonts w:hint="eastAsia" w:ascii="宋体" w:hAnsi="宋体" w:eastAsia="宋体" w:cs="宋体"/>
                <w:color w:val="auto"/>
                <w:sz w:val="24"/>
                <w:highlight w:val="none"/>
              </w:rPr>
              <w:t xml:space="preserve">≥15</w:t>
            </w:r>
            <w:r>
              <w:rPr>
                <w:rFonts w:hint="eastAsia" w:ascii="宋体" w:hAnsi="宋体" w:eastAsia="宋体" w:cs="宋体"/>
                <w:color w:val="auto"/>
                <w:sz w:val="24"/>
                <w:highlight w:val="none"/>
                <w:lang w:val="zh-CN"/>
              </w:rPr>
              <w:t xml:space="preserve">0L</w:t>
            </w:r>
            <w:r/>
          </w:p>
        </w:tc>
      </w:tr>
      <w:tr>
        <w:trPr>
          <w:trHeight w:val="470"/>
        </w:trPr>
        <w:tc>
          <w:tcPr>
            <w:tcMar>
              <w:left w:w="108" w:type="dxa"/>
              <w:top w:w="0" w:type="dxa"/>
              <w:right w:w="108" w:type="dxa"/>
              <w:bottom w:w="0" w:type="dxa"/>
            </w:tcMar>
            <w:tcW w:w="64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控制系统</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★控制方式</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采用液压或电力</w:t>
            </w:r>
            <w:r>
              <w:rPr>
                <w:rFonts w:hint="eastAsia" w:ascii="宋体" w:hAnsi="宋体" w:eastAsia="宋体" w:cs="宋体"/>
                <w:color w:val="auto"/>
                <w:sz w:val="24"/>
                <w:highlight w:val="none"/>
              </w:rPr>
              <w:t xml:space="preserve">或自带动力</w:t>
            </w:r>
            <w:r>
              <w:rPr>
                <w:rFonts w:hint="eastAsia" w:ascii="宋体" w:hAnsi="宋体" w:eastAsia="宋体" w:cs="宋体"/>
                <w:color w:val="auto"/>
                <w:sz w:val="24"/>
                <w:highlight w:val="none"/>
                <w:lang w:val="zh-CN"/>
              </w:rPr>
              <w:t xml:space="preserve">驱动，无线遥控控制，电子模块按键操作，</w:t>
            </w:r>
            <w:r>
              <w:rPr>
                <w:rFonts w:hint="eastAsia" w:ascii="宋体" w:hAnsi="宋体" w:eastAsia="宋体" w:cs="宋体"/>
                <w:color w:val="auto"/>
                <w:sz w:val="24"/>
                <w:highlight w:val="none"/>
              </w:rPr>
              <w:t xml:space="preserve">可通过液晶显示屏监测装备运行的各个参数</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★标识显示</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操作控制系统应能清晰体现汽车发动机转速、</w:t>
            </w:r>
            <w:r>
              <w:rPr>
                <w:rFonts w:hint="eastAsia" w:ascii="宋体" w:hAnsi="宋体" w:eastAsia="宋体" w:cs="宋体"/>
                <w:color w:val="auto"/>
                <w:sz w:val="24"/>
                <w:highlight w:val="none"/>
              </w:rPr>
              <w:t xml:space="preserve">发动机水温</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燃油位、</w:t>
            </w:r>
            <w:r>
              <w:rPr>
                <w:rFonts w:hint="eastAsia" w:ascii="宋体" w:hAnsi="宋体" w:eastAsia="宋体" w:cs="宋体"/>
                <w:color w:val="auto"/>
                <w:sz w:val="24"/>
                <w:highlight w:val="none"/>
                <w:lang w:val="zh-CN"/>
              </w:rPr>
              <w:t xml:space="preserve">液压系统压力、油温、</w:t>
            </w:r>
            <w:r>
              <w:rPr>
                <w:rFonts w:hint="eastAsia" w:ascii="宋体" w:hAnsi="宋体" w:eastAsia="宋体" w:cs="宋体"/>
                <w:color w:val="auto"/>
                <w:sz w:val="24"/>
                <w:highlight w:val="none"/>
              </w:rPr>
              <w:t xml:space="preserve">油位等。</w:t>
            </w:r>
            <w:r>
              <w:rPr>
                <w:rFonts w:hint="eastAsia" w:ascii="宋体" w:hAnsi="宋体" w:eastAsia="宋体" w:cs="宋体"/>
                <w:color w:val="auto"/>
                <w:sz w:val="24"/>
                <w:highlight w:val="none"/>
                <w:lang w:val="zh-CN"/>
              </w:rPr>
              <w:t xml:space="preserve">各个控制按钮对应的功能应有明确标识，操作应简单方便</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★遥控系统</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遥控系统具有控制厢体、移动排水泵站等功能，具有控制发动机的启停、调速、取力器离合、液压系统调压等功能；其显示装置应能清晰体现车辆的工作状态，包括发动机转速、燃油位、上装液压系统压力、液压油温、液压油位等参数。各参数应有明确标识，遥控器的操作应简便快捷</w:t>
            </w:r>
            <w:r/>
          </w:p>
        </w:tc>
      </w:tr>
      <w:tr>
        <w:trPr>
          <w:trHeight w:val="470"/>
        </w:trPr>
        <w:tc>
          <w:tcPr>
            <w:tcMar>
              <w:left w:w="108" w:type="dxa"/>
              <w:top w:w="0" w:type="dxa"/>
              <w:right w:w="108" w:type="dxa"/>
              <w:bottom w:w="0" w:type="dxa"/>
            </w:tcMar>
            <w:tcW w:w="64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动力系统</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tabs>
                <w:tab w:val="left" w:pos="247"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▲液压系统（与10、11三选一）</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厢体车与移动泵站工作时连接的液压油管为</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条。每条油管长度≥50m，其中1条为高压管，通径≥</w:t>
            </w:r>
            <w:r>
              <w:rPr>
                <w:rFonts w:hint="eastAsia" w:ascii="宋体" w:hAnsi="宋体" w:eastAsia="宋体" w:cs="宋体"/>
                <w:color w:val="auto"/>
                <w:sz w:val="24"/>
                <w:highlight w:val="none"/>
              </w:rPr>
              <w:t xml:space="preserve">30</w:t>
            </w:r>
            <w:r>
              <w:rPr>
                <w:rFonts w:hint="eastAsia" w:ascii="宋体" w:hAnsi="宋体" w:eastAsia="宋体" w:cs="宋体"/>
                <w:color w:val="auto"/>
                <w:sz w:val="24"/>
                <w:highlight w:val="none"/>
                <w:lang w:val="zh-CN"/>
              </w:rPr>
              <w:t xml:space="preserve">mm，1条为低压管，通径≥3</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mm，1条为马达壳体回油管，通径≥1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mm</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水泵的冷却采用水冷结构，满足系统6小时满负荷连续工作后液压油温不超过75℃</w:t>
            </w:r>
            <w:r/>
          </w:p>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配置</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个独立的液压管绞盘，其中高压管绞盘1个，低压管绞盘1个，马达壳体回油液压管绞盘1个，并分别安装在不同位置。高压管及低压管的液压管绞盘配置导绳装置，可实现自动按顺序排绕收放液压管，液压管收放整齐，提高作业效率</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shd w:val="clear" w:color="auto" w:fill="auto"/>
            <w:tcMar>
              <w:left w:w="108" w:type="dxa"/>
              <w:top w:w="0" w:type="dxa"/>
              <w:right w:w="108" w:type="dxa"/>
              <w:bottom w:w="0" w:type="dxa"/>
            </w:tcMar>
            <w:tcW w:w="2048" w:type="dxa"/>
            <w:vAlign w:val="center"/>
            <w:textDirection w:val="lrTb"/>
            <w:noWrap/>
          </w:tcPr>
          <w:p>
            <w:pPr>
              <w:pStyle w:val="739"/>
              <w:spacing w:line="30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▲发电机组</w:t>
            </w:r>
            <w:r>
              <w:rPr>
                <w:rFonts w:hint="eastAsia" w:ascii="宋体" w:hAnsi="宋体" w:eastAsia="宋体" w:cs="宋体"/>
                <w:color w:val="auto"/>
                <w:sz w:val="24"/>
                <w:szCs w:val="24"/>
                <w:highlight w:val="none"/>
              </w:rPr>
              <w:t xml:space="preserve">（与9、11三选一）</w:t>
            </w:r>
            <w:r/>
          </w:p>
        </w:tc>
        <w:tc>
          <w:tcPr>
            <w:shd w:val="clear" w:color="auto" w:fill="auto"/>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功率≥150KW，油箱容积≥400L，在额定输出功率下，保证连续满负荷工作7小时。采用智能控制及按钮开关控制系统，能够检测并显示机组工作时的电压、电流、频率等，显示油压、水温等，具备机组保护、报警提示等作用</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pStyle w:val="739"/>
              <w:spacing w:line="30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子车自带动力（与9、10三选一）</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水泵等排水专用装备集成在履带底盘上，采用防脱钢制履带+橡胶块，不会对地面产生破坏，使用寿命长，是一辆可行走的履带式移动泵站</w:t>
            </w:r>
            <w:r/>
          </w:p>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子车自带动力，无需底盘提供动力，作业半径不受限制，功率≥160kw；水泵动力源：上装发动机提供动力，无需接液压油管，方便快捷</w:t>
            </w:r>
            <w:r/>
          </w:p>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控制方式：采用全液压机构控制，电子模块按键操作，并可实现无线遥控操作；遥控操作系统应能控制子车发动机的启停、调速、取力器离合、液压系统调压等功能，遥控器的操作应简便快捷</w:t>
            </w:r>
            <w:r/>
          </w:p>
        </w:tc>
      </w:tr>
      <w:tr>
        <w:trPr>
          <w:trHeight w:val="470"/>
        </w:trPr>
        <w:tc>
          <w:tcPr>
            <w:tcMar>
              <w:left w:w="108" w:type="dxa"/>
              <w:top w:w="0" w:type="dxa"/>
              <w:right w:w="108" w:type="dxa"/>
              <w:bottom w:w="0" w:type="dxa"/>
            </w:tcMar>
            <w:tcW w:w="64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子车(移动排水泵)</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★基本配置</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基本要求：移动排水泵站采用橡胶履带底盘，移动排水泵可根据现场实际积水工况遥控调节水泵抽水位置，无需任何人工搬运或者其他辅助设备，即可实现遥控操作移动泵站进行远距离排水，作业距离≥50</w:t>
            </w:r>
            <w:r>
              <w:rPr>
                <w:rFonts w:hint="eastAsia" w:ascii="宋体" w:hAnsi="宋体" w:eastAsia="宋体" w:cs="宋体"/>
                <w:color w:val="auto"/>
                <w:sz w:val="24"/>
                <w:highlight w:val="none"/>
              </w:rPr>
              <w:t xml:space="preserve">m</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水泵驱动形式：液压或电力或自带动力驱动</w:t>
            </w:r>
            <w:r/>
          </w:p>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水泵动力源：来自原厢体车底盘发动机或发电机组</w:t>
            </w:r>
            <w:r>
              <w:rPr>
                <w:rFonts w:hint="eastAsia" w:ascii="宋体" w:hAnsi="宋体" w:eastAsia="宋体" w:cs="宋体"/>
                <w:color w:val="auto"/>
                <w:sz w:val="24"/>
                <w:highlight w:val="none"/>
              </w:rPr>
              <w:t xml:space="preserve">或上装发动机</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bookmarkStart w:id="223" w:name="OLE_LINK128"/>
            <w:r/>
            <w:bookmarkStart w:id="224" w:name="OLE_LINK127"/>
            <w:r>
              <w:rPr>
                <w:rFonts w:hint="eastAsia" w:ascii="宋体" w:hAnsi="宋体" w:eastAsia="宋体" w:cs="宋体"/>
                <w:color w:val="auto"/>
                <w:sz w:val="24"/>
                <w:highlight w:val="none"/>
              </w:rPr>
              <w:t xml:space="preserve">★</w:t>
            </w:r>
            <w:bookmarkEnd w:id="223"/>
            <w:r/>
            <w:bookmarkEnd w:id="224"/>
            <w:r>
              <w:rPr>
                <w:rFonts w:hint="eastAsia" w:ascii="宋体" w:hAnsi="宋体" w:eastAsia="宋体" w:cs="宋体"/>
                <w:color w:val="auto"/>
                <w:sz w:val="24"/>
                <w:highlight w:val="none"/>
              </w:rPr>
              <w:t xml:space="preserve">流量及扬程</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单台水泵规定点流量≥1500m³/h，单台水泵规定点扬程≥15m</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水泵吸水口离水面作业最小深度</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≤0.3m</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外形尺寸</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长度≤3400mm，宽度≤1900mm，高度≤1800mm</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≤4500kg</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▲行走性能</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行走性能：液压驱动，遥控操作，爬坡能力≥35°，行驶速度≥2km/h</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上下母车方式：母车后门开启，方便子车进出开展作业</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pStyle w:val="739"/>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▲系统控制</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遥控控制+有线控制，无线遥控半径≥100m，子车有线遥控距离≥15m</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安全性</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防护等级</w:t>
            </w:r>
            <w:r>
              <w:rPr>
                <w:rFonts w:hint="eastAsia" w:ascii="宋体" w:hAnsi="宋体" w:eastAsia="宋体" w:cs="宋体"/>
                <w:color w:val="auto"/>
                <w:sz w:val="24"/>
                <w:highlight w:val="none"/>
              </w:rPr>
              <w:t xml:space="preserve">≥IP68</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涉水深度</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≥0.4m</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★排水软管</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排水管采用聚氨酯软管，软管口径≥DN200，配备长度200m，每段30米，工作压力≥0.3MPa，爆破压力≥1MPa，每段排水管均配置一套快速接头</w:t>
            </w:r>
            <w:r/>
          </w:p>
        </w:tc>
      </w:tr>
      <w:tr>
        <w:trPr>
          <w:trHeight w:val="470"/>
        </w:trPr>
        <w:tc>
          <w:tcPr>
            <w:tcMar>
              <w:left w:w="108" w:type="dxa"/>
              <w:top w:w="0" w:type="dxa"/>
              <w:right w:w="108" w:type="dxa"/>
              <w:bottom w:w="0" w:type="dxa"/>
            </w:tcMar>
            <w:tcW w:w="64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便携式水泵</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bookmarkStart w:id="225" w:name="OLE_LINK130"/>
            <w:r/>
            <w:bookmarkStart w:id="226" w:name="OLE_LINK129"/>
            <w:r>
              <w:rPr>
                <w:rFonts w:hint="eastAsia" w:ascii="宋体" w:hAnsi="宋体" w:eastAsia="宋体" w:cs="宋体"/>
                <w:color w:val="auto"/>
                <w:sz w:val="24"/>
                <w:highlight w:val="none"/>
              </w:rPr>
              <w:t xml:space="preserve">★</w:t>
            </w:r>
            <w:bookmarkEnd w:id="225"/>
            <w:r/>
            <w:bookmarkEnd w:id="226"/>
            <w:r>
              <w:rPr>
                <w:rFonts w:hint="eastAsia" w:ascii="宋体" w:hAnsi="宋体" w:eastAsia="宋体" w:cs="宋体"/>
                <w:color w:val="auto"/>
                <w:sz w:val="24"/>
                <w:highlight w:val="none"/>
              </w:rPr>
              <w:t xml:space="preserve">流量及扬程</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单台水泵规定点流量≥500m³/h，单台水泵规定点扬程≥10m</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水泵吸水口离水面作业最小深度</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≤0.2m</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27" w:name="OLE_LINK134"/>
            <w:r>
              <w:rPr>
                <w:rFonts w:hint="eastAsia" w:ascii="宋体" w:hAnsi="宋体" w:eastAsia="宋体" w:cs="宋体"/>
                <w:color w:val="auto"/>
                <w:sz w:val="24"/>
                <w:highlight w:val="none"/>
                <w:lang w:val="zh-CN"/>
              </w:rPr>
              <w:t xml:space="preserve">▲</w:t>
            </w:r>
            <w:bookmarkEnd w:id="227"/>
            <w:r>
              <w:rPr>
                <w:rFonts w:hint="eastAsia" w:ascii="宋体" w:hAnsi="宋体" w:eastAsia="宋体" w:cs="宋体"/>
                <w:color w:val="auto"/>
                <w:sz w:val="24"/>
                <w:highlight w:val="none"/>
              </w:rPr>
              <w:t xml:space="preserve">单台水泵重量</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≤25Kg</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材质</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水泵叶轮材质：双相不锈钢；泵体材质：优质铝合金</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★水管及快速接头</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配200mm的聚氨酯水管≥100m（20-25m分段），同时配备相应的快速接头</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油管及绞盘（</w:t>
            </w:r>
            <w:r>
              <w:rPr>
                <w:rFonts w:hint="eastAsia" w:ascii="宋体" w:hAnsi="宋体" w:eastAsia="宋体" w:cs="宋体"/>
                <w:color w:val="auto"/>
                <w:sz w:val="24"/>
                <w:highlight w:val="none"/>
              </w:rPr>
              <w:t xml:space="preserve">与28二选一</w:t>
            </w:r>
            <w:r>
              <w:rPr>
                <w:rFonts w:hint="eastAsia" w:ascii="宋体" w:hAnsi="宋体" w:eastAsia="宋体" w:cs="宋体"/>
                <w:color w:val="auto"/>
                <w:sz w:val="24"/>
                <w:highlight w:val="none"/>
                <w:lang w:val="zh-CN"/>
              </w:rPr>
              <w:t xml:space="preserve">）</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单泵油管长度</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0m（进、回油管各</w:t>
            </w:r>
            <w:r>
              <w:rPr>
                <w:rFonts w:hint="eastAsia" w:ascii="宋体" w:hAnsi="宋体" w:eastAsia="宋体" w:cs="宋体"/>
                <w:color w:val="auto"/>
                <w:sz w:val="24"/>
                <w:highlight w:val="none"/>
              </w:rPr>
              <w:t xml:space="preserve">≥25</w:t>
            </w:r>
            <w:r>
              <w:rPr>
                <w:rFonts w:hint="eastAsia" w:ascii="宋体" w:hAnsi="宋体" w:eastAsia="宋体" w:cs="宋体"/>
                <w:color w:val="auto"/>
                <w:sz w:val="24"/>
                <w:highlight w:val="none"/>
                <w:lang w:val="zh-CN"/>
              </w:rPr>
              <w:t xml:space="preserve">m），配备油管绞盘</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电缆（</w:t>
            </w:r>
            <w:r>
              <w:rPr>
                <w:rFonts w:hint="eastAsia" w:ascii="宋体" w:hAnsi="宋体" w:eastAsia="宋体" w:cs="宋体"/>
                <w:color w:val="auto"/>
                <w:sz w:val="24"/>
                <w:highlight w:val="none"/>
              </w:rPr>
              <w:t xml:space="preserve">与27二选一</w:t>
            </w:r>
            <w:r>
              <w:rPr>
                <w:rFonts w:hint="eastAsia" w:ascii="宋体" w:hAnsi="宋体" w:eastAsia="宋体" w:cs="宋体"/>
                <w:color w:val="auto"/>
                <w:sz w:val="24"/>
                <w:highlight w:val="none"/>
                <w:lang w:val="zh-CN"/>
              </w:rPr>
              <w:t xml:space="preserve">）</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单泵配备专用电缆</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0m，</w:t>
            </w:r>
            <w:r>
              <w:rPr>
                <w:rFonts w:hint="eastAsia" w:ascii="宋体" w:hAnsi="宋体" w:eastAsia="宋体" w:cs="宋体"/>
                <w:color w:val="auto"/>
                <w:sz w:val="24"/>
                <w:highlight w:val="none"/>
              </w:rPr>
              <w:t xml:space="preserve">20米分段</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配</w:t>
            </w:r>
            <w:r>
              <w:rPr>
                <w:rFonts w:hint="eastAsia" w:ascii="宋体" w:hAnsi="宋体" w:eastAsia="宋体" w:cs="宋体"/>
                <w:color w:val="auto"/>
                <w:sz w:val="24"/>
                <w:highlight w:val="none"/>
                <w:lang w:val="zh-CN"/>
              </w:rPr>
              <w:t xml:space="preserve">航空插头</w:t>
            </w:r>
            <w:r/>
          </w:p>
        </w:tc>
      </w:tr>
      <w:tr>
        <w:trPr>
          <w:trHeight w:val="470"/>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▲操控系统</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便携式水泵可单独控制、调速，且不因负载不同而产生压力、流量失衡；便携式水泵可与主泵同时使用</w:t>
            </w:r>
            <w:r/>
          </w:p>
        </w:tc>
      </w:tr>
      <w:tr>
        <w:trPr>
          <w:trHeight w:val="470"/>
        </w:trPr>
        <w:tc>
          <w:tcPr>
            <w:tcMar>
              <w:left w:w="108" w:type="dxa"/>
              <w:top w:w="0" w:type="dxa"/>
              <w:right w:w="108" w:type="dxa"/>
              <w:bottom w:w="0" w:type="dxa"/>
            </w:tcMar>
            <w:tcW w:w="640"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附件</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641"/>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★公告</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具有工信部公告、符合免征购置税要求、具有3C认证、具有环保公告，整车一体化设计，符合专项作业车改装要求（提供国家工信部公告）</w:t>
            </w:r>
            <w:r/>
          </w:p>
        </w:tc>
      </w:tr>
      <w:tr>
        <w:trPr>
          <w:trHeight w:val="641"/>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★配套装置</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灭火器：配手提式干粉灭火器2只，放置于车上易拿取处</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维修工具：车载配有常用维修工具，满足日常检修维护需要</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倒车影像及行车记录仪：</w:t>
            </w:r>
            <w:r>
              <w:rPr>
                <w:rFonts w:hint="eastAsia" w:ascii="宋体" w:hAnsi="宋体" w:eastAsia="宋体" w:cs="宋体"/>
                <w:color w:val="auto"/>
                <w:sz w:val="24"/>
                <w:highlight w:val="none"/>
              </w:rPr>
              <w:t xml:space="preserve">车辆配备彩色显示屏，配有倒车影像；配有行车记录仪</w:t>
            </w:r>
            <w:r/>
          </w:p>
        </w:tc>
      </w:tr>
      <w:tr>
        <w:trPr>
          <w:trHeight w:val="641"/>
        </w:trPr>
        <w:tc>
          <w:tcPr>
            <w:tcMar>
              <w:left w:w="108" w:type="dxa"/>
              <w:top w:w="0" w:type="dxa"/>
              <w:right w:w="108" w:type="dxa"/>
              <w:bottom w:w="0" w:type="dxa"/>
            </w:tcMar>
            <w:tcW w:w="640" w:type="dxa"/>
            <w:vAlign w:val="center"/>
            <w:textDirection w:val="lrTb"/>
            <w:noWrap/>
          </w:tcPr>
          <w:p>
            <w:pPr>
              <w:numPr>
                <w:ilvl w:val="0"/>
                <w:numId w:val="6"/>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048"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警示标识</w:t>
            </w:r>
            <w:r/>
          </w:p>
        </w:tc>
        <w:tc>
          <w:tcPr>
            <w:tcMar>
              <w:left w:w="108" w:type="dxa"/>
              <w:top w:w="0" w:type="dxa"/>
              <w:right w:w="108" w:type="dxa"/>
              <w:bottom w:w="0" w:type="dxa"/>
            </w:tcMar>
            <w:tcW w:w="6296"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警示标识：驾驶室顶部配有工程警灯，并具有喊话器功能</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厢体两侧有爆闪灯，车尾有警示灯，方便行车和警示，车辆车身形象根据采购人要求进行喷绘（提供国家工信部公告，公告中车辆图片需显示上述所有灯具，公告扫描件应作明显标记）</w:t>
            </w:r>
            <w:r/>
          </w:p>
          <w:p>
            <w:pPr>
              <w:spacing w:line="460" w:lineRule="exact"/>
              <w:rPr>
                <w:rFonts w:ascii="宋体" w:hAnsi="宋体" w:eastAsia="宋体" w:cs="宋体"/>
                <w:color w:val="auto"/>
                <w:sz w:val="24"/>
                <w:highlight w:val="none"/>
              </w:rPr>
            </w:pPr>
            <w:r/>
            <w:bookmarkStart w:id="228" w:name="OLE_LINK65"/>
            <w:r/>
            <w:bookmarkStart w:id="229" w:name="OLE_LINK57"/>
            <w:r>
              <w:rPr>
                <w:rFonts w:hint="eastAsia" w:ascii="宋体" w:hAnsi="宋体" w:eastAsia="宋体" w:cs="宋体"/>
                <w:color w:val="auto"/>
                <w:sz w:val="24"/>
                <w:highlight w:val="none"/>
              </w:rPr>
              <w:t xml:space="preserve">作业遥控探照灯</w:t>
            </w:r>
            <w:bookmarkEnd w:id="228"/>
            <w:r/>
            <w:bookmarkEnd w:id="229"/>
            <w:r>
              <w:rPr>
                <w:rFonts w:hint="eastAsia" w:ascii="宋体" w:hAnsi="宋体" w:eastAsia="宋体" w:cs="宋体"/>
                <w:color w:val="auto"/>
                <w:sz w:val="24"/>
                <w:highlight w:val="none"/>
              </w:rPr>
              <w:t xml:space="preserve">：</w:t>
            </w:r>
            <w:bookmarkStart w:id="230" w:name="OLE_LINK76"/>
            <w:r>
              <w:rPr>
                <w:rFonts w:hint="eastAsia" w:ascii="宋体" w:hAnsi="宋体" w:eastAsia="宋体" w:cs="宋体"/>
                <w:color w:val="auto"/>
                <w:sz w:val="24"/>
                <w:highlight w:val="none"/>
              </w:rPr>
              <w:t xml:space="preserve">车辆顶部</w:t>
            </w:r>
            <w:bookmarkEnd w:id="230"/>
            <w:r>
              <w:rPr>
                <w:rFonts w:hint="eastAsia" w:ascii="宋体" w:hAnsi="宋体" w:eastAsia="宋体" w:cs="宋体"/>
                <w:color w:val="auto"/>
                <w:sz w:val="24"/>
                <w:highlight w:val="none"/>
              </w:rPr>
              <w:t xml:space="preserve">安装作业遥控探照灯，可左右360度旋转；上下方向0-160度旋转，可适应全天候工作（提供国家工信部公告，公告中文字说明或车辆图片需显示上述灯具，公告扫描件应作明显标记）</w:t>
            </w:r>
            <w:r/>
          </w:p>
        </w:tc>
      </w:tr>
    </w:tbl>
    <w:p>
      <w:pPr>
        <w:ind w:firstLine="482"/>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2"/>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1.1.3、 排涝泵车（≥3000m³/h）</w:t>
      </w:r>
      <w:r/>
    </w:p>
    <w:tbl>
      <w:tblPr>
        <w:tblStyle w:val="734"/>
        <w:tblW w:w="8967" w:type="dxa"/>
        <w:tblInd w:w="13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45"/>
        <w:gridCol w:w="5860"/>
      </w:tblGrid>
      <w:tr>
        <w:trPr>
          <w:trHeight w:val="510"/>
        </w:trPr>
        <w:tc>
          <w:tcPr>
            <w:tcMar>
              <w:left w:w="108" w:type="dxa"/>
              <w:top w:w="0" w:type="dxa"/>
              <w:right w:w="108" w:type="dxa"/>
              <w:bottom w:w="0" w:type="dxa"/>
            </w:tcMar>
            <w:tcW w:w="662"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序号</w:t>
            </w:r>
            <w:r/>
          </w:p>
        </w:tc>
        <w:tc>
          <w:tcPr>
            <w:tcMar>
              <w:left w:w="108" w:type="dxa"/>
              <w:top w:w="0" w:type="dxa"/>
              <w:right w:w="108" w:type="dxa"/>
              <w:bottom w:w="0" w:type="dxa"/>
            </w:tcMar>
            <w:tcW w:w="2445"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名称</w:t>
            </w:r>
            <w:r/>
          </w:p>
        </w:tc>
        <w:tc>
          <w:tcPr>
            <w:tcMar>
              <w:left w:w="108" w:type="dxa"/>
              <w:top w:w="0" w:type="dxa"/>
              <w:right w:w="108" w:type="dxa"/>
              <w:bottom w:w="0" w:type="dxa"/>
            </w:tcMar>
            <w:tcW w:w="5860"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技术参数、要求</w:t>
            </w:r>
            <w:r/>
          </w:p>
        </w:tc>
      </w:tr>
      <w:tr>
        <w:trPr>
          <w:trHeight w:val="373"/>
        </w:trPr>
        <w:tc>
          <w:tcPr>
            <w:tcMar>
              <w:left w:w="108" w:type="dxa"/>
              <w:top w:w="0" w:type="dxa"/>
              <w:right w:w="108" w:type="dxa"/>
              <w:bottom w:w="0" w:type="dxa"/>
            </w:tcMar>
            <w:tcW w:w="662"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整车</w:t>
            </w:r>
            <w:r/>
          </w:p>
        </w:tc>
        <w:tc>
          <w:tcPr>
            <w:tcMar>
              <w:left w:w="108" w:type="dxa"/>
              <w:top w:w="0" w:type="dxa"/>
              <w:right w:w="108" w:type="dxa"/>
              <w:bottom w:w="0" w:type="dxa"/>
            </w:tcMar>
            <w:tcW w:w="5860"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r>
      <w:tr>
        <w:trPr>
          <w:trHeight w:val="397"/>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★基本配置</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排放标准、燃油类别：国Ⅵ、柴油、ABS防抱死</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发动机功率：≥95Kw（提供国家工信部公告）</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厢体：隔热、保温、降噪、防水、全密封、厢内照明、自动换气</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内部多舱分布，厢体左右侧和后部开门</w:t>
            </w:r>
            <w:r/>
          </w:p>
        </w:tc>
      </w:tr>
      <w:tr>
        <w:trPr>
          <w:trHeight w:val="397"/>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w:t>
            </w:r>
            <w:r>
              <w:rPr>
                <w:rFonts w:hint="eastAsia" w:ascii="宋体" w:hAnsi="宋体" w:eastAsia="宋体" w:cs="宋体"/>
                <w:color w:val="auto"/>
                <w:sz w:val="24"/>
                <w:highlight w:val="none"/>
              </w:rPr>
              <w:t xml:space="preserve">整车质量</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总质量≤10000kg，整备质量≥8000kg（提供国家工信部公告）</w:t>
            </w:r>
            <w:r/>
          </w:p>
        </w:tc>
      </w:tr>
      <w:tr>
        <w:trPr>
          <w:trHeight w:val="397"/>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▲车辆尺寸</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长≤8000mm，宽≤2600mm，高≤3600mm（提供国家工信部公告）</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shd w:val="clear" w:color="auto" w:fill="auto"/>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▲休息室或双排座</w:t>
            </w:r>
            <w:r/>
          </w:p>
        </w:tc>
        <w:tc>
          <w:tcPr>
            <w:shd w:val="clear" w:color="auto" w:fill="auto"/>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设置独立休息室，安装发电机组控制与监控面板，设置休息卧铺、空调、饮水机、工作桌板等物品， 操作室门设备观察窗口，方便抢险人员休息</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或车辆具有双排座，方便抢险人员休息</w:t>
            </w:r>
            <w:r/>
          </w:p>
        </w:tc>
      </w:tr>
      <w:tr>
        <w:trPr>
          <w:trHeight w:val="397"/>
        </w:trPr>
        <w:tc>
          <w:tcPr>
            <w:tcMar>
              <w:left w:w="108" w:type="dxa"/>
              <w:top w:w="0" w:type="dxa"/>
              <w:right w:w="108" w:type="dxa"/>
              <w:bottom w:w="0" w:type="dxa"/>
            </w:tcMar>
            <w:tcW w:w="662"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电控系统</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▲发电机组</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发电机组功率≥150kw，满足整车满负荷运行所需功率，机组运行稳定；电路保护：带漏电保护，过载、过热保护。装配部件：配电柜等。功率负荷：车满负荷运行所需功率机组运行稳定，系统 三相四线制。额定电压：线电压380V±10%，相电压 220V±10%</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★基本配置</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工作时限：发电机组油箱容积在额定输出功率下，可以连续工作≥8小时</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操作屏：配有智能液晶操作屏，可控制机组的启动、停止，可显示机组运行参数、油液信息及故障信息</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配电系统：外接电源220V、380V插座</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安全接地装置:专用接地线和地锚组件</w:t>
            </w:r>
            <w:r/>
          </w:p>
        </w:tc>
      </w:tr>
      <w:tr>
        <w:trPr>
          <w:trHeight w:val="29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▲控制系统</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每台水泵配有单独的控制系统，控制系统相互独立，可同时开启，亦可单独开启。控制系统有可视化操作界面，实时监测运行参数，带有漏电、电流过载、缺相、过压、欠压、电机过热等保护；防护等级≥IP55</w:t>
            </w:r>
            <w:r/>
          </w:p>
        </w:tc>
      </w:tr>
      <w:tr>
        <w:trPr>
          <w:trHeight w:val="510"/>
        </w:trPr>
        <w:tc>
          <w:tcPr>
            <w:tcMar>
              <w:left w:w="108" w:type="dxa"/>
              <w:top w:w="0" w:type="dxa"/>
              <w:right w:w="108" w:type="dxa"/>
              <w:bottom w:w="0" w:type="dxa"/>
            </w:tcMar>
            <w:tcW w:w="662"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b/>
                <w:bCs/>
                <w:color w:val="auto"/>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便携式潜水泵</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≥5台</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31" w:name="OLE_LINK140"/>
            <w:r/>
            <w:bookmarkStart w:id="232" w:name="OLE_LINK135"/>
            <w:r>
              <w:rPr>
                <w:rFonts w:hint="eastAsia" w:ascii="宋体" w:hAnsi="宋体" w:eastAsia="宋体" w:cs="宋体"/>
                <w:color w:val="auto"/>
                <w:sz w:val="24"/>
                <w:highlight w:val="none"/>
              </w:rPr>
              <w:t xml:space="preserve">★</w:t>
            </w:r>
            <w:bookmarkEnd w:id="231"/>
            <w:r/>
            <w:bookmarkEnd w:id="232"/>
            <w:r>
              <w:rPr>
                <w:rFonts w:hint="eastAsia" w:ascii="宋体" w:hAnsi="宋体" w:eastAsia="宋体" w:cs="宋体"/>
                <w:color w:val="auto"/>
                <w:sz w:val="24"/>
                <w:highlight w:val="none"/>
              </w:rPr>
              <w:t xml:space="preserve">潜水泵</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单台泵规定点流量下的扬程：流量≥600m³/h时，扬程≥8m ；流量≥500m³/h时，扬程≥10m </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出水口径</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200mm，壳体采用铝合金材质，不锈钢滤网，带蝶形螺母及不锈钢叶轮</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▲安全性</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防护等级≥IP68</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通过性</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水泵最大通过颗粒≥20mm</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w:t>
            </w:r>
            <w:r>
              <w:rPr>
                <w:rFonts w:hint="eastAsia" w:ascii="宋体" w:hAnsi="宋体" w:eastAsia="宋体" w:cs="宋体"/>
                <w:color w:val="auto"/>
                <w:sz w:val="24"/>
                <w:highlight w:val="none"/>
              </w:rPr>
              <w:t xml:space="preserve">功率、重量</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攻率：单泵规定点功率≥20Kw</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重量：单泵重量≤25Kg</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33" w:name="OLE_LINK171"/>
            <w:r/>
            <w:bookmarkStart w:id="234" w:name="OLE_LINK170"/>
            <w:r>
              <w:rPr>
                <w:rFonts w:hint="eastAsia" w:ascii="宋体" w:hAnsi="宋体" w:eastAsia="宋体" w:cs="宋体"/>
                <w:color w:val="auto"/>
                <w:spacing w:val="8"/>
                <w:sz w:val="24"/>
                <w:highlight w:val="none"/>
              </w:rPr>
              <w:t xml:space="preserve">▲</w:t>
            </w:r>
            <w:bookmarkEnd w:id="233"/>
            <w:r/>
            <w:bookmarkEnd w:id="234"/>
            <w:r>
              <w:rPr>
                <w:rFonts w:hint="eastAsia" w:ascii="宋体" w:hAnsi="宋体" w:eastAsia="宋体" w:cs="宋体"/>
                <w:color w:val="auto"/>
                <w:sz w:val="24"/>
                <w:highlight w:val="none"/>
              </w:rPr>
              <w:t xml:space="preserve">叶轮维氏硬度</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≥2500HV</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操作便捷性</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无需人工上车搬运水泵，或采用机械自动装取</w:t>
            </w:r>
            <w:r/>
          </w:p>
        </w:tc>
      </w:tr>
      <w:tr>
        <w:trPr>
          <w:trHeight w:val="510"/>
        </w:trPr>
        <w:tc>
          <w:tcPr>
            <w:tcMar>
              <w:left w:w="108" w:type="dxa"/>
              <w:top w:w="0" w:type="dxa"/>
              <w:right w:w="108" w:type="dxa"/>
              <w:bottom w:w="0" w:type="dxa"/>
            </w:tcMar>
            <w:tcW w:w="662"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b/>
                <w:bCs/>
                <w:color w:val="auto"/>
                <w:spacing w:val="-3"/>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3"/>
                <w:sz w:val="24"/>
                <w:highlight w:val="none"/>
              </w:rPr>
              <w:t xml:space="preserve">潜水泵控制柜</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highlight w:val="none"/>
              </w:rPr>
              <w:t xml:space="preserve">潜水泵控制柜</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数量与潜水泵一致。变频控制柜：采用拉杆厢式一体式结构，含有拉杆和行走轮。控制柜和车体采用螺丝固定，控制柜带防护型底座，具有抗震功能，固定在载体上，可方便拆卸离车，实现远距离排水</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防护等级</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≥IP55</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★控制方式、供电方式</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控制方式：采用变频控制,转速可调并采用智能系统控制。中文界面，具有自动障碍保护功能。带有漏电、电流过载、缺相、过压、欠压、过频、欠频、电机过热等保护</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供电方式：控制系统和水泵可以采用发电机或市电380V供电正常工作</w:t>
            </w:r>
            <w:r/>
          </w:p>
        </w:tc>
      </w:tr>
      <w:tr>
        <w:trPr>
          <w:trHeight w:val="510"/>
        </w:trPr>
        <w:tc>
          <w:tcPr>
            <w:tcMar>
              <w:left w:w="108" w:type="dxa"/>
              <w:top w:w="0" w:type="dxa"/>
              <w:right w:w="108" w:type="dxa"/>
              <w:bottom w:w="0" w:type="dxa"/>
            </w:tcMar>
            <w:tcW w:w="662" w:type="dxa"/>
            <w:vAlign w:val="center"/>
            <w:textDirection w:val="lrTb"/>
            <w:noWrap/>
          </w:tcPr>
          <w:p>
            <w:pPr>
              <w:numPr>
                <w:ilvl w:val="0"/>
                <w:numId w:val="7"/>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重量</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≤30Kg</w:t>
            </w:r>
            <w:r/>
          </w:p>
        </w:tc>
      </w:tr>
      <w:tr>
        <w:trPr>
          <w:trHeight w:val="462"/>
        </w:trPr>
        <w:tc>
          <w:tcPr>
            <w:tcMar>
              <w:left w:w="108" w:type="dxa"/>
              <w:top w:w="0" w:type="dxa"/>
              <w:right w:w="108" w:type="dxa"/>
              <w:bottom w:w="0" w:type="dxa"/>
            </w:tcMar>
            <w:tcW w:w="662"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附件</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470"/>
        </w:trPr>
        <w:tc>
          <w:tcPr>
            <w:tcMar>
              <w:left w:w="108" w:type="dxa"/>
              <w:top w:w="0" w:type="dxa"/>
              <w:right w:w="108" w:type="dxa"/>
              <w:bottom w:w="0" w:type="dxa"/>
            </w:tcMar>
            <w:tcW w:w="662" w:type="dxa"/>
            <w:vAlign w:val="center"/>
            <w:textDirection w:val="lrTb"/>
            <w:noWrap/>
          </w:tcPr>
          <w:p>
            <w:p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w:t>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★公告</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具有工信部公告、符合免征购置税要求、具有3C认证、具有环保公告，整车一体化设计，符合专项作业车改装要求（提供国家工信部公告）</w:t>
            </w:r>
            <w:r/>
          </w:p>
        </w:tc>
      </w:tr>
      <w:tr>
        <w:trPr>
          <w:trHeight w:val="470"/>
        </w:trPr>
        <w:tc>
          <w:tcPr>
            <w:tcMar>
              <w:left w:w="108" w:type="dxa"/>
              <w:top w:w="0" w:type="dxa"/>
              <w:right w:w="108" w:type="dxa"/>
              <w:bottom w:w="0" w:type="dxa"/>
            </w:tcMar>
            <w:tcW w:w="662" w:type="dxa"/>
            <w:vAlign w:val="center"/>
            <w:textDirection w:val="lrTb"/>
            <w:noWrap/>
          </w:tcPr>
          <w:p>
            <w:p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w:t>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★配套装置</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安全消防：单台水泵配浮圈1个、安全绳2根</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配手提式干粉灭火器≥2只，摆放于车上易拿取处</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电缆：单台水泵自带电缆线2根（≥20m/根），配防水航空插头</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水带：单台水泵配100m（20-25m分段）排水带含快速接头，材质耐压、耐腐蚀、防穿刺</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水带直角转弯保护器5个，水带上水过程遇到直角转弯时的减少流量的损耗</w:t>
            </w:r>
            <w:r/>
          </w:p>
          <w:p>
            <w:pPr>
              <w:spacing w:line="460" w:lineRule="exact"/>
              <w:rPr>
                <w:rFonts w:ascii="宋体" w:hAnsi="宋体" w:eastAsia="宋体" w:cs="宋体"/>
                <w:color w:val="auto"/>
                <w:sz w:val="24"/>
                <w:highlight w:val="none"/>
              </w:rPr>
            </w:pPr>
            <w:r/>
            <w:bookmarkStart w:id="235" w:name="OLE_LINK144"/>
            <w:r/>
            <w:bookmarkStart w:id="236" w:name="OLE_LINK141"/>
            <w:r>
              <w:rPr>
                <w:rFonts w:hint="eastAsia" w:ascii="宋体" w:hAnsi="宋体" w:eastAsia="宋体" w:cs="宋体"/>
                <w:color w:val="auto"/>
                <w:sz w:val="24"/>
                <w:highlight w:val="none"/>
                <w:lang w:val="zh-CN"/>
              </w:rPr>
              <w:t xml:space="preserve">倒车影像及行车记录仪：</w:t>
            </w:r>
            <w:r>
              <w:rPr>
                <w:rFonts w:hint="eastAsia" w:ascii="宋体" w:hAnsi="宋体" w:eastAsia="宋体" w:cs="宋体"/>
                <w:color w:val="auto"/>
                <w:sz w:val="24"/>
                <w:highlight w:val="none"/>
              </w:rPr>
              <w:t xml:space="preserve">车辆配备彩色显示屏，配有倒车影像；配有行车记录仪</w:t>
            </w:r>
            <w:bookmarkEnd w:id="235"/>
            <w:r/>
            <w:bookmarkEnd w:id="236"/>
            <w:r/>
            <w:r/>
          </w:p>
        </w:tc>
      </w:tr>
      <w:tr>
        <w:trPr>
          <w:trHeight w:val="470"/>
        </w:trPr>
        <w:tc>
          <w:tcPr>
            <w:tcMar>
              <w:left w:w="108" w:type="dxa"/>
              <w:top w:w="0" w:type="dxa"/>
              <w:right w:w="108" w:type="dxa"/>
              <w:bottom w:w="0" w:type="dxa"/>
            </w:tcMar>
            <w:tcW w:w="662" w:type="dxa"/>
            <w:vAlign w:val="center"/>
            <w:textDirection w:val="lrTb"/>
            <w:noWrap/>
          </w:tcPr>
          <w:p>
            <w:p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w:t>
            </w:r>
            <w:r/>
          </w:p>
        </w:tc>
        <w:tc>
          <w:tcPr>
            <w:tcMar>
              <w:left w:w="108" w:type="dxa"/>
              <w:top w:w="0" w:type="dxa"/>
              <w:right w:w="108" w:type="dxa"/>
              <w:bottom w:w="0" w:type="dxa"/>
            </w:tcMar>
            <w:tcW w:w="2445"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w:t>
            </w:r>
            <w:r>
              <w:rPr>
                <w:rFonts w:hint="eastAsia" w:ascii="宋体" w:hAnsi="宋体" w:eastAsia="宋体" w:cs="宋体"/>
                <w:color w:val="auto"/>
                <w:sz w:val="24"/>
                <w:highlight w:val="none"/>
              </w:rPr>
              <w:t xml:space="preserve">警示标识</w:t>
            </w:r>
            <w:r/>
          </w:p>
        </w:tc>
        <w:tc>
          <w:tcPr>
            <w:tcMar>
              <w:left w:w="108" w:type="dxa"/>
              <w:top w:w="0" w:type="dxa"/>
              <w:right w:w="108" w:type="dxa"/>
              <w:bottom w:w="0" w:type="dxa"/>
            </w:tcMar>
            <w:tcW w:w="5860" w:type="dxa"/>
            <w:vAlign w:val="center"/>
            <w:textDirection w:val="lrTb"/>
            <w:noWrap/>
          </w:tcPr>
          <w:p>
            <w:pPr>
              <w:spacing w:line="460" w:lineRule="exact"/>
              <w:rPr>
                <w:rFonts w:ascii="宋体" w:hAnsi="宋体" w:eastAsia="宋体" w:cs="宋体"/>
                <w:color w:val="auto"/>
                <w:sz w:val="24"/>
                <w:highlight w:val="none"/>
              </w:rPr>
            </w:pPr>
            <w:r/>
            <w:bookmarkStart w:id="237" w:name="OLE_LINK168"/>
            <w:r/>
            <w:bookmarkStart w:id="238" w:name="OLE_LINK169"/>
            <w:r>
              <w:rPr>
                <w:rFonts w:hint="eastAsia" w:ascii="宋体" w:hAnsi="宋体" w:eastAsia="宋体" w:cs="宋体"/>
                <w:color w:val="auto"/>
                <w:sz w:val="24"/>
                <w:highlight w:val="none"/>
              </w:rPr>
              <w:t xml:space="preserve">警示标识</w:t>
            </w:r>
            <w:bookmarkEnd w:id="237"/>
            <w:r/>
            <w:bookmarkEnd w:id="238"/>
            <w:r>
              <w:rPr>
                <w:rFonts w:hint="eastAsia" w:ascii="宋体" w:hAnsi="宋体" w:eastAsia="宋体" w:cs="宋体"/>
                <w:color w:val="auto"/>
                <w:sz w:val="24"/>
                <w:highlight w:val="none"/>
              </w:rPr>
              <w:t xml:space="preserve">：驾驶室顶部配有工程警灯，并具有喊话器功能，厢体两侧有爆闪灯，车尾有警示灯，方便行车和警示，车辆车身形象根据采购人要求进行喷绘（提供国家工信部公告，公告中车辆图片需显示上述所有灯具，公告扫描件应作明显标记）</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照明灯具：车辆顶部安装升降照明灯，可360°旋转，带底座，可折叠回收，可遥控和线控两种操作（提供国家工信部公告，公告中文字说明或车辆图片需显示上述灯具，公告扫描件应作明显标记）</w:t>
            </w:r>
            <w:r/>
          </w:p>
        </w:tc>
      </w:tr>
    </w:tbl>
    <w:p>
      <w:pPr>
        <w:pStyle w:val="791"/>
        <w:ind w:firstLine="422"/>
        <w:spacing w:line="276" w:lineRule="auto"/>
        <w:rPr>
          <w:rFonts w:ascii="宋体" w:hAnsi="宋体" w:eastAsia="宋体" w:cs="宋体"/>
          <w:b/>
          <w:bCs/>
          <w:color w:val="auto"/>
          <w:sz w:val="24"/>
          <w:highlight w:val="none"/>
        </w:rPr>
      </w:pPr>
      <w:r>
        <w:rPr>
          <w:rFonts w:ascii="宋体" w:hAnsi="宋体" w:eastAsia="宋体" w:cs="宋体"/>
          <w:b/>
          <w:bCs/>
          <w:color w:val="auto"/>
          <w:sz w:val="24"/>
          <w:highlight w:val="none"/>
        </w:rPr>
      </w:r>
      <w:r/>
    </w:p>
    <w:p>
      <w:pPr>
        <w:pStyle w:val="791"/>
        <w:ind w:left="0"/>
        <w:spacing w:line="276"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1.1.4、</w:t>
      </w:r>
      <w:bookmarkStart w:id="239" w:name="OLE_LINK100"/>
      <w:r/>
      <w:bookmarkStart w:id="240" w:name="OLE_LINK101"/>
      <w:r>
        <w:rPr>
          <w:rFonts w:hint="eastAsia" w:ascii="宋体" w:hAnsi="宋体" w:eastAsia="宋体" w:cs="宋体"/>
          <w:b/>
          <w:bCs/>
          <w:color w:val="auto"/>
          <w:sz w:val="24"/>
          <w:highlight w:val="none"/>
        </w:rPr>
        <w:t xml:space="preserve">联合疏通车（含清洗吸污、18吨）</w:t>
      </w:r>
      <w:bookmarkEnd w:id="239"/>
      <w:r/>
      <w:bookmarkEnd w:id="240"/>
      <w:r/>
      <w:r/>
    </w:p>
    <w:tbl>
      <w:tblPr>
        <w:tblStyle w:val="73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921"/>
        <w:gridCol w:w="6288"/>
      </w:tblGrid>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序号</w:t>
            </w:r>
            <w:r/>
          </w:p>
        </w:tc>
        <w:tc>
          <w:tcPr>
            <w:tcMar>
              <w:left w:w="108" w:type="dxa"/>
              <w:top w:w="0" w:type="dxa"/>
              <w:right w:w="108" w:type="dxa"/>
              <w:bottom w:w="0" w:type="dxa"/>
            </w:tcMar>
            <w:tcW w:w="1921"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名称</w:t>
            </w:r>
            <w:r/>
          </w:p>
        </w:tc>
        <w:tc>
          <w:tcPr>
            <w:tcMar>
              <w:left w:w="108" w:type="dxa"/>
              <w:top w:w="0" w:type="dxa"/>
              <w:right w:w="108" w:type="dxa"/>
              <w:bottom w:w="0" w:type="dxa"/>
            </w:tcMar>
            <w:tcW w:w="6288" w:type="dxa"/>
            <w:vAlign w:val="center"/>
            <w:textDirection w:val="lrTb"/>
            <w:noWrap/>
          </w:tcPr>
          <w:p>
            <w:pPr>
              <w:jc w:val="cente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技术参数、要求</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整车</w:t>
            </w:r>
            <w:r/>
          </w:p>
        </w:tc>
        <w:tc>
          <w:tcPr>
            <w:tcMar>
              <w:left w:w="108" w:type="dxa"/>
              <w:top w:w="0" w:type="dxa"/>
              <w:right w:w="108" w:type="dxa"/>
              <w:bottom w:w="0" w:type="dxa"/>
            </w:tcMar>
            <w:tcW w:w="6288"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41" w:name="OLE_LINK80"/>
            <w:r/>
            <w:bookmarkStart w:id="242" w:name="OLE_LINK149"/>
            <w:r>
              <w:rPr>
                <w:rFonts w:hint="eastAsia" w:ascii="宋体" w:hAnsi="宋体" w:eastAsia="宋体" w:cs="宋体"/>
                <w:color w:val="auto"/>
                <w:sz w:val="24"/>
                <w:highlight w:val="none"/>
              </w:rPr>
              <w:t xml:space="preserve">★</w:t>
            </w:r>
            <w:bookmarkEnd w:id="241"/>
            <w:r/>
            <w:bookmarkEnd w:id="242"/>
            <w:r>
              <w:rPr>
                <w:rFonts w:hint="eastAsia" w:ascii="宋体" w:hAnsi="宋体" w:eastAsia="宋体" w:cs="宋体"/>
                <w:color w:val="auto"/>
                <w:sz w:val="24"/>
                <w:highlight w:val="none"/>
              </w:rPr>
              <w:t xml:space="preserve">排放标准、燃油类别</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国Ⅵ、柴油、ABS防抱死</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▲总质量</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18000kg±500kg（提供国家工信部公告）</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▲功率</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≥165Kw（提供国家工信部公告）</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▲整备质量、额定载质量</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整备质量≥11000kg，额定载质量≥5700kg（提供国家工信部公告）</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▲车辆尺寸</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长≥8000mm，宽≥2500mm，高≥3550mm（提供国家工信部公告）</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清水罐</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▲清水罐总容积</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≥3.5m³（提供国家工信部公告）</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en-US"/>
              </w:rPr>
              <w:t xml:space="preserve">罐体材质</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不锈钢</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★罐体壁厚</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≥3mm       </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污水罐</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▲污水罐总容积</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≥7.5m³（提供国家工信部公告）</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★罐体壁厚</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≥5mm      </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设计压力、工作压力</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设计压力全真空，工作压力≤-0.9bar</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排污阀</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2个（自动、手动各1个）</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罐体举升方式</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bookmarkStart w:id="243" w:name="OLE_LINK157"/>
            <w:r/>
            <w:bookmarkStart w:id="244" w:name="OLE_LINK158"/>
            <w:r>
              <w:rPr>
                <w:rFonts w:hint="eastAsia" w:ascii="宋体" w:hAnsi="宋体" w:eastAsia="宋体" w:cs="宋体"/>
                <w:color w:val="auto"/>
                <w:sz w:val="24"/>
                <w:highlight w:val="none"/>
              </w:rPr>
              <w:t xml:space="preserve">罐体举升方式</w:t>
            </w:r>
            <w:bookmarkEnd w:id="243"/>
            <w:r/>
            <w:bookmarkEnd w:id="244"/>
            <w:r>
              <w:rPr>
                <w:rFonts w:hint="eastAsia" w:ascii="宋体" w:hAnsi="宋体" w:eastAsia="宋体" w:cs="宋体"/>
                <w:color w:val="auto"/>
                <w:sz w:val="24"/>
                <w:highlight w:val="none"/>
              </w:rPr>
              <w:t xml:space="preserve">：液压前顶油缸举升卸料</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罐体举升角度</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罐体举升角度：≥45°</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en-US"/>
              </w:rPr>
              <w:t xml:space="preserve">泥水分离</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配置泥水分离装置，具备泥水分离及自动运行功能</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en-US"/>
              </w:rPr>
              <w:t xml:space="preserve">▲污水排放</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具备将分离后的污水经吸污臂反排功能</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en-US"/>
              </w:rPr>
              <w:t xml:space="preserve">安全保护</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lang w:eastAsia="en-US"/>
              </w:rPr>
              <w:t xml:space="preserve">吸污车满载自动保护</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高压泵</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▲高压泵</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流量≥210L/min，压力0—20Mpa可调节，功率≥80kw，</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最高转速≥1800rpm</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45" w:name="OLE_LINK156"/>
            <w:r/>
            <w:bookmarkStart w:id="246" w:name="OLE_LINK161"/>
            <w:r>
              <w:rPr>
                <w:rFonts w:hint="eastAsia" w:ascii="宋体" w:hAnsi="宋体" w:eastAsia="宋体" w:cs="宋体"/>
                <w:color w:val="auto"/>
                <w:sz w:val="24"/>
                <w:highlight w:val="none"/>
              </w:rPr>
              <w:t xml:space="preserve">★</w:t>
            </w:r>
            <w:bookmarkEnd w:id="245"/>
            <w:r/>
            <w:bookmarkEnd w:id="246"/>
            <w:r>
              <w:rPr>
                <w:rFonts w:hint="eastAsia" w:ascii="宋体" w:hAnsi="宋体" w:eastAsia="宋体" w:cs="宋体"/>
                <w:color w:val="auto"/>
                <w:sz w:val="24"/>
                <w:highlight w:val="none"/>
              </w:rPr>
              <w:t xml:space="preserve">保护装置</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泵体保护：具有低水位报警及保护装置</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防冻保护：具有冬季排水装置</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真空泵</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真空泵</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空气流量≥900m³/h，真空度≥95%</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★泵体保护</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罐体顶端装有止回阀，液位警报连锁 ，三重保护系统</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抽吸距离</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水平距离≥60m，抽吸深度≥12m</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后罐门</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操作</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液压开启</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开启角度≥90°</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锁紧装置</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罐门锁紧与开合联动，吸污时不会发生泄漏</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吸污吊臂</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升降角度</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向上≥15°，向下≥15°</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▲旋臂伸缩尺寸、旋转角</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伸缩尺寸≥1100mm，旋转角≥300°</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47" w:name="OLE_LINK165"/>
            <w:r/>
            <w:bookmarkStart w:id="248" w:name="OLE_LINK164"/>
            <w:r>
              <w:rPr>
                <w:rFonts w:hint="eastAsia" w:ascii="宋体" w:hAnsi="宋体" w:eastAsia="宋体" w:cs="宋体"/>
                <w:color w:val="auto"/>
                <w:sz w:val="24"/>
                <w:highlight w:val="none"/>
              </w:rPr>
              <w:t xml:space="preserve">吸污管</w:t>
            </w:r>
            <w:bookmarkEnd w:id="247"/>
            <w:r/>
            <w:bookmarkEnd w:id="248"/>
            <w:r>
              <w:rPr>
                <w:rFonts w:hint="eastAsia" w:ascii="宋体" w:hAnsi="宋体" w:eastAsia="宋体" w:cs="宋体"/>
                <w:color w:val="auto"/>
                <w:sz w:val="24"/>
                <w:highlight w:val="none"/>
              </w:rPr>
              <w:t xml:space="preserve">、吸污头</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吸污管：材质聚氨酯，长度≥12m，直径≥DN100mm(4英寸)</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吸污头：材质铝合金，长度≥1.2m（真空射流）</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高压胶管</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高压胶管</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材质：HP软管（双层耐磨钢丝）</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通径、长度: 通径≥DN25mm，长度≥80m</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旋转绞盘</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旋转、收放</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水平旋转≥160°，电动液压收放</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卷筒速度、软管控制</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卷筒速度：无级调节开关</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软管控制：手电一体控制</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喷头</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49" w:name="OLE_LINK160"/>
            <w:r/>
            <w:bookmarkStart w:id="250" w:name="OLE_LINK159"/>
            <w:r>
              <w:rPr>
                <w:rFonts w:hint="eastAsia" w:ascii="宋体" w:hAnsi="宋体" w:eastAsia="宋体" w:cs="宋体"/>
                <w:color w:val="auto"/>
                <w:sz w:val="24"/>
                <w:highlight w:val="none"/>
              </w:rPr>
              <w:t xml:space="preserve">喷头</w:t>
            </w:r>
            <w:bookmarkEnd w:id="249"/>
            <w:r/>
            <w:bookmarkEnd w:id="250"/>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蘑菇喷头：2个，用于疏通一般堵塞的管道</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榴弹喷头：1个，用于疏通严重堵塞的管道</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菱形喷头：1个，用于疏通严重堵塞的管道</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操作控制系统</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251" w:name="OLE_LINK163"/>
            <w:r/>
            <w:bookmarkStart w:id="252" w:name="OLE_LINK162"/>
            <w:r/>
            <w:bookmarkStart w:id="253" w:name="OLE_LINK176"/>
            <w:r>
              <w:rPr>
                <w:rFonts w:hint="eastAsia" w:ascii="宋体" w:hAnsi="宋体" w:eastAsia="宋体" w:cs="宋体"/>
                <w:color w:val="auto"/>
                <w:sz w:val="24"/>
                <w:highlight w:val="none"/>
              </w:rPr>
              <w:t xml:space="preserve">▲</w:t>
            </w:r>
            <w:bookmarkEnd w:id="251"/>
            <w:r/>
            <w:bookmarkEnd w:id="252"/>
            <w:r/>
            <w:bookmarkEnd w:id="253"/>
            <w:r>
              <w:rPr>
                <w:rFonts w:hint="eastAsia" w:ascii="宋体" w:hAnsi="宋体" w:eastAsia="宋体" w:cs="宋体"/>
                <w:color w:val="auto"/>
                <w:sz w:val="24"/>
                <w:highlight w:val="none"/>
              </w:rPr>
              <w:t xml:space="preserve">数字化操控系统</w:t>
            </w:r>
            <w:r/>
          </w:p>
        </w:tc>
        <w:tc>
          <w:tcPr>
            <w:tcMar>
              <w:left w:w="108" w:type="dxa"/>
              <w:top w:w="0" w:type="dxa"/>
              <w:right w:w="108" w:type="dxa"/>
              <w:bottom w:w="0" w:type="dxa"/>
            </w:tcMar>
            <w:tcW w:w="6288" w:type="dxa"/>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英寸显示器和智能可编程控制器，通过总线分布式控制技术，利用CPU芯片实现对整车操作系统系统的逻辑智能监测和控制，并对整车油门、转速、流量、气压、水压、液位等多路信号进行数字化动态采集和显示，还可实现各种故障进行显示报警和预警提醒、自动切断、手动恢复等功能。另优化整车控制系统功能同时预留后续控制的接口</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无线控制</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无线遥控器操作（50m范围内）</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安全系统</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★安全系统</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保护系统：智能停机保护系统</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喷头防淤保护：配置防止喷头陷入淤泥或打入管道错位处装置</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泄压保护：配置泄压装置，可以自动切断高压水泵的水压</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紧急制动保护：配置紧急制动开关，满足突发状况下的安全保护需求</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自清洁装置</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自清洁装置</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安装位置：位于车辆尾部，便于清洁工作完成后的车体及工作场所</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直径、长度：直径≥9mm，长度≥15m</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高压水枪：1套 ≥40L/min，可用热水</w:t>
            </w:r>
            <w:r/>
          </w:p>
        </w:tc>
      </w:tr>
      <w:tr>
        <w:trPr>
          <w:jc w:val="center"/>
          <w:trHeight w:val="510"/>
        </w:trPr>
        <w:tc>
          <w:tcPr>
            <w:tcMar>
              <w:left w:w="108" w:type="dxa"/>
              <w:top w:w="0" w:type="dxa"/>
              <w:right w:w="108" w:type="dxa"/>
              <w:bottom w:w="0" w:type="dxa"/>
            </w:tcMar>
            <w:tcW w:w="71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其他</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511"/>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★配套装置</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bookmarkStart w:id="254" w:name="OLE_LINK145"/>
            <w:r/>
            <w:bookmarkStart w:id="255" w:name="OLE_LINK148"/>
            <w:r>
              <w:rPr>
                <w:rFonts w:hint="eastAsia" w:ascii="宋体" w:hAnsi="宋体" w:eastAsia="宋体" w:cs="宋体"/>
                <w:color w:val="auto"/>
                <w:sz w:val="24"/>
                <w:highlight w:val="none"/>
              </w:rPr>
              <w:t xml:space="preserve">随车附件：随车工具、同型号备胎1只、易损件及说明书等，灭火器1只、反光背心2件、轮挡2个</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倒车影像及行车记录仪：</w:t>
            </w:r>
            <w:r>
              <w:rPr>
                <w:rFonts w:hint="eastAsia" w:ascii="宋体" w:hAnsi="宋体" w:eastAsia="宋体" w:cs="宋体"/>
                <w:color w:val="auto"/>
                <w:sz w:val="24"/>
                <w:highlight w:val="none"/>
              </w:rPr>
              <w:t xml:space="preserve">车辆配备彩色显示屏，配有倒车影像；配有行车记录仪</w:t>
            </w:r>
            <w:bookmarkEnd w:id="254"/>
            <w:r/>
            <w:bookmarkEnd w:id="255"/>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★公告</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具有工信部公告、符合免征购置税要求、具有3C认证、具有环保公告，整车一体化设计，符合专项作业车改装要求（提供国家工信部公告）</w:t>
            </w:r>
            <w:r/>
          </w:p>
        </w:tc>
      </w:tr>
      <w:tr>
        <w:trPr>
          <w:jc w:val="center"/>
          <w:trHeight w:val="510"/>
        </w:trPr>
        <w:tc>
          <w:tcPr>
            <w:tcMar>
              <w:left w:w="108" w:type="dxa"/>
              <w:top w:w="0" w:type="dxa"/>
              <w:right w:w="108" w:type="dxa"/>
              <w:bottom w:w="0" w:type="dxa"/>
            </w:tcMar>
            <w:tcW w:w="716" w:type="dxa"/>
            <w:vAlign w:val="center"/>
            <w:textDirection w:val="lrTb"/>
            <w:noWrap/>
          </w:tcPr>
          <w:p>
            <w:pPr>
              <w:numPr>
                <w:ilvl w:val="0"/>
                <w:numId w:val="8"/>
              </w:numPr>
              <w:jc w:val="cente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tc>
        <w:tc>
          <w:tcPr>
            <w:tcMar>
              <w:left w:w="108" w:type="dxa"/>
              <w:top w:w="0" w:type="dxa"/>
              <w:right w:w="108" w:type="dxa"/>
              <w:bottom w:w="0" w:type="dxa"/>
            </w:tcMar>
            <w:tcW w:w="1921"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▲警示标识</w:t>
            </w:r>
            <w:r/>
          </w:p>
        </w:tc>
        <w:tc>
          <w:tcPr>
            <w:tcMar>
              <w:left w:w="108" w:type="dxa"/>
              <w:top w:w="0" w:type="dxa"/>
              <w:right w:w="108" w:type="dxa"/>
              <w:bottom w:w="0" w:type="dxa"/>
            </w:tcMar>
            <w:tcW w:w="6288" w:type="dxa"/>
            <w:vAlign w:val="center"/>
            <w:textDirection w:val="lrTb"/>
            <w:noWrap/>
          </w:tcPr>
          <w:p>
            <w:pPr>
              <w:spacing w:line="460" w:lineRule="exact"/>
              <w:rPr>
                <w:rFonts w:ascii="宋体" w:hAnsi="宋体" w:eastAsia="宋体" w:cs="宋体"/>
                <w:color w:val="auto"/>
                <w:sz w:val="24"/>
                <w:highlight w:val="none"/>
              </w:rPr>
            </w:pPr>
            <w:r/>
            <w:bookmarkStart w:id="256" w:name="OLE_LINK175"/>
            <w:r/>
            <w:bookmarkStart w:id="257" w:name="OLE_LINK174"/>
            <w:r>
              <w:rPr>
                <w:rFonts w:hint="eastAsia" w:ascii="宋体" w:hAnsi="宋体" w:eastAsia="宋体" w:cs="宋体"/>
                <w:color w:val="auto"/>
                <w:sz w:val="24"/>
                <w:highlight w:val="none"/>
              </w:rPr>
              <w:t xml:space="preserve">警示标识</w:t>
            </w:r>
            <w:bookmarkEnd w:id="256"/>
            <w:r/>
            <w:bookmarkEnd w:id="257"/>
            <w:r>
              <w:rPr>
                <w:rFonts w:hint="eastAsia" w:ascii="宋体" w:hAnsi="宋体" w:eastAsia="宋体" w:cs="宋体"/>
                <w:color w:val="auto"/>
                <w:sz w:val="24"/>
                <w:highlight w:val="none"/>
              </w:rPr>
              <w:t xml:space="preserve">：车尾配置箭头式警示灯，车辆车身形象按照采购人要求进行喷绘（提供国家工信部公告，公告中文字说明或车辆图片需显示上述灯具，公告扫描件应作明显标记）</w:t>
            </w:r>
            <w:r/>
          </w:p>
        </w:tc>
      </w:tr>
    </w:tbl>
    <w:p>
      <w:pPr>
        <w:ind w:firstLine="482"/>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2"/>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1.1.5、</w:t>
      </w:r>
      <w:bookmarkStart w:id="258" w:name="OLE_LINK102"/>
      <w:r/>
      <w:bookmarkStart w:id="259" w:name="OLE_LINK103"/>
      <w:r>
        <w:rPr>
          <w:rFonts w:hint="eastAsia" w:ascii="宋体" w:hAnsi="宋体" w:eastAsia="宋体" w:cs="宋体"/>
          <w:b/>
          <w:bCs/>
          <w:color w:val="auto"/>
          <w:sz w:val="24"/>
          <w:highlight w:val="none"/>
        </w:rPr>
        <w:t xml:space="preserve">拖拽式移动自吸泵（≥360m³/h）</w:t>
      </w:r>
      <w:bookmarkEnd w:id="258"/>
      <w:r/>
      <w:bookmarkEnd w:id="259"/>
      <w:r/>
      <w:r/>
    </w:p>
    <w:tbl>
      <w:tblPr>
        <w:tblStyle w:val="734"/>
        <w:tblW w:w="8916" w:type="dxa"/>
        <w:tblInd w:w="14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56"/>
        <w:gridCol w:w="1277"/>
        <w:gridCol w:w="6883"/>
      </w:tblGrid>
      <w:tr>
        <w:trPr>
          <w:trHeight w:val="455"/>
        </w:trPr>
        <w:tc>
          <w:tcPr>
            <w:tcW w:w="75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序号</w:t>
            </w:r>
            <w:r/>
          </w:p>
        </w:tc>
        <w:tc>
          <w:tcPr>
            <w:tcW w:w="1277" w:type="dxa"/>
            <w:vAlign w:val="center"/>
            <w:textDirection w:val="lrTb"/>
            <w:noWrap/>
          </w:tcPr>
          <w:p>
            <w:pPr>
              <w:jc w:val="cente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名称</w:t>
            </w:r>
            <w:r/>
          </w:p>
        </w:tc>
        <w:tc>
          <w:tcPr>
            <w:tcW w:w="6883" w:type="dxa"/>
            <w:vAlign w:val="center"/>
            <w:textDirection w:val="lrTb"/>
            <w:noWrap/>
          </w:tcPr>
          <w:p>
            <w:pPr>
              <w:jc w:val="cente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技术参数、要求</w:t>
            </w:r>
            <w:r/>
          </w:p>
        </w:tc>
      </w:tr>
      <w:tr>
        <w:trPr>
          <w:trHeight w:val="526"/>
        </w:trPr>
        <w:tc>
          <w:tcPr>
            <w:tcW w:w="756" w:type="dxa"/>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277" w:type="dxa"/>
            <w:vAlign w:val="center"/>
            <w:vMerge w:val="restart"/>
            <w:textDirection w:val="lrTb"/>
            <w:noWrap/>
          </w:tcPr>
          <w:p>
            <w:pPr>
              <w:jc w:val="cente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水泵</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采用自吸式离心泵，进出水口口径≥150mm</w:t>
            </w:r>
            <w:r/>
          </w:p>
        </w:tc>
      </w:tr>
      <w:tr>
        <w:trPr>
          <w:trHeight w:val="421"/>
        </w:trPr>
        <w:tc>
          <w:tcPr>
            <w:tcW w:w="756" w:type="dxa"/>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277" w:type="dxa"/>
            <w:vAlign w:val="center"/>
            <w:vMerge w:val="continue"/>
            <w:textDirection w:val="lrTb"/>
            <w:noWrap/>
          </w:tcPr>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★最大流量≥360m³/h</w:t>
            </w:r>
            <w:r/>
          </w:p>
        </w:tc>
      </w:tr>
      <w:tr>
        <w:trPr>
          <w:trHeight w:val="269"/>
        </w:trPr>
        <w:tc>
          <w:tcPr>
            <w:tcW w:w="756" w:type="dxa"/>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277" w:type="dxa"/>
            <w:vAlign w:val="center"/>
            <w:vMerge w:val="continue"/>
            <w:textDirection w:val="lrTb"/>
            <w:noWrap/>
          </w:tcPr>
          <w:p>
            <w:pPr>
              <w:jc w:val="center"/>
              <w:spacing w:line="300" w:lineRule="exact"/>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▲工况点要求：额定扬程20m时，要求流量≥200m³/h；额定扬程10m时，要求流量≥350m³/h</w:t>
            </w:r>
            <w:r/>
          </w:p>
        </w:tc>
      </w:tr>
      <w:tr>
        <w:trPr>
          <w:trHeight w:val="269"/>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▲最大扬程≥28m</w:t>
            </w:r>
            <w:r/>
          </w:p>
        </w:tc>
      </w:tr>
      <w:tr>
        <w:trPr>
          <w:trHeight w:val="339"/>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▲9m垂直吸程情况下上水时间≤60秒 </w:t>
            </w:r>
            <w:r/>
          </w:p>
        </w:tc>
      </w:tr>
      <w:tr>
        <w:trPr>
          <w:trHeight w:val="269"/>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汽蚀余量≤1.5m</w:t>
            </w:r>
            <w:r/>
          </w:p>
        </w:tc>
      </w:tr>
      <w:tr>
        <w:trPr>
          <w:trHeight w:val="488"/>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277" w:type="dxa"/>
            <w:vAlign w:val="center"/>
            <w:vMerge w:val="continue"/>
            <w:textDirection w:val="lrTb"/>
            <w:noWrap/>
          </w:tcPr>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泵体前端盖设有观察口，可方便打开，方便检修（提供设备照片）</w:t>
            </w:r>
            <w:r/>
          </w:p>
        </w:tc>
      </w:tr>
      <w:tr>
        <w:trPr>
          <w:trHeight w:val="428"/>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▲最大通过颗粒直径≥75mm</w:t>
            </w:r>
            <w:r/>
          </w:p>
        </w:tc>
      </w:tr>
      <w:tr>
        <w:trPr>
          <w:trHeight w:val="402"/>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▲采用“真空辅助自吸式水泵”,使用前泵体里无需加水，实现干自吸，真空泵与发动机需要同时工作，无需控制启停，保证使用的连续性</w:t>
            </w:r>
            <w:r/>
          </w:p>
        </w:tc>
      </w:tr>
      <w:tr>
        <w:trPr>
          <w:trHeight w:val="383"/>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整机重量≤1400Kg，整机长度≤3700mm（含水泵接头和拖杆长度），整机宽≤1700mm，整机高≤2400mm</w:t>
            </w:r>
            <w:r/>
          </w:p>
        </w:tc>
      </w:tr>
      <w:tr>
        <w:trPr>
          <w:trHeight w:val="458"/>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整机油箱容量≥120 L</w:t>
            </w:r>
            <w:r/>
          </w:p>
        </w:tc>
      </w:tr>
      <w:tr>
        <w:trPr>
          <w:trHeight w:val="508"/>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277" w:type="dxa"/>
            <w:vAlign w:val="center"/>
            <w:vMerge w:val="restart"/>
            <w:textDirection w:val="lrTb"/>
            <w:noWrap/>
          </w:tcPr>
          <w:p>
            <w:pP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发动机</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发动机形式：水冷四缸柴油机</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启动方式：电启动</w:t>
            </w:r>
            <w:r/>
          </w:p>
        </w:tc>
      </w:tr>
      <w:tr>
        <w:trPr>
          <w:trHeight w:val="508"/>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▲发动机功率≥20Kw，耗油量≤7L/h</w:t>
            </w:r>
            <w:r/>
          </w:p>
        </w:tc>
      </w:tr>
      <w:tr>
        <w:trPr>
          <w:trHeight w:val="508"/>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▲发动机环保标准不低于（GB 20891-2014）非道路移动机械柴油机污染物排放限值及测量方法第三阶段标准</w:t>
            </w:r>
            <w:r/>
          </w:p>
        </w:tc>
      </w:tr>
      <w:tr>
        <w:trPr>
          <w:trHeight w:val="90"/>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具备电子供油系统</w:t>
            </w:r>
            <w:r/>
          </w:p>
        </w:tc>
      </w:tr>
      <w:tr>
        <w:trPr>
          <w:trHeight w:val="522"/>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tcW w:w="1277" w:type="dxa"/>
            <w:vAlign w:val="center"/>
            <w:vMerge w:val="restart"/>
            <w:textDirection w:val="lrTb"/>
            <w:noWrap/>
          </w:tcPr>
          <w:p>
            <w:pP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真空系统</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泵用真空辅助上水系统：带有气水分离器，能够快速上水；带有真空泵保护系统</w:t>
            </w:r>
            <w:r/>
          </w:p>
        </w:tc>
      </w:tr>
      <w:tr>
        <w:trPr>
          <w:trHeight w:val="44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▲真空泵：排气量≥60m³/h，真空度≥10mbar，噪音≤70dB，重量≤50Kg(提供产品彩页或说明书）；采用油润滑形式真空泵</w:t>
            </w:r>
            <w:r/>
          </w:p>
        </w:tc>
      </w:tr>
      <w:tr>
        <w:trPr>
          <w:trHeight w:val="37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w:t>
            </w:r>
            <w:r/>
          </w:p>
        </w:tc>
        <w:tc>
          <w:tcPr>
            <w:tcW w:w="1277" w:type="dxa"/>
            <w:vAlign w:val="center"/>
            <w:vMerge w:val="restart"/>
            <w:textDirection w:val="lrTb"/>
            <w:noWrap/>
          </w:tcPr>
          <w:p>
            <w:pP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控制箱</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★控制面板：设有门锁（防盗）、电源开关充电指示灯、紧急停机按钮</w:t>
            </w:r>
            <w:r/>
          </w:p>
        </w:tc>
      </w:tr>
      <w:tr>
        <w:trPr>
          <w:trHeight w:val="409"/>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19</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★智能控制器：负责机组启停，保护及参数的查看</w:t>
            </w:r>
            <w:r/>
          </w:p>
        </w:tc>
      </w:tr>
      <w:tr>
        <w:trPr>
          <w:trHeight w:val="37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★检测故障：油压低、水温/缸温过高、紧急停机报警、超速停机</w:t>
            </w:r>
            <w:r/>
          </w:p>
        </w:tc>
      </w:tr>
      <w:tr>
        <w:trPr>
          <w:trHeight w:val="37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面板图形LCD显示参数及指示故障状态，提供真实有效的故障报警</w:t>
            </w:r>
            <w:r/>
          </w:p>
        </w:tc>
      </w:tr>
      <w:tr>
        <w:trPr>
          <w:trHeight w:val="37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可适应12V或24V启动电池环境；无需钥匙，一键启动；显示油压转速电池容量；可显示单次用时和总用时</w:t>
            </w:r>
            <w:r/>
          </w:p>
        </w:tc>
      </w:tr>
      <w:tr>
        <w:trPr>
          <w:trHeight w:val="161"/>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w:t>
            </w:r>
            <w:r/>
          </w:p>
        </w:tc>
        <w:tc>
          <w:tcPr>
            <w:tcW w:w="1277" w:type="dxa"/>
            <w:vAlign w:val="center"/>
            <w:vMerge w:val="restart"/>
            <w:textDirection w:val="lrTb"/>
            <w:noWrap/>
          </w:tcPr>
          <w:p>
            <w:pP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其他</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拖车带有支撑腿及双轱辘导向轮；配有电瓶断电开关；油箱配有防盗油装置；拖挂结构采用缓冲设计，方便连接并被汽车牵引行走时速≥30KM/时</w:t>
            </w:r>
            <w:r/>
          </w:p>
        </w:tc>
      </w:tr>
      <w:tr>
        <w:trPr>
          <w:trHeight w:val="390"/>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tcW w:w="1277" w:type="dxa"/>
            <w:vAlign w:val="center"/>
            <w:vMerge w:val="continue"/>
            <w:textDirection w:val="lrTb"/>
            <w:noWrap/>
          </w:tcPr>
          <w:p>
            <w:pPr>
              <w:spacing w:line="3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备水泵进、出水管及专用快速接头（单泵）；单根吸水管≥8m，材质PVC，耐负压≥0.95标准大气压（3根、总长度≥24m）；单卷水带≥25m，采用涤纶长丝内衬聚氨酯，水带设计压力≥0.8MPa，爆破压力≥2.4Mpa（4卷、总长度≥100m，含接头）</w:t>
            </w:r>
            <w:r/>
          </w:p>
        </w:tc>
      </w:tr>
      <w:tr>
        <w:trPr>
          <w:trHeight w:val="390"/>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tcW w:w="1277" w:type="dxa"/>
            <w:vAlign w:val="center"/>
            <w:textDirection w:val="lrTb"/>
            <w:noWrap/>
          </w:tcPr>
          <w:p>
            <w:pPr>
              <w:spacing w:line="300" w:lineRule="exact"/>
              <w:widowControl/>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防汛安全井口警示笼</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材料：耐腐铸铁/不锈钢</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外刷彩色警示油漆或贴反光警示带，顶部装有预警显示屏，红灯不停闪烁</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高度：140cm ，直径:70/80cm ，尺寸根据现场定制</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数量：共30只（每一台移动泵配2只防汛安全井口警示笼）</w:t>
            </w:r>
            <w:r/>
          </w:p>
        </w:tc>
      </w:tr>
    </w:tbl>
    <w:p>
      <w:pPr>
        <w:ind w:firstLine="482"/>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2"/>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1.1.6、</w:t>
      </w:r>
      <w:bookmarkStart w:id="260" w:name="OLE_LINK104"/>
      <w:r/>
      <w:bookmarkStart w:id="261" w:name="OLE_LINK105"/>
      <w:r>
        <w:rPr>
          <w:rFonts w:hint="eastAsia" w:ascii="宋体" w:hAnsi="宋体" w:eastAsia="宋体" w:cs="宋体"/>
          <w:b/>
          <w:bCs/>
          <w:color w:val="auto"/>
          <w:sz w:val="24"/>
          <w:highlight w:val="none"/>
        </w:rPr>
        <w:t xml:space="preserve">拖拽式移动自吸泵（≥550m³/h）</w:t>
      </w:r>
      <w:bookmarkEnd w:id="260"/>
      <w:r/>
      <w:bookmarkEnd w:id="261"/>
      <w:r/>
      <w:r/>
    </w:p>
    <w:tbl>
      <w:tblPr>
        <w:tblStyle w:val="734"/>
        <w:tblW w:w="8916" w:type="dxa"/>
        <w:tblInd w:w="14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56"/>
        <w:gridCol w:w="1277"/>
        <w:gridCol w:w="6883"/>
      </w:tblGrid>
      <w:tr>
        <w:trPr>
          <w:trHeight w:val="488"/>
        </w:trPr>
        <w:tc>
          <w:tcPr>
            <w:tcW w:w="756"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序号</w:t>
            </w:r>
            <w:r/>
          </w:p>
        </w:tc>
        <w:tc>
          <w:tcPr>
            <w:tcW w:w="1277" w:type="dxa"/>
            <w:vAlign w:val="center"/>
            <w:textDirection w:val="lrTb"/>
            <w:noWrap/>
          </w:tcPr>
          <w:p>
            <w:pPr>
              <w:jc w:val="cente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名称</w:t>
            </w:r>
            <w:r/>
          </w:p>
        </w:tc>
        <w:tc>
          <w:tcPr>
            <w:tcW w:w="6883" w:type="dxa"/>
            <w:vAlign w:val="center"/>
            <w:textDirection w:val="lrTb"/>
            <w:noWrap/>
          </w:tcPr>
          <w:p>
            <w:pPr>
              <w:jc w:val="cente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技术参数、要求</w:t>
            </w:r>
            <w:r/>
          </w:p>
        </w:tc>
      </w:tr>
      <w:tr>
        <w:trPr>
          <w:trHeight w:val="526"/>
        </w:trPr>
        <w:tc>
          <w:tcPr>
            <w:tcW w:w="756" w:type="dxa"/>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277" w:type="dxa"/>
            <w:vAlign w:val="center"/>
            <w:vMerge w:val="restart"/>
            <w:textDirection w:val="lrTb"/>
            <w:noWrap/>
          </w:tcPr>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p>
            <w:pP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水泵</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采用蜗壳式水泵，进出水口口径≥150mm</w:t>
            </w:r>
            <w:r/>
          </w:p>
        </w:tc>
      </w:tr>
      <w:tr>
        <w:trPr>
          <w:trHeight w:val="421"/>
        </w:trPr>
        <w:tc>
          <w:tcPr>
            <w:tcW w:w="756" w:type="dxa"/>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277" w:type="dxa"/>
            <w:vAlign w:val="center"/>
            <w:vMerge w:val="continue"/>
            <w:textDirection w:val="lrTb"/>
            <w:noWrap/>
          </w:tcPr>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★最大流量≥550m³/h</w:t>
            </w:r>
            <w:r/>
          </w:p>
        </w:tc>
      </w:tr>
      <w:tr>
        <w:trPr>
          <w:trHeight w:val="269"/>
        </w:trPr>
        <w:tc>
          <w:tcPr>
            <w:tcW w:w="756" w:type="dxa"/>
            <w:vAlign w:val="center"/>
            <w:textDirection w:val="lrTb"/>
            <w:noWrap/>
          </w:tcPr>
          <w:p>
            <w:pPr>
              <w:jc w:val="cente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277" w:type="dxa"/>
            <w:vAlign w:val="center"/>
            <w:vMerge w:val="continue"/>
            <w:textDirection w:val="lrTb"/>
            <w:noWrap/>
          </w:tcPr>
          <w:p>
            <w:pPr>
              <w:jc w:val="center"/>
              <w:spacing w:line="300" w:lineRule="exact"/>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▲工况点要求：额定扬程20m时，要求流量≥350m³/h；额定扬程10m时，要求流量≥500m³/h</w:t>
            </w:r>
            <w:r/>
          </w:p>
        </w:tc>
      </w:tr>
      <w:tr>
        <w:trPr>
          <w:trHeight w:val="269"/>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▲最大扬程≥28m</w:t>
            </w:r>
            <w:r/>
          </w:p>
        </w:tc>
      </w:tr>
      <w:tr>
        <w:trPr>
          <w:trHeight w:val="269"/>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▲9m垂直吸程情况下上水时间≤60秒</w:t>
            </w:r>
            <w:r/>
          </w:p>
        </w:tc>
      </w:tr>
      <w:tr>
        <w:trPr>
          <w:trHeight w:val="269"/>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汽蚀余量≤1.5m</w:t>
            </w:r>
            <w:r/>
          </w:p>
        </w:tc>
      </w:tr>
      <w:tr>
        <w:trPr>
          <w:trHeight w:val="376"/>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277" w:type="dxa"/>
            <w:vAlign w:val="center"/>
            <w:vMerge w:val="continue"/>
            <w:textDirection w:val="lrTb"/>
            <w:noWrap/>
          </w:tcPr>
          <w:p>
            <w:pPr>
              <w:jc w:val="cente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泵体前端盖设有观察口，可方便打开，方便检修（提供设备照片）</w:t>
            </w:r>
            <w:r/>
          </w:p>
        </w:tc>
      </w:tr>
      <w:tr>
        <w:trPr>
          <w:trHeight w:val="447"/>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▲最大通过颗粒直径≥75mm</w:t>
            </w:r>
            <w:r/>
          </w:p>
        </w:tc>
      </w:tr>
      <w:tr>
        <w:trPr>
          <w:trHeight w:val="475"/>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▲采用“真空辅助自吸式水泵”,使用前泵体里无需加水，实现干自吸，真空泵与发动机需要同时工作，无需控制启停，保证使用的连续性</w:t>
            </w:r>
            <w:r/>
          </w:p>
        </w:tc>
      </w:tr>
      <w:tr>
        <w:trPr>
          <w:trHeight w:val="399"/>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整机重量≤2000Kg，整机长度≤4100mm（含水泵接头和拖杆长度），整机宽≤1700mm，整机高≤2400mm</w:t>
            </w:r>
            <w:r/>
          </w:p>
        </w:tc>
      </w:tr>
      <w:tr>
        <w:trPr>
          <w:trHeight w:val="603"/>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整机油箱容量≥120 L</w:t>
            </w:r>
            <w:r/>
          </w:p>
        </w:tc>
      </w:tr>
      <w:tr>
        <w:trPr>
          <w:trHeight w:val="508"/>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277" w:type="dxa"/>
            <w:vAlign w:val="center"/>
            <w:vMerge w:val="restart"/>
            <w:textDirection w:val="lrTb"/>
            <w:noWrap/>
          </w:tcPr>
          <w:p>
            <w:pP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发动机</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发动机形式：水冷四缸柴油机</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启动方式：电启动</w:t>
            </w:r>
            <w:r/>
          </w:p>
        </w:tc>
      </w:tr>
      <w:tr>
        <w:trPr>
          <w:trHeight w:val="508"/>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▲发动机功率≥35Kw，耗油量≤9L/h</w:t>
            </w:r>
            <w:r/>
          </w:p>
        </w:tc>
      </w:tr>
      <w:tr>
        <w:trPr>
          <w:trHeight w:val="508"/>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▲发动机环保标准不低于（GB 20891-2014）非道路移动机械柴油机污染物排放限值及测量方法第三阶段标准</w:t>
            </w:r>
            <w:r/>
          </w:p>
        </w:tc>
      </w:tr>
      <w:tr>
        <w:trPr>
          <w:trHeight w:val="508"/>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具备电子供油系统</w:t>
            </w:r>
            <w:r/>
          </w:p>
        </w:tc>
      </w:tr>
      <w:tr>
        <w:trPr>
          <w:trHeight w:val="456"/>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tcW w:w="1277" w:type="dxa"/>
            <w:vAlign w:val="center"/>
            <w:vMerge w:val="restart"/>
            <w:textDirection w:val="lrTb"/>
            <w:noWrap/>
          </w:tcPr>
          <w:p>
            <w:pP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真空系统</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泵用真空辅助上水系统：带有气水分离器，能够快速上水；带有真空泵保护系统</w:t>
            </w:r>
            <w:r/>
          </w:p>
        </w:tc>
      </w:tr>
      <w:tr>
        <w:trPr>
          <w:trHeight w:val="44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17</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▲真空泵：排气量≥60m³/h，真空度≥10mbar，噪音≤70dB，重量≤50Kg(提供产品彩页或说明书）；采用油润滑形式真空泵</w:t>
            </w:r>
            <w:r/>
          </w:p>
        </w:tc>
      </w:tr>
      <w:tr>
        <w:trPr>
          <w:trHeight w:val="44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w:t>
            </w:r>
            <w:r/>
          </w:p>
        </w:tc>
        <w:tc>
          <w:tcPr>
            <w:tcW w:w="1277" w:type="dxa"/>
            <w:vAlign w:val="center"/>
            <w:vMerge w:val="restart"/>
            <w:textDirection w:val="lrTb"/>
            <w:noWrap/>
          </w:tcPr>
          <w:p>
            <w:pP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控制箱</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★控制面板：设有门锁（防盗）、电源开关充电指示灯、紧急停机按钮</w:t>
            </w:r>
            <w:r/>
          </w:p>
        </w:tc>
      </w:tr>
      <w:tr>
        <w:trPr>
          <w:trHeight w:val="44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19</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★智能控制器：负责机组启停，保护及参数的查看</w:t>
            </w:r>
            <w:r/>
          </w:p>
        </w:tc>
      </w:tr>
      <w:tr>
        <w:trPr>
          <w:trHeight w:val="44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20</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★检测故障：油压低、水温/缸温过高、紧急停机报警、超速停机</w:t>
            </w:r>
            <w:r/>
          </w:p>
        </w:tc>
      </w:tr>
      <w:tr>
        <w:trPr>
          <w:trHeight w:val="44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面板图形LCD显示参数及指示故障状态，提供真实有效的故障报警</w:t>
            </w:r>
            <w:r/>
          </w:p>
        </w:tc>
      </w:tr>
      <w:tr>
        <w:trPr>
          <w:trHeight w:val="444"/>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w:t>
            </w:r>
            <w:r/>
          </w:p>
        </w:tc>
        <w:tc>
          <w:tcPr>
            <w:tcW w:w="1277" w:type="dxa"/>
            <w:vAlign w:val="center"/>
            <w:vMerge w:val="continue"/>
            <w:textDirection w:val="lrTb"/>
            <w:noWrap/>
          </w:tcPr>
          <w:p>
            <w:pPr>
              <w:spacing w:line="300" w:lineRule="exact"/>
              <w:widowControl/>
              <w:rPr>
                <w:rFonts w:ascii="宋体" w:hAnsi="宋体" w:eastAsia="宋体" w:cs="宋体"/>
                <w:b/>
                <w:bCs/>
                <w:color w:val="auto"/>
                <w:sz w:val="24"/>
                <w:highlight w:val="none"/>
              </w:rPr>
            </w:pPr>
            <w:r>
              <w:rPr>
                <w:rFonts w:ascii="宋体" w:hAnsi="宋体" w:eastAsia="宋体" w:cs="宋体"/>
                <w:b/>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可适应12V或24V启动电池环境；无需钥匙，一键启动；显示油压转速电池容量；可显示单次用时和总用时</w:t>
            </w:r>
            <w:r/>
          </w:p>
        </w:tc>
      </w:tr>
      <w:tr>
        <w:trPr>
          <w:trHeight w:val="161"/>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23</w:t>
            </w:r>
            <w:r/>
          </w:p>
        </w:tc>
        <w:tc>
          <w:tcPr>
            <w:tcW w:w="1277" w:type="dxa"/>
            <w:vAlign w:val="center"/>
            <w:vMerge w:val="restart"/>
            <w:textDirection w:val="lrTb"/>
            <w:noWrap/>
          </w:tcPr>
          <w:p>
            <w:pPr>
              <w:spacing w:line="30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其他</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拖车带有支撑腿及双轱辘导向轮；配有电瓶断电开关；油箱配有防盗油装置；拖挂结构采用缓冲设计，方便连接并被汽车牵引行走时速≥30KM/时</w:t>
            </w:r>
            <w:r/>
          </w:p>
        </w:tc>
      </w:tr>
      <w:tr>
        <w:trPr>
          <w:trHeight w:val="390"/>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24</w:t>
            </w:r>
            <w:r/>
          </w:p>
        </w:tc>
        <w:tc>
          <w:tcPr>
            <w:tcW w:w="1277" w:type="dxa"/>
            <w:vAlign w:val="center"/>
            <w:vMerge w:val="continue"/>
            <w:textDirection w:val="lrTb"/>
            <w:noWrap/>
          </w:tcPr>
          <w:p>
            <w:pPr>
              <w:spacing w:line="3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备水泵进、出水管及专用快速接头（单泵）；单根吸水管≥8m，材质PVC，耐负压≥0.95标准大气压（3根、总长度≥24m）；单卷水带≥25m，采用涤纶长丝内衬聚氨酯，水带设计压力≥0.8MPa，爆破压力≥2.4Mpa（4卷、总长度≥100m，含接头）</w:t>
            </w:r>
            <w:r/>
          </w:p>
        </w:tc>
      </w:tr>
      <w:tr>
        <w:trPr>
          <w:trHeight w:val="390"/>
        </w:trPr>
        <w:tc>
          <w:tcPr>
            <w:tcW w:w="756" w:type="dxa"/>
            <w:vAlign w:val="center"/>
            <w:textDirection w:val="lrTb"/>
            <w:noWrap/>
          </w:tcPr>
          <w:p>
            <w:pPr>
              <w:jc w:val="cente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25</w:t>
            </w:r>
            <w:r/>
          </w:p>
        </w:tc>
        <w:tc>
          <w:tcPr>
            <w:tcW w:w="1277" w:type="dxa"/>
            <w:vAlign w:val="center"/>
            <w:textDirection w:val="lrTb"/>
            <w:noWrap/>
          </w:tcPr>
          <w:p>
            <w:pPr>
              <w:spacing w:line="300" w:lineRule="exact"/>
              <w:widowControl/>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防汛安全井口警示笼</w:t>
            </w:r>
            <w:r/>
          </w:p>
        </w:tc>
        <w:tc>
          <w:tcPr>
            <w:tcW w:w="6883"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材料：耐腐铸铁/不锈钢</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外刷彩色警示油漆或贴反光警示带，顶部装有预警显示屏，红灯不停闪烁</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高度：140cm ，直径:70/80cm ，尺寸根据现场定制</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、数量：共20只（每一台移动泵配2只防汛安全井口警示笼）</w:t>
            </w:r>
            <w:r/>
          </w:p>
        </w:tc>
      </w:tr>
    </w:tbl>
    <w:p>
      <w:pPr>
        <w:ind w:firstLine="241"/>
        <w:spacing w:line="460" w:lineRule="exact"/>
        <w:widowControl/>
        <w:rPr>
          <w:rFonts w:ascii="宋体" w:hAnsi="宋体" w:eastAsia="宋体" w:cs="宋体"/>
          <w:b/>
          <w:bCs/>
          <w:i/>
          <w:iCs/>
          <w:color w:val="auto"/>
          <w:sz w:val="24"/>
          <w:highlight w:val="none"/>
        </w:rPr>
      </w:pPr>
      <w:r>
        <w:rPr>
          <w:rFonts w:hint="eastAsia" w:ascii="宋体" w:hAnsi="宋体" w:eastAsia="宋体" w:cs="宋体"/>
          <w:b/>
          <w:bCs/>
          <w:i/>
          <w:iCs/>
          <w:color w:val="auto"/>
          <w:sz w:val="24"/>
          <w:highlight w:val="none"/>
        </w:rPr>
        <w:t xml:space="preserve">注：</w:t>
      </w:r>
      <w:r>
        <w:rPr>
          <w:rStyle w:val="943"/>
          <w:rFonts w:hint="eastAsia" w:ascii="宋体" w:hAnsi="宋体" w:cs="宋体"/>
          <w:b/>
          <w:bCs/>
          <w:i/>
          <w:iCs/>
          <w:color w:val="auto"/>
          <w:sz w:val="24"/>
          <w:highlight w:val="none"/>
        </w:rPr>
        <w:t xml:space="preserve">标注“★”的条款为实质性要求，不允许不满足（负偏离），如不满足（负偏离）作无效投标文件处理。以上“技术要求”响应情况均须在投标文件《技术需求响应及偏离表》中表述清楚，如表述不清，则按负偏离处理。</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三、技术方案</w:t>
      </w:r>
      <w:r/>
    </w:p>
    <w:p>
      <w:pPr>
        <w:ind w:left="42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1、设备交付与验收方案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核心评估供应商能否按采购需求按时、保质完成设备交付，避免因交付延误影响应急或日常作业，至少包含：①交付周期与进度管控；②</w:t>
      </w:r>
      <w:bookmarkStart w:id="262" w:name="OLE_LINK4"/>
      <w:r/>
      <w:bookmarkStart w:id="263" w:name="OLE_LINK3"/>
      <w:r>
        <w:rPr>
          <w:rFonts w:hint="eastAsia" w:ascii="宋体" w:hAnsi="宋体" w:eastAsia="宋体" w:cs="宋体"/>
          <w:color w:val="auto"/>
          <w:sz w:val="24"/>
          <w:highlight w:val="none"/>
        </w:rPr>
        <w:t xml:space="preserve">验收标准与流程</w:t>
      </w:r>
      <w:bookmarkEnd w:id="262"/>
      <w:r/>
      <w:bookmarkEnd w:id="263"/>
      <w:r>
        <w:rPr>
          <w:rFonts w:hint="eastAsia" w:ascii="宋体" w:hAnsi="宋体" w:eastAsia="宋体" w:cs="宋体"/>
          <w:color w:val="auto"/>
          <w:sz w:val="24"/>
          <w:highlight w:val="none"/>
        </w:rPr>
        <w:t xml:space="preserve">。</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1.1交付周期与进度管控</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明确设备生产、运输、安装、调试、交付的全周期时间节点，总供货周期不超过30日历天。进度保障措施中需明确设立专属项目组（不少于3人）、关键节点（如生产完成、发运前）的告知机制（至少提前24小时）、延误后的补偿方案等。</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1.2验收标准与流程</w:t>
      </w:r>
      <w:r/>
    </w:p>
    <w:p>
      <w:pPr>
        <w:ind w:firstLine="480"/>
        <w:spacing w:line="460" w:lineRule="exact"/>
        <w:rPr>
          <w:rFonts w:ascii="宋体" w:hAnsi="宋体" w:eastAsia="宋体" w:cs="宋体"/>
          <w:color w:val="auto"/>
          <w:sz w:val="24"/>
          <w:highlight w:val="none"/>
        </w:rPr>
      </w:pPr>
      <w:r/>
      <w:bookmarkStart w:id="264" w:name="OLE_LINK92"/>
      <w:r/>
      <w:bookmarkStart w:id="265" w:name="OLE_LINK93"/>
      <w:r>
        <w:rPr>
          <w:rFonts w:hint="eastAsia" w:ascii="宋体" w:hAnsi="宋体" w:eastAsia="宋体" w:cs="宋体"/>
          <w:color w:val="auto"/>
          <w:sz w:val="24"/>
          <w:highlight w:val="none"/>
        </w:rPr>
        <w:t xml:space="preserve">各项设备的验收依据要明确，需对应采购文件技术参数、国家或行业标准，如城镇排水与污水处理设备相关标准、泵类产品验收相关规范等。验收环节设计，至少包含到货外观检查（轻微瑕疵（不影响性能）≤3处/台，重大缺陷（如结构变形、部件缺失）0容忍）、核心参数实测（如排涝泵车流量和扬程、联合疏通车吸程和压力，合格率100%）、空载和负载试运行测试（试运行过程中故障停机次数0）、验收异议处理流程（如乙方收到异议后1小时内响应，4小时内给出解决方案，24小时内完成整改（复杂问题可协商延长，但最长不超过48小时）。</w:t>
      </w:r>
      <w:bookmarkEnd w:id="264"/>
      <w:r/>
      <w:bookmarkEnd w:id="265"/>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2.设备安装调试与技术适配方案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针对设备（尤其</w:t>
      </w:r>
      <w:bookmarkStart w:id="266" w:name="OLE_LINK72"/>
      <w:r/>
      <w:bookmarkStart w:id="267" w:name="OLE_LINK73"/>
      <w:r>
        <w:rPr>
          <w:rFonts w:hint="eastAsia" w:ascii="宋体" w:hAnsi="宋体" w:eastAsia="宋体" w:cs="宋体"/>
          <w:color w:val="auto"/>
          <w:sz w:val="24"/>
          <w:highlight w:val="none"/>
        </w:rPr>
        <w:t xml:space="preserve">拖拽式移动</w:t>
      </w:r>
      <w:bookmarkEnd w:id="266"/>
      <w:r/>
      <w:bookmarkEnd w:id="267"/>
      <w:r>
        <w:rPr>
          <w:rFonts w:hint="eastAsia" w:ascii="宋体" w:hAnsi="宋体" w:eastAsia="宋体" w:cs="宋体"/>
          <w:color w:val="auto"/>
          <w:sz w:val="24"/>
          <w:highlight w:val="none"/>
        </w:rPr>
        <w:t xml:space="preserve">自吸泵需与采购方现有牵引车辆适配、联合疏通车需对接作业场景管道）的 “落地使用” 能力评估，避免设备与实际工况脱节，至少包含：①安装调试方案；②工况适配性保障。</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2.1安装调试方案</w:t>
      </w:r>
      <w:r/>
    </w:p>
    <w:p>
      <w:pPr>
        <w:ind w:firstLine="480"/>
        <w:spacing w:line="460" w:lineRule="exact"/>
        <w:rPr>
          <w:rFonts w:ascii="宋体" w:hAnsi="宋体" w:eastAsia="宋体" w:cs="宋体"/>
          <w:color w:val="auto"/>
          <w:sz w:val="24"/>
          <w:highlight w:val="none"/>
        </w:rPr>
      </w:pPr>
      <w:r/>
      <w:bookmarkStart w:id="268" w:name="OLE_LINK94"/>
      <w:r/>
      <w:bookmarkStart w:id="269" w:name="OLE_LINK95"/>
      <w:r>
        <w:rPr>
          <w:rFonts w:hint="eastAsia" w:ascii="宋体" w:hAnsi="宋体" w:eastAsia="宋体" w:cs="宋体"/>
          <w:color w:val="auto"/>
          <w:sz w:val="24"/>
          <w:highlight w:val="none"/>
        </w:rPr>
        <w:t xml:space="preserve">明确安装调试主体（如供应商上门服务 或第三方专业团队）、服务时限（如到货后24小时内响应、3天内完成调试）。调试内容需细化，如排涝泵车动力系统与泵体联动测试（</w:t>
      </w:r>
      <w:bookmarkStart w:id="270" w:name="OLE_LINK96"/>
      <w:r/>
      <w:bookmarkStart w:id="271" w:name="OLE_LINK97"/>
      <w:r>
        <w:rPr>
          <w:rFonts w:hint="eastAsia" w:ascii="宋体" w:hAnsi="宋体" w:eastAsia="宋体" w:cs="宋体"/>
          <w:color w:val="auto"/>
          <w:sz w:val="24"/>
          <w:highlight w:val="none"/>
        </w:rPr>
        <w:t xml:space="preserve">测试时长≥30分钟</w:t>
      </w:r>
      <w:bookmarkEnd w:id="270"/>
      <w:r/>
      <w:bookmarkEnd w:id="271"/>
      <w:r>
        <w:rPr>
          <w:rFonts w:hint="eastAsia" w:ascii="宋体" w:hAnsi="宋体" w:eastAsia="宋体" w:cs="宋体"/>
          <w:color w:val="auto"/>
          <w:sz w:val="24"/>
          <w:highlight w:val="none"/>
        </w:rPr>
        <w:t xml:space="preserve">）、</w:t>
      </w:r>
      <w:bookmarkStart w:id="272" w:name="OLE_LINK66"/>
      <w:r/>
      <w:bookmarkStart w:id="273" w:name="OLE_LINK67"/>
      <w:r>
        <w:rPr>
          <w:rFonts w:hint="eastAsia" w:ascii="宋体" w:hAnsi="宋体" w:eastAsia="宋体" w:cs="宋体"/>
          <w:color w:val="auto"/>
          <w:sz w:val="24"/>
          <w:highlight w:val="none"/>
        </w:rPr>
        <w:t xml:space="preserve">联合疏通</w:t>
      </w:r>
      <w:bookmarkEnd w:id="272"/>
      <w:r/>
      <w:bookmarkEnd w:id="273"/>
      <w:r>
        <w:rPr>
          <w:rFonts w:hint="eastAsia" w:ascii="宋体" w:hAnsi="宋体" w:eastAsia="宋体" w:cs="宋体"/>
          <w:color w:val="auto"/>
          <w:sz w:val="24"/>
          <w:highlight w:val="none"/>
        </w:rPr>
        <w:t xml:space="preserve">车真空系统密封性检测（测试时长≥40分钟）、拖拽式移动自吸泵与采购人牵引车辆的适配调试（测试时长≥20分钟）等。</w:t>
      </w:r>
      <w:bookmarkEnd w:id="268"/>
      <w:r/>
      <w:bookmarkEnd w:id="269"/>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2.2工况适配性保障</w:t>
      </w:r>
      <w:r/>
    </w:p>
    <w:p>
      <w:pPr>
        <w:ind w:firstLine="480"/>
        <w:spacing w:line="460" w:lineRule="exact"/>
        <w:rPr>
          <w:rFonts w:ascii="宋体" w:hAnsi="宋体" w:eastAsia="宋体" w:cs="宋体"/>
          <w:color w:val="auto"/>
          <w:sz w:val="24"/>
          <w:highlight w:val="none"/>
        </w:rPr>
      </w:pPr>
      <w:r/>
      <w:bookmarkStart w:id="274" w:name="OLE_LINK106"/>
      <w:r/>
      <w:bookmarkStart w:id="275" w:name="OLE_LINK107"/>
      <w:r>
        <w:rPr>
          <w:rFonts w:hint="eastAsia" w:ascii="宋体" w:hAnsi="宋体" w:eastAsia="宋体" w:cs="宋体"/>
          <w:color w:val="auto"/>
          <w:sz w:val="24"/>
          <w:highlight w:val="none"/>
        </w:rPr>
        <w:t xml:space="preserve">结合采购人实际作业场景（如排涝区域的积水深度/泥沙含量、清洗吸污的管道直径介质类型），说明设备参数的适配性（如是否针对泥泞工况选用防堵塞泵头）</w:t>
      </w:r>
      <w:bookmarkStart w:id="276" w:name="OLE_LINK110"/>
      <w:r/>
      <w:bookmarkStart w:id="277" w:name="OLE_LINK111"/>
      <w:r>
        <w:rPr>
          <w:rFonts w:hint="eastAsia" w:ascii="宋体" w:hAnsi="宋体" w:eastAsia="宋体" w:cs="宋体"/>
          <w:color w:val="auto"/>
          <w:sz w:val="24"/>
          <w:highlight w:val="none"/>
        </w:rPr>
        <w:t xml:space="preserve">（适配率100%）</w:t>
      </w:r>
      <w:bookmarkEnd w:id="276"/>
      <w:r/>
      <w:bookmarkEnd w:id="277"/>
      <w:r>
        <w:rPr>
          <w:rFonts w:hint="eastAsia" w:ascii="宋体" w:hAnsi="宋体" w:eastAsia="宋体" w:cs="宋体"/>
          <w:color w:val="auto"/>
          <w:sz w:val="24"/>
          <w:highlight w:val="none"/>
        </w:rPr>
        <w:t xml:space="preserve">等。特殊场景应对，如下穿道路排涝的车辆涉水性能适配（适配率100%）、低温环境下的设备防冻启动方案等。</w:t>
      </w:r>
      <w:bookmarkEnd w:id="274"/>
      <w:r/>
      <w:bookmarkEnd w:id="275"/>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3.人员培训方案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确保采购人操作人员、维护人员能熟练使用设备，降低误操作风险，至少包含：①培训内容针对性；②培训形式与保障。</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3.1培训内容针对性</w:t>
      </w:r>
      <w:r/>
    </w:p>
    <w:p>
      <w:pPr>
        <w:ind w:firstLine="480"/>
        <w:spacing w:line="460" w:lineRule="exact"/>
        <w:rPr>
          <w:rFonts w:ascii="宋体" w:hAnsi="宋体" w:eastAsia="宋体" w:cs="宋体"/>
          <w:color w:val="auto"/>
          <w:sz w:val="24"/>
          <w:highlight w:val="none"/>
        </w:rPr>
      </w:pPr>
      <w:r/>
      <w:bookmarkStart w:id="278" w:name="OLE_LINK109"/>
      <w:r/>
      <w:bookmarkStart w:id="279" w:name="OLE_LINK108"/>
      <w:r>
        <w:rPr>
          <w:rFonts w:hint="eastAsia" w:ascii="宋体" w:hAnsi="宋体" w:eastAsia="宋体" w:cs="宋体"/>
          <w:color w:val="auto"/>
          <w:sz w:val="24"/>
          <w:highlight w:val="none"/>
        </w:rPr>
        <w:t xml:space="preserve">分岗位设计课程：操作人员侧重 “设备启动停机流程、应急操作（如排涝泵车过载保护触发后的处理）、日常巡检要点”等，不少于8小时；维护人员侧重 “核心部件（如泵体、真空罐）保养、常见故障排查（如吸污车吸力不足的原因分析）”等,不少于8小时。结合设备特性补充专项培训，如排涝泵车的常规操作方法、拖拽式移动自吸泵的牵引连接安全规范、联合疏通车的污水排放标准与合规操作等。</w:t>
      </w:r>
      <w:bookmarkEnd w:id="278"/>
      <w:r/>
      <w:bookmarkEnd w:id="279"/>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3.2培训形式与保障</w:t>
      </w:r>
      <w:r/>
    </w:p>
    <w:p>
      <w:pPr>
        <w:ind w:firstLine="480"/>
        <w:spacing w:line="460" w:lineRule="exact"/>
        <w:rPr>
          <w:rFonts w:ascii="宋体" w:hAnsi="宋体" w:eastAsia="宋体" w:cs="宋体"/>
          <w:color w:val="auto"/>
          <w:sz w:val="24"/>
          <w:highlight w:val="none"/>
        </w:rPr>
      </w:pPr>
      <w:r/>
      <w:bookmarkStart w:id="280" w:name="OLE_LINK71"/>
      <w:r/>
      <w:bookmarkStart w:id="281" w:name="OLE_LINK70"/>
      <w:r>
        <w:rPr>
          <w:rFonts w:hint="eastAsia" w:ascii="宋体" w:hAnsi="宋体" w:eastAsia="宋体" w:cs="宋体"/>
          <w:color w:val="auto"/>
          <w:sz w:val="24"/>
          <w:highlight w:val="none"/>
        </w:rPr>
        <w:t xml:space="preserve">培训形式可分为理论授课+现场实操</w:t>
      </w:r>
      <w:bookmarkEnd w:id="280"/>
      <w:r/>
      <w:bookmarkEnd w:id="281"/>
      <w:r>
        <w:rPr>
          <w:rFonts w:hint="eastAsia" w:ascii="宋体" w:hAnsi="宋体" w:eastAsia="宋体" w:cs="宋体"/>
          <w:color w:val="auto"/>
          <w:sz w:val="24"/>
          <w:highlight w:val="none"/>
        </w:rPr>
        <w:t xml:space="preserve">，建议实操占比不低于60%；培训时长，如单设备/岗位培训不少于8小时，总培训时长不少于一周等。培训效果保障，如培训后考核机制（实操+理论，考核合格方可上岗）、培训资料交付（含设备操作手册、维护视频、故障排查手册）等。</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4.售后服务与维保方案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设备（尤其排涝泵车、联合疏通车）属高频作业设备，售后服务响应速度、维保能力直接影响设备使用寿命与应急可用性，至少包含：①售后服务响应机制；②维保与备件保障。</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4.1售后服务响应机制</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时限明确“日常故障1小时内电话响应、24小时内上门服务；应急故障（如防汛期间）12小时内抵达现场”，24小时内无法完成维修或部件更换的，应免费提供同等设备供甲方使用，直至维修或部件更换完成。服务覆盖范围明确是否在采购人所在地或周边设有服务网点（如无网点，需说明临时服务团队的调度方案）。若投标人未在上述时间内作出响应或未能在规定时间内到达现场、未能按照规定提供备用车辆设备的，则采购人有权自行或委托他人解决相关问题或查找和解决合同车辆设备的故障，投标人应承担由此发生的全部费用。</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4.2维保与备件保障</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固定维保计划（如每6个月300工时上门维保1次，含部件检测、润滑油更换等）。核心备件（如泵叶轮、吸污管、密封件）的储备情况（有现货或到货时限不超过3天）、备件价格承诺（如维保期内免费更换故障备件，维保期后仅收取备件成本费）。明确维保期时长（如整机质保2年，核心部件质保延长至5年）、维保期内的免费服务范围（如上门检修、备件更换）等。</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5.应急保障方案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排涝设备属应急救援装备，需重点评估供应商在紧急工况下的支持能力，至少包含：①应急响应机制；②应急操作支持。</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5.1应急响应机制</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明确 “突发洪涝等应急场景下” 的服务优先级：如应急需求触发后，供应商需 3小时内启动应急预案，调配技术人员、备件（如备用泵体）抵达现场，协助设备抢修。设备应急备用方案：如采购人多台排涝泵车同时作业时，供应商可提供临时备用设备（如应急租赁服务），避免单设备故障影响整体排涝进度。</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5.2应急操作支持</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提供应急联络专线（7×24 小时畅通），确保紧急情况下能实时对接技术支持。交付 “应急操作卡”（简化版操作流程，贴于设备显眼位置），方便应急场景下快速启动设备。</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6.方案可行性与合规性</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评估方案整体的可落地性、合规性，避免 “纸上谈兵”，至少包含：①可行性证明；②合规性承诺。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6.1可行性证明</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供应商提供过往同类项目（如其他城市单位的</w:t>
      </w:r>
      <w:bookmarkStart w:id="282" w:name="OLE_LINK112"/>
      <w:r/>
      <w:bookmarkStart w:id="283" w:name="OLE_LINK113"/>
      <w:r>
        <w:rPr>
          <w:rFonts w:hint="eastAsia" w:ascii="宋体" w:hAnsi="宋体" w:eastAsia="宋体" w:cs="宋体"/>
          <w:color w:val="auto"/>
          <w:sz w:val="24"/>
          <w:highlight w:val="none"/>
        </w:rPr>
        <w:t xml:space="preserve">排涝设备、联合疏通车</w:t>
      </w:r>
      <w:bookmarkEnd w:id="282"/>
      <w:r/>
      <w:bookmarkEnd w:id="283"/>
      <w:r>
        <w:rPr>
          <w:rFonts w:hint="eastAsia" w:ascii="宋体" w:hAnsi="宋体" w:eastAsia="宋体" w:cs="宋体"/>
          <w:color w:val="auto"/>
          <w:sz w:val="24"/>
          <w:highlight w:val="none"/>
        </w:rPr>
        <w:t xml:space="preserve">采购）的实施方案案例（排涝设备、联合疏通车各不少于2例），说明方案的实际应用效果。明确项目负责人、技术团队、服务团队的配置（如团队成员的从业年限、资质证书），证明有能力执行方案。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6.2合规性承诺</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符合国家、地方相关法规（如设备排放符合最新环保标准、售后服务符合《消费者权益保护法》中关于工业品售后的要求，符合率100%）。提供合规承诺函（如承诺设备验收时提供第三方检测报告、售后服务过程中不违规收费）。</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四、商务要求</w:t>
      </w:r>
      <w:r/>
    </w:p>
    <w:p>
      <w:pPr>
        <w:ind w:right="19" w:firstLine="480"/>
        <w:spacing w:line="460" w:lineRule="exact"/>
        <w:tabs>
          <w:tab w:val="left" w:pos="0" w:leader="none"/>
          <w:tab w:val="left" w:pos="3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1、车辆所采用的底盘需质量可靠，配备原厂空调、电动车窗等基本配置，售后服务方便快捷,中标供应商应确保本次采购产品为全新产品（</w:t>
      </w:r>
      <w:bookmarkStart w:id="284" w:name="OLE_LINK1"/>
      <w:r/>
      <w:bookmarkStart w:id="285" w:name="OLE_LINK2"/>
      <w:r>
        <w:rPr>
          <w:rFonts w:hint="eastAsia" w:ascii="宋体" w:hAnsi="宋体" w:eastAsia="宋体" w:cs="宋体"/>
          <w:color w:val="auto"/>
          <w:sz w:val="24"/>
          <w:highlight w:val="none"/>
        </w:rPr>
        <w:t xml:space="preserve">产品出厂日期距本次招标公告发布之日不超过6个月</w:t>
      </w:r>
      <w:bookmarkEnd w:id="284"/>
      <w:r/>
      <w:bookmarkEnd w:id="285"/>
      <w:r>
        <w:rPr>
          <w:rFonts w:hint="eastAsia" w:ascii="宋体" w:hAnsi="宋体" w:eastAsia="宋体" w:cs="宋体"/>
          <w:color w:val="auto"/>
          <w:sz w:val="24"/>
          <w:highlight w:val="none"/>
        </w:rPr>
        <w:t xml:space="preserve">），且车辆能够顺利上牌。</w:t>
      </w:r>
      <w:r/>
    </w:p>
    <w:p>
      <w:pPr>
        <w:ind w:right="19" w:firstLine="355"/>
        <w:spacing w:line="460" w:lineRule="exact"/>
        <w:tabs>
          <w:tab w:val="left" w:pos="0" w:leader="none"/>
          <w:tab w:val="left" w:pos="3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2、中标后协助采购单位在采购人所在地验车上牌、办理行驶证，因车辆本身原因导致采购车辆不能正常上牌、办理行驶证的，采购人可拒付所有款项，因此给采购人造成损失的，由供应商负责赔偿。</w:t>
      </w:r>
      <w:r/>
    </w:p>
    <w:p>
      <w:pPr>
        <w:ind w:left="-1"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3、付款方式:详见合同条款。</w:t>
      </w:r>
      <w:r/>
    </w:p>
    <w:p>
      <w:pPr>
        <w:ind w:firstLine="480"/>
        <w:spacing w:line="460" w:lineRule="exact"/>
        <w:tabs>
          <w:tab w:val="left" w:pos="565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4、报价要求</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4.1 本次招标结算价以采购人和中标人双方确认的数量乘以中标人的投标单价计算（单价不随市场和国家政策性文件调整而调整）；</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4.2 报价单必须按照采购文件所提供的格式填入，其中的序号、项目名称、项目特征、计量单位、工程量等，供应商在投标报价时不得作任何更改变动，否则一切责任由供应商自负；</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4.3 供应商在投标报价单中未填报全费用固定综合单价、合价的清单项目，采购人视为已包括在清单计价的其他报价中，无论何种原因，结算时均不作调整；</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4.4 投标报价中要求包括本次采购及安装服务的所有费用的总和。</w:t>
      </w:r>
      <w:r/>
    </w:p>
    <w:p>
      <w:pPr>
        <w:ind w:firstLine="480"/>
        <w:spacing w:line="460" w:lineRule="exact"/>
        <w:rPr>
          <w:rFonts w:ascii="宋体" w:hAnsi="宋体" w:eastAsia="宋体" w:cs="宋体"/>
          <w:color w:val="auto"/>
          <w:sz w:val="24"/>
          <w:highlight w:val="none"/>
        </w:rPr>
      </w:pPr>
      <w:r/>
      <w:bookmarkStart w:id="286" w:name="OLE_LINK74"/>
      <w:r/>
      <w:bookmarkStart w:id="287" w:name="OLE_LINK75"/>
      <w:r>
        <w:rPr>
          <w:rFonts w:hint="eastAsia" w:ascii="宋体" w:hAnsi="宋体" w:eastAsia="宋体" w:cs="宋体"/>
          <w:color w:val="auto"/>
          <w:sz w:val="24"/>
          <w:highlight w:val="none"/>
        </w:rPr>
        <w:t xml:space="preserve">此报价应包括投标人为完成投标报价文件所确定的采购范围内的全部内容，以及投标人为完成上述内容所必须的质量保证与技术支持、采购、供货、运输保险、装卸、验收、检测、安装、调试、车辆购置税、售后服务以及临时工作、材料、劳务、管理费、利润、税金和政策性文件规定的各项所需的全部费用、不可预见费及其他一切相关费用。</w:t>
      </w:r>
      <w:bookmarkEnd w:id="286"/>
      <w:r/>
      <w:bookmarkEnd w:id="287"/>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在采购人要求的时间内，为所供车辆完成上牌手续，包括但不限于车辆登记、号牌申领等，确保车辆具备合法上路条件。应提前收集并准备所有必要的车辆资料，包括但不限于车辆合格证、购车发票、车辆识别代号（VIN码）证明等，以便顺利办理上牌手续。上牌过程中产生的所有费用【包括但不限于登记费、号牌费、检测费、契税、车辆保险包括交强险、第三者责任险（不低于200万元）及车损险】均由中标人承担。</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五、其他要求</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1、供应商综合实力要求</w:t>
      </w:r>
      <w:r/>
    </w:p>
    <w:p>
      <w:pPr>
        <w:ind w:firstLine="480"/>
        <w:spacing w:line="46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投标人需</w:t>
      </w:r>
      <w:r>
        <w:rPr>
          <w:rFonts w:hint="eastAsia" w:ascii="宋体" w:hAnsi="宋体" w:eastAsia="宋体" w:cs="宋体"/>
          <w:color w:val="auto"/>
          <w:sz w:val="24"/>
          <w:highlight w:val="none"/>
        </w:rPr>
        <w:t xml:space="preserve">具备</w:t>
      </w:r>
      <w:r>
        <w:rPr>
          <w:rFonts w:hint="eastAsia" w:ascii="宋体" w:hAnsi="宋体" w:eastAsia="宋体" w:cs="宋体"/>
          <w:color w:val="auto"/>
          <w:sz w:val="24"/>
          <w:highlight w:val="none"/>
          <w:lang w:val="zh-CN"/>
        </w:rPr>
        <w:t xml:space="preserve">丰富的</w:t>
      </w:r>
      <w:r>
        <w:rPr>
          <w:rFonts w:hint="eastAsia" w:ascii="宋体" w:hAnsi="宋体" w:eastAsia="宋体" w:cs="宋体"/>
          <w:color w:val="auto"/>
          <w:sz w:val="24"/>
          <w:highlight w:val="none"/>
        </w:rPr>
        <w:t xml:space="preserve">类似项目供货经验，承担过</w:t>
      </w:r>
      <w:r>
        <w:rPr>
          <w:rFonts w:hint="eastAsia" w:ascii="宋体" w:hAnsi="宋体" w:eastAsia="宋体" w:cs="宋体"/>
          <w:color w:val="auto"/>
          <w:sz w:val="24"/>
          <w:highlight w:val="none"/>
          <w:lang w:val="zh-CN"/>
        </w:rPr>
        <w:t xml:space="preserve">相关</w:t>
      </w:r>
      <w:r>
        <w:rPr>
          <w:rFonts w:hint="eastAsia" w:ascii="宋体" w:hAnsi="宋体" w:eastAsia="宋体" w:cs="宋体"/>
          <w:color w:val="auto"/>
          <w:sz w:val="24"/>
          <w:highlight w:val="none"/>
        </w:rPr>
        <w:t xml:space="preserve">供货业绩</w:t>
      </w:r>
      <w:r>
        <w:rPr>
          <w:rFonts w:hint="eastAsia" w:ascii="宋体" w:hAnsi="宋体" w:eastAsia="宋体" w:cs="宋体"/>
          <w:color w:val="auto"/>
          <w:sz w:val="24"/>
          <w:highlight w:val="none"/>
          <w:lang w:val="zh-CN"/>
        </w:rPr>
        <w:t xml:space="preserve">，确保本项目的顺利实施，</w:t>
      </w:r>
      <w:r>
        <w:rPr>
          <w:rFonts w:hint="eastAsia" w:ascii="宋体" w:hAnsi="宋体" w:eastAsia="宋体" w:cs="宋体"/>
          <w:color w:val="auto"/>
          <w:sz w:val="24"/>
          <w:highlight w:val="none"/>
        </w:rPr>
        <w:t xml:space="preserve">自2022年1月1日（以合同签订时间为准）以来承担过排涝泵车项目业绩、联合疏通车项目业绩或自吸泵项目业绩的优先。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2、质保期要求</w:t>
      </w:r>
      <w:r/>
    </w:p>
    <w:p>
      <w:pPr>
        <w:ind w:firstLine="480"/>
        <w:spacing w:line="460" w:lineRule="exact"/>
        <w:rPr>
          <w:rFonts w:ascii="宋体" w:hAnsi="宋体" w:eastAsia="宋体" w:cs="宋体"/>
          <w:color w:val="auto"/>
          <w:highlight w:val="none"/>
        </w:rPr>
      </w:pPr>
      <w:r>
        <w:rPr>
          <w:rFonts w:hint="eastAsia" w:ascii="宋体" w:hAnsi="宋体" w:eastAsia="宋体" w:cs="宋体"/>
          <w:color w:val="auto"/>
          <w:sz w:val="24"/>
          <w:highlight w:val="none"/>
        </w:rPr>
        <w:t xml:space="preserve">为保证车辆质量，本项目质保期为三年，承诺再增加的优先。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3、制造商实力要求</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为更好地体现制造商的综合实力，确保本项目的顺利完成，</w:t>
      </w:r>
      <w:r>
        <w:rPr>
          <w:rStyle w:val="943"/>
          <w:rFonts w:hint="eastAsia" w:ascii="宋体" w:hAnsi="宋体" w:cs="宋体"/>
          <w:bCs/>
          <w:color w:val="auto"/>
          <w:sz w:val="24"/>
          <w:highlight w:val="none"/>
        </w:rPr>
        <w:t xml:space="preserve">设备制造商通过质量管理体系认证、环境管理体系认证和职业健康安全管理体系认证的</w:t>
      </w:r>
      <w:r>
        <w:rPr>
          <w:rFonts w:hint="eastAsia" w:ascii="宋体" w:hAnsi="宋体" w:eastAsia="宋体" w:cs="宋体"/>
          <w:color w:val="auto"/>
          <w:sz w:val="24"/>
          <w:highlight w:val="none"/>
        </w:rPr>
        <w:t xml:space="preserve">的优先。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4、节能环保</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投标产品为节能产品的优先，投标产品为环境标志产品的优先。</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六、采购标的对应的中小企业划分标准所属行业一览表</w:t>
      </w:r>
      <w:r/>
    </w:p>
    <w:tbl>
      <w:tblPr>
        <w:tblStyle w:val="734"/>
        <w:tblW w:w="892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7"/>
        <w:gridCol w:w="2693"/>
        <w:gridCol w:w="5078"/>
      </w:tblGrid>
      <w:tr>
        <w:trPr>
          <w:jc w:val="center"/>
          <w:tblCellSpacing w:w="0" w:type="dxa"/>
          <w:trHeight w:val="59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spacing w:line="4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4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tcPr>
          <w:p>
            <w:pPr>
              <w:jc w:val="center"/>
              <w:spacing w:line="4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对应中小企业划分标准所属行业</w:t>
            </w:r>
            <w:r/>
          </w:p>
        </w:tc>
      </w:tr>
      <w:tr>
        <w:trPr>
          <w:jc w:val="center"/>
          <w:tblCellSpacing w:w="0" w:type="dxa"/>
          <w:trHeight w:val="983"/>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firstLine="480"/>
              <w:spacing w:line="42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420" w:lineRule="exact"/>
              <w:rPr>
                <w:rFonts w:ascii="宋体" w:hAnsi="宋体" w:eastAsia="宋体" w:cs="宋体"/>
                <w:color w:val="auto"/>
                <w:sz w:val="24"/>
                <w:highlight w:val="none"/>
              </w:rPr>
            </w:pPr>
            <w:r>
              <w:rPr>
                <w:rFonts w:hint="eastAsia" w:ascii="宋体" w:hAnsi="宋体" w:eastAsia="宋体" w:cs="宋体"/>
                <w:b/>
                <w:bCs/>
                <w:color w:val="auto"/>
                <w:sz w:val="24"/>
                <w:szCs w:val="20"/>
                <w:highlight w:val="none"/>
              </w:rPr>
              <w:t xml:space="preserve">盐城市住房和城乡建设局排涝设备采购项目（三次）</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tcPr>
          <w:p>
            <w:pPr>
              <w:jc w:val="center"/>
              <w:spacing w:line="420" w:lineRule="exact"/>
              <w:rPr>
                <w:rFonts w:ascii="宋体" w:hAnsi="宋体" w:eastAsia="宋体" w:cs="宋体"/>
                <w:color w:val="auto"/>
                <w:sz w:val="24"/>
                <w:highlight w:val="none"/>
              </w:rPr>
            </w:pPr>
            <w:r>
              <w:rPr>
                <w:rFonts w:hint="eastAsia" w:ascii="宋体" w:hAnsi="宋体" w:eastAsia="宋体" w:cs="宋体"/>
                <w:b/>
                <w:bCs/>
                <w:color w:val="auto"/>
                <w:sz w:val="24"/>
                <w:szCs w:val="20"/>
                <w:highlight w:val="none"/>
              </w:rPr>
              <w:t xml:space="preserve">工业</w:t>
            </w:r>
            <w:r/>
          </w:p>
        </w:tc>
      </w:tr>
    </w:tbl>
    <w:p>
      <w:pPr>
        <w:keepNext/>
        <w:rPr>
          <w:rFonts w:ascii="宋体" w:hAnsi="宋体" w:eastAsia="宋体" w:cs="宋体"/>
          <w:bCs/>
          <w:color w:val="auto"/>
          <w:highlight w:val="none"/>
        </w:rPr>
      </w:pPr>
      <w:r>
        <w:rPr>
          <w:rFonts w:ascii="宋体" w:hAnsi="宋体" w:eastAsia="宋体" w:cs="宋体"/>
          <w:bCs/>
          <w:color w:val="auto"/>
          <w:highlight w:val="none"/>
        </w:rPr>
      </w:r>
      <w:r/>
    </w:p>
    <w:p>
      <w:pPr>
        <w:jc w:val="center"/>
        <w:rPr>
          <w:rFonts w:ascii="宋体" w:hAnsi="宋体" w:eastAsia="宋体" w:cs="宋体"/>
          <w:b/>
          <w:bCs/>
          <w:color w:val="auto"/>
          <w:spacing w:val="-20"/>
          <w:sz w:val="48"/>
          <w:szCs w:val="48"/>
          <w:highlight w:val="none"/>
        </w:rPr>
      </w:pPr>
      <w:r>
        <w:rPr>
          <w:rFonts w:hint="eastAsia" w:ascii="宋体" w:hAnsi="宋体" w:eastAsia="宋体" w:cs="宋体"/>
          <w:bCs/>
          <w:color w:val="auto"/>
          <w:highlight w:val="none"/>
        </w:rPr>
        <w:br w:type="page" w:clear="all"/>
      </w:r>
      <w:r/>
    </w:p>
    <w:p>
      <w:pPr>
        <w:pStyle w:val="760"/>
        <w:jc w:val="center"/>
        <w:spacing w:beforeAutospacing="0" w:afterAutospacing="0"/>
        <w:rPr>
          <w:rFonts w:ascii="宋体" w:hAnsi="宋体" w:eastAsia="宋体" w:cs="宋体"/>
          <w:color w:val="auto"/>
          <w:highlight w:val="none"/>
        </w:rPr>
        <w:outlineLvl w:val="0"/>
      </w:pPr>
      <w:r>
        <w:rPr>
          <w:rFonts w:hint="eastAsia" w:ascii="宋体" w:hAnsi="宋体" w:eastAsia="宋体" w:cs="宋体"/>
          <w:b/>
          <w:bCs/>
          <w:color w:val="auto"/>
          <w:sz w:val="44"/>
          <w:szCs w:val="44"/>
          <w:highlight w:val="none"/>
        </w:rPr>
        <w:t xml:space="preserve">第五章</w:t>
      </w:r>
      <w:r>
        <w:rPr>
          <w:rFonts w:hint="eastAsia" w:ascii="宋体" w:hAnsi="宋体" w:eastAsia="宋体" w:cs="宋体"/>
          <w:color w:val="auto"/>
          <w:sz w:val="44"/>
          <w:szCs w:val="44"/>
          <w:highlight w:val="none"/>
        </w:rPr>
        <w:t xml:space="preserve"> </w:t>
      </w:r>
      <w:r>
        <w:rPr>
          <w:rFonts w:hint="eastAsia" w:ascii="宋体" w:hAnsi="宋体" w:eastAsia="宋体" w:cs="宋体"/>
          <w:b/>
          <w:color w:val="auto"/>
          <w:sz w:val="44"/>
          <w:szCs w:val="44"/>
          <w:highlight w:val="none"/>
        </w:rPr>
        <w:t xml:space="preserve">评标方法与评标标准</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ind w:firstLine="482"/>
        <w:spacing w:line="4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本项目采用</w:t>
      </w:r>
      <w:r>
        <w:rPr>
          <w:rFonts w:hint="eastAsia" w:ascii="宋体" w:hAnsi="宋体" w:eastAsia="宋体" w:cs="宋体"/>
          <w:color w:val="auto"/>
          <w:sz w:val="24"/>
          <w:szCs w:val="20"/>
          <w:highlight w:val="none"/>
          <w:u w:val="single"/>
        </w:rPr>
        <w:t xml:space="preserve"> 综合评分 </w:t>
      </w:r>
      <w:r>
        <w:rPr>
          <w:rFonts w:hint="eastAsia" w:ascii="宋体" w:hAnsi="宋体" w:eastAsia="宋体" w:cs="宋体"/>
          <w:color w:val="auto"/>
          <w:sz w:val="24"/>
          <w:szCs w:val="20"/>
          <w:highlight w:val="none"/>
        </w:rPr>
        <w:t xml:space="preserve">法。评标结果按评审后得分由高到低顺序排列。得分相同的，</w:t>
      </w:r>
      <w:bookmarkStart w:id="288" w:name="OLE_LINK77"/>
      <w:r>
        <w:rPr>
          <w:rFonts w:hint="eastAsia" w:ascii="宋体" w:hAnsi="宋体" w:eastAsia="宋体" w:cs="宋体"/>
          <w:color w:val="auto"/>
          <w:sz w:val="24"/>
          <w:szCs w:val="20"/>
          <w:highlight w:val="none"/>
        </w:rPr>
        <w:t xml:space="preserve">按投标报价由低到高顺序排列</w:t>
      </w:r>
      <w:bookmarkEnd w:id="288"/>
      <w:r>
        <w:rPr>
          <w:rFonts w:hint="eastAsia" w:ascii="宋体" w:hAnsi="宋体" w:eastAsia="宋体" w:cs="宋体"/>
          <w:color w:val="auto"/>
          <w:sz w:val="24"/>
          <w:szCs w:val="20"/>
          <w:highlight w:val="none"/>
        </w:rPr>
        <w:t xml:space="preserve">。评审得分且投标报价相同的，按技术方案分由高到低顺序排列。上述仍不能确定的，由评标委员会组织通过抽签的方式确定中标候选人的排序。投标文件满足招标文件全部实质性要求，且按照评审因素的量化指标评审得分排名前三的投标人为中标候选人。本项目确定排名第一的中标候选人为中标人，如依法取消其中标资格的，可由其他中标候选人依次递补，也可重新招标。</w:t>
      </w:r>
      <w:r/>
    </w:p>
    <w:p>
      <w:pPr>
        <w:pStyle w:val="760"/>
        <w:ind w:firstLine="441"/>
        <w:spacing w:beforeAutospacing="0" w:afterAutospacing="0" w:line="460" w:lineRule="exact"/>
        <w:rPr>
          <w:rFonts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ind w:firstLine="480"/>
        <w:spacing w:line="4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1、小微型企业价格扣除</w:t>
      </w:r>
      <w:r/>
    </w:p>
    <w:p>
      <w:pPr>
        <w:ind w:firstLine="48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highlight w:val="none"/>
        </w:rPr>
        <w:t xml:space="preserve">本项目专门面向中小企业采购，不再执行价格评审优惠的扶持政策。</w:t>
      </w:r>
      <w:r/>
    </w:p>
    <w:p>
      <w:pPr>
        <w:pStyle w:val="760"/>
        <w:ind w:firstLine="439"/>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（2）供应商需按照采购文件的要求提供相应的《中小企业声明函》。</w:t>
      </w:r>
      <w:r/>
    </w:p>
    <w:p>
      <w:pPr>
        <w:pStyle w:val="760"/>
        <w:ind w:firstLine="439"/>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ind w:firstLine="480"/>
        <w:spacing w:line="4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2、残疾人福利单位价格扣除</w:t>
      </w:r>
      <w:r/>
    </w:p>
    <w:p>
      <w:pPr>
        <w:ind w:firstLine="48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highlight w:val="none"/>
        </w:rPr>
        <w:t xml:space="preserve">本项目专门面向中小企业采购，不再执行价格评审优惠的扶持政策。</w:t>
      </w:r>
      <w:r/>
    </w:p>
    <w:p>
      <w:pPr>
        <w:pStyle w:val="760"/>
        <w:ind w:firstLine="439"/>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760"/>
        <w:ind w:firstLine="439"/>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ind w:firstLine="480"/>
        <w:spacing w:line="460" w:lineRule="exact"/>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3、监狱和戒毒企业价格扣除</w:t>
      </w:r>
      <w:r/>
    </w:p>
    <w:p>
      <w:pPr>
        <w:ind w:firstLine="480"/>
        <w:spacing w:line="460" w:lineRule="exact"/>
        <w:widowControl/>
        <w:rPr>
          <w:rFonts w:ascii="宋体" w:hAnsi="宋体" w:eastAsia="宋体" w:cs="宋体"/>
          <w:color w:val="auto"/>
          <w:sz w:val="24"/>
          <w:szCs w:val="20"/>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highlight w:val="none"/>
        </w:rPr>
        <w:t xml:space="preserve">本项目专门面向中小企业采购，不再执行价格评审优惠的扶持政策。</w:t>
      </w:r>
      <w:r/>
    </w:p>
    <w:p>
      <w:pPr>
        <w:pStyle w:val="760"/>
        <w:ind w:firstLine="439"/>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0"/>
        <w:ind w:firstLine="439"/>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760"/>
        <w:ind w:firstLine="480"/>
        <w:spacing w:beforeAutospacing="0" w:afterAutospacing="0" w:line="460" w:lineRule="exact"/>
        <w:rPr>
          <w:rFonts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760"/>
        <w:ind w:firstLine="513"/>
        <w:spacing w:before="120" w:beforeAutospacing="0" w:after="120" w:afterAutospacing="0" w:line="460" w:lineRule="exact"/>
        <w:rPr>
          <w:rFonts w:ascii="宋体" w:hAnsi="宋体" w:eastAsia="宋体" w:cs="宋体"/>
          <w:b/>
          <w:color w:val="auto"/>
          <w:highlight w:val="none"/>
        </w:rPr>
      </w:pPr>
      <w:r>
        <w:rPr>
          <w:rFonts w:hint="eastAsia" w:ascii="宋体" w:hAnsi="宋体" w:eastAsia="宋体" w:cs="宋体"/>
          <w:color w:val="auto"/>
          <w:highlight w:val="none"/>
        </w:rPr>
        <w:t xml:space="preserve">5、</w:t>
      </w:r>
      <w:r>
        <w:rPr>
          <w:rFonts w:hint="eastAsia" w:ascii="宋体" w:hAnsi="宋体" w:eastAsia="宋体" w:cs="宋体"/>
          <w:b/>
          <w:color w:val="auto"/>
          <w:highlight w:val="none"/>
        </w:rPr>
        <w:t xml:space="preserve">采购本国产品的支持政策</w:t>
      </w:r>
      <w:r/>
    </w:p>
    <w:p>
      <w:pPr>
        <w:pStyle w:val="760"/>
        <w:ind w:firstLine="516"/>
        <w:spacing w:before="120" w:beforeAutospacing="0" w:after="120" w:afterAutospacing="0" w:line="460" w:lineRule="exact"/>
        <w:rPr>
          <w:rFonts w:ascii="宋体" w:hAnsi="宋体" w:eastAsia="宋体" w:cs="宋体"/>
          <w:b/>
          <w:color w:val="auto"/>
          <w:highlight w:val="none"/>
        </w:rPr>
      </w:pPr>
      <w:r>
        <w:rPr>
          <w:rFonts w:hint="eastAsia" w:ascii="宋体" w:hAnsi="宋体" w:eastAsia="宋体" w:cs="宋体"/>
          <w:b/>
          <w:color w:val="auto"/>
          <w:highlight w:val="none"/>
        </w:rPr>
        <w:t xml:space="preserve">5.1 本项目政府采购活动中既有本国产品又有非本国产品参与竞争的，依法对本国产品给予价格评审优惠，对本国产品的报价给予</w:t>
      </w:r>
      <w:r>
        <w:rPr>
          <w:rFonts w:hint="eastAsia" w:ascii="宋体" w:hAnsi="宋体" w:eastAsia="宋体" w:cs="宋体"/>
          <w:b/>
          <w:color w:val="auto"/>
          <w:highlight w:val="none"/>
          <w:u w:val="single"/>
        </w:rPr>
        <w:t xml:space="preserve"> 20%</w:t>
      </w:r>
      <w:r>
        <w:rPr>
          <w:rFonts w:hint="eastAsia" w:ascii="宋体" w:hAnsi="宋体" w:eastAsia="宋体" w:cs="宋体"/>
          <w:b/>
          <w:color w:val="auto"/>
          <w:highlight w:val="none"/>
        </w:rPr>
        <w:t xml:space="preserve">的价格扣除，用扣除后的价格参与评审。</w:t>
      </w:r>
      <w:r/>
    </w:p>
    <w:p>
      <w:pPr>
        <w:pStyle w:val="760"/>
        <w:ind w:firstLine="516"/>
        <w:spacing w:before="120" w:beforeAutospacing="0" w:after="120" w:afterAutospacing="0" w:line="460" w:lineRule="exact"/>
        <w:rPr>
          <w:rFonts w:ascii="宋体" w:hAnsi="宋体" w:eastAsia="宋体" w:cs="宋体"/>
          <w:b/>
          <w:color w:val="auto"/>
          <w:highlight w:val="none"/>
        </w:rPr>
      </w:pPr>
      <w:r>
        <w:rPr>
          <w:rFonts w:hint="eastAsia" w:ascii="宋体" w:hAnsi="宋体" w:eastAsia="宋体" w:cs="宋体"/>
          <w:b/>
          <w:color w:val="auto"/>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color w:val="auto"/>
          <w:highlight w:val="none"/>
          <w:u w:val="single"/>
        </w:rPr>
        <w:t xml:space="preserve">20%</w:t>
      </w:r>
      <w:r>
        <w:rPr>
          <w:rFonts w:hint="eastAsia" w:ascii="宋体" w:hAnsi="宋体" w:eastAsia="宋体" w:cs="宋体"/>
          <w:b/>
          <w:color w:val="auto"/>
          <w:highlight w:val="none"/>
        </w:rPr>
        <w:t xml:space="preserve">的价格扣除，用扣除后的价格参与评审。供应商未填写比例数值，或比例数值未达到80%的，将不享受本国产品价格评审优惠。</w:t>
      </w:r>
      <w:r/>
    </w:p>
    <w:p>
      <w:pPr>
        <w:pStyle w:val="760"/>
        <w:ind w:firstLine="516"/>
        <w:spacing w:before="120" w:beforeAutospacing="0" w:after="120" w:afterAutospacing="0" w:line="460" w:lineRule="exact"/>
        <w:rPr>
          <w:rFonts w:ascii="宋体" w:hAnsi="宋体" w:eastAsia="宋体" w:cs="宋体"/>
          <w:b/>
          <w:color w:val="auto"/>
          <w:highlight w:val="none"/>
        </w:rPr>
      </w:pPr>
      <w:r>
        <w:rPr>
          <w:rFonts w:hint="eastAsia" w:ascii="宋体" w:hAnsi="宋体" w:eastAsia="宋体" w:cs="宋体"/>
          <w:b/>
          <w:color w:val="auto"/>
          <w:highlight w:val="none"/>
        </w:rPr>
        <w:t xml:space="preserve">5.3 供应商需按照招标文件的要求提供《关于符合本国产品标准的声明函》（以下简称《声明函》），如不提供将不享受本国产品价格评审优惠。</w:t>
      </w:r>
      <w:r/>
    </w:p>
    <w:p>
      <w:pPr>
        <w:pStyle w:val="760"/>
        <w:ind w:firstLine="516"/>
        <w:spacing w:before="120" w:beforeAutospacing="0" w:after="120" w:afterAutospacing="0" w:line="460" w:lineRule="exact"/>
        <w:rPr>
          <w:rFonts w:ascii="宋体" w:hAnsi="宋体" w:eastAsia="宋体" w:cs="宋体"/>
          <w:b/>
          <w:color w:val="auto"/>
          <w:highlight w:val="none"/>
        </w:rPr>
      </w:pPr>
      <w:r>
        <w:rPr>
          <w:rFonts w:hint="eastAsia" w:ascii="宋体" w:hAnsi="宋体" w:eastAsia="宋体" w:cs="宋体"/>
          <w:b/>
          <w:color w:val="auto"/>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60"/>
        <w:ind w:firstLine="516"/>
        <w:spacing w:before="120" w:beforeAutospacing="0" w:after="120" w:afterAutospacing="0" w:line="460" w:lineRule="exact"/>
        <w:rPr>
          <w:rFonts w:ascii="宋体" w:hAnsi="宋体" w:eastAsia="宋体" w:cs="宋体"/>
          <w:b/>
          <w:color w:val="auto"/>
          <w:highlight w:val="none"/>
        </w:rPr>
      </w:pPr>
      <w:r>
        <w:rPr>
          <w:rFonts w:hint="eastAsia" w:ascii="宋体" w:hAnsi="宋体" w:eastAsia="宋体" w:cs="宋体"/>
          <w:b/>
          <w:color w:val="auto"/>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760"/>
        <w:ind w:firstLine="482"/>
        <w:spacing w:before="120" w:beforeAutospacing="0" w:after="120" w:afterAutospacing="0" w:line="0" w:lineRule="atLeast"/>
        <w:rPr>
          <w:rFonts w:ascii="宋体" w:hAnsi="宋体" w:eastAsia="宋体" w:cs="宋体"/>
          <w:b/>
          <w:color w:val="auto"/>
          <w:highlight w:val="none"/>
        </w:rPr>
      </w:pPr>
      <w:r>
        <w:rPr>
          <w:rFonts w:hint="eastAsia" w:ascii="宋体" w:hAnsi="宋体" w:eastAsia="宋体" w:cs="宋体"/>
          <w:b/>
          <w:color w:val="auto"/>
          <w:highlight w:val="none"/>
        </w:rPr>
        <w:t xml:space="preserve">二、评标方法与评标标准</w:t>
      </w:r>
      <w:r/>
    </w:p>
    <w:tbl>
      <w:tblPr>
        <w:tblStyle w:val="734"/>
        <w:tblpPr w:horzAnchor="page" w:tblpX="1537" w:vertAnchor="text" w:tblpY="559" w:leftFromText="180" w:topFromText="0" w:rightFromText="180" w:bottomFromText="0"/>
        <w:tblW w:w="8967" w:type="dxa"/>
        <w:tblInd w:w="0" w:type="dxa"/>
        <w:tblLayout w:type="autofit"/>
        <w:tblCellMar>
          <w:left w:w="108" w:type="dxa"/>
          <w:top w:w="0" w:type="dxa"/>
          <w:right w:w="108" w:type="dxa"/>
          <w:bottom w:w="0" w:type="dxa"/>
        </w:tblCellMar>
        <w:tblLook w:val="04A0" w:firstRow="1" w:lastRow="0" w:firstColumn="1" w:lastColumn="0" w:noHBand="0" w:noVBand="1"/>
      </w:tblPr>
      <w:tblGrid>
        <w:gridCol w:w="936"/>
        <w:gridCol w:w="1602"/>
        <w:gridCol w:w="6429"/>
      </w:tblGrid>
      <w:tr>
        <w:trPr>
          <w:trHeight w:val="1180"/>
        </w:trPr>
        <w:tc>
          <w:tcPr>
            <w:tcBorders>
              <w:top w:val="single" w:color="000000" w:sz="4" w:space="0"/>
              <w:left w:val="single" w:color="000000" w:sz="4" w:space="0"/>
              <w:bottom w:val="none" w:color="000000" w:sz="4" w:space="0"/>
              <w:right w:val="none" w:color="000000" w:sz="4" w:space="0"/>
            </w:tcBorders>
            <w:tcW w:w="936" w:type="dxa"/>
            <w:vAlign w:val="center"/>
            <w:textDirection w:val="lrTb"/>
            <w:noWrap/>
          </w:tcPr>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投标报价（30分）</w:t>
            </w:r>
            <w:r/>
          </w:p>
        </w:tc>
        <w:tc>
          <w:tcPr>
            <w:tcBorders>
              <w:top w:val="single" w:color="000000" w:sz="4" w:space="0"/>
              <w:left w:val="single" w:color="000000" w:sz="4" w:space="0"/>
              <w:bottom w:val="single" w:color="000000" w:sz="4" w:space="0"/>
              <w:right w:val="single" w:color="000000" w:sz="4" w:space="0"/>
            </w:tcBorders>
            <w:tcW w:w="1602" w:type="dxa"/>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投标价格（30分）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价格分采用低价优先法计算，即满足招标文件要求且报价最低的投标单位报价为评标基准价，其价格分为满分30分，其它投标人的价格分统一按照以下公式计算：投标报价得分=（最低报价/该投标人的投标报价）×30分。得分小数点后保留2位。</w:t>
            </w:r>
            <w:r/>
          </w:p>
        </w:tc>
      </w:tr>
      <w:tr>
        <w:trPr>
          <w:trHeight w:val="1180"/>
        </w:trPr>
        <w:tc>
          <w:tcPr>
            <w:tcBorders>
              <w:top w:val="single" w:color="000000" w:sz="4" w:space="0"/>
              <w:left w:val="single" w:color="000000" w:sz="4" w:space="0"/>
              <w:right w:val="none" w:color="000000" w:sz="4" w:space="0"/>
            </w:tcBorders>
            <w:tcW w:w="936" w:type="dxa"/>
            <w:vAlign w:val="center"/>
            <w:vMerge w:val="restart"/>
            <w:textDirection w:val="lrTb"/>
            <w:noWrap/>
          </w:tcPr>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综合实力（9分）</w:t>
            </w:r>
            <w:r/>
          </w:p>
        </w:tc>
        <w:tc>
          <w:tcPr>
            <w:tcBorders>
              <w:top w:val="single" w:color="000000" w:sz="4" w:space="0"/>
              <w:left w:val="single" w:color="000000" w:sz="4" w:space="0"/>
              <w:bottom w:val="single" w:color="000000" w:sz="4" w:space="0"/>
              <w:right w:val="single" w:color="000000" w:sz="4" w:space="0"/>
            </w:tcBorders>
            <w:tcW w:w="1602" w:type="dxa"/>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投标人业绩（6分）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tcPr>
          <w:p>
            <w:pPr>
              <w:spacing w:line="460" w:lineRule="exact"/>
              <w:rPr>
                <w:rFonts w:ascii="宋体" w:hAnsi="宋体" w:eastAsia="宋体" w:cs="宋体"/>
                <w:color w:val="auto"/>
                <w:sz w:val="24"/>
                <w:highlight w:val="none"/>
              </w:rPr>
            </w:pPr>
            <w:r/>
            <w:bookmarkStart w:id="289" w:name="OLE_LINK122"/>
            <w:r/>
            <w:bookmarkStart w:id="290" w:name="OLE_LINK123"/>
            <w:r/>
            <w:bookmarkStart w:id="291" w:name="OLE_LINK120"/>
            <w:r/>
            <w:bookmarkStart w:id="292" w:name="OLE_LINK121"/>
            <w:r/>
            <w:bookmarkStart w:id="293" w:name="OLE_LINK64"/>
            <w:r/>
            <w:bookmarkStart w:id="294" w:name="OLE_LINK63"/>
            <w:r>
              <w:rPr>
                <w:rFonts w:hint="eastAsia" w:ascii="宋体" w:hAnsi="宋体" w:eastAsia="宋体" w:cs="宋体"/>
                <w:color w:val="auto"/>
                <w:sz w:val="24"/>
                <w:highlight w:val="none"/>
              </w:rPr>
              <w:t xml:space="preserve">1、提供自2022年1月1日（以合同签订时间为准）以来承担过排涝泵车或联合疏通车项目的业绩合同、发票及车辆实物图片，每提供一份得1分，最高得4分；</w:t>
            </w:r>
            <w:bookmarkEnd w:id="289"/>
            <w:r/>
            <w:bookmarkEnd w:id="290"/>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2、提供自2022年1月1日（以合同签订时间为准）以来承担过自吸泵项目的业绩合同及发票，每提供一份得1分，最高得2分。</w:t>
            </w:r>
            <w:bookmarkEnd w:id="291"/>
            <w:r/>
            <w:bookmarkEnd w:id="292"/>
            <w:r/>
            <w:r/>
          </w:p>
          <w:p>
            <w:pPr>
              <w:spacing w:line="46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注：1.投标时需提供合同</w:t>
            </w:r>
            <w:bookmarkStart w:id="295" w:name="OLE_LINK6"/>
            <w:r/>
            <w:bookmarkStart w:id="296" w:name="OLE_LINK5"/>
            <w:r>
              <w:rPr>
                <w:rFonts w:hint="eastAsia" w:ascii="宋体" w:hAnsi="宋体" w:eastAsia="宋体" w:cs="宋体"/>
                <w:b/>
                <w:bCs/>
                <w:color w:val="auto"/>
                <w:sz w:val="24"/>
                <w:highlight w:val="none"/>
              </w:rPr>
              <w:t xml:space="preserve">原件及发票原件的彩色扫描件</w:t>
            </w:r>
            <w:bookmarkEnd w:id="295"/>
            <w:r/>
            <w:bookmarkEnd w:id="296"/>
            <w:r>
              <w:rPr>
                <w:rFonts w:hint="eastAsia" w:ascii="宋体" w:hAnsi="宋体" w:eastAsia="宋体" w:cs="宋体"/>
                <w:b/>
                <w:bCs/>
                <w:color w:val="auto"/>
                <w:sz w:val="24"/>
                <w:highlight w:val="none"/>
              </w:rPr>
              <w:t xml:space="preserve">（如无法体现合同签订时间，则需提供甲方出具的对应该合同相关证明材料原件彩色扫描件）；2</w:t>
            </w:r>
            <w:bookmarkStart w:id="297" w:name="OLE_LINK178"/>
            <w:r/>
            <w:bookmarkStart w:id="298" w:name="OLE_LINK177"/>
            <w:r>
              <w:rPr>
                <w:rFonts w:hint="eastAsia" w:ascii="宋体" w:hAnsi="宋体" w:eastAsia="宋体" w:cs="宋体"/>
                <w:b/>
                <w:bCs/>
                <w:color w:val="auto"/>
                <w:sz w:val="24"/>
                <w:highlight w:val="none"/>
              </w:rPr>
              <w:t xml:space="preserve">.作为排涝泵车或联合疏通车业绩的项目，合同内容须包含可上牌的排涝泵车或联合疏通车</w:t>
            </w:r>
            <w:bookmarkEnd w:id="297"/>
            <w:r/>
            <w:bookmarkEnd w:id="298"/>
            <w:r>
              <w:rPr>
                <w:rFonts w:hint="eastAsia" w:ascii="宋体" w:hAnsi="宋体" w:eastAsia="宋体" w:cs="宋体"/>
                <w:b/>
                <w:bCs/>
                <w:color w:val="auto"/>
                <w:sz w:val="24"/>
                <w:highlight w:val="none"/>
              </w:rPr>
              <w:t xml:space="preserve">，并提供车辆实物图片；3.合同中必须体现甲乙双方单位名称，否则不予认可。</w:t>
            </w:r>
            <w:bookmarkEnd w:id="293"/>
            <w:r/>
            <w:bookmarkEnd w:id="294"/>
            <w:r/>
            <w:r/>
          </w:p>
        </w:tc>
      </w:tr>
      <w:tr>
        <w:trPr>
          <w:trHeight w:val="1180"/>
        </w:trPr>
        <w:tc>
          <w:tcPr>
            <w:tcBorders>
              <w:left w:val="single" w:color="000000" w:sz="4" w:space="0"/>
              <w:right w:val="none" w:color="000000" w:sz="4" w:space="0"/>
            </w:tcBorders>
            <w:tcW w:w="936" w:type="dxa"/>
            <w:vAlign w:val="center"/>
            <w:vMerge w:val="continue"/>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02" w:type="dxa"/>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制造商实力（3分）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设备制造商通过质量管理体系认证、环境管理体系认证和职业健康安全管理体系认证的，投标人提供制造商相应认证证书证明材料。所有设备制造商同时具备上述一种认证证书的，得1分，此项最高得3分。</w:t>
            </w:r>
            <w:r/>
          </w:p>
          <w:p>
            <w:pPr>
              <w:spacing w:line="46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注：证书须在有效期内并处于有效状态，获得监督审核合格标识，提供证书在认证认可业务信息统一查询平台（http://cx.cnca.cn）的查询结果“有效”的截图或网页打印件加盖单位公章。投标人应当确保证书开标当天处于有效期内，否则不予认可。</w:t>
            </w:r>
            <w:r/>
          </w:p>
        </w:tc>
      </w:tr>
      <w:tr>
        <w:trPr>
          <w:trHeight w:val="835"/>
        </w:trPr>
        <w:tc>
          <w:tcPr>
            <w:tcBorders>
              <w:top w:val="single" w:color="000000" w:sz="4" w:space="0"/>
              <w:left w:val="single" w:color="000000" w:sz="4" w:space="0"/>
              <w:right w:val="none" w:color="000000" w:sz="4" w:space="0"/>
            </w:tcBorders>
            <w:tcW w:w="936" w:type="dxa"/>
            <w:vAlign w:val="center"/>
            <w:vMerge w:val="restart"/>
            <w:textDirection w:val="lrTb"/>
            <w:noWrap/>
          </w:tcPr>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设备要求（49分）</w:t>
            </w:r>
            <w:r/>
          </w:p>
        </w:tc>
        <w:tc>
          <w:tcPr>
            <w:tcBorders>
              <w:top w:val="none" w:color="000000" w:sz="4" w:space="0"/>
              <w:left w:val="single" w:color="000000" w:sz="4" w:space="0"/>
              <w:bottom w:val="single" w:color="auto" w:sz="4" w:space="0"/>
              <w:right w:val="single" w:color="000000" w:sz="4" w:space="0"/>
            </w:tcBorders>
            <w:tcW w:w="1602" w:type="dxa"/>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技术参数响应（43分）</w:t>
            </w:r>
            <w:r/>
          </w:p>
        </w:tc>
        <w:tc>
          <w:tcPr>
            <w:tcBorders>
              <w:top w:val="none" w:color="000000" w:sz="4" w:space="0"/>
              <w:left w:val="single" w:color="000000" w:sz="4" w:space="0"/>
              <w:bottom w:val="single" w:color="auto" w:sz="4" w:space="0"/>
              <w:right w:val="single" w:color="000000" w:sz="4" w:space="0"/>
            </w:tcBorders>
            <w:tcW w:w="6429"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1.由评标委员会根据投标人对投标产品的响应情况进行打分，全部响应采购文件“技术要求”的得满分43分；</w:t>
            </w:r>
            <w:r/>
          </w:p>
          <w:p>
            <w:pPr>
              <w:spacing w:line="460" w:lineRule="exact"/>
              <w:rPr>
                <w:rFonts w:ascii="宋体" w:hAnsi="宋体" w:eastAsia="宋体" w:cs="宋体"/>
                <w:color w:val="auto"/>
                <w:sz w:val="24"/>
                <w:highlight w:val="none"/>
              </w:rPr>
            </w:pPr>
            <w:r/>
            <w:bookmarkStart w:id="299" w:name="OLE_LINK33"/>
            <w:r>
              <w:rPr>
                <w:rFonts w:hint="eastAsia" w:ascii="宋体" w:hAnsi="宋体" w:eastAsia="宋体" w:cs="宋体"/>
                <w:color w:val="auto"/>
                <w:sz w:val="24"/>
                <w:highlight w:val="none"/>
              </w:rPr>
              <w:t xml:space="preserve">2.采购文件“技术要求”中标注“▲”的条款（共57项）有1项满足（符合或超出）的，加0.5分，本项最高得28.5分；采购文件“技术要求”中的其他条款（共58项），有1项满足（符合或超出）的，加0.25分，本项最高得14.5分。</w:t>
            </w:r>
            <w:bookmarkEnd w:id="299"/>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注：1.以上“技术要求”如有负偏离的须在投标文件《技术要求响应及偏离表》中表述清楚。供应商在投标时不得虚假响应和虚假承诺；</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2.提供“道路机动车辆生产企业及产品信息查询系统”所有投标车辆查询截图，如公告中相应指标不满足（负偏离）的，即使偏离表未填写不满足（负偏离）的也按不满足（负偏离）处理；</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300" w:name="OLE_LINK116"/>
            <w:r/>
            <w:bookmarkStart w:id="301" w:name="OLE_LINK115"/>
            <w:r>
              <w:rPr>
                <w:rFonts w:hint="eastAsia" w:ascii="宋体" w:hAnsi="宋体" w:eastAsia="宋体" w:cs="宋体"/>
                <w:color w:val="auto"/>
                <w:sz w:val="24"/>
                <w:highlight w:val="none"/>
              </w:rPr>
              <w:t xml:space="preserve">招标文件技术要求中要求提供产品彩页、产品说明书、设备照片的，</w:t>
            </w:r>
            <w:bookmarkEnd w:id="300"/>
            <w:r/>
            <w:bookmarkEnd w:id="301"/>
            <w:r>
              <w:rPr>
                <w:rFonts w:hint="eastAsia" w:ascii="宋体" w:hAnsi="宋体" w:eastAsia="宋体" w:cs="宋体"/>
                <w:color w:val="auto"/>
                <w:sz w:val="24"/>
                <w:highlight w:val="none"/>
              </w:rPr>
              <w:t xml:space="preserve">未提供的或要求体现的相应指标未体现的或要求体现的相应指标不符合要求的，即使偏离表未填写不满足（负偏离）的也按不满足（负偏离）处理；</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4.上述证明材料需提供原件彩色扫描件。</w:t>
            </w:r>
            <w:r/>
          </w:p>
        </w:tc>
      </w:tr>
      <w:tr>
        <w:trPr>
          <w:trHeight w:val="774"/>
        </w:trPr>
        <w:tc>
          <w:tcPr>
            <w:tcBorders>
              <w:left w:val="single" w:color="000000" w:sz="4" w:space="0"/>
              <w:bottom w:val="single" w:color="000000" w:sz="4" w:space="0"/>
              <w:right w:val="single" w:color="auto" w:sz="4" w:space="0"/>
            </w:tcBorders>
            <w:tcW w:w="936" w:type="dxa"/>
            <w:vAlign w:val="center"/>
            <w:vMerge w:val="continue"/>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000000" w:sz="4" w:space="0"/>
            </w:tcBorders>
            <w:tcW w:w="1602" w:type="dxa"/>
            <w:textDirection w:val="lrTb"/>
            <w:noWrap/>
          </w:tcPr>
          <w:p>
            <w:pPr>
              <w:spacing w:line="52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52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52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52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52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spacing w:line="520" w:lineRule="exact"/>
              <w:widowControl/>
              <w:rPr>
                <w:rStyle w:val="943"/>
                <w:rFonts w:ascii="宋体" w:hAnsi="宋体" w:cs="宋体"/>
                <w:bCs/>
                <w:color w:val="auto"/>
                <w:sz w:val="24"/>
                <w:highlight w:val="none"/>
              </w:rPr>
            </w:pPr>
            <w:r>
              <w:rPr>
                <w:rFonts w:hint="eastAsia" w:ascii="宋体" w:hAnsi="宋体" w:eastAsia="宋体" w:cs="宋体"/>
                <w:color w:val="auto"/>
                <w:sz w:val="24"/>
                <w:highlight w:val="none"/>
              </w:rPr>
              <w:t xml:space="preserve">节能环保（2分）</w:t>
            </w:r>
            <w:r/>
          </w:p>
        </w:tc>
        <w:tc>
          <w:tcPr>
            <w:tcBorders>
              <w:top w:val="single" w:color="auto" w:sz="4" w:space="0"/>
              <w:left w:val="single" w:color="000000" w:sz="4" w:space="0"/>
              <w:bottom w:val="single" w:color="auto" w:sz="4" w:space="0"/>
              <w:right w:val="single" w:color="auto" w:sz="4" w:space="0"/>
            </w:tcBorders>
            <w:tcW w:w="6429"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产品属于财政部、国家发改委公布的“节能产品品目清单”范围内的，投标人提供国家确定的认证机构出具的、在开标当日处于有效期之内的该节能产品认证证书复印件并标识出产品型号的，符合要求得1分。 </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特别说明：本项目采购产品未被财政部、国家发改委等列入“节能产品品目清单”强制采购范围。</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投标产品属于财政部、生态环境部公布的“环境标志产品品目清单”范围内的，投标人提供国家确定的认证机构出具的、在开标当日处于有效期内的该环保产品认证证书复印件并标识出产品型号的，符合要求得1分。 </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特别说明：本项目采购产品未被财政部、生态环境部等列入 “环境标志产品品目清单”强制采购范围</w:t>
            </w:r>
            <w:r/>
          </w:p>
        </w:tc>
      </w:tr>
      <w:tr>
        <w:trPr>
          <w:trHeight w:val="90"/>
        </w:trPr>
        <w:tc>
          <w:tcPr>
            <w:tcBorders>
              <w:left w:val="single" w:color="000000" w:sz="4" w:space="0"/>
              <w:bottom w:val="single" w:color="000000" w:sz="4" w:space="0"/>
              <w:right w:val="single" w:color="auto" w:sz="4" w:space="0"/>
            </w:tcBorders>
            <w:tcW w:w="936" w:type="dxa"/>
            <w:vAlign w:val="center"/>
            <w:vMerge w:val="continue"/>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auto" w:sz="4" w:space="0"/>
              <w:bottom w:val="single" w:color="auto" w:sz="4" w:space="0"/>
              <w:right w:val="single" w:color="000000" w:sz="4" w:space="0"/>
            </w:tcBorders>
            <w:tcW w:w="1602" w:type="dxa"/>
            <w:textDirection w:val="lrTb"/>
            <w:noWrap/>
          </w:tcPr>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质保期（4分）</w:t>
            </w:r>
            <w:r/>
          </w:p>
        </w:tc>
        <w:tc>
          <w:tcPr>
            <w:tcBorders>
              <w:top w:val="single" w:color="auto" w:sz="4" w:space="0"/>
              <w:left w:val="single" w:color="000000" w:sz="4" w:space="0"/>
              <w:bottom w:val="single" w:color="auto" w:sz="4" w:space="0"/>
              <w:right w:val="single" w:color="auto" w:sz="4" w:space="0"/>
            </w:tcBorders>
            <w:tcW w:w="6429"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在项目需求质保期（三年）基础上，每增加一年加2分，最多加4分（以投标人提供的质保期承诺为准，履约保证金在承诺的质保期满后退还）。</w:t>
            </w:r>
            <w:r/>
          </w:p>
        </w:tc>
      </w:tr>
      <w:tr>
        <w:trPr>
          <w:trHeight w:val="557"/>
        </w:trPr>
        <w:tc>
          <w:tcPr>
            <w:tcBorders>
              <w:top w:val="single" w:color="000000" w:sz="4" w:space="0"/>
              <w:left w:val="single" w:color="000000" w:sz="4" w:space="0"/>
              <w:bottom w:val="single" w:color="000000" w:sz="4" w:space="0"/>
              <w:right w:val="none" w:color="000000" w:sz="4" w:space="0"/>
            </w:tcBorders>
            <w:tcW w:w="936" w:type="dxa"/>
            <w:vAlign w:val="center"/>
            <w:vMerge w:val="restart"/>
            <w:textDirection w:val="lrTb"/>
            <w:noWrap/>
          </w:tcPr>
          <w:p>
            <w:pPr>
              <w:spacing w:line="520" w:lineRule="exact"/>
              <w:widowControl/>
              <w:rPr>
                <w:rStyle w:val="943"/>
                <w:rFonts w:ascii="宋体" w:hAnsi="宋体" w:cs="宋体"/>
                <w:bCs/>
                <w:color w:val="auto"/>
                <w:sz w:val="24"/>
                <w:highlight w:val="none"/>
              </w:rPr>
            </w:pPr>
            <w:r/>
            <w:bookmarkStart w:id="302" w:name="OLE_LINK13"/>
            <w:r/>
            <w:bookmarkStart w:id="303" w:name="OLE_LINK14"/>
            <w:r>
              <w:rPr>
                <w:rStyle w:val="943"/>
                <w:rFonts w:hint="eastAsia" w:ascii="宋体" w:hAnsi="宋体" w:cs="宋体"/>
                <w:bCs/>
                <w:color w:val="auto"/>
                <w:sz w:val="24"/>
                <w:highlight w:val="none"/>
              </w:rPr>
              <w:t xml:space="preserve">实施方案、售后方案及其他</w:t>
            </w:r>
            <w:bookmarkEnd w:id="302"/>
            <w:r/>
            <w:bookmarkEnd w:id="303"/>
            <w:r>
              <w:rPr>
                <w:rStyle w:val="943"/>
                <w:rFonts w:hint="eastAsia" w:ascii="宋体" w:hAnsi="宋体" w:cs="宋体"/>
                <w:bCs/>
                <w:color w:val="auto"/>
                <w:sz w:val="24"/>
                <w:highlight w:val="none"/>
              </w:rPr>
              <w:t xml:space="preserve">（12分）</w:t>
            </w:r>
            <w:r/>
          </w:p>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000000" w:sz="4" w:space="0"/>
              <w:bottom w:val="single" w:color="000000" w:sz="4" w:space="0"/>
              <w:right w:val="single" w:color="000000" w:sz="4" w:space="0"/>
            </w:tcBorders>
            <w:tcW w:w="1602" w:type="dxa"/>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设备交付与验收方案(2分)</w:t>
            </w:r>
            <w:r/>
          </w:p>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single" w:color="auto" w:sz="4" w:space="0"/>
              <w:left w:val="single" w:color="000000" w:sz="4" w:space="0"/>
              <w:bottom w:val="single" w:color="000000" w:sz="4" w:space="0"/>
              <w:right w:val="single" w:color="000000" w:sz="4" w:space="0"/>
            </w:tcBorders>
            <w:tcW w:w="6429"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 设备交付与验收方案</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核心评估供应商能否按采购需求按时、保质完成设备交付，避免因交付延误影响应急或日常作业，</w:t>
            </w:r>
            <w:bookmarkStart w:id="304" w:name="OLE_LINK12"/>
            <w:r>
              <w:rPr>
                <w:rFonts w:hint="eastAsia" w:ascii="宋体" w:hAnsi="宋体" w:eastAsia="宋体" w:cs="宋体"/>
                <w:color w:val="auto"/>
                <w:sz w:val="24"/>
                <w:highlight w:val="none"/>
              </w:rPr>
              <w:t xml:space="preserve">至少包含：①交付周期与进度管控；②验收标准与流程。</w:t>
            </w:r>
            <w:bookmarkStart w:id="305" w:name="OLE_LINK27"/>
            <w:r/>
            <w:bookmarkStart w:id="306" w:name="OLE_LINK26"/>
            <w:r>
              <w:rPr>
                <w:rFonts w:hint="eastAsia" w:ascii="宋体" w:hAnsi="宋体" w:eastAsia="宋体" w:cs="宋体"/>
                <w:color w:val="auto"/>
                <w:sz w:val="24"/>
                <w:highlight w:val="none"/>
              </w:rPr>
              <w:t xml:space="preserve">评委会参照第四章中“设备交付与验收方案”要求对上述内容进行综合评定：优于项目需求的得2分，满足项目需求的得1分，不满足或无此项内容的本项不得分</w:t>
            </w:r>
            <w:bookmarkEnd w:id="305"/>
            <w:r/>
            <w:bookmarkEnd w:id="306"/>
            <w:r>
              <w:rPr>
                <w:rFonts w:hint="eastAsia" w:ascii="宋体" w:hAnsi="宋体" w:eastAsia="宋体" w:cs="宋体"/>
                <w:color w:val="auto"/>
                <w:sz w:val="24"/>
                <w:highlight w:val="none"/>
              </w:rPr>
              <w:t xml:space="preserve">。</w:t>
            </w:r>
            <w:bookmarkEnd w:id="304"/>
            <w:r/>
            <w:r/>
          </w:p>
        </w:tc>
      </w:tr>
      <w:tr>
        <w:trPr>
          <w:trHeight w:val="558"/>
        </w:trPr>
        <w:tc>
          <w:tcPr>
            <w:tcBorders>
              <w:top w:val="single" w:color="000000" w:sz="4" w:space="0"/>
              <w:left w:val="single" w:color="000000" w:sz="4" w:space="0"/>
              <w:bottom w:val="single" w:color="000000" w:sz="4" w:space="0"/>
              <w:right w:val="none" w:color="000000" w:sz="4" w:space="0"/>
            </w:tcBorders>
            <w:tcW w:w="936" w:type="dxa"/>
            <w:vAlign w:val="center"/>
            <w:vMerge w:val="continue"/>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none" w:color="000000" w:sz="4" w:space="0"/>
              <w:left w:val="single" w:color="000000" w:sz="4" w:space="0"/>
              <w:bottom w:val="single" w:color="000000" w:sz="4" w:space="0"/>
              <w:right w:val="single" w:color="000000" w:sz="4" w:space="0"/>
            </w:tcBorders>
            <w:tcW w:w="1602" w:type="dxa"/>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设备安装调试与技术适配方案（2分）</w:t>
            </w:r>
            <w:r/>
          </w:p>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none" w:color="000000" w:sz="4" w:space="0"/>
              <w:left w:val="single" w:color="000000" w:sz="4" w:space="0"/>
              <w:bottom w:val="single" w:color="000000" w:sz="4" w:space="0"/>
              <w:right w:val="single" w:color="000000" w:sz="4" w:space="0"/>
            </w:tcBorders>
            <w:tcW w:w="6429"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2.设备安装调试与技术适配方案</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针对设备（排涝泵车针对低洼道路、城市下穿、地下车库等不同场景使用，拖拽式移动自吸泵与牵引车辆适配，联合疏通车对接作业场景管道）的 “落地使用” 能力评估，避免设备与实际工况脱节，至少包含：</w:t>
            </w:r>
            <w:bookmarkStart w:id="307" w:name="OLE_LINK30"/>
            <w:r/>
            <w:bookmarkStart w:id="308" w:name="OLE_LINK31"/>
            <w:r>
              <w:rPr>
                <w:rFonts w:hint="eastAsia" w:ascii="宋体" w:hAnsi="宋体" w:eastAsia="宋体" w:cs="宋体"/>
                <w:color w:val="auto"/>
                <w:sz w:val="24"/>
                <w:highlight w:val="none"/>
              </w:rPr>
              <w:t xml:space="preserve">①安装调试方案；②工况适配性保障。</w:t>
            </w:r>
            <w:bookmarkStart w:id="309" w:name="OLE_LINK9"/>
            <w:r>
              <w:rPr>
                <w:rFonts w:hint="eastAsia" w:ascii="宋体" w:hAnsi="宋体" w:eastAsia="宋体" w:cs="宋体"/>
                <w:color w:val="auto"/>
                <w:sz w:val="24"/>
                <w:highlight w:val="none"/>
              </w:rPr>
              <w:t xml:space="preserve">评委会参照第四章中“设备安装调试与技术适配方案”要求对上述内容进行综合评定：优于项目需求的得2分，满足项目需求的得1分，不满足或无此项内容的本项不得分。</w:t>
            </w:r>
            <w:bookmarkEnd w:id="307"/>
            <w:r/>
            <w:bookmarkEnd w:id="308"/>
            <w:r/>
            <w:bookmarkEnd w:id="309"/>
            <w:r/>
            <w:r/>
          </w:p>
        </w:tc>
      </w:tr>
      <w:tr>
        <w:trPr>
          <w:trHeight w:val="1720"/>
        </w:trPr>
        <w:tc>
          <w:tcPr>
            <w:tcBorders>
              <w:top w:val="single" w:color="000000" w:sz="4" w:space="0"/>
              <w:left w:val="single" w:color="000000" w:sz="4" w:space="0"/>
              <w:bottom w:val="single" w:color="000000" w:sz="4" w:space="0"/>
              <w:right w:val="none" w:color="000000" w:sz="4" w:space="0"/>
            </w:tcBorders>
            <w:tcW w:w="936" w:type="dxa"/>
            <w:vAlign w:val="center"/>
            <w:vMerge w:val="continue"/>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none" w:color="000000" w:sz="4" w:space="0"/>
              <w:left w:val="single" w:color="000000" w:sz="4" w:space="0"/>
              <w:bottom w:val="single" w:color="000000" w:sz="4" w:space="0"/>
              <w:right w:val="single" w:color="000000" w:sz="4" w:space="0"/>
            </w:tcBorders>
            <w:tcW w:w="1602" w:type="dxa"/>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人员培训方案（2分）</w:t>
            </w:r>
            <w:r/>
          </w:p>
        </w:tc>
        <w:tc>
          <w:tcPr>
            <w:tcBorders>
              <w:top w:val="none" w:color="000000" w:sz="4" w:space="0"/>
              <w:left w:val="single" w:color="000000" w:sz="4" w:space="0"/>
              <w:bottom w:val="single" w:color="000000" w:sz="4" w:space="0"/>
              <w:right w:val="single" w:color="000000" w:sz="4" w:space="0"/>
            </w:tcBorders>
            <w:tcW w:w="6429"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3.人员培训方案</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确保采购人操作人员、维护人员能熟练使用设备，降低误操作风险，至少包含：①培训内容针对性；②培训形式与保障。评委会参照第四章中“人员培训方案”要求对上述内容进行综合评定：优于项目需求的得2分，满足项目需求的得1分，不满足或无此项内容的本项不得分。</w:t>
            </w:r>
            <w:r/>
          </w:p>
        </w:tc>
      </w:tr>
      <w:tr>
        <w:trPr>
          <w:trHeight w:val="614"/>
        </w:trPr>
        <w:tc>
          <w:tcPr>
            <w:tcBorders>
              <w:top w:val="single" w:color="000000" w:sz="4" w:space="0"/>
              <w:left w:val="single" w:color="000000" w:sz="4" w:space="0"/>
              <w:bottom w:val="single" w:color="000000" w:sz="4" w:space="0"/>
              <w:right w:val="none" w:color="000000" w:sz="4" w:space="0"/>
            </w:tcBorders>
            <w:tcW w:w="936" w:type="dxa"/>
            <w:vAlign w:val="center"/>
            <w:vMerge w:val="continue"/>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none" w:color="000000" w:sz="4" w:space="0"/>
              <w:left w:val="single" w:color="000000" w:sz="4" w:space="0"/>
              <w:bottom w:val="single" w:color="000000" w:sz="4" w:space="0"/>
              <w:right w:val="single" w:color="000000" w:sz="4" w:space="0"/>
            </w:tcBorders>
            <w:tcW w:w="1602" w:type="dxa"/>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售后服务与维保方案（2分）</w:t>
            </w:r>
            <w:r/>
          </w:p>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none" w:color="000000" w:sz="4" w:space="0"/>
              <w:left w:val="single" w:color="000000" w:sz="4" w:space="0"/>
              <w:bottom w:val="single" w:color="000000" w:sz="4" w:space="0"/>
              <w:right w:val="single" w:color="000000" w:sz="4" w:space="0"/>
            </w:tcBorders>
            <w:tcW w:w="6429" w:type="dxa"/>
            <w:vAlign w:val="center"/>
            <w:textDirection w:val="lrTb"/>
            <w:noWrap/>
          </w:tcPr>
          <w:p>
            <w:pPr>
              <w:spacing w:line="460" w:lineRule="exact"/>
              <w:rPr>
                <w:rFonts w:ascii="宋体" w:hAnsi="宋体" w:eastAsia="宋体" w:cs="宋体"/>
                <w:color w:val="auto"/>
                <w:sz w:val="24"/>
                <w:highlight w:val="none"/>
              </w:rPr>
            </w:pPr>
            <w:r/>
            <w:bookmarkStart w:id="310" w:name="OLE_LINK11"/>
            <w:r/>
            <w:bookmarkStart w:id="311" w:name="OLE_LINK15"/>
            <w:r/>
            <w:bookmarkStart w:id="312" w:name="OLE_LINK46"/>
            <w:r/>
            <w:bookmarkStart w:id="313" w:name="OLE_LINK47"/>
            <w:r>
              <w:rPr>
                <w:rFonts w:hint="eastAsia" w:ascii="宋体" w:hAnsi="宋体" w:eastAsia="宋体" w:cs="宋体"/>
                <w:color w:val="auto"/>
                <w:sz w:val="24"/>
                <w:highlight w:val="none"/>
              </w:rPr>
              <w:t xml:space="preserve">4.售后服务与维保方案</w:t>
            </w:r>
            <w:bookmarkEnd w:id="310"/>
            <w:r/>
            <w:bookmarkEnd w:id="311"/>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排涝设备属高频作业设备，售后服务响应速度、维保能力直接影响设备使用寿命与应急可用性，至少包含：①售后服务响应机制；②维保与备件保障。</w:t>
            </w:r>
            <w:bookmarkStart w:id="314" w:name="OLE_LINK17"/>
            <w:r/>
            <w:bookmarkStart w:id="315" w:name="OLE_LINK16"/>
            <w:r>
              <w:rPr>
                <w:rFonts w:hint="eastAsia" w:ascii="宋体" w:hAnsi="宋体" w:eastAsia="宋体" w:cs="宋体"/>
                <w:color w:val="auto"/>
                <w:sz w:val="24"/>
                <w:highlight w:val="none"/>
              </w:rPr>
              <w:t xml:space="preserve">评委会参照第四章中“售后服务与维保方案”要求对上述内容进行综合评定：优于项目需求的得2分，满足项目需求的得1分，不满足或无此项内容的本项不得分。</w:t>
            </w:r>
            <w:bookmarkEnd w:id="312"/>
            <w:r/>
            <w:bookmarkEnd w:id="313"/>
            <w:r/>
            <w:bookmarkEnd w:id="314"/>
            <w:r/>
            <w:bookmarkEnd w:id="315"/>
            <w:r/>
            <w:r/>
          </w:p>
        </w:tc>
      </w:tr>
      <w:tr>
        <w:trPr>
          <w:trHeight w:val="666"/>
        </w:trPr>
        <w:tc>
          <w:tcPr>
            <w:tcBorders>
              <w:top w:val="single" w:color="000000" w:sz="4" w:space="0"/>
              <w:left w:val="single" w:color="000000" w:sz="4" w:space="0"/>
              <w:bottom w:val="single" w:color="000000" w:sz="4" w:space="0"/>
              <w:right w:val="none" w:color="000000" w:sz="4" w:space="0"/>
            </w:tcBorders>
            <w:tcW w:w="936" w:type="dxa"/>
            <w:vAlign w:val="center"/>
            <w:vMerge w:val="continue"/>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none" w:color="000000" w:sz="4" w:space="0"/>
              <w:left w:val="single" w:color="000000" w:sz="4" w:space="0"/>
              <w:bottom w:val="single" w:color="000000" w:sz="4" w:space="0"/>
              <w:right w:val="single" w:color="000000" w:sz="4" w:space="0"/>
            </w:tcBorders>
            <w:tcW w:w="1602" w:type="dxa"/>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应急保障方案（2分）</w:t>
            </w:r>
            <w:r/>
          </w:p>
        </w:tc>
        <w:tc>
          <w:tcPr>
            <w:tcBorders>
              <w:top w:val="none" w:color="000000" w:sz="4" w:space="0"/>
              <w:left w:val="single" w:color="000000" w:sz="4" w:space="0"/>
              <w:bottom w:val="single" w:color="000000" w:sz="4" w:space="0"/>
              <w:right w:val="single" w:color="000000" w:sz="4" w:space="0"/>
            </w:tcBorders>
            <w:tcW w:w="6429"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5.应急保障方案</w:t>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排涝设备属应急救援装备，需重点评估供应商在紧急工况下的支持能力，至少包含：</w:t>
            </w:r>
            <w:bookmarkStart w:id="316" w:name="OLE_LINK58"/>
            <w:r>
              <w:rPr>
                <w:rFonts w:hint="eastAsia" w:ascii="宋体" w:hAnsi="宋体" w:eastAsia="宋体" w:cs="宋体"/>
                <w:color w:val="auto"/>
                <w:sz w:val="24"/>
                <w:highlight w:val="none"/>
              </w:rPr>
              <w:t xml:space="preserve">①应急响应机制；②应急操作支持。</w:t>
            </w:r>
            <w:bookmarkEnd w:id="316"/>
            <w:r/>
            <w:bookmarkStart w:id="317" w:name="OLE_LINK21"/>
            <w:r/>
            <w:bookmarkStart w:id="318" w:name="OLE_LINK22"/>
            <w:r>
              <w:rPr>
                <w:rFonts w:hint="eastAsia" w:ascii="宋体" w:hAnsi="宋体" w:eastAsia="宋体" w:cs="宋体"/>
                <w:color w:val="auto"/>
                <w:sz w:val="24"/>
                <w:highlight w:val="none"/>
              </w:rPr>
              <w:t xml:space="preserve">评委会参照第四章中“应急保障方案”要求对上述内容进行综合评定：优于项目需求的得2分，满足项目需求的得1分，不满足或无此项内容的本项不得分。</w:t>
            </w:r>
            <w:bookmarkEnd w:id="317"/>
            <w:r/>
            <w:bookmarkEnd w:id="318"/>
            <w:r/>
            <w:r/>
          </w:p>
        </w:tc>
      </w:tr>
      <w:tr>
        <w:trPr>
          <w:trHeight w:val="650"/>
        </w:trPr>
        <w:tc>
          <w:tcPr>
            <w:tcBorders>
              <w:top w:val="single" w:color="000000" w:sz="4" w:space="0"/>
              <w:left w:val="single" w:color="000000" w:sz="4" w:space="0"/>
              <w:bottom w:val="single" w:color="000000" w:sz="4" w:space="0"/>
              <w:right w:val="none" w:color="000000" w:sz="4" w:space="0"/>
            </w:tcBorders>
            <w:tcW w:w="936" w:type="dxa"/>
            <w:vAlign w:val="center"/>
            <w:vMerge w:val="continue"/>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none" w:color="000000" w:sz="4" w:space="0"/>
              <w:left w:val="single" w:color="000000" w:sz="4" w:space="0"/>
              <w:bottom w:val="single" w:color="000000" w:sz="4" w:space="0"/>
              <w:right w:val="single" w:color="000000" w:sz="4" w:space="0"/>
            </w:tcBorders>
            <w:tcW w:w="1602" w:type="dxa"/>
            <w:textDirection w:val="lrTb"/>
            <w:noWrap/>
          </w:tcPr>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p>
            <w:pPr>
              <w:spacing w:line="520" w:lineRule="exact"/>
              <w:widowControl/>
              <w:rPr>
                <w:rStyle w:val="943"/>
                <w:rFonts w:ascii="宋体" w:hAnsi="宋体" w:cs="宋体"/>
                <w:bCs/>
                <w:color w:val="auto"/>
                <w:sz w:val="24"/>
                <w:highlight w:val="none"/>
              </w:rPr>
            </w:pPr>
            <w:r>
              <w:rPr>
                <w:rStyle w:val="943"/>
                <w:rFonts w:hint="eastAsia" w:ascii="宋体" w:hAnsi="宋体" w:cs="宋体"/>
                <w:bCs/>
                <w:color w:val="auto"/>
                <w:sz w:val="24"/>
                <w:highlight w:val="none"/>
              </w:rPr>
              <w:t xml:space="preserve">方案可行性与合规性（2分）</w:t>
            </w:r>
            <w:r/>
          </w:p>
          <w:p>
            <w:pPr>
              <w:ind w:firstLine="480"/>
              <w:spacing w:line="520" w:lineRule="exact"/>
              <w:widowControl/>
              <w:rPr>
                <w:rStyle w:val="943"/>
                <w:rFonts w:ascii="宋体" w:hAnsi="宋体" w:cs="宋体"/>
                <w:bCs/>
                <w:color w:val="auto"/>
                <w:sz w:val="24"/>
                <w:highlight w:val="none"/>
              </w:rPr>
            </w:pPr>
            <w:r>
              <w:rPr>
                <w:rFonts w:ascii="宋体" w:hAnsi="宋体" w:cs="宋体"/>
                <w:bCs/>
                <w:color w:val="auto"/>
                <w:sz w:val="24"/>
                <w:highlight w:val="none"/>
              </w:rPr>
            </w:r>
            <w:r/>
          </w:p>
        </w:tc>
        <w:tc>
          <w:tcPr>
            <w:tcBorders>
              <w:top w:val="none" w:color="000000" w:sz="4" w:space="0"/>
              <w:left w:val="single" w:color="000000" w:sz="4" w:space="0"/>
              <w:bottom w:val="single" w:color="000000" w:sz="4" w:space="0"/>
              <w:right w:val="single" w:color="000000" w:sz="4" w:space="0"/>
            </w:tcBorders>
            <w:tcW w:w="6429" w:type="dxa"/>
            <w:vAlign w:val="center"/>
            <w:textDirection w:val="lrTb"/>
            <w:noWrap/>
          </w:tcPr>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bookmarkStart w:id="319" w:name="OLE_LINK19"/>
            <w:r/>
            <w:bookmarkStart w:id="320" w:name="OLE_LINK20"/>
            <w:r>
              <w:rPr>
                <w:rFonts w:hint="eastAsia" w:ascii="宋体" w:hAnsi="宋体" w:eastAsia="宋体" w:cs="宋体"/>
                <w:color w:val="auto"/>
                <w:sz w:val="24"/>
                <w:highlight w:val="none"/>
              </w:rPr>
              <w:t xml:space="preserve">方案可行性与合规性</w:t>
            </w:r>
            <w:bookmarkEnd w:id="319"/>
            <w:r/>
            <w:bookmarkEnd w:id="320"/>
            <w:r/>
            <w:r/>
          </w:p>
          <w:p>
            <w:pPr>
              <w:spacing w:line="4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评估方案整体的可落地性、合规性，避免 “纸上谈兵”，至少包含：①可行性证明；②合规性承诺。评委会参照第四章中“方案可行性与合规性”要对上述内容进行综合评定：优于项目需求的得2分，满足项目需求的得1分，不满足或无此项内容的本项不得分。</w:t>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760"/>
        <w:jc w:val="center"/>
        <w:keepNext/>
        <w:spacing w:beforeAutospacing="0" w:afterAutospacing="0"/>
        <w:rPr>
          <w:rFonts w:ascii="宋体" w:hAnsi="宋体" w:eastAsia="宋体" w:cs="宋体"/>
          <w:color w:val="auto"/>
          <w:highlight w:val="none"/>
        </w:rPr>
        <w:outlineLvl w:val="0"/>
      </w:pPr>
      <w:r>
        <w:rPr>
          <w:rFonts w:hint="eastAsia" w:ascii="宋体" w:hAnsi="宋体" w:eastAsia="宋体" w:cs="宋体"/>
          <w:b/>
          <w:bCs/>
          <w:color w:val="auto"/>
          <w:sz w:val="44"/>
          <w:szCs w:val="44"/>
          <w:highlight w:val="none"/>
        </w:rPr>
        <w:t xml:space="preserve">第六章 投标文件格式</w:t>
      </w:r>
      <w:r/>
    </w:p>
    <w:p>
      <w:pPr>
        <w:pStyle w:val="760"/>
        <w:jc w:val="center"/>
        <w:spacing w:beforeAutospacing="0" w:afterAutospacing="0"/>
        <w:rPr>
          <w:rFonts w:ascii="宋体" w:hAnsi="宋体" w:eastAsia="宋体" w:cs="宋体"/>
          <w:b/>
          <w:color w:val="auto"/>
          <w:sz w:val="72"/>
          <w:szCs w:val="72"/>
          <w:highlight w:val="none"/>
        </w:rPr>
      </w:pPr>
      <w:r/>
      <w:bookmarkStart w:id="321" w:name="_Toc49090576"/>
      <w:r/>
      <w:bookmarkEnd w:id="321"/>
      <w:r/>
      <w:bookmarkStart w:id="322" w:name="_Toc120614282"/>
      <w:r/>
      <w:bookmarkEnd w:id="322"/>
      <w:r/>
      <w:bookmarkStart w:id="323" w:name="_Hlt26955039"/>
      <w:r/>
      <w:bookmarkStart w:id="324" w:name="_Hlt26671244"/>
      <w:r/>
      <w:bookmarkStart w:id="325" w:name="_Toc26554094"/>
      <w:r/>
      <w:r/>
    </w:p>
    <w:p>
      <w:pPr>
        <w:pStyle w:val="760"/>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60"/>
        <w:jc w:val="center"/>
        <w:spacing w:beforeAutospacing="0" w:afterAutospacing="0"/>
        <w:rPr>
          <w:rFonts w:ascii="宋体" w:hAnsi="宋体" w:eastAsia="宋体" w:cs="宋体"/>
          <w:b/>
          <w:color w:val="auto"/>
          <w:sz w:val="72"/>
          <w:szCs w:val="72"/>
          <w:highlight w:val="none"/>
        </w:rPr>
      </w:pPr>
      <w:r>
        <w:rPr>
          <w:rFonts w:ascii="宋体" w:hAnsi="宋体" w:eastAsia="宋体" w:cs="宋体"/>
          <w:b/>
          <w:color w:val="auto"/>
          <w:sz w:val="72"/>
          <w:szCs w:val="72"/>
          <w:highlight w:val="none"/>
        </w:rPr>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760"/>
        <w:ind w:firstLine="1084"/>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6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76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一、法人或者其他组织的营业执照等证明文件，自然人的身份证明</w:t>
      </w:r>
      <w:r/>
    </w:p>
    <w:p>
      <w:pPr>
        <w:ind w:firstLine="480"/>
        <w:jc w:val="left"/>
        <w:spacing w:line="500" w:lineRule="exact"/>
        <w:tabs>
          <w:tab w:val="left" w:pos="1331" w:leader="none"/>
        </w:tabs>
        <w:rPr>
          <w:rFonts w:ascii="宋体" w:hAnsi="宋体" w:eastAsia="宋体" w:cs="宋体"/>
          <w:i/>
          <w:color w:val="auto"/>
          <w:sz w:val="24"/>
          <w:highlight w:val="none"/>
          <w:u w:val="single"/>
        </w:rPr>
      </w:pPr>
      <w:r>
        <w:rPr>
          <w:rFonts w:hint="eastAsia" w:ascii="宋体" w:hAnsi="宋体" w:eastAsia="宋体" w:cs="宋体"/>
          <w:i/>
          <w:color w:val="auto"/>
          <w:sz w:val="24"/>
          <w:highlight w:val="none"/>
          <w:u w:val="single"/>
        </w:rPr>
        <w:t xml:space="preserve">二、上一年度的财务状况报表（投标人2025年财务状况表未出的，可使用2024年度报表，至少提供资产负债表、利润表、现金流量表，成立不满一年无需提供）</w:t>
      </w:r>
      <w:r/>
    </w:p>
    <w:p>
      <w:pPr>
        <w:pStyle w:val="760"/>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三、具备履行合同所必需的设备和专业技术能力的书面声明</w:t>
      </w:r>
      <w:r/>
    </w:p>
    <w:p>
      <w:pPr>
        <w:pStyle w:val="760"/>
        <w:ind w:left="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60"/>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五、参加政府采购活动前 3 年内在经营活动中没有重大违法记录的书面声明</w:t>
      </w:r>
      <w:r/>
    </w:p>
    <w:p>
      <w:pPr>
        <w:pStyle w:val="760"/>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六、特定资格要求的证明文件（如果本项目设置特定资格要求，则需要提供）</w:t>
      </w:r>
      <w:r/>
    </w:p>
    <w:p>
      <w:pPr>
        <w:pStyle w:val="760"/>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七、法人授权书</w:t>
      </w:r>
      <w:r/>
    </w:p>
    <w:p>
      <w:pPr>
        <w:pStyle w:val="760"/>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八、投标函</w:t>
      </w:r>
      <w:r/>
    </w:p>
    <w:p>
      <w:pPr>
        <w:pStyle w:val="760"/>
        <w:ind w:firstLine="480"/>
        <w:jc w:val="both"/>
        <w:spacing w:beforeAutospacing="0" w:afterAutospacing="0" w:line="50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九、中小企业声明函</w:t>
      </w:r>
      <w:r/>
    </w:p>
    <w:p>
      <w:pPr>
        <w:pStyle w:val="760"/>
        <w:ind w:firstLine="480"/>
        <w:jc w:val="both"/>
        <w:spacing w:beforeAutospacing="0" w:afterAutospacing="0" w:line="50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十、残疾人福利性单位声明函</w:t>
      </w:r>
      <w:r/>
    </w:p>
    <w:p>
      <w:pPr>
        <w:pStyle w:val="760"/>
        <w:ind w:firstLine="480"/>
        <w:jc w:val="both"/>
        <w:spacing w:beforeAutospacing="0" w:afterAutospacing="0" w:line="50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十一、关于符合本国产品标准的声明函</w:t>
      </w:r>
      <w:r/>
    </w:p>
    <w:p>
      <w:pPr>
        <w:pStyle w:val="760"/>
        <w:ind w:firstLine="480"/>
        <w:jc w:val="both"/>
        <w:spacing w:beforeAutospacing="0" w:afterAutospacing="0" w:line="50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十二、投标分项报价表</w:t>
      </w:r>
      <w:r/>
    </w:p>
    <w:p>
      <w:pPr>
        <w:pStyle w:val="760"/>
        <w:ind w:firstLine="480"/>
        <w:jc w:val="both"/>
        <w:spacing w:beforeAutospacing="0" w:afterAutospacing="0" w:line="50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十三、技术要求响应及偏离表</w:t>
      </w:r>
      <w:r/>
    </w:p>
    <w:p>
      <w:pPr>
        <w:pStyle w:val="760"/>
        <w:ind w:firstLine="480"/>
        <w:jc w:val="both"/>
        <w:spacing w:beforeAutospacing="0" w:afterAutospacing="0" w:line="50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十四、商务要求响应及偏离表</w:t>
      </w:r>
      <w:r/>
    </w:p>
    <w:p>
      <w:pPr>
        <w:pStyle w:val="760"/>
        <w:ind w:firstLine="480"/>
        <w:jc w:val="both"/>
        <w:spacing w:beforeAutospacing="0" w:afterAutospacing="0" w:line="500" w:lineRule="exact"/>
        <w:rPr>
          <w:rFonts w:ascii="宋体" w:hAnsi="宋体" w:eastAsia="宋体" w:cs="宋体"/>
          <w:i/>
          <w:color w:val="auto"/>
          <w:highlight w:val="none"/>
          <w:u w:val="single"/>
        </w:rPr>
      </w:pPr>
      <w:r>
        <w:rPr>
          <w:rFonts w:hint="eastAsia" w:ascii="宋体" w:hAnsi="宋体" w:eastAsia="宋体" w:cs="宋体"/>
          <w:i/>
          <w:color w:val="auto"/>
          <w:highlight w:val="none"/>
          <w:u w:val="single"/>
        </w:rPr>
        <w:t xml:space="preserve">十五、开标一览表</w:t>
      </w:r>
      <w:r/>
    </w:p>
    <w:p>
      <w:pPr>
        <w:ind w:firstLine="480"/>
        <w:spacing w:line="500" w:lineRule="exact"/>
        <w:widowControl/>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十六、</w:t>
      </w:r>
      <w:r>
        <w:rPr>
          <w:rFonts w:hint="eastAsia" w:ascii="宋体" w:hAnsi="宋体" w:eastAsia="宋体" w:cs="宋体"/>
          <w:color w:val="auto"/>
          <w:sz w:val="24"/>
          <w:highlight w:val="none"/>
        </w:rPr>
        <w:t xml:space="preserve">项目实施方案、项目售后服务方案、项目培训方案</w:t>
      </w:r>
      <w:r/>
    </w:p>
    <w:p>
      <w:pPr>
        <w:ind w:firstLine="480"/>
        <w:spacing w:line="500" w:lineRule="exact"/>
        <w:widowControl/>
        <w:rPr>
          <w:rFonts w:ascii="宋体" w:hAnsi="宋体" w:eastAsia="宋体" w:cs="宋体"/>
          <w:iCs/>
          <w:color w:val="auto"/>
          <w:sz w:val="24"/>
          <w:highlight w:val="none"/>
        </w:rPr>
      </w:pPr>
      <w:r>
        <w:rPr>
          <w:rFonts w:hint="eastAsia" w:ascii="宋体" w:hAnsi="宋体" w:eastAsia="宋体" w:cs="宋体"/>
          <w:iCs/>
          <w:color w:val="auto"/>
          <w:sz w:val="24"/>
          <w:highlight w:val="none"/>
        </w:rPr>
        <w:t xml:space="preserve">十七、</w:t>
      </w:r>
      <w:r>
        <w:rPr>
          <w:rFonts w:hint="eastAsia" w:ascii="宋体" w:hAnsi="宋体" w:eastAsia="宋体" w:cs="宋体"/>
          <w:color w:val="auto"/>
          <w:sz w:val="24"/>
          <w:highlight w:val="none"/>
        </w:rPr>
        <w:t xml:space="preserve">投标人认为需要提供的其他材料</w:t>
      </w:r>
      <w:r/>
    </w:p>
    <w:p>
      <w:pPr>
        <w:pStyle w:val="760"/>
        <w:ind w:firstLine="480"/>
        <w:jc w:val="both"/>
        <w:spacing w:beforeAutospacing="0" w:afterAutospacing="0" w:line="500" w:lineRule="exact"/>
        <w:rPr>
          <w:rFonts w:ascii="宋体" w:hAnsi="宋体" w:eastAsia="宋体" w:cs="宋体"/>
          <w:iCs/>
          <w:color w:val="auto"/>
          <w:highlight w:val="none"/>
        </w:rPr>
      </w:pPr>
      <w:r>
        <w:rPr>
          <w:rFonts w:hint="eastAsia" w:ascii="宋体" w:hAnsi="宋体" w:eastAsia="宋体" w:cs="宋体"/>
          <w:iCs/>
          <w:color w:val="auto"/>
          <w:highlight w:val="none"/>
        </w:rPr>
        <w:t xml:space="preserve">十八、盐城市政府采购事前信用承诺书</w:t>
      </w:r>
      <w:r/>
    </w:p>
    <w:p>
      <w:pPr>
        <w:pStyle w:val="76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ind w:firstLine="440"/>
        <w:rPr>
          <w:rFonts w:ascii="宋体" w:hAnsi="宋体" w:eastAsia="宋体" w:cs="宋体"/>
          <w:color w:val="auto"/>
          <w:highlight w:val="none"/>
        </w:rPr>
      </w:pPr>
      <w:r>
        <w:rPr>
          <w:rFonts w:hint="eastAsia" w:ascii="宋体" w:hAnsi="宋体" w:eastAsia="宋体" w:cs="宋体"/>
          <w:color w:val="auto"/>
          <w:highlight w:val="none"/>
        </w:rPr>
        <w:t xml:space="preserve"> 特别提示：电子投标文件制作时建议将本项目投标文件“封面”上传至“目录”项内。</w:t>
      </w:r>
      <w:r/>
    </w:p>
    <w:p>
      <w:pPr>
        <w:pStyle w:val="760"/>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both"/>
        <w:spacing w:beforeAutospacing="0" w:afterAutospacing="0" w:line="0" w:lineRule="atLeast"/>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pStyle w:val="760"/>
        <w:jc w:val="both"/>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76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二、上一年度的财务状况报表</w:t>
      </w:r>
      <w:r/>
    </w:p>
    <w:p>
      <w:pPr>
        <w:pStyle w:val="760"/>
        <w:ind w:firstLine="48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投标人2025年财务状况表未出的，可使用2024年度报表，至少提供资产负债表、利润表、现金流量表，成立不满一年无需提供</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760"/>
        <w:ind w:firstLine="49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60"/>
        <w:ind w:firstLine="49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6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60"/>
        <w:jc w:val="both"/>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四、依法缴纳税收和社会保障资金的相关材料</w:t>
      </w:r>
      <w:r/>
    </w:p>
    <w:p>
      <w:pPr>
        <w:pStyle w:val="76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760"/>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760"/>
        <w:ind w:firstLine="309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7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六、特定资格要求的证明文件</w:t>
      </w:r>
      <w:r/>
    </w:p>
    <w:p>
      <w:pPr>
        <w:pStyle w:val="76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60"/>
        <w:jc w:val="center"/>
        <w:spacing w:beforeAutospacing="0" w:afterAutospacing="0"/>
        <w:rPr>
          <w:rFonts w:ascii="宋体" w:hAnsi="宋体" w:eastAsia="宋体" w:cs="宋体"/>
          <w:i/>
          <w:color w:val="auto"/>
          <w:sz w:val="32"/>
          <w:szCs w:val="32"/>
          <w:highlight w:val="none"/>
          <w:u w:val="single"/>
        </w:rPr>
      </w:pPr>
      <w:r/>
      <w:bookmarkStart w:id="326" w:name="_Toc120614284"/>
      <w:r/>
      <w:r/>
    </w:p>
    <w:p>
      <w:pPr>
        <w:pStyle w:val="760"/>
        <w:jc w:val="center"/>
        <w:spacing w:beforeAutospacing="0" w:afterAutospacing="0"/>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760"/>
        <w:jc w:val="center"/>
        <w:spacing w:beforeAutospacing="0" w:afterAutospacing="0"/>
        <w:rPr>
          <w:rFonts w:ascii="宋体" w:hAnsi="宋体" w:eastAsia="宋体" w:cs="宋体"/>
          <w:color w:val="auto"/>
          <w:highlight w:val="none"/>
        </w:rPr>
        <w:outlineLvl w:val="1"/>
      </w:pPr>
      <w:r>
        <w:rPr>
          <w:rFonts w:hint="eastAsia" w:ascii="宋体" w:hAnsi="宋体" w:eastAsia="宋体" w:cs="宋体"/>
          <w:i/>
          <w:color w:val="auto"/>
          <w:sz w:val="32"/>
          <w:szCs w:val="32"/>
          <w:highlight w:val="none"/>
          <w:u w:val="single"/>
        </w:rPr>
        <w:t xml:space="preserve">七、法人授权书</w:t>
      </w:r>
      <w:r/>
    </w:p>
    <w:p>
      <w:pPr>
        <w:pStyle w:val="760"/>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lang w:eastAsia="zh-CN"/>
        </w:rPr>
        <w:t xml:space="preserve">JSZC-320900-JSYF-G2026-0012</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760"/>
        <w:ind w:firstLine="48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60"/>
        <w:ind w:firstLine="72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76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760"/>
        <w:ind w:firstLine="720"/>
        <w:jc w:val="both"/>
        <w:spacing w:beforeAutospacing="0" w:afterAutospacing="0" w:line="500" w:lineRule="exact"/>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60"/>
        <w:ind w:firstLine="42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单位地址：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760"/>
        <w:ind w:firstLine="7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日期：</w:t>
      </w:r>
      <w:bookmarkStart w:id="327" w:name="_Hlt26671380"/>
      <w:r/>
      <w:bookmarkStart w:id="328" w:name="_Hlt26955070"/>
      <w:r/>
      <w:bookmarkStart w:id="329" w:name="_格式3__银行出具的资信证明"/>
      <w:r>
        <w:rPr>
          <w:rFonts w:hint="eastAsia" w:ascii="宋体" w:hAnsi="宋体" w:eastAsia="宋体" w:cs="宋体"/>
          <w:color w:val="auto"/>
          <w:highlight w:val="none"/>
          <w:u w:val="single"/>
        </w:rPr>
        <w:t xml:space="preserve">    </w:t>
      </w:r>
      <w:r/>
    </w:p>
    <w:p>
      <w:pPr>
        <w:pStyle w:val="76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line="500" w:lineRule="exact"/>
        <w:widowControl/>
        <w:tabs>
          <w:tab w:val="left" w:pos="360" w:leader="none"/>
        </w:tabs>
        <w:rPr>
          <w:rFonts w:ascii="宋体" w:hAnsi="宋体" w:eastAsia="宋体" w:cs="宋体"/>
          <w:color w:val="auto"/>
          <w:highlight w:val="none"/>
        </w:rPr>
      </w:pPr>
      <w:r>
        <w:rPr>
          <w:rFonts w:hint="eastAsia" w:ascii="宋体" w:hAnsi="宋体" w:eastAsia="宋体" w:cs="宋体"/>
          <w:color w:val="auto"/>
          <w:highlight w:val="none"/>
        </w:rPr>
        <w:t xml:space="preserve">法定代表人及被授权人身份证复印件：</w:t>
      </w:r>
      <w:r/>
    </w:p>
    <w:p>
      <w:pPr>
        <w:pStyle w:val="760"/>
        <w:ind w:firstLine="3390"/>
        <w:jc w:val="both"/>
        <w:keepLines/>
        <w:keepNext/>
        <w:spacing w:before="260" w:beforeAutospacing="0" w:after="260" w:afterAutospacing="0" w:line="415" w:lineRule="auto"/>
        <w:rPr>
          <w:rFonts w:ascii="宋体" w:hAnsi="宋体" w:eastAsia="宋体" w:cs="宋体"/>
          <w:b/>
          <w:color w:val="auto"/>
          <w:highlight w:val="none"/>
        </w:rPr>
      </w:pPr>
      <w:r>
        <w:rPr>
          <w:rFonts w:hint="eastAsia" w:ascii="宋体" w:hAnsi="宋体" w:eastAsia="宋体" w:cs="宋体"/>
          <w:b/>
          <w:color w:val="auto"/>
          <w:highlight w:val="none"/>
        </w:rPr>
        <w:t xml:space="preserve"> </w:t>
      </w:r>
      <w:r/>
    </w:p>
    <w:p>
      <w:pPr>
        <w:rPr>
          <w:rFonts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760"/>
        <w:ind w:firstLine="3390"/>
        <w:jc w:val="both"/>
        <w:keepLines/>
        <w:keepNext/>
        <w:spacing w:before="260" w:beforeAutospacing="0" w:after="260" w:afterAutospacing="0" w:line="415" w:lineRule="auto"/>
        <w:rPr>
          <w:rFonts w:ascii="宋体" w:hAnsi="宋体" w:eastAsia="宋体" w:cs="宋体"/>
          <w:color w:val="auto"/>
          <w:highlight w:val="none"/>
        </w:rPr>
        <w:outlineLvl w:val="1"/>
      </w:pPr>
      <w:r>
        <w:rPr>
          <w:rFonts w:hint="eastAsia" w:ascii="宋体" w:hAnsi="宋体" w:eastAsia="宋体" w:cs="宋体"/>
          <w:b/>
          <w:i/>
          <w:color w:val="auto"/>
          <w:sz w:val="32"/>
          <w:szCs w:val="32"/>
          <w:highlight w:val="none"/>
          <w:u w:val="single"/>
        </w:rPr>
        <w:t xml:space="preserve">八、投标函</w:t>
      </w:r>
      <w:r/>
    </w:p>
    <w:p>
      <w:pPr>
        <w:pStyle w:val="76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bCs/>
          <w:color w:val="auto"/>
          <w:highlight w:val="none"/>
          <w:u w:val="single"/>
        </w:rPr>
        <w:t xml:space="preserve">盐城市住房和城乡建设局</w:t>
      </w:r>
      <w:r/>
    </w:p>
    <w:p>
      <w:pPr>
        <w:pStyle w:val="760"/>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JSZC-320900-JSYF-G2026-0012</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760"/>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60"/>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60"/>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60"/>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60"/>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60"/>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60"/>
        <w:ind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60"/>
        <w:ind w:left="425"/>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60"/>
        <w:ind w:left="420"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760"/>
        <w:ind w:left="420"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760"/>
        <w:ind w:left="420"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760"/>
        <w:ind w:left="420"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760"/>
        <w:ind w:left="420"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760"/>
        <w:ind w:left="420"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760"/>
        <w:ind w:left="420" w:firstLine="480"/>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760"/>
        <w:ind w:firstLine="240"/>
        <w:jc w:val="center"/>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24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line="500" w:lineRule="exact"/>
        <w:rPr>
          <w:rFonts w:ascii="宋体" w:hAnsi="宋体" w:eastAsia="宋体" w:cs="宋体"/>
          <w:color w:val="auto"/>
          <w:highlight w:val="none"/>
        </w:rPr>
        <w:outlineLvl w:val="1"/>
      </w:pPr>
      <w:r>
        <w:rPr>
          <w:rFonts w:hint="eastAsia" w:ascii="宋体" w:hAnsi="宋体" w:eastAsia="宋体" w:cs="宋体"/>
          <w:b/>
          <w:color w:val="auto"/>
          <w:sz w:val="32"/>
          <w:szCs w:val="32"/>
          <w:highlight w:val="none"/>
        </w:rPr>
        <w:t xml:space="preserve">九、中小企业声明函（货物）</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bCs/>
          <w:color w:val="auto"/>
          <w:sz w:val="24"/>
          <w:highlight w:val="none"/>
          <w:u w:val="single"/>
        </w:rPr>
        <w:t xml:space="preserve">盐城市住房和城乡建设局</w:t>
      </w:r>
      <w:r>
        <w:rPr>
          <w:rFonts w:hint="eastAsia" w:ascii="宋体" w:hAnsi="宋体" w:eastAsia="宋体" w:cs="宋体"/>
          <w:color w:val="auto"/>
          <w:sz w:val="24"/>
          <w:highlight w:val="none"/>
        </w:rPr>
        <w:t xml:space="preserve">采购编号为</w:t>
      </w:r>
      <w:r>
        <w:rPr>
          <w:rFonts w:hint="eastAsia" w:ascii="宋体" w:hAnsi="宋体" w:eastAsia="宋体" w:cs="宋体"/>
          <w:bCs/>
          <w:color w:val="auto"/>
          <w:sz w:val="24"/>
          <w:highlight w:val="none"/>
          <w:u w:val="single"/>
          <w:lang w:eastAsia="zh-CN"/>
        </w:rPr>
        <w:t xml:space="preserve">JSZC-320900-JSYF-G2026-0012</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u w:val="single"/>
        </w:rPr>
        <w:t xml:space="preserve">盐城市住房和城乡建设局排涝设备采购项目（三次）</w:t>
      </w:r>
      <w:r>
        <w:rPr>
          <w:rFonts w:hint="eastAsia" w:ascii="宋体" w:hAnsi="宋体" w:eastAsia="宋体" w:cs="宋体"/>
          <w:color w:val="auto"/>
          <w:sz w:val="24"/>
          <w:highlight w:val="none"/>
        </w:rPr>
        <w:t xml:space="preserve">的采购活动，提供的货物全部由符合政策要求的中小企业制造。相关企业（含联合体中的中小企业、签订分包意向协议的中小企业）的具体情况如下：</w:t>
      </w:r>
      <w:r/>
    </w:p>
    <w:p>
      <w:pPr>
        <w:pStyle w:val="760"/>
        <w:ind w:firstLine="360"/>
        <w:jc w:val="both"/>
        <w:spacing w:beforeAutospacing="0" w:afterAutospacing="0" w:line="440" w:lineRule="exact"/>
        <w:rPr>
          <w:rFonts w:ascii="宋体" w:hAnsi="宋体" w:eastAsia="宋体" w:cs="宋体"/>
          <w:bCs/>
          <w:i/>
          <w:iCs/>
          <w:color w:val="auto"/>
          <w:highlight w:val="none"/>
        </w:rPr>
      </w:pPr>
      <w:r>
        <w:rPr>
          <w:rFonts w:hint="eastAsia" w:ascii="宋体" w:hAnsi="宋体" w:eastAsia="宋体" w:cs="宋体"/>
          <w:bCs/>
          <w:i/>
          <w:iCs/>
          <w:color w:val="auto"/>
          <w:highlight w:val="none"/>
        </w:rPr>
        <w:t xml:space="preserve">1.</w:t>
      </w:r>
      <w:r>
        <w:rPr>
          <w:rFonts w:hint="eastAsia" w:ascii="宋体" w:hAnsi="宋体" w:eastAsia="宋体" w:cs="宋体"/>
          <w:bCs/>
          <w:i/>
          <w:iCs/>
          <w:color w:val="auto"/>
          <w:highlight w:val="none"/>
          <w:u w:val="single"/>
        </w:rPr>
        <w:t xml:space="preserve">排涝泵车（≥1000m³/h）</w:t>
      </w:r>
      <w:r>
        <w:rPr>
          <w:rFonts w:hint="eastAsia" w:ascii="宋体" w:hAnsi="宋体" w:eastAsia="宋体" w:cs="宋体"/>
          <w:bCs/>
          <w:i/>
          <w:iCs/>
          <w:color w:val="auto"/>
          <w:highlight w:val="none"/>
        </w:rPr>
        <w:t xml:space="preserve">，属于</w:t>
      </w:r>
      <w:r>
        <w:rPr>
          <w:rFonts w:hint="eastAsia" w:ascii="宋体" w:hAnsi="宋体" w:eastAsia="宋体" w:cs="宋体"/>
          <w:bCs/>
          <w:i/>
          <w:iCs/>
          <w:color w:val="auto"/>
          <w:highlight w:val="none"/>
          <w:u w:val="single"/>
        </w:rPr>
        <w:t xml:space="preserve"> 工业</w:t>
      </w:r>
      <w:r>
        <w:rPr>
          <w:rFonts w:hint="eastAsia" w:ascii="宋体" w:hAnsi="宋体" w:eastAsia="宋体" w:cs="宋体"/>
          <w:bCs/>
          <w:i/>
          <w:iCs/>
          <w:color w:val="auto"/>
          <w:highlight w:val="none"/>
        </w:rPr>
        <w:t xml:space="preserve">行业；制造商为</w:t>
      </w:r>
      <w:r>
        <w:rPr>
          <w:rFonts w:hint="eastAsia" w:ascii="宋体" w:hAnsi="宋体" w:eastAsia="宋体" w:cs="宋体"/>
          <w:bCs/>
          <w:i/>
          <w:iCs/>
          <w:color w:val="auto"/>
          <w:highlight w:val="none"/>
          <w:u w:val="single"/>
        </w:rPr>
        <w:t xml:space="preserve">（企业名称）</w:t>
      </w:r>
      <w:r>
        <w:rPr>
          <w:rFonts w:hint="eastAsia" w:ascii="宋体" w:hAnsi="宋体" w:eastAsia="宋体" w:cs="宋体"/>
          <w:bCs/>
          <w:i/>
          <w:iCs/>
          <w:color w:val="auto"/>
          <w:highlight w:val="none"/>
        </w:rPr>
        <w:t xml:space="preserve">，从业人员</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人，营业收入为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万元，资产总额为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万元，属于</w:t>
      </w:r>
      <w:r>
        <w:rPr>
          <w:rFonts w:hint="eastAsia" w:ascii="宋体" w:hAnsi="宋体" w:eastAsia="宋体" w:cs="宋体"/>
          <w:bCs/>
          <w:i/>
          <w:iCs/>
          <w:color w:val="auto"/>
          <w:highlight w:val="none"/>
          <w:u w:val="single"/>
        </w:rPr>
        <w:t xml:space="preserve">（中型企业、小型企业、微型企业）；</w:t>
      </w:r>
      <w:r/>
    </w:p>
    <w:p>
      <w:pPr>
        <w:pStyle w:val="760"/>
        <w:ind w:firstLine="360"/>
        <w:jc w:val="both"/>
        <w:spacing w:beforeAutospacing="0" w:afterAutospacing="0" w:line="440" w:lineRule="exact"/>
        <w:rPr>
          <w:rFonts w:ascii="宋体" w:hAnsi="宋体" w:eastAsia="宋体" w:cs="宋体"/>
          <w:bCs/>
          <w:i/>
          <w:iCs/>
          <w:color w:val="auto"/>
          <w:highlight w:val="none"/>
          <w:u w:val="single"/>
        </w:rPr>
      </w:pPr>
      <w:r>
        <w:rPr>
          <w:rFonts w:hint="eastAsia" w:ascii="宋体" w:hAnsi="宋体" w:eastAsia="宋体" w:cs="宋体"/>
          <w:bCs/>
          <w:i/>
          <w:iCs/>
          <w:color w:val="auto"/>
          <w:highlight w:val="none"/>
        </w:rPr>
        <w:t xml:space="preserve">2.</w:t>
      </w:r>
      <w:r>
        <w:rPr>
          <w:rFonts w:hint="eastAsia" w:ascii="宋体" w:hAnsi="宋体" w:eastAsia="宋体" w:cs="宋体"/>
          <w:bCs/>
          <w:i/>
          <w:iCs/>
          <w:color w:val="auto"/>
          <w:highlight w:val="none"/>
          <w:u w:val="single"/>
        </w:rPr>
        <w:t xml:space="preserve">（排涝泵车（≥2000m³/h）</w:t>
      </w:r>
      <w:r>
        <w:rPr>
          <w:rFonts w:hint="eastAsia" w:ascii="宋体" w:hAnsi="宋体" w:eastAsia="宋体" w:cs="宋体"/>
          <w:bCs/>
          <w:i/>
          <w:iCs/>
          <w:color w:val="auto"/>
          <w:highlight w:val="none"/>
        </w:rPr>
        <w:t xml:space="preserve">，属于</w:t>
      </w:r>
      <w:r>
        <w:rPr>
          <w:rFonts w:hint="eastAsia" w:ascii="宋体" w:hAnsi="宋体" w:eastAsia="宋体" w:cs="宋体"/>
          <w:bCs/>
          <w:i/>
          <w:iCs/>
          <w:color w:val="auto"/>
          <w:highlight w:val="none"/>
          <w:u w:val="single"/>
        </w:rPr>
        <w:t xml:space="preserve"> 工业</w:t>
      </w:r>
      <w:r>
        <w:rPr>
          <w:rFonts w:hint="eastAsia" w:ascii="宋体" w:hAnsi="宋体" w:eastAsia="宋体" w:cs="宋体"/>
          <w:bCs/>
          <w:i/>
          <w:iCs/>
          <w:color w:val="auto"/>
          <w:highlight w:val="none"/>
        </w:rPr>
        <w:t xml:space="preserve">行业；制造商为</w:t>
      </w:r>
      <w:r>
        <w:rPr>
          <w:rFonts w:hint="eastAsia" w:ascii="宋体" w:hAnsi="宋体" w:eastAsia="宋体" w:cs="宋体"/>
          <w:bCs/>
          <w:i/>
          <w:iCs/>
          <w:color w:val="auto"/>
          <w:highlight w:val="none"/>
          <w:u w:val="single"/>
        </w:rPr>
        <w:t xml:space="preserve">（企业名称）</w:t>
      </w:r>
      <w:r>
        <w:rPr>
          <w:rFonts w:hint="eastAsia" w:ascii="宋体" w:hAnsi="宋体" w:eastAsia="宋体" w:cs="宋体"/>
          <w:bCs/>
          <w:i/>
          <w:iCs/>
          <w:color w:val="auto"/>
          <w:highlight w:val="none"/>
        </w:rPr>
        <w:t xml:space="preserve">，从业人员</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人，营业收入为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万元，资产总额为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万元，属于</w:t>
      </w:r>
      <w:r>
        <w:rPr>
          <w:rFonts w:hint="eastAsia" w:ascii="宋体" w:hAnsi="宋体" w:eastAsia="宋体" w:cs="宋体"/>
          <w:bCs/>
          <w:i/>
          <w:iCs/>
          <w:color w:val="auto"/>
          <w:highlight w:val="none"/>
          <w:u w:val="single"/>
        </w:rPr>
        <w:t xml:space="preserve">（中型企业、小型企业、微型企业）；</w:t>
      </w:r>
      <w:r/>
    </w:p>
    <w:p>
      <w:pPr>
        <w:pStyle w:val="760"/>
        <w:ind w:firstLine="360"/>
        <w:jc w:val="both"/>
        <w:spacing w:beforeAutospacing="0" w:afterAutospacing="0" w:line="440" w:lineRule="exact"/>
        <w:rPr>
          <w:rFonts w:ascii="宋体" w:hAnsi="宋体" w:eastAsia="宋体" w:cs="宋体"/>
          <w:bCs/>
          <w:i/>
          <w:iCs/>
          <w:color w:val="auto"/>
          <w:highlight w:val="none"/>
          <w:u w:val="single"/>
        </w:rPr>
      </w:pPr>
      <w:r>
        <w:rPr>
          <w:rFonts w:hint="eastAsia" w:ascii="宋体" w:hAnsi="宋体" w:eastAsia="宋体" w:cs="宋体"/>
          <w:bCs/>
          <w:i/>
          <w:iCs/>
          <w:color w:val="auto"/>
          <w:highlight w:val="none"/>
        </w:rPr>
        <w:t xml:space="preserve">3.</w:t>
      </w:r>
      <w:r>
        <w:rPr>
          <w:rFonts w:hint="eastAsia" w:ascii="宋体" w:hAnsi="宋体" w:eastAsia="宋体" w:cs="宋体"/>
          <w:bCs/>
          <w:i/>
          <w:iCs/>
          <w:color w:val="auto"/>
          <w:highlight w:val="none"/>
          <w:u w:val="single"/>
        </w:rPr>
        <w:t xml:space="preserve">排涝泵车（≥3000m³/h）</w:t>
      </w:r>
      <w:r>
        <w:rPr>
          <w:rFonts w:hint="eastAsia" w:ascii="宋体" w:hAnsi="宋体" w:eastAsia="宋体" w:cs="宋体"/>
          <w:bCs/>
          <w:i/>
          <w:iCs/>
          <w:color w:val="auto"/>
          <w:highlight w:val="none"/>
        </w:rPr>
        <w:t xml:space="preserve">，属于</w:t>
      </w:r>
      <w:r>
        <w:rPr>
          <w:rFonts w:hint="eastAsia" w:ascii="宋体" w:hAnsi="宋体" w:eastAsia="宋体" w:cs="宋体"/>
          <w:bCs/>
          <w:i/>
          <w:iCs/>
          <w:color w:val="auto"/>
          <w:highlight w:val="none"/>
          <w:u w:val="single"/>
        </w:rPr>
        <w:t xml:space="preserve"> 工业</w:t>
      </w:r>
      <w:r>
        <w:rPr>
          <w:rFonts w:hint="eastAsia" w:ascii="宋体" w:hAnsi="宋体" w:eastAsia="宋体" w:cs="宋体"/>
          <w:bCs/>
          <w:i/>
          <w:iCs/>
          <w:color w:val="auto"/>
          <w:highlight w:val="none"/>
        </w:rPr>
        <w:t xml:space="preserve">行业；制造商为</w:t>
      </w:r>
      <w:r>
        <w:rPr>
          <w:rFonts w:hint="eastAsia" w:ascii="宋体" w:hAnsi="宋体" w:eastAsia="宋体" w:cs="宋体"/>
          <w:bCs/>
          <w:i/>
          <w:iCs/>
          <w:color w:val="auto"/>
          <w:highlight w:val="none"/>
          <w:u w:val="single"/>
        </w:rPr>
        <w:t xml:space="preserve">（企业名称）</w:t>
      </w:r>
      <w:r>
        <w:rPr>
          <w:rFonts w:hint="eastAsia" w:ascii="宋体" w:hAnsi="宋体" w:eastAsia="宋体" w:cs="宋体"/>
          <w:bCs/>
          <w:i/>
          <w:iCs/>
          <w:color w:val="auto"/>
          <w:highlight w:val="none"/>
        </w:rPr>
        <w:t xml:space="preserve">，从业人员</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人，营业收入为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万元，资产总额为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万元，属于</w:t>
      </w:r>
      <w:r>
        <w:rPr>
          <w:rFonts w:hint="eastAsia" w:ascii="宋体" w:hAnsi="宋体" w:eastAsia="宋体" w:cs="宋体"/>
          <w:bCs/>
          <w:i/>
          <w:iCs/>
          <w:color w:val="auto"/>
          <w:highlight w:val="none"/>
          <w:u w:val="single"/>
        </w:rPr>
        <w:t xml:space="preserve">（中型企业、小型企业、微型企业）；</w:t>
      </w:r>
      <w:r/>
    </w:p>
    <w:p>
      <w:pPr>
        <w:pStyle w:val="760"/>
        <w:ind w:firstLine="360"/>
        <w:jc w:val="both"/>
        <w:spacing w:beforeAutospacing="0" w:afterAutospacing="0" w:line="440" w:lineRule="exact"/>
        <w:rPr>
          <w:rFonts w:ascii="宋体" w:hAnsi="宋体" w:eastAsia="宋体" w:cs="宋体"/>
          <w:bCs/>
          <w:i/>
          <w:iCs/>
          <w:color w:val="auto"/>
          <w:highlight w:val="none"/>
          <w:u w:val="single"/>
        </w:rPr>
      </w:pPr>
      <w:r>
        <w:rPr>
          <w:rFonts w:hint="eastAsia" w:ascii="宋体" w:hAnsi="宋体" w:eastAsia="宋体" w:cs="宋体"/>
          <w:bCs/>
          <w:i/>
          <w:iCs/>
          <w:color w:val="auto"/>
          <w:highlight w:val="none"/>
        </w:rPr>
        <w:t xml:space="preserve">4.</w:t>
      </w:r>
      <w:r>
        <w:rPr>
          <w:rFonts w:hint="eastAsia" w:ascii="宋体" w:hAnsi="宋体" w:eastAsia="宋体" w:cs="宋体"/>
          <w:bCs/>
          <w:i/>
          <w:iCs/>
          <w:color w:val="auto"/>
          <w:highlight w:val="none"/>
          <w:u w:val="single"/>
        </w:rPr>
        <w:t xml:space="preserve">联合疏通车（含清洗吸污、18吨）</w:t>
      </w:r>
      <w:r>
        <w:rPr>
          <w:rFonts w:hint="eastAsia" w:ascii="宋体" w:hAnsi="宋体" w:eastAsia="宋体" w:cs="宋体"/>
          <w:bCs/>
          <w:i/>
          <w:iCs/>
          <w:color w:val="auto"/>
          <w:highlight w:val="none"/>
        </w:rPr>
        <w:t xml:space="preserve">，属于</w:t>
      </w:r>
      <w:r>
        <w:rPr>
          <w:rFonts w:hint="eastAsia" w:ascii="宋体" w:hAnsi="宋体" w:eastAsia="宋体" w:cs="宋体"/>
          <w:bCs/>
          <w:i/>
          <w:iCs/>
          <w:color w:val="auto"/>
          <w:highlight w:val="none"/>
          <w:u w:val="single"/>
        </w:rPr>
        <w:t xml:space="preserve"> 工业</w:t>
      </w:r>
      <w:r>
        <w:rPr>
          <w:rFonts w:hint="eastAsia" w:ascii="宋体" w:hAnsi="宋体" w:eastAsia="宋体" w:cs="宋体"/>
          <w:bCs/>
          <w:i/>
          <w:iCs/>
          <w:color w:val="auto"/>
          <w:highlight w:val="none"/>
        </w:rPr>
        <w:t xml:space="preserve">行业；制造商为</w:t>
      </w:r>
      <w:r>
        <w:rPr>
          <w:rFonts w:hint="eastAsia" w:ascii="宋体" w:hAnsi="宋体" w:eastAsia="宋体" w:cs="宋体"/>
          <w:bCs/>
          <w:i/>
          <w:iCs/>
          <w:color w:val="auto"/>
          <w:highlight w:val="none"/>
          <w:u w:val="single"/>
        </w:rPr>
        <w:t xml:space="preserve">（企业名称）</w:t>
      </w:r>
      <w:r>
        <w:rPr>
          <w:rFonts w:hint="eastAsia" w:ascii="宋体" w:hAnsi="宋体" w:eastAsia="宋体" w:cs="宋体"/>
          <w:bCs/>
          <w:i/>
          <w:iCs/>
          <w:color w:val="auto"/>
          <w:highlight w:val="none"/>
        </w:rPr>
        <w:t xml:space="preserve">，从业人员</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人，营业收入为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万元，资产总额为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万元，属于</w:t>
      </w:r>
      <w:r>
        <w:rPr>
          <w:rFonts w:hint="eastAsia" w:ascii="宋体" w:hAnsi="宋体" w:eastAsia="宋体" w:cs="宋体"/>
          <w:bCs/>
          <w:i/>
          <w:iCs/>
          <w:color w:val="auto"/>
          <w:highlight w:val="none"/>
          <w:u w:val="single"/>
        </w:rPr>
        <w:t xml:space="preserve">（中型企业、小型企业、微型企业）；</w:t>
      </w:r>
      <w:r/>
    </w:p>
    <w:p>
      <w:pPr>
        <w:pStyle w:val="760"/>
        <w:ind w:firstLine="360"/>
        <w:jc w:val="both"/>
        <w:spacing w:beforeAutospacing="0" w:afterAutospacing="0" w:line="440" w:lineRule="exact"/>
        <w:rPr>
          <w:rFonts w:ascii="宋体" w:hAnsi="宋体" w:eastAsia="宋体" w:cs="宋体"/>
          <w:bCs/>
          <w:i/>
          <w:iCs/>
          <w:color w:val="auto"/>
          <w:highlight w:val="none"/>
        </w:rPr>
      </w:pPr>
      <w:r>
        <w:rPr>
          <w:rFonts w:hint="eastAsia" w:ascii="宋体" w:hAnsi="宋体" w:eastAsia="宋体" w:cs="宋体"/>
          <w:bCs/>
          <w:i/>
          <w:iCs/>
          <w:color w:val="auto"/>
          <w:highlight w:val="none"/>
        </w:rPr>
        <w:t xml:space="preserve">5.</w:t>
      </w:r>
      <w:r>
        <w:rPr>
          <w:rFonts w:hint="eastAsia" w:ascii="宋体" w:hAnsi="宋体" w:eastAsia="宋体" w:cs="宋体"/>
          <w:bCs/>
          <w:i/>
          <w:iCs/>
          <w:color w:val="auto"/>
          <w:highlight w:val="none"/>
          <w:u w:val="single"/>
        </w:rPr>
        <w:t xml:space="preserve">拖拽式移动自吸泵（≥360m³/h）</w:t>
      </w:r>
      <w:r>
        <w:rPr>
          <w:rFonts w:hint="eastAsia" w:ascii="宋体" w:hAnsi="宋体" w:eastAsia="宋体" w:cs="宋体"/>
          <w:bCs/>
          <w:i/>
          <w:iCs/>
          <w:color w:val="auto"/>
          <w:highlight w:val="none"/>
        </w:rPr>
        <w:t xml:space="preserve">，属于</w:t>
      </w:r>
      <w:r>
        <w:rPr>
          <w:rFonts w:hint="eastAsia" w:ascii="宋体" w:hAnsi="宋体" w:eastAsia="宋体" w:cs="宋体"/>
          <w:bCs/>
          <w:i/>
          <w:iCs/>
          <w:color w:val="auto"/>
          <w:highlight w:val="none"/>
          <w:u w:val="single"/>
        </w:rPr>
        <w:t xml:space="preserve"> 工业</w:t>
      </w:r>
      <w:r>
        <w:rPr>
          <w:rFonts w:hint="eastAsia" w:ascii="宋体" w:hAnsi="宋体" w:eastAsia="宋体" w:cs="宋体"/>
          <w:bCs/>
          <w:i/>
          <w:iCs/>
          <w:color w:val="auto"/>
          <w:highlight w:val="none"/>
        </w:rPr>
        <w:t xml:space="preserve">行业；制造商为</w:t>
      </w:r>
      <w:r>
        <w:rPr>
          <w:rFonts w:hint="eastAsia" w:ascii="宋体" w:hAnsi="宋体" w:eastAsia="宋体" w:cs="宋体"/>
          <w:bCs/>
          <w:i/>
          <w:iCs/>
          <w:color w:val="auto"/>
          <w:highlight w:val="none"/>
          <w:u w:val="single"/>
        </w:rPr>
        <w:t xml:space="preserve">（企业名称）</w:t>
      </w:r>
      <w:r>
        <w:rPr>
          <w:rFonts w:hint="eastAsia" w:ascii="宋体" w:hAnsi="宋体" w:eastAsia="宋体" w:cs="宋体"/>
          <w:bCs/>
          <w:i/>
          <w:iCs/>
          <w:color w:val="auto"/>
          <w:highlight w:val="none"/>
        </w:rPr>
        <w:t xml:space="preserve">，从业人员</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人，营业收入为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万元，资产总额为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万元，属于</w:t>
      </w:r>
      <w:r>
        <w:rPr>
          <w:rFonts w:hint="eastAsia" w:ascii="宋体" w:hAnsi="宋体" w:eastAsia="宋体" w:cs="宋体"/>
          <w:bCs/>
          <w:i/>
          <w:iCs/>
          <w:color w:val="auto"/>
          <w:highlight w:val="none"/>
          <w:u w:val="single"/>
        </w:rPr>
        <w:t xml:space="preserve">（中型企业、小型企业、微型企业）；</w:t>
      </w:r>
      <w:r/>
    </w:p>
    <w:p>
      <w:pPr>
        <w:pStyle w:val="760"/>
        <w:ind w:firstLine="360"/>
        <w:jc w:val="both"/>
        <w:spacing w:beforeAutospacing="0" w:afterAutospacing="0" w:line="440" w:lineRule="exact"/>
        <w:rPr>
          <w:rFonts w:ascii="宋体" w:hAnsi="宋体" w:eastAsia="宋体" w:cs="宋体"/>
          <w:bCs/>
          <w:i/>
          <w:iCs/>
          <w:color w:val="auto"/>
          <w:highlight w:val="none"/>
          <w:u w:val="single"/>
        </w:rPr>
      </w:pPr>
      <w:r>
        <w:rPr>
          <w:rFonts w:hint="eastAsia" w:ascii="宋体" w:hAnsi="宋体" w:eastAsia="宋体" w:cs="宋体"/>
          <w:bCs/>
          <w:i/>
          <w:iCs/>
          <w:color w:val="auto"/>
          <w:highlight w:val="none"/>
        </w:rPr>
        <w:t xml:space="preserve">6.</w:t>
      </w:r>
      <w:r>
        <w:rPr>
          <w:rFonts w:hint="eastAsia" w:ascii="宋体" w:hAnsi="宋体" w:eastAsia="宋体" w:cs="宋体"/>
          <w:bCs/>
          <w:i/>
          <w:iCs/>
          <w:color w:val="auto"/>
          <w:highlight w:val="none"/>
          <w:u w:val="single"/>
        </w:rPr>
        <w:t xml:space="preserve">拖拽式移动自吸泵（≥550m³/h）</w:t>
      </w:r>
      <w:r>
        <w:rPr>
          <w:rFonts w:hint="eastAsia" w:ascii="宋体" w:hAnsi="宋体" w:eastAsia="宋体" w:cs="宋体"/>
          <w:bCs/>
          <w:i/>
          <w:iCs/>
          <w:color w:val="auto"/>
          <w:highlight w:val="none"/>
        </w:rPr>
        <w:t xml:space="preserve">，属于</w:t>
      </w:r>
      <w:r>
        <w:rPr>
          <w:rFonts w:hint="eastAsia" w:ascii="宋体" w:hAnsi="宋体" w:eastAsia="宋体" w:cs="宋体"/>
          <w:bCs/>
          <w:i/>
          <w:iCs/>
          <w:color w:val="auto"/>
          <w:highlight w:val="none"/>
          <w:u w:val="single"/>
        </w:rPr>
        <w:t xml:space="preserve"> 工业</w:t>
      </w:r>
      <w:r>
        <w:rPr>
          <w:rFonts w:hint="eastAsia" w:ascii="宋体" w:hAnsi="宋体" w:eastAsia="宋体" w:cs="宋体"/>
          <w:bCs/>
          <w:i/>
          <w:iCs/>
          <w:color w:val="auto"/>
          <w:highlight w:val="none"/>
        </w:rPr>
        <w:t xml:space="preserve">行业；制造商为</w:t>
      </w:r>
      <w:r>
        <w:rPr>
          <w:rFonts w:hint="eastAsia" w:ascii="宋体" w:hAnsi="宋体" w:eastAsia="宋体" w:cs="宋体"/>
          <w:bCs/>
          <w:i/>
          <w:iCs/>
          <w:color w:val="auto"/>
          <w:highlight w:val="none"/>
          <w:u w:val="single"/>
        </w:rPr>
        <w:t xml:space="preserve">（企业名称）</w:t>
      </w:r>
      <w:r>
        <w:rPr>
          <w:rFonts w:hint="eastAsia" w:ascii="宋体" w:hAnsi="宋体" w:eastAsia="宋体" w:cs="宋体"/>
          <w:bCs/>
          <w:i/>
          <w:iCs/>
          <w:color w:val="auto"/>
          <w:highlight w:val="none"/>
        </w:rPr>
        <w:t xml:space="preserve">，从业人员</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人，营业收入为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万元，资产总额为</w:t>
      </w:r>
      <w:r>
        <w:rPr>
          <w:rFonts w:hint="eastAsia" w:ascii="宋体" w:hAnsi="宋体" w:eastAsia="宋体" w:cs="宋体"/>
          <w:bCs/>
          <w:i/>
          <w:iCs/>
          <w:color w:val="auto"/>
          <w:highlight w:val="none"/>
          <w:u w:val="single"/>
        </w:rPr>
        <w:t xml:space="preserve">      </w:t>
      </w:r>
      <w:r>
        <w:rPr>
          <w:rFonts w:hint="eastAsia" w:ascii="宋体" w:hAnsi="宋体" w:eastAsia="宋体" w:cs="宋体"/>
          <w:bCs/>
          <w:i/>
          <w:iCs/>
          <w:color w:val="auto"/>
          <w:highlight w:val="none"/>
        </w:rPr>
        <w:t xml:space="preserve">万元，属于</w:t>
      </w:r>
      <w:r>
        <w:rPr>
          <w:rFonts w:hint="eastAsia" w:ascii="宋体" w:hAnsi="宋体" w:eastAsia="宋体" w:cs="宋体"/>
          <w:bCs/>
          <w:i/>
          <w:iCs/>
          <w:color w:val="auto"/>
          <w:highlight w:val="none"/>
          <w:u w:val="single"/>
        </w:rPr>
        <w:t xml:space="preserve">（中型企业、小型企业、微型企业）。</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righ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        </w:t>
      </w:r>
      <w:r/>
    </w:p>
    <w:p>
      <w:pPr>
        <w:ind w:firstLine="480"/>
        <w:jc w:val="cente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        </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备注2：在货物采购项目中，货物由中小企业制造，即货物由中小企业生产且使用该中小企业商号或者注册商标。供应商提供的货物既有中小企业制造货物，也有大型企业制造货物的，不享受相应扶持政策。</w:t>
      </w:r>
      <w:r/>
    </w:p>
    <w:p>
      <w:pPr>
        <w:ind w:firstLine="480"/>
        <w:spacing w:line="500" w:lineRule="exact"/>
        <w:rPr>
          <w:rFonts w:ascii="宋体" w:hAnsi="宋体" w:eastAsia="宋体" w:cs="宋体"/>
          <w:i/>
          <w:color w:val="auto"/>
          <w:sz w:val="32"/>
          <w:szCs w:val="32"/>
          <w:highlight w:val="none"/>
          <w:u w:val="single"/>
        </w:rPr>
      </w:pPr>
      <w:r>
        <w:rPr>
          <w:rFonts w:hint="eastAsia" w:ascii="宋体" w:hAnsi="宋体" w:eastAsia="宋体" w:cs="宋体"/>
          <w:color w:val="auto"/>
          <w:sz w:val="24"/>
          <w:highlight w:val="none"/>
        </w:rPr>
        <w:t xml:space="preserve">备注3：供应商如不提供此声明函，价格将不做相应扣除（如项目全面面向中小企业，则资格审查不通过）。</w:t>
      </w:r>
      <w:r/>
    </w:p>
    <w:p>
      <w:pPr>
        <w:pStyle w:val="760"/>
        <w:jc w:val="center"/>
        <w:spacing w:beforeAutospacing="0" w:afterAutospacing="0" w:line="500" w:lineRule="exact"/>
        <w:rPr>
          <w:rFonts w:ascii="宋体" w:hAnsi="宋体" w:eastAsia="宋体" w:cs="宋体"/>
          <w:color w:val="auto"/>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十、残疾人福利性单位声明函</w:t>
      </w:r>
      <w:r/>
    </w:p>
    <w:p>
      <w:pPr>
        <w:pStyle w:val="760"/>
        <w:ind w:firstLine="480"/>
        <w:jc w:val="both"/>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6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auto"/>
          <w:highlight w:val="none"/>
          <w:u w:val="single"/>
        </w:rPr>
        <w:t xml:space="preserve"> 盐城市住房和城乡建设局 </w:t>
      </w:r>
      <w:r>
        <w:rPr>
          <w:rFonts w:hint="eastAsia" w:ascii="宋体" w:hAnsi="宋体" w:eastAsia="宋体" w:cs="宋体"/>
          <w:color w:val="auto"/>
          <w:highlight w:val="none"/>
        </w:rPr>
        <w:t xml:space="preserve">单位的采购文件编号为</w:t>
      </w:r>
      <w:r>
        <w:rPr>
          <w:rFonts w:hint="eastAsia" w:ascii="宋体" w:hAnsi="宋体" w:eastAsia="宋体" w:cs="宋体"/>
          <w:bCs/>
          <w:color w:val="auto"/>
          <w:highlight w:val="none"/>
          <w:u w:val="single"/>
          <w:lang w:eastAsia="zh-CN"/>
        </w:rPr>
        <w:t xml:space="preserve">JSZC-320900-JSYF-G2026-0012</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 </w:t>
      </w:r>
      <w:r>
        <w:rPr>
          <w:rFonts w:hint="eastAsia" w:ascii="宋体" w:hAnsi="宋体" w:eastAsia="宋体" w:cs="宋体"/>
          <w:bCs/>
          <w:color w:val="auto"/>
          <w:highlight w:val="none"/>
          <w:u w:val="single"/>
        </w:rPr>
        <w:t xml:space="preserve">盐城市住房和城乡建设局排涝设备采购项目（三次）</w:t>
      </w:r>
      <w:r>
        <w:rPr>
          <w:rFonts w:hint="eastAsia" w:ascii="宋体" w:hAnsi="宋体" w:eastAsia="宋体" w:cs="宋体"/>
          <w:color w:val="auto"/>
          <w:highlight w:val="none"/>
        </w:rPr>
        <w:t xml:space="preserve">（分包号：**）采购活动提供本单位制造的货物，或者提供其他残疾人福利性单位制造的货物（不包括使用非残疾人福利性单位注册商标的货物）。</w:t>
      </w:r>
      <w:r/>
    </w:p>
    <w:p>
      <w:pPr>
        <w:pStyle w:val="76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6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48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60"/>
        <w:ind w:firstLine="624"/>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right="1560" w:firstLine="624"/>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760"/>
        <w:ind w:right="1560" w:firstLine="480"/>
        <w:jc w:val="center"/>
        <w:spacing w:beforeAutospacing="0" w:afterAutospacing="0" w:line="500" w:lineRule="exact"/>
        <w:tabs>
          <w:tab w:val="left" w:pos="4864" w:leader="none"/>
        </w:tabs>
        <w:rPr>
          <w:rFonts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760"/>
        <w:jc w:val="center"/>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rPr>
          <w:rFonts w:ascii="宋体" w:hAnsi="宋体" w:eastAsia="宋体" w:cs="宋体"/>
          <w:b/>
          <w:bCs/>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32"/>
          <w:szCs w:val="32"/>
          <w:highlight w:val="none"/>
        </w:rPr>
        <w:t xml:space="preserve">十一、 关于符合本国产品标准的声明函</w:t>
      </w:r>
      <w:r/>
    </w:p>
    <w:p>
      <w:pPr>
        <w:pStyle w:val="760"/>
        <w:ind w:firstLine="420"/>
        <w:jc w:val="both"/>
        <w:spacing w:beforeAutospacing="0" w:afterAutospacing="0"/>
        <w:rPr>
          <w:rFonts w:ascii="宋体" w:hAnsi="宋体" w:eastAsia="宋体" w:cs="宋体"/>
          <w:b/>
          <w:bCs/>
          <w:color w:val="auto"/>
          <w:highlight w:val="none"/>
        </w:rPr>
      </w:pPr>
      <w:r>
        <w:rPr>
          <w:rFonts w:hint="eastAsia" w:ascii="宋体" w:hAnsi="宋体" w:eastAsia="宋体" w:cs="宋体"/>
          <w:b/>
          <w:bCs/>
          <w:color w:val="auto"/>
          <w:highlight w:val="none"/>
        </w:rPr>
        <w:t xml:space="preserve"> </w:t>
      </w:r>
      <w:r/>
    </w:p>
    <w:p>
      <w:pPr>
        <w:pStyle w:val="760"/>
        <w:ind w:firstLine="420"/>
        <w:jc w:val="both"/>
        <w:spacing w:beforeAutospacing="0" w:afterAutospacing="0"/>
        <w:rPr>
          <w:rFonts w:ascii="宋体" w:hAnsi="宋体" w:eastAsia="宋体" w:cs="宋体"/>
          <w:b/>
          <w:bCs/>
          <w:color w:val="auto"/>
          <w:highlight w:val="none"/>
        </w:rPr>
      </w:pPr>
      <w:r>
        <w:rPr>
          <w:rFonts w:hint="eastAsia" w:ascii="宋体" w:hAnsi="宋体" w:eastAsia="宋体" w:cs="宋体"/>
          <w:b/>
          <w:bCs/>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firstLine="42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1.</w:t>
      </w:r>
      <w:r>
        <w:rPr>
          <w:rFonts w:hint="eastAsia" w:ascii="宋体" w:hAnsi="宋体" w:eastAsia="宋体" w:cs="宋体"/>
          <w:b/>
          <w:bCs/>
          <w:color w:val="auto"/>
          <w:highlight w:val="none"/>
          <w:u w:val="single"/>
          <w:shd w:val="clear" w:color="auto" w:fill="ffffff"/>
        </w:rPr>
        <w:t xml:space="preserve">（产品名称1）</w:t>
      </w:r>
      <w:r>
        <w:rPr>
          <w:rFonts w:hint="eastAsia" w:ascii="宋体" w:hAnsi="宋体" w:eastAsia="宋体" w:cs="宋体"/>
          <w:b/>
          <w:bCs/>
          <w:color w:val="auto"/>
          <w:highlight w:val="none"/>
          <w:shd w:val="clear" w:color="auto" w:fill="ffffff"/>
          <w:vertAlign w:val="superscript"/>
        </w:rPr>
        <w:t xml:space="preserve">1</w:t>
      </w:r>
      <w:r>
        <w:rPr>
          <w:rFonts w:hint="eastAsia" w:ascii="宋体" w:hAnsi="宋体" w:eastAsia="宋体" w:cs="宋体"/>
          <w:b/>
          <w:bCs/>
          <w:color w:val="auto"/>
          <w:highlight w:val="none"/>
          <w:shd w:val="clear" w:color="auto" w:fill="ffffff"/>
        </w:rPr>
        <w:t xml:space="preserve">，生产厂为</w:t>
      </w:r>
      <w:r>
        <w:rPr>
          <w:rFonts w:hint="eastAsia" w:ascii="宋体" w:hAnsi="宋体" w:eastAsia="宋体" w:cs="宋体"/>
          <w:b/>
          <w:bCs/>
          <w:color w:val="auto"/>
          <w:highlight w:val="none"/>
          <w:u w:val="single"/>
          <w:shd w:val="clear" w:color="auto" w:fill="ffffff"/>
        </w:rPr>
        <w:t xml:space="preserve">（厂名）</w:t>
      </w:r>
      <w:r>
        <w:rPr>
          <w:rFonts w:hint="eastAsia" w:ascii="宋体" w:hAnsi="宋体" w:eastAsia="宋体" w:cs="宋体"/>
          <w:b/>
          <w:bCs/>
          <w:color w:val="auto"/>
          <w:highlight w:val="none"/>
          <w:shd w:val="clear" w:color="auto" w:fill="ffffff"/>
          <w:vertAlign w:val="superscript"/>
        </w:rPr>
        <w:t xml:space="preserve">2</w:t>
      </w:r>
      <w:r>
        <w:rPr>
          <w:rFonts w:hint="eastAsia" w:ascii="宋体" w:hAnsi="宋体" w:eastAsia="宋体" w:cs="宋体"/>
          <w:b/>
          <w:bCs/>
          <w:color w:val="auto"/>
          <w:highlight w:val="none"/>
          <w:shd w:val="clear" w:color="auto" w:fill="ffffff"/>
        </w:rPr>
        <w:t xml:space="preserve">，厂址为</w:t>
      </w:r>
      <w:r>
        <w:rPr>
          <w:rFonts w:hint="eastAsia" w:ascii="宋体" w:hAnsi="宋体" w:eastAsia="宋体" w:cs="宋体"/>
          <w:b/>
          <w:bCs/>
          <w:color w:val="auto"/>
          <w:highlight w:val="none"/>
          <w:u w:val="single"/>
          <w:shd w:val="clear" w:color="auto" w:fill="ffffff"/>
        </w:rPr>
        <w:t xml:space="preserve">（生产厂址）</w:t>
      </w:r>
      <w:r>
        <w:rPr>
          <w:rFonts w:hint="eastAsia" w:ascii="宋体" w:hAnsi="宋体" w:eastAsia="宋体" w:cs="宋体"/>
          <w:b/>
          <w:bCs/>
          <w:color w:val="auto"/>
          <w:highlight w:val="none"/>
          <w:shd w:val="clear" w:color="auto" w:fill="ffffff"/>
        </w:rPr>
        <w:t xml:space="preserve">。</w:t>
      </w:r>
      <w:r>
        <w:rPr>
          <w:rFonts w:hint="eastAsia" w:ascii="宋体" w:hAnsi="宋体" w:eastAsia="宋体" w:cs="宋体"/>
          <w:b/>
          <w:bCs/>
          <w:strike/>
          <w:color w:val="auto"/>
          <w:highlight w:val="none"/>
          <w:u w:val="single"/>
          <w:shd w:val="clear" w:color="auto" w:fill="ffffff"/>
        </w:rPr>
        <w:t xml:space="preserve"> （产品名称1）</w:t>
      </w:r>
      <w:r>
        <w:rPr>
          <w:rFonts w:hint="eastAsia" w:ascii="宋体" w:hAnsi="宋体" w:eastAsia="宋体" w:cs="宋体"/>
          <w:b/>
          <w:bCs/>
          <w:color w:val="auto"/>
          <w:highlight w:val="none"/>
          <w:u w:val="single"/>
          <w:shd w:val="clear" w:color="auto" w:fill="ffffff"/>
        </w:rPr>
        <w:t xml:space="preserve"> </w:t>
      </w:r>
      <w:r>
        <w:rPr>
          <w:rFonts w:hint="eastAsia" w:ascii="宋体" w:hAnsi="宋体" w:eastAsia="宋体" w:cs="宋体"/>
          <w:b/>
          <w:bCs/>
          <w:color w:val="auto"/>
          <w:highlight w:val="none"/>
          <w:shd w:val="clear" w:color="auto" w:fill="ffffff"/>
        </w:rPr>
        <w:t xml:space="preserve">的中国境内生产的组件成本占比≥</w:t>
      </w:r>
      <w:r>
        <w:rPr>
          <w:rFonts w:hint="eastAsia" w:ascii="宋体" w:hAnsi="宋体" w:eastAsia="宋体" w:cs="宋体"/>
          <w:b/>
          <w:bCs/>
          <w:strike/>
          <w:color w:val="auto"/>
          <w:highlight w:val="none"/>
          <w:u w:val="single"/>
          <w:shd w:val="clear" w:color="auto" w:fill="ffffff"/>
        </w:rPr>
        <w:t xml:space="preserve">（规定比例）</w:t>
      </w:r>
      <w:r>
        <w:rPr>
          <w:rFonts w:hint="eastAsia" w:ascii="宋体" w:hAnsi="宋体" w:eastAsia="宋体" w:cs="宋体"/>
          <w:b/>
          <w:bCs/>
          <w:strike/>
          <w:color w:val="auto"/>
          <w:highlight w:val="none"/>
          <w:shd w:val="clear" w:color="auto" w:fill="ffffff"/>
          <w:vertAlign w:val="superscript"/>
        </w:rPr>
        <w:t xml:space="preserve">3</w:t>
      </w:r>
      <w:r>
        <w:rPr>
          <w:rFonts w:hint="eastAsia" w:ascii="宋体" w:hAnsi="宋体" w:eastAsia="宋体" w:cs="宋体"/>
          <w:b/>
          <w:bCs/>
          <w:color w:val="auto"/>
          <w:highlight w:val="none"/>
          <w:shd w:val="clear" w:color="auto" w:fill="ffffff"/>
        </w:rPr>
        <w:t xml:space="preserve">。</w:t>
      </w:r>
      <w:r>
        <w:rPr>
          <w:rFonts w:hint="eastAsia" w:ascii="宋体" w:hAnsi="宋体" w:eastAsia="宋体" w:cs="宋体"/>
          <w:b/>
          <w:bCs/>
          <w:strike/>
          <w:color w:val="auto"/>
          <w:highlight w:val="none"/>
          <w:u w:val="single"/>
          <w:shd w:val="clear" w:color="auto" w:fill="ffffff"/>
        </w:rPr>
        <w:t xml:space="preserve">（产品名称1）</w:t>
      </w:r>
      <w:r>
        <w:rPr>
          <w:rFonts w:hint="eastAsia" w:ascii="宋体" w:hAnsi="宋体" w:eastAsia="宋体" w:cs="宋体"/>
          <w:b/>
          <w:bCs/>
          <w:color w:val="auto"/>
          <w:highlight w:val="none"/>
          <w:shd w:val="clear" w:color="auto" w:fill="ffffff"/>
        </w:rPr>
        <w:t xml:space="preserve">的</w:t>
      </w:r>
      <w:r>
        <w:rPr>
          <w:rFonts w:hint="eastAsia" w:ascii="宋体" w:hAnsi="宋体" w:eastAsia="宋体" w:cs="宋体"/>
          <w:b/>
          <w:bCs/>
          <w:strike/>
          <w:color w:val="auto"/>
          <w:highlight w:val="none"/>
          <w:u w:val="single"/>
          <w:shd w:val="clear" w:color="auto" w:fill="ffffff"/>
        </w:rPr>
        <w:t xml:space="preserve">（关键组件）</w:t>
      </w:r>
      <w:r>
        <w:rPr>
          <w:rFonts w:hint="eastAsia" w:ascii="宋体" w:hAnsi="宋体" w:eastAsia="宋体" w:cs="宋体"/>
          <w:b/>
          <w:bCs/>
          <w:strike/>
          <w:color w:val="auto"/>
          <w:highlight w:val="none"/>
          <w:shd w:val="clear" w:color="auto" w:fill="ffffff"/>
          <w:vertAlign w:val="superscript"/>
        </w:rPr>
        <w:t xml:space="preserve">4</w:t>
      </w:r>
      <w:r>
        <w:rPr>
          <w:rFonts w:hint="eastAsia" w:ascii="宋体" w:hAnsi="宋体" w:eastAsia="宋体" w:cs="宋体"/>
          <w:b/>
          <w:bCs/>
          <w:color w:val="auto"/>
          <w:highlight w:val="none"/>
          <w:shd w:val="clear" w:color="auto" w:fill="ffffff"/>
        </w:rPr>
        <w:t xml:space="preserve">在中国境内生产。</w:t>
      </w:r>
      <w:r>
        <w:rPr>
          <w:rFonts w:hint="eastAsia" w:ascii="宋体" w:hAnsi="宋体" w:eastAsia="宋体" w:cs="宋体"/>
          <w:b/>
          <w:bCs/>
          <w:strike/>
          <w:color w:val="auto"/>
          <w:highlight w:val="none"/>
          <w:u w:val="single"/>
          <w:shd w:val="clear" w:color="auto" w:fill="ffffff"/>
        </w:rPr>
        <w:t xml:space="preserve">（产品名称1）</w:t>
      </w:r>
      <w:r>
        <w:rPr>
          <w:rFonts w:hint="eastAsia" w:ascii="宋体" w:hAnsi="宋体" w:eastAsia="宋体" w:cs="宋体"/>
          <w:b/>
          <w:bCs/>
          <w:color w:val="auto"/>
          <w:highlight w:val="none"/>
          <w:shd w:val="clear" w:color="auto" w:fill="ffffff"/>
        </w:rPr>
        <w:t xml:space="preserve">的</w:t>
      </w:r>
      <w:r>
        <w:rPr>
          <w:rFonts w:hint="eastAsia" w:ascii="宋体" w:hAnsi="宋体" w:eastAsia="宋体" w:cs="宋体"/>
          <w:b/>
          <w:bCs/>
          <w:strike/>
          <w:color w:val="auto"/>
          <w:highlight w:val="none"/>
          <w:u w:val="single"/>
          <w:shd w:val="clear" w:color="auto" w:fill="ffffff"/>
        </w:rPr>
        <w:t xml:space="preserve">（关键工序）</w:t>
      </w:r>
      <w:r>
        <w:rPr>
          <w:rFonts w:hint="eastAsia" w:ascii="宋体" w:hAnsi="宋体" w:eastAsia="宋体" w:cs="宋体"/>
          <w:b/>
          <w:bCs/>
          <w:strike/>
          <w:color w:val="auto"/>
          <w:highlight w:val="none"/>
          <w:shd w:val="clear" w:color="auto" w:fill="ffffff"/>
          <w:vertAlign w:val="superscript"/>
        </w:rPr>
        <w:t xml:space="preserve">5</w:t>
      </w:r>
      <w:r>
        <w:rPr>
          <w:rFonts w:hint="eastAsia" w:ascii="宋体" w:hAnsi="宋体" w:eastAsia="宋体" w:cs="宋体"/>
          <w:b/>
          <w:bCs/>
          <w:color w:val="auto"/>
          <w:highlight w:val="none"/>
          <w:shd w:val="clear" w:color="auto" w:fill="ffffff"/>
        </w:rPr>
        <w:t xml:space="preserve">在中国境内完成。</w:t>
      </w:r>
      <w:r/>
    </w:p>
    <w:p>
      <w:pPr>
        <w:pStyle w:val="760"/>
        <w:ind w:firstLine="42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2.</w:t>
      </w:r>
      <w:r>
        <w:rPr>
          <w:rFonts w:hint="eastAsia" w:ascii="宋体" w:hAnsi="宋体" w:eastAsia="宋体" w:cs="宋体"/>
          <w:b/>
          <w:bCs/>
          <w:color w:val="auto"/>
          <w:highlight w:val="none"/>
          <w:u w:val="single"/>
          <w:shd w:val="clear" w:color="auto" w:fill="ffffff"/>
        </w:rPr>
        <w:t xml:space="preserve">（产品名称2）</w:t>
      </w:r>
      <w:r>
        <w:rPr>
          <w:rFonts w:hint="eastAsia" w:ascii="宋体" w:hAnsi="宋体" w:eastAsia="宋体" w:cs="宋体"/>
          <w:b/>
          <w:bCs/>
          <w:color w:val="auto"/>
          <w:highlight w:val="none"/>
          <w:shd w:val="clear" w:color="auto" w:fill="ffffff"/>
        </w:rPr>
        <w:t xml:space="preserve">，生产厂为</w:t>
      </w:r>
      <w:r>
        <w:rPr>
          <w:rFonts w:hint="eastAsia" w:ascii="宋体" w:hAnsi="宋体" w:eastAsia="宋体" w:cs="宋体"/>
          <w:b/>
          <w:bCs/>
          <w:color w:val="auto"/>
          <w:highlight w:val="none"/>
          <w:u w:val="single"/>
          <w:shd w:val="clear" w:color="auto" w:fill="ffffff"/>
        </w:rPr>
        <w:t xml:space="preserve">（厂名）</w:t>
      </w:r>
      <w:r>
        <w:rPr>
          <w:rFonts w:hint="eastAsia" w:ascii="宋体" w:hAnsi="宋体" w:eastAsia="宋体" w:cs="宋体"/>
          <w:b/>
          <w:bCs/>
          <w:color w:val="auto"/>
          <w:highlight w:val="none"/>
          <w:shd w:val="clear" w:color="auto" w:fill="ffffff"/>
        </w:rPr>
        <w:t xml:space="preserve">，厂址为</w:t>
      </w:r>
      <w:r>
        <w:rPr>
          <w:rFonts w:hint="eastAsia" w:ascii="宋体" w:hAnsi="宋体" w:eastAsia="宋体" w:cs="宋体"/>
          <w:b/>
          <w:bCs/>
          <w:color w:val="auto"/>
          <w:highlight w:val="none"/>
          <w:u w:val="single"/>
          <w:shd w:val="clear" w:color="auto" w:fill="ffffff"/>
        </w:rPr>
        <w:t xml:space="preserve">（生产厂址）</w:t>
      </w:r>
      <w:r>
        <w:rPr>
          <w:rFonts w:hint="eastAsia" w:ascii="宋体" w:hAnsi="宋体" w:eastAsia="宋体" w:cs="宋体"/>
          <w:b/>
          <w:bCs/>
          <w:color w:val="auto"/>
          <w:highlight w:val="none"/>
          <w:shd w:val="clear" w:color="auto" w:fill="ffffff"/>
        </w:rPr>
        <w:t xml:space="preserve">。</w:t>
      </w:r>
      <w:r>
        <w:rPr>
          <w:rFonts w:hint="eastAsia" w:ascii="宋体" w:hAnsi="宋体" w:eastAsia="宋体" w:cs="宋体"/>
          <w:b/>
          <w:bCs/>
          <w:strike/>
          <w:color w:val="auto"/>
          <w:highlight w:val="none"/>
          <w:u w:val="single"/>
          <w:shd w:val="clear" w:color="auto" w:fill="ffffff"/>
        </w:rPr>
        <w:t xml:space="preserve">（产品名称2）</w:t>
      </w:r>
      <w:r>
        <w:rPr>
          <w:rFonts w:hint="eastAsia" w:ascii="宋体" w:hAnsi="宋体" w:eastAsia="宋体" w:cs="宋体"/>
          <w:b/>
          <w:bCs/>
          <w:color w:val="auto"/>
          <w:highlight w:val="none"/>
          <w:shd w:val="clear" w:color="auto" w:fill="ffffff"/>
        </w:rPr>
        <w:t xml:space="preserve">的中国境内生产的组件成本占比≥</w:t>
      </w:r>
      <w:r>
        <w:rPr>
          <w:rFonts w:hint="eastAsia" w:ascii="宋体" w:hAnsi="宋体" w:eastAsia="宋体" w:cs="宋体"/>
          <w:b/>
          <w:bCs/>
          <w:strike/>
          <w:color w:val="auto"/>
          <w:highlight w:val="none"/>
          <w:u w:val="single"/>
          <w:shd w:val="clear" w:color="auto" w:fill="ffffff"/>
        </w:rPr>
        <w:t xml:space="preserve">（规定比例）</w:t>
      </w:r>
      <w:r>
        <w:rPr>
          <w:rFonts w:hint="eastAsia" w:ascii="宋体" w:hAnsi="宋体" w:eastAsia="宋体" w:cs="宋体"/>
          <w:b/>
          <w:bCs/>
          <w:color w:val="auto"/>
          <w:highlight w:val="none"/>
          <w:shd w:val="clear" w:color="auto" w:fill="ffffff"/>
        </w:rPr>
        <w:t xml:space="preserve">。</w:t>
      </w:r>
      <w:r>
        <w:rPr>
          <w:rFonts w:hint="eastAsia" w:ascii="宋体" w:hAnsi="宋体" w:eastAsia="宋体" w:cs="宋体"/>
          <w:b/>
          <w:bCs/>
          <w:strike/>
          <w:color w:val="auto"/>
          <w:highlight w:val="none"/>
          <w:u w:val="single"/>
          <w:shd w:val="clear" w:color="auto" w:fill="ffffff"/>
        </w:rPr>
        <w:t xml:space="preserve">（产品名称2）</w:t>
      </w:r>
      <w:r>
        <w:rPr>
          <w:rFonts w:hint="eastAsia" w:ascii="宋体" w:hAnsi="宋体" w:eastAsia="宋体" w:cs="宋体"/>
          <w:b/>
          <w:bCs/>
          <w:color w:val="auto"/>
          <w:highlight w:val="none"/>
          <w:shd w:val="clear" w:color="auto" w:fill="ffffff"/>
        </w:rPr>
        <w:t xml:space="preserve">的</w:t>
      </w:r>
      <w:r>
        <w:rPr>
          <w:rFonts w:hint="eastAsia" w:ascii="宋体" w:hAnsi="宋体" w:eastAsia="宋体" w:cs="宋体"/>
          <w:b/>
          <w:bCs/>
          <w:strike/>
          <w:color w:val="auto"/>
          <w:highlight w:val="none"/>
          <w:u w:val="single"/>
          <w:shd w:val="clear" w:color="auto" w:fill="ffffff"/>
        </w:rPr>
        <w:t xml:space="preserve">（关键组件）</w:t>
      </w:r>
      <w:r>
        <w:rPr>
          <w:rFonts w:hint="eastAsia" w:ascii="宋体" w:hAnsi="宋体" w:eastAsia="宋体" w:cs="宋体"/>
          <w:b/>
          <w:bCs/>
          <w:color w:val="auto"/>
          <w:highlight w:val="none"/>
          <w:shd w:val="clear" w:color="auto" w:fill="ffffff"/>
        </w:rPr>
        <w:t xml:space="preserve">在中国境内生产。</w:t>
      </w:r>
      <w:r>
        <w:rPr>
          <w:rFonts w:hint="eastAsia" w:ascii="宋体" w:hAnsi="宋体" w:eastAsia="宋体" w:cs="宋体"/>
          <w:b/>
          <w:bCs/>
          <w:strike/>
          <w:color w:val="auto"/>
          <w:highlight w:val="none"/>
          <w:u w:val="single"/>
          <w:shd w:val="clear" w:color="auto" w:fill="ffffff"/>
        </w:rPr>
        <w:t xml:space="preserve">（产品名称1）</w:t>
      </w:r>
      <w:r>
        <w:rPr>
          <w:rFonts w:hint="eastAsia" w:ascii="宋体" w:hAnsi="宋体" w:eastAsia="宋体" w:cs="宋体"/>
          <w:b/>
          <w:bCs/>
          <w:color w:val="auto"/>
          <w:highlight w:val="none"/>
          <w:shd w:val="clear" w:color="auto" w:fill="ffffff"/>
        </w:rPr>
        <w:t xml:space="preserve">的</w:t>
      </w:r>
      <w:r>
        <w:rPr>
          <w:rFonts w:hint="eastAsia" w:ascii="宋体" w:hAnsi="宋体" w:eastAsia="宋体" w:cs="宋体"/>
          <w:b/>
          <w:bCs/>
          <w:strike/>
          <w:color w:val="auto"/>
          <w:highlight w:val="none"/>
          <w:u w:val="single"/>
          <w:shd w:val="clear" w:color="auto" w:fill="ffffff"/>
        </w:rPr>
        <w:t xml:space="preserve">（关键工序）</w:t>
      </w:r>
      <w:r>
        <w:rPr>
          <w:rFonts w:hint="eastAsia" w:ascii="宋体" w:hAnsi="宋体" w:eastAsia="宋体" w:cs="宋体"/>
          <w:b/>
          <w:bCs/>
          <w:color w:val="auto"/>
          <w:highlight w:val="none"/>
          <w:shd w:val="clear" w:color="auto" w:fill="ffffff"/>
        </w:rPr>
        <w:t xml:space="preserve">在中国境内完成。</w:t>
      </w:r>
      <w:r/>
    </w:p>
    <w:p>
      <w:pPr>
        <w:pStyle w:val="760"/>
        <w:ind w:firstLine="42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w:t>
      </w:r>
      <w:r/>
    </w:p>
    <w:p>
      <w:pPr>
        <w:pStyle w:val="760"/>
        <w:ind w:firstLine="42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本公司（单位）对上述声明内容的真实性负责。如有虚假，愿承担相应法律责任。</w:t>
      </w:r>
      <w:r/>
    </w:p>
    <w:p>
      <w:pPr>
        <w:pStyle w:val="76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rPr>
        <w:t xml:space="preserve"> </w:t>
      </w:r>
      <w:r/>
    </w:p>
    <w:p>
      <w:pPr>
        <w:pStyle w:val="760"/>
        <w:ind w:right="480" w:firstLine="372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公司（单位）名称（盖章）：　</w:t>
      </w:r>
      <w:r/>
    </w:p>
    <w:p>
      <w:pPr>
        <w:pStyle w:val="760"/>
        <w:jc w:val="center"/>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            日期：　   年　  月　  日         </w:t>
      </w:r>
      <w:r/>
    </w:p>
    <w:p>
      <w:pPr>
        <w:pStyle w:val="760"/>
        <w:jc w:val="both"/>
        <w:spacing w:before="30" w:beforeAutospacing="0" w:after="30" w:afterAutospacing="0"/>
        <w:rPr>
          <w:rFonts w:ascii="宋体" w:hAnsi="宋体" w:eastAsia="宋体" w:cs="宋体"/>
          <w:b/>
          <w:bCs/>
          <w:color w:val="auto"/>
          <w:highlight w:val="none"/>
          <w:shd w:val="clear" w:color="auto" w:fill="ffffff"/>
        </w:rPr>
      </w:pPr>
      <w:r>
        <w:rPr>
          <w:rFonts w:ascii="宋体" w:hAnsi="宋体" w:eastAsia="宋体" w:cs="宋体"/>
          <w:b/>
          <w:bCs/>
          <w:color w:val="auto"/>
          <w:highlight w:val="none"/>
          <w:shd w:val="clear" w:color="auto" w:fill="ffffff"/>
        </w:rPr>
      </w:r>
      <w:r/>
    </w:p>
    <w:p>
      <w:pPr>
        <w:pStyle w:val="76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__________________</w:t>
      </w:r>
      <w:r/>
    </w:p>
    <w:p>
      <w:pPr>
        <w:pStyle w:val="76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1.产品如有型号，请在“产品名称”栏一并填写。</w:t>
      </w:r>
      <w:r/>
    </w:p>
    <w:p>
      <w:pPr>
        <w:pStyle w:val="76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2.生产厂名与厂址应与生产厂营业执照载明的相关信息保持一致。</w:t>
      </w:r>
      <w:r/>
    </w:p>
    <w:p>
      <w:pPr>
        <w:pStyle w:val="76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3.该产品的中国境内生产的组件成本占比相关要求实施前，“规定比例”栏可不填，下同。</w:t>
      </w:r>
      <w:r/>
    </w:p>
    <w:p>
      <w:pPr>
        <w:pStyle w:val="76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4.该产品的关键组件要求实施前，“关键组件”栏可不填，下同。</w:t>
      </w:r>
      <w:r/>
    </w:p>
    <w:p>
      <w:pPr>
        <w:pStyle w:val="760"/>
        <w:jc w:val="both"/>
        <w:spacing w:before="30" w:beforeAutospacing="0" w:after="30" w:afterAutospacing="0"/>
        <w:rPr>
          <w:rFonts w:ascii="宋体" w:hAnsi="宋体" w:eastAsia="宋体" w:cs="宋体"/>
          <w:b/>
          <w:bCs/>
          <w:color w:val="auto"/>
          <w:highlight w:val="none"/>
        </w:rPr>
      </w:pPr>
      <w:r>
        <w:rPr>
          <w:rFonts w:hint="eastAsia" w:ascii="宋体" w:hAnsi="宋体" w:eastAsia="宋体" w:cs="宋体"/>
          <w:b/>
          <w:bCs/>
          <w:color w:val="auto"/>
          <w:highlight w:val="none"/>
          <w:shd w:val="clear" w:color="auto" w:fill="ffffff"/>
        </w:rPr>
        <w:t xml:space="preserve">5.该产品的关键工序要求实施前，“关键工序”栏可不填，下同。</w:t>
      </w:r>
      <w:r/>
    </w:p>
    <w:p>
      <w:pPr>
        <w:pStyle w:val="760"/>
        <w:jc w:val="both"/>
        <w:spacing w:before="30" w:beforeAutospacing="0" w:after="30" w:afterAutospacing="0"/>
        <w:rPr>
          <w:rFonts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6.用横线划除的地方无需填写。</w:t>
      </w:r>
      <w:r/>
    </w:p>
    <w:p>
      <w:pPr>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shd w:val="clear" w:color="auto" w:fill="ffffff"/>
        </w:rPr>
        <w:t xml:space="preserve">备注：</w:t>
      </w:r>
      <w:r>
        <w:rPr>
          <w:rFonts w:hint="eastAsia" w:ascii="宋体" w:hAnsi="宋体" w:eastAsia="宋体" w:cs="宋体"/>
          <w:b/>
          <w:bCs/>
          <w:color w:val="auto"/>
          <w:sz w:val="24"/>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60"/>
        <w:jc w:val="center"/>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rPr>
          <w:rFonts w:ascii="宋体" w:hAnsi="宋体" w:eastAsia="宋体" w:cs="宋体"/>
          <w:b/>
          <w:color w:val="auto"/>
          <w:sz w:val="32"/>
          <w:szCs w:val="32"/>
          <w:highlight w:val="none"/>
        </w:rPr>
        <w:outlineLvl w:val="1"/>
      </w:pPr>
      <w:r>
        <w:rPr>
          <w:rFonts w:ascii="宋体" w:hAnsi="宋体" w:eastAsia="宋体" w:cs="宋体"/>
          <w:b/>
          <w:color w:val="auto"/>
          <w:sz w:val="32"/>
          <w:szCs w:val="32"/>
          <w:highlight w:val="none"/>
        </w:rPr>
      </w:r>
      <w:r/>
    </w:p>
    <w:p>
      <w:pPr>
        <w:pStyle w:val="760"/>
        <w:jc w:val="center"/>
        <w:spacing w:beforeAutospacing="0" w:afterAutospacing="0"/>
        <w:rPr>
          <w:rFonts w:ascii="宋体" w:hAnsi="宋体" w:eastAsia="宋体" w:cs="宋体"/>
          <w:b/>
          <w:color w:val="auto"/>
          <w:sz w:val="32"/>
          <w:szCs w:val="32"/>
          <w:highlight w:val="none"/>
        </w:rPr>
        <w:outlineLvl w:val="1"/>
      </w:pPr>
      <w:r>
        <w:rPr>
          <w:rFonts w:ascii="宋体" w:hAnsi="宋体" w:eastAsia="宋体" w:cs="宋体"/>
          <w:b/>
          <w:color w:val="auto"/>
          <w:sz w:val="32"/>
          <w:szCs w:val="32"/>
          <w:highlight w:val="none"/>
        </w:rPr>
      </w:r>
      <w:r/>
    </w:p>
    <w:p>
      <w:pPr>
        <w:pStyle w:val="760"/>
        <w:jc w:val="center"/>
        <w:spacing w:beforeAutospacing="0" w:afterAutospacing="0"/>
        <w:rPr>
          <w:rFonts w:ascii="宋体" w:hAnsi="宋体" w:eastAsia="宋体" w:cs="宋体"/>
          <w:b/>
          <w:color w:val="auto"/>
          <w:sz w:val="32"/>
          <w:szCs w:val="32"/>
          <w:highlight w:val="none"/>
        </w:rPr>
        <w:outlineLvl w:val="1"/>
      </w:pPr>
      <w:r>
        <w:rPr>
          <w:rFonts w:ascii="宋体" w:hAnsi="宋体" w:eastAsia="宋体" w:cs="宋体"/>
          <w:b/>
          <w:color w:val="auto"/>
          <w:sz w:val="32"/>
          <w:szCs w:val="32"/>
          <w:highlight w:val="none"/>
        </w:rPr>
      </w:r>
      <w:r/>
    </w:p>
    <w:p>
      <w:pPr>
        <w:pStyle w:val="760"/>
        <w:jc w:val="center"/>
        <w:spacing w:beforeAutospacing="0" w:afterAutospacing="0"/>
        <w:rPr>
          <w:rFonts w:ascii="宋体" w:hAnsi="宋体" w:eastAsia="宋体" w:cs="宋体"/>
          <w:b/>
          <w:color w:val="auto"/>
          <w:sz w:val="32"/>
          <w:szCs w:val="32"/>
          <w:highlight w:val="none"/>
        </w:rPr>
        <w:outlineLvl w:val="1"/>
      </w:pPr>
      <w:r>
        <w:rPr>
          <w:rFonts w:ascii="宋体" w:hAnsi="宋体" w:eastAsia="宋体" w:cs="宋体"/>
          <w:b/>
          <w:color w:val="auto"/>
          <w:sz w:val="32"/>
          <w:szCs w:val="32"/>
          <w:highlight w:val="none"/>
        </w:rPr>
      </w:r>
      <w:r/>
    </w:p>
    <w:p>
      <w:pPr>
        <w:pStyle w:val="760"/>
        <w:jc w:val="center"/>
        <w:spacing w:beforeAutospacing="0" w:afterAutospacing="0"/>
        <w:rPr>
          <w:rFonts w:ascii="宋体" w:hAnsi="宋体" w:eastAsia="宋体" w:cs="宋体"/>
          <w:b/>
          <w:color w:val="auto"/>
          <w:sz w:val="32"/>
          <w:szCs w:val="32"/>
          <w:highlight w:val="none"/>
        </w:rPr>
        <w:outlineLvl w:val="1"/>
      </w:pPr>
      <w:r>
        <w:rPr>
          <w:rFonts w:ascii="宋体" w:hAnsi="宋体" w:eastAsia="宋体" w:cs="宋体"/>
          <w:b/>
          <w:color w:val="auto"/>
          <w:sz w:val="32"/>
          <w:szCs w:val="32"/>
          <w:highlight w:val="none"/>
        </w:rPr>
      </w:r>
      <w:r/>
    </w:p>
    <w:p>
      <w:pPr>
        <w:pStyle w:val="760"/>
        <w:jc w:val="center"/>
        <w:spacing w:beforeAutospacing="0" w:afterAutospacing="0"/>
        <w:rPr>
          <w:rFonts w:ascii="宋体" w:hAnsi="宋体" w:eastAsia="宋体" w:cs="宋体"/>
          <w:b/>
          <w:color w:val="auto"/>
          <w:sz w:val="32"/>
          <w:szCs w:val="32"/>
          <w:highlight w:val="none"/>
        </w:rPr>
        <w:outlineLvl w:val="1"/>
      </w:pPr>
      <w:r>
        <w:rPr>
          <w:rFonts w:ascii="宋体" w:hAnsi="宋体" w:eastAsia="宋体" w:cs="宋体"/>
          <w:b/>
          <w:color w:val="auto"/>
          <w:sz w:val="32"/>
          <w:szCs w:val="32"/>
          <w:highlight w:val="none"/>
        </w:rPr>
      </w:r>
      <w:r/>
    </w:p>
    <w:p>
      <w:pPr>
        <w:pStyle w:val="760"/>
        <w:jc w:val="center"/>
        <w:spacing w:beforeAutospacing="0" w:afterAutospacing="0"/>
        <w:rPr>
          <w:rFonts w:ascii="宋体" w:hAnsi="宋体" w:eastAsia="宋体" w:cs="宋体"/>
          <w:b/>
          <w:color w:val="auto"/>
          <w:sz w:val="32"/>
          <w:szCs w:val="32"/>
          <w:highlight w:val="none"/>
        </w:rPr>
        <w:outlineLvl w:val="1"/>
      </w:pPr>
      <w:r>
        <w:rPr>
          <w:rFonts w:ascii="宋体" w:hAnsi="宋体" w:eastAsia="宋体" w:cs="宋体"/>
          <w:b/>
          <w:color w:val="auto"/>
          <w:sz w:val="32"/>
          <w:szCs w:val="32"/>
          <w:highlight w:val="none"/>
        </w:rPr>
      </w:r>
      <w:r/>
    </w:p>
    <w:p>
      <w:pPr>
        <w:pStyle w:val="760"/>
        <w:jc w:val="center"/>
        <w:spacing w:beforeAutospacing="0" w:afterAutospacing="0"/>
        <w:rPr>
          <w:rFonts w:ascii="宋体" w:hAnsi="宋体" w:eastAsia="宋体" w:cs="宋体"/>
          <w:b/>
          <w:color w:val="auto"/>
          <w:sz w:val="32"/>
          <w:szCs w:val="32"/>
          <w:highlight w:val="none"/>
        </w:rPr>
        <w:outlineLvl w:val="1"/>
      </w:pPr>
      <w:r>
        <w:rPr>
          <w:rFonts w:ascii="宋体" w:hAnsi="宋体" w:eastAsia="宋体" w:cs="宋体"/>
          <w:b/>
          <w:color w:val="auto"/>
          <w:sz w:val="32"/>
          <w:szCs w:val="32"/>
          <w:highlight w:val="none"/>
        </w:rPr>
      </w:r>
      <w:r/>
    </w:p>
    <w:p>
      <w:pPr>
        <w:pStyle w:val="760"/>
        <w:jc w:val="center"/>
        <w:spacing w:beforeAutospacing="0" w:afterAutospacing="0"/>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十二、分项报价表</w:t>
      </w:r>
      <w:r/>
    </w:p>
    <w:p>
      <w:pPr>
        <w:pStyle w:val="760"/>
        <w:jc w:val="both"/>
        <w:spacing w:beforeAutospacing="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JSZC-320900-JSYF-G2026-0012</w:t>
      </w:r>
      <w:r/>
    </w:p>
    <w:p>
      <w:pPr>
        <w:pStyle w:val="760"/>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项目名称：盐城市住房和城乡建设局排涝设备采购项目（三次）</w:t>
      </w:r>
      <w:r/>
    </w:p>
    <w:p>
      <w:pPr>
        <w:pStyle w:val="76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tbl>
      <w:tblPr>
        <w:tblStyle w:val="734"/>
        <w:tblW w:w="9582" w:type="dxa"/>
        <w:tblCellSpacing w:w="0" w:type="dxa"/>
        <w:tblInd w:w="-8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8"/>
        <w:gridCol w:w="960"/>
        <w:gridCol w:w="800"/>
        <w:gridCol w:w="747"/>
        <w:gridCol w:w="813"/>
        <w:gridCol w:w="774"/>
        <w:gridCol w:w="1256"/>
        <w:gridCol w:w="981"/>
        <w:gridCol w:w="989"/>
      </w:tblGrid>
      <w:tr>
        <w:trPr>
          <w:tblCellSpacing w:w="0" w:type="dxa"/>
          <w:trHeight w:val="1131"/>
        </w:trPr>
        <w:tc>
          <w:tcPr>
            <w:tcW w:w="58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序号</w:t>
            </w:r>
            <w:r/>
          </w:p>
        </w:tc>
        <w:tc>
          <w:tcPr>
            <w:tcW w:w="1678"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产品</w:t>
            </w:r>
            <w:r/>
          </w:p>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名称</w:t>
            </w:r>
            <w:r/>
          </w:p>
        </w:tc>
        <w:tc>
          <w:tcPr>
            <w:tcW w:w="960"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品牌</w:t>
            </w:r>
            <w:r/>
          </w:p>
        </w:tc>
        <w:tc>
          <w:tcPr>
            <w:tcW w:w="800"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型号</w:t>
            </w:r>
            <w:r/>
          </w:p>
        </w:tc>
        <w:tc>
          <w:tcPr>
            <w:tcW w:w="747"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产地</w:t>
            </w:r>
            <w:r/>
          </w:p>
        </w:tc>
        <w:tc>
          <w:tcPr>
            <w:tcW w:w="813"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交付期</w:t>
            </w:r>
            <w:r/>
          </w:p>
        </w:tc>
        <w:tc>
          <w:tcPr>
            <w:tcW w:w="77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数量</w:t>
            </w:r>
            <w:r/>
          </w:p>
        </w:tc>
        <w:tc>
          <w:tcPr>
            <w:tcW w:w="1256"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限价（万元）</w:t>
            </w:r>
            <w:r/>
          </w:p>
        </w:tc>
        <w:tc>
          <w:tcPr>
            <w:tcW w:w="981"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分项单价</w:t>
            </w:r>
            <w:r/>
          </w:p>
        </w:tc>
        <w:tc>
          <w:tcPr>
            <w:tcW w:w="989"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分项总价</w:t>
            </w:r>
            <w:r/>
          </w:p>
        </w:tc>
      </w:tr>
      <w:tr>
        <w:trPr>
          <w:tblCellSpacing w:w="0" w:type="dxa"/>
          <w:trHeight w:val="702"/>
        </w:trPr>
        <w:tc>
          <w:tcPr>
            <w:tcW w:w="58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W w:w="1678"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bookmarkStart w:id="330" w:name="OLE_LINK51"/>
            <w:r/>
            <w:bookmarkStart w:id="331" w:name="OLE_LINK50"/>
            <w:r>
              <w:rPr>
                <w:rFonts w:hint="eastAsia" w:ascii="宋体" w:hAnsi="宋体" w:eastAsia="宋体" w:cs="宋体"/>
                <w:color w:val="auto"/>
                <w:sz w:val="21"/>
                <w:highlight w:val="none"/>
              </w:rPr>
              <w:t xml:space="preserve">排涝泵车</w:t>
            </w:r>
            <w:bookmarkEnd w:id="330"/>
            <w:r/>
            <w:bookmarkEnd w:id="331"/>
            <w:r>
              <w:rPr>
                <w:rFonts w:hint="eastAsia" w:ascii="宋体" w:hAnsi="宋体" w:eastAsia="宋体" w:cs="宋体"/>
                <w:color w:val="auto"/>
                <w:sz w:val="21"/>
                <w:highlight w:val="none"/>
              </w:rPr>
              <w:t xml:space="preserve">（≥1000m³/h）</w:t>
            </w:r>
            <w:r/>
          </w:p>
        </w:tc>
        <w:tc>
          <w:tcPr>
            <w:tcW w:w="960"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800" w:type="dxa"/>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747"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813"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77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W w:w="1256" w:type="dxa"/>
            <w:vAlign w:val="center"/>
            <w:vMerge w:val="restart"/>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1400</w:t>
            </w:r>
            <w:r/>
          </w:p>
        </w:tc>
        <w:tc>
          <w:tcPr>
            <w:tcW w:w="981"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989"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730"/>
        </w:trPr>
        <w:tc>
          <w:tcPr>
            <w:tcW w:w="58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W w:w="1678" w:type="dxa"/>
            <w:vAlign w:val="center"/>
            <w:textDirection w:val="lrTb"/>
            <w:noWrap/>
          </w:tcPr>
          <w:p>
            <w:pPr>
              <w:pStyle w:val="760"/>
              <w:jc w:val="both"/>
              <w:spacing w:beforeAutospacing="0" w:afterAutospacing="0" w:line="440" w:lineRule="exact"/>
              <w:rPr>
                <w:rFonts w:ascii="宋体" w:hAnsi="宋体" w:eastAsia="宋体" w:cs="宋体"/>
                <w:color w:val="auto"/>
                <w:sz w:val="21"/>
                <w:highlight w:val="none"/>
              </w:rPr>
            </w:pPr>
            <w:r>
              <w:rPr>
                <w:rFonts w:hint="eastAsia" w:ascii="宋体" w:hAnsi="宋体" w:eastAsia="宋体" w:cs="宋体"/>
                <w:color w:val="auto"/>
                <w:sz w:val="21"/>
                <w:highlight w:val="none"/>
              </w:rPr>
              <w:t xml:space="preserve">排涝泵车（子母式、≥2000m³/h）</w:t>
            </w:r>
            <w:r/>
          </w:p>
        </w:tc>
        <w:tc>
          <w:tcPr>
            <w:tcW w:w="960"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800" w:type="dxa"/>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747"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813"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77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W w:w="1256" w:type="dxa"/>
            <w:vAlign w:val="center"/>
            <w:vMerge w:val="continue"/>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981"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989"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30"/>
        </w:trPr>
        <w:tc>
          <w:tcPr>
            <w:tcW w:w="58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w:t>
            </w:r>
            <w:r/>
          </w:p>
        </w:tc>
        <w:tc>
          <w:tcPr>
            <w:tcW w:w="1678" w:type="dxa"/>
            <w:vAlign w:val="center"/>
            <w:textDirection w:val="lrTb"/>
            <w:noWrap/>
          </w:tcPr>
          <w:p>
            <w:pPr>
              <w:pStyle w:val="760"/>
              <w:jc w:val="both"/>
              <w:spacing w:beforeAutospacing="0" w:afterAutospacing="0" w:line="440" w:lineRule="exact"/>
              <w:rPr>
                <w:rFonts w:ascii="宋体" w:hAnsi="宋体" w:eastAsia="宋体" w:cs="宋体"/>
                <w:color w:val="auto"/>
                <w:sz w:val="21"/>
                <w:highlight w:val="none"/>
              </w:rPr>
            </w:pPr>
            <w:r>
              <w:rPr>
                <w:rFonts w:hint="eastAsia" w:ascii="宋体" w:hAnsi="宋体" w:eastAsia="宋体" w:cs="宋体"/>
                <w:color w:val="auto"/>
                <w:sz w:val="21"/>
                <w:highlight w:val="none"/>
              </w:rPr>
              <w:t xml:space="preserve">排涝泵车（≥3000m³/h）</w:t>
            </w:r>
            <w:r/>
          </w:p>
        </w:tc>
        <w:tc>
          <w:tcPr>
            <w:tcW w:w="960"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800" w:type="dxa"/>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747"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813"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77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W w:w="1256" w:type="dxa"/>
            <w:vAlign w:val="center"/>
            <w:vMerge w:val="continue"/>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981"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989"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589"/>
        </w:trPr>
        <w:tc>
          <w:tcPr>
            <w:tcW w:w="58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w:t>
            </w:r>
            <w:r/>
          </w:p>
        </w:tc>
        <w:tc>
          <w:tcPr>
            <w:tcW w:w="1678" w:type="dxa"/>
            <w:vAlign w:val="center"/>
            <w:textDirection w:val="lrTb"/>
            <w:noWrap/>
          </w:tcPr>
          <w:p>
            <w:pPr>
              <w:pStyle w:val="760"/>
              <w:jc w:val="both"/>
              <w:spacing w:beforeAutospacing="0" w:afterAutospacing="0" w:line="440" w:lineRule="exact"/>
              <w:rPr>
                <w:rFonts w:ascii="宋体" w:hAnsi="宋体" w:eastAsia="宋体" w:cs="宋体"/>
                <w:color w:val="auto"/>
                <w:sz w:val="21"/>
                <w:highlight w:val="none"/>
              </w:rPr>
            </w:pPr>
            <w:r>
              <w:rPr>
                <w:rFonts w:hint="eastAsia" w:ascii="宋体" w:hAnsi="宋体" w:eastAsia="宋体" w:cs="宋体"/>
                <w:color w:val="auto"/>
                <w:sz w:val="21"/>
                <w:highlight w:val="none"/>
              </w:rPr>
              <w:t xml:space="preserve">联合疏通车（含清洗吸污、18吨）</w:t>
            </w:r>
            <w:r/>
          </w:p>
        </w:tc>
        <w:tc>
          <w:tcPr>
            <w:tcW w:w="960"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800" w:type="dxa"/>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747"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813"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77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w:t>
            </w:r>
            <w:r/>
          </w:p>
        </w:tc>
        <w:tc>
          <w:tcPr>
            <w:tcW w:w="1256" w:type="dxa"/>
            <w:vAlign w:val="center"/>
            <w:vMerge w:val="continue"/>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981"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989"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589"/>
        </w:trPr>
        <w:tc>
          <w:tcPr>
            <w:tcW w:w="58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w:t>
            </w:r>
            <w:r/>
          </w:p>
        </w:tc>
        <w:tc>
          <w:tcPr>
            <w:tcW w:w="1678" w:type="dxa"/>
            <w:vAlign w:val="center"/>
            <w:textDirection w:val="lrTb"/>
            <w:noWrap/>
          </w:tcPr>
          <w:p>
            <w:pPr>
              <w:pStyle w:val="760"/>
              <w:jc w:val="both"/>
              <w:spacing w:beforeAutospacing="0" w:afterAutospacing="0" w:line="440" w:lineRule="exact"/>
              <w:rPr>
                <w:rFonts w:ascii="宋体" w:hAnsi="宋体" w:eastAsia="宋体" w:cs="宋体"/>
                <w:color w:val="auto"/>
                <w:sz w:val="21"/>
                <w:highlight w:val="none"/>
              </w:rPr>
            </w:pPr>
            <w:r>
              <w:rPr>
                <w:rFonts w:hint="eastAsia" w:ascii="宋体" w:hAnsi="宋体" w:eastAsia="宋体" w:cs="宋体"/>
                <w:color w:val="auto"/>
                <w:sz w:val="21"/>
                <w:highlight w:val="none"/>
              </w:rPr>
              <w:t xml:space="preserve">拖拽式移动自吸泵（≥360m³/h）</w:t>
            </w:r>
            <w:r/>
          </w:p>
        </w:tc>
        <w:tc>
          <w:tcPr>
            <w:tcW w:w="960"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800" w:type="dxa"/>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747"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813"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W w:w="77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15</w:t>
            </w:r>
            <w:r/>
          </w:p>
        </w:tc>
        <w:tc>
          <w:tcPr>
            <w:tcW w:w="1256" w:type="dxa"/>
            <w:vAlign w:val="center"/>
            <w:vMerge w:val="continue"/>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981"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989"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589"/>
        </w:trPr>
        <w:tc>
          <w:tcPr>
            <w:tcW w:w="58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w:t>
            </w:r>
            <w:r/>
          </w:p>
        </w:tc>
        <w:tc>
          <w:tcPr>
            <w:tcW w:w="1678" w:type="dxa"/>
            <w:vAlign w:val="center"/>
            <w:textDirection w:val="lrTb"/>
            <w:noWrap/>
          </w:tcPr>
          <w:p>
            <w:pPr>
              <w:pStyle w:val="760"/>
              <w:jc w:val="both"/>
              <w:spacing w:beforeAutospacing="0" w:afterAutospacing="0" w:line="440" w:lineRule="exact"/>
              <w:rPr>
                <w:rFonts w:ascii="宋体" w:hAnsi="宋体" w:eastAsia="宋体" w:cs="宋体"/>
                <w:color w:val="auto"/>
                <w:sz w:val="21"/>
                <w:highlight w:val="none"/>
              </w:rPr>
            </w:pPr>
            <w:r>
              <w:rPr>
                <w:rFonts w:hint="eastAsia" w:ascii="宋体" w:hAnsi="宋体" w:eastAsia="宋体" w:cs="宋体"/>
                <w:color w:val="auto"/>
                <w:sz w:val="21"/>
                <w:highlight w:val="none"/>
              </w:rPr>
              <w:t xml:space="preserve">拖拽式移动自吸泵（≥550 m³/h）</w:t>
            </w:r>
            <w:r/>
          </w:p>
        </w:tc>
        <w:tc>
          <w:tcPr>
            <w:tcW w:w="960"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800" w:type="dxa"/>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747"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813"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774" w:type="dxa"/>
            <w:vAlign w:val="center"/>
            <w:textDirection w:val="lrTb"/>
            <w:noWrap/>
          </w:tcPr>
          <w:p>
            <w:pPr>
              <w:pStyle w:val="760"/>
              <w:jc w:val="center"/>
              <w:spacing w:beforeAutospacing="0" w:afterAutospacing="0" w:line="44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10</w:t>
            </w:r>
            <w:r/>
          </w:p>
        </w:tc>
        <w:tc>
          <w:tcPr>
            <w:tcW w:w="1256" w:type="dxa"/>
            <w:vAlign w:val="center"/>
            <w:vMerge w:val="continue"/>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981"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c>
          <w:tcPr>
            <w:tcW w:w="989"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589"/>
        </w:trPr>
        <w:tc>
          <w:tcPr>
            <w:gridSpan w:val="10"/>
            <w:tcW w:w="9582" w:type="dxa"/>
            <w:vAlign w:val="center"/>
            <w:vMerge w:val="restart"/>
            <w:textDirection w:val="lrTb"/>
            <w:noWrap/>
          </w:tcPr>
          <w:p>
            <w:pPr>
              <w:spacing w:before="240" w:after="240" w:line="439"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投标总报价（人民币：元角分）（大写）</w:t>
            </w:r>
            <w:r/>
          </w:p>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color w:val="auto"/>
                <w:sz w:val="21"/>
                <w:highlight w:val="none"/>
              </w:rPr>
              <w:t xml:space="preserve">（¥：元）（小写，保留两位小数）</w:t>
            </w:r>
            <w:r/>
          </w:p>
        </w:tc>
      </w:tr>
      <w:tr>
        <w:trPr>
          <w:tblCellSpacing w:w="0" w:type="dxa"/>
          <w:trHeight w:val="589"/>
        </w:trPr>
        <w:tc>
          <w:tcPr>
            <w:gridSpan w:val="10"/>
            <w:tcW w:w="9582" w:type="dxa"/>
            <w:vAlign w:val="center"/>
            <w:textDirection w:val="lrTb"/>
            <w:noWrap/>
          </w:tcPr>
          <w:p>
            <w:pPr>
              <w:pStyle w:val="760"/>
              <w:jc w:val="both"/>
              <w:spacing w:beforeAutospacing="0" w:afterAutospacing="0" w:line="440" w:lineRule="exact"/>
              <w:rPr>
                <w:rFonts w:ascii="宋体" w:hAnsi="宋体" w:eastAsia="宋体" w:cs="宋体"/>
                <w:bCs/>
                <w:color w:val="auto"/>
                <w:highlight w:val="none"/>
              </w:rPr>
            </w:pPr>
            <w:r>
              <w:rPr>
                <w:rFonts w:hint="eastAsia" w:ascii="宋体" w:hAnsi="宋体" w:eastAsia="宋体" w:cs="宋体"/>
                <w:color w:val="auto"/>
                <w:highlight w:val="none"/>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p>
        </w:tc>
      </w:tr>
    </w:tbl>
    <w:p>
      <w:pPr>
        <w:pStyle w:val="76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jc w:val="both"/>
        <w:spacing w:beforeAutospacing="0" w:afterAutospacing="0" w:line="46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备注：</w:t>
      </w:r>
      <w:r/>
    </w:p>
    <w:p>
      <w:pPr>
        <w:pStyle w:val="760"/>
        <w:jc w:val="both"/>
        <w:spacing w:beforeAutospacing="0" w:afterAutospacing="0" w:line="46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1、本次招标报价按全费用综合单价报价方式（投标报价不随市场和国家政策性文件调整而调整）；</w:t>
      </w:r>
      <w:r/>
    </w:p>
    <w:p>
      <w:pPr>
        <w:pStyle w:val="760"/>
        <w:jc w:val="both"/>
        <w:spacing w:beforeAutospacing="0" w:afterAutospacing="0" w:line="46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2、报价单必须按照采购文件所提供的格式填入。</w:t>
      </w:r>
      <w:r/>
    </w:p>
    <w:p>
      <w:pPr>
        <w:pStyle w:val="760"/>
        <w:jc w:val="both"/>
        <w:spacing w:beforeAutospacing="0" w:afterAutospacing="0" w:line="46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3、投标供应商在报价时需注明投标车辆的品牌和工信部公告中的型号，否则作无效投标处理。</w:t>
      </w:r>
      <w:r/>
    </w:p>
    <w:p>
      <w:pPr>
        <w:pStyle w:val="760"/>
        <w:jc w:val="both"/>
        <w:spacing w:beforeAutospacing="0" w:afterAutospacing="0" w:line="46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报价中要求包括此次招标采购、安装及衍生服务的所有费用。报价是供应商对本次采购、安装及衍生服务提出的各项支付金额的总和。此报价应包括投标人为完成投标报价文件所确定的采购范围内的全部内容，以及投标人为完成上述内容所必须的质量保证与技术支持、采购、供货、运输、装卸、验收、检测、安装、调试、车辆购置税、售后服务以及临时工作、材料、劳务、管理费、利润、税金和政策性文件规定的各项所需的全部费用、不可预见费及其他一切相关费用。</w:t>
      </w:r>
      <w:r/>
    </w:p>
    <w:p>
      <w:pPr>
        <w:pStyle w:val="760"/>
        <w:jc w:val="both"/>
        <w:spacing w:beforeAutospacing="0" w:afterAutospacing="0" w:line="46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5、资金结算以结算时核定的实际供货数量为准。</w:t>
      </w:r>
      <w:r/>
    </w:p>
    <w:p>
      <w:pPr>
        <w:spacing w:line="460" w:lineRule="exact"/>
        <w:rPr>
          <w:rFonts w:ascii="宋体" w:hAnsi="宋体" w:eastAsia="宋体" w:cs="宋体"/>
          <w:b/>
          <w:bCs/>
          <w:color w:val="auto"/>
          <w:sz w:val="24"/>
          <w:highlight w:val="none"/>
        </w:rPr>
      </w:pPr>
      <w:r>
        <w:rPr>
          <w:rFonts w:hint="eastAsia" w:ascii="宋体" w:hAnsi="宋体" w:eastAsia="宋体" w:cs="宋体"/>
          <w:bCs/>
          <w:color w:val="auto"/>
          <w:highlight w:val="none"/>
        </w:rPr>
        <w:t xml:space="preserve">6、</w:t>
      </w:r>
      <w:r>
        <w:rPr>
          <w:rFonts w:hint="eastAsia" w:ascii="宋体" w:hAnsi="宋体" w:eastAsia="宋体" w:cs="宋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5" w:line="560" w:lineRule="atLeast"/>
        <w:rPr>
          <w:rFonts w:ascii="宋体" w:hAnsi="宋体" w:eastAsia="宋体" w:cs="宋体"/>
          <w:b/>
          <w:bCs/>
          <w:color w:val="auto"/>
          <w:sz w:val="24"/>
          <w:highlight w:val="none"/>
        </w:rPr>
      </w:pPr>
      <w:r>
        <w:rPr>
          <w:rFonts w:ascii="宋体" w:hAnsi="宋体" w:eastAsia="宋体" w:cs="宋体"/>
          <w:b/>
          <w:bCs/>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供应商（加盖CA电子公章）：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60"/>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十三、技术要求响应及偏离表（分包号：**）</w:t>
      </w:r>
      <w:r/>
    </w:p>
    <w:tbl>
      <w:tblPr>
        <w:tblStyle w:val="734"/>
        <w:tblW w:w="9492" w:type="dxa"/>
        <w:tblCellSpacing w:w="0" w:type="dxa"/>
        <w:tblInd w:w="-1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50"/>
        <w:gridCol w:w="3544"/>
        <w:gridCol w:w="1134"/>
        <w:gridCol w:w="1276"/>
        <w:gridCol w:w="1275"/>
        <w:gridCol w:w="879"/>
      </w:tblGrid>
      <w:tr>
        <w:trPr>
          <w:tblCellSpacing w:w="0" w:type="dxa"/>
          <w:trHeight w:val="921"/>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32" w:name="_Hlk214457246"/>
            <w:r>
              <w:rPr>
                <w:rFonts w:hint="eastAsia" w:ascii="宋体" w:hAnsi="宋体" w:eastAsia="宋体" w:cs="宋体"/>
                <w:bCs/>
                <w:color w:val="auto"/>
                <w:highlight w:val="none"/>
              </w:rPr>
              <w:t xml:space="preserve">序号</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名称 </w:t>
            </w:r>
            <w:r/>
          </w:p>
        </w:tc>
        <w:tc>
          <w:tcPr>
            <w:tcW w:w="3544" w:type="dxa"/>
            <w:textDirection w:val="lrTb"/>
            <w:noWrap/>
          </w:tcPr>
          <w:p>
            <w:pPr>
              <w:pStyle w:val="760"/>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技术参数、要求</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投标响应情况</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33" w:name="OLE_LINK150"/>
            <w:r/>
            <w:bookmarkStart w:id="334" w:name="OLE_LINK151"/>
            <w:r>
              <w:rPr>
                <w:rFonts w:hint="eastAsia" w:ascii="宋体" w:hAnsi="宋体" w:eastAsia="宋体" w:cs="宋体"/>
                <w:bCs/>
                <w:color w:val="auto"/>
                <w:highlight w:val="none"/>
              </w:rPr>
              <w:t xml:space="preserve">超出、符合或偏离</w:t>
            </w:r>
            <w:bookmarkEnd w:id="333"/>
            <w:r/>
            <w:bookmarkEnd w:id="334"/>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证明</w:t>
            </w:r>
            <w:r/>
          </w:p>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材料</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材料</w:t>
            </w:r>
            <w:r/>
          </w:p>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页码</w:t>
            </w:r>
            <w:bookmarkEnd w:id="332"/>
            <w:r/>
            <w:r/>
          </w:p>
        </w:tc>
      </w:tr>
      <w:tr>
        <w:trPr>
          <w:tblCellSpacing w:w="0" w:type="dxa"/>
          <w:trHeight w:val="409"/>
        </w:trPr>
        <w:tc>
          <w:tcPr>
            <w:gridSpan w:val="7"/>
            <w:tcW w:w="9492"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
                <w:color w:val="auto"/>
                <w:highlight w:val="none"/>
              </w:rPr>
              <w:t xml:space="preserve">一、</w:t>
            </w:r>
            <w:bookmarkStart w:id="335" w:name="OLE_LINK119"/>
            <w:r/>
            <w:bookmarkStart w:id="336" w:name="OLE_LINK118"/>
            <w:r>
              <w:rPr>
                <w:rFonts w:hint="eastAsia" w:ascii="宋体" w:hAnsi="宋体" w:eastAsia="宋体" w:cs="宋体"/>
                <w:b/>
                <w:color w:val="auto"/>
                <w:highlight w:val="none"/>
              </w:rPr>
              <w:t xml:space="preserve">排涝泵车（≥1000m³/h）</w:t>
            </w:r>
            <w:bookmarkEnd w:id="335"/>
            <w:r/>
            <w:bookmarkEnd w:id="336"/>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整车</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Pr>
            <w:r>
              <w:rPr>
                <w:rFonts w:ascii="宋体" w:hAnsi="宋体" w:eastAsia="宋体" w:cs="宋体"/>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1 </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w:t>
            </w:r>
            <w:r>
              <w:rPr>
                <w:rFonts w:hint="eastAsia" w:ascii="宋体" w:hAnsi="宋体" w:eastAsia="宋体" w:cs="宋体"/>
                <w:color w:val="auto"/>
                <w:highlight w:val="none"/>
              </w:rPr>
              <w:t xml:space="preserve">基本配置</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排放标准、燃油类别:国Ⅵ、柴油、ABS防抱死</w:t>
            </w:r>
            <w:r>
              <w:rPr>
                <w:rFonts w:hint="eastAsia" w:ascii="宋体" w:hAnsi="宋体" w:eastAsia="宋体" w:cs="宋体"/>
                <w:color w:val="auto"/>
                <w:highlight w:val="none"/>
              </w:rPr>
              <w:br/>
            </w:r>
            <w:r>
              <w:rPr>
                <w:rFonts w:hint="eastAsia" w:ascii="宋体" w:hAnsi="宋体" w:eastAsia="宋体" w:cs="宋体"/>
                <w:color w:val="auto"/>
                <w:highlight w:val="none"/>
              </w:rPr>
              <w:t xml:space="preserve">发动机功率：≥85Kw （提供国家工信部公告）</w:t>
            </w:r>
            <w:r>
              <w:rPr>
                <w:rFonts w:hint="eastAsia" w:ascii="宋体" w:hAnsi="宋体" w:eastAsia="宋体" w:cs="宋体"/>
                <w:color w:val="auto"/>
                <w:highlight w:val="none"/>
              </w:rPr>
              <w:br/>
            </w:r>
            <w:r>
              <w:rPr>
                <w:rFonts w:hint="eastAsia" w:ascii="宋体" w:hAnsi="宋体" w:eastAsia="宋体" w:cs="宋体"/>
                <w:color w:val="auto"/>
                <w:highlight w:val="none"/>
              </w:rPr>
              <w:t xml:space="preserve">厢体结构：内部多舱分布，厢体左右侧和后部开门</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37" w:name="OLE_LINK155"/>
            <w:r/>
            <w:bookmarkStart w:id="338" w:name="OLE_LINK154"/>
            <w:r>
              <w:rPr>
                <w:rFonts w:hint="eastAsia" w:ascii="宋体" w:hAnsi="宋体" w:eastAsia="宋体" w:cs="宋体"/>
                <w:bCs/>
                <w:color w:val="auto"/>
                <w:highlight w:val="none"/>
              </w:rPr>
              <w:t xml:space="preserve">（超出、符合或偏离）</w:t>
            </w:r>
            <w:bookmarkEnd w:id="337"/>
            <w:r/>
            <w:bookmarkEnd w:id="338"/>
            <w:r>
              <w:rPr>
                <w:rFonts w:hint="eastAsia" w:ascii="宋体" w:hAnsi="宋体" w:eastAsia="宋体" w:cs="宋体"/>
                <w:bCs/>
                <w:color w:val="auto"/>
                <w:highlight w:val="none"/>
              </w:rPr>
              <w:t xml:space="preserve">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  </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2</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▲整车质量</w:t>
            </w:r>
            <w:r/>
          </w:p>
        </w:tc>
        <w:tc>
          <w:tcPr>
            <w:tcW w:w="3544" w:type="dxa"/>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总质量≤4500kg，整备质量</w:t>
            </w:r>
            <w:bookmarkStart w:id="339" w:name="OLE_LINK198"/>
            <w:r/>
            <w:bookmarkStart w:id="340" w:name="OLE_LINK197"/>
            <w:r>
              <w:rPr>
                <w:rFonts w:hint="eastAsia" w:ascii="宋体" w:hAnsi="宋体" w:eastAsia="宋体" w:cs="宋体"/>
                <w:color w:val="auto"/>
                <w:highlight w:val="none"/>
              </w:rPr>
              <w:t xml:space="preserve">≥</w:t>
            </w:r>
            <w:bookmarkEnd w:id="339"/>
            <w:r/>
            <w:bookmarkEnd w:id="340"/>
            <w:r>
              <w:rPr>
                <w:rFonts w:hint="eastAsia" w:ascii="宋体" w:hAnsi="宋体" w:eastAsia="宋体" w:cs="宋体"/>
                <w:color w:val="auto"/>
                <w:highlight w:val="none"/>
              </w:rPr>
              <w:t xml:space="preserve">4100kg（提供国家工信部公告）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41" w:name="OLE_LINK153"/>
            <w:r/>
            <w:bookmarkStart w:id="342" w:name="OLE_LINK166"/>
            <w:r>
              <w:rPr>
                <w:rFonts w:hint="eastAsia" w:ascii="宋体" w:hAnsi="宋体" w:eastAsia="宋体" w:cs="宋体"/>
                <w:bCs/>
                <w:color w:val="auto"/>
                <w:highlight w:val="none"/>
              </w:rPr>
              <w:t xml:space="preserve">国家工信部公告 </w:t>
            </w:r>
            <w:bookmarkEnd w:id="341"/>
            <w:r/>
            <w:bookmarkEnd w:id="342"/>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▲车辆尺寸</w:t>
            </w:r>
            <w:r/>
          </w:p>
        </w:tc>
        <w:tc>
          <w:tcPr>
            <w:tcW w:w="3544" w:type="dxa"/>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长≤6000mm，宽≤2100mm，高≤3000mm（提供国家工信部公告）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43" w:name="OLE_LINK183"/>
            <w:r/>
            <w:bookmarkStart w:id="344" w:name="OLE_LINK184"/>
            <w:r>
              <w:rPr>
                <w:rFonts w:hint="eastAsia" w:ascii="宋体" w:hAnsi="宋体" w:eastAsia="宋体" w:cs="宋体"/>
                <w:bCs/>
                <w:color w:val="auto"/>
                <w:highlight w:val="none"/>
              </w:rPr>
              <w:t xml:space="preserve"> 国家工信部公告 </w:t>
            </w:r>
            <w:bookmarkEnd w:id="343"/>
            <w:r/>
            <w:bookmarkEnd w:id="344"/>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▲驾驶室准乘人员</w:t>
            </w:r>
            <w:r/>
          </w:p>
        </w:tc>
        <w:tc>
          <w:tcPr>
            <w:tcW w:w="3544" w:type="dxa"/>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≥2+3人（提供国家工信部公告）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45" w:name="OLE_LINK215"/>
            <w:r/>
            <w:bookmarkStart w:id="346" w:name="OLE_LINK214"/>
            <w:r>
              <w:rPr>
                <w:rFonts w:hint="eastAsia" w:ascii="宋体" w:hAnsi="宋体" w:eastAsia="宋体" w:cs="宋体"/>
                <w:bCs/>
                <w:color w:val="auto"/>
                <w:highlight w:val="none"/>
              </w:rPr>
              <w:t xml:space="preserve"> 国家工信部公告 </w:t>
            </w:r>
            <w:bookmarkEnd w:id="345"/>
            <w:r/>
            <w:bookmarkEnd w:id="346"/>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发电机组</w:t>
            </w:r>
            <w:r/>
          </w:p>
        </w:tc>
        <w:tc>
          <w:tcPr>
            <w:tcW w:w="3544" w:type="dxa"/>
            <w:textDirection w:val="lrTb"/>
            <w:noWrap/>
          </w:tcPr>
          <w:p>
            <w:pPr>
              <w:spacing w:line="30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★基本配置</w:t>
            </w:r>
            <w:r/>
          </w:p>
        </w:tc>
        <w:tc>
          <w:tcPr>
            <w:tcW w:w="3544" w:type="dxa"/>
            <w:textDirection w:val="lrTb"/>
            <w:noWrap/>
          </w:tcPr>
          <w:p>
            <w:pPr>
              <w:spacing w:line="30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柴油发电机组：三相四线制，排放标准国Ⅲ或以上</w:t>
            </w:r>
            <w:r>
              <w:rPr>
                <w:rFonts w:hint="eastAsia" w:ascii="宋体" w:hAnsi="宋体" w:eastAsia="宋体" w:cs="宋体"/>
                <w:bCs/>
                <w:color w:val="auto"/>
                <w:sz w:val="24"/>
                <w:highlight w:val="none"/>
              </w:rPr>
              <w:br/>
            </w:r>
            <w:r>
              <w:rPr>
                <w:rFonts w:hint="eastAsia" w:ascii="宋体" w:hAnsi="宋体" w:eastAsia="宋体" w:cs="宋体"/>
                <w:bCs/>
                <w:color w:val="auto"/>
                <w:sz w:val="24"/>
                <w:highlight w:val="none"/>
              </w:rPr>
              <w:t xml:space="preserve">电机组控制系统：自动数显模式启动、监测电流、电压、水温、故障报警、使用功率、输出电流电压等数值</w:t>
            </w:r>
            <w:r>
              <w:rPr>
                <w:rFonts w:hint="eastAsia" w:ascii="宋体" w:hAnsi="宋体" w:eastAsia="宋体" w:cs="宋体"/>
                <w:bCs/>
                <w:color w:val="auto"/>
                <w:sz w:val="24"/>
                <w:highlight w:val="none"/>
              </w:rPr>
              <w:br/>
            </w:r>
            <w:r>
              <w:rPr>
                <w:rFonts w:hint="eastAsia" w:ascii="宋体" w:hAnsi="宋体" w:eastAsia="宋体" w:cs="宋体"/>
                <w:bCs/>
                <w:color w:val="auto"/>
                <w:sz w:val="24"/>
                <w:highlight w:val="none"/>
              </w:rPr>
              <w:t xml:space="preserve">配电系统：外接电源220V、380V通用插座2只</w:t>
            </w:r>
            <w:r/>
          </w:p>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安全接地装置：专用接地线和地锚组件</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▲电机组额定功率</w:t>
            </w:r>
            <w:r/>
          </w:p>
        </w:tc>
        <w:tc>
          <w:tcPr>
            <w:tcW w:w="3544" w:type="dxa"/>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≥60KW，油箱容积在额定输出功率下，保证连续满负荷工作7小时</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7</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★流量及扬程</w:t>
            </w:r>
            <w:r/>
          </w:p>
        </w:tc>
        <w:tc>
          <w:tcPr>
            <w:tcW w:w="3544" w:type="dxa"/>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总流量≥1000m³/h；单台水泵规定点流量≥500m³/h，单台水泵规定点扬程≥10m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8</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通过性</w:t>
            </w:r>
            <w:r/>
          </w:p>
        </w:tc>
        <w:tc>
          <w:tcPr>
            <w:tcW w:w="354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水泵最大通过颗粒≥20mm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9</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材质</w:t>
            </w:r>
            <w:r/>
          </w:p>
        </w:tc>
        <w:tc>
          <w:tcPr>
            <w:tcW w:w="3544" w:type="dxa"/>
            <w:vAlign w:val="center"/>
            <w:textDirection w:val="lrTb"/>
            <w:noWrap/>
          </w:tcPr>
          <w:p>
            <w:pPr>
              <w:pStyle w:val="760"/>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壳体采用铝合金材质，不锈钢滤网及不锈钢叶轮</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10</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▲安全性</w:t>
            </w:r>
            <w:r/>
          </w:p>
        </w:tc>
        <w:tc>
          <w:tcPr>
            <w:tcW w:w="3544" w:type="dxa"/>
            <w:vAlign w:val="center"/>
            <w:textDirection w:val="lrTb"/>
            <w:noWrap/>
          </w:tcPr>
          <w:p>
            <w:pPr>
              <w:pStyle w:val="760"/>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防护等级≥IP68</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11</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▲功率</w:t>
            </w:r>
            <w:r/>
          </w:p>
        </w:tc>
        <w:tc>
          <w:tcPr>
            <w:tcW w:w="3544" w:type="dxa"/>
            <w:vAlign w:val="center"/>
            <w:textDirection w:val="lrTb"/>
            <w:noWrap/>
          </w:tcPr>
          <w:p>
            <w:pPr>
              <w:pStyle w:val="760"/>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≥20Kw</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12</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额定转速</w:t>
            </w:r>
            <w:r/>
          </w:p>
        </w:tc>
        <w:tc>
          <w:tcPr>
            <w:tcW w:w="3544" w:type="dxa"/>
            <w:vAlign w:val="center"/>
            <w:textDirection w:val="lrTb"/>
            <w:noWrap/>
          </w:tcPr>
          <w:p>
            <w:pPr>
              <w:pStyle w:val="760"/>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≥3000r/min</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13</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▲重量</w:t>
            </w:r>
            <w:r/>
          </w:p>
        </w:tc>
        <w:tc>
          <w:tcPr>
            <w:tcW w:w="3544" w:type="dxa"/>
            <w:vAlign w:val="center"/>
            <w:textDirection w:val="lrTb"/>
            <w:noWrap/>
          </w:tcPr>
          <w:p>
            <w:pPr>
              <w:pStyle w:val="760"/>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单泵重量≤25Kg</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▲不锈钢叶轮</w:t>
            </w:r>
            <w:r/>
          </w:p>
        </w:tc>
        <w:tc>
          <w:tcPr>
            <w:tcW w:w="3544" w:type="dxa"/>
            <w:vAlign w:val="center"/>
            <w:textDirection w:val="lrTb"/>
            <w:noWrap/>
          </w:tcPr>
          <w:p>
            <w:pPr>
              <w:pStyle w:val="760"/>
              <w:spacing w:beforeAutospacing="0" w:afterAutospacing="0" w:line="300" w:lineRule="exact"/>
              <w:rPr>
                <w:rFonts w:ascii="宋体" w:hAnsi="宋体" w:eastAsia="宋体" w:cs="宋体"/>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highlight w:val="none"/>
              </w:rPr>
              <w:t xml:space="preserve">叶轮维氏硬度≥2500HV</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2台水泵控制柜</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15</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防护等级</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防护等级≥IP55</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16</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重量</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≤30Kg</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17</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▲柜体结构</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一泵一控制柜，采用拉杆厢式一体式结构，两侧带有拉环提手，含有拉杆和行走轮。可方便拆卸离车，实现远距离排水</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18</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▲控制方式</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每台水泵配有单独的控制系统，控制系统相互独立，可同时开启，亦可单独开启。采用变频控制,转速可调并采用智能系统控制。中文界面，具有自动障碍保护功能。带有漏电、电流过载、缺相、过压、欠压、过频、欠频、电机过热等保护功能</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附件</w:t>
            </w:r>
            <w:r/>
          </w:p>
        </w:tc>
        <w:tc>
          <w:tcPr>
            <w:tcW w:w="3544"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19</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★公告</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具有工信部公告、符合免征购置税要求、具有3C认证、具有环保公告，整车一体化设计，符合专项作业车改装要求</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 国家工信部公告 </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20</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★配套装置</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救援工具：个人防护服15套、五点式安全带10个、警戒带1000米、防爆照明灯具15套、头灯15个、防护手套15套、对讲机15台</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安全消防：</w:t>
            </w:r>
            <w:r>
              <w:rPr>
                <w:rFonts w:hint="eastAsia" w:ascii="宋体" w:hAnsi="宋体" w:eastAsia="宋体" w:cs="宋体"/>
                <w:color w:val="auto"/>
                <w:spacing w:val="-3"/>
                <w:sz w:val="24"/>
                <w:highlight w:val="none"/>
              </w:rPr>
              <w:t xml:space="preserve">配</w:t>
            </w:r>
            <w:r>
              <w:rPr>
                <w:rFonts w:hint="eastAsia" w:ascii="宋体" w:hAnsi="宋体" w:eastAsia="宋体" w:cs="宋体"/>
                <w:color w:val="auto"/>
                <w:sz w:val="24"/>
                <w:highlight w:val="none"/>
              </w:rPr>
              <w:t xml:space="preserve">水泵浮圈2个，安全绳2根</w:t>
            </w:r>
            <w:r/>
          </w:p>
          <w:p>
            <w:pPr>
              <w:spacing w:line="300" w:lineRule="exact"/>
              <w:rPr>
                <w:rFonts w:ascii="宋体" w:hAnsi="宋体" w:eastAsia="宋体" w:cs="宋体"/>
                <w:color w:val="auto"/>
                <w:spacing w:val="-3"/>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配手提式干粉灭火器≥2只，摆放于车上易拿取处</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电缆：单台水泵自带电缆线2根（≥20m/根），</w:t>
            </w:r>
            <w:r>
              <w:rPr>
                <w:rFonts w:hint="eastAsia" w:ascii="宋体" w:hAnsi="宋体" w:eastAsia="宋体" w:cs="宋体"/>
                <w:color w:val="auto"/>
                <w:spacing w:val="-3"/>
                <w:sz w:val="24"/>
                <w:highlight w:val="none"/>
              </w:rPr>
              <w:t xml:space="preserve">配防</w:t>
            </w:r>
            <w:r/>
          </w:p>
          <w:p>
            <w:pPr>
              <w:ind w:left="468" w:hanging="468"/>
              <w:spacing w:line="300" w:lineRule="exact"/>
              <w:rPr>
                <w:rFonts w:ascii="宋体" w:hAnsi="宋体" w:eastAsia="宋体" w:cs="宋体"/>
                <w:color w:val="auto"/>
                <w:spacing w:val="-3"/>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highlight w:val="none"/>
              </w:rPr>
              <w:t xml:space="preserve">水航空插头</w:t>
            </w:r>
            <w:r/>
          </w:p>
          <w:p>
            <w:pPr>
              <w:ind w:left="480" w:hanging="480"/>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水带：配100m（20-25m分段）</w:t>
            </w:r>
            <w:r/>
          </w:p>
          <w:p>
            <w:pPr>
              <w:ind w:left="480" w:hanging="480"/>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排水带含快速接头，材质</w:t>
            </w:r>
            <w:r/>
          </w:p>
          <w:p>
            <w:pPr>
              <w:ind w:left="480" w:hanging="480"/>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耐压、耐腐蚀、防穿刺</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水带直角转弯保护器2个，水带上水过程遇到直角转弯时减少流量的损耗</w:t>
            </w:r>
            <w:r>
              <w:rPr>
                <w:rFonts w:hint="eastAsia" w:ascii="宋体" w:hAnsi="宋体" w:eastAsia="宋体" w:cs="宋体"/>
                <w:color w:val="auto"/>
                <w:sz w:val="24"/>
                <w:highlight w:val="none"/>
              </w:rPr>
              <w:br/>
            </w:r>
            <w:r>
              <w:rPr>
                <w:rFonts w:hint="eastAsia" w:ascii="宋体" w:hAnsi="宋体" w:eastAsia="宋体" w:cs="宋体"/>
                <w:color w:val="auto"/>
                <w:sz w:val="24"/>
                <w:highlight w:val="none"/>
                <w:lang w:val="zh-CN"/>
              </w:rPr>
              <w:t xml:space="preserve">倒车影像及行车记录仪：</w:t>
            </w:r>
            <w:r>
              <w:rPr>
                <w:rFonts w:hint="eastAsia" w:ascii="宋体" w:hAnsi="宋体" w:eastAsia="宋体" w:cs="宋体"/>
                <w:color w:val="auto"/>
                <w:sz w:val="24"/>
                <w:highlight w:val="none"/>
              </w:rPr>
              <w:t xml:space="preserve">车辆配备彩色显示屏，配有倒车影像；配有行车记录仪</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▲警示标识</w:t>
            </w:r>
            <w:r/>
          </w:p>
        </w:tc>
        <w:tc>
          <w:tcPr>
            <w:tcW w:w="3544" w:type="dxa"/>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警示标识：驾驶室顶部配有工程警灯，并具有喊话器功能</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厢体两侧有爆闪灯，车尾有警示灯，方便行车和警示</w:t>
            </w:r>
            <w:r/>
          </w:p>
          <w:p>
            <w:pPr>
              <w:jc w:val="left"/>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车辆车身形象根据采购人要求进行喷绘（提供国家工信部公告，公告中车辆图片需显示上述所有灯具，公告扫描件应作明显标记）</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照明灯具：车辆顶部安装升降照明灯，可360°旋转，带底座，可折叠回收，可遥控和线控两种操作（提供国家工信部公告，公告中文字说明或车辆图片需显示上述灯具，公告扫描件应作明显标记）</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22</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★组合式防洪板</w:t>
            </w:r>
            <w:r/>
          </w:p>
        </w:tc>
        <w:tc>
          <w:tcPr>
            <w:tcW w:w="3544" w:type="dxa"/>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材质：ABS  制造工艺：一体成型</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直板防洪板整体尺寸：长70cm、宽70cm、高60cm，±5cm重量：4.4kg/个，±5%</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内弯防洪板整体尺寸：长70cm、宽60cm、高60cm，±5cm重量：3.2kg/个，±5%</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外弯防洪板整体尺寸：长70cm、宽40cm、高60cm，±5cm重量：3.2kg/个,±5%</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拉伸强度≥21.5MPa、弯曲强度≥40.5MPa、硬度≥58HD</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直板防洪板、内弯防洪板、外弯防洪板能配套使用，配置比例：70:15:15</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数量：共300块</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gridSpan w:val="7"/>
            <w:tcW w:w="9492"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
                <w:color w:val="auto"/>
                <w:highlight w:val="none"/>
              </w:rPr>
              <w:t xml:space="preserve">二、排涝泵车（子母式、≥2000m³/h）</w:t>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spacing w:line="300" w:lineRule="exact"/>
              <w:rPr>
                <w:rFonts w:ascii="宋体" w:hAnsi="宋体" w:eastAsia="宋体" w:cs="宋体"/>
                <w:bCs/>
                <w:color w:val="auto"/>
                <w:sz w:val="24"/>
                <w:highlight w:val="none"/>
              </w:rPr>
            </w:pPr>
            <w:r>
              <w:rPr>
                <w:rFonts w:hint="eastAsia" w:ascii="宋体" w:hAnsi="宋体" w:eastAsia="宋体" w:cs="宋体"/>
                <w:b/>
                <w:bCs/>
                <w:color w:val="auto"/>
                <w:sz w:val="24"/>
                <w:highlight w:val="none"/>
              </w:rPr>
              <w:t xml:space="preserve">整车</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★基本配置</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排放标准、燃油类别：国Ⅵ、柴油、ABS防抱死</w:t>
            </w:r>
            <w:r>
              <w:rPr>
                <w:rFonts w:hint="eastAsia" w:ascii="宋体" w:hAnsi="宋体" w:eastAsia="宋体" w:cs="宋体"/>
                <w:color w:val="auto"/>
                <w:highlight w:val="none"/>
              </w:rPr>
              <w:br/>
            </w:r>
            <w:r>
              <w:rPr>
                <w:rFonts w:hint="eastAsia" w:ascii="宋体" w:hAnsi="宋体" w:eastAsia="宋体" w:cs="宋体"/>
                <w:color w:val="auto"/>
                <w:highlight w:val="none"/>
              </w:rPr>
              <w:t xml:space="preserve">发动机功率：≥200 Kw（提供国家工信部公告）</w:t>
            </w:r>
            <w:r>
              <w:rPr>
                <w:rFonts w:hint="eastAsia" w:ascii="宋体" w:hAnsi="宋体" w:eastAsia="宋体" w:cs="宋体"/>
                <w:color w:val="auto"/>
                <w:highlight w:val="none"/>
              </w:rPr>
              <w:br/>
            </w:r>
            <w:r>
              <w:rPr>
                <w:rFonts w:hint="eastAsia" w:ascii="宋体" w:hAnsi="宋体" w:eastAsia="宋体" w:cs="宋体"/>
                <w:color w:val="auto"/>
                <w:highlight w:val="none"/>
              </w:rPr>
              <w:t xml:space="preserve">功能要求：直接利用原汽车底盘上发动机或车载发电</w:t>
            </w:r>
            <w:r/>
          </w:p>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机或自带动力作为动力源，对移动排水泵站进行远程控制，使移动排水泵站进入地下通道、地下车库等低矮环境中，快速开展排水抢险作业</w:t>
            </w:r>
            <w:r>
              <w:rPr>
                <w:rFonts w:hint="eastAsia" w:ascii="宋体" w:hAnsi="宋体" w:eastAsia="宋体" w:cs="宋体"/>
                <w:color w:val="auto"/>
                <w:highlight w:val="none"/>
              </w:rPr>
              <w:br/>
            </w:r>
            <w:r>
              <w:rPr>
                <w:rFonts w:hint="eastAsia" w:ascii="宋体" w:hAnsi="宋体" w:eastAsia="宋体" w:cs="宋体"/>
                <w:color w:val="auto"/>
                <w:highlight w:val="none"/>
              </w:rPr>
              <w:t xml:space="preserve">主要构成：整车由汽车底盘、车厢、移动排水泵、便携式水泵、液压系统、控制系统及其他附件等构成</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  </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W w:w="850"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▲整车质量</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总质量</w:t>
            </w:r>
            <w:bookmarkStart w:id="347" w:name="OLE_LINK193"/>
            <w:r/>
            <w:bookmarkStart w:id="348" w:name="OLE_LINK194"/>
            <w:r>
              <w:rPr>
                <w:rFonts w:hint="eastAsia" w:ascii="宋体" w:hAnsi="宋体" w:eastAsia="宋体" w:cs="宋体"/>
                <w:color w:val="auto"/>
                <w:highlight w:val="none"/>
              </w:rPr>
              <w:t xml:space="preserve">≤</w:t>
            </w:r>
            <w:bookmarkEnd w:id="347"/>
            <w:r/>
            <w:bookmarkEnd w:id="348"/>
            <w:r>
              <w:rPr>
                <w:rFonts w:hint="eastAsia" w:ascii="宋体" w:hAnsi="宋体" w:eastAsia="宋体" w:cs="宋体"/>
                <w:color w:val="auto"/>
                <w:highlight w:val="none"/>
              </w:rPr>
              <w:t xml:space="preserve">18000kg，整备质量≥15000kg（提供国家工信部公告）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  </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w:t>
            </w:r>
            <w:r/>
          </w:p>
        </w:tc>
        <w:tc>
          <w:tcPr>
            <w:tcW w:w="850"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▲车辆尺寸</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长≤9900mm，宽≤2600mm，高≤4000mm（提供国家工信部公告）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  </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4</w:t>
            </w:r>
            <w:r/>
          </w:p>
        </w:tc>
        <w:tc>
          <w:tcPr>
            <w:tcW w:w="850"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液压升降装置</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车辆配备液压升降装置，采用遥控+手动控制两种方式，便于设备上下车辆</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14"/>
        </w:trPr>
        <w:tc>
          <w:tcPr>
            <w:tcW w:w="534"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5</w:t>
            </w:r>
            <w:r/>
          </w:p>
        </w:tc>
        <w:tc>
          <w:tcPr>
            <w:tcW w:w="850"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燃油箱</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采用铝合金材质，容积≥150L</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控制系统</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★控制方式</w:t>
            </w:r>
            <w:r/>
          </w:p>
        </w:tc>
        <w:tc>
          <w:tcPr>
            <w:tcW w:w="3544"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采用液压或电力</w:t>
            </w:r>
            <w:r>
              <w:rPr>
                <w:rFonts w:hint="eastAsia" w:ascii="宋体" w:hAnsi="宋体" w:eastAsia="宋体" w:cs="宋体"/>
                <w:color w:val="auto"/>
                <w:sz w:val="24"/>
                <w:highlight w:val="none"/>
              </w:rPr>
              <w:t xml:space="preserve">或自带动力</w:t>
            </w:r>
            <w:r>
              <w:rPr>
                <w:rFonts w:hint="eastAsia" w:ascii="宋体" w:hAnsi="宋体" w:eastAsia="宋体" w:cs="宋体"/>
                <w:color w:val="auto"/>
                <w:sz w:val="24"/>
                <w:highlight w:val="none"/>
                <w:lang w:val="zh-CN"/>
              </w:rPr>
              <w:t xml:space="preserve">驱动，无线遥控控制，电子模块按键操作，</w:t>
            </w:r>
            <w:r>
              <w:rPr>
                <w:rFonts w:hint="eastAsia" w:ascii="宋体" w:hAnsi="宋体" w:eastAsia="宋体" w:cs="宋体"/>
                <w:color w:val="auto"/>
                <w:sz w:val="24"/>
                <w:highlight w:val="none"/>
              </w:rPr>
              <w:t xml:space="preserve">可通过液晶显示屏监测装备运行的各个参数</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7</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★标识显示</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操作控制系统应能清晰体现汽车发动机转速、</w:t>
            </w:r>
            <w:r>
              <w:rPr>
                <w:rFonts w:hint="eastAsia" w:ascii="宋体" w:hAnsi="宋体" w:eastAsia="宋体" w:cs="宋体"/>
                <w:color w:val="auto"/>
                <w:sz w:val="24"/>
                <w:highlight w:val="none"/>
              </w:rPr>
              <w:t xml:space="preserve">发动机水温</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燃油位、</w:t>
            </w:r>
            <w:r>
              <w:rPr>
                <w:rFonts w:hint="eastAsia" w:ascii="宋体" w:hAnsi="宋体" w:eastAsia="宋体" w:cs="宋体"/>
                <w:color w:val="auto"/>
                <w:sz w:val="24"/>
                <w:highlight w:val="none"/>
                <w:lang w:val="zh-CN"/>
              </w:rPr>
              <w:t xml:space="preserve">液压系统压力、油温、</w:t>
            </w:r>
            <w:r>
              <w:rPr>
                <w:rFonts w:hint="eastAsia" w:ascii="宋体" w:hAnsi="宋体" w:eastAsia="宋体" w:cs="宋体"/>
                <w:color w:val="auto"/>
                <w:sz w:val="24"/>
                <w:highlight w:val="none"/>
              </w:rPr>
              <w:t xml:space="preserve">油位等。</w:t>
            </w:r>
            <w:r>
              <w:rPr>
                <w:rFonts w:hint="eastAsia" w:ascii="宋体" w:hAnsi="宋体" w:eastAsia="宋体" w:cs="宋体"/>
                <w:color w:val="auto"/>
                <w:sz w:val="24"/>
                <w:highlight w:val="none"/>
                <w:lang w:val="zh-CN"/>
              </w:rPr>
              <w:t xml:space="preserve">各个控制按钮对应的功能应有明确标识，操作应简单方便</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8</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★遥控系统</w:t>
            </w:r>
            <w:r/>
          </w:p>
        </w:tc>
        <w:tc>
          <w:tcPr>
            <w:tcW w:w="3544"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遥控系统具有控制厢体、移动排水泵站等功能，具有控制发动机的启停、调速、取力器离合、液压系统调压等功能；其显示装置应能清晰体现车辆的工作状态，包括发动机转速、燃油位、上装液压系统压力、液压油温、液压油位等参数。各参数应有明确标识，遥控器的操作应简便快捷</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动力系统</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9</w:t>
            </w:r>
            <w:r/>
          </w:p>
        </w:tc>
        <w:tc>
          <w:tcPr>
            <w:tcW w:w="850" w:type="dxa"/>
            <w:vAlign w:val="center"/>
            <w:textDirection w:val="lrTb"/>
            <w:noWrap/>
          </w:tcPr>
          <w:p>
            <w:pPr>
              <w:spacing w:line="300" w:lineRule="exact"/>
              <w:tabs>
                <w:tab w:val="left" w:pos="247"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▲液压系统（与10、11三选一）</w:t>
            </w:r>
            <w:r/>
          </w:p>
        </w:tc>
        <w:tc>
          <w:tcPr>
            <w:tcW w:w="3544"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厢体车与移动泵站工作时连接的液压油管为</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条。每条油管长度≥50m，其中1条为高压管，通径≥</w:t>
            </w:r>
            <w:r>
              <w:rPr>
                <w:rFonts w:hint="eastAsia" w:ascii="宋体" w:hAnsi="宋体" w:eastAsia="宋体" w:cs="宋体"/>
                <w:color w:val="auto"/>
                <w:sz w:val="24"/>
                <w:highlight w:val="none"/>
              </w:rPr>
              <w:t xml:space="preserve">30</w:t>
            </w:r>
            <w:r>
              <w:rPr>
                <w:rFonts w:hint="eastAsia" w:ascii="宋体" w:hAnsi="宋体" w:eastAsia="宋体" w:cs="宋体"/>
                <w:color w:val="auto"/>
                <w:sz w:val="24"/>
                <w:highlight w:val="none"/>
                <w:lang w:val="zh-CN"/>
              </w:rPr>
              <w:t xml:space="preserve">mm，1条为低压管，通径≥3</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zh-CN"/>
              </w:rPr>
              <w:t xml:space="preserve">mm，1条为马达壳体回油管，通径≥1</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mm</w:t>
            </w:r>
            <w:r/>
          </w:p>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水泵的冷却采用水冷结构，满足系统6小时满负荷连续工作后液压油温不超过75℃</w:t>
            </w:r>
            <w:r/>
          </w:p>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配置</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zh-CN"/>
              </w:rPr>
              <w:t xml:space="preserve">个独立的液压管绞盘，其中高压管绞盘1个，低压管绞盘1个，马达壳体回油液压管绞盘1个，并分别安装在不同位置。高压管及低压管的液压管绞盘配置导绳装置，可实现自动按顺序排绕收放液压管，液压管收放整齐，提高作业效率</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10</w:t>
            </w:r>
            <w:r/>
          </w:p>
        </w:tc>
        <w:tc>
          <w:tcPr>
            <w:tcW w:w="850" w:type="dxa"/>
            <w:vAlign w:val="center"/>
            <w:textDirection w:val="lrTb"/>
            <w:noWrap/>
          </w:tcPr>
          <w:p>
            <w:pPr>
              <w:pStyle w:val="739"/>
              <w:spacing w:line="30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▲发电机组</w:t>
            </w:r>
            <w:r>
              <w:rPr>
                <w:rFonts w:hint="eastAsia" w:ascii="宋体" w:hAnsi="宋体" w:eastAsia="宋体" w:cs="宋体"/>
                <w:color w:val="auto"/>
                <w:sz w:val="24"/>
                <w:szCs w:val="24"/>
                <w:highlight w:val="none"/>
              </w:rPr>
              <w:t xml:space="preserve">（与9、11三选一）</w:t>
            </w:r>
            <w:r/>
          </w:p>
        </w:tc>
        <w:tc>
          <w:tcPr>
            <w:tcW w:w="3544"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功率≥150KW，油箱容积≥400L，在额定输出功率下，保证连续满负荷工作7小时。采用智能控制及按钮开关控制系统，能够检测并显示机组工作时的电压、电流、频率等，显示油压、水温等，具备机组保护、报警提示等作用</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11</w:t>
            </w:r>
            <w:r/>
          </w:p>
        </w:tc>
        <w:tc>
          <w:tcPr>
            <w:tcW w:w="850" w:type="dxa"/>
            <w:vAlign w:val="center"/>
            <w:textDirection w:val="lrTb"/>
            <w:noWrap/>
          </w:tcPr>
          <w:p>
            <w:pPr>
              <w:pStyle w:val="739"/>
              <w:spacing w:line="30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子车自带动力（与9、10三选一）</w:t>
            </w:r>
            <w:r/>
          </w:p>
        </w:tc>
        <w:tc>
          <w:tcPr>
            <w:tcW w:w="3544"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水泵等排水专用装备集成在履带底盘上，采用防脱钢制履带+橡胶块，不会对地面产生破坏，使用寿命长，是一辆可行走的履带式移动泵站</w:t>
            </w:r>
            <w:r/>
          </w:p>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子车自带动力，无需底盘提供动力，作业半径不受限制，功率≥160kw；水泵动力源：上装发动机提供动力，无需接液压油管，方便快捷</w:t>
            </w:r>
            <w:r/>
          </w:p>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控制方式：采用全液压机构控制，电子模块按键操作，并可实现无线遥控操作；遥控操作系统应能控制子车发动机的启停、调速、取力器离合、液压系统调压等功能，遥控器的操作应简便快捷</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子车(移动排水泵)</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12</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★基本配置</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基本要求：移动排水泵站采用橡胶履带底盘，移动排水泵可根据现场实际积水工况遥控调节水泵抽水位置，无需任何人工搬运或者其他辅助设备，即可实现遥控操作移动泵站进行远距离排水，作业距离≥50</w:t>
            </w:r>
            <w:r>
              <w:rPr>
                <w:rFonts w:hint="eastAsia" w:ascii="宋体" w:hAnsi="宋体" w:eastAsia="宋体" w:cs="宋体"/>
                <w:color w:val="auto"/>
                <w:sz w:val="24"/>
                <w:highlight w:val="none"/>
              </w:rPr>
              <w:t xml:space="preserve">m</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水泵驱动形式：液压或电力或自带动力驱动</w:t>
            </w:r>
            <w:r/>
          </w:p>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水泵动力源：来自原厢体车底盘发动机或发电机组</w:t>
            </w:r>
            <w:r>
              <w:rPr>
                <w:rFonts w:hint="eastAsia" w:ascii="宋体" w:hAnsi="宋体" w:eastAsia="宋体" w:cs="宋体"/>
                <w:color w:val="auto"/>
                <w:sz w:val="24"/>
                <w:highlight w:val="none"/>
              </w:rPr>
              <w:t xml:space="preserve">或上装发动机</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13</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★流量及扬程</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单台水泵规定点流量≥1500m³/h，单台水泵规定点扬程≥15m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水泵吸水口离水面作业最小深度</w:t>
            </w:r>
            <w:r/>
          </w:p>
        </w:tc>
        <w:tc>
          <w:tcPr>
            <w:tcW w:w="3544" w:type="dxa"/>
            <w:vAlign w:val="center"/>
            <w:textDirection w:val="lrTb"/>
            <w:noWrap/>
          </w:tcPr>
          <w:p>
            <w:pPr>
              <w:pStyle w:val="739"/>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15</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外形尺寸</w:t>
            </w:r>
            <w:r/>
          </w:p>
        </w:tc>
        <w:tc>
          <w:tcPr>
            <w:tcW w:w="3544" w:type="dxa"/>
            <w:vAlign w:val="center"/>
            <w:textDirection w:val="lrTb"/>
            <w:noWrap/>
          </w:tcPr>
          <w:p>
            <w:pPr>
              <w:pStyle w:val="942"/>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长度≤3400mm，宽度≤1900mm，高度≤1800mm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16</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w:t>
            </w:r>
            <w:r/>
          </w:p>
        </w:tc>
        <w:tc>
          <w:tcPr>
            <w:tcW w:w="3544" w:type="dxa"/>
            <w:vAlign w:val="center"/>
            <w:textDirection w:val="lrTb"/>
            <w:noWrap/>
          </w:tcPr>
          <w:p>
            <w:pPr>
              <w:pStyle w:val="739"/>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≤4500kg</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17</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▲行走性能</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行走性能：液压驱动，遥控操作，爬坡能力≥35°，行驶速度≥2km/h</w:t>
            </w:r>
            <w:r/>
          </w:p>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上下母车方式：母车后门开启，方便子车进出开展作业</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18</w:t>
            </w:r>
            <w:r/>
          </w:p>
        </w:tc>
        <w:tc>
          <w:tcPr>
            <w:tcW w:w="850" w:type="dxa"/>
            <w:vAlign w:val="center"/>
            <w:textDirection w:val="lrTb"/>
            <w:noWrap/>
          </w:tcPr>
          <w:p>
            <w:pPr>
              <w:pStyle w:val="739"/>
              <w:spacing w:line="3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▲系统控制</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遥控控制+有线控制，无线遥控半径≥100m，子车有线遥控距离≥15m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19</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安全性</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防护等级</w:t>
            </w:r>
            <w:r>
              <w:rPr>
                <w:rFonts w:hint="eastAsia" w:ascii="宋体" w:hAnsi="宋体" w:eastAsia="宋体" w:cs="宋体"/>
                <w:color w:val="auto"/>
                <w:sz w:val="24"/>
                <w:highlight w:val="none"/>
              </w:rPr>
              <w:t xml:space="preserve">≥IP68</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20</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涉水深度</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≥0.4m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w:t>
            </w:r>
            <w:r/>
          </w:p>
        </w:tc>
        <w:tc>
          <w:tcPr>
            <w:tcW w:w="850"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★排水软管</w:t>
            </w:r>
            <w:r/>
          </w:p>
        </w:tc>
        <w:tc>
          <w:tcPr>
            <w:tcW w:w="3544"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排水管采用聚氨酯软管，软管口径≥DN200，配备长度200m，每段30米，工作压力≥0.3MPa，爆破压力≥1MPa，每段排水管均配置一套快速接头</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便携式水泵</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22</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★流量及扬程</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单台水泵规定点流量≥500m³/h，单台水泵规定点扬程≥10m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23</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水泵吸水口离水面作业最小深度</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≤0.2m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24</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单台水泵重量</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≤25Kg</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25</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材质</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水泵叶轮材质：双相不锈钢；泵体材质：优质铝合金</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★水管及快速接头</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配200mm的聚氨酯水管≥100m（20-25m分段），同时配备相应的快速接头</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27</w:t>
            </w:r>
            <w:r/>
          </w:p>
        </w:tc>
        <w:tc>
          <w:tcPr>
            <w:tcW w:w="850"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油管及绞盘（</w:t>
            </w:r>
            <w:r>
              <w:rPr>
                <w:rFonts w:hint="eastAsia" w:ascii="宋体" w:hAnsi="宋体" w:eastAsia="宋体" w:cs="宋体"/>
                <w:color w:val="auto"/>
                <w:sz w:val="24"/>
                <w:highlight w:val="none"/>
              </w:rPr>
              <w:t xml:space="preserve">与28二选一</w:t>
            </w:r>
            <w:r>
              <w:rPr>
                <w:rFonts w:hint="eastAsia" w:ascii="宋体" w:hAnsi="宋体" w:eastAsia="宋体" w:cs="宋体"/>
                <w:color w:val="auto"/>
                <w:sz w:val="24"/>
                <w:highlight w:val="none"/>
                <w:lang w:val="zh-CN"/>
              </w:rPr>
              <w:t xml:space="preserve">）</w:t>
            </w:r>
            <w:r/>
          </w:p>
        </w:tc>
        <w:tc>
          <w:tcPr>
            <w:tcW w:w="3544"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单泵油管长度</w:t>
            </w: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zh-CN"/>
              </w:rPr>
              <w:t xml:space="preserve">0m（进、回油管各</w:t>
            </w:r>
            <w:r>
              <w:rPr>
                <w:rFonts w:hint="eastAsia" w:ascii="宋体" w:hAnsi="宋体" w:eastAsia="宋体" w:cs="宋体"/>
                <w:color w:val="auto"/>
                <w:sz w:val="24"/>
                <w:highlight w:val="none"/>
              </w:rPr>
              <w:t xml:space="preserve">≥25</w:t>
            </w:r>
            <w:r>
              <w:rPr>
                <w:rFonts w:hint="eastAsia" w:ascii="宋体" w:hAnsi="宋体" w:eastAsia="宋体" w:cs="宋体"/>
                <w:color w:val="auto"/>
                <w:sz w:val="24"/>
                <w:highlight w:val="none"/>
                <w:lang w:val="zh-CN"/>
              </w:rPr>
              <w:t xml:space="preserve">m），配备油管绞盘</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w:t>
            </w:r>
            <w:r/>
          </w:p>
        </w:tc>
        <w:tc>
          <w:tcPr>
            <w:tcW w:w="850"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电缆（</w:t>
            </w:r>
            <w:r>
              <w:rPr>
                <w:rFonts w:hint="eastAsia" w:ascii="宋体" w:hAnsi="宋体" w:eastAsia="宋体" w:cs="宋体"/>
                <w:color w:val="auto"/>
                <w:sz w:val="24"/>
                <w:highlight w:val="none"/>
              </w:rPr>
              <w:t xml:space="preserve">与27二选一</w:t>
            </w:r>
            <w:r>
              <w:rPr>
                <w:rFonts w:hint="eastAsia" w:ascii="宋体" w:hAnsi="宋体" w:eastAsia="宋体" w:cs="宋体"/>
                <w:color w:val="auto"/>
                <w:sz w:val="24"/>
                <w:highlight w:val="none"/>
                <w:lang w:val="zh-CN"/>
              </w:rPr>
              <w:t xml:space="preserve">）</w:t>
            </w:r>
            <w:r/>
          </w:p>
        </w:tc>
        <w:tc>
          <w:tcPr>
            <w:tcW w:w="3544" w:type="dxa"/>
            <w:vAlign w:val="center"/>
            <w:textDirection w:val="lrTb"/>
            <w:noWrap/>
          </w:tcPr>
          <w:p>
            <w:pPr>
              <w:spacing w:line="300" w:lineRule="exact"/>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单泵配备专用电缆</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0m，</w:t>
            </w:r>
            <w:r>
              <w:rPr>
                <w:rFonts w:hint="eastAsia" w:ascii="宋体" w:hAnsi="宋体" w:eastAsia="宋体" w:cs="宋体"/>
                <w:color w:val="auto"/>
                <w:sz w:val="24"/>
                <w:highlight w:val="none"/>
              </w:rPr>
              <w:t xml:space="preserve">20米分段</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配</w:t>
            </w:r>
            <w:r>
              <w:rPr>
                <w:rFonts w:hint="eastAsia" w:ascii="宋体" w:hAnsi="宋体" w:eastAsia="宋体" w:cs="宋体"/>
                <w:color w:val="auto"/>
                <w:sz w:val="24"/>
                <w:highlight w:val="none"/>
                <w:lang w:val="zh-CN"/>
              </w:rPr>
              <w:t xml:space="preserve">航空插头</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▲操控系统</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便携式水泵可单独控制、调速，且不因负载不同而产生压力、流量失衡；便携式水泵可与主泵同时使用</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附件</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30</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★公告</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具有工信部公告、符合免征购置税要求、具有3C认证、具有环保公告，整车一体化设计，符合专项作业车改装要求</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31</w:t>
            </w:r>
            <w:r/>
          </w:p>
        </w:tc>
        <w:tc>
          <w:tcPr>
            <w:tcW w:w="850" w:type="dxa"/>
            <w:vAlign w:val="center"/>
            <w:textDirection w:val="lrTb"/>
            <w:noWrap/>
          </w:tcPr>
          <w:p>
            <w:pPr>
              <w:spacing w:line="300" w:lineRule="exact"/>
              <w:rPr>
                <w:rFonts w:ascii="宋体" w:hAnsi="宋体" w:eastAsia="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★配套装置</w:t>
            </w:r>
            <w:r/>
          </w:p>
        </w:tc>
        <w:tc>
          <w:tcPr>
            <w:tcW w:w="3544" w:type="dxa"/>
            <w:vAlign w:val="center"/>
            <w:textDirection w:val="lrTb"/>
            <w:noWrap/>
          </w:tcPr>
          <w:p>
            <w:pPr>
              <w:spacing w:line="300" w:lineRule="exac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灭火器：</w:t>
            </w:r>
            <w:r>
              <w:rPr>
                <w:rFonts w:hint="eastAsia" w:ascii="宋体" w:hAnsi="宋体" w:eastAsia="宋体" w:cs="宋体"/>
                <w:color w:val="auto"/>
                <w:highlight w:val="none"/>
              </w:rPr>
              <w:t xml:space="preserve">配手提式干粉灭火器2只，放置于车上易拿取处</w:t>
            </w:r>
            <w:r/>
          </w:p>
          <w:p>
            <w:pPr>
              <w:spacing w:line="300" w:lineRule="exac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维修工具：</w:t>
            </w:r>
            <w:r>
              <w:rPr>
                <w:rFonts w:hint="eastAsia" w:ascii="宋体" w:hAnsi="宋体" w:eastAsia="宋体" w:cs="宋体"/>
                <w:color w:val="auto"/>
                <w:highlight w:val="none"/>
              </w:rPr>
              <w:t xml:space="preserve">车载配有常用维修工具，满足日常检修维护需要</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倒车影像及行车记录仪：</w:t>
            </w:r>
            <w:r>
              <w:rPr>
                <w:rFonts w:hint="eastAsia" w:ascii="宋体" w:hAnsi="宋体" w:eastAsia="宋体" w:cs="宋体"/>
                <w:color w:val="auto"/>
                <w:sz w:val="24"/>
                <w:highlight w:val="none"/>
              </w:rPr>
              <w:t xml:space="preserve">车辆配备彩色显示屏，配有倒车影像；配有行车记录仪</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32</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警示标识</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警示标识：驾驶室顶部配有工程警灯，并具有喊话器功能</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厢体两侧有爆闪灯，车尾有警示灯，方便行车和警示</w:t>
            </w:r>
            <w:r/>
          </w:p>
          <w:p>
            <w:pPr>
              <w:jc w:val="left"/>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车辆车身形象根据采购人要求进行喷绘（提供国家工信部公告，公告中车辆图片需显示上述所有灯具，公告扫描件应作明显标记）</w:t>
            </w:r>
            <w:r>
              <w:rPr>
                <w:rFonts w:hint="eastAsia" w:ascii="宋体" w:hAnsi="宋体" w:eastAsia="宋体" w:cs="宋体"/>
                <w:color w:val="auto"/>
                <w:sz w:val="24"/>
                <w:highlight w:val="none"/>
              </w:rPr>
              <w:br/>
            </w:r>
            <w:r>
              <w:rPr>
                <w:rFonts w:hint="eastAsia" w:ascii="宋体" w:hAnsi="宋体" w:eastAsia="宋体" w:cs="宋体"/>
                <w:bCs/>
                <w:color w:val="auto"/>
                <w:sz w:val="24"/>
                <w:highlight w:val="none"/>
              </w:rPr>
              <w:t xml:space="preserve">作业遥控探照灯：</w:t>
            </w:r>
            <w:r>
              <w:rPr>
                <w:rFonts w:hint="eastAsia" w:ascii="宋体" w:hAnsi="宋体" w:eastAsia="宋体" w:cs="宋体"/>
                <w:color w:val="auto"/>
                <w:sz w:val="24"/>
                <w:highlight w:val="none"/>
              </w:rPr>
              <w:t xml:space="preserve">车辆顶部安装作业遥控探照灯，可左右360度旋转；上下方向0-160度旋转，可适应全天候工作（提供国家工信部公告，公告中文字说明或车辆图片需显示上述灯具，公告扫描件应作明显标记）</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gridSpan w:val="7"/>
            <w:tcW w:w="9492"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
                <w:color w:val="auto"/>
                <w:highlight w:val="none"/>
              </w:rPr>
              <w:t xml:space="preserve">三、排涝泵车（≥3000m³/h）</w:t>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bCs/>
                <w:color w:val="auto"/>
                <w:highlight w:val="none"/>
              </w:rPr>
              <w:t xml:space="preserve">整车</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W w:w="850"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★基本配置</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排放标准、燃油类别：国Ⅵ、柴油、ABS防抱死</w:t>
            </w:r>
            <w:r/>
          </w:p>
          <w:p>
            <w:pPr>
              <w:pStyle w:val="760"/>
              <w:spacing w:beforeAutospacing="0" w:afterAutospacing="0" w:line="300" w:lineRule="exac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发动机功率：≥95Kw（提供国家工信部公告）</w:t>
            </w:r>
            <w:r/>
          </w:p>
          <w:p>
            <w:pPr>
              <w:pStyle w:val="760"/>
              <w:spacing w:beforeAutospacing="0" w:afterAutospacing="0" w:line="300" w:lineRule="exac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厢体：隔热、保温、降噪、防水、全密封、厢内照明、自动换气</w:t>
            </w:r>
            <w:r/>
          </w:p>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内部多舱分布，厢体左右侧和后部开门</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  </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W w:w="850"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▲整车质量</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总质量≤10000kg，整备质量≥8000kg（提供国家工信部公告）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  </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49" w:name="_Hlk217632524"/>
            <w:r>
              <w:rPr>
                <w:rFonts w:hint="eastAsia" w:ascii="宋体" w:hAnsi="宋体" w:eastAsia="宋体" w:cs="宋体"/>
                <w:bCs/>
                <w:color w:val="auto"/>
                <w:highlight w:val="none"/>
              </w:rPr>
              <w:t xml:space="preserve">3</w:t>
            </w:r>
            <w:r/>
          </w:p>
        </w:tc>
        <w:tc>
          <w:tcPr>
            <w:tcW w:w="850"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▲车辆尺寸</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长≤8000mm，宽≤2600mm，高≤3600mm（提供国家工信部公告）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50" w:name="OLE_LINK265"/>
            <w:r/>
            <w:bookmarkStart w:id="351" w:name="OLE_LINK264"/>
            <w:r>
              <w:rPr>
                <w:rFonts w:hint="eastAsia" w:ascii="宋体" w:hAnsi="宋体" w:eastAsia="宋体" w:cs="宋体"/>
                <w:bCs/>
                <w:color w:val="auto"/>
                <w:highlight w:val="none"/>
              </w:rPr>
              <w:t xml:space="preserve">国家工信部公告</w:t>
            </w:r>
            <w:bookmarkEnd w:id="350"/>
            <w:r/>
            <w:bookmarkEnd w:id="351"/>
            <w:r>
              <w:rPr>
                <w:rFonts w:hint="eastAsia" w:ascii="宋体" w:hAnsi="宋体" w:eastAsia="宋体" w:cs="宋体"/>
                <w:bCs/>
                <w:color w:val="auto"/>
                <w:highlight w:val="none"/>
              </w:rPr>
              <w:t xml:space="preserve">  </w:t>
            </w:r>
            <w:bookmarkEnd w:id="349"/>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52" w:name="_Hlk225758381"/>
            <w:r>
              <w:rPr>
                <w:rFonts w:hint="eastAsia" w:ascii="宋体" w:hAnsi="宋体" w:eastAsia="宋体" w:cs="宋体"/>
                <w:bCs/>
                <w:color w:val="auto"/>
                <w:highlight w:val="none"/>
              </w:rPr>
              <w:t xml:space="preserve">4</w:t>
            </w:r>
            <w:r/>
          </w:p>
        </w:tc>
        <w:tc>
          <w:tcPr>
            <w:tcW w:w="850" w:type="dxa"/>
            <w:vAlign w:val="center"/>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▲休息室或双排座</w:t>
            </w:r>
            <w:r/>
          </w:p>
        </w:tc>
        <w:tc>
          <w:tcPr>
            <w:tcW w:w="3544" w:type="dxa"/>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设置独立休息室，安装发电机组控制与监控面板，设置休息卧铺、空调、饮水机、工作桌板等物品， 操作室门设备观察窗口，方便抢险人员休息</w:t>
            </w:r>
            <w:r/>
          </w:p>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或车辆具有双排座，方便抢险人员休息</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bookmarkEnd w:id="352"/>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电控系统</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▲发电机组</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发电机组功率≥150kw，满足整车满负荷运行所需功率，机组运行稳定；电路保护：带漏电保护，过载、过热保护。装配部件：配电柜等。功率负荷：车满负荷运行所需功率机组运行稳定，系统 三相四线制。额定电压：线电压380V±10%，相电压 220V±10%</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★基本配置</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工作时限：发电机组油箱容积在额定输出功率下，可以连续工作≥8小时</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操作屏：配有智能液晶操作屏，可控制机组的启动、停止，可显示机组运行参数、油液信息及故障信息</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配电系统：外接电源220V、380V插座</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安全接地装置:专用接地线和地锚组件</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7</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▲控制系统</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每台水泵配有单独的控制系统，控制系统相互独立，可同时开启，亦可单独开启。控制系统有可视化操作界面，实时监测运行参数，带有漏电、电流过载、缺相、过压、欠压、电机过热等保护；防护等级≥IP55</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便携式潜水泵</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8</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≥5台</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9</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★潜水泵</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单台泵规定点流量下的扬程：流量≥600m³/h时，扬程≥8m ；流量≥500m³/h时，扬程≥10m </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10</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出水口径</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200mm，壳体采用铝合金材质，不锈钢滤网，带蝶形螺母及不锈钢叶轮</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11</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▲安全性</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防护等级≥IP68</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12</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通过性</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水泵最大通过颗粒</w:t>
            </w:r>
            <w:r>
              <w:rPr>
                <w:rFonts w:hint="eastAsia" w:ascii="宋体" w:hAnsi="宋体" w:eastAsia="宋体" w:cs="宋体"/>
                <w:color w:val="auto"/>
                <w:spacing w:val="-3"/>
                <w:sz w:val="24"/>
                <w:highlight w:val="none"/>
              </w:rPr>
              <w:t xml:space="preserve">≥</w:t>
            </w:r>
            <w:r>
              <w:rPr>
                <w:rFonts w:hint="eastAsia" w:ascii="宋体" w:hAnsi="宋体" w:eastAsia="宋体" w:cs="宋体"/>
                <w:color w:val="auto"/>
                <w:sz w:val="24"/>
                <w:highlight w:val="none"/>
              </w:rPr>
              <w:t xml:space="preserve">20mm</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13</w:t>
            </w:r>
            <w:r/>
          </w:p>
        </w:tc>
        <w:tc>
          <w:tcPr>
            <w:tcW w:w="850"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pacing w:val="8"/>
                <w:sz w:val="24"/>
                <w:highlight w:val="none"/>
              </w:rPr>
              <w:t xml:space="preserve">▲</w:t>
            </w:r>
            <w:r>
              <w:rPr>
                <w:rFonts w:hint="eastAsia" w:ascii="宋体" w:hAnsi="宋体" w:eastAsia="宋体" w:cs="宋体"/>
                <w:color w:val="auto"/>
                <w:sz w:val="24"/>
                <w:highlight w:val="none"/>
              </w:rPr>
              <w:t xml:space="preserve">功率、重量</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攻率：单泵规定点功率</w:t>
            </w:r>
            <w:r>
              <w:rPr>
                <w:rFonts w:hint="eastAsia" w:ascii="宋体" w:hAnsi="宋体" w:eastAsia="宋体" w:cs="宋体"/>
                <w:color w:val="auto"/>
                <w:spacing w:val="-3"/>
                <w:sz w:val="24"/>
                <w:highlight w:val="none"/>
              </w:rPr>
              <w:t xml:space="preserve">≥</w:t>
            </w:r>
            <w:r>
              <w:rPr>
                <w:rFonts w:hint="eastAsia" w:ascii="宋体" w:hAnsi="宋体" w:eastAsia="宋体" w:cs="宋体"/>
                <w:color w:val="auto"/>
                <w:sz w:val="24"/>
                <w:highlight w:val="none"/>
              </w:rPr>
              <w:t xml:space="preserve">20Kw</w:t>
            </w:r>
            <w:r/>
          </w:p>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重量：单泵重量≤25Kg</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w:t>
            </w:r>
            <w:r>
              <w:rPr>
                <w:rFonts w:hint="eastAsia" w:ascii="宋体" w:hAnsi="宋体" w:eastAsia="宋体" w:cs="宋体"/>
                <w:color w:val="auto"/>
                <w:sz w:val="24"/>
                <w:highlight w:val="none"/>
              </w:rPr>
              <w:t xml:space="preserve">叶轮维氏硬度</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≥2500HV</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53" w:name="_Hlk225758427"/>
            <w:r>
              <w:rPr>
                <w:rFonts w:hint="eastAsia" w:ascii="宋体" w:hAnsi="宋体" w:eastAsia="宋体" w:cs="宋体"/>
                <w:bCs/>
                <w:color w:val="auto"/>
                <w:highlight w:val="none"/>
              </w:rPr>
              <w:t xml:space="preserve">15</w:t>
            </w:r>
            <w:r/>
          </w:p>
        </w:tc>
        <w:tc>
          <w:tcPr>
            <w:tcW w:w="850" w:type="dxa"/>
            <w:vAlign w:val="center"/>
            <w:textDirection w:val="lrTb"/>
            <w:noWrap/>
          </w:tcPr>
          <w:p>
            <w:pPr>
              <w:spacing w:line="300" w:lineRule="exact"/>
              <w:rPr>
                <w:rFonts w:ascii="宋体" w:hAnsi="宋体" w:eastAsia="宋体" w:cs="宋体"/>
                <w:color w:val="auto"/>
                <w:spacing w:val="8"/>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操作便捷性</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无需人工上车搬运水泵，或采用机械自动装取</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bookmarkEnd w:id="353"/>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spacing w:val="-3"/>
                <w:highlight w:val="none"/>
              </w:rPr>
              <w:t xml:space="preserve">潜水泵控制柜</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16</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4"/>
                <w:highlight w:val="none"/>
              </w:rPr>
              <w:t xml:space="preserve">潜水泵控制柜</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数量与潜水泵一致。变频控制柜：采用拉杆厢式一体式结构，含有拉杆和行走轮。控制柜和车体采用螺丝固定，控制柜带防护型底座，具有抗震功能，固定在载体上，可方便拆卸离车，实现远距离排水</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17</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防护等级</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≥IP55</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18</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★控制方式、供电方式</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控制方式：采用变频控制,转速可调并采用智能系统控制。中文界面，具有自动障碍保护功能。带有漏电、电流过载、缺相、过压、欠压、过频、欠频、电机过热等保护</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供电方式：控制系统和水泵可以采用发电机或市电380V供电正常工作</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54" w:name="_Hlk225758480"/>
            <w:r>
              <w:rPr>
                <w:rFonts w:hint="eastAsia" w:ascii="宋体" w:hAnsi="宋体" w:eastAsia="宋体" w:cs="宋体"/>
                <w:bCs/>
                <w:color w:val="auto"/>
                <w:highlight w:val="none"/>
              </w:rPr>
              <w:t xml:space="preserve">19</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重量</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≤30Kg</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bookmarkEnd w:id="354"/>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附件</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20</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★公告</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具有工信部公告、符合免征购置税要求、具有3C认证、具有环保公告，整车一体化设计，符合专项作业车改装要求</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★配套装置</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安全消防：单台水泵配浮圈1个、安全绳2根</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配手提式干粉灭火器≥2只，摆放于车上易拿取处</w:t>
            </w:r>
            <w:r/>
          </w:p>
          <w:p>
            <w:pPr>
              <w:spacing w:line="300" w:lineRule="exact"/>
              <w:rPr>
                <w:rFonts w:ascii="宋体" w:hAnsi="宋体" w:eastAsia="宋体" w:cs="宋体"/>
                <w:color w:val="auto"/>
                <w:spacing w:val="-3"/>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电缆：单台水泵自带电缆线2根（≥20m/根），</w:t>
            </w:r>
            <w:r>
              <w:rPr>
                <w:rFonts w:hint="eastAsia" w:ascii="宋体" w:hAnsi="宋体" w:eastAsia="宋体" w:cs="宋体"/>
                <w:color w:val="auto"/>
                <w:spacing w:val="-3"/>
                <w:sz w:val="24"/>
                <w:highlight w:val="none"/>
              </w:rPr>
              <w:t xml:space="preserve">配防水航空插头</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水带：单台水泵配100m（20-25m分段）排水带含快速接头，材质耐压、耐腐蚀、防穿刺</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水带直角转弯保护器5个，水带上水过程遇到直角转弯时的减少流量的损耗</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倒车影像及行车记录仪：</w:t>
            </w:r>
            <w:r>
              <w:rPr>
                <w:rFonts w:hint="eastAsia" w:ascii="宋体" w:hAnsi="宋体" w:eastAsia="宋体" w:cs="宋体"/>
                <w:color w:val="auto"/>
                <w:sz w:val="24"/>
                <w:highlight w:val="none"/>
              </w:rPr>
              <w:t xml:space="preserve">车辆配备彩色显示屏，配有倒车影像；配有行车记录仪</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22</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4"/>
                <w:highlight w:val="none"/>
              </w:rPr>
              <w:t xml:space="preserve">▲</w:t>
            </w:r>
            <w:r>
              <w:rPr>
                <w:rFonts w:hint="eastAsia" w:ascii="宋体" w:hAnsi="宋体" w:eastAsia="宋体" w:cs="宋体"/>
                <w:color w:val="auto"/>
                <w:sz w:val="24"/>
                <w:highlight w:val="none"/>
              </w:rPr>
              <w:t xml:space="preserve">警示标识</w:t>
            </w:r>
            <w:r/>
          </w:p>
        </w:tc>
        <w:tc>
          <w:tcPr>
            <w:tcW w:w="3544" w:type="dxa"/>
            <w:vAlign w:val="center"/>
            <w:textDirection w:val="lrTb"/>
            <w:noWrap/>
          </w:tcPr>
          <w:p>
            <w:pPr>
              <w:jc w:val="left"/>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警示标识：驾驶室顶部配有工程警灯，并具有喊话器功能，厢体两侧有爆闪灯，车尾有警示灯，方便行车和警示，车辆车身形象根据采购人要求进行喷绘（提供国家工信部公告，公告中车辆图片需显示上述所有灯具，公告扫描件应作明显标记）</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照明灯具：车辆顶部安装升降照明灯，可360°旋转，带底座，可折叠回收，可遥控和线控两种操作（提供国家工信部公告，公告中文字说明或车辆图片需显示上述灯具，公告扫描件应作明显标记）</w:t>
            </w:r>
            <w:r/>
          </w:p>
        </w:tc>
        <w:tc>
          <w:tcPr>
            <w:tcW w:w="1134"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国家工信部公告</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gridSpan w:val="7"/>
            <w:tcW w:w="9492"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
                <w:color w:val="auto"/>
                <w:highlight w:val="none"/>
              </w:rPr>
              <w:t xml:space="preserve">四、联合疏通车（含清洗吸污、18吨）</w:t>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bCs/>
                <w:color w:val="auto"/>
                <w:highlight w:val="none"/>
              </w:rPr>
              <w:t xml:space="preserve">整车</w:t>
            </w:r>
            <w:r/>
          </w:p>
        </w:tc>
        <w:tc>
          <w:tcPr>
            <w:tcW w:w="3544" w:type="dxa"/>
            <w:textDirection w:val="lrTb"/>
            <w:noWrap/>
          </w:tcPr>
          <w:p>
            <w:pPr>
              <w:pStyle w:val="760"/>
              <w:jc w:val="center"/>
              <w:spacing w:beforeAutospacing="0" w:afterAutospacing="0" w:line="300" w:lineRule="exact"/>
              <w:rPr>
                <w:rFonts w:ascii="宋体" w:hAnsi="宋体" w:eastAsia="宋体" w:cs="宋体"/>
                <w:color w:val="auto"/>
                <w:highlight w:val="none"/>
              </w:rPr>
            </w:pPr>
            <w:r>
              <w:rPr>
                <w:rFonts w:ascii="宋体" w:hAnsi="宋体" w:eastAsia="宋体" w:cs="宋体"/>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ascii="宋体" w:hAnsi="宋体" w:eastAsia="宋体" w:cs="宋体"/>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ascii="宋体" w:hAnsi="宋体" w:eastAsia="宋体" w:cs="宋体"/>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★排放标准、燃油类别</w:t>
            </w:r>
            <w:r/>
          </w:p>
        </w:tc>
        <w:tc>
          <w:tcPr>
            <w:tcW w:w="3544" w:type="dxa"/>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国Ⅵ、柴油、ABS防抱死</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ascii="宋体" w:hAnsi="宋体" w:eastAsia="宋体" w:cs="宋体"/>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▲总质量</w:t>
            </w:r>
            <w:r/>
          </w:p>
        </w:tc>
        <w:tc>
          <w:tcPr>
            <w:tcW w:w="3544" w:type="dxa"/>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18000kg±500kg（提供国家工信部公告）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国家工信部公告  </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▲功率</w:t>
            </w:r>
            <w:r/>
          </w:p>
        </w:tc>
        <w:tc>
          <w:tcPr>
            <w:tcW w:w="3544" w:type="dxa"/>
            <w:textDirection w:val="lrTb"/>
            <w:noWrap/>
          </w:tcPr>
          <w:p>
            <w:pPr>
              <w:pStyle w:val="760"/>
              <w:jc w:val="center"/>
              <w:spacing w:beforeAutospacing="0" w:afterAutospacing="0" w:line="300" w:lineRule="exact"/>
              <w:rPr>
                <w:rFonts w:ascii="宋体" w:hAnsi="宋体" w:eastAsia="宋体" w:cs="宋体"/>
                <w:color w:val="auto"/>
                <w:highlight w:val="none"/>
              </w:rPr>
            </w:pPr>
            <w:r/>
            <w:bookmarkStart w:id="355" w:name="OLE_LINK200"/>
            <w:r/>
            <w:bookmarkStart w:id="356" w:name="OLE_LINK199"/>
            <w:r>
              <w:rPr>
                <w:rFonts w:hint="eastAsia" w:ascii="宋体" w:hAnsi="宋体" w:eastAsia="宋体" w:cs="宋体"/>
                <w:color w:val="auto"/>
                <w:highlight w:val="none"/>
              </w:rPr>
              <w:t xml:space="preserve">≥</w:t>
            </w:r>
            <w:bookmarkEnd w:id="355"/>
            <w:r/>
            <w:bookmarkEnd w:id="356"/>
            <w:r>
              <w:rPr>
                <w:rFonts w:hint="eastAsia" w:ascii="宋体" w:hAnsi="宋体" w:eastAsia="宋体" w:cs="宋体"/>
                <w:color w:val="auto"/>
                <w:highlight w:val="none"/>
              </w:rPr>
              <w:t xml:space="preserve">165Kw（提供国家工信部公告）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国家工信部公告  </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▲整备质量、额定载质量</w:t>
            </w:r>
            <w:r/>
          </w:p>
        </w:tc>
        <w:tc>
          <w:tcPr>
            <w:tcW w:w="3544" w:type="dxa"/>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整备质量≥11000kg，额定载质量≥5700kg（提供国家工信部公告）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国家工信部公告 </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57" w:name="_Hlk225758770"/>
            <w:r>
              <w:rPr>
                <w:rFonts w:hint="eastAsia" w:ascii="宋体" w:hAnsi="宋体" w:eastAsia="宋体" w:cs="宋体"/>
                <w:bCs/>
                <w:color w:val="auto"/>
                <w:highlight w:val="none"/>
              </w:rPr>
              <w:t xml:space="preserve">5</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▲车辆尺寸</w:t>
            </w:r>
            <w:r/>
          </w:p>
        </w:tc>
        <w:tc>
          <w:tcPr>
            <w:tcW w:w="3544" w:type="dxa"/>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长≥8000mm，宽≥2500mm，高≥3550mm（提供国家工信部公告）</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58" w:name="OLE_LINK271"/>
            <w:r/>
            <w:bookmarkStart w:id="359" w:name="OLE_LINK270"/>
            <w:r>
              <w:rPr>
                <w:rFonts w:hint="eastAsia" w:ascii="宋体" w:hAnsi="宋体" w:eastAsia="宋体" w:cs="宋体"/>
                <w:color w:val="auto"/>
                <w:highlight w:val="none"/>
              </w:rPr>
              <w:t xml:space="preserve">国家工信部公告</w:t>
            </w:r>
            <w:bookmarkEnd w:id="358"/>
            <w:r/>
            <w:bookmarkEnd w:id="359"/>
            <w:r>
              <w:rPr>
                <w:rFonts w:hint="eastAsia" w:ascii="宋体" w:hAnsi="宋体" w:eastAsia="宋体" w:cs="宋体"/>
                <w:color w:val="auto"/>
                <w:highlight w:val="none"/>
              </w:rPr>
              <w:t xml:space="preserve"> </w:t>
            </w:r>
            <w:bookmarkEnd w:id="357"/>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清水罐</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▲清水罐总容积</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≥3.5m³（提供国家工信部公告）</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国家工信部公告</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7</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en-US"/>
              </w:rPr>
              <w:t xml:space="preserve">罐体材质</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不锈钢</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8</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★罐体壁厚</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≥3mm       </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污水罐</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9</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▲污水罐总容积</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≥7.5m³（提供国家工信部公告）</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国家工信部公告</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10</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★罐体壁厚</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≥5mm      </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11</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设计压力、工作压力</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设计压力全真空，工作压力≤-0.9bar</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12</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排污阀</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2个（自动、手动各1个）</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13</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罐体举升方式</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罐体举升方式：液压前顶油缸举升卸料</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罐体举升角度</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罐体举升角度：≥45°</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15</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en-US"/>
              </w:rPr>
              <w:t xml:space="preserve">泥水分离</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配置泥水分离装置，具备泥水分离及自动运行功能</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16</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en-US"/>
              </w:rPr>
              <w:t xml:space="preserve">▲污水排放</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具备将分离后的污水经吸污臂反排功能</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17</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en-US"/>
              </w:rPr>
              <w:t xml:space="preserve">安全保护</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en-US"/>
              </w:rPr>
              <w:t xml:space="preserve">吸污车满载自动保护</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高压泵</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18</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▲高压泵</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流量≥210L/min，压力0—20Mpa可调节，功率≥80kw，</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最高转速≥1800rpm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19</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★保护装置</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泵体保护：具有低水位报警及保护装置</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防冻保护：具有冬季排水装置</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真空泵</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20</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真空泵</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空气流量≥900m³/h，真空度≥95%</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★泵体保护</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罐体顶端装有止回阀，液位警报连锁 ，三重保护系统</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22</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抽吸距离</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水平距离≥60m，抽吸深度≥12m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后罐门</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23</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操作</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液压开启</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开启角度≥90°</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60" w:name="_Hlk225759056"/>
            <w:r>
              <w:rPr>
                <w:rFonts w:hint="eastAsia" w:ascii="宋体" w:hAnsi="宋体" w:eastAsia="宋体" w:cs="宋体"/>
                <w:bCs/>
                <w:color w:val="auto"/>
                <w:highlight w:val="none"/>
              </w:rPr>
              <w:t xml:space="preserve">24</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锁紧装置</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罐门锁紧与开合联动，吸污时不会发生泄漏</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bookmarkEnd w:id="360"/>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吸污吊臂</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25</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升降角度</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向上≥15°，向下≥15°</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26</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▲旋臂伸缩尺寸、旋转角</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伸缩尺寸≥1100mm，旋转角≥300°</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61" w:name="_Hlk225759132"/>
            <w:r>
              <w:rPr>
                <w:rFonts w:hint="eastAsia" w:ascii="宋体" w:hAnsi="宋体" w:eastAsia="宋体" w:cs="宋体"/>
                <w:bCs/>
                <w:color w:val="auto"/>
                <w:highlight w:val="none"/>
              </w:rPr>
              <w:t xml:space="preserve">27</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吸污管、吸污头</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吸污管：材质聚氨酯，长度≥12m，直径≥DN100mm(4英寸)</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吸污头：材质铝合金，长度≥1.2m（真空射流）</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bookmarkEnd w:id="361"/>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高压胶管</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28</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高压胶管</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材质：HP软管（双层耐磨钢丝）</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通径、长度: 通径≥DN25mm，长度≥80m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旋转绞盘</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29</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旋转、收放</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水平旋转≥160°，电动液压收放</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30</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卷筒速度、软管控制</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卷筒速度：无级调节开关</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软管控制：手电一体控制</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喷头</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31</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喷头</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蘑菇喷头：2个，用于疏通一般堵塞的管道</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榴弹喷头：1个，用于疏通严重堵塞的管道</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菱形喷头：1个，用于疏通严重堵塞的管道</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spacing w:line="300" w:lineRule="exact"/>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操作控制系统</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32</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▲数字化操控系统</w:t>
            </w:r>
            <w:r/>
          </w:p>
        </w:tc>
        <w:tc>
          <w:tcPr>
            <w:tcW w:w="3544" w:type="dxa"/>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英寸显示器和智能可编程控制器，通过总线分布式控制技术，利用CPU芯片实现对整车操作系统系统的逻辑智能监测和控制，并对整车油门、转速、流量、气压、水压、液位等多路信号进行数字化动态采集和显示，还可实现各种故障进行显示报警和预警提醒、自动切断、手动恢复等功能。另优化整车控制系统功能同时预留后续控制的接口</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62" w:name="_Hlk225759250"/>
            <w:r>
              <w:rPr>
                <w:rFonts w:hint="eastAsia" w:ascii="宋体" w:hAnsi="宋体" w:eastAsia="宋体" w:cs="宋体"/>
                <w:bCs/>
                <w:color w:val="auto"/>
                <w:highlight w:val="none"/>
              </w:rPr>
              <w:t xml:space="preserve">33</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无线控制</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无线遥控器操作（50m范围内）</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bookmarkEnd w:id="362"/>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安全系统</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34</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★安全系统</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保护系统：智能停机保护系统</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喷头防淤保护：配置防止喷头陷入淤泥或打入管道错位处装置</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泄压保护：配置泄压装置，可以自动切断高压水泵的水压</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紧急制动保护：配置紧急制动开关，满足突发状况下的安全保护需求</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自清洁装置</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35</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自清洁装置</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安装位置：位于车辆尾部，便于清洁工作完成后的车体及工作场所</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直径、长度：直径≥9mm，长度≥15m</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高压水枪：1套 ≥40L/min，可用热水</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其他</w:t>
            </w:r>
            <w:r/>
          </w:p>
        </w:tc>
        <w:tc>
          <w:tcPr>
            <w:tcW w:w="3544" w:type="dxa"/>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1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6"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36</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★配套装置</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随车附件：随车工具、同型号备胎1只、易损件及说明书等，灭火器1只、反光背心2件、轮挡2个</w:t>
            </w:r>
            <w:r/>
          </w:p>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倒车影像及行车记录仪：</w:t>
            </w:r>
            <w:r>
              <w:rPr>
                <w:rFonts w:hint="eastAsia" w:ascii="宋体" w:hAnsi="宋体" w:eastAsia="宋体" w:cs="宋体"/>
                <w:color w:val="auto"/>
                <w:sz w:val="24"/>
                <w:highlight w:val="none"/>
              </w:rPr>
              <w:t xml:space="preserve">车辆配备彩色显示屏，配有倒车影像；配有行车记录仪</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37</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★公告</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具有工信部公告、符合免征购置税要求、具有3C认证、具有环保公告，整车一体化设计，符合专项作业车改装要求</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国家工信部公告</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38</w:t>
            </w:r>
            <w:r/>
          </w:p>
        </w:tc>
        <w:tc>
          <w:tcPr>
            <w:tcW w:w="850"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▲警示标识</w:t>
            </w:r>
            <w:r/>
          </w:p>
        </w:tc>
        <w:tc>
          <w:tcPr>
            <w:tcW w:w="3544" w:type="dxa"/>
            <w:vAlign w:val="center"/>
            <w:textDirection w:val="lrTb"/>
            <w:noWrap/>
          </w:tcPr>
          <w:p>
            <w:pPr>
              <w:spacing w:line="300" w:lineRule="exact"/>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警示标识：车尾配置箭头式警示灯，车辆车身形象按照采购人要求进行喷绘（提供国家工信部公告，公告中文字说明或车辆图片需显示上述灯具，公告扫描件应作明显标记）</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国家工信部公告</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gridSpan w:val="7"/>
            <w:tcW w:w="9492"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
                <w:color w:val="auto"/>
                <w:highlight w:val="none"/>
              </w:rPr>
              <w:t xml:space="preserve">五、拖拽式移动自吸泵（≥360m³/h）</w:t>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bookmarkStart w:id="363" w:name="OLE_LINK201"/>
            <w:r/>
            <w:bookmarkStart w:id="364" w:name="OLE_LINK202"/>
            <w:r>
              <w:rPr>
                <w:rFonts w:hint="eastAsia" w:ascii="宋体" w:hAnsi="宋体" w:eastAsia="宋体" w:cs="宋体"/>
                <w:color w:val="auto"/>
                <w:highlight w:val="none"/>
              </w:rPr>
              <w:t xml:space="preserve">水泵</w:t>
            </w:r>
            <w:bookmarkEnd w:id="363"/>
            <w:r/>
            <w:bookmarkEnd w:id="364"/>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采用自吸式离心泵，进出水口</w:t>
            </w:r>
            <w:r/>
          </w:p>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口径≥150mm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★最大流量≥360m³/h</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bookmarkStart w:id="365" w:name="_Hlk217633230"/>
            <w:r>
              <w:rPr>
                <w:rFonts w:hint="eastAsia" w:ascii="宋体" w:hAnsi="宋体" w:eastAsia="宋体" w:cs="宋体"/>
                <w:bCs/>
                <w:color w:val="auto"/>
                <w:highlight w:val="none"/>
              </w:rPr>
              <w:t xml:space="preserve">3</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66" w:name="OLE_LINK319"/>
            <w:r/>
            <w:bookmarkStart w:id="367" w:name="OLE_LINK320"/>
            <w:r>
              <w:rPr>
                <w:rFonts w:hint="eastAsia" w:ascii="宋体" w:hAnsi="宋体" w:eastAsia="宋体" w:cs="宋体"/>
                <w:bCs/>
                <w:color w:val="auto"/>
                <w:highlight w:val="none"/>
              </w:rPr>
              <w:t xml:space="preserve">水泵</w:t>
            </w:r>
            <w:bookmarkEnd w:id="366"/>
            <w:r/>
            <w:bookmarkEnd w:id="367"/>
            <w:r/>
            <w:r/>
          </w:p>
        </w:tc>
        <w:tc>
          <w:tcPr>
            <w:tcW w:w="3544" w:type="dxa"/>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▲工况点要求：额定扬程20m时，要求流量≥200m³/h；额定扬程10m时，要求流量≥350m³/h</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bookmarkEnd w:id="365"/>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bookmarkStart w:id="368" w:name="_Hlk225759935"/>
            <w:r>
              <w:rPr>
                <w:rFonts w:hint="eastAsia" w:ascii="宋体" w:hAnsi="宋体" w:eastAsia="宋体" w:cs="宋体"/>
                <w:bCs/>
                <w:color w:val="auto"/>
                <w:highlight w:val="none"/>
              </w:rPr>
              <w:t xml:space="preserve">4</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▲最大扬程≥28m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69" w:name="OLE_LINK321"/>
            <w:r/>
            <w:bookmarkStart w:id="370" w:name="OLE_LINK322"/>
            <w:r>
              <w:rPr>
                <w:rFonts w:hint="eastAsia" w:ascii="宋体" w:hAnsi="宋体" w:eastAsia="宋体" w:cs="宋体"/>
                <w:bCs/>
                <w:color w:val="auto"/>
                <w:highlight w:val="none"/>
              </w:rPr>
              <w:t xml:space="preserve">水泵</w:t>
            </w:r>
            <w:bookmarkEnd w:id="369"/>
            <w:r/>
            <w:bookmarkEnd w:id="370"/>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▲9m垂直吸程情况下上水时间≤60秒 </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汽蚀余量≤1.5m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7</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泵体前端盖设有观察口，可方便打开，方便检修（提供设备照片）</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设备照片</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8</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71" w:name="OLE_LINK326"/>
            <w:r/>
            <w:bookmarkStart w:id="372" w:name="OLE_LINK325"/>
            <w:r>
              <w:rPr>
                <w:rFonts w:hint="eastAsia" w:ascii="宋体" w:hAnsi="宋体" w:eastAsia="宋体" w:cs="宋体"/>
                <w:bCs/>
                <w:color w:val="auto"/>
                <w:highlight w:val="none"/>
              </w:rPr>
              <w:t xml:space="preserve">水泵</w:t>
            </w:r>
            <w:bookmarkEnd w:id="371"/>
            <w:r/>
            <w:bookmarkEnd w:id="372"/>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▲最大通过颗粒直径≥75mm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9</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▲采用“真空辅助自吸式水泵”,使用前泵体里无需加水，实现干自吸，真空泵与发动机需要同时工作，无需控制启停，保证使用的连续性</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10</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整机重量≤1400Kg，整机长度≤3700mm（含水泵接头和拖杆长度），整机宽≤1700mm，整机高≤2400mm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11</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整机油箱容量≥120 L</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12</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73" w:name="OLE_LINK327"/>
            <w:r/>
            <w:bookmarkStart w:id="374" w:name="OLE_LINK328"/>
            <w:r>
              <w:rPr>
                <w:rFonts w:hint="eastAsia" w:ascii="宋体" w:hAnsi="宋体" w:eastAsia="宋体" w:cs="宋体"/>
                <w:bCs/>
                <w:color w:val="auto"/>
                <w:highlight w:val="none"/>
              </w:rPr>
              <w:t xml:space="preserve">发动机</w:t>
            </w:r>
            <w:bookmarkEnd w:id="373"/>
            <w:r/>
            <w:bookmarkEnd w:id="374"/>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发动机形式：水冷四缸柴油机</w:t>
            </w:r>
            <w:r/>
          </w:p>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启动方式：电启动</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13</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发动机</w:t>
            </w:r>
            <w:r/>
          </w:p>
        </w:tc>
        <w:tc>
          <w:tcPr>
            <w:tcW w:w="3544" w:type="dxa"/>
            <w:vAlign w:val="center"/>
            <w:textDirection w:val="lrTb"/>
            <w:noWrap/>
          </w:tcPr>
          <w:p>
            <w:pP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▲发动机功率≥20Kw，耗油量≤7L/h</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发动机</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▲发动机环保标准不低于（GB 20891-2014）非道路移动机械柴油机污染物排放限值及测量方法第三阶段标准</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15</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发动机</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具备电子供油系统</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16</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真空系统</w:t>
            </w:r>
            <w:r/>
          </w:p>
        </w:tc>
        <w:tc>
          <w:tcPr>
            <w:tcW w:w="3544" w:type="dxa"/>
            <w:vAlign w:val="center"/>
            <w:textDirection w:val="lrTb"/>
            <w:noWrap/>
          </w:tcPr>
          <w:p>
            <w:pPr>
              <w:spacing w:line="300" w:lineRule="exact"/>
              <w:tabs>
                <w:tab w:val="left" w:pos="42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泵用真空辅助上水系统：带有气水分离器，能够快速上水；带有真空泵保护系统</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17</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真空系统</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▲真空泵：排气量≥60m³/h，真空度≥10mbar，噪音≤70dB，重量≤50Kg(提供</w:t>
            </w:r>
            <w:bookmarkStart w:id="375" w:name="OLE_LINK329"/>
            <w:r>
              <w:rPr>
                <w:rFonts w:hint="eastAsia" w:ascii="宋体" w:hAnsi="宋体" w:eastAsia="宋体" w:cs="宋体"/>
                <w:color w:val="auto"/>
                <w:sz w:val="24"/>
                <w:highlight w:val="none"/>
              </w:rPr>
              <w:t xml:space="preserve">产品彩页或说明书</w:t>
            </w:r>
            <w:bookmarkEnd w:id="375"/>
            <w:r>
              <w:rPr>
                <w:rFonts w:hint="eastAsia" w:ascii="宋体" w:hAnsi="宋体" w:eastAsia="宋体" w:cs="宋体"/>
                <w:color w:val="auto"/>
                <w:sz w:val="24"/>
                <w:highlight w:val="none"/>
              </w:rPr>
              <w:t xml:space="preserve">）；采用油润滑形式真空泵</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产品彩页或说明书</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bookmarkStart w:id="376" w:name="_Hlk225759717"/>
            <w:r>
              <w:rPr>
                <w:rFonts w:hint="eastAsia" w:ascii="宋体" w:hAnsi="宋体" w:eastAsia="宋体" w:cs="宋体"/>
                <w:bCs/>
                <w:color w:val="auto"/>
                <w:highlight w:val="none"/>
              </w:rPr>
              <w:t xml:space="preserve">18</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bookmarkStart w:id="377" w:name="OLE_LINK331"/>
            <w:r/>
            <w:bookmarkStart w:id="378" w:name="OLE_LINK330"/>
            <w:r>
              <w:rPr>
                <w:rFonts w:hint="eastAsia" w:ascii="宋体" w:hAnsi="宋体" w:eastAsia="宋体" w:cs="宋体"/>
                <w:bCs/>
                <w:color w:val="auto"/>
                <w:highlight w:val="none"/>
              </w:rPr>
              <w:t xml:space="preserve">控制箱</w:t>
            </w:r>
            <w:bookmarkEnd w:id="377"/>
            <w:r/>
            <w:bookmarkEnd w:id="378"/>
            <w:r/>
            <w:r/>
          </w:p>
        </w:tc>
        <w:tc>
          <w:tcPr>
            <w:tcW w:w="3544" w:type="dxa"/>
            <w:vAlign w:val="center"/>
            <w:textDirection w:val="lrTb"/>
            <w:noWrap/>
          </w:tcPr>
          <w:p>
            <w:pPr>
              <w:spacing w:line="300" w:lineRule="exact"/>
              <w:tabs>
                <w:tab w:val="left" w:pos="425" w:leader="none"/>
              </w:tabs>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★控制面板：设有门锁（防盗）、电源开关充电指示灯、紧急停机按钮</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bookmarkEnd w:id="376"/>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19</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控制箱</w:t>
            </w:r>
            <w:r/>
          </w:p>
        </w:tc>
        <w:tc>
          <w:tcPr>
            <w:tcW w:w="3544" w:type="dxa"/>
            <w:vAlign w:val="center"/>
            <w:textDirection w:val="lrTb"/>
            <w:noWrap/>
          </w:tcPr>
          <w:p>
            <w:pPr>
              <w:spacing w:line="300" w:lineRule="exact"/>
              <w:tabs>
                <w:tab w:val="left" w:pos="42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★智能控制器：负责机组启停，保护及参数的查看</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20</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控制箱</w:t>
            </w:r>
            <w:r/>
          </w:p>
        </w:tc>
        <w:tc>
          <w:tcPr>
            <w:tcW w:w="3544" w:type="dxa"/>
            <w:vAlign w:val="center"/>
            <w:textDirection w:val="lrTb"/>
            <w:noWrap/>
          </w:tcPr>
          <w:p>
            <w:pPr>
              <w:spacing w:line="300" w:lineRule="exact"/>
              <w:tabs>
                <w:tab w:val="left" w:pos="42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★检测故障：油压低、水温/缸温过高、紧急停机报警、超速停机</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控制箱</w:t>
            </w:r>
            <w:r/>
          </w:p>
        </w:tc>
        <w:tc>
          <w:tcPr>
            <w:tcW w:w="3544" w:type="dxa"/>
            <w:vAlign w:val="center"/>
            <w:textDirection w:val="lrTb"/>
            <w:noWrap/>
          </w:tcPr>
          <w:p>
            <w:pPr>
              <w:spacing w:line="300" w:lineRule="exact"/>
              <w:tabs>
                <w:tab w:val="left" w:pos="425" w:leader="none"/>
              </w:tabs>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面板图形LCD显示参数及指示故障状态，提供真实有效的故障报警</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bookmarkStart w:id="379" w:name="_Hlk225759731"/>
            <w:r>
              <w:rPr>
                <w:rFonts w:hint="eastAsia" w:ascii="宋体" w:hAnsi="宋体" w:eastAsia="宋体" w:cs="宋体"/>
                <w:bCs/>
                <w:color w:val="auto"/>
                <w:highlight w:val="none"/>
              </w:rPr>
              <w:t xml:space="preserve">22</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控制箱</w:t>
            </w:r>
            <w:r/>
          </w:p>
        </w:tc>
        <w:tc>
          <w:tcPr>
            <w:tcW w:w="3544" w:type="dxa"/>
            <w:vAlign w:val="center"/>
            <w:textDirection w:val="lrTb"/>
            <w:noWrap/>
          </w:tcPr>
          <w:p>
            <w:pPr>
              <w:spacing w:line="300" w:lineRule="exact"/>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可适应12V或24V启动电池环境；无需钥匙，一键启动；显示油压转速电池容量；可显示单次用时和总用时</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bookmarkEnd w:id="379"/>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23</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其他</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拖车带有支撑腿及双轱辘导向轮；配有电瓶断电开关；油箱配有防盗油装置；拖挂结构采用缓冲设计，方便连接并被汽车牵引行走时速≥30KM/时</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24</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其他</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备水泵进、出水管及专用快速接头（单泵）；单根吸水管≥8m，材质PVC，耐负压≥0.95标准大气压（3根、总长度≥24m）；单卷水带≥25m，采用涤纶长丝内衬聚氨酯，水带设计压力≥0.8MPa，爆破压力≥2.4Mpa（4卷、总长度≥100m，含接头）</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bookmarkStart w:id="380" w:name="_Hlk225759862"/>
            <w:r>
              <w:rPr>
                <w:rFonts w:hint="eastAsia" w:ascii="宋体" w:hAnsi="宋体" w:eastAsia="宋体" w:cs="宋体"/>
                <w:bCs/>
                <w:color w:val="auto"/>
                <w:highlight w:val="none"/>
              </w:rPr>
              <w:t xml:space="preserve">25</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w:t>
            </w:r>
            <w:r>
              <w:rPr>
                <w:rFonts w:hint="eastAsia" w:ascii="宋体" w:hAnsi="宋体" w:eastAsia="宋体" w:cs="宋体"/>
                <w:bCs/>
                <w:color w:val="auto"/>
                <w:highlight w:val="none"/>
              </w:rPr>
              <w:t xml:space="preserve">防汛安全井口警示笼</w:t>
            </w:r>
            <w:r/>
          </w:p>
        </w:tc>
        <w:tc>
          <w:tcPr>
            <w:tcW w:w="3544" w:type="dxa"/>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材料：耐腐铸铁/不锈钢</w:t>
            </w:r>
            <w:r/>
          </w:p>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外刷彩色警示油漆或贴反光警示带，顶部装有预警显示屏，红灯不停闪烁</w:t>
            </w:r>
            <w:r/>
          </w:p>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高度：140cm ，直径:70/80cm ，尺寸根据现场定制</w:t>
            </w:r>
            <w:r/>
          </w:p>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数量：共30只（每一台移动泵配2只防汛安全井口警示笼）</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bookmarkEnd w:id="368"/>
            <w:r/>
            <w:bookmarkEnd w:id="380"/>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gridSpan w:val="7"/>
            <w:tcW w:w="9492"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
                <w:color w:val="auto"/>
                <w:highlight w:val="none"/>
              </w:rPr>
              <w:t xml:space="preserve">六、拖拽式移动自吸泵（≥550m³/h）</w:t>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采用蜗壳式水泵，进出水口口径≥150mm</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★最大流量≥550m³/h</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3</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textDirection w:val="lrTb"/>
            <w:noWrap/>
          </w:tcPr>
          <w:p>
            <w:pPr>
              <w:pStyle w:val="760"/>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▲工况点要求：额定扬程20m时，要求流量≥350m³/h；额定扬程10m时，要求流量≥500m³/h</w:t>
            </w:r>
            <w:r/>
          </w:p>
        </w:tc>
        <w:tc>
          <w:tcPr>
            <w:tcW w:w="1134"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beforeAutospacing="0" w:afterAutospacing="0"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4</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▲最大扬程≥28m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5</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▲9m垂直吸程情况下上水时间≤60秒 </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6</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汽蚀余量≤1.5m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7</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泵体前端盖设有观察口，可方便打开，方便检修（提供</w:t>
            </w:r>
            <w:bookmarkStart w:id="381" w:name="OLE_LINK347"/>
            <w:r/>
            <w:bookmarkStart w:id="382" w:name="OLE_LINK346"/>
            <w:r>
              <w:rPr>
                <w:rFonts w:hint="eastAsia" w:ascii="宋体" w:hAnsi="宋体" w:eastAsia="宋体" w:cs="宋体"/>
                <w:color w:val="auto"/>
                <w:sz w:val="24"/>
                <w:highlight w:val="none"/>
              </w:rPr>
              <w:t xml:space="preserve">设备照片</w:t>
            </w:r>
            <w:bookmarkEnd w:id="381"/>
            <w:r/>
            <w:bookmarkEnd w:id="382"/>
            <w:r>
              <w:rPr>
                <w:rFonts w:hint="eastAsia" w:ascii="宋体" w:hAnsi="宋体" w:eastAsia="宋体" w:cs="宋体"/>
                <w:color w:val="auto"/>
                <w:sz w:val="24"/>
                <w:highlight w:val="none"/>
              </w:rPr>
              <w:t xml:space="preserve">）</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设备照片</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8</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▲最大通过颗粒直径≥75mm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9</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▲采用“真空辅助自吸式水泵”,使用前泵体里无需加水，实现干自吸，真空泵与发动机需要同时工作，无需控制启停，保证使用的连续性</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10</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整机重量≤2000Kg，整机长度≤4100mm（含水泵接头和拖杆长度），整机宽≤1700mm，整机高≤2400mm</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11</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水泵</w:t>
            </w:r>
            <w:r/>
          </w:p>
        </w:tc>
        <w:tc>
          <w:tcPr>
            <w:tcW w:w="3544" w:type="dxa"/>
            <w:vAlign w:val="center"/>
            <w:textDirection w:val="lrTb"/>
            <w:noWrap/>
          </w:tcPr>
          <w:p>
            <w:pP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整机油箱容量≥120 L</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12</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发动机</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发动机形式：水冷四缸柴油机</w:t>
            </w:r>
            <w:r/>
          </w:p>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启动方式：电启动</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13</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发动机</w:t>
            </w:r>
            <w:r/>
          </w:p>
        </w:tc>
        <w:tc>
          <w:tcPr>
            <w:tcW w:w="3544" w:type="dxa"/>
            <w:vAlign w:val="center"/>
            <w:textDirection w:val="lrTb"/>
            <w:noWrap/>
          </w:tcPr>
          <w:p>
            <w:pPr>
              <w:spacing w:line="3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▲发动机功率≥35Kw，耗油量≤9L/h</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14</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发动机</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▲发动机环保标准不低于（GB 20891-2014）非道路移动机械柴油机污染物排放限值及测量方法第三阶段标准</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15</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发动机</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具备电子供油系统</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16</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真空系统</w:t>
            </w:r>
            <w:r/>
          </w:p>
        </w:tc>
        <w:tc>
          <w:tcPr>
            <w:tcW w:w="3544" w:type="dxa"/>
            <w:vAlign w:val="center"/>
            <w:textDirection w:val="lrTb"/>
            <w:noWrap/>
          </w:tcPr>
          <w:p>
            <w:pPr>
              <w:spacing w:line="300" w:lineRule="exact"/>
              <w:tabs>
                <w:tab w:val="left" w:pos="42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泵用真空辅助上水系统：带有气水分离器，能够快速上水；带有真空泵保护系统</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17</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真空系统</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▲真空泵：排气量≥60m³/h，真空度≥10mbar，噪音≤70dB，重量≤50Kg(提供产品彩页或说明书）；采用油润滑形式真空泵</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产品彩页或说明书</w:t>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18</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控制箱</w:t>
            </w:r>
            <w:r/>
          </w:p>
        </w:tc>
        <w:tc>
          <w:tcPr>
            <w:tcW w:w="3544" w:type="dxa"/>
            <w:vAlign w:val="center"/>
            <w:textDirection w:val="lrTb"/>
            <w:noWrap/>
          </w:tcPr>
          <w:p>
            <w:pPr>
              <w:spacing w:line="300" w:lineRule="exact"/>
              <w:tabs>
                <w:tab w:val="left" w:pos="425" w:leader="none"/>
              </w:tabs>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★控制面板：设有门锁（防盗）、电源开关充电指示灯、紧急停机按钮</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19</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控制箱</w:t>
            </w:r>
            <w:r/>
          </w:p>
        </w:tc>
        <w:tc>
          <w:tcPr>
            <w:tcW w:w="3544" w:type="dxa"/>
            <w:vAlign w:val="center"/>
            <w:textDirection w:val="lrTb"/>
            <w:noWrap/>
          </w:tcPr>
          <w:p>
            <w:pPr>
              <w:spacing w:line="300" w:lineRule="exact"/>
              <w:tabs>
                <w:tab w:val="left" w:pos="42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★智能控制器：负责机组启停，保护及参数的查看</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20</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控制箱</w:t>
            </w:r>
            <w:r/>
          </w:p>
        </w:tc>
        <w:tc>
          <w:tcPr>
            <w:tcW w:w="3544" w:type="dxa"/>
            <w:vAlign w:val="center"/>
            <w:textDirection w:val="lrTb"/>
            <w:noWrap/>
          </w:tcPr>
          <w:p>
            <w:pPr>
              <w:spacing w:line="300" w:lineRule="exact"/>
              <w:tabs>
                <w:tab w:val="left" w:pos="42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★检测故障：油压低、水温/缸温过高、紧急停机报警、超速停机</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21</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控制箱</w:t>
            </w:r>
            <w:r/>
          </w:p>
        </w:tc>
        <w:tc>
          <w:tcPr>
            <w:tcW w:w="3544" w:type="dxa"/>
            <w:vAlign w:val="center"/>
            <w:textDirection w:val="lrTb"/>
            <w:noWrap/>
          </w:tcPr>
          <w:p>
            <w:pPr>
              <w:spacing w:line="300" w:lineRule="exact"/>
              <w:tabs>
                <w:tab w:val="left" w:pos="425" w:leader="none"/>
              </w:tabs>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面板图形LCD显示参数及指示故障状态，提供真实有效的故障报警</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22</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控制箱</w:t>
            </w:r>
            <w:r/>
          </w:p>
        </w:tc>
        <w:tc>
          <w:tcPr>
            <w:tcW w:w="3544" w:type="dxa"/>
            <w:vAlign w:val="center"/>
            <w:textDirection w:val="lrTb"/>
            <w:noWrap/>
          </w:tcPr>
          <w:p>
            <w:pPr>
              <w:spacing w:line="300" w:lineRule="exact"/>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可适应12V或24V启动电池环境；无需钥匙，一键启动；显示油压转速电池容量；可显示单次用时和总用时</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23</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其他</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拖车带有支撑腿及双轱辘导向轮；配有电瓶断电开关；油箱配有防盗油装置；拖挂结构采用缓冲设计，方便连接并被汽车牵引行走时速≥30KM/时</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24</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其他</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配备水泵进、出水管及专用快速接头（单泵）；单根吸水管≥8m，材质PVC，耐负压≥0.95标准大气压（3根、总长度≥24m）；单卷水带≥25m，采用涤纶长丝内衬聚氨酯，水带设计压力≥0.8MPa，爆破压力≥2.4Mpa（4卷、总长度≥100m，含接头）</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r>
        <w:trPr>
          <w:tblCellSpacing w:w="0" w:type="dxa"/>
          <w:trHeight w:val="702"/>
        </w:trPr>
        <w:tc>
          <w:tcPr>
            <w:tcW w:w="534" w:type="dxa"/>
            <w:vAlign w:val="center"/>
            <w:textDirection w:val="lrTb"/>
            <w:noWrap/>
          </w:tcPr>
          <w:p>
            <w:pPr>
              <w:pStyle w:val="760"/>
              <w:spacing w:beforeAutospacing="0" w:afterAutospacing="0" w:line="300" w:lineRule="exact"/>
              <w:rPr>
                <w:rFonts w:ascii="宋体" w:hAnsi="宋体" w:eastAsia="宋体" w:cs="宋体"/>
                <w:bCs/>
                <w:color w:val="auto"/>
                <w:highlight w:val="none"/>
              </w:rPr>
            </w:pPr>
            <w:r>
              <w:rPr>
                <w:rFonts w:hint="eastAsia" w:ascii="宋体" w:hAnsi="宋体" w:eastAsia="宋体" w:cs="宋体"/>
                <w:bCs/>
                <w:color w:val="auto"/>
                <w:highlight w:val="none"/>
              </w:rPr>
              <w:t xml:space="preserve">25</w:t>
            </w:r>
            <w:r/>
          </w:p>
        </w:tc>
        <w:tc>
          <w:tcPr>
            <w:tcW w:w="850"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hint="eastAsia" w:ascii="宋体" w:hAnsi="宋体" w:eastAsia="宋体" w:cs="宋体"/>
                <w:color w:val="auto"/>
                <w:highlight w:val="none"/>
              </w:rPr>
              <w:t xml:space="preserve">★</w:t>
            </w:r>
            <w:r>
              <w:rPr>
                <w:rFonts w:hint="eastAsia" w:ascii="宋体" w:hAnsi="宋体" w:eastAsia="宋体" w:cs="宋体"/>
                <w:bCs/>
                <w:color w:val="auto"/>
                <w:highlight w:val="none"/>
              </w:rPr>
              <w:t xml:space="preserve">防汛安全井口警示笼</w:t>
            </w:r>
            <w:r/>
          </w:p>
        </w:tc>
        <w:tc>
          <w:tcPr>
            <w:tcW w:w="3544" w:type="dxa"/>
            <w:vAlign w:val="center"/>
            <w:textDirection w:val="lrTb"/>
            <w:noWrap/>
          </w:tcPr>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材料：耐腐铸铁/不锈钢</w:t>
            </w:r>
            <w:r/>
          </w:p>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外刷彩色警示油漆或贴反光警示带，顶部装有预警显示屏，红灯不停闪烁</w:t>
            </w:r>
            <w:r/>
          </w:p>
          <w:p>
            <w:pPr>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高度：140cm ，直径:70/80cm ，尺寸根据现场定制、数量：共20只（每一台移动泵配2只防汛安全井口警示笼）</w:t>
            </w:r>
            <w:r/>
          </w:p>
        </w:tc>
        <w:tc>
          <w:tcPr>
            <w:tcW w:w="1134"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（响应或不响应） </w:t>
            </w:r>
            <w:r/>
          </w:p>
        </w:tc>
        <w:tc>
          <w:tcPr>
            <w:tcW w:w="1276" w:type="dxa"/>
            <w:vAlign w:val="center"/>
            <w:textDirection w:val="lrTb"/>
            <w:noWrap/>
          </w:tcPr>
          <w:p>
            <w:pPr>
              <w:pStyle w:val="760"/>
              <w:jc w:val="center"/>
              <w:spacing w:line="300" w:lineRule="exact"/>
              <w:rPr>
                <w:rFonts w:ascii="宋体" w:hAnsi="宋体" w:eastAsia="宋体" w:cs="宋体"/>
                <w:color w:val="auto"/>
                <w:highlight w:val="none"/>
              </w:rPr>
            </w:pPr>
            <w:r>
              <w:rPr>
                <w:rFonts w:hint="eastAsia" w:ascii="宋体" w:hAnsi="宋体" w:eastAsia="宋体" w:cs="宋体"/>
                <w:color w:val="auto"/>
                <w:highlight w:val="none"/>
              </w:rPr>
              <w:t xml:space="preserve">（超出、符合或偏离） </w:t>
            </w:r>
            <w:r/>
          </w:p>
        </w:tc>
        <w:tc>
          <w:tcPr>
            <w:tcW w:w="1275"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c>
          <w:tcPr>
            <w:tcW w:w="879" w:type="dxa"/>
            <w:vAlign w:val="center"/>
            <w:textDirection w:val="lrTb"/>
            <w:noWrap/>
          </w:tcPr>
          <w:p>
            <w:pPr>
              <w:pStyle w:val="760"/>
              <w:jc w:val="center"/>
              <w:spacing w:beforeAutospacing="0" w:afterAutospacing="0" w:line="300" w:lineRule="exact"/>
              <w:rPr>
                <w:rFonts w:ascii="宋体" w:hAnsi="宋体" w:eastAsia="宋体" w:cs="宋体"/>
                <w:bCs/>
                <w:color w:val="auto"/>
                <w:highlight w:val="none"/>
              </w:rPr>
            </w:pPr>
            <w:r>
              <w:rPr>
                <w:rFonts w:ascii="宋体" w:hAnsi="宋体" w:eastAsia="宋体" w:cs="宋体"/>
                <w:bCs/>
                <w:color w:val="auto"/>
                <w:highlight w:val="none"/>
              </w:rPr>
            </w:r>
            <w:r/>
          </w:p>
        </w:tc>
      </w:tr>
    </w:tbl>
    <w:p>
      <w:pPr>
        <w:pStyle w:val="760"/>
        <w:jc w:val="center"/>
        <w:spacing w:beforeAutospacing="0" w:afterAutospacing="0"/>
        <w:rPr>
          <w:rFonts w:ascii="宋体" w:hAnsi="宋体" w:eastAsia="宋体" w:cs="宋体"/>
          <w:b/>
          <w:color w:val="auto"/>
          <w:sz w:val="32"/>
          <w:szCs w:val="32"/>
          <w:highlight w:val="none"/>
        </w:rPr>
        <w:outlineLvl w:val="1"/>
      </w:pPr>
      <w:r>
        <w:rPr>
          <w:rFonts w:ascii="宋体" w:hAnsi="宋体" w:eastAsia="宋体" w:cs="宋体"/>
          <w:b/>
          <w:color w:val="auto"/>
          <w:sz w:val="32"/>
          <w:szCs w:val="32"/>
          <w:highlight w:val="none"/>
        </w:rPr>
      </w:r>
      <w:r/>
    </w:p>
    <w:p>
      <w:pPr>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注：1、投标人应参照上述模版，不得随意变动表式和内容，并逐条填写响应及偏离情况，“多选一”条款仅需填写其中一项。</w:t>
      </w:r>
      <w:r/>
    </w:p>
    <w:p>
      <w:pPr>
        <w:ind w:firstLine="482"/>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bookmarkStart w:id="383" w:name="OLE_LINK357"/>
      <w:r/>
      <w:bookmarkStart w:id="384" w:name="OLE_LINK356"/>
      <w:r>
        <w:rPr>
          <w:rFonts w:hint="eastAsia" w:ascii="宋体" w:hAnsi="宋体" w:eastAsia="宋体" w:cs="宋体"/>
          <w:b/>
          <w:bCs/>
          <w:color w:val="auto"/>
          <w:sz w:val="24"/>
          <w:highlight w:val="none"/>
        </w:rPr>
        <w:t xml:space="preserve">、</w:t>
      </w:r>
      <w:bookmarkEnd w:id="383"/>
      <w:r/>
      <w:bookmarkEnd w:id="384"/>
      <w:r>
        <w:rPr>
          <w:rFonts w:hint="eastAsia" w:ascii="宋体" w:hAnsi="宋体" w:eastAsia="宋体" w:cs="宋体"/>
          <w:b/>
          <w:bCs/>
          <w:color w:val="auto"/>
          <w:sz w:val="24"/>
          <w:highlight w:val="none"/>
        </w:rPr>
        <w:t xml:space="preserve">按照响应表中要求提供相应材料（国家工信部公告（“道路机动车辆生产企业及产品信息查询系统”投标车辆查询截图）、产品彩页、产品说明书、设备照片等），未要求提供证明材料的可不提供且无需填写“证明材料”“材料页码”列。</w:t>
      </w:r>
      <w:r/>
    </w:p>
    <w:p>
      <w:pPr>
        <w:ind w:firstLine="482"/>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3、“投标响应情况”列仅填写“响应或不响应” ，“超出、符合或偏离”列仅填写“超出、符合或偏离”，不得填写其他内容。</w:t>
      </w:r>
      <w:r/>
    </w:p>
    <w:p>
      <w:pPr>
        <w:pStyle w:val="760"/>
        <w:ind w:firstLine="482"/>
        <w:jc w:val="both"/>
        <w:spacing w:beforeAutospacing="0" w:afterAutospacing="0"/>
        <w:rPr>
          <w:rFonts w:ascii="宋体" w:hAnsi="宋体" w:eastAsia="宋体" w:cs="宋体"/>
          <w:b/>
          <w:color w:val="auto"/>
          <w:sz w:val="32"/>
          <w:szCs w:val="32"/>
          <w:highlight w:val="none"/>
        </w:rPr>
        <w:outlineLvl w:val="1"/>
      </w:pPr>
      <w:r>
        <w:rPr>
          <w:rFonts w:hint="eastAsia" w:ascii="宋体" w:hAnsi="宋体" w:eastAsia="宋体" w:cs="宋体"/>
          <w:b/>
          <w:bCs/>
          <w:color w:val="auto"/>
          <w:highlight w:val="none"/>
        </w:rPr>
        <w:t xml:space="preserve">4、未按要求填写“技术要求响应及偏离表”的作废标处理。</w:t>
      </w:r>
      <w:r/>
    </w:p>
    <w:p>
      <w:pPr>
        <w:pStyle w:val="760"/>
        <w:jc w:val="center"/>
        <w:spacing w:beforeAutospacing="0" w:afterAutospacing="0"/>
        <w:rPr>
          <w:rFonts w:ascii="宋体" w:hAnsi="宋体" w:eastAsia="宋体" w:cs="宋体"/>
          <w:b/>
          <w:color w:val="auto"/>
          <w:sz w:val="32"/>
          <w:szCs w:val="32"/>
          <w:highlight w:val="none"/>
        </w:rPr>
        <w:outlineLvl w:val="1"/>
      </w:pPr>
      <w:r>
        <w:rPr>
          <w:rFonts w:ascii="宋体" w:hAnsi="宋体" w:eastAsia="宋体" w:cs="宋体"/>
          <w:b/>
          <w:color w:val="auto"/>
          <w:sz w:val="32"/>
          <w:szCs w:val="32"/>
          <w:highlight w:val="none"/>
        </w:rPr>
      </w:r>
      <w:r/>
    </w:p>
    <w:p>
      <w:pPr>
        <w:pStyle w:val="76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jc w:val="both"/>
        <w:spacing w:beforeAutospacing="0" w:afterAutospacing="0"/>
        <w:rPr>
          <w:rFonts w:ascii="宋体" w:hAnsi="宋体" w:eastAsia="宋体" w:cs="宋体"/>
          <w:color w:val="auto"/>
          <w:szCs w:val="28"/>
          <w:highlight w:val="none"/>
        </w:rPr>
      </w:pPr>
      <w:r>
        <w:rPr>
          <w:rFonts w:hint="eastAsia" w:ascii="宋体" w:hAnsi="宋体" w:eastAsia="宋体" w:cs="宋体"/>
          <w:color w:val="auto"/>
          <w:szCs w:val="28"/>
          <w:highlight w:val="none"/>
        </w:rPr>
        <w:t xml:space="preserve">我方承诺，除上表中的偏离外，完全响应招标文件的其他条款。</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单位名称（加盖CA电子公章）：</w:t>
      </w:r>
      <w:r/>
    </w:p>
    <w:p>
      <w:pPr>
        <w:ind w:right="1560" w:firstLine="624"/>
        <w:jc w:val="center"/>
        <w:spacing w:line="588" w:lineRule="exact"/>
        <w:tabs>
          <w:tab w:val="left" w:pos="4860" w:leader="none"/>
        </w:tabs>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jc w:val="center"/>
        <w:rPr>
          <w:rFonts w:ascii="宋体" w:hAnsi="宋体" w:eastAsia="宋体" w:cs="宋体"/>
          <w:b/>
          <w:color w:val="auto"/>
          <w:sz w:val="32"/>
          <w:szCs w:val="32"/>
          <w:highlight w:val="none"/>
        </w:rPr>
      </w:pPr>
      <w:r/>
      <w:bookmarkStart w:id="385" w:name="_Hlt26955054"/>
      <w:r>
        <w:rPr>
          <w:rFonts w:hint="eastAsia" w:ascii="宋体" w:hAnsi="宋体" w:eastAsia="宋体" w:cs="宋体"/>
          <w:b/>
          <w:color w:val="auto"/>
          <w:sz w:val="32"/>
          <w:szCs w:val="32"/>
          <w:highlight w:val="none"/>
        </w:rPr>
        <w:t xml:space="preserve">十四、商务要求响应及偏离表</w:t>
      </w:r>
      <w:r/>
    </w:p>
    <w:tbl>
      <w:tblPr>
        <w:tblStyle w:val="734"/>
        <w:tblW w:w="937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92"/>
        <w:gridCol w:w="2493"/>
        <w:gridCol w:w="2268"/>
        <w:gridCol w:w="2813"/>
        <w:gridCol w:w="1212"/>
      </w:tblGrid>
      <w:tr>
        <w:trPr>
          <w:tblCellSpacing w:w="0" w:type="dxa"/>
          <w:trHeight w:val="1063"/>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证明</w:t>
            </w:r>
            <w:r/>
          </w:p>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材料</w:t>
            </w:r>
            <w:r/>
          </w:p>
        </w:tc>
      </w:tr>
      <w:tr>
        <w:trPr>
          <w:tblCellSpacing w:w="0" w:type="dxa"/>
          <w:trHeight w:val="122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报价要求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60"/>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（响应或不响应）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（超出、符合或偏离）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合同履约期限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验收标准</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付款方式</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违约责任</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质保期</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760"/>
              <w:jc w:val="center"/>
              <w:spacing w:beforeAutospacing="0" w:afterAutospacing="0"/>
              <w:rPr>
                <w:rFonts w:ascii="宋体" w:hAnsi="宋体" w:eastAsia="宋体" w:cs="宋体"/>
                <w:bCs/>
                <w:color w:val="auto"/>
                <w:highlight w:val="none"/>
              </w:rPr>
            </w:pPr>
            <w:r>
              <w:rPr>
                <w:rFonts w:hint="eastAsia" w:ascii="宋体" w:hAnsi="宋体" w:eastAsia="宋体" w:cs="宋体"/>
                <w:bCs/>
                <w:color w:val="auto"/>
                <w:highlight w:val="none"/>
              </w:rPr>
              <w:t xml:space="preserve"> </w:t>
            </w:r>
            <w:r/>
          </w:p>
        </w:tc>
      </w:tr>
    </w:tbl>
    <w:p>
      <w:pPr>
        <w:pStyle w:val="7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0"/>
        <w:jc w:val="both"/>
        <w:spacing w:beforeAutospacing="0" w:afterAutospacing="0"/>
        <w:rPr>
          <w:rFonts w:ascii="宋体" w:hAnsi="宋体" w:eastAsia="宋体" w:cs="宋体"/>
          <w:bCs/>
          <w:color w:val="auto"/>
          <w:highlight w:val="none"/>
        </w:rPr>
      </w:pPr>
      <w:r/>
      <w:bookmarkStart w:id="386" w:name="_Hlt26609389"/>
      <w:r/>
      <w:bookmarkStart w:id="387" w:name="_Toc462564146"/>
      <w:r/>
      <w:bookmarkStart w:id="388" w:name="_Hlt26671374"/>
      <w:r/>
      <w:bookmarkStart w:id="389" w:name="_Hlt26955066"/>
      <w:r/>
      <w:bookmarkStart w:id="390" w:name="_格式2__法定代表人授权书"/>
      <w:r>
        <w:rPr>
          <w:rFonts w:hint="eastAsia" w:ascii="宋体" w:hAnsi="宋体" w:eastAsia="宋体" w:cs="宋体"/>
          <w:bCs/>
          <w:color w:val="auto"/>
          <w:highlight w:val="none"/>
        </w:rPr>
        <w:t xml:space="preserve">注： 行数不够，可自行添加。</w:t>
      </w:r>
      <w:r/>
    </w:p>
    <w:p>
      <w:pPr>
        <w:pStyle w:val="760"/>
        <w:jc w:val="both"/>
        <w:spacing w:beforeAutospacing="0" w:afterAutospacing="0" w:line="48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p>
    <w:p>
      <w:pPr>
        <w:ind w:right="1560" w:firstLine="420"/>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单位名称（加盖CA电子公章）：</w:t>
      </w:r>
      <w:r/>
    </w:p>
    <w:p>
      <w:pPr>
        <w:ind w:right="1560" w:firstLine="624"/>
        <w:jc w:val="center"/>
        <w:spacing w:line="588" w:lineRule="exact"/>
        <w:tabs>
          <w:tab w:val="left" w:pos="4860" w:leader="none"/>
        </w:tabs>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ind w:firstLine="560"/>
        <w:jc w:val="center"/>
        <w:spacing w:line="480" w:lineRule="exact"/>
        <w:rPr>
          <w:rFonts w:ascii="宋体" w:hAnsi="宋体" w:eastAsia="宋体" w:cs="宋体"/>
          <w:bCs/>
          <w:color w:val="auto"/>
          <w:sz w:val="32"/>
          <w:szCs w:val="32"/>
          <w:highlight w:val="none"/>
        </w:rPr>
      </w:pPr>
      <w:r>
        <w:rPr>
          <w:rFonts w:hint="eastAsia" w:ascii="宋体" w:hAnsi="宋体" w:eastAsia="宋体" w:cs="宋体"/>
          <w:color w:val="auto"/>
          <w:sz w:val="28"/>
          <w:szCs w:val="28"/>
          <w:highlight w:val="none"/>
        </w:rPr>
        <w:t xml:space="preserve">年 月  日</w:t>
      </w:r>
      <w:r/>
    </w:p>
    <w:p>
      <w:pPr>
        <w:pStyle w:val="76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rFonts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br w:type="page" w:clear="all"/>
      </w:r>
      <w:r/>
    </w:p>
    <w:p>
      <w:pPr>
        <w:pStyle w:val="760"/>
        <w:jc w:val="center"/>
        <w:spacing w:beforeAutospacing="0" w:afterAutospacing="0"/>
        <w:rPr>
          <w:rFonts w:ascii="宋体" w:hAnsi="宋体" w:eastAsia="宋体" w:cs="宋体"/>
          <w:color w:val="auto"/>
          <w:highlight w:val="none"/>
        </w:rPr>
        <w:outlineLvl w:val="1"/>
      </w:pPr>
      <w:r>
        <w:rPr>
          <w:rFonts w:hint="eastAsia" w:ascii="宋体" w:hAnsi="宋体" w:eastAsia="宋体" w:cs="宋体"/>
          <w:b/>
          <w:i/>
          <w:color w:val="auto"/>
          <w:sz w:val="32"/>
          <w:szCs w:val="32"/>
          <w:highlight w:val="none"/>
          <w:u w:val="single"/>
        </w:rPr>
        <w:t xml:space="preserve">十五、开标一览表</w:t>
      </w:r>
      <w:r/>
    </w:p>
    <w:p>
      <w:pPr>
        <w:pStyle w:val="760"/>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ind w:firstLine="482"/>
        <w:jc w:val="both"/>
        <w:spacing w:beforeAutospacing="0" w:afterAutospacing="0" w:line="500" w:lineRule="exact"/>
        <w:rPr>
          <w:rFonts w:ascii="宋体" w:hAnsi="宋体" w:eastAsia="宋体" w:cs="宋体"/>
          <w:color w:val="auto"/>
          <w:highlight w:val="none"/>
        </w:rPr>
      </w:pPr>
      <w:r>
        <w:rPr>
          <w:rFonts w:hint="eastAsia" w:ascii="宋体" w:hAnsi="宋体" w:eastAsia="宋体" w:cs="宋体"/>
          <w:color w:val="auto"/>
          <w:highlight w:val="none"/>
        </w:rPr>
        <w:t xml:space="preserve">项目名称：盐城市住房和城乡建设局排涝设备采购项目（三次）</w:t>
      </w:r>
      <w:r/>
    </w:p>
    <w:p>
      <w:pPr>
        <w:pStyle w:val="760"/>
        <w:ind w:firstLine="482"/>
        <w:jc w:val="both"/>
        <w:spacing w:beforeAutospacing="0" w:afterAutospacing="0"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JSZC-320900-JSYF-G2026-0012</w:t>
      </w:r>
      <w:r/>
    </w:p>
    <w:p>
      <w:pPr>
        <w:pStyle w:val="760"/>
        <w:ind w:firstLine="482"/>
        <w:jc w:val="both"/>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tbl>
      <w:tblPr>
        <w:tblStyle w:val="734"/>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679"/>
        <w:gridCol w:w="2490"/>
        <w:gridCol w:w="3151"/>
      </w:tblGrid>
      <w:tr>
        <w:trPr>
          <w:tblCellSpacing w:w="15" w:type="dxa"/>
        </w:trPr>
        <w:tc>
          <w:tcPr>
            <w:shd w:val="clear" w:color="auto" w:fill="auto"/>
            <w:tcW w:w="1521" w:type="pct"/>
            <w:vAlign w:val="center"/>
            <w:textDirection w:val="lrTb"/>
            <w:noWrap/>
          </w:tcPr>
          <w:p>
            <w:pPr>
              <w:pStyle w:val="760"/>
              <w:widowControl/>
              <w:rPr>
                <w:rFonts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shd w:val="clear" w:color="auto" w:fill="auto"/>
            <w:tcW w:w="1420" w:type="pct"/>
            <w:vAlign w:val="center"/>
            <w:textDirection w:val="lrTb"/>
            <w:noWrap/>
          </w:tcPr>
          <w:p>
            <w:pPr>
              <w:pStyle w:val="760"/>
              <w:widowControl/>
              <w:rPr>
                <w:rFonts w:ascii="宋体" w:hAnsi="宋体" w:eastAsia="宋体" w:cs="宋体"/>
                <w:color w:val="auto"/>
                <w:highlight w:val="none"/>
              </w:rPr>
            </w:pPr>
            <w:r>
              <w:rPr>
                <w:rFonts w:hint="eastAsia" w:ascii="宋体" w:hAnsi="宋体" w:eastAsia="宋体" w:cs="宋体"/>
                <w:color w:val="auto"/>
                <w:highlight w:val="none"/>
              </w:rPr>
              <w:t xml:space="preserve">项目内容</w:t>
            </w:r>
            <w:r/>
          </w:p>
        </w:tc>
        <w:tc>
          <w:tcPr>
            <w:shd w:val="clear" w:color="auto" w:fill="auto"/>
            <w:tcW w:w="1792" w:type="pct"/>
            <w:vAlign w:val="center"/>
            <w:textDirection w:val="lrTb"/>
            <w:noWrap/>
          </w:tcPr>
          <w:p>
            <w:pPr>
              <w:pStyle w:val="760"/>
              <w:widowControl/>
              <w:rPr>
                <w:rFonts w:ascii="宋体" w:hAnsi="宋体" w:eastAsia="宋体" w:cs="宋体"/>
                <w:color w:val="auto"/>
                <w:highlight w:val="none"/>
              </w:rPr>
            </w:pPr>
            <w:r>
              <w:rPr>
                <w:rFonts w:hint="eastAsia" w:ascii="宋体" w:hAnsi="宋体" w:eastAsia="宋体" w:cs="宋体"/>
                <w:color w:val="auto"/>
                <w:highlight w:val="none"/>
              </w:rPr>
              <w:t xml:space="preserve">总价（小写）</w:t>
            </w:r>
            <w:r/>
          </w:p>
        </w:tc>
      </w:tr>
      <w:tr>
        <w:trPr>
          <w:tblCellSpacing w:w="15" w:type="dxa"/>
        </w:trPr>
        <w:tc>
          <w:tcPr>
            <w:shd w:val="clear" w:color="auto" w:fill="auto"/>
            <w:tcW w:w="1521" w:type="pct"/>
            <w:vAlign w:val="center"/>
            <w:textDirection w:val="lrTb"/>
            <w:noWrap/>
          </w:tcPr>
          <w:p>
            <w:pPr>
              <w:pStyle w:val="760"/>
              <w:widowControl/>
              <w:rPr>
                <w:rFonts w:ascii="宋体" w:hAnsi="宋体" w:eastAsia="宋体" w:cs="宋体"/>
                <w:color w:val="auto"/>
                <w:highlight w:val="none"/>
              </w:rPr>
            </w:pPr>
            <w:r>
              <w:rPr>
                <w:rFonts w:hint="eastAsia" w:ascii="宋体" w:hAnsi="宋体" w:eastAsia="宋体" w:cs="宋体"/>
                <w:color w:val="auto"/>
                <w:highlight w:val="none"/>
              </w:rPr>
              <w:t xml:space="preserve"> 项目名称 </w:t>
            </w:r>
            <w:r/>
          </w:p>
        </w:tc>
        <w:tc>
          <w:tcPr>
            <w:shd w:val="clear" w:color="auto" w:fill="auto"/>
            <w:tcW w:w="1420" w:type="pct"/>
            <w:vAlign w:val="center"/>
            <w:textDirection w:val="lrTb"/>
            <w:noWrap/>
          </w:tcPr>
          <w:p>
            <w:pPr>
              <w:pStyle w:val="760"/>
              <w:widowControl/>
              <w:rPr>
                <w:rFonts w:ascii="宋体" w:hAnsi="宋体" w:eastAsia="宋体" w:cs="宋体"/>
                <w:color w:val="auto"/>
                <w:highlight w:val="none"/>
              </w:rPr>
            </w:pPr>
            <w:r>
              <w:rPr>
                <w:rFonts w:hint="eastAsia" w:ascii="宋体" w:hAnsi="宋体" w:eastAsia="宋体" w:cs="宋体"/>
                <w:color w:val="auto"/>
                <w:highlight w:val="none"/>
              </w:rPr>
              <w:t xml:space="preserve">详见投标文件</w:t>
            </w:r>
            <w:r/>
          </w:p>
        </w:tc>
        <w:tc>
          <w:tcPr>
            <w:shd w:val="clear" w:color="auto" w:fill="auto"/>
            <w:tcW w:w="1792" w:type="pct"/>
            <w:vAlign w:val="center"/>
            <w:textDirection w:val="lrTb"/>
            <w:noWrap/>
          </w:tcPr>
          <w:p>
            <w:pPr>
              <w:pStyle w:val="760"/>
              <w:widowControl/>
              <w:rPr>
                <w:rFonts w:ascii="宋体" w:hAnsi="宋体" w:eastAsia="宋体" w:cs="宋体"/>
                <w:color w:val="auto"/>
                <w:highlight w:val="none"/>
              </w:rPr>
            </w:pPr>
            <w:r>
              <w:rPr>
                <w:rFonts w:hint="eastAsia" w:ascii="宋体" w:hAnsi="宋体" w:eastAsia="宋体" w:cs="宋体"/>
                <w:color w:val="auto"/>
                <w:highlight w:val="none"/>
              </w:rPr>
              <w:t xml:space="preserve"> 元</w:t>
            </w:r>
            <w:r/>
          </w:p>
        </w:tc>
      </w:tr>
      <w:tr>
        <w:trPr>
          <w:tblCellSpacing w:w="15" w:type="dxa"/>
        </w:trPr>
        <w:tc>
          <w:tcPr>
            <w:shd w:val="clear" w:color="auto" w:fill="auto"/>
            <w:tcW w:w="1521" w:type="pct"/>
            <w:vAlign w:val="center"/>
            <w:textDirection w:val="lrTb"/>
            <w:noWrap/>
          </w:tcPr>
          <w:p>
            <w:pPr>
              <w:pStyle w:val="760"/>
              <w:widowControl/>
              <w:rPr>
                <w:rFonts w:ascii="宋体" w:hAnsi="宋体" w:eastAsia="宋体" w:cs="宋体"/>
                <w:color w:val="auto"/>
                <w:highlight w:val="none"/>
              </w:rPr>
            </w:pPr>
            <w:r>
              <w:rPr>
                <w:rFonts w:hint="eastAsia" w:ascii="宋体" w:hAnsi="宋体" w:eastAsia="宋体" w:cs="宋体"/>
                <w:color w:val="auto"/>
                <w:highlight w:val="none"/>
              </w:rPr>
              <w:t xml:space="preserve">总价（大写）：</w:t>
            </w:r>
            <w:r/>
          </w:p>
        </w:tc>
        <w:tc>
          <w:tcPr>
            <w:gridSpan w:val="2"/>
            <w:shd w:val="clear" w:color="auto" w:fill="auto"/>
            <w:tcW w:w="3213" w:type="pct"/>
            <w:vAlign w:val="center"/>
            <w:textDirection w:val="lrTb"/>
            <w:noWrap/>
          </w:tcPr>
          <w:p>
            <w:pPr>
              <w:pStyle w:val="760"/>
              <w:widowControl/>
              <w:rPr>
                <w:rFonts w:ascii="宋体" w:hAnsi="宋体" w:eastAsia="宋体" w:cs="宋体"/>
                <w:color w:val="auto"/>
                <w:highlight w:val="none"/>
              </w:rPr>
            </w:pPr>
            <w:r>
              <w:rPr>
                <w:rFonts w:hint="eastAsia" w:ascii="宋体" w:hAnsi="宋体" w:eastAsia="宋体" w:cs="宋体"/>
                <w:color w:val="auto"/>
                <w:highlight w:val="none"/>
              </w:rPr>
              <w:t xml:space="preserve">金额大写  </w:t>
            </w:r>
            <w:r/>
          </w:p>
        </w:tc>
      </w:tr>
    </w:tbl>
    <w:p>
      <w:pPr>
        <w:pStyle w:val="760"/>
        <w:ind w:firstLine="482"/>
        <w:jc w:val="both"/>
        <w:spacing w:beforeAutospacing="0" w:afterAutospacing="0" w:line="500" w:lineRule="exact"/>
        <w:rPr>
          <w:rFonts w:ascii="宋体" w:hAnsi="宋体" w:eastAsia="宋体" w:cs="宋体"/>
          <w:color w:val="auto"/>
          <w:highlight w:val="none"/>
        </w:rPr>
      </w:pPr>
      <w:r>
        <w:rPr>
          <w:rFonts w:ascii="宋体" w:hAnsi="宋体" w:eastAsia="宋体" w:cs="宋体"/>
          <w:color w:val="auto"/>
          <w:highlight w:val="none"/>
        </w:rPr>
      </w:r>
      <w:r/>
    </w:p>
    <w:p>
      <w:pPr>
        <w:pStyle w:val="760"/>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pStyle w:val="760"/>
        <w:ind w:firstLine="48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投标人公章：（电子签章）</w:t>
      </w:r>
      <w:r/>
    </w:p>
    <w:p>
      <w:pPr>
        <w:pStyle w:val="76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ind w:firstLine="480"/>
        <w:jc w:val="right"/>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6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ind w:firstLine="48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0"/>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0"/>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rFonts w:ascii="宋体" w:hAnsi="宋体" w:eastAsia="宋体" w:cs="宋体"/>
          <w:color w:val="auto"/>
          <w:highlight w:val="none"/>
        </w:rPr>
      </w:pPr>
      <w:r>
        <w:rPr>
          <w:rFonts w:hint="eastAsia" w:ascii="宋体" w:hAnsi="宋体" w:eastAsia="宋体" w:cs="宋体"/>
          <w:color w:val="auto"/>
          <w:highlight w:val="none"/>
        </w:rPr>
        <w:tab/>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760"/>
        <w:jc w:val="center"/>
        <w:spacing w:beforeAutospacing="0" w:afterAutospacing="0"/>
        <w:rPr>
          <w:rFonts w:ascii="宋体" w:hAnsi="宋体" w:eastAsia="宋体" w:cs="宋体"/>
          <w:color w:val="auto"/>
          <w:highlight w:val="none"/>
        </w:rPr>
      </w:pPr>
      <w:r>
        <w:rPr>
          <w:rFonts w:hint="eastAsia" w:ascii="宋体" w:hAnsi="宋体" w:eastAsia="宋体" w:cs="宋体"/>
          <w:color w:val="auto"/>
          <w:sz w:val="32"/>
          <w:szCs w:val="32"/>
          <w:highlight w:val="none"/>
        </w:rPr>
        <w:t xml:space="preserve">十六、项目实施方案、售后方案及其它</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60"/>
        <w:jc w:val="center"/>
        <w:spacing w:beforeAutospacing="0" w:afterAutospacing="0"/>
        <w:rPr>
          <w:rFonts w:ascii="宋体" w:hAnsi="宋体" w:eastAsia="宋体" w:cs="宋体"/>
          <w:color w:val="auto"/>
          <w:sz w:val="32"/>
          <w:szCs w:val="32"/>
          <w:highlight w:val="none"/>
        </w:rPr>
      </w:pPr>
      <w:r>
        <w:rPr>
          <w:rFonts w:hint="eastAsia" w:ascii="宋体" w:hAnsi="宋体" w:eastAsia="宋体" w:cs="宋体"/>
          <w:color w:val="auto"/>
          <w:sz w:val="32"/>
          <w:highlight w:val="none"/>
        </w:rPr>
        <w:t xml:space="preserve">十七、投标人认为需要提供的其他材料</w:t>
      </w:r>
      <w:r/>
    </w:p>
    <w:p>
      <w:pPr>
        <w:jc w:val="center"/>
        <w:spacing w:line="500" w:lineRule="exact"/>
        <w:rPr>
          <w:rFonts w:ascii="宋体" w:hAnsi="宋体" w:eastAsia="宋体" w:cs="宋体"/>
          <w:b/>
          <w:color w:val="auto"/>
          <w:sz w:val="32"/>
          <w:szCs w:val="36"/>
          <w:highlight w:val="none"/>
        </w:rPr>
      </w:pPr>
      <w:r>
        <w:rPr>
          <w:rFonts w:ascii="宋体" w:hAnsi="宋体" w:eastAsia="宋体" w:cs="宋体"/>
          <w:b/>
          <w:color w:val="auto"/>
          <w:sz w:val="32"/>
          <w:szCs w:val="36"/>
          <w:highlight w:val="none"/>
        </w:rPr>
      </w:r>
      <w:r/>
    </w:p>
    <w:p>
      <w:pPr>
        <w:jc w:val="center"/>
        <w:spacing w:line="500" w:lineRule="exact"/>
        <w:rPr>
          <w:rFonts w:ascii="宋体" w:hAnsi="宋体" w:eastAsia="宋体" w:cs="宋体"/>
          <w:b/>
          <w:color w:val="auto"/>
          <w:sz w:val="36"/>
          <w:szCs w:val="36"/>
          <w:highlight w:val="none"/>
        </w:rPr>
      </w:pPr>
      <w:r>
        <w:rPr>
          <w:rFonts w:hint="eastAsia" w:ascii="宋体" w:hAnsi="宋体" w:eastAsia="宋体" w:cs="宋体"/>
          <w:b/>
          <w:color w:val="auto"/>
          <w:sz w:val="32"/>
          <w:szCs w:val="36"/>
          <w:highlight w:val="none"/>
        </w:rPr>
        <w:t xml:space="preserve">制造厂商授权承诺书</w:t>
      </w:r>
      <w:r/>
    </w:p>
    <w:p>
      <w:pPr>
        <w:pStyle w:val="740"/>
        <w:jc w:val="center"/>
        <w:spacing w:after="156" w:line="460" w:lineRule="exact"/>
        <w:rPr>
          <w:rFonts w:ascii="宋体" w:hAnsi="宋体" w:eastAsia="宋体" w:cs="宋体"/>
          <w:color w:val="auto"/>
          <w:sz w:val="21"/>
          <w:szCs w:val="24"/>
          <w:highlight w:val="none"/>
        </w:rPr>
      </w:pPr>
      <w:r>
        <w:rPr>
          <w:rFonts w:ascii="宋体" w:hAnsi="宋体" w:eastAsia="宋体" w:cs="宋体"/>
          <w:color w:val="auto"/>
          <w:sz w:val="21"/>
          <w:szCs w:val="24"/>
          <w:highlight w:val="none"/>
        </w:rPr>
      </w:r>
      <w:r/>
    </w:p>
    <w:p>
      <w:pPr>
        <w:ind w:firstLine="48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（采购人名称）</w:t>
      </w:r>
      <w:r>
        <w:rPr>
          <w:rFonts w:hint="eastAsia" w:ascii="宋体" w:hAnsi="宋体" w:eastAsia="宋体" w:cs="宋体"/>
          <w:color w:val="auto"/>
          <w:sz w:val="24"/>
          <w:highlight w:val="none"/>
        </w:rPr>
        <w:t xml:space="preserve">：</w:t>
      </w:r>
      <w:r/>
    </w:p>
    <w:p>
      <w:pPr>
        <w:ind w:firstLine="480"/>
        <w:spacing w:line="499"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承诺：如我单位中标，在采购文件要求的时限内，我单位提供制造商的授权书及采购文件中要求有关厂商的其他相关材料，否则采购人有权取消我单位中标（成交）资格，如延误采购人工期，对采购人产生经济损失，我单位承担相应法律责任。</w:t>
      </w:r>
      <w:r/>
    </w:p>
    <w:p>
      <w:pPr>
        <w:ind w:firstLine="480"/>
        <w:spacing w:line="499"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99" w:lineRule="atLeas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540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供应商（盖章）：</w:t>
      </w:r>
      <w:r/>
    </w:p>
    <w:p>
      <w:pPr>
        <w:ind w:firstLine="396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ind w:firstLine="48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r/>
    </w:p>
    <w:p>
      <w:pPr>
        <w:pStyle w:val="760"/>
        <w:jc w:val="center"/>
        <w:spacing w:beforeAutospacing="0" w:afterAutospacing="0"/>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1600"/>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十八、盐城市政府采购事前信用承诺书</w:t>
      </w:r>
      <w:r/>
    </w:p>
    <w:p>
      <w:pPr>
        <w:ind w:firstLine="640"/>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（四）严格遵守即时信息公示规定，及时维护和更新盐城市政府采购网中与本单位相关的信息；</w:t>
      </w:r>
      <w:r/>
    </w:p>
    <w:p>
      <w:pP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（八）本人已认真阅读了上述承诺，并向本单位员工做了宣传教育。</w:t>
      </w:r>
      <w:r/>
    </w:p>
    <w:p>
      <w:pP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spacing w:before="50" w:after="50"/>
        <w:widowControl/>
        <w:rPr>
          <w:rFonts w:ascii="宋体" w:hAnsi="宋体" w:eastAsia="宋体" w:cs="宋体"/>
          <w:b/>
          <w:bCs/>
          <w:color w:val="auto"/>
          <w:sz w:val="24"/>
          <w:highlight w:val="none"/>
        </w:rPr>
        <w:outlineLvl w:val="1"/>
      </w:pPr>
      <w:r>
        <w:rPr>
          <w:rFonts w:ascii="宋体" w:hAnsi="宋体" w:eastAsia="宋体" w:cs="宋体"/>
          <w:b/>
          <w:bCs/>
          <w:color w:val="auto"/>
          <w:sz w:val="24"/>
          <w:highlight w:val="none"/>
        </w:rPr>
      </w:r>
      <w:r/>
    </w:p>
    <w:p>
      <w:pPr>
        <w:pStyle w:val="7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bookmarkEnd w:id="6"/>
      <w:r/>
      <w:bookmarkEnd w:id="61"/>
      <w:r/>
      <w:bookmarkEnd w:id="108"/>
      <w:r/>
      <w:bookmarkEnd w:id="109"/>
      <w:r/>
      <w:bookmarkEnd w:id="110"/>
      <w:r/>
      <w:bookmarkEnd w:id="111"/>
      <w:r/>
      <w:bookmarkEnd w:id="112"/>
      <w:r/>
      <w:bookmarkEnd w:id="113"/>
      <w:r/>
      <w:bookmarkEnd w:id="114"/>
      <w:r/>
      <w:bookmarkEnd w:id="115"/>
      <w:r/>
      <w:bookmarkEnd w:id="124"/>
      <w:r/>
      <w:bookmarkEnd w:id="125"/>
      <w:r/>
      <w:bookmarkEnd w:id="132"/>
      <w:r/>
      <w:bookmarkEnd w:id="179"/>
      <w:r/>
      <w:bookmarkEnd w:id="181"/>
      <w:r/>
      <w:bookmarkEnd w:id="323"/>
      <w:r/>
      <w:bookmarkEnd w:id="324"/>
      <w:r/>
      <w:bookmarkEnd w:id="325"/>
      <w:r/>
      <w:bookmarkEnd w:id="326"/>
      <w:r/>
      <w:bookmarkEnd w:id="327"/>
      <w:r/>
      <w:bookmarkEnd w:id="328"/>
      <w:r/>
      <w:bookmarkEnd w:id="329"/>
      <w:r/>
      <w:bookmarkEnd w:id="385"/>
      <w:r/>
      <w:bookmarkEnd w:id="386"/>
      <w:r/>
      <w:bookmarkEnd w:id="387"/>
      <w:r/>
      <w:bookmarkEnd w:id="388"/>
      <w:r/>
      <w:bookmarkEnd w:id="389"/>
      <w:r/>
      <w:bookmarkEnd w:id="390"/>
      <w:r/>
      <w:r/>
    </w:p>
    <w:p>
      <w:pPr>
        <w:pStyle w:val="760"/>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60"/>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60"/>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6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60"/>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6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60"/>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60"/>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jc w:val="center"/>
        <w:spacing w:line="440" w:lineRule="exact"/>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履约担保范本</w:t>
      </w:r>
      <w:r/>
    </w:p>
    <w:p>
      <w:pPr>
        <w:spacing w:line="44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u w:val="single"/>
        </w:rPr>
        <w:tab/>
      </w:r>
      <w:r>
        <w:rPr>
          <w:rFonts w:hint="eastAsia" w:ascii="宋体" w:hAnsi="宋体" w:eastAsia="宋体" w:cs="宋体"/>
          <w:color w:val="auto"/>
          <w:sz w:val="24"/>
          <w:szCs w:val="30"/>
          <w:highlight w:val="none"/>
        </w:rPr>
        <w:t xml:space="preserve">（发包人名称）：</w:t>
      </w:r>
      <w:r/>
    </w:p>
    <w:p>
      <w:pPr>
        <w:spacing w:line="440" w:lineRule="exact"/>
        <w:rPr>
          <w:rFonts w:ascii="宋体" w:hAnsi="宋体" w:eastAsia="宋体" w:cs="宋体"/>
          <w:color w:val="auto"/>
          <w:sz w:val="24"/>
          <w:szCs w:val="30"/>
          <w:highlight w:val="none"/>
        </w:rPr>
      </w:pPr>
      <w:r>
        <w:rPr>
          <w:rFonts w:ascii="宋体" w:hAnsi="宋体" w:eastAsia="宋体" w:cs="宋体"/>
          <w:color w:val="auto"/>
          <w:sz w:val="24"/>
          <w:szCs w:val="30"/>
          <w:highlight w:val="none"/>
        </w:rPr>
      </w:r>
      <w:r/>
    </w:p>
    <w:p>
      <w:pPr>
        <w:ind w:firstLine="480"/>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鉴于（发包人名称，以下简称“发包人”）与</w:t>
      </w:r>
      <w:r/>
    </w:p>
    <w:p>
      <w:pPr>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（承包人名称）（以下称“承包人”）于年月日就（项目名称）有关事项协商一致共同签订《货物买卖合同》。我方愿意无条件地、不可撤销地就承包人履行与你方签订的合同，向你方提供连带责任担保。 </w:t>
      </w:r>
      <w:r/>
    </w:p>
    <w:p>
      <w:pPr>
        <w:ind w:firstLine="480"/>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1. 担保金额人民币（大写）元（¥）。</w:t>
      </w:r>
      <w:r/>
    </w:p>
    <w:p>
      <w:pPr>
        <w:ind w:firstLine="480"/>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2. 担保有效期自你方与承包人签订的合同生效之日起至你方签发或应签发项目接收证书之日止。</w:t>
      </w:r>
      <w:r/>
    </w:p>
    <w:p>
      <w:pPr>
        <w:ind w:firstLine="480"/>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4. 你方和承包人按合同约定变更合同时，我方承担本担保规定的义务不变。</w:t>
      </w:r>
      <w:r/>
    </w:p>
    <w:p>
      <w:pPr>
        <w:ind w:firstLine="480"/>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5. 因本保函发生的纠纷，可由双方协商解决，协商不成的，任何一方均可提请仲裁委员会仲裁。</w:t>
      </w:r>
      <w:r/>
    </w:p>
    <w:p>
      <w:pPr>
        <w:ind w:firstLine="480"/>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6. 本保函自我方法定代表人（或其授权代理人）签字并加盖公章之日起生效。</w:t>
      </w:r>
      <w:r/>
    </w:p>
    <w:p>
      <w:pPr>
        <w:spacing w:line="460" w:lineRule="exact"/>
        <w:rPr>
          <w:rFonts w:ascii="宋体" w:hAnsi="宋体" w:eastAsia="宋体" w:cs="宋体"/>
          <w:color w:val="auto"/>
          <w:sz w:val="24"/>
          <w:szCs w:val="30"/>
          <w:highlight w:val="none"/>
        </w:rPr>
      </w:pPr>
      <w:r>
        <w:rPr>
          <w:rFonts w:ascii="宋体" w:hAnsi="宋体" w:eastAsia="宋体" w:cs="宋体"/>
          <w:color w:val="auto"/>
          <w:sz w:val="24"/>
          <w:szCs w:val="30"/>
          <w:highlight w:val="none"/>
        </w:rPr>
      </w:r>
      <w:r/>
    </w:p>
    <w:p>
      <w:pPr>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担 保 人：（盖单位章）</w:t>
      </w:r>
      <w:r/>
    </w:p>
    <w:p>
      <w:pPr>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法定代表人或其委托代理人：（签字）</w:t>
      </w:r>
      <w:r/>
    </w:p>
    <w:p>
      <w:pPr>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地    址：</w:t>
      </w:r>
      <w:r/>
    </w:p>
    <w:p>
      <w:pPr>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邮政编码：</w:t>
      </w:r>
      <w:r/>
    </w:p>
    <w:p>
      <w:pPr>
        <w:spacing w:line="460" w:lineRule="exact"/>
        <w:rPr>
          <w:rFonts w:ascii="宋体" w:hAnsi="宋体" w:eastAsia="宋体" w:cs="宋体"/>
          <w:color w:val="auto"/>
          <w:sz w:val="24"/>
          <w:szCs w:val="30"/>
          <w:highlight w:val="none"/>
          <w:u w:val="single"/>
        </w:rPr>
      </w:pPr>
      <w:r>
        <w:rPr>
          <w:rFonts w:hint="eastAsia" w:ascii="宋体" w:hAnsi="宋体" w:eastAsia="宋体" w:cs="宋体"/>
          <w:color w:val="auto"/>
          <w:sz w:val="24"/>
          <w:szCs w:val="30"/>
          <w:highlight w:val="none"/>
        </w:rPr>
        <w:t xml:space="preserve">电    话：</w:t>
      </w:r>
      <w:r/>
    </w:p>
    <w:p>
      <w:pPr>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传    真：</w:t>
      </w:r>
      <w:r/>
    </w:p>
    <w:p>
      <w:pPr>
        <w:spacing w:line="460" w:lineRule="exact"/>
        <w:rPr>
          <w:rFonts w:ascii="宋体" w:hAnsi="宋体" w:eastAsia="宋体" w:cs="宋体"/>
          <w:color w:val="auto"/>
          <w:sz w:val="24"/>
          <w:szCs w:val="30"/>
          <w:highlight w:val="none"/>
          <w:u w:val="single"/>
        </w:rPr>
      </w:pPr>
      <w:r>
        <w:rPr>
          <w:rFonts w:ascii="宋体" w:hAnsi="宋体" w:eastAsia="宋体" w:cs="宋体"/>
          <w:color w:val="auto"/>
          <w:sz w:val="24"/>
          <w:szCs w:val="30"/>
          <w:highlight w:val="none"/>
          <w:u w:val="single"/>
        </w:rPr>
      </w:r>
      <w:r/>
    </w:p>
    <w:p>
      <w:pPr>
        <w:ind w:left="1494" w:hanging="1036"/>
        <w:spacing w:line="460" w:lineRule="exact"/>
        <w:rPr>
          <w:rFonts w:ascii="宋体" w:hAnsi="宋体" w:eastAsia="宋体" w:cs="宋体"/>
          <w:color w:val="auto"/>
          <w:sz w:val="24"/>
          <w:szCs w:val="30"/>
          <w:highlight w:val="none"/>
        </w:rPr>
      </w:pPr>
      <w:r>
        <w:rPr>
          <w:rFonts w:hint="eastAsia" w:ascii="宋体" w:hAnsi="宋体" w:eastAsia="宋体" w:cs="宋体"/>
          <w:color w:val="auto"/>
          <w:sz w:val="24"/>
          <w:szCs w:val="30"/>
          <w:highlight w:val="none"/>
        </w:rPr>
        <w:t xml:space="preserve">年月日</w:t>
      </w:r>
      <w:r/>
    </w:p>
    <w:p>
      <w:pPr>
        <w:pStyle w:val="760"/>
        <w:jc w:val="both"/>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p>
      <w:pPr>
        <w:pStyle w:val="760"/>
        <w:spacing w:beforeAutospacing="0" w:afterAutospacing="0"/>
        <w:rPr>
          <w:rFonts w:ascii="宋体" w:hAnsi="宋体" w:eastAsia="宋体" w:cs="宋体"/>
          <w:color w:val="auto"/>
          <w:highlight w:val="none"/>
        </w:rPr>
      </w:pPr>
      <w:r>
        <w:rPr>
          <w:rFonts w:ascii="宋体" w:hAnsi="宋体" w:eastAsia="宋体" w:cs="宋体"/>
          <w:color w:val="auto"/>
          <w:highlight w:val="none"/>
        </w:rPr>
      </w:r>
      <w:r/>
    </w:p>
    <w:sectPr>
      <w:footerReference w:type="default" r:id="rId10"/>
      <w:footnotePr/>
      <w:endnotePr/>
      <w:type w:val="nextPage"/>
      <w:pgSz w:w="11906" w:h="16838" w:orient="portrait"/>
      <w:pgMar w:top="1440" w:right="1406" w:bottom="1440" w:left="1406"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7"/>
                          </w:pPr>
                          <w:r>
                            <w:fldChar w:fldCharType="begin"/>
                          </w:r>
                          <w:r>
                            <w:instrText xml:space="preserve"> PAGE  \* MERGEFORMAT </w:instrText>
                          </w:r>
                          <w:r>
                            <w:fldChar w:fldCharType="separate"/>
                          </w:r>
                          <w:r>
                            <w:t xml:space="preserve">24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p>
    <w:pPr>
      <w:pStyle w:val="9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47"/>
                          </w:pPr>
                          <w:r>
                            <w:fldChar w:fldCharType="begin"/>
                          </w:r>
                          <w:r>
                            <w:instrText xml:space="preserve"> PAGE  \* MERGEFORMAT </w:instrText>
                          </w:r>
                          <w:r>
                            <w:fldChar w:fldCharType="separate"/>
                          </w:r>
                          <w:r>
                            <w:t xml:space="preserve">51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space"/>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TOC Heading"/>
    <w:uiPriority w:val="39"/>
    <w:unhideWhenUsed/>
  </w:style>
  <w:style w:type="paragraph" w:styleId="72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4">
    <w:name w:val="Heading 1"/>
    <w:basedOn w:val="723"/>
    <w:next w:val="723"/>
    <w:link w:val="782"/>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26">
    <w:name w:val="Heading 3"/>
    <w:basedOn w:val="723"/>
    <w:next w:val="723"/>
    <w:uiPriority w:val="0"/>
    <w:qFormat/>
    <w:pPr>
      <w:keepLines/>
      <w:keepNext/>
      <w:spacing w:before="260" w:after="260" w:line="416" w:lineRule="auto"/>
      <w:outlineLvl w:val="2"/>
    </w:pPr>
    <w:rPr>
      <w:rFonts w:ascii="Calibri" w:hAnsi="Calibri"/>
      <w:b/>
      <w:bCs/>
      <w:sz w:val="32"/>
      <w:szCs w:val="32"/>
    </w:rPr>
  </w:style>
  <w:style w:type="paragraph" w:styleId="727">
    <w:name w:val="Heading 4"/>
    <w:basedOn w:val="723"/>
    <w:next w:val="723"/>
    <w:link w:val="785"/>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786"/>
    <w:uiPriority w:val="9"/>
    <w:unhideWhenUsed/>
    <w:qFormat/>
    <w:pPr>
      <w:keepLines/>
      <w:keepNext/>
      <w:spacing w:before="320" w:after="200"/>
      <w:outlineLvl w:val="4"/>
    </w:pPr>
    <w:rPr>
      <w:rFonts w:ascii="Arial" w:hAnsi="Arial" w:eastAsia="Arial" w:cs="Arial"/>
      <w:b/>
      <w:bCs/>
      <w:sz w:val="24"/>
    </w:rPr>
  </w:style>
  <w:style w:type="paragraph" w:styleId="729">
    <w:name w:val="Heading 6"/>
    <w:basedOn w:val="723"/>
    <w:next w:val="723"/>
    <w:link w:val="787"/>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89"/>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90"/>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unhideWhenUsed/>
    <w:qFormat/>
    <w:pPr>
      <w:ind w:left="1701"/>
      <w:spacing w:after="57"/>
    </w:pPr>
  </w:style>
  <w:style w:type="paragraph" w:styleId="736">
    <w:name w:val="Normal Indent"/>
    <w:basedOn w:val="723"/>
    <w:uiPriority w:val="0"/>
    <w:qFormat/>
    <w:pPr>
      <w:ind w:firstLine="420"/>
    </w:pPr>
  </w:style>
  <w:style w:type="paragraph" w:styleId="737">
    <w:name w:val="Caption"/>
    <w:basedOn w:val="723"/>
    <w:next w:val="723"/>
    <w:uiPriority w:val="35"/>
    <w:semiHidden/>
    <w:unhideWhenUsed/>
    <w:qFormat/>
    <w:pPr>
      <w:spacing w:line="276" w:lineRule="auto"/>
    </w:pPr>
    <w:rPr>
      <w:b/>
      <w:bCs/>
      <w:color w:val="5b9bd5" w:themeColor="accent1"/>
      <w:sz w:val="18"/>
      <w:szCs w:val="18"/>
    </w:rPr>
  </w:style>
  <w:style w:type="paragraph" w:styleId="738">
    <w:name w:val="annotation text"/>
    <w:basedOn w:val="723"/>
    <w:uiPriority w:val="0"/>
    <w:qFormat/>
    <w:pPr>
      <w:jc w:val="left"/>
    </w:pPr>
  </w:style>
  <w:style w:type="paragraph" w:styleId="739">
    <w:name w:val="Body Text"/>
    <w:basedOn w:val="723"/>
    <w:next w:val="723"/>
    <w:uiPriority w:val="0"/>
    <w:unhideWhenUsed/>
    <w:qFormat/>
    <w:pPr>
      <w:spacing w:after="120"/>
    </w:pPr>
    <w:rPr>
      <w:rFonts w:ascii="Calibri" w:hAnsi="Calibri"/>
      <w:szCs w:val="22"/>
    </w:rPr>
  </w:style>
  <w:style w:type="paragraph" w:styleId="740">
    <w:name w:val="Body Text Indent"/>
    <w:basedOn w:val="723"/>
    <w:uiPriority w:val="0"/>
    <w:qFormat/>
    <w:pPr>
      <w:ind w:firstLine="645"/>
    </w:pPr>
    <w:rPr>
      <w:rFonts w:ascii="KaiTi_GB2312" w:eastAsia="KaiTi_GB2312"/>
      <w:sz w:val="32"/>
      <w:szCs w:val="32"/>
    </w:rPr>
  </w:style>
  <w:style w:type="paragraph" w:styleId="741">
    <w:name w:val="Block Text"/>
    <w:basedOn w:val="723"/>
    <w:uiPriority w:val="99"/>
    <w:qFormat/>
    <w:pPr>
      <w:ind w:left="1440" w:right="1440"/>
      <w:spacing w:after="120"/>
      <w:tabs>
        <w:tab w:val="left" w:pos="9000" w:leader="none"/>
      </w:tabs>
    </w:pPr>
  </w:style>
  <w:style w:type="paragraph" w:styleId="742">
    <w:name w:val="toc 5"/>
    <w:basedOn w:val="723"/>
    <w:next w:val="723"/>
    <w:uiPriority w:val="39"/>
    <w:unhideWhenUsed/>
    <w:qFormat/>
    <w:pPr>
      <w:ind w:left="1134"/>
      <w:spacing w:after="57"/>
    </w:pPr>
  </w:style>
  <w:style w:type="paragraph" w:styleId="743">
    <w:name w:val="toc 3"/>
    <w:basedOn w:val="723"/>
    <w:next w:val="723"/>
    <w:uiPriority w:val="39"/>
    <w:unhideWhenUsed/>
    <w:qFormat/>
    <w:pPr>
      <w:ind w:left="567"/>
      <w:spacing w:after="57"/>
    </w:pPr>
  </w:style>
  <w:style w:type="paragraph" w:styleId="744">
    <w:name w:val="Plain Text"/>
    <w:basedOn w:val="723"/>
    <w:uiPriority w:val="0"/>
    <w:unhideWhenUsed/>
    <w:qFormat/>
    <w:rPr>
      <w:rFonts w:ascii="宋体" w:hAnsi="Courier New" w:cs="Courier New"/>
      <w:szCs w:val="21"/>
    </w:rPr>
  </w:style>
  <w:style w:type="paragraph" w:styleId="745">
    <w:name w:val="toc 8"/>
    <w:basedOn w:val="723"/>
    <w:next w:val="723"/>
    <w:uiPriority w:val="39"/>
    <w:unhideWhenUsed/>
    <w:qFormat/>
    <w:pPr>
      <w:ind w:left="1984"/>
      <w:spacing w:after="57"/>
    </w:pPr>
  </w:style>
  <w:style w:type="paragraph" w:styleId="746">
    <w:name w:val="endnote text"/>
    <w:basedOn w:val="723"/>
    <w:link w:val="928"/>
    <w:uiPriority w:val="99"/>
    <w:semiHidden/>
    <w:unhideWhenUsed/>
    <w:qFormat/>
    <w:rPr>
      <w:sz w:val="20"/>
    </w:rPr>
  </w:style>
  <w:style w:type="paragraph" w:styleId="747">
    <w:name w:val="Footer"/>
    <w:basedOn w:val="723"/>
    <w:link w:val="932"/>
    <w:uiPriority w:val="0"/>
    <w:qFormat/>
    <w:pPr>
      <w:jc w:val="left"/>
      <w:tabs>
        <w:tab w:val="center" w:pos="4153" w:leader="none"/>
        <w:tab w:val="right" w:pos="8306" w:leader="none"/>
      </w:tabs>
    </w:pPr>
    <w:rPr>
      <w:sz w:val="18"/>
      <w:szCs w:val="18"/>
    </w:rPr>
  </w:style>
  <w:style w:type="paragraph" w:styleId="748">
    <w:name w:val="envelope return"/>
    <w:basedOn w:val="723"/>
    <w:uiPriority w:val="99"/>
    <w:qFormat/>
    <w:rPr>
      <w:rFonts w:ascii="Arial" w:hAnsi="Arial" w:cs="Arial"/>
    </w:rPr>
  </w:style>
  <w:style w:type="paragraph" w:styleId="749">
    <w:name w:val="Header"/>
    <w:basedOn w:val="723"/>
    <w:link w:val="931"/>
    <w:uiPriority w:val="0"/>
    <w:qFormat/>
    <w:pPr>
      <w:jc w:val="center"/>
      <w:tabs>
        <w:tab w:val="center" w:pos="4153" w:leader="none"/>
        <w:tab w:val="right" w:pos="8306" w:leader="none"/>
      </w:tabs>
      <w:pBdr>
        <w:bottom w:val="single" w:color="auto" w:sz="6" w:space="1"/>
      </w:pBdr>
    </w:pPr>
    <w:rPr>
      <w:sz w:val="18"/>
      <w:szCs w:val="18"/>
    </w:rPr>
  </w:style>
  <w:style w:type="paragraph" w:styleId="750">
    <w:name w:val="toc 1"/>
    <w:basedOn w:val="723"/>
    <w:next w:val="723"/>
    <w:uiPriority w:val="39"/>
    <w:unhideWhenUsed/>
    <w:qFormat/>
    <w:pPr>
      <w:spacing w:after="57"/>
    </w:pPr>
  </w:style>
  <w:style w:type="paragraph" w:styleId="751">
    <w:name w:val="toc 4"/>
    <w:basedOn w:val="723"/>
    <w:next w:val="723"/>
    <w:uiPriority w:val="39"/>
    <w:unhideWhenUsed/>
    <w:qFormat/>
    <w:pPr>
      <w:ind w:left="850"/>
      <w:spacing w:after="57"/>
    </w:pPr>
  </w:style>
  <w:style w:type="paragraph" w:styleId="752">
    <w:name w:val="Subtitle"/>
    <w:basedOn w:val="723"/>
    <w:next w:val="723"/>
    <w:link w:val="794"/>
    <w:uiPriority w:val="11"/>
    <w:qFormat/>
    <w:pPr>
      <w:spacing w:before="200" w:after="200"/>
    </w:pPr>
    <w:rPr>
      <w:sz w:val="24"/>
    </w:rPr>
  </w:style>
  <w:style w:type="paragraph" w:styleId="753">
    <w:name w:val="List"/>
    <w:basedOn w:val="723"/>
    <w:uiPriority w:val="0"/>
    <w:qFormat/>
    <w:pPr>
      <w:ind w:left="200" w:hanging="200"/>
    </w:pPr>
  </w:style>
  <w:style w:type="paragraph" w:styleId="754">
    <w:name w:val="footnote text"/>
    <w:basedOn w:val="723"/>
    <w:link w:val="927"/>
    <w:uiPriority w:val="99"/>
    <w:semiHidden/>
    <w:unhideWhenUsed/>
    <w:qFormat/>
    <w:pPr>
      <w:spacing w:after="40"/>
    </w:pPr>
    <w:rPr>
      <w:sz w:val="18"/>
    </w:rPr>
  </w:style>
  <w:style w:type="paragraph" w:styleId="755">
    <w:name w:val="toc 6"/>
    <w:basedOn w:val="723"/>
    <w:next w:val="723"/>
    <w:uiPriority w:val="39"/>
    <w:unhideWhenUsed/>
    <w:qFormat/>
    <w:pPr>
      <w:ind w:left="1417"/>
      <w:spacing w:after="57"/>
    </w:pPr>
  </w:style>
  <w:style w:type="paragraph" w:styleId="756">
    <w:name w:val="table of figures"/>
    <w:basedOn w:val="723"/>
    <w:next w:val="723"/>
    <w:uiPriority w:val="99"/>
    <w:unhideWhenUsed/>
    <w:qFormat/>
  </w:style>
  <w:style w:type="paragraph" w:styleId="757">
    <w:name w:val="toc 2"/>
    <w:basedOn w:val="723"/>
    <w:next w:val="723"/>
    <w:uiPriority w:val="39"/>
    <w:unhideWhenUsed/>
    <w:qFormat/>
    <w:pPr>
      <w:ind w:left="283"/>
      <w:spacing w:after="57"/>
    </w:pPr>
  </w:style>
  <w:style w:type="paragraph" w:styleId="758">
    <w:name w:val="toc 9"/>
    <w:basedOn w:val="723"/>
    <w:next w:val="723"/>
    <w:uiPriority w:val="39"/>
    <w:unhideWhenUsed/>
    <w:qFormat/>
    <w:pPr>
      <w:ind w:left="2268"/>
      <w:spacing w:after="57"/>
    </w:pPr>
  </w:style>
  <w:style w:type="paragraph" w:styleId="759">
    <w:name w:val="Body Text 2"/>
    <w:basedOn w:val="723"/>
    <w:uiPriority w:val="0"/>
    <w:qFormat/>
    <w:pPr>
      <w:jc w:val="center"/>
      <w:widowControl/>
    </w:pPr>
    <w:rPr>
      <w:rFonts w:ascii="KaiTi_GB2312" w:eastAsia="KaiTi_GB2312"/>
      <w:sz w:val="28"/>
      <w:szCs w:val="28"/>
    </w:rPr>
  </w:style>
  <w:style w:type="paragraph" w:styleId="760">
    <w:name w:val="Normal (Web)"/>
    <w:basedOn w:val="723"/>
    <w:uiPriority w:val="0"/>
    <w:qFormat/>
    <w:pPr>
      <w:jc w:val="left"/>
      <w:spacing w:beforeAutospacing="1" w:afterAutospacing="1"/>
    </w:pPr>
    <w:rPr>
      <w:rFonts w:cs="Times New Roman"/>
      <w:sz w:val="24"/>
    </w:rPr>
  </w:style>
  <w:style w:type="paragraph" w:styleId="761">
    <w:name w:val="Title"/>
    <w:basedOn w:val="723"/>
    <w:next w:val="723"/>
    <w:link w:val="793"/>
    <w:uiPriority w:val="10"/>
    <w:qFormat/>
    <w:pPr>
      <w:contextualSpacing/>
      <w:spacing w:before="300" w:after="200"/>
    </w:pPr>
    <w:rPr>
      <w:sz w:val="48"/>
      <w:szCs w:val="48"/>
    </w:rPr>
  </w:style>
  <w:style w:type="paragraph" w:styleId="762">
    <w:name w:val="Body Text First Indent 2"/>
    <w:basedOn w:val="740"/>
    <w:uiPriority w:val="0"/>
    <w:qFormat/>
    <w:pPr>
      <w:ind w:left="420" w:firstLine="420"/>
      <w:spacing w:after="120"/>
    </w:pPr>
    <w:rPr>
      <w:sz w:val="21"/>
    </w:rPr>
  </w:style>
  <w:style w:type="table" w:styleId="763">
    <w:name w:val="Table Grid"/>
    <w:basedOn w:val="7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basedOn w:val="733"/>
    <w:uiPriority w:val="0"/>
    <w:qFormat/>
    <w:rPr>
      <w:b/>
    </w:rPr>
  </w:style>
  <w:style w:type="character" w:styleId="765">
    <w:name w:val="endnote reference"/>
    <w:basedOn w:val="733"/>
    <w:uiPriority w:val="99"/>
    <w:semiHidden/>
    <w:unhideWhenUsed/>
    <w:qFormat/>
    <w:rPr>
      <w:vertAlign w:val="superscript"/>
    </w:rPr>
  </w:style>
  <w:style w:type="character" w:styleId="766">
    <w:name w:val="Hyperlink"/>
    <w:uiPriority w:val="99"/>
    <w:unhideWhenUsed/>
    <w:qFormat/>
    <w:rPr>
      <w:color w:val="0563c1" w:themeColor="hyperlink"/>
      <w:u w:val="single"/>
    </w:rPr>
  </w:style>
  <w:style w:type="character" w:styleId="767">
    <w:name w:val="footnote reference"/>
    <w:basedOn w:val="733"/>
    <w:uiPriority w:val="99"/>
    <w:unhideWhenUsed/>
    <w:qFormat/>
    <w:rPr>
      <w:vertAlign w:val="superscript"/>
    </w:rPr>
  </w:style>
  <w:style w:type="character" w:styleId="768" w:customStyle="1">
    <w:name w:val="Heading 1 Char"/>
    <w:basedOn w:val="733"/>
    <w:uiPriority w:val="9"/>
    <w:qFormat/>
    <w:rPr>
      <w:rFonts w:ascii="Arial" w:hAnsi="Arial" w:eastAsia="Arial" w:cs="Arial"/>
      <w:sz w:val="40"/>
      <w:szCs w:val="40"/>
    </w:rPr>
  </w:style>
  <w:style w:type="character" w:styleId="769" w:customStyle="1">
    <w:name w:val="Heading 4 Char"/>
    <w:basedOn w:val="733"/>
    <w:uiPriority w:val="9"/>
    <w:rPr>
      <w:rFonts w:ascii="Arial" w:hAnsi="Arial" w:eastAsia="Arial" w:cs="Arial"/>
      <w:b/>
      <w:bCs/>
      <w:sz w:val="26"/>
      <w:szCs w:val="26"/>
    </w:rPr>
  </w:style>
  <w:style w:type="character" w:styleId="770" w:customStyle="1">
    <w:name w:val="Heading 5 Char"/>
    <w:basedOn w:val="733"/>
    <w:uiPriority w:val="9"/>
    <w:rPr>
      <w:rFonts w:ascii="Arial" w:hAnsi="Arial" w:eastAsia="Arial" w:cs="Arial"/>
      <w:b/>
      <w:bCs/>
      <w:sz w:val="24"/>
      <w:szCs w:val="24"/>
    </w:rPr>
  </w:style>
  <w:style w:type="character" w:styleId="771" w:customStyle="1">
    <w:name w:val="Heading 6 Char"/>
    <w:basedOn w:val="733"/>
    <w:uiPriority w:val="9"/>
    <w:qFormat/>
    <w:rPr>
      <w:rFonts w:ascii="Arial" w:hAnsi="Arial" w:eastAsia="Arial" w:cs="Arial"/>
      <w:b/>
      <w:bCs/>
      <w:sz w:val="22"/>
      <w:szCs w:val="22"/>
    </w:rPr>
  </w:style>
  <w:style w:type="character" w:styleId="772" w:customStyle="1">
    <w:name w:val="Heading 7 Char"/>
    <w:basedOn w:val="733"/>
    <w:uiPriority w:val="9"/>
    <w:qFormat/>
    <w:rPr>
      <w:rFonts w:ascii="Arial" w:hAnsi="Arial" w:eastAsia="Arial" w:cs="Arial"/>
      <w:b/>
      <w:bCs/>
      <w:i/>
      <w:iCs/>
      <w:sz w:val="22"/>
      <w:szCs w:val="22"/>
    </w:rPr>
  </w:style>
  <w:style w:type="character" w:styleId="773" w:customStyle="1">
    <w:name w:val="Heading 8 Char"/>
    <w:basedOn w:val="733"/>
    <w:uiPriority w:val="9"/>
    <w:rPr>
      <w:rFonts w:ascii="Arial" w:hAnsi="Arial" w:eastAsia="Arial" w:cs="Arial"/>
      <w:i/>
      <w:iCs/>
      <w:sz w:val="22"/>
      <w:szCs w:val="22"/>
    </w:rPr>
  </w:style>
  <w:style w:type="character" w:styleId="774" w:customStyle="1">
    <w:name w:val="Heading 9 Char"/>
    <w:basedOn w:val="733"/>
    <w:uiPriority w:val="9"/>
    <w:rPr>
      <w:rFonts w:ascii="Arial" w:hAnsi="Arial" w:eastAsia="Arial" w:cs="Arial"/>
      <w:i/>
      <w:iCs/>
      <w:sz w:val="21"/>
      <w:szCs w:val="21"/>
    </w:rPr>
  </w:style>
  <w:style w:type="character" w:styleId="775" w:customStyle="1">
    <w:name w:val="Title Char"/>
    <w:basedOn w:val="733"/>
    <w:uiPriority w:val="10"/>
    <w:qFormat/>
    <w:rPr>
      <w:sz w:val="48"/>
      <w:szCs w:val="48"/>
    </w:rPr>
  </w:style>
  <w:style w:type="character" w:styleId="776" w:customStyle="1">
    <w:name w:val="Subtitle Char"/>
    <w:basedOn w:val="733"/>
    <w:uiPriority w:val="11"/>
    <w:qFormat/>
    <w:rPr>
      <w:sz w:val="24"/>
      <w:szCs w:val="24"/>
    </w:rPr>
  </w:style>
  <w:style w:type="character" w:styleId="777" w:customStyle="1">
    <w:name w:val="Quote Char"/>
    <w:uiPriority w:val="29"/>
    <w:rPr>
      <w:i/>
    </w:rPr>
  </w:style>
  <w:style w:type="character" w:styleId="778" w:customStyle="1">
    <w:name w:val="Intense Quote Char"/>
    <w:uiPriority w:val="30"/>
    <w:qFormat/>
    <w:rPr>
      <w:i/>
    </w:rPr>
  </w:style>
  <w:style w:type="character" w:styleId="779" w:customStyle="1">
    <w:name w:val="Footnote Text Char"/>
    <w:uiPriority w:val="99"/>
    <w:qFormat/>
    <w:rPr>
      <w:sz w:val="18"/>
    </w:rPr>
  </w:style>
  <w:style w:type="character" w:styleId="780" w:customStyle="1">
    <w:name w:val="Endnote Text Char"/>
    <w:uiPriority w:val="99"/>
    <w:qFormat/>
    <w:rPr>
      <w:sz w:val="20"/>
    </w:rPr>
  </w:style>
  <w:style w:type="paragraph" w:styleId="781" w:customStyle="1">
    <w:name w:val="TOC 标题1"/>
    <w:uiPriority w:val="39"/>
    <w:unhideWhenUsed/>
    <w:qFormat/>
    <w:rPr>
      <w:rFonts w:ascii="Times New Roman" w:hAnsi="Times New Roman" w:eastAsia="宋体" w:cs="Times New Roman"/>
      <w:lang w:val="en-US" w:eastAsia="zh-CN" w:bidi="ar-SA"/>
    </w:rPr>
  </w:style>
  <w:style w:type="character" w:styleId="782" w:customStyle="1">
    <w:name w:val="标题 1 Char"/>
    <w:basedOn w:val="733"/>
    <w:link w:val="724"/>
    <w:uiPriority w:val="9"/>
    <w:qFormat/>
    <w:rPr>
      <w:rFonts w:ascii="Arial" w:hAnsi="Arial" w:eastAsia="Arial" w:cs="Arial"/>
      <w:sz w:val="40"/>
      <w:szCs w:val="40"/>
    </w:rPr>
  </w:style>
  <w:style w:type="character" w:styleId="783" w:customStyle="1">
    <w:name w:val="Heading 2 Char"/>
    <w:basedOn w:val="733"/>
    <w:uiPriority w:val="9"/>
    <w:qFormat/>
    <w:rPr>
      <w:rFonts w:ascii="Arial" w:hAnsi="Arial" w:eastAsia="Arial" w:cs="Arial"/>
      <w:sz w:val="34"/>
    </w:rPr>
  </w:style>
  <w:style w:type="character" w:styleId="784" w:customStyle="1">
    <w:name w:val="Heading 3 Char"/>
    <w:basedOn w:val="733"/>
    <w:uiPriority w:val="9"/>
    <w:qFormat/>
    <w:rPr>
      <w:rFonts w:ascii="Arial" w:hAnsi="Arial" w:eastAsia="Arial" w:cs="Arial"/>
      <w:sz w:val="30"/>
      <w:szCs w:val="30"/>
    </w:rPr>
  </w:style>
  <w:style w:type="character" w:styleId="785" w:customStyle="1">
    <w:name w:val="标题 4 Char"/>
    <w:basedOn w:val="733"/>
    <w:link w:val="727"/>
    <w:uiPriority w:val="9"/>
    <w:qFormat/>
    <w:rPr>
      <w:rFonts w:ascii="Arial" w:hAnsi="Arial" w:eastAsia="Arial" w:cs="Arial"/>
      <w:b/>
      <w:bCs/>
      <w:sz w:val="26"/>
      <w:szCs w:val="26"/>
    </w:rPr>
  </w:style>
  <w:style w:type="character" w:styleId="786" w:customStyle="1">
    <w:name w:val="标题 5 Char"/>
    <w:basedOn w:val="733"/>
    <w:link w:val="728"/>
    <w:uiPriority w:val="9"/>
    <w:qFormat/>
    <w:rPr>
      <w:rFonts w:ascii="Arial" w:hAnsi="Arial" w:eastAsia="Arial" w:cs="Arial"/>
      <w:b/>
      <w:bCs/>
      <w:sz w:val="24"/>
      <w:szCs w:val="24"/>
    </w:rPr>
  </w:style>
  <w:style w:type="character" w:styleId="787" w:customStyle="1">
    <w:name w:val="标题 6 Char"/>
    <w:basedOn w:val="733"/>
    <w:link w:val="729"/>
    <w:uiPriority w:val="9"/>
    <w:qFormat/>
    <w:rPr>
      <w:rFonts w:ascii="Arial" w:hAnsi="Arial" w:eastAsia="Arial" w:cs="Arial"/>
      <w:b/>
      <w:bCs/>
      <w:sz w:val="22"/>
      <w:szCs w:val="22"/>
    </w:rPr>
  </w:style>
  <w:style w:type="character" w:styleId="788" w:customStyle="1">
    <w:name w:val="标题 7 Char"/>
    <w:basedOn w:val="733"/>
    <w:link w:val="730"/>
    <w:uiPriority w:val="9"/>
    <w:qFormat/>
    <w:rPr>
      <w:rFonts w:ascii="Arial" w:hAnsi="Arial" w:eastAsia="Arial" w:cs="Arial"/>
      <w:b/>
      <w:bCs/>
      <w:i/>
      <w:iCs/>
      <w:sz w:val="22"/>
      <w:szCs w:val="22"/>
    </w:rPr>
  </w:style>
  <w:style w:type="character" w:styleId="789" w:customStyle="1">
    <w:name w:val="标题 8 Char"/>
    <w:basedOn w:val="733"/>
    <w:link w:val="731"/>
    <w:uiPriority w:val="9"/>
    <w:qFormat/>
    <w:rPr>
      <w:rFonts w:ascii="Arial" w:hAnsi="Arial" w:eastAsia="Arial" w:cs="Arial"/>
      <w:i/>
      <w:iCs/>
      <w:sz w:val="22"/>
      <w:szCs w:val="22"/>
    </w:rPr>
  </w:style>
  <w:style w:type="character" w:styleId="790" w:customStyle="1">
    <w:name w:val="标题 9 Char"/>
    <w:basedOn w:val="733"/>
    <w:link w:val="732"/>
    <w:uiPriority w:val="9"/>
    <w:qFormat/>
    <w:rPr>
      <w:rFonts w:ascii="Arial" w:hAnsi="Arial" w:eastAsia="Arial" w:cs="Arial"/>
      <w:i/>
      <w:iCs/>
      <w:sz w:val="21"/>
      <w:szCs w:val="21"/>
    </w:rPr>
  </w:style>
  <w:style w:type="paragraph" w:styleId="791">
    <w:name w:val="List Paragraph"/>
    <w:basedOn w:val="723"/>
    <w:uiPriority w:val="34"/>
    <w:qFormat/>
    <w:pPr>
      <w:contextualSpacing/>
      <w:ind w:left="720"/>
    </w:pPr>
  </w:style>
  <w:style w:type="paragraph" w:styleId="792">
    <w:name w:val="No Spacing"/>
    <w:uiPriority w:val="1"/>
    <w:qFormat/>
    <w:rPr>
      <w:rFonts w:ascii="Times New Roman" w:hAnsi="Times New Roman" w:eastAsia="宋体" w:cs="Times New Roman"/>
      <w:lang w:val="en-US" w:eastAsia="zh-CN" w:bidi="ar-SA"/>
    </w:rPr>
  </w:style>
  <w:style w:type="character" w:styleId="793" w:customStyle="1">
    <w:name w:val="标题 Char"/>
    <w:basedOn w:val="733"/>
    <w:link w:val="761"/>
    <w:uiPriority w:val="10"/>
    <w:qFormat/>
    <w:rPr>
      <w:sz w:val="48"/>
      <w:szCs w:val="48"/>
    </w:rPr>
  </w:style>
  <w:style w:type="character" w:styleId="794" w:customStyle="1">
    <w:name w:val="副标题 Char"/>
    <w:basedOn w:val="733"/>
    <w:link w:val="752"/>
    <w:uiPriority w:val="11"/>
    <w:qFormat/>
    <w:rPr>
      <w:sz w:val="24"/>
      <w:szCs w:val="24"/>
    </w:rPr>
  </w:style>
  <w:style w:type="paragraph" w:styleId="795">
    <w:name w:val="Quote"/>
    <w:basedOn w:val="723"/>
    <w:next w:val="723"/>
    <w:link w:val="796"/>
    <w:uiPriority w:val="29"/>
    <w:qFormat/>
    <w:pPr>
      <w:ind w:left="720" w:right="720"/>
    </w:pPr>
    <w:rPr>
      <w:i/>
    </w:rPr>
  </w:style>
  <w:style w:type="character" w:styleId="796" w:customStyle="1">
    <w:name w:val="引用 Char"/>
    <w:link w:val="795"/>
    <w:uiPriority w:val="29"/>
    <w:qFormat/>
    <w:rPr>
      <w:i/>
    </w:rPr>
  </w:style>
  <w:style w:type="paragraph" w:styleId="797">
    <w:name w:val="Intense Quote"/>
    <w:basedOn w:val="723"/>
    <w:next w:val="723"/>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Char"/>
    <w:link w:val="797"/>
    <w:uiPriority w:val="30"/>
    <w:qFormat/>
    <w:rPr>
      <w:i/>
    </w:rPr>
  </w:style>
  <w:style w:type="character" w:styleId="799" w:customStyle="1">
    <w:name w:val="Header Char"/>
    <w:basedOn w:val="733"/>
    <w:uiPriority w:val="99"/>
    <w:qFormat/>
  </w:style>
  <w:style w:type="character" w:styleId="800" w:customStyle="1">
    <w:name w:val="Footer Char"/>
    <w:basedOn w:val="733"/>
    <w:uiPriority w:val="99"/>
    <w:qFormat/>
  </w:style>
  <w:style w:type="character" w:styleId="801" w:customStyle="1">
    <w:name w:val="Caption Char"/>
    <w:uiPriority w:val="99"/>
    <w:qFormat/>
  </w:style>
  <w:style w:type="table" w:styleId="802" w:customStyle="1">
    <w:name w:val="Table Grid Light"/>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2" w:customStyle="1">
    <w:name w:val="Grid Table 3"/>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1" w:customStyle="1">
    <w:name w:val="Grid Table 4 - Accent 2"/>
    <w:basedOn w:val="7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2" w:customStyle="1">
    <w:name w:val="Grid Table 4 - Accent 3"/>
    <w:basedOn w:val="7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3" w:customStyle="1">
    <w:name w:val="Grid Table 4 - Accent 4"/>
    <w:basedOn w:val="7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4" w:customStyle="1">
    <w:name w:val="Grid Table 4 - Accent 5"/>
    <w:basedOn w:val="7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5" w:customStyle="1">
    <w:name w:val="Grid Table 4 - Accent 6"/>
    <w:basedOn w:val="7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6" w:customStyle="1">
    <w:name w:val="Grid Table 5 Dark"/>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8" w:customStyle="1">
    <w:name w:val="Grid Table 5 Dark - Accent 2"/>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9" w:customStyle="1">
    <w:name w:val="Grid Table 5 Dark - Accent 3"/>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0" w:customStyle="1">
    <w:name w:val="Grid Table 5 Dark- Accent 4"/>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1" w:customStyle="1">
    <w:name w:val="Grid Table 5 Dark - Accent 5"/>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2" w:customStyle="1">
    <w:name w:val="Grid Table 5 Dark - Accent 6"/>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3" w:customStyle="1">
    <w:name w:val="Grid Table 6 Colorful"/>
    <w:basedOn w:val="7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4" w:customStyle="1">
    <w:name w:val="Grid Table 6 Colorful - Accent 1"/>
    <w:basedOn w:val="7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45" w:customStyle="1">
    <w:name w:val="Grid Table 6 Colorful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6" w:customStyle="1">
    <w:name w:val="Grid Table 6 Colorful - Accent 3"/>
    <w:basedOn w:val="7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7" w:customStyle="1">
    <w:name w:val="Grid Table 6 Colorful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48" w:customStyle="1">
    <w:name w:val="Grid Table 6 Colorful - Accent 5"/>
    <w:basedOn w:val="73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9" w:customStyle="1">
    <w:name w:val="Grid Table 6 Colorful - Accent 6"/>
    <w:basedOn w:val="7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50" w:customStyle="1">
    <w:name w:val="Grid Table 7 Colorful"/>
    <w:basedOn w:val="7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3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3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3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3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3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3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3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3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List Table 2"/>
    <w:basedOn w:val="7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6" w:customStyle="1">
    <w:name w:val="List Table 2 - Accent 2"/>
    <w:basedOn w:val="7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7" w:customStyle="1">
    <w:name w:val="List Table 2 - Accent 3"/>
    <w:basedOn w:val="7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8" w:customStyle="1">
    <w:name w:val="List Table 2 - Accent 4"/>
    <w:basedOn w:val="7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9" w:customStyle="1">
    <w:name w:val="List Table 2 - Accent 5"/>
    <w:basedOn w:val="73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0" w:customStyle="1">
    <w:name w:val="List Table 2 - Accent 6"/>
    <w:basedOn w:val="7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1" w:customStyle="1">
    <w:name w:val="List Table 3"/>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3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3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8" w:customStyle="1">
    <w:name w:val="List Table 4"/>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4 - Accent 2"/>
    <w:basedOn w:val="7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1" w:customStyle="1">
    <w:name w:val="List Table 4 - Accent 3"/>
    <w:basedOn w:val="7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2" w:customStyle="1">
    <w:name w:val="List Table 4 - Accent 4"/>
    <w:basedOn w:val="7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3" w:customStyle="1">
    <w:name w:val="List Table 4 - Accent 5"/>
    <w:basedOn w:val="73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4" w:customStyle="1">
    <w:name w:val="List Table 4 - Accent 6"/>
    <w:basedOn w:val="7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5" w:customStyle="1">
    <w:name w:val="List Table 5 Dark"/>
    <w:basedOn w:val="7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6" w:customStyle="1">
    <w:name w:val="List Table 5 Dark - Accent 1"/>
    <w:basedOn w:val="7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87" w:customStyle="1">
    <w:name w:val="List Table 5 Dark - Accent 2"/>
    <w:basedOn w:val="7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88" w:customStyle="1">
    <w:name w:val="List Table 5 Dark - Accent 3"/>
    <w:basedOn w:val="7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9" w:customStyle="1">
    <w:name w:val="List Table 5 Dark - Accent 4"/>
    <w:basedOn w:val="7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90" w:customStyle="1">
    <w:name w:val="List Table 5 Dark - Accent 5"/>
    <w:basedOn w:val="73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91" w:customStyle="1">
    <w:name w:val="List Table 5 Dark - Accent 6"/>
    <w:basedOn w:val="7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92" w:customStyle="1">
    <w:name w:val="List Table 6 Colorful"/>
    <w:basedOn w:val="73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3" w:customStyle="1">
    <w:name w:val="List Table 6 Colorful - Accent 1"/>
    <w:basedOn w:val="73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94" w:customStyle="1">
    <w:name w:val="List Table 6 Colorful - Accent 2"/>
    <w:basedOn w:val="73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95" w:customStyle="1">
    <w:name w:val="List Table 6 Colorful - Accent 3"/>
    <w:basedOn w:val="73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96" w:customStyle="1">
    <w:name w:val="List Table 6 Colorful - Accent 4"/>
    <w:basedOn w:val="73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97" w:customStyle="1">
    <w:name w:val="List Table 6 Colorful - Accent 5"/>
    <w:basedOn w:val="73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98" w:customStyle="1">
    <w:name w:val="List Table 6 Colorful - Accent 6"/>
    <w:basedOn w:val="73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9" w:customStyle="1">
    <w:name w:val="List Table 7 Colorful"/>
    <w:basedOn w:val="73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3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3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3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3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3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3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8" w:customStyle="1">
    <w:name w:val="Lined - Accent 2"/>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9" w:customStyle="1">
    <w:name w:val="Lined - Accent 3"/>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0" w:customStyle="1">
    <w:name w:val="Lined - Accent 4"/>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1" w:customStyle="1">
    <w:name w:val="Lined - Accent 5"/>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2" w:customStyle="1">
    <w:name w:val="Lined - Accent 6"/>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3" w:customStyle="1">
    <w:name w:val="Bordered &amp; Lined - Accent"/>
    <w:basedOn w:val="7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5" w:customStyle="1">
    <w:name w:val="Bordered &amp; Lined - Accent 2"/>
    <w:basedOn w:val="7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6" w:customStyle="1">
    <w:name w:val="Bordered &amp; Lined - Accent 3"/>
    <w:basedOn w:val="7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7" w:customStyle="1">
    <w:name w:val="Bordered &amp; Lined - Accent 4"/>
    <w:basedOn w:val="7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8" w:customStyle="1">
    <w:name w:val="Bordered &amp; Lined - Accent 5"/>
    <w:basedOn w:val="73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9" w:customStyle="1">
    <w:name w:val="Bordered &amp; Lined - Accent 6"/>
    <w:basedOn w:val="7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0" w:customStyle="1">
    <w:name w:val="Bordered"/>
    <w:basedOn w:val="7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2" w:customStyle="1">
    <w:name w:val="Bordered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3" w:customStyle="1">
    <w:name w:val="Bordered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4" w:customStyle="1">
    <w:name w:val="Bordered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5" w:customStyle="1">
    <w:name w:val="Bordered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6" w:customStyle="1">
    <w:name w:val="Bordered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7" w:customStyle="1">
    <w:name w:val="脚注文本 Char"/>
    <w:link w:val="754"/>
    <w:uiPriority w:val="99"/>
    <w:qFormat/>
    <w:rPr>
      <w:sz w:val="18"/>
    </w:rPr>
  </w:style>
  <w:style w:type="character" w:styleId="928" w:customStyle="1">
    <w:name w:val="尾注文本 Char"/>
    <w:link w:val="746"/>
    <w:uiPriority w:val="99"/>
    <w:qFormat/>
    <w:rPr>
      <w:sz w:val="20"/>
    </w:rPr>
  </w:style>
  <w:style w:type="paragraph" w:styleId="929" w:customStyle="1">
    <w:name w:val="TOC 标题11"/>
    <w:uiPriority w:val="39"/>
    <w:unhideWhenUsed/>
    <w:qFormat/>
    <w:rPr>
      <w:rFonts w:ascii="Times New Roman" w:hAnsi="Times New Roman" w:eastAsia="宋体" w:cs="Times New Roman"/>
      <w:lang w:val="en-US" w:eastAsia="zh-CN" w:bidi="ar-SA"/>
    </w:rPr>
  </w:style>
  <w:style w:type="paragraph" w:styleId="930" w:customStyle="1">
    <w:name w:val="Default"/>
    <w:basedOn w:val="723"/>
    <w:uiPriority w:val="0"/>
    <w:semiHidden/>
    <w:qFormat/>
    <w:pPr>
      <w:jc w:val="left"/>
    </w:pPr>
    <w:rPr>
      <w:rFonts w:ascii="宋体" w:hAnsi="Calibri" w:cs="宋体"/>
      <w:color w:val="000000"/>
      <w:sz w:val="24"/>
    </w:rPr>
  </w:style>
  <w:style w:type="character" w:styleId="931" w:customStyle="1">
    <w:name w:val="页眉 Char"/>
    <w:basedOn w:val="733"/>
    <w:link w:val="749"/>
    <w:uiPriority w:val="0"/>
    <w:qFormat/>
    <w:rPr>
      <w:rFonts w:asciiTheme="minorHAnsi" w:hAnsiTheme="minorHAnsi" w:eastAsiaTheme="minorEastAsia" w:cstheme="minorBidi"/>
      <w:sz w:val="18"/>
      <w:szCs w:val="18"/>
    </w:rPr>
  </w:style>
  <w:style w:type="character" w:styleId="932" w:customStyle="1">
    <w:name w:val="页脚 Char"/>
    <w:basedOn w:val="733"/>
    <w:link w:val="747"/>
    <w:uiPriority w:val="0"/>
    <w:qFormat/>
    <w:rPr>
      <w:rFonts w:asciiTheme="minorHAnsi" w:hAnsiTheme="minorHAnsi" w:eastAsiaTheme="minorEastAsia" w:cstheme="minorBidi"/>
      <w:sz w:val="18"/>
      <w:szCs w:val="18"/>
    </w:rPr>
  </w:style>
  <w:style w:type="paragraph" w:styleId="93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34" w:customStyle="1">
    <w:name w:val="页脚1"/>
    <w:basedOn w:val="723"/>
    <w:uiPriority w:val="99"/>
    <w:unhideWhenUsed/>
    <w:qFormat/>
    <w:pPr>
      <w:jc w:val="left"/>
      <w:tabs>
        <w:tab w:val="center" w:pos="4153" w:leader="none"/>
        <w:tab w:val="right" w:pos="8306" w:leader="none"/>
      </w:tabs>
    </w:pPr>
    <w:rPr>
      <w:sz w:val="18"/>
      <w:szCs w:val="18"/>
    </w:rPr>
  </w:style>
  <w:style w:type="paragraph" w:styleId="935" w:customStyle="1">
    <w:name w:val="普通正文"/>
    <w:basedOn w:val="723"/>
    <w:uiPriority w:val="0"/>
    <w:qFormat/>
    <w:pPr>
      <w:ind w:firstLine="480"/>
      <w:jc w:val="left"/>
      <w:spacing w:before="120" w:after="120" w:line="360" w:lineRule="auto"/>
    </w:pPr>
    <w:rPr>
      <w:rFonts w:ascii="Arial" w:hAnsi="Arial" w:eastAsia="等线" w:cs="Arial"/>
      <w:sz w:val="24"/>
    </w:rPr>
  </w:style>
  <w:style w:type="paragraph" w:styleId="936" w:customStyle="1">
    <w:name w:val="正文首行缩进 21"/>
    <w:basedOn w:val="937"/>
    <w:uiPriority w:val="0"/>
    <w:qFormat/>
    <w:pPr>
      <w:ind w:firstLine="420"/>
    </w:pPr>
  </w:style>
  <w:style w:type="paragraph" w:styleId="937" w:customStyle="1">
    <w:name w:val="正文文本缩进1"/>
    <w:basedOn w:val="723"/>
    <w:uiPriority w:val="0"/>
    <w:qFormat/>
    <w:pPr>
      <w:ind w:left="420"/>
      <w:spacing w:after="120"/>
    </w:pPr>
  </w:style>
  <w:style w:type="paragraph" w:styleId="938" w:customStyle="1">
    <w:name w:val="文本块1"/>
    <w:basedOn w:val="723"/>
    <w:uiPriority w:val="99"/>
    <w:qFormat/>
    <w:pPr>
      <w:ind w:left="1440" w:right="1440"/>
      <w:spacing w:after="120"/>
      <w:tabs>
        <w:tab w:val="left" w:pos="9000" w:leader="none"/>
      </w:tabs>
    </w:pPr>
    <w:rPr>
      <w:rFonts w:ascii="Times New Roman" w:hAnsi="Times New Roman"/>
    </w:rPr>
  </w:style>
  <w:style w:type="paragraph" w:styleId="939" w:customStyle="1">
    <w:name w:val="普通(网站)1"/>
    <w:basedOn w:val="723"/>
    <w:uiPriority w:val="0"/>
    <w:unhideWhenUsed/>
    <w:qFormat/>
    <w:pPr>
      <w:jc w:val="left"/>
      <w:spacing w:before="100" w:beforeAutospacing="1" w:after="100" w:afterAutospacing="1"/>
      <w:widowControl/>
    </w:pPr>
    <w:rPr>
      <w:rFonts w:ascii="宋体" w:hAnsi="宋体" w:cs="宋体"/>
      <w:sz w:val="24"/>
    </w:rPr>
  </w:style>
  <w:style w:type="paragraph" w:styleId="940" w:customStyle="1">
    <w:name w:val="me-正文"/>
    <w:basedOn w:val="723"/>
    <w:uiPriority w:val="0"/>
    <w:qFormat/>
    <w:pPr>
      <w:ind w:firstLine="200"/>
      <w:spacing w:line="579" w:lineRule="exact"/>
    </w:pPr>
    <w:rPr>
      <w:rFonts w:ascii="Times New Roman" w:hAnsi="Times New Roman" w:eastAsia="方正仿宋_GBK"/>
      <w:sz w:val="32"/>
    </w:rPr>
  </w:style>
  <w:style w:type="paragraph" w:styleId="941" w:customStyle="1">
    <w:name w:val="列出段落1"/>
    <w:basedOn w:val="723"/>
    <w:uiPriority w:val="0"/>
    <w:qFormat/>
    <w:pPr>
      <w:contextualSpacing/>
      <w:ind w:left="720"/>
      <w:widowControl/>
    </w:pPr>
    <w:rPr>
      <w:rFonts w:ascii="Calibri" w:hAnsi="Calibri"/>
      <w:sz w:val="24"/>
      <w:lang w:eastAsia="en-US" w:bidi="en-US"/>
    </w:rPr>
  </w:style>
  <w:style w:type="paragraph" w:styleId="942" w:customStyle="1">
    <w:name w:val="Table Paragraph"/>
    <w:basedOn w:val="723"/>
    <w:uiPriority w:val="1"/>
    <w:unhideWhenUsed/>
    <w:qFormat/>
    <w:rPr>
      <w:sz w:val="24"/>
    </w:rPr>
  </w:style>
  <w:style w:type="character" w:styleId="943" w:customStyle="1">
    <w:name w:val="NormalCharacter"/>
    <w:uiPriority w:val="0"/>
    <w:qFormat/>
    <w:rPr>
      <w:rFonts w:ascii="Times New Roman" w:hAnsi="Times New Roman" w:eastAsia="宋体" w:cs="Times New Roman"/>
    </w:rPr>
  </w:style>
  <w:style w:type="numbering" w:styleId="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盐城市住建局代理</cp:lastModifiedBy>
  <cp:revision>137</cp:revision>
  <dcterms:created xsi:type="dcterms:W3CDTF">2014-10-29T12:08:00Z</dcterms:created>
  <dcterms:modified xsi:type="dcterms:W3CDTF">2026-05-09T04:55:21Z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D1427212005D45EBA7FFF00030290876_13</vt:lpwstr>
  </property>
  <property fmtid="{D5CDD505-2E9C-101B-9397-08002B2CF9AE}" pid="4" name="KSOTemplateDocerSaveRecord">
    <vt:lpwstr>eyJoZGlkIjoiZTU4MWM2MmNhNGM2Y2Y3Y2JiMDYwOWExNjdkZmYwMGQiLCJ1c2VySWQiOiIzNzQzODUzMjEifQ==</vt:lpwstr>
  </property>
</Properties>
</file>