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3"/>
        <w:spacing w:before="120" w:beforeAutospacing="0" w:after="120" w:afterAutospacing="0" w:line="360" w:lineRule="auto"/>
        <w:widowControl/>
      </w:pPr>
      <w:r/>
      <w:r/>
    </w:p>
    <w:p>
      <w:pPr>
        <w:pStyle w:val="743"/>
        <w:spacing w:before="120" w:beforeAutospacing="0" w:after="120" w:afterAutospacing="0" w:line="360" w:lineRule="auto"/>
        <w:widowControl/>
      </w:pPr>
      <w:r/>
      <w:r/>
    </w:p>
    <w:p>
      <w:pPr>
        <w:pStyle w:val="743"/>
        <w:spacing w:before="120" w:beforeAutospacing="0" w:after="120" w:afterAutospacing="0" w:line="360" w:lineRule="auto"/>
        <w:widowControl/>
      </w:pPr>
      <w:r/>
      <w:r/>
    </w:p>
    <w:p>
      <w:pPr>
        <w:pStyle w:val="743"/>
        <w:jc w:val="center"/>
        <w:spacing w:line="360" w:lineRule="auto"/>
        <w:widowControl/>
        <w:rPr>
          <w:rFonts w:asciiTheme="minorEastAsia" w:hAnsiTheme="minorEastAsia" w:cstheme="minorEastAsia"/>
        </w:rPr>
      </w:pPr>
      <w:r>
        <w:rPr>
          <w:rFonts w:hint="eastAsia" w:asciiTheme="minorEastAsia" w:hAnsiTheme="minorEastAsia" w:cstheme="minorEastAsia"/>
          <w:b/>
          <w:sz w:val="84"/>
          <w:szCs w:val="84"/>
        </w:rPr>
        <w:t xml:space="preserve">招 标 文 件</w:t>
      </w:r>
      <w:r/>
    </w:p>
    <w:p>
      <w:pPr>
        <w:pStyle w:val="743"/>
        <w:jc w:val="both"/>
        <w:spacing w:before="120" w:beforeAutospacing="0" w:after="120" w:afterAutospacing="0" w:line="360" w:lineRule="auto"/>
        <w:widowControl/>
        <w:rPr>
          <w:rFonts w:ascii="Arial" w:hAnsi="Arial" w:cs="Arial"/>
          <w:b/>
          <w:sz w:val="84"/>
          <w:szCs w:val="84"/>
        </w:rPr>
      </w:pPr>
      <w:r>
        <w:rPr>
          <w:rFonts w:ascii="Arial" w:hAnsi="Arial" w:cs="Arial"/>
          <w:b/>
          <w:sz w:val="84"/>
          <w:szCs w:val="84"/>
        </w:rPr>
      </w:r>
      <w:r/>
    </w:p>
    <w:p>
      <w:pPr>
        <w:pStyle w:val="743"/>
        <w:jc w:val="center"/>
        <w:spacing w:before="120" w:beforeAutospacing="0" w:after="120" w:afterAutospacing="0" w:line="360" w:lineRule="auto"/>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w:t>
      </w:r>
      <w:r>
        <w:rPr>
          <w:rFonts w:hint="eastAsia" w:ascii="宋体" w:hAnsi="宋体" w:eastAsia="宋体" w:cs="宋体"/>
          <w:b/>
          <w:sz w:val="32"/>
          <w:szCs w:val="32"/>
          <w:lang w:eastAsia="zh-CN"/>
        </w:rPr>
        <w:t xml:space="preserve">JSZC-320900-JZCG-G2026-</w:t>
      </w:r>
      <w:r>
        <w:rPr>
          <w:rFonts w:hint="eastAsia" w:ascii="宋体" w:hAnsi="宋体" w:eastAsia="宋体" w:cs="宋体"/>
          <w:b/>
          <w:sz w:val="32"/>
          <w:szCs w:val="32"/>
          <w:lang w:val="en-US" w:eastAsia="zh-CN"/>
        </w:rPr>
        <w:t xml:space="preserve">0062</w:t>
      </w:r>
      <w:r>
        <w:rPr>
          <w:rFonts w:hint="eastAsia" w:ascii="宋体" w:hAnsi="宋体" w:eastAsia="宋体" w:cs="宋体"/>
          <w:b/>
          <w:sz w:val="32"/>
          <w:szCs w:val="32"/>
          <w:lang w:eastAsia="zh-CN"/>
        </w:rPr>
        <w:t xml:space="preserve"> </w:t>
      </w:r>
      <w:r/>
    </w:p>
    <w:p>
      <w:pPr>
        <w:pStyle w:val="743"/>
        <w:jc w:val="both"/>
        <w:spacing w:before="120" w:beforeAutospacing="0" w:after="120" w:afterAutospacing="0" w:line="360" w:lineRule="auto"/>
        <w:widowControl/>
        <w:rPr>
          <w:rFonts w:ascii="宋体" w:hAnsi="宋体" w:eastAsia="宋体" w:cs="宋体"/>
          <w:b/>
          <w:sz w:val="32"/>
          <w:szCs w:val="32"/>
        </w:rPr>
      </w:pPr>
      <w:r>
        <w:rPr>
          <w:rFonts w:ascii="宋体" w:hAnsi="宋体" w:eastAsia="宋体" w:cs="宋体"/>
          <w:b/>
          <w:sz w:val="32"/>
          <w:szCs w:val="32"/>
        </w:rPr>
      </w:r>
      <w:r/>
    </w:p>
    <w:p>
      <w:pPr>
        <w:pStyle w:val="743"/>
        <w:jc w:val="center"/>
        <w:spacing w:before="120" w:beforeAutospacing="0" w:after="120" w:afterAutospacing="0" w:line="360" w:lineRule="auto"/>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项目名称：</w:t>
      </w:r>
      <w:r>
        <w:rPr>
          <w:rFonts w:hint="eastAsia" w:ascii="宋体" w:hAnsi="宋体" w:eastAsia="宋体" w:cs="宋体"/>
          <w:b/>
          <w:color w:val="000000"/>
          <w:sz w:val="32"/>
          <w:szCs w:val="32"/>
          <w:lang w:eastAsia="zh-CN"/>
        </w:rPr>
        <w:t xml:space="preserve">江苏省盐城技师学院海洋路校区心理健康活动中心和学生职业生涯规划中心采购项目</w:t>
      </w:r>
      <w:r/>
    </w:p>
    <w:p>
      <w:pPr>
        <w:widowControl/>
      </w:pPr>
      <w:r/>
      <w:r/>
    </w:p>
    <w:p>
      <w:pPr>
        <w:widowControl/>
        <w:rPr>
          <w:rFonts w:ascii="Arial" w:hAnsi="Arial" w:cs="Arial"/>
          <w:b/>
          <w:sz w:val="32"/>
          <w:szCs w:val="32"/>
        </w:rPr>
      </w:pPr>
      <w:r>
        <w:rPr>
          <w:rFonts w:ascii="Arial" w:hAnsi="Arial" w:cs="Arial"/>
          <w:b/>
          <w:sz w:val="32"/>
          <w:szCs w:val="32"/>
        </w:rPr>
      </w:r>
      <w:r/>
    </w:p>
    <w:p>
      <w:pPr>
        <w:widowControl/>
        <w:rPr>
          <w:rFonts w:ascii="Arial" w:hAnsi="Arial" w:cs="Arial"/>
          <w:b/>
          <w:sz w:val="32"/>
          <w:szCs w:val="32"/>
        </w:rPr>
      </w:pPr>
      <w:r>
        <w:rPr>
          <w:rFonts w:ascii="Arial" w:hAnsi="Arial" w:cs="Arial"/>
          <w:b/>
          <w:sz w:val="32"/>
          <w:szCs w:val="32"/>
        </w:rPr>
      </w:r>
      <w:r/>
    </w:p>
    <w:p>
      <w:pPr>
        <w:widowControl/>
        <w:rPr>
          <w:rFonts w:ascii="Arial" w:hAnsi="Arial" w:cs="Arial"/>
          <w:b/>
          <w:sz w:val="32"/>
          <w:szCs w:val="32"/>
        </w:rPr>
      </w:pPr>
      <w:r>
        <w:rPr>
          <w:rFonts w:ascii="Arial" w:hAnsi="Arial" w:cs="Arial"/>
          <w:b/>
          <w:sz w:val="32"/>
          <w:szCs w:val="32"/>
        </w:rPr>
      </w:r>
      <w:r/>
    </w:p>
    <w:p>
      <w:pPr>
        <w:widowControl/>
        <w:rPr>
          <w:rFonts w:ascii="Arial" w:hAnsi="Arial" w:cs="Arial"/>
          <w:b/>
          <w:sz w:val="32"/>
          <w:szCs w:val="32"/>
        </w:rPr>
      </w:pPr>
      <w:r>
        <w:rPr>
          <w:rFonts w:ascii="Arial" w:hAnsi="Arial" w:cs="Arial"/>
          <w:b/>
          <w:sz w:val="32"/>
          <w:szCs w:val="32"/>
        </w:rPr>
      </w:r>
      <w:r/>
    </w:p>
    <w:p>
      <w:pPr>
        <w:pStyle w:val="723"/>
        <w:widowControl/>
        <w:rPr>
          <w:rFonts w:ascii="Arial" w:cs="Arial"/>
          <w:b/>
          <w:sz w:val="32"/>
          <w:szCs w:val="32"/>
        </w:rPr>
      </w:pPr>
      <w:r>
        <w:rPr>
          <w:rFonts w:ascii="Arial" w:cs="Arial"/>
          <w:b/>
          <w:sz w:val="32"/>
          <w:szCs w:val="32"/>
        </w:rPr>
      </w:r>
      <w:r/>
    </w:p>
    <w:p>
      <w:pPr>
        <w:widowControl/>
        <w:rPr>
          <w:rFonts w:ascii="Arial" w:hAnsi="Arial" w:cs="Arial"/>
          <w:bCs/>
          <w:sz w:val="32"/>
          <w:szCs w:val="32"/>
        </w:rPr>
      </w:pPr>
      <w:r>
        <w:rPr>
          <w:rFonts w:ascii="Arial" w:hAnsi="Arial" w:cs="Arial"/>
          <w:bCs/>
          <w:sz w:val="32"/>
          <w:szCs w:val="32"/>
        </w:rPr>
      </w:r>
      <w:r/>
    </w:p>
    <w:p>
      <w:pPr>
        <w:pStyle w:val="743"/>
        <w:spacing w:before="120" w:beforeAutospacing="0" w:after="120" w:afterAutospacing="0" w:line="420" w:lineRule="exact"/>
        <w:widowControl/>
        <w:tabs>
          <w:tab w:val="left" w:pos="240" w:leader="none"/>
          <w:tab w:val="center" w:pos="4320" w:leader="none"/>
        </w:tabs>
        <w:rPr>
          <w:rFonts w:hint="eastAsia" w:ascii="黑体" w:hAnsi="黑体" w:eastAsia="黑体" w:cs="黑体"/>
          <w:bCs/>
          <w:sz w:val="32"/>
          <w:szCs w:val="32"/>
          <w:lang w:eastAsia="zh-CN"/>
        </w:rPr>
      </w:pPr>
      <w:r>
        <w:rPr>
          <w:rFonts w:ascii="黑体" w:hAnsi="黑体" w:eastAsia="黑体" w:cs="黑体"/>
          <w:bCs/>
          <w:sz w:val="32"/>
          <w:szCs w:val="32"/>
        </w:rPr>
        <w:tab/>
      </w:r>
      <w:r>
        <w:rPr>
          <w:rFonts w:ascii="黑体" w:hAnsi="黑体" w:eastAsia="黑体" w:cs="黑体"/>
          <w:bCs/>
          <w:sz w:val="32"/>
          <w:szCs w:val="32"/>
        </w:rPr>
        <w:tab/>
      </w:r>
      <w:r>
        <w:rPr>
          <w:rFonts w:hint="eastAsia" w:ascii="黑体" w:hAnsi="黑体" w:eastAsia="黑体" w:cs="黑体"/>
          <w:bCs/>
          <w:sz w:val="32"/>
          <w:szCs w:val="32"/>
          <w:lang w:eastAsia="zh-CN"/>
        </w:rPr>
        <w:t xml:space="preserve">江苏省盐城技师学院</w:t>
      </w:r>
      <w:r/>
    </w:p>
    <w:p>
      <w:pPr>
        <w:pStyle w:val="743"/>
        <w:jc w:val="center"/>
        <w:spacing w:before="120" w:beforeAutospacing="0" w:after="120" w:afterAutospacing="0" w:line="420" w:lineRule="exact"/>
        <w:widowControl/>
        <w:rPr>
          <w:rFonts w:ascii="黑体" w:hAnsi="黑体" w:eastAsia="黑体" w:cs="黑体"/>
          <w:bCs/>
          <w:sz w:val="32"/>
          <w:szCs w:val="32"/>
        </w:rPr>
      </w:pPr>
      <w:r>
        <w:rPr>
          <w:rFonts w:hint="eastAsia" w:ascii="黑体" w:hAnsi="黑体" w:eastAsia="黑体" w:cs="黑体"/>
          <w:bCs/>
          <w:sz w:val="32"/>
          <w:szCs w:val="32"/>
        </w:rPr>
        <w:t xml:space="preserve">2026年</w:t>
      </w:r>
      <w:r>
        <w:rPr>
          <w:rFonts w:hint="eastAsia" w:ascii="黑体" w:hAnsi="黑体" w:eastAsia="黑体" w:cs="黑体"/>
          <w:bCs/>
          <w:sz w:val="32"/>
          <w:szCs w:val="32"/>
          <w:lang w:val="en-US" w:eastAsia="zh-CN"/>
        </w:rPr>
        <w:t xml:space="preserve">9</w:t>
      </w:r>
      <w:r>
        <w:rPr>
          <w:rFonts w:hint="eastAsia" w:ascii="黑体" w:hAnsi="黑体" w:eastAsia="黑体" w:cs="黑体"/>
          <w:bCs/>
          <w:sz w:val="32"/>
          <w:szCs w:val="32"/>
        </w:rPr>
        <w:t xml:space="preserve">月</w:t>
      </w:r>
      <w:r/>
    </w:p>
    <w:p>
      <w:pPr>
        <w:jc w:val="center"/>
        <w:spacing w:line="700" w:lineRule="exact"/>
        <w:widowControl/>
        <w:rPr>
          <w:rFonts w:ascii="黑体" w:hAnsi="黑体" w:eastAsia="黑体" w:cs="黑体"/>
          <w:bCs/>
          <w:sz w:val="44"/>
          <w:szCs w:val="20"/>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633" w:bottom="1440" w:left="1633" w:header="851" w:footer="992" w:gutter="0"/>
          <w:cols w:num="1" w:sep="0" w:space="425" w:equalWidth="1"/>
          <w:docGrid w:linePitch="360"/>
        </w:sectPr>
        <w:outlineLvl w:val="0"/>
      </w:pPr>
      <w:r/>
      <w:bookmarkStart w:id="0" w:name="_Toc120614210"/>
      <w:r/>
      <w:bookmarkStart w:id="1" w:name="_Toc513029200"/>
      <w:r/>
      <w:bookmarkStart w:id="2" w:name="_Toc479757206"/>
      <w:r/>
      <w:bookmarkStart w:id="3" w:name="_Toc20823272"/>
      <w:r/>
      <w:bookmarkStart w:id="4" w:name="_Toc16938516"/>
      <w:r/>
      <w:bookmarkStart w:id="5" w:name="_Toc523127445"/>
      <w:r/>
      <w:r/>
    </w:p>
    <w:p>
      <w:pPr>
        <w:jc w:val="center"/>
        <w:spacing w:line="700" w:lineRule="exact"/>
        <w:widowControl/>
        <w:rPr>
          <w:rFonts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sz w:val="44"/>
          <w:szCs w:val="20"/>
        </w:rPr>
      </w:r>
      <w:bookmarkEnd w:id="0"/>
      <w:r/>
      <w:bookmarkEnd w:id="1"/>
      <w:r/>
      <w:bookmarkEnd w:id="2"/>
      <w:r/>
      <w:bookmarkEnd w:id="3"/>
      <w:r/>
      <w:bookmarkEnd w:id="4"/>
      <w:r/>
      <w:bookmarkEnd w:id="5"/>
      <w:r/>
      <w:r/>
    </w:p>
    <w:p>
      <w:pPr>
        <w:jc w:val="center"/>
        <w:rPr>
          <w:rFonts w:ascii="黑体" w:hAnsi="Times New Roman" w:eastAsia="黑体" w:cs="黑体"/>
          <w:bCs/>
          <w:color w:val="000000"/>
          <w:sz w:val="44"/>
        </w:rPr>
      </w:pPr>
      <w:r>
        <w:rPr>
          <w:rFonts w:hint="eastAsia" w:ascii="黑体" w:hAnsi="Times New Roman" w:eastAsia="黑体" w:cs="黑体"/>
          <w:bCs/>
          <w:color w:val="000000"/>
          <w:sz w:val="44"/>
        </w:rPr>
        <w:t xml:space="preserve">总  目  录</w:t>
      </w:r>
      <w:r/>
    </w:p>
    <w:p>
      <w:pPr>
        <w:jc w:val="center"/>
        <w:rPr>
          <w:rFonts w:ascii="黑体" w:hAnsi="Times New Roman" w:eastAsia="黑体" w:cs="黑体"/>
          <w:bCs/>
          <w:color w:val="000000"/>
          <w:sz w:val="44"/>
        </w:rPr>
      </w:pPr>
      <w:r>
        <w:rPr>
          <w:rFonts w:ascii="黑体" w:hAnsi="Times New Roman" w:eastAsia="黑体" w:cs="黑体"/>
          <w:bCs/>
          <w:color w:val="000000"/>
          <w:sz w:val="44"/>
        </w:rPr>
      </w:r>
      <w:r/>
    </w:p>
    <w:p>
      <w:pPr>
        <w:ind w:left="1856" w:hanging="1018"/>
        <w:spacing w:line="560" w:lineRule="exact"/>
        <w:tabs>
          <w:tab w:val="left" w:pos="0" w:leader="none"/>
        </w:tabs>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第一章  招标公告……………………………1</w:t>
      </w:r>
      <w:r/>
    </w:p>
    <w:p>
      <w:pPr>
        <w:ind w:left="1856" w:hanging="1018"/>
        <w:spacing w:line="560" w:lineRule="exact"/>
        <w:tabs>
          <w:tab w:val="left" w:pos="0" w:leader="none"/>
        </w:tabs>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第二章  投标人须知…………………………7</w:t>
      </w:r>
      <w:r/>
    </w:p>
    <w:p>
      <w:pPr>
        <w:ind w:left="1856" w:hanging="1018"/>
        <w:spacing w:line="560" w:lineRule="exact"/>
        <w:tabs>
          <w:tab w:val="left" w:pos="0" w:leader="none"/>
        </w:tabs>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第三章  合同文本……………………………25</w:t>
      </w:r>
      <w:r/>
    </w:p>
    <w:p>
      <w:p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第四章  采购需求……………………………57</w:t>
      </w:r>
      <w:r/>
    </w:p>
    <w:p>
      <w:p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第五章  评标方法与评标标准………………75</w:t>
      </w:r>
      <w:r/>
    </w:p>
    <w:p>
      <w:p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第六章  投标文件格式………………………84</w:t>
      </w:r>
      <w:r/>
    </w:p>
    <w:p>
      <w:pPr>
        <w:pStyle w:val="743"/>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sdt>
      <w:sdtPr>
        <w15:appearance w15:val="boundingBox"/>
        <w:id w:val="147479957"/>
        <w:showingPlcHdr w:val="true"/>
        <w:docPartObj>
          <w:docPartGallery w:val="Table of Contents"/>
          <w:docPartUnique w:val="true"/>
        </w:docPartObj>
        <w:rPr>
          <w:rFonts w:ascii="宋体" w:hAnsi="宋体" w:eastAsia="宋体"/>
        </w:rPr>
      </w:sdtPr>
      <w:sdtContent>
        <w:p>
          <w:pPr>
            <w:spacing w:line="500" w:lineRule="exact"/>
            <w:widowControl/>
          </w:pPr>
          <w:r>
            <w:rPr>
              <w:rFonts w:hint="eastAsia" w:ascii="宋体" w:hAnsi="宋体" w:eastAsia="宋体"/>
            </w:rPr>
            <w:t xml:space="preserve">     </w:t>
          </w:r>
          <w:r/>
        </w:p>
      </w:sdtContent>
    </w:sdt>
    <w:p>
      <w:pPr>
        <w:pStyle w:val="723"/>
      </w:pPr>
      <w:r/>
      <w:r/>
    </w:p>
    <w:p>
      <w:pPr>
        <w:pStyle w:val="743"/>
        <w:jc w:val="center"/>
        <w:keepNext/>
        <w:spacing w:beforeAutospacing="0" w:afterAutospacing="0"/>
        <w:widowControl/>
        <w:rPr>
          <w:rFonts w:ascii="黑体" w:hAnsi="宋体" w:eastAsia="黑体" w:cs="黑体"/>
          <w:sz w:val="44"/>
          <w:szCs w:val="44"/>
        </w:rPr>
      </w:pPr>
      <w:r/>
      <w:bookmarkStart w:id="6" w:name="_Toc28359086"/>
      <w:r/>
      <w:r/>
    </w:p>
    <w:p>
      <w:pPr>
        <w:widowControl/>
        <w:sectPr>
          <w:footerReference w:type="default" r:id="rId10"/>
          <w:footnotePr/>
          <w:endnotePr/>
          <w:type w:val="nextPage"/>
          <w:pgSz w:w="11906" w:h="16838" w:orient="portrait"/>
          <w:pgMar w:top="1440" w:right="1633" w:bottom="1440" w:left="1633" w:header="851" w:footer="992" w:gutter="0"/>
          <w:pgNumType w:start="2"/>
          <w:cols w:num="1" w:sep="0" w:space="425" w:equalWidth="1"/>
          <w:docGrid w:linePitch="360"/>
        </w:sectPr>
      </w:pPr>
      <w:r/>
      <w:r/>
    </w:p>
    <w:p>
      <w:pPr>
        <w:pStyle w:val="743"/>
        <w:ind w:firstLine="220"/>
        <w:jc w:val="center"/>
        <w:keepNext/>
        <w:spacing w:beforeAutospacing="0" w:afterAutospacing="0"/>
        <w:widowControl/>
        <w:rPr>
          <w:rFonts w:ascii="黑体" w:hAnsi="宋体" w:eastAsia="黑体" w:cs="黑体"/>
          <w:sz w:val="44"/>
          <w:szCs w:val="44"/>
        </w:rPr>
        <w:outlineLvl w:val="0"/>
      </w:pPr>
      <w:r/>
      <w:bookmarkStart w:id="7" w:name="_Toc30031"/>
      <w:r>
        <w:rPr>
          <w:rFonts w:hint="eastAsia" w:ascii="黑体" w:hAnsi="宋体" w:eastAsia="黑体" w:cs="黑体"/>
          <w:sz w:val="44"/>
          <w:szCs w:val="44"/>
        </w:rPr>
        <w:t xml:space="preserve">第一章 招标公告</w:t>
      </w:r>
      <w:bookmarkEnd w:id="7"/>
      <w:r/>
      <w:r/>
    </w:p>
    <w:p>
      <w:pPr>
        <w:pStyle w:val="743"/>
        <w:numPr>
          <w:ilvl w:val="255"/>
          <w:numId w:val="0"/>
        </w:numPr>
        <w:jc w:val="both"/>
        <w:keepNext/>
        <w:spacing w:beforeAutospacing="0" w:afterAutospacing="0" w:line="200" w:lineRule="exact"/>
        <w:widowControl/>
        <w:rPr>
          <w:rFonts w:ascii="黑体" w:hAnsi="宋体" w:eastAsia="黑体" w:cs="黑体"/>
          <w:sz w:val="44"/>
          <w:szCs w:val="44"/>
        </w:rPr>
      </w:pPr>
      <w:r>
        <w:rPr>
          <w:rFonts w:ascii="黑体" w:hAnsi="宋体" w:eastAsia="黑体" w:cs="黑体"/>
          <w:sz w:val="44"/>
          <w:szCs w:val="44"/>
        </w:rPr>
      </w:r>
      <w:r/>
    </w:p>
    <w:p>
      <w:pPr>
        <w:ind w:firstLine="482"/>
        <w:jc w:val="left"/>
        <w:spacing w:line="560" w:lineRule="exact"/>
        <w:widowControl/>
        <w:rPr>
          <w:rFonts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项目概况</w:t>
      </w:r>
      <w:r/>
    </w:p>
    <w:p>
      <w:pPr>
        <w:ind w:firstLine="482"/>
        <w:jc w:val="left"/>
        <w:spacing w:line="560" w:lineRule="exact"/>
        <w:widowControl/>
        <w:rPr>
          <w:rFonts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lang w:eastAsia="zh-CN"/>
        </w:rPr>
        <w:t xml:space="preserve">江苏省盐城技师学院海洋路校区心理健康活动中心和学生职业生涯规划中心采购项目</w:t>
      </w:r>
      <w:r>
        <w:rPr>
          <w:rFonts w:hint="eastAsia" w:ascii="宋体" w:hAnsi="宋体" w:eastAsia="宋体" w:cs="宋体"/>
          <w:sz w:val="24"/>
          <w:lang w:eastAsia="zh-CN"/>
        </w:rPr>
        <w:t xml:space="preserve">JSZC-320900-JZCG-G2026-</w:t>
      </w:r>
      <w:r>
        <w:rPr>
          <w:rFonts w:hint="eastAsia" w:ascii="宋体" w:hAnsi="宋体" w:eastAsia="宋体" w:cs="宋体"/>
          <w:sz w:val="24"/>
          <w:lang w:val="en-US" w:eastAsia="zh-CN"/>
        </w:rPr>
        <w:t xml:space="preserve">0062</w:t>
      </w:r>
      <w:r>
        <w:rPr>
          <w:rFonts w:hint="eastAsia" w:ascii="宋体" w:hAnsi="宋体" w:eastAsia="宋体" w:cs="宋体"/>
          <w:sz w:val="24"/>
          <w:szCs w:val="20"/>
        </w:rPr>
        <w:t xml:space="preserve">的潜在投标人应在“苏采云”系统内免费下载（投标人必须在苏采云系统中获取采购文件，方能参与政府采购项目），并于</w:t>
      </w:r>
      <w:r>
        <w:rPr>
          <w:rFonts w:hint="eastAsia" w:ascii="宋体" w:hAnsi="宋体" w:eastAsia="宋体" w:cs="宋体"/>
          <w:color w:val="0000ff"/>
          <w:sz w:val="24"/>
          <w:szCs w:val="20"/>
        </w:rPr>
        <w:t xml:space="preserve">2026年10</w:t>
      </w:r>
      <w:r>
        <w:rPr>
          <w:rFonts w:hint="eastAsia" w:ascii="宋体" w:hAnsi="宋体" w:eastAsia="宋体" w:cs="宋体"/>
          <w:color w:val="0000ff"/>
          <w:sz w:val="24"/>
          <w:szCs w:val="20"/>
        </w:rPr>
        <w:t xml:space="preserve">月09</w:t>
      </w:r>
      <w:r>
        <w:rPr>
          <w:rFonts w:hint="eastAsia" w:ascii="宋体" w:hAnsi="宋体" w:eastAsia="宋体" w:cs="宋体"/>
          <w:color w:val="0000ff"/>
          <w:sz w:val="24"/>
          <w:szCs w:val="20"/>
        </w:rPr>
        <w:t xml:space="preserve">日9点30分</w:t>
      </w:r>
      <w:r>
        <w:rPr>
          <w:rFonts w:hint="eastAsia" w:ascii="宋体" w:hAnsi="宋体" w:eastAsia="宋体" w:cs="宋体"/>
          <w:sz w:val="24"/>
          <w:szCs w:val="20"/>
        </w:rPr>
        <w:t xml:space="preserve">（北京时间）前递交投标文件。</w:t>
      </w:r>
      <w:bookmarkStart w:id="8" w:name="_Toc28359002"/>
      <w:r/>
      <w:bookmarkStart w:id="9" w:name="_Toc35393790"/>
      <w:r/>
      <w:bookmarkStart w:id="10" w:name="_Toc38985263"/>
      <w:r/>
      <w:bookmarkStart w:id="11" w:name="_Toc35393621"/>
      <w:r/>
      <w:bookmarkStart w:id="12" w:name="_Toc28359079"/>
      <w:r/>
      <w:bookmarkStart w:id="13" w:name="_Hlk24379207"/>
      <w:r/>
      <w:r/>
    </w:p>
    <w:p>
      <w:pPr>
        <w:ind w:firstLine="482"/>
        <w:jc w:val="left"/>
        <w:keepLines/>
        <w:keepNex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一、项目基本情况</w:t>
      </w:r>
      <w:bookmarkEnd w:id="8"/>
      <w:r/>
      <w:bookmarkEnd w:id="9"/>
      <w:r/>
      <w:bookmarkEnd w:id="10"/>
      <w:r/>
      <w:bookmarkEnd w:id="11"/>
      <w:r/>
      <w:bookmarkEnd w:id="12"/>
      <w:r/>
      <w:bookmarkEnd w:id="13"/>
      <w:r/>
      <w:r/>
    </w:p>
    <w:p>
      <w:pPr>
        <w:ind w:firstLine="482"/>
        <w:jc w:val="left"/>
        <w:spacing w:line="560" w:lineRule="exact"/>
        <w:widowControl/>
        <w:rPr>
          <w:rFonts w:hint="eastAsia" w:ascii="宋体" w:hAnsi="宋体" w:eastAsia="宋体" w:cs="宋体"/>
          <w:sz w:val="24"/>
          <w:lang w:eastAsia="zh-CN"/>
        </w:rPr>
      </w:pPr>
      <w:r>
        <w:rPr>
          <w:rFonts w:hint="eastAsia" w:ascii="宋体" w:hAnsi="宋体" w:eastAsia="宋体" w:cs="宋体"/>
          <w:sz w:val="24"/>
        </w:rPr>
        <w:t xml:space="preserve">1.项目编号：</w:t>
      </w:r>
      <w:r>
        <w:rPr>
          <w:rFonts w:hint="eastAsia" w:ascii="宋体" w:hAnsi="宋体" w:eastAsia="宋体" w:cs="宋体"/>
          <w:sz w:val="24"/>
          <w:lang w:eastAsia="zh-CN"/>
        </w:rPr>
        <w:t xml:space="preserve">JSZC-320900-JZCG-G2026-</w:t>
      </w:r>
      <w:r>
        <w:rPr>
          <w:rFonts w:hint="eastAsia" w:ascii="宋体" w:hAnsi="宋体" w:eastAsia="宋体" w:cs="宋体"/>
          <w:sz w:val="24"/>
          <w:lang w:val="en-US" w:eastAsia="zh-CN"/>
        </w:rPr>
        <w:t xml:space="preserve">0062</w:t>
      </w:r>
      <w:r>
        <w:rPr>
          <w:rFonts w:hint="eastAsia" w:ascii="宋体" w:hAnsi="宋体" w:eastAsia="宋体" w:cs="宋体"/>
          <w:sz w:val="24"/>
          <w:lang w:eastAsia="zh-CN"/>
        </w:rPr>
        <w:t xml:space="preserve"> </w:t>
      </w:r>
      <w:r/>
    </w:p>
    <w:p>
      <w:pPr>
        <w:ind w:firstLine="482"/>
        <w:jc w:val="left"/>
        <w:spacing w:line="560" w:lineRule="exact"/>
        <w:widowControl/>
        <w:rPr>
          <w:rFonts w:hint="eastAsia" w:ascii="宋体" w:hAnsi="宋体" w:eastAsia="宋体" w:cs="宋体"/>
          <w:sz w:val="24"/>
          <w:lang w:eastAsia="zh-CN"/>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江苏省盐城技师学院海洋路校区心理健康活动中心和学生职业生涯规划中心采购项目</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3.采购方式：公开招标</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4.预算金额：</w:t>
      </w:r>
      <w:r>
        <w:rPr>
          <w:rFonts w:hint="eastAsia" w:ascii="宋体"/>
          <w:bCs/>
          <w:color w:val="000000"/>
          <w:sz w:val="24"/>
        </w:rPr>
        <w:t xml:space="preserve">109.</w:t>
      </w:r>
      <w:r>
        <w:rPr>
          <w:rFonts w:hint="eastAsia" w:ascii="宋体"/>
          <w:bCs/>
          <w:color w:val="000000"/>
          <w:sz w:val="24"/>
        </w:rPr>
        <w:t xml:space="preserve">7</w:t>
      </w:r>
      <w:r>
        <w:rPr>
          <w:rFonts w:hint="eastAsia" w:ascii="宋体" w:hAnsi="宋体" w:eastAsia="宋体" w:cs="宋体"/>
          <w:sz w:val="24"/>
        </w:rPr>
        <w:t xml:space="preserve">万元</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5.最高限价：</w:t>
      </w:r>
      <w:r>
        <w:rPr>
          <w:rFonts w:hint="eastAsia" w:ascii="宋体"/>
          <w:bCs/>
          <w:color w:val="000000"/>
          <w:sz w:val="24"/>
        </w:rPr>
        <w:t xml:space="preserve">109.</w:t>
      </w:r>
      <w:r>
        <w:rPr>
          <w:rFonts w:hint="eastAsia" w:ascii="宋体"/>
          <w:bCs/>
          <w:color w:val="000000"/>
          <w:sz w:val="24"/>
        </w:rPr>
        <w:t xml:space="preserve">7</w:t>
      </w:r>
      <w:r>
        <w:rPr>
          <w:rFonts w:hint="eastAsia" w:ascii="宋体" w:hAnsi="宋体" w:eastAsia="宋体" w:cs="宋体"/>
          <w:sz w:val="24"/>
        </w:rPr>
        <w:t xml:space="preserve">万元</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6.采购需求：</w:t>
      </w:r>
      <w:r>
        <w:rPr>
          <w:rFonts w:hint="eastAsia" w:ascii="宋体"/>
          <w:bCs/>
          <w:color w:val="000000"/>
          <w:sz w:val="24"/>
        </w:rPr>
        <w:t xml:space="preserve">江苏省盐城技师学院海洋路校区心理健康活动中心和学生职业生涯规划中心采购项目</w:t>
      </w:r>
      <w:r>
        <w:rPr>
          <w:rFonts w:hint="eastAsia" w:ascii="宋体" w:hAnsi="宋体" w:cs="宋体"/>
          <w:color w:val="000000"/>
          <w:sz w:val="24"/>
          <w:lang w:bidi="ar"/>
        </w:rPr>
        <w:t xml:space="preserve">，</w:t>
      </w:r>
      <w:r>
        <w:rPr>
          <w:rFonts w:hint="eastAsia" w:ascii="宋体" w:hAnsi="宋体"/>
          <w:bCs/>
          <w:color w:val="000000"/>
          <w:sz w:val="24"/>
          <w:szCs w:val="21"/>
        </w:rPr>
        <w:t xml:space="preserve">详见本招标文件第四章采购需求</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7.合同履行期限：</w:t>
      </w:r>
      <w:r>
        <w:rPr>
          <w:rFonts w:hint="eastAsia" w:ascii="宋体" w:hAnsi="宋体" w:cs="宋体"/>
          <w:color w:val="000000"/>
          <w:sz w:val="24"/>
          <w:lang w:bidi="ar"/>
        </w:rPr>
        <w:t xml:space="preserve">必须在合同签订后60个日历天内完成到货、安装、调试工作并交付使用，中标价包括安装调试过程中产生的一切费用</w:t>
      </w:r>
      <w:r>
        <w:rPr>
          <w:rFonts w:hint="eastAsia" w:ascii="宋体" w:hAnsi="宋体" w:eastAsia="宋体" w:cs="宋体"/>
          <w:sz w:val="24"/>
        </w:rPr>
        <w:t xml:space="preserve">。</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8.本项目（是/否）接受联合体投标：否。</w:t>
      </w:r>
      <w:r/>
    </w:p>
    <w:p>
      <w:pPr>
        <w:ind w:firstLine="482"/>
        <w:jc w:val="left"/>
        <w:spacing w:line="560" w:lineRule="exact"/>
        <w:widowControl/>
        <w:rPr>
          <w:rFonts w:ascii="宋体" w:hAnsi="宋体" w:eastAsia="宋体" w:cs="宋体"/>
          <w:b/>
          <w:bCs/>
          <w:sz w:val="24"/>
          <w:szCs w:val="20"/>
        </w:rPr>
      </w:pPr>
      <w:r/>
      <w:bookmarkStart w:id="14" w:name="_Toc28359080"/>
      <w:r/>
      <w:bookmarkStart w:id="15" w:name="_Toc38985264"/>
      <w:r/>
      <w:bookmarkStart w:id="16" w:name="_Toc35393622"/>
      <w:r/>
      <w:bookmarkStart w:id="17" w:name="_Toc35393791"/>
      <w:r/>
      <w:bookmarkStart w:id="18" w:name="_Toc28359003"/>
      <w:r>
        <w:rPr>
          <w:rFonts w:hint="eastAsia" w:ascii="宋体" w:hAnsi="宋体" w:eastAsia="宋体" w:cs="宋体"/>
          <w:b/>
          <w:bCs/>
          <w:sz w:val="24"/>
          <w:szCs w:val="20"/>
        </w:rPr>
        <w:t xml:space="preserve">二、申请人的资格要求</w:t>
      </w:r>
      <w:bookmarkEnd w:id="14"/>
      <w:r/>
      <w:bookmarkEnd w:id="15"/>
      <w:r/>
      <w:bookmarkEnd w:id="16"/>
      <w:r/>
      <w:bookmarkEnd w:id="17"/>
      <w:r/>
      <w:bookmarkEnd w:id="18"/>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1.满足《中华人民共和国政府采购法》第二十二条规定，并提供下列材料：</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1.1法人或者其他组织的营业执照等证明文件，自然人的身份证明；</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1.2上一年度的财务状况报告（成立不满一年无需提供）；</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1.6法律、行政法规规定的其他条件。</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2.落实政府采购政策需满足的资格要求：无</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3.本项目的特定资格要求：无</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三、获取招标文件</w:t>
      </w:r>
      <w:bookmarkStart w:id="19" w:name="_Toc28359018"/>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时间：自招标文件公告发布之日起5个工作日</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地点：“苏采云”系统内免费下载（投标人必须在苏采云系统中获取采购文件，方能参与政府采购项目）</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方式：本项目采用网上注册登记方式</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售价：0.00元</w:t>
      </w:r>
      <w:r/>
    </w:p>
    <w:p>
      <w:pPr>
        <w:ind w:firstLine="482"/>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四、提交投标文件截止时间、开标时间和地点</w:t>
      </w:r>
      <w:r/>
    </w:p>
    <w:p>
      <w:pPr>
        <w:ind w:firstLine="482"/>
        <w:jc w:val="left"/>
        <w:spacing w:line="560" w:lineRule="exact"/>
        <w:widowControl/>
        <w:rPr>
          <w:rFonts w:ascii="宋体" w:hAnsi="宋体" w:eastAsia="宋体" w:cs="宋体"/>
          <w:color w:val="0000ff"/>
          <w:sz w:val="24"/>
        </w:rPr>
      </w:pPr>
      <w:r>
        <w:rPr>
          <w:rFonts w:hint="eastAsia" w:ascii="宋体" w:hAnsi="宋体" w:eastAsia="宋体" w:cs="宋体"/>
          <w:sz w:val="24"/>
        </w:rPr>
        <w:t xml:space="preserve">1.时间：</w:t>
      </w:r>
      <w:r>
        <w:rPr>
          <w:rFonts w:hint="eastAsia" w:ascii="宋体" w:hAnsi="宋体" w:eastAsia="宋体" w:cs="宋体"/>
          <w:color w:val="0000ff"/>
          <w:sz w:val="24"/>
        </w:rPr>
        <w:t xml:space="preserve">2026年10</w:t>
      </w:r>
      <w:r>
        <w:rPr>
          <w:rFonts w:hint="eastAsia" w:ascii="宋体" w:hAnsi="宋体" w:eastAsia="宋体" w:cs="宋体"/>
          <w:color w:val="0000ff"/>
          <w:sz w:val="24"/>
        </w:rPr>
        <w:t xml:space="preserve">月09</w:t>
      </w:r>
      <w:r>
        <w:rPr>
          <w:rFonts w:hint="eastAsia" w:ascii="宋体" w:hAnsi="宋体" w:eastAsia="宋体" w:cs="宋体"/>
          <w:color w:val="0000ff"/>
          <w:sz w:val="24"/>
        </w:rPr>
        <w:t xml:space="preserve">日9点30分（北京时间）</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2.地点：苏采云“不见面”开标大厅。</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五、公告期限</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自本公告发布之日起5个工作日。</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六、其他补充事宜</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cs="宋体"/>
          <w:sz w:val="24"/>
          <w:szCs w:val="20"/>
        </w:rPr>
        <w:t xml:space="preserve">具体办理指南：在盐城市政府采购网点击【办事指南】-【供应商参与政府采购活动相关资料】。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领取CA和办理电子签章（</w:t>
      </w:r>
      <w:r>
        <w:rPr>
          <w:rFonts w:hint="eastAsia" w:ascii="宋体" w:hAnsi="宋体" w:eastAsia="宋体" w:cs="宋体"/>
          <w:b/>
          <w:bCs/>
          <w:color w:val="000000"/>
          <w:sz w:val="24"/>
          <w:szCs w:val="20"/>
        </w:rPr>
        <w:t xml:space="preserve">请至盐城市府西路1号盐城市公共资源交易中心四楼大厅10号，11号窗口办理</w:t>
      </w:r>
      <w:r>
        <w:rPr>
          <w:rFonts w:hint="eastAsia" w:ascii="宋体" w:hAnsi="宋体" w:eastAsia="宋体" w:cs="宋体"/>
          <w:color w:val="000000"/>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 潜在供应商访问电子招标响应交易平台的网络地址和方法：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2.2 潜在投标人访问“苏采云”系统方法：江苏省政府采购网首页-“苏采云”链接。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2.3 采购文件（后缀名为“.kedt”）、供应商操作手册及政府采购客户端 工具可通过“苏采云”系统相应链接进行下载。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如潜在投标人未按上述要求操作，将自行承担所产生的风险。</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4.本次招标不收取投标保证金，不收取质量保证金。</w:t>
      </w:r>
      <w:r/>
    </w:p>
    <w:p>
      <w:pPr>
        <w:ind w:firstLine="482"/>
        <w:jc w:val="left"/>
        <w:spacing w:line="560" w:lineRule="exact"/>
        <w:shd w:val="clear" w:color="auto" w:fill="ffffff"/>
        <w:widowControl/>
        <w:rPr>
          <w:rFonts w:ascii="宋体" w:hAnsi="宋体" w:eastAsia="宋体" w:cs="宋体"/>
          <w:b/>
          <w:bCs/>
          <w:sz w:val="24"/>
          <w:szCs w:val="20"/>
        </w:rPr>
      </w:pPr>
      <w:r>
        <w:rPr>
          <w:rFonts w:hint="eastAsia" w:ascii="宋体" w:hAnsi="宋体" w:eastAsia="宋体" w:cs="宋体"/>
          <w:b/>
          <w:bCs/>
          <w:sz w:val="24"/>
          <w:szCs w:val="20"/>
          <w:shd w:val="clear" w:color="auto" w:fill="ffffff"/>
        </w:rPr>
        <w:t xml:space="preserve">七、对本次招标提出询问，请按以下方式联系。</w:t>
      </w:r>
      <w:bookmarkEnd w:id="19"/>
      <w:r/>
      <w:r/>
    </w:p>
    <w:p>
      <w:pPr>
        <w:ind w:firstLine="482"/>
        <w:jc w:val="left"/>
        <w:spacing w:line="560" w:lineRule="exact"/>
        <w:shd w:val="clear" w:color="auto" w:fill="ffffff"/>
        <w:widowControl/>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1.采购人信息</w:t>
      </w:r>
      <w:r/>
    </w:p>
    <w:p>
      <w:pPr>
        <w:ind w:firstLine="482"/>
        <w:jc w:val="left"/>
        <w:spacing w:line="560" w:lineRule="exact"/>
        <w:shd w:val="clear" w:color="auto" w:fill="ffffff"/>
        <w:widowControl/>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名    称：江苏省盐城技师学院</w:t>
      </w:r>
      <w:r/>
    </w:p>
    <w:p>
      <w:pPr>
        <w:ind w:firstLine="482"/>
        <w:jc w:val="left"/>
        <w:spacing w:line="560" w:lineRule="exact"/>
        <w:shd w:val="clear" w:color="auto" w:fill="ffffff"/>
        <w:widowControl/>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地    址：盐城市盐都区海洋路29号</w:t>
      </w:r>
      <w:r/>
    </w:p>
    <w:p>
      <w:pPr>
        <w:ind w:firstLine="482"/>
        <w:jc w:val="left"/>
        <w:spacing w:line="560" w:lineRule="exact"/>
        <w:shd w:val="clear" w:color="auto" w:fill="ffffff"/>
        <w:widowControl/>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联 系 人：王老师</w:t>
      </w:r>
      <w:r/>
    </w:p>
    <w:p>
      <w:pPr>
        <w:ind w:firstLine="482"/>
        <w:jc w:val="left"/>
        <w:spacing w:line="560" w:lineRule="exact"/>
        <w:shd w:val="clear" w:color="auto" w:fill="ffffff"/>
        <w:widowControl/>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联系方式：0515-68661002</w:t>
      </w:r>
      <w:r/>
    </w:p>
    <w:p>
      <w:pPr>
        <w:ind w:firstLine="482"/>
        <w:spacing w:line="500" w:lineRule="exact"/>
        <w:rPr>
          <w:rFonts w:ascii="宋体" w:hAnsi="宋体" w:cs="宋体"/>
          <w:b/>
          <w:bCs/>
          <w:color w:val="000000"/>
          <w:sz w:val="24"/>
        </w:rPr>
      </w:pPr>
      <w:r>
        <w:rPr>
          <w:rFonts w:hint="eastAsia" w:ascii="宋体" w:hAnsi="宋体" w:cs="宋体"/>
          <w:b/>
          <w:bCs/>
          <w:color w:val="000000"/>
          <w:sz w:val="24"/>
        </w:rPr>
        <w:t xml:space="preserve">2.采购代理机构信息</w:t>
      </w:r>
      <w:bookmarkStart w:id="178" w:name="_GoBack"/>
      <w:r/>
      <w:bookmarkEnd w:id="178"/>
      <w:r/>
      <w:r/>
    </w:p>
    <w:p>
      <w:pPr>
        <w:ind w:firstLine="480"/>
        <w:spacing w:line="500" w:lineRule="exact"/>
        <w:rPr>
          <w:rFonts w:ascii="宋体" w:hAnsi="宋体" w:cs="宋体"/>
          <w:color w:val="000000"/>
          <w:sz w:val="24"/>
        </w:rPr>
      </w:pPr>
      <w:r>
        <w:rPr>
          <w:rFonts w:hint="eastAsia" w:ascii="宋体" w:hAnsi="宋体" w:cs="宋体"/>
          <w:color w:val="000000"/>
          <w:sz w:val="24"/>
        </w:rPr>
        <w:t xml:space="preserve">名    称：盐城市政府采购中心</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地    址：盐城市府西路1号市公共资源交易中心5楼</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联 系 人：倪女士</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联系电话：0515-69083502</w:t>
      </w:r>
      <w:r/>
    </w:p>
    <w:p>
      <w:pPr>
        <w:ind w:firstLine="482"/>
        <w:spacing w:line="500" w:lineRule="exact"/>
        <w:rPr>
          <w:rFonts w:ascii="宋体" w:hAnsi="宋体" w:cs="宋体"/>
          <w:b/>
          <w:bCs/>
          <w:color w:val="000000"/>
          <w:sz w:val="24"/>
        </w:rPr>
      </w:pPr>
      <w:r>
        <w:rPr>
          <w:rFonts w:hint="eastAsia" w:ascii="宋体" w:hAnsi="宋体" w:cs="宋体"/>
          <w:b/>
          <w:bCs/>
          <w:color w:val="000000"/>
          <w:sz w:val="24"/>
        </w:rPr>
        <w:t xml:space="preserve">3.项目联系方式</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联 系 人：倪女士</w:t>
      </w:r>
      <w:r/>
    </w:p>
    <w:p>
      <w:pPr>
        <w:ind w:firstLine="482"/>
        <w:jc w:val="left"/>
        <w:spacing w:line="560" w:lineRule="exact"/>
        <w:shd w:val="clear" w:color="auto" w:fill="ffffff"/>
        <w:widowControl/>
        <w:rPr>
          <w:rFonts w:ascii="宋体" w:hAnsi="宋体" w:eastAsia="宋体" w:cs="宋体"/>
          <w:sz w:val="24"/>
          <w:szCs w:val="20"/>
          <w:shd w:val="clear" w:color="auto" w:fill="ffffff"/>
        </w:rPr>
      </w:pPr>
      <w:r>
        <w:rPr>
          <w:rFonts w:hint="eastAsia" w:ascii="宋体" w:hAnsi="宋体" w:cs="宋体"/>
          <w:color w:val="000000"/>
          <w:sz w:val="24"/>
        </w:rPr>
        <w:t xml:space="preserve">联系电话：0515-69083502</w:t>
      </w:r>
      <w:r/>
    </w:p>
    <w:p>
      <w:pPr>
        <w:widowControl/>
      </w:pPr>
      <w:r/>
      <w:r/>
    </w:p>
    <w:p>
      <w:pPr>
        <w:widowControl/>
        <w:rPr>
          <w:rFonts w:ascii="黑体" w:hAnsi="宋体" w:eastAsia="黑体" w:cs="黑体"/>
          <w:b/>
          <w:sz w:val="44"/>
          <w:szCs w:val="44"/>
        </w:rPr>
      </w:pPr>
      <w:r>
        <w:rPr>
          <w:rFonts w:hint="eastAsia" w:ascii="宋体" w:hAnsi="宋体" w:eastAsia="宋体" w:cs="宋体"/>
        </w:rPr>
        <w:br w:type="page" w:clear="all"/>
      </w:r>
      <w:bookmarkStart w:id="20" w:name="_Toc120614211"/>
      <w:r/>
      <w:r/>
    </w:p>
    <w:p>
      <w:pPr>
        <w:ind w:firstLine="482"/>
        <w:jc w:val="center"/>
        <w:keepLines/>
        <w:keepNext/>
        <w:spacing w:before="260" w:after="260" w:line="560" w:lineRule="exact"/>
        <w:widowControl/>
        <w:outlineLvl w:val="0"/>
      </w:pPr>
      <w:r/>
      <w:bookmarkStart w:id="21" w:name="_Toc5488"/>
      <w:r>
        <w:rPr>
          <w:rFonts w:hint="eastAsia" w:ascii="黑体" w:hAnsi="宋体" w:eastAsia="黑体" w:cs="黑体"/>
          <w:bCs/>
          <w:sz w:val="44"/>
          <w:szCs w:val="44"/>
        </w:rPr>
        <w:t xml:space="preserve">第二章</w:t>
      </w:r>
      <w:bookmarkEnd w:id="20"/>
      <w:r/>
      <w:bookmarkStart w:id="22" w:name="_Toc20823274"/>
      <w:r/>
      <w:bookmarkStart w:id="23" w:name="_Toc513029202"/>
      <w:r/>
      <w:bookmarkStart w:id="24" w:name="_Toc120614213"/>
      <w:r/>
      <w:bookmarkStart w:id="25" w:name="_Toc16938518"/>
      <w:r>
        <w:rPr>
          <w:rFonts w:hint="eastAsia" w:ascii="黑体" w:hAnsi="宋体" w:eastAsia="黑体" w:cs="黑体"/>
          <w:bCs/>
          <w:sz w:val="44"/>
          <w:szCs w:val="44"/>
        </w:rPr>
        <w:t xml:space="preserve"> 投标人须知</w:t>
      </w:r>
      <w:bookmarkEnd w:id="21"/>
      <w:r/>
      <w:bookmarkEnd w:id="22"/>
      <w:r/>
      <w:bookmarkEnd w:id="23"/>
      <w:r/>
      <w:bookmarkEnd w:id="24"/>
      <w:r/>
      <w:bookmarkEnd w:id="25"/>
      <w:r/>
      <w:r/>
    </w:p>
    <w:p>
      <w:pPr>
        <w:pStyle w:val="743"/>
        <w:ind w:firstLine="482"/>
        <w:jc w:val="both"/>
        <w:keepNext/>
        <w:spacing w:beforeAutospacing="0" w:afterAutospacing="0" w:line="480" w:lineRule="exact"/>
        <w:rPr>
          <w:rFonts w:ascii="宋体" w:hAnsi="宋体" w:eastAsia="宋体" w:cs="宋体"/>
        </w:rPr>
      </w:pPr>
      <w:r/>
      <w:bookmarkStart w:id="26" w:name="_Toc120614214"/>
      <w:r/>
      <w:bookmarkStart w:id="27" w:name="_Toc513029203"/>
      <w:r/>
      <w:bookmarkStart w:id="28" w:name="_Toc16938519"/>
      <w:r/>
      <w:bookmarkStart w:id="29" w:name="_Toc20823275"/>
      <w:r/>
      <w:bookmarkStart w:id="30" w:name="_Hlt26670482"/>
      <w:r/>
      <w:bookmarkStart w:id="31" w:name="_Hlt26954739"/>
      <w:r/>
      <w:bookmarkStart w:id="32" w:name="_Hlt26954731"/>
      <w:r/>
      <w:bookmarkStart w:id="33" w:name="_Hlt26954848"/>
      <w:r/>
      <w:bookmarkStart w:id="34" w:name="_Hlt26954846"/>
      <w:r/>
      <w:bookmarkStart w:id="35" w:name="_Toc513029226"/>
      <w:r/>
      <w:bookmarkStart w:id="36" w:name="_Hlt16619475"/>
      <w:r/>
      <w:bookmarkStart w:id="37" w:name="_Hlt26670486"/>
      <w:r/>
      <w:bookmarkStart w:id="38" w:name="_Hlt26668975"/>
      <w:r/>
      <w:bookmarkStart w:id="39" w:name="_Hlt26954852"/>
      <w:r/>
      <w:bookmarkStart w:id="40" w:name="_Hlt26670360"/>
      <w:r/>
      <w:bookmarkStart w:id="41" w:name="_Hlt26954838"/>
      <w:r>
        <w:rPr>
          <w:rFonts w:hint="eastAsia" w:ascii="宋体" w:hAnsi="宋体" w:eastAsia="宋体" w:cs="宋体"/>
          <w:b/>
        </w:rPr>
        <w:t xml:space="preserve">一、总则</w:t>
      </w:r>
      <w:bookmarkEnd w:id="26"/>
      <w:r/>
      <w:bookmarkEnd w:id="27"/>
      <w:r/>
      <w:bookmarkEnd w:id="28"/>
      <w:r/>
      <w:bookmarkEnd w:id="29"/>
      <w:r/>
      <w:r/>
    </w:p>
    <w:p>
      <w:pPr>
        <w:ind w:firstLine="482"/>
        <w:jc w:val="left"/>
        <w:keepNext/>
        <w:spacing w:line="560" w:lineRule="exact"/>
        <w:rPr>
          <w:rFonts w:ascii="宋体" w:hAnsi="宋体" w:eastAsia="宋体" w:cs="宋体"/>
          <w:b/>
          <w:bCs/>
          <w:sz w:val="24"/>
          <w:szCs w:val="20"/>
        </w:rPr>
        <w:outlineLvl w:val="2"/>
      </w:pPr>
      <w:r/>
      <w:bookmarkStart w:id="42" w:name="_Toc20823276"/>
      <w:r/>
      <w:bookmarkStart w:id="43" w:name="_Toc513029204"/>
      <w:r/>
      <w:bookmarkStart w:id="44" w:name="_Toc458694821"/>
      <w:r/>
      <w:bookmarkStart w:id="45" w:name="_Toc16938520"/>
      <w:r>
        <w:rPr>
          <w:rFonts w:hint="eastAsia" w:ascii="宋体" w:hAnsi="宋体" w:eastAsia="宋体" w:cs="宋体"/>
          <w:b/>
          <w:bCs/>
          <w:sz w:val="24"/>
          <w:szCs w:val="20"/>
        </w:rPr>
        <w:t xml:space="preserve">1</w:t>
      </w:r>
      <w:bookmarkEnd w:id="42"/>
      <w:r>
        <w:rPr>
          <w:rFonts w:hint="eastAsia" w:ascii="宋体" w:hAnsi="宋体" w:eastAsia="宋体" w:cs="宋体"/>
          <w:b/>
          <w:bCs/>
          <w:sz w:val="24"/>
          <w:szCs w:val="20"/>
        </w:rPr>
        <w:t xml:space="preserve">、招标方式</w:t>
      </w:r>
      <w:bookmarkEnd w:id="43"/>
      <w:r/>
      <w:bookmarkEnd w:id="44"/>
      <w:r/>
      <w:bookmarkEnd w:id="45"/>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1.1本次招标采取公开招标方式，本招标文件仅适用于招标公告中所述项目。</w:t>
      </w:r>
      <w:r/>
    </w:p>
    <w:p>
      <w:pPr>
        <w:ind w:firstLine="482"/>
        <w:jc w:val="left"/>
        <w:keepNext/>
        <w:spacing w:line="560" w:lineRule="exact"/>
        <w:rPr>
          <w:rFonts w:ascii="宋体" w:hAnsi="宋体" w:eastAsia="宋体" w:cs="宋体"/>
          <w:b/>
          <w:bCs/>
          <w:sz w:val="24"/>
          <w:szCs w:val="20"/>
        </w:rPr>
        <w:outlineLvl w:val="2"/>
      </w:pPr>
      <w:r/>
      <w:bookmarkStart w:id="46" w:name="_Toc16938521"/>
      <w:r/>
      <w:bookmarkStart w:id="47" w:name="_Toc513029205"/>
      <w:r/>
      <w:bookmarkStart w:id="48" w:name="_Toc20823277"/>
      <w:r>
        <w:rPr>
          <w:rFonts w:hint="eastAsia" w:ascii="宋体" w:hAnsi="宋体" w:eastAsia="宋体" w:cs="宋体"/>
          <w:b/>
          <w:bCs/>
          <w:sz w:val="24"/>
          <w:szCs w:val="20"/>
        </w:rPr>
        <w:t xml:space="preserve">2、合格的投标人</w:t>
      </w:r>
      <w:bookmarkEnd w:id="46"/>
      <w:r/>
      <w:bookmarkEnd w:id="47"/>
      <w:r/>
      <w:bookmarkEnd w:id="48"/>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2.1满足招标公告中供应商的资格要求的规定。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2.2满足本文件实质性要求和条件的规定。</w:t>
      </w:r>
      <w:r/>
    </w:p>
    <w:p>
      <w:pPr>
        <w:ind w:firstLine="482"/>
        <w:jc w:val="left"/>
        <w:keepNext/>
        <w:spacing w:line="560" w:lineRule="exact"/>
        <w:rPr>
          <w:rFonts w:ascii="宋体" w:hAnsi="宋体" w:eastAsia="宋体" w:cs="宋体"/>
          <w:b/>
          <w:bCs/>
          <w:sz w:val="24"/>
          <w:szCs w:val="20"/>
        </w:rPr>
        <w:outlineLvl w:val="2"/>
      </w:pPr>
      <w:r/>
      <w:bookmarkStart w:id="49" w:name="_Toc20823278"/>
      <w:r/>
      <w:bookmarkStart w:id="50" w:name="_Toc513029206"/>
      <w:r/>
      <w:bookmarkStart w:id="51" w:name="_Toc16938522"/>
      <w:r>
        <w:rPr>
          <w:rFonts w:hint="eastAsia" w:ascii="宋体" w:hAnsi="宋体" w:eastAsia="宋体" w:cs="宋体"/>
          <w:b/>
          <w:bCs/>
          <w:sz w:val="24"/>
          <w:szCs w:val="20"/>
        </w:rPr>
        <w:t xml:space="preserve">3、适用法律</w:t>
      </w:r>
      <w:bookmarkEnd w:id="49"/>
      <w:r/>
      <w:bookmarkEnd w:id="50"/>
      <w:r/>
      <w:bookmarkEnd w:id="51"/>
      <w:r/>
      <w:r/>
    </w:p>
    <w:p>
      <w:pPr>
        <w:ind w:firstLine="482"/>
        <w:jc w:val="left"/>
        <w:spacing w:line="556" w:lineRule="exact"/>
        <w:widowControl/>
        <w:rPr>
          <w:rFonts w:ascii="宋体" w:hAnsi="宋体" w:eastAsia="宋体" w:cs="宋体"/>
          <w:sz w:val="24"/>
          <w:szCs w:val="20"/>
        </w:rPr>
      </w:pPr>
      <w:r/>
      <w:bookmarkStart w:id="52" w:name="_Toc462564067"/>
      <w:r/>
      <w:bookmarkStart w:id="53" w:name="_Toc16938523"/>
      <w:r/>
      <w:bookmarkStart w:id="54" w:name="_Toc513029207"/>
      <w:r/>
      <w:bookmarkStart w:id="55" w:name="_Toc20823279"/>
      <w:r>
        <w:rPr>
          <w:rFonts w:hint="eastAsia" w:ascii="宋体" w:hAnsi="宋体" w:eastAsia="宋体" w:cs="宋体"/>
          <w:sz w:val="24"/>
          <w:szCs w:val="20"/>
        </w:rPr>
        <w:t xml:space="preserve">3.1 本次招标及由此产生的合同受中华人民共和国有关的法律法规制约和保护。</w:t>
      </w:r>
      <w:r/>
    </w:p>
    <w:p>
      <w:pPr>
        <w:ind w:firstLine="482"/>
        <w:jc w:val="left"/>
        <w:spacing w:line="556" w:lineRule="exact"/>
        <w:widowControl/>
        <w:rPr>
          <w:rFonts w:ascii="宋体" w:hAnsi="宋体" w:eastAsia="宋体" w:cs="宋体"/>
          <w:sz w:val="24"/>
          <w:szCs w:val="20"/>
        </w:rPr>
      </w:pPr>
      <w:r>
        <w:rPr>
          <w:rFonts w:hint="eastAsia" w:ascii="宋体" w:hAnsi="宋体" w:eastAsia="宋体" w:cs="宋体"/>
          <w:sz w:val="24"/>
          <w:szCs w:val="20"/>
        </w:rPr>
        <w:t xml:space="preserve">3.2 在本项目政府采购活动过程中，如果所执行的标准有更新的，按照最新标准执行。</w:t>
      </w:r>
      <w:r/>
    </w:p>
    <w:p>
      <w:pPr>
        <w:ind w:firstLine="482"/>
        <w:jc w:val="left"/>
        <w:keepNext/>
        <w:spacing w:line="560" w:lineRule="exact"/>
        <w:rPr>
          <w:rFonts w:ascii="宋体" w:hAnsi="宋体" w:eastAsia="宋体" w:cs="宋体"/>
          <w:b/>
          <w:bCs/>
          <w:sz w:val="24"/>
          <w:szCs w:val="20"/>
        </w:rPr>
        <w:outlineLvl w:val="2"/>
      </w:pPr>
      <w:r>
        <w:rPr>
          <w:rFonts w:hint="eastAsia" w:ascii="宋体" w:hAnsi="宋体" w:eastAsia="宋体" w:cs="宋体"/>
          <w:b/>
          <w:bCs/>
          <w:sz w:val="24"/>
          <w:szCs w:val="20"/>
        </w:rPr>
        <w:t xml:space="preserve">4、投标费用</w:t>
      </w:r>
      <w:bookmarkEnd w:id="52"/>
      <w:r/>
      <w:bookmarkEnd w:id="53"/>
      <w:r/>
      <w:bookmarkEnd w:id="54"/>
      <w:r/>
      <w:bookmarkEnd w:id="55"/>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4.2本次招标采购中心和采购人不收取标书工本费与中标服务费。</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5、招标文件的约束力</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5.1投标人一旦参加本项目采购活动，即被认为接受了本招标文件的规定和约束。</w:t>
      </w:r>
      <w:r/>
    </w:p>
    <w:p>
      <w:pPr>
        <w:ind w:firstLine="482"/>
        <w:jc w:val="left"/>
        <w:keepNext/>
        <w:spacing w:line="560" w:lineRule="exact"/>
        <w:rPr>
          <w:rFonts w:ascii="宋体" w:hAnsi="宋体" w:eastAsia="宋体" w:cs="宋体"/>
          <w:b/>
          <w:bCs/>
          <w:sz w:val="24"/>
          <w:szCs w:val="20"/>
        </w:rPr>
      </w:pPr>
      <w:r/>
      <w:bookmarkStart w:id="56" w:name="_Toc120614215"/>
      <w:r/>
      <w:bookmarkStart w:id="57" w:name="_Toc513029209"/>
      <w:r/>
      <w:bookmarkStart w:id="58" w:name="_Toc16938525"/>
      <w:r/>
      <w:bookmarkStart w:id="59" w:name="_Toc20823281"/>
      <w:r>
        <w:rPr>
          <w:rFonts w:hint="eastAsia" w:ascii="宋体" w:hAnsi="宋体" w:eastAsia="宋体" w:cs="宋体"/>
          <w:b/>
          <w:bCs/>
          <w:sz w:val="24"/>
          <w:szCs w:val="20"/>
        </w:rPr>
        <w:t xml:space="preserve">二、招标文件</w:t>
      </w:r>
      <w:bookmarkEnd w:id="56"/>
      <w:r/>
      <w:bookmarkEnd w:id="57"/>
      <w:r/>
      <w:bookmarkEnd w:id="58"/>
      <w:r/>
      <w:bookmarkEnd w:id="59"/>
      <w:r/>
      <w:r/>
    </w:p>
    <w:p>
      <w:pPr>
        <w:ind w:firstLine="482"/>
        <w:jc w:val="left"/>
        <w:keepNext/>
        <w:spacing w:line="560" w:lineRule="exact"/>
        <w:rPr>
          <w:rFonts w:ascii="宋体" w:hAnsi="宋体" w:eastAsia="宋体" w:cs="宋体"/>
          <w:b/>
          <w:bCs/>
          <w:sz w:val="24"/>
          <w:szCs w:val="20"/>
        </w:rPr>
      </w:pPr>
      <w:r/>
      <w:bookmarkStart w:id="60" w:name="_Toc16938526"/>
      <w:r/>
      <w:bookmarkStart w:id="61" w:name="_Toc20823282"/>
      <w:r/>
      <w:bookmarkStart w:id="62" w:name="_Toc513029210"/>
      <w:r>
        <w:rPr>
          <w:rFonts w:hint="eastAsia" w:ascii="宋体" w:hAnsi="宋体" w:eastAsia="宋体" w:cs="宋体"/>
          <w:b/>
          <w:bCs/>
          <w:sz w:val="24"/>
          <w:szCs w:val="20"/>
        </w:rPr>
        <w:t xml:space="preserve">6、招标文件构成</w:t>
      </w:r>
      <w:bookmarkEnd w:id="60"/>
      <w:r/>
      <w:bookmarkEnd w:id="61"/>
      <w:r/>
      <w:bookmarkEnd w:id="62"/>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6.1招标文件由以下部分组成：</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（1）招标公告</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（2）投标人须知</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（3）合同文本</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（4）采购需求</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（5）评标方法与评标标准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（6）投标文件格式</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请仔细检查招标文件是否齐全，如有缺漏请立即与采购中心联系解决。</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keepNext/>
        <w:spacing w:line="560" w:lineRule="exact"/>
        <w:rPr>
          <w:rFonts w:ascii="宋体" w:hAnsi="宋体" w:eastAsia="宋体" w:cs="宋体"/>
          <w:b/>
          <w:bCs/>
          <w:sz w:val="24"/>
          <w:szCs w:val="20"/>
        </w:rPr>
      </w:pPr>
      <w:r/>
      <w:bookmarkStart w:id="63" w:name="_Toc462564070"/>
      <w:r/>
      <w:bookmarkStart w:id="64" w:name="_Toc513029211"/>
      <w:r/>
      <w:bookmarkStart w:id="65" w:name="_Toc16938527"/>
      <w:r/>
      <w:bookmarkStart w:id="66" w:name="_Toc20823283"/>
      <w:r>
        <w:rPr>
          <w:rFonts w:hint="eastAsia" w:ascii="宋体" w:hAnsi="宋体" w:eastAsia="宋体" w:cs="宋体"/>
          <w:b/>
          <w:bCs/>
          <w:sz w:val="24"/>
          <w:szCs w:val="20"/>
        </w:rPr>
        <w:t xml:space="preserve">7、招标文件的澄清</w:t>
      </w:r>
      <w:bookmarkEnd w:id="63"/>
      <w:r/>
      <w:bookmarkEnd w:id="64"/>
      <w:r/>
      <w:bookmarkEnd w:id="65"/>
      <w:r/>
      <w:bookmarkEnd w:id="66"/>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7.1任何要求对招标文件进行澄清的投标人，应在投标截止期</w:t>
      </w:r>
      <w:r>
        <w:rPr>
          <w:rFonts w:hint="eastAsia" w:ascii="宋体" w:hAnsi="宋体" w:eastAsia="宋体" w:cs="宋体"/>
          <w:b/>
          <w:bCs/>
          <w:sz w:val="24"/>
          <w:szCs w:val="20"/>
        </w:rPr>
        <w:t xml:space="preserve">十日</w:t>
      </w:r>
      <w:r>
        <w:rPr>
          <w:rFonts w:hint="eastAsia" w:ascii="宋体" w:hAnsi="宋体" w:eastAsia="宋体" w:cs="宋体"/>
          <w:sz w:val="24"/>
          <w:szCs w:val="20"/>
        </w:rPr>
        <w:t xml:space="preserve">前按招标公告中的通讯地址，以书面形式通知采购中心。</w:t>
      </w:r>
      <w:r/>
    </w:p>
    <w:p>
      <w:pPr>
        <w:ind w:firstLine="482"/>
        <w:jc w:val="left"/>
        <w:keepNext/>
        <w:spacing w:line="560" w:lineRule="exact"/>
        <w:rPr>
          <w:rFonts w:ascii="宋体" w:hAnsi="宋体" w:eastAsia="宋体" w:cs="宋体"/>
          <w:b/>
          <w:bCs/>
          <w:sz w:val="24"/>
          <w:szCs w:val="20"/>
        </w:rPr>
      </w:pPr>
      <w:r/>
      <w:bookmarkStart w:id="67" w:name="_Toc16938528"/>
      <w:r/>
      <w:bookmarkStart w:id="68" w:name="_Toc462564071"/>
      <w:r/>
      <w:bookmarkStart w:id="69" w:name="_Toc20823284"/>
      <w:r/>
      <w:bookmarkStart w:id="70" w:name="_Toc513029212"/>
      <w:r>
        <w:rPr>
          <w:rFonts w:hint="eastAsia" w:ascii="宋体" w:hAnsi="宋体" w:eastAsia="宋体" w:cs="宋体"/>
          <w:b/>
          <w:bCs/>
          <w:sz w:val="24"/>
          <w:szCs w:val="20"/>
        </w:rPr>
        <w:t xml:space="preserve">8、招标文件的修改</w:t>
      </w:r>
      <w:bookmarkEnd w:id="67"/>
      <w:r/>
      <w:bookmarkEnd w:id="68"/>
      <w:r/>
      <w:bookmarkEnd w:id="69"/>
      <w:r/>
      <w:bookmarkEnd w:id="70"/>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8.1在投标截止时间前，采购中心可以对招标文件进行修改。</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8.2采购中心有权按照法定的要求推迟投标截止日期和开标日期。</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8.3招标文件的修改将在“中国政府采购网”、“江苏政府采购网”、“盐城市政府采购网”公布，补充文件将作为招标文件的组成部分，并对投标人具有约束力。</w:t>
      </w:r>
      <w:r/>
    </w:p>
    <w:p>
      <w:pPr>
        <w:ind w:firstLine="482"/>
        <w:jc w:val="left"/>
        <w:keepNext/>
        <w:spacing w:line="560" w:lineRule="exact"/>
        <w:rPr>
          <w:rFonts w:ascii="宋体" w:hAnsi="宋体" w:eastAsia="宋体" w:cs="宋体"/>
          <w:b/>
          <w:bCs/>
          <w:sz w:val="24"/>
          <w:szCs w:val="20"/>
        </w:rPr>
      </w:pPr>
      <w:r/>
      <w:bookmarkStart w:id="71" w:name="_Toc462564072"/>
      <w:r/>
      <w:bookmarkStart w:id="72" w:name="_Toc20823285"/>
      <w:r/>
      <w:bookmarkStart w:id="73" w:name="_Toc513029213"/>
      <w:r/>
      <w:bookmarkStart w:id="74" w:name="_Toc16938529"/>
      <w:r/>
      <w:bookmarkStart w:id="75" w:name="_Toc120614216"/>
      <w:r>
        <w:rPr>
          <w:rFonts w:hint="eastAsia" w:ascii="宋体" w:hAnsi="宋体" w:eastAsia="宋体" w:cs="宋体"/>
          <w:b/>
          <w:bCs/>
          <w:sz w:val="24"/>
          <w:szCs w:val="20"/>
        </w:rPr>
        <w:t xml:space="preserve">三、投标文件的编制</w:t>
      </w:r>
      <w:bookmarkEnd w:id="71"/>
      <w:r/>
      <w:bookmarkEnd w:id="72"/>
      <w:r/>
      <w:bookmarkEnd w:id="73"/>
      <w:r/>
      <w:bookmarkEnd w:id="74"/>
      <w:r/>
      <w:bookmarkEnd w:id="75"/>
      <w:r/>
      <w:r/>
    </w:p>
    <w:p>
      <w:pPr>
        <w:ind w:firstLine="482"/>
        <w:jc w:val="left"/>
        <w:keepNext/>
        <w:spacing w:line="560" w:lineRule="exact"/>
        <w:rPr>
          <w:rFonts w:ascii="宋体" w:hAnsi="宋体" w:eastAsia="宋体" w:cs="宋体"/>
          <w:b/>
          <w:bCs/>
          <w:sz w:val="24"/>
          <w:szCs w:val="20"/>
        </w:rPr>
      </w:pPr>
      <w:r/>
      <w:bookmarkStart w:id="76" w:name="_Toc462564073"/>
      <w:r/>
      <w:bookmarkStart w:id="77" w:name="_Toc20823286"/>
      <w:r/>
      <w:bookmarkStart w:id="78" w:name="_Toc513029214"/>
      <w:r/>
      <w:bookmarkStart w:id="79" w:name="_Toc16938530"/>
      <w:r>
        <w:rPr>
          <w:rFonts w:hint="eastAsia" w:ascii="宋体" w:hAnsi="宋体" w:eastAsia="宋体" w:cs="宋体"/>
          <w:b/>
          <w:bCs/>
          <w:sz w:val="24"/>
          <w:szCs w:val="20"/>
        </w:rPr>
        <w:t xml:space="preserve">9、投标文件的语言及度量衡单位</w:t>
      </w:r>
      <w:bookmarkEnd w:id="76"/>
      <w:r/>
      <w:bookmarkEnd w:id="77"/>
      <w:r/>
      <w:bookmarkEnd w:id="78"/>
      <w:r/>
      <w:bookmarkEnd w:id="79"/>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9.1投标人提交的投标文件以及投标人与采购中心就有关投标的所有来往通知、函件和文件均应使用</w:t>
      </w:r>
      <w:r>
        <w:rPr>
          <w:rFonts w:hint="eastAsia" w:ascii="宋体" w:hAnsi="宋体" w:eastAsia="宋体" w:cs="宋体"/>
          <w:b/>
          <w:bCs/>
          <w:sz w:val="24"/>
          <w:szCs w:val="20"/>
        </w:rPr>
        <w:t xml:space="preserve">简体中文</w:t>
      </w:r>
      <w:r>
        <w:rPr>
          <w:rFonts w:hint="eastAsia" w:ascii="宋体" w:hAnsi="宋体" w:eastAsia="宋体" w:cs="宋体"/>
          <w:sz w:val="24"/>
          <w:szCs w:val="20"/>
        </w:rPr>
        <w:t xml:space="preserve">。</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9.2除技术性能另有规定外，投标文件所使用的度量衡单位，均须采用国家法定计量单位。</w:t>
      </w:r>
      <w:r/>
    </w:p>
    <w:p>
      <w:pPr>
        <w:ind w:firstLine="482"/>
        <w:jc w:val="left"/>
        <w:keepNext/>
        <w:spacing w:line="560" w:lineRule="exact"/>
        <w:rPr>
          <w:rFonts w:ascii="宋体" w:hAnsi="宋体" w:eastAsia="宋体" w:cs="宋体"/>
          <w:b/>
          <w:bCs/>
          <w:sz w:val="24"/>
          <w:szCs w:val="20"/>
        </w:rPr>
      </w:pPr>
      <w:r/>
      <w:bookmarkStart w:id="80" w:name="_Toc16938531"/>
      <w:r/>
      <w:bookmarkStart w:id="81" w:name="_Toc462564074"/>
      <w:r/>
      <w:bookmarkStart w:id="82" w:name="_Toc513029215"/>
      <w:r/>
      <w:bookmarkStart w:id="83" w:name="_Toc20823287"/>
      <w:r>
        <w:rPr>
          <w:rFonts w:hint="eastAsia" w:ascii="宋体" w:hAnsi="宋体" w:eastAsia="宋体" w:cs="宋体"/>
          <w:b/>
          <w:bCs/>
          <w:sz w:val="24"/>
          <w:szCs w:val="20"/>
        </w:rPr>
        <w:t xml:space="preserve">10、投标文件构成</w:t>
      </w:r>
      <w:bookmarkEnd w:id="80"/>
      <w:r/>
      <w:bookmarkEnd w:id="81"/>
      <w:r/>
      <w:bookmarkEnd w:id="82"/>
      <w:r/>
      <w:bookmarkEnd w:id="83"/>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keepNext/>
        <w:spacing w:line="560" w:lineRule="exact"/>
        <w:rPr>
          <w:rFonts w:ascii="宋体" w:hAnsi="宋体" w:eastAsia="宋体" w:cs="宋体"/>
          <w:b/>
          <w:bCs/>
          <w:sz w:val="24"/>
          <w:szCs w:val="20"/>
        </w:rPr>
      </w:pPr>
      <w:r/>
      <w:bookmarkStart w:id="84" w:name="_Toc14577354"/>
      <w:r/>
      <w:bookmarkStart w:id="85" w:name="_Toc14577355"/>
      <w:r/>
      <w:bookmarkStart w:id="86" w:name="_Toc49090508"/>
      <w:r/>
      <w:bookmarkStart w:id="87" w:name="_Toc513029219"/>
      <w:r/>
      <w:bookmarkStart w:id="88" w:name="_Toc14577357"/>
      <w:r/>
      <w:bookmarkStart w:id="89" w:name="_Toc49090509"/>
      <w:r/>
      <w:bookmarkStart w:id="90" w:name="_Toc49090507"/>
      <w:r/>
      <w:bookmarkStart w:id="91" w:name="_Toc513029216"/>
      <w:r>
        <w:rPr>
          <w:rFonts w:hint="eastAsia" w:ascii="宋体" w:hAnsi="宋体" w:eastAsia="宋体" w:cs="宋体"/>
          <w:b/>
          <w:bCs/>
          <w:sz w:val="24"/>
          <w:szCs w:val="20"/>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11.1投标人应按照招标文件要求提交证明文件，证明其及投标标的符合招标文件规定。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11.2招标文件对证明文件无明确形式要求的，证明文件可以以文字资料、图纸和数据等形式提交。</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12、投标分项报价表</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12.1投标人应按照招标文件规定格式填报投标分项报价表。</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12.2投标货币。投标文件中的单价和总价无特殊规定的采用人民币报价，以元为单位标注。招标文件中另有规定的按规定执行。</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13、技术要求响应及偏离表、商务要求响应及偏离表</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13.1投标人需对招标文件中的技术要求与商务要求逐项作出响应或偏离，并说明原因。</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13.2投标人可在投标文件中提供认为需要的其他技术文件或说明。</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14、服务承诺、培训计划、人员安排及其他</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14.1投标人需根据招标文件要求提供有关售后服务的管理制度，售后服务机构的分布情况，售后服务人员的数量、素质、技术水平及售后服务的反应能力等。</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14.2投标人需根据招标文件要求提供培训计划。</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14.3投标人需根据招标文件要求提供所投标的的主要组成部分、功能设计、实现思路及关键技术等。</w:t>
      </w:r>
      <w:r/>
    </w:p>
    <w:p>
      <w:pPr>
        <w:ind w:firstLine="482"/>
        <w:jc w:val="left"/>
        <w:keepNext/>
        <w:spacing w:line="560" w:lineRule="exact"/>
        <w:rPr>
          <w:rFonts w:ascii="宋体" w:hAnsi="宋体" w:eastAsia="宋体" w:cs="宋体"/>
          <w:b/>
          <w:bCs/>
          <w:sz w:val="24"/>
          <w:szCs w:val="20"/>
        </w:rPr>
      </w:pPr>
      <w:r/>
      <w:bookmarkStart w:id="92" w:name="_Toc14577359"/>
      <w:r/>
      <w:bookmarkStart w:id="93" w:name="_Toc49090510"/>
      <w:r>
        <w:rPr>
          <w:rFonts w:hint="eastAsia" w:ascii="宋体" w:hAnsi="宋体" w:eastAsia="宋体" w:cs="宋体"/>
          <w:b/>
          <w:bCs/>
          <w:sz w:val="24"/>
          <w:szCs w:val="20"/>
        </w:rPr>
        <w:t xml:space="preserve">15、投标函和开标一览表</w:t>
      </w:r>
      <w:bookmarkEnd w:id="92"/>
      <w:r/>
      <w:bookmarkEnd w:id="93"/>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15.1投标人应按照招标文件中提供的格式完整、正确填写投标函、开标一览表。</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15.2对于采用货币报价的项目，开标一览表中的投标总报价应与投标分项报价表中的投标总报价一致，如不一致，不作为无效投标处理，但评标时按开标一览表中价格为准。</w:t>
      </w:r>
      <w:r/>
    </w:p>
    <w:p>
      <w:pPr>
        <w:ind w:firstLine="482"/>
        <w:jc w:val="left"/>
        <w:keepNext/>
        <w:spacing w:line="560" w:lineRule="exact"/>
        <w:rPr>
          <w:rFonts w:ascii="宋体" w:hAnsi="宋体" w:eastAsia="宋体" w:cs="宋体"/>
          <w:b/>
          <w:bCs/>
          <w:sz w:val="24"/>
          <w:szCs w:val="20"/>
        </w:rPr>
      </w:pPr>
      <w:r/>
      <w:bookmarkStart w:id="94" w:name="_Toc49090511"/>
      <w:r/>
      <w:bookmarkStart w:id="95" w:name="_Toc14577360"/>
      <w:r>
        <w:rPr>
          <w:rFonts w:hint="eastAsia" w:ascii="宋体" w:hAnsi="宋体" w:eastAsia="宋体" w:cs="宋体"/>
          <w:b/>
          <w:bCs/>
          <w:sz w:val="24"/>
          <w:szCs w:val="20"/>
        </w:rPr>
        <w:t xml:space="preserve">16、投标有效期</w:t>
      </w:r>
      <w:bookmarkEnd w:id="94"/>
      <w:r/>
      <w:bookmarkEnd w:id="95"/>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16.1投标有效期为采购中心规定的开标之日后</w:t>
      </w:r>
      <w:r>
        <w:rPr>
          <w:rFonts w:hint="eastAsia" w:ascii="宋体" w:hAnsi="宋体" w:eastAsia="宋体" w:cs="宋体"/>
          <w:b/>
          <w:bCs/>
          <w:sz w:val="24"/>
          <w:szCs w:val="20"/>
          <w:u w:val="single"/>
        </w:rPr>
        <w:t xml:space="preserve">九十（90）天</w:t>
      </w:r>
      <w:r>
        <w:rPr>
          <w:rFonts w:hint="eastAsia" w:ascii="宋体" w:hAnsi="宋体" w:eastAsia="宋体" w:cs="宋体"/>
          <w:sz w:val="24"/>
          <w:szCs w:val="20"/>
        </w:rPr>
        <w:t xml:space="preserve">。投标有效期比规定短的将被视为未实质性响应招标文件而予以拒绝。</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17、投标有效期的延长</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2"/>
        <w:jc w:val="left"/>
        <w:spacing w:line="560" w:lineRule="exact"/>
        <w:rPr>
          <w:rFonts w:ascii="宋体" w:hAnsi="宋体" w:eastAsia="宋体" w:cs="宋体"/>
          <w:b/>
          <w:bCs/>
          <w:sz w:val="24"/>
          <w:szCs w:val="20"/>
        </w:rPr>
      </w:pPr>
      <w:r/>
      <w:bookmarkStart w:id="96" w:name="_Toc513029224"/>
      <w:r/>
      <w:bookmarkStart w:id="97" w:name="_Toc20823296"/>
      <w:r/>
      <w:bookmarkStart w:id="98" w:name="_Toc16938540"/>
      <w:r/>
      <w:bookmarkStart w:id="99" w:name="_Toc120614217"/>
      <w:r>
        <w:rPr>
          <w:rFonts w:hint="eastAsia" w:ascii="宋体" w:hAnsi="宋体" w:eastAsia="宋体" w:cs="宋体"/>
          <w:b/>
          <w:bCs/>
          <w:sz w:val="24"/>
          <w:szCs w:val="20"/>
        </w:rPr>
        <w:t xml:space="preserve">四、投标文件的递交</w:t>
      </w:r>
      <w:bookmarkEnd w:id="96"/>
      <w:r/>
      <w:bookmarkEnd w:id="97"/>
      <w:r/>
      <w:bookmarkEnd w:id="98"/>
      <w:r/>
      <w:bookmarkEnd w:id="99"/>
      <w:r/>
      <w:r/>
    </w:p>
    <w:p>
      <w:pPr>
        <w:ind w:firstLine="482"/>
        <w:jc w:val="left"/>
        <w:spacing w:line="560" w:lineRule="exact"/>
        <w:rPr>
          <w:rFonts w:ascii="宋体" w:hAnsi="宋体" w:eastAsia="宋体" w:cs="宋体"/>
          <w:b/>
          <w:bCs/>
          <w:sz w:val="24"/>
          <w:szCs w:val="20"/>
        </w:rPr>
      </w:pPr>
      <w:r/>
      <w:bookmarkStart w:id="100" w:name="_Toc16938541"/>
      <w:r/>
      <w:bookmarkStart w:id="101" w:name="_Toc20823297"/>
      <w:r/>
      <w:bookmarkStart w:id="102" w:name="_Toc513029225"/>
      <w:r/>
      <w:bookmarkStart w:id="103" w:name="_Toc462564084"/>
      <w:r>
        <w:rPr>
          <w:rFonts w:hint="eastAsia" w:ascii="宋体" w:hAnsi="宋体" w:eastAsia="宋体" w:cs="宋体"/>
          <w:b/>
          <w:bCs/>
          <w:sz w:val="24"/>
          <w:szCs w:val="20"/>
        </w:rPr>
        <w:t xml:space="preserve">18、电子投标文件</w:t>
      </w:r>
      <w:bookmarkEnd w:id="100"/>
      <w:r/>
      <w:bookmarkEnd w:id="101"/>
      <w:r/>
      <w:bookmarkEnd w:id="102"/>
      <w:r/>
      <w:bookmarkEnd w:id="103"/>
      <w:r>
        <w:rPr>
          <w:rFonts w:hint="eastAsia" w:ascii="宋体" w:hAnsi="宋体" w:eastAsia="宋体" w:cs="宋体"/>
          <w:b/>
          <w:bCs/>
          <w:sz w:val="24"/>
          <w:szCs w:val="20"/>
        </w:rPr>
        <w:t xml:space="preserve">的递交</w:t>
      </w:r>
      <w:r/>
    </w:p>
    <w:p>
      <w:pPr>
        <w:ind w:firstLine="480"/>
        <w:jc w:val="left"/>
        <w:spacing w:line="560" w:lineRule="exact"/>
        <w:rPr>
          <w:rFonts w:ascii="宋体" w:hAnsi="宋体" w:eastAsia="宋体" w:cs="宋体"/>
          <w:sz w:val="24"/>
          <w:szCs w:val="20"/>
        </w:rPr>
      </w:pPr>
      <w:r>
        <w:rPr>
          <w:rFonts w:hint="eastAsia" w:ascii="宋体" w:hAnsi="宋体" w:eastAsia="宋体" w:cs="宋体"/>
          <w:sz w:val="24"/>
          <w:szCs w:val="20"/>
        </w:rPr>
        <w:t xml:space="preserve">18.1投标人应当按照《操作手册》规定，在投标截止时间前制作并上传电子投标文件。</w:t>
      </w:r>
      <w:bookmarkStart w:id="104" w:name="_Toc16938542"/>
      <w:r/>
      <w:bookmarkEnd w:id="104"/>
      <w:r/>
      <w:bookmarkStart w:id="105" w:name="_Toc20823298"/>
      <w:r/>
      <w:bookmarkEnd w:id="105"/>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19、投标截止日期</w:t>
      </w:r>
      <w:r/>
    </w:p>
    <w:p>
      <w:pPr>
        <w:pStyle w:val="743"/>
        <w:ind w:firstLine="480"/>
        <w:jc w:val="both"/>
        <w:spacing w:beforeAutospacing="0" w:afterAutospacing="0" w:line="480" w:lineRule="exact"/>
        <w:rPr>
          <w:rFonts w:ascii="宋体" w:hAnsi="宋体" w:eastAsia="宋体" w:cs="宋体"/>
          <w:szCs w:val="20"/>
        </w:rPr>
      </w:pPr>
      <w:r>
        <w:rPr>
          <w:rFonts w:hint="eastAsia" w:ascii="宋体" w:hAnsi="宋体" w:eastAsia="宋体" w:cs="宋体"/>
          <w:i/>
          <w:u w:val="single"/>
        </w:rPr>
        <w:t xml:space="preserve">19.1投标人上传电子投标文件的时间不得迟于招标公告中规定的投标截止时间</w:t>
      </w:r>
      <w:r>
        <w:rPr>
          <w:rFonts w:hint="eastAsia" w:ascii="宋体" w:hAnsi="宋体" w:eastAsia="宋体" w:cs="宋体"/>
          <w:i/>
        </w:rPr>
        <w:t xml:space="preserve">。</w:t>
      </w:r>
      <w:r/>
    </w:p>
    <w:p>
      <w:pPr>
        <w:pStyle w:val="743"/>
        <w:ind w:firstLine="480"/>
        <w:jc w:val="both"/>
        <w:spacing w:beforeAutospacing="0" w:afterAutospacing="0" w:line="480" w:lineRule="exact"/>
        <w:rPr>
          <w:rFonts w:ascii="宋体" w:hAnsi="宋体" w:eastAsia="宋体" w:cs="宋体"/>
          <w:szCs w:val="20"/>
        </w:rPr>
      </w:pPr>
      <w:r>
        <w:rPr>
          <w:rFonts w:hint="eastAsia" w:ascii="宋体" w:hAnsi="宋体" w:eastAsia="宋体" w:cs="宋体"/>
          <w:szCs w:val="20"/>
        </w:rPr>
        <w:t xml:space="preserve">投标人应充分考虑到网络环境、网络带宽等风险因素，如因投标人自身原因造成的电子投标文件上传不成功的按照本招标文件第二章第27.1.2条规定做无效投标处理。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19.2采购中心可以按照规定，通过修改招标文件酌情延长投标截止日期，在此情况下，投标人的所有权利和义务以及投标人受制的截止日期均应以延长后新的截止日期为准。</w:t>
      </w:r>
      <w:r/>
    </w:p>
    <w:p>
      <w:pPr>
        <w:ind w:firstLine="482"/>
        <w:jc w:val="left"/>
        <w:keepNext/>
        <w:spacing w:line="560" w:lineRule="exact"/>
        <w:rPr>
          <w:rFonts w:ascii="宋体" w:hAnsi="宋体" w:eastAsia="宋体" w:cs="宋体"/>
          <w:b/>
          <w:bCs/>
          <w:sz w:val="24"/>
          <w:szCs w:val="20"/>
        </w:rPr>
      </w:pPr>
      <w:r/>
      <w:bookmarkStart w:id="106" w:name="_Toc16938543"/>
      <w:r/>
      <w:bookmarkStart w:id="107" w:name="_Toc20823299"/>
      <w:r/>
      <w:bookmarkStart w:id="108" w:name="_Toc513029227"/>
      <w:r>
        <w:rPr>
          <w:rFonts w:hint="eastAsia" w:ascii="宋体" w:hAnsi="宋体" w:eastAsia="宋体" w:cs="宋体"/>
          <w:b/>
          <w:bCs/>
          <w:sz w:val="24"/>
          <w:szCs w:val="20"/>
        </w:rPr>
        <w:t xml:space="preserve">20、投标文件</w:t>
      </w:r>
      <w:bookmarkEnd w:id="106"/>
      <w:r/>
      <w:bookmarkEnd w:id="107"/>
      <w:r/>
      <w:bookmarkEnd w:id="108"/>
      <w:r>
        <w:rPr>
          <w:rFonts w:hint="eastAsia" w:ascii="宋体" w:hAnsi="宋体" w:eastAsia="宋体" w:cs="宋体"/>
          <w:b/>
          <w:bCs/>
          <w:sz w:val="24"/>
          <w:szCs w:val="20"/>
        </w:rPr>
        <w:t xml:space="preserve">的拒收</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20.1采购中心拒绝接收在其规定的投标截止时间后上传的任何投标文件。</w:t>
      </w:r>
      <w:r/>
    </w:p>
    <w:p>
      <w:pPr>
        <w:ind w:firstLine="482"/>
        <w:jc w:val="left"/>
        <w:keepNext/>
        <w:spacing w:line="560" w:lineRule="exact"/>
        <w:rPr>
          <w:rFonts w:ascii="宋体" w:hAnsi="宋体" w:eastAsia="宋体" w:cs="宋体"/>
          <w:b/>
          <w:bCs/>
          <w:sz w:val="24"/>
          <w:szCs w:val="20"/>
        </w:rPr>
      </w:pPr>
      <w:r/>
      <w:bookmarkStart w:id="109" w:name="_Toc16938544"/>
      <w:r/>
      <w:bookmarkStart w:id="110" w:name="_Toc513029228"/>
      <w:r/>
      <w:bookmarkStart w:id="111" w:name="_Toc20823300"/>
      <w:r>
        <w:rPr>
          <w:rFonts w:hint="eastAsia" w:ascii="宋体" w:hAnsi="宋体" w:eastAsia="宋体" w:cs="宋体"/>
          <w:b/>
          <w:bCs/>
          <w:sz w:val="24"/>
          <w:szCs w:val="20"/>
        </w:rPr>
        <w:t xml:space="preserve">21、投标文件的撤回和修改</w:t>
      </w:r>
      <w:bookmarkEnd w:id="109"/>
      <w:r/>
      <w:bookmarkEnd w:id="110"/>
      <w:r/>
      <w:bookmarkEnd w:id="111"/>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21.1投标文件的撤回</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21.1.1电子投标文件的撤回</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投标人可在投标截止时间前，撤回其电子投标文件，具体操作方法见《操作手册》。</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21.1.2投标人撤回电子投标文件，则认为其不再参与本项目投标活动。</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21.2投标文件的修改</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21.2.1投标人可在投标截止时间前，对其电子投标文件进行修改，具体操作方法见《操作手册》。</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21.2.2在投标截止时间之后，投标人不得对其电子投标文件作任何修改。</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21.3在投标截止时间至招标文件中规定的投标有效期满之间的这段时间内，投标人不得撤回其投标。</w:t>
      </w:r>
      <w:r/>
    </w:p>
    <w:p>
      <w:pPr>
        <w:ind w:firstLine="482"/>
        <w:jc w:val="left"/>
        <w:spacing w:line="560" w:lineRule="exact"/>
        <w:rPr>
          <w:rFonts w:ascii="宋体" w:hAnsi="宋体" w:eastAsia="宋体" w:cs="宋体"/>
          <w:b/>
          <w:bCs/>
          <w:sz w:val="24"/>
          <w:szCs w:val="20"/>
        </w:rPr>
      </w:pPr>
      <w:r/>
      <w:bookmarkStart w:id="112" w:name="_Toc120614218"/>
      <w:r/>
      <w:bookmarkStart w:id="113" w:name="_Toc513029229"/>
      <w:r/>
      <w:bookmarkStart w:id="114" w:name="_Toc20823301"/>
      <w:r/>
      <w:bookmarkStart w:id="115" w:name="_Toc16938545"/>
      <w:r>
        <w:rPr>
          <w:rFonts w:hint="eastAsia" w:ascii="宋体" w:hAnsi="宋体" w:eastAsia="宋体" w:cs="宋体"/>
          <w:b/>
          <w:bCs/>
          <w:sz w:val="24"/>
          <w:szCs w:val="20"/>
        </w:rPr>
        <w:t xml:space="preserve">五、开标与评标</w:t>
      </w:r>
      <w:bookmarkEnd w:id="112"/>
      <w:r/>
      <w:bookmarkEnd w:id="113"/>
      <w:r/>
      <w:bookmarkEnd w:id="114"/>
      <w:r/>
      <w:bookmarkEnd w:id="115"/>
      <w:r/>
      <w:r/>
    </w:p>
    <w:p>
      <w:pPr>
        <w:ind w:firstLine="482"/>
        <w:jc w:val="left"/>
        <w:spacing w:line="560" w:lineRule="exact"/>
        <w:rPr>
          <w:rFonts w:ascii="宋体" w:hAnsi="宋体" w:eastAsia="宋体" w:cs="宋体"/>
          <w:b/>
          <w:bCs/>
          <w:sz w:val="24"/>
          <w:szCs w:val="20"/>
        </w:rPr>
      </w:pPr>
      <w:r/>
      <w:bookmarkStart w:id="116" w:name="_Toc513029230"/>
      <w:r/>
      <w:bookmarkStart w:id="117" w:name="_Toc16938546"/>
      <w:r/>
      <w:bookmarkStart w:id="118" w:name="_Toc20823302"/>
      <w:r>
        <w:rPr>
          <w:rFonts w:hint="eastAsia" w:ascii="宋体" w:hAnsi="宋体" w:eastAsia="宋体" w:cs="宋体"/>
          <w:b/>
          <w:bCs/>
          <w:sz w:val="24"/>
          <w:szCs w:val="20"/>
        </w:rPr>
        <w:t xml:space="preserve">22、开标</w:t>
      </w:r>
      <w:bookmarkEnd w:id="116"/>
      <w:r/>
      <w:bookmarkEnd w:id="117"/>
      <w:r/>
      <w:bookmarkEnd w:id="118"/>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22.1采购中心将在招标公告中规定的时间和地点组织公开开标。投标人应当按照《操作手册》规定，参加开标活动和在苏采云系统规定的时间内对投标文件进行解密。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22.2开标仪式由采购中心组织。苏采云系统将自动对项目进行开标，并宣布各投标人名称和投标价格。</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22.3投标人在开标过程中涉及到的投标文件解密、开标结果确认等工作，应按照《操作手册》规定执行。</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22.4投标人如果对开标过程和开标记录有疑义，应当根据《操作手册》规定提出，如苏采云系统中《开标记录表》宣布后5分钟内未提出的，视同认可开标结果。</w:t>
      </w:r>
      <w:r/>
    </w:p>
    <w:p>
      <w:pPr>
        <w:ind w:firstLine="482"/>
        <w:jc w:val="left"/>
        <w:keepNext/>
        <w:spacing w:line="560" w:lineRule="exact"/>
        <w:rPr>
          <w:rFonts w:ascii="宋体" w:hAnsi="宋体" w:eastAsia="宋体" w:cs="宋体"/>
          <w:b/>
          <w:bCs/>
          <w:sz w:val="24"/>
          <w:szCs w:val="20"/>
        </w:rPr>
      </w:pPr>
      <w:r/>
      <w:bookmarkStart w:id="119" w:name="_Toc16938547"/>
      <w:r/>
      <w:bookmarkStart w:id="120" w:name="_Toc513029231"/>
      <w:r/>
      <w:bookmarkStart w:id="121" w:name="_Toc20823303"/>
      <w:r>
        <w:rPr>
          <w:rFonts w:hint="eastAsia" w:ascii="宋体" w:hAnsi="宋体" w:eastAsia="宋体" w:cs="宋体"/>
          <w:b/>
          <w:bCs/>
          <w:sz w:val="24"/>
          <w:szCs w:val="20"/>
        </w:rPr>
        <w:t xml:space="preserve">23、评标委员会</w:t>
      </w:r>
      <w:bookmarkEnd w:id="119"/>
      <w:r/>
      <w:bookmarkEnd w:id="120"/>
      <w:r/>
      <w:bookmarkEnd w:id="121"/>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23.1开标后，采购中心将立即组织评标委员会（以下简称评委会）进行评标。</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23.2评委会由采购人代表和有关技术、经济等方面的专家组成，且人员构成符合政府采购有关规定。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23.3评委会独立工作，负责评审所有投标文件并确定中标候选人。</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24、评标过程的保密与公正</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24.1凡是与审查、澄清、评价和比较投标的有关资料以及授标建议等，采购人、评委、采购中心均不得向投标人或与评标无关的其他人员透露。</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24.2在评标过程中，投标人不得以任何行为影响评标过程，否则其投标文件将被作为无效投标文件。</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24.3采购中心和评标委员会不向未中标的投标人解释未中标原因，也不公布评标过程中的相关细节。</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24.4采用综合评分法的项目，未中标的投标人可于中标结果公告期限届满之日起通过苏采云系统查看自己的评审得分及排序情况。</w:t>
      </w:r>
      <w:r/>
    </w:p>
    <w:p>
      <w:pPr>
        <w:ind w:firstLine="482"/>
        <w:jc w:val="left"/>
        <w:keepNext/>
        <w:spacing w:line="560" w:lineRule="exact"/>
        <w:rPr>
          <w:rFonts w:ascii="宋体" w:hAnsi="宋体" w:eastAsia="宋体" w:cs="宋体"/>
          <w:b/>
          <w:bCs/>
          <w:sz w:val="24"/>
          <w:szCs w:val="20"/>
        </w:rPr>
      </w:pPr>
      <w:r/>
      <w:bookmarkStart w:id="122" w:name="_Toc16938548"/>
      <w:r/>
      <w:bookmarkStart w:id="123" w:name="_Toc20823304"/>
      <w:r/>
      <w:bookmarkStart w:id="124" w:name="_Toc513029232"/>
      <w:r>
        <w:rPr>
          <w:rFonts w:hint="eastAsia" w:ascii="宋体" w:hAnsi="宋体" w:eastAsia="宋体" w:cs="宋体"/>
          <w:b/>
          <w:bCs/>
          <w:sz w:val="24"/>
          <w:szCs w:val="20"/>
        </w:rPr>
        <w:t xml:space="preserve">25、投标文件的澄清</w:t>
      </w:r>
      <w:bookmarkEnd w:id="122"/>
      <w:r/>
      <w:bookmarkEnd w:id="123"/>
      <w:r/>
      <w:bookmarkEnd w:id="124"/>
      <w:r/>
      <w:r/>
    </w:p>
    <w:p>
      <w:pPr>
        <w:ind w:firstLine="482"/>
        <w:jc w:val="left"/>
        <w:spacing w:line="560" w:lineRule="exact"/>
        <w:rPr>
          <w:rFonts w:ascii="宋体" w:hAnsi="宋体" w:eastAsia="宋体" w:cs="宋体"/>
          <w:sz w:val="24"/>
          <w:szCs w:val="20"/>
        </w:rPr>
      </w:pPr>
      <w:r/>
      <w:bookmarkStart w:id="125" w:name="_Toc20823305"/>
      <w:r/>
      <w:bookmarkStart w:id="126" w:name="_Toc513029233"/>
      <w:r/>
      <w:bookmarkStart w:id="127" w:name="_Toc16938549"/>
      <w:r>
        <w:rPr>
          <w:rFonts w:hint="eastAsia" w:ascii="宋体" w:hAnsi="宋体" w:eastAsia="宋体" w:cs="宋体"/>
          <w:sz w:val="24"/>
          <w:szCs w:val="20"/>
        </w:rPr>
        <w:t xml:space="preserve">25.1评标期间，评委会对投标文件中含义不明确、同类问题表述不一致或者有明显文字和计算错误的内容，有权要求投标人作出必要的澄清、说明或者补正。</w:t>
      </w:r>
      <w:bookmarkEnd w:id="125"/>
      <w:r/>
      <w:bookmarkEnd w:id="126"/>
      <w:r/>
      <w:bookmarkEnd w:id="127"/>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投标人的澄清、说明或者补正不得超出投标文件的范围或者改变投标文件的实质性内容。</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评标委员会并非对每个投标人都做澄清要求。</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25.3接到评委会澄清、说明和补正要求的投标人如未按规定作出澄清、说明和补正，其风险由投标人自行承担。</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26、对投标文件的初审</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26.1投标文件初审分为资格审查和符合性审查。</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26.1.1资格审查：依据法律法规和招标文件的规定，由采购人对投标文件中的资格证明文件进行审查。资格审查的结论，采购人以书面形式向评委会进行反馈。</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26.1.3未通过资格审查或符合性审查的投标人，采购中心将在苏采云系统中告知未通过资格审查或符合性审查的原因，评审结束后，采购中心将不再告知未通过资格审查或符合性审查的原因。</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26.3如果投标文件实质上没有响应招标文件的要求，评委会将予以拒绝，投标人不得通过修改或撤销不符合要求的偏离或保留而使其投标成为实质性响应的投标。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26.4评委会将对确定为实质性响应的投标进行进一步审核，看其是否有计算上或累加上的算术错误，修正错误的原则如下：</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（1）投标文件中开标一览表内容与投标文件中相应内容不一致的，以开标一览表为准。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（2）大写金额和小写金额不一致的，以大写金额为准。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（3）单价金额小数点或者百分比有明显错位的，以开标一览表的总价为准，并修改单价。</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（4）总价金额与按单价汇总金额不一致的，以单价金额计算结果为准。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同时出现两种以上错误的，按照前款规定的顺序修正。</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rPr>
          <w:rFonts w:ascii="宋体" w:hAnsi="宋体" w:eastAsia="宋体" w:cs="宋体"/>
          <w:sz w:val="24"/>
          <w:szCs w:val="20"/>
        </w:rPr>
      </w:pPr>
      <w:r/>
      <w:bookmarkStart w:id="128" w:name="_Toc20823306"/>
      <w:r/>
      <w:bookmarkStart w:id="129" w:name="_Toc513029234"/>
      <w:r/>
      <w:bookmarkStart w:id="130" w:name="_Toc16938550"/>
      <w:r>
        <w:rPr>
          <w:rFonts w:hint="eastAsia" w:ascii="宋体" w:hAnsi="宋体" w:eastAsia="宋体" w:cs="宋体"/>
          <w:sz w:val="24"/>
          <w:szCs w:val="2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8"/>
      <w:r/>
      <w:bookmarkEnd w:id="129"/>
      <w:r/>
      <w:bookmarkEnd w:id="130"/>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非单一产品采购项目，招标文件中将载明其中的核心产品。多家投标人提供的核心产品品牌相同的，按前两款规定处理。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26.7投标人在开、评标全过程中应保持通信畅通，及时登录苏采云系统查阅、答复相关信息，并安排专人与采购中心及评标委员会联系。</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27、无效投标条款和废标条款</w:t>
      </w:r>
      <w:r/>
    </w:p>
    <w:p>
      <w:pPr>
        <w:ind w:firstLine="482"/>
        <w:jc w:val="left"/>
        <w:spacing w:line="560" w:lineRule="exact"/>
        <w:rPr>
          <w:rFonts w:ascii="宋体" w:hAnsi="宋体" w:eastAsia="宋体" w:cs="宋体"/>
          <w:sz w:val="24"/>
          <w:szCs w:val="20"/>
        </w:rPr>
      </w:pPr>
      <w:r/>
      <w:bookmarkStart w:id="131" w:name="_Toc16938551"/>
      <w:r/>
      <w:bookmarkStart w:id="132" w:name="_Toc20823307"/>
      <w:r/>
      <w:bookmarkStart w:id="133" w:name="_Toc513029235"/>
      <w:r>
        <w:rPr>
          <w:rFonts w:hint="eastAsia" w:ascii="宋体" w:hAnsi="宋体" w:eastAsia="宋体" w:cs="宋体"/>
          <w:sz w:val="24"/>
          <w:szCs w:val="20"/>
        </w:rPr>
        <w:t xml:space="preserve">27.1无效投标条款</w:t>
      </w:r>
      <w:bookmarkEnd w:id="131"/>
      <w:r/>
      <w:bookmarkEnd w:id="132"/>
      <w:r/>
      <w:bookmarkEnd w:id="133"/>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27.1.1投标人在苏采云系统规定的时间内未成功解密电子投标文件的。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27.1.2投标人未按照招标文件要求上传电子投标文件的。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27.1.3同一投标人提交两个（含两个）以上不同的投标报价的。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27.1.4投标人不具备招标文件中规定资格要求的。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27.1.5投标人的报价超过了采购预算或最高限价的。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27.1.6未通过符合性审查的。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27.1.7不符合招标文件中规定的实质性要求和条件的（</w:t>
      </w:r>
      <w:r>
        <w:rPr>
          <w:rFonts w:hint="eastAsia" w:ascii="宋体" w:hAnsi="宋体" w:eastAsia="宋体" w:cs="宋体"/>
          <w:i/>
          <w:iCs/>
          <w:sz w:val="24"/>
          <w:szCs w:val="20"/>
          <w:u w:val="single"/>
        </w:rPr>
        <w:t xml:space="preserve">本招标文件中斜体且有下划线部分为实质性要求和条件</w:t>
      </w:r>
      <w:r>
        <w:rPr>
          <w:rFonts w:hint="eastAsia" w:ascii="宋体" w:hAnsi="宋体" w:eastAsia="宋体" w:cs="宋体"/>
          <w:sz w:val="24"/>
          <w:szCs w:val="20"/>
        </w:rPr>
        <w:t xml:space="preserve">）。</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27.1.9投标文件含有采购人不能接受的附加条件的。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27.1.10投标人不能证明其报价合理性的，评标委员会应当将其作为无效投标处理。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（一）评审过程中出现下列情形之一的，评标委员会应当启动异常低价投标审查程序：</w:t>
      </w:r>
      <w:r/>
    </w:p>
    <w:p>
      <w:pPr>
        <w:ind w:firstLine="482"/>
        <w:jc w:val="left"/>
        <w:spacing w:line="560" w:lineRule="exact"/>
        <w:rPr>
          <w:rFonts w:ascii="宋体" w:hAnsi="宋体" w:eastAsia="宋体" w:cs="宋体"/>
          <w:sz w:val="24"/>
          <w:szCs w:val="20"/>
        </w:rPr>
      </w:pPr>
      <w:r>
        <w:rPr>
          <w:rFonts w:hint="eastAsia" w:ascii="宋体" w:hAnsi="宋体" w:eastAsia="宋体" w:cs="宋体"/>
          <w:b/>
          <w:bCs/>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3.投标（响应）报价低于采购项目最高限价45%的，即投标（响应）报价&lt;采购项目最高限价×45%；</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4.评审委员会基于专业判断，认为供应商报价过低，有可能影响产品质量或者不能诚信履约的其他情形。</w:t>
      </w:r>
      <w:r/>
    </w:p>
    <w:p>
      <w:pPr>
        <w:ind w:firstLine="482"/>
        <w:jc w:val="left"/>
        <w:spacing w:line="560" w:lineRule="exact"/>
        <w:rPr>
          <w:rFonts w:ascii="宋体" w:hAnsi="宋体" w:eastAsia="宋体" w:cs="宋体"/>
          <w:b/>
          <w:bCs/>
          <w:sz w:val="24"/>
          <w:szCs w:val="20"/>
          <w:u w:val="single"/>
        </w:rPr>
      </w:pPr>
      <w:r>
        <w:rPr>
          <w:rFonts w:hint="eastAsia" w:ascii="宋体" w:hAnsi="宋体" w:eastAsia="宋体" w:cs="宋体"/>
          <w:b/>
          <w:bCs/>
          <w:sz w:val="24"/>
          <w:szCs w:val="20"/>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相关法律法规对供应商报价有规定的，从其规定。</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27.1.12投标文件未按照招标文件要求加盖CA电子公章的。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27.1.13其他法律、法规及本招标文件规定的属无效投标的情形。</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27.2废标条款</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27.2.1符合专业条件的供应商或者对招标文件作实质响应的供应商不足三家的。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27.2.2出现影响采购公正的违法、违规行为的。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27.2.3因重大变故，采购任务取消的。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27.2.4评标委员会认定招标文件存在歧义、重大缺陷导致评审工作无法进行。</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27.2.5因苏采云系统故障原因造成开标不成功的。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27.3投标截止时间结束后参加投标的供应商不足三家的处理：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27.3.1如出现投标截止时间结束后参加投标的供应商或者在评标期间对招标文件做出实质响应的供应商不足三家情况，按政府采购相关规定执行。</w:t>
      </w:r>
      <w:r/>
    </w:p>
    <w:p>
      <w:pPr>
        <w:ind w:firstLine="482"/>
        <w:jc w:val="left"/>
        <w:spacing w:line="560" w:lineRule="exact"/>
        <w:rPr>
          <w:rFonts w:ascii="宋体" w:hAnsi="宋体" w:eastAsia="宋体" w:cs="宋体"/>
          <w:b/>
          <w:bCs/>
          <w:sz w:val="24"/>
          <w:szCs w:val="20"/>
        </w:rPr>
      </w:pPr>
      <w:r/>
      <w:bookmarkStart w:id="134" w:name="_Toc120614219"/>
      <w:r>
        <w:rPr>
          <w:rFonts w:hint="eastAsia" w:ascii="宋体" w:hAnsi="宋体" w:eastAsia="宋体" w:cs="宋体"/>
          <w:b/>
          <w:bCs/>
          <w:sz w:val="24"/>
          <w:szCs w:val="20"/>
        </w:rPr>
        <w:t xml:space="preserve">六、定标</w:t>
      </w:r>
      <w:bookmarkEnd w:id="134"/>
      <w:r/>
      <w:r/>
    </w:p>
    <w:p>
      <w:pPr>
        <w:ind w:firstLine="482"/>
        <w:jc w:val="left"/>
        <w:keepNext/>
        <w:spacing w:line="560" w:lineRule="exact"/>
        <w:rPr>
          <w:rFonts w:ascii="宋体" w:hAnsi="宋体" w:eastAsia="宋体" w:cs="宋体"/>
          <w:b/>
          <w:bCs/>
          <w:sz w:val="24"/>
          <w:szCs w:val="20"/>
        </w:rPr>
      </w:pPr>
      <w:r/>
      <w:bookmarkStart w:id="135" w:name="_Toc20823310"/>
      <w:r/>
      <w:bookmarkStart w:id="136" w:name="_Toc513029238"/>
      <w:r/>
      <w:bookmarkStart w:id="137" w:name="_Toc16938554"/>
      <w:r>
        <w:rPr>
          <w:rFonts w:hint="eastAsia" w:ascii="宋体" w:hAnsi="宋体" w:eastAsia="宋体" w:cs="宋体"/>
          <w:b/>
          <w:bCs/>
          <w:sz w:val="24"/>
          <w:szCs w:val="20"/>
        </w:rPr>
        <w:t xml:space="preserve">28、</w:t>
      </w:r>
      <w:bookmarkEnd w:id="135"/>
      <w:r>
        <w:rPr>
          <w:rFonts w:hint="eastAsia" w:ascii="宋体" w:hAnsi="宋体" w:eastAsia="宋体" w:cs="宋体"/>
          <w:b/>
          <w:bCs/>
          <w:sz w:val="24"/>
          <w:szCs w:val="20"/>
        </w:rPr>
        <w:t xml:space="preserve">确定</w:t>
      </w:r>
      <w:bookmarkEnd w:id="136"/>
      <w:r/>
      <w:bookmarkEnd w:id="137"/>
      <w:r>
        <w:rPr>
          <w:rFonts w:hint="eastAsia" w:ascii="宋体" w:hAnsi="宋体" w:eastAsia="宋体" w:cs="宋体"/>
          <w:b/>
          <w:bCs/>
          <w:sz w:val="24"/>
          <w:szCs w:val="20"/>
        </w:rPr>
        <w:t xml:space="preserve">中标单位</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28.1中标候选人的选取原则和数量见招标文件第五章规定。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28.2采购人应根据评委会推荐的中标候选人确定中标人。</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28.3采购中心将在“中国政府采购网”、“江苏政府采购网”、“盐城市政府采购网”发布中标公告，公告期限为1个工作日。</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28.4若有充分证据证明，中标人出现下列情况之一的，一经查实，将被取消中标资格：</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28.4.1提供虚假材料谋取中标的。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28.4.2向采购人、采购中心行贿或者提供其他不正当利益的。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28.4.3属于本文件规定的无效条件，但在评标过程中又未被评委会发现的。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28.4.4与采购人或者其他供应商恶意串通的。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28.4.5采取不正当手段诋毁、排挤其他供应商的。</w:t>
      </w:r>
      <w:r/>
    </w:p>
    <w:p>
      <w:pPr>
        <w:ind w:firstLine="482"/>
        <w:jc w:val="left"/>
        <w:spacing w:line="560" w:lineRule="exact"/>
        <w:rPr>
          <w:rFonts w:ascii="宋体" w:hAnsi="宋体" w:eastAsia="宋体" w:cs="宋体"/>
          <w:sz w:val="24"/>
          <w:szCs w:val="20"/>
        </w:rPr>
      </w:pPr>
      <w:r/>
      <w:bookmarkStart w:id="138" w:name="_Toc200451960"/>
      <w:r>
        <w:rPr>
          <w:rFonts w:hint="eastAsia" w:ascii="宋体" w:hAnsi="宋体" w:eastAsia="宋体" w:cs="宋体"/>
          <w:sz w:val="24"/>
          <w:szCs w:val="20"/>
        </w:rPr>
        <w:t xml:space="preserve">28.5有下列情形之一的，视为投标人串通投标，投标无效：</w:t>
      </w:r>
      <w:bookmarkEnd w:id="138"/>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28.5.1不同投标人的投标文件由同一单位或者个人编制；</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28.5.2不同投标人委托同一单位或者个人办理投标事宜；</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28.5.3不同投标人的投标文件载明的项目管理成员或者联系人员为同一人；</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28.5.4不同投标人的投标文件异常一致或者投标报价呈规律性差异。</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29、质疑处理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29.1提出质疑的供应商应当是参与所质疑项目采购活动的供应商。潜在供应商依法获取其可质疑的采购文件的，可以对采购文件提出质疑。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29.2.1对可以质疑的采购文件提出质疑的，为收到采购文件之日或者采购文件公告期限届满之日；</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29.2.2对采购过程提出质疑的，为各采购程序环节结束之日；</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29.2.3对中标或者成交结果提出质疑的，为中标或者成交结果公告期限届满之日。</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采购人及采购中心只接收以纸质原件形式送达的质疑，采购人和采购中心不接受未填写快递运单的快件。质疑接收部门为公共资源交易中心业务受理处，联系地址：盐城市府西路1号市公共资源交易中心412室，联系电话：0515-86665052。</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29.5以下情形的质疑不予受理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29.5.1内容不符合《政府采购质疑和投诉办法》第十二条规定的质疑。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29.5.2超出政府采购法定期限的质疑。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29.5.3以传真、电子邮件等方式递交的非原件形式的质疑。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29.5.4未参加投标活动的供应商或在投标活动中自身权益未受到损害的供应商所提出的质疑。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29.5.5供应商组成联合体参加投标，联合体中任何一方或多方未按要求签字、盖章、加盖公章的质疑。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30、中标通知书</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jc w:val="left"/>
        <w:spacing w:line="560" w:lineRule="exact"/>
        <w:rPr>
          <w:rFonts w:ascii="宋体" w:hAnsi="宋体" w:eastAsia="宋体" w:cs="宋体"/>
          <w:b/>
          <w:bCs/>
          <w:sz w:val="24"/>
          <w:szCs w:val="20"/>
        </w:rPr>
      </w:pPr>
      <w:r/>
      <w:bookmarkStart w:id="139" w:name="_Toc20823308"/>
      <w:r/>
      <w:bookmarkStart w:id="140" w:name="_Toc120614220"/>
      <w:r/>
      <w:bookmarkStart w:id="141" w:name="_Toc513029236"/>
      <w:r/>
      <w:bookmarkStart w:id="142" w:name="_Toc16938552"/>
      <w:r>
        <w:rPr>
          <w:rFonts w:hint="eastAsia" w:ascii="宋体" w:hAnsi="宋体" w:eastAsia="宋体" w:cs="宋体"/>
          <w:b/>
          <w:bCs/>
          <w:sz w:val="24"/>
          <w:szCs w:val="20"/>
        </w:rPr>
        <w:t xml:space="preserve">七、授予合同</w:t>
      </w:r>
      <w:bookmarkEnd w:id="139"/>
      <w:r/>
      <w:bookmarkEnd w:id="140"/>
      <w:r/>
      <w:bookmarkEnd w:id="141"/>
      <w:r/>
      <w:bookmarkEnd w:id="142"/>
      <w:r/>
      <w:r/>
    </w:p>
    <w:p>
      <w:pPr>
        <w:ind w:firstLine="482"/>
        <w:jc w:val="left"/>
        <w:spacing w:line="560" w:lineRule="exact"/>
        <w:rPr>
          <w:rFonts w:ascii="宋体" w:hAnsi="宋体" w:eastAsia="宋体" w:cs="宋体"/>
          <w:b/>
          <w:bCs/>
          <w:sz w:val="24"/>
          <w:szCs w:val="20"/>
        </w:rPr>
      </w:pPr>
      <w:r/>
      <w:bookmarkStart w:id="143" w:name="_Toc20823309"/>
      <w:r/>
      <w:bookmarkStart w:id="144" w:name="_Toc16938553"/>
      <w:r/>
      <w:bookmarkStart w:id="145" w:name="_Toc513029237"/>
      <w:r>
        <w:rPr>
          <w:rFonts w:hint="eastAsia" w:ascii="宋体" w:hAnsi="宋体" w:eastAsia="宋体" w:cs="宋体"/>
          <w:b/>
          <w:bCs/>
          <w:sz w:val="24"/>
          <w:szCs w:val="20"/>
        </w:rPr>
        <w:t xml:space="preserve">31、签订合同</w:t>
      </w:r>
      <w:bookmarkEnd w:id="143"/>
      <w:r/>
      <w:bookmarkEnd w:id="144"/>
      <w:r/>
      <w:bookmarkEnd w:id="145"/>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31.l中标人应当在中标通知书发出之日起三十日内，按照招标文件确定的事项与采购人签订政府采购合同。</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31.2招标文件、中标人的投标文件及招标过程中有关澄清、承诺文件均应作为合同附件。</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31.3签订合同后，</w:t>
      </w:r>
      <w:r>
        <w:rPr>
          <w:rFonts w:hint="eastAsia" w:ascii="宋体" w:hAnsi="宋体" w:eastAsia="宋体" w:cs="宋体"/>
          <w:i/>
          <w:iCs/>
          <w:sz w:val="24"/>
          <w:szCs w:val="20"/>
          <w:u w:val="single"/>
        </w:rPr>
        <w:t xml:space="preserve">中标人不得将合同标的进行转包</w:t>
      </w:r>
      <w:r>
        <w:rPr>
          <w:rFonts w:hint="eastAsia" w:ascii="宋体" w:hAnsi="宋体" w:eastAsia="宋体"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32、货物（包含与货物相关的服务）的追加</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33、政府采购政策功能落实</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33.1政府采购线上合同信用融资政策</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33.2进口产品</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33.3中小企业、监狱企业及残疾人福利性单位</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33.3.1中小企业定义：</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中小企业</w:t>
      </w:r>
      <w:r>
        <w:rPr>
          <w:rFonts w:hint="eastAsia" w:ascii="宋体" w:hAnsi="宋体" w:eastAsia="宋体" w:cs="宋体"/>
          <w:sz w:val="24"/>
          <w:szCs w:val="20"/>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33.3.2供应商提供的货物、工程或者服务符合下列情形的，享受中小企业扶持政策：</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33.3.2.1在货物采购项目中，货物由中小企业制造，即货物由中小企业生产且使用该中小企业商号或者注册商标；</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33.3.2.2在工程采购项目中，工程由中小企业承建，即工程施工单位为中小企业；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33.3.2.3在服务采购项目中，服务由中小企业承接，即提供服务的人员为中小企业依照《中华人民共和国劳动合同法》订立劳动合同的从业人员。</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33.3.3在货物采购项目中，供应商提供的货物既有中小企业制造货物，也有大型企业制造货物的，不享受中小企业扶持政策。</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33.3.4以联合体形式参加政府采购活动，联合体各方均为中小企业的，联合体视同中小企业。其中，联合体各方均为小微企业的，联合体视同小微企业。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33.3.6残疾人福利单位定义：享受政府采购支持政策的残疾人福利性单位应当同时满足以下条件：</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33.3.6.1安置的残疾人占本单位在职职工人数的比例不低于25%（含25%），并且安置的残疾人人数不少于10人（含10人）；</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33.3.6.2依法与安置的每位残疾人签订了一年以上（含一年）的劳动合同或服务协议；</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33.3.6.3为安置的每位残疾人按月足额缴纳了基本养老保险、基本医疗保险、失业保险、工伤保险和生育保险等社会保险费；</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33.3.6.4通过银行等金融机构向安置的每位残疾人，按月支付了不低于单位所在区县适用的经省级人民政府批准的月最低工资标准的工资；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33.3.7本项目是否专门面向中小企业预留采购份额见第一章《招标公告》。</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33.3.8采购标的对应的中小企业划分标准所属行业见第四章《采购需求》。</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33.3.9小微企业价格评审优惠的政策：见第五章《评标方法和评标标准》。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33.4政府采购节能产品、环境标志产品</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0"/>
        </w:rPr>
        <w:t xml:space="preserve">如属政府强制采购产品未提供认证证书的或认证证书提供不全的将视为未实质性响应采购要求</w:t>
      </w:r>
      <w:r>
        <w:rPr>
          <w:rFonts w:hint="eastAsia" w:ascii="宋体" w:hAnsi="宋体" w:eastAsia="宋体" w:cs="宋体"/>
          <w:sz w:val="24"/>
          <w:szCs w:val="20"/>
        </w:rPr>
        <w:t xml:space="preserve">。其他条件相同情况下，应当优先采购节能产品、环境标志产品。</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33.5绿色包装</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33.6政府采购创新产品</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33.7绿色数据中心政策</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本文件中若涉及到数据中心采购，采购人应依据《绿色数据中心政府采购需求标准（试行）》（财办库〔2023〕7号）文件精神</w:t>
      </w:r>
      <w:r>
        <w:rPr>
          <w:rFonts w:hint="eastAsia" w:ascii="宋体" w:hAnsi="宋体" w:eastAsia="宋体"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33.8实施本国产品标准及相关政策</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1.本项目对采购本国产品给予政策支持，具体内容见招标文件“第五章 评标方法与评标标准”。</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sz w:val="24"/>
          <w:szCs w:val="20"/>
        </w:rPr>
        <w:t xml:space="preserve">。</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33.9履约保证金政策</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确需收取履约保证金的，履约保证金的缴纳形式：</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如以履约保函（保险）形式缴纳履约保证金，供应商可通过政府采购电子履约保函（保险）平台（www.jsdzbh.com）在线申请履约保函（保险）。</w:t>
      </w:r>
      <w:r/>
    </w:p>
    <w:p>
      <w:pPr>
        <w:ind w:firstLine="482"/>
        <w:jc w:val="left"/>
        <w:spacing w:line="560" w:lineRule="exact"/>
        <w:rPr>
          <w:rFonts w:ascii="宋体" w:hAnsi="宋体" w:eastAsia="宋体" w:cs="宋体"/>
          <w:b/>
          <w:bCs/>
          <w:sz w:val="24"/>
          <w:szCs w:val="20"/>
        </w:rPr>
      </w:pPr>
      <w:r>
        <w:rPr>
          <w:rFonts w:hint="eastAsia" w:ascii="宋体" w:hAnsi="宋体" w:eastAsia="宋体" w:cs="宋体"/>
          <w:sz w:val="24"/>
          <w:szCs w:val="20"/>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sz w:val="24"/>
          <w:szCs w:val="20"/>
        </w:rPr>
        <w:t xml:space="preserve">降低履约保证金缴纳比例为5%。</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34.预付款制度</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本项目落实预付款制度，预付款比例为</w:t>
      </w:r>
      <w:r>
        <w:rPr>
          <w:rFonts w:hint="eastAsia" w:ascii="宋体" w:hAnsi="宋体" w:eastAsia="宋体" w:cs="宋体"/>
          <w:sz w:val="24"/>
          <w:szCs w:val="20"/>
          <w:u w:val="single"/>
        </w:rPr>
        <w:t xml:space="preserve">30%</w:t>
      </w:r>
      <w:r>
        <w:rPr>
          <w:rFonts w:hint="eastAsia" w:ascii="宋体" w:hAnsi="宋体" w:eastAsia="宋体" w:cs="宋体"/>
          <w:sz w:val="24"/>
          <w:szCs w:val="20"/>
        </w:rPr>
        <w:t xml:space="preserve">。在签订合同时，中标、成交供应商明确书面表示无需预付款或者主动要求降低预付款比例的，采购人可就预付款比例作相应调整。</w:t>
      </w:r>
      <w:r/>
    </w:p>
    <w:p>
      <w:pPr>
        <w:ind w:firstLine="482"/>
        <w:jc w:val="left"/>
        <w:spacing w:line="560" w:lineRule="exact"/>
        <w:rPr>
          <w:rFonts w:ascii="宋体" w:hAnsi="宋体" w:eastAsia="宋体" w:cs="宋体"/>
          <w:sz w:val="24"/>
        </w:rPr>
      </w:pPr>
      <w:r>
        <w:rPr>
          <w:rFonts w:hint="eastAsia" w:ascii="宋体" w:hAnsi="宋体" w:eastAsia="宋体" w:cs="宋体"/>
          <w:sz w:val="44"/>
          <w:szCs w:val="44"/>
        </w:rPr>
        <w:br w:type="page" w:clear="all"/>
      </w:r>
      <w:r/>
    </w:p>
    <w:p>
      <w:pPr>
        <w:pStyle w:val="743"/>
        <w:ind w:firstLine="2640"/>
        <w:jc w:val="both"/>
        <w:keepNext/>
        <w:spacing w:beforeAutospacing="0" w:afterAutospacing="0"/>
        <w:widowControl/>
        <w:rPr>
          <w:rFonts w:ascii="黑体" w:eastAsia="黑体" w:cs="黑体"/>
          <w:sz w:val="44"/>
          <w:szCs w:val="44"/>
        </w:rPr>
        <w:outlineLvl w:val="0"/>
      </w:pPr>
      <w:r/>
      <w:bookmarkStart w:id="146" w:name="_Toc13523"/>
      <w:r>
        <w:rPr>
          <w:rFonts w:hint="eastAsia" w:ascii="黑体" w:hAnsi="宋体" w:eastAsia="黑体" w:cs="黑体"/>
          <w:sz w:val="44"/>
          <w:szCs w:val="44"/>
        </w:rPr>
        <w:t xml:space="preserve">第三章 </w:t>
      </w:r>
      <w:r>
        <w:rPr>
          <w:rFonts w:hint="eastAsia" w:ascii="黑体" w:eastAsia="黑体" w:cs="黑体"/>
          <w:sz w:val="44"/>
          <w:szCs w:val="44"/>
        </w:rPr>
        <w:t xml:space="preserve">合同条款</w:t>
      </w:r>
      <w:bookmarkEnd w:id="146"/>
      <w:r/>
      <w:r/>
    </w:p>
    <w:p>
      <w:pPr>
        <w:pStyle w:val="743"/>
        <w:ind w:firstLine="220"/>
        <w:jc w:val="center"/>
        <w:keepNext/>
        <w:spacing w:beforeAutospacing="0" w:afterAutospacing="0"/>
        <w:widowControl/>
      </w:pPr>
      <w:r/>
      <w:r/>
    </w:p>
    <w:p>
      <w:pPr>
        <w:pStyle w:val="743"/>
        <w:ind w:firstLine="120"/>
        <w:jc w:val="center"/>
        <w:spacing w:beforeAutospacing="0" w:afterAutospacing="0" w:line="0" w:lineRule="atLeast"/>
        <w:widowControl/>
      </w:pPr>
      <w:r/>
      <w:bookmarkStart w:id="147" w:name="_Toc16938559"/>
      <w:r/>
      <w:bookmarkStart w:id="148" w:name="_Toc513029243"/>
      <w:r/>
      <w:bookmarkStart w:id="149" w:name="_Toc20823315"/>
      <w:r>
        <w:rPr>
          <w:rFonts w:hint="eastAsia" w:ascii="宋体" w:hAnsi="宋体" w:eastAsia="宋体" w:cs="宋体"/>
        </w:rPr>
        <w:t xml:space="preserve">以下为中标后签定本项目合同的通用条款，中标人不得提出实质性的修改。</w:t>
      </w:r>
      <w:bookmarkEnd w:id="147"/>
      <w:r/>
      <w:bookmarkEnd w:id="148"/>
      <w:r/>
      <w:bookmarkEnd w:id="149"/>
      <w:r/>
      <w:r/>
    </w:p>
    <w:p>
      <w:pPr>
        <w:pStyle w:val="743"/>
        <w:jc w:val="both"/>
        <w:keepNext/>
        <w:spacing w:beforeAutospacing="0" w:afterAutospacing="0"/>
        <w:widowControl/>
        <w:rPr>
          <w:rFonts w:ascii="黑体" w:eastAsia="黑体" w:cs="黑体"/>
          <w:sz w:val="44"/>
          <w:szCs w:val="44"/>
        </w:rPr>
      </w:pPr>
      <w:r/>
      <w:bookmarkStart w:id="150" w:name="_Toc462564139"/>
      <w:r/>
      <w:bookmarkStart w:id="151" w:name="_Hlt16619350"/>
      <w:r/>
      <w:bookmarkStart w:id="152" w:name="_Toc120614244"/>
      <w:r/>
      <w:bookmarkStart w:id="153" w:name="_Toc479757211"/>
      <w:r/>
      <w:bookmarkStart w:id="154" w:name="_Toc20823346"/>
      <w:r/>
      <w:bookmarkStart w:id="155" w:name="_Toc16938590"/>
      <w:r/>
      <w:bookmarkStart w:id="156" w:name="_Hlt16619369"/>
      <w:r/>
      <w:r/>
    </w:p>
    <w:p>
      <w:pPr>
        <w:widowControl/>
        <w:rPr>
          <w:rFonts w:ascii="宋体" w:hAnsi="宋体" w:cs="宋体"/>
        </w:rPr>
      </w:pPr>
      <w:r>
        <w:rPr>
          <w:rFonts w:ascii="宋体" w:hAnsi="宋体" w:cs="宋体"/>
        </w:rPr>
      </w:r>
      <w:r/>
    </w:p>
    <w:p>
      <w:pPr>
        <w:widowControl/>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z w:val="36"/>
          <w:szCs w:val="32"/>
        </w:rPr>
      </w:pPr>
      <w:r>
        <w:rPr>
          <w:rFonts w:hint="eastAsia" w:ascii="宋体" w:hAnsi="宋体" w:cs="宋体"/>
          <w:b/>
          <w:bCs/>
          <w:sz w:val="36"/>
          <w:szCs w:val="32"/>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firstLine="280"/>
        <w:spacing w:before="120" w:after="120" w:line="540" w:lineRule="exact"/>
        <w:rPr>
          <w:rFonts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江苏省盐城技师学院海洋路校区心理健康活动中心和学生职业生涯规划中心采购项目</w:t>
      </w:r>
      <w:r/>
    </w:p>
    <w:p>
      <w:pPr>
        <w:ind w:firstLine="280"/>
        <w:spacing w:before="120" w:after="120" w:line="540" w:lineRule="exact"/>
        <w:rPr>
          <w:rFonts w:ascii="宋体" w:hAnsi="宋体" w:cs="宋体"/>
          <w:sz w:val="28"/>
          <w:szCs w:val="28"/>
          <w:u w:val="single"/>
        </w:rPr>
      </w:pPr>
      <w:r>
        <w:rPr>
          <w:rFonts w:hint="eastAsia" w:ascii="宋体" w:hAnsi="宋体" w:cs="宋体"/>
          <w:sz w:val="28"/>
          <w:szCs w:val="28"/>
        </w:rPr>
        <w:t xml:space="preserve">合同编号：</w:t>
      </w:r>
      <w:r>
        <w:rPr>
          <w:rFonts w:hint="eastAsia" w:ascii="宋体" w:hAnsi="宋体" w:cs="宋体"/>
          <w:sz w:val="28"/>
          <w:szCs w:val="28"/>
          <w:u w:val="single"/>
        </w:rPr>
        <w:t xml:space="preserve">JSZC-320900-JZCG-G2025-0077</w:t>
      </w:r>
      <w:r/>
    </w:p>
    <w:p>
      <w:pPr>
        <w:ind w:firstLine="280"/>
        <w:spacing w:before="120" w:after="120" w:line="540" w:lineRule="exact"/>
        <w:rPr>
          <w:rFonts w:ascii="宋体" w:hAnsi="宋体" w:cs="宋体"/>
          <w:sz w:val="28"/>
          <w:szCs w:val="28"/>
          <w:u w:val="single"/>
        </w:rPr>
      </w:pPr>
      <w:r>
        <w:rPr>
          <w:rFonts w:hint="eastAsia" w:ascii="宋体" w:hAnsi="宋体" w:cs="宋体"/>
          <w:sz w:val="28"/>
          <w:szCs w:val="28"/>
        </w:rPr>
        <w:t xml:space="preserve">甲    方：</w:t>
      </w:r>
      <w:r>
        <w:rPr>
          <w:rFonts w:hint="eastAsia" w:ascii="宋体" w:hAnsi="宋体" w:cs="宋体"/>
          <w:sz w:val="28"/>
          <w:szCs w:val="28"/>
          <w:u w:val="single"/>
        </w:rPr>
        <w:t xml:space="preserve">江苏省盐城技师学院</w:t>
      </w:r>
      <w:r/>
    </w:p>
    <w:p>
      <w:pPr>
        <w:ind w:firstLine="280"/>
        <w:spacing w:before="120" w:after="120" w:line="540" w:lineRule="exact"/>
        <w:rPr>
          <w:rFonts w:ascii="宋体" w:hAnsi="宋体" w:cs="宋体"/>
          <w:sz w:val="28"/>
          <w:szCs w:val="28"/>
          <w:u w:val="single"/>
        </w:rPr>
      </w:pPr>
      <w:r>
        <w:rPr>
          <w:rFonts w:hint="eastAsia" w:ascii="宋体" w:hAnsi="宋体" w:cs="宋体"/>
          <w:sz w:val="28"/>
          <w:szCs w:val="28"/>
        </w:rPr>
        <w:t xml:space="preserve">乙    方：</w:t>
      </w:r>
      <w:r>
        <w:rPr>
          <w:rFonts w:hint="eastAsia" w:ascii="宋体" w:hAnsi="宋体" w:cs="宋体"/>
          <w:sz w:val="28"/>
          <w:szCs w:val="28"/>
          <w:u w:val="single"/>
        </w:rPr>
        <w:t xml:space="preserve">                   </w:t>
      </w:r>
      <w:r/>
    </w:p>
    <w:p>
      <w:pPr>
        <w:ind w:firstLine="280"/>
        <w:spacing w:before="120" w:after="120" w:line="540" w:lineRule="exact"/>
        <w:rPr>
          <w:rFonts w:ascii="宋体" w:hAnsi="宋体" w:cs="宋体"/>
          <w:sz w:val="28"/>
          <w:szCs w:val="28"/>
        </w:rPr>
      </w:pPr>
      <w:r>
        <w:rPr>
          <w:rFonts w:hint="eastAsia" w:ascii="宋体" w:hAnsi="宋体" w:cs="宋体"/>
          <w:sz w:val="28"/>
          <w:szCs w:val="28"/>
        </w:rPr>
        <w:t xml:space="preserve">签订时间：</w:t>
      </w:r>
      <w:r>
        <w:rPr>
          <w:rFonts w:hint="eastAsia" w:ascii="宋体" w:hAnsi="宋体" w:cs="宋体"/>
          <w:sz w:val="28"/>
          <w:szCs w:val="28"/>
          <w:u w:val="single"/>
        </w:rPr>
        <w:t xml:space="preserve">                   </w:t>
      </w:r>
      <w:r/>
    </w:p>
    <w:p>
      <w:pPr>
        <w:ind w:firstLine="480"/>
        <w:spacing w:line="520" w:lineRule="exact"/>
        <w:rPr>
          <w:rFonts w:ascii="宋体" w:hAnsi="宋体"/>
          <w:sz w:val="24"/>
        </w:rPr>
      </w:pPr>
      <w:r>
        <w:rPr>
          <w:rFonts w:ascii="宋体" w:hAnsi="宋体"/>
          <w:sz w:val="24"/>
        </w:rPr>
      </w:r>
      <w:r/>
    </w:p>
    <w:p>
      <w:pPr>
        <w:jc w:val="center"/>
        <w:spacing w:line="360" w:lineRule="auto"/>
        <w:rPr>
          <w:rFonts w:eastAsia="黑体"/>
          <w:sz w:val="44"/>
          <w:szCs w:val="44"/>
        </w:rPr>
      </w:pPr>
      <w:r>
        <w:rPr>
          <w:rFonts w:hint="eastAsia" w:ascii="仿宋_GB2312" w:hAnsi="仿宋_GB2312" w:eastAsia="仿宋_GB2312" w:cs="仿宋_GB2312"/>
          <w:sz w:val="32"/>
          <w:szCs w:val="32"/>
        </w:rPr>
        <w:br w:type="page" w:clear="all"/>
      </w:r>
      <w:r>
        <w:rPr>
          <w:rFonts w:hint="eastAsia" w:ascii="宋体" w:hAnsi="宋体" w:cs="宋体"/>
          <w:b/>
          <w:bCs/>
          <w:sz w:val="32"/>
          <w:szCs w:val="32"/>
        </w:rPr>
        <w:t xml:space="preserve">使用说明</w:t>
      </w:r>
      <w:r/>
    </w:p>
    <w:p>
      <w:pPr>
        <w:ind w:firstLine="480"/>
        <w:spacing w:line="500" w:lineRule="exact"/>
        <w:widowControl/>
        <w:rPr>
          <w:rFonts w:asciiTheme="minorEastAsia" w:hAnsiTheme="minorEastAsia" w:cstheme="minorEastAsia"/>
          <w:sz w:val="24"/>
          <w:lang w:val="zh-CN"/>
        </w:rPr>
      </w:pPr>
      <w:r>
        <w:rPr>
          <w:rFonts w:hint="eastAsia" w:asciiTheme="minorEastAsia" w:hAnsiTheme="minorEastAsia" w:cstheme="minorEastAsia"/>
          <w:sz w:val="24"/>
          <w:lang w:val="zh-CN"/>
        </w:rPr>
        <w:t xml:space="preserve">1.本合同标准文本适用于购买现成货物的采购项目，不包括需要供应商定制开发、创新研发的货物采购项目。</w:t>
      </w:r>
      <w:r/>
    </w:p>
    <w:p>
      <w:pPr>
        <w:ind w:firstLine="480"/>
        <w:spacing w:line="500" w:lineRule="exact"/>
        <w:widowControl/>
        <w:rPr>
          <w:rFonts w:asciiTheme="minorEastAsia" w:hAnsiTheme="minorEastAsia" w:cstheme="minorEastAsia"/>
          <w:sz w:val="24"/>
          <w:lang w:val="zh-CN"/>
        </w:rPr>
      </w:pPr>
      <w:r>
        <w:rPr>
          <w:rFonts w:hint="eastAsia" w:asciiTheme="minorEastAsia" w:hAnsiTheme="minorEastAsia" w:cstheme="minorEastAsia"/>
          <w:sz w:val="24"/>
          <w:lang w:val="zh-CN"/>
        </w:rPr>
        <w:t xml:space="preserve">2.本合同标准文本为政府采购货物买卖合同编制提供参考，可以结合采购项目具体情况，对文本作必要的调整修订后使用。</w:t>
      </w:r>
      <w:r/>
    </w:p>
    <w:p>
      <w:pPr>
        <w:ind w:firstLine="480"/>
        <w:spacing w:line="500" w:lineRule="exact"/>
        <w:widowControl/>
        <w:rPr>
          <w:rFonts w:asciiTheme="minorEastAsia" w:hAnsiTheme="minorEastAsia" w:cstheme="minorEastAsia"/>
          <w:sz w:val="24"/>
          <w:lang w:val="zh-CN"/>
        </w:rPr>
      </w:pPr>
      <w:r>
        <w:rPr>
          <w:rFonts w:hint="eastAsia" w:asciiTheme="minorEastAsia" w:hAnsiTheme="minorEastAsia" w:cstheme="minorEastAsia"/>
          <w:sz w:val="24"/>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jc w:val="center"/>
        <w:keepLines/>
        <w:keepNext/>
        <w:spacing w:line="400" w:lineRule="exact"/>
        <w:rPr>
          <w:rFonts w:ascii="黑体" w:hAnsi="华文中宋" w:eastAsia="黑体"/>
          <w:sz w:val="28"/>
          <w:szCs w:val="28"/>
        </w:rPr>
        <w:outlineLvl w:val="1"/>
      </w:pPr>
      <w:r>
        <w:rPr>
          <w:rFonts w:hint="eastAsia" w:ascii="宋体" w:hAnsi="宋体"/>
          <w:sz w:val="24"/>
        </w:rPr>
        <w:br w:type="page" w:clear="all"/>
      </w:r>
      <w:bookmarkStart w:id="157" w:name="_Toc27624"/>
      <w:r>
        <w:rPr>
          <w:rFonts w:hint="eastAsia" w:ascii="宋体" w:hAnsi="宋体" w:cs="宋体"/>
          <w:b/>
          <w:bCs/>
          <w:sz w:val="28"/>
          <w:szCs w:val="28"/>
        </w:rPr>
        <w:t xml:space="preserve">第一节 政府采购合同协议书</w:t>
      </w:r>
      <w:r/>
    </w:p>
    <w:p>
      <w:pPr>
        <w:ind w:firstLine="480"/>
        <w:jc w:val="left"/>
        <w:spacing w:line="560" w:lineRule="exact"/>
        <w:widowControl/>
        <w:rPr>
          <w:rFonts w:ascii="宋体" w:hAnsi="宋体" w:eastAsia="Arial" w:cs="宋体"/>
          <w:sz w:val="24"/>
          <w:szCs w:val="20"/>
        </w:rPr>
      </w:pPr>
      <w:r>
        <w:rPr>
          <w:rFonts w:ascii="宋体" w:hAnsi="宋体" w:eastAsia="Arial" w:cs="宋体"/>
          <w:sz w:val="24"/>
          <w:szCs w:val="20"/>
          <w:lang w:val="zh-CN"/>
        </w:rPr>
        <w:t xml:space="preserve">甲方（全称）：</w:t>
      </w:r>
      <w:r>
        <w:rPr>
          <w:rFonts w:hint="eastAsia" w:ascii="宋体" w:hAnsi="宋体" w:cs="宋体"/>
          <w:sz w:val="24"/>
          <w:u w:val="single"/>
        </w:rPr>
        <w:t xml:space="preserve">江苏省盐城技师学院</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乙方（全称）：</w:t>
      </w:r>
      <w:r>
        <w:rPr>
          <w:rFonts w:hint="eastAsia" w:ascii="宋体" w:hAnsi="宋体" w:cs="宋体"/>
          <w:sz w:val="24"/>
          <w:szCs w:val="20"/>
          <w:u w:val="single"/>
        </w:rPr>
        <w:t xml:space="preserve">                   </w:t>
      </w:r>
      <w:r>
        <w:rPr>
          <w:rFonts w:ascii="宋体" w:hAnsi="宋体" w:eastAsia="Arial" w:cs="宋体"/>
          <w:sz w:val="24"/>
          <w:szCs w:val="20"/>
        </w:rPr>
        <w:t xml:space="preserve">                  </w:t>
      </w:r>
      <w:r/>
    </w:p>
    <w:p>
      <w:pPr>
        <w:ind w:firstLine="482"/>
        <w:jc w:val="left"/>
        <w:spacing w:line="560" w:lineRule="exact"/>
        <w:widowControl/>
        <w:rPr>
          <w:rFonts w:ascii="宋体" w:hAnsi="宋体" w:cs="宋体"/>
          <w:sz w:val="24"/>
          <w:szCs w:val="20"/>
          <w:lang w:val="zh-CN"/>
        </w:rPr>
      </w:pPr>
      <w:r>
        <w:rPr>
          <w:rFonts w:ascii="宋体" w:hAnsi="宋体" w:eastAsia="Arial" w:cs="宋体"/>
          <w:sz w:val="24"/>
          <w:szCs w:val="20"/>
          <w:lang w:val="zh-CN"/>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1.项目信息</w:t>
      </w:r>
      <w:r/>
    </w:p>
    <w:p>
      <w:pPr>
        <w:ind w:firstLine="482"/>
        <w:jc w:val="left"/>
        <w:spacing w:line="560" w:lineRule="exact"/>
        <w:widowControl/>
        <w:rPr>
          <w:rFonts w:ascii="宋体" w:hAnsi="宋体"/>
          <w:bCs/>
          <w:color w:val="000000"/>
          <w:sz w:val="24"/>
          <w:szCs w:val="21"/>
        </w:rPr>
      </w:pPr>
      <w:r>
        <w:rPr>
          <w:rFonts w:ascii="宋体" w:hAnsi="宋体" w:eastAsia="Arial" w:cs="宋体"/>
          <w:sz w:val="24"/>
          <w:szCs w:val="20"/>
          <w:lang w:val="zh-CN"/>
        </w:rPr>
        <w:t xml:space="preserve">（1）采购项目名称：</w:t>
      </w:r>
      <w:r>
        <w:rPr>
          <w:rFonts w:hint="eastAsia" w:ascii="宋体" w:hAnsi="宋体"/>
          <w:bCs/>
          <w:color w:val="000000"/>
          <w:sz w:val="24"/>
          <w:szCs w:val="21"/>
          <w:u w:val="single"/>
        </w:rPr>
        <w:t xml:space="preserve">江苏省盐城技师学院海洋路校区心理健康活动中心和学生职业生涯规划中心采购项目</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 </w:t>
      </w:r>
      <w:r>
        <w:rPr>
          <w:rFonts w:hint="eastAsia" w:ascii="宋体" w:hAnsi="宋体" w:cs="宋体"/>
          <w:sz w:val="24"/>
          <w:szCs w:val="20"/>
        </w:rPr>
        <w:t xml:space="preserve">    </w:t>
      </w:r>
      <w:r>
        <w:rPr>
          <w:rFonts w:ascii="宋体" w:hAnsi="宋体" w:eastAsia="Arial" w:cs="宋体"/>
          <w:sz w:val="24"/>
          <w:szCs w:val="20"/>
          <w:lang w:val="zh-CN"/>
        </w:rPr>
        <w:t xml:space="preserve">采购项目编号：</w:t>
      </w:r>
      <w:r>
        <w:rPr>
          <w:rFonts w:hint="eastAsia" w:ascii="宋体" w:hAnsi="宋体" w:eastAsia="Arial" w:cs="宋体"/>
          <w:sz w:val="24"/>
          <w:szCs w:val="20"/>
          <w:u w:val="single"/>
          <w:lang w:val="zh-CN"/>
        </w:rPr>
        <w:t xml:space="preserve">JSZC-320900-JZCG-G202</w:t>
      </w:r>
      <w:r>
        <w:rPr>
          <w:rFonts w:hint="eastAsia" w:ascii="宋体" w:hAnsi="宋体" w:eastAsia="宋体" w:cs="宋体"/>
          <w:sz w:val="24"/>
          <w:szCs w:val="20"/>
          <w:u w:val="single"/>
          <w:lang w:val="en-US" w:eastAsia="zh-CN"/>
        </w:rPr>
        <w:t xml:space="preserve">6</w:t>
      </w:r>
      <w:r>
        <w:rPr>
          <w:rFonts w:hint="eastAsia" w:ascii="宋体" w:hAnsi="宋体" w:eastAsia="Arial" w:cs="宋体"/>
          <w:sz w:val="24"/>
          <w:szCs w:val="20"/>
          <w:u w:val="single"/>
          <w:lang w:val="zh-CN"/>
        </w:rPr>
        <w:t xml:space="preserve">-</w:t>
      </w:r>
      <w:r>
        <w:rPr>
          <w:rFonts w:hint="eastAsia" w:ascii="宋体" w:hAnsi="宋体" w:cs="宋体"/>
          <w:sz w:val="24"/>
          <w:szCs w:val="20"/>
          <w:u w:val="single"/>
        </w:rPr>
        <w:t xml:space="preserve">   </w:t>
      </w:r>
      <w:r>
        <w:rPr>
          <w:rFonts w:ascii="宋体" w:hAnsi="宋体" w:eastAsia="Arial"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（2）采购计划编号：</w:t>
      </w:r>
      <w:r>
        <w:rPr>
          <w:rFonts w:hint="eastAsia" w:ascii="宋体" w:hAnsi="宋体" w:cs="宋体"/>
          <w:sz w:val="24"/>
          <w:szCs w:val="20"/>
          <w:u w:val="single"/>
        </w:rPr>
        <w:t xml:space="preserve">                           </w:t>
      </w:r>
      <w:r>
        <w:rPr>
          <w:rFonts w:ascii="宋体" w:hAnsi="宋体" w:eastAsia="Arial"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（3）项目内容：</w:t>
      </w:r>
      <w:r>
        <w:rPr>
          <w:rFonts w:hint="eastAsia" w:ascii="宋体" w:hAnsi="宋体"/>
          <w:bCs/>
          <w:color w:val="000000"/>
          <w:sz w:val="24"/>
          <w:szCs w:val="21"/>
          <w:u w:val="single"/>
        </w:rPr>
        <w:t xml:space="preserve">江苏省盐城技师学院海洋路校区心理健康活动中心和学生职业生涯规划中心采购</w:t>
      </w:r>
      <w:r/>
    </w:p>
    <w:p>
      <w:pPr>
        <w:ind w:firstLine="1024"/>
        <w:spacing w:line="520" w:lineRule="exact"/>
        <w:widowControl/>
        <w:rPr>
          <w:rFonts w:ascii="宋体" w:hAnsi="宋体" w:cs="宋体"/>
          <w:sz w:val="24"/>
          <w:szCs w:val="20"/>
          <w:u w:val="single"/>
        </w:rPr>
      </w:pPr>
      <w:r>
        <w:rPr>
          <w:rFonts w:hint="eastAsia" w:ascii="宋体" w:hAnsi="宋体" w:cs="宋体"/>
          <w:sz w:val="24"/>
          <w:szCs w:val="20"/>
          <w:lang w:val="zh-CN"/>
        </w:rPr>
        <w:t xml:space="preserve">采购标的及数量（台/套/个/架/组等）：</w:t>
      </w:r>
      <w:r>
        <w:rPr>
          <w:rFonts w:hint="eastAsia" w:ascii="宋体" w:hAnsi="宋体" w:cs="宋体"/>
          <w:sz w:val="24"/>
          <w:szCs w:val="20"/>
          <w:u w:val="single"/>
        </w:rPr>
        <w:t xml:space="preserve">                 </w:t>
      </w:r>
      <w:r/>
    </w:p>
    <w:p>
      <w:pPr>
        <w:ind w:firstLine="1024"/>
        <w:spacing w:line="520" w:lineRule="exact"/>
        <w:widowControl/>
        <w:rPr>
          <w:rFonts w:ascii="宋体" w:hAnsi="宋体" w:cs="宋体"/>
          <w:sz w:val="24"/>
          <w:szCs w:val="20"/>
          <w:u w:val="single"/>
        </w:rPr>
      </w:pP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rPr>
        <w:t xml:space="preserve"> </w:t>
      </w:r>
      <w:r>
        <w:rPr>
          <w:rFonts w:hint="eastAsia" w:ascii="宋体" w:hAnsi="宋体" w:cs="宋体"/>
          <w:sz w:val="24"/>
          <w:szCs w:val="20"/>
          <w:lang w:val="zh-CN"/>
        </w:rPr>
        <w:t xml:space="preserve">规格型号：</w:t>
      </w:r>
      <w:r>
        <w:rPr>
          <w:rFonts w:hint="eastAsia" w:ascii="宋体" w:hAnsi="宋体" w:cs="宋体"/>
          <w:sz w:val="24"/>
          <w:szCs w:val="20"/>
          <w:u w:val="single"/>
        </w:rPr>
        <w:t xml:space="preserve">                  </w:t>
      </w:r>
      <w:r/>
    </w:p>
    <w:p>
      <w:pPr>
        <w:ind w:firstLine="1024"/>
        <w:spacing w:line="520" w:lineRule="exact"/>
        <w:widowControl/>
        <w:rPr>
          <w:rFonts w:ascii="宋体" w:hAnsi="宋体" w:cs="宋体"/>
          <w:sz w:val="24"/>
          <w:szCs w:val="20"/>
          <w:lang w:val="zh-CN"/>
        </w:rPr>
      </w:pPr>
      <w:r>
        <w:rPr>
          <w:rFonts w:hint="eastAsia" w:ascii="宋体" w:hAnsi="宋体" w:cs="宋体"/>
          <w:sz w:val="24"/>
          <w:szCs w:val="20"/>
          <w:lang w:val="zh-CN"/>
        </w:rPr>
        <w:t xml:space="preserve">采购标的的技术要求、商务要求具体见附件。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（4）政府采购组织形式：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政府集中采购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部门集中采购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分散采购</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（5）政府采购方式：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公开招标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邀请招标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竞争性谈判</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竞争性磋商</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询价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单一来源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框架协议 其他：</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（6）中标（成交）采购标的制造商是否为中小企业：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本合同是否为专门面向中小企业的采购合同（中小企业预留合同）：</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若本项目不专门面向中小企业采购，是否给予小微企业评审优惠：</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1"/>
        </w:num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合同是否分包：</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1200"/>
        <w:spacing w:line="520" w:lineRule="exact"/>
        <w:widowControl/>
        <w:rPr>
          <w:rFonts w:ascii="宋体" w:hAnsi="宋体" w:cs="宋体"/>
          <w:sz w:val="24"/>
          <w:szCs w:val="20"/>
          <w:u w:val="single"/>
        </w:rPr>
      </w:pPr>
      <w:r>
        <w:rPr>
          <w:rFonts w:hint="eastAsia" w:ascii="宋体" w:hAnsi="宋体" w:cs="宋体"/>
          <w:sz w:val="24"/>
          <w:szCs w:val="20"/>
          <w:lang w:val="zh-CN"/>
        </w:rPr>
        <w:t xml:space="preserve">分包主要内容：</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分包供应商/制造商名称（如供应商和制造商不同，请分别填写）：</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分包供应商/制造商类型（如果供应商和制造商不同，只填写制造商类型）：</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大型企业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中型企业  </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小微型企业</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残疾人福利性单位</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监狱企业</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其他</w:t>
      </w:r>
      <w:r/>
    </w:p>
    <w:p>
      <w:pPr>
        <w:ind w:firstLine="240"/>
        <w:spacing w:line="520" w:lineRule="exact"/>
        <w:widowControl/>
        <w:rPr>
          <w:rFonts w:ascii="宋体" w:hAnsi="宋体" w:cs="宋体"/>
          <w:sz w:val="24"/>
          <w:szCs w:val="20"/>
          <w:lang w:val="zh-CN"/>
        </w:rPr>
      </w:pPr>
      <w:r>
        <w:rPr>
          <w:rFonts w:hint="eastAsia" w:ascii="宋体" w:hAnsi="宋体" w:cs="宋体"/>
          <w:sz w:val="24"/>
          <w:szCs w:val="20"/>
          <w:lang w:val="zh-CN"/>
        </w:rPr>
        <w:t xml:space="preserve">（8）中标（成交）供应商是否为外商投资企业：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外商投资企业类型：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部分由外国投资者投资</w:t>
      </w:r>
      <w:r/>
    </w:p>
    <w:p>
      <w:pPr>
        <w:ind w:firstLine="240"/>
        <w:spacing w:line="520" w:lineRule="exact"/>
        <w:widowControl/>
        <w:rPr>
          <w:rFonts w:ascii="宋体" w:hAnsi="宋体" w:cs="宋体"/>
          <w:sz w:val="24"/>
          <w:szCs w:val="20"/>
          <w:lang w:val="zh-CN"/>
        </w:rPr>
      </w:pPr>
      <w:r>
        <w:rPr>
          <w:rFonts w:hint="eastAsia" w:ascii="宋体" w:hAnsi="宋体" w:cs="宋体"/>
          <w:sz w:val="24"/>
          <w:szCs w:val="20"/>
          <w:lang w:val="zh-CN"/>
        </w:rPr>
        <w:t xml:space="preserve">（9）是否涉及进口产品：</w:t>
      </w:r>
      <w:r/>
    </w:p>
    <w:p>
      <w:pPr>
        <w:ind w:firstLine="480"/>
        <w:spacing w:line="520" w:lineRule="exact"/>
        <w:widowControl/>
        <w:rPr>
          <w:rFonts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w:t>
      </w:r>
      <w:r>
        <w:rPr>
          <w:rFonts w:hint="eastAsia" w:ascii="宋体" w:hAnsi="宋体" w:cs="宋体"/>
          <w:sz w:val="24"/>
          <w:szCs w:val="20"/>
          <w:u w:val="single"/>
        </w:rPr>
        <w:t xml:space="preserve">         </w:t>
      </w:r>
      <w:r>
        <w:rPr>
          <w:rFonts w:hint="eastAsia" w:ascii="宋体" w:hAnsi="宋体" w:cs="宋体"/>
          <w:sz w:val="24"/>
          <w:szCs w:val="20"/>
          <w:lang w:val="zh-CN"/>
        </w:rPr>
        <w:t xml:space="preserve">金额：</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        国别：</w:t>
      </w:r>
      <w:r>
        <w:rPr>
          <w:rFonts w:hint="eastAsia" w:ascii="宋体" w:hAnsi="宋体" w:cs="宋体"/>
          <w:sz w:val="24"/>
          <w:szCs w:val="20"/>
          <w:u w:val="single"/>
        </w:rPr>
        <w:t xml:space="preserve">        </w:t>
      </w: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lang w:val="zh-CN"/>
        </w:rPr>
        <w:t xml:space="preserve"> 规格型号：</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（10）是否涉及节能产品：</w:t>
      </w:r>
      <w:r/>
    </w:p>
    <w:p>
      <w:pPr>
        <w:ind w:firstLine="480"/>
        <w:spacing w:line="520" w:lineRule="exact"/>
        <w:widowControl/>
        <w:rPr>
          <w:rFonts w:ascii="宋体" w:hAnsi="宋体" w:cs="宋体"/>
          <w:sz w:val="24"/>
          <w:szCs w:val="20"/>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是，《节能产品政府采购品目清单》的底级品目名称：</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是否涉及环境标志产品：</w:t>
      </w:r>
      <w:r/>
    </w:p>
    <w:p>
      <w:pPr>
        <w:ind w:firstLine="480"/>
        <w:spacing w:line="520" w:lineRule="exact"/>
        <w:widowControl/>
        <w:rPr>
          <w:rFonts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是，《环境标志产品政府采购品目清单》的底级品目名称：</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þ</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是否涉及绿色产品：</w:t>
      </w:r>
      <w:r/>
    </w:p>
    <w:p>
      <w:pPr>
        <w:ind w:firstLine="480"/>
        <w:spacing w:line="520" w:lineRule="exact"/>
        <w:widowControl/>
        <w:rPr>
          <w:rFonts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是，绿色产品政府采购相关政策确定的底级品目名称：</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2"/>
        </w:num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不涉及</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合同金额</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（1）合同金额小写：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1982"/>
        <w:spacing w:line="520" w:lineRule="exact"/>
        <w:widowControl/>
        <w:rPr>
          <w:rFonts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分包金额（如有）小写：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2400"/>
        <w:spacing w:line="520" w:lineRule="exact"/>
        <w:widowControl/>
        <w:rPr>
          <w:rFonts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（2）付款方式</w:t>
      </w:r>
      <w:r>
        <w:rPr>
          <w:rFonts w:hint="eastAsia" w:ascii="宋体" w:hAnsi="宋体" w:cs="宋体"/>
          <w:sz w:val="24"/>
          <w:szCs w:val="20"/>
          <w:u w:val="single"/>
          <w:lang w:val="zh-CN"/>
        </w:rPr>
        <w:t xml:space="preserve">（按项目实际勾选填写，具体详见专用条款第二节第12.2款）</w:t>
      </w:r>
      <w:r>
        <w:rPr>
          <w:rFonts w:hint="eastAsia" w:ascii="宋体" w:hAnsi="宋体" w:cs="宋体"/>
          <w:sz w:val="24"/>
          <w:szCs w:val="20"/>
          <w:lang w:val="zh-CN"/>
        </w:rPr>
        <w:t xml:space="preserve">：</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全额付款：</w:t>
      </w:r>
      <w:r>
        <w:rPr>
          <w:rFonts w:hint="eastAsia" w:ascii="宋体" w:hAnsi="宋体" w:cs="宋体"/>
          <w:sz w:val="24"/>
          <w:szCs w:val="20"/>
          <w:u w:val="single"/>
          <w:lang w:val="zh-CN"/>
        </w:rPr>
        <w:t xml:space="preserve">  （应明确一次性支付合同款项的条件）</w:t>
      </w:r>
      <w:r>
        <w:rPr>
          <w:rFonts w:hint="eastAsia" w:ascii="宋体" w:hAnsi="宋体" w:cs="宋体"/>
          <w:sz w:val="24"/>
          <w:szCs w:val="20"/>
          <w:lang w:val="zh-CN"/>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，其中涉及预付款的：</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成本补偿：</w:t>
      </w:r>
      <w:r>
        <w:rPr>
          <w:rFonts w:hint="eastAsia" w:ascii="宋体" w:hAnsi="宋体" w:cs="宋体"/>
          <w:sz w:val="24"/>
          <w:szCs w:val="20"/>
          <w:u w:val="single"/>
          <w:lang w:val="zh-CN"/>
        </w:rPr>
        <w:t xml:space="preserve">  （应明确按照成本补偿方式的支付方式和支付条件）  </w:t>
      </w:r>
      <w:r>
        <w:rPr>
          <w:rFonts w:hint="eastAsia" w:ascii="宋体" w:hAnsi="宋体" w:cs="宋体"/>
          <w:sz w:val="24"/>
          <w:szCs w:val="20"/>
          <w:lang w:val="zh-CN"/>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绩效激励：</w:t>
      </w:r>
      <w:r>
        <w:rPr>
          <w:rFonts w:hint="eastAsia" w:ascii="宋体" w:hAnsi="宋体" w:cs="宋体"/>
          <w:sz w:val="24"/>
          <w:szCs w:val="20"/>
          <w:u w:val="single"/>
          <w:lang w:val="zh-CN"/>
        </w:rPr>
        <w:t xml:space="preserve"> （应明确按照绩效激励方式的支付方式和支付条件）</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2"/>
        <w:spacing w:line="520" w:lineRule="exact"/>
        <w:widowControl/>
        <w:rPr>
          <w:rFonts w:ascii="宋体" w:hAnsi="宋体" w:cs="宋体"/>
          <w:b/>
          <w:bCs/>
          <w:sz w:val="24"/>
          <w:lang w:val="zh-CN"/>
        </w:rPr>
      </w:pPr>
      <w:r>
        <w:rPr>
          <w:rFonts w:hint="eastAsia" w:ascii="宋体" w:hAnsi="宋体" w:cs="宋体"/>
          <w:b/>
          <w:bCs/>
          <w:sz w:val="24"/>
          <w:szCs w:val="20"/>
        </w:rPr>
        <w:t xml:space="preserve">3.</w:t>
      </w:r>
      <w:r>
        <w:rPr>
          <w:rFonts w:hint="eastAsia" w:ascii="宋体" w:hAnsi="宋体" w:cs="宋体"/>
          <w:b/>
          <w:bCs/>
          <w:sz w:val="24"/>
          <w:szCs w:val="20"/>
          <w:lang w:val="zh-CN"/>
        </w:rPr>
        <w:t xml:space="preserve">合同履行</w:t>
      </w:r>
      <w:r/>
    </w:p>
    <w:p>
      <w:pPr>
        <w:ind w:firstLine="480"/>
        <w:spacing w:line="520" w:lineRule="exact"/>
        <w:widowControl/>
        <w:rPr>
          <w:rFonts w:ascii="宋体" w:hAnsi="宋体" w:cs="宋体"/>
          <w:sz w:val="24"/>
        </w:rPr>
      </w:pPr>
      <w:r>
        <w:rPr>
          <w:rFonts w:hint="eastAsia" w:ascii="宋体" w:hAnsi="宋体" w:cs="宋体"/>
          <w:sz w:val="24"/>
          <w:szCs w:val="20"/>
          <w:lang w:val="zh-CN"/>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（2）履约地点：</w:t>
      </w:r>
      <w:r>
        <w:rPr>
          <w:rFonts w:hint="eastAsia" w:ascii="宋体" w:hAnsi="宋体" w:cs="宋体"/>
          <w:sz w:val="24"/>
          <w:szCs w:val="20"/>
          <w:u w:val="single"/>
        </w:rPr>
        <w:t xml:space="preserve">                              </w:t>
      </w:r>
      <w:r>
        <w:rPr>
          <w:rFonts w:hint="eastAsia" w:ascii="宋体" w:hAnsi="宋体" w:eastAsia="Arial" w:cs="宋体"/>
          <w:sz w:val="24"/>
          <w:szCs w:val="20"/>
        </w:rPr>
        <w:t xml:space="preserve">       </w:t>
      </w:r>
      <w:r/>
    </w:p>
    <w:p>
      <w:pPr>
        <w:ind w:firstLine="480"/>
        <w:spacing w:line="520" w:lineRule="exact"/>
        <w:widowControl/>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2"/>
        <w:jc w:val="left"/>
        <w:spacing w:line="560" w:lineRule="exact"/>
        <w:widowControl/>
        <w:rPr>
          <w:rFonts w:ascii="宋体" w:hAnsi="宋体" w:eastAsia="Arial" w:cs="宋体"/>
          <w:sz w:val="24"/>
          <w:szCs w:val="20"/>
        </w:rPr>
      </w:pPr>
      <w:r>
        <w:rPr>
          <w:rFonts w:hint="eastAsia" w:ascii="宋体" w:hAnsi="宋体" w:cs="宋体"/>
          <w:sz w:val="24"/>
        </w:rPr>
        <w:t xml:space="preserve">    </w:t>
      </w:r>
      <w:r>
        <w:rPr>
          <w:rFonts w:hint="eastAsia" w:ascii="宋体" w:hAnsi="宋体" w:cs="宋体"/>
          <w:sz w:val="24"/>
          <w:szCs w:val="20"/>
        </w:rPr>
        <w:t xml:space="preserve"> </w:t>
      </w:r>
      <w:r>
        <w:rPr>
          <w:rFonts w:hint="eastAsia" w:ascii="宋体" w:hAnsi="宋体" w:eastAsia="Arial" w:cs="宋体"/>
          <w:sz w:val="24"/>
          <w:szCs w:val="20"/>
        </w:rPr>
        <w:t xml:space="preserve">收取履约保证金形式：</w:t>
      </w:r>
      <w:r>
        <w:rPr>
          <w:rFonts w:hint="eastAsia" w:ascii="宋体" w:hAnsi="宋体" w:eastAsia="Arial" w:cs="宋体"/>
          <w:sz w:val="24"/>
          <w:szCs w:val="20"/>
          <w:u w:val="single"/>
        </w:rPr>
        <w:t xml:space="preserve">       见3.（4）      </w:t>
      </w:r>
      <w:r>
        <w:rPr>
          <w:rFonts w:hint="eastAsia" w:ascii="宋体" w:hAnsi="宋体" w:eastAsia="Arial" w:cs="宋体"/>
          <w:sz w:val="24"/>
          <w:szCs w:val="20"/>
        </w:rPr>
        <w:t xml:space="preserve">                                                           </w:t>
      </w:r>
      <w:r/>
    </w:p>
    <w:p>
      <w:pPr>
        <w:ind w:firstLine="1027"/>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收取履约保证金金额：</w:t>
      </w:r>
      <w:r>
        <w:rPr>
          <w:rFonts w:hint="eastAsia" w:ascii="宋体" w:hAnsi="宋体" w:eastAsia="Arial" w:cs="宋体"/>
          <w:sz w:val="24"/>
          <w:szCs w:val="20"/>
          <w:u w:val="single"/>
        </w:rPr>
        <w:t xml:space="preserve">       合同价的10%     </w:t>
      </w:r>
      <w:r>
        <w:rPr>
          <w:rFonts w:hint="eastAsia" w:ascii="宋体" w:hAnsi="宋体" w:eastAsia="Arial" w:cs="宋体"/>
          <w:sz w:val="24"/>
          <w:szCs w:val="20"/>
        </w:rPr>
        <w:t xml:space="preserve">                                                          </w:t>
      </w:r>
      <w:r/>
    </w:p>
    <w:p>
      <w:pPr>
        <w:ind w:firstLine="1027"/>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履约担保期限：</w:t>
      </w:r>
      <w:r>
        <w:rPr>
          <w:rFonts w:hint="eastAsia" w:ascii="宋体" w:hAnsi="宋体" w:cs="宋体"/>
          <w:sz w:val="24"/>
          <w:szCs w:val="20"/>
          <w:u w:val="single"/>
        </w:rPr>
        <w:t xml:space="preserve">                              </w:t>
      </w:r>
      <w:r>
        <w:rPr>
          <w:rFonts w:hint="eastAsia" w:ascii="宋体" w:hAnsi="宋体" w:eastAsia="Arial" w:cs="宋体"/>
          <w:sz w:val="24"/>
          <w:szCs w:val="20"/>
        </w:rPr>
        <w:t xml:space="preserve">                               </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w:t>
      </w:r>
      <w:r>
        <w:rPr>
          <w:rFonts w:hint="eastAsia" w:ascii="宋体" w:hAnsi="宋体" w:eastAsia="Arial" w:cs="宋体"/>
          <w:sz w:val="24"/>
          <w:szCs w:val="20"/>
        </w:rPr>
        <w:t xml:space="preserve">4</w:t>
      </w:r>
      <w:r>
        <w:rPr>
          <w:rFonts w:hint="eastAsia" w:ascii="宋体" w:hAnsi="宋体" w:eastAsia="Arial" w:cs="宋体"/>
          <w:sz w:val="24"/>
          <w:szCs w:val="20"/>
          <w:lang w:val="zh-CN"/>
        </w:rPr>
        <w:t xml:space="preserve">）确需收取履约保证金的，履约保证金的缴纳形式：</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cs="宋体"/>
          <w:b/>
          <w:bCs/>
          <w:sz w:val="24"/>
          <w:szCs w:val="20"/>
          <w:lang w:val="zh-CN"/>
        </w:rPr>
      </w:pPr>
      <w:r>
        <w:rPr>
          <w:rFonts w:hint="eastAsia" w:ascii="宋体" w:hAnsi="宋体" w:eastAsia="Arial" w:cs="宋体"/>
          <w:b/>
          <w:bCs/>
          <w:sz w:val="24"/>
          <w:szCs w:val="20"/>
        </w:rPr>
        <w:t xml:space="preserve">履约保证金金额为合同金额的10%，采购人对第三方信用服务机构依据标准规范评定为 AA 级政府采购供应商</w:t>
      </w:r>
      <w:r>
        <w:rPr>
          <w:rFonts w:hint="eastAsia" w:ascii="宋体" w:hAnsi="宋体" w:eastAsia="Arial" w:cs="宋体"/>
          <w:b/>
          <w:bCs/>
          <w:sz w:val="24"/>
          <w:szCs w:val="20"/>
          <w:lang w:val="zh-CN"/>
        </w:rPr>
        <w:t xml:space="preserve">（需在签订采购合同前提供信用管理 部门备案的第三方信用报告，且信用报告通过“信用盐城网”可查实），降低履约保证金缴纳比例为5%。  </w:t>
      </w:r>
      <w:r>
        <w:rPr>
          <w:rFonts w:hint="eastAsia" w:ascii="宋体" w:hAnsi="宋体" w:cs="宋体"/>
          <w:b/>
          <w:bCs/>
          <w:sz w:val="24"/>
          <w:szCs w:val="20"/>
          <w:lang w:val="zh-CN"/>
        </w:rPr>
        <w:t xml:space="preserve">                                  </w:t>
      </w:r>
      <w:r/>
    </w:p>
    <w:p>
      <w:pPr>
        <w:numPr>
          <w:ilvl w:val="0"/>
          <w:numId w:val="3"/>
        </w:num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分期履行要求：</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（6）风险处置措施和替代方案：</w:t>
      </w:r>
      <w:r>
        <w:rPr>
          <w:rFonts w:hint="eastAsia" w:ascii="宋体" w:hAnsi="宋体" w:cs="宋体"/>
          <w:sz w:val="24"/>
          <w:szCs w:val="20"/>
          <w:u w:val="single"/>
        </w:rPr>
        <w:t xml:space="preserve">                 </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rPr>
        <w:t xml:space="preserve">4.</w:t>
      </w:r>
      <w:r>
        <w:rPr>
          <w:rFonts w:hint="eastAsia" w:ascii="宋体" w:hAnsi="宋体" w:cs="宋体"/>
          <w:b/>
          <w:bCs/>
          <w:sz w:val="24"/>
          <w:szCs w:val="20"/>
          <w:lang w:val="zh-CN"/>
        </w:rPr>
        <w:t xml:space="preserve">合同验收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）验收组织方式：</w:t>
      </w:r>
      <w:r>
        <w:rPr>
          <w:rFonts w:ascii="Wingdings" w:hAnsi="Wingdings" w:eastAsia="Wingdings" w:cs="Wingdings"/>
          <w:sz w:val="24"/>
        </w:rPr>
        <w:t xml:space="preserve"></w:t>
      </w:r>
      <w:r>
        <w:rPr>
          <w:rFonts w:hint="eastAsia" w:ascii="宋体" w:hAnsi="宋体" w:cs="宋体"/>
          <w:sz w:val="24"/>
          <w:szCs w:val="20"/>
          <w:lang w:val="zh-CN"/>
        </w:rPr>
        <w:t xml:space="preserve">自行组织</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委托第三方组织</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验收主体：</w:t>
      </w:r>
      <w:r>
        <w:rPr>
          <w:rFonts w:hint="eastAsia" w:ascii="宋体" w:hAnsi="宋体" w:eastAsia="Arial" w:cs="宋体"/>
          <w:sz w:val="24"/>
          <w:szCs w:val="20"/>
        </w:rPr>
        <w:t xml:space="preserve">                 </w:t>
      </w:r>
      <w:r>
        <w:rPr>
          <w:rFonts w:hint="eastAsia" w:ascii="宋体" w:hAnsi="宋体" w:eastAsia="Arial"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是否邀请本项目的其他供应商参加验收：</w:t>
      </w:r>
      <w:r>
        <w:rPr>
          <w:rFonts w:ascii="Wingdings" w:hAnsi="Wingdings" w:eastAsia="Wingdings" w:cs="Wingdings"/>
          <w:sz w:val="24"/>
        </w:rPr>
        <w:t xml:space="preserve"></w:t>
      </w:r>
      <w:r>
        <w:rPr>
          <w:rFonts w:hint="eastAsia" w:ascii="宋体" w:hAnsi="宋体" w:eastAsia="Arial" w:cs="宋体"/>
          <w:sz w:val="24"/>
          <w:szCs w:val="20"/>
          <w:lang w:val="zh-CN"/>
        </w:rPr>
        <w:t xml:space="preserve">是  </w:t>
      </w:r>
      <w:r>
        <w:rPr>
          <w:rFonts w:ascii="Wingdings" w:hAnsi="Wingdings" w:eastAsia="Wingdings" w:cs="Wingdings"/>
          <w:sz w:val="24"/>
        </w:rPr>
        <w:t xml:space="preserve"></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是否邀请专家参加验收：</w:t>
      </w:r>
      <w:r>
        <w:rPr>
          <w:rFonts w:ascii="Wingdings" w:hAnsi="Wingdings" w:eastAsia="Wingdings" w:cs="Wingdings"/>
          <w:sz w:val="24"/>
        </w:rPr>
        <w:t xml:space="preserve"></w:t>
      </w:r>
      <w:r>
        <w:rPr>
          <w:rFonts w:hint="eastAsia" w:ascii="宋体" w:hAnsi="宋体" w:eastAsia="Arial" w:cs="宋体"/>
          <w:sz w:val="24"/>
          <w:szCs w:val="20"/>
          <w:lang w:val="zh-CN"/>
        </w:rPr>
        <w:t xml:space="preserve">是  </w:t>
      </w:r>
      <w:r>
        <w:rPr>
          <w:rFonts w:ascii="Wingdings" w:hAnsi="Wingdings" w:eastAsia="Wingdings" w:cs="Wingdings"/>
          <w:sz w:val="24"/>
        </w:rPr>
        <w:t xml:space="preserve"></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是否邀请服务对象参加验收：</w:t>
      </w:r>
      <w:r>
        <w:rPr>
          <w:rFonts w:ascii="Wingdings" w:hAnsi="Wingdings" w:eastAsia="Wingdings" w:cs="Wingdings"/>
          <w:sz w:val="24"/>
        </w:rPr>
        <w:t xml:space="preserve"></w:t>
      </w:r>
      <w:r>
        <w:rPr>
          <w:rFonts w:hint="eastAsia" w:ascii="宋体" w:hAnsi="宋体" w:eastAsia="Arial" w:cs="宋体"/>
          <w:sz w:val="24"/>
          <w:szCs w:val="20"/>
          <w:lang w:val="zh-CN"/>
        </w:rPr>
        <w:t xml:space="preserve">是  </w:t>
      </w:r>
      <w:r>
        <w:rPr>
          <w:rFonts w:ascii="Wingdings" w:hAnsi="Wingdings" w:eastAsia="Wingdings" w:cs="Wingdings"/>
          <w:sz w:val="24"/>
        </w:rPr>
        <w:t xml:space="preserve"></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是否邀请第三方检测机构参加验收：</w:t>
      </w:r>
      <w:r>
        <w:rPr>
          <w:rFonts w:ascii="Wingdings" w:hAnsi="Wingdings" w:eastAsia="Wingdings" w:cs="Wingdings"/>
          <w:sz w:val="24"/>
        </w:rPr>
        <w:t xml:space="preserve"></w:t>
      </w:r>
      <w:r>
        <w:rPr>
          <w:rFonts w:hint="eastAsia" w:ascii="宋体" w:hAnsi="宋体" w:eastAsia="Arial" w:cs="宋体"/>
          <w:sz w:val="24"/>
          <w:szCs w:val="20"/>
          <w:lang w:val="zh-CN"/>
        </w:rPr>
        <w:t xml:space="preserve">是  </w:t>
      </w:r>
      <w:r>
        <w:rPr>
          <w:rFonts w:ascii="Wingdings" w:hAnsi="Wingdings" w:eastAsia="Wingdings" w:cs="Wingdings"/>
          <w:sz w:val="24"/>
        </w:rPr>
        <w:t xml:space="preserve"></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是否进行抽查检测：是，抽查比例：</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w:t>
      </w:r>
      <w:r>
        <w:rPr>
          <w:rFonts w:hint="eastAsia" w:ascii="宋体" w:hAnsi="宋体" w:cs="宋体"/>
          <w:sz w:val="24"/>
          <w:szCs w:val="20"/>
        </w:rPr>
        <w:t xml:space="preserve"> </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是否存在破坏性检测：</w:t>
      </w:r>
      <w:r>
        <w:rPr>
          <w:rFonts w:ascii="Wingdings" w:hAnsi="Wingdings" w:eastAsia="Wingdings" w:cs="Wingdings"/>
          <w:sz w:val="24"/>
        </w:rPr>
        <w:t xml:space="preserve"></w:t>
      </w:r>
      <w:r>
        <w:rPr>
          <w:rFonts w:hint="eastAsia" w:ascii="宋体" w:hAnsi="宋体" w:eastAsia="Arial" w:cs="宋体"/>
          <w:sz w:val="24"/>
          <w:szCs w:val="20"/>
          <w:lang w:val="zh-CN"/>
        </w:rPr>
        <w:t xml:space="preserve">是，（应明确对被破坏的检测产品的处理方式         否</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验收组织的其他事项：</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u w:val="single"/>
          <w:lang w:val="zh-CN"/>
        </w:rPr>
      </w:pPr>
      <w:r>
        <w:rPr>
          <w:rFonts w:hint="eastAsia" w:ascii="宋体" w:hAnsi="宋体" w:cs="宋体"/>
          <w:sz w:val="24"/>
          <w:szCs w:val="20"/>
          <w:lang w:val="zh-CN"/>
        </w:rPr>
        <w:t xml:space="preserve">（2）履约验收时间：</w:t>
      </w:r>
      <w:r>
        <w:rPr>
          <w:rFonts w:hint="eastAsia" w:ascii="宋体" w:hAnsi="宋体" w:cs="宋体"/>
          <w:sz w:val="24"/>
          <w:szCs w:val="20"/>
          <w:u w:val="single"/>
          <w:lang w:val="zh-CN"/>
        </w:rPr>
        <w:t xml:space="preserve">（计划于何时验收/供应商提出验收申请之日起   日内组织验收）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（3）履约验收方式：</w:t>
      </w:r>
      <w:r>
        <w:rPr>
          <w:rFonts w:ascii="Wingdings" w:hAnsi="Wingdings" w:eastAsia="Wingdings" w:cs="Wingdings"/>
          <w:sz w:val="24"/>
        </w:rPr>
        <w:t xml:space="preserve"></w:t>
      </w:r>
      <w:r>
        <w:rPr>
          <w:rFonts w:hint="eastAsia" w:ascii="宋体" w:hAnsi="宋体" w:cs="宋体"/>
          <w:sz w:val="24"/>
          <w:szCs w:val="20"/>
          <w:lang w:val="zh-CN"/>
        </w:rPr>
        <w:t xml:space="preserve">一次性验收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分期/分项验收：</w:t>
      </w:r>
      <w:r>
        <w:rPr>
          <w:rFonts w:hint="eastAsia" w:ascii="宋体" w:hAnsi="宋体" w:cs="宋体"/>
          <w:sz w:val="24"/>
          <w:szCs w:val="20"/>
          <w:u w:val="single"/>
          <w:lang w:val="zh-CN"/>
        </w:rPr>
        <w:t xml:space="preserve">（应明确分期/分项验收的工作安排）</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（4）履约验收程序：</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（5）履约验收的内容：</w:t>
      </w:r>
      <w:r>
        <w:rPr>
          <w:rFonts w:hint="eastAsia" w:ascii="宋体" w:hAnsi="宋体" w:cs="宋体"/>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（6）履约验收标准：</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（8）履约验收其他事项：</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（产权过户登记等）</w:t>
      </w:r>
      <w:r>
        <w:rPr>
          <w:rFonts w:hint="eastAsia" w:ascii="宋体" w:hAnsi="宋体" w:cs="宋体"/>
          <w:sz w:val="24"/>
          <w:szCs w:val="20"/>
          <w:u w:val="single"/>
        </w:rPr>
        <w:t xml:space="preserve">        </w:t>
      </w:r>
      <w:r/>
    </w:p>
    <w:p>
      <w:pPr>
        <w:ind w:firstLine="482"/>
        <w:jc w:val="left"/>
        <w:spacing w:line="56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5.组成合同的文件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本协议书与下列文件一起构成合同文件，如下述文件之间有任何抵触、矛盾或歧义，应按以下顺序解释：</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（1）政府采购合同协议书及其变更、补充协议</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（2）政府采购合同专用条款</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（3）政府采购合同通用条款</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（4）中标（成交）通知书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（5）投标（响应）文件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（6）采购文件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（7）有关技术文件，图纸</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（8）国家法律、行政法规和规章制度规定或合同约定的作为合同组成部分的其他文件</w:t>
      </w:r>
      <w:r/>
    </w:p>
    <w:p>
      <w:pPr>
        <w:ind w:firstLine="482"/>
        <w:jc w:val="left"/>
        <w:spacing w:line="56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6.合同生效</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本合同自</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年</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月</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日生效。</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7.合同份数</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本合同一式</w:t>
      </w:r>
      <w:r>
        <w:rPr>
          <w:rFonts w:hint="eastAsia" w:ascii="宋体" w:hAnsi="宋体" w:cs="宋体"/>
          <w:sz w:val="24"/>
          <w:szCs w:val="20"/>
          <w:u w:val="single"/>
        </w:rPr>
        <w:t xml:space="preserve">肆</w:t>
      </w:r>
      <w:r>
        <w:rPr>
          <w:rFonts w:hint="eastAsia" w:ascii="宋体" w:hAnsi="宋体" w:eastAsia="Arial" w:cs="宋体"/>
          <w:sz w:val="24"/>
          <w:szCs w:val="20"/>
          <w:lang w:val="zh-CN"/>
        </w:rPr>
        <w:t xml:space="preserve">份，甲方执</w:t>
      </w:r>
      <w:r>
        <w:rPr>
          <w:rFonts w:hint="eastAsia" w:ascii="宋体" w:hAnsi="宋体" w:cs="宋体"/>
          <w:sz w:val="24"/>
          <w:szCs w:val="20"/>
          <w:u w:val="single"/>
        </w:rPr>
        <w:t xml:space="preserve">贰</w:t>
      </w:r>
      <w:r>
        <w:rPr>
          <w:rFonts w:hint="eastAsia" w:ascii="宋体" w:hAnsi="宋体" w:eastAsia="Arial" w:cs="宋体"/>
          <w:sz w:val="24"/>
          <w:szCs w:val="20"/>
          <w:lang w:val="zh-CN"/>
        </w:rPr>
        <w:t xml:space="preserve">份，乙方执</w:t>
      </w:r>
      <w:r>
        <w:rPr>
          <w:rFonts w:hint="eastAsia" w:ascii="宋体" w:hAnsi="宋体" w:cs="宋体"/>
          <w:sz w:val="24"/>
          <w:szCs w:val="20"/>
          <w:u w:val="single"/>
        </w:rPr>
        <w:t xml:space="preserve">贰</w:t>
      </w:r>
      <w:r>
        <w:rPr>
          <w:rFonts w:hint="eastAsia" w:ascii="宋体" w:hAnsi="宋体" w:eastAsia="Arial" w:cs="宋体"/>
          <w:sz w:val="24"/>
          <w:szCs w:val="20"/>
          <w:lang w:val="zh-CN"/>
        </w:rPr>
        <w:t xml:space="preserve">份，均具有同等法律效力。</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合同订立时间：</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年 </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月 </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日</w:t>
      </w:r>
      <w:r/>
    </w:p>
    <w:p>
      <w:pPr>
        <w:ind w:firstLine="482"/>
        <w:jc w:val="left"/>
        <w:spacing w:line="560" w:lineRule="exact"/>
        <w:widowControl/>
        <w:rPr>
          <w:rFonts w:ascii="宋体" w:hAnsi="宋体" w:cs="宋体"/>
          <w:sz w:val="24"/>
          <w:szCs w:val="20"/>
        </w:rPr>
      </w:pPr>
      <w:r>
        <w:rPr>
          <w:rFonts w:hint="eastAsia" w:ascii="宋体" w:hAnsi="宋体" w:eastAsia="Arial" w:cs="宋体"/>
          <w:sz w:val="24"/>
          <w:szCs w:val="20"/>
          <w:lang w:val="zh-CN"/>
        </w:rPr>
        <w:t xml:space="preserve">合同订立地点：</w:t>
      </w:r>
      <w:r>
        <w:rPr>
          <w:rFonts w:hint="eastAsia" w:ascii="宋体" w:hAnsi="宋体" w:cs="宋体"/>
          <w:sz w:val="24"/>
          <w:szCs w:val="20"/>
          <w:u w:val="single"/>
        </w:rPr>
        <w:t xml:space="preserve">江苏省盐城技师学院</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附件：具体标的及其技术要求和商务要求、联合协议、分包意向协议等。</w:t>
      </w:r>
      <w:r/>
    </w:p>
    <w:p>
      <w:pPr>
        <w:pStyle w:val="944"/>
        <w:spacing w:before="156"/>
        <w:rPr>
          <w:rFonts w:hint="default" w:cs="宋体"/>
          <w:b w:val="0"/>
          <w:bCs w:val="0"/>
          <w:sz w:val="24"/>
          <w:szCs w:val="24"/>
        </w:rPr>
      </w:pPr>
      <w:r>
        <w:rPr>
          <w:rFonts w:cs="宋体"/>
          <w:b w:val="0"/>
          <w:bCs w:val="0"/>
          <w:sz w:val="24"/>
          <w:szCs w:val="24"/>
        </w:rPr>
        <w:br w:type="page" w:clear="all"/>
      </w:r>
      <w:r/>
    </w:p>
    <w:tbl>
      <w:tblPr>
        <w:tblStyle w:val="7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7"/>
        <w:gridCol w:w="2449"/>
        <w:gridCol w:w="2105"/>
        <w:gridCol w:w="2156"/>
      </w:tblGrid>
      <w:tr>
        <w:trPr>
          <w:jc w:val="center"/>
          <w:trHeight w:val="490"/>
        </w:trPr>
        <w:tc>
          <w:tcPr>
            <w:gridSpan w:val="2"/>
            <w:tcBorders>
              <w:bottom w:val="single" w:color="000000" w:sz="2" w:space="0"/>
              <w:right w:val="single" w:color="000000" w:sz="2" w:space="0"/>
            </w:tcBorders>
            <w:tcW w:w="4466"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甲方（采购人、受采购人委托签订合同的单位或采购文件约定的合同甲方）</w:t>
            </w:r>
            <w:r/>
          </w:p>
        </w:tc>
        <w:tc>
          <w:tcPr>
            <w:gridSpan w:val="2"/>
            <w:tcBorders>
              <w:left w:val="single" w:color="000000" w:sz="2" w:space="0"/>
              <w:bottom w:val="single" w:color="000000" w:sz="2" w:space="0"/>
            </w:tcBorders>
            <w:tcW w:w="4261" w:type="dxa"/>
            <w:vAlign w:val="center"/>
            <w:textDirection w:val="lrTb"/>
            <w:noWrap w:val="false"/>
          </w:tcPr>
          <w:p>
            <w:pPr>
              <w:ind w:firstLine="482"/>
              <w:jc w:val="center"/>
              <w:spacing w:line="500" w:lineRule="exact"/>
              <w:widowControl/>
              <w:rPr>
                <w:rFonts w:ascii="宋体" w:hAnsi="宋体" w:cs="宋体"/>
                <w:sz w:val="24"/>
                <w:szCs w:val="20"/>
              </w:rPr>
            </w:pPr>
            <w:r>
              <w:rPr>
                <w:rFonts w:hint="eastAsia" w:ascii="宋体" w:hAnsi="宋体" w:cs="宋体"/>
                <w:sz w:val="24"/>
                <w:szCs w:val="20"/>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单位名称（公章或合同章）</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cantSplit/>
          <w:jc w:val="center"/>
          <w:trHeight w:val="1171"/>
        </w:trPr>
        <w:tc>
          <w:tcPr>
            <w:tcBorders>
              <w:top w:val="single" w:color="000000" w:sz="2" w:space="0"/>
              <w:right w:val="single" w:color="000000" w:sz="2" w:space="0"/>
            </w:tcBorders>
            <w:tcW w:w="2017" w:type="dxa"/>
            <w:vAlign w:val="center"/>
            <w:vMerge w:val="restart"/>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法定代表人或其委托代理人（签章）</w:t>
            </w:r>
            <w:r/>
          </w:p>
        </w:tc>
        <w:tc>
          <w:tcPr>
            <w:tcBorders>
              <w:top w:val="single" w:color="000000" w:sz="2" w:space="0"/>
              <w:left w:val="single" w:color="000000" w:sz="2" w:space="0"/>
              <w:right w:val="single" w:color="000000" w:sz="2" w:space="0"/>
            </w:tcBorders>
            <w:tcW w:w="2449" w:type="dxa"/>
            <w:vAlign w:val="center"/>
            <w:vMerge w:val="restart"/>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法定代表人或其委托代理人（签章）</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cantSplit/>
          <w:jc w:val="center"/>
          <w:trHeight w:val="483"/>
        </w:trPr>
        <w:tc>
          <w:tcPr>
            <w:tcBorders>
              <w:bottom w:val="single" w:color="000000" w:sz="2" w:space="0"/>
              <w:right w:val="single" w:color="000000" w:sz="2" w:space="0"/>
            </w:tcBorders>
            <w:tcW w:w="2017" w:type="dxa"/>
            <w:vAlign w:val="center"/>
            <w:vMerge w:val="continue"/>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left w:val="single" w:color="000000" w:sz="2" w:space="0"/>
              <w:bottom w:val="single" w:color="000000" w:sz="2" w:space="0"/>
              <w:right w:val="single" w:color="000000" w:sz="2" w:space="0"/>
            </w:tcBorders>
            <w:tcW w:w="2449" w:type="dxa"/>
            <w:vAlign w:val="center"/>
            <w:vMerge w:val="continue"/>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拥有者性别</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住所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住所</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联 系 人</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联 系 人</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联系电话</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联系电话</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通信地址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通信地址</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邮政编码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邮政编码</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电子邮箱</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电子邮箱</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统一社会信用  代码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统一社会信用  代码</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开户名称</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开户银行</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银行账号</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586"/>
        </w:trPr>
        <w:tc>
          <w:tcPr>
            <w:gridSpan w:val="4"/>
            <w:tcBorders>
              <w:top w:val="single" w:color="000000" w:sz="2" w:space="0"/>
            </w:tcBorders>
            <w:tcW w:w="872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注：涉及联合体或其他合同主体的信息应按上表格式加列。</w:t>
            </w:r>
            <w:r/>
          </w:p>
        </w:tc>
      </w:tr>
    </w:tbl>
    <w:p>
      <w:pPr>
        <w:rPr>
          <w:rFonts w:ascii="宋体" w:hAnsi="宋体" w:cs="宋体"/>
          <w:b/>
          <w:bCs/>
          <w:sz w:val="28"/>
          <w:szCs w:val="28"/>
        </w:rPr>
      </w:pPr>
      <w:r>
        <w:rPr>
          <w:rFonts w:hint="eastAsia" w:ascii="宋体" w:hAnsi="宋体" w:cs="宋体"/>
          <w:b/>
          <w:bCs/>
          <w:sz w:val="28"/>
          <w:szCs w:val="28"/>
        </w:rPr>
        <w:br w:type="page" w:clear="all"/>
      </w:r>
      <w:r/>
    </w:p>
    <w:p>
      <w:pPr>
        <w:pStyle w:val="944"/>
        <w:jc w:val="center"/>
        <w:spacing w:before="156" w:afterAutospacing="0" w:line="400" w:lineRule="exact"/>
        <w:rPr>
          <w:rFonts w:hint="default" w:cs="宋体"/>
          <w:sz w:val="28"/>
          <w:szCs w:val="28"/>
        </w:rPr>
      </w:pPr>
      <w:r>
        <w:rPr>
          <w:rFonts w:cs="宋体"/>
          <w:sz w:val="28"/>
          <w:szCs w:val="28"/>
        </w:rPr>
        <w:t xml:space="preserve">第二节 政府采购合同通用条款</w:t>
      </w:r>
      <w:bookmarkEnd w:id="157"/>
      <w:r/>
      <w:r/>
    </w:p>
    <w:p>
      <w:pPr>
        <w:ind w:firstLine="482"/>
        <w:jc w:val="left"/>
        <w:spacing w:line="400" w:lineRule="exact"/>
        <w:widowControl/>
        <w:rPr>
          <w:rFonts w:ascii="宋体" w:hAnsi="宋体" w:cs="宋体"/>
          <w:b/>
          <w:bCs/>
          <w:sz w:val="24"/>
          <w:szCs w:val="20"/>
          <w:lang w:val="zh-CN"/>
        </w:rPr>
      </w:pPr>
      <w:r>
        <w:rPr>
          <w:rFonts w:hint="eastAsia" w:ascii="宋体" w:hAnsi="宋体" w:cs="宋体"/>
          <w:b/>
          <w:bCs/>
          <w:sz w:val="24"/>
          <w:szCs w:val="20"/>
        </w:rPr>
        <w:t xml:space="preserve">1.</w:t>
      </w:r>
      <w:r>
        <w:rPr>
          <w:rFonts w:hint="eastAsia" w:ascii="宋体" w:hAnsi="宋体" w:cs="宋体"/>
          <w:b/>
          <w:bCs/>
          <w:sz w:val="24"/>
          <w:szCs w:val="20"/>
          <w:lang w:val="zh-CN"/>
        </w:rPr>
        <w:t xml:space="preserve"> 定义</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1.1合同当事人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（1）采购人（以下称甲方）是指使用财政性资金，通过政府采购方式向供应商购买货物及其相关服务的国家机关、事业单位、团体组织。</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（2）供应商（以下称乙方）是指参加政府采购活动并且中标（成交），向采购人提供合同约定的货物及其相关服务的法人、非法人组织或者自然人。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（3）其他合同主体是指除采购人和供应商以外，依法参与合同缔结或履行，享有权利、承担义务的合同当事人。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1.2本合同下列术语应解释为：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（2）“合同价款”系指根据本合同规定乙方在全面履行合同义务后甲方应支付给乙方的价款。</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szCs w:val="20"/>
        </w:rPr>
        <w:t xml:space="preserve">其他</w:t>
      </w:r>
      <w:r>
        <w:rPr>
          <w:rFonts w:hint="eastAsia" w:ascii="宋体" w:hAnsi="宋体" w:cs="宋体"/>
          <w:sz w:val="24"/>
          <w:szCs w:val="20"/>
          <w:lang w:val="zh-CN"/>
        </w:rPr>
        <w:t xml:space="preserve">技术资料和材料等。</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（4）“相关服务”系指根据合同规定，乙方应提供的与货物有关的技术、管理和</w:t>
      </w:r>
      <w:r>
        <w:rPr>
          <w:rFonts w:hint="eastAsia" w:ascii="宋体" w:hAnsi="宋体" w:cs="宋体"/>
          <w:sz w:val="24"/>
          <w:szCs w:val="20"/>
        </w:rPr>
        <w:t xml:space="preserve">其他</w:t>
      </w:r>
      <w:r>
        <w:rPr>
          <w:rFonts w:hint="eastAsia" w:ascii="宋体" w:hAnsi="宋体" w:cs="宋体"/>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szCs w:val="20"/>
        </w:rPr>
        <w:t xml:space="preserve">其他</w:t>
      </w:r>
      <w:r>
        <w:rPr>
          <w:rFonts w:hint="eastAsia" w:ascii="宋体" w:hAnsi="宋体" w:cs="宋体"/>
          <w:sz w:val="24"/>
          <w:szCs w:val="20"/>
          <w:lang w:val="zh-CN"/>
        </w:rPr>
        <w:t xml:space="preserve">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（7）其他术语解释，见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 合同标的及金额</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2.1 合同标的及金额应与中标（成交）结果一致。乙方为履行本合同而发生的所有费用均应包含在合同价款中，甲方不再另行支付其他任何费用。</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 履行合同的时间、地点和方式</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3.1 乙方应当在约定的时间、地点，按照约定方式履行合同。</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 甲方的权利和义务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4.3 甲方有权要求乙方对缺陷部分予以修复，并按合同约定享有货物保修及其他合同约定的权利。</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4.4 甲方应当按照合同约定及时对交付的货物进行验收，未在【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】约定的期限内对乙方履约提出任何异议或者向乙方作出任何说明的，视为验收通过。</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4.5 甲方应当根据合同约定及时向乙方支付合同价款，不得以内部人员变更、履行内部付款流程等为由，拒绝或迟延支付。</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4.6 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】约定应由甲方承担的其他义务和责任。</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5. 乙方的权利和义务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5.1 签署合同后，乙方应确定项目负责人（或项目联系人），负责与本合同有关的事务。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5.3乙方有权根据合同约定向甲方收取合同价款。</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5.4国家法律法规规定及【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】约定应由乙方承担的其他义务和责任。</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 合同履行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6.1 甲乙双方应当按照【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】约定顺序履行合同义务；如果没有先后顺序的，应当同时履行。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7. 货物包装、运输、保险和交付要求</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7.1 本合同涉及商品包装、快递包装的，除【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】另有约定外，包装应适应远距离运输、防潮、防震、防锈和防野蛮装卸等要求，确保货物安全无损地运抵【</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约定的指定现场。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7.2 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】另有约定外，乙方负责办理将货物运抵本合同规定的交货地点，并装卸、交付至甲方的一切运输事项，相关费用应包含在合同价款中。</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7.3 货物保险要求按【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7.5 乙方在运输到达之前应提前通知甲方，并提示货物运输装卸的注意事项，甲方配合乙方做好货物的接收工作。</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7.6 如因包装、运输问题导致货物损毁、丢失或者品质下降，甲方有权要求降价、换货、拒收部分或整批货物，由此产生的费用和损失，均由乙方承担。</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8. 质量标准和保证</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8.1 质量标准</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（2）采用中华人民共和国法定计量单位。</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（3）乙方所提供的货物应符合国家有关安全、环保、卫生的规定。</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8.2 保证</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】规定或乙方书面承诺（两者以较长的为准）的质量保证期内，本保证保持有效。</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（2）在质量保证期内所发现的缺陷，甲方应尽快以书面形式通知乙方。</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（3）乙方收到通知后，应在【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】规定的响应时间内以合理的速度免费维修或更换有缺陷的货物或部件。</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9. 权利瑕疵担保</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9.1 乙方保证对其出售的货物享有合法的权利。</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9.2 乙方保证在交付的货物上不存在抵押权等担保物权。</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9.3 如甲方使用上述货物构成对第三人侵权的，则由乙方承担全部责任。</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10. 知识产权保护</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10.1 乙方对其所销售的货物应当享有知识产权或经权利人合法授权，保证没有侵犯任何第三人的知识产权等权利。</w:t>
      </w:r>
      <w:bookmarkStart w:id="158" w:name="_Hlk163047038"/>
      <w:r>
        <w:rPr>
          <w:rFonts w:hint="eastAsia" w:ascii="宋体" w:hAnsi="宋体" w:cs="宋体"/>
          <w:sz w:val="24"/>
          <w:szCs w:val="20"/>
          <w:lang w:val="zh-CN"/>
        </w:rPr>
        <w:t xml:space="preserve">因违反前述约定对第三人构成侵权的，应当由乙方向第三人承担法律责任；甲方依法向第三人赔偿后，有权向乙方追偿。甲方有其他损失的，乙方应当赔偿</w:t>
      </w:r>
      <w:bookmarkEnd w:id="158"/>
      <w:r>
        <w:rPr>
          <w:rFonts w:hint="eastAsia" w:ascii="宋体" w:hAnsi="宋体" w:cs="宋体"/>
          <w:sz w:val="24"/>
          <w:szCs w:val="20"/>
          <w:lang w:val="zh-CN"/>
        </w:rPr>
        <w:t xml:space="preserve">。</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11. 保密义务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12. 合同价款支付</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12.1 合同价款支付按照国库集中支付制度及财政管理相关规定执行。</w:t>
      </w:r>
      <w:r/>
    </w:p>
    <w:p>
      <w:pPr>
        <w:ind w:firstLine="482"/>
        <w:jc w:val="left"/>
        <w:spacing w:line="560" w:lineRule="exact"/>
        <w:widowControl/>
        <w:rPr>
          <w:rFonts w:ascii="宋体" w:hAnsi="宋体" w:eastAsia="Arial" w:cs="宋体"/>
          <w:sz w:val="24"/>
          <w:szCs w:val="20"/>
          <w:lang w:val="zh-CN"/>
        </w:rPr>
      </w:pPr>
      <w:r>
        <w:rPr>
          <w:rFonts w:hint="eastAsia" w:ascii="宋体" w:hAnsi="宋体" w:cs="宋体"/>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sz w:val="24"/>
          <w:szCs w:val="20"/>
          <w:lang w:val="zh-CN"/>
        </w:rPr>
        <w:t xml:space="preserve">【</w:t>
      </w:r>
      <w:r>
        <w:rPr>
          <w:rFonts w:hint="eastAsia" w:ascii="宋体" w:hAnsi="宋体" w:eastAsia="Arial" w:cs="宋体"/>
          <w:b/>
          <w:bCs/>
          <w:sz w:val="24"/>
          <w:szCs w:val="20"/>
          <w:lang w:val="zh-CN"/>
        </w:rPr>
        <w:t xml:space="preserve">政府采购合同专用条款</w:t>
      </w:r>
      <w:r>
        <w:rPr>
          <w:rFonts w:hint="eastAsia" w:ascii="宋体" w:hAnsi="宋体" w:eastAsia="Arial" w:cs="宋体"/>
          <w:sz w:val="24"/>
          <w:szCs w:val="20"/>
          <w:lang w:val="zh-CN"/>
        </w:rPr>
        <w:t xml:space="preserve">】中约定。</w:t>
      </w:r>
      <w:r/>
    </w:p>
    <w:p>
      <w:pPr>
        <w:ind w:firstLine="480"/>
        <w:spacing w:line="52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13. 履约保证金</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13.1 乙方应当以支票、汇票、本票或者金融机构、担保机构出具的保函等非现金形式提交。</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13.2 如果乙方出现【</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13.3 甲方在项目通过验收后按照【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】规定的时间内将履约保证金退还乙方；逾期退还的，乙方可要求甲方支付违约金，违约金按照【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】规定支付。</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14. 售后服务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14.1 除项目不涉及或采购活动中明确约定无须承担外，乙方还应提供下列服务：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（1）货物的现场移动、安装、调试、启动监督及技术支持；</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（2）提供货物组装和维修所需的专用工具和辅助材料；</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】约定的期限内对所有的货物实施运行监督、维修，但前提条件是该服务并不能免除乙方在质量保证期内所承担的义务；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（4）在制造商所在地或指定现场就货物的安装、启动、运营、维护、废弃处置等对甲方操作人员进行培训；</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（5）依照法律、行政法规的规定或者按照【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】约定，货物在有效使用年限届满后应予回收的，乙方负有自行或者委托第三人对货物予以回收的义务；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】规定由乙方提供的其他服务。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14.2 乙方提供的售后服务的费用已包含在合同价款中，甲方不再另行支付。</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 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15.1质量瑕疵的违约责任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乙方提供的产品不符合合同约定的质量标准或存在产品质量缺陷，甲方有权要求乙方根据【</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】要求及时修理、重作、更换，并承担由此给甲方造成的损失。</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15.2 迟延交货的违约责任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15.3 迟延支付的违约责任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甲方存在迟延支付乙方合同款项的，应当承担【</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】规定的逾期付款利息。</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15.4其他违约责任根据项目实际需要按【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16.合同变更、中止与终止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16.1合同的变更</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16.2合同的中止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（1）合同履行过程中因供应商就采购文件、采购过程或结果提起投诉的，甲方认为有必要的，可以中止合同的履行。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（4）甲方不得以行政区划调整、政府换届、机构或者职能调整以及相关责任人更替为由中止合同。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16.3合同的终止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（1）合同因有效期限届满而终止；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（2）乙方未按合同约定履行，构成根本性违约的，甲方有权终止合同，并追究乙方的违约责任。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16.4 涉及国家利益、社会公共利益的情形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17. 合同分包</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17.1 乙方不得将合同转包给其他供应商。涉及合同分包的，乙方应根据采购文件和投标（响应）文件规定进行合同分包。</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18. 不可抗力</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18.1 不可抗力是指合同双方不能预见、不能避免且不能克服的客观情况。</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18.2 任何一方对由于不可抗力造成的部分或全部不能履行合同不承担违约责任。但迟延履行后发生不可抗力的，不能免除责任。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19. 解决争议的方法</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19.3 如甲乙双方有争议的事项不影响合同其他部分的履行，在争议解决期间，合同其他部分应当继续履行。</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20. 政府采购政策</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20.1 本合同应当按照规定执行政府采购政策。</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21. 法律适用</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21.1 本合同的订立、生效、解释、履行及与本合同有关的争议解决，均适用法律、行政法规。</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21.2 本合同条款与法律、行政法规的强制性规定不一致的，双方当事人应按照法律、行政法规的强制性规定修改本合同的相关条款。</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22. 通知</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22.1 本合同任何一方向对方发出的通知、信件、数据电文等，应当发送至本合同第一部分《政府采购合同协议书》所约定的通讯地址、联系人、联系电话或电子邮箱。</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22.3本合同一方给另一方的通知均应采用书面形式，传真或快递送到本合同中规定的对方的地址和办理签收手续。</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22.4通知以送达之日或通知书中规定的生效之日起生效，两者中以较迟之日为准。</w:t>
      </w:r>
      <w:r/>
    </w:p>
    <w:p>
      <w:pPr>
        <w:numPr>
          <w:ilvl w:val="0"/>
          <w:numId w:val="4"/>
        </w:num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合同未尽事项</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23.1合同未尽事项见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23.2 合同附件与合同正文具有同等的法律效力。</w:t>
      </w:r>
      <w:r/>
    </w:p>
    <w:p>
      <w:pPr>
        <w:jc w:val="center"/>
        <w:keepLines/>
        <w:keepNext/>
        <w:spacing w:line="360" w:lineRule="auto"/>
        <w:rPr>
          <w:rFonts w:ascii="宋体" w:hAnsi="宋体" w:cs="宋体"/>
          <w:b/>
          <w:bCs/>
          <w:sz w:val="28"/>
          <w:szCs w:val="28"/>
        </w:rPr>
        <w:outlineLvl w:val="1"/>
      </w:pPr>
      <w:r>
        <w:rPr>
          <w:rFonts w:hint="eastAsia" w:ascii="黑体" w:hAnsi="华文中宋" w:eastAsia="黑体"/>
          <w:sz w:val="24"/>
        </w:rPr>
        <w:br w:type="page" w:clear="all"/>
      </w:r>
      <w:r>
        <w:rPr>
          <w:rFonts w:hint="eastAsia" w:ascii="宋体" w:hAnsi="宋体" w:cs="宋体"/>
          <w:b/>
          <w:bCs/>
          <w:sz w:val="28"/>
          <w:szCs w:val="28"/>
        </w:rPr>
        <w:t xml:space="preserve">第三节 政府采购合同专用条款</w:t>
      </w:r>
      <w:r/>
    </w:p>
    <w:tbl>
      <w:tblPr>
        <w:tblStyle w:val="717"/>
        <w:tblW w:w="86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5"/>
        <w:gridCol w:w="1413"/>
        <w:gridCol w:w="5991"/>
      </w:tblGrid>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联合体具体要求</w:t>
            </w:r>
            <w:r/>
          </w:p>
        </w:tc>
        <w:tc>
          <w:tcPr>
            <w:tcW w:w="5991"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其他术语解释</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同合同通用条款</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履约验收中甲方提出异议或作出说明的期限</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十五个工作日内</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约定甲方承担的其他义务和责任</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同合同通用条款</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第5.4款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约定乙方承担的其他义务和责任</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同合同通用条款</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履行合同义务的顺序</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同协议书</w:t>
            </w:r>
            <w:r/>
          </w:p>
        </w:tc>
      </w:tr>
      <w:tr>
        <w:trPr>
          <w:jc w:val="center"/>
        </w:trPr>
        <w:tc>
          <w:tcPr>
            <w:tcW w:w="1245"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包装特殊要求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1.商品包装层数不得超过3 层，空隙率不大于40%；</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2.商品包装尽可能使用单一材质的包装材料，如因功能需求必需使用不同材质，不同材质间应便于分离；</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3.商品包装中铅、汞、镉、六价铬的总含量应不大于100mg/kg；</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4.商品包装印刷使用的油墨中挥发性有机化合物(VOCs)含量应不大于5%（以重量计）；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5.塑料材质商品包装上呈现的印刷颜色不得超过6色；</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6.纸质商品包装应使用75%以上的可再生纤维原料生产；</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7.木质商品包装的原料应来源于可持续性森林。</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9.每件包装箱内应附一份详细装箱单和质量合格凭证。</w:t>
            </w:r>
            <w:r/>
          </w:p>
        </w:tc>
      </w:tr>
      <w:tr>
        <w:trPr>
          <w:jc w:val="center"/>
        </w:trPr>
        <w:tc>
          <w:tcPr>
            <w:tcW w:w="1245" w:type="dxa"/>
            <w:vAlign w:val="center"/>
            <w:vMerge w:val="continue"/>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同协议书</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运输特殊要求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1.货物验收合格、交付使用并提供所需单据的日期视为交货日期。</w:t>
            </w:r>
            <w:r/>
          </w:p>
          <w:p>
            <w:pPr>
              <w:ind w:firstLine="482"/>
              <w:spacing w:line="560" w:lineRule="exact"/>
              <w:rPr>
                <w:rFonts w:ascii="宋体" w:hAnsi="宋体" w:cs="宋体"/>
                <w:sz w:val="24"/>
                <w:szCs w:val="20"/>
              </w:rPr>
            </w:pPr>
            <w:r>
              <w:rPr>
                <w:rFonts w:hint="eastAsia" w:ascii="宋体" w:hAnsi="宋体" w:cs="宋体"/>
                <w:sz w:val="24"/>
                <w:szCs w:val="20"/>
              </w:rPr>
              <w:t xml:space="preserve">2.乙方在货物发运手续办理完毕后24小时内或货到48小时前通知甲方，以准备接货。</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3.乙方装运的货物不应超过合同规定的数量或重量。乙方应对超交数量或超重而产生的一切后果负责。</w:t>
            </w:r>
            <w:r/>
          </w:p>
          <w:p>
            <w:pPr>
              <w:ind w:firstLine="482"/>
              <w:spacing w:line="560" w:lineRule="exact"/>
              <w:rPr>
                <w:rFonts w:ascii="宋体" w:hAnsi="宋体" w:cs="宋体"/>
                <w:sz w:val="24"/>
                <w:szCs w:val="20"/>
              </w:rPr>
            </w:pPr>
            <w:r>
              <w:rPr>
                <w:rFonts w:hint="eastAsia" w:ascii="宋体" w:hAnsi="宋体" w:cs="宋体"/>
                <w:sz w:val="24"/>
                <w:szCs w:val="20"/>
              </w:rPr>
              <w:t xml:space="preserve">4.货物在交付甲方前发生的风险均由乙方负责。</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保险要求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货物交货前由乙方承担保险义务</w:t>
            </w:r>
            <w:r/>
          </w:p>
        </w:tc>
      </w:tr>
      <w:tr>
        <w:trPr>
          <w:jc w:val="center"/>
          <w:trHeight w:val="1605"/>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质量保证期</w:t>
            </w:r>
            <w:r/>
          </w:p>
        </w:tc>
        <w:tc>
          <w:tcPr>
            <w:tcW w:w="5991" w:type="dxa"/>
            <w:vAlign w:val="center"/>
            <w:textDirection w:val="lrTb"/>
            <w:noWrap w:val="false"/>
          </w:tcPr>
          <w:p>
            <w:pPr>
              <w:ind w:firstLine="482"/>
              <w:jc w:val="left"/>
              <w:spacing w:before="120" w:after="120" w:line="560" w:lineRule="exact"/>
              <w:widowControl/>
              <w:rPr>
                <w:rFonts w:ascii="宋体" w:hAnsi="宋体" w:cs="宋体"/>
                <w:sz w:val="24"/>
                <w:szCs w:val="20"/>
              </w:rPr>
            </w:pPr>
            <w:r>
              <w:rPr>
                <w:rFonts w:hint="eastAsia" w:ascii="宋体" w:hAnsi="宋体" w:cs="宋体"/>
                <w:sz w:val="24"/>
                <w:szCs w:val="20"/>
              </w:rPr>
              <w:t xml:space="preserve">1.货物免费质保期</w:t>
            </w:r>
            <w:r>
              <w:rPr>
                <w:rFonts w:hint="eastAsia" w:ascii="宋体" w:hAnsi="宋体" w:cs="宋体"/>
                <w:sz w:val="24"/>
                <w:szCs w:val="20"/>
                <w:u w:val="single"/>
              </w:rPr>
              <w:t xml:space="preserve"> 3 </w:t>
            </w:r>
            <w:r>
              <w:rPr>
                <w:rFonts w:hint="eastAsia" w:ascii="宋体" w:hAnsi="宋体" w:cs="宋体"/>
                <w:sz w:val="24"/>
                <w:szCs w:val="20"/>
              </w:rPr>
              <w:t xml:space="preserve">年。（自交货验收合格之日起计），因人为因素出现的故障不在免费保修范围内。超过保修期的机器设备，终生维修，维修时只收部件成本费。</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货物质量缺陷</w:t>
            </w:r>
            <w:r/>
          </w:p>
          <w:p>
            <w:pPr>
              <w:jc w:val="center"/>
              <w:rPr>
                <w:rFonts w:ascii="宋体" w:hAnsi="宋体"/>
                <w:sz w:val="24"/>
              </w:rPr>
            </w:pPr>
            <w:r>
              <w:rPr>
                <w:rFonts w:hint="eastAsia" w:ascii="宋体" w:hAnsi="宋体"/>
                <w:sz w:val="24"/>
              </w:rPr>
              <w:t xml:space="preserve">响应时间</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如在使用过程中发生质量问题，乙方在接到甲方通知后在</w:t>
            </w:r>
            <w:r>
              <w:rPr>
                <w:rFonts w:hint="eastAsia" w:ascii="宋体" w:hAnsi="宋体" w:cs="宋体"/>
                <w:sz w:val="24"/>
                <w:szCs w:val="20"/>
                <w:u w:val="single"/>
              </w:rPr>
              <w:t xml:space="preserve">      </w:t>
            </w:r>
            <w:r>
              <w:rPr>
                <w:rFonts w:hint="eastAsia" w:ascii="宋体" w:hAnsi="宋体" w:cs="宋体"/>
                <w:sz w:val="24"/>
                <w:szCs w:val="20"/>
              </w:rPr>
              <w:t xml:space="preserve">小时内到达甲方现场。</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质量保证要求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 在质保期内，乙方应对货物出现的质量及安全问题负责处理解决并承担一切费用（因甲方不当使用的除外）。</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2.乙方应按照国家有关法律法规规章和“三包”规定以及招标文件售后服务要求及投标文件售后服务承诺提供售后服务。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3.所有货物保修服务方式均为乙方上门保修，由乙方派员到货物使用现场维修，所产生的一切费用由乙方承担。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widowControl/>
              <w:rPr>
                <w:rFonts w:ascii="宋体" w:hAnsi="宋体"/>
                <w:sz w:val="24"/>
              </w:rPr>
            </w:pPr>
            <w:r>
              <w:rPr>
                <w:rFonts w:hint="eastAsia" w:ascii="宋体" w:hAnsi="宋体"/>
                <w:sz w:val="24"/>
              </w:rPr>
              <w:t xml:space="preserve">第11.1款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其他应当保密的信息</w:t>
            </w:r>
            <w:r/>
          </w:p>
        </w:tc>
        <w:tc>
          <w:tcPr>
            <w:tcW w:w="5991"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合同价款支付时间及要求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1.合同款项的支付方式及进度安排：</w:t>
            </w:r>
            <w:r/>
          </w:p>
          <w:p>
            <w:pPr>
              <w:ind w:firstLine="482"/>
              <w:jc w:val="left"/>
              <w:spacing w:line="560" w:lineRule="exact"/>
              <w:widowControl/>
              <w:rPr>
                <w:rFonts w:ascii="宋体" w:hAnsi="宋体" w:cs="宋体"/>
                <w:sz w:val="24"/>
                <w:szCs w:val="20"/>
              </w:rPr>
            </w:pPr>
            <w:r>
              <w:rPr>
                <w:rFonts w:hint="eastAsia" w:ascii="宋体" w:hAnsi="宋体" w:cs="宋体"/>
                <w:sz w:val="24"/>
                <w:szCs w:val="20"/>
                <w:u w:val="single"/>
              </w:rPr>
              <w:t xml:space="preserve">①</w:t>
            </w:r>
            <w:r>
              <w:rPr>
                <w:rFonts w:hint="eastAsia" w:ascii="宋体" w:hAnsi="宋体"/>
                <w:bCs/>
                <w:color w:val="000000"/>
                <w:sz w:val="24"/>
                <w:szCs w:val="21"/>
                <w:u w:val="single"/>
                <w:lang w:val="zh-CN"/>
              </w:rPr>
              <w:t xml:space="preserve">自合同签订生效之日起，收到乙方发票10个工作日内，预付款支付比例：合同金额的30%。（</w:t>
            </w:r>
            <w:r>
              <w:rPr>
                <w:rFonts w:hint="eastAsia" w:ascii="宋体" w:hAnsi="宋体" w:cs="宋体"/>
                <w:color w:val="000000"/>
                <w:sz w:val="24"/>
                <w:u w:val="single"/>
              </w:rPr>
              <w:t xml:space="preserve">在签订合同时，供应商明确表示无需预付款或者主动要求降低预付款比例的，采购人可不适用前述规定</w:t>
            </w:r>
            <w:r>
              <w:rPr>
                <w:rFonts w:hint="eastAsia" w:ascii="宋体" w:hAnsi="宋体"/>
                <w:bCs/>
                <w:color w:val="000000"/>
                <w:sz w:val="24"/>
                <w:szCs w:val="21"/>
                <w:u w:val="single"/>
                <w:lang w:val="zh-CN"/>
              </w:rPr>
              <w:t xml:space="preserve">）</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u w:val="single"/>
              </w:rPr>
              <w:t xml:space="preserve">②</w:t>
            </w:r>
            <w:r>
              <w:rPr>
                <w:rFonts w:hint="eastAsia" w:ascii="宋体" w:hAnsi="宋体"/>
                <w:bCs/>
                <w:color w:val="000000"/>
                <w:sz w:val="24"/>
                <w:szCs w:val="21"/>
                <w:u w:val="single"/>
                <w:lang w:val="zh-CN"/>
              </w:rPr>
              <w:t xml:space="preserve">产品验收通过,采购人收到发票后10个工作日内，尾款支付比例：合同金额的70%</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 发票；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 制造厂家出具的质量检验证书等；</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 装箱单；</w:t>
            </w:r>
            <w:r/>
          </w:p>
          <w:p>
            <w:pPr>
              <w:ind w:firstLine="482"/>
              <w:jc w:val="left"/>
              <w:spacing w:line="560" w:lineRule="exact"/>
              <w:widowControl/>
              <w:rPr>
                <w:sz w:val="24"/>
              </w:rPr>
            </w:pPr>
            <w:r>
              <w:rPr>
                <w:rFonts w:hint="eastAsia" w:ascii="宋体" w:hAnsi="宋体" w:cs="宋体"/>
                <w:sz w:val="24"/>
                <w:szCs w:val="20"/>
              </w:rPr>
              <w:t xml:space="preserve">(4) 甲方加盖公章证明交付使用合格的验收单。</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履约保证金不予退还的情形</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除不可抗力情况外，投标人出现下列情形之一的，其履约保证金，招标人将视情节决定不予退还或部分不予退还。</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（1）中标人无正当理由拒绝签订合同的，或者在签订合同时向采购人提出附加条件或者更改合同实质性内容要求的；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（2）中标人不履行与采购人订立的合同的；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（3）中标人所供货物或服务不符合招标文件规定要求的；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（4）中标人采取欺骗、弄虚作假方式投标的或与其它投标人串通投标的；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（5）中标人将合同内容转包、违法分包的；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（6）中标人故意捏造事实或伪造证明材料，进行虚假恶意投诉或反映的。</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履约保证金退还时间及逾期退还的违约金</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1、合同履行结束后，甲方应及时退还交纳的履约保证金。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2、退还方式：无息退还至投标人缴纳履约保证金的账户。如为保函，在到期时自行失效。</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3、退还时间：验收合格且甲方收到发票后30日内。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4、退还条件：按合同要求全部履约完成并经采购人验收合格，且采购人收到中标人出具的发票。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运行监督、维修期限</w:t>
            </w:r>
            <w:r/>
          </w:p>
        </w:tc>
        <w:tc>
          <w:tcPr>
            <w:tcW w:w="5991" w:type="dxa"/>
            <w:vAlign w:val="center"/>
            <w:textDirection w:val="lrTb"/>
            <w:noWrap w:val="false"/>
          </w:tcPr>
          <w:p>
            <w:pPr>
              <w:ind w:firstLine="482"/>
              <w:jc w:val="left"/>
              <w:spacing w:line="560" w:lineRule="exact"/>
              <w:widowControl/>
              <w:rPr>
                <w:rFonts w:ascii="宋体" w:hAnsi="宋体" w:cs="宋体"/>
                <w:sz w:val="24"/>
                <w:szCs w:val="20"/>
                <w:highlight w:val="white"/>
              </w:rPr>
            </w:pPr>
            <w:r>
              <w:rPr>
                <w:rFonts w:hint="eastAsia" w:ascii="宋体" w:hAnsi="宋体" w:cs="宋体"/>
                <w:sz w:val="24"/>
                <w:szCs w:val="20"/>
                <w:highlight w:val="white"/>
              </w:rPr>
              <w:t xml:space="preserve">上述的货物免费保修期为三年，在质保期内，乙方应对货物出现的质量及安全问题负责处理解决并承担一切费用。</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货物回收的约定</w:t>
            </w:r>
            <w:r/>
          </w:p>
        </w:tc>
        <w:tc>
          <w:tcPr>
            <w:tcW w:w="5991"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乙方提供的其他服务</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超过保修期的货物，终生维修，维修时只收部件成本费。</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修理、重作、更换相关具体规定</w:t>
            </w:r>
            <w:r/>
          </w:p>
        </w:tc>
        <w:tc>
          <w:tcPr>
            <w:tcW w:w="5991" w:type="dxa"/>
            <w:vAlign w:val="center"/>
            <w:textDirection w:val="lrTb"/>
            <w:noWrap w:val="false"/>
          </w:tcPr>
          <w:p>
            <w:pPr>
              <w:numPr>
                <w:ilvl w:val="255"/>
                <w:numId w:val="0"/>
              </w:num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详见合同通用条款8.2条款、合同专用条款第二节第8款补充条款及合同专用条款中索赔条款。</w:t>
            </w:r>
            <w:r/>
          </w:p>
          <w:p>
            <w:pPr>
              <w:numPr>
                <w:ilvl w:val="255"/>
                <w:numId w:val="0"/>
              </w:num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迟延交货赔偿费</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1.乙方应按照“开标（报价）一览表”中规定的交货期或承诺交货和提供服务，并交付甲方验收使用。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2.如果乙方无正当理由拖延交货，将受到以下制裁：加收误期赔偿或终止合同。</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 乙方逾期交付货物的，乙方应按逾期交货总额每日</w:t>
            </w:r>
            <w:r>
              <w:rPr>
                <w:rFonts w:hint="eastAsia" w:ascii="宋体" w:hAnsi="宋体" w:cs="宋体"/>
                <w:sz w:val="24"/>
                <w:szCs w:val="20"/>
                <w:u w:val="single"/>
              </w:rPr>
              <w:t xml:space="preserve">6‰ </w:t>
            </w:r>
            <w:r>
              <w:rPr>
                <w:rFonts w:hint="eastAsia" w:ascii="宋体" w:hAnsi="宋体" w:cs="宋体"/>
                <w:sz w:val="24"/>
                <w:szCs w:val="20"/>
              </w:rPr>
              <w:t xml:space="preserve">向甲方支付违约金，由甲方从待付货款中扣除。逾期超过约定日期</w:t>
            </w:r>
            <w:r>
              <w:rPr>
                <w:rFonts w:hint="eastAsia" w:ascii="宋体" w:hAnsi="宋体" w:cs="宋体"/>
                <w:sz w:val="24"/>
                <w:szCs w:val="20"/>
                <w:u w:val="single"/>
              </w:rPr>
              <w:t xml:space="preserve"> 10 </w:t>
            </w:r>
            <w:r>
              <w:rPr>
                <w:rFonts w:hint="eastAsia" w:ascii="宋体" w:hAnsi="宋体" w:cs="宋体"/>
                <w:sz w:val="24"/>
                <w:szCs w:val="20"/>
              </w:rPr>
              <w:t xml:space="preserve">个工作日不能交货的，甲方可解除本合同。乙方因逾期交货或因其他违约行为导致甲方解除合同的，乙方应向甲方支付合同总值</w:t>
            </w:r>
            <w:r>
              <w:rPr>
                <w:rFonts w:hint="eastAsia" w:ascii="宋体" w:hAnsi="宋体" w:cs="宋体"/>
                <w:sz w:val="24"/>
                <w:szCs w:val="20"/>
                <w:u w:val="single"/>
              </w:rPr>
              <w:t xml:space="preserve">5% </w:t>
            </w:r>
            <w:r>
              <w:rPr>
                <w:rFonts w:hint="eastAsia" w:ascii="宋体" w:hAnsi="宋体" w:cs="宋体"/>
                <w:sz w:val="24"/>
                <w:szCs w:val="20"/>
              </w:rPr>
              <w:t xml:space="preserve">的违约金，如造成甲方损失超过违约金的，超出部分由乙方继续承担赔偿责任。 </w:t>
            </w:r>
            <w:r/>
          </w:p>
          <w:p>
            <w:pPr>
              <w:ind w:firstLine="482"/>
              <w:jc w:val="left"/>
              <w:spacing w:line="560" w:lineRule="exact"/>
              <w:widowControl/>
              <w:rPr>
                <w:rFonts w:ascii="宋体" w:hAnsi="宋体"/>
                <w:sz w:val="24"/>
                <w:u w:val="single"/>
              </w:rPr>
            </w:pPr>
            <w:r>
              <w:rPr>
                <w:rFonts w:hint="eastAsia" w:ascii="宋体" w:hAnsi="宋体" w:cs="宋体"/>
                <w:sz w:val="24"/>
                <w:szCs w:val="20"/>
              </w:rPr>
              <w:t xml:space="preserve">4.如乙方不能交付货物，或者有违法转包他人情形，乙方应向甲方支付合同总价</w:t>
            </w:r>
            <w:r>
              <w:rPr>
                <w:rFonts w:hint="eastAsia" w:ascii="宋体" w:hAnsi="宋体" w:cs="宋体"/>
                <w:sz w:val="24"/>
                <w:szCs w:val="20"/>
                <w:u w:val="single"/>
              </w:rPr>
              <w:t xml:space="preserve"> 5% </w:t>
            </w:r>
            <w:r>
              <w:rPr>
                <w:rFonts w:hint="eastAsia" w:ascii="宋体" w:hAnsi="宋体" w:cs="宋体"/>
                <w:sz w:val="24"/>
                <w:szCs w:val="20"/>
              </w:rPr>
              <w:t xml:space="preserve">的滞纳金。</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逾期付款利息</w:t>
            </w:r>
            <w:r/>
          </w:p>
        </w:tc>
        <w:tc>
          <w:tcPr>
            <w:tcW w:w="5991" w:type="dxa"/>
            <w:vAlign w:val="center"/>
            <w:textDirection w:val="lrTb"/>
            <w:noWrap w:val="false"/>
          </w:tcPr>
          <w:p>
            <w:pPr>
              <w:ind w:firstLine="482"/>
              <w:jc w:val="left"/>
              <w:spacing w:before="120" w:after="120" w:line="560" w:lineRule="exact"/>
              <w:widowControl/>
              <w:rPr>
                <w:rFonts w:ascii="宋体" w:hAnsi="宋体" w:cs="宋体"/>
                <w:sz w:val="24"/>
                <w:szCs w:val="20"/>
              </w:rPr>
            </w:pPr>
            <w:r>
              <w:rPr>
                <w:rFonts w:hint="eastAsia" w:ascii="宋体" w:hAnsi="宋体" w:cs="宋体"/>
                <w:sz w:val="24"/>
                <w:szCs w:val="20"/>
              </w:rPr>
              <w:t xml:space="preserve">1.甲方无正当理由拒收货物的，甲方向乙方偿付拒收货款总值</w:t>
            </w:r>
            <w:r>
              <w:rPr>
                <w:rFonts w:hint="eastAsia" w:ascii="宋体" w:hAnsi="宋体" w:cs="宋体"/>
                <w:sz w:val="24"/>
                <w:szCs w:val="20"/>
                <w:u w:val="single"/>
              </w:rPr>
              <w:t xml:space="preserve">5%</w:t>
            </w:r>
            <w:r>
              <w:rPr>
                <w:rFonts w:hint="eastAsia" w:ascii="宋体" w:hAnsi="宋体" w:cs="宋体"/>
                <w:sz w:val="24"/>
                <w:szCs w:val="20"/>
              </w:rPr>
              <w:t xml:space="preserve">的违约金。</w:t>
            </w:r>
            <w:r/>
          </w:p>
          <w:p>
            <w:pPr>
              <w:ind w:firstLine="482"/>
              <w:jc w:val="left"/>
              <w:spacing w:before="120" w:after="120" w:line="560" w:lineRule="exact"/>
              <w:widowControl/>
              <w:rPr>
                <w:rFonts w:ascii="宋体" w:hAnsi="宋体" w:cs="宋体"/>
                <w:sz w:val="24"/>
                <w:szCs w:val="20"/>
              </w:rPr>
            </w:pPr>
            <w:r>
              <w:rPr>
                <w:rFonts w:hint="eastAsia" w:ascii="宋体" w:hAnsi="宋体" w:cs="宋体"/>
                <w:sz w:val="24"/>
                <w:szCs w:val="20"/>
              </w:rPr>
              <w:t xml:space="preserve">2.甲方无故逾期验收和办理货款支付手续的,甲方应按逾期付款总额每日</w:t>
            </w:r>
            <w:r>
              <w:rPr>
                <w:rFonts w:hint="eastAsia" w:ascii="宋体" w:hAnsi="宋体" w:cs="宋体"/>
                <w:sz w:val="24"/>
                <w:szCs w:val="20"/>
                <w:u w:val="single"/>
              </w:rPr>
              <w:t xml:space="preserve">5‰</w:t>
            </w:r>
            <w:r>
              <w:rPr>
                <w:rFonts w:hint="eastAsia" w:ascii="宋体" w:hAnsi="宋体" w:cs="宋体"/>
                <w:sz w:val="24"/>
                <w:szCs w:val="20"/>
              </w:rPr>
              <w:t xml:space="preserve">向乙方支付违约金。</w:t>
            </w:r>
            <w:r/>
          </w:p>
        </w:tc>
      </w:tr>
      <w:tr>
        <w:trPr>
          <w:jc w:val="center"/>
        </w:trPr>
        <w:tc>
          <w:tcPr>
            <w:tcBorders>
              <w:bottom w:val="single" w:color="000000" w:sz="2" w:space="0"/>
              <w:right w:val="single" w:color="000000" w:sz="2" w:space="0"/>
            </w:tcBorders>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413" w:type="dxa"/>
            <w:vAlign w:val="center"/>
            <w:textDirection w:val="lrTb"/>
            <w:noWrap w:val="false"/>
          </w:tcPr>
          <w:p>
            <w:pPr>
              <w:jc w:val="center"/>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乙方交付合同标的的标准不符合合同规定及招标文件规定标准的，甲方有权拒绝接受合同标的，并可单方面解除合同。</w:t>
            </w:r>
            <w:r/>
          </w:p>
        </w:tc>
      </w:tr>
      <w:tr>
        <w:trPr>
          <w:jc w:val="center"/>
        </w:trPr>
        <w:tc>
          <w:tcPr>
            <w:tcBorders>
              <w:top w:val="single" w:color="000000" w:sz="2" w:space="0"/>
              <w:right w:val="single" w:color="000000" w:sz="2" w:space="0"/>
            </w:tcBorders>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413" w:type="dxa"/>
            <w:vAlign w:val="center"/>
            <w:textDirection w:val="lrTb"/>
            <w:noWrap w:val="false"/>
          </w:tcPr>
          <w:p>
            <w:pPr>
              <w:jc w:val="center"/>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1.因本合同及合同有关事项发生的争议，由双方协商解决，协商不成时，按下列第</w:t>
            </w:r>
            <w:r>
              <w:rPr>
                <w:rFonts w:hint="eastAsia" w:ascii="宋体" w:hAnsi="宋体" w:cs="宋体"/>
                <w:sz w:val="24"/>
                <w:szCs w:val="20"/>
                <w:u w:val="single"/>
              </w:rPr>
              <w:t xml:space="preserve"> 2 </w:t>
            </w:r>
            <w:r>
              <w:rPr>
                <w:rFonts w:hint="eastAsia" w:ascii="宋体" w:hAnsi="宋体" w:cs="宋体"/>
                <w:sz w:val="24"/>
                <w:szCs w:val="20"/>
              </w:rPr>
              <w:t xml:space="preserve">种方式解决：</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（1）向仲裁委员会申请仲裁，仲裁地点为</w:t>
            </w:r>
            <w:r>
              <w:rPr>
                <w:rFonts w:hint="eastAsia" w:ascii="宋体" w:hAnsi="宋体" w:cs="宋体"/>
                <w:sz w:val="24"/>
                <w:szCs w:val="20"/>
                <w:u w:val="single"/>
              </w:rPr>
              <w:t xml:space="preserve">盐城市</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（2）向甲方所在地人民法院起诉。</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 纠纷解决办法</w:t>
            </w:r>
            <w:r/>
          </w:p>
          <w:p>
            <w:pPr>
              <w:ind w:firstLine="482"/>
              <w:jc w:val="left"/>
              <w:spacing w:line="560" w:lineRule="exact"/>
              <w:widowControl/>
              <w:rPr>
                <w:rFonts w:ascii="宋体" w:hAnsi="宋体"/>
                <w:sz w:val="24"/>
              </w:rPr>
            </w:pPr>
            <w:r>
              <w:rPr>
                <w:rFonts w:hint="eastAsia" w:ascii="宋体" w:hAnsi="宋体" w:cs="宋体"/>
                <w:sz w:val="24"/>
                <w:szCs w:val="20"/>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其他专用条款</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sz w:val="24"/>
              </w:rPr>
              <w:t xml:space="preserve">1</w:t>
            </w:r>
            <w:r>
              <w:rPr>
                <w:rFonts w:hint="eastAsia" w:ascii="宋体" w:hAnsi="宋体" w:cs="宋体"/>
                <w:sz w:val="24"/>
                <w:szCs w:val="20"/>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3.验收不合格的货物，乙方应在</w:t>
            </w:r>
            <w:r>
              <w:rPr>
                <w:rFonts w:hint="eastAsia" w:ascii="宋体" w:hAnsi="宋体" w:cs="宋体"/>
                <w:sz w:val="24"/>
                <w:szCs w:val="20"/>
                <w:u w:val="single"/>
              </w:rPr>
              <w:t xml:space="preserve">三个工作日</w:t>
            </w:r>
            <w:r>
              <w:rPr>
                <w:rFonts w:hint="eastAsia" w:ascii="宋体" w:hAnsi="宋体" w:cs="宋体"/>
                <w:sz w:val="24"/>
                <w:szCs w:val="20"/>
              </w:rPr>
              <w:t xml:space="preserve">内予以更换，逾期按交货延误予以处罚。乙方所交付的货物品种、型号、规格不符合合同规定的，甲方有权拒收。甲方拒收的，乙方向甲方支付货款总额</w:t>
            </w:r>
            <w:r>
              <w:rPr>
                <w:rFonts w:hint="eastAsia" w:ascii="宋体" w:hAnsi="宋体" w:cs="宋体"/>
                <w:sz w:val="24"/>
                <w:szCs w:val="20"/>
                <w:u w:val="single"/>
              </w:rPr>
              <w:t xml:space="preserve"> 5 %</w:t>
            </w:r>
            <w:r>
              <w:rPr>
                <w:rFonts w:hint="eastAsia" w:ascii="宋体" w:hAnsi="宋体" w:cs="宋体"/>
                <w:sz w:val="24"/>
                <w:szCs w:val="20"/>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4.货物验收要求</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（1）依照招标文件要求对全部货物、型号、规格、数量、外型、外观、包装及资料、文件（如装箱单、保修单、随箱介质等）进行验收。</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（2）甲方与乙方对货物到货后共同进行开箱检查，出现损坏、数量不全或产品不对等问题时，由乙方负责解决。</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（3）甲方有权从乙方所送货物中任意抽出不同型号的产品送采购人所在地的质检部门检验，如果检验合格，检验费由甲方负担；如果检验不合格，则检验费由乙方负担。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（4）乙方应按照本合同规定的时间、地点和方式向乙方交付货物。</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交货时间：</w:t>
            </w:r>
            <w:r>
              <w:rPr>
                <w:rFonts w:hint="eastAsia" w:ascii="宋体" w:hAnsi="宋体" w:cs="宋体"/>
                <w:color w:val="000000"/>
                <w:sz w:val="24"/>
                <w:u w:val="single"/>
                <w:lang w:bidi="ar"/>
              </w:rPr>
              <w:t xml:space="preserve">合同签订后60个日历天内完成到货、安装、调试工作并交付使用</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交货地点：</w:t>
            </w:r>
            <w:r>
              <w:rPr>
                <w:rFonts w:hint="eastAsia" w:ascii="宋体" w:hAnsi="宋体" w:cs="宋体"/>
                <w:sz w:val="24"/>
                <w:szCs w:val="20"/>
                <w:u w:val="single"/>
              </w:rPr>
              <w:t xml:space="preserve">甲方</w:t>
            </w:r>
            <w:r>
              <w:rPr>
                <w:rFonts w:hint="eastAsia"/>
                <w:sz w:val="24"/>
                <w:u w:val="single"/>
              </w:rPr>
              <w:t xml:space="preserve">指定地点</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sz w:val="24"/>
              </w:rPr>
              <w:t xml:space="preserve">（</w:t>
            </w:r>
            <w:r>
              <w:rPr>
                <w:rFonts w:hint="eastAsia" w:ascii="宋体" w:hAnsi="宋体" w:cs="宋体"/>
                <w:sz w:val="24"/>
                <w:szCs w:val="20"/>
              </w:rPr>
              <w:t xml:space="preserve">5）甲方应在全部货物到货安装完毕后的</w:t>
            </w:r>
            <w:r>
              <w:rPr>
                <w:rFonts w:hint="eastAsia" w:ascii="宋体" w:hAnsi="宋体" w:cs="宋体"/>
                <w:sz w:val="24"/>
                <w:szCs w:val="20"/>
                <w:u w:val="single"/>
              </w:rPr>
              <w:t xml:space="preserve">五个工作日</w:t>
            </w:r>
            <w:r>
              <w:rPr>
                <w:rFonts w:hint="eastAsia" w:ascii="宋体" w:hAnsi="宋体" w:cs="宋体"/>
                <w:sz w:val="24"/>
                <w:szCs w:val="20"/>
              </w:rPr>
              <w:t xml:space="preserve">内进行验收，验收包括：型号、规格、数量、外观是否完好，安装调试是否合格等。验收合格后甲方应在验收报告上签字盖章，初步验收合格且项目运行满一 个月后，甲方组织对货物的质量及使用状况等进行最终验收。</w:t>
            </w:r>
            <w:r/>
          </w:p>
          <w:p>
            <w:pPr>
              <w:ind w:firstLine="482"/>
              <w:jc w:val="left"/>
              <w:spacing w:line="560" w:lineRule="exact"/>
              <w:widowControl/>
              <w:rPr>
                <w:rFonts w:ascii="宋体" w:hAnsi="宋体"/>
                <w:sz w:val="24"/>
              </w:rPr>
            </w:pPr>
            <w:r>
              <w:rPr>
                <w:rFonts w:hint="eastAsia" w:ascii="宋体" w:hAnsi="宋体" w:cs="宋体"/>
                <w:sz w:val="24"/>
                <w:szCs w:val="20"/>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Pr>
        <w:tc>
          <w:tcPr>
            <w:tcW w:w="1245" w:type="dxa"/>
            <w:vAlign w:val="center"/>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center"/>
              <w:rPr>
                <w:rFonts w:ascii="宋体" w:hAnsi="宋体"/>
                <w:bCs/>
                <w:sz w:val="24"/>
              </w:rPr>
            </w:pPr>
            <w:r>
              <w:rPr>
                <w:rFonts w:hint="eastAsia" w:ascii="宋体" w:hAnsi="宋体"/>
                <w:bCs/>
                <w:sz w:val="24"/>
              </w:rPr>
              <w:t xml:space="preserve">税费</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1.中国政府根据现行税法规定对甲方征收的与本合同有关的一切税费均由甲方负担（免税部分除外），招标文件另有规定的除外。</w:t>
            </w:r>
            <w:r/>
          </w:p>
          <w:p>
            <w:pPr>
              <w:ind w:firstLine="482"/>
              <w:jc w:val="left"/>
              <w:spacing w:line="560" w:lineRule="exact"/>
              <w:widowControl/>
              <w:rPr>
                <w:rFonts w:ascii="宋体" w:hAnsi="宋体"/>
                <w:sz w:val="24"/>
              </w:rPr>
            </w:pPr>
            <w:r>
              <w:rPr>
                <w:rFonts w:hint="eastAsia" w:ascii="宋体" w:hAnsi="宋体" w:cs="宋体"/>
                <w:sz w:val="24"/>
                <w:szCs w:val="20"/>
              </w:rPr>
              <w:t xml:space="preserve">2.中国政府根据现行税法规定对乙方征收的与本合同有关的一切税费均由乙方负担（免税部分除外）。</w:t>
            </w:r>
            <w:r/>
          </w:p>
        </w:tc>
      </w:tr>
      <w:tr>
        <w:trPr>
          <w:jc w:val="center"/>
        </w:trPr>
        <w:tc>
          <w:tcPr>
            <w:tcW w:w="1245" w:type="dxa"/>
            <w:vAlign w:val="center"/>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center"/>
              <w:rPr>
                <w:rFonts w:ascii="宋体" w:hAnsi="宋体"/>
                <w:bCs/>
                <w:sz w:val="24"/>
              </w:rPr>
            </w:pPr>
            <w:r>
              <w:rPr>
                <w:rFonts w:hint="eastAsia" w:ascii="宋体" w:hAnsi="宋体"/>
                <w:bCs/>
                <w:sz w:val="24"/>
              </w:rPr>
              <w:t xml:space="preserve">伴随服务</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1.乙方应按照国家“</w:t>
            </w:r>
            <w:r>
              <w:rPr>
                <w:rFonts w:hint="eastAsia" w:ascii="宋体" w:hAnsi="宋体" w:cs="宋体"/>
                <w:b/>
                <w:bCs/>
                <w:sz w:val="24"/>
                <w:szCs w:val="20"/>
              </w:rPr>
              <w:t xml:space="preserve">新三包</w:t>
            </w:r>
            <w:r>
              <w:rPr>
                <w:rFonts w:hint="eastAsia" w:ascii="宋体" w:hAnsi="宋体" w:cs="宋体"/>
                <w:sz w:val="24"/>
                <w:szCs w:val="20"/>
              </w:rPr>
              <w:t xml:space="preserve">”规定和合同中所附的服务承诺提供服务。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2.除第1条规定外，乙方还应提供下列服务：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w:t>
            </w:r>
            <w:r>
              <w:rPr>
                <w:rFonts w:hint="eastAsia" w:ascii="宋体" w:hAnsi="宋体" w:cs="宋体"/>
                <w:b/>
                <w:bCs/>
                <w:sz w:val="24"/>
                <w:szCs w:val="20"/>
              </w:rPr>
              <w:t xml:space="preserve">(1) 招标文件中的“服务要求”所规定的服务内容以及投标文件承诺提供的其他服务内容；</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(2) 负责货物的开孔，货物的现场安装；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(3) 提供货物组装和维修所需的工具；</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(4) 在合同中乙方承诺的质保期限内对所提供货物正常使用实施监督、维修，但前提条件是该服务并不能免除乙方在质量保证期内应承担的义务；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(5) 在货物交货现场就货物的安装、启用、维护等对甲方人员进行培训。</w:t>
            </w:r>
            <w:r/>
          </w:p>
          <w:p>
            <w:pPr>
              <w:ind w:firstLine="482"/>
              <w:jc w:val="left"/>
              <w:spacing w:line="560" w:lineRule="exact"/>
              <w:widowControl/>
              <w:rPr>
                <w:rFonts w:ascii="宋体" w:hAnsi="宋体" w:cs="宋体"/>
                <w:sz w:val="24"/>
              </w:rPr>
            </w:pPr>
            <w:r>
              <w:rPr>
                <w:rFonts w:hint="eastAsia" w:ascii="宋体" w:hAnsi="宋体" w:cs="宋体"/>
                <w:sz w:val="24"/>
                <w:szCs w:val="20"/>
              </w:rPr>
              <w:t xml:space="preserve">3.伴随服务的费用应含在合同价中，不单独进行支付。</w:t>
            </w:r>
            <w:r/>
          </w:p>
        </w:tc>
      </w:tr>
      <w:tr>
        <w:trPr>
          <w:jc w:val="center"/>
        </w:trPr>
        <w:tc>
          <w:tcPr>
            <w:tcW w:w="1245" w:type="dxa"/>
            <w:vAlign w:val="center"/>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索赔</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1.甲方有权根据当地质检部门出具的检验报告，向乙方提出索赔。</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2.根据合同规定的检验期和质量保证期内，如果乙方对甲方提出的索赔和差异负有责任，乙方应按照甲方同意的下列一种或多种方式解决索赔事宜：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 根据货物的低劣程度、损坏程度以及甲方所遭受损失的数额，乙方必须降低货物的价格。</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2"/>
              <w:jc w:val="left"/>
              <w:spacing w:line="560" w:lineRule="exact"/>
              <w:widowControl/>
              <w:rPr>
                <w:rFonts w:ascii="宋体" w:hAnsi="宋体" w:cs="宋体"/>
                <w:sz w:val="24"/>
              </w:rPr>
            </w:pPr>
            <w:r>
              <w:rPr>
                <w:rFonts w:hint="eastAsia" w:ascii="宋体" w:hAnsi="宋体" w:cs="宋体"/>
                <w:sz w:val="24"/>
                <w:szCs w:val="20"/>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Pr>
        <w:tc>
          <w:tcPr>
            <w:tcW w:w="1245" w:type="dxa"/>
            <w:vAlign w:val="center"/>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center"/>
              <w:rPr>
                <w:rFonts w:ascii="宋体" w:hAnsi="宋体"/>
                <w:bCs/>
                <w:sz w:val="24"/>
              </w:rPr>
            </w:pPr>
            <w:r>
              <w:rPr>
                <w:rFonts w:hint="eastAsia" w:ascii="宋体" w:hAnsi="宋体" w:eastAsia="Arial" w:cs="宋体"/>
                <w:sz w:val="24"/>
                <w:szCs w:val="20"/>
              </w:rPr>
              <w:t xml:space="preserve">合同生效及其它</w:t>
            </w:r>
            <w:r/>
          </w:p>
        </w:tc>
        <w:tc>
          <w:tcPr>
            <w:tcW w:w="5991" w:type="dxa"/>
            <w:vAlign w:val="center"/>
            <w:textDirection w:val="lrTb"/>
            <w:noWrap w:val="false"/>
          </w:tcPr>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1.合同经甲方、乙方盖章后生效。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2.货物交付使用后所发生的合同纠纷，由甲方与乙方协商处理。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2"/>
              <w:jc w:val="left"/>
              <w:spacing w:line="560" w:lineRule="exact"/>
              <w:widowControl/>
              <w:rPr>
                <w:rFonts w:ascii="宋体" w:hAnsi="宋体"/>
                <w:sz w:val="24"/>
              </w:rPr>
            </w:pPr>
            <w:r>
              <w:rPr>
                <w:rFonts w:hint="eastAsia" w:ascii="宋体" w:hAnsi="宋体" w:eastAsia="Arial" w:cs="宋体"/>
                <w:sz w:val="24"/>
                <w:szCs w:val="20"/>
              </w:rPr>
              <w:t xml:space="preserve">4.本合同应按照中华人民共和国的现行法律进行解释。本合同未尽事宜，遵照《中华人民共和国民法典》、《中华人民共和国政府采购法》等有关条文执行。</w:t>
            </w:r>
            <w:r/>
          </w:p>
        </w:tc>
      </w:tr>
    </w:tbl>
    <w:p>
      <w:pPr>
        <w:pStyle w:val="743"/>
        <w:ind w:firstLine="220"/>
        <w:jc w:val="center"/>
        <w:spacing w:before="120" w:beforeAutospacing="0" w:after="120" w:afterAutospacing="0" w:line="0" w:lineRule="atLeast"/>
        <w:widowControl/>
        <w:rPr>
          <w:rFonts w:ascii="黑体" w:hAnsi="宋体" w:eastAsia="黑体" w:cs="黑体"/>
          <w:sz w:val="44"/>
          <w:szCs w:val="44"/>
        </w:rPr>
        <w:outlineLvl w:val="0"/>
      </w:pPr>
      <w:r>
        <w:rPr>
          <w:rFonts w:hint="eastAsia" w:ascii="黑体" w:hAnsi="宋体" w:eastAsia="黑体" w:cs="黑体"/>
          <w:sz w:val="44"/>
          <w:szCs w:val="44"/>
        </w:rPr>
        <w:br w:type="page" w:clear="all"/>
      </w:r>
      <w:bookmarkEnd w:id="150"/>
      <w:r/>
      <w:bookmarkEnd w:id="151"/>
      <w:r/>
      <w:bookmarkEnd w:id="152"/>
      <w:r/>
      <w:bookmarkEnd w:id="153"/>
      <w:r/>
      <w:bookmarkEnd w:id="154"/>
      <w:r/>
      <w:bookmarkEnd w:id="155"/>
      <w:r/>
      <w:bookmarkStart w:id="159" w:name="_Toc10439"/>
      <w:r/>
      <w:bookmarkStart w:id="160" w:name="_Toc120614281"/>
      <w:r>
        <w:rPr>
          <w:rFonts w:hint="eastAsia" w:ascii="黑体" w:hAnsi="宋体" w:eastAsia="黑体" w:cs="黑体"/>
          <w:sz w:val="44"/>
          <w:szCs w:val="44"/>
        </w:rPr>
        <w:t xml:space="preserve">第四章 采购需求</w:t>
      </w:r>
      <w:bookmarkEnd w:id="159"/>
      <w:r/>
      <w:r/>
    </w:p>
    <w:p>
      <w:pPr>
        <w:ind w:firstLine="482"/>
        <w:jc w:val="left"/>
        <w:spacing w:line="560" w:lineRule="exact"/>
        <w:widowControl/>
        <w:rPr>
          <w:rFonts w:ascii="宋体" w:hAnsi="宋体" w:eastAsia="宋体" w:cs="宋体"/>
          <w:b/>
          <w:bCs/>
          <w:sz w:val="24"/>
          <w:szCs w:val="20"/>
          <w:lang w:val="zh-CN"/>
        </w:rPr>
      </w:pPr>
      <w:r>
        <w:rPr>
          <w:rFonts w:hint="eastAsia" w:ascii="宋体" w:hAnsi="宋体" w:eastAsia="宋体" w:cs="宋体"/>
          <w:b/>
          <w:bCs/>
          <w:sz w:val="24"/>
          <w:szCs w:val="20"/>
          <w:lang w:val="zh-CN"/>
        </w:rPr>
        <w:t xml:space="preserve">项目属性：货物类项目</w:t>
      </w:r>
      <w:r/>
    </w:p>
    <w:p>
      <w:pPr>
        <w:ind w:firstLine="482"/>
        <w:spacing w:line="500" w:lineRule="exact"/>
        <w:rPr>
          <w:rFonts w:ascii="宋体" w:hAnsi="宋体"/>
          <w:b/>
          <w:color w:val="000000"/>
          <w:sz w:val="24"/>
          <w:szCs w:val="21"/>
        </w:rPr>
      </w:pPr>
      <w:r/>
      <w:bookmarkStart w:id="161" w:name="_Toc8766"/>
      <w:r>
        <w:rPr>
          <w:rFonts w:hint="eastAsia" w:ascii="宋体" w:hAnsi="宋体"/>
          <w:b/>
          <w:color w:val="000000"/>
          <w:sz w:val="24"/>
          <w:szCs w:val="21"/>
          <w:lang w:val="zh-CN"/>
        </w:rPr>
        <w:t xml:space="preserve">一、</w:t>
      </w:r>
      <w:r>
        <w:rPr>
          <w:rFonts w:hint="eastAsia" w:ascii="宋体" w:hAnsi="宋体"/>
          <w:b/>
          <w:color w:val="000000"/>
          <w:sz w:val="24"/>
          <w:szCs w:val="21"/>
        </w:rPr>
        <w:t xml:space="preserve">项目概况</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1.项目名称：江苏省盐城技师学院海洋路校区心理健康活动中心和学生职业生涯规划中心采购项目</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2.最高限价：109.7万</w:t>
      </w:r>
      <w:r/>
    </w:p>
    <w:p>
      <w:pPr>
        <w:ind w:firstLine="480"/>
        <w:spacing w:line="500" w:lineRule="exact"/>
        <w:rPr>
          <w:rFonts w:ascii="宋体" w:hAnsi="宋体" w:cs="宋体"/>
          <w:bCs/>
          <w:color w:val="000000"/>
          <w:sz w:val="24"/>
          <w:szCs w:val="21"/>
        </w:rPr>
      </w:pPr>
      <w:r>
        <w:rPr>
          <w:rFonts w:hint="eastAsia" w:ascii="宋体" w:hAnsi="宋体"/>
          <w:bCs/>
          <w:color w:val="000000"/>
          <w:sz w:val="24"/>
          <w:szCs w:val="21"/>
        </w:rPr>
        <w:t xml:space="preserve">3.采购内容</w:t>
      </w:r>
      <w:r>
        <w:rPr>
          <w:rFonts w:hint="eastAsia" w:ascii="宋体" w:hAnsi="宋体" w:cs="宋体"/>
          <w:bCs/>
          <w:color w:val="000000"/>
          <w:sz w:val="24"/>
          <w:szCs w:val="21"/>
        </w:rPr>
        <w:t xml:space="preserve">：江苏省盐城技师学院海洋路校区心理健康活动中心和学生职业生涯规划中心采购项目</w:t>
      </w:r>
      <w:r>
        <w:rPr>
          <w:rFonts w:hint="eastAsia" w:ascii="宋体" w:hAnsi="宋体" w:cs="宋体"/>
          <w:color w:val="000000"/>
          <w:sz w:val="24"/>
        </w:rPr>
        <w:t xml:space="preserve">。</w:t>
      </w:r>
      <w:r/>
    </w:p>
    <w:p>
      <w:pPr>
        <w:ind w:firstLine="480"/>
        <w:spacing w:line="500" w:lineRule="exact"/>
        <w:rPr>
          <w:rFonts w:ascii="宋体" w:hAnsi="宋体" w:cs="宋体"/>
          <w:bCs/>
          <w:color w:val="000000"/>
          <w:sz w:val="24"/>
          <w:highlight w:val="white"/>
        </w:rPr>
      </w:pPr>
      <w:r>
        <w:rPr>
          <w:rFonts w:hint="eastAsia" w:ascii="宋体" w:hAnsi="宋体" w:cs="宋体"/>
          <w:bCs/>
          <w:color w:val="000000"/>
          <w:sz w:val="24"/>
          <w:szCs w:val="21"/>
        </w:rPr>
        <w:t xml:space="preserve">4.</w:t>
      </w:r>
      <w:r>
        <w:rPr>
          <w:rFonts w:hint="eastAsia" w:ascii="宋体" w:hAnsi="宋体" w:cs="宋体"/>
          <w:color w:val="000000"/>
          <w:sz w:val="24"/>
          <w:lang w:bidi="ar"/>
        </w:rPr>
        <w:t xml:space="preserve">必须在合同签订后60个日历天内完成到货、安装、调试工作并交付使用，中标价包</w:t>
      </w:r>
      <w:r>
        <w:rPr>
          <w:rFonts w:hint="eastAsia" w:ascii="宋体" w:hAnsi="宋体" w:cs="宋体"/>
          <w:color w:val="000000"/>
          <w:sz w:val="24"/>
          <w:highlight w:val="white"/>
          <w:lang w:bidi="ar"/>
        </w:rPr>
        <w:t xml:space="preserve">括安装调试过程中产生的一切费用</w:t>
      </w:r>
      <w:r>
        <w:rPr>
          <w:rFonts w:hint="eastAsia" w:ascii="宋体" w:hAnsi="宋体" w:cs="宋体"/>
          <w:bCs/>
          <w:color w:val="000000"/>
          <w:sz w:val="24"/>
          <w:highlight w:val="white"/>
        </w:rPr>
        <w:t xml:space="preserve">。</w:t>
      </w:r>
      <w:r/>
    </w:p>
    <w:p>
      <w:pPr>
        <w:numPr>
          <w:ilvl w:val="0"/>
          <w:numId w:val="5"/>
        </w:numPr>
        <w:spacing w:line="500" w:lineRule="exact"/>
        <w:rPr>
          <w:rFonts w:ascii="宋体" w:hAnsi="宋体"/>
          <w:b/>
          <w:color w:val="000000"/>
          <w:sz w:val="24"/>
          <w:szCs w:val="21"/>
          <w:highlight w:val="white"/>
        </w:rPr>
      </w:pPr>
      <w:r>
        <w:rPr>
          <w:rFonts w:hint="eastAsia" w:ascii="宋体" w:hAnsi="宋体"/>
          <w:b/>
          <w:color w:val="000000"/>
          <w:sz w:val="24"/>
          <w:szCs w:val="21"/>
          <w:highlight w:val="white"/>
        </w:rPr>
        <w:t xml:space="preserve">项目</w:t>
      </w:r>
      <w:r>
        <w:rPr>
          <w:rFonts w:ascii="宋体" w:hAnsi="宋体"/>
          <w:b/>
          <w:color w:val="000000"/>
          <w:sz w:val="24"/>
          <w:szCs w:val="21"/>
          <w:highlight w:val="white"/>
        </w:rPr>
        <w:t xml:space="preserve">明细表</w:t>
      </w:r>
      <w:r>
        <w:rPr>
          <w:rFonts w:hint="eastAsia" w:ascii="宋体" w:hAnsi="宋体"/>
          <w:b/>
          <w:color w:val="000000"/>
          <w:sz w:val="24"/>
          <w:szCs w:val="21"/>
          <w:highlight w:val="white"/>
        </w:rPr>
        <w:t xml:space="preserve">（核心产品：身心反馈放松训练系统</w:t>
      </w:r>
      <w:r>
        <w:rPr>
          <w:rFonts w:hint="eastAsia" w:ascii="宋体" w:hAnsi="宋体"/>
          <w:b/>
          <w:color w:val="000000"/>
          <w:sz w:val="24"/>
          <w:szCs w:val="21"/>
          <w:highlight w:val="white"/>
          <w:lang w:eastAsia="zh-CN"/>
        </w:rPr>
        <w:t xml:space="preserve">、</w:t>
      </w:r>
      <w:r>
        <w:rPr>
          <w:rFonts w:hint="eastAsia" w:ascii="宋体" w:hAnsi="宋体"/>
          <w:b/>
          <w:color w:val="000000"/>
          <w:sz w:val="24"/>
          <w:szCs w:val="21"/>
          <w:highlight w:val="white"/>
        </w:rPr>
        <w:t xml:space="preserve">数字化团体正念训练系统）</w:t>
      </w:r>
      <w:r/>
    </w:p>
    <w:tbl>
      <w:tblPr>
        <w:tblStyle w:val="717"/>
        <w:tblW w:w="8855" w:type="dxa"/>
        <w:tblInd w:w="11" w:type="dxa"/>
        <w:tblLayout w:type="fixed"/>
        <w:tblCellMar>
          <w:left w:w="108" w:type="dxa"/>
          <w:top w:w="0" w:type="dxa"/>
          <w:right w:w="108" w:type="dxa"/>
          <w:bottom w:w="0" w:type="dxa"/>
        </w:tblCellMar>
        <w:tblLook w:val="04A0" w:firstRow="1" w:lastRow="0" w:firstColumn="1" w:lastColumn="0" w:noHBand="0" w:noVBand="1"/>
      </w:tblPr>
      <w:tblGrid>
        <w:gridCol w:w="500"/>
        <w:gridCol w:w="675"/>
        <w:gridCol w:w="6780"/>
        <w:gridCol w:w="510"/>
        <w:gridCol w:w="390"/>
      </w:tblGrid>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i w:val="0"/>
                <w:iCs w:val="0"/>
                <w:color w:val="auto"/>
                <w:sz w:val="22"/>
                <w:szCs w:val="22"/>
                <w:u w:val="none"/>
              </w:rPr>
              <w:suppressLineNumbers w:val="0"/>
            </w:pPr>
            <w:r/>
            <w:bookmarkStart w:id="162" w:name="OLE_LINK7"/>
            <w:r>
              <w:rPr>
                <w:rFonts w:hint="eastAsia" w:ascii="宋体" w:hAnsi="宋体" w:eastAsia="宋体" w:cs="宋体"/>
                <w:b/>
                <w:bCs/>
                <w:i w:val="0"/>
                <w:iCs w:val="0"/>
                <w:color w:val="auto"/>
                <w:sz w:val="22"/>
                <w:szCs w:val="22"/>
                <w:u w:val="none"/>
              </w:rPr>
              <w:t xml:space="preserve">序号</w:t>
            </w:r>
            <w:bookmarkEnd w:id="162"/>
            <w:r/>
            <w:r/>
          </w:p>
        </w:tc>
        <w:tc>
          <w:tcPr>
            <w:shd w:val="clear" w:color="auto" w:fill="ffffff"/>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t xml:space="preserve">品目名称</w:t>
            </w:r>
            <w:r/>
          </w:p>
        </w:tc>
        <w:tc>
          <w:tcPr>
            <w:shd w:val="clear" w:color="auto" w:fill="ffffff"/>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t xml:space="preserve">技术参数</w:t>
            </w:r>
            <w:r/>
          </w:p>
        </w:tc>
        <w:tc>
          <w:tcPr>
            <w:shd w:val="clear" w:color="auto" w:fill="ffffff"/>
            <w:tcBorders>
              <w:top w:val="single" w:color="000000" w:sz="4" w:space="0"/>
              <w:left w:val="none" w:color="000000" w:sz="4" w:space="0"/>
              <w:bottom w:val="single" w:color="000000" w:sz="4" w:space="0"/>
              <w:right w:val="single" w:color="auto"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i w:val="0"/>
                <w:iCs w:val="0"/>
                <w:sz w:val="22"/>
                <w:szCs w:val="22"/>
                <w:u w:val="none"/>
              </w:rPr>
              <w:suppressLineNumbers w:val="0"/>
            </w:pPr>
            <w:r>
              <w:rPr>
                <w:rFonts w:hint="eastAsia" w:ascii="宋体" w:hAnsi="宋体" w:eastAsia="宋体" w:cs="宋体"/>
                <w:b/>
                <w:bCs/>
                <w:i w:val="0"/>
                <w:iCs w:val="0"/>
                <w:sz w:val="22"/>
                <w:szCs w:val="22"/>
                <w:u w:val="none"/>
              </w:rPr>
              <w:t xml:space="preserve">数量</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t xml:space="preserve">一、沙盘游戏室</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t xml:space="preserve">心理沙盘3000含沙盘管理软件</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一、功能要求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1.个体沙箱2个：规格长度72cm*宽度57cm*高度7cm（误差允许±2cm），实木，内侧蓝色。</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2.团体沙箱1个：规格长度114cm*宽度72cm*高度10cm(误差允许±2cm），实木，内侧蓝色。</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3.沙具3000件：由人物类、宗教类、死亡类、文体类、食物类、家居类、交通类、军事类、建筑类、动物类、植物类、自然物类、名胜古迹类、颜色形状类、符号及钱币类15大类组成。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4.沙具摆放架2个：高度约160cm*宽度约80cm*深度约30cm；樟子松实木，9层设计。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5.细沙60KG：天然细沙、颗粒光滑、大小均匀、手感好。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6.要求提供至少30课时的沙盘培训微课一套，课程以双人访谈QA一对一解答的方式，分主题讲解沙盘游戏咨询的理论背景、实操技术，能让初学者迅速入门。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7.心理沙盘档案管理系统1套：系统功能包含沙盘介绍、来访者信息管理、沙盘档案管理、查询、沙具意象词典、沙盘记录表等功能。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7.1沙盘介绍：通过图文的方式展现沙盘功能，帮助初学者理解沙盘游戏。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7.2来访者信息管理：添加来访者；批量导入来访者信息，修改来访者信息。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7.3沙盘档案管理：可以添加图片加评语，视频加评语，心理老师可以后期沙盘游戏分析与档案的调取。</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7.4查询：可以根据学号或者学生姓名调用档案记录。心理老师可以查询历史记录。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7.5沙盘意象词典：意象类型不少于十大类；总意象数量不少于60个，系统具备自主添加沙具意象功能，心理老师可以根据自己的经验添加对沙具投射意象的理解。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7.6沙盘记录表：系统可以自动分析并生成沙盘记录表，系统可以根据来访者操作的沙盘游戏情况，把沙具相关数据在系统配置好即可一键自动分析，并生成团体沙盘记录表或者个体沙盘记录表。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8.心理沙盘游戏视频剪辑1套 （最少含有4课时的沙盘游戏指导课程便于心理老师参考学习）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9.沙具选取框3个+沙刷3个+沙扒3个（用于沙具选取及清理)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10.情绪投射套装1套：4个为一套；代表着喜怒哀乐4种心理状态。</w:t>
            </w:r>
            <w:r/>
          </w:p>
        </w:tc>
        <w:tc>
          <w:tcPr>
            <w:shd w:val="clear" w:color="auto" w:fill="ffffff"/>
            <w:tcBorders>
              <w:top w:val="single" w:color="000000" w:sz="4" w:space="0"/>
              <w:left w:val="none" w:color="000000" w:sz="4" w:space="0"/>
              <w:bottom w:val="single" w:color="000000" w:sz="4" w:space="0"/>
              <w:right w:val="single" w:color="auto"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个</w:t>
            </w:r>
            <w:r/>
          </w:p>
        </w:tc>
        <w:tc>
          <w:tcPr>
            <w:shd w:val="clear" w:color="auto" w:fill="ffffff"/>
            <w:tcBorders>
              <w:top w:val="single" w:color="auto" w:sz="4" w:space="0"/>
              <w:left w:val="none" w:color="000000" w:sz="4" w:space="0"/>
              <w:bottom w:val="single" w:color="auto" w:sz="4" w:space="0"/>
              <w:right w:val="single" w:color="auto"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i w:val="0"/>
                <w:iCs w:val="0"/>
                <w:sz w:val="22"/>
                <w:szCs w:val="22"/>
                <w:u w:val="none"/>
              </w:rPr>
              <w:suppressLineNumbers w:val="0"/>
            </w:pPr>
            <w:r>
              <w:rPr>
                <w:rFonts w:hint="eastAsia" w:ascii="宋体" w:hAnsi="宋体" w:eastAsia="宋体" w:cs="宋体"/>
                <w:i w:val="0"/>
                <w:iCs w:val="0"/>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沙具柜</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存放沙具，1700*500*350mm，带遮尘帘，5层。</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台</w:t>
            </w:r>
            <w:r/>
          </w:p>
        </w:tc>
        <w:tc>
          <w:tcPr>
            <w:shd w:val="clear" w:color="auto" w:fill="ffffff"/>
            <w:tcBorders>
              <w:top w:val="single" w:color="auto"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AI心理沙盘解析系统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产品构成：包含心理沙盘AI动态识别分析软件、显示终端、摄像头、沙具、沙子、沙箱及放置架等。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AI心理沙盘解析系统是一款引领心理健康评估领域创新的前沿产品。该系统深度融合了人工智能与大数据分析技术，为心理咨询师、教育工作者及心理健康领域专业人士提供数据报告以及参考数据。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二、报告维度：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报告包含学生基础信息、关注提醒、测试背景、测试内容等。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2.1用户基础信息：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2.1.1用户基础信息：ID、性别、联系方式、紧急联系人等信息。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2.1.2家庭信息：直系/旁系亲属关系、医学诊断等信息、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2.1.3学业信息：入学时间、学业状态、学号等信息。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2.2关注提醒：</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2.2.1提醒描述：对心理沙盘解析结果中发现的潜在问题或值得关注的方面进行概括性说明。用于提醒用户及心理咨询师的注意，以便进一步了解并采取相应措施。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2.2.2干预建议：基于提醒描述提出的干预建议具体措施。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2.3测验背景：详细阐述学生选择进行心理沙盘测试的具体原因及其相关的个人背景信息。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2.4测验内容：记录沙盘作品的名称，并描述沙盘中的场景、布局及所蕴含的心理意义。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eastAsia="zh-CN"/>
              </w:rPr>
              <w:suppressLineNumbers w:val="0"/>
            </w:pPr>
            <w:r>
              <w:rPr>
                <w:rFonts w:hint="eastAsia" w:ascii="宋体" w:hAnsi="宋体" w:eastAsia="宋体" w:cs="宋体"/>
                <w:bCs/>
                <w:i w:val="0"/>
                <w:iCs w:val="0"/>
                <w:color w:val="auto"/>
                <w:sz w:val="22"/>
                <w:szCs w:val="22"/>
                <w:u w:val="none"/>
              </w:rPr>
              <w:t xml:space="preserve">2.5维度分析：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2.5.1情绪分析：识别并分析用户在沙盘作品中表现出的情绪状态，如快乐、悲伤、愤怒、恐惧、困扰、混乱、冲突以及不安等情绪状态，且解析用户的沙盘作品中各沙具的情感状态的详细解读。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2.5.2心理能量：通过对用户在沙盘游戏中的行为和创作进行观察，系统评估其心理活力和能量水平。分析用户在面对挑战时展现的韧性、积极性和动力，从而获取其心理能量的直观读数。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2.5.3色彩分析：色彩在沙盘疗法中有着特别的意义，系统将根据用户在沙盘中的色彩选择和组合来解析其心理状态和性格特质。色彩的使用能够揭示个体的情感倾向、性格特征以及对环境的感受和反应。</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2.5.4自我发展分析：考察用户的自我认知、自尊和自我效能的水平。系统通过分析用户在沙盘游戏中的表现来评估其自我概念的成熟度和自我价值的感知，以及他们实现目标的能力。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2.5.5心理安全感：系统评估用户在所处环境中感受到的安全和信任程度。分析用户在沙盘中创建的空间布局和场景，以探究他们的内在安全感和对周围环境的信任。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2.5.6整合性：评价用户内在思想的一致性和内心可能的冲突。通过观察用户如何整合不同的沙具和符号来创造一个连贯的沙盘世界，系统分析他们的内心整合性和可能存在的心理冲突。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2.5.7充实性：反映用户的生活满意度和幸福感。通过用户在沙盘中表现出的创造力和参与度，系统评估他们的生活充实感和整体幸福状态。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2.5.8流畅性：观察用户在沙盘游戏中的行为表现，评估其心理状态的连贯性。系统关注用户活动的顺畅程度和过程中的适应性，作为心理流畅性的一个指标。</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2.5.9动力性：测定用户的内在驱动力和积极程度。通过分析用户对沙盘活动的投入和反应，系统评估他们的动力源和积极性水平。</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ff0000"/>
                <w:sz w:val="22"/>
                <w:szCs w:val="22"/>
                <w:u w:val="none"/>
              </w:rPr>
              <w:suppressLineNumbers w:val="0"/>
            </w:pPr>
            <w:r>
              <w:rPr>
                <w:rFonts w:hint="eastAsia" w:ascii="宋体" w:hAnsi="宋体" w:eastAsia="宋体" w:cs="宋体"/>
                <w:bCs/>
                <w:i w:val="0"/>
                <w:iCs w:val="0"/>
                <w:color w:val="ff0000"/>
                <w:sz w:val="22"/>
                <w:szCs w:val="22"/>
                <w:u w:val="none"/>
                <w:lang w:val="en-US" w:eastAsia="zh-CN" w:bidi="ar"/>
              </w:rPr>
              <w:t xml:space="preserve">★2.5.10动态识别：通过数字化手段实时记录沙盘游戏过程中实物沙具的选择、摆放、时间间隔以及最终作品等信息，复现沙盘游戏的每一步骤（复盘）。（需提供视频演示此功能）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2.5.11</w:t>
            </w:r>
            <w:r>
              <w:rPr>
                <w:rFonts w:hint="eastAsia" w:ascii="宋体" w:hAnsi="宋体" w:eastAsia="宋体" w:cs="宋体"/>
                <w:bCs/>
                <w:i w:val="0"/>
                <w:iCs w:val="0"/>
                <w:color w:val="auto"/>
                <w:sz w:val="22"/>
                <w:szCs w:val="22"/>
                <w:u w:val="none"/>
              </w:rPr>
              <w:t xml:space="preserve">辅助记录：提供记录和建议功能，记录咨询师的分析评估文字，可追加记录，可在固定时间轨插入点评，辅助咨询师进行工作。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2.5.12</w:t>
            </w:r>
            <w:r>
              <w:rPr>
                <w:rFonts w:hint="eastAsia" w:ascii="宋体" w:hAnsi="宋体" w:eastAsia="宋体" w:cs="宋体"/>
                <w:bCs/>
                <w:i w:val="0"/>
                <w:iCs w:val="0"/>
                <w:color w:val="auto"/>
                <w:sz w:val="22"/>
                <w:szCs w:val="22"/>
                <w:u w:val="none"/>
              </w:rPr>
              <w:t xml:space="preserve">自动生成沙具选择、沙盘布局分析报告，帮助心理咨询师更好地解读沙盘场景，辅助分析个体的情感状态、性格特质、心理冲突等。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2.5.13</w:t>
            </w:r>
            <w:r>
              <w:rPr>
                <w:rFonts w:hint="eastAsia" w:ascii="宋体" w:hAnsi="宋体" w:eastAsia="宋体" w:cs="宋体"/>
                <w:bCs/>
                <w:i w:val="0"/>
                <w:iCs w:val="0"/>
                <w:color w:val="auto"/>
                <w:sz w:val="22"/>
                <w:szCs w:val="22"/>
                <w:u w:val="none"/>
              </w:rPr>
              <w:t xml:space="preserve">建立用户档案，整合用户相关个体沙盘与团体沙盘信息，具有快速查找、批量管理等功能；允许心理咨询师在线察看用户过往作品，以便对比历史变化。</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2.5.14</w:t>
            </w:r>
            <w:r>
              <w:rPr>
                <w:rFonts w:hint="eastAsia" w:ascii="宋体" w:hAnsi="宋体" w:eastAsia="宋体" w:cs="宋体"/>
                <w:bCs/>
                <w:i w:val="0"/>
                <w:iCs w:val="0"/>
                <w:color w:val="auto"/>
                <w:sz w:val="22"/>
                <w:szCs w:val="22"/>
                <w:u w:val="none"/>
              </w:rPr>
              <w:t xml:space="preserve">沙具管理：提供沙具分类管理功能，用户可以对沙具进行科学的分类和整理，包括但不限于沙盘的类别、颜色以及意向等相关信息，方便后续的查找和使用。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2.5.15</w:t>
            </w:r>
            <w:r>
              <w:rPr>
                <w:rFonts w:hint="eastAsia" w:ascii="宋体" w:hAnsi="宋体" w:eastAsia="宋体" w:cs="宋体"/>
                <w:bCs/>
                <w:i w:val="0"/>
                <w:iCs w:val="0"/>
                <w:color w:val="auto"/>
                <w:sz w:val="22"/>
                <w:szCs w:val="22"/>
                <w:u w:val="none"/>
              </w:rPr>
              <w:t xml:space="preserve">标准版沙具：1000件，造型接近于现实之物，包括人物、动物、植物、各种车船、飞行物、建筑物、桥、栏杆、石头等，共计12大类54小类。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2.5.16</w:t>
            </w:r>
            <w:r>
              <w:rPr>
                <w:rFonts w:hint="eastAsia" w:ascii="宋体" w:hAnsi="宋体" w:eastAsia="宋体" w:cs="宋体"/>
                <w:bCs/>
                <w:i w:val="0"/>
                <w:iCs w:val="0"/>
                <w:color w:val="auto"/>
                <w:sz w:val="22"/>
                <w:szCs w:val="22"/>
                <w:u w:val="none"/>
              </w:rPr>
              <w:t xml:space="preserve">沙子：不少于12.5公斤，白色石英砂或黄色海沙，颗粒光滑、大小均匀、高温消毒。</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2.5.17</w:t>
            </w:r>
            <w:r>
              <w:rPr>
                <w:rFonts w:hint="eastAsia" w:ascii="宋体" w:hAnsi="宋体" w:eastAsia="宋体" w:cs="宋体"/>
                <w:bCs/>
                <w:i w:val="0"/>
                <w:iCs w:val="0"/>
                <w:color w:val="auto"/>
                <w:sz w:val="22"/>
                <w:szCs w:val="22"/>
                <w:u w:val="none"/>
              </w:rPr>
              <w:t xml:space="preserve">沙箱1个，内径尺寸720mm*570mm*70mm，外侧为木本色，内侧为蓝色，具有防水设计；放置架1个。</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2.5.18</w:t>
            </w:r>
            <w:r>
              <w:rPr>
                <w:rFonts w:hint="eastAsia" w:ascii="宋体" w:hAnsi="宋体" w:eastAsia="宋体" w:cs="宋体"/>
                <w:bCs/>
                <w:i w:val="0"/>
                <w:iCs w:val="0"/>
                <w:color w:val="auto"/>
                <w:sz w:val="22"/>
                <w:szCs w:val="22"/>
                <w:u w:val="none"/>
              </w:rPr>
              <w:t xml:space="preserve">配套工具：沙刷、沙耙、沙具篮、喷水壶四件套。</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个</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二</w:t>
            </w:r>
            <w:r>
              <w:rPr>
                <w:rFonts w:hint="eastAsia" w:ascii="宋体" w:hAnsi="宋体" w:eastAsia="宋体" w:cs="宋体"/>
                <w:bCs/>
                <w:i w:val="0"/>
                <w:iCs w:val="0"/>
                <w:color w:val="auto"/>
                <w:sz w:val="22"/>
                <w:szCs w:val="22"/>
                <w:u w:val="none"/>
              </w:rPr>
              <w:t xml:space="preserve">、VR训练室</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VR虚拟现实心理舱</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利用VR技术与心理健康教育主题融合打造的一款9D带震动高仿真心理蛋椅产品。本产品的使用目的是以多种类型的VR心理资源软件（如：宣泄、解压、疏导、冥想、脱敏、应激训练、生理测评与分析等）为体验者达成实际干预、缓解疏导作用。产品以VR心理干预软件资源为主、使用功能为辅，减少使用者繁杂无用的功能操作，追求为体验者带来本质的内容干预实用性效果。并以不断提升VR干预软件类型与内容质量、高效便捷操作为产品核心进化理念。体验者佩戴VR头盔进入半封闭震动蛋舱中可身临其境起到舒缓压力、漫游放松、宣泄解压、应激训练等作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产品含120类VR软件：VR心理沉浸互动旅行、冥想漫游、心理疏导、克服恐高体验、沙尘暴、暴雨、台风、地震、Texas社交行为调查量表、阿森斯失眠量表(AIS)、工作压力自测问卷、焦虑测评量表（SAS）、精神压力自测问卷、人际关系综合诊断量表、同学关系测验问卷、显性焦虑量表（MAS）、性格倾向测试、自我压力测试量表、空袭空难爆炸逃生、排雷、拆弹、美好人生、并附带100款VR科普放松娱乐软件，包含专业的VR心理资源的基础上配备了成体系的《VR大数据可视化平台》工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3.档案建立模块：体验者可在主界面输入用户名可快速、便捷的建立个人心理档案；</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4.账号登录模块：用户可在平台中输入用户名登录个人账号（支持模糊查询、拼音查询功能）可进入个人心理训练数据分析页面。并具备多人数据对比功能；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心理训练数据分析模块：通过生物反馈仪与本系统模块得出各项数据，功能包含：用户姓名模块、日期模块、血压血氧、心率、协调度、放松度、压力指数并以条形图的形式呈现出来，同时可将每人的训练数据进行下载保存、刷新数据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6.VR生理数据监测功能：体验者可在VR主界面进行多项内容选择、档案建立、心率、血压、血氧展示等功能；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7.可兼容多轴电动缸硬件套装，俯仰多角度震动给体验者身临其境的9D体验。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8.VR心理舱硬件介绍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8.1高性能可随动虚拟现实VR1套；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8.2支持心理健康软件结合搭配使用；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8.3高仿真随动固件源：电压：AC220V、主板：B250、功率：1500W；</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8.4载人舱：符合基本人体工学座椅舱，支持体验者身临其境体验；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8.5工作站：CPU性能要求不低于四核心八线程处理器，主频≥2.4GHZ，显卡≥4GB GDDR5，隐藏式主机；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8.6虚拟现实随动硬件系统：反馈控制系统1套；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8.7中控软硬件：可建立VR软硬件相关控制体系，达成统一管理等作用；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8.8其它配套：音响1套、鼠标键盘1套、光学灯带1套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8.9外形尺寸：不小于L1000mm*W1000mm*H1800mm、占地约1平米。</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8.10同时可佩戴VR心理手表检测：心率、血压、血氧等相关数据，数据可自动备份记录用于心理研究。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9.VR心理内容：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9.1天空场景：身处天空中可撞碎云朵，每一个云朵都代表着生活中的生活压力、经济压力、情感压力、学业压力，撞碎云朵后会有文字语音的提示，从而实现解压效果；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9.2森林场景：身处森林场景中配有铁轨、小动物等模型，在不同环节中体验者可向小动物寻求帮助（小鹿、小兔子、小熊、小猫）通过小动物的帮助解决相关心理问题，达到脱敏解压的效果；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9.3海边场景：身处海边场景中，到海边捡贝壳、漂流瓶、垃圾等互动功能回答相关问题，并解决心理焦虑问题。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9.4冥想漫游：</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冥想漫游VR软件可使用户身临其境的在宇宙、星云、粒子中进行深度漫游冥想，全程带有放松音乐。冥想可以有效的提升专注力、记忆力、工作效率和创造力。冥想也可助于抵御老化带来的脑体积损失。冥想被视为一种脑体操,能够键脑、延缓其衰老。VR深度冥想漫游更是能为冥想活动提供一种高科技新放松。</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9.5心理疏导：</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疏导VR软件由正念、解压、放松、疏导、四个心理模块组成，用户可选择所需的疏导模块，沉浸式进行心理疏导解压体验，全程带有专业的心理舒缓音乐与语音疏导师。VR心理疏导内容通过沉浸式身临其境体验的高科技方式对个人的情绪、心理等问题进行疏泄和引导。VR心理健康不但可快速起到舒缓解压的作用，还为心理健康治疗体验方式提供了一项全新的趣味选择。</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9.6VR克服恐高体验：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通过VR虚拟现实技术打造VR城市高楼高空体验场景。体验者身临其境在城市高楼顶端，通过一系列高空体验动作任务，从而达到从适应高空到克服恐高的心理转变。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9.7VR心理应激训练：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通过多种VR自然灾难场景打造VR虚拟应激训练软件。体验者通过沙尘暴、暴雨、台风、地震等灾难场景的虚拟体验提升应激反应能力，场景中包含多种高仿真灾难动画提升真实感，当灾难真实来临时，可让体验者具备成熟的应对心态与正确逃生动作应对各类自然灾害与应激场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9.8心理测评量表模块：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Texas社交行为调查量表、阿森斯失眠量表(AIS)、工作压力自测问卷、焦虑测评量表（SAS）、精神压力自测问卷、人际关系综合诊断量表、同学关系测验问卷、显性焦虑量表（MAS）、性格倾向测试、自我压力测试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9.9军事应激训练：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包含三维动画空袭空难爆炸逃生场景、三维动画排雷侦察场景、三维动画拆弹防恐场景；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9.10美好人生：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体验者可亲身经历他人对美好人生的精彩瞬间、生活体验，而后领悟什么样的生活才可能叫做“美好人生”，激发体验者对于美好生活的向往。</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9.11 100款VR训练资源，投标时需提供详细清单。</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个</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三</w:t>
            </w:r>
            <w:r>
              <w:rPr>
                <w:rFonts w:hint="eastAsia" w:ascii="宋体" w:hAnsi="宋体" w:eastAsia="宋体" w:cs="宋体"/>
                <w:bCs/>
                <w:i w:val="0"/>
                <w:iCs w:val="0"/>
                <w:color w:val="auto"/>
                <w:sz w:val="22"/>
                <w:szCs w:val="22"/>
                <w:u w:val="none"/>
              </w:rPr>
              <w:t xml:space="preserve">、音乐放松室</w:t>
            </w:r>
            <w:r/>
          </w:p>
        </w:tc>
      </w:tr>
      <w:tr>
        <w:trPr>
          <w:trHeight w:val="584"/>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身心反馈放松训练系统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一、功能要求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1.要求系统须具有脑电生物反馈监测功能，由脑机额带和磁吸可拆卸的脑电监测仪组成，自带蓝牙无需蓝牙适配器。要求可</w:t>
            </w:r>
            <w:r>
              <w:rPr>
                <w:rFonts w:hint="eastAsia" w:ascii="宋体" w:hAnsi="宋体" w:eastAsia="宋体" w:cs="宋体"/>
                <w:bCs/>
                <w:i w:val="0"/>
                <w:iCs w:val="0"/>
                <w:color w:val="auto"/>
                <w:sz w:val="22"/>
                <w:szCs w:val="22"/>
                <w:u w:val="none"/>
              </w:rPr>
              <w:t xml:space="preserve">实时采集训练者的8个脑电波：delta波、theta波、low alpha波、high alpha波、low beta波、high beta波、low gamma波、high gamma波，以柱状图形式显示，5个心理指标：专注度、放松度、疲劳度、压力指数和脑龄等生物反馈参数，须提供以柱状图和折线图两种形式显示，专注度/放松度/疲劳度/压力指数0-100取值，脑龄-5~5取值，常模可分5个等级。要求监测界面中具有反馈参数的详细介绍信息，且数据实时刷新显示。监测结束后，可生成详细的监测报告，支持导出为文档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2.要求系统具有心理评估功能，提供如焦虑自评量表SAS、SCL-90，抑郁自评量表SDS等不少于10款心理测评量表，测评过程中监测训练者生物反馈指标，测评结束后出具详细的测评报告。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要求系统须具有如呼吸放松训练、肌肉放松训练、冥想放松训练等减压放松训练项目，要求提供呼吸助手，可自定义呼吸助手的呼吸时间节律。训练过程中实时监控训练者各项生理指标，训练结束后出具详细的训练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要求系统须具有系统内置放松减压、专注力冥想、情绪管理、催眠放松、自我成长等5个主题，25个真人语音引导的冥想训练内容。冥想训练中可实时监测8个脑电生理指标和5个心理指标，每秒更新2次，以柱状图和数值形式显示。训练过程中实时监控训练者各项生理指标，训练结束后出具详细的训练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系统须包含至少8个类型的放松音乐，可通过音乐播放列表自由进行音乐放松训练。要求具有音乐管理模式，可自定义添加音乐分类、音乐文件。训练过程中实时监控训练者各项生理指标，训练结束后出具详细的训练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6.系统须具有设置功能：可设置静息监测时长，可选范围00:01~59:59。</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7.要求系统具有档案分为四类，静息监测、心理评估、冥想训练和音乐训练。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静息监测报告内容包含：测试时间、测试时长、个人基本信息、脑机监测分析（8波段以直方图/饼图/折线图三种形式显示），专注度/放松度/疲劳度/压力指数/脑龄分析（平均</w:t>
            </w:r>
            <w:r>
              <w:rPr>
                <w:rFonts w:hint="eastAsia" w:ascii="宋体" w:hAnsi="宋体" w:eastAsia="宋体" w:cs="宋体"/>
                <w:bCs/>
                <w:i w:val="0"/>
                <w:iCs w:val="0"/>
                <w:color w:val="auto"/>
                <w:sz w:val="22"/>
                <w:szCs w:val="22"/>
                <w:u w:val="none"/>
              </w:rPr>
              <w:t xml:space="preserve">值/最大值/最小值/标准差/差异系数/结果分析/指导意见，以饼图和折线图两种形式展示），报告支持导出PDF文件。心理评估报告包含：测试时间、测试时长、个人基本信息、心理测评分析（总分/所属类别/分析说明/指导建议/因子得分折线图）、脑机监测分析（8波段以直方图/饼图/折线图三种形式显示），专注度/放松度/疲劳度/压力指数/脑龄分析（平均值/最大值/最小值/标准差/差异系数/结果分析/指导意见，以饼图和折线图两种形式展示），13个指标折线图的横坐标均为题目，报告支持导出PDF文件。冥想训练报告包含：训练时间、</w:t>
            </w:r>
            <w:r>
              <w:rPr>
                <w:rFonts w:hint="eastAsia" w:ascii="宋体" w:hAnsi="宋体" w:eastAsia="宋体" w:cs="宋体"/>
                <w:bCs/>
                <w:i w:val="0"/>
                <w:iCs w:val="0"/>
                <w:color w:val="auto"/>
                <w:sz w:val="22"/>
                <w:szCs w:val="22"/>
                <w:u w:val="none"/>
              </w:rPr>
              <w:t xml:space="preserve">训练时长、个人基本信息、脑机监测分析（8波段以直方图/饼图/折线图三种形式显示），专注度/放松度/疲劳度/压力指数/脑龄分析（平均值/最大值/最小值/标准差/差异系数/结果分析/指导意见，以饼图和折线图两种形式展示），报告支持导出PDF文件。音乐训练报告包含：训练时间、训练时长、个人基本信息、脑机监测分析（8波段以直方图/饼图/折线图三种形式显示），专注度/放松度/疲劳度/压力指数/脑龄分析（平均值/最大值/最小值/标准差/差异系数/结果分析/指导意见，以饼图和折线图两种形式展示），报告支持导出PDF文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8.系统须具备如大海、草原、森林、山峰、星空、雪景、沙漠等至少14个放松主题。训练过程中实时监控训练者各项生理指标，训练结束后出具详细的训练报告。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要求系统须具有心理训练报告数据管理功能，支持多用户档案管理，采用分级权限保护，具有管理员和训练者角色权限，管理员可查看所有训练者生物反馈指标、训练记录数据、训练成绩等，支持导出训练记录结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系统具有智能物联功能，当用户具备心理云平台时，可通过智能物联技术与硬件设备进行互联互通，实现云端身份验证、云端数据保存、云端数据管理等功能，平台可实时监测设备的运行状态，终端可将训练报告推送至云平台，打破平台与设备间数据孤立的状态，实现数据互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11.要求系统须具备智能椅控功能，支持智能匹配与手动匹配双模式，可自主选择坐姿、头罩状态、光疗、热敷、训练模式等，要求具备安全设置可在突发情况下紧急制动，保障用户的训练安全。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12.要求系统须具备智能匹配按摩模式，可根据不同的训练内容自动匹配最合适的按摩训练状态，包括按摩模式和强度级别，能够帮助用户更有针对性地调节身心压力，舒缓身体紧张。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13.要求系统须具备手动匹配按摩模式，可自主选择悬浮位、固定位、坐姿位3个姿态，支持智能按摩、自由按摩、气压按摩3种模式，可自由打开/关闭头罩，开启光疗、热敷功能，帮助用户缓解腰背酸疼、缓解紧张、焦虑。</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二、产品组成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1.要求包含AI智能脑机监测与训练系统1套（预置安装）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供货时须包含产品使用手册，产品合格证等产品标识作为验收标准。</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音波床设备</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bookmarkStart w:id="163" w:name="智能体感音乐催眠床"/>
            <w:r>
              <w:rPr>
                <w:rFonts w:hint="eastAsia" w:ascii="宋体" w:hAnsi="宋体" w:eastAsia="宋体" w:cs="宋体"/>
                <w:bCs/>
                <w:i w:val="0"/>
                <w:iCs w:val="0"/>
                <w:color w:val="auto"/>
                <w:sz w:val="22"/>
                <w:szCs w:val="22"/>
                <w:u w:val="none"/>
              </w:rPr>
              <w:t xml:space="preserve">采用体感音波顶级音频谐振系统，与人体的器官，组织，细胞等产生广泛的“同频谐振”，使细胞有序的振动增加活性，同时音乐低频律动会诱导大脑产生相应频率的脑波，召唤α波（疲劳和昏睡的状态下产生的波段）为主导，从而摆脱失眠并进入睡眠。</w:t>
            </w:r>
            <w:bookmarkEnd w:id="163"/>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产品组成：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1、体感音乐催眠床1台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2、不小于12.3寸平板电脑1台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3、平板支架1套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4、体感控制器1个</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5、催眠眼罩2个</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6、音乐治疗导论1本</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7、安装工具1套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硬件详情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1、产品尺寸约为：146cm*94cm*108cm（收起）±3cm；205cm*94cm*62cm（展开）±3cm；产品重量：60KG±2KG，工作电压：12V5A；</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设备材质组成：高规格加粗木方做骨架，加密弓字簧+进口牛皮筋+中软海棉+无纺布+坐架布，坐垫使用高密度海绵，靠背、扶手内胆填充3A公仔棉，晨光龙机械架，含羽绒棉填充抱枕一个，沙发表皮材质：超纤皮，颜色为：米黄，最高承重：100KG,最高承重：100K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3、电动控制系统：靠背可进行最大180度任意调节;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4、高清传输控制模式；播放控制：系统开机 ，音量、振动大小调节，上下曲切换，播放暂停，静音，振停，定时，蓝牙模式切换等；喇叭2个：规格：4欧3瓦；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集成一键电源开启，接收控制器输入信号，音频输出至喇叭，并提取音频中的15-150赫兹低频经放大输出至换能器。播放模式(MAP3格式)：SD卡、蓝牙、USB、3.5MM音频输入；3.5MM音频输出至耳机，内置扶手右侧，两个USB充电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6、换能器 6个：规格：8欧15瓦；靠背2个，坐垫4个；Mini SD卡1张，256M存储音乐文件（内置主机）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7、系统采用12.3寸平板系统1套（含平板支架）：约9.76m</w:t>
            </w:r>
            <w:r>
              <w:rPr>
                <w:rFonts w:hint="eastAsia" w:ascii="宋体" w:hAnsi="宋体" w:eastAsia="宋体" w:cs="宋体"/>
                <w:bCs/>
                <w:i w:val="0"/>
                <w:iCs w:val="0"/>
                <w:color w:val="auto"/>
                <w:sz w:val="22"/>
                <w:szCs w:val="22"/>
                <w:u w:val="none"/>
              </w:rPr>
              <w:t xml:space="preserve">m轻薄金属机身，约860g重量，内存容量8GB，储存容量256GB，12.3寸平板电脑，10点触控，1920*1280高清屏，防眩光。平板系统内置4大类型高清心理视频，视频全程配有文字字幕，方便来访者及心理咨询师观看，（含催眠放松训练真人视频，时长不低于16分钟。肌肉放松训练真人视频，时长不低于11分钟，渐进式催眠训练真人视频，时长不低于16分钟。冥想放松训练真人视频，时长不低于6分钟。）含专业心理催眠图片（错觉图，不可能图形等），α脑波音乐，冥想音乐，中国五行音乐，催眠减压音乐，大自然背景音乐等音乐资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8、配备音乐治疗导论书籍1本：中国心理学会推荐用书（涵盖音乐治疗的历史，音乐治疗的定义及基本原理，音乐治疗的形式等。）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9、催眠眼罩2个 23*7CM±2CM,黑色，透风棉质，带耳机通风口，带松紧调节扣.</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4"/>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四、办公室</w:t>
            </w:r>
            <w:r/>
          </w:p>
        </w:tc>
      </w:tr>
      <w:tr>
        <w:trPr>
          <w:trHeight w:val="484"/>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心理自助服务系统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心理自助服务系统，软件系统镶嵌在硬件中，以软件为主。包含硬件和软件：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一、硬件系统：触控一体机1台；控制主机1台。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1.显示端≥55英寸；分辨率：1920*1080；</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2.表面处理：钢制机壳，金属烤漆；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3.工作温度： -20℃～50℃；湿度：10%～80%；</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4.工作寿命：3000万次以上（单点击）；重量：40KG～50KG；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5.电压：AC220V(+/-10%) 50Hz(+/-10%)；最大功耗：220W；</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6.音响：防磁立体声音响系统.软件系统：采用ASP.NET3.5架构，支持远程管理。多媒体：集音频、视频、图像管理于一体。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7.要求功率: 65W以上。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8.要求CPU：性能要求不低于四核心八线程处理器，主频≥2.4GHZ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9.显卡：显存≥4GB GDDR5</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10.要求内存：≥2*DDR4 16GB</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11.系统硬盘：≥SSD 256G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12.素材硬盘：≥SATA 1T</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二、软件系统：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自助检测与解压调节系统设计来源于东方美学，界面设计融合了东方美学的精髓呈现出独特的视觉艺术，用户在使用过程中能够体验到国风艺术与数字技术的完美结合。基于“教育为本、预防为主”的教育理念，集心理科普、能力训练、心理健康活动宣传、减压调节的一体化平台。该系统可以推进心理健康知识的普及，帮助用户提高维护心理健康的意识和责任感，掌握简单的自我心理调节手段和方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心理自助检测与解压调节系统整体包含十三大功能模块，各模块下支持管理员无限添加二级栏目，文章无限扩充，支持视频，文章、图片、音频等格式上传。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系统支持管理员新增、修改、删除和导出用户信息，支持通过角色名称、权限字符、状态、创建时间进行快速检索。支持管理员模块菜单栏管理，菜单名称包含设备管理、用户管理、初始内容、设备内容、系统管理、系统监控及系统工具等模块新增、修改、删除权限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心理自助检测与解压调节系统十三个功能模块包含：心理测评；心理学库；心理解惑；自助方案；冥想空间；咨询留言；心语心声；咨询中心；心理能力训练；学生讲堂；家长讲堂；教师讲堂；自助热线。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心理测评：采用先进的算法和心理学原理，为用户提供全面的心理状态评估，帮助用户了解自己的心理健康状况。测评量表包含心理健康、人际交往、个性人格、家庭情感、学习能力、自我成长等内容不少于150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2.心理学库：汇集丰富的心理学理论、案例研究和最新研究成果，为专业人士和普通用户提供深度学习资源。模块内容包含心理专家、心理词汇、心理效应、心理实验、心理科普、心理图库等内容不少于170余项。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心理解惑：通过智能分析用户的问题，提供专业的心理学解答和建议，帮助用户解决心理困惑。模块内容包含直面学习、环境适应、同伴交往、亲子关系、情绪管理、青春情感、自我认识、升学规划、心理咨询等模块，资源内容不少于110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4.自助方案：根据用户的心理测评结果，提供个性化的自助改善方案，包括行为建议和心理练习。模块内容包含人际关系、习惯培养、学习管理、情绪管理、接纳自我、重塑自我等，资源内容不少于40余项。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5.冥想空间：提供多种冥想引导音频和视觉辅助，帮助用户放松身心，提升自我意识。模块内容包含放松减压、提升专注、情绪管理、催眠减压、自我成长、白噪声等，资源内容不少于30余项。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6.咨询留言：用户可以在此板块留下自己的心理疑问或分享心得，与其他用户或专家进行互动交流，模块内容包含心理预约、心理留言、社会咨询师等。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7.心语心声：提供一个安全的环境，让用户自由表达自己的情感和想法，同时得到他人的倾听和支持。模块内容包含情绪释放、能力提升、心理电台、养心怡神、自然环境、振奋激励等，资源内容不少于68余项。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8.咨询中心：由资深心理咨询师提供一对一咨询服务，帮助用户解决深层次的心理问题，根据学校心理健康中心建设情况定制中心案例及中心新闻。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心理能力训练：通过一系列科学的训练方法，提升用户的情绪管理、压力应对等心理能力。模块内容包含记忆空间、专注提升、反应强化、逻辑思维等，训练项目包含彩球闯迷宫、六角拼拼乐、排序大师、数字绘画、跳跃篮球、数字降落、数独、拼图滚球等内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10.学生讲堂：专为青少年设计，提供心理健康知识讲座和互动活动，促进青少年的心理健康成长。模块内容包含青春不迷茫、网络防沉迷、校园防欺凌等，资源内容不少于15余项。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11.家长讲堂：为家长提供如何理解和支持孩子心理健康的指导和建议，加强家庭的心理支持系统。模块内容包含父母的主体责任、依法带好娃、青春期亲子教育、习惯养成方法等，资源内容不少于50余项。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12.教师讲堂：帮助教师了解学生心理发展特点，提供有效的心理教育策略和应对方法。模块内容包含家庭教育政策解读、家校共育方法指导、家校共育专题研究、教师心理健康等，资源内容不少于50余项。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13.自助热线：提供24小时紧急心理支持服务，为处于心理危机中的用户提供即时帮助和支持，热线内容包含全国心理危机干预热线名单及所在区域心理援助热线。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14.心理自助系统的后台管理主要是对展示所显示资料进行编辑的功能。运行于局域网或互联网，支持远程管理，支持一键关机。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15.多媒体：集音频、视频、图像管理于一体，对教学影像、心理影片、减压音乐、心理文章和图片提供完美支持。</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AI心理机器人</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硬件参数：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操作系统：支持电脑端操作系统，基于通用框架构建；采用容器化技术实现运行环境隔离，满足采购文件中操作系统相关要求。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处理器：性能要求不低于八核64位，8nm 先进工艺，主频≥2.4GHz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内存：运行内存不小于16G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存储：不小于64G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尺寸：不小于39cm(L)*38cm(W)*103cm(H)</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导航速度：0~1.2m/s 自主变速，默认为0.6～0.8m/s（常规安全速度）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转向参数：原地差速转向，底盘轮廓旋转半径：29cm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爬坡：不大于5°</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激光雷达：最远测距：40m；测距精度：Max ±3cm；扫描范围（水平）：360°，角度分辨率0.4°；扫描频率：10Hz；激光雷达波长：905nm；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网络：尺寸2.4GHZ+5GHz 双频 Wi-Fi</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交互方式：支持语音控制、屏幕控制、感应控制；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高清摄像头：800W高清Camera</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触控屏：不小于13.3英寸触摸屏（分辨率1920*1080）</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支持语音交互功能：支持自定义唤醒词、昵称，多种播报音色；支持自定义问答，支持自动泛化问答，支持设置相似问题和多种回答；支持语音、屏幕触控两种方式实现语音交互；</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电池：24V 18Ah，动力锂电池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充电桩功率：300W，对机器人充电最大电流：5A</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扬声器：2 x 20W 立体声高保真音响模块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麦克风：环形耳麦，Bottom收音型麦克风，该模块结合语音算法可以实现：远场拾音、声源定位、语音唤醒、语音增强、回声消除、语音打断等；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软件功能参数：</w:t>
            </w:r>
            <w:r/>
          </w:p>
          <w:p>
            <w:pPr>
              <w:ind w:left="0" w:right="0"/>
              <w:keepLines w:val="0"/>
              <w:keepNext w:val="0"/>
              <w:pageBreakBefore w:val="0"/>
              <w:spacing w:before="0" w:beforeAutospacing="0" w:after="0" w:afterAutospacing="0" w:line="240" w:lineRule="auto"/>
              <w:widowControl w:val="off"/>
              <w:rPr>
                <w:rFonts w:hint="default"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▲1.AI心理测评：利用先进的机器学习算法进行心理状态评估。支持多种心理测评工具和量表。提供至少 38 种简单易懂的心理测试，包括情绪评估（如焦虑、家庭环境测试）、性格测试。所有测试题目需支持屏幕文字和语音播报方式出题，用户可以语音回答。（提供截图等相关证明材料）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2.答疑解惑：提供基于AI的实时问答服务。支持自然语言处理和理解。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3.冥想内观：引导用户进行冥想和放松练习。支持个性化冥想计划。</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4.心语知心：通过语音交互提供情感支持。支持情感识别和响应。</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▲5.心理科普：提供心理健康和心理学知识。支持多媒体内容展示。（提供截图等相关证明材料）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6.自助调节：提供自我调节技巧和工具。支持个性化调解计划。</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7.心理咨询：提供在线心理咨询服务。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8.心理讲堂：提供心理健康教育课程。</w:t>
            </w:r>
            <w:r/>
          </w:p>
          <w:p>
            <w:pPr>
              <w:ind w:left="0" w:right="0"/>
              <w:keepLines w:val="0"/>
              <w:keepNext w:val="0"/>
              <w:pageBreakBefore w:val="0"/>
              <w:spacing w:before="0" w:beforeAutospacing="0" w:after="0" w:afterAutospacing="0" w:line="240" w:lineRule="auto"/>
              <w:widowControl w:val="off"/>
              <w:rPr>
                <w:rFonts w:hint="default" w:ascii="宋体" w:hAnsi="宋体" w:eastAsia="宋体" w:cs="宋体"/>
                <w:color w:val="ff0000"/>
                <w:sz w:val="21"/>
                <w:szCs w:val="21"/>
                <w:highlight w:val="none"/>
                <w:lang w:val="en-US" w:eastAsia="zh-CN"/>
              </w:rPr>
              <w:suppressLineNumbers w:val="0"/>
            </w:pPr>
            <w:r>
              <w:rPr>
                <w:rFonts w:hint="eastAsia" w:ascii="宋体" w:hAnsi="宋体" w:eastAsia="宋体" w:cs="宋体"/>
                <w:color w:val="ff0000"/>
                <w:sz w:val="21"/>
                <w:szCs w:val="21"/>
                <w:highlight w:val="none"/>
                <w:lang w:val="en-US" w:eastAsia="zh-CN"/>
              </w:rPr>
              <w:t xml:space="preserve">★9.多模态行为分析技术：通过多模态传感器（摄像头）实时捕捉用户行为和微表情数据，结合面部特征等多种行为数据进行情感和心理状态的分析。利用 AI 算法对收集到的数据进行处理和分析，识别用户的行为模式。必要时能对异常行为自动预警，提醒关注心理健康情况。（需提供视频演示此功能）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10.设备支持在线心理咨询，支持两种咨询方式，一种是通过语音与心理虚拟AI 机器人进行交流，另一种是通过语音远程与真人心理专家进行实时交流。支持用户查看电子心理档案，心理档案包含但不限于：用户信息、量表简介、数据有效性、心理健康结果、维度画像、维度分析、基于 AI 态度的心理健康问题分析。</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个</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五、生涯指导室</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职业生涯规划认知机</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一、设备参数：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1.支持外置USB设备连接,支持HDMI输出，支持红外触控技术，触摸点数≥10点，内置专业定制软件；内置无线wifi模块，支持无线连接。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2.CPU：性能要求不低于四核心八线程处理器，主频≥2.4GHZ，运行内存：≧16GB，硬盘容量：≧256GB固态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3.屏幕参数：屏幕尺寸：≥55英寸，分辨率：≥1920(H)×1080(V) ，刷新率≥60Hz，支持1080P 的视频图片；显示屏类型：LED液晶可触控显示屏；亮度≥350cd/m²，对比度≥5000:1，响应时间≤8ms。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二、软件功能：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4.要求提供生涯专项测评：至少包含职业兴趣、工作价值观、多元能力、人格、通用职业能力及领导力六套量表，测评完成能够在线生成并查看专业的解读报告。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4.1支持学生登录个人账号进行施测，测评报告存储并与生涯信息系统数据同步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4.2支持游客模式测评，测评完成支持一键发送至手机查看相关信息。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4.3不限次测评、不限次生成测评报告，系统存储报告为最新数据。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5.要求提供生涯课程资源，至少包含生涯唤醒与时间观、生涯测评工具简介、面向未来的生涯职业、兴趣量表有什么用、生涯就是说故事、兴趣双码 36 招等生涯相关视频内容。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6.软件需持续不定期更新迭代；</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职业生涯探索机构</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一、设备参数：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1.支持外置USB设备连接,支持HDMI输出，支持红外触控技术，触摸点数≥10点，内置专业定制软件；内置无线wifi模块，支持无线连接。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2.CPU：性能要求不低于四核心八线程处理器，主频≥2.4GHZ，运行内存：≧16GB，硬盘容量：≧256GB固态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3.屏幕参数：屏幕尺寸：≥55英寸，分辨率：≥1920(H)×1080(V) ，刷新率≥60Hz，支持1080P 的视频图片；显示屏类型：LED液晶可触控显示屏；亮度≥350cd/m²，对比度≥5000:1，响应时间≤8ms。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二、软件功能：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需符合《中华人民共和国职业分类大典》，展示职业的工作内容、职业技能、具备知识、职业活动、推荐专业、职业说明、从业、职业能力、职业素养、发展路径等内容。支持分类检索查询和精准查询，并能够根据官方数据同步更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2.针对重点和热门职业提供原创视频解说，包含职业的工作内容、职业能力、发展路径、薪酬范围以及未来前景等。</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就业指导综合服务机构</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一、设备参数：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1.支持外置USB设备连接,支持HDMI输出，支持红外触控技术，触摸点数≥10点，计算机操作系统系统，内置专业定制软件；内置无线wifi模块，支持无线连接。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2.CPU：性能要求不低于四核心八线程处理器，主频≥2.4GHZ，运行内存：≧16GB，硬盘容量：≧256GB固态。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3.屏幕参数：屏幕尺寸：≥55英寸，分辨率：≥1920(H)×1080(V) ，刷新率≥60Hz，支持1080P 的视频图片；显示屏类型：LED液晶可触控显示屏；亮度≥350cd/m²，对比度≥5000:1，响应时间≤8ms。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二、软件功能：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需支持提供从职业的诸多能力进行分析的专项测评，帮助学生充分了解各个职业的要求以及自身能力的匹配度。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1.提供专业、职业、就业及理想教育视频资源。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提供不少于180个职业微视频，通过观看职业微视频，让学生短时间全面了解这些职业的工作内容、工作场景、工作特点、职业前景、职业技能，以及从事该职业所需要的专业、学历等入职条件。增强学生对感兴趣职业的初步认识，帮助学生认识身边的行业与职业，把学科学习中的行业职业专业相关知识和未来发展联系起来，为后续学生的职业决策做准备。</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专业百科：提供不少于200个专业微视频，通过观看专业微视频，让学生短时间全面了解这些专业的专业介绍、培养目标、开设课程、需要具备的能力、未来的就业方向、推荐的相关职业、未来的就业前景、近10年的平均薪资、主要的职业分布、主要的行业分布、主要的就业地区分布以及开设该专业的相关院校，可实现专业库与职业库、院校库的互通。增强学生对感兴趣专业的初步认识，帮助学生认识身边的职业与专业，把学科学习中的学科相关知识和未来可能就读的专业联系起来，为后续学生的专业决策做准备。要求专业微视频自主研发。</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1.3提供就业指导课程，至少包含就业形势、职业生涯规划、求职准备、权益保护、职业素养、创新创业等就业相关视频内容。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1.4要求提供围绕国家十四五规划建议中涉及到的战略性新兴产业作为大学生理想引领课程，至少提供人工智能、量子信息技术、集成电路、生命健康、生物育种、空天科技、脑科学、航空航天、互联网等不同领域内容的介绍视频，包含每个产业涉及的工作内容及未来趋势。</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认知能力评估训练系统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对学生的注意力、记忆力、思维力、反应时、感知觉、观察力等六大认知能力进行评估与训练的仪器。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一、外型尺寸：长×宽×高不小于340mm×380mm×95mm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二、液晶触控屏幕参数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1.显示屏尺寸：不小于13.3英寸（对角线）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2.分辨率：1920 × 1080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3.亮度：350～400 cd/m2</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4.电容触摸屏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5.触摸模式：手指</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6.触点数量：10点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7.响应时间：≤50ms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三、液晶按键参数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ff0000"/>
                <w:sz w:val="22"/>
                <w:szCs w:val="22"/>
                <w:u w:val="none"/>
              </w:rPr>
              <w:suppressLineNumbers w:val="0"/>
            </w:pPr>
            <w:r>
              <w:rPr>
                <w:rFonts w:hint="eastAsia" w:ascii="宋体" w:hAnsi="宋体" w:cs="宋体"/>
                <w:color w:val="ff0000"/>
                <w:sz w:val="24"/>
                <w:lang w:val="en-US" w:eastAsia="zh-CN"/>
              </w:rPr>
              <w:t xml:space="preserve">★</w:t>
            </w:r>
            <w:r>
              <w:rPr>
                <w:rFonts w:hint="eastAsia" w:ascii="宋体" w:hAnsi="宋体" w:eastAsia="宋体" w:cs="宋体"/>
                <w:bCs/>
                <w:i w:val="0"/>
                <w:iCs w:val="0"/>
                <w:color w:val="ff0000"/>
                <w:sz w:val="22"/>
                <w:szCs w:val="22"/>
                <w:u w:val="none"/>
              </w:rPr>
              <w:t xml:space="preserve">该按键带液晶显示，可根据不同应用显示相应的图案、字母、数字、汉字等。</w:t>
            </w:r>
            <w:r>
              <w:rPr>
                <w:rFonts w:hint="eastAsia" w:ascii="宋体" w:hAnsi="宋体" w:eastAsia="宋体" w:cs="宋体"/>
                <w:bCs/>
                <w:i w:val="0"/>
                <w:iCs w:val="0"/>
                <w:color w:val="ff0000"/>
                <w:sz w:val="24"/>
                <w:szCs w:val="24"/>
                <w:u w:val="none"/>
                <w:lang w:val="en-US" w:eastAsia="zh-CN"/>
              </w:rPr>
              <w:t xml:space="preserve">（需提供视频演示此功能）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1.显示屏尺寸：不小于1.22英寸（对角线）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2.分辨率： 240×240(RGB)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3.色彩 ：262K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4.按键反应力：260gf</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四、设备特点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屏幕0~180°翻转，前后可以移动，操作者可以根据自己的视角以及操作习惯调节角度和距离。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1.屏幕翻转到0°，可闭合整个仪器，方便存储以及运输。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2.测试者可在90°~180°范围内可调节适合自己的角度。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3.180°水平摆放时，可方便书写等一些特殊操作。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4.具备收纳盒，摆放配件。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5.后置音频输出、USB、HDMI、以及专用扩展接口。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6.可升级内存与硬盘。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五、主机参数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1.操作系统：电脑操作系统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2.处理器：性能要求不低于四核心八线程处理器，主频≥2.4GHZ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3.内存：≥DDR4 16G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4.硬盘：≧SSD固态硬盘 256GB</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六、系统供电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1.电压：交流220VK22V；</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2.频率：50HzK2.5Hz；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3.功率：75W。</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七、仪器功能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1.注意力：线索提示、整体局部、目标追踪、警戒、注意广度、划消</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2.记忆力：长时记忆、短时记忆、空间记忆、倒序记忆、N-Back</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3.思维力：Stroop 任务、任务转换、学习-判断错误记忆、叶克斯、分类学习、短时记忆搜索、河内塔</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4.反应时：听觉简单反应时、视觉简单反应时、视觉辨别反应时、视觉选择反应时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5.感知觉：时间知觉、音调辨别力、辨色力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6.观察力</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1089"/>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操作能力评估训练系统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该设备对学生的手眼协调、四肢协调、精细动作水平、表象操作等操作能力进行评估与训练的专业仪器。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一、外型尺寸：长×宽×高  不小于340mm×380mm×95mm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二、液晶触控屏幕参数：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1.显示屏尺寸：不小于13.3英寸（对角线）；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2.分辨率：1920 × 1080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3.亮度：350～400 cd/m2</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4.电容触摸屏；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5.触摸模式：手指；</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6.触点数量：10点；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7.响应时间：≤50ms。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三、操作面板参数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1.九孔型为孔径渐次缩减的九个空洞，孔眼边有以mm为单位的孔径值，孔径13-2.5mm；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2.其中的3.5mm孔眼专用于测试手悬空时的稳定能力；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3.插拔、翻转、旋转三组手指灵活测试区；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4.2组测试按键，按键反应力260gf。</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5.2组无极旋钮，任意调节；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四、功能特点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屏幕0-180°翻转，前后可以移动，操作者可以根据自己的视角以及操作习惯调节角度和距离。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1.屏幕翻转到0°，可闭合整个仪器，方便存储以及运输。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2.测试者可在90°~180°范围内可调节适合自己的角度。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3.180°水平摆放时，可方便书写等一些特殊操作。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4.具备收纳盒，摆放配件。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5.后置音频输出、USB、HDMI、以及专用扩展接口。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6.可升级内存与硬盘。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五、主机参数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1.操作系统：电脑操作系统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2.处理器：性能要求不低于四核心八线程处理器，主频≥2.4GHZ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3.内存：≥DDR4 16G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4.硬盘：≧SSD固态硬盘 256GB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六、系统供电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1.电压：交流220VK22V；</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2.频率：50HzK2.5Hz；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3.功率：75W。</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七、系统功能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1.填写必要信息并确认后，可自行创建账号，且可自主登录；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2.联网状态下，仪器的全部数据可自动上传至云端；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3.用户可自主进行测评或训练任务；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4.自动生成包含基本信息、图表、结果说明等的评估报告；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5.每一项任务均有对应的报告；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6.最近7次评估或训练曲线图、动态变化；</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7.部分任务设置不同的难易等级，便于不同用户水平使用。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8.手眼协调：旋转仪器上的左、右旋钮，在规定时间内使红色小球沿轨道运行一周，尽量不要碰到轨道。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9.四肢协调：将优势手的食指按住屏幕下方的黑色按键，当屏幕上出现小红圆点，立即离开黑色按键去按小红圆下方对应的按键，然后再回到黑色按钮。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动作稳定：将测笔按由大到小顺序，快速准确插入仪器相应区域的九个孔中，尽量保持测笔居中且不碰孔壁。准确插入到底时，面板上指示灯点亮，碰壁时指示灯不亮，需重新插入直至指示灯点亮，三次碰壁，测试结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11.手指灵活：在规定时间内，用优势手分别完成插拔、翻转和旋转测试。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eastAsia="zh-CN"/>
              </w:rPr>
              <w:suppressLineNumbers w:val="0"/>
            </w:pPr>
            <w:r>
              <w:rPr>
                <w:rFonts w:hint="eastAsia" w:ascii="宋体" w:hAnsi="宋体" w:eastAsia="宋体" w:cs="宋体"/>
                <w:bCs/>
                <w:i w:val="0"/>
                <w:iCs w:val="0"/>
                <w:color w:val="auto"/>
                <w:sz w:val="22"/>
                <w:szCs w:val="22"/>
                <w:u w:val="none"/>
              </w:rPr>
              <w:t xml:space="preserve">12.表象操作：对屏幕呈现的不同角度的图形作出反应，认为是正像的，按“+”号键；认为是镜像的，按“-”号键</w:t>
            </w:r>
            <w:r>
              <w:rPr>
                <w:rFonts w:hint="eastAsia" w:ascii="宋体" w:hAnsi="宋体" w:eastAsia="宋体" w:cs="宋体"/>
                <w:bCs/>
                <w:i w:val="0"/>
                <w:iCs w:val="0"/>
                <w:color w:val="auto"/>
                <w:sz w:val="22"/>
                <w:szCs w:val="22"/>
                <w:u w:val="none"/>
                <w:lang w:eastAsia="zh-CN"/>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学习态度引导训练系统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对学生的学习动机、学习情绪，以及学习中的自我意识进行评估，引导学生树立积极的学习态度的仪器。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一、外型尺寸：长×宽×高   不小于340mm×380mm×95mm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二、液晶触控屏幕参数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1.显示屏尺寸：不小于13.3英寸（对角线）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2.分辨率：1920 × 1080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3.亮度：350～400 cd/m2</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4.电容触摸屏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5.触摸模式：手指</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6触点数量：10点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7.响应时间：≤50ms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三、液晶按键参数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该按键带液晶显示，可根据不同应用显示相应的图案、字母、数字、汉字等。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1.显示屏尺寸：不小于1.22英寸（对角线）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2.分辨率： 240×240(RGB)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3.色彩 ：262K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4.按键反应力：260gf</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四、设备特点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屏幕0~180°翻转，前后可以移动，操作者可以根据自己的视角以及操作习惯调节角度和距离。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1.屏幕翻转到0°，可闭合整个仪器，方便存储以及运输。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2.测试者可在90°~180°范围内可调节适合自己的角度。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3.180°水平摆放时，可方便书写等一些特殊操作。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4.具备收纳盒，摆放配件。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5.后置音频输出、USB、HDMI、以及专用扩展接口。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6.可升级内存与硬盘。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五、主机参数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1.操作系统：电脑操作系统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2.处理器：性能要求不低于四核心八线程处理器，主频≥2.4GHZ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3.内存：≥DDR4 16G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4.硬盘：≧SSD固态硬盘 256GB</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六、系统供电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1.电压：交流220VK22V；</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2.频率：50HzK2.5Hz；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3.功率：75W。</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七、仪器功能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1.填写必要信息并确认后，可自行创建账号，且可自主登录；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2.联网状态下，仪器的全部数据可自动上传至云端；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3.用户可自主进行测评或训练任务；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4.自动生成包含基本信息、图表、结果说明等的评估报告；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5.每一项任务均有对应的报告；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6.最近7次评估或训练曲线图、动态变化；</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7.部分任务设置不同的难易等级，便于不同用户水平使用。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8.学习动机：学习动机测验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9.学习情绪：情绪稳定性、情绪敏感性、情绪词记忆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10.自我意识：自我服务偏差、IAT任务、自我参照效应</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学习策略发展训练系统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对学生的学习风格、元认知、应试技巧等进行评估，帮助学生找到适合自己的学习策略的仪器。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一、外型尺寸：长×宽×高  不小于340mm×380mm×95mm。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二、液晶触控屏幕参数：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1.显示屏尺寸：不小于13.3英寸（对角线）；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2.分辨率：1920 × 1080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3.亮度：350～400 cd/m2</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4.电容触摸屏；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5.触摸模式：手指；</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6.触点数量：10点；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7.响应时间：≤50ms。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三、操作面板参数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 4组测试按键，按键反应力260gf。</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 1组无极旋钮，任意调节；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四、产品特点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屏幕0~180°翻转，前后可以移动，操作者可以根据自己的视角以及操作习惯调节角度和距离。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1.屏幕翻转到0°，可闭合整个仪器，方便存储以及运输。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2.测试者可在90°~180°范围内可调节适合自己的角度。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3.180°水平摆放时，可方便书写等一些特殊操作。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4.具备收纳盒，摆放配件。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5.后置音频输出、USB、HDMI、以及专用扩展接口。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6.可升级内存与硬盘。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五、主机参数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1.操作系统：电脑操作系统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2.处理器：性能要求不低于四核心八线程处理器，主频≥2.4GHZ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3.内存：≥DDR4 16G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4.硬盘：≧SSD固态硬盘 256GB</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六、系统供电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1.电压：交流220VK22V；</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2.频率：50HzK2.5Hz；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3.功率：75W。</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七、仪器功能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1.填写必要信息并确认后，可自行创建账号，且可自主登录；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2.联网状态下，仪器的全部数据可自动上传至云端；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3.用户可自主进行测评或训练任务；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4.自动生成包含基本信息、图表、结果说明等的评估报告；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5.每一项任务均有对应的报告；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6.最近7次评估或训练曲线图、动态变化；</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7.部分任务设置不同的难易等级，便于不同用户水平使用。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8.学习风格：平面棒框、镶嵌图形、</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9.元认知：预估偏差、策略习得、视听双任务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10.应试技巧：量表测评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11.发展建议</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学生情绪分析系统、情绪压力筛查及危机干预平台</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部署一套心理情绪压力筛查测评系统，与心理压力测评手表和心理压力分析模型数据对接，输出相应心理监测指标和情绪特征指标，系统应支持不少于1万人测评及数据管理。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一、功能要求：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1.用户管理：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1.1提供全面的用户添加、删除与灵活修改功能。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1.2支持批量操作，便于高效管理大量用户。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1.3实现用户与设备的绑定、重置、绑定关系核对与查看，确保数据的准确性和一致性。</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2.设备管理：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2.1包含设备入库功能，便于新设备的快速录入。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2.2支持设备信息的修改、删除，以及设备数据的批量导出，满足多样化的数据管理需求。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3.心理测评功能：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3.1提供名单批量测评功能，适用于可以提供测评者名单的团体测评场景。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3.2提供编号快速测评，实现高效快速便捷筛查。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3.3实时测评展示功能，团体测评过程中可查看任一个体详细指标包含心率、状态值、情绪表情及波动曲线。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4.测评报告生成功能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4.1测量结束即刻生成个体测评报告，报告包含SDNN、rMSSD、压力指数等多项指标值及评估标尺图，状态走势图，饱满、焦虑、低沉等5种情绪心境特征图等，包含总能量、放松度、情绪稳定性等1-5级评价星级及相关建议和情绪寄语。</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4.2测量结束即刻生成校级、年级、班级报告。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5.账号管理：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5.1细化角色与权限管理，支持自定义创建不同角色，并根据角色特点分配相应权限。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5.2支持创建子账号并灵活分配角色，实现多级账号管理。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6.层级管理：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6.1允许创建多样化的层级结构，满足复杂的组织结构需求。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6.2支持根据实际需求建立子层级，并为不同层级选择适合的测试方式。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7.测评计划调度功能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支持计划模板下载与上传计划表，自动呈现测评计划调度结果。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心理大数据动态展示功能，实时动态展示心理大数据地图，滚动展示心理测评动态。展示内容分为数字展示和图文展示两部分，包含心理健康档案数、危机数、线下服务数、分布地图、活动图片等，用一个大数据及展示页面，即可直观呈现心理健康整体工作情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二、系统服务要求：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1.提供用户管理、设备管理、账号管理、层级管理、开始测评、团体报告等模块；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2.支持500人同时在线测评</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1904"/>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情绪测评手环</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精密光电手腕采集器，采集用户每一瞬间的心率变化、心率间期变化，连续脉搏分析，实时监测心率，与情绪压力筛查及危机预警系统连接，呈现自主神经活性、副交感神经活性、压力指数、情绪心境特征、情绪稳定性等情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2.支持团体PC端使用，支持个体移动端独立使用动态反馈训练功能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训练过程实时显示心率、实时状态值及能量波动。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二、产品参数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连续脉搏分析、RAWDATA输出、绿光动态心率G-sensor传感器、屏幕可显示：年级、班级、手环编号等运行内存（RAM）：64kB</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Flash：512kB、蓝牙：BT4.2、材质：表带硅胶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主体：塑胶、防水：IP67、电池容量：60MAH</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待机时间：不少于10天</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个</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60</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房树人绘画系统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房树人绘画系统，包含硬件和软件，软硬件必须兼容。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硬件：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液晶显示屏一体机:32寸液晶显示屏，最佳分辨率为1920X1080；防爆电容触摸屏，单点寿命超50000万次，分辨率：4096*4096;主机配置：内存4G，硬盘SSD固态硬盘64G，配置喇叭，USB网络接口，内置70W恒压供放，左右2个声道喇叭。</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测验系统：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1.测验过程采用软件统一选择管理，数据统计一电脑汇总统计，报告自动得出。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2.具有档案管理功能，强大的档案管理功能。能够保存和导出测验档案，对每个受测者的档案能够按照时间完整记录，随时可以按照姓名等条件筛选快速查询和管理被测试者的测验报告。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3.专业的绘画投射测验，突破语言交流的局限，避开测试者的理性意识，适用于不善于语言表达或是不愿意表达以及防御性强的来访者。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4.提供咨询师自由联想问题提问，专业化应用房树人测验，进一步了解被测者内心和潜意识，充分发挥投射测验功效。其中“房”联想题目、“树”联想题目、“人”联想题目均不少于20道。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5.测验完成后可以迅速生成报告，根据大量客户实际验证数据资料首次推出初步心理分析诊断。测验项目更少受到文化、教育背景或生活环境的影响。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6.报告必须包括图形描述性报告和心理分析报告。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7.拥有实木道具模型，可以直接在测试端快速选择受测者房树人图画内容。测验分析项目不少于60项，实木道具模型不少于120件。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8.测验结果管理功能。测验后生成每位受测者的测验报告，报告包括被测者信息、实验特征描述、对受测者的人格特征描述和测验结论，咨询师也可以添加各种对来访者情况的评判。</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9.图片上传保存。能够保存被试手画的图，供咨询师调用报告时作为实时参考，保证测试报告有据可循。</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10.整合心理问题筛查测试模块，可以批量进行人格缺陷和智力缺陷测查，能够人才选拔或者其他内部的心理问题测查。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所有道具均采用木制材质，坚固耐用。分别包含：房子拼板、房顶拼板、窗户拼板、门拼板、墙拼板等，树拼板包含：树冠拼板、树干拼板、树树拼板、果实拼板、人拼板头部拼板、躯干拼板、手拼板、腿拼板等，不少于120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12.数据导出与分析：系统将每位用户历次活动数据全部储存，并可将数据导出word存档或直接打印。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13.硬件加密确保数据安全：系统采用硬件加密的方式对测评数据进行加密，最大程度的保证用户数据的安全性。每套软件所配有的加密锁均为该套软件专用且唯一的硬件加密锁。同时，加密锁上的唯一数字ID也是判评用户所使用的软件是否为正版软件的权威有效依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14.一键式快速备份：系统提供了本机数据备份服务，可以将本机测评数据进行一键备份和一键还原。 </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数字化团体正念训练系统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产品概述：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系统包含管理端和客户端两个部分。管理端需要安装到专用服务器上，客户端安装到笔记本电脑或平板电脑里。具有丰富的筛查测评量表（40份以上），可供心理咨询师进行包括情绪状态、精神障碍、人格特质、社会认知与行为、躯体症状、睡眠、认知功能、生活能力等涉及精神健康、情绪状态、生活与社会功能、以及认知功能等方面的测评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训练内容有：情绪调节训练、放松减压训练、睡眠管理训练、穴</w:t>
            </w:r>
            <w:r>
              <w:rPr>
                <w:rFonts w:hint="eastAsia" w:ascii="宋体" w:hAnsi="宋体" w:eastAsia="宋体" w:cs="宋体"/>
                <w:bCs/>
                <w:i w:val="0"/>
                <w:iCs w:val="0"/>
                <w:color w:val="auto"/>
                <w:sz w:val="22"/>
                <w:szCs w:val="22"/>
                <w:u w:val="none"/>
              </w:rPr>
              <w:t xml:space="preserve">位自助按摩等四大模块内容，不少于40余项训练程序。以上五大训练模块在以正念技术为主的同时，融合经典认知行为、催眠、冥想等各类心理治疗方法。各模块既可独立使用，以提升个体情绪调节、压力管理、睡眠改善等技能，又可科学组合实现对各类心理与精神障碍用户身心健康及社会适应功能的有效提升。系统根据评估结果自动生成详细的治疗方案，咨询师也可根据用户情况自行勾选训练范式，同时支持自定义训练方案的制定和调整管理｡系统支持团体测评与干预训练，同时支持多人同时测评和心理干预，为心理咨询师提供团体成员训练进程的实时监测与反馈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参数描述：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1.咨询师工作平台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1.1可提供咨询师对来访心理健康状况评估，以及心理测评、干预训练内容与训练进度、训练效果等数据和信息的管理、追踪、 统计分析等功能。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1.2平台包括管理端、用户端。平台使用操作简便，各端口用户均可以迅速上手开展测评与训练工作。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1.3测评、干预、监测、管理等功能通过局域网实现，且支持台式计算机、笔记本、平板电脑、智能手机等多终端登录与数据传输，可实现用户的评估过程、训练记录等信息快速便捷收集。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1.4帮助系统：包括评估方法的文字信息帮助，图片信息帮助，方便学习与运用评估方法｡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1.5系统可根据需要生成和打印个性化的个人报告结果｡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1.6系统可对干预训练前、中、后的用户进行量化的疗效分析对比管理｡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1.7具有资料存储与统计功能，所有测评资料均可通过姓名、账号等信息进行检索、统计。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1.8系统带有自动备份恢复功能｡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2.评估体系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通过使用心理学量表采集来访者心理、生理等指标，为精准评估来访者身心健康状态、制定合理高效的干预方案，客观评估干预效果，科学预测预后情况提供多维度大数据模型基础。</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2.1以正念减压疗法（MBSR）、正念认知疗法（MBCT）、接纳与承诺疗法（ACT）和辩证行为疗法（DBT）等正念疗法为主的同时，兼容认知行为疗法、催眠放松疗法、心理动力学等心理治疗理论设计针对各类心理问题与精神疾病的干预课程体系。（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2.2智能动态采用基于大数据模型和神经网络原理的AI 算法，基于多维身心评估体系，智能推送干预方案，并在干预过程中 实时监测受训者身心指标，动态调整干预计划，提高工作效率和治疗效果。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2.3完备的档案数据库与心身数据实时追踪，采用大型数据库架构，建立全面完整的心理档案，方便查询。同时全程记录来访者的心理训练过程、生理指标和精神心理状态的变化过程，可作为治疗师进行深入分析的全面而完整的参考资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2.4参照临床干预中“测评—干预—效果评估 ”的标准流程，制定智能一体化闭环系统，方便干预治疗数据追踪，为制定更优良的干预方案和探索干预效果相关科学机制提供保证。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2.5多维测评体系里的心理量表以及干预模块的正念解压、催眠放松、认知矫正、指压按摩等干预程序等均为模块化设计，各模块既可单独使用，又可以集成一个系统，还可以与当前主流干预系统无缝衔接。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3.心理测评系统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3.1具有筛查评估量表、结果报告及打印、档案管理等功能｡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3.2筛查评估量表管理：具有丰富的筛查测评量表，可供心理咨询师对用户进行全面客观的评估和筛查管理｡具体量 表包括情绪状态、精神障碍、人格特质、社会认知与行为、躯体症状、睡眠、认知功能、生活能力等涉及精神健康、情绪状态、生活与社会功能以及认知功能等方面的测评管理｡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3.3具有资料存储与统计功能，所有测评资料均可通过姓名、账号等信息进行检索、统计，有利于资料收集及科研需要｡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3.4包括至少40个量表管理功能，其中必须具有如下量表：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（1）情绪状态评估量表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HAMD汉密尔顿抑郁量表，HAMA 汉密尔顿焦虑量表 SDS，抑郁自评量表，SAS 焦虑自评量表，抑郁和躯体化症状量表(DSSS)，BDI 贝克抑郁量表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（2）躯体症状评定量表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SCL-90 症状自评量表，躯体化症状自评量表，精神障碍评定量表，简明精神量表，精神衰弱量表，轻躁狂量表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（3）人格测验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16PF卡特尔16种人格因素问卷，EPQ艾森克人格问卷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（4）生活与社会功能评定量表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家庭亲密程度和适应性量表中文版（FACES），ADL日常生活能力评定，SAD 社交回避及苦恼量表，个人与社会功能量表，压力应对方式问卷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（5）睡眠评定管理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Epworth 嗜睡量表，阿森斯失眠量表，清晨型和夜晚型自评量表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（6）认知功能评定管理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简易精神状态检查表，蒙特利尔认知评估量表，AD8 认知障碍自评量表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4.正念心理训练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4.1 训练模块具有档案管理、正念训练管理等模块｡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4.2 训练内容有：情绪调节训练、放松减压训练、睡眠管理训练、穴位自助按摩等四大模块内容，共计30余项训练程序。以上四大训练模块在以正念技术为主的同时，融合经典认知行为、催眠、冥想等各类心理治疗方法，为问题的解决提供全方位干预备方案。各模块内的训练程序均以10-15分钟/节的音频或视频引导课程形式呈现，提供原理讲解、课程提要、训练引导、学习总结、反馈报告等环节相应内容。各模块既可独立使用，以提升个体情绪调节、压力管理、睡眠改善等技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4.3系统中所有训练程序均可根据来访者的测评结果与训练情况自动调整训练程序的难度与频次｡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4.4系统可进行10种以上常见心理问题的管理｡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4.5系统带有查看功能：可将来访者训练情况、训练时间、训练方案等信息根据心理咨询师或系统默认推荐的设定值自动发给学校心理健康中心负责人，以便提高训练效果｡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4.6本系统支持团体干预训练，提供团体成员训练进程实时监测与反馈信息。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4.7屏幕尺寸≥10英寸；分辨率1920*1080；系统：电脑操作系统；内存容量≥64GB；运行内存≥4GB。</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4.8测试记录模块：管理员可通过学号、姓名、测试项目、测试时间进行单条件查询和复核查询，查找到想要的数据。数据模块：在测试记录页面可以集体导出数据到Excel表中，也可以查看每条数据的详细信息，包括学号、姓名、参数设置、测试时间，以及平均反应时间和错误次数。可以对应的每条数据导出到每个实验对应的Excel表中。</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5.客户端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5.1可进行用户个人信息保护，包括登录密码、用户名等；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5.2可自动按推送方案进行测评；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5.3可自动按推送方案进行训练；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5.4可查看用户个人在系统中的训练计划和训练记录。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6.产品组成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包含正念训练前测系统1套、正念心理评估管理系统1套、正念训练客户端系统4套</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rPr>
              <w:t xml:space="preserve">疲劳度测试仪1套。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本系统是一套从评估到训练可一体化操作的系统，各子系统之间可实现底层数据互动，并非多个系统的组合。</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ff0000"/>
                <w:sz w:val="21"/>
                <w:szCs w:val="21"/>
                <w:highlight w:val="none"/>
                <w:lang w:val="en-US" w:eastAsia="zh-CN"/>
              </w:rPr>
              <w:suppressLineNumbers w:val="0"/>
            </w:pPr>
            <w:r>
              <w:rPr>
                <w:rFonts w:hint="eastAsia" w:ascii="宋体" w:hAnsi="宋体" w:eastAsia="宋体" w:cs="宋体"/>
                <w:color w:val="ff0000"/>
                <w:sz w:val="21"/>
                <w:szCs w:val="21"/>
                <w:highlight w:val="none"/>
                <w:lang w:val="en-US" w:eastAsia="zh-CN"/>
              </w:rPr>
              <w:t xml:space="preserve">★7.ECG检测功能：可以用于检测来访者心电数据，并生成心电报告，心电报告包含：QT间期、HRV指标、心率数据、心电图以及心电图（P波、P-R间期、QRS波群、ST段、T波、U波）的解读分析，并自动分析生成检测结果。（需提供视频演示此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8</w:t>
            </w:r>
            <w:r>
              <w:rPr>
                <w:rFonts w:hint="eastAsia" w:ascii="宋体" w:hAnsi="宋体" w:eastAsia="宋体" w:cs="宋体"/>
                <w:bCs/>
                <w:i w:val="0"/>
                <w:iCs w:val="0"/>
                <w:color w:val="auto"/>
                <w:sz w:val="22"/>
                <w:szCs w:val="22"/>
                <w:u w:val="none"/>
              </w:rPr>
              <w:t xml:space="preserve">.闪烁频率范围：4.0---60.0 Hz，最小调节区间：0.1Hz，LED显示窗口显示频率数字。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9</w:t>
            </w:r>
            <w:r>
              <w:rPr>
                <w:rFonts w:hint="eastAsia" w:ascii="宋体" w:hAnsi="宋体" w:eastAsia="宋体" w:cs="宋体"/>
                <w:bCs/>
                <w:i w:val="0"/>
                <w:iCs w:val="0"/>
                <w:color w:val="auto"/>
                <w:sz w:val="22"/>
                <w:szCs w:val="22"/>
                <w:u w:val="none"/>
              </w:rPr>
              <w:t xml:space="preserve">.无线遥控操控：采用无线遥控开关控制光线亮度和切换颜色组合:红、绿、蓝、红绿、红蓝、蓝绿、红绿蓝。</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10.</w:t>
            </w:r>
            <w:r>
              <w:rPr>
                <w:rFonts w:hint="eastAsia" w:ascii="宋体" w:hAnsi="宋体" w:eastAsia="宋体" w:cs="宋体"/>
                <w:bCs/>
                <w:i w:val="0"/>
                <w:iCs w:val="0"/>
                <w:color w:val="auto"/>
                <w:sz w:val="22"/>
                <w:szCs w:val="22"/>
                <w:u w:val="none"/>
              </w:rPr>
              <w:t xml:space="preserve">售后服务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同版本同模块提供终身免费升级。</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六</w:t>
            </w:r>
            <w:r>
              <w:rPr>
                <w:rFonts w:hint="eastAsia" w:ascii="宋体" w:hAnsi="宋体" w:eastAsia="宋体" w:cs="宋体"/>
                <w:bCs/>
                <w:i w:val="0"/>
                <w:iCs w:val="0"/>
                <w:color w:val="auto"/>
                <w:sz w:val="22"/>
                <w:szCs w:val="22"/>
                <w:u w:val="none"/>
              </w:rPr>
              <w:t xml:space="preserve">、情绪宣泄室</w:t>
            </w:r>
            <w:r/>
          </w:p>
        </w:tc>
      </w:tr>
      <w:tr>
        <w:trPr>
          <w:trHeight w:val="482"/>
        </w:trPr>
        <w:tc>
          <w:tcPr>
            <w:shd w:val="clear" w:color="auto" w:fill="ffffff"/>
            <w:tcBorders>
              <w:top w:val="single" w:color="000000" w:sz="4" w:space="0"/>
              <w:left w:val="single" w:color="000000" w:sz="4" w:space="0"/>
              <w:bottom w:val="single" w:color="000000" w:sz="4" w:space="0"/>
              <w:right w:val="non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HRV减压放松生理平衡系统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1.</w:t>
            </w:r>
            <w:r>
              <w:rPr>
                <w:rFonts w:hint="eastAsia" w:ascii="宋体" w:hAnsi="宋体" w:eastAsia="宋体" w:cs="宋体"/>
                <w:bCs/>
                <w:i w:val="0"/>
                <w:iCs w:val="0"/>
                <w:color w:val="auto"/>
                <w:sz w:val="22"/>
                <w:szCs w:val="22"/>
                <w:u w:val="none"/>
              </w:rPr>
              <w:t xml:space="preserve">分别以两种曲线显示正常HRV信号和伪信号；含显示用平板监测心率变化曲线、压力指数、自主协调状况等各项指标，并通过人机互动的训练工具帮助使用者学习对情绪和压力进行自我管理；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w:t>
            </w:r>
            <w:r>
              <w:rPr>
                <w:rFonts w:hint="eastAsia" w:ascii="宋体" w:hAnsi="宋体" w:eastAsia="宋体" w:cs="宋体"/>
                <w:bCs/>
                <w:i w:val="0"/>
                <w:iCs w:val="0"/>
                <w:color w:val="auto"/>
                <w:sz w:val="22"/>
                <w:szCs w:val="22"/>
                <w:u w:val="none"/>
              </w:rPr>
              <w:t xml:space="preserve">以心率变异性作为时间的函数，并对该函数进行频域分析，从中获取能够表征心率变异性模式的数据，并根据SPCS的原理给出定性的评价。整体测试过程采集到的数据以及分析结果都被输出到显示单元，呈现给受检对象以及数据分析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3.</w:t>
            </w:r>
            <w:r>
              <w:rPr>
                <w:rFonts w:hint="eastAsia" w:ascii="宋体" w:hAnsi="宋体" w:eastAsia="宋体" w:cs="宋体"/>
                <w:bCs/>
                <w:i w:val="0"/>
                <w:iCs w:val="0"/>
                <w:color w:val="auto"/>
                <w:sz w:val="22"/>
                <w:szCs w:val="22"/>
                <w:u w:val="none"/>
              </w:rPr>
              <w:t xml:space="preserve">通过生物反馈芯片传感器采集人体的心率变异信号（HRV），通过USB接口将受测者的每一秒的心率变化、交感神经、副交感神经活动频谱变化、压力指数等生理信号传输到电脑终端；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4.</w:t>
            </w:r>
            <w:r>
              <w:rPr>
                <w:rFonts w:hint="eastAsia" w:ascii="宋体" w:hAnsi="宋体" w:eastAsia="宋体" w:cs="宋体"/>
                <w:bCs/>
                <w:i w:val="0"/>
                <w:iCs w:val="0"/>
                <w:color w:val="auto"/>
                <w:sz w:val="22"/>
                <w:szCs w:val="22"/>
                <w:u w:val="none"/>
              </w:rPr>
              <w:t xml:space="preserve">通过心率变异性监测系统软件统计分析生理数据，形成监测报告能提供丰富的研究数据，包括心率的最大值、最小值、平均值、频谱的高频、低频，低频高频比等，为科学研究提供充分的量化分析基础；</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5.</w:t>
            </w:r>
            <w:r>
              <w:rPr>
                <w:rFonts w:hint="eastAsia" w:ascii="宋体" w:hAnsi="宋体" w:eastAsia="宋体" w:cs="宋体"/>
                <w:bCs/>
                <w:i w:val="0"/>
                <w:iCs w:val="0"/>
                <w:color w:val="auto"/>
                <w:sz w:val="22"/>
                <w:szCs w:val="22"/>
                <w:u w:val="none"/>
              </w:rPr>
              <w:t xml:space="preserve">具有8个不同类型的训练方案，分别进行帮助和训练。（菩提树、射箭、心灵手巧、记忆风暴、神笔马良、快拳手、神笔马良、魔力速配、冒险岛）进行帮助和训练。</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智能交互呐喊宣泄仪</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1.该系统基于“人体互动”概念设计，具支撑底座、音柱（包括：声控（声音传感器）模块、话筒、LED灯柱、工控系统）组成；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2.功能特点：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通过仪器音柱上的话筒及声音传感器模块，测定和分析宣泄时呐喊声音信号的强弱、频度、持续时间等，自动匹配有针对性的宣泄指导语，为宣泄者提供有针对性的正向引导与激励，从而潜移默化的影响宣泄者的心理状态，以达到更有效、更舒心的宣泄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2.2系统针对不同个体呐喊声音的强弱，特别设计了三档难易度（高、中、低），个体可根据自身的情况选择更适合自己的档位，以达到更好地宣泄疏导效果；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2.3声音传感器将实时测定宣泄者的不同强度的声音，并将其以不同等级、不同方式的指示灯柱分组在视觉上（LED灯颜色自下向上为绿—黄—红）呈现给宣泄者。而宣泄者可以根据声音强度指示灯显示信号，实时调节自身的呐喊声音，进行更为合理有效的宣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2.4系统采用流行的触控计算机操作平台，且将自主研发的系统软件置入其中，不需任何人引导，即可进行随心所欲的宣泄，增加了宣泄仪使用的私密性；</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▲2.5包括多个宣泄主题，宣泄者可根据需要自主进入宣泄模式、场景音乐、难易度等项的选择；（提供截图等相关证明材料）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3.主要功能：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▲3.1正向情绪疏导系统：准确测定和分析宣泄者呐喊声音信号强弱、频率和持续时间，从而自动匹配有针对性的宣泄指导语，为宣泄者提供更为针对性的正向引导与激励；（提供截图等相关证明材料）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3.2两大主题宣泄系统：趣味宣泄，主题宣泄；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▲3.3趣味宣泄：一鼓作气，再接再厉，持续不断，智勇双全；（提供截图等相关证明材料）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▲3.4主题宣泄：学习压力、家庭关系、人际交往、莫名烦恼、情感困惑、自我意识、考试焦虑、环境适应、数值型、音效反馈；（提供截图等相关证明材料）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3.5四种场景音乐选择，营造呐喊氛围，包括草原冥想、高山悟语、大海遐想、小溪吟诵；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3.6三色灯柱显示声音强度级别：实时测定并显示宣泄者不同强度的声音，以不同等级用不同方式的指示灯柱分组呈现给宣泄者。宣泄者可以根据声音强度指示灯柱显示信号，实时调节自身的呐喊声音，进行更为合理有效的宣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▲3.7难易度调节系统：系统针对不同个体呐喊声音的强弱，特别设计了三档难易度（高、中、低），个体可根据自身的情况选择更适合自己的档位；（提供截图等相关证明材料）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▲3.8宣泄完毕，系统会自动给出相应的数据、图表。（提供截图等相关证明材料）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3.9系统能对多个宣泄者完成的同一宣泄主题的成绩进行系统排名。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4.硬件参数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机身尺寸不小于：179cm*88cm*24cm，钢质金属箱体，外表面烤漆，白蓝色设计，落地式。配触摸式操作台，尺寸不小于：107cm*55cm*40cm，钢质金属箱体，外表面烤漆，白色设计，落地式。重量不小于50KG，配有脑波传感器。</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AI</w:t>
            </w:r>
            <w:r>
              <w:rPr>
                <w:rFonts w:hint="eastAsia" w:ascii="宋体" w:hAnsi="宋体" w:eastAsia="宋体" w:cs="宋体"/>
                <w:bCs/>
                <w:i w:val="0"/>
                <w:iCs w:val="0"/>
                <w:color w:val="auto"/>
                <w:sz w:val="22"/>
                <w:szCs w:val="22"/>
                <w:u w:val="none"/>
              </w:rPr>
              <w:t xml:space="preserve">情绪疏导系统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1.</w:t>
            </w:r>
            <w:r>
              <w:rPr>
                <w:rFonts w:hint="eastAsia" w:ascii="宋体" w:hAnsi="宋体" w:eastAsia="宋体" w:cs="宋体"/>
                <w:bCs/>
                <w:i w:val="0"/>
                <w:iCs w:val="0"/>
                <w:color w:val="auto"/>
                <w:sz w:val="22"/>
                <w:szCs w:val="22"/>
                <w:u w:val="none"/>
              </w:rPr>
              <w:t xml:space="preserve">AI心理陪伴，助力个性化情绪疏导。沉浸式自助的情绪疏导空间，针对愤怒、忧伤、沮丧、焦虑等常见的消极情绪，按照情绪唤醒——合理宣泄——认知调整等步骤，通过多种方法引导用户疏导不良情绪，建立合理信念，获得积极的生活态度；探索了心理学理论驱动大语言模型的对话生成方法，融合了认知行为疗法、情绪聚焦疗法、共情支持等，实现个性化情绪疏导。</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w:t>
            </w:r>
            <w:r>
              <w:rPr>
                <w:rFonts w:hint="eastAsia" w:ascii="宋体" w:hAnsi="宋体" w:eastAsia="宋体" w:cs="宋体"/>
                <w:bCs/>
                <w:i w:val="0"/>
                <w:iCs w:val="0"/>
                <w:color w:val="auto"/>
                <w:sz w:val="22"/>
                <w:szCs w:val="22"/>
                <w:u w:val="none"/>
              </w:rPr>
              <w:t xml:space="preserve">本系统由情绪小屋、</w:t>
            </w:r>
            <w:r>
              <w:rPr>
                <w:rFonts w:hint="eastAsia" w:ascii="宋体" w:hAnsi="宋体" w:eastAsia="宋体" w:cs="宋体"/>
                <w:bCs/>
                <w:i w:val="0"/>
                <w:iCs w:val="0"/>
                <w:color w:val="auto"/>
                <w:sz w:val="22"/>
                <w:szCs w:val="22"/>
                <w:u w:val="none"/>
                <w:lang w:val="en-US" w:eastAsia="zh-CN"/>
              </w:rPr>
              <w:t xml:space="preserve">AI情绪疏导软件、</w:t>
            </w:r>
            <w:r>
              <w:rPr>
                <w:rFonts w:hint="eastAsia" w:ascii="宋体" w:hAnsi="宋体" w:eastAsia="宋体" w:cs="宋体"/>
                <w:bCs/>
                <w:i w:val="0"/>
                <w:iCs w:val="0"/>
                <w:color w:val="auto"/>
                <w:sz w:val="22"/>
                <w:szCs w:val="22"/>
                <w:u w:val="none"/>
              </w:rPr>
              <w:t xml:space="preserve">触控计算机、头戴式耳机（带麦）等组成。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c00000"/>
                <w:sz w:val="21"/>
                <w:szCs w:val="21"/>
                <w:highlight w:val="none"/>
                <w:lang w:val="en-US" w:eastAsia="zh-CN"/>
              </w:rPr>
              <w:suppressLineNumbers w:val="0"/>
            </w:pPr>
            <w:r>
              <w:rPr>
                <w:rFonts w:hint="eastAsia" w:ascii="宋体" w:hAnsi="宋体" w:eastAsia="宋体" w:cs="宋体"/>
                <w:color w:val="c00000"/>
                <w:sz w:val="21"/>
                <w:szCs w:val="21"/>
                <w:highlight w:val="none"/>
                <w:lang w:val="en-US" w:eastAsia="zh-CN"/>
              </w:rPr>
              <w:t xml:space="preserve">★3.大模型须支持纯文本对话交互，可进行实时语音转换，记录对话过程，覆盖但不限于以下情感支持场景：学业压力下的情绪疏导、考试焦虑中的陪伴式调节、同伴关系/师生沟通/亲子互动中的理解与支持。模型具有良好的共情能力，逻辑清晰，且提供不低于 4 种角色来模拟不同的人物陪伴用户。（需提供视频演示此功能）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4.大模型须具备共情式回应能力，能识别用户情绪状态并给予情感接纳；同时提供中立、清晰的梳理引导，协助用户厘清问题脉络，不得替代专业心理咨询或医疗诊断。</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5.</w:t>
            </w:r>
            <w:r>
              <w:rPr>
                <w:rFonts w:hint="eastAsia" w:ascii="宋体" w:hAnsi="宋体" w:eastAsia="宋体" w:cs="宋体"/>
                <w:bCs/>
                <w:i w:val="0"/>
                <w:iCs w:val="0"/>
                <w:color w:val="auto"/>
                <w:sz w:val="22"/>
                <w:szCs w:val="22"/>
                <w:u w:val="none"/>
              </w:rPr>
              <w:t xml:space="preserve">具有AI心理陪伴、情绪主题疏导、趣味宣泄、认知朗读、心情涂鸦、情绪体验、档案管理等模块。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6.</w:t>
            </w:r>
            <w:r>
              <w:rPr>
                <w:rFonts w:hint="eastAsia" w:ascii="宋体" w:hAnsi="宋体" w:eastAsia="宋体" w:cs="宋体"/>
                <w:bCs/>
                <w:i w:val="0"/>
                <w:iCs w:val="0"/>
                <w:color w:val="auto"/>
                <w:sz w:val="22"/>
                <w:szCs w:val="22"/>
                <w:u w:val="none"/>
              </w:rPr>
              <w:t xml:space="preserve">AI心理陪伴：通过自然语言交流，为用户提供情感上的支持与安慰；系统可进行实时语音转换，记录对话过程。模型具有良好的共情能力，逻辑清晰，且同时可以提供不同类型的角色扮演来模拟不同的人物来陪伴用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7.</w:t>
            </w:r>
            <w:r>
              <w:rPr>
                <w:rFonts w:hint="eastAsia" w:ascii="宋体" w:hAnsi="宋体" w:eastAsia="宋体" w:cs="宋体"/>
                <w:bCs/>
                <w:i w:val="0"/>
                <w:iCs w:val="0"/>
                <w:color w:val="auto"/>
                <w:sz w:val="22"/>
                <w:szCs w:val="22"/>
                <w:u w:val="none"/>
              </w:rPr>
              <w:t xml:space="preserve">智能引导式的自助情绪疏导系统，针对愤怒、忧伤、沮丧、焦虑等常见的消极情绪，按照情绪唤醒——合理宣泄——认知调整等步骤，通过多种方法引导用户疏导不良情绪，建立合理信念，获得积极的生活态度。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▲8.具有情绪主题疏导、趣味宣泄、认知朗读、心情涂鸦、情绪体验、档案管理等模块。（提供截图等相关证明材料）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9.</w:t>
            </w:r>
            <w:r>
              <w:rPr>
                <w:rFonts w:hint="eastAsia" w:ascii="宋体" w:hAnsi="宋体" w:eastAsia="宋体" w:cs="宋体"/>
                <w:bCs/>
                <w:i w:val="0"/>
                <w:iCs w:val="0"/>
                <w:color w:val="auto"/>
                <w:sz w:val="22"/>
                <w:szCs w:val="22"/>
                <w:u w:val="none"/>
              </w:rPr>
              <w:t xml:space="preserve">不少于180个心理引导库，模拟心理咨询互动，给予实时反馈和专业引导。</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10.</w:t>
            </w:r>
            <w:r>
              <w:rPr>
                <w:rFonts w:hint="eastAsia" w:ascii="宋体" w:hAnsi="宋体" w:eastAsia="宋体" w:cs="宋体"/>
                <w:bCs/>
                <w:i w:val="0"/>
                <w:iCs w:val="0"/>
                <w:color w:val="auto"/>
                <w:sz w:val="22"/>
                <w:szCs w:val="22"/>
                <w:u w:val="none"/>
              </w:rPr>
              <w:t xml:space="preserve">智能采集声音的实时分贝值，计算能量值，评估宣泄指数等。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11.情绪主题疏导：提供常见的五大情绪问题（愤怒、忧伤、沮丧、焦虑和烦躁）的应对疏导方案，通过场景再现——合理宣泄——认知调整等步骤，智能引导用户疏导不良情绪，并自动生成报告。能在短时间内实现智能化检测，并给出对应情绪疏导方案；（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12.</w:t>
            </w:r>
            <w:r>
              <w:rPr>
                <w:rFonts w:hint="eastAsia" w:ascii="宋体" w:hAnsi="宋体" w:eastAsia="宋体" w:cs="宋体"/>
                <w:bCs/>
                <w:i w:val="0"/>
                <w:iCs w:val="0"/>
                <w:color w:val="auto"/>
                <w:sz w:val="22"/>
                <w:szCs w:val="22"/>
                <w:u w:val="none"/>
              </w:rPr>
              <w:t xml:space="preserve">认知朗读：通过朗读引发用户思考，建立合理认知。内含丰富的朗读素材，支持素材自添加，并可自动生成跟读模式。</w:t>
            </w:r>
            <w:r>
              <w:rPr>
                <w:rFonts w:hint="eastAsia" w:ascii="宋体" w:hAnsi="宋体" w:eastAsia="宋体" w:cs="宋体"/>
                <w:bCs/>
                <w:i w:val="0"/>
                <w:iCs w:val="0"/>
                <w:color w:val="auto"/>
                <w:sz w:val="22"/>
                <w:szCs w:val="22"/>
                <w:u w:val="none"/>
                <w:lang w:val="en-US" w:eastAsia="zh-CN"/>
              </w:rPr>
              <w:t xml:space="preserve">提供不少于 40 个朗读素材，涉及愤怒、忧伤、沮丧、焦虑和烦躁等五大情绪主题，朗诵文章时，“跟读模式”下， 能够自动滚动展示文章；文章朗诵时，耳机中能实时听到自己所发出的声音 ，提升用户的表演自信和声音控制能力，确保演唱或朗读都能达到理想效果。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▲13.心情涂鸦：分为自由涂鸦和模板涂鸦两种方式，支持用户自添加涂鸦模板，具有发布、查看、互动、对作品进行查询、点播、点赞、留言等功能；涂鸦提供底图数量不少于 20 张，并支持用户自导入底图功能；（提供截图等相关证明材料）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color w:val="c00000"/>
                <w:sz w:val="21"/>
                <w:szCs w:val="21"/>
                <w:highlight w:val="none"/>
                <w:lang w:val="en-US" w:eastAsia="zh-CN"/>
              </w:rPr>
              <w:t xml:space="preserve">14.提供表情模仿与拍摄， 体验相应的情绪，包括“烦躁”、“愤怒”、“害怕”，“焦虑”， “沮丧”，“忧伤”6 种情绪；</w:t>
            </w:r>
            <w:r>
              <w:rPr>
                <w:rFonts w:hint="eastAsia" w:ascii="宋体" w:hAnsi="宋体" w:eastAsia="宋体" w:cs="宋体"/>
                <w:bCs/>
                <w:i w:val="0"/>
                <w:iCs w:val="0"/>
                <w:color w:val="ff0000"/>
                <w:sz w:val="22"/>
                <w:szCs w:val="22"/>
                <w:u w:val="none"/>
                <w:lang w:val="en-US" w:eastAsia="zh-CN" w:bidi="ar"/>
              </w:rPr>
              <w:br/>
            </w:r>
            <w:r>
              <w:rPr>
                <w:rFonts w:hint="eastAsia" w:ascii="宋体" w:hAnsi="宋体" w:eastAsia="宋体" w:cs="宋体"/>
                <w:bCs/>
                <w:i w:val="0"/>
                <w:iCs w:val="0"/>
                <w:color w:val="auto"/>
                <w:sz w:val="22"/>
                <w:szCs w:val="22"/>
                <w:u w:val="none"/>
                <w:lang w:val="en-US" w:eastAsia="zh-CN"/>
              </w:rPr>
              <w:t xml:space="preserve">15.</w:t>
            </w:r>
            <w:r>
              <w:rPr>
                <w:rFonts w:hint="eastAsia" w:ascii="宋体" w:hAnsi="宋体" w:eastAsia="宋体" w:cs="宋体"/>
                <w:bCs/>
                <w:i w:val="0"/>
                <w:iCs w:val="0"/>
                <w:color w:val="auto"/>
                <w:sz w:val="22"/>
                <w:szCs w:val="22"/>
                <w:u w:val="none"/>
              </w:rPr>
              <w:t xml:space="preserve">档案管理：具有个人资料修改、历史足迹记录等功能。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16.云端登录管理平台，可以查看用户档案、朗读作品、涂鸦作品、情绪自拍、疏导报告等数据.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17.档案管理：具有个人资料修改、历史足迹记录等功能。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18.情绪小屋，内置静音新风循环系统、沙发、氛围灯，具有良好的隔音效果。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19.情感陪伴类智能体采用大语言模型，且该大语言模型通过《生成式人工智能服务管理暂行办法》备案，可在互联网信息服务算法备案系统（https://beian.cac.gov.cn/）中查询到生成合成类的算法备案。</w:t>
            </w:r>
            <w:r/>
          </w:p>
          <w:p>
            <w:pPr>
              <w:ind w:left="0" w:right="0"/>
              <w:keepLines w:val="0"/>
              <w:keepNext w:val="0"/>
              <w:pageBreakBefore w:val="0"/>
              <w:spacing w:before="0" w:beforeAutospacing="0" w:after="0" w:afterAutospacing="0" w:line="240" w:lineRule="auto"/>
              <w:widowControl w:val="off"/>
              <w:rPr>
                <w:rFonts w:hint="default"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20.该大模型通过国家网信办的大模型备案，该大模型原厂出具针对本项目的授权书。</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智能VR运动宣泄系统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VR心理骑行平台功能介绍：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简介：利用VR技术与心理健康教育主题融合打造的一款VR心理单车骑行产品。本产品的使用目的是以多种类型的VR心理资源软件（如：宣泄、解压、疏导、冥想、脱敏、应激训练、生理测评与分析等）为体验者达成实际干预、缓解疏导作用。产品以VR心理干预软件资源为主、使用功能为辅，减少使用者繁杂无用的功能操作，追求为体验者带来本质的内容干预实用性效果。并以不断提升VR干预软件类型与内容质量、高效便捷操作为产品核心进化理念。体验者佩戴VR头盔，身骑动感单车可身临其境起到舒缓压力、漫游放松、宣泄解压、应激训练等作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产品含不少于18类VR心理骑行软件：VR心理沉浸骑行之旅、心情治愈骑行、解压放松骑行、动感音乐骑行、宣泄打击骑行、克服社交恐惧骑行、高空骑行、克服恐高体验、冥想漫游、心理疏导、车辆快速行驶避障、战场爆炸、沙尘暴、暴雨、台风、地震、极光、美好人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本款VR骑行设备在包含专业的VR心理资源的基础上配备了成体系的《VR大数据可视化平台》工具，包含以下功能模块：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3.《档案建立模块》：体验者可在主界面输入用户名可快速、便捷的建立个人心理档案；</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4.《账号登录模块》：用户可在平台中输入用户名登录个人账号（支持模糊查询、拼音查询功能）可进入个人心理训练数据分析页面。并具备多人数据对比功能；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心理训练数据分析模块》：通过生物反馈仪与本系统模块得出各项数据，功能包含：用户姓名模块、日期模块、血压血氧、心率、协调度、放松度、压力指数并以条形图的形式呈现出来，同时可将每人的训练数据进行下载保存、刷新数据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6.《VR生理数据监测功能》：体验者可在VR主界面进行多项内容选择、档案建立、心率、血压、血氧展示等功能；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7.VR骑行软件平台与自行车硬件高度匹配，实际自行车脚蹬骑行时VR头盔中的软件场景也可随动骑行。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VR心理骑行软件介绍：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7.《VR心理沉浸骑行之旅》：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7.1天空场景：身处天空中可撞碎云朵，每一个云朵都代表着生活中的生活压力、经济压力、情感压力、学业压力，撞碎云朵后会有文字语音的提示，从而实现解压效果；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7.2森林场景：身处森林场景中配有多种小动物模型，在不同环节中体验者可向小动物寻求帮助（小鹿、小兔子、小熊、小猫）通过小动物的帮助解决相关心理问题，达到脱敏解压的效果；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7.3海边场景：身处海边场景中，到海边捡贝壳、漂流瓶、垃圾等互动功能回答相关问题，并解决心理焦虑问题。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8.1《宣泄打击骑行》：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在太空的科技场景中可选择生活压力与学习压力两种模块，在骑行打击压力场景中会遇到不同类型的压力陨石，骑行者通过眼控将各类压力陨石击碎，如被压力陨石撞击会自动消耗血条。看看你是否能打破击败压力的魔咒吧！</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8.2《动感音乐骑行》：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在时空隧道虚拟场景中全程播放一段动感力十足的解压节奏音乐，跟随音乐节奏进入骑行状态，当音乐鼓点来临时会遇到一些需要瞬间避障的生活障碍，通过骑行技巧躲避障碍完成动感音乐骑行之旅。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8.3《克服社交恐惧骑行》：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在生活中你会有过于内向，不善于社交的情况吗？通过VR克服社交恐惧骑行可在虚拟城市场景中遇见各类NPC需求人物，通过与人物沟通对话与帮助完成一段骑行交流之旅。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8.4《心情治愈骑行》：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在优美的大自然的场景下，配上快乐治愈的音乐完成一段自由骑行之旅，旅途中会配有心情治愈导师语音安抚，让情绪低落的体验者瞬间治愈心情；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8.5《解压放松骑行》：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在舒缓放松的自然场景中配上解压轻快的节奏音乐完成一段自由骑行之旅，骑行途中无场景限制，可任意骑行并在途中配有解压放松相关引导语，让压力无处宣泄的体验者起到解压放松的作用；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8.6《克服恐高体验》：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通过VR虚拟现实技术打造VR城市高楼高空体验场景。体验者身临其境在城市高楼顶端，通过一系列高空体验动作任务，从而达到从适应高空到克服恐高的心理转变。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8.7《冥想漫游》：</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冥想漫游VR软件可使用户身临其境的在宇宙、星云、粒子中进行深度漫游冥想，全程带有放松音乐。冥想可以有效的提升专注力、记忆力、工作效率和创造力。冥想也可助于抵御老化带来的脑体积损失。冥想被视为一种脑体操,能够健脑、延缓其衰老。VR深度冥想漫游更是能为冥想活动提供一种高科技新放松。</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9.《心理疏导》：</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疏导VR软件由正念、解压、放松、疏导、四个心理模块组成，用户可选择所需的疏导模块，沉浸式进行心理疏导解压体验，全程带有专业的心理舒缓音乐与语音疏导师。VR心理疏导内容通过沉浸式身临其境体验的高科技方式对个人的情绪、心理等问题进行疏泄和引导。VR心理健康不但可快速起到舒缓解压的作用，还为心理健康治疗体验方式提供了一项全新的趣味选择。</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10.《战场环境心理训练模块》：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通过VR技术复原战场虚拟场景，在虚拟战场中体验爆炸、战争等高仿真场景，并在军事场景中通过VR骑行训练快速避障与逃生能力，从而训练体验者的战场应激适应能力与专注力。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11.《VR心理应激训练》：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通过多种VR自然灾难场景打造VR虚拟应激训练软件。体验者通过沙尘暴、暴雨、台风、地震等灾难场景的虚拟体验提升应激反应能力，场景中包含多种高仿真灾难动画提升真实感，当灾难真实来临时，可让体验者具备成熟的应对心态与正确逃生动作应对各类自然灾害与应激场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12.《美好人生》：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体验者可身临其境进入多种美好生活场景中体验快乐瞬间，如：家人聚会、毕业、旅游、进入海洋等。从中领悟什么样的生活才可能叫做“美好人生”，激发体验者对于美好生活的向往。</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硬件参数（结合VR软件方可使用）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简介：通过此硬件套装结合上述VR心理软件可达成沉浸式VR心理骑行体验；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1.高性能骑行虚拟现实VR头盔*1套；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2.支持心理健康软件结合搭配使用；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3.骑行随动固件源：电压：AC220V、功率：1000W；</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4骑行单车：高仿真动感车架，支持体验者身临其境骑行体验；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5.骑行工作站：CPU性能要求不低于四核心八线程处理器，主频≥2.4GHZ，显存≥4GB GDDR5，隐藏式主机；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6.虚拟现实骑行硬件系统：骑行反馈控制系统:1套；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7.其它配套：屏幕:1套、鼠标键盘:1套、光学灯带1套；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8.外形尺寸：不小于于L1600mm*W1000mm*H2100mm、占地约1.5平米；</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9.同时可佩戴VR心理手表检测：心率、血压、血氧等相关数据，数据可自动备份记录用于心理研究。</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眼疾手快系统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手眼并用，测试人体的反应速度，协调视觉、听觉、中枢神经系统、神经肌肉之间的关系。多种玩法，趣味性强，随机模式，随机掉落，无迹可寻；手眼并用，数码显示屏掉示掉落棒子序号，测试手眼反应；难度设置，挑战极限，通过调节圆棒掉落速度来控制难易程度；自带音乐，活跃气氛，全程游戏都有紧张刺激音乐播报，增强活动氛围。加厚五金，产品重量不小于40公斤，外形尺寸不小于140*205CM。</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七</w:t>
            </w:r>
            <w:r>
              <w:rPr>
                <w:rFonts w:hint="eastAsia" w:ascii="宋体" w:hAnsi="宋体" w:eastAsia="宋体" w:cs="宋体"/>
                <w:bCs/>
                <w:i w:val="0"/>
                <w:iCs w:val="0"/>
                <w:color w:val="auto"/>
                <w:sz w:val="22"/>
                <w:szCs w:val="22"/>
                <w:u w:val="none"/>
              </w:rPr>
              <w:t xml:space="preserve">、团体活动室</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团体心理辅导活动器材箱</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（专业版）</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产品概述：以团体游戏为主的一种游戏道具，里面的游戏需要多人配合才能完成，可以开发使用者的智力，团体合作能力，还能增加使用者的人与人之间的交际关系。借助团体游戏活动促进团队成员的互动交流，帮助个体获得成长，适用于大中小各级院校开展心理健康活动课程，及企事业单位开展团体建设活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2.产品构成：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2.1主要由团体心理辅导活动手册、活动道具、道具收纳箱等构成。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2.2提供合格证、产品说明书、装箱清单、全部活动所需道具清单。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3.主要功能：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3.1活动方案：内容涵盖认识自我、学会学习、人际交往、情绪调适、升学择业以及生活和社会适应等六大主题，每个主题提供不少于10个活动方案，总活动方案不少于60个。</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3.2每个活动均详细说明活动的设计理念、活动目标、活动时间、活动场地、所需道具、活动过程、注意事项、心理学依据等。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3.3活动形式多样，包括心理游戏、心理训练、问题辨析、情境设计、角色扮演，以及绘画、音乐等艺术心理辅导形式，特别添加了室外拓展项目。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3.4活动道具：提供至少60个活动方案所需配套道具，包括文具类、创意玩具类、模拟生活类、室外拓展类、心理卡片类、辅助教案类、心理影音类等七大类约78种道具，总数不少于1000件。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3.5每个活动所提供道具至少可同时满足50人参与。</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3.6内含腰带式便携扩音机，便于开展户外活动。</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校园心理情景剧套装</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是以情景剧的形式反应学生常见的心理问题。通过情境设计、角色扮演、讨论分析等，学生可体验他人的感受，理解生活，同时认识自我，释放压力。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1.产品构成：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（1）校园心理情景剧剧本、心理剧示范视频光盘、配套道具、道具收纳箱（拉杆箱）等。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（2）提供产品合格证、装箱清单、每个活动所需道具清单。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（3）附赠正规出版物1本，作为辅助参考资料。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2.主要功能：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（1）创伤以及疗愈相关的主题，帮助遭受创伤者面对自己的问题，获得解决问题的力量与勇气。</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（2）拯救和力量相关的超人故事，将善良与正义的主题展现出来，引发对价值观和信念的思考。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（3）环境适应的主题，再现初来乍到对环境的各种不适应的表现以及苦恼，并带动观看者一起去感受、思考解决问题的办法，从而促进新生积极的适应环境。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（4）人际交往与表达的相关主题，通过演出领悟到人际交往的原则，学习人际交往与比我表达的技术。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（5）择业就业困扰相关的主题，展现主角面临的择业的两难情境与家庭冲突，最后发现真相，取得相互理解，化解冲突。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（6）两性交往与恋爱相关的主题。主要面向高中生和大学生，通过居中主角演示自己的烦恼，启发青少年对恋爱问题的思考，平衡恋爱和自己学业任务。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（7）自卑与超越，展现主人公的自卑与习得性无助的行为模式，通过与现实做检验以及其他人的接纳，领悟到自我的价值，走出自我贬抑的困境。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（8）自我成长的主题，构建一个沉迷于网络自我麻醉的主人公形象，通过自我对话，发现真相，最终勇敢地直面自己，重拾斗志。</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八</w:t>
            </w:r>
            <w:r>
              <w:rPr>
                <w:rFonts w:hint="eastAsia" w:ascii="宋体" w:hAnsi="宋体" w:eastAsia="宋体" w:cs="宋体"/>
                <w:bCs/>
                <w:i w:val="0"/>
                <w:iCs w:val="0"/>
                <w:color w:val="auto"/>
                <w:sz w:val="22"/>
                <w:szCs w:val="22"/>
                <w:u w:val="none"/>
              </w:rPr>
              <w:t xml:space="preserve">、其它</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培训服务</w:t>
            </w:r>
            <w:r/>
          </w:p>
        </w:tc>
        <w:tc>
          <w:tcPr>
            <w:shd w:val="clear" w:color="auto" w:fill="ffffff"/>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包含但不限于：</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线上课程：</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1、青少年心理健康基础知识</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2、青少年心理特征</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不少于4课时）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3、青少年身心发展规律</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4、自我类问题的识别与应对</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5、学习类问题的识别与应对</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6、情绪类问题的识别与应对</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7、行为类问题的识别与应对</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8、人际类问题的识别与应对</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9、危机类问题的识别与应对</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10、建立良好的师生关系</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11、家校沟通的原则和技巧</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12、教师的压力和情绪管理</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13、教师的职业幸福感</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14、教师的职业倦怠</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15、生涯规划主题活动的设计与实施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16、青春期主题活动的设计与实施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17、生命教育主题活动的设计与实施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18、人际交往主题活动的设计与实施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19、考前减压主题活动的设计与实施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20、挫折教育主题活动的设计与实施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21、情绪主题活动的设计与实施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22、自我认识主题活动的设计与实施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23、社会适应主题活动的设计与实施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24学生常用心理测量工具的应用</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不少于1课时）25、抑郁的评估与处置</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26、焦虑障碍的评估与处置</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27、注意力缺陷/多动障碍(ADHD)的评估与处置</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28、强迫的评估与处置</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29、游戏障碍的评估与处置</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30、双相情感障碍的评估与处置</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线下课程：</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所招标心理设备使用及应用培训（不少于16课时）</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eastAsia="zh-CN"/>
              </w:rPr>
              <w:suppressLineNumbers w:val="0"/>
            </w:pPr>
            <w:r>
              <w:rPr>
                <w:rFonts w:hint="eastAsia" w:ascii="宋体" w:hAnsi="宋体" w:eastAsia="宋体" w:cs="宋体"/>
                <w:bCs/>
                <w:i w:val="0"/>
                <w:iCs w:val="0"/>
                <w:color w:val="auto"/>
                <w:sz w:val="22"/>
                <w:szCs w:val="22"/>
                <w:u w:val="none"/>
                <w:lang w:val="en-US" w:eastAsia="zh-CN"/>
              </w:rPr>
              <w:t xml:space="preserve">项</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w:t>
            </w:r>
            <w:r/>
          </w:p>
        </w:tc>
      </w:tr>
    </w:tbl>
    <w:p>
      <w:r/>
      <w:r/>
    </w:p>
    <w:p>
      <w:pPr>
        <w:ind w:firstLine="482"/>
        <w:jc w:val="left"/>
        <w:spacing w:line="480" w:lineRule="exact"/>
        <w:widowControl/>
        <w:rPr>
          <w:rFonts w:ascii="宋体" w:hAnsi="宋体" w:cs="宋体"/>
          <w:b/>
          <w:i/>
          <w:iCs/>
          <w:sz w:val="24"/>
          <w:szCs w:val="21"/>
          <w:u w:val="single"/>
        </w:rPr>
      </w:pPr>
      <w:r>
        <w:rPr>
          <w:rFonts w:hint="eastAsia" w:ascii="宋体" w:hAnsi="宋体" w:cs="宋体"/>
          <w:b/>
          <w:i/>
          <w:iCs/>
          <w:sz w:val="24"/>
          <w:u w:val="single"/>
        </w:rPr>
        <w:t xml:space="preserve">注：</w:t>
      </w:r>
      <w:r>
        <w:rPr>
          <w:rFonts w:hint="eastAsia" w:ascii="宋体" w:hAnsi="宋体" w:cs="宋体"/>
          <w:b/>
          <w:i/>
          <w:iCs/>
          <w:color w:val="0000ff"/>
          <w:sz w:val="24"/>
          <w:u w:val="single"/>
        </w:rPr>
        <w:t xml:space="preserve">供应商须针对本项目“技术参数要求”中未标注“★”和“▲”</w:t>
      </w:r>
      <w:r>
        <w:rPr>
          <w:rFonts w:hint="eastAsia" w:ascii="宋体" w:hAnsi="宋体" w:cs="宋体"/>
          <w:b/>
          <w:i/>
          <w:iCs/>
          <w:sz w:val="24"/>
          <w:u w:val="single"/>
        </w:rPr>
        <w:t xml:space="preserve">所有条款，投标人应在《技术要求响应及偏离表》列出并完全响应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ind w:firstLine="482"/>
        <w:spacing w:line="500" w:lineRule="exact"/>
        <w:rPr>
          <w:rFonts w:ascii="宋体" w:hAnsi="宋体" w:cs="Courier New"/>
          <w:b/>
          <w:bCs/>
          <w:color w:val="000000"/>
          <w:sz w:val="24"/>
          <w:szCs w:val="21"/>
        </w:rPr>
      </w:pPr>
      <w:r>
        <w:rPr>
          <w:rFonts w:hint="eastAsia" w:ascii="宋体" w:hAnsi="宋体" w:cs="Courier New"/>
          <w:b/>
          <w:bCs/>
          <w:color w:val="000000"/>
          <w:sz w:val="24"/>
          <w:szCs w:val="21"/>
        </w:rPr>
        <w:t xml:space="preserve">二、商务条款</w:t>
      </w:r>
      <w:r/>
    </w:p>
    <w:p>
      <w:pPr>
        <w:ind w:firstLine="482"/>
        <w:spacing w:line="500" w:lineRule="exact"/>
        <w:rPr>
          <w:rFonts w:ascii="宋体" w:hAnsi="宋体" w:cs="宋体"/>
          <w:bCs/>
          <w:i/>
          <w:color w:val="000000"/>
          <w:sz w:val="24"/>
          <w:u w:val="single"/>
        </w:rPr>
      </w:pPr>
      <w:r>
        <w:rPr>
          <w:rFonts w:hint="eastAsia" w:ascii="宋体" w:hAnsi="宋体"/>
          <w:b/>
          <w:i/>
          <w:color w:val="000000"/>
          <w:sz w:val="24"/>
          <w:szCs w:val="21"/>
          <w:u w:val="single"/>
        </w:rPr>
        <w:t xml:space="preserve">1、</w:t>
      </w:r>
      <w:r>
        <w:rPr>
          <w:rFonts w:ascii="宋体" w:hAnsi="宋体"/>
          <w:b/>
          <w:i/>
          <w:color w:val="000000"/>
          <w:sz w:val="24"/>
          <w:szCs w:val="21"/>
          <w:u w:val="single"/>
          <w:lang w:val="zh-CN"/>
        </w:rPr>
        <w:t xml:space="preserve">交货</w:t>
      </w:r>
      <w:r>
        <w:rPr>
          <w:rFonts w:hint="eastAsia" w:ascii="宋体" w:hAnsi="宋体" w:cs="宋体"/>
          <w:b/>
          <w:i/>
          <w:color w:val="000000"/>
          <w:sz w:val="24"/>
          <w:szCs w:val="21"/>
          <w:u w:val="single"/>
          <w:lang w:val="zh-CN"/>
        </w:rPr>
        <w:t xml:space="preserve">期：</w:t>
      </w:r>
      <w:r>
        <w:rPr>
          <w:rFonts w:hint="eastAsia" w:ascii="宋体" w:hAnsi="宋体" w:cs="宋体"/>
          <w:bCs/>
          <w:i/>
          <w:color w:val="000000"/>
          <w:sz w:val="24"/>
          <w:u w:val="single"/>
        </w:rPr>
        <w:t xml:space="preserve">必须在合同签订后60个日历天内完成到货、安装、调试工作并交付使用，中标价包括安装调试过程中产生的一切费用。</w:t>
      </w:r>
      <w:r/>
    </w:p>
    <w:p>
      <w:pPr>
        <w:ind w:firstLine="482"/>
        <w:spacing w:line="500" w:lineRule="exact"/>
        <w:rPr>
          <w:rFonts w:ascii="宋体" w:hAnsi="宋体" w:cs="宋体"/>
          <w:b/>
          <w:i/>
          <w:color w:val="000000"/>
          <w:sz w:val="24"/>
          <w:szCs w:val="21"/>
          <w:u w:val="single"/>
          <w:lang w:val="zh-CN"/>
        </w:rPr>
      </w:pPr>
      <w:r>
        <w:rPr>
          <w:rFonts w:hint="eastAsia" w:ascii="宋体" w:hAnsi="宋体" w:cs="宋体"/>
          <w:b/>
          <w:i/>
          <w:color w:val="000000"/>
          <w:sz w:val="24"/>
          <w:szCs w:val="21"/>
          <w:u w:val="single"/>
        </w:rPr>
        <w:t xml:space="preserve">2、</w:t>
      </w:r>
      <w:r>
        <w:rPr>
          <w:rFonts w:hint="eastAsia" w:ascii="宋体" w:hAnsi="宋体" w:cs="宋体"/>
          <w:b/>
          <w:i/>
          <w:color w:val="000000"/>
          <w:sz w:val="24"/>
          <w:szCs w:val="21"/>
          <w:u w:val="single"/>
          <w:lang w:val="zh-CN"/>
        </w:rPr>
        <w:t xml:space="preserve">交货方式：</w:t>
      </w:r>
      <w:r>
        <w:rPr>
          <w:rFonts w:hint="eastAsia" w:ascii="宋体" w:hAnsi="宋体" w:cs="宋体"/>
          <w:bCs/>
          <w:i/>
          <w:color w:val="000000"/>
          <w:sz w:val="24"/>
          <w:szCs w:val="21"/>
          <w:u w:val="single"/>
        </w:rPr>
        <w:t xml:space="preserve">送货到招标单位指定地点并安装调试</w:t>
      </w:r>
      <w:r>
        <w:rPr>
          <w:rFonts w:hint="eastAsia" w:ascii="宋体" w:hAnsi="宋体" w:cs="宋体"/>
          <w:bCs/>
          <w:i/>
          <w:color w:val="000000"/>
          <w:sz w:val="24"/>
          <w:szCs w:val="21"/>
          <w:u w:val="single"/>
          <w:lang w:val="zh-CN"/>
        </w:rPr>
        <w:t xml:space="preserve">。</w:t>
      </w:r>
      <w:r/>
    </w:p>
    <w:p>
      <w:pPr>
        <w:ind w:firstLine="482"/>
        <w:spacing w:line="500" w:lineRule="exact"/>
        <w:rPr>
          <w:rFonts w:ascii="宋体" w:hAnsi="宋体" w:cs="宋体"/>
          <w:bCs/>
          <w:i/>
          <w:color w:val="000000"/>
          <w:sz w:val="24"/>
          <w:szCs w:val="21"/>
          <w:u w:val="single"/>
        </w:rPr>
      </w:pPr>
      <w:r>
        <w:rPr>
          <w:rFonts w:hint="eastAsia" w:ascii="宋体" w:hAnsi="宋体" w:cs="宋体"/>
          <w:b/>
          <w:i/>
          <w:color w:val="000000"/>
          <w:sz w:val="24"/>
          <w:szCs w:val="21"/>
          <w:u w:val="single"/>
        </w:rPr>
        <w:t xml:space="preserve">3、</w:t>
      </w:r>
      <w:r>
        <w:rPr>
          <w:rFonts w:hint="eastAsia" w:ascii="宋体" w:hAnsi="宋体" w:cs="宋体"/>
          <w:b/>
          <w:i/>
          <w:color w:val="000000"/>
          <w:sz w:val="24"/>
          <w:szCs w:val="21"/>
          <w:u w:val="single"/>
          <w:lang w:val="zh-CN"/>
        </w:rPr>
        <w:t xml:space="preserve">交货地点：</w:t>
      </w:r>
      <w:r>
        <w:rPr>
          <w:rFonts w:hint="eastAsia" w:ascii="宋体" w:hAnsi="宋体" w:cs="宋体"/>
          <w:i/>
          <w:color w:val="000000"/>
          <w:sz w:val="24"/>
          <w:u w:val="single"/>
        </w:rPr>
        <w:t xml:space="preserve">甲方指定地点。</w:t>
      </w:r>
      <w:r/>
    </w:p>
    <w:p>
      <w:pPr>
        <w:ind w:firstLine="482"/>
        <w:spacing w:line="500" w:lineRule="exact"/>
        <w:rPr>
          <w:rFonts w:ascii="宋体" w:hAnsi="宋体"/>
          <w:b/>
          <w:i/>
          <w:color w:val="000000"/>
          <w:sz w:val="24"/>
          <w:szCs w:val="21"/>
          <w:u w:val="single"/>
          <w:lang w:val="en"/>
        </w:rPr>
      </w:pPr>
      <w:r>
        <w:rPr>
          <w:rFonts w:hint="eastAsia" w:ascii="宋体" w:hAnsi="宋体"/>
          <w:b/>
          <w:i/>
          <w:color w:val="000000"/>
          <w:sz w:val="24"/>
          <w:szCs w:val="21"/>
          <w:u w:val="single"/>
          <w:lang w:val="en"/>
        </w:rPr>
        <w:t xml:space="preserve">4、维保期及售后技术服务要求</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4</w:t>
      </w:r>
      <w:r>
        <w:rPr>
          <w:rFonts w:hint="eastAsia" w:ascii="宋体" w:hAnsi="宋体"/>
          <w:bCs/>
          <w:i/>
          <w:color w:val="000000"/>
          <w:sz w:val="24"/>
          <w:szCs w:val="21"/>
          <w:u w:val="single"/>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4</w:t>
      </w:r>
      <w:r>
        <w:rPr>
          <w:rFonts w:hint="eastAsia" w:ascii="宋体" w:hAnsi="宋体"/>
          <w:bCs/>
          <w:i/>
          <w:color w:val="000000"/>
          <w:sz w:val="24"/>
          <w:szCs w:val="21"/>
          <w:u w:val="single"/>
          <w:lang w:val="en"/>
        </w:rPr>
        <w:t xml:space="preserve">.2.在保修期内免费提供零件及服务，并应及时有效。保修期后提供长期优质服务。在使用寿命期内，中标人保证对设备的零件、易损件的供应（需附易损件清单，清单需要包含品名、规格、数量、单价）。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4</w:t>
      </w:r>
      <w:r>
        <w:rPr>
          <w:rFonts w:hint="eastAsia" w:ascii="宋体" w:hAnsi="宋体"/>
          <w:bCs/>
          <w:i/>
          <w:color w:val="000000"/>
          <w:sz w:val="24"/>
          <w:szCs w:val="21"/>
          <w:u w:val="single"/>
          <w:lang w:val="en"/>
        </w:rPr>
        <w:t xml:space="preserve">.3.提供7×24小时的故障受理及技术咨询服务，接到报修电话通知后，在2小时内响应并在24小时内安排处理，对于七天内不能修复的设备，提供同型号或性能相近的备用设备。</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4</w:t>
      </w:r>
      <w:r>
        <w:rPr>
          <w:rFonts w:hint="eastAsia" w:ascii="宋体" w:hAnsi="宋体"/>
          <w:bCs/>
          <w:i/>
          <w:color w:val="000000"/>
          <w:sz w:val="24"/>
          <w:szCs w:val="21"/>
          <w:u w:val="single"/>
          <w:lang w:val="en"/>
        </w:rPr>
        <w:t xml:space="preserve">.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p>
    <w:p>
      <w:pPr>
        <w:ind w:firstLine="482"/>
        <w:spacing w:line="500" w:lineRule="exact"/>
        <w:tabs>
          <w:tab w:val="left" w:pos="851" w:leader="none"/>
        </w:tabs>
        <w:rPr>
          <w:rFonts w:ascii="宋体" w:hAnsi="宋体"/>
          <w:b/>
          <w:bCs/>
          <w:i/>
          <w:color w:val="000000"/>
          <w:sz w:val="24"/>
          <w:szCs w:val="21"/>
          <w:u w:val="single"/>
          <w:lang w:val="en"/>
        </w:rPr>
      </w:pPr>
      <w:r>
        <w:rPr>
          <w:rFonts w:ascii="宋体" w:hAnsi="宋体"/>
          <w:b/>
          <w:bCs/>
          <w:i/>
          <w:color w:val="000000"/>
          <w:sz w:val="24"/>
          <w:szCs w:val="21"/>
          <w:u w:val="single"/>
          <w:lang w:val="en"/>
        </w:rPr>
        <w:t xml:space="preserve">5</w:t>
      </w:r>
      <w:r>
        <w:rPr>
          <w:rFonts w:hint="eastAsia" w:ascii="宋体" w:hAnsi="宋体"/>
          <w:b/>
          <w:bCs/>
          <w:i/>
          <w:color w:val="000000"/>
          <w:sz w:val="24"/>
          <w:szCs w:val="21"/>
          <w:u w:val="single"/>
          <w:lang w:val="en"/>
        </w:rPr>
        <w:t xml:space="preserve">.培训服务要求:</w:t>
      </w:r>
      <w:r/>
    </w:p>
    <w:p>
      <w:pPr>
        <w:ind w:firstLine="480"/>
        <w:spacing w:line="500" w:lineRule="exact"/>
        <w:tabs>
          <w:tab w:val="left" w:pos="851" w:leader="none"/>
        </w:tabs>
        <w:rPr>
          <w:rFonts w:ascii="宋体" w:hAnsi="宋体"/>
          <w:bCs/>
          <w:i/>
          <w:color w:val="000000"/>
          <w:sz w:val="24"/>
          <w:szCs w:val="21"/>
          <w:u w:val="single"/>
          <w:lang w:val="en"/>
        </w:rPr>
      </w:pPr>
      <w:r>
        <w:rPr>
          <w:rFonts w:hint="eastAsia" w:ascii="宋体" w:hAnsi="宋体"/>
          <w:bCs/>
          <w:i/>
          <w:color w:val="000000"/>
          <w:sz w:val="24"/>
          <w:szCs w:val="21"/>
          <w:u w:val="single"/>
          <w:lang w:val="en"/>
        </w:rPr>
        <w:t xml:space="preserve">5</w:t>
      </w:r>
      <w:r>
        <w:rPr>
          <w:rFonts w:ascii="宋体" w:hAnsi="宋体"/>
          <w:bCs/>
          <w:i/>
          <w:color w:val="000000"/>
          <w:sz w:val="24"/>
          <w:szCs w:val="21"/>
          <w:u w:val="single"/>
          <w:lang w:val="en"/>
        </w:rPr>
        <w:t xml:space="preserve">.1</w:t>
      </w:r>
      <w:r>
        <w:rPr>
          <w:rFonts w:hint="eastAsia" w:ascii="宋体" w:hAnsi="宋体"/>
          <w:bCs/>
          <w:i/>
          <w:color w:val="000000"/>
          <w:sz w:val="24"/>
          <w:szCs w:val="21"/>
          <w:u w:val="single"/>
          <w:lang w:val="en"/>
        </w:rPr>
        <w:t xml:space="preserve">包括技术、维修和操作培训，含工作原理，设备的编程、操作使用和维护方法，达到正确检修、维护和排除故障的水平。保证受培训人员能独立操作，培训费用由中标单位承担。</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5.2</w:t>
      </w:r>
      <w:r>
        <w:rPr>
          <w:rFonts w:hint="eastAsia" w:ascii="宋体" w:hAnsi="宋体"/>
          <w:bCs/>
          <w:i/>
          <w:color w:val="000000"/>
          <w:sz w:val="24"/>
          <w:szCs w:val="21"/>
          <w:u w:val="single"/>
          <w:lang w:val="en"/>
        </w:rPr>
        <w:t xml:space="preserve">设备保修期满以后，中标单位依然能提供广泛而优惠的技术支持及备件供应。</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5.3</w:t>
      </w:r>
      <w:r>
        <w:rPr>
          <w:rFonts w:hint="eastAsia" w:ascii="宋体" w:hAnsi="宋体"/>
          <w:bCs/>
          <w:i/>
          <w:color w:val="000000"/>
          <w:sz w:val="24"/>
          <w:szCs w:val="21"/>
          <w:u w:val="single"/>
          <w:lang w:val="en"/>
        </w:rPr>
        <w:t xml:space="preserve">由于中标单位提供的产品质量问题造成采购单位的财产损失或使用安全问题，由中标单位负责。</w:t>
      </w:r>
      <w:r/>
    </w:p>
    <w:p>
      <w:pPr>
        <w:ind w:firstLine="482"/>
        <w:spacing w:line="500" w:lineRule="exact"/>
        <w:tabs>
          <w:tab w:val="left" w:pos="851" w:leader="none"/>
        </w:tabs>
        <w:rPr>
          <w:rFonts w:ascii="宋体" w:hAnsi="宋体"/>
          <w:b/>
          <w:i/>
          <w:color w:val="000000"/>
          <w:sz w:val="24"/>
          <w:szCs w:val="21"/>
          <w:u w:val="single"/>
          <w:lang w:val="en"/>
        </w:rPr>
      </w:pPr>
      <w:r>
        <w:rPr>
          <w:rFonts w:ascii="宋体" w:hAnsi="宋体"/>
          <w:b/>
          <w:i/>
          <w:color w:val="000000"/>
          <w:sz w:val="24"/>
          <w:szCs w:val="21"/>
          <w:u w:val="single"/>
          <w:lang w:val="en"/>
        </w:rPr>
        <w:t xml:space="preserve">6</w:t>
      </w:r>
      <w:r>
        <w:rPr>
          <w:rFonts w:hint="eastAsia" w:ascii="宋体" w:hAnsi="宋体"/>
          <w:b/>
          <w:bCs/>
          <w:i/>
          <w:color w:val="000000"/>
          <w:sz w:val="24"/>
          <w:szCs w:val="21"/>
          <w:u w:val="single"/>
          <w:lang w:val="en"/>
        </w:rPr>
        <w:t xml:space="preserve">.</w:t>
      </w:r>
      <w:r>
        <w:rPr>
          <w:rFonts w:hint="eastAsia" w:ascii="宋体" w:hAnsi="宋体"/>
          <w:b/>
          <w:i/>
          <w:color w:val="000000"/>
          <w:sz w:val="24"/>
          <w:szCs w:val="21"/>
          <w:u w:val="single"/>
          <w:lang w:val="en"/>
        </w:rPr>
        <w:t xml:space="preserve">质量标准：</w:t>
      </w:r>
      <w:r/>
    </w:p>
    <w:p>
      <w:pPr>
        <w:ind w:firstLine="480"/>
        <w:spacing w:line="500" w:lineRule="exact"/>
        <w:tabs>
          <w:tab w:val="left" w:pos="851" w:leader="none"/>
        </w:tabs>
        <w:rPr>
          <w:rFonts w:ascii="宋体" w:hAnsi="宋体"/>
          <w:bCs/>
          <w:i/>
          <w:color w:val="000000"/>
          <w:sz w:val="24"/>
          <w:szCs w:val="21"/>
          <w:u w:val="single"/>
          <w:lang w:val="en"/>
        </w:rPr>
      </w:pPr>
      <w:r>
        <w:rPr>
          <w:rFonts w:hint="eastAsia" w:ascii="宋体" w:hAnsi="宋体"/>
          <w:bCs/>
          <w:i/>
          <w:color w:val="000000"/>
          <w:sz w:val="24"/>
          <w:szCs w:val="21"/>
          <w:u w:val="single"/>
          <w:lang w:val="en"/>
        </w:rPr>
        <w:t xml:space="preserve">符合国家现行相关规范标准及有关部门颁布的相应的最新标准，并满足招标人的使用需求。</w:t>
      </w:r>
      <w:r/>
    </w:p>
    <w:p>
      <w:pPr>
        <w:ind w:firstLine="482"/>
        <w:spacing w:line="500" w:lineRule="exact"/>
        <w:rPr>
          <w:i/>
          <w:color w:val="000000"/>
          <w:szCs w:val="21"/>
          <w:u w:val="single"/>
        </w:rPr>
      </w:pPr>
      <w:r>
        <w:rPr>
          <w:rFonts w:ascii="宋体" w:hAnsi="宋体"/>
          <w:b/>
          <w:i/>
          <w:color w:val="000000"/>
          <w:sz w:val="24"/>
          <w:szCs w:val="21"/>
          <w:u w:val="single"/>
        </w:rPr>
        <w:t xml:space="preserve">7</w:t>
      </w:r>
      <w:r>
        <w:rPr>
          <w:rFonts w:hint="eastAsia" w:ascii="宋体" w:hAnsi="宋体"/>
          <w:b/>
          <w:bCs/>
          <w:i/>
          <w:color w:val="000000"/>
          <w:sz w:val="24"/>
          <w:szCs w:val="21"/>
          <w:u w:val="single"/>
          <w:lang w:val="en"/>
        </w:rPr>
        <w:t xml:space="preserve">.</w:t>
      </w:r>
      <w:r>
        <w:rPr>
          <w:rFonts w:hint="eastAsia" w:ascii="宋体" w:hAnsi="宋体"/>
          <w:b/>
          <w:i/>
          <w:color w:val="000000"/>
          <w:sz w:val="24"/>
          <w:szCs w:val="21"/>
          <w:u w:val="single"/>
        </w:rPr>
        <w:t xml:space="preserve">合同款</w:t>
      </w:r>
      <w:r>
        <w:rPr>
          <w:rFonts w:ascii="宋体" w:hAnsi="宋体"/>
          <w:b/>
          <w:i/>
          <w:color w:val="000000"/>
          <w:sz w:val="24"/>
          <w:szCs w:val="21"/>
          <w:u w:val="single"/>
          <w:lang w:val="zh-CN"/>
        </w:rPr>
        <w:t xml:space="preserve">支付</w:t>
      </w:r>
      <w:r/>
    </w:p>
    <w:p>
      <w:pPr>
        <w:ind w:firstLine="480"/>
        <w:spacing w:line="500" w:lineRule="exact"/>
        <w:rPr>
          <w:rFonts w:ascii="宋体" w:hAnsi="宋体"/>
          <w:bCs/>
          <w:i/>
          <w:color w:val="000000"/>
          <w:sz w:val="24"/>
          <w:szCs w:val="21"/>
          <w:u w:val="single"/>
          <w:lang w:val="zh-CN"/>
        </w:rPr>
      </w:pPr>
      <w:r>
        <w:rPr>
          <w:rFonts w:hint="eastAsia" w:ascii="宋体" w:hAnsi="宋体"/>
          <w:bCs/>
          <w:i/>
          <w:color w:val="000000"/>
          <w:sz w:val="24"/>
          <w:szCs w:val="21"/>
          <w:u w:val="single"/>
        </w:rPr>
        <w:t xml:space="preserve">7.1</w:t>
      </w:r>
      <w:r>
        <w:rPr>
          <w:rFonts w:hint="eastAsia" w:ascii="宋体" w:hAnsi="宋体"/>
          <w:bCs/>
          <w:i/>
          <w:color w:val="000000"/>
          <w:sz w:val="24"/>
          <w:szCs w:val="21"/>
          <w:u w:val="single"/>
          <w:lang w:val="zh-CN"/>
        </w:rPr>
        <w:t xml:space="preserve">合同款项的支付方式及进度安排：</w:t>
      </w:r>
      <w:r/>
    </w:p>
    <w:p>
      <w:pPr>
        <w:ind w:firstLine="480"/>
        <w:spacing w:line="500" w:lineRule="exact"/>
        <w:rPr>
          <w:rFonts w:ascii="宋体" w:hAnsi="宋体"/>
          <w:bCs/>
          <w:i/>
          <w:color w:val="000000"/>
          <w:sz w:val="24"/>
          <w:szCs w:val="21"/>
          <w:u w:val="single"/>
          <w:lang w:val="zh-CN"/>
        </w:rPr>
      </w:pPr>
      <w:r>
        <w:rPr>
          <w:rFonts w:hint="eastAsia" w:ascii="宋体" w:hAnsi="宋体"/>
          <w:bCs/>
          <w:i/>
          <w:color w:val="000000"/>
          <w:sz w:val="24"/>
          <w:szCs w:val="21"/>
          <w:u w:val="single"/>
        </w:rPr>
        <w:t xml:space="preserve">7.1.1</w:t>
      </w:r>
      <w:r>
        <w:rPr>
          <w:rFonts w:hint="eastAsia" w:ascii="宋体" w:hAnsi="宋体"/>
          <w:bCs/>
          <w:i/>
          <w:color w:val="000000"/>
          <w:sz w:val="24"/>
          <w:szCs w:val="21"/>
          <w:u w:val="single"/>
          <w:lang w:val="zh-CN"/>
        </w:rPr>
        <w:t xml:space="preserve">预付款支付时间：自合同签订生效之日起，收到乙方发票10个工作日内，预付款支付比例：合同金额的30%。（</w:t>
      </w:r>
      <w:r>
        <w:rPr>
          <w:rFonts w:hint="eastAsia" w:ascii="宋体" w:hAnsi="宋体" w:cs="宋体"/>
          <w:i/>
          <w:color w:val="000000"/>
          <w:sz w:val="24"/>
          <w:u w:val="single"/>
        </w:rPr>
        <w:t xml:space="preserve">在签订合同时，供应商明确表示无需预付款或者主动要求降低预付款比例的，采购人可不适用前述规定</w:t>
      </w:r>
      <w:r>
        <w:rPr>
          <w:rFonts w:hint="eastAsia" w:ascii="宋体" w:hAnsi="宋体"/>
          <w:bCs/>
          <w:i/>
          <w:color w:val="000000"/>
          <w:sz w:val="24"/>
          <w:szCs w:val="21"/>
          <w:u w:val="single"/>
          <w:lang w:val="zh-CN"/>
        </w:rPr>
        <w:t xml:space="preserve">）</w:t>
      </w:r>
      <w:r/>
    </w:p>
    <w:p>
      <w:pPr>
        <w:ind w:firstLine="480"/>
        <w:spacing w:line="500" w:lineRule="exact"/>
        <w:rPr>
          <w:rFonts w:ascii="宋体" w:hAnsi="宋体"/>
          <w:bCs/>
          <w:i/>
          <w:color w:val="000000"/>
          <w:sz w:val="24"/>
          <w:szCs w:val="21"/>
          <w:u w:val="single"/>
          <w:lang w:val="zh-CN"/>
        </w:rPr>
      </w:pPr>
      <w:r>
        <w:rPr>
          <w:rFonts w:hint="eastAsia" w:ascii="宋体" w:hAnsi="宋体"/>
          <w:bCs/>
          <w:i/>
          <w:color w:val="000000"/>
          <w:sz w:val="24"/>
          <w:szCs w:val="21"/>
          <w:u w:val="single"/>
        </w:rPr>
        <w:t xml:space="preserve">7.1.2</w:t>
      </w:r>
      <w:r>
        <w:rPr>
          <w:rFonts w:hint="eastAsia" w:ascii="宋体" w:hAnsi="宋体"/>
          <w:bCs/>
          <w:i/>
          <w:color w:val="000000"/>
          <w:sz w:val="24"/>
          <w:szCs w:val="21"/>
          <w:u w:val="single"/>
          <w:lang w:val="zh-CN"/>
        </w:rPr>
        <w:t xml:space="preserve">尾款支付时间：产品验收通过,采购人收到发票后10个工作日内，尾款支付比例：合同金额的70%。</w:t>
      </w:r>
      <w:r/>
    </w:p>
    <w:p>
      <w:pPr>
        <w:ind w:firstLine="482"/>
        <w:spacing w:line="500" w:lineRule="exact"/>
        <w:rPr>
          <w:rFonts w:ascii="宋体" w:hAnsi="宋体" w:cs="宋体"/>
          <w:b/>
          <w:i/>
          <w:iCs/>
          <w:sz w:val="24"/>
          <w:u w:val="single"/>
        </w:rPr>
      </w:pPr>
      <w:r>
        <w:rPr>
          <w:rFonts w:hint="eastAsia" w:ascii="宋体" w:hAnsi="宋体" w:cs="宋体"/>
          <w:b/>
          <w:i/>
          <w:iCs/>
          <w:sz w:val="24"/>
          <w:u w:val="single"/>
        </w:rPr>
        <w:t xml:space="preserve">注：商务条款中斜体且有下划线部分为为实质性要求，投标人应在《商务要求响应及偏离表》列出并完全响应招标文件要求，否则将视为未实质性响应采购要求【供应商完全同意条款（即无偏离）或提出对采购人更有利的条款（即正偏离）都属于响应，供应商不同意某项条款（即负偏离）的属于不响应】，按无效响应处理。</w:t>
      </w:r>
      <w:r/>
    </w:p>
    <w:p>
      <w:pPr>
        <w:numPr>
          <w:ilvl w:val="0"/>
          <w:numId w:val="6"/>
        </w:numPr>
        <w:ind w:firstLine="482"/>
        <w:jc w:val="left"/>
        <w:spacing w:line="500" w:lineRule="exact"/>
        <w:rPr>
          <w:rFonts w:ascii="宋体" w:hAnsi="宋体"/>
          <w:b/>
          <w:color w:val="000000"/>
          <w:sz w:val="24"/>
          <w:szCs w:val="21"/>
        </w:rPr>
      </w:pPr>
      <w:r>
        <w:rPr>
          <w:rFonts w:hint="eastAsia" w:ascii="宋体" w:hAnsi="宋体"/>
          <w:b/>
          <w:color w:val="000000"/>
          <w:sz w:val="24"/>
          <w:szCs w:val="21"/>
        </w:rPr>
        <w:t xml:space="preserve">其他要求</w:t>
      </w:r>
      <w:r/>
    </w:p>
    <w:p>
      <w:pPr>
        <w:ind w:firstLine="480"/>
        <w:spacing w:line="560" w:lineRule="exact"/>
        <w:widowControl/>
        <w:rPr>
          <w:rFonts w:ascii="宋体" w:hAnsi="宋体"/>
          <w:b/>
          <w:color w:val="000000"/>
          <w:sz w:val="24"/>
          <w:szCs w:val="21"/>
          <w:lang w:val="en"/>
        </w:rPr>
      </w:pPr>
      <w:r>
        <w:rPr>
          <w:rFonts w:hint="eastAsia" w:ascii="宋体" w:hAnsi="宋体" w:cs="宋体"/>
          <w:b/>
          <w:color w:val="000000"/>
          <w:sz w:val="28"/>
        </w:rPr>
        <w:t xml:space="preserve">1.</w:t>
      </w:r>
      <w:r>
        <w:rPr>
          <w:rFonts w:ascii="宋体" w:hAnsi="宋体" w:cs="宋体"/>
          <w:b/>
          <w:color w:val="000000"/>
          <w:sz w:val="28"/>
        </w:rPr>
        <w:t xml:space="preserve">方案要求</w:t>
      </w:r>
      <w:r/>
    </w:p>
    <w:p>
      <w:pPr>
        <w:ind w:firstLine="480"/>
        <w:spacing w:line="500" w:lineRule="exact"/>
        <w:rPr>
          <w:rFonts w:ascii="宋体" w:hAnsi="宋体" w:cs="宋体"/>
          <w:sz w:val="24"/>
          <w:szCs w:val="21"/>
        </w:rPr>
      </w:pPr>
      <w:r>
        <w:rPr>
          <w:rFonts w:hint="eastAsia" w:ascii="宋体" w:hAnsi="宋体" w:cs="宋体"/>
          <w:color w:val="000000"/>
          <w:sz w:val="24"/>
        </w:rPr>
        <w:t xml:space="preserve">1.</w:t>
      </w:r>
      <w:r>
        <w:rPr>
          <w:rFonts w:hint="eastAsia" w:ascii="宋体" w:hAnsi="宋体" w:cs="宋体"/>
          <w:b/>
          <w:color w:val="000000"/>
          <w:sz w:val="24"/>
        </w:rPr>
        <w:t xml:space="preserve">实施进度及技术：</w:t>
      </w:r>
      <w:r>
        <w:rPr>
          <w:rFonts w:hint="eastAsia" w:ascii="宋体" w:hAnsi="宋体" w:cs="宋体"/>
          <w:color w:val="000000"/>
          <w:sz w:val="24"/>
        </w:rPr>
        <w:t xml:space="preserve">根据对投标人的</w:t>
      </w:r>
      <w:r>
        <w:rPr>
          <w:rFonts w:hint="eastAsia" w:ascii="宋体" w:hAnsi="宋体" w:cs="宋体"/>
          <w:bCs/>
          <w:sz w:val="24"/>
          <w:lang w:val="zh-CN"/>
        </w:rPr>
        <w:t xml:space="preserve">方案</w:t>
      </w:r>
      <w:r>
        <w:rPr>
          <w:rFonts w:hint="eastAsia" w:ascii="宋体" w:hAnsi="宋体" w:cs="宋体"/>
          <w:bCs/>
          <w:sz w:val="24"/>
        </w:rPr>
        <w:t xml:space="preserve">内容</w:t>
      </w:r>
      <w:r>
        <w:rPr>
          <w:rFonts w:hint="eastAsia" w:ascii="宋体" w:hAnsi="宋体" w:cs="宋体"/>
          <w:bCs/>
          <w:sz w:val="24"/>
          <w:lang w:val="zh-CN"/>
        </w:rPr>
        <w:t xml:space="preserve">编制完整、科学、可行</w:t>
      </w:r>
      <w:r>
        <w:rPr>
          <w:rFonts w:hint="eastAsia" w:ascii="宋体" w:hAnsi="宋体" w:cs="宋体"/>
          <w:bCs/>
          <w:sz w:val="24"/>
        </w:rPr>
        <w:t xml:space="preserve">性，针对</w:t>
      </w:r>
      <w:r>
        <w:rPr>
          <w:rFonts w:hint="eastAsia" w:ascii="宋体" w:hAnsi="宋体" w:cs="宋体"/>
          <w:bCs/>
          <w:sz w:val="24"/>
          <w:lang w:val="zh-CN"/>
        </w:rPr>
        <w:t xml:space="preserve">本项目设计科学的程序和方法，对</w:t>
      </w:r>
      <w:r>
        <w:rPr>
          <w:rFonts w:hint="eastAsia" w:ascii="宋体" w:hAnsi="宋体" w:cs="宋体"/>
          <w:bCs/>
          <w:sz w:val="24"/>
        </w:rPr>
        <w:t xml:space="preserve">本次项目的进度及设备技术</w:t>
      </w:r>
      <w:r>
        <w:rPr>
          <w:rFonts w:hint="eastAsia" w:ascii="宋体" w:hAnsi="宋体" w:cs="宋体"/>
          <w:bCs/>
          <w:sz w:val="24"/>
          <w:lang w:val="zh-CN"/>
        </w:rPr>
        <w:t xml:space="preserve">等方面</w:t>
      </w:r>
      <w:r>
        <w:rPr>
          <w:rFonts w:hint="eastAsia" w:ascii="宋体" w:hAnsi="宋体" w:cs="宋体"/>
          <w:bCs/>
          <w:sz w:val="24"/>
        </w:rPr>
        <w:t xml:space="preserve">进行评分至少包含：</w:t>
      </w:r>
      <w:r/>
    </w:p>
    <w:p>
      <w:pPr>
        <w:ind w:firstLine="480"/>
        <w:spacing w:line="500" w:lineRule="exact"/>
        <w:rPr>
          <w:rFonts w:ascii="宋体" w:hAnsi="宋体" w:cs="宋体"/>
          <w:sz w:val="24"/>
          <w:szCs w:val="21"/>
        </w:rPr>
      </w:pPr>
      <w:r>
        <w:rPr>
          <w:rFonts w:hint="eastAsia" w:ascii="宋体" w:hAnsi="宋体" w:cs="宋体"/>
          <w:sz w:val="24"/>
          <w:szCs w:val="21"/>
        </w:rPr>
        <w:t xml:space="preserve">（1）投标人应根据采购需求和本项目实际，提供本项目实施方案，方案应包括：进度安排</w:t>
      </w:r>
      <w:r>
        <w:rPr>
          <w:rFonts w:hint="eastAsia" w:ascii="宋体" w:hAnsi="宋体" w:cs="宋体"/>
          <w:bCs/>
          <w:color w:val="000000"/>
          <w:sz w:val="24"/>
        </w:rPr>
        <w:t xml:space="preserve">必须在合同签订后60个日历天内完成到货、安装、调试工作并交付使用，中标价包括安装调试过程中产生的一切费用并提供</w:t>
      </w:r>
      <w:r>
        <w:rPr>
          <w:rFonts w:hint="eastAsia" w:ascii="宋体" w:hAnsi="宋体" w:cs="宋体"/>
          <w:sz w:val="24"/>
          <w:szCs w:val="21"/>
        </w:rPr>
        <w:t xml:space="preserve">进度计划表。</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cs="宋体"/>
          <w:sz w:val="24"/>
          <w:szCs w:val="21"/>
        </w:rPr>
        <w:t xml:space="preserve">（</w:t>
      </w:r>
      <w:r>
        <w:rPr>
          <w:rFonts w:ascii="宋体" w:hAnsi="宋体" w:cs="宋体"/>
          <w:sz w:val="24"/>
          <w:szCs w:val="21"/>
        </w:rPr>
        <w:t xml:space="preserve">2</w:t>
      </w:r>
      <w:r>
        <w:rPr>
          <w:rFonts w:hint="eastAsia" w:ascii="宋体" w:hAnsi="宋体" w:cs="宋体"/>
          <w:sz w:val="24"/>
          <w:szCs w:val="21"/>
        </w:rPr>
        <w:t xml:space="preserve">）</w:t>
      </w:r>
      <w:r>
        <w:rPr>
          <w:rFonts w:hint="eastAsia" w:ascii="宋体" w:hAnsi="宋体"/>
          <w:bCs/>
          <w:color w:val="000000"/>
          <w:sz w:val="24"/>
          <w:szCs w:val="21"/>
          <w:lang w:val="en"/>
        </w:rPr>
        <w:t xml:space="preserve">设备保修期满以后，中标单位依然能提供广泛而优惠的技术支持及备件供应。符合国家现行相关规范标准及有关部门颁布的相应的最新标准，并满足招标人的使用需求。</w:t>
      </w:r>
      <w:r/>
    </w:p>
    <w:p>
      <w:pPr>
        <w:ind w:firstLine="482"/>
        <w:spacing w:before="60" w:after="60" w:line="440" w:lineRule="exact"/>
        <w:rPr>
          <w:rFonts w:ascii="宋体" w:hAnsi="宋体"/>
          <w:bCs/>
          <w:color w:val="000000"/>
          <w:sz w:val="24"/>
          <w:szCs w:val="21"/>
          <w:lang w:val="en"/>
        </w:rPr>
      </w:pPr>
      <w:r>
        <w:rPr>
          <w:rFonts w:hint="eastAsia" w:ascii="宋体" w:hAnsi="宋体"/>
          <w:b/>
          <w:bCs/>
          <w:color w:val="000000"/>
          <w:sz w:val="24"/>
          <w:szCs w:val="21"/>
          <w:lang w:val="en"/>
        </w:rPr>
        <w:t xml:space="preserve">2．售后服务方案；</w:t>
      </w:r>
      <w:r>
        <w:rPr>
          <w:rFonts w:hint="eastAsia" w:ascii="宋体" w:hAnsi="宋体" w:cs="宋体"/>
          <w:color w:val="000000"/>
          <w:sz w:val="24"/>
        </w:rPr>
        <w:t xml:space="preserve">根据对投标人的</w:t>
      </w:r>
      <w:r>
        <w:rPr>
          <w:rFonts w:hint="eastAsia" w:ascii="宋体" w:hAnsi="宋体" w:cs="宋体"/>
          <w:bCs/>
          <w:sz w:val="24"/>
          <w:lang w:val="zh-CN"/>
        </w:rPr>
        <w:t xml:space="preserve">方案</w:t>
      </w:r>
      <w:r>
        <w:rPr>
          <w:rFonts w:hint="eastAsia" w:ascii="宋体" w:hAnsi="宋体" w:cs="宋体"/>
          <w:bCs/>
          <w:sz w:val="24"/>
        </w:rPr>
        <w:t xml:space="preserve">内容</w:t>
      </w:r>
      <w:r>
        <w:rPr>
          <w:rFonts w:hint="eastAsia" w:ascii="宋体" w:hAnsi="宋体" w:cs="宋体"/>
          <w:bCs/>
          <w:sz w:val="24"/>
          <w:lang w:val="zh-CN"/>
        </w:rPr>
        <w:t xml:space="preserve">编制完整、科学、可行</w:t>
      </w:r>
      <w:r>
        <w:rPr>
          <w:rFonts w:hint="eastAsia" w:ascii="宋体" w:hAnsi="宋体" w:cs="宋体"/>
          <w:bCs/>
          <w:sz w:val="24"/>
        </w:rPr>
        <w:t xml:space="preserve">性，针对</w:t>
      </w:r>
      <w:r>
        <w:rPr>
          <w:rFonts w:hint="eastAsia" w:ascii="宋体" w:hAnsi="宋体" w:cs="宋体"/>
          <w:bCs/>
          <w:sz w:val="24"/>
          <w:lang w:val="zh-CN"/>
        </w:rPr>
        <w:t xml:space="preserve">本项目设计科学的程序和方法，对</w:t>
      </w:r>
      <w:r>
        <w:rPr>
          <w:rFonts w:hint="eastAsia" w:ascii="宋体" w:hAnsi="宋体" w:cs="宋体"/>
          <w:bCs/>
          <w:sz w:val="24"/>
        </w:rPr>
        <w:t xml:space="preserve">本次项目的</w:t>
      </w:r>
      <w:r>
        <w:rPr>
          <w:rFonts w:hint="eastAsia" w:ascii="宋体" w:hAnsi="宋体" w:cs="宋体"/>
          <w:color w:val="000000"/>
          <w:sz w:val="24"/>
        </w:rPr>
        <w:t xml:space="preserve">售后服务具体实施</w:t>
      </w:r>
      <w:r>
        <w:rPr>
          <w:rFonts w:hint="eastAsia" w:ascii="宋体" w:hAnsi="宋体" w:cs="宋体"/>
          <w:bCs/>
          <w:sz w:val="24"/>
          <w:lang w:val="zh-CN"/>
        </w:rPr>
        <w:t xml:space="preserve">等方面</w:t>
      </w:r>
      <w:r>
        <w:rPr>
          <w:rFonts w:hint="eastAsia" w:ascii="宋体" w:hAnsi="宋体" w:cs="宋体"/>
          <w:bCs/>
          <w:sz w:val="24"/>
        </w:rPr>
        <w:t xml:space="preserve">进行评分至少包含：</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w:t>
      </w:r>
      <w:r>
        <w:rPr>
          <w:rFonts w:ascii="宋体" w:hAnsi="宋体"/>
          <w:bCs/>
          <w:color w:val="000000"/>
          <w:sz w:val="24"/>
          <w:szCs w:val="21"/>
          <w:lang w:val="en"/>
        </w:rPr>
        <w:t xml:space="preserve">2</w:t>
      </w:r>
      <w:r>
        <w:rPr>
          <w:rFonts w:hint="eastAsia" w:ascii="宋体" w:hAnsi="宋体"/>
          <w:bCs/>
          <w:color w:val="000000"/>
          <w:sz w:val="24"/>
          <w:szCs w:val="21"/>
          <w:lang w:val="en"/>
        </w:rPr>
        <w:t xml:space="preserve">）在保修期内免费提供零件及服务，并应及时有效。保修期后提供长期优质服务。在使用寿命期内，中标人保证对设备的零件、易损件的供应（需附易损件清单，清单需要包含品名、规格、数量、单价）。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w:t>
      </w:r>
      <w:r>
        <w:rPr>
          <w:rFonts w:ascii="宋体" w:hAnsi="宋体"/>
          <w:bCs/>
          <w:color w:val="000000"/>
          <w:sz w:val="24"/>
          <w:szCs w:val="21"/>
          <w:lang w:val="en"/>
        </w:rPr>
        <w:t xml:space="preserve">3</w:t>
      </w:r>
      <w:r>
        <w:rPr>
          <w:rFonts w:hint="eastAsia" w:ascii="宋体" w:hAnsi="宋体"/>
          <w:bCs/>
          <w:color w:val="000000"/>
          <w:sz w:val="24"/>
          <w:szCs w:val="21"/>
          <w:lang w:val="en"/>
        </w:rPr>
        <w:t xml:space="preserve">）提供7×24小时的故障受理及技术咨询服务，接到报修电话通知后，在2小时内响应并在24小时内安排处理，对于七天内不能修复的设备，提供同型号或性能相近的备用设备。</w:t>
      </w:r>
      <w:r/>
    </w:p>
    <w:p>
      <w:pPr>
        <w:ind w:firstLine="482"/>
        <w:spacing w:before="60" w:after="60" w:line="440" w:lineRule="exact"/>
        <w:rPr>
          <w:rFonts w:ascii="宋体" w:hAnsi="宋体"/>
          <w:bCs/>
          <w:color w:val="000000"/>
          <w:sz w:val="24"/>
          <w:szCs w:val="21"/>
          <w:lang w:val="en"/>
        </w:rPr>
      </w:pPr>
      <w:r>
        <w:rPr>
          <w:rFonts w:hint="eastAsia" w:ascii="宋体" w:hAnsi="宋体" w:cs="宋体"/>
          <w:b/>
          <w:color w:val="000000"/>
          <w:sz w:val="24"/>
        </w:rPr>
        <w:t xml:space="preserve">3.培训方案</w:t>
      </w:r>
      <w:r>
        <w:rPr>
          <w:rFonts w:hint="eastAsia" w:ascii="宋体" w:hAnsi="宋体"/>
          <w:b/>
          <w:color w:val="000000"/>
          <w:sz w:val="24"/>
          <w:szCs w:val="21"/>
          <w:lang w:val="en"/>
        </w:rPr>
        <w:t xml:space="preserve">包括</w:t>
      </w:r>
      <w:r>
        <w:rPr>
          <w:rFonts w:hint="eastAsia" w:ascii="宋体" w:hAnsi="宋体"/>
          <w:bCs/>
          <w:color w:val="000000"/>
          <w:sz w:val="24"/>
          <w:szCs w:val="21"/>
          <w:lang w:val="en"/>
        </w:rPr>
        <w:t xml:space="preserve">：</w:t>
      </w:r>
      <w:r>
        <w:rPr>
          <w:rFonts w:hint="eastAsia" w:ascii="宋体" w:hAnsi="宋体" w:cs="宋体"/>
          <w:color w:val="000000"/>
          <w:sz w:val="24"/>
        </w:rPr>
        <w:t xml:space="preserve">根据对投标人的</w:t>
      </w:r>
      <w:r>
        <w:rPr>
          <w:rFonts w:hint="eastAsia" w:ascii="宋体" w:hAnsi="宋体" w:cs="宋体"/>
          <w:bCs/>
          <w:sz w:val="24"/>
          <w:lang w:val="zh-CN"/>
        </w:rPr>
        <w:t xml:space="preserve">方案</w:t>
      </w:r>
      <w:r>
        <w:rPr>
          <w:rFonts w:hint="eastAsia" w:ascii="宋体" w:hAnsi="宋体" w:cs="宋体"/>
          <w:bCs/>
          <w:sz w:val="24"/>
        </w:rPr>
        <w:t xml:space="preserve">内容</w:t>
      </w:r>
      <w:r>
        <w:rPr>
          <w:rFonts w:hint="eastAsia" w:ascii="宋体" w:hAnsi="宋体" w:cs="宋体"/>
          <w:bCs/>
          <w:sz w:val="24"/>
          <w:lang w:val="zh-CN"/>
        </w:rPr>
        <w:t xml:space="preserve">编制完整、科学、可行</w:t>
      </w:r>
      <w:r>
        <w:rPr>
          <w:rFonts w:hint="eastAsia" w:ascii="宋体" w:hAnsi="宋体" w:cs="宋体"/>
          <w:bCs/>
          <w:sz w:val="24"/>
        </w:rPr>
        <w:t xml:space="preserve">性，针对</w:t>
      </w:r>
      <w:r>
        <w:rPr>
          <w:rFonts w:hint="eastAsia" w:ascii="宋体" w:hAnsi="宋体" w:cs="宋体"/>
          <w:bCs/>
          <w:sz w:val="24"/>
          <w:lang w:val="zh-CN"/>
        </w:rPr>
        <w:t xml:space="preserve">本项目设计科学的程序和方法，对</w:t>
      </w:r>
      <w:r>
        <w:rPr>
          <w:rFonts w:hint="eastAsia" w:ascii="宋体" w:hAnsi="宋体" w:cs="宋体"/>
          <w:bCs/>
          <w:sz w:val="24"/>
        </w:rPr>
        <w:t xml:space="preserve">本次项目的</w:t>
      </w:r>
      <w:r>
        <w:rPr>
          <w:rFonts w:hint="eastAsia" w:ascii="宋体" w:hAnsi="宋体" w:cs="宋体"/>
          <w:color w:val="000000"/>
          <w:sz w:val="24"/>
        </w:rPr>
        <w:t xml:space="preserve">培训方案具体实施</w:t>
      </w:r>
      <w:r>
        <w:rPr>
          <w:rFonts w:hint="eastAsia" w:ascii="宋体" w:hAnsi="宋体" w:cs="宋体"/>
          <w:bCs/>
          <w:sz w:val="24"/>
          <w:lang w:val="zh-CN"/>
        </w:rPr>
        <w:t xml:space="preserve">等方面</w:t>
      </w:r>
      <w:r>
        <w:rPr>
          <w:rFonts w:hint="eastAsia" w:ascii="宋体" w:hAnsi="宋体" w:cs="宋体"/>
          <w:bCs/>
          <w:sz w:val="24"/>
        </w:rPr>
        <w:t xml:space="preserve">进行评分至少包含：</w:t>
      </w:r>
      <w:r/>
    </w:p>
    <w:p>
      <w:pPr>
        <w:ind w:left="420"/>
        <w:spacing w:line="500" w:lineRule="exact"/>
        <w:tabs>
          <w:tab w:val="left" w:pos="851" w:leader="none"/>
        </w:tabs>
        <w:rPr>
          <w:rFonts w:ascii="宋体" w:hAnsi="宋体"/>
          <w:color w:val="000000"/>
          <w:sz w:val="24"/>
          <w:lang w:val="en"/>
        </w:rPr>
      </w:pPr>
      <w:r>
        <w:rPr>
          <w:rFonts w:hint="eastAsia" w:ascii="宋体" w:hAnsi="宋体" w:cs="宋体"/>
          <w:sz w:val="24"/>
          <w:szCs w:val="21"/>
        </w:rPr>
        <w:t xml:space="preserve">（</w:t>
      </w:r>
      <w:r>
        <w:rPr>
          <w:rFonts w:ascii="宋体" w:hAnsi="宋体" w:cs="宋体"/>
          <w:sz w:val="24"/>
          <w:szCs w:val="21"/>
        </w:rPr>
        <w:t xml:space="preserve">1</w:t>
      </w:r>
      <w:r>
        <w:rPr>
          <w:rFonts w:hint="eastAsia" w:ascii="宋体" w:hAnsi="宋体" w:cs="宋体"/>
          <w:sz w:val="24"/>
          <w:szCs w:val="21"/>
        </w:rPr>
        <w:t xml:space="preserve">）</w:t>
      </w:r>
      <w:r>
        <w:rPr>
          <w:rFonts w:hint="eastAsia" w:ascii="宋体" w:hAnsi="宋体"/>
          <w:bCs/>
          <w:color w:val="000000"/>
          <w:sz w:val="24"/>
          <w:szCs w:val="21"/>
          <w:lang w:val="en"/>
        </w:rPr>
        <w:t xml:space="preserve">包括技术、维修和操作培训，含工作原理，设备的编程、操作使用和维护方法</w:t>
      </w:r>
      <w:r>
        <w:rPr>
          <w:rFonts w:ascii="宋体" w:hAnsi="宋体"/>
          <w:bCs/>
          <w:color w:val="000000"/>
          <w:sz w:val="24"/>
          <w:szCs w:val="21"/>
          <w:lang w:val="en"/>
        </w:rPr>
        <w:t xml:space="preserve"> </w:t>
      </w:r>
      <w:r>
        <w:rPr>
          <w:rFonts w:hint="eastAsia" w:ascii="宋体" w:hAnsi="宋体"/>
          <w:bCs/>
          <w:color w:val="000000"/>
          <w:sz w:val="24"/>
          <w:szCs w:val="21"/>
          <w:lang w:val="en"/>
        </w:rPr>
        <w:t xml:space="preserve">。</w:t>
      </w:r>
      <w:r/>
    </w:p>
    <w:p>
      <w:pPr>
        <w:ind w:left="420"/>
        <w:spacing w:line="500" w:lineRule="exact"/>
        <w:tabs>
          <w:tab w:val="left" w:pos="851" w:leader="none"/>
        </w:tabs>
        <w:rPr>
          <w:rFonts w:ascii="宋体" w:hAnsi="宋体"/>
          <w:color w:val="000000"/>
          <w:sz w:val="24"/>
          <w:lang w:val="en"/>
        </w:rPr>
      </w:pPr>
      <w:r>
        <w:rPr>
          <w:rFonts w:hint="eastAsia" w:ascii="宋体" w:hAnsi="宋体" w:cs="宋体"/>
          <w:sz w:val="24"/>
          <w:szCs w:val="21"/>
        </w:rPr>
        <w:t xml:space="preserve">（</w:t>
      </w:r>
      <w:r>
        <w:rPr>
          <w:rFonts w:ascii="宋体" w:hAnsi="宋体" w:cs="宋体"/>
          <w:sz w:val="24"/>
          <w:szCs w:val="21"/>
        </w:rPr>
        <w:t xml:space="preserve">2</w:t>
      </w:r>
      <w:r>
        <w:rPr>
          <w:rFonts w:hint="eastAsia" w:ascii="宋体" w:hAnsi="宋体" w:cs="宋体"/>
          <w:sz w:val="24"/>
          <w:szCs w:val="21"/>
        </w:rPr>
        <w:t xml:space="preserve">）</w:t>
      </w:r>
      <w:r>
        <w:rPr>
          <w:rFonts w:hint="eastAsia" w:ascii="宋体" w:hAnsi="宋体"/>
          <w:bCs/>
          <w:color w:val="000000"/>
          <w:sz w:val="24"/>
          <w:szCs w:val="21"/>
          <w:lang w:val="en"/>
        </w:rPr>
        <w:t xml:space="preserve">达到正确检修、维护和排除故障的水平。设备运行后，按用户指定免费培训操作人员及维修人员，在系统和设备的安装、检验、调试、使用和维护等方面对采购人技术人员进行现场和专项技术培训，使其能够掌握设备的操作使用方法以及必要的维护技能，教会为止,保证受培训人员能独立操作，培训费用由中标单位承担。</w:t>
      </w:r>
      <w:r/>
    </w:p>
    <w:p>
      <w:pPr>
        <w:ind w:firstLine="480"/>
        <w:jc w:val="left"/>
        <w:spacing w:line="500" w:lineRule="exact"/>
        <w:rPr>
          <w:rFonts w:ascii="宋体" w:hAnsi="宋体"/>
          <w:bCs/>
          <w:color w:val="000000"/>
          <w:sz w:val="24"/>
          <w:szCs w:val="21"/>
          <w:lang w:val="en"/>
        </w:rPr>
      </w:pPr>
      <w:r/>
      <w:bookmarkStart w:id="164" w:name="OLE_LINK62"/>
      <w:r/>
      <w:bookmarkStart w:id="165" w:name="OLE_LINK63"/>
      <w:r>
        <w:rPr>
          <w:rFonts w:hint="eastAsia" w:ascii="宋体" w:hAnsi="宋体"/>
          <w:bCs/>
          <w:color w:val="000000"/>
          <w:sz w:val="24"/>
          <w:szCs w:val="21"/>
        </w:rPr>
        <w:t xml:space="preserve">4.</w:t>
      </w:r>
      <w:r>
        <w:rPr>
          <w:rFonts w:hint="eastAsia" w:ascii="宋体" w:hAnsi="宋体"/>
          <w:bCs/>
          <w:color w:val="000000"/>
          <w:sz w:val="24"/>
          <w:szCs w:val="21"/>
          <w:lang w:val="en"/>
        </w:rPr>
        <w:t xml:space="preserve">投标人需具有</w:t>
      </w:r>
      <w:r>
        <w:rPr>
          <w:rFonts w:hint="eastAsia" w:ascii="宋体" w:hAnsi="宋体" w:cs="宋体"/>
          <w:sz w:val="24"/>
        </w:rPr>
        <w:t xml:space="preserve">（</w:t>
      </w:r>
      <w:r>
        <w:rPr>
          <w:rFonts w:hint="eastAsia" w:ascii="宋体" w:hAnsi="宋体" w:cs="宋体"/>
          <w:color w:val="000000"/>
          <w:sz w:val="24"/>
        </w:rPr>
        <w:t xml:space="preserve">心理健康相关设备</w:t>
      </w:r>
      <w:r>
        <w:rPr>
          <w:rFonts w:hint="eastAsia" w:ascii="宋体" w:hAnsi="宋体" w:cs="宋体"/>
          <w:sz w:val="24"/>
        </w:rPr>
        <w:t xml:space="preserve">）</w:t>
      </w:r>
      <w:r>
        <w:rPr>
          <w:rFonts w:hint="eastAsia" w:ascii="宋体" w:hAnsi="宋体"/>
          <w:bCs/>
          <w:color w:val="000000"/>
          <w:sz w:val="24"/>
          <w:szCs w:val="21"/>
          <w:lang w:val="en"/>
        </w:rPr>
        <w:t xml:space="preserve">相关承接经验，为了确保项目的顺利实施，投标人自202</w:t>
      </w:r>
      <w:r>
        <w:rPr>
          <w:rFonts w:ascii="宋体" w:hAnsi="宋体"/>
          <w:bCs/>
          <w:color w:val="000000"/>
          <w:sz w:val="24"/>
          <w:szCs w:val="21"/>
          <w:lang w:val="en"/>
        </w:rPr>
        <w:t xml:space="preserve">2</w:t>
      </w:r>
      <w:r>
        <w:rPr>
          <w:rFonts w:hint="eastAsia" w:ascii="宋体" w:hAnsi="宋体"/>
          <w:bCs/>
          <w:color w:val="000000"/>
          <w:sz w:val="24"/>
          <w:szCs w:val="21"/>
          <w:lang w:val="en"/>
        </w:rPr>
        <w:t xml:space="preserve">年1月1日（以合同签订时间为准）起</w:t>
      </w:r>
      <w:r>
        <w:rPr>
          <w:rFonts w:hint="eastAsia" w:ascii="宋体" w:hAnsi="宋体" w:cs="宋体"/>
          <w:color w:val="000000"/>
          <w:sz w:val="24"/>
        </w:rPr>
        <w:t xml:space="preserve">类</w:t>
      </w:r>
      <w:r>
        <w:rPr>
          <w:rFonts w:hint="eastAsia" w:ascii="宋体" w:hAnsi="宋体"/>
          <w:bCs/>
          <w:color w:val="000000"/>
          <w:sz w:val="24"/>
          <w:szCs w:val="21"/>
          <w:lang w:val="en"/>
        </w:rPr>
        <w:t xml:space="preserve">似案例（</w:t>
      </w:r>
      <w:r>
        <w:rPr>
          <w:rFonts w:hint="eastAsia" w:ascii="宋体" w:hAnsi="宋体" w:cs="宋体"/>
          <w:color w:val="000000"/>
          <w:sz w:val="24"/>
        </w:rPr>
        <w:t xml:space="preserve">心理健康相关设备</w:t>
      </w:r>
      <w:r>
        <w:rPr>
          <w:rFonts w:hint="eastAsia" w:ascii="宋体" w:hAnsi="宋体"/>
          <w:bCs/>
          <w:color w:val="000000"/>
          <w:sz w:val="24"/>
          <w:szCs w:val="21"/>
          <w:lang w:val="en"/>
        </w:rPr>
        <w:t xml:space="preserve">）业绩的优先。</w:t>
      </w:r>
      <w:bookmarkEnd w:id="164"/>
      <w:r/>
      <w:bookmarkEnd w:id="165"/>
      <w:r/>
      <w:r/>
    </w:p>
    <w:p>
      <w:pPr>
        <w:ind w:firstLine="480"/>
        <w:jc w:val="left"/>
        <w:spacing w:line="500" w:lineRule="exact"/>
        <w:rPr>
          <w:rFonts w:ascii="宋体" w:hAnsi="宋体"/>
          <w:bCs/>
          <w:color w:val="000000"/>
          <w:sz w:val="24"/>
          <w:szCs w:val="21"/>
        </w:rPr>
      </w:pPr>
      <w:r>
        <w:rPr>
          <w:rFonts w:hint="eastAsia" w:ascii="宋体" w:hAnsi="宋体"/>
          <w:bCs/>
          <w:color w:val="000000"/>
          <w:sz w:val="24"/>
          <w:szCs w:val="21"/>
          <w:lang w:val="en-US" w:eastAsia="zh-CN"/>
        </w:rPr>
        <w:t xml:space="preserve">5</w:t>
      </w:r>
      <w:r>
        <w:rPr>
          <w:rFonts w:hint="eastAsia" w:ascii="宋体" w:hAnsi="宋体"/>
          <w:bCs/>
          <w:color w:val="000000"/>
          <w:sz w:val="24"/>
          <w:szCs w:val="21"/>
        </w:rPr>
        <w:t xml:space="preserve">.</w:t>
      </w:r>
      <w:r>
        <w:rPr>
          <w:rFonts w:hint="eastAsia" w:ascii="宋体" w:hAnsi="宋体" w:cs="宋体"/>
          <w:color w:val="000000"/>
          <w:sz w:val="24"/>
        </w:rPr>
        <w:t xml:space="preserve">在三年质保服务期的基础上，每增加质保的优先。</w:t>
      </w:r>
      <w:r/>
    </w:p>
    <w:p>
      <w:pPr>
        <w:ind w:firstLine="480"/>
        <w:jc w:val="left"/>
        <w:spacing w:line="500" w:lineRule="exact"/>
        <w:rPr>
          <w:rFonts w:hint="eastAsia" w:ascii="宋体" w:hAnsi="宋体" w:cs="宋体"/>
          <w:sz w:val="24"/>
        </w:rPr>
      </w:pPr>
      <w:r>
        <w:rPr>
          <w:rFonts w:hint="eastAsia" w:ascii="宋体" w:hAnsi="宋体"/>
          <w:bCs/>
          <w:color w:val="000000"/>
          <w:sz w:val="24"/>
          <w:szCs w:val="21"/>
          <w:lang w:val="en-US" w:eastAsia="zh-CN"/>
        </w:rPr>
        <w:t xml:space="preserve">6</w:t>
      </w:r>
      <w:r>
        <w:rPr>
          <w:rFonts w:hint="eastAsia" w:ascii="宋体" w:hAnsi="宋体"/>
          <w:bCs/>
          <w:color w:val="000000"/>
          <w:sz w:val="24"/>
          <w:szCs w:val="21"/>
        </w:rPr>
        <w:t xml:space="preserve">.</w:t>
      </w:r>
      <w:r>
        <w:rPr>
          <w:rFonts w:hint="eastAsia" w:ascii="宋体" w:hAnsi="宋体"/>
          <w:bCs/>
          <w:color w:val="000000"/>
          <w:sz w:val="24"/>
          <w:szCs w:val="21"/>
          <w:lang w:val="en"/>
        </w:rPr>
        <w:t xml:space="preserve">投标产品属于财政部、国家发改委公布的“节能产品品目清单”范围内的优先；投标产品属于财政部、生态环境部公布的“环境标志产品品目清单”范围内的优先。</w:t>
      </w:r>
      <w:r>
        <w:rPr>
          <w:rFonts w:hint="eastAsia" w:ascii="宋体" w:hAnsi="宋体" w:cs="宋体"/>
          <w:sz w:val="24"/>
        </w:rPr>
        <w:t xml:space="preserve">有效的是指开标当日有效的证书。</w:t>
      </w:r>
      <w:r/>
    </w:p>
    <w:p>
      <w:pPr>
        <w:ind w:firstLine="480"/>
        <w:jc w:val="left"/>
        <w:spacing w:line="500" w:lineRule="exact"/>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szCs w:val="32"/>
          <w:lang w:val="en-US" w:eastAsia="zh-CN"/>
        </w:rPr>
        <w:t xml:space="preserve">7.</w:t>
      </w:r>
      <w:r>
        <w:rPr>
          <w:rFonts w:ascii="宋体" w:hAnsi="宋体" w:eastAsia="宋体" w:cs="宋体"/>
          <w:b w:val="0"/>
          <w:bCs/>
          <w:color w:val="auto"/>
          <w:sz w:val="24"/>
          <w:szCs w:val="32"/>
        </w:rPr>
        <w:t xml:space="preserve">供应商需按照招标文件规定的演示内容进行功能演示（视频画面须清晰，如不清晰导致评委无法评审的，责任由投标人自负），视频文件的格式为*.mp4或*.avi，供应商须将视频文件分段压缩为*.zip文件上传（单个文件不得大于50M，所有文件总共不得大于300M）。</w:t>
      </w:r>
      <w:r/>
    </w:p>
    <w:p>
      <w:pPr>
        <w:ind w:firstLine="420"/>
        <w:rPr>
          <w:rFonts w:hint="eastAsia" w:ascii="宋体" w:hAnsi="宋体"/>
          <w:b/>
          <w:color w:val="000000"/>
          <w:sz w:val="24"/>
          <w:szCs w:val="21"/>
        </w:rPr>
      </w:pPr>
      <w:r>
        <w:rPr>
          <w:rFonts w:hint="eastAsia" w:ascii="宋体" w:hAnsi="宋体"/>
          <w:b/>
          <w:color w:val="000000"/>
          <w:sz w:val="24"/>
          <w:szCs w:val="21"/>
        </w:rPr>
      </w:r>
      <w:r/>
    </w:p>
    <w:p>
      <w:pPr>
        <w:ind w:firstLine="420"/>
        <w:rPr>
          <w:rFonts w:ascii="宋体" w:hAnsi="宋体"/>
          <w:b/>
          <w:color w:val="000000"/>
          <w:sz w:val="24"/>
          <w:szCs w:val="21"/>
          <w:lang w:val="en"/>
        </w:rPr>
      </w:pPr>
      <w:r>
        <w:rPr>
          <w:rFonts w:hint="eastAsia" w:ascii="宋体" w:hAnsi="宋体"/>
          <w:b/>
          <w:color w:val="000000"/>
          <w:sz w:val="24"/>
          <w:szCs w:val="21"/>
        </w:rPr>
        <w:t xml:space="preserve">四.</w:t>
      </w:r>
      <w:r>
        <w:rPr>
          <w:rFonts w:hint="eastAsia" w:ascii="宋体" w:hAnsi="宋体"/>
          <w:b/>
          <w:color w:val="000000"/>
          <w:sz w:val="24"/>
          <w:szCs w:val="21"/>
          <w:lang w:val="en"/>
        </w:rPr>
        <w:t xml:space="preserve">采购标的对应的中小企业划分标准所属行业一览表</w:t>
      </w:r>
      <w:r/>
    </w:p>
    <w:p>
      <w:pPr>
        <w:rPr>
          <w:szCs w:val="21"/>
          <w:lang w:val="en"/>
        </w:rPr>
      </w:pPr>
      <w:r>
        <w:rPr>
          <w:szCs w:val="21"/>
          <w:lang w:val="en"/>
        </w:rPr>
      </w:r>
      <w:r/>
    </w:p>
    <w:tbl>
      <w:tblPr>
        <w:tblStyle w:val="717"/>
        <w:tblW w:w="933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263"/>
        <w:gridCol w:w="4422"/>
        <w:gridCol w:w="3653"/>
      </w:tblGrid>
      <w:tr>
        <w:trPr>
          <w:jc w:val="center"/>
          <w:tblCellSpacing w:w="0" w:type="dxa"/>
          <w:trHeight w:val="108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序号</w:t>
            </w:r>
            <w:r/>
          </w:p>
        </w:tc>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采购标的</w:t>
            </w:r>
            <w:r/>
          </w:p>
        </w:tc>
        <w:tc>
          <w:tcPr>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对应中小企业划分标准所属行业</w:t>
            </w:r>
            <w:r/>
          </w:p>
        </w:tc>
      </w:tr>
      <w:tr>
        <w:trPr>
          <w:jc w:val="center"/>
          <w:tblCellSpacing w:w="0" w:type="dxa"/>
          <w:trHeight w:val="116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1</w:t>
            </w:r>
            <w:r/>
          </w:p>
        </w:tc>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rPr>
              <w:t xml:space="preserve">江苏省盐城技师学院海洋路校区心理健康活动中心和学生职业生涯规划中心采购项目</w:t>
            </w:r>
            <w:r/>
          </w:p>
        </w:tc>
        <w:tc>
          <w:tcPr>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工业</w:t>
            </w:r>
            <w:r/>
          </w:p>
        </w:tc>
      </w:tr>
    </w:tbl>
    <w:p>
      <w:pPr>
        <w:jc w:val="left"/>
        <w:rPr>
          <w:rFonts w:ascii="黑体" w:hAnsi="宋体" w:eastAsia="黑体" w:cs="黑体"/>
          <w:color w:val="000000"/>
          <w:sz w:val="44"/>
          <w:szCs w:val="44"/>
        </w:rPr>
      </w:pPr>
      <w:r>
        <w:rPr>
          <w:rFonts w:ascii="黑体" w:hAnsi="宋体" w:eastAsia="黑体" w:cs="黑体"/>
          <w:color w:val="000000"/>
          <w:sz w:val="44"/>
          <w:szCs w:val="44"/>
        </w:rPr>
      </w:r>
      <w:r/>
    </w:p>
    <w:p>
      <w:pPr>
        <w:rPr>
          <w:rFonts w:ascii="黑体" w:hAnsi="宋体" w:eastAsia="黑体" w:cs="黑体"/>
          <w:color w:val="000000"/>
          <w:sz w:val="44"/>
          <w:szCs w:val="44"/>
        </w:rPr>
      </w:pPr>
      <w:r>
        <w:rPr>
          <w:rFonts w:ascii="黑体" w:hAnsi="宋体" w:eastAsia="黑体" w:cs="黑体"/>
          <w:color w:val="000000"/>
          <w:sz w:val="44"/>
          <w:szCs w:val="44"/>
        </w:rPr>
      </w:r>
      <w:r/>
    </w:p>
    <w:p>
      <w:pPr>
        <w:jc w:val="left"/>
        <w:spacing w:line="500" w:lineRule="exact"/>
        <w:rPr>
          <w:rFonts w:asciiTheme="minorEastAsia" w:hAnsiTheme="minorEastAsia" w:cstheme="minorEastAsia"/>
          <w:sz w:val="24"/>
        </w:rPr>
      </w:pPr>
      <w:r>
        <w:rPr>
          <w:rFonts w:hint="eastAsia" w:ascii="黑体" w:hAnsi="宋体" w:eastAsia="黑体" w:cs="黑体"/>
          <w:color w:val="000000"/>
          <w:sz w:val="44"/>
          <w:szCs w:val="44"/>
        </w:rPr>
        <w:br w:type="page" w:clear="all"/>
      </w:r>
      <w:r/>
    </w:p>
    <w:p>
      <w:pPr>
        <w:rPr>
          <w:rFonts w:ascii="黑体" w:hAnsi="宋体" w:eastAsia="黑体" w:cs="黑体"/>
          <w:color w:val="000000"/>
          <w:sz w:val="44"/>
          <w:szCs w:val="44"/>
        </w:rPr>
      </w:pPr>
      <w:r>
        <w:rPr>
          <w:rFonts w:ascii="黑体" w:hAnsi="宋体" w:eastAsia="黑体" w:cs="黑体"/>
          <w:color w:val="000000"/>
          <w:sz w:val="44"/>
          <w:szCs w:val="44"/>
        </w:rPr>
      </w:r>
      <w:r/>
    </w:p>
    <w:p>
      <w:pPr>
        <w:pStyle w:val="743"/>
        <w:ind w:firstLine="220"/>
        <w:jc w:val="center"/>
        <w:keepNext/>
        <w:spacing w:beforeAutospacing="0" w:afterAutospacing="0"/>
        <w:widowControl/>
        <w:outlineLvl w:val="0"/>
      </w:pPr>
      <w:r>
        <w:rPr>
          <w:rFonts w:hint="eastAsia" w:ascii="黑体" w:hAnsi="宋体" w:eastAsia="黑体" w:cs="黑体"/>
          <w:sz w:val="44"/>
          <w:szCs w:val="44"/>
        </w:rPr>
        <w:t xml:space="preserve">第五章 评标方法与评标标准</w:t>
      </w:r>
      <w:bookmarkEnd w:id="161"/>
      <w:r/>
      <w:r/>
    </w:p>
    <w:p>
      <w:pPr>
        <w:pStyle w:val="743"/>
        <w:jc w:val="both"/>
        <w:spacing w:beforeAutospacing="0" w:afterAutospacing="0"/>
        <w:widowControl/>
      </w:pPr>
      <w:r/>
      <w:r/>
    </w:p>
    <w:p>
      <w:pPr>
        <w:ind w:firstLine="482"/>
        <w:jc w:val="left"/>
        <w:spacing w:line="560" w:lineRule="exact"/>
        <w:widowControl/>
        <w:rPr>
          <w:rFonts w:ascii="宋体" w:hAnsi="宋体" w:eastAsia="宋体" w:cs="宋体"/>
          <w:b/>
          <w:bCs/>
          <w:sz w:val="24"/>
        </w:rPr>
        <w:outlineLvl w:val="1"/>
      </w:pPr>
      <w:r>
        <w:rPr>
          <w:rFonts w:hint="eastAsia" w:ascii="宋体" w:hAnsi="宋体" w:eastAsia="宋体" w:cs="宋体"/>
          <w:b/>
          <w:bCs/>
          <w:sz w:val="24"/>
        </w:rPr>
        <w:t xml:space="preserve">一、定标原则</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本项目采用</w:t>
      </w:r>
      <w:r>
        <w:rPr>
          <w:rFonts w:hint="eastAsia" w:ascii="宋体" w:hAnsi="宋体" w:eastAsia="宋体" w:cs="宋体"/>
          <w:sz w:val="24"/>
          <w:u w:val="single"/>
        </w:rPr>
        <w:t xml:space="preserve"> 综合评分 </w:t>
      </w:r>
      <w:r>
        <w:rPr>
          <w:rFonts w:hint="eastAsia" w:ascii="宋体" w:hAnsi="宋体" w:eastAsia="宋体" w:cs="宋体"/>
          <w:sz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eastAsia="宋体" w:cs="宋体"/>
          <w:b/>
          <w:bCs/>
          <w:sz w:val="24"/>
        </w:rPr>
        <w:outlineLvl w:val="2"/>
      </w:pPr>
      <w:r>
        <w:rPr>
          <w:rFonts w:hint="eastAsia" w:ascii="宋体" w:hAnsi="宋体" w:eastAsia="宋体" w:cs="宋体"/>
          <w:b/>
          <w:bCs/>
          <w:sz w:val="24"/>
        </w:rPr>
        <w:t xml:space="preserve">政府采购政策功能落实</w:t>
      </w:r>
      <w:r/>
    </w:p>
    <w:p>
      <w:pPr>
        <w:ind w:firstLine="482"/>
        <w:jc w:val="left"/>
        <w:spacing w:line="560" w:lineRule="exact"/>
        <w:widowControl/>
        <w:rPr>
          <w:rFonts w:ascii="宋体" w:hAnsi="宋体" w:eastAsia="宋体" w:cs="宋体"/>
          <w:b/>
          <w:bCs/>
          <w:sz w:val="24"/>
        </w:rPr>
        <w:outlineLvl w:val="2"/>
      </w:pPr>
      <w:r>
        <w:rPr>
          <w:rFonts w:hint="eastAsia" w:ascii="宋体" w:hAnsi="宋体" w:eastAsia="宋体" w:cs="宋体"/>
          <w:b/>
          <w:bCs/>
          <w:sz w:val="24"/>
        </w:rPr>
        <w:t xml:space="preserve">1、小微型企业价格扣除</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（1）本项目不专门面向中小企业采购，对小型和微型企业报价给予20%价格扣除，用扣除后的价格参与评审。</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（2）供应商需按照采购文件的要求提供相应的《中小企业声明函》。</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eastAsia="宋体" w:cs="宋体"/>
          <w:b/>
          <w:bCs/>
          <w:sz w:val="24"/>
        </w:rPr>
      </w:pPr>
      <w:r>
        <w:rPr>
          <w:rFonts w:hint="eastAsia" w:ascii="宋体" w:hAnsi="宋体" w:eastAsia="宋体" w:cs="宋体"/>
          <w:b/>
          <w:bCs/>
          <w:sz w:val="24"/>
        </w:rPr>
        <w:t xml:space="preserve">2、残疾人福利单位价格扣除</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（1）本项目对残疾人福利性单位视同小型、微型企业，给予20%的价格扣除。</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（3）残疾人福利单位标准请参照《关于促进残疾人就业政府采购政策的通知》（财库〔2017〕141号）。</w:t>
      </w:r>
      <w:r/>
    </w:p>
    <w:p>
      <w:pPr>
        <w:ind w:firstLine="482"/>
        <w:jc w:val="left"/>
        <w:spacing w:line="560" w:lineRule="exact"/>
        <w:widowControl/>
        <w:rPr>
          <w:rFonts w:ascii="宋体" w:hAnsi="宋体" w:eastAsia="宋体" w:cs="宋体"/>
          <w:b/>
          <w:bCs/>
          <w:sz w:val="24"/>
        </w:rPr>
      </w:pPr>
      <w:r>
        <w:rPr>
          <w:rFonts w:hint="eastAsia" w:ascii="宋体" w:hAnsi="宋体" w:eastAsia="宋体" w:cs="宋体"/>
          <w:b/>
          <w:bCs/>
          <w:sz w:val="24"/>
        </w:rPr>
        <w:t xml:space="preserve">3、监狱和戒毒企业价格扣除</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（1）本项目对监狱和戒毒企业（简称监狱企业）视同小型、微型企业，给予20%的价格扣除。</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5、采购本国产品的支持政策</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5.1 本项目政府采购活动中既有本国产品又有非本国产品参与竞争的，依法对本国产品给予价格评审优惠，对本国产品的报价给予 20%的价格扣除，用扣除后的价格参与评审。</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5.3 供应商需按照招标文件的要求提供《关于符合本国产品标准的声明函》（以下简称《声明函》），如不提供将不享受本国产品价格评审优惠。</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2"/>
        <w:jc w:val="left"/>
        <w:spacing w:line="560" w:lineRule="exact"/>
        <w:widowControl/>
        <w:rPr>
          <w:rFonts w:ascii="宋体" w:hAnsi="宋体" w:eastAsia="宋体" w:cs="宋体"/>
          <w:b/>
          <w:bCs/>
          <w:sz w:val="24"/>
        </w:rPr>
      </w:pPr>
      <w:r>
        <w:rPr>
          <w:rFonts w:hint="eastAsia" w:ascii="宋体" w:hAnsi="宋体" w:eastAsia="宋体" w:cs="宋体"/>
          <w:b/>
          <w:bCs/>
          <w:sz w:val="24"/>
        </w:rPr>
        <w:t xml:space="preserve">二、评标方法与评标标准</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本项目评分总分值为100分。</w:t>
      </w:r>
      <w:r/>
    </w:p>
    <w:tbl>
      <w:tblPr>
        <w:tblStyle w:val="717"/>
        <w:tblW w:w="9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847"/>
        <w:gridCol w:w="7486"/>
      </w:tblGrid>
      <w:tr>
        <w:trPr>
          <w:jc w:val="center"/>
          <w:trHeight w:val="930"/>
        </w:trPr>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500" w:lineRule="exact"/>
              <w:rPr>
                <w:rFonts w:ascii="宋体" w:hAnsi="宋体" w:cs="宋体"/>
                <w:b/>
                <w:color w:val="000000"/>
                <w:sz w:val="24"/>
              </w:rPr>
            </w:pPr>
            <w:r>
              <w:rPr>
                <w:rFonts w:hint="eastAsia" w:ascii="宋体" w:hAnsi="宋体" w:cs="宋体"/>
                <w:b/>
                <w:color w:val="000000"/>
                <w:sz w:val="24"/>
              </w:rPr>
              <w:t xml:space="preserve">评分项目</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spacing w:line="500" w:lineRule="exact"/>
              <w:rPr>
                <w:rFonts w:ascii="宋体" w:hAnsi="宋体" w:cs="宋体"/>
                <w:b/>
                <w:color w:val="000000"/>
                <w:sz w:val="24"/>
              </w:rPr>
            </w:pPr>
            <w:r>
              <w:rPr>
                <w:rFonts w:hint="eastAsia" w:ascii="宋体" w:hAnsi="宋体" w:cs="宋体"/>
                <w:b/>
                <w:color w:val="000000"/>
                <w:sz w:val="24"/>
              </w:rPr>
              <w:t xml:space="preserve">分值</w:t>
            </w:r>
            <w:r/>
          </w:p>
        </w:tc>
        <w:tc>
          <w:tcPr>
            <w:tcBorders>
              <w:top w:val="single" w:color="auto" w:sz="4" w:space="0"/>
              <w:left w:val="single" w:color="auto" w:sz="4" w:space="0"/>
              <w:bottom w:val="single" w:color="auto" w:sz="4" w:space="0"/>
              <w:right w:val="single" w:color="auto" w:sz="4" w:space="0"/>
            </w:tcBorders>
            <w:tcW w:w="7486" w:type="dxa"/>
            <w:vAlign w:val="center"/>
            <w:textDirection w:val="lrTb"/>
            <w:noWrap w:val="false"/>
          </w:tcPr>
          <w:p>
            <w:pPr>
              <w:jc w:val="center"/>
              <w:spacing w:line="500" w:lineRule="exact"/>
              <w:rPr>
                <w:rFonts w:ascii="宋体" w:hAnsi="宋体" w:cs="宋体"/>
                <w:b/>
                <w:color w:val="000000"/>
                <w:sz w:val="24"/>
              </w:rPr>
            </w:pPr>
            <w:r>
              <w:rPr>
                <w:rFonts w:hint="eastAsia" w:ascii="宋体" w:hAnsi="宋体" w:cs="宋体"/>
                <w:b/>
                <w:color w:val="000000"/>
                <w:sz w:val="24"/>
              </w:rPr>
              <w:t xml:space="preserve">评分细则</w:t>
            </w:r>
            <w:r/>
          </w:p>
        </w:tc>
      </w:tr>
      <w:tr>
        <w:trPr>
          <w:jc w:val="center"/>
          <w:trHeight w:val="993"/>
        </w:trPr>
        <w:tc>
          <w:tcPr>
            <w:tcW w:w="1259"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投标报价</w:t>
            </w:r>
            <w:r/>
          </w:p>
        </w:tc>
        <w:tc>
          <w:tcPr>
            <w:tcW w:w="847" w:type="dxa"/>
            <w:vAlign w:val="center"/>
            <w:textDirection w:val="lrTb"/>
            <w:noWrap w:val="false"/>
          </w:tcPr>
          <w:p>
            <w:pPr>
              <w:jc w:val="center"/>
              <w:spacing w:line="500" w:lineRule="exact"/>
              <w:rPr>
                <w:rFonts w:hint="default" w:ascii="宋体" w:hAnsi="宋体" w:eastAsia="宋体" w:cs="宋体"/>
                <w:color w:val="000000"/>
                <w:sz w:val="24"/>
                <w:lang w:val="en-US" w:eastAsia="zh-CN"/>
              </w:rPr>
            </w:pPr>
            <w:r>
              <w:rPr>
                <w:rFonts w:hint="eastAsia" w:ascii="宋体" w:hAnsi="宋体" w:cs="宋体"/>
                <w:color w:val="ff0000"/>
                <w:sz w:val="24"/>
                <w:lang w:val="en-US" w:eastAsia="zh-CN"/>
              </w:rPr>
              <w:t xml:space="preserve">30</w:t>
            </w:r>
            <w:r/>
          </w:p>
        </w:tc>
        <w:tc>
          <w:tcPr>
            <w:tcW w:w="7486" w:type="dxa"/>
            <w:vAlign w:val="center"/>
            <w:textDirection w:val="lrTb"/>
            <w:noWrap w:val="false"/>
          </w:tcPr>
          <w:p>
            <w:pPr>
              <w:ind w:firstLine="480"/>
              <w:spacing w:line="500" w:lineRule="exact"/>
              <w:rPr>
                <w:rFonts w:ascii="宋体" w:hAnsi="宋体" w:cs="宋体"/>
                <w:color w:val="000000"/>
                <w:sz w:val="24"/>
              </w:rPr>
            </w:pPr>
            <w:r/>
            <w:bookmarkStart w:id="166" w:name="OLE_LINK43"/>
            <w:r>
              <w:rPr>
                <w:rFonts w:hint="eastAsia" w:ascii="宋体" w:hAnsi="宋体" w:cs="宋体"/>
                <w:color w:val="000000"/>
                <w:sz w:val="24"/>
              </w:rPr>
              <w:t xml:space="preserve">满足招标文件要求且投标报价最低的投标报价为评标基准价，其价格为满分。其他投标人的价格分按照公式计算：投标报价得分＝（评标基准价/投标报价）</w:t>
            </w:r>
            <w:r>
              <w:rPr>
                <w:rFonts w:hint="eastAsia" w:ascii="宋体" w:hAnsi="宋体" w:cs="宋体"/>
                <w:color w:val="ff0000"/>
                <w:sz w:val="24"/>
              </w:rPr>
              <w:t xml:space="preserve">×</w:t>
            </w:r>
            <w:r>
              <w:rPr>
                <w:rFonts w:hint="eastAsia" w:ascii="宋体" w:hAnsi="宋体" w:cs="宋体"/>
                <w:color w:val="ff0000"/>
                <w:sz w:val="24"/>
                <w:lang w:val="en-US" w:eastAsia="zh-CN"/>
              </w:rPr>
              <w:t xml:space="preserve">3</w:t>
            </w:r>
            <w:r>
              <w:rPr>
                <w:rFonts w:hint="eastAsia" w:ascii="宋体" w:hAnsi="宋体" w:cs="宋体"/>
                <w:color w:val="ff0000"/>
                <w:sz w:val="24"/>
              </w:rPr>
              <w:t xml:space="preserve">0分</w:t>
            </w:r>
            <w:bookmarkEnd w:id="166"/>
            <w:r>
              <w:rPr>
                <w:rFonts w:hint="eastAsia" w:ascii="宋体" w:hAnsi="宋体" w:cs="宋体"/>
                <w:color w:val="ff0000"/>
                <w:sz w:val="24"/>
              </w:rPr>
              <w:t xml:space="preserve">。</w:t>
            </w:r>
            <w:r/>
          </w:p>
        </w:tc>
      </w:tr>
      <w:tr>
        <w:trPr>
          <w:jc w:val="center"/>
          <w:trHeight w:val="993"/>
        </w:trPr>
        <w:tc>
          <w:tcPr>
            <w:tcW w:w="1259" w:type="dxa"/>
            <w:vAlign w:val="center"/>
            <w:textDirection w:val="lrTb"/>
            <w:noWrap w:val="false"/>
          </w:tcPr>
          <w:p>
            <w:pPr>
              <w:ind w:firstLine="240"/>
              <w:rPr>
                <w:rFonts w:ascii="宋体" w:hAnsi="宋体"/>
                <w:sz w:val="24"/>
              </w:rPr>
            </w:pPr>
            <w:r>
              <w:rPr>
                <w:rFonts w:hint="eastAsia" w:ascii="宋体" w:hAnsi="宋体"/>
                <w:sz w:val="24"/>
              </w:rPr>
              <w:t xml:space="preserve">业绩</w:t>
            </w:r>
            <w:r/>
          </w:p>
        </w:tc>
        <w:tc>
          <w:tcPr>
            <w:tcW w:w="847" w:type="dxa"/>
            <w:vAlign w:val="center"/>
            <w:textDirection w:val="lrTb"/>
            <w:noWrap w:val="false"/>
          </w:tcPr>
          <w:p>
            <w:pPr>
              <w:jc w:val="center"/>
              <w:spacing w:line="5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分</w:t>
            </w:r>
            <w:r/>
          </w:p>
        </w:tc>
        <w:tc>
          <w:tcPr>
            <w:tcW w:w="7486" w:type="dxa"/>
            <w:vAlign w:val="center"/>
            <w:textDirection w:val="lrTb"/>
            <w:noWrap w:val="false"/>
          </w:tcPr>
          <w:p>
            <w:pPr>
              <w:ind w:firstLine="480"/>
              <w:spacing w:line="400" w:lineRule="exact"/>
              <w:rPr>
                <w:szCs w:val="21"/>
                <w:lang w:bidi="ar"/>
              </w:rPr>
            </w:pPr>
            <w:r/>
            <w:bookmarkStart w:id="167" w:name="OLE_LINK26"/>
            <w:r/>
            <w:bookmarkStart w:id="168" w:name="OLE_LINK61"/>
            <w:r/>
            <w:bookmarkStart w:id="169" w:name="OLE_LINK25"/>
            <w:r>
              <w:rPr>
                <w:rFonts w:hint="eastAsia" w:ascii="宋体" w:hAnsi="宋体" w:cs="宋体"/>
                <w:color w:val="000000"/>
                <w:sz w:val="24"/>
              </w:rPr>
              <w:t xml:space="preserve">投标人提供自202</w:t>
            </w:r>
            <w:r>
              <w:rPr>
                <w:rFonts w:ascii="宋体" w:hAnsi="宋体" w:cs="宋体"/>
                <w:color w:val="000000"/>
                <w:sz w:val="24"/>
              </w:rPr>
              <w:t xml:space="preserve">2</w:t>
            </w:r>
            <w:r>
              <w:rPr>
                <w:rFonts w:hint="eastAsia" w:ascii="宋体" w:hAnsi="宋体" w:cs="宋体"/>
                <w:color w:val="000000"/>
                <w:sz w:val="24"/>
              </w:rPr>
              <w:t xml:space="preserve">年1月1日以来（以合同签订时间为准）承担过（心理健康相关设备）类似项目业绩，每提供一份有效合同得</w:t>
            </w:r>
            <w:r>
              <w:rPr>
                <w:rFonts w:ascii="宋体" w:hAnsi="宋体" w:cs="宋体"/>
                <w:color w:val="000000"/>
                <w:sz w:val="24"/>
              </w:rPr>
              <w:t xml:space="preserve">3分</w:t>
            </w:r>
            <w:r>
              <w:rPr>
                <w:rFonts w:hint="eastAsia" w:ascii="宋体" w:hAnsi="宋体" w:cs="宋体"/>
                <w:color w:val="000000"/>
                <w:sz w:val="24"/>
              </w:rPr>
              <w:t xml:space="preserve">，最高得1</w:t>
            </w:r>
            <w:r>
              <w:rPr>
                <w:rFonts w:ascii="宋体" w:hAnsi="宋体" w:cs="宋体"/>
                <w:color w:val="000000"/>
                <w:sz w:val="24"/>
              </w:rPr>
              <w:t xml:space="preserve">2</w:t>
            </w:r>
            <w:r>
              <w:rPr>
                <w:rFonts w:hint="eastAsia" w:ascii="宋体" w:hAnsi="宋体" w:cs="宋体"/>
                <w:color w:val="000000"/>
                <w:sz w:val="24"/>
              </w:rPr>
              <w:t xml:space="preserve">分。</w:t>
            </w:r>
            <w:r/>
          </w:p>
          <w:p>
            <w:pPr>
              <w:ind w:firstLine="482"/>
              <w:spacing w:line="400" w:lineRule="exact"/>
              <w:rPr>
                <w:rFonts w:ascii="宋体" w:hAnsi="宋体"/>
                <w:sz w:val="24"/>
              </w:rPr>
            </w:pPr>
            <w:r>
              <w:rPr>
                <w:rFonts w:hint="eastAsia" w:ascii="宋体" w:hAnsi="宋体" w:cs="宋体"/>
                <w:b/>
                <w:sz w:val="24"/>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bookmarkEnd w:id="167"/>
            <w:r/>
            <w:bookmarkEnd w:id="168"/>
            <w:r/>
            <w:bookmarkEnd w:id="169"/>
            <w:r/>
            <w:r/>
          </w:p>
        </w:tc>
      </w:tr>
      <w:tr>
        <w:trPr>
          <w:jc w:val="center"/>
          <w:trHeight w:val="1108"/>
        </w:trPr>
        <w:tc>
          <w:tcPr>
            <w:tcW w:w="1259" w:type="dxa"/>
            <w:vAlign w:val="center"/>
            <w:textDirection w:val="lrTb"/>
            <w:noWrap w:val="false"/>
          </w:tcPr>
          <w:p>
            <w:pPr>
              <w:jc w:val="center"/>
              <w:rPr>
                <w:rFonts w:ascii="宋体" w:hAnsi="宋体"/>
                <w:sz w:val="24"/>
              </w:rPr>
            </w:pPr>
            <w:r>
              <w:rPr>
                <w:rFonts w:hint="eastAsia" w:ascii="宋体" w:hAnsi="宋体" w:cs="宋体"/>
                <w:color w:val="auto"/>
                <w:sz w:val="21"/>
                <w:szCs w:val="21"/>
                <w:highlight w:val="none"/>
                <w:u w:val="none"/>
                <w:lang w:val="en-US" w:eastAsia="zh-CN"/>
              </w:rPr>
              <w:t xml:space="preserve">质保期承诺</w:t>
            </w:r>
            <w:r/>
          </w:p>
        </w:tc>
        <w:tc>
          <w:tcPr>
            <w:tcW w:w="847" w:type="dxa"/>
            <w:vAlign w:val="center"/>
            <w:textDirection w:val="lrTb"/>
            <w:noWrap w:val="false"/>
          </w:tcPr>
          <w:p>
            <w:pPr>
              <w:jc w:val="center"/>
              <w:rPr>
                <w:rFonts w:ascii="宋体" w:hAnsi="宋体"/>
                <w:sz w:val="24"/>
              </w:rPr>
            </w:pPr>
            <w:r>
              <w:rPr>
                <w:rFonts w:hint="eastAsia" w:ascii="宋体" w:hAnsi="宋体"/>
                <w:sz w:val="24"/>
                <w:lang w:val="en-US" w:eastAsia="zh-CN"/>
              </w:rPr>
              <w:t xml:space="preserve">2</w:t>
            </w:r>
            <w:r>
              <w:rPr>
                <w:rFonts w:hint="eastAsia" w:ascii="宋体" w:hAnsi="宋体"/>
                <w:sz w:val="24"/>
              </w:rPr>
              <w:t xml:space="preserve">分</w:t>
            </w:r>
            <w:r/>
          </w:p>
        </w:tc>
        <w:tc>
          <w:tcPr>
            <w:tcW w:w="7486" w:type="dxa"/>
            <w:vAlign w:val="center"/>
            <w:textDirection w:val="lrTb"/>
            <w:noWrap w:val="false"/>
          </w:tcPr>
          <w:p>
            <w:pPr>
              <w:ind w:firstLine="480"/>
              <w:spacing w:line="400" w:lineRule="exact"/>
              <w:rPr>
                <w:rFonts w:ascii="宋体" w:hAnsi="宋体"/>
                <w:sz w:val="24"/>
                <w:szCs w:val="21"/>
              </w:rPr>
            </w:pPr>
            <w:r>
              <w:rPr>
                <w:rFonts w:hint="eastAsia" w:ascii="宋体" w:hAnsi="宋体" w:cs="宋体"/>
                <w:color w:val="000000"/>
                <w:sz w:val="24"/>
              </w:rPr>
              <w:t xml:space="preserve">质保期限。在三年质保服务期的基础上，每增加一年质保得</w:t>
            </w:r>
            <w:r>
              <w:rPr>
                <w:rFonts w:ascii="宋体" w:hAnsi="宋体" w:cs="宋体"/>
                <w:color w:val="000000"/>
                <w:sz w:val="24"/>
              </w:rPr>
              <w:t xml:space="preserve">1</w:t>
            </w:r>
            <w:r>
              <w:rPr>
                <w:rFonts w:hint="eastAsia" w:ascii="宋体" w:hAnsi="宋体" w:cs="宋体"/>
                <w:color w:val="000000"/>
                <w:sz w:val="24"/>
              </w:rPr>
              <w:t xml:space="preserve">分，最多得</w:t>
            </w:r>
            <w:r>
              <w:rPr>
                <w:rFonts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bCs/>
                <w:color w:val="000000"/>
                <w:sz w:val="24"/>
              </w:rPr>
              <w:t xml:space="preserve">。</w:t>
            </w:r>
            <w:r>
              <w:rPr>
                <w:rFonts w:hint="eastAsia" w:ascii="宋体" w:hAnsi="宋体" w:cs="宋体"/>
                <w:color w:val="000000"/>
                <w:sz w:val="24"/>
              </w:rPr>
              <w:t xml:space="preserve">（</w:t>
            </w:r>
            <w:r>
              <w:rPr>
                <w:rFonts w:hint="eastAsia" w:ascii="宋体" w:hAnsi="宋体" w:cs="宋体"/>
                <w:b/>
                <w:color w:val="000000"/>
                <w:sz w:val="24"/>
              </w:rPr>
              <w:t xml:space="preserve">以商务响应表中的质保期为准）</w:t>
            </w:r>
            <w:r/>
          </w:p>
        </w:tc>
      </w:tr>
      <w:tr>
        <w:trPr>
          <w:jc w:val="center"/>
          <w:trHeight w:val="841"/>
        </w:trPr>
        <w:tc>
          <w:tcPr>
            <w:tcW w:w="1259"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技术参数</w:t>
            </w:r>
            <w:r/>
          </w:p>
          <w:p>
            <w:pPr>
              <w:rPr>
                <w:szCs w:val="21"/>
              </w:rPr>
            </w:pPr>
            <w:r>
              <w:rPr>
                <w:szCs w:val="21"/>
              </w:rPr>
            </w:r>
            <w:r/>
          </w:p>
        </w:tc>
        <w:tc>
          <w:tcPr>
            <w:tcW w:w="847" w:type="dxa"/>
            <w:vAlign w:val="center"/>
            <w:textDirection w:val="lrTb"/>
            <w:noWrap w:val="false"/>
          </w:tcPr>
          <w:p>
            <w:pPr>
              <w:jc w:val="center"/>
              <w:spacing w:line="500" w:lineRule="exact"/>
              <w:rPr>
                <w:rFonts w:hint="default" w:ascii="宋体" w:hAnsi="宋体" w:eastAsia="宋体" w:cs="宋体"/>
                <w:color w:val="000000"/>
                <w:sz w:val="24"/>
                <w:lang w:val="en-US" w:eastAsia="zh-CN"/>
              </w:rPr>
            </w:pPr>
            <w:r>
              <w:rPr>
                <w:rFonts w:hint="eastAsia" w:ascii="宋体" w:hAnsi="宋体" w:cs="宋体"/>
                <w:color w:val="ff0000"/>
                <w:sz w:val="24"/>
                <w:lang w:val="en-US" w:eastAsia="zh-CN"/>
              </w:rPr>
              <w:t xml:space="preserve">24</w:t>
            </w:r>
            <w:r/>
          </w:p>
        </w:tc>
        <w:tc>
          <w:tcPr>
            <w:tcW w:w="7486" w:type="dxa"/>
            <w:vAlign w:val="center"/>
            <w:textDirection w:val="lrTb"/>
            <w:noWrap w:val="false"/>
          </w:tcPr>
          <w:p>
            <w:pPr>
              <w:ind w:left="0" w:right="0" w:firstLine="480"/>
              <w:keepLines w:val="0"/>
              <w:keepNext w:val="0"/>
              <w:pageBreakBefore w:val="0"/>
              <w:spacing w:before="0" w:beforeAutospacing="0" w:after="0" w:afterAutospacing="0" w:line="360" w:lineRule="auto"/>
              <w:widowControl w:val="off"/>
              <w:rPr>
                <w:rFonts w:hint="eastAsia" w:ascii="宋体" w:hAnsi="宋体" w:cs="宋体"/>
                <w:color w:val="ff0000"/>
                <w:sz w:val="24"/>
                <w:lang w:val="en-US" w:eastAsia="zh-CN"/>
              </w:rPr>
              <w:suppressLineNumbers w:val="0"/>
            </w:pPr>
            <w:r>
              <w:rPr>
                <w:rFonts w:hint="eastAsia" w:ascii="宋体" w:hAnsi="宋体" w:cs="宋体"/>
                <w:color w:val="ff0000"/>
                <w:sz w:val="24"/>
                <w:lang w:val="en-US" w:eastAsia="zh-CN"/>
              </w:rPr>
              <w:t xml:space="preserve">采购需求中标注“▲”的技术参数为重要技术指标，共12项，有一项满足的得2分，本项最高加24分。</w:t>
            </w:r>
            <w:r/>
          </w:p>
          <w:p>
            <w:pPr>
              <w:ind w:left="0" w:right="0" w:firstLine="480"/>
              <w:keepLines w:val="0"/>
              <w:keepNext w:val="0"/>
              <w:pageBreakBefore w:val="0"/>
              <w:spacing w:before="0" w:beforeAutospacing="0" w:after="0" w:afterAutospacing="0" w:line="360" w:lineRule="auto"/>
              <w:widowControl w:val="off"/>
              <w:rPr>
                <w:rFonts w:ascii="宋体" w:hAnsi="宋体" w:cs="宋体"/>
                <w:b/>
                <w:color w:val="000000"/>
                <w:sz w:val="24"/>
              </w:rPr>
              <w:suppressLineNumbers w:val="0"/>
            </w:pPr>
            <w:r>
              <w:rPr>
                <w:rFonts w:hint="eastAsia" w:ascii="宋体" w:hAnsi="宋体" w:cs="宋体"/>
                <w:color w:val="ff0000"/>
                <w:sz w:val="24"/>
                <w:lang w:val="en-US" w:eastAsia="zh-CN"/>
              </w:rPr>
              <w:t xml:space="preserve">注：供应商须针对该部分条款提供有效证明材料，形式可包括：招标文件指定的证明文件（如有）、产品官方彩页（需注明发布日期）、原厂说明书、产品技术白皮书（须由产品研发主体出具）或承诺在中标后合同签订前提供具备相应认证资质的第三方检测机构出具的检验报告（承诺函格式自拟，相关检测费用由中标人承担）。</w:t>
            </w:r>
            <w:r/>
          </w:p>
        </w:tc>
      </w:tr>
      <w:tr>
        <w:trPr>
          <w:jc w:val="center"/>
          <w:trHeight w:val="841"/>
        </w:trPr>
        <w:tc>
          <w:tcPr>
            <w:tcW w:w="1259" w:type="dxa"/>
            <w:vAlign w:val="center"/>
            <w:textDirection w:val="lrTb"/>
            <w:noWrap w:val="false"/>
          </w:tcPr>
          <w:p>
            <w:pPr>
              <w:rPr>
                <w:rFonts w:hint="default" w:eastAsia="宋体"/>
                <w:szCs w:val="21"/>
                <w:lang w:val="en-US" w:eastAsia="zh-CN"/>
              </w:rPr>
            </w:pPr>
            <w:r>
              <w:rPr>
                <w:rFonts w:hint="eastAsia"/>
                <w:szCs w:val="21"/>
                <w:lang w:val="en-US" w:eastAsia="zh-CN"/>
              </w:rPr>
              <w:t xml:space="preserve">视频演示</w:t>
            </w:r>
            <w:r/>
          </w:p>
        </w:tc>
        <w:tc>
          <w:tcPr>
            <w:tcW w:w="847" w:type="dxa"/>
            <w:vAlign w:val="center"/>
            <w:textDirection w:val="lrTb"/>
            <w:noWrap w:val="false"/>
          </w:tcPr>
          <w:p>
            <w:pPr>
              <w:jc w:val="center"/>
              <w:spacing w:line="500" w:lineRule="exact"/>
              <w:rPr>
                <w:rFonts w:hint="default" w:ascii="宋体" w:hAnsi="宋体" w:cs="宋体"/>
                <w:color w:val="ff0000"/>
                <w:sz w:val="24"/>
                <w:lang w:val="en-US" w:eastAsia="zh-CN"/>
              </w:rPr>
            </w:pPr>
            <w:r>
              <w:rPr>
                <w:rFonts w:hint="eastAsia" w:ascii="宋体" w:hAnsi="宋体" w:cs="宋体"/>
                <w:color w:val="ff0000"/>
                <w:sz w:val="24"/>
                <w:lang w:val="en-US" w:eastAsia="zh-CN"/>
              </w:rPr>
              <w:t xml:space="preserve">10</w:t>
            </w:r>
            <w:r/>
          </w:p>
        </w:tc>
        <w:tc>
          <w:tcPr>
            <w:tcW w:w="7486" w:type="dxa"/>
            <w:vAlign w:val="center"/>
            <w:textDirection w:val="lrTb"/>
            <w:noWrap w:val="false"/>
          </w:tcPr>
          <w:p>
            <w:pPr>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1.演示一（2分）</w:t>
            </w:r>
            <w:r/>
          </w:p>
          <w:p>
            <w:pPr>
              <w:ind w:firstLine="480"/>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供应商根据本项目第四章采购需求中“★”项，产品名称：AI心理沙盘解析系统</w:t>
            </w:r>
            <w:r>
              <w:rPr>
                <w:rFonts w:hint="eastAsia" w:ascii="宋体" w:hAnsi="宋体" w:cs="宋体"/>
                <w:color w:val="000000"/>
                <w:sz w:val="24"/>
                <w:lang w:val="en-US" w:eastAsia="zh-CN"/>
              </w:rPr>
              <w:br/>
            </w:r>
            <w:r>
              <w:rPr>
                <w:rFonts w:hint="eastAsia" w:ascii="宋体" w:hAnsi="宋体" w:cs="宋体"/>
                <w:color w:val="000000"/>
                <w:sz w:val="24"/>
                <w:lang w:val="en-US" w:eastAsia="zh-CN"/>
              </w:rPr>
              <w:t xml:space="preserve">★通过数字化手段实时记录沙盘游戏过程中实物沙具的选择、摆放、时间间隔以及最终作品等信息，复现沙盘游戏的每一步骤（复盘）。提供演示，并能满足参数要求的得2分，不满足参数要求或缺少演示点或不提供演示的得0分，本项最高得2分。</w:t>
            </w:r>
            <w:r/>
          </w:p>
          <w:p>
            <w:pPr>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2.演示二（2分）</w:t>
            </w:r>
            <w:r/>
          </w:p>
          <w:p>
            <w:pPr>
              <w:ind w:firstLine="480"/>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供应商根据本项目第四章采购需求中“★”项，产品名称：AI心理机器人</w:t>
            </w:r>
            <w:r>
              <w:rPr>
                <w:rFonts w:hint="eastAsia" w:ascii="宋体" w:hAnsi="宋体" w:cs="宋体"/>
                <w:color w:val="000000"/>
                <w:sz w:val="24"/>
                <w:lang w:val="en-US" w:eastAsia="zh-CN"/>
              </w:rPr>
              <w:br/>
            </w:r>
            <w:r>
              <w:rPr>
                <w:rFonts w:hint="eastAsia" w:ascii="宋体" w:hAnsi="宋体" w:cs="宋体"/>
                <w:color w:val="000000"/>
                <w:sz w:val="24"/>
                <w:lang w:val="en-US" w:eastAsia="zh-CN"/>
              </w:rPr>
              <w:t xml:space="preserve">★多模态行为分析技术：通过多模态传感器（摄像头）实时捕捉用户行为和微表情数据，结合面部特征等多种行为数据进行情感和心理状态的分析。利用 AI 算法对收集到的数据进行处理和分析，识别用户的行为模式。必要时能对异常行为自动预警，提醒关注心理健康情况。提供演示，并能满足参数要求的得2分，不满足参数要求或缺少演示点或不提供演示的得0分，本项最高得2分。</w:t>
            </w:r>
            <w:r/>
          </w:p>
          <w:p>
            <w:pPr>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3.演示三（2分）</w:t>
            </w:r>
            <w:r/>
          </w:p>
          <w:p>
            <w:pPr>
              <w:ind w:firstLine="480"/>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供应商根据本项目第四章采购需求中“★”项，产品名称：认知能力评估训练系统</w:t>
            </w:r>
            <w:r>
              <w:rPr>
                <w:rFonts w:hint="eastAsia" w:ascii="宋体" w:hAnsi="宋体" w:eastAsia="宋体" w:cs="宋体"/>
                <w:i w:val="0"/>
                <w:iCs w:val="0"/>
                <w:spacing w:val="22"/>
                <w:sz w:val="22"/>
                <w:szCs w:val="22"/>
                <w:u w:val="none"/>
              </w:rPr>
              <w:br/>
            </w:r>
            <w:r>
              <w:rPr>
                <w:rFonts w:hint="eastAsia" w:ascii="宋体" w:hAnsi="宋体" w:cs="宋体"/>
                <w:color w:val="000000"/>
                <w:sz w:val="24"/>
                <w:lang w:val="en-US" w:eastAsia="zh-CN"/>
              </w:rPr>
              <w:t xml:space="preserve">★液晶按键参数：该按键带液晶显示，可根据不同应用显示相应的图案、字母、数字、汉字等。提供演示，并能满足参数要求的得2分，不满足参数要求或缺少演示点或不提供演示的得0分，本项最高得2分。</w:t>
            </w:r>
            <w:r>
              <w:rPr>
                <w:rFonts w:hint="eastAsia" w:ascii="宋体" w:hAnsi="宋体" w:cs="宋体"/>
                <w:color w:val="000000"/>
                <w:sz w:val="24"/>
                <w:lang w:val="en-US" w:eastAsia="zh-CN"/>
              </w:rPr>
              <w:br/>
            </w:r>
            <w:r>
              <w:rPr>
                <w:rFonts w:hint="eastAsia" w:ascii="宋体" w:hAnsi="宋体" w:cs="宋体"/>
                <w:color w:val="000000"/>
                <w:sz w:val="24"/>
                <w:lang w:val="en-US" w:eastAsia="zh-CN"/>
              </w:rPr>
              <w:t xml:space="preserve">4.演示四（2分）</w:t>
            </w:r>
            <w:r/>
          </w:p>
          <w:p>
            <w:pPr>
              <w:ind w:firstLine="480"/>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供应商根据本项目第四章采购需求中“★”项，产品名称：数字化团体正念训练系统</w:t>
            </w:r>
            <w:r>
              <w:rPr>
                <w:rFonts w:hint="eastAsia" w:ascii="宋体" w:hAnsi="宋体" w:eastAsia="宋体" w:cs="宋体"/>
                <w:i w:val="0"/>
                <w:iCs w:val="0"/>
                <w:spacing w:val="8"/>
                <w:sz w:val="22"/>
                <w:szCs w:val="22"/>
                <w:u w:val="none"/>
                <w:lang w:val="en-US" w:eastAsia="zh-CN" w:bidi="ar"/>
              </w:rPr>
              <w:br/>
            </w:r>
            <w:r>
              <w:rPr>
                <w:rFonts w:hint="eastAsia" w:ascii="宋体" w:hAnsi="宋体" w:cs="宋体"/>
                <w:color w:val="000000"/>
                <w:sz w:val="24"/>
                <w:lang w:val="en-US" w:eastAsia="zh-CN"/>
              </w:rPr>
              <w:t xml:space="preserve">★ECG检测功能：可以用于检测来访者心电数据，并生成心电报告，心电报告包含：QT间期、HRV指标、心率数据、心电图以及心电图（P波、P-R间期、QRS波群、ST段、T波、U波）的解读分析，并自动分析生成检测结果。提供演示，并能满足参数要求的得2分，不满足参数要求或缺少演示点或不提供演示的得0分，本项最高得2分。</w:t>
            </w:r>
            <w:r/>
          </w:p>
          <w:p>
            <w:pPr>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5.演示五（2分）</w:t>
            </w:r>
            <w:r/>
          </w:p>
          <w:p>
            <w:pPr>
              <w:ind w:firstLine="480"/>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供应商根据本项目第四章采购需求中“★”项，产品名称：AI情绪疏导系统</w:t>
            </w:r>
            <w:r>
              <w:rPr>
                <w:rFonts w:hint="eastAsia" w:ascii="宋体" w:hAnsi="宋体" w:eastAsia="宋体" w:cs="宋体"/>
                <w:i w:val="0"/>
                <w:iCs w:val="0"/>
                <w:spacing w:val="8"/>
                <w:sz w:val="22"/>
                <w:szCs w:val="22"/>
                <w:u w:val="none"/>
                <w:lang w:val="en-US" w:eastAsia="zh-CN" w:bidi="ar"/>
              </w:rPr>
              <w:br/>
            </w:r>
            <w:r>
              <w:rPr>
                <w:rFonts w:hint="eastAsia" w:ascii="宋体" w:hAnsi="宋体" w:cs="宋体"/>
                <w:color w:val="000000"/>
                <w:sz w:val="24"/>
                <w:lang w:val="en-US" w:eastAsia="zh-CN"/>
              </w:rPr>
              <w:t xml:space="preserve">★大模型须支持纯文本对话交互，可进行实时语音转换，记录对话过程，覆盖但不限于以下情感支持场景：学业压力下的情绪疏导、考试焦虑中的陪伴式调节、同伴关系/师生沟通/亲子互动中的理解与支持。模型具有良好的共情能力，逻辑清晰，且提供不低于 4 种角色来模拟不同的人物陪伴用户。提供演示，并能满足参数要求的得2分，不满足参数要求或缺少演示点或不提供演示的得0分，本项最高得2分。</w:t>
            </w:r>
            <w:r/>
          </w:p>
          <w:p>
            <w:pPr>
              <w:ind w:left="0" w:right="0" w:firstLine="422"/>
              <w:jc w:val="both"/>
              <w:spacing w:before="0" w:after="0" w:line="36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4"/>
                <w:szCs w:val="32"/>
              </w:rPr>
              <w:t xml:space="preserve">供应商需按照招标文件规定的演示内容进行功能演示（视频画面须清晰，如不清晰导致评委无法评审的，责任由投标人自负），视频文件的格式为*.mp4或*.avi，供应商须将视频文件分段压缩为*.zip文件上传（单个文件不得大于50M，所有文件总共不得大于300M）。文件上传方式见</w:t>
            </w:r>
            <w:r>
              <w:rPr>
                <w:rFonts w:hint="eastAsia" w:ascii="宋体" w:hAnsi="宋体" w:eastAsia="宋体" w:cs="宋体"/>
                <w:b/>
                <w:color w:val="0000ff"/>
                <w:sz w:val="24"/>
                <w:szCs w:val="24"/>
                <w:highlight w:val="none"/>
                <w:lang w:val="en-US" w:eastAsia="zh-CN"/>
              </w:rPr>
              <w:t xml:space="preserve">《苏采云供应商操作手册》</w:t>
            </w:r>
            <w:r>
              <w:rPr>
                <w:rFonts w:ascii="宋体" w:hAnsi="宋体" w:eastAsia="宋体" w:cs="宋体"/>
                <w:b/>
                <w:color w:val="0000ff"/>
                <w:sz w:val="24"/>
                <w:szCs w:val="32"/>
              </w:rPr>
              <w:t xml:space="preserve">规定，上传的演示视频将作为投标文件的组成部分，每个项目根据演示点进行评分。</w:t>
            </w:r>
            <w:r/>
          </w:p>
        </w:tc>
      </w:tr>
      <w:tr>
        <w:trPr>
          <w:jc w:val="center"/>
        </w:trPr>
        <w:tc>
          <w:tcPr>
            <w:tcW w:w="1259" w:type="dxa"/>
            <w:vAlign w:val="center"/>
            <w:vMerge w:val="restart"/>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服务方案</w:t>
            </w:r>
            <w:r/>
          </w:p>
        </w:tc>
        <w:tc>
          <w:tcPr>
            <w:tcW w:w="847" w:type="dxa"/>
            <w:vAlign w:val="center"/>
            <w:vMerge w:val="restart"/>
            <w:textDirection w:val="lrTb"/>
            <w:noWrap w:val="false"/>
          </w:tcPr>
          <w:p>
            <w:pPr>
              <w:jc w:val="center"/>
              <w:spacing w:line="500" w:lineRule="exact"/>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20</w:t>
            </w:r>
            <w:r/>
          </w:p>
        </w:tc>
        <w:tc>
          <w:tcPr>
            <w:tcW w:w="7486" w:type="dxa"/>
            <w:vAlign w:val="center"/>
            <w:textDirection w:val="lrTb"/>
            <w:noWrap w:val="false"/>
          </w:tcPr>
          <w:p>
            <w:pPr>
              <w:ind w:firstLine="480"/>
              <w:spacing w:line="560" w:lineRule="exact"/>
              <w:widowControl/>
              <w:rPr>
                <w:rFonts w:ascii="宋体" w:hAnsi="宋体"/>
                <w:sz w:val="24"/>
                <w:szCs w:val="21"/>
              </w:rPr>
            </w:pPr>
            <w:r/>
            <w:bookmarkStart w:id="170" w:name="OLE_LINK47"/>
            <w:r/>
            <w:bookmarkStart w:id="171" w:name="OLE_LINK48"/>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r>
              <w:rPr>
                <w:rFonts w:hint="eastAsia" w:ascii="宋体" w:hAnsi="宋体" w:cs="宋体"/>
                <w:b/>
                <w:color w:val="000000"/>
                <w:sz w:val="24"/>
              </w:rPr>
              <w:t xml:space="preserve">实施进度及技术</w:t>
            </w:r>
            <w:r>
              <w:rPr>
                <w:rFonts w:hint="eastAsia" w:ascii="宋体" w:hAnsi="宋体" w:cs="宋体"/>
                <w:color w:val="000000"/>
                <w:sz w:val="24"/>
                <w:szCs w:val="21"/>
              </w:rPr>
              <w:t xml:space="preserve">”提供</w:t>
            </w:r>
            <w:r>
              <w:rPr>
                <w:rFonts w:hint="eastAsia" w:ascii="宋体" w:hAnsi="宋体" w:cs="宋体"/>
                <w:bCs/>
                <w:sz w:val="24"/>
                <w:lang w:val="zh-CN"/>
              </w:rPr>
              <w:t xml:space="preserve">有针对性的、科学有效的</w:t>
            </w:r>
            <w:r>
              <w:rPr>
                <w:rFonts w:hint="eastAsia" w:ascii="宋体" w:hAnsi="宋体" w:cs="宋体"/>
                <w:bCs/>
                <w:sz w:val="24"/>
              </w:rPr>
              <w:t xml:space="preserve">进度及设备技术</w:t>
            </w:r>
            <w:r>
              <w:rPr>
                <w:rFonts w:hint="eastAsia" w:hAnsi="宋体"/>
                <w:color w:val="000000"/>
                <w:sz w:val="24"/>
                <w:szCs w:val="21"/>
              </w:rPr>
              <w:t xml:space="preserve">措施</w:t>
            </w:r>
            <w:r>
              <w:rPr>
                <w:rFonts w:hint="eastAsia" w:ascii="宋体" w:hAnsi="宋体" w:cs="宋体"/>
                <w:color w:val="000000"/>
                <w:sz w:val="24"/>
                <w:szCs w:val="21"/>
                <w:lang w:val="zh-TW" w:eastAsia="zh-TW"/>
              </w:rPr>
              <w:t xml:space="preserve">至少包含：</w:t>
            </w:r>
            <w:r>
              <w:rPr>
                <w:rFonts w:hint="eastAsia" w:ascii="宋体" w:hAnsi="宋体" w:cs="宋体"/>
                <w:sz w:val="24"/>
                <w:szCs w:val="21"/>
              </w:rPr>
              <w:t xml:space="preserve">（1）进度安排；</w:t>
            </w: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bCs/>
                <w:color w:val="000000"/>
                <w:sz w:val="24"/>
                <w:szCs w:val="21"/>
                <w:lang w:val="en"/>
              </w:rPr>
              <w:t xml:space="preserve">技术支持及备件供应</w:t>
            </w:r>
            <w:r>
              <w:rPr>
                <w:rFonts w:hint="eastAsia" w:ascii="宋体" w:hAnsi="宋体" w:cs="宋体"/>
                <w:color w:val="000000"/>
                <w:sz w:val="24"/>
              </w:rPr>
              <w:t xml:space="preserve">方案</w:t>
            </w:r>
            <w:r>
              <w:rPr>
                <w:rFonts w:hint="eastAsia" w:ascii="宋体" w:hAnsi="宋体"/>
                <w:bCs/>
                <w:color w:val="000000"/>
                <w:sz w:val="24"/>
                <w:szCs w:val="21"/>
                <w:lang w:val="en"/>
              </w:rPr>
              <w:t xml:space="preserve">等</w:t>
            </w:r>
            <w:r>
              <w:rPr>
                <w:rFonts w:hint="eastAsia" w:ascii="宋体" w:hAnsi="宋体" w:cs="宋体"/>
                <w:color w:val="000000"/>
                <w:sz w:val="24"/>
              </w:rPr>
              <w:t xml:space="preserve">内容</w:t>
            </w:r>
            <w:r>
              <w:rPr>
                <w:rFonts w:hint="eastAsia" w:ascii="宋体" w:hAnsi="宋体"/>
                <w:sz w:val="24"/>
                <w:szCs w:val="21"/>
              </w:rPr>
              <w:t xml:space="preserve">。</w:t>
            </w:r>
            <w:r/>
          </w:p>
          <w:p>
            <w:pPr>
              <w:ind w:firstLine="480"/>
              <w:spacing w:line="500" w:lineRule="exact"/>
              <w:rPr>
                <w:rFonts w:ascii="宋体" w:hAnsi="宋体" w:cs="宋体"/>
                <w:color w:val="000000"/>
                <w:sz w:val="24"/>
              </w:rPr>
            </w:pPr>
            <w:r>
              <w:rPr>
                <w:rFonts w:ascii="宋体" w:hAnsi="宋体"/>
                <w:sz w:val="24"/>
                <w:szCs w:val="21"/>
              </w:rPr>
              <w:t xml:space="preserve">以上方案内容完整</w:t>
            </w:r>
            <w:r>
              <w:rPr>
                <w:rFonts w:hint="eastAsia" w:ascii="宋体" w:hAnsi="宋体" w:cs="宋体"/>
                <w:color w:val="000000"/>
                <w:sz w:val="24"/>
              </w:rPr>
              <w:t xml:space="preserve">得</w:t>
            </w:r>
            <w:r>
              <w:rPr>
                <w:rFonts w:ascii="宋体" w:hAnsi="宋体" w:cs="宋体"/>
                <w:color w:val="000000"/>
                <w:sz w:val="24"/>
              </w:rPr>
              <w:t xml:space="preserve">6</w:t>
            </w:r>
            <w:r>
              <w:rPr>
                <w:rFonts w:hint="eastAsia" w:ascii="宋体" w:hAnsi="宋体" w:cs="宋体"/>
                <w:color w:val="000000"/>
                <w:sz w:val="24"/>
              </w:rPr>
              <w:t xml:space="preserve">分，每有一项内容缺失的扣</w:t>
            </w:r>
            <w:r>
              <w:rPr>
                <w:rFonts w:ascii="宋体" w:hAnsi="宋体" w:cs="宋体"/>
                <w:color w:val="000000"/>
                <w:sz w:val="24"/>
              </w:rPr>
              <w:t xml:space="preserve">3</w:t>
            </w:r>
            <w:r>
              <w:rPr>
                <w:rFonts w:hint="eastAsia" w:ascii="宋体" w:hAnsi="宋体" w:cs="宋体"/>
                <w:color w:val="000000"/>
                <w:sz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rPr>
              <w:t xml:space="preserve">1.5</w:t>
            </w:r>
            <w:r>
              <w:rPr>
                <w:rFonts w:hint="eastAsia" w:ascii="宋体" w:hAnsi="宋体" w:cs="宋体"/>
                <w:color w:val="000000"/>
                <w:sz w:val="24"/>
              </w:rPr>
              <w:t xml:space="preserve">分，直至该项分值</w:t>
            </w:r>
            <w:r>
              <w:rPr>
                <w:rFonts w:ascii="宋体" w:hAnsi="宋体" w:cs="宋体"/>
                <w:color w:val="000000"/>
                <w:sz w:val="24"/>
              </w:rPr>
              <w:t xml:space="preserve">3</w:t>
            </w:r>
            <w:r>
              <w:rPr>
                <w:rFonts w:hint="eastAsia" w:ascii="宋体" w:hAnsi="宋体" w:cs="宋体"/>
                <w:color w:val="000000"/>
                <w:sz w:val="24"/>
              </w:rPr>
              <w:t xml:space="preserve">分扣完为止，不提供本项不得分。</w:t>
            </w:r>
            <w:bookmarkEnd w:id="170"/>
            <w:r/>
            <w:bookmarkEnd w:id="171"/>
            <w:r/>
            <w:r/>
          </w:p>
        </w:tc>
      </w:tr>
      <w:tr>
        <w:trPr>
          <w:jc w:val="center"/>
        </w:trPr>
        <w:tc>
          <w:tcPr>
            <w:tcW w:w="1259" w:type="dxa"/>
            <w:vAlign w:val="center"/>
            <w:vMerge w:val="continue"/>
            <w:textDirection w:val="lrTb"/>
            <w:noWrap w:val="false"/>
          </w:tcPr>
          <w:p>
            <w:pPr>
              <w:jc w:val="center"/>
              <w:spacing w:line="500" w:lineRule="exact"/>
              <w:rPr>
                <w:rFonts w:ascii="宋体" w:hAnsi="宋体" w:cs="宋体"/>
                <w:color w:val="000000"/>
                <w:sz w:val="24"/>
              </w:rPr>
            </w:pPr>
            <w:r>
              <w:rPr>
                <w:rFonts w:ascii="宋体" w:hAnsi="宋体" w:cs="宋体"/>
                <w:color w:val="000000"/>
                <w:sz w:val="24"/>
              </w:rPr>
            </w:r>
            <w:r/>
          </w:p>
        </w:tc>
        <w:tc>
          <w:tcPr>
            <w:tcW w:w="847" w:type="dxa"/>
            <w:vAlign w:val="center"/>
            <w:vMerge w:val="continue"/>
            <w:textDirection w:val="lrTb"/>
            <w:noWrap w:val="false"/>
          </w:tcPr>
          <w:p>
            <w:pPr>
              <w:jc w:val="center"/>
              <w:spacing w:line="500" w:lineRule="exact"/>
              <w:rPr>
                <w:rFonts w:ascii="宋体" w:hAnsi="宋体" w:cs="宋体"/>
                <w:bCs/>
                <w:color w:val="000000"/>
                <w:sz w:val="24"/>
              </w:rPr>
            </w:pPr>
            <w:r>
              <w:rPr>
                <w:rFonts w:ascii="宋体" w:hAnsi="宋体" w:cs="宋体"/>
                <w:bCs/>
                <w:color w:val="000000"/>
                <w:sz w:val="24"/>
              </w:rPr>
            </w:r>
            <w:r/>
          </w:p>
        </w:tc>
        <w:tc>
          <w:tcPr>
            <w:tcW w:w="7486" w:type="dxa"/>
            <w:vAlign w:val="center"/>
            <w:textDirection w:val="lrTb"/>
            <w:noWrap w:val="false"/>
          </w:tcPr>
          <w:p>
            <w:pPr>
              <w:ind w:firstLine="480"/>
              <w:jc w:val="left"/>
              <w:spacing w:line="500" w:lineRule="exact"/>
              <w:rPr>
                <w:rFonts w:ascii="宋体" w:hAnsi="宋体"/>
                <w:sz w:val="24"/>
                <w:szCs w:val="21"/>
              </w:rPr>
            </w:pPr>
            <w:r/>
            <w:bookmarkStart w:id="172" w:name="OLE_LINK50"/>
            <w:r/>
            <w:bookmarkStart w:id="173" w:name="OLE_LINK49"/>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r>
              <w:rPr>
                <w:rFonts w:hint="eastAsia" w:ascii="宋体" w:hAnsi="宋体"/>
                <w:b/>
                <w:bCs/>
                <w:color w:val="000000"/>
                <w:sz w:val="24"/>
                <w:szCs w:val="21"/>
                <w:lang w:val="en"/>
              </w:rPr>
              <w:t xml:space="preserve">售后服务方案</w:t>
            </w:r>
            <w:r>
              <w:rPr>
                <w:rFonts w:hint="eastAsia" w:ascii="宋体" w:hAnsi="宋体" w:cs="宋体"/>
                <w:color w:val="000000"/>
                <w:sz w:val="24"/>
                <w:szCs w:val="21"/>
              </w:rPr>
              <w:t xml:space="preserve">”提供</w:t>
            </w:r>
            <w:r>
              <w:rPr>
                <w:rFonts w:hint="eastAsia" w:ascii="宋体" w:hAnsi="宋体" w:cs="宋体"/>
                <w:bCs/>
                <w:sz w:val="24"/>
                <w:lang w:val="zh-CN"/>
              </w:rPr>
              <w:t xml:space="preserve">有针对性的、科学有效的</w:t>
            </w:r>
            <w:r>
              <w:rPr>
                <w:rFonts w:hint="eastAsia" w:ascii="宋体" w:hAnsi="宋体" w:cs="宋体"/>
                <w:color w:val="000000"/>
                <w:sz w:val="24"/>
              </w:rPr>
              <w:t xml:space="preserve">售后服务具体实施</w:t>
            </w:r>
            <w:r>
              <w:rPr>
                <w:rFonts w:hint="eastAsia" w:ascii="宋体" w:hAnsi="宋体" w:cs="宋体"/>
                <w:bCs/>
                <w:sz w:val="24"/>
                <w:lang w:val="zh-CN"/>
              </w:rPr>
              <w:t xml:space="preserve">等</w:t>
            </w:r>
            <w:r>
              <w:rPr>
                <w:rFonts w:hint="eastAsia" w:ascii="宋体" w:hAnsi="宋体" w:cs="宋体"/>
                <w:color w:val="000000"/>
                <w:sz w:val="24"/>
                <w:szCs w:val="21"/>
                <w:lang w:val="zh-TW" w:eastAsia="zh-TW"/>
              </w:rPr>
              <w:t xml:space="preserve">至少包含：</w:t>
            </w:r>
            <w:r>
              <w:rPr>
                <w:rFonts w:hint="eastAsia" w:ascii="宋体" w:hAnsi="宋体"/>
                <w:bCs/>
                <w:color w:val="000000"/>
                <w:sz w:val="24"/>
                <w:szCs w:val="21"/>
                <w:lang w:val="en"/>
              </w:rPr>
              <w:t xml:space="preserve">（1）质保期相关服务；</w:t>
            </w: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bCs/>
                <w:color w:val="000000"/>
                <w:sz w:val="24"/>
                <w:szCs w:val="21"/>
                <w:lang w:val="en"/>
              </w:rPr>
              <w:t xml:space="preserve">在保修期内免费提供零件及服务；</w:t>
            </w: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w:t>
            </w:r>
            <w:r>
              <w:rPr>
                <w:rFonts w:hint="eastAsia" w:ascii="宋体" w:hAnsi="宋体"/>
                <w:bCs/>
                <w:color w:val="000000"/>
                <w:sz w:val="24"/>
                <w:szCs w:val="21"/>
                <w:lang w:val="en"/>
              </w:rPr>
              <w:t xml:space="preserve">故障受理及技术咨询服务</w:t>
            </w:r>
            <w:r>
              <w:rPr>
                <w:rFonts w:hint="eastAsia" w:ascii="宋体" w:hAnsi="宋体"/>
                <w:sz w:val="24"/>
                <w:szCs w:val="21"/>
              </w:rPr>
              <w:t xml:space="preserve">等内容。</w:t>
            </w:r>
            <w:r/>
          </w:p>
          <w:p>
            <w:pPr>
              <w:ind w:firstLine="480"/>
              <w:jc w:val="left"/>
              <w:spacing w:line="500" w:lineRule="exact"/>
              <w:rPr>
                <w:rFonts w:ascii="宋体" w:hAnsi="宋体" w:cs="宋体"/>
                <w:color w:val="000000"/>
                <w:sz w:val="24"/>
              </w:rPr>
            </w:pPr>
            <w:r>
              <w:rPr>
                <w:rFonts w:ascii="宋体" w:hAnsi="宋体"/>
                <w:sz w:val="24"/>
                <w:szCs w:val="21"/>
              </w:rPr>
              <w:t xml:space="preserve">以上方案内容完整</w:t>
            </w:r>
            <w:r>
              <w:rPr>
                <w:rFonts w:hint="eastAsia" w:ascii="宋体" w:hAnsi="宋体" w:cs="宋体"/>
                <w:color w:val="000000"/>
                <w:sz w:val="24"/>
              </w:rPr>
              <w:t xml:space="preserve">得</w:t>
            </w:r>
            <w:r>
              <w:rPr>
                <w:rFonts w:ascii="宋体" w:hAnsi="宋体" w:cs="宋体"/>
                <w:color w:val="000000"/>
                <w:sz w:val="24"/>
              </w:rPr>
              <w:t xml:space="preserve">9</w:t>
            </w:r>
            <w:r>
              <w:rPr>
                <w:rFonts w:hint="eastAsia" w:ascii="宋体" w:hAnsi="宋体" w:cs="宋体"/>
                <w:color w:val="000000"/>
                <w:sz w:val="24"/>
              </w:rPr>
              <w:t xml:space="preserve">分，每有一项内容缺失的扣</w:t>
            </w:r>
            <w:r>
              <w:rPr>
                <w:rFonts w:ascii="宋体" w:hAnsi="宋体" w:cs="宋体"/>
                <w:color w:val="000000"/>
                <w:sz w:val="24"/>
              </w:rPr>
              <w:t xml:space="preserve">3</w:t>
            </w:r>
            <w:r>
              <w:rPr>
                <w:rFonts w:hint="eastAsia" w:ascii="宋体" w:hAnsi="宋体" w:cs="宋体"/>
                <w:color w:val="000000"/>
                <w:sz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rPr>
              <w:t xml:space="preserve">1.5</w:t>
            </w:r>
            <w:r>
              <w:rPr>
                <w:rFonts w:hint="eastAsia" w:ascii="宋体" w:hAnsi="宋体" w:cs="宋体"/>
                <w:color w:val="000000"/>
                <w:sz w:val="24"/>
              </w:rPr>
              <w:t xml:space="preserve">分，直至该项分值</w:t>
            </w:r>
            <w:r>
              <w:rPr>
                <w:rFonts w:ascii="宋体" w:hAnsi="宋体" w:cs="宋体"/>
                <w:color w:val="000000"/>
                <w:sz w:val="24"/>
              </w:rPr>
              <w:t xml:space="preserve">3</w:t>
            </w:r>
            <w:r>
              <w:rPr>
                <w:rFonts w:hint="eastAsia" w:ascii="宋体" w:hAnsi="宋体" w:cs="宋体"/>
                <w:color w:val="000000"/>
                <w:sz w:val="24"/>
              </w:rPr>
              <w:t xml:space="preserve">分扣完为止，不提供本项不得分。</w:t>
            </w:r>
            <w:bookmarkEnd w:id="172"/>
            <w:r/>
            <w:bookmarkEnd w:id="173"/>
            <w:r/>
            <w:r/>
          </w:p>
        </w:tc>
      </w:tr>
      <w:tr>
        <w:trPr>
          <w:jc w:val="center"/>
          <w:trHeight w:val="3977"/>
        </w:trPr>
        <w:tc>
          <w:tcPr>
            <w:tcW w:w="1259" w:type="dxa"/>
            <w:vAlign w:val="center"/>
            <w:vMerge w:val="continue"/>
            <w:textDirection w:val="lrTb"/>
            <w:noWrap w:val="false"/>
          </w:tcPr>
          <w:p>
            <w:pPr>
              <w:jc w:val="center"/>
              <w:spacing w:line="500" w:lineRule="exact"/>
              <w:rPr>
                <w:rFonts w:ascii="宋体" w:hAnsi="宋体" w:cs="宋体"/>
                <w:color w:val="000000"/>
                <w:sz w:val="24"/>
              </w:rPr>
            </w:pPr>
            <w:r>
              <w:rPr>
                <w:rFonts w:ascii="宋体" w:hAnsi="宋体" w:cs="宋体"/>
                <w:color w:val="000000"/>
                <w:sz w:val="24"/>
              </w:rPr>
            </w:r>
            <w:r/>
          </w:p>
        </w:tc>
        <w:tc>
          <w:tcPr>
            <w:tcW w:w="847" w:type="dxa"/>
            <w:vAlign w:val="center"/>
            <w:vMerge w:val="continue"/>
            <w:textDirection w:val="lrTb"/>
            <w:noWrap w:val="false"/>
          </w:tcPr>
          <w:p>
            <w:pPr>
              <w:jc w:val="center"/>
              <w:spacing w:line="500" w:lineRule="exact"/>
              <w:rPr>
                <w:rFonts w:ascii="宋体" w:hAnsi="宋体" w:cs="宋体"/>
                <w:bCs/>
                <w:color w:val="000000"/>
                <w:sz w:val="24"/>
              </w:rPr>
            </w:pPr>
            <w:r>
              <w:rPr>
                <w:rFonts w:ascii="宋体" w:hAnsi="宋体" w:cs="宋体"/>
                <w:bCs/>
                <w:color w:val="000000"/>
                <w:sz w:val="24"/>
              </w:rPr>
            </w:r>
            <w:r/>
          </w:p>
        </w:tc>
        <w:tc>
          <w:tcPr>
            <w:tcW w:w="7486" w:type="dxa"/>
            <w:vAlign w:val="center"/>
            <w:textDirection w:val="lrTb"/>
            <w:noWrap w:val="false"/>
          </w:tcPr>
          <w:p>
            <w:pPr>
              <w:ind w:firstLine="480"/>
              <w:jc w:val="left"/>
              <w:spacing w:line="500" w:lineRule="exact"/>
              <w:rPr>
                <w:rFonts w:ascii="宋体" w:hAnsi="宋体"/>
                <w:sz w:val="24"/>
                <w:szCs w:val="21"/>
              </w:rPr>
            </w:pPr>
            <w:r/>
            <w:bookmarkStart w:id="174" w:name="OLE_LINK51"/>
            <w:r/>
            <w:bookmarkStart w:id="175" w:name="OLE_LINK52"/>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r>
              <w:rPr>
                <w:rFonts w:hint="eastAsia" w:ascii="宋体" w:hAnsi="宋体" w:cs="宋体"/>
                <w:color w:val="000000"/>
                <w:sz w:val="24"/>
              </w:rPr>
              <w:t xml:space="preserve">“</w:t>
            </w:r>
            <w:r>
              <w:rPr>
                <w:rFonts w:hint="eastAsia" w:ascii="宋体" w:hAnsi="宋体" w:cs="宋体"/>
                <w:b/>
                <w:color w:val="000000"/>
                <w:sz w:val="24"/>
              </w:rPr>
              <w:t xml:space="preserve">培训方案</w:t>
            </w:r>
            <w:r>
              <w:rPr>
                <w:rFonts w:hint="eastAsia" w:ascii="宋体" w:hAnsi="宋体" w:cs="宋体"/>
                <w:color w:val="000000"/>
                <w:sz w:val="24"/>
              </w:rPr>
              <w:t xml:space="preserve">”提供</w:t>
            </w:r>
            <w:r>
              <w:rPr>
                <w:rFonts w:hint="eastAsia" w:ascii="宋体" w:hAnsi="宋体" w:cs="宋体"/>
                <w:bCs/>
                <w:sz w:val="24"/>
                <w:lang w:val="zh-CN"/>
              </w:rPr>
              <w:t xml:space="preserve">有针对性的、科学有效的</w:t>
            </w:r>
            <w:r>
              <w:rPr>
                <w:rFonts w:hint="eastAsia" w:ascii="宋体" w:hAnsi="宋体" w:cs="宋体"/>
                <w:color w:val="000000"/>
                <w:sz w:val="24"/>
              </w:rPr>
              <w:t xml:space="preserve">培训方案具体实施</w:t>
            </w:r>
            <w:r>
              <w:rPr>
                <w:rFonts w:hint="eastAsia" w:ascii="宋体" w:hAnsi="宋体" w:cs="宋体"/>
                <w:bCs/>
                <w:sz w:val="24"/>
                <w:lang w:val="zh-CN"/>
              </w:rPr>
              <w:t xml:space="preserve">等</w:t>
            </w:r>
            <w:r>
              <w:rPr>
                <w:rFonts w:hint="eastAsia" w:ascii="宋体" w:hAnsi="宋体" w:cs="宋体"/>
                <w:color w:val="000000"/>
                <w:sz w:val="24"/>
                <w:szCs w:val="21"/>
                <w:lang w:val="zh-TW" w:eastAsia="zh-TW"/>
              </w:rPr>
              <w:t xml:space="preserve">至少包含：</w:t>
            </w:r>
            <w:r>
              <w:rPr>
                <w:rFonts w:hint="eastAsia" w:ascii="宋体" w:hAnsi="宋体" w:cs="宋体"/>
                <w:color w:val="000000"/>
                <w:sz w:val="24"/>
              </w:rPr>
              <w:t xml:space="preserve">（1）</w:t>
            </w:r>
            <w:r>
              <w:rPr>
                <w:rFonts w:hint="eastAsia" w:ascii="宋体" w:hAnsi="宋体"/>
                <w:bCs/>
                <w:color w:val="000000"/>
                <w:sz w:val="24"/>
                <w:szCs w:val="21"/>
                <w:lang w:val="en"/>
              </w:rPr>
              <w:t xml:space="preserve">包括技术方法等；</w:t>
            </w: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bCs/>
                <w:color w:val="000000"/>
                <w:sz w:val="24"/>
                <w:szCs w:val="21"/>
                <w:lang w:val="en"/>
              </w:rPr>
              <w:t xml:space="preserve">检修、维护和排除故障等</w:t>
            </w:r>
            <w:r>
              <w:rPr>
                <w:rFonts w:hint="eastAsia" w:ascii="宋体" w:hAnsi="宋体" w:cs="宋体"/>
                <w:color w:val="000000"/>
                <w:sz w:val="24"/>
              </w:rPr>
              <w:t xml:space="preserve">内容</w:t>
            </w:r>
            <w:r>
              <w:rPr>
                <w:rFonts w:hint="eastAsia" w:ascii="宋体" w:hAnsi="宋体"/>
                <w:sz w:val="24"/>
                <w:szCs w:val="21"/>
              </w:rPr>
              <w:t xml:space="preserve">。</w:t>
            </w:r>
            <w:r/>
          </w:p>
          <w:p>
            <w:pPr>
              <w:ind w:firstLine="480"/>
              <w:jc w:val="left"/>
              <w:spacing w:line="500" w:lineRule="exact"/>
              <w:rPr>
                <w:rFonts w:ascii="宋体" w:hAnsi="宋体" w:cs="宋体"/>
                <w:color w:val="000000"/>
                <w:sz w:val="24"/>
              </w:rPr>
            </w:pPr>
            <w:r>
              <w:rPr>
                <w:rFonts w:ascii="宋体" w:hAnsi="宋体"/>
                <w:sz w:val="24"/>
                <w:szCs w:val="21"/>
                <w:highlight w:val="none"/>
              </w:rPr>
              <w:t xml:space="preserve">以上方案内容完整</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分，每有一项内容缺失的扣</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分；每有一处存在缺陷（缺陷是指不适用于本项目，表述前后不一致或</w:t>
            </w:r>
            <w:r>
              <w:rPr>
                <w:rFonts w:hint="eastAsia" w:ascii="宋体" w:hAnsi="宋体" w:cs="宋体"/>
                <w:color w:val="000000"/>
                <w:sz w:val="24"/>
              </w:rPr>
              <w:t xml:space="preserve">内容矛盾，语句有歧义，仅有框架或标题，涉及的规范及标准错误，套用其他项目内容等任意一种情形）扣</w:t>
            </w:r>
            <w:r>
              <w:rPr>
                <w:rFonts w:ascii="宋体" w:hAnsi="宋体" w:cs="宋体"/>
                <w:color w:val="000000"/>
                <w:sz w:val="24"/>
              </w:rPr>
              <w:t xml:space="preserve">1.</w:t>
            </w:r>
            <w:r>
              <w:rPr>
                <w:rFonts w:hint="eastAsia" w:ascii="宋体" w:hAnsi="宋体" w:cs="宋体"/>
                <w:color w:val="000000"/>
                <w:sz w:val="24"/>
                <w:lang w:val="en-US" w:eastAsia="zh-CN"/>
              </w:rPr>
              <w:t xml:space="preserve">25</w:t>
            </w:r>
            <w:r>
              <w:rPr>
                <w:rFonts w:hint="eastAsia" w:ascii="宋体" w:hAnsi="宋体" w:cs="宋体"/>
                <w:color w:val="000000"/>
                <w:sz w:val="24"/>
              </w:rPr>
              <w:t xml:space="preserve">分，直至该项分值</w:t>
            </w:r>
            <w:r>
              <w:rPr>
                <w:rFonts w:hint="eastAsia" w:ascii="宋体" w:hAnsi="宋体" w:cs="宋体"/>
                <w:color w:val="000000"/>
                <w:sz w:val="24"/>
                <w:lang w:val="en-US" w:eastAsia="zh-CN"/>
              </w:rPr>
              <w:t xml:space="preserve">2.5</w:t>
            </w:r>
            <w:r>
              <w:rPr>
                <w:rFonts w:hint="eastAsia" w:ascii="宋体" w:hAnsi="宋体" w:cs="宋体"/>
                <w:color w:val="000000"/>
                <w:sz w:val="24"/>
              </w:rPr>
              <w:t xml:space="preserve">分扣完为止，不提供本项不得分。</w:t>
            </w:r>
            <w:bookmarkEnd w:id="174"/>
            <w:r/>
            <w:bookmarkEnd w:id="175"/>
            <w:r/>
            <w:r/>
          </w:p>
        </w:tc>
      </w:tr>
      <w:tr>
        <w:trPr>
          <w:jc w:val="center"/>
          <w:trHeight w:val="1209"/>
        </w:trPr>
        <w:tc>
          <w:tcPr>
            <w:tcBorders>
              <w:bottom w:val="single" w:color="auto" w:sz="4" w:space="0"/>
            </w:tcBorders>
            <w:tcW w:w="1259" w:type="dxa"/>
            <w:vAlign w:val="center"/>
            <w:textDirection w:val="lrTb"/>
            <w:noWrap w:val="false"/>
          </w:tcPr>
          <w:p>
            <w:pPr>
              <w:jc w:val="center"/>
              <w:spacing w:line="340" w:lineRule="exact"/>
              <w:rPr>
                <w:rFonts w:ascii="宋体" w:hAnsi="宋体" w:cs="宋体"/>
                <w:color w:val="000000"/>
                <w:sz w:val="24"/>
              </w:rPr>
            </w:pPr>
            <w:r>
              <w:rPr>
                <w:rFonts w:hint="eastAsia" w:ascii="宋体" w:hAnsi="宋体" w:cs="宋体"/>
                <w:color w:val="000000"/>
                <w:sz w:val="24"/>
              </w:rPr>
              <w:t xml:space="preserve">节能环保</w:t>
            </w:r>
            <w:r/>
          </w:p>
          <w:p>
            <w:pPr>
              <w:jc w:val="center"/>
              <w:spacing w:line="500" w:lineRule="exact"/>
              <w:rPr>
                <w:rFonts w:ascii="宋体" w:hAnsi="宋体" w:cs="宋体"/>
                <w:color w:val="000000"/>
                <w:sz w:val="24"/>
              </w:rPr>
            </w:pPr>
            <w:r>
              <w:rPr>
                <w:rFonts w:ascii="宋体" w:hAnsi="宋体" w:cs="宋体"/>
                <w:color w:val="000000"/>
                <w:sz w:val="24"/>
              </w:rPr>
            </w:r>
            <w:r/>
          </w:p>
        </w:tc>
        <w:tc>
          <w:tcPr>
            <w:tcBorders>
              <w:bottom w:val="single" w:color="auto" w:sz="4" w:space="0"/>
            </w:tcBorders>
            <w:tcW w:w="847"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2</w:t>
            </w:r>
            <w:r/>
          </w:p>
        </w:tc>
        <w:tc>
          <w:tcPr>
            <w:tcW w:w="7486" w:type="dxa"/>
            <w:vAlign w:val="center"/>
            <w:textDirection w:val="lrTb"/>
            <w:noWrap w:val="false"/>
          </w:tcPr>
          <w:p>
            <w:pPr>
              <w:ind w:firstLine="480"/>
              <w:spacing w:line="500" w:lineRule="exact"/>
              <w:rPr>
                <w:rFonts w:ascii="宋体" w:hAnsi="宋体" w:cs="宋体"/>
                <w:sz w:val="24"/>
              </w:rPr>
            </w:pPr>
            <w:r>
              <w:rPr>
                <w:rFonts w:hint="eastAsia" w:ascii="宋体" w:hAnsi="宋体" w:cs="宋体"/>
                <w:color w:val="000000"/>
                <w:sz w:val="24"/>
              </w:rPr>
              <w:t xml:space="preserve">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rPr>
              <w:t xml:space="preserve">0.5</w:t>
            </w:r>
            <w:r>
              <w:rPr>
                <w:rFonts w:hint="eastAsia" w:ascii="宋体" w:hAnsi="宋体" w:cs="宋体"/>
                <w:color w:val="000000"/>
                <w:sz w:val="24"/>
              </w:rPr>
              <w:t xml:space="preserve">分，最多得1分。如投标产品均属于政府强制采购节能产品品目清单范围内，本项不得分；注：</w:t>
            </w:r>
            <w:r>
              <w:rPr>
                <w:rFonts w:hint="eastAsia" w:ascii="宋体" w:hAnsi="宋体" w:cs="宋体"/>
                <w:sz w:val="24"/>
              </w:rPr>
              <w:t xml:space="preserve">有效的是指开标当日有效的证书。</w:t>
            </w:r>
            <w:r/>
          </w:p>
          <w:p>
            <w:pPr>
              <w:ind w:firstLine="420"/>
              <w:spacing w:line="500" w:lineRule="exact"/>
              <w:rPr>
                <w:rFonts w:ascii="宋体" w:hAnsi="宋体" w:cs="宋体"/>
                <w:color w:val="000000"/>
                <w:sz w:val="24"/>
              </w:rPr>
            </w:pPr>
            <w:r>
              <w:rPr>
                <w:rFonts w:hint="eastAsia" w:ascii="宋体" w:hAnsi="宋体" w:cs="宋体"/>
                <w:color w:val="000000"/>
                <w:sz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color w:val="000000"/>
                <w:sz w:val="24"/>
              </w:rPr>
              <w:t xml:space="preserve">0.5</w:t>
            </w:r>
            <w:r>
              <w:rPr>
                <w:rFonts w:hint="eastAsia" w:ascii="宋体" w:hAnsi="宋体" w:cs="宋体"/>
                <w:color w:val="000000"/>
                <w:sz w:val="24"/>
              </w:rPr>
              <w:t xml:space="preserve">分，最多得1分。注</w:t>
            </w:r>
            <w:r>
              <w:rPr>
                <w:rFonts w:hint="eastAsia" w:ascii="宋体" w:hAnsi="宋体" w:cs="宋体"/>
                <w:b/>
                <w:bCs/>
                <w:color w:val="000000"/>
                <w:sz w:val="24"/>
              </w:rPr>
              <w:t xml:space="preserve">：</w:t>
            </w:r>
            <w:r>
              <w:rPr>
                <w:rFonts w:hint="eastAsia" w:ascii="宋体" w:hAnsi="宋体" w:cs="宋体"/>
                <w:sz w:val="24"/>
              </w:rPr>
              <w:t xml:space="preserve">有效的是指开标当日有效的证书。</w:t>
            </w:r>
            <w:r/>
          </w:p>
        </w:tc>
      </w:tr>
      <w:tr>
        <w:trPr>
          <w:jc w:val="center"/>
        </w:trPr>
        <w:tc>
          <w:tcPr>
            <w:tcBorders>
              <w:bottom w:val="single" w:color="auto" w:sz="4" w:space="0"/>
            </w:tcBorders>
            <w:tcW w:w="1259"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总分</w:t>
            </w:r>
            <w:r/>
          </w:p>
        </w:tc>
        <w:tc>
          <w:tcPr>
            <w:gridSpan w:val="2"/>
            <w:tcBorders>
              <w:bottom w:val="single" w:color="auto" w:sz="4" w:space="0"/>
            </w:tcBorders>
            <w:tcW w:w="8333" w:type="dxa"/>
            <w:vAlign w:val="center"/>
            <w:textDirection w:val="lrTb"/>
            <w:noWrap w:val="false"/>
          </w:tcPr>
          <w:p>
            <w:pPr>
              <w:jc w:val="center"/>
              <w:spacing w:before="120" w:after="120" w:line="500" w:lineRule="exact"/>
              <w:rPr>
                <w:rFonts w:ascii="宋体" w:hAnsi="宋体" w:cs="宋体"/>
                <w:color w:val="000000"/>
                <w:sz w:val="24"/>
              </w:rPr>
            </w:pPr>
            <w:r>
              <w:rPr>
                <w:rFonts w:hint="eastAsia" w:ascii="宋体" w:hAnsi="宋体" w:cs="宋体"/>
                <w:color w:val="000000"/>
                <w:sz w:val="24"/>
              </w:rPr>
              <w:t xml:space="preserve">100分</w:t>
            </w:r>
            <w:r/>
          </w:p>
        </w:tc>
      </w:tr>
    </w:tbl>
    <w:p>
      <w:pPr>
        <w:widowControl/>
        <w:rPr>
          <w:rFonts w:ascii="黑体" w:hAnsi="宋体" w:eastAsia="黑体" w:cs="黑体"/>
          <w:sz w:val="44"/>
          <w:szCs w:val="44"/>
        </w:rPr>
      </w:pPr>
      <w:r>
        <w:rPr>
          <w:rFonts w:ascii="黑体" w:hAnsi="宋体" w:eastAsia="黑体" w:cs="黑体"/>
          <w:sz w:val="44"/>
          <w:szCs w:val="44"/>
        </w:rPr>
      </w:r>
      <w:r/>
    </w:p>
    <w:p>
      <w:pPr>
        <w:shd w:val="nil" w:color="auto"/>
        <w:rPr>
          <w:rFonts w:ascii="黑体" w:hAnsi="黑体" w:eastAsia="黑体" w:cs="黑体"/>
          <w:sz w:val="44"/>
          <w:szCs w:val="44"/>
        </w:rPr>
        <w:outlineLvl w:val="0"/>
      </w:pPr>
      <w:r>
        <w:rPr>
          <w:rFonts w:ascii="黑体" w:hAnsi="黑体" w:eastAsia="黑体" w:cs="黑体"/>
          <w:sz w:val="44"/>
          <w:szCs w:val="44"/>
        </w:rPr>
        <w:br w:type="page" w:clear="all"/>
      </w:r>
      <w:r>
        <w:rPr>
          <w:rFonts w:ascii="黑体" w:hAnsi="黑体" w:eastAsia="黑体" w:cs="黑体"/>
          <w:sz w:val="44"/>
          <w:szCs w:val="44"/>
        </w:rPr>
      </w:r>
      <w:r/>
    </w:p>
    <w:p>
      <w:pPr>
        <w:jc w:val="center"/>
        <w:widowControl/>
        <w:rPr>
          <w:rFonts w:ascii="黑体" w:hAnsi="黑体" w:eastAsia="黑体" w:cs="黑体"/>
          <w:sz w:val="44"/>
          <w:szCs w:val="44"/>
        </w:rPr>
        <w:pBdr>
          <w:top w:val="none" w:color="000000" w:sz="0" w:space="0"/>
          <w:left w:val="none" w:color="000000" w:sz="0" w:space="0"/>
          <w:bottom w:val="none" w:color="000000" w:sz="0" w:space="0"/>
          <w:right w:val="none" w:color="000000" w:sz="0" w:space="0"/>
        </w:pBdr>
        <w:outlineLvl w:val="0"/>
      </w:pPr>
      <w:r/>
      <w:bookmarkStart w:id="176" w:name="_Toc4818"/>
      <w:r/>
      <w:r/>
    </w:p>
    <w:p>
      <w:pPr>
        <w:jc w:val="center"/>
        <w:widowControl/>
        <w:rPr>
          <w:rFonts w:ascii="微软雅黑" w:eastAsia="微软雅黑" w:cs="宋体" w:hAnsiTheme="minorEastAsia"/>
          <w:sz w:val="44"/>
          <w:szCs w:val="44"/>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44"/>
        </w:rPr>
        <w:t xml:space="preserve">第六章 投标文件格式</w:t>
      </w:r>
      <w:bookmarkEnd w:id="176"/>
      <w:r/>
      <w:r/>
    </w:p>
    <w:p>
      <w:pPr>
        <w:widowControl/>
        <w:rPr>
          <w:rFonts w:cs="Times New Roman" w:asciiTheme="minorEastAsia" w:hAnsiTheme="minorEastAsia"/>
          <w:b/>
          <w:sz w:val="72"/>
          <w:szCs w:val="72"/>
        </w:rPr>
      </w:pPr>
      <w:r>
        <w:rPr>
          <w:rFonts w:cs="Times New Roman" w:asciiTheme="minorEastAsia" w:hAnsiTheme="minorEastAsia"/>
          <w:b/>
          <w:sz w:val="72"/>
          <w:szCs w:val="72"/>
        </w:rPr>
      </w:r>
      <w:r/>
    </w:p>
    <w:p>
      <w:pPr>
        <w:widowControl/>
        <w:rPr>
          <w:rFonts w:cs="Times New Roman" w:asciiTheme="minorEastAsia" w:hAnsiTheme="minorEastAsia"/>
          <w:b/>
          <w:sz w:val="72"/>
          <w:szCs w:val="72"/>
        </w:rPr>
      </w:pPr>
      <w:r>
        <w:rPr>
          <w:rFonts w:cs="Times New Roman" w:asciiTheme="minorEastAsia" w:hAnsiTheme="minorEastAsia"/>
          <w:b/>
          <w:sz w:val="72"/>
          <w:szCs w:val="72"/>
        </w:rPr>
      </w:r>
      <w:r/>
    </w:p>
    <w:p>
      <w:pPr>
        <w:pStyle w:val="723"/>
      </w:pPr>
      <w:r/>
      <w:r/>
    </w:p>
    <w:p>
      <w:pPr>
        <w:jc w:val="center"/>
        <w:widowControl/>
        <w:rPr>
          <w:rFonts w:asciiTheme="minorEastAsia" w:hAnsiTheme="minorEastAsia" w:cstheme="minorEastAsia"/>
          <w:b/>
          <w:sz w:val="84"/>
          <w:szCs w:val="84"/>
        </w:rPr>
      </w:pPr>
      <w:r>
        <w:rPr>
          <w:rFonts w:hint="eastAsia" w:asciiTheme="minorEastAsia" w:hAnsiTheme="minorEastAsia" w:cstheme="minorEastAsia"/>
          <w:b/>
          <w:sz w:val="84"/>
          <w:szCs w:val="84"/>
        </w:rPr>
        <w:t xml:space="preserve">投 标 文 件</w:t>
      </w:r>
      <w:r/>
    </w:p>
    <w:p>
      <w:pPr>
        <w:widowControl/>
        <w:rPr>
          <w:rFonts w:cs="Times New Roman" w:asciiTheme="minorEastAsia" w:hAnsiTheme="minorEastAsia"/>
          <w:sz w:val="24"/>
        </w:rPr>
      </w:pPr>
      <w:r>
        <w:rPr>
          <w:rFonts w:cs="Times New Roman" w:asciiTheme="minorEastAsia" w:hAnsiTheme="minorEastAsia"/>
          <w:sz w:val="24"/>
        </w:rPr>
      </w:r>
      <w:r/>
    </w:p>
    <w:p>
      <w:pPr>
        <w:widowControl/>
        <w:rPr>
          <w:rFonts w:cs="Times New Roman" w:asciiTheme="minorEastAsia" w:hAnsiTheme="minorEastAsia"/>
          <w:sz w:val="24"/>
        </w:rPr>
      </w:pPr>
      <w:r>
        <w:rPr>
          <w:rFonts w:cs="Times New Roman" w:asciiTheme="minorEastAsia" w:hAnsiTheme="minorEastAsia"/>
          <w:sz w:val="24"/>
        </w:rPr>
      </w:r>
      <w:r/>
    </w:p>
    <w:p>
      <w:pPr>
        <w:widowControl/>
        <w:rPr>
          <w:rFonts w:cs="Times New Roman" w:asciiTheme="minorEastAsia" w:hAnsiTheme="minorEastAsia"/>
          <w:sz w:val="24"/>
        </w:rPr>
      </w:pPr>
      <w:r>
        <w:rPr>
          <w:rFonts w:cs="Times New Roman" w:asciiTheme="minorEastAsia" w:hAnsiTheme="minorEastAsia"/>
          <w:sz w:val="24"/>
        </w:rPr>
      </w:r>
      <w:r/>
    </w:p>
    <w:p>
      <w:pPr>
        <w:widowControl/>
        <w:rPr>
          <w:rFonts w:cs="Times New Roman" w:asciiTheme="minorEastAsia" w:hAnsiTheme="minorEastAsia"/>
          <w:sz w:val="24"/>
        </w:rPr>
      </w:pPr>
      <w:r>
        <w:rPr>
          <w:rFonts w:cs="Times New Roman" w:asciiTheme="minorEastAsia" w:hAnsiTheme="minorEastAsia"/>
          <w:sz w:val="24"/>
        </w:rPr>
      </w:r>
      <w:r/>
    </w:p>
    <w:p>
      <w:pPr>
        <w:pStyle w:val="723"/>
        <w:rPr>
          <w:rFonts w:asciiTheme="minorEastAsia" w:hAnsiTheme="minorEastAsia"/>
          <w:sz w:val="24"/>
        </w:rPr>
      </w:pPr>
      <w:r>
        <w:rPr>
          <w:rFonts w:asciiTheme="minorEastAsia" w:hAnsiTheme="minorEastAsia"/>
          <w:sz w:val="24"/>
        </w:rPr>
      </w:r>
      <w:r/>
    </w:p>
    <w:p>
      <w:r/>
      <w:r/>
    </w:p>
    <w:p>
      <w:pPr>
        <w:pStyle w:val="723"/>
        <w:rPr>
          <w:rFonts w:asciiTheme="minorEastAsia" w:hAnsiTheme="minorEastAsia"/>
          <w:sz w:val="24"/>
        </w:rPr>
      </w:pPr>
      <w:r>
        <w:rPr>
          <w:rFonts w:asciiTheme="minorEastAsia" w:hAnsiTheme="minorEastAsia"/>
          <w:sz w:val="24"/>
        </w:rPr>
      </w:r>
      <w:r/>
    </w:p>
    <w:p>
      <w:pPr>
        <w:pStyle w:val="723"/>
      </w:pPr>
      <w:r/>
      <w:r/>
    </w:p>
    <w:p>
      <w:pPr>
        <w:widowControl/>
        <w:rPr>
          <w:rFonts w:cs="Times New Roman" w:asciiTheme="minorEastAsia" w:hAnsiTheme="minorEastAsia"/>
          <w:sz w:val="24"/>
        </w:rPr>
      </w:pPr>
      <w:r>
        <w:rPr>
          <w:rFonts w:cs="Times New Roman" w:asciiTheme="minorEastAsia" w:hAnsiTheme="minorEastAsia"/>
          <w:sz w:val="24"/>
        </w:rPr>
      </w:r>
      <w:r/>
    </w:p>
    <w:p>
      <w:pPr>
        <w:ind w:firstLine="1134"/>
        <w:spacing w:line="360" w:lineRule="auto"/>
        <w:widowControl/>
        <w:rPr>
          <w:rFonts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项目名称：</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项目编号：</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asciiTheme="minorEastAsia" w:hAnsiTheme="minorEastAsia" w:cstheme="minorEastAsia"/>
          <w:b/>
          <w:sz w:val="24"/>
        </w:rPr>
        <w:outlineLvl w:val="1"/>
      </w:pPr>
      <w:r>
        <w:rPr>
          <w:rFonts w:hint="eastAsia" w:asciiTheme="minorEastAsia" w:hAnsiTheme="minorEastAsia" w:cstheme="minorEastAsia"/>
          <w:b/>
          <w:sz w:val="36"/>
          <w:szCs w:val="36"/>
        </w:rPr>
        <w:t xml:space="preserve">投标人名称：</w:t>
      </w:r>
      <w:r>
        <w:rPr>
          <w:rFonts w:hint="eastAsia" w:asciiTheme="minorEastAsia" w:hAnsiTheme="minorEastAsia" w:cstheme="minorEastAsia"/>
          <w:b/>
          <w:sz w:val="36"/>
          <w:szCs w:val="36"/>
          <w:u w:val="single"/>
        </w:rPr>
        <w:t xml:space="preserve"> （加盖CA电子公章）   </w:t>
      </w:r>
      <w:r/>
    </w:p>
    <w:p>
      <w:pPr>
        <w:ind w:firstLine="1134"/>
        <w:spacing w:line="360" w:lineRule="auto"/>
        <w:widowControl/>
        <w:rPr>
          <w:rFonts w:ascii="黑体" w:hAnsi="黑体" w:cs="Times New Roman"/>
          <w:bCs/>
          <w:sz w:val="24"/>
          <w:u w:val="single"/>
        </w:rPr>
      </w:pPr>
      <w:r>
        <w:rPr>
          <w:rFonts w:hint="eastAsia" w:asciiTheme="minorEastAsia" w:hAnsiTheme="minorEastAsia" w:cstheme="minorEastAsia"/>
          <w:b/>
          <w:sz w:val="36"/>
          <w:szCs w:val="36"/>
        </w:rPr>
        <w:t xml:space="preserve">日   期：</w:t>
      </w:r>
      <w:r>
        <w:rPr>
          <w:rFonts w:hint="eastAsia" w:asciiTheme="minorEastAsia" w:hAnsiTheme="minorEastAsia" w:cstheme="minorEastAsia"/>
          <w:b/>
          <w:sz w:val="36"/>
          <w:szCs w:val="36"/>
          <w:u w:val="single"/>
        </w:rPr>
        <w:t xml:space="preserve">                       </w:t>
      </w:r>
      <w:r/>
    </w:p>
    <w:p>
      <w:pPr>
        <w:jc w:val="left"/>
        <w:widowControl/>
        <w:rPr>
          <w:rFonts w:cs="Times New Roman" w:asciiTheme="minorEastAsia" w:hAnsiTheme="minorEastAsia"/>
          <w:b/>
          <w:bCs/>
          <w:sz w:val="36"/>
          <w:szCs w:val="36"/>
        </w:rPr>
      </w:pPr>
      <w:r>
        <w:rPr>
          <w:rFonts w:cs="Times New Roman" w:asciiTheme="minorEastAsia" w:hAnsiTheme="minorEastAsia"/>
          <w:b/>
          <w:bCs/>
          <w:sz w:val="36"/>
          <w:szCs w:val="36"/>
        </w:rPr>
        <w:br w:type="page" w:clear="all"/>
      </w:r>
      <w:r/>
    </w:p>
    <w:p>
      <w:pPr>
        <w:jc w:val="center"/>
        <w:spacing w:before="12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投标文件目录</w:t>
      </w:r>
      <w:r/>
    </w:p>
    <w:p>
      <w:pPr>
        <w:ind w:firstLine="561"/>
        <w:spacing w:line="560" w:lineRule="exact"/>
        <w:widowControl/>
        <w:rPr>
          <w:rFonts w:asciiTheme="minorEastAsia" w:hAnsiTheme="minorEastAsia" w:cstheme="minorEastAsia"/>
          <w:sz w:val="24"/>
        </w:rPr>
        <w:outlineLvl w:val="1"/>
      </w:pPr>
      <w:r>
        <w:rPr>
          <w:rFonts w:hint="eastAsia" w:asciiTheme="minorEastAsia" w:hAnsiTheme="minorEastAsia" w:cstheme="minorEastAsia"/>
          <w:sz w:val="24"/>
        </w:rPr>
        <w:t xml:space="preserve">一、法人或者其他组织的营业执照等证明文件，自然人的身份证明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二、上一年度的财务状况报告（至少提供资产负债表、利润表、现金流量表，投标人成立不满一年无需提供）</w:t>
      </w:r>
      <w:r/>
    </w:p>
    <w:p>
      <w:pPr>
        <w:ind w:firstLine="561"/>
        <w:spacing w:line="560" w:lineRule="exact"/>
        <w:widowControl/>
        <w:rPr>
          <w:rFonts w:asciiTheme="minorEastAsia" w:hAnsiTheme="minorEastAsia" w:cstheme="minorEastAsia"/>
          <w:sz w:val="24"/>
        </w:rPr>
        <w:outlineLvl w:val="1"/>
      </w:pPr>
      <w:r>
        <w:rPr>
          <w:rFonts w:hint="eastAsia" w:asciiTheme="minorEastAsia" w:hAnsiTheme="minorEastAsia" w:cstheme="minorEastAsia"/>
          <w:sz w:val="24"/>
        </w:rPr>
        <w:t xml:space="preserve">三、具备履行合同所必需的设备和专业技术能力的书面声明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四、依法缴纳税收和社会保障资金的相关材料（提交投标文件截止时间前一年内至少一个月依法缴纳税收及缴纳社会保障资金的证明材料。投标人依法享受缓缴、免缴税收、社会保障资金的提供证明材料）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五、参加政府采购活动前3年内在经营活动中没有重大违法记录的书面声明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六、特定资格要求的证明文件（如果本项目设置特定资格要求，则需要提供）</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七、法人授权书</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八、投标函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九、中小企业声明函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十、残疾人福利性单位声明函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十一、关于符合本国产品标准的声明函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十二、投标分项报价表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十三、技术要求响应及偏离表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十四、商务要求响应及偏离表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十五、开标一览表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十六、</w:t>
      </w:r>
      <w:r>
        <w:rPr>
          <w:rFonts w:hint="eastAsia" w:ascii="宋体" w:hAnsi="宋体" w:eastAsia="宋体" w:cs="宋体"/>
          <w:sz w:val="24"/>
        </w:rPr>
        <w:t xml:space="preserve">技术方案、服务承诺、培训承诺等</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十七、盐城市政府</w:t>
      </w:r>
      <w:r>
        <w:rPr>
          <w:rFonts w:hint="eastAsia" w:ascii="宋体" w:hAnsi="宋体" w:eastAsia="宋体" w:cs="宋体"/>
          <w:sz w:val="24"/>
        </w:rPr>
        <w:t xml:space="preserve">采购</w:t>
      </w:r>
      <w:r>
        <w:rPr>
          <w:rFonts w:hint="eastAsia" w:asciiTheme="minorEastAsia" w:hAnsiTheme="minorEastAsia" w:cstheme="minorEastAsia"/>
          <w:sz w:val="24"/>
        </w:rPr>
        <w:t xml:space="preserve">事前信用承诺书</w:t>
      </w:r>
      <w:r/>
    </w:p>
    <w:p>
      <w:pPr>
        <w:rPr>
          <w:rFonts w:asciiTheme="minorEastAsia" w:hAnsiTheme="minorEastAsia" w:cstheme="minorEastAsia"/>
          <w:sz w:val="24"/>
        </w:rPr>
      </w:pPr>
      <w:r>
        <w:rPr>
          <w:rFonts w:hint="eastAsia" w:asciiTheme="minorEastAsia" w:hAnsiTheme="minorEastAsia" w:cstheme="minorEastAsia"/>
          <w:sz w:val="24"/>
        </w:rPr>
        <w:br w:type="page" w:clear="all"/>
      </w:r>
      <w:r/>
    </w:p>
    <w:p>
      <w:pPr>
        <w:pStyle w:val="972"/>
        <w:jc w:val="center"/>
        <w:spacing w:beforeAutospacing="0" w:afterAutospacing="0" w:line="4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一、法人或者其他组织的营业执照等证明文件，自然人的   身份证明</w:t>
      </w:r>
      <w:r/>
    </w:p>
    <w:p>
      <w:pPr>
        <w:spacing w:before="120"/>
        <w:widowControl/>
        <w:rPr>
          <w:rFonts w:asciiTheme="minorEastAsia" w:hAnsiTheme="minorEastAsia" w:cstheme="minorEastAsia"/>
          <w:b/>
          <w:bCs/>
          <w:sz w:val="32"/>
          <w:szCs w:val="32"/>
        </w:rPr>
      </w:pPr>
      <w:r>
        <w:rPr>
          <w:rFonts w:asciiTheme="minorEastAsia" w:hAnsiTheme="minorEastAsia" w:cstheme="minorEastAsia"/>
          <w:b/>
          <w:bCs/>
          <w:sz w:val="32"/>
          <w:szCs w:val="32"/>
        </w:rPr>
      </w:r>
      <w:r/>
    </w:p>
    <w:p>
      <w:pPr>
        <w:jc w:val="lef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line="360" w:lineRule="auto"/>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二、上一年度的财务状况报告</w:t>
      </w:r>
      <w:r/>
    </w:p>
    <w:p>
      <w:pPr>
        <w:jc w:val="center"/>
        <w:spacing w:line="360" w:lineRule="auto"/>
        <w:widowControl/>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743"/>
        <w:jc w:val="both"/>
        <w:spacing w:line="360" w:lineRule="auto"/>
        <w:widowControl/>
        <w:rPr>
          <w:rFonts w:ascii="宋体" w:hAnsi="宋体" w:eastAsia="宋体" w:cs="宋体"/>
        </w:rPr>
      </w:pPr>
      <w:r>
        <w:rPr>
          <w:rFonts w:ascii="宋体" w:hAnsi="宋体" w:eastAsia="宋体" w:cs="宋体"/>
        </w:rPr>
      </w:r>
      <w:r/>
    </w:p>
    <w:p>
      <w:pPr>
        <w:jc w:val="lef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743"/>
        <w:ind w:firstLine="480"/>
        <w:jc w:val="both"/>
        <w:spacing w:line="560" w:lineRule="exact"/>
        <w:widowControl/>
        <w:rPr>
          <w:rFonts w:asciiTheme="minorEastAsia" w:hAnsiTheme="minorEastAsia" w:cstheme="minorEastAsia"/>
        </w:rPr>
      </w:pPr>
      <w:r>
        <w:rPr>
          <w:rFonts w:hint="eastAsia" w:asciiTheme="minorEastAsia" w:hAnsiTheme="minorEastAsia" w:cstheme="minorEastAsia"/>
        </w:rPr>
        <w:t xml:space="preserve">我单位郑重声明：我单位具备履行本项采购合同所必需的设备和专业技术能力，为履行本项采购合同我公司具备如下主要设备和主要专业技术能力：</w:t>
      </w:r>
      <w:r/>
    </w:p>
    <w:p>
      <w:pPr>
        <w:pStyle w:val="743"/>
        <w:ind w:firstLine="480"/>
        <w:jc w:val="both"/>
        <w:widowControl/>
        <w:rPr>
          <w:rFonts w:asciiTheme="minorEastAsia" w:hAnsiTheme="minorEastAsia" w:cstheme="minorEastAsia"/>
        </w:rPr>
      </w:pPr>
      <w:r>
        <w:rPr>
          <w:rFonts w:hint="eastAsia" w:asciiTheme="minorEastAsia" w:hAnsiTheme="minorEastAsia" w:cstheme="minorEastAsia"/>
        </w:rPr>
        <w:t xml:space="preserve">主要设备有：</w:t>
      </w:r>
      <w:r>
        <w:rPr>
          <w:rFonts w:hint="eastAsia" w:asciiTheme="minorEastAsia" w:hAnsiTheme="minorEastAsia" w:cstheme="minorEastAsia"/>
          <w:u w:val="single"/>
        </w:rPr>
        <w:t xml:space="preserve">              </w:t>
      </w:r>
      <w:r>
        <w:rPr>
          <w:rFonts w:hint="eastAsia" w:asciiTheme="minorEastAsia" w:hAnsiTheme="minorEastAsia" w:cstheme="minorEastAsia"/>
        </w:rPr>
        <w:t xml:space="preserve">。</w:t>
      </w:r>
      <w:r/>
    </w:p>
    <w:p>
      <w:pPr>
        <w:pStyle w:val="743"/>
        <w:ind w:firstLine="480"/>
        <w:jc w:val="both"/>
        <w:widowControl/>
        <w:rPr>
          <w:rFonts w:ascii="微软雅黑" w:hAnsi="宋体" w:eastAsia="微软雅黑" w:cs="宋体"/>
          <w:iCs/>
        </w:rPr>
      </w:pPr>
      <w:r>
        <w:rPr>
          <w:rFonts w:hint="eastAsia" w:asciiTheme="minorEastAsia" w:hAnsiTheme="minorEastAsia" w:cstheme="minorEastAsia"/>
        </w:rPr>
        <w:t xml:space="preserve">主要专业技术能力有：</w:t>
      </w:r>
      <w:r>
        <w:rPr>
          <w:rFonts w:hint="eastAsia" w:asciiTheme="minorEastAsia" w:hAnsiTheme="minorEastAsia" w:cstheme="minorEastAsia"/>
          <w:u w:val="single"/>
        </w:rPr>
        <w:t xml:space="preserve">     </w:t>
      </w:r>
      <w:r>
        <w:rPr>
          <w:rFonts w:hint="eastAsia" w:asciiTheme="minorEastAsia" w:hAnsiTheme="minorEastAsia" w:cstheme="minorEastAsia"/>
        </w:rPr>
        <w:t xml:space="preserve">。</w:t>
      </w:r>
      <w:r/>
    </w:p>
    <w:p>
      <w:pPr>
        <w:jc w:val="lef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743"/>
        <w:ind w:firstLine="480"/>
        <w:jc w:val="both"/>
        <w:spacing w:beforeAutospacing="0" w:afterAutospacing="0" w:line="500" w:lineRule="exact"/>
        <w:widowControl/>
        <w:rPr>
          <w:rFonts w:ascii="宋体" w:hAnsi="宋体" w:eastAsia="宋体" w:cs="宋体"/>
        </w:rPr>
      </w:pPr>
      <w:r>
        <w:rPr>
          <w:rFonts w:hint="eastAsia" w:asciiTheme="minorEastAsia" w:hAnsi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jc w:val="left"/>
        <w:spacing w:line="500" w:lineRule="exac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五、参加政府采购活动前3年内在经营活动中没有重大违法记录的书面声明</w:t>
      </w:r>
      <w:r/>
    </w:p>
    <w:p>
      <w:pPr>
        <w:pStyle w:val="743"/>
        <w:jc w:val="center"/>
        <w:spacing w:line="500" w:lineRule="exact"/>
        <w:widowControl/>
        <w:rPr>
          <w:rFonts w:asciiTheme="minorEastAsia" w:hAnsiTheme="minorEastAsia" w:cstheme="minorEastAsia"/>
          <w:b/>
        </w:rPr>
      </w:pPr>
      <w:r>
        <w:rPr>
          <w:rFonts w:hint="eastAsia" w:asciiTheme="minorEastAsia" w:hAnsiTheme="minorEastAsia" w:cstheme="minorEastAsia"/>
          <w:b/>
          <w:sz w:val="44"/>
          <w:szCs w:val="44"/>
        </w:rPr>
        <w:t xml:space="preserve">声  明</w:t>
      </w:r>
      <w:r/>
    </w:p>
    <w:p>
      <w:pPr>
        <w:pStyle w:val="743"/>
        <w:ind w:firstLine="480"/>
        <w:jc w:val="both"/>
        <w:spacing w:line="500" w:lineRule="exact"/>
        <w:widowControl/>
        <w:rPr>
          <w:rFonts w:asciiTheme="minorEastAsia" w:hAnsiTheme="minorEastAsia" w:cstheme="minorEastAsia"/>
        </w:rPr>
      </w:pPr>
      <w:r>
        <w:rPr>
          <w:rFonts w:hint="eastAsia" w:asciiTheme="minorEastAsia" w:hAnsiTheme="minorEastAsia" w:cstheme="minorEastAsia"/>
        </w:rPr>
        <w:t xml:space="preserve">我单位郑重声明：参加本次政府采购活动前 3 年内，我单位在经营活动中没有因违法经营受到刑事处罚或者责令停产停业、吊销许可证或者执照、较大数额罚款等行政处罚。</w:t>
      </w:r>
      <w:r/>
    </w:p>
    <w:p>
      <w:pPr>
        <w:pStyle w:val="743"/>
        <w:jc w:val="both"/>
        <w:spacing w:line="560" w:lineRule="exact"/>
        <w:widowControl/>
        <w:rPr>
          <w:rFonts w:asciiTheme="minorEastAsia" w:hAnsiTheme="minorEastAsia" w:cstheme="minorEastAsia"/>
        </w:rPr>
      </w:pPr>
      <w:r>
        <w:rPr>
          <w:rFonts w:asciiTheme="minorEastAsia" w:hAnsiTheme="minorEastAsia" w:cstheme="minorEastAsia"/>
        </w:rPr>
      </w:r>
      <w:r/>
    </w:p>
    <w:p>
      <w:pPr>
        <w:jc w:val="lef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line="36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六、特定资格要求的证明文件</w:t>
      </w:r>
      <w:r/>
    </w:p>
    <w:p>
      <w:pPr>
        <w:pStyle w:val="743"/>
        <w:jc w:val="center"/>
        <w:spacing w:afterAutospacing="0" w:line="360" w:lineRule="exact"/>
        <w:widowControl/>
        <w:rPr>
          <w:rFonts w:ascii="宋体" w:hAnsi="宋体" w:eastAsia="宋体" w:cs="宋体"/>
        </w:rPr>
      </w:pPr>
      <w:r>
        <w:rPr>
          <w:rFonts w:hint="eastAsia" w:ascii="宋体" w:hAnsi="宋体" w:eastAsia="宋体" w:cs="宋体"/>
        </w:rPr>
        <w:t xml:space="preserve">如果本项目申请人的特定资格要求中要求提供的，必须提供。</w:t>
      </w:r>
      <w:r/>
    </w:p>
    <w:p>
      <w:pPr>
        <w:jc w:val="left"/>
        <w:widowControl/>
        <w:rPr>
          <w:rFonts w:cs="Times New Roman" w:asciiTheme="minorEastAsia" w:hAnsiTheme="minorEastAsia"/>
          <w:sz w:val="32"/>
          <w:szCs w:val="32"/>
        </w:rPr>
      </w:pPr>
      <w:r>
        <w:rPr>
          <w:rFonts w:asciiTheme="minorEastAsia" w:hAnsiTheme="minorEastAsia"/>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七、法人授权书</w:t>
      </w:r>
      <w:r/>
    </w:p>
    <w:p>
      <w:pPr>
        <w:pStyle w:val="743"/>
        <w:ind w:firstLine="480"/>
        <w:jc w:val="both"/>
        <w:spacing w:line="560" w:lineRule="exact"/>
        <w:widowControl/>
        <w:rPr>
          <w:rFonts w:asciiTheme="minorEastAsia" w:hAnsiTheme="minorEastAsia" w:cstheme="minorEastAsia"/>
        </w:rPr>
      </w:pPr>
      <w:r>
        <w:rPr>
          <w:rFonts w:hint="eastAsia" w:asciiTheme="minorEastAsia" w:hAnsiTheme="minorEastAsia" w:cstheme="minorEastAsia"/>
        </w:rPr>
        <w:t xml:space="preserve">本授权书声明：</w:t>
      </w:r>
      <w:r>
        <w:rPr>
          <w:rFonts w:hint="eastAsia" w:asciiTheme="minorEastAsia" w:hAnsiTheme="minorEastAsia" w:cstheme="minorEastAsia"/>
          <w:u w:val="single"/>
        </w:rPr>
        <w:t xml:space="preserve">               </w:t>
      </w:r>
      <w:r>
        <w:rPr>
          <w:rFonts w:hint="eastAsia" w:asciiTheme="minorEastAsia" w:hAnsiTheme="minorEastAsia" w:cstheme="minorEastAsia"/>
        </w:rPr>
        <w:t xml:space="preserve">（供应商名称）授权</w:t>
      </w:r>
      <w:r>
        <w:rPr>
          <w:rFonts w:hint="eastAsia" w:asciiTheme="minorEastAsia" w:hAnsiTheme="minorEastAsia" w:cstheme="minorEastAsia"/>
          <w:u w:val="single"/>
        </w:rPr>
        <w:t xml:space="preserve">            </w:t>
      </w:r>
      <w:r>
        <w:rPr>
          <w:rFonts w:hint="eastAsia" w:asciiTheme="minorEastAsia" w:hAnsiTheme="minorEastAsia" w:cstheme="minorEastAsia"/>
        </w:rPr>
        <w:t xml:space="preserve">（被授权人的姓名）为我方就</w:t>
      </w:r>
      <w:r>
        <w:rPr>
          <w:rFonts w:hint="eastAsia" w:asciiTheme="minorEastAsia" w:hAnsiTheme="minorEastAsia" w:cstheme="minorEastAsia"/>
          <w:u w:val="single"/>
          <w:lang w:eastAsia="zh-CN"/>
        </w:rPr>
        <w:t xml:space="preserve">JSZC-320900-JZCG-G2026-0062</w:t>
      </w:r>
      <w:r>
        <w:rPr>
          <w:rFonts w:hint="eastAsia" w:asciiTheme="minorEastAsia" w:hAnsiTheme="minorEastAsia" w:cstheme="minorEastAsia"/>
        </w:rPr>
        <w:t xml:space="preserve">号</w:t>
      </w:r>
      <w:r>
        <w:rPr>
          <w:rFonts w:hint="eastAsia" w:asciiTheme="minorEastAsia" w:hAnsiTheme="minorEastAsia" w:cstheme="minorEastAsia"/>
          <w:u w:val="single"/>
          <w:lang w:eastAsia="zh-CN"/>
        </w:rPr>
        <w:t xml:space="preserve">江苏省盐城技师学院海洋路校区心理健康活动中心和学生职业生涯规划中心采购项目</w:t>
      </w:r>
      <w:r>
        <w:rPr>
          <w:rFonts w:hint="eastAsia" w:asciiTheme="minorEastAsia" w:hAnsiTheme="minorEastAsia" w:cstheme="minorEastAsia"/>
        </w:rPr>
        <w:t xml:space="preserve">采购活动的合法代理人，以本单位名义全权处理一切与该项目采购有关的事务。</w:t>
      </w:r>
      <w:r/>
    </w:p>
    <w:p>
      <w:pPr>
        <w:pStyle w:val="743"/>
        <w:ind w:firstLine="480"/>
        <w:jc w:val="both"/>
        <w:spacing w:line="400" w:lineRule="exact"/>
        <w:widowControl/>
        <w:rPr>
          <w:rFonts w:asciiTheme="minorEastAsia" w:hAnsiTheme="minorEastAsia" w:cstheme="minorEastAsia"/>
        </w:rPr>
      </w:pPr>
      <w:r>
        <w:rPr>
          <w:rFonts w:hint="eastAsia" w:asciiTheme="minorEastAsia" w:hAnsiTheme="minorEastAsia" w:cstheme="minorEastAsia"/>
        </w:rPr>
        <w:t xml:space="preserve">本授权书于</w:t>
      </w:r>
      <w:r>
        <w:rPr>
          <w:rFonts w:hint="eastAsia" w:asciiTheme="minorEastAsia" w:hAnsiTheme="minorEastAsia" w:cstheme="minorEastAsia"/>
          <w:u w:val="single"/>
        </w:rPr>
        <w:t xml:space="preserve">       </w:t>
      </w:r>
      <w:r>
        <w:rPr>
          <w:rFonts w:hint="eastAsia" w:asciiTheme="minorEastAsia" w:hAnsiTheme="minorEastAsia" w:cstheme="minorEastAsia"/>
        </w:rPr>
        <w:t xml:space="preserve">年</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月</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日起生效，特此声明。</w:t>
      </w:r>
      <w:r/>
    </w:p>
    <w:p>
      <w:pPr>
        <w:pStyle w:val="743"/>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被授权人身份证号码：</w:t>
      </w:r>
      <w:r>
        <w:rPr>
          <w:rFonts w:hint="eastAsia" w:asciiTheme="minorEastAsia" w:hAnsiTheme="minorEastAsia" w:cstheme="minorEastAsia"/>
          <w:u w:val="single"/>
        </w:rPr>
        <w:t xml:space="preserve">                     </w:t>
      </w:r>
      <w:r/>
    </w:p>
    <w:p>
      <w:pPr>
        <w:pStyle w:val="743"/>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被授权人联系电话：</w:t>
      </w:r>
      <w:r>
        <w:rPr>
          <w:rFonts w:hint="eastAsia" w:asciiTheme="minorEastAsia" w:hAnsiTheme="minorEastAsia" w:cstheme="minorEastAsia"/>
          <w:u w:val="single"/>
        </w:rPr>
        <w:t xml:space="preserve">（手机）               </w:t>
      </w:r>
      <w:r/>
    </w:p>
    <w:p>
      <w:pPr>
        <w:pStyle w:val="743"/>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授权单位名称：</w:t>
      </w:r>
      <w:r>
        <w:rPr>
          <w:rFonts w:hint="eastAsia" w:asciiTheme="minorEastAsia" w:hAnsiTheme="minorEastAsia" w:cstheme="minorEastAsia"/>
          <w:u w:val="single"/>
        </w:rPr>
        <w:t xml:space="preserve">    （加盖CA电子公章）         </w:t>
      </w:r>
      <w:r/>
    </w:p>
    <w:p>
      <w:pPr>
        <w:pStyle w:val="743"/>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单位地址：</w:t>
      </w:r>
      <w:r>
        <w:rPr>
          <w:rFonts w:hint="eastAsia" w:asciiTheme="minorEastAsia" w:hAnsiTheme="minorEastAsia" w:cstheme="minorEastAsia"/>
          <w:u w:val="single"/>
        </w:rPr>
        <w:t xml:space="preserve">                               </w:t>
      </w:r>
      <w:r/>
    </w:p>
    <w:p>
      <w:pPr>
        <w:pStyle w:val="743"/>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日    期：</w:t>
      </w:r>
      <w:r>
        <w:rPr>
          <w:rFonts w:hint="eastAsia" w:asciiTheme="minorEastAsia" w:hAnsiTheme="minorEastAsia" w:cstheme="minorEastAsia"/>
          <w:u w:val="single"/>
        </w:rPr>
        <w:t xml:space="preserve">                                   </w:t>
      </w:r>
      <w:r/>
    </w:p>
    <w:p>
      <w:pPr>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八、投标函</w:t>
      </w:r>
      <w:r/>
    </w:p>
    <w:p>
      <w:pPr>
        <w:jc w:val="left"/>
        <w:spacing w:line="500" w:lineRule="exact"/>
        <w:widowControl/>
        <w:rPr>
          <w:rFonts w:ascii="宋体" w:hAnsi="宋体" w:cs="宋体"/>
          <w:sz w:val="24"/>
        </w:rPr>
      </w:pPr>
      <w:r>
        <w:rPr>
          <w:rFonts w:hint="eastAsia" w:ascii="宋体" w:hAnsi="宋体" w:cs="宋体"/>
          <w:sz w:val="24"/>
        </w:rPr>
        <w:t xml:space="preserve">致：盐城市政府采购中心</w:t>
      </w:r>
      <w:r/>
    </w:p>
    <w:p>
      <w:pPr>
        <w:ind w:firstLine="480"/>
        <w:jc w:val="left"/>
        <w:spacing w:line="500" w:lineRule="exact"/>
        <w:widowControl/>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 </w:t>
      </w:r>
      <w:r>
        <w:rPr>
          <w:rFonts w:hint="eastAsia" w:ascii="宋体" w:hAnsi="宋体" w:cs="宋体"/>
          <w:sz w:val="24"/>
          <w:u w:val="single"/>
          <w:lang w:eastAsia="zh-CN"/>
        </w:rPr>
        <w:t xml:space="preserve">JSZC-320900-JZCG-G2026-0062 </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widowControl/>
        <w:rPr>
          <w:rFonts w:ascii="宋体" w:hAnsi="宋体" w:cs="宋体"/>
          <w:sz w:val="24"/>
        </w:rPr>
      </w:pPr>
      <w:r>
        <w:rPr>
          <w:rFonts w:hint="eastAsia" w:ascii="宋体" w:hAnsi="宋体" w:cs="宋体"/>
          <w:sz w:val="24"/>
        </w:rPr>
        <w:t xml:space="preserve">据此函，__________签字人兹宣布同意如下：</w:t>
      </w:r>
      <w:r/>
    </w:p>
    <w:p>
      <w:pPr>
        <w:ind w:firstLine="480"/>
        <w:spacing w:line="500" w:lineRule="exact"/>
        <w:widowControl/>
        <w:rPr>
          <w:rFonts w:ascii="宋体" w:hAnsi="宋体" w:cs="宋体"/>
          <w:sz w:val="24"/>
        </w:rPr>
      </w:pPr>
      <w:r>
        <w:rPr>
          <w:rFonts w:hint="eastAsia" w:ascii="宋体" w:hAnsi="宋体" w:cs="宋体"/>
          <w:sz w:val="24"/>
        </w:rPr>
        <w:t xml:space="preserve">1.按招标文件规定的各项要求，向买方提供所需货物（包含与货物相关的服务）。</w:t>
      </w:r>
      <w:r/>
    </w:p>
    <w:p>
      <w:pPr>
        <w:ind w:firstLine="480"/>
        <w:spacing w:line="500" w:lineRule="exact"/>
        <w:widowControl/>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spacing w:line="500" w:lineRule="exact"/>
        <w:widowControl/>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spacing w:line="500" w:lineRule="exact"/>
        <w:widowControl/>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spacing w:line="500" w:lineRule="exact"/>
        <w:widowControl/>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spacing w:line="500" w:lineRule="exact"/>
        <w:widowControl/>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widowControl/>
        <w:rPr>
          <w:rFonts w:ascii="宋体" w:hAnsi="宋体" w:cs="宋体"/>
          <w:sz w:val="24"/>
        </w:rPr>
        <w:outlineLvl w:val="2"/>
      </w:pPr>
      <w:r>
        <w:rPr>
          <w:rFonts w:hint="eastAsia" w:ascii="宋体" w:hAnsi="宋体" w:cs="宋体"/>
          <w:sz w:val="24"/>
        </w:rPr>
        <w:t xml:space="preserve">7.与本投标有关的正式通讯地址为：</w:t>
      </w:r>
      <w:r/>
    </w:p>
    <w:p>
      <w:pPr>
        <w:ind w:firstLine="480"/>
        <w:jc w:val="left"/>
        <w:spacing w:line="500" w:lineRule="exact"/>
        <w:widowControl/>
        <w:rPr>
          <w:rFonts w:ascii="宋体" w:hAnsi="宋体" w:cs="宋体"/>
          <w:sz w:val="24"/>
        </w:rPr>
      </w:pPr>
      <w:r>
        <w:rPr>
          <w:rFonts w:hint="eastAsia" w:ascii="宋体" w:hAnsi="宋体" w:cs="宋体"/>
          <w:sz w:val="24"/>
        </w:rPr>
        <w:t xml:space="preserve">地      址：</w:t>
      </w:r>
      <w:r/>
    </w:p>
    <w:p>
      <w:pPr>
        <w:ind w:firstLine="480"/>
        <w:jc w:val="left"/>
        <w:spacing w:line="500" w:lineRule="exact"/>
        <w:widowControl/>
        <w:rPr>
          <w:rFonts w:ascii="宋体" w:hAnsi="宋体" w:cs="宋体"/>
          <w:sz w:val="24"/>
        </w:rPr>
      </w:pPr>
      <w:r>
        <w:rPr>
          <w:rFonts w:hint="eastAsia" w:ascii="宋体" w:hAnsi="宋体" w:cs="宋体"/>
          <w:sz w:val="24"/>
        </w:rPr>
        <w:t xml:space="preserve">邮      编：</w:t>
      </w:r>
      <w:r/>
    </w:p>
    <w:p>
      <w:pPr>
        <w:ind w:firstLine="480"/>
        <w:jc w:val="left"/>
        <w:spacing w:line="500" w:lineRule="exact"/>
        <w:widowControl/>
        <w:rPr>
          <w:rFonts w:ascii="宋体" w:hAnsi="宋体" w:cs="宋体"/>
          <w:sz w:val="24"/>
        </w:rPr>
      </w:pPr>
      <w:r>
        <w:rPr>
          <w:rFonts w:hint="eastAsia" w:ascii="宋体" w:hAnsi="宋体" w:cs="宋体"/>
          <w:sz w:val="24"/>
        </w:rPr>
        <w:t xml:space="preserve">电      话：</w:t>
      </w:r>
      <w:r/>
    </w:p>
    <w:p>
      <w:pPr>
        <w:ind w:firstLine="480"/>
        <w:jc w:val="left"/>
        <w:spacing w:line="500" w:lineRule="exact"/>
        <w:widowControl/>
        <w:rPr>
          <w:rFonts w:ascii="宋体" w:hAnsi="宋体" w:cs="宋体"/>
          <w:sz w:val="24"/>
        </w:rPr>
      </w:pPr>
      <w:r>
        <w:rPr>
          <w:rFonts w:hint="eastAsia" w:ascii="宋体" w:hAnsi="宋体" w:cs="宋体"/>
          <w:sz w:val="24"/>
        </w:rPr>
        <w:t xml:space="preserve">传       真：</w:t>
      </w:r>
      <w:r/>
    </w:p>
    <w:p>
      <w:pPr>
        <w:ind w:firstLine="480"/>
        <w:jc w:val="left"/>
        <w:spacing w:line="500" w:lineRule="exact"/>
        <w:widowControl/>
        <w:rPr>
          <w:rFonts w:ascii="宋体" w:hAnsi="宋体" w:cs="宋体"/>
          <w:sz w:val="24"/>
        </w:rPr>
      </w:pPr>
      <w:r>
        <w:rPr>
          <w:rFonts w:hint="eastAsia" w:ascii="宋体" w:hAnsi="宋体" w:cs="宋体"/>
          <w:sz w:val="24"/>
        </w:rPr>
        <w:t xml:space="preserve">投标人开户行：</w:t>
      </w:r>
      <w:r/>
    </w:p>
    <w:p>
      <w:pPr>
        <w:ind w:firstLine="480"/>
        <w:jc w:val="left"/>
        <w:spacing w:line="500" w:lineRule="exact"/>
        <w:widowControl/>
        <w:rPr>
          <w:rFonts w:ascii="宋体" w:hAnsi="宋体" w:cs="宋体"/>
          <w:sz w:val="24"/>
        </w:rPr>
      </w:pPr>
      <w:r>
        <w:rPr>
          <w:rFonts w:hint="eastAsia" w:ascii="宋体" w:hAnsi="宋体" w:cs="宋体"/>
          <w:sz w:val="24"/>
        </w:rPr>
        <w:t xml:space="preserve">账       号：</w:t>
      </w:r>
      <w:r/>
    </w:p>
    <w:p>
      <w:pPr>
        <w:ind w:firstLine="480"/>
        <w:jc w:val="left"/>
        <w:spacing w:line="500" w:lineRule="exact"/>
        <w:widowControl/>
      </w:pPr>
      <w:r>
        <w:rPr>
          <w:rFonts w:hint="eastAsia" w:ascii="宋体" w:hAnsi="宋体" w:cs="宋体"/>
          <w:sz w:val="24"/>
        </w:rPr>
        <w:t xml:space="preserve">日      期：______年____月____日</w:t>
      </w:r>
      <w:r>
        <w:t xml:space="preserve"> </w:t>
      </w:r>
      <w:r/>
    </w:p>
    <w:p>
      <w:pPr>
        <w:jc w:val="left"/>
        <w:widowControl/>
        <w:rPr>
          <w:rFonts w:ascii="黑体" w:hAnsi="黑体" w:eastAsia="黑体" w:cs="黑体"/>
          <w:i/>
          <w:sz w:val="32"/>
          <w:szCs w:val="32"/>
        </w:rPr>
      </w:pPr>
      <w:r>
        <w:rPr>
          <w:rFonts w:ascii="黑体" w:hAnsi="黑体" w:eastAsia="黑体" w:cs="黑体"/>
          <w:i/>
          <w:sz w:val="32"/>
          <w:szCs w:val="32"/>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九、中小企业声明函（货物）</w:t>
      </w:r>
      <w:r/>
    </w:p>
    <w:p>
      <w:pPr>
        <w:ind w:firstLine="480"/>
        <w:spacing w:line="519" w:lineRule="atLeas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eastAsia="宋体" w:cs="宋体"/>
          <w:sz w:val="24"/>
          <w:szCs w:val="20"/>
          <w:u w:val="single"/>
          <w:lang w:eastAsia="zh-CN"/>
        </w:rPr>
        <w:t xml:space="preserve">江苏省盐城技师学院</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JSZC-320900-JZCG-G2026-0062 </w:t>
      </w:r>
      <w:r>
        <w:rPr>
          <w:rFonts w:ascii="宋体" w:hAnsi="宋体" w:cs="宋体"/>
          <w:sz w:val="24"/>
        </w:rPr>
        <w:t xml:space="preserve">，</w:t>
      </w:r>
      <w:r>
        <w:rPr>
          <w:rFonts w:hint="eastAsia" w:ascii="宋体" w:hAnsi="宋体" w:cs="宋体"/>
          <w:sz w:val="24"/>
          <w:u w:val="single"/>
          <w:lang w:eastAsia="zh-CN"/>
        </w:rPr>
        <w:t xml:space="preserve">江苏省盐城技师学院海洋路校区心理健康活动中心和学生职业生涯规划中心采购项目</w:t>
      </w:r>
      <w:r>
        <w:rPr>
          <w:rFonts w:ascii="宋体" w:hAnsi="宋体" w:cs="宋体"/>
          <w:sz w:val="24"/>
        </w:rPr>
        <w:t xml:space="preserve">的采购活动，提供的货物全部由符合政策要</w:t>
      </w:r>
      <w:r>
        <w:rPr>
          <w:rFonts w:hint="eastAsia" w:ascii="宋体" w:hAnsi="宋体" w:cs="宋体"/>
          <w:sz w:val="24"/>
        </w:rPr>
        <w:t xml:space="preserve">求的</w:t>
      </w:r>
      <w:r>
        <w:rPr>
          <w:rFonts w:ascii="宋体" w:hAnsi="宋体" w:cs="宋体"/>
          <w:sz w:val="24"/>
        </w:rPr>
        <w:t xml:space="preserve">中小企业制造。根据《工业和信息化部、国家统计局、国家发展和改革委员会、财政部关于印发中小企业划型标准规定的通知》(工信部联企业</w:t>
      </w:r>
      <w:r>
        <w:rPr>
          <w:rFonts w:hint="eastAsia" w:ascii="宋体" w:hAnsi="宋体" w:cs="宋体"/>
          <w:sz w:val="24"/>
        </w:rPr>
        <w:t xml:space="preserve">〔2011〕300号</w:t>
      </w:r>
      <w:r>
        <w:rPr>
          <w:rFonts w:ascii="宋体" w:hAnsi="宋体" w:cs="宋体"/>
          <w:sz w:val="24"/>
        </w:rPr>
        <w:t xml:space="preserve">)的规定，相关企业（含联合体中的小微企业、签订分包意向协议的小微企业）的具体情况如下：</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w:t>
      </w:r>
      <w:r>
        <w:rPr>
          <w:rFonts w:hint="eastAsia" w:ascii="宋体" w:hAnsi="宋体" w:cs="宋体"/>
          <w:sz w:val="24"/>
        </w:rPr>
        <w:t xml:space="preserve">制造商为</w:t>
      </w:r>
      <w:r>
        <w:rPr>
          <w:rFonts w:ascii="宋体" w:hAnsi="宋体" w:cs="宋体"/>
          <w:sz w:val="24"/>
        </w:rPr>
        <w:t xml:space="preserve">（</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w:t>
      </w:r>
      <w:r>
        <w:rPr>
          <w:rFonts w:hint="eastAsia" w:ascii="宋体" w:hAnsi="宋体" w:cs="宋体"/>
          <w:sz w:val="24"/>
        </w:rPr>
        <w:t xml:space="preserve">制造商为</w:t>
      </w:r>
      <w:r>
        <w:rPr>
          <w:rFonts w:ascii="宋体" w:hAnsi="宋体" w:cs="宋体"/>
          <w:sz w:val="24"/>
        </w:rPr>
        <w:t xml:space="preserve">（</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widowControl/>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rPr>
          <w:rFonts w:hint="eastAsia" w:ascii="宋体" w:hAnsi="宋体" w:cs="宋体"/>
          <w:sz w:val="24"/>
        </w:rPr>
        <w:t xml:space="preserve">。</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p>
      <w:pPr>
        <w:ind w:firstLine="480"/>
        <w:spacing w:line="499"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499"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备注2：供应商如不提供此声明函，价格将不做相应扣除（如项目全面面向中小企业，则资格审查不通过）。</w:t>
      </w:r>
      <w:r/>
    </w:p>
    <w:p>
      <w:pPr>
        <w:pStyle w:val="743"/>
        <w:ind w:right="1560" w:firstLine="120"/>
        <w:jc w:val="center"/>
        <w:spacing w:line="0" w:lineRule="atLeast"/>
        <w:widowControl/>
        <w:tabs>
          <w:tab w:val="left" w:pos="4864" w:leader="none"/>
        </w:tabs>
        <w:rPr>
          <w:rFonts w:ascii="黑体" w:hAnsi="黑体" w:eastAsia="黑体" w:cs="黑体"/>
          <w:i/>
          <w:sz w:val="32"/>
          <w:szCs w:val="32"/>
        </w:rPr>
      </w:pPr>
      <w:r>
        <w:rPr>
          <w:rFonts w:ascii="黑体" w:hAnsi="黑体" w:eastAsia="黑体" w:cs="黑体"/>
          <w:i/>
          <w:sz w:val="32"/>
          <w:szCs w:val="32"/>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十、残疾人福利性单位声明函</w:t>
      </w:r>
      <w:r/>
    </w:p>
    <w:p>
      <w:pPr>
        <w:ind w:firstLine="480"/>
        <w:jc w:val="left"/>
        <w:spacing w:line="560" w:lineRule="exact"/>
        <w:widowControl/>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0"/>
          <w:u w:val="single"/>
          <w:lang w:eastAsia="zh-CN"/>
        </w:rPr>
        <w:t xml:space="preserve">江苏省盐城技师学院</w:t>
      </w:r>
      <w:r>
        <w:rPr>
          <w:rFonts w:hint="eastAsia" w:ascii="宋体" w:hAnsi="宋体" w:cs="宋体"/>
          <w:sz w:val="24"/>
        </w:rPr>
        <w:t xml:space="preserve">单位的采购文件编号为</w:t>
      </w:r>
      <w:r>
        <w:rPr>
          <w:rFonts w:hint="eastAsia" w:ascii="宋体" w:hAnsi="宋体" w:cs="宋体"/>
          <w:sz w:val="24"/>
          <w:u w:val="single"/>
          <w:lang w:eastAsia="zh-CN"/>
        </w:rPr>
        <w:t xml:space="preserve">JSZC-320900-JZCG-G2026-0062 </w:t>
      </w:r>
      <w:r>
        <w:rPr>
          <w:rFonts w:hint="eastAsia" w:ascii="宋体" w:hAnsi="宋体" w:cs="宋体"/>
          <w:sz w:val="24"/>
        </w:rPr>
        <w:t xml:space="preserve">的</w:t>
      </w:r>
      <w:r>
        <w:rPr>
          <w:rFonts w:hint="eastAsia" w:ascii="宋体" w:hAnsi="宋体" w:cs="宋体"/>
          <w:sz w:val="24"/>
          <w:u w:val="single"/>
          <w:lang w:eastAsia="zh-CN"/>
        </w:rPr>
        <w:t xml:space="preserve">江苏省盐城技师学院海洋路校区心理健康活动中心和学生职业生涯规划中心采购项目</w:t>
      </w:r>
      <w:r>
        <w:rPr>
          <w:rFonts w:hint="eastAsia" w:ascii="宋体" w:hAnsi="宋体" w:cs="宋体"/>
          <w:sz w:val="24"/>
        </w:rPr>
        <w:t xml:space="preserve">采购活动提供本单位制造的货物，或者提供其他残疾人福利性单位制造的货物（不包括使用非残疾人福利性单位注册商标的货物）。</w:t>
      </w:r>
      <w:r/>
    </w:p>
    <w:p>
      <w:pPr>
        <w:ind w:firstLine="480"/>
        <w:jc w:val="left"/>
        <w:spacing w:line="560" w:lineRule="exact"/>
        <w:widowControl/>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60" w:lineRule="exact"/>
        <w:widowControl/>
        <w:rPr>
          <w:rFonts w:ascii="宋体" w:hAnsi="宋体" w:cs="宋体"/>
          <w:sz w:val="24"/>
        </w:rPr>
      </w:pPr>
      <w:r>
        <w:rPr>
          <w:rFonts w:ascii="宋体" w:hAnsi="宋体" w:cs="宋体"/>
          <w:sz w:val="24"/>
        </w:rPr>
      </w:r>
      <w:r/>
    </w:p>
    <w:p>
      <w:pPr>
        <w:ind w:firstLine="480"/>
        <w:spacing w:line="499"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rPr>
          <w:rFonts w:hint="eastAsia" w:ascii="宋体" w:hAnsi="宋体" w:eastAsia="宋体" w:cs="宋体"/>
          <w:sz w:val="24"/>
        </w:rPr>
        <w:t xml:space="preserve">。</w:t>
      </w:r>
      <w:r/>
    </w:p>
    <w:p>
      <w:pPr>
        <w:ind w:firstLine="480"/>
        <w:jc w:val="left"/>
        <w:spacing w:line="520" w:lineRule="exact"/>
        <w:widowControl/>
        <w:rPr>
          <w:rFonts w:ascii="宋体" w:hAnsi="宋体" w:cs="宋体"/>
          <w:sz w:val="24"/>
        </w:rPr>
      </w:pPr>
      <w:r>
        <w:rPr>
          <w:rFonts w:ascii="宋体" w:hAnsi="宋体" w:cs="宋体"/>
          <w:sz w:val="24"/>
        </w:rPr>
      </w:r>
      <w:r/>
    </w:p>
    <w:p>
      <w:pPr>
        <w:ind w:firstLine="480"/>
        <w:jc w:val="left"/>
        <w:spacing w:line="520" w:lineRule="exact"/>
        <w:widowControl/>
        <w:rPr>
          <w:rFonts w:ascii="宋体" w:hAnsi="宋体" w:cs="宋体"/>
          <w:sz w:val="24"/>
        </w:rPr>
      </w:pPr>
      <w:r>
        <w:rPr>
          <w:rFonts w:ascii="宋体" w:hAnsi="宋体" w:cs="宋体"/>
          <w:sz w:val="24"/>
        </w:rPr>
      </w:r>
      <w:r/>
    </w:p>
    <w:p>
      <w:pPr>
        <w:ind w:right="480" w:firstLine="480"/>
        <w:jc w:val="right"/>
        <w:spacing w:line="520" w:lineRule="exact"/>
        <w:widowControl/>
        <w:rPr>
          <w:rFonts w:ascii="宋体" w:hAnsi="宋体" w:cs="宋体"/>
          <w:sz w:val="24"/>
        </w:rPr>
      </w:pPr>
      <w:r>
        <w:rPr>
          <w:rFonts w:hint="eastAsia" w:ascii="宋体" w:hAnsi="宋体" w:cs="宋体"/>
          <w:sz w:val="24"/>
        </w:rPr>
        <w:t xml:space="preserve">企业名称（加盖CA电子公章）：</w:t>
      </w:r>
      <w:r/>
    </w:p>
    <w:p>
      <w:pPr>
        <w:ind w:right="480" w:firstLine="480"/>
        <w:jc w:val="right"/>
        <w:spacing w:line="520" w:lineRule="exact"/>
        <w:widowControl/>
      </w:pPr>
      <w:r>
        <w:rPr>
          <w:rFonts w:hint="eastAsia" w:ascii="宋体" w:hAnsi="宋体" w:cs="宋体"/>
          <w:sz w:val="24"/>
        </w:rPr>
        <w:t xml:space="preserve">日  期：</w:t>
      </w:r>
      <w:r/>
    </w:p>
    <w:p>
      <w:pPr>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pStyle w:val="743"/>
        <w:jc w:val="center"/>
        <w:spacing w:beforeAutospacing="0" w:afterAutospacing="0"/>
      </w:pPr>
      <w:r>
        <w:rPr>
          <w:rFonts w:hint="eastAsia" w:ascii="黑体" w:hAnsi="黑体" w:eastAsia="黑体" w:cs="黑体"/>
          <w:i/>
          <w:sz w:val="32"/>
          <w:szCs w:val="32"/>
          <w:u w:val="single"/>
        </w:rPr>
        <w:t xml:space="preserve">十一、关于符合本国产品标准的声明函</w:t>
      </w:r>
      <w:r/>
    </w:p>
    <w:p>
      <w:pPr>
        <w:pStyle w:val="743"/>
        <w:ind w:firstLine="420"/>
        <w:jc w:val="both"/>
        <w:spacing w:beforeAutospacing="0" w:afterAutospacing="0"/>
      </w:pPr>
      <w:r>
        <w:rPr>
          <w:rFonts w:ascii="Arial" w:hAnsi="Arial" w:cs="Arial"/>
          <w:color w:val="ff0000"/>
        </w:rPr>
        <w:t xml:space="preserve"> </w:t>
      </w:r>
      <w:r/>
    </w:p>
    <w:p>
      <w:pPr>
        <w:pStyle w:val="743"/>
        <w:ind w:firstLine="420"/>
        <w:jc w:val="both"/>
        <w:spacing w:beforeAutospacing="0" w:afterAutospacing="0" w:line="360" w:lineRule="auto"/>
      </w:pPr>
      <w:r>
        <w:rPr>
          <w:rFonts w:ascii="宋体" w:hAnsi="宋体" w:eastAsia="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3"/>
        <w:ind w:firstLine="420"/>
        <w:jc w:val="both"/>
        <w:spacing w:before="30" w:beforeAutospacing="0" w:after="30" w:afterAutospacing="0" w:line="360" w:lineRule="auto"/>
      </w:pPr>
      <w:r>
        <w:rPr>
          <w:rFonts w:ascii="宋体" w:hAnsi="宋体" w:eastAsia="宋体" w:cs="宋体"/>
          <w:shd w:val="clear" w:color="auto" w:fill="ffffff"/>
        </w:rPr>
        <w:t xml:space="preserve">1.</w:t>
      </w:r>
      <w:r>
        <w:rPr>
          <w:rFonts w:ascii="宋体" w:hAnsi="宋体" w:eastAsia="宋体" w:cs="宋体"/>
          <w:u w:val="single"/>
          <w:shd w:val="clear" w:color="auto" w:fill="ffffff"/>
        </w:rPr>
        <w:t xml:space="preserve">（产品名称1）</w:t>
      </w:r>
      <w:r>
        <w:rPr>
          <w:rFonts w:ascii="宋体" w:hAnsi="宋体" w:eastAsia="宋体" w:cs="宋体"/>
          <w:shd w:val="clear" w:color="auto" w:fill="ffffff"/>
          <w:vertAlign w:val="superscript"/>
        </w:rPr>
        <w:t xml:space="preserve">1</w:t>
      </w:r>
      <w:r>
        <w:rPr>
          <w:rFonts w:ascii="宋体" w:hAnsi="宋体" w:eastAsia="宋体" w:cs="宋体"/>
          <w:shd w:val="clear" w:color="auto" w:fill="ffffff"/>
        </w:rPr>
        <w:t xml:space="preserve">，生产厂为</w:t>
      </w:r>
      <w:r>
        <w:rPr>
          <w:rFonts w:ascii="宋体" w:hAnsi="宋体" w:eastAsia="宋体" w:cs="宋体"/>
          <w:u w:val="single"/>
          <w:shd w:val="clear" w:color="auto" w:fill="ffffff"/>
        </w:rPr>
        <w:t xml:space="preserve">（厂名）</w:t>
      </w:r>
      <w:r>
        <w:rPr>
          <w:rFonts w:ascii="宋体" w:hAnsi="宋体" w:eastAsia="宋体" w:cs="宋体"/>
          <w:shd w:val="clear" w:color="auto" w:fill="ffffff"/>
          <w:vertAlign w:val="superscript"/>
        </w:rPr>
        <w:t xml:space="preserve">2</w:t>
      </w:r>
      <w:r>
        <w:rPr>
          <w:rFonts w:ascii="宋体" w:hAnsi="宋体" w:eastAsia="宋体" w:cs="宋体"/>
          <w:shd w:val="clear" w:color="auto" w:fill="ffffff"/>
        </w:rPr>
        <w:t xml:space="preserve">，厂址为</w:t>
      </w:r>
      <w:r>
        <w:rPr>
          <w:rFonts w:ascii="宋体" w:hAnsi="宋体" w:eastAsia="宋体" w:cs="宋体"/>
          <w:u w:val="single"/>
          <w:shd w:val="clear" w:color="auto" w:fill="ffffff"/>
        </w:rPr>
        <w:t xml:space="preserve">（生产厂址）</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 （产品名称1）</w:t>
      </w:r>
      <w:r>
        <w:rPr>
          <w:rFonts w:ascii="宋体" w:hAnsi="宋体" w:eastAsia="宋体" w:cs="宋体"/>
          <w:u w:val="single"/>
          <w:shd w:val="clear" w:color="auto" w:fill="ffffff"/>
        </w:rPr>
        <w:t xml:space="preserve"> </w:t>
      </w:r>
      <w:r>
        <w:rPr>
          <w:rFonts w:ascii="宋体" w:hAnsi="宋体" w:eastAsia="宋体" w:cs="宋体"/>
          <w:shd w:val="clear" w:color="auto" w:fill="ffffff"/>
        </w:rPr>
        <w:t xml:space="preserve">的中国境内生产的组件成本占比≥</w:t>
      </w:r>
      <w:r>
        <w:rPr>
          <w:rFonts w:ascii="宋体" w:hAnsi="宋体" w:eastAsia="宋体" w:cs="宋体"/>
          <w:strike/>
          <w:u w:val="single"/>
          <w:shd w:val="clear" w:color="auto" w:fill="ffffff"/>
        </w:rPr>
        <w:t xml:space="preserve">（规定比例）</w:t>
      </w:r>
      <w:r>
        <w:rPr>
          <w:rFonts w:ascii="宋体" w:hAnsi="宋体" w:eastAsia="宋体" w:cs="宋体"/>
          <w:strike/>
          <w:shd w:val="clear" w:color="auto" w:fill="ffffff"/>
          <w:vertAlign w:val="superscript"/>
        </w:rPr>
        <w:t xml:space="preserve">3</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（关键组件）</w:t>
      </w:r>
      <w:r>
        <w:rPr>
          <w:rFonts w:ascii="宋体" w:hAnsi="宋体" w:eastAsia="宋体" w:cs="宋体"/>
          <w:strike/>
          <w:shd w:val="clear" w:color="auto" w:fill="ffffff"/>
          <w:vertAlign w:val="superscript"/>
        </w:rPr>
        <w:t xml:space="preserve">4</w:t>
      </w:r>
      <w:r>
        <w:rPr>
          <w:rFonts w:ascii="宋体" w:hAnsi="宋体" w:eastAsia="宋体" w:cs="宋体"/>
          <w:shd w:val="clear" w:color="auto" w:fill="ffffff"/>
        </w:rPr>
        <w:t xml:space="preserve">在中国境内生产。</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（关键工序）</w:t>
      </w:r>
      <w:r>
        <w:rPr>
          <w:rFonts w:ascii="宋体" w:hAnsi="宋体" w:eastAsia="宋体" w:cs="宋体"/>
          <w:strike/>
          <w:shd w:val="clear" w:color="auto" w:fill="ffffff"/>
          <w:vertAlign w:val="superscript"/>
        </w:rPr>
        <w:t xml:space="preserve">5</w:t>
      </w:r>
      <w:r>
        <w:rPr>
          <w:rFonts w:ascii="宋体" w:hAnsi="宋体" w:eastAsia="宋体" w:cs="宋体"/>
          <w:shd w:val="clear" w:color="auto" w:fill="ffffff"/>
        </w:rPr>
        <w:t xml:space="preserve">在中国境内完成。</w:t>
      </w:r>
      <w:r/>
    </w:p>
    <w:p>
      <w:pPr>
        <w:pStyle w:val="743"/>
        <w:ind w:firstLine="420"/>
        <w:jc w:val="both"/>
        <w:spacing w:before="30" w:beforeAutospacing="0" w:after="30" w:afterAutospacing="0" w:line="360" w:lineRule="auto"/>
      </w:pPr>
      <w:r>
        <w:rPr>
          <w:rFonts w:ascii="宋体" w:hAnsi="宋体" w:eastAsia="宋体" w:cs="宋体"/>
          <w:shd w:val="clear" w:color="auto" w:fill="ffffff"/>
        </w:rPr>
        <w:t xml:space="preserve">2.</w:t>
      </w:r>
      <w:r>
        <w:rPr>
          <w:rFonts w:ascii="宋体" w:hAnsi="宋体" w:eastAsia="宋体" w:cs="宋体"/>
          <w:u w:val="single"/>
          <w:shd w:val="clear" w:color="auto" w:fill="ffffff"/>
        </w:rPr>
        <w:t xml:space="preserve">（产品名称2）</w:t>
      </w:r>
      <w:r>
        <w:rPr>
          <w:rFonts w:ascii="宋体" w:hAnsi="宋体" w:eastAsia="宋体" w:cs="宋体"/>
          <w:shd w:val="clear" w:color="auto" w:fill="ffffff"/>
        </w:rPr>
        <w:t xml:space="preserve">，生产厂为</w:t>
      </w:r>
      <w:r>
        <w:rPr>
          <w:rFonts w:ascii="宋体" w:hAnsi="宋体" w:eastAsia="宋体" w:cs="宋体"/>
          <w:u w:val="single"/>
          <w:shd w:val="clear" w:color="auto" w:fill="ffffff"/>
        </w:rPr>
        <w:t xml:space="preserve">（厂名）</w:t>
      </w:r>
      <w:r>
        <w:rPr>
          <w:rFonts w:ascii="宋体" w:hAnsi="宋体" w:eastAsia="宋体" w:cs="宋体"/>
          <w:shd w:val="clear" w:color="auto" w:fill="ffffff"/>
        </w:rPr>
        <w:t xml:space="preserve">，厂址为</w:t>
      </w:r>
      <w:r>
        <w:rPr>
          <w:rFonts w:ascii="宋体" w:hAnsi="宋体" w:eastAsia="宋体" w:cs="宋体"/>
          <w:u w:val="single"/>
          <w:shd w:val="clear" w:color="auto" w:fill="ffffff"/>
        </w:rPr>
        <w:t xml:space="preserve">（生产厂址）</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（产品名称2）</w:t>
      </w:r>
      <w:r>
        <w:rPr>
          <w:rFonts w:ascii="宋体" w:hAnsi="宋体" w:eastAsia="宋体" w:cs="宋体"/>
          <w:shd w:val="clear" w:color="auto" w:fill="ffffff"/>
        </w:rPr>
        <w:t xml:space="preserve">的中国境内生产的组件成本占比≥</w:t>
      </w:r>
      <w:r>
        <w:rPr>
          <w:rFonts w:ascii="宋体" w:hAnsi="宋体" w:eastAsia="宋体" w:cs="宋体"/>
          <w:strike/>
          <w:u w:val="single"/>
          <w:shd w:val="clear" w:color="auto" w:fill="ffffff"/>
        </w:rPr>
        <w:t xml:space="preserve">（规定比例）</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（产品名称2）</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（关键组件）</w:t>
      </w:r>
      <w:r>
        <w:rPr>
          <w:rFonts w:ascii="宋体" w:hAnsi="宋体" w:eastAsia="宋体" w:cs="宋体"/>
          <w:shd w:val="clear" w:color="auto" w:fill="ffffff"/>
        </w:rPr>
        <w:t xml:space="preserve">在中国境内生产。</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（关键工序）</w:t>
      </w:r>
      <w:r>
        <w:rPr>
          <w:rFonts w:ascii="宋体" w:hAnsi="宋体" w:eastAsia="宋体" w:cs="宋体"/>
          <w:shd w:val="clear" w:color="auto" w:fill="ffffff"/>
        </w:rPr>
        <w:t xml:space="preserve">在中国境内完成。</w:t>
      </w:r>
      <w:r/>
    </w:p>
    <w:p>
      <w:pPr>
        <w:pStyle w:val="743"/>
        <w:ind w:firstLine="420"/>
        <w:jc w:val="both"/>
        <w:spacing w:before="30" w:beforeAutospacing="0" w:after="30" w:afterAutospacing="0" w:line="360" w:lineRule="auto"/>
      </w:pPr>
      <w:r>
        <w:rPr>
          <w:rFonts w:ascii="宋体" w:hAnsi="宋体" w:eastAsia="宋体" w:cs="宋体"/>
          <w:shd w:val="clear" w:color="auto" w:fill="ffffff"/>
        </w:rPr>
        <w:t xml:space="preserve">……</w:t>
      </w:r>
      <w:r/>
    </w:p>
    <w:p>
      <w:pPr>
        <w:pStyle w:val="743"/>
        <w:ind w:right="480"/>
        <w:spacing w:before="30" w:beforeAutospacing="0" w:after="30" w:afterAutospacing="0" w:line="360" w:lineRule="auto"/>
        <w:rPr>
          <w:rFonts w:ascii="宋体" w:hAnsi="宋体" w:eastAsia="宋体" w:cs="宋体"/>
          <w:shd w:val="clear" w:color="auto" w:fill="ffffff"/>
        </w:rPr>
      </w:pPr>
      <w:r>
        <w:rPr>
          <w:rFonts w:ascii="宋体" w:hAnsi="宋体" w:eastAsia="宋体" w:cs="宋体"/>
          <w:shd w:val="clear" w:color="auto" w:fill="ffffff"/>
        </w:rPr>
        <w:t xml:space="preserve">本公司（单位）对上述声明内容的真实性负责。如有虚假，愿承担相应法律责任。</w:t>
      </w:r>
      <w:r>
        <w:rPr>
          <w:rFonts w:hint="eastAsia" w:ascii="宋体" w:hAnsi="宋体" w:eastAsia="宋体" w:cs="宋体"/>
          <w:shd w:val="clear" w:color="auto" w:fill="ffffff"/>
        </w:rPr>
        <w:t xml:space="preserve"> </w:t>
      </w:r>
      <w:r/>
    </w:p>
    <w:p>
      <w:pPr>
        <w:pStyle w:val="743"/>
        <w:ind w:right="480"/>
        <w:jc w:val="center"/>
        <w:spacing w:before="30" w:beforeAutospacing="0" w:after="30" w:afterAutospacing="0" w:line="360" w:lineRule="auto"/>
      </w:pPr>
      <w:r>
        <w:rPr>
          <w:rFonts w:hint="eastAsia" w:ascii="宋体" w:hAnsi="宋体" w:eastAsia="宋体" w:cs="宋体"/>
          <w:shd w:val="clear" w:color="auto" w:fill="ffffff"/>
        </w:rPr>
        <w:t xml:space="preserve">          </w:t>
      </w:r>
      <w:r>
        <w:rPr>
          <w:rFonts w:ascii="宋体" w:hAnsi="宋体" w:eastAsia="宋体" w:cs="宋体"/>
          <w:shd w:val="clear" w:color="auto" w:fill="ffffff"/>
        </w:rPr>
        <w:t xml:space="preserve">公司（单位）名称（盖章）：</w:t>
      </w:r>
      <w:r/>
    </w:p>
    <w:p>
      <w:pPr>
        <w:pStyle w:val="743"/>
        <w:jc w:val="both"/>
        <w:spacing w:before="30" w:beforeAutospacing="0" w:after="30" w:afterAutospacing="0" w:line="360" w:lineRule="auto"/>
      </w:pPr>
      <w:r>
        <w:rPr>
          <w:rFonts w:ascii="宋体" w:hAnsi="宋体" w:eastAsia="宋体" w:cs="宋体"/>
          <w:shd w:val="clear" w:color="auto" w:fill="ffffff"/>
        </w:rPr>
        <w:t xml:space="preserve">                       日期：　   年　  月　  日</w:t>
      </w:r>
      <w:r/>
    </w:p>
    <w:p>
      <w:pPr>
        <w:pStyle w:val="743"/>
        <w:jc w:val="both"/>
        <w:spacing w:before="30" w:beforeAutospacing="0" w:after="30" w:afterAutospacing="0" w:line="360" w:lineRule="auto"/>
        <w:rPr>
          <w:b/>
          <w:bCs/>
        </w:rPr>
      </w:pPr>
      <w:r>
        <w:rPr>
          <w:rFonts w:ascii="宋体" w:hAnsi="宋体" w:eastAsia="宋体" w:cs="宋体"/>
          <w:b/>
          <w:bCs/>
          <w:shd w:val="clear" w:color="auto" w:fill="ffffff"/>
        </w:rPr>
        <w:t xml:space="preserve">1.产品如有型号，请在“产品名称”栏一并填写。</w:t>
      </w:r>
      <w:r/>
    </w:p>
    <w:p>
      <w:pPr>
        <w:pStyle w:val="743"/>
        <w:jc w:val="both"/>
        <w:spacing w:before="30" w:beforeAutospacing="0" w:after="30" w:afterAutospacing="0" w:line="360" w:lineRule="auto"/>
        <w:rPr>
          <w:b/>
          <w:bCs/>
        </w:rPr>
      </w:pPr>
      <w:r>
        <w:rPr>
          <w:rFonts w:ascii="宋体" w:hAnsi="宋体" w:eastAsia="宋体" w:cs="宋体"/>
          <w:b/>
          <w:bCs/>
          <w:shd w:val="clear" w:color="auto" w:fill="ffffff"/>
        </w:rPr>
        <w:t xml:space="preserve">2.生产厂名与厂址应与生产厂营业执照载明的相关信息保持一致。</w:t>
      </w:r>
      <w:r/>
    </w:p>
    <w:p>
      <w:pPr>
        <w:pStyle w:val="743"/>
        <w:jc w:val="both"/>
        <w:spacing w:before="30" w:beforeAutospacing="0" w:after="30" w:afterAutospacing="0" w:line="360" w:lineRule="auto"/>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743"/>
        <w:jc w:val="both"/>
        <w:spacing w:before="30" w:beforeAutospacing="0" w:after="30" w:afterAutospacing="0" w:line="360" w:lineRule="auto"/>
        <w:rPr>
          <w:b/>
          <w:bCs/>
        </w:rPr>
      </w:pPr>
      <w:r>
        <w:rPr>
          <w:rFonts w:ascii="宋体" w:hAnsi="宋体" w:eastAsia="宋体" w:cs="宋体"/>
          <w:b/>
          <w:bCs/>
          <w:shd w:val="clear" w:color="auto" w:fill="ffffff"/>
        </w:rPr>
        <w:t xml:space="preserve">4.该产品的关键组件要求实施前，“关键组件”栏可不填，下同。</w:t>
      </w:r>
      <w:r/>
    </w:p>
    <w:p>
      <w:pPr>
        <w:pStyle w:val="743"/>
        <w:jc w:val="both"/>
        <w:spacing w:before="30" w:beforeAutospacing="0" w:after="30" w:afterAutospacing="0" w:line="360" w:lineRule="auto"/>
        <w:rPr>
          <w:b/>
          <w:bCs/>
        </w:rPr>
      </w:pPr>
      <w:r>
        <w:rPr>
          <w:rFonts w:ascii="宋体" w:hAnsi="宋体" w:eastAsia="宋体" w:cs="宋体"/>
          <w:b/>
          <w:bCs/>
          <w:shd w:val="clear" w:color="auto" w:fill="ffffff"/>
        </w:rPr>
        <w:t xml:space="preserve">5.该产品的关键工序要求实施前，“关键工序”栏可不填，下同。</w:t>
      </w:r>
      <w:r/>
    </w:p>
    <w:p>
      <w:pPr>
        <w:pStyle w:val="743"/>
        <w:jc w:val="both"/>
        <w:spacing w:before="30" w:beforeAutospacing="0" w:after="30" w:afterAutospacing="0" w:line="360" w:lineRule="auto"/>
        <w:rPr>
          <w:rFonts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线划除的地方无需填写。</w:t>
      </w:r>
      <w:r/>
    </w:p>
    <w:p>
      <w:pPr>
        <w:spacing w:line="360" w:lineRule="auto"/>
        <w:rPr>
          <w:b/>
          <w:bCs/>
        </w:rPr>
      </w:pPr>
      <w:r>
        <w:rPr>
          <w:rFonts w:hint="eastAsia" w:ascii="宋体" w:hAnsi="宋体" w:eastAsia="宋体" w:cs="宋体"/>
          <w:b/>
          <w:bCs/>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723"/>
      </w:pPr>
      <w:r/>
      <w:r/>
    </w:p>
    <w:tbl>
      <w:tblPr>
        <w:tblStyle w:val="717"/>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568"/>
        <w:gridCol w:w="980"/>
        <w:gridCol w:w="980"/>
        <w:gridCol w:w="980"/>
        <w:gridCol w:w="1280"/>
        <w:gridCol w:w="1157"/>
        <w:gridCol w:w="1012"/>
      </w:tblGrid>
      <w:tr>
        <w:trPr>
          <w:jc w:val="center"/>
          <w:trHeight w:val="700"/>
        </w:trPr>
        <w:tc>
          <w:tcPr>
            <w:shd w:val="clear" w:color="auto" w:fill="auto"/>
            <w:tcW w:w="739" w:type="dxa"/>
            <w:vAlign w:val="center"/>
            <w:textDirection w:val="lrTb"/>
            <w:noWrap w:val="false"/>
          </w:tcPr>
          <w:p>
            <w:pPr>
              <w:widowControl/>
              <w:rPr>
                <w:rFonts w:ascii="Calibri" w:hAnsi="Calibri" w:eastAsia="宋体" w:cs="宋体"/>
                <w:color w:val="000000"/>
                <w:sz w:val="24"/>
              </w:rPr>
            </w:pPr>
            <w:r/>
            <w:bookmarkStart w:id="177" w:name="RANGE!A2"/>
            <w:r/>
            <w:bookmarkEnd w:id="177"/>
            <w:r>
              <w:rPr>
                <w:rFonts w:hint="eastAsia" w:ascii="宋体" w:hAnsi="宋体" w:eastAsia="宋体" w:cs="宋体"/>
                <w:color w:val="000000"/>
                <w:sz w:val="24"/>
              </w:rPr>
              <w:t xml:space="preserve">序号</w:t>
            </w:r>
            <w:r/>
          </w:p>
        </w:tc>
        <w:tc>
          <w:tcPr>
            <w:shd w:val="clear" w:color="auto" w:fill="auto"/>
            <w:tcW w:w="1568"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产品名称</w:t>
            </w:r>
            <w:r/>
          </w:p>
        </w:tc>
        <w:tc>
          <w:tcPr>
            <w:shd w:val="clear" w:color="auto" w:fill="auto"/>
            <w:tcW w:w="980"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品牌及型号</w:t>
            </w:r>
            <w:r/>
          </w:p>
        </w:tc>
        <w:tc>
          <w:tcPr>
            <w:shd w:val="clear" w:color="auto" w:fill="auto"/>
            <w:tcW w:w="980"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交付期</w:t>
            </w:r>
            <w:r/>
          </w:p>
        </w:tc>
        <w:tc>
          <w:tcPr>
            <w:shd w:val="clear" w:color="auto" w:fill="auto"/>
            <w:tcW w:w="980"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数量</w:t>
            </w:r>
            <w:r/>
          </w:p>
        </w:tc>
        <w:tc>
          <w:tcPr>
            <w:shd w:val="clear" w:color="auto" w:fill="auto"/>
            <w:tcW w:w="1280"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分项单价</w:t>
            </w:r>
            <w:r/>
          </w:p>
        </w:tc>
        <w:tc>
          <w:tcPr>
            <w:shd w:val="clear" w:color="auto" w:fill="auto"/>
            <w:tcW w:w="115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分项</w:t>
            </w:r>
            <w:r/>
          </w:p>
          <w:p>
            <w:pPr>
              <w:jc w:val="center"/>
              <w:widowControl/>
              <w:rPr>
                <w:rFonts w:ascii="宋体" w:hAnsi="宋体" w:eastAsia="宋体" w:cs="宋体"/>
                <w:color w:val="000000"/>
                <w:sz w:val="24"/>
              </w:rPr>
            </w:pPr>
            <w:r>
              <w:rPr>
                <w:rFonts w:hint="eastAsia" w:ascii="宋体" w:hAnsi="宋体" w:eastAsia="宋体" w:cs="宋体"/>
                <w:color w:val="000000"/>
                <w:sz w:val="24"/>
              </w:rPr>
              <w:t xml:space="preserve">总价</w:t>
            </w:r>
            <w:r/>
          </w:p>
        </w:tc>
        <w:tc>
          <w:tcPr>
            <w:shd w:val="clear" w:color="auto" w:fill="auto"/>
            <w:tcW w:w="1012"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备注</w:t>
            </w:r>
            <w:r/>
          </w:p>
        </w:tc>
      </w:tr>
      <w:tr>
        <w:trPr>
          <w:jc w:val="center"/>
          <w:trHeight w:val="700"/>
        </w:trPr>
        <w:tc>
          <w:tcPr>
            <w:shd w:val="clear" w:color="auto" w:fill="auto"/>
            <w:tcW w:w="73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1568"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1280" w:type="dxa"/>
            <w:vAlign w:val="center"/>
            <w:textDirection w:val="lrTb"/>
            <w:noWrap w:val="false"/>
          </w:tcPr>
          <w:p>
            <w:r/>
            <w:r/>
          </w:p>
        </w:tc>
        <w:tc>
          <w:tcPr>
            <w:shd w:val="clear" w:color="auto" w:fill="auto"/>
            <w:tcW w:w="1157"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1033"/>
        </w:trPr>
        <w:tc>
          <w:tcPr>
            <w:shd w:val="clear" w:color="auto" w:fill="auto"/>
            <w:tcW w:w="73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1568"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1280" w:type="dxa"/>
            <w:vAlign w:val="center"/>
            <w:textDirection w:val="lrTb"/>
            <w:noWrap w:val="false"/>
          </w:tcPr>
          <w:p>
            <w:r/>
            <w:r/>
          </w:p>
        </w:tc>
        <w:tc>
          <w:tcPr>
            <w:shd w:val="clear" w:color="auto" w:fill="auto"/>
            <w:tcW w:w="1157"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1033"/>
        </w:trPr>
        <w:tc>
          <w:tcPr>
            <w:shd w:val="clear" w:color="auto" w:fill="auto"/>
            <w:tcW w:w="73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1568"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1280" w:type="dxa"/>
            <w:vAlign w:val="center"/>
            <w:textDirection w:val="lrTb"/>
            <w:noWrap w:val="false"/>
          </w:tcPr>
          <w:p>
            <w:r/>
            <w:r/>
          </w:p>
        </w:tc>
        <w:tc>
          <w:tcPr>
            <w:shd w:val="clear" w:color="auto" w:fill="auto"/>
            <w:tcW w:w="1157"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700"/>
        </w:trPr>
        <w:tc>
          <w:tcPr>
            <w:shd w:val="clear" w:color="auto" w:fill="auto"/>
            <w:tcW w:w="73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1568"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1280" w:type="dxa"/>
            <w:vAlign w:val="center"/>
            <w:textDirection w:val="lrTb"/>
            <w:noWrap w:val="false"/>
          </w:tcPr>
          <w:p>
            <w:r/>
            <w:r/>
          </w:p>
        </w:tc>
        <w:tc>
          <w:tcPr>
            <w:shd w:val="clear" w:color="auto" w:fill="auto"/>
            <w:tcW w:w="1157"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700"/>
        </w:trPr>
        <w:tc>
          <w:tcPr>
            <w:shd w:val="clear" w:color="auto" w:fill="auto"/>
            <w:tcW w:w="73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W w:w="1568"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1280" w:type="dxa"/>
            <w:vAlign w:val="center"/>
            <w:textDirection w:val="lrTb"/>
            <w:noWrap w:val="false"/>
          </w:tcPr>
          <w:p>
            <w:r/>
            <w:r/>
          </w:p>
        </w:tc>
        <w:tc>
          <w:tcPr>
            <w:shd w:val="clear" w:color="auto" w:fill="auto"/>
            <w:tcW w:w="1157"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367"/>
        </w:trPr>
        <w:tc>
          <w:tcPr>
            <w:shd w:val="clear" w:color="auto" w:fill="auto"/>
            <w:tcW w:w="73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w:t>
            </w:r>
            <w:r/>
          </w:p>
        </w:tc>
        <w:tc>
          <w:tcPr>
            <w:shd w:val="clear" w:color="auto" w:fill="auto"/>
            <w:tcW w:w="1568"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w:t>
            </w:r>
            <w:r/>
          </w:p>
        </w:tc>
        <w:tc>
          <w:tcPr>
            <w:shd w:val="clear" w:color="auto" w:fill="auto"/>
            <w:tcW w:w="980"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980"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980"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280"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157"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599"/>
        </w:trPr>
        <w:tc>
          <w:tcPr>
            <w:gridSpan w:val="7"/>
            <w:shd w:val="clear" w:color="auto" w:fill="auto"/>
            <w:tcW w:w="7684"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投标总报价（人民币：元）</w:t>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863"/>
        </w:trPr>
        <w:tc>
          <w:tcPr>
            <w:gridSpan w:val="8"/>
            <w:shd w:val="clear" w:color="auto" w:fill="auto"/>
            <w:tcW w:w="8696" w:type="dxa"/>
            <w:vAlign w:val="center"/>
            <w:textDirection w:val="lrTb"/>
            <w:noWrap w:val="false"/>
          </w:tcPr>
          <w:p>
            <w:pPr>
              <w:widowControl/>
              <w:rPr>
                <w:rFonts w:ascii="宋体" w:hAnsi="宋体" w:eastAsia="宋体" w:cs="宋体"/>
                <w:color w:val="ff0000"/>
                <w:sz w:val="24"/>
              </w:rPr>
            </w:pPr>
            <w:r>
              <w:rPr>
                <w:rFonts w:hint="eastAsia" w:ascii="宋体" w:hAnsi="宋体" w:eastAsia="宋体" w:cs="宋体"/>
                <w:sz w:val="24"/>
              </w:rPr>
              <w:t xml:space="preserve">本采购包中提供的符合本国产品标准的产品成本之和占该采购包提供的全部产品成本之和的比例为</w:t>
            </w:r>
            <w:r>
              <w:rPr>
                <w:rFonts w:hint="eastAsia" w:ascii="宋体" w:hAnsi="宋体" w:eastAsia="宋体" w:cs="宋体"/>
                <w:sz w:val="24"/>
                <w:u w:val="single"/>
              </w:rPr>
              <w:t xml:space="preserve">***</w:t>
            </w:r>
            <w:r>
              <w:rPr>
                <w:rFonts w:hint="eastAsia" w:ascii="宋体" w:hAnsi="宋体" w:eastAsia="宋体" w:cs="宋体"/>
                <w:sz w:val="24"/>
              </w:rPr>
              <w:t xml:space="preserve">%。</w:t>
            </w:r>
            <w:r/>
          </w:p>
        </w:tc>
      </w:tr>
    </w:tbl>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备注：</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2.“投标分项报价表”中“投标总报价”数额应当与“开标一览表”中“投标总报价”数额一致。</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p>
    <w:tbl>
      <w:tblPr>
        <w:tblStyle w:val="717"/>
        <w:tblpPr w:horzAnchor="page" w:tblpXSpec="center" w:vertAnchor="text" w:tblpY="390" w:leftFromText="180" w:topFromText="0" w:rightFromText="180" w:bottomFromText="0"/>
        <w:tblW w:w="8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3260"/>
        <w:gridCol w:w="2031"/>
        <w:gridCol w:w="1555"/>
        <w:gridCol w:w="1323"/>
      </w:tblGrid>
      <w:tr>
        <w:trPr>
          <w:jc w:val="center"/>
          <w:trHeight w:val="1396"/>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序号</w:t>
            </w:r>
            <w:r/>
          </w:p>
        </w:tc>
        <w:tc>
          <w:tcPr>
            <w:tcW w:w="326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3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投标响应情况</w:t>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证明材料</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sz w:val="24"/>
              </w:rPr>
              <w:t xml:space="preserve">……</w:t>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bl>
    <w:p>
      <w:pPr>
        <w:pStyle w:val="743"/>
        <w:widowControl/>
        <w:rPr>
          <w:rFonts w:asciiTheme="minorEastAsia" w:hAnsiTheme="minorEastAsia" w:cstheme="minorEastAsia"/>
        </w:rPr>
      </w:pPr>
      <w:r>
        <w:rPr>
          <w:rFonts w:hint="eastAsia" w:asciiTheme="minorEastAsia" w:hAnsiTheme="minorEastAsia" w:cstheme="minorEastAsia"/>
        </w:rPr>
        <w:t xml:space="preserve">注：行数不够，可自行添加。</w:t>
      </w:r>
      <w:r>
        <w:rPr>
          <w:rFonts w:asciiTheme="minorEastAsia" w:hAnsiTheme="minorEastAsia"/>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十四、商务要求响应及偏离表</w:t>
      </w:r>
      <w:r/>
    </w:p>
    <w:tbl>
      <w:tblPr>
        <w:tblStyle w:val="717"/>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序号</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投标响应情况</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bl>
    <w:p>
      <w:pPr>
        <w:pStyle w:val="743"/>
        <w:widowControl/>
        <w:rPr>
          <w:rFonts w:ascii="微软雅黑" w:hAnsi="宋体" w:eastAsia="微软雅黑" w:cs="黑体"/>
          <w:iCs/>
          <w:sz w:val="30"/>
          <w:szCs w:val="30"/>
        </w:rPr>
      </w:pPr>
      <w:r>
        <w:rPr>
          <w:rFonts w:hint="eastAsia" w:asciiTheme="minorEastAsia" w:hAnsiTheme="minorEastAsia" w:cstheme="minorEastAsia"/>
        </w:rPr>
        <w:t xml:space="preserve">注：行数不够，可自行添加。</w:t>
      </w:r>
      <w:r/>
    </w:p>
    <w:p>
      <w:pPr>
        <w:jc w:val="left"/>
        <w:widowControl/>
        <w:rPr>
          <w:rFonts w:cs="Times New Roman" w:asciiTheme="minorEastAsia" w:hAnsiTheme="minorEastAsia"/>
          <w:sz w:val="32"/>
          <w:szCs w:val="32"/>
        </w:rPr>
      </w:pPr>
      <w:r>
        <w:rPr>
          <w:rFonts w:asciiTheme="minorEastAsia" w:hAnsiTheme="minorEastAsia"/>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十五、开标一览表</w:t>
      </w:r>
      <w:r/>
    </w:p>
    <w:p>
      <w:pPr>
        <w:jc w:val="center"/>
        <w:spacing w:before="50" w:after="50"/>
        <w:widowControl/>
        <w:rPr>
          <w:sz w:val="22"/>
          <w:szCs w:val="22"/>
        </w:rPr>
        <w:pBdr>
          <w:top w:val="none" w:color="000000" w:sz="0" w:space="0"/>
          <w:left w:val="none" w:color="000000" w:sz="0" w:space="0"/>
          <w:bottom w:val="none" w:color="000000" w:sz="0" w:space="0"/>
          <w:right w:val="none" w:color="000000" w:sz="0" w:space="0"/>
        </w:pBdr>
      </w:pPr>
      <w:r>
        <w:rPr>
          <w:sz w:val="22"/>
          <w:szCs w:val="22"/>
        </w:rPr>
      </w:r>
      <w:r/>
    </w:p>
    <w:p>
      <w:pPr>
        <w:spacing w:before="100" w:after="100" w:line="360" w:lineRule="auto"/>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投标人全称（CA公章）：供应商名称</w:t>
      </w:r>
      <w:r/>
    </w:p>
    <w:p>
      <w:pPr>
        <w:spacing w:before="100" w:after="100" w:line="360" w:lineRule="auto"/>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江苏省盐城技师学院海洋路校区心理健康活动中心和学生职业生涯规划中心采购项目</w:t>
      </w:r>
      <w:r/>
    </w:p>
    <w:p>
      <w:pPr>
        <w:spacing w:before="100" w:after="100" w:line="360" w:lineRule="auto"/>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JSZC-320900-JZCG-G2026- 0062</w:t>
      </w:r>
      <w:r/>
    </w:p>
    <w:p>
      <w:pPr>
        <w:spacing w:before="100" w:after="100" w:line="360" w:lineRule="auto"/>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分包号：/</w:t>
      </w:r>
      <w:r/>
    </w:p>
    <w:tbl>
      <w:tblPr>
        <w:tblStyle w:val="747"/>
        <w:tblW w:w="87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7"/>
        <w:gridCol w:w="4173"/>
      </w:tblGrid>
      <w:tr>
        <w:trPr>
          <w:jc w:val="center"/>
          <w:trHeight w:val="93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spacing w:before="100" w:after="100"/>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jc w:val="center"/>
              <w:spacing w:before="100" w:after="100"/>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总价（小写）</w:t>
            </w:r>
            <w:r/>
          </w:p>
        </w:tc>
      </w:tr>
      <w:tr>
        <w:trPr>
          <w:jc w:val="center"/>
          <w:trHeight w:val="94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spacing w:before="100" w:after="100"/>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投标产品名称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jc w:val="center"/>
              <w:spacing w:before="100" w:after="100"/>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元</w:t>
            </w:r>
            <w:r/>
          </w:p>
        </w:tc>
      </w:tr>
      <w:tr>
        <w:trPr>
          <w:jc w:val="center"/>
          <w:trHeight w:val="110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spacing w:before="100" w:after="100"/>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核心产品品牌：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spacing w:before="100" w:after="100"/>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r>
    </w:tbl>
    <w:p>
      <w:pPr>
        <w:spacing w:before="100" w:after="100"/>
        <w:widowControl/>
        <w:pBdr>
          <w:top w:val="none" w:color="000000" w:sz="0" w:space="0"/>
          <w:left w:val="none" w:color="000000" w:sz="0" w:space="0"/>
          <w:bottom w:val="none" w:color="000000" w:sz="0" w:space="0"/>
          <w:right w:val="none" w:color="000000" w:sz="0" w:space="0"/>
        </w:pBdr>
      </w:pPr>
      <w:r/>
      <w:r/>
    </w:p>
    <w:p>
      <w:pPr>
        <w:jc w:val="right"/>
        <w:spacing w:before="100" w:after="100"/>
        <w:widowControl/>
        <w:rPr>
          <w:rFonts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Calibri" w:hAnsi="Calibri" w:eastAsia="Calibri" w:cs="Calibri"/>
          <w:color w:val="000000"/>
          <w:sz w:val="24"/>
        </w:rPr>
        <w:t xml:space="preserve">   </w:t>
      </w:r>
      <w:r>
        <w:rPr>
          <w:rFonts w:hint="eastAsia" w:ascii="Calibri" w:hAnsi="Calibri" w:eastAsia="宋体" w:cs="Calibri"/>
          <w:color w:val="000000"/>
          <w:sz w:val="24"/>
        </w:rPr>
        <w:t xml:space="preserve">  </w:t>
      </w:r>
      <w:r>
        <w:rPr>
          <w:rFonts w:ascii="宋体" w:hAnsi="宋体" w:eastAsia="宋体" w:cs="宋体"/>
          <w:color w:val="000000"/>
          <w:sz w:val="24"/>
        </w:rPr>
        <w:t xml:space="preserve">年   月   日</w:t>
      </w:r>
      <w:r/>
    </w:p>
    <w:p>
      <w:pPr>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十六、技术方案、服务承诺、培训承诺等</w:t>
      </w:r>
      <w:r/>
    </w:p>
    <w:p>
      <w:pPr>
        <w:jc w:val="center"/>
        <w:spacing w:before="120" w:line="400" w:lineRule="exact"/>
        <w:widowControl/>
        <w:rPr>
          <w:rFonts w:ascii="黑体" w:hAnsi="黑体" w:eastAsia="黑体" w:cs="黑体"/>
          <w:i/>
          <w:sz w:val="32"/>
          <w:szCs w:val="32"/>
          <w:u w:val="single"/>
        </w:rPr>
      </w:pPr>
      <w:r>
        <w:rPr>
          <w:rFonts w:ascii="黑体" w:hAnsi="黑体" w:eastAsia="黑体" w:cs="黑体"/>
          <w:i/>
          <w:sz w:val="32"/>
          <w:szCs w:val="32"/>
          <w:u w:val="single"/>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widowControl/>
        <w:rPr>
          <w:rFonts w:cs="Times New Roman" w:asciiTheme="minorEastAsia" w:hAnsiTheme="minorEastAsia"/>
          <w:sz w:val="32"/>
          <w:szCs w:val="32"/>
        </w:rPr>
      </w:pPr>
      <w:r>
        <w:rPr>
          <w:rFonts w:cs="Times New Roman" w:asciiTheme="minorEastAsia" w:hAnsiTheme="minorEastAsia"/>
          <w:sz w:val="32"/>
          <w:szCs w:val="32"/>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40"/>
        <w:spacing w:line="520" w:lineRule="exact"/>
        <w:widowControl/>
        <w:rPr>
          <w:sz w:val="24"/>
        </w:rPr>
      </w:pPr>
      <w:r>
        <w:rPr>
          <w:rFonts w:hint="eastAsia"/>
          <w:sz w:val="24"/>
        </w:rPr>
        <w:t xml:space="preserve">为营造我市公开、公平、公正、诚实守信的政府采购交易环境，树立诚信守法的投标人形象，本人代表本单位作出以下承诺：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 </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rPr>
        <w:outlineLvl w:val="2"/>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outlineLvl w:val="2"/>
      </w:pPr>
      <w:r>
        <w:rPr>
          <w:rFonts w:hint="eastAsia"/>
          <w:sz w:val="24"/>
        </w:rPr>
        <w:t xml:space="preserve">（八）本人已认真阅读了上述承诺，并向本单位员工做了宣传教育。</w:t>
      </w:r>
      <w:r/>
    </w:p>
    <w:p>
      <w:pPr>
        <w:spacing w:line="520" w:lineRule="exact"/>
        <w:widowControl/>
        <w:rPr>
          <w:sz w:val="24"/>
        </w:rPr>
      </w:pPr>
      <w:r>
        <w:rPr>
          <w:sz w:val="24"/>
        </w:rPr>
      </w:r>
      <w:r/>
    </w:p>
    <w:p>
      <w:pPr>
        <w:ind w:firstLine="440"/>
        <w:jc w:val="right"/>
        <w:spacing w:line="520" w:lineRule="exact"/>
        <w:widowControl/>
        <w:rPr>
          <w:sz w:val="24"/>
        </w:rPr>
      </w:pPr>
      <w:r>
        <w:rPr>
          <w:rFonts w:hint="eastAsia"/>
          <w:sz w:val="24"/>
        </w:rPr>
        <w:t xml:space="preserve">法定代表人（签名）：</w:t>
      </w:r>
      <w:r/>
    </w:p>
    <w:p>
      <w:pPr>
        <w:ind w:firstLine="440"/>
        <w:jc w:val="right"/>
        <w:spacing w:line="520" w:lineRule="exact"/>
        <w:widowControl/>
        <w:rPr>
          <w:sz w:val="24"/>
        </w:rPr>
      </w:pPr>
      <w:r>
        <w:rPr>
          <w:rFonts w:hint="eastAsia"/>
          <w:sz w:val="24"/>
        </w:rPr>
        <w:t xml:space="preserve">单位名称（盖章）：</w:t>
      </w:r>
      <w:r/>
    </w:p>
    <w:p>
      <w:pPr>
        <w:jc w:val="center"/>
        <w:spacing w:line="520" w:lineRule="exact"/>
        <w:widowControl/>
        <w:rPr>
          <w:sz w:val="24"/>
        </w:rPr>
      </w:pPr>
      <w:r>
        <w:rPr>
          <w:rFonts w:hint="eastAsia"/>
          <w:sz w:val="24"/>
        </w:rPr>
        <w:t xml:space="preserve">                                                          年  月  日</w:t>
      </w:r>
      <w:r/>
    </w:p>
    <w:p>
      <w:pPr>
        <w:spacing w:line="520" w:lineRule="exact"/>
        <w:widowControl/>
        <w:rPr>
          <w:rFonts w:cs="Times New Roman" w:asciiTheme="minorEastAsia" w:hAnsiTheme="minorEastAsia"/>
          <w:sz w:val="32"/>
          <w:szCs w:val="32"/>
        </w:rPr>
      </w:pPr>
      <w:r>
        <w:rPr>
          <w:rFonts w:asciiTheme="minorEastAsia" w:hAnsiTheme="minorEastAsia"/>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743"/>
        <w:ind w:firstLine="482"/>
        <w:jc w:val="both"/>
        <w:widowControl/>
        <w:rPr>
          <w:rFonts w:asciiTheme="minorEastAsia" w:hAnsiTheme="minorEastAsia" w:cstheme="minorEastAsia"/>
          <w:b/>
        </w:rPr>
        <w:outlineLvl w:val="1"/>
      </w:pPr>
      <w:r>
        <w:rPr>
          <w:rFonts w:hint="eastAsia" w:asciiTheme="minorEastAsia" w:hAnsiTheme="minorEastAsia" w:cstheme="minorEastAsia"/>
          <w:b/>
        </w:rPr>
        <w:t xml:space="preserve">一、质疑供应商基本信息</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质疑供应商：</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u w:val="single"/>
        </w:rPr>
      </w:pPr>
      <w:r>
        <w:rPr>
          <w:rFonts w:hint="eastAsia" w:asciiTheme="minorEastAsia" w:hAnsiTheme="minorEastAsia" w:cstheme="minorEastAsia"/>
          <w:bCs/>
        </w:rPr>
        <w:t xml:space="preserve">地址：</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rPr>
      </w:pPr>
      <w:r>
        <w:rPr>
          <w:rFonts w:hint="eastAsia" w:asciiTheme="minorEastAsia" w:hAnsiTheme="minorEastAsia" w:cstheme="minorEastAsia"/>
          <w:bCs/>
        </w:rPr>
        <w:t xml:space="preserve">邮编：</w:t>
      </w:r>
      <w:r>
        <w:rPr>
          <w:rFonts w:hint="eastAsia" w:asciiTheme="minorEastAsia" w:hAnsiTheme="minorEastAsia" w:cstheme="minorEastAsia"/>
          <w:u w:val="single"/>
        </w:rPr>
        <w:t xml:space="preserve">                                                              </w:t>
      </w:r>
      <w:r/>
    </w:p>
    <w:p>
      <w:pPr>
        <w:pStyle w:val="743"/>
        <w:ind w:firstLine="482"/>
        <w:jc w:val="both"/>
        <w:widowControl/>
        <w:rPr>
          <w:rFonts w:asciiTheme="minorEastAsia" w:hAnsiTheme="minorEastAsia" w:cstheme="minorEastAsia"/>
          <w:b/>
          <w:bCs/>
          <w:u w:val="single"/>
        </w:rPr>
      </w:pPr>
      <w:r>
        <w:rPr>
          <w:rFonts w:hint="eastAsia" w:asciiTheme="minorEastAsia" w:hAnsiTheme="minorEastAsia" w:cstheme="minorEastAsia"/>
          <w:bCs/>
        </w:rPr>
        <w:t xml:space="preserve">联系人：</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联系电话：</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授权代表：</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联系电话：</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u w:val="single"/>
        </w:rPr>
      </w:pPr>
      <w:r>
        <w:rPr>
          <w:rFonts w:hint="eastAsia" w:asciiTheme="minorEastAsia" w:hAnsiTheme="minorEastAsia" w:cstheme="minorEastAsia"/>
          <w:bCs/>
        </w:rPr>
        <w:t xml:space="preserve">地址：</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邮编：</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rPr>
        <w:outlineLvl w:val="1"/>
      </w:pPr>
      <w:r>
        <w:rPr>
          <w:rFonts w:hint="eastAsia" w:asciiTheme="minorEastAsia" w:hAnsiTheme="minorEastAsia" w:cstheme="minorEastAsia"/>
          <w:b/>
        </w:rPr>
        <w:t xml:space="preserve">二、质疑项目基本情况</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质疑项目的名称：</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u w:val="single"/>
        </w:rPr>
      </w:pPr>
      <w:r>
        <w:rPr>
          <w:rFonts w:hint="eastAsia" w:asciiTheme="minorEastAsia" w:hAnsiTheme="minorEastAsia" w:cstheme="minorEastAsia"/>
          <w:bCs/>
        </w:rPr>
        <w:t xml:space="preserve">质疑项目的编号：</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包号：</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采购人名称：</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采购文件获取日期：</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rPr>
        <w:outlineLvl w:val="1"/>
      </w:pPr>
      <w:r>
        <w:rPr>
          <w:rFonts w:hint="eastAsia" w:asciiTheme="minorEastAsia" w:hAnsiTheme="minorEastAsia" w:cstheme="minorEastAsia"/>
          <w:b/>
        </w:rPr>
        <w:t xml:space="preserve">三、质疑事项具体内容</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质疑事项1：</w:t>
      </w:r>
      <w:r>
        <w:rPr>
          <w:rFonts w:hint="eastAsia" w:asciiTheme="minorEastAsia" w:hAnsiTheme="minorEastAsia" w:cstheme="minorEastAsia"/>
          <w:bCs/>
          <w:u w:val="single"/>
        </w:rPr>
        <w:t xml:space="preserve">                                              </w:t>
      </w:r>
      <w:r/>
    </w:p>
    <w:p>
      <w:pPr>
        <w:pStyle w:val="743"/>
        <w:ind w:firstLine="482"/>
        <w:widowControl/>
        <w:rPr>
          <w:rFonts w:asciiTheme="minorEastAsia" w:hAnsiTheme="minorEastAsia" w:cstheme="minorEastAsia"/>
          <w:b/>
          <w:bCs/>
        </w:rPr>
      </w:pPr>
      <w:r>
        <w:rPr>
          <w:rFonts w:hint="eastAsia" w:asciiTheme="minorEastAsia" w:hAnsiTheme="minorEastAsia" w:cstheme="minorEastAsia"/>
          <w:bCs/>
        </w:rPr>
        <w:t xml:space="preserve">事实依据：</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法律依据：</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质疑事项2</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w:t>
      </w:r>
      <w:r/>
    </w:p>
    <w:p>
      <w:pPr>
        <w:pStyle w:val="743"/>
        <w:ind w:firstLine="482"/>
        <w:jc w:val="both"/>
        <w:widowControl/>
        <w:rPr>
          <w:rFonts w:asciiTheme="minorEastAsia" w:hAnsiTheme="minorEastAsia" w:cstheme="minorEastAsia"/>
          <w:b/>
        </w:rPr>
        <w:outlineLvl w:val="1"/>
      </w:pPr>
      <w:r>
        <w:rPr>
          <w:rFonts w:hint="eastAsia" w:asciiTheme="minorEastAsia" w:hAnsiTheme="minorEastAsia" w:cstheme="minorEastAsia"/>
          <w:b/>
        </w:rPr>
        <w:t xml:space="preserve">四、与质疑事项相关的质疑请求</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请求：</w:t>
      </w:r>
      <w:r>
        <w:rPr>
          <w:rFonts w:hint="eastAsia" w:asciiTheme="minorEastAsia" w:hAnsiTheme="minorEastAsia" w:cstheme="minorEastAsia"/>
          <w:bCs/>
          <w:u w:val="single"/>
        </w:rPr>
        <w:t xml:space="preserve">                                                              </w:t>
      </w:r>
      <w:r/>
    </w:p>
    <w:p>
      <w:pPr>
        <w:pStyle w:val="743"/>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签字（签章）：        公章：             日期：   </w:t>
      </w:r>
      <w:r/>
    </w:p>
    <w:p>
      <w:pPr>
        <w:ind w:firstLine="440"/>
        <w:spacing w:line="520" w:lineRule="exact"/>
        <w:widowControl/>
        <w:rPr>
          <w:sz w:val="24"/>
        </w:rPr>
      </w:pPr>
      <w:r>
        <w:rPr>
          <w:rFonts w:hint="eastAsia"/>
          <w:sz w:val="24"/>
        </w:rPr>
        <w:t xml:space="preserve">质疑函制作说明：</w:t>
      </w:r>
      <w:r/>
    </w:p>
    <w:p>
      <w:pPr>
        <w:ind w:firstLine="440"/>
        <w:spacing w:line="520" w:lineRule="exact"/>
        <w:widowControl/>
        <w:rPr>
          <w:rFonts w:ascii="宋体" w:hAnsi="宋体" w:eastAsia="宋体" w:cs="宋体"/>
          <w:sz w:val="24"/>
        </w:rPr>
        <w:outlineLvl w:val="2"/>
      </w:pPr>
      <w:r>
        <w:rPr>
          <w:rFonts w:hint="eastAsia" w:ascii="宋体" w:hAnsi="宋体" w:eastAsia="宋体" w:cs="宋体"/>
          <w:sz w:val="24"/>
        </w:rPr>
        <w:t xml:space="preserve">1.供应商提出质疑时，应提交质疑函和必要的证明材料。</w:t>
      </w:r>
      <w:r/>
    </w:p>
    <w:p>
      <w:pPr>
        <w:ind w:firstLine="440"/>
        <w:spacing w:line="520" w:lineRule="exact"/>
        <w:widowControl/>
        <w:rPr>
          <w:rFonts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40"/>
        <w:spacing w:line="520" w:lineRule="exact"/>
        <w:widowControl/>
        <w:rPr>
          <w:rFonts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440"/>
        <w:spacing w:line="520" w:lineRule="exact"/>
        <w:widowControl/>
        <w:rPr>
          <w:rFonts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440"/>
        <w:spacing w:line="520" w:lineRule="exact"/>
        <w:widowControl/>
        <w:rPr>
          <w:rFonts w:ascii="宋体" w:hAnsi="宋体" w:eastAsia="宋体" w:cs="宋体"/>
          <w:sz w:val="24"/>
        </w:rPr>
        <w:outlineLvl w:val="2"/>
      </w:pPr>
      <w:r>
        <w:rPr>
          <w:rFonts w:hint="eastAsia" w:ascii="宋体" w:hAnsi="宋体" w:eastAsia="宋体" w:cs="宋体"/>
          <w:sz w:val="24"/>
        </w:rPr>
        <w:t xml:space="preserve">5.质疑函的质疑请求应与质疑事项相关。</w:t>
      </w:r>
      <w:r/>
    </w:p>
    <w:p>
      <w:pPr>
        <w:ind w:firstLine="440"/>
        <w:spacing w:line="520" w:lineRule="exact"/>
        <w:widowControl/>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bookmarkEnd w:id="6"/>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156"/>
      <w:r/>
      <w:bookmarkEnd w:id="160"/>
      <w:r/>
      <w:r/>
    </w:p>
    <w:sectPr>
      <w:footerReference w:type="default" r:id="rId11"/>
      <w:footnotePr/>
      <w:endnotePr/>
      <w:type w:val="nextPage"/>
      <w:pgSz w:w="11906" w:h="16838" w:orient="portrait"/>
      <w:pgMar w:top="1440" w:right="1633" w:bottom="1440" w:left="1633"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仿宋">
    <w:panose1 w:val="02010609060101010101"/>
  </w:font>
  <w:font w:name="等线">
    <w:panose1 w:val="02010600030101010101"/>
  </w:font>
  <w:font w:name="Courier New">
    <w:panose1 w:val="02070309020205020404"/>
  </w:font>
  <w:font w:name="Symbol">
    <w:panose1 w:val="05050102010706020507"/>
  </w:font>
  <w:font w:name="楷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72110" cy="14795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46952" cy="139526"/>
                      </a:xfrm>
                      <a:prstGeom prst="rect">
                        <a:avLst/>
                      </a:prstGeom>
                      <a:noFill/>
                      <a:ln w="6350">
                        <a:noFill/>
                      </a:ln>
                      <a:effectLst/>
                    </wps:spPr>
                    <wps:txbx>
                      <w:txbxContent>
                        <w:p>
                          <w:pPr>
                            <w:pStyle w:val="732"/>
                          </w:pPr>
                          <w:r>
                            <w:fldChar w:fldCharType="begin"/>
                          </w:r>
                          <w:r>
                            <w:instrText xml:space="preserve"> PAGE  \* MERGEFORMAT </w:instrText>
                          </w:r>
                          <w:r>
                            <w:fldChar w:fldCharType="separate"/>
                          </w:r>
                          <w:r>
                            <w:t xml:space="preserve">104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9.3pt;height:11.6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104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JSZC-320900-JZCG-G2026-</w:t>
    </w:r>
    <w:r>
      <w:rPr>
        <w:rFonts w:hint="eastAsia" w:ascii="宋体" w:hAnsi="宋体" w:eastAsia="宋体" w:cs="宋体"/>
        <w:b/>
        <w:bCs/>
        <w:sz w:val="22"/>
        <w:szCs w:val="22"/>
        <w:lang w:val="en-US" w:eastAsia="zh-CN"/>
      </w:rPr>
      <w:t xml:space="preserve">0062</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none"/>
      <w:isLgl w:val="false"/>
      <w:suff w:val="tab"/>
      <w:lvlText w:val="二、"/>
      <w:lvlJc w:val="left"/>
      <w:pPr>
        <w:ind w:left="992" w:hanging="510"/>
      </w:pPr>
      <w:rPr>
        <w:rFonts w:hint="default"/>
      </w:rPr>
    </w:lvl>
    <w:lvl w:ilvl="1">
      <w:start w:val="1"/>
      <w:numFmt w:val="japaneseCounting"/>
      <w:isLgl w:val="false"/>
      <w:suff w:val="tab"/>
      <w:lvlText w:val="%2、"/>
      <w:lvlJc w:val="left"/>
      <w:pPr>
        <w:ind w:left="1322" w:hanging="420"/>
      </w:pPr>
      <w:rPr>
        <w:rFonts w:hint="default"/>
      </w:r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TOC Heading"/>
    <w:uiPriority w:val="39"/>
    <w:unhideWhenUsed/>
  </w:style>
  <w:style w:type="paragraph" w:styleId="70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07">
    <w:name w:val="Heading 1"/>
    <w:basedOn w:val="706"/>
    <w:next w:val="706"/>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uiPriority w:val="9"/>
    <w:unhideWhenUsed/>
    <w:qFormat/>
    <w:pPr>
      <w:keepLines/>
      <w:keepNext/>
      <w:spacing w:before="320" w:after="200"/>
      <w:outlineLvl w:val="4"/>
    </w:pPr>
    <w:rPr>
      <w:rFonts w:ascii="Arial" w:hAnsi="Arial" w:eastAsia="Arial" w:cs="Arial"/>
      <w:b/>
      <w:bCs/>
      <w:sz w:val="24"/>
    </w:rPr>
  </w:style>
  <w:style w:type="paragraph" w:styleId="712">
    <w:name w:val="Heading 6"/>
    <w:basedOn w:val="706"/>
    <w:next w:val="70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spacing w:after="57"/>
    </w:pPr>
  </w:style>
  <w:style w:type="paragraph" w:styleId="719">
    <w:name w:val="Normal Indent"/>
    <w:basedOn w:val="706"/>
    <w:link w:val="952"/>
    <w:uiPriority w:val="0"/>
    <w:unhideWhenUsed/>
    <w:qFormat/>
    <w:pPr>
      <w:ind w:firstLine="420"/>
    </w:pPr>
    <w:rPr>
      <w:rFonts w:ascii="Calibri" w:hAnsi="Calibri" w:eastAsia="宋体" w:cs="Times New Roman"/>
      <w:sz w:val="20"/>
      <w:szCs w:val="20"/>
    </w:rPr>
  </w:style>
  <w:style w:type="paragraph" w:styleId="720">
    <w:name w:val="Caption"/>
    <w:basedOn w:val="706"/>
    <w:next w:val="7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1">
    <w:name w:val="toa heading"/>
    <w:basedOn w:val="706"/>
    <w:next w:val="706"/>
    <w:uiPriority w:val="99"/>
    <w:unhideWhenUsed/>
    <w:qFormat/>
    <w:pPr>
      <w:spacing w:before="120"/>
    </w:pPr>
    <w:rPr>
      <w:rFonts w:ascii="Cambria" w:hAnsi="Cambria" w:eastAsia="宋体" w:cs="Times New Roman"/>
      <w:sz w:val="24"/>
      <w:szCs w:val="21"/>
    </w:rPr>
  </w:style>
  <w:style w:type="paragraph" w:styleId="722">
    <w:name w:val="annotation text"/>
    <w:basedOn w:val="706"/>
    <w:uiPriority w:val="99"/>
    <w:semiHidden/>
    <w:unhideWhenUsed/>
    <w:qFormat/>
    <w:pPr>
      <w:jc w:val="left"/>
    </w:pPr>
  </w:style>
  <w:style w:type="paragraph" w:styleId="723">
    <w:name w:val="Body Text"/>
    <w:basedOn w:val="706"/>
    <w:next w:val="706"/>
    <w:link w:val="954"/>
    <w:uiPriority w:val="99"/>
    <w:unhideWhenUsed/>
    <w:qFormat/>
    <w:rPr>
      <w:rFonts w:ascii="楷体" w:hAnsi="Arial" w:eastAsia="楷体" w:cs="Times New Roman"/>
      <w:sz w:val="28"/>
      <w:szCs w:val="28"/>
    </w:rPr>
  </w:style>
  <w:style w:type="paragraph" w:styleId="724">
    <w:name w:val="Body Text Indent"/>
    <w:basedOn w:val="706"/>
    <w:uiPriority w:val="0"/>
    <w:qFormat/>
    <w:pPr>
      <w:ind w:left="420"/>
      <w:spacing w:after="120"/>
    </w:pPr>
  </w:style>
  <w:style w:type="paragraph" w:styleId="725">
    <w:name w:val="index 4"/>
    <w:basedOn w:val="706"/>
    <w:next w:val="706"/>
    <w:uiPriority w:val="0"/>
    <w:qFormat/>
    <w:pPr>
      <w:ind w:left="600"/>
      <w:spacing w:line="360" w:lineRule="auto"/>
    </w:pPr>
    <w:rPr>
      <w:sz w:val="24"/>
    </w:rPr>
  </w:style>
  <w:style w:type="paragraph" w:styleId="726">
    <w:name w:val="toc 5"/>
    <w:basedOn w:val="706"/>
    <w:next w:val="706"/>
    <w:uiPriority w:val="39"/>
    <w:unhideWhenUsed/>
    <w:qFormat/>
    <w:pPr>
      <w:ind w:left="1134"/>
      <w:spacing w:after="57"/>
    </w:pPr>
  </w:style>
  <w:style w:type="paragraph" w:styleId="727">
    <w:name w:val="toc 3"/>
    <w:basedOn w:val="706"/>
    <w:next w:val="706"/>
    <w:uiPriority w:val="39"/>
    <w:unhideWhenUsed/>
    <w:qFormat/>
    <w:pPr>
      <w:ind w:left="567"/>
      <w:spacing w:after="57"/>
    </w:pPr>
  </w:style>
  <w:style w:type="paragraph" w:styleId="728">
    <w:name w:val="Plain Text"/>
    <w:basedOn w:val="706"/>
    <w:link w:val="951"/>
    <w:uiPriority w:val="0"/>
    <w:unhideWhenUsed/>
    <w:qFormat/>
    <w:rPr>
      <w:rFonts w:ascii="宋体" w:hAnsi="Courier New" w:eastAsia="宋体" w:cs="Times New Roman"/>
      <w:szCs w:val="21"/>
    </w:rPr>
  </w:style>
  <w:style w:type="paragraph" w:styleId="729">
    <w:name w:val="toc 8"/>
    <w:basedOn w:val="706"/>
    <w:next w:val="706"/>
    <w:uiPriority w:val="39"/>
    <w:unhideWhenUsed/>
    <w:qFormat/>
    <w:pPr>
      <w:ind w:left="1984"/>
      <w:spacing w:after="57"/>
    </w:pPr>
  </w:style>
  <w:style w:type="paragraph" w:styleId="730">
    <w:name w:val="endnote text"/>
    <w:basedOn w:val="706"/>
    <w:link w:val="942"/>
    <w:uiPriority w:val="99"/>
    <w:semiHidden/>
    <w:unhideWhenUsed/>
    <w:qFormat/>
    <w:rPr>
      <w:sz w:val="20"/>
    </w:rPr>
  </w:style>
  <w:style w:type="paragraph" w:styleId="731">
    <w:name w:val="Balloon Text"/>
    <w:basedOn w:val="706"/>
    <w:link w:val="956"/>
    <w:uiPriority w:val="0"/>
    <w:qFormat/>
    <w:rPr>
      <w:sz w:val="18"/>
      <w:szCs w:val="18"/>
    </w:rPr>
  </w:style>
  <w:style w:type="paragraph" w:styleId="732">
    <w:name w:val="Footer"/>
    <w:basedOn w:val="706"/>
    <w:uiPriority w:val="99"/>
    <w:unhideWhenUsed/>
    <w:qFormat/>
    <w:pPr>
      <w:jc w:val="left"/>
      <w:tabs>
        <w:tab w:val="center" w:pos="4153" w:leader="none"/>
        <w:tab w:val="right" w:pos="8306" w:leader="none"/>
      </w:tabs>
    </w:pPr>
    <w:rPr>
      <w:sz w:val="18"/>
      <w:szCs w:val="18"/>
    </w:rPr>
  </w:style>
  <w:style w:type="paragraph" w:styleId="733">
    <w:name w:val="envelope return"/>
    <w:basedOn w:val="706"/>
    <w:uiPriority w:val="0"/>
    <w:qFormat/>
    <w:pPr>
      <w:spacing w:line="360" w:lineRule="auto"/>
    </w:pPr>
    <w:rPr>
      <w:rFonts w:ascii="Arial" w:hAnsi="Arial" w:eastAsia="仿宋" w:cs="Arial"/>
      <w:sz w:val="28"/>
      <w:szCs w:val="21"/>
    </w:rPr>
  </w:style>
  <w:style w:type="paragraph" w:styleId="734">
    <w:name w:val="Header"/>
    <w:basedOn w:val="706"/>
    <w:uiPriority w:val="99"/>
    <w:semiHidden/>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5">
    <w:name w:val="toc 1"/>
    <w:basedOn w:val="706"/>
    <w:next w:val="706"/>
    <w:uiPriority w:val="39"/>
    <w:unhideWhenUsed/>
    <w:qFormat/>
    <w:pPr>
      <w:spacing w:after="57"/>
    </w:pPr>
  </w:style>
  <w:style w:type="paragraph" w:styleId="736">
    <w:name w:val="toc 4"/>
    <w:basedOn w:val="706"/>
    <w:next w:val="706"/>
    <w:uiPriority w:val="39"/>
    <w:unhideWhenUsed/>
    <w:qFormat/>
    <w:pPr>
      <w:ind w:left="850"/>
      <w:spacing w:after="57"/>
    </w:pPr>
  </w:style>
  <w:style w:type="paragraph" w:styleId="737">
    <w:name w:val="Subtitle"/>
    <w:basedOn w:val="706"/>
    <w:next w:val="706"/>
    <w:link w:val="807"/>
    <w:uiPriority w:val="11"/>
    <w:qFormat/>
    <w:pPr>
      <w:spacing w:before="200" w:after="200"/>
    </w:pPr>
    <w:rPr>
      <w:sz w:val="24"/>
    </w:rPr>
  </w:style>
  <w:style w:type="paragraph" w:styleId="738">
    <w:name w:val="footnote text"/>
    <w:basedOn w:val="706"/>
    <w:link w:val="941"/>
    <w:uiPriority w:val="99"/>
    <w:semiHidden/>
    <w:unhideWhenUsed/>
    <w:qFormat/>
    <w:pPr>
      <w:spacing w:after="40"/>
    </w:pPr>
    <w:rPr>
      <w:sz w:val="18"/>
    </w:rPr>
  </w:style>
  <w:style w:type="paragraph" w:styleId="739">
    <w:name w:val="toc 6"/>
    <w:basedOn w:val="706"/>
    <w:next w:val="706"/>
    <w:uiPriority w:val="39"/>
    <w:unhideWhenUsed/>
    <w:qFormat/>
    <w:pPr>
      <w:ind w:left="1417"/>
      <w:spacing w:after="57"/>
    </w:pPr>
  </w:style>
  <w:style w:type="paragraph" w:styleId="740">
    <w:name w:val="table of figures"/>
    <w:basedOn w:val="706"/>
    <w:next w:val="706"/>
    <w:uiPriority w:val="99"/>
    <w:unhideWhenUsed/>
    <w:qFormat/>
  </w:style>
  <w:style w:type="paragraph" w:styleId="741">
    <w:name w:val="toc 2"/>
    <w:basedOn w:val="706"/>
    <w:next w:val="706"/>
    <w:uiPriority w:val="39"/>
    <w:unhideWhenUsed/>
    <w:qFormat/>
    <w:pPr>
      <w:ind w:left="283"/>
      <w:spacing w:after="57"/>
    </w:pPr>
  </w:style>
  <w:style w:type="paragraph" w:styleId="742">
    <w:name w:val="toc 9"/>
    <w:basedOn w:val="706"/>
    <w:next w:val="706"/>
    <w:uiPriority w:val="39"/>
    <w:unhideWhenUsed/>
    <w:qFormat/>
    <w:pPr>
      <w:ind w:left="2268"/>
      <w:spacing w:after="57"/>
    </w:pPr>
  </w:style>
  <w:style w:type="paragraph" w:styleId="743">
    <w:name w:val="Normal (Web)"/>
    <w:basedOn w:val="706"/>
    <w:uiPriority w:val="0"/>
    <w:qFormat/>
    <w:pPr>
      <w:jc w:val="left"/>
      <w:spacing w:beforeAutospacing="1" w:afterAutospacing="1"/>
    </w:pPr>
    <w:rPr>
      <w:rFonts w:cs="Times New Roman"/>
      <w:sz w:val="24"/>
    </w:rPr>
  </w:style>
  <w:style w:type="paragraph" w:styleId="744">
    <w:name w:val="Title"/>
    <w:basedOn w:val="706"/>
    <w:next w:val="706"/>
    <w:link w:val="806"/>
    <w:uiPriority w:val="10"/>
    <w:qFormat/>
    <w:pPr>
      <w:contextualSpacing/>
      <w:spacing w:before="300" w:after="200"/>
    </w:pPr>
    <w:rPr>
      <w:sz w:val="48"/>
      <w:szCs w:val="48"/>
    </w:rPr>
  </w:style>
  <w:style w:type="paragraph" w:styleId="745">
    <w:name w:val="Body Text First Indent"/>
    <w:basedOn w:val="723"/>
    <w:next w:val="706"/>
    <w:uiPriority w:val="0"/>
    <w:qFormat/>
    <w:pPr>
      <w:ind w:firstLine="200"/>
      <w:spacing w:line="360" w:lineRule="auto"/>
    </w:pPr>
    <w:rPr>
      <w:rFonts w:ascii="仿宋" w:hAnsi="Times New Roman" w:eastAsia="仿宋"/>
      <w:sz w:val="30"/>
      <w:szCs w:val="30"/>
    </w:rPr>
  </w:style>
  <w:style w:type="paragraph" w:styleId="746">
    <w:name w:val="Body Text First Indent 2"/>
    <w:basedOn w:val="724"/>
    <w:link w:val="976"/>
    <w:uiPriority w:val="0"/>
    <w:qFormat/>
    <w:pPr>
      <w:ind w:firstLine="420"/>
      <w:spacing w:line="360" w:lineRule="auto"/>
    </w:pPr>
    <w:rPr>
      <w:rFonts w:ascii="宋体" w:eastAsia="仿宋"/>
      <w:sz w:val="24"/>
      <w:szCs w:val="21"/>
    </w:rPr>
  </w:style>
  <w:style w:type="table" w:styleId="747">
    <w:name w:val="Table Grid"/>
    <w:basedOn w:val="7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16"/>
    <w:uiPriority w:val="22"/>
    <w:qFormat/>
    <w:rPr>
      <w:b/>
      <w:bCs/>
    </w:rPr>
  </w:style>
  <w:style w:type="character" w:styleId="749">
    <w:name w:val="endnote reference"/>
    <w:basedOn w:val="716"/>
    <w:uiPriority w:val="99"/>
    <w:semiHidden/>
    <w:unhideWhenUsed/>
    <w:qFormat/>
    <w:rPr>
      <w:vertAlign w:val="superscript"/>
    </w:rPr>
  </w:style>
  <w:style w:type="character" w:styleId="750">
    <w:name w:val="Hyperlink"/>
    <w:uiPriority w:val="99"/>
    <w:unhideWhenUsed/>
    <w:qFormat/>
    <w:rPr>
      <w:color w:val="0563c1" w:themeColor="hyperlink"/>
      <w:u w:val="single"/>
      <w14:textFill>
        <w14:solidFill>
          <w14:schemeClr w14:val="hlink"/>
        </w14:solidFill>
      </w14:textFill>
    </w:rPr>
  </w:style>
  <w:style w:type="character" w:styleId="751">
    <w:name w:val="footnote reference"/>
    <w:basedOn w:val="716"/>
    <w:uiPriority w:val="99"/>
    <w:unhideWhenUsed/>
    <w:qFormat/>
    <w:rPr>
      <w:vertAlign w:val="superscript"/>
    </w:rPr>
  </w:style>
  <w:style w:type="paragraph" w:styleId="752" w:customStyle="1">
    <w:name w:val="样式 标题 3 + (中文) 黑体 小四 非加粗 段前: 7.8 磅 段后: 0 磅 行距: 固定值 20 磅_0"/>
    <w:basedOn w:val="706"/>
    <w:uiPriority w:val="0"/>
    <w:qFormat/>
    <w:pPr>
      <w:keepLines/>
      <w:keepNext/>
      <w:spacing w:line="400" w:lineRule="exact"/>
      <w:outlineLvl w:val="2"/>
    </w:pPr>
    <w:rPr>
      <w:rFonts w:eastAsia="黑体" w:cs="宋体"/>
      <w:szCs w:val="21"/>
    </w:rPr>
  </w:style>
  <w:style w:type="table" w:styleId="753" w:customStyle="1">
    <w:name w:val="Plain Table 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71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71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71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3"/>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5 Dark"/>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6 Colorful"/>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7 Colorful"/>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List Table 1 Light"/>
    <w:basedOn w:val="71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2"/>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3"/>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4"/>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5 Dark"/>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6 Colorful"/>
    <w:basedOn w:val="71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List Table 7 Colorful"/>
    <w:basedOn w:val="71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2" w:customStyle="1">
    <w:name w:val="TOC 标题1"/>
    <w:uiPriority w:val="39"/>
    <w:unhideWhenUsed/>
    <w:qFormat/>
    <w:rPr>
      <w:rFonts w:ascii="Times New Roman" w:hAnsi="Times New Roman" w:eastAsia="宋体" w:cs="Times New Roman"/>
      <w:lang w:val="en-US" w:eastAsia="zh-CN" w:bidi="ar-SA"/>
    </w:rPr>
  </w:style>
  <w:style w:type="paragraph" w:styleId="773" w:customStyle="1">
    <w:name w:val="style4"/>
    <w:basedOn w:val="706"/>
    <w:next w:val="774"/>
    <w:uiPriority w:val="0"/>
    <w:qFormat/>
    <w:pPr>
      <w:spacing w:before="280" w:after="280"/>
      <w:widowControl/>
    </w:pPr>
    <w:rPr>
      <w:rFonts w:ascii="宋体" w:hAnsi="Calibri" w:eastAsia="宋体" w:cs="Times New Roman"/>
      <w:sz w:val="18"/>
    </w:rPr>
  </w:style>
  <w:style w:type="paragraph" w:styleId="774" w:customStyle="1">
    <w:name w:val="2"/>
    <w:next w:val="706"/>
    <w:uiPriority w:val="0"/>
    <w:qFormat/>
    <w:pPr>
      <w:jc w:val="both"/>
      <w:widowControl w:val="off"/>
    </w:pPr>
    <w:rPr>
      <w:rFonts w:ascii="Calibri" w:hAnsi="Calibri" w:eastAsia="宋体" w:cs="Times New Roman"/>
      <w:sz w:val="21"/>
      <w:szCs w:val="22"/>
      <w:lang w:val="en-US" w:eastAsia="zh-CN" w:bidi="ar-SA"/>
    </w:rPr>
  </w:style>
  <w:style w:type="character" w:styleId="775" w:customStyle="1">
    <w:name w:val="标题 3 Char"/>
    <w:basedOn w:val="716"/>
    <w:uiPriority w:val="0"/>
    <w:semiHidden/>
    <w:qFormat/>
    <w:rPr>
      <w:rFonts w:asciiTheme="minorHAnsi" w:hAnsiTheme="minorHAnsi" w:eastAsiaTheme="minorEastAsia" w:cstheme="minorBidi"/>
      <w:b/>
      <w:bCs/>
      <w:sz w:val="32"/>
      <w:szCs w:val="32"/>
    </w:rPr>
  </w:style>
  <w:style w:type="character" w:styleId="776" w:customStyle="1">
    <w:name w:val="Heading 1 Char"/>
    <w:basedOn w:val="716"/>
    <w:link w:val="777"/>
    <w:uiPriority w:val="9"/>
    <w:qFormat/>
    <w:rPr>
      <w:rFonts w:ascii="Arial" w:hAnsi="Arial" w:eastAsia="Arial" w:cs="Arial"/>
      <w:sz w:val="40"/>
      <w:szCs w:val="40"/>
    </w:rPr>
  </w:style>
  <w:style w:type="paragraph" w:styleId="777" w:customStyle="1">
    <w:name w:val="Heading 11"/>
    <w:basedOn w:val="706"/>
    <w:next w:val="706"/>
    <w:link w:val="776"/>
    <w:uiPriority w:val="9"/>
    <w:qFormat/>
    <w:pPr>
      <w:keepLines/>
      <w:keepNext/>
      <w:spacing w:before="480" w:after="200"/>
      <w:outlineLvl w:val="0"/>
    </w:pPr>
    <w:rPr>
      <w:rFonts w:ascii="Arial" w:hAnsi="Arial" w:eastAsia="Arial" w:cs="Arial"/>
      <w:sz w:val="40"/>
      <w:szCs w:val="40"/>
    </w:rPr>
  </w:style>
  <w:style w:type="paragraph" w:styleId="778" w:customStyle="1">
    <w:name w:val="正文首行缩进11"/>
    <w:basedOn w:val="706"/>
    <w:next w:val="706"/>
    <w:uiPriority w:val="99"/>
    <w:unhideWhenUsed/>
    <w:qFormat/>
    <w:pPr>
      <w:ind w:firstLine="420"/>
    </w:pPr>
    <w:rPr>
      <w:rFonts w:ascii="Times New Roman" w:hAnsi="Times New Roman"/>
    </w:rPr>
  </w:style>
  <w:style w:type="paragraph" w:styleId="779" w:customStyle="1">
    <w:name w:val="TOC 标题111"/>
    <w:uiPriority w:val="39"/>
    <w:unhideWhenUsed/>
    <w:qFormat/>
    <w:rPr>
      <w:rFonts w:ascii="Times New Roman" w:hAnsi="Times New Roman" w:eastAsia="宋体" w:cs="Times New Roman"/>
      <w:lang w:val="en-US" w:eastAsia="zh-CN" w:bidi="ar-SA"/>
    </w:rPr>
  </w:style>
  <w:style w:type="character" w:styleId="780" w:customStyle="1">
    <w:name w:val="Title Char"/>
    <w:basedOn w:val="716"/>
    <w:uiPriority w:val="10"/>
    <w:qFormat/>
    <w:rPr>
      <w:sz w:val="48"/>
      <w:szCs w:val="48"/>
    </w:rPr>
  </w:style>
  <w:style w:type="character" w:styleId="781" w:customStyle="1">
    <w:name w:val="Subtitle Char"/>
    <w:basedOn w:val="716"/>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paragraph" w:styleId="786" w:customStyle="1">
    <w:name w:val="标题 11"/>
    <w:basedOn w:val="706"/>
    <w:next w:val="706"/>
    <w:uiPriority w:val="9"/>
    <w:qFormat/>
    <w:pPr>
      <w:keepLines/>
      <w:keepNext/>
      <w:spacing w:before="340" w:after="330" w:line="576" w:lineRule="auto"/>
      <w:outlineLvl w:val="0"/>
    </w:pPr>
    <w:rPr>
      <w:b/>
      <w:sz w:val="44"/>
    </w:rPr>
  </w:style>
  <w:style w:type="paragraph" w:styleId="787" w:customStyle="1">
    <w:name w:val="标题 21"/>
    <w:basedOn w:val="706"/>
    <w:link w:val="961"/>
    <w:uiPriority w:val="9"/>
    <w:qFormat/>
    <w:pPr>
      <w:jc w:val="left"/>
      <w:spacing w:before="100" w:beforeAutospacing="1" w:after="100" w:afterAutospacing="1"/>
      <w:widowControl/>
      <w:outlineLvl w:val="1"/>
    </w:pPr>
    <w:rPr>
      <w:rFonts w:ascii="宋体" w:hAnsi="宋体" w:eastAsia="宋体" w:cs="宋体"/>
      <w:b/>
      <w:bCs/>
      <w:sz w:val="36"/>
      <w:szCs w:val="36"/>
    </w:rPr>
  </w:style>
  <w:style w:type="paragraph" w:styleId="788" w:customStyle="1">
    <w:name w:val="页脚1"/>
    <w:basedOn w:val="706"/>
    <w:link w:val="960"/>
    <w:uiPriority w:val="99"/>
    <w:semiHidden/>
    <w:unhideWhenUsed/>
    <w:qFormat/>
    <w:pPr>
      <w:jc w:val="left"/>
      <w:tabs>
        <w:tab w:val="center" w:pos="4153" w:leader="none"/>
        <w:tab w:val="right" w:pos="8306" w:leader="none"/>
      </w:tabs>
    </w:pPr>
    <w:rPr>
      <w:sz w:val="18"/>
      <w:szCs w:val="18"/>
    </w:rPr>
  </w:style>
  <w:style w:type="paragraph" w:styleId="789" w:customStyle="1">
    <w:name w:val="页眉1"/>
    <w:basedOn w:val="706"/>
    <w:link w:val="959"/>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790" w:customStyle="1">
    <w:name w:val="Heading 2 Char"/>
    <w:basedOn w:val="716"/>
    <w:uiPriority w:val="9"/>
    <w:qFormat/>
    <w:rPr>
      <w:rFonts w:ascii="Arial" w:hAnsi="Arial" w:eastAsia="Arial" w:cs="Arial"/>
      <w:sz w:val="34"/>
    </w:rPr>
  </w:style>
  <w:style w:type="character" w:styleId="791" w:customStyle="1">
    <w:name w:val="Heading 3 Char"/>
    <w:basedOn w:val="716"/>
    <w:uiPriority w:val="9"/>
    <w:qFormat/>
    <w:rPr>
      <w:rFonts w:ascii="Arial" w:hAnsi="Arial" w:eastAsia="Arial" w:cs="Arial"/>
      <w:sz w:val="30"/>
      <w:szCs w:val="30"/>
    </w:rPr>
  </w:style>
  <w:style w:type="paragraph" w:styleId="792" w:customStyle="1">
    <w:name w:val="标题 41"/>
    <w:basedOn w:val="706"/>
    <w:next w:val="706"/>
    <w:link w:val="793"/>
    <w:uiPriority w:val="9"/>
    <w:unhideWhenUsed/>
    <w:qFormat/>
    <w:pPr>
      <w:keepLines/>
      <w:keepNext/>
      <w:spacing w:before="320" w:after="200"/>
      <w:outlineLvl w:val="3"/>
    </w:pPr>
    <w:rPr>
      <w:rFonts w:ascii="Arial" w:hAnsi="Arial" w:eastAsia="Arial" w:cs="Arial"/>
      <w:b/>
      <w:bCs/>
      <w:sz w:val="26"/>
      <w:szCs w:val="26"/>
    </w:rPr>
  </w:style>
  <w:style w:type="character" w:styleId="793" w:customStyle="1">
    <w:name w:val="Heading 4 Char"/>
    <w:basedOn w:val="716"/>
    <w:link w:val="792"/>
    <w:uiPriority w:val="9"/>
    <w:qFormat/>
    <w:rPr>
      <w:rFonts w:ascii="Arial" w:hAnsi="Arial" w:eastAsia="Arial" w:cs="Arial"/>
      <w:b/>
      <w:bCs/>
      <w:sz w:val="26"/>
      <w:szCs w:val="26"/>
    </w:rPr>
  </w:style>
  <w:style w:type="paragraph" w:styleId="794" w:customStyle="1">
    <w:name w:val="标题 51"/>
    <w:basedOn w:val="706"/>
    <w:next w:val="706"/>
    <w:link w:val="795"/>
    <w:uiPriority w:val="9"/>
    <w:unhideWhenUsed/>
    <w:qFormat/>
    <w:pPr>
      <w:keepLines/>
      <w:keepNext/>
      <w:spacing w:before="320" w:after="200"/>
      <w:outlineLvl w:val="4"/>
    </w:pPr>
    <w:rPr>
      <w:rFonts w:ascii="Arial" w:hAnsi="Arial" w:eastAsia="Arial" w:cs="Arial"/>
      <w:b/>
      <w:bCs/>
      <w:sz w:val="24"/>
    </w:rPr>
  </w:style>
  <w:style w:type="character" w:styleId="795" w:customStyle="1">
    <w:name w:val="Heading 5 Char"/>
    <w:basedOn w:val="716"/>
    <w:link w:val="794"/>
    <w:uiPriority w:val="9"/>
    <w:qFormat/>
    <w:rPr>
      <w:rFonts w:ascii="Arial" w:hAnsi="Arial" w:eastAsia="Arial" w:cs="Arial"/>
      <w:b/>
      <w:bCs/>
      <w:sz w:val="24"/>
      <w:szCs w:val="24"/>
    </w:rPr>
  </w:style>
  <w:style w:type="paragraph" w:styleId="796" w:customStyle="1">
    <w:name w:val="标题 61"/>
    <w:basedOn w:val="706"/>
    <w:next w:val="706"/>
    <w:link w:val="797"/>
    <w:uiPriority w:val="9"/>
    <w:unhideWhenUsed/>
    <w:qFormat/>
    <w:pPr>
      <w:keepLines/>
      <w:keepNext/>
      <w:spacing w:before="320" w:after="200"/>
      <w:outlineLvl w:val="5"/>
    </w:pPr>
    <w:rPr>
      <w:rFonts w:ascii="Arial" w:hAnsi="Arial" w:eastAsia="Arial" w:cs="Arial"/>
      <w:b/>
      <w:bCs/>
      <w:sz w:val="22"/>
      <w:szCs w:val="22"/>
    </w:rPr>
  </w:style>
  <w:style w:type="character" w:styleId="797" w:customStyle="1">
    <w:name w:val="Heading 6 Char"/>
    <w:basedOn w:val="716"/>
    <w:link w:val="796"/>
    <w:uiPriority w:val="9"/>
    <w:qFormat/>
    <w:rPr>
      <w:rFonts w:ascii="Arial" w:hAnsi="Arial" w:eastAsia="Arial" w:cs="Arial"/>
      <w:b/>
      <w:bCs/>
      <w:sz w:val="22"/>
      <w:szCs w:val="22"/>
    </w:rPr>
  </w:style>
  <w:style w:type="paragraph" w:styleId="798" w:customStyle="1">
    <w:name w:val="标题 71"/>
    <w:basedOn w:val="706"/>
    <w:next w:val="706"/>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customStyle="1">
    <w:name w:val="Heading 7 Char"/>
    <w:basedOn w:val="716"/>
    <w:link w:val="798"/>
    <w:uiPriority w:val="9"/>
    <w:qFormat/>
    <w:rPr>
      <w:rFonts w:ascii="Arial" w:hAnsi="Arial" w:eastAsia="Arial" w:cs="Arial"/>
      <w:b/>
      <w:bCs/>
      <w:i/>
      <w:iCs/>
      <w:sz w:val="22"/>
      <w:szCs w:val="22"/>
    </w:rPr>
  </w:style>
  <w:style w:type="paragraph" w:styleId="800" w:customStyle="1">
    <w:name w:val="标题 81"/>
    <w:basedOn w:val="706"/>
    <w:next w:val="706"/>
    <w:link w:val="801"/>
    <w:uiPriority w:val="9"/>
    <w:unhideWhenUsed/>
    <w:qFormat/>
    <w:pPr>
      <w:keepLines/>
      <w:keepNext/>
      <w:spacing w:before="320" w:after="200"/>
      <w:outlineLvl w:val="7"/>
    </w:pPr>
    <w:rPr>
      <w:rFonts w:ascii="Arial" w:hAnsi="Arial" w:eastAsia="Arial" w:cs="Arial"/>
      <w:i/>
      <w:iCs/>
      <w:sz w:val="22"/>
      <w:szCs w:val="22"/>
    </w:rPr>
  </w:style>
  <w:style w:type="character" w:styleId="801" w:customStyle="1">
    <w:name w:val="Heading 8 Char"/>
    <w:basedOn w:val="716"/>
    <w:link w:val="800"/>
    <w:uiPriority w:val="9"/>
    <w:qFormat/>
    <w:rPr>
      <w:rFonts w:ascii="Arial" w:hAnsi="Arial" w:eastAsia="Arial" w:cs="Arial"/>
      <w:i/>
      <w:iCs/>
      <w:sz w:val="22"/>
      <w:szCs w:val="22"/>
    </w:rPr>
  </w:style>
  <w:style w:type="paragraph" w:styleId="802" w:customStyle="1">
    <w:name w:val="标题 91"/>
    <w:basedOn w:val="706"/>
    <w:next w:val="706"/>
    <w:link w:val="803"/>
    <w:uiPriority w:val="9"/>
    <w:unhideWhenUsed/>
    <w:qFormat/>
    <w:pPr>
      <w:keepLines/>
      <w:keepNext/>
      <w:spacing w:before="320" w:after="200"/>
      <w:outlineLvl w:val="8"/>
    </w:pPr>
    <w:rPr>
      <w:rFonts w:ascii="Arial" w:hAnsi="Arial" w:eastAsia="Arial" w:cs="Arial"/>
      <w:i/>
      <w:iCs/>
      <w:szCs w:val="21"/>
    </w:rPr>
  </w:style>
  <w:style w:type="character" w:styleId="803" w:customStyle="1">
    <w:name w:val="Heading 9 Char"/>
    <w:basedOn w:val="716"/>
    <w:link w:val="802"/>
    <w:uiPriority w:val="9"/>
    <w:qFormat/>
    <w:rPr>
      <w:rFonts w:ascii="Arial" w:hAnsi="Arial" w:eastAsia="Arial" w:cs="Arial"/>
      <w:i/>
      <w:iCs/>
      <w:sz w:val="21"/>
      <w:szCs w:val="21"/>
    </w:rPr>
  </w:style>
  <w:style w:type="paragraph" w:styleId="804">
    <w:name w:val="List Paragraph"/>
    <w:basedOn w:val="706"/>
    <w:uiPriority w:val="34"/>
    <w:qFormat/>
    <w:pPr>
      <w:contextualSpacing/>
      <w:ind w:left="720"/>
    </w:pPr>
  </w:style>
  <w:style w:type="paragraph" w:styleId="805">
    <w:name w:val="No Spacing"/>
    <w:uiPriority w:val="1"/>
    <w:qFormat/>
    <w:rPr>
      <w:rFonts w:ascii="Times New Roman" w:hAnsi="Times New Roman" w:eastAsia="宋体" w:cs="Times New Roman"/>
      <w:lang w:val="en-US" w:eastAsia="zh-CN" w:bidi="ar-SA"/>
    </w:rPr>
  </w:style>
  <w:style w:type="character" w:styleId="806" w:customStyle="1">
    <w:name w:val="标题 Char"/>
    <w:basedOn w:val="716"/>
    <w:link w:val="744"/>
    <w:uiPriority w:val="10"/>
    <w:qFormat/>
    <w:rPr>
      <w:sz w:val="48"/>
      <w:szCs w:val="48"/>
    </w:rPr>
  </w:style>
  <w:style w:type="character" w:styleId="807" w:customStyle="1">
    <w:name w:val="副标题 Char"/>
    <w:basedOn w:val="716"/>
    <w:link w:val="737"/>
    <w:uiPriority w:val="11"/>
    <w:qFormat/>
    <w:rPr>
      <w:sz w:val="24"/>
      <w:szCs w:val="24"/>
    </w:rPr>
  </w:style>
  <w:style w:type="paragraph" w:styleId="808">
    <w:name w:val="Quote"/>
    <w:basedOn w:val="706"/>
    <w:next w:val="706"/>
    <w:link w:val="809"/>
    <w:uiPriority w:val="29"/>
    <w:qFormat/>
    <w:pPr>
      <w:ind w:left="720" w:right="720"/>
    </w:pPr>
    <w:rPr>
      <w:i/>
    </w:rPr>
  </w:style>
  <w:style w:type="character" w:styleId="809" w:customStyle="1">
    <w:name w:val="引用 Char"/>
    <w:link w:val="808"/>
    <w:uiPriority w:val="29"/>
    <w:qFormat/>
    <w:rPr>
      <w:i/>
    </w:rPr>
  </w:style>
  <w:style w:type="paragraph" w:styleId="810">
    <w:name w:val="Intense Quote"/>
    <w:basedOn w:val="706"/>
    <w:next w:val="706"/>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Char"/>
    <w:link w:val="810"/>
    <w:uiPriority w:val="30"/>
    <w:qFormat/>
    <w:rPr>
      <w:i/>
    </w:rPr>
  </w:style>
  <w:style w:type="character" w:styleId="812" w:customStyle="1">
    <w:name w:val="Header Char"/>
    <w:basedOn w:val="716"/>
    <w:uiPriority w:val="99"/>
    <w:qFormat/>
  </w:style>
  <w:style w:type="character" w:styleId="813" w:customStyle="1">
    <w:name w:val="Footer Char"/>
    <w:basedOn w:val="716"/>
    <w:uiPriority w:val="99"/>
    <w:qFormat/>
  </w:style>
  <w:style w:type="paragraph" w:styleId="814" w:customStyle="1">
    <w:name w:val="题注1"/>
    <w:basedOn w:val="706"/>
    <w:next w:val="706"/>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815" w:customStyle="1">
    <w:name w:val="Caption Char"/>
    <w:uiPriority w:val="99"/>
    <w:qFormat/>
  </w:style>
  <w:style w:type="table" w:styleId="816" w:customStyle="1">
    <w:name w:val="Table Grid Light"/>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无格式表格 1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1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1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1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1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1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1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1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1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1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1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1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网格表 3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1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1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1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1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1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1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5" w:customStyle="1">
    <w:name w:val="Grid Table 4 - Accent 2"/>
    <w:basedOn w:val="71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6" w:customStyle="1">
    <w:name w:val="Grid Table 4 - Accent 3"/>
    <w:basedOn w:val="71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7" w:customStyle="1">
    <w:name w:val="Grid Table 4 - Accent 4"/>
    <w:basedOn w:val="71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8" w:customStyle="1">
    <w:name w:val="Grid Table 4 - Accent 5"/>
    <w:basedOn w:val="71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9" w:customStyle="1">
    <w:name w:val="Grid Table 4 - Accent 6"/>
    <w:basedOn w:val="71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0"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2" w:customStyle="1">
    <w:name w:val="Grid Table 5 Dark - Accent 2"/>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3" w:customStyle="1">
    <w:name w:val="Grid Table 5 Dark - Accent 3"/>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4" w:customStyle="1">
    <w:name w:val="Grid Table 5 Dark- Accent 4"/>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5" w:customStyle="1">
    <w:name w:val="Grid Table 5 Dark - Accent 5"/>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6" w:customStyle="1">
    <w:name w:val="Grid Table 5 Dark - Accent 6"/>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7" w:customStyle="1">
    <w:name w:val="网格表 6 彩色1"/>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1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1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1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1" w:customStyle="1">
    <w:name w:val="Grid Table 6 Colorful - Accent 4"/>
    <w:basedOn w:val="71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1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3" w:customStyle="1">
    <w:name w:val="Grid Table 6 Colorful - Accent 6"/>
    <w:basedOn w:val="71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网格表 7 彩色1"/>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1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1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1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1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1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1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basedOn w:val="71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1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1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1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1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1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1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8" w:customStyle="1">
    <w:name w:val="清单表 21"/>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1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0" w:customStyle="1">
    <w:name w:val="List Table 2 - Accent 2"/>
    <w:basedOn w:val="71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1" w:customStyle="1">
    <w:name w:val="List Table 2 - Accent 3"/>
    <w:basedOn w:val="71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2" w:customStyle="1">
    <w:name w:val="List Table 2 - Accent 4"/>
    <w:basedOn w:val="71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3" w:customStyle="1">
    <w:name w:val="List Table 2 - Accent 5"/>
    <w:basedOn w:val="71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4" w:customStyle="1">
    <w:name w:val="List Table 2 - Accent 6"/>
    <w:basedOn w:val="71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5"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1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3 - Accent 2"/>
    <w:basedOn w:val="71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1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1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1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1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2"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1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4 - Accent 2"/>
    <w:basedOn w:val="71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5" w:customStyle="1">
    <w:name w:val="List Table 4 - Accent 3"/>
    <w:basedOn w:val="71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6" w:customStyle="1">
    <w:name w:val="List Table 4 - Accent 4"/>
    <w:basedOn w:val="71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7" w:customStyle="1">
    <w:name w:val="List Table 4 - Accent 5"/>
    <w:basedOn w:val="71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8" w:customStyle="1">
    <w:name w:val="List Table 4 - Accent 6"/>
    <w:basedOn w:val="71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9" w:customStyle="1">
    <w:name w:val="清单表 5 深色1"/>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1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1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1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1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1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1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71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1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8" w:customStyle="1">
    <w:name w:val="List Table 6 Colorful - Accent 2"/>
    <w:basedOn w:val="71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9" w:customStyle="1">
    <w:name w:val="List Table 6 Colorful - Accent 3"/>
    <w:basedOn w:val="71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0" w:customStyle="1">
    <w:name w:val="List Table 6 Colorful - Accent 4"/>
    <w:basedOn w:val="71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1" w:customStyle="1">
    <w:name w:val="List Table 6 Colorful - Accent 5"/>
    <w:basedOn w:val="71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2" w:customStyle="1">
    <w:name w:val="List Table 6 Colorful - Accent 6"/>
    <w:basedOn w:val="71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3" w:customStyle="1">
    <w:name w:val="清单表 7 彩色1"/>
    <w:basedOn w:val="71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1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1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1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1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1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1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1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1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Lined - Accent 2"/>
    <w:basedOn w:val="71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Lined - Accent 3"/>
    <w:basedOn w:val="71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Lined - Accent 4"/>
    <w:basedOn w:val="71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Lined - Accent 5"/>
    <w:basedOn w:val="71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Lined - Accent 6"/>
    <w:basedOn w:val="71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amp; Lined - Accent"/>
    <w:basedOn w:val="7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1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9" w:customStyle="1">
    <w:name w:val="Bordered &amp; Lined - Accent 2"/>
    <w:basedOn w:val="71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0" w:customStyle="1">
    <w:name w:val="Bordered &amp; Lined - Accent 3"/>
    <w:basedOn w:val="71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Bordered &amp; Lined - Accent 4"/>
    <w:basedOn w:val="71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2" w:customStyle="1">
    <w:name w:val="Bordered &amp; Lined - Accent 5"/>
    <w:basedOn w:val="71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Bordered &amp; Lined - Accent 6"/>
    <w:basedOn w:val="71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w:basedOn w:val="7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1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6" w:customStyle="1">
    <w:name w:val="Bordered - Accent 2"/>
    <w:basedOn w:val="7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7" w:customStyle="1">
    <w:name w:val="Bordered - Accent 3"/>
    <w:basedOn w:val="7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8" w:customStyle="1">
    <w:name w:val="Bordered - Accent 4"/>
    <w:basedOn w:val="71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9" w:customStyle="1">
    <w:name w:val="Bordered - Accent 5"/>
    <w:basedOn w:val="71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0" w:customStyle="1">
    <w:name w:val="Bordered - Accent 6"/>
    <w:basedOn w:val="7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1" w:customStyle="1">
    <w:name w:val="脚注文本 Char"/>
    <w:link w:val="738"/>
    <w:uiPriority w:val="99"/>
    <w:qFormat/>
    <w:rPr>
      <w:sz w:val="18"/>
    </w:rPr>
  </w:style>
  <w:style w:type="character" w:styleId="942" w:customStyle="1">
    <w:name w:val="尾注文本 Char"/>
    <w:link w:val="730"/>
    <w:uiPriority w:val="99"/>
    <w:qFormat/>
    <w:rPr>
      <w:sz w:val="20"/>
    </w:rPr>
  </w:style>
  <w:style w:type="paragraph" w:styleId="943" w:customStyle="1">
    <w:name w:val="TOC 标题11"/>
    <w:uiPriority w:val="39"/>
    <w:unhideWhenUsed/>
    <w:qFormat/>
    <w:rPr>
      <w:rFonts w:ascii="Times New Roman" w:hAnsi="Times New Roman" w:eastAsia="宋体" w:cs="Times New Roman"/>
      <w:lang w:val="en-US" w:eastAsia="zh-CN" w:bidi="ar-SA"/>
    </w:rPr>
  </w:style>
  <w:style w:type="paragraph" w:styleId="944" w:customStyle="1">
    <w:name w:val="Heading 21"/>
    <w:basedOn w:val="706"/>
    <w:next w:val="706"/>
    <w:link w:val="958"/>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945" w:customStyle="1">
    <w:name w:val="标题 31"/>
    <w:basedOn w:val="706"/>
    <w:next w:val="719"/>
    <w:link w:val="9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6" w:customStyle="1">
    <w:name w:val="Footer1"/>
    <w:basedOn w:val="706"/>
    <w:link w:val="949"/>
    <w:uiPriority w:val="99"/>
    <w:qFormat/>
    <w:pPr>
      <w:jc w:val="left"/>
      <w:tabs>
        <w:tab w:val="center" w:pos="4153" w:leader="none"/>
        <w:tab w:val="right" w:pos="8306" w:leader="none"/>
      </w:tabs>
    </w:pPr>
    <w:rPr>
      <w:sz w:val="18"/>
      <w:szCs w:val="18"/>
    </w:rPr>
  </w:style>
  <w:style w:type="paragraph" w:styleId="947" w:customStyle="1">
    <w:name w:val="Header1"/>
    <w:basedOn w:val="706"/>
    <w:link w:val="948"/>
    <w:uiPriority w:val="99"/>
    <w:qFormat/>
    <w:pPr>
      <w:jc w:val="center"/>
      <w:tabs>
        <w:tab w:val="center" w:pos="4153" w:leader="none"/>
        <w:tab w:val="right" w:pos="8306" w:leader="none"/>
      </w:tabs>
      <w:pBdr>
        <w:bottom w:val="single" w:color="auto" w:sz="6" w:space="1"/>
      </w:pBdr>
    </w:pPr>
    <w:rPr>
      <w:sz w:val="18"/>
      <w:szCs w:val="18"/>
    </w:rPr>
  </w:style>
  <w:style w:type="character" w:styleId="948" w:customStyle="1">
    <w:name w:val="页眉 Char"/>
    <w:basedOn w:val="716"/>
    <w:link w:val="947"/>
    <w:uiPriority w:val="99"/>
    <w:qFormat/>
    <w:rPr>
      <w:rFonts w:asciiTheme="minorHAnsi" w:hAnsiTheme="minorHAnsi" w:eastAsiaTheme="minorEastAsia" w:cstheme="minorBidi"/>
      <w:sz w:val="18"/>
      <w:szCs w:val="18"/>
    </w:rPr>
  </w:style>
  <w:style w:type="character" w:styleId="949" w:customStyle="1">
    <w:name w:val="页脚 Char"/>
    <w:basedOn w:val="716"/>
    <w:link w:val="946"/>
    <w:uiPriority w:val="99"/>
    <w:qFormat/>
    <w:rPr>
      <w:rFonts w:asciiTheme="minorHAnsi" w:hAnsiTheme="minorHAnsi" w:eastAsiaTheme="minorEastAsia" w:cstheme="minorBidi"/>
      <w:sz w:val="18"/>
      <w:szCs w:val="18"/>
    </w:rPr>
  </w:style>
  <w:style w:type="paragraph" w:styleId="950" w:customStyle="1">
    <w:name w:val="!BECC正文"/>
    <w:basedOn w:val="706"/>
    <w:uiPriority w:val="0"/>
    <w:qFormat/>
    <w:pPr>
      <w:contextualSpacing/>
      <w:ind w:firstLine="200"/>
      <w:spacing w:line="360" w:lineRule="auto"/>
      <w:tabs>
        <w:tab w:val="left" w:pos="0" w:leader="none"/>
      </w:tabs>
    </w:pPr>
    <w:rPr>
      <w:rFonts w:ascii="Times New Roman" w:hAnsi="Times New Roman" w:eastAsia="宋体" w:cs="Times New Roman"/>
      <w:sz w:val="24"/>
    </w:rPr>
  </w:style>
  <w:style w:type="character" w:styleId="951" w:customStyle="1">
    <w:name w:val="纯文本 Char"/>
    <w:basedOn w:val="716"/>
    <w:link w:val="728"/>
    <w:uiPriority w:val="0"/>
    <w:qFormat/>
    <w:rPr>
      <w:rFonts w:ascii="宋体" w:hAnsi="Courier New"/>
      <w:sz w:val="21"/>
      <w:szCs w:val="21"/>
    </w:rPr>
  </w:style>
  <w:style w:type="character" w:styleId="952" w:customStyle="1">
    <w:name w:val="正文缩进 Char"/>
    <w:link w:val="719"/>
    <w:uiPriority w:val="0"/>
    <w:qFormat/>
    <w:rPr>
      <w:rFonts w:ascii="Calibri" w:hAnsi="Calibri"/>
    </w:rPr>
  </w:style>
  <w:style w:type="character" w:styleId="953" w:customStyle="1">
    <w:name w:val="标题 3 Char1"/>
    <w:link w:val="945"/>
    <w:uiPriority w:val="0"/>
    <w:qFormat/>
    <w:rPr>
      <w:b/>
      <w:bCs/>
      <w:sz w:val="32"/>
      <w:szCs w:val="32"/>
    </w:rPr>
  </w:style>
  <w:style w:type="character" w:styleId="954" w:customStyle="1">
    <w:name w:val="正文文本 Char"/>
    <w:basedOn w:val="716"/>
    <w:link w:val="723"/>
    <w:uiPriority w:val="99"/>
    <w:qFormat/>
    <w:rPr>
      <w:rFonts w:ascii="楷体" w:hAnsi="Arial" w:eastAsia="楷体"/>
      <w:sz w:val="28"/>
      <w:szCs w:val="28"/>
    </w:rPr>
  </w:style>
  <w:style w:type="paragraph" w:styleId="955" w:customStyle="1">
    <w:name w:val="*正文"/>
    <w:basedOn w:val="706"/>
    <w:uiPriority w:val="0"/>
    <w:qFormat/>
    <w:pPr>
      <w:ind w:firstLine="480"/>
      <w:jc w:val="left"/>
      <w:spacing w:line="300" w:lineRule="auto"/>
      <w:widowControl/>
    </w:pPr>
    <w:rPr>
      <w:rFonts w:ascii="宋体" w:hAnsi="宋体" w:eastAsia="宋体" w:cs="Times New Roman"/>
      <w:sz w:val="20"/>
    </w:rPr>
  </w:style>
  <w:style w:type="character" w:styleId="956" w:customStyle="1">
    <w:name w:val="批注框文本 Char"/>
    <w:basedOn w:val="716"/>
    <w:link w:val="731"/>
    <w:uiPriority w:val="0"/>
    <w:qFormat/>
    <w:rPr>
      <w:rFonts w:asciiTheme="minorHAnsi" w:hAnsiTheme="minorHAnsi" w:eastAsiaTheme="minorEastAsia" w:cstheme="minorBidi"/>
      <w:sz w:val="18"/>
      <w:szCs w:val="18"/>
    </w:rPr>
  </w:style>
  <w:style w:type="paragraph" w:styleId="95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58" w:customStyle="1">
    <w:name w:val="标题 2 Char"/>
    <w:basedOn w:val="716"/>
    <w:link w:val="944"/>
    <w:uiPriority w:val="9"/>
    <w:qFormat/>
    <w:rPr>
      <w:rFonts w:ascii="宋体" w:hAnsi="宋体"/>
      <w:b/>
      <w:bCs/>
      <w:sz w:val="36"/>
      <w:szCs w:val="36"/>
    </w:rPr>
  </w:style>
  <w:style w:type="character" w:styleId="959" w:customStyle="1">
    <w:name w:val="页眉 Char1"/>
    <w:basedOn w:val="716"/>
    <w:link w:val="789"/>
    <w:uiPriority w:val="99"/>
    <w:semiHidden/>
    <w:qFormat/>
    <w:rPr>
      <w:rFonts w:asciiTheme="minorHAnsi" w:hAnsiTheme="minorHAnsi" w:eastAsiaTheme="minorEastAsia" w:cstheme="minorBidi"/>
      <w:sz w:val="18"/>
      <w:szCs w:val="18"/>
    </w:rPr>
  </w:style>
  <w:style w:type="character" w:styleId="960" w:customStyle="1">
    <w:name w:val="页脚 Char1"/>
    <w:basedOn w:val="716"/>
    <w:link w:val="788"/>
    <w:uiPriority w:val="99"/>
    <w:semiHidden/>
    <w:qFormat/>
    <w:rPr>
      <w:rFonts w:asciiTheme="minorHAnsi" w:hAnsiTheme="minorHAnsi" w:eastAsiaTheme="minorEastAsia" w:cstheme="minorBidi"/>
      <w:sz w:val="18"/>
      <w:szCs w:val="18"/>
    </w:rPr>
  </w:style>
  <w:style w:type="character" w:styleId="961" w:customStyle="1">
    <w:name w:val="标题 2 Char1"/>
    <w:basedOn w:val="716"/>
    <w:link w:val="787"/>
    <w:uiPriority w:val="9"/>
    <w:semiHidden/>
    <w:qFormat/>
    <w:rPr>
      <w:rFonts w:asciiTheme="majorHAnsi" w:hAnsiTheme="majorHAnsi" w:eastAsiaTheme="majorEastAsia" w:cstheme="majorBidi"/>
      <w:b/>
      <w:bCs/>
      <w:sz w:val="32"/>
      <w:szCs w:val="32"/>
    </w:rPr>
  </w:style>
  <w:style w:type="paragraph" w:styleId="962" w:customStyle="1">
    <w:name w:val="text"/>
    <w:basedOn w:val="706"/>
    <w:uiPriority w:val="0"/>
    <w:qFormat/>
    <w:pPr>
      <w:jc w:val="left"/>
      <w:spacing w:before="100" w:beforeAutospacing="1" w:after="100" w:afterAutospacing="1"/>
      <w:widowControl/>
    </w:pPr>
    <w:rPr>
      <w:rFonts w:ascii="宋体" w:hAnsi="宋体" w:eastAsia="宋体" w:cs="宋体"/>
      <w:sz w:val="24"/>
    </w:rPr>
  </w:style>
  <w:style w:type="paragraph" w:styleId="963" w:customStyle="1">
    <w:name w:val="正文首行缩进 21"/>
    <w:basedOn w:val="706"/>
    <w:uiPriority w:val="0"/>
    <w:qFormat/>
    <w:pPr>
      <w:ind w:left="420" w:firstLine="420"/>
      <w:spacing w:after="120"/>
    </w:pPr>
  </w:style>
  <w:style w:type="paragraph" w:styleId="964" w:customStyle="1">
    <w:name w:val="正文缩进1"/>
    <w:basedOn w:val="706"/>
    <w:uiPriority w:val="0"/>
    <w:qFormat/>
    <w:pPr>
      <w:ind w:firstLine="420"/>
      <w:jc w:val="left"/>
      <w:widowControl/>
    </w:pPr>
  </w:style>
  <w:style w:type="paragraph" w:styleId="965" w:customStyle="1">
    <w:name w:val="Default"/>
    <w:basedOn w:val="706"/>
    <w:uiPriority w:val="0"/>
    <w:qFormat/>
    <w:pPr>
      <w:jc w:val="left"/>
    </w:pPr>
    <w:rPr>
      <w:rFonts w:ascii="宋体" w:hAnsi="Calibri" w:cs="宋体"/>
      <w:color w:val="000000"/>
      <w:sz w:val="24"/>
    </w:rPr>
  </w:style>
  <w:style w:type="paragraph" w:styleId="966" w:customStyle="1">
    <w:name w:val="TOC 71"/>
    <w:next w:val="706"/>
    <w:uiPriority w:val="0"/>
    <w:qFormat/>
    <w:pPr>
      <w:ind w:left="2550"/>
      <w:jc w:val="both"/>
    </w:pPr>
    <w:rPr>
      <w:rFonts w:ascii="Times New Roman" w:hAnsi="Times New Roman" w:eastAsia="宋体" w:cs="Times New Roman"/>
      <w:sz w:val="21"/>
      <w:szCs w:val="22"/>
      <w:lang w:val="en-US" w:eastAsia="zh-CN" w:bidi="ar-SA"/>
    </w:rPr>
  </w:style>
  <w:style w:type="paragraph" w:styleId="967" w:customStyle="1">
    <w:name w:val="Table Text"/>
    <w:basedOn w:val="706"/>
    <w:uiPriority w:val="0"/>
    <w:semiHidden/>
    <w:qFormat/>
    <w:rPr>
      <w:rFonts w:ascii="宋体" w:hAnsi="宋体" w:eastAsia="宋体" w:cs="宋体"/>
      <w:sz w:val="24"/>
    </w:rPr>
  </w:style>
  <w:style w:type="table" w:styleId="968" w:customStyle="1">
    <w:name w:val="Table Normal"/>
    <w:uiPriority w:val="0"/>
    <w:unhideWhenUsed/>
    <w:qFormat/>
    <w:tblPr>
      <w:tblCellMar>
        <w:left w:w="0" w:type="dxa"/>
        <w:top w:w="0" w:type="dxa"/>
        <w:right w:w="0" w:type="dxa"/>
        <w:bottom w:w="0" w:type="dxa"/>
      </w:tblCellMar>
    </w:tblPr>
  </w:style>
  <w:style w:type="paragraph" w:styleId="969" w:customStyle="1">
    <w:name w:val="页眉12"/>
    <w:basedOn w:val="706"/>
    <w:uiPriority w:val="0"/>
    <w:qFormat/>
    <w:pPr>
      <w:jc w:val="center"/>
      <w:tabs>
        <w:tab w:val="center" w:pos="4153" w:leader="none"/>
        <w:tab w:val="right" w:pos="8306" w:leader="none"/>
      </w:tabs>
      <w:pBdr>
        <w:bottom w:val="single" w:color="000000" w:sz="6" w:space="1"/>
      </w:pBdr>
    </w:pPr>
    <w:rPr>
      <w:sz w:val="18"/>
      <w:szCs w:val="18"/>
    </w:rPr>
  </w:style>
  <w:style w:type="paragraph" w:styleId="970" w:customStyle="1">
    <w:name w:val="正文文本 2111"/>
    <w:basedOn w:val="706"/>
    <w:uiPriority w:val="99"/>
    <w:qFormat/>
    <w:pPr>
      <w:jc w:val="center"/>
    </w:pPr>
    <w:rPr>
      <w:b/>
      <w:bCs/>
      <w:sz w:val="20"/>
      <w:szCs w:val="20"/>
    </w:rPr>
  </w:style>
  <w:style w:type="paragraph" w:styleId="971" w:customStyle="1">
    <w:name w:val="普通正文"/>
    <w:basedOn w:val="706"/>
    <w:uiPriority w:val="0"/>
    <w:qFormat/>
    <w:pPr>
      <w:ind w:firstLine="480"/>
      <w:jc w:val="left"/>
      <w:spacing w:before="120" w:after="120" w:line="360" w:lineRule="auto"/>
    </w:pPr>
    <w:rPr>
      <w:rFonts w:ascii="Arial" w:hAnsi="Arial" w:eastAsia="等线" w:cs="Arial"/>
      <w:sz w:val="24"/>
    </w:rPr>
  </w:style>
  <w:style w:type="paragraph" w:styleId="972" w:customStyle="1">
    <w:name w:val="普通(网站)1"/>
    <w:basedOn w:val="706"/>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973" w:customStyle="1">
    <w:name w:val="Normal1"/>
    <w:uiPriority w:val="0"/>
    <w:qFormat/>
    <w:pPr>
      <w:spacing w:line="360" w:lineRule="atLeast"/>
      <w:widowControl w:val="off"/>
    </w:pPr>
    <w:rPr>
      <w:rFonts w:ascii="宋体" w:hAnsi="Calibri" w:eastAsia="宋体" w:cs="Times New Roman"/>
      <w:b/>
      <w:position w:val="-10"/>
      <w:sz w:val="24"/>
      <w:lang w:val="en-US" w:eastAsia="zh-CN" w:bidi="ar-SA"/>
    </w:rPr>
  </w:style>
  <w:style w:type="paragraph" w:styleId="974" w:customStyle="1">
    <w:name w:val="正文文本1"/>
    <w:basedOn w:val="706"/>
    <w:uiPriority w:val="0"/>
    <w:qFormat/>
    <w:pPr>
      <w:spacing w:after="120"/>
    </w:pPr>
    <w:rPr>
      <w:rFonts w:ascii="Times New Roman" w:hAnsi="Times New Roman" w:eastAsia="宋体" w:cs="Times New Roman"/>
      <w:szCs w:val="21"/>
    </w:rPr>
  </w:style>
  <w:style w:type="paragraph" w:styleId="975" w:customStyle="1">
    <w:name w:val="批注文字1"/>
    <w:basedOn w:val="706"/>
    <w:uiPriority w:val="0"/>
    <w:qFormat/>
    <w:pPr>
      <w:jc w:val="left"/>
    </w:pPr>
    <w:rPr>
      <w:rFonts w:ascii="Times New Roman" w:hAnsi="Times New Roman" w:eastAsia="宋体" w:cs="Times New Roman"/>
    </w:rPr>
  </w:style>
  <w:style w:type="character" w:styleId="976" w:customStyle="1">
    <w:name w:val="正文首行缩进 2 Char"/>
    <w:basedOn w:val="716"/>
    <w:link w:val="746"/>
    <w:uiPriority w:val="0"/>
    <w:qFormat/>
    <w:rPr>
      <w:rFonts w:ascii="宋体" w:eastAsia="仿宋" w:hAnsiTheme="minorHAnsi" w:cstheme="minorBidi"/>
      <w:sz w:val="24"/>
      <w:szCs w:val="21"/>
    </w:rPr>
  </w:style>
  <w:style w:type="paragraph" w:styleId="977" w:customStyle="1">
    <w:name w:val="宋体正文排版"/>
    <w:basedOn w:val="706"/>
    <w:link w:val="978"/>
    <w:uiPriority w:val="0"/>
    <w:qFormat/>
    <w:pPr>
      <w:ind w:firstLine="883"/>
      <w:spacing w:line="360" w:lineRule="auto"/>
      <w:widowControl/>
    </w:pPr>
    <w:rPr>
      <w:rFonts w:ascii="宋体" w:hAnsi="宋体" w:eastAsia="宋体" w:cs="Times New Roman"/>
      <w:color w:val="000000"/>
      <w:sz w:val="28"/>
      <w:szCs w:val="28"/>
      <w:lang w:eastAsia="en-US"/>
    </w:rPr>
  </w:style>
  <w:style w:type="character" w:styleId="978" w:customStyle="1">
    <w:name w:val="我的正文排版四号字 Char"/>
    <w:link w:val="977"/>
    <w:uiPriority w:val="0"/>
    <w:qFormat/>
    <w:rPr>
      <w:rFonts w:ascii="宋体" w:hAnsi="宋体"/>
      <w:color w:val="000000"/>
      <w:sz w:val="28"/>
      <w:szCs w:val="28"/>
      <w:lang w:eastAsia="en-US"/>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倪兆霞</cp:lastModifiedBy>
  <cp:revision>14</cp:revision>
  <dcterms:created xsi:type="dcterms:W3CDTF">2026-08-09T14:44:00Z</dcterms:created>
  <dcterms:modified xsi:type="dcterms:W3CDTF">2026-09-16T09:04:13Z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1D6D59B023824DBA906CF239300D23C6_13</vt:lpwstr>
  </property>
  <property fmtid="{D5CDD505-2E9C-101B-9397-08002B2CF9AE}" pid="4" name="KSOTemplateDocerSaveRecord">
    <vt:lpwstr>eyJoZGlkIjoiZTM5NjQ4MDViNzI1OGY2YzE4MzhiZmY5ZTY1YTkxNGYiLCJ1c2VySWQiOiIxNjcxMTcxMDA3In0=</vt:lpwstr>
  </property>
</Properties>
</file>