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57A06A">
      <w:pPr>
        <w:jc w:val="center"/>
        <w:rPr>
          <w:rFonts w:cs="宋体" w:asciiTheme="minorEastAsia" w:hAnsiTheme="minorEastAsia" w:eastAsiaTheme="minorEastAsia"/>
          <w:b/>
          <w:bCs/>
          <w:sz w:val="84"/>
          <w:szCs w:val="84"/>
          <w:highlight w:val="none"/>
        </w:rPr>
      </w:pPr>
    </w:p>
    <w:p w14:paraId="2F3E9E28">
      <w:pPr>
        <w:jc w:val="center"/>
        <w:rPr>
          <w:rFonts w:cs="宋体" w:asciiTheme="minorEastAsia" w:hAnsiTheme="minorEastAsia" w:eastAsiaTheme="minorEastAsia"/>
          <w:b/>
          <w:bCs/>
          <w:sz w:val="84"/>
          <w:szCs w:val="84"/>
          <w:highlight w:val="none"/>
        </w:rPr>
      </w:pPr>
    </w:p>
    <w:p w14:paraId="06C6B89A">
      <w:pPr>
        <w:jc w:val="center"/>
        <w:rPr>
          <w:rFonts w:cs="宋体" w:asciiTheme="minorEastAsia" w:hAnsiTheme="minorEastAsia" w:eastAsiaTheme="minorEastAsia"/>
          <w:b/>
          <w:bCs/>
          <w:sz w:val="84"/>
          <w:szCs w:val="84"/>
          <w:highlight w:val="none"/>
        </w:rPr>
      </w:pPr>
      <w:r>
        <w:rPr>
          <w:rFonts w:hint="eastAsia" w:cs="宋体" w:asciiTheme="minorEastAsia" w:hAnsiTheme="minorEastAsia" w:eastAsiaTheme="minorEastAsia"/>
          <w:b/>
          <w:bCs/>
          <w:sz w:val="84"/>
          <w:szCs w:val="84"/>
          <w:highlight w:val="none"/>
        </w:rPr>
        <w:t>招 标 文 件</w:t>
      </w:r>
    </w:p>
    <w:p w14:paraId="4A3A1B12">
      <w:pPr>
        <w:jc w:val="center"/>
        <w:rPr>
          <w:rFonts w:cs="宋体" w:asciiTheme="minorEastAsia" w:hAnsiTheme="minorEastAsia" w:eastAsiaTheme="minorEastAsia"/>
          <w:sz w:val="32"/>
          <w:szCs w:val="32"/>
          <w:highlight w:val="none"/>
        </w:rPr>
      </w:pPr>
    </w:p>
    <w:p w14:paraId="7BBA7E61">
      <w:pPr>
        <w:rPr>
          <w:rFonts w:cs="宋体" w:asciiTheme="minorEastAsia" w:hAnsiTheme="minorEastAsia" w:eastAsiaTheme="minorEastAsia"/>
          <w:sz w:val="36"/>
          <w:szCs w:val="36"/>
          <w:highlight w:val="none"/>
        </w:rPr>
      </w:pPr>
    </w:p>
    <w:p w14:paraId="6E250F5C">
      <w:pPr>
        <w:pStyle w:val="7"/>
        <w:rPr>
          <w:rFonts w:asciiTheme="minorEastAsia" w:hAnsiTheme="minorEastAsia" w:eastAsiaTheme="minorEastAsia"/>
          <w:highlight w:val="none"/>
        </w:rPr>
      </w:pPr>
    </w:p>
    <w:p w14:paraId="59EFCD04">
      <w:pPr>
        <w:spacing w:line="360" w:lineRule="auto"/>
        <w:jc w:val="center"/>
        <w:rPr>
          <w:rFonts w:hint="eastAsia" w:cs="宋体" w:asciiTheme="minorEastAsia" w:hAnsiTheme="minorEastAsia" w:eastAsiaTheme="minorEastAsia"/>
          <w:b/>
          <w:sz w:val="32"/>
          <w:szCs w:val="32"/>
          <w:highlight w:val="none"/>
          <w:lang w:eastAsia="zh-CN"/>
        </w:rPr>
      </w:pPr>
      <w:r>
        <w:rPr>
          <w:rFonts w:hint="eastAsia" w:cs="宋体" w:asciiTheme="minorEastAsia" w:hAnsiTheme="minorEastAsia" w:eastAsiaTheme="minorEastAsia"/>
          <w:b/>
          <w:sz w:val="32"/>
          <w:szCs w:val="32"/>
          <w:highlight w:val="none"/>
        </w:rPr>
        <w:t>项目名称：</w:t>
      </w:r>
      <w:r>
        <w:rPr>
          <w:rFonts w:hint="eastAsia" w:cs="宋体" w:asciiTheme="minorEastAsia" w:hAnsiTheme="minorEastAsia" w:eastAsiaTheme="minorEastAsia"/>
          <w:b/>
          <w:sz w:val="32"/>
          <w:szCs w:val="32"/>
          <w:highlight w:val="none"/>
          <w:lang w:eastAsia="zh-CN"/>
        </w:rPr>
        <w:t>2026年度盐南高新区大气污染监测溯源服务项目</w:t>
      </w:r>
    </w:p>
    <w:p w14:paraId="6724F04B">
      <w:pPr>
        <w:spacing w:line="360" w:lineRule="auto"/>
        <w:rPr>
          <w:rFonts w:cs="宋体" w:asciiTheme="minorEastAsia" w:hAnsiTheme="minorEastAsia" w:eastAsiaTheme="minorEastAsia"/>
          <w:b/>
          <w:bCs/>
          <w:sz w:val="36"/>
          <w:szCs w:val="36"/>
          <w:highlight w:val="none"/>
        </w:rPr>
      </w:pPr>
    </w:p>
    <w:p w14:paraId="265A8A08">
      <w:pPr>
        <w:spacing w:line="360" w:lineRule="auto"/>
        <w:jc w:val="center"/>
        <w:rPr>
          <w:rFonts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t xml:space="preserve">项目编号：JSZC-320992-RHHH-G2026-0040 </w:t>
      </w:r>
    </w:p>
    <w:p w14:paraId="37FA24C9">
      <w:pPr>
        <w:jc w:val="center"/>
        <w:rPr>
          <w:rFonts w:cs="宋体" w:asciiTheme="minorEastAsia" w:hAnsiTheme="minorEastAsia" w:eastAsiaTheme="minorEastAsia"/>
          <w:sz w:val="30"/>
          <w:szCs w:val="30"/>
          <w:highlight w:val="none"/>
        </w:rPr>
      </w:pPr>
    </w:p>
    <w:p w14:paraId="7F01CDFC">
      <w:pPr>
        <w:jc w:val="center"/>
        <w:rPr>
          <w:rFonts w:cs="宋体" w:asciiTheme="minorEastAsia" w:hAnsiTheme="minorEastAsia" w:eastAsiaTheme="minorEastAsia"/>
          <w:sz w:val="30"/>
          <w:szCs w:val="30"/>
          <w:highlight w:val="none"/>
        </w:rPr>
      </w:pPr>
    </w:p>
    <w:p w14:paraId="2E1A0D03">
      <w:pPr>
        <w:jc w:val="center"/>
        <w:rPr>
          <w:rFonts w:cs="宋体" w:asciiTheme="minorEastAsia" w:hAnsiTheme="minorEastAsia" w:eastAsiaTheme="minorEastAsia"/>
          <w:sz w:val="30"/>
          <w:szCs w:val="30"/>
          <w:highlight w:val="none"/>
        </w:rPr>
      </w:pPr>
    </w:p>
    <w:p w14:paraId="687BB665">
      <w:pPr>
        <w:pStyle w:val="254"/>
        <w:ind w:firstLine="420"/>
        <w:rPr>
          <w:rFonts w:cs="宋体" w:asciiTheme="minorEastAsia" w:hAnsiTheme="minorEastAsia" w:eastAsiaTheme="minorEastAsia"/>
          <w:highlight w:val="none"/>
        </w:rPr>
      </w:pPr>
    </w:p>
    <w:p w14:paraId="6BCA7039">
      <w:pPr>
        <w:pStyle w:val="254"/>
        <w:ind w:firstLine="0"/>
        <w:rPr>
          <w:rFonts w:cs="宋体" w:asciiTheme="minorEastAsia" w:hAnsiTheme="minorEastAsia" w:eastAsiaTheme="minorEastAsia"/>
          <w:highlight w:val="none"/>
        </w:rPr>
      </w:pPr>
    </w:p>
    <w:p w14:paraId="031E1111">
      <w:pPr>
        <w:spacing w:line="360" w:lineRule="auto"/>
        <w:ind w:firstLine="1285"/>
        <w:rPr>
          <w:rFonts w:cs="宋体" w:asciiTheme="minorEastAsia" w:hAnsiTheme="minorEastAsia" w:eastAsiaTheme="minorEastAsia"/>
          <w:b/>
          <w:bCs/>
          <w:sz w:val="32"/>
          <w:szCs w:val="32"/>
          <w:highlight w:val="none"/>
        </w:rPr>
      </w:pPr>
    </w:p>
    <w:p w14:paraId="6DCE0E2A">
      <w:pPr>
        <w:spacing w:line="360" w:lineRule="auto"/>
        <w:ind w:firstLine="1285"/>
        <w:rPr>
          <w:rFonts w:cs="宋体" w:asciiTheme="minorEastAsia" w:hAnsiTheme="minorEastAsia" w:eastAsiaTheme="minorEastAsia"/>
          <w:b/>
          <w:sz w:val="32"/>
          <w:szCs w:val="32"/>
          <w:highlight w:val="none"/>
        </w:rPr>
      </w:pPr>
    </w:p>
    <w:p w14:paraId="42BD6DC3">
      <w:pPr>
        <w:spacing w:line="360" w:lineRule="auto"/>
        <w:ind w:firstLine="1285"/>
        <w:rPr>
          <w:rFonts w:cs="宋体" w:asciiTheme="minorEastAsia" w:hAnsiTheme="minorEastAsia" w:eastAsiaTheme="minorEastAsia"/>
          <w:b/>
          <w:sz w:val="32"/>
          <w:szCs w:val="32"/>
          <w:highlight w:val="none"/>
        </w:rPr>
      </w:pPr>
    </w:p>
    <w:p w14:paraId="7B0B4C9F">
      <w:pPr>
        <w:spacing w:line="360" w:lineRule="auto"/>
        <w:jc w:val="center"/>
        <w:rPr>
          <w:rFonts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t>盐城市生态环境局盐南高新区分局</w:t>
      </w:r>
    </w:p>
    <w:p w14:paraId="7253CF53">
      <w:pPr>
        <w:spacing w:line="360" w:lineRule="auto"/>
        <w:jc w:val="center"/>
        <w:rPr>
          <w:rFonts w:asciiTheme="minorEastAsia" w:hAnsiTheme="minorEastAsia" w:eastAsiaTheme="minorEastAsia"/>
          <w:b/>
          <w:bCs/>
          <w:sz w:val="30"/>
          <w:szCs w:val="30"/>
          <w:highlight w:val="none"/>
        </w:rPr>
      </w:pPr>
      <w:r>
        <w:rPr>
          <w:rFonts w:hint="eastAsia" w:cs="宋体" w:asciiTheme="minorEastAsia" w:hAnsiTheme="minorEastAsia" w:eastAsiaTheme="minorEastAsia"/>
          <w:b/>
          <w:sz w:val="32"/>
          <w:szCs w:val="32"/>
          <w:highlight w:val="none"/>
        </w:rPr>
        <w:t>2026</w:t>
      </w:r>
      <w:r>
        <w:rPr>
          <w:rFonts w:cs="宋体" w:asciiTheme="minorEastAsia" w:hAnsiTheme="minorEastAsia" w:eastAsiaTheme="minorEastAsia"/>
          <w:b/>
          <w:sz w:val="32"/>
          <w:szCs w:val="32"/>
          <w:highlight w:val="none"/>
        </w:rPr>
        <w:t>年</w:t>
      </w:r>
      <w:r>
        <w:rPr>
          <w:rFonts w:hint="eastAsia" w:cs="宋体" w:asciiTheme="minorEastAsia" w:hAnsiTheme="minorEastAsia" w:eastAsiaTheme="minorEastAsia"/>
          <w:b/>
          <w:sz w:val="32"/>
          <w:szCs w:val="32"/>
          <w:highlight w:val="none"/>
          <w:lang w:val="en-US" w:eastAsia="zh-CN"/>
        </w:rPr>
        <w:t>6</w:t>
      </w:r>
      <w:r>
        <w:rPr>
          <w:rFonts w:cs="宋体" w:asciiTheme="minorEastAsia" w:hAnsiTheme="minorEastAsia" w:eastAsiaTheme="minorEastAsia"/>
          <w:b/>
          <w:sz w:val="32"/>
          <w:szCs w:val="32"/>
          <w:highlight w:val="none"/>
        </w:rPr>
        <w:t>月</w:t>
      </w:r>
    </w:p>
    <w:p w14:paraId="18B48A30">
      <w:pPr>
        <w:spacing w:line="576" w:lineRule="exact"/>
        <w:rPr>
          <w:rFonts w:cs="宋体" w:asciiTheme="minorEastAsia" w:hAnsiTheme="minorEastAsia" w:eastAsiaTheme="minorEastAsia"/>
          <w:sz w:val="44"/>
          <w:szCs w:val="44"/>
          <w:highlight w:val="none"/>
        </w:rPr>
      </w:pPr>
    </w:p>
    <w:p w14:paraId="1EB89C7D">
      <w:pPr>
        <w:tabs>
          <w:tab w:val="left" w:pos="7474"/>
        </w:tabs>
        <w:spacing w:line="576" w:lineRule="exact"/>
        <w:jc w:val="left"/>
        <w:rPr>
          <w:rFonts w:cs="宋体" w:asciiTheme="minorEastAsia" w:hAnsiTheme="minorEastAsia" w:eastAsiaTheme="minorEastAsia"/>
          <w:sz w:val="44"/>
          <w:szCs w:val="44"/>
          <w:highlight w:val="none"/>
        </w:rPr>
      </w:pPr>
      <w:r>
        <w:rPr>
          <w:rFonts w:asciiTheme="minorEastAsia" w:hAnsiTheme="minorEastAsia" w:eastAsiaTheme="minorEastAsia"/>
          <w:highlight w:val="none"/>
        </w:rPr>
        <w:tab/>
      </w:r>
    </w:p>
    <w:p w14:paraId="45B67830">
      <w:pPr>
        <w:spacing w:line="576" w:lineRule="exact"/>
        <w:jc w:val="center"/>
        <w:rPr>
          <w:rFonts w:cs="宋体" w:asciiTheme="minorEastAsia" w:hAnsiTheme="minorEastAsia" w:eastAsiaTheme="minorEastAsia"/>
          <w:sz w:val="44"/>
          <w:szCs w:val="44"/>
          <w:highlight w:val="none"/>
        </w:rPr>
      </w:pPr>
    </w:p>
    <w:p w14:paraId="2EF408EE">
      <w:pPr>
        <w:spacing w:line="576" w:lineRule="exact"/>
        <w:jc w:val="center"/>
        <w:rPr>
          <w:rFonts w:cs="宋体" w:asciiTheme="minorEastAsia" w:hAnsiTheme="minorEastAsia" w:eastAsiaTheme="minorEastAsia"/>
          <w:sz w:val="44"/>
          <w:szCs w:val="44"/>
          <w:highlight w:val="none"/>
        </w:rPr>
      </w:pPr>
    </w:p>
    <w:p w14:paraId="51F44DDF">
      <w:pPr>
        <w:spacing w:line="576" w:lineRule="exact"/>
        <w:jc w:val="center"/>
        <w:rPr>
          <w:rFonts w:cs="宋体" w:asciiTheme="minorEastAsia" w:hAnsiTheme="minorEastAsia" w:eastAsiaTheme="minorEastAsia"/>
          <w:sz w:val="44"/>
          <w:szCs w:val="44"/>
          <w:highlight w:val="none"/>
        </w:rPr>
      </w:pPr>
      <w:r>
        <w:rPr>
          <w:rFonts w:hint="eastAsia" w:cs="宋体" w:asciiTheme="minorEastAsia" w:hAnsiTheme="minorEastAsia" w:eastAsiaTheme="minorEastAsia"/>
          <w:sz w:val="44"/>
          <w:szCs w:val="44"/>
          <w:highlight w:val="none"/>
        </w:rPr>
        <w:t>目  录</w:t>
      </w:r>
    </w:p>
    <w:p w14:paraId="7454E5A8">
      <w:pPr>
        <w:spacing w:line="576" w:lineRule="exact"/>
        <w:jc w:val="left"/>
        <w:rPr>
          <w:rFonts w:cs="宋体" w:asciiTheme="minorEastAsia" w:hAnsiTheme="minorEastAsia" w:eastAsiaTheme="minorEastAsia"/>
          <w:sz w:val="28"/>
          <w:szCs w:val="28"/>
          <w:highlight w:val="none"/>
        </w:rPr>
      </w:pPr>
    </w:p>
    <w:p w14:paraId="2F5640DA">
      <w:pPr>
        <w:spacing w:line="720" w:lineRule="auto"/>
        <w:jc w:val="left"/>
        <w:rPr>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 xml:space="preserve"> 第一部分  投标公告………………………………………………3</w:t>
      </w:r>
    </w:p>
    <w:p w14:paraId="7105996C">
      <w:pPr>
        <w:spacing w:line="720" w:lineRule="auto"/>
        <w:jc w:val="left"/>
        <w:rPr>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 xml:space="preserve"> 第二部分  投标人须知……………………………………………6</w:t>
      </w:r>
    </w:p>
    <w:p w14:paraId="544A065C">
      <w:pPr>
        <w:spacing w:line="720" w:lineRule="auto"/>
        <w:jc w:val="left"/>
        <w:rPr>
          <w:rStyle w:val="50"/>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 xml:space="preserve"> 第三部分  合同文本 ……………………………………………15</w:t>
      </w:r>
    </w:p>
    <w:p w14:paraId="68AAECE2">
      <w:pPr>
        <w:spacing w:line="720" w:lineRule="auto"/>
        <w:jc w:val="left"/>
        <w:rPr>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 xml:space="preserve"> 第四部分  采购需求 ……………………………………………24</w:t>
      </w:r>
    </w:p>
    <w:p w14:paraId="3E11DC59">
      <w:pPr>
        <w:spacing w:line="720" w:lineRule="auto"/>
        <w:jc w:val="left"/>
        <w:rPr>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 xml:space="preserve"> 第五部分  评标方式与评标标准…………………………………31</w:t>
      </w:r>
    </w:p>
    <w:p w14:paraId="18D43BEE">
      <w:pPr>
        <w:spacing w:line="720" w:lineRule="auto"/>
        <w:jc w:val="left"/>
        <w:rPr>
          <w:rFonts w:cs="宋体" w:asciiTheme="minorEastAsia" w:hAnsiTheme="minorEastAsia" w:eastAsiaTheme="minorEastAsia"/>
          <w:sz w:val="30"/>
          <w:szCs w:val="30"/>
          <w:highlight w:val="none"/>
        </w:rPr>
      </w:pPr>
      <w:r>
        <w:rPr>
          <w:rFonts w:hint="eastAsia" w:cs="宋体" w:asciiTheme="minorEastAsia" w:hAnsiTheme="minorEastAsia" w:eastAsiaTheme="minorEastAsia"/>
          <w:sz w:val="30"/>
          <w:szCs w:val="30"/>
          <w:highlight w:val="none"/>
        </w:rPr>
        <w:t xml:space="preserve"> 第六部分  投标文件格式…………………………………………</w:t>
      </w:r>
      <w:r>
        <w:rPr>
          <w:rFonts w:cs="宋体" w:asciiTheme="minorEastAsia" w:hAnsiTheme="minorEastAsia" w:eastAsiaTheme="minorEastAsia"/>
          <w:sz w:val="30"/>
          <w:szCs w:val="30"/>
          <w:highlight w:val="none"/>
        </w:rPr>
        <w:t>3</w:t>
      </w:r>
      <w:r>
        <w:rPr>
          <w:rFonts w:hint="eastAsia" w:cs="宋体" w:asciiTheme="minorEastAsia" w:hAnsiTheme="minorEastAsia" w:eastAsiaTheme="minorEastAsia"/>
          <w:sz w:val="30"/>
          <w:szCs w:val="30"/>
          <w:highlight w:val="none"/>
        </w:rPr>
        <w:t>7</w:t>
      </w:r>
    </w:p>
    <w:p w14:paraId="278A3782">
      <w:pPr>
        <w:spacing w:line="360" w:lineRule="auto"/>
        <w:jc w:val="center"/>
        <w:outlineLvl w:val="0"/>
        <w:rPr>
          <w:rFonts w:cs="宋体" w:asciiTheme="minorEastAsia" w:hAnsiTheme="minorEastAsia" w:eastAsiaTheme="minorEastAsia"/>
          <w:b/>
          <w:bCs/>
          <w:sz w:val="32"/>
          <w:szCs w:val="32"/>
          <w:highlight w:val="none"/>
        </w:rPr>
      </w:pPr>
      <w:r>
        <w:rPr>
          <w:rFonts w:hint="eastAsia" w:cs="宋体" w:asciiTheme="minorEastAsia" w:hAnsiTheme="minorEastAsia" w:eastAsiaTheme="minorEastAsia"/>
          <w:sz w:val="28"/>
          <w:szCs w:val="28"/>
          <w:highlight w:val="none"/>
        </w:rPr>
        <w:br w:type="page" w:clear="all"/>
      </w:r>
      <w:r>
        <w:rPr>
          <w:rFonts w:hint="eastAsia" w:cs="宋体" w:asciiTheme="minorEastAsia" w:hAnsiTheme="minorEastAsia" w:eastAsiaTheme="minorEastAsia"/>
          <w:b/>
          <w:bCs/>
          <w:sz w:val="32"/>
          <w:szCs w:val="32"/>
          <w:highlight w:val="none"/>
        </w:rPr>
        <w:t>第一部分  招标公告</w:t>
      </w:r>
    </w:p>
    <w:p w14:paraId="0055FC3D">
      <w:pPr>
        <w:pBdr>
          <w:top w:val="single" w:color="000000" w:sz="4" w:space="1"/>
          <w:left w:val="single" w:color="000000" w:sz="4" w:space="4"/>
          <w:bottom w:val="single" w:color="000000" w:sz="4" w:space="1"/>
          <w:right w:val="single" w:color="000000" w:sz="4" w:space="4"/>
        </w:pBdr>
        <w:spacing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项目概况</w:t>
      </w:r>
    </w:p>
    <w:p w14:paraId="134BCF5B">
      <w:pPr>
        <w:pBdr>
          <w:top w:val="single" w:color="000000" w:sz="4" w:space="0"/>
          <w:left w:val="single" w:color="000000" w:sz="4" w:space="3"/>
          <w:bottom w:val="single" w:color="000000" w:sz="4" w:space="0"/>
          <w:right w:val="single" w:color="000000" w:sz="4" w:space="3"/>
        </w:pBd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u w:val="single"/>
          <w:lang w:eastAsia="zh-CN"/>
        </w:rPr>
        <w:t>2026年度盐南高新区大气污染监测溯源服务项目</w:t>
      </w:r>
      <w:r>
        <w:rPr>
          <w:rFonts w:hint="eastAsia" w:cs="宋体" w:asciiTheme="minorEastAsia" w:hAnsiTheme="minorEastAsia" w:eastAsiaTheme="minorEastAsia"/>
          <w:sz w:val="24"/>
          <w:highlight w:val="none"/>
          <w:u w:val="single"/>
        </w:rPr>
        <w:t>招标项目的潜在投标人应在“苏采云”系统内免费下载（投标人必须在苏采云系统中获取采购文件，方能参与政府采购项目）获取招标文件，并于2026年</w:t>
      </w:r>
      <w:r>
        <w:rPr>
          <w:rFonts w:hint="eastAsia" w:cs="宋体" w:asciiTheme="minorEastAsia" w:hAnsiTheme="minorEastAsia" w:eastAsiaTheme="minorEastAsia"/>
          <w:sz w:val="24"/>
          <w:highlight w:val="none"/>
          <w:u w:val="single"/>
          <w:lang w:val="en-US" w:eastAsia="zh-CN"/>
        </w:rPr>
        <w:t>7</w:t>
      </w:r>
      <w:r>
        <w:rPr>
          <w:rFonts w:hint="eastAsia" w:cs="宋体" w:asciiTheme="minorEastAsia" w:hAnsiTheme="minorEastAsia" w:eastAsiaTheme="minorEastAsia"/>
          <w:sz w:val="24"/>
          <w:highlight w:val="none"/>
          <w:u w:val="single"/>
        </w:rPr>
        <w:t>月</w:t>
      </w:r>
      <w:r>
        <w:rPr>
          <w:rFonts w:hint="eastAsia" w:cs="宋体" w:asciiTheme="minorEastAsia" w:hAnsiTheme="minorEastAsia" w:eastAsiaTheme="minorEastAsia"/>
          <w:sz w:val="24"/>
          <w:highlight w:val="none"/>
          <w:u w:val="single"/>
          <w:lang w:val="en-US" w:eastAsia="zh-CN"/>
        </w:rPr>
        <w:t>17</w:t>
      </w:r>
      <w:r>
        <w:rPr>
          <w:rFonts w:hint="eastAsia" w:cs="宋体" w:asciiTheme="minorEastAsia" w:hAnsiTheme="minorEastAsia" w:eastAsiaTheme="minorEastAsia"/>
          <w:sz w:val="24"/>
          <w:highlight w:val="none"/>
          <w:u w:val="single"/>
        </w:rPr>
        <w:t>日</w:t>
      </w:r>
      <w:r>
        <w:rPr>
          <w:rFonts w:hint="eastAsia" w:cs="宋体" w:asciiTheme="minorEastAsia" w:hAnsiTheme="minorEastAsia" w:eastAsiaTheme="minorEastAsia"/>
          <w:sz w:val="24"/>
          <w:highlight w:val="none"/>
          <w:u w:val="single"/>
          <w:lang w:val="en-US" w:eastAsia="zh-CN"/>
        </w:rPr>
        <w:t>9</w:t>
      </w:r>
      <w:r>
        <w:rPr>
          <w:rFonts w:hint="eastAsia" w:cs="宋体" w:asciiTheme="minorEastAsia" w:hAnsiTheme="minorEastAsia" w:eastAsiaTheme="minorEastAsia"/>
          <w:sz w:val="24"/>
          <w:highlight w:val="none"/>
          <w:u w:val="single"/>
        </w:rPr>
        <w:t>:00（北京时间）前递交投标文件。</w:t>
      </w:r>
    </w:p>
    <w:p w14:paraId="5BD3B2E5">
      <w:pPr>
        <w:spacing w:line="440" w:lineRule="exact"/>
        <w:ind w:firstLine="482"/>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一、项目基本情况</w:t>
      </w:r>
    </w:p>
    <w:p w14:paraId="60063BFD">
      <w:pPr>
        <w:spacing w:line="440" w:lineRule="exact"/>
        <w:ind w:firstLine="480"/>
        <w:rPr>
          <w:rFonts w:hint="eastAsia" w:cs="宋体" w:asciiTheme="minorEastAsia" w:hAnsiTheme="minorEastAsia" w:eastAsiaTheme="minorEastAsia"/>
          <w:sz w:val="24"/>
          <w:highlight w:val="none"/>
          <w:lang w:eastAsia="zh-CN"/>
        </w:rPr>
      </w:pPr>
      <w:bookmarkStart w:id="0" w:name="OLE_LINK4"/>
      <w:r>
        <w:rPr>
          <w:rFonts w:hint="eastAsia" w:cs="宋体" w:asciiTheme="minorEastAsia" w:hAnsiTheme="minorEastAsia" w:eastAsiaTheme="minorEastAsia"/>
          <w:sz w:val="24"/>
          <w:highlight w:val="none"/>
        </w:rPr>
        <w:t>项目名称：</w:t>
      </w:r>
      <w:r>
        <w:rPr>
          <w:rFonts w:hint="eastAsia" w:cs="宋体" w:asciiTheme="minorEastAsia" w:hAnsiTheme="minorEastAsia" w:eastAsiaTheme="minorEastAsia"/>
          <w:sz w:val="24"/>
          <w:highlight w:val="none"/>
          <w:lang w:eastAsia="zh-CN"/>
        </w:rPr>
        <w:t>2026年度盐南高新区大气污染监测溯源服务项目</w:t>
      </w:r>
    </w:p>
    <w:p w14:paraId="26B8CB49">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项目编号：JSZC-320992-RHHH-G2026-0040</w:t>
      </w:r>
    </w:p>
    <w:p w14:paraId="2646A7A5">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项目预算金额：119万元。</w:t>
      </w:r>
    </w:p>
    <w:p w14:paraId="63250BE9">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最高限价：119万元。</w:t>
      </w:r>
      <w:bookmarkEnd w:id="0"/>
    </w:p>
    <w:p w14:paraId="466F8A0D">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采购需求：</w:t>
      </w:r>
      <w:r>
        <w:rPr>
          <w:rFonts w:hint="eastAsia" w:cs="宋体" w:asciiTheme="minorEastAsia" w:hAnsiTheme="minorEastAsia" w:eastAsiaTheme="minorEastAsia"/>
          <w:sz w:val="24"/>
          <w:highlight w:val="none"/>
          <w:lang w:eastAsia="zh-CN"/>
        </w:rPr>
        <w:t>2026年度盐南高新区大气污染监测溯源服务项目</w:t>
      </w:r>
      <w:r>
        <w:rPr>
          <w:rFonts w:hint="eastAsia" w:cs="宋体" w:asciiTheme="minorEastAsia" w:hAnsiTheme="minorEastAsia" w:eastAsiaTheme="minorEastAsia"/>
          <w:sz w:val="24"/>
          <w:highlight w:val="none"/>
        </w:rPr>
        <w:t>等伴随服务，详细内容见本招标文件第四章项目需求。</w:t>
      </w:r>
    </w:p>
    <w:p w14:paraId="6F3115D9">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合同履行期限：一年。服务期满之前完成规定工作内容并通过验收。</w:t>
      </w:r>
    </w:p>
    <w:p w14:paraId="6785AC61">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本项目不接受联合体参与投标。</w:t>
      </w:r>
    </w:p>
    <w:p w14:paraId="5CA1EA5D">
      <w:pPr>
        <w:spacing w:line="440" w:lineRule="exact"/>
        <w:ind w:firstLine="482"/>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二、申请人资格要求</w:t>
      </w:r>
    </w:p>
    <w:p w14:paraId="390C90AD">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（一）满足《中华人民共和国政府采购法》第二十二条规定，并提供下列材料：</w:t>
      </w:r>
    </w:p>
    <w:p w14:paraId="7546A84C">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w:t>
      </w:r>
      <w:bookmarkStart w:id="1" w:name="OLE_LINK12"/>
      <w:bookmarkStart w:id="2" w:name="OLE_LINK13"/>
      <w:r>
        <w:rPr>
          <w:rFonts w:hint="eastAsia" w:cs="宋体" w:asciiTheme="minorEastAsia" w:hAnsiTheme="minorEastAsia" w:eastAsiaTheme="minorEastAsia"/>
          <w:sz w:val="24"/>
          <w:highlight w:val="none"/>
        </w:rPr>
        <w:t>法人或者其他组织的营业执照等证明文件，自然人的身份证明</w:t>
      </w:r>
      <w:bookmarkEnd w:id="1"/>
      <w:bookmarkEnd w:id="2"/>
      <w:r>
        <w:rPr>
          <w:rFonts w:hint="eastAsia" w:cs="宋体" w:asciiTheme="minorEastAsia" w:hAnsiTheme="minorEastAsia" w:eastAsiaTheme="minorEastAsia"/>
          <w:sz w:val="24"/>
          <w:highlight w:val="none"/>
        </w:rPr>
        <w:t>。</w:t>
      </w:r>
    </w:p>
    <w:p w14:paraId="6C9F51E9">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2.上一年度的财务状况报表（成立不满一年无需提供）。</w:t>
      </w:r>
    </w:p>
    <w:p w14:paraId="75C05C72">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w:t>
      </w:r>
      <w:bookmarkStart w:id="3" w:name="OLE_LINK14"/>
      <w:r>
        <w:rPr>
          <w:rFonts w:hint="eastAsia" w:cs="宋体" w:asciiTheme="minorEastAsia" w:hAnsiTheme="minorEastAsia" w:eastAsiaTheme="minorEastAsia"/>
          <w:sz w:val="24"/>
          <w:highlight w:val="none"/>
        </w:rPr>
        <w:t>具备履行合同所必需的设备和专业技术能力的书面声明</w:t>
      </w:r>
      <w:bookmarkEnd w:id="3"/>
      <w:r>
        <w:rPr>
          <w:rFonts w:hint="eastAsia" w:cs="宋体" w:asciiTheme="minorEastAsia" w:hAnsiTheme="minorEastAsia" w:eastAsiaTheme="minorEastAsia"/>
          <w:sz w:val="24"/>
          <w:highlight w:val="none"/>
        </w:rPr>
        <w:t>。</w:t>
      </w:r>
    </w:p>
    <w:p w14:paraId="24870796">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4.依法缴纳税收和社会保障资金的相关材料（提供提交投标文件截止时间前一年内至少一个月依法缴纳税收及缴纳社会保障资金的证明材料。供应商依法享受缓缴、免缴税收、社会保障资金的提供证明材料。）</w:t>
      </w:r>
    </w:p>
    <w:p w14:paraId="537B7ACC">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5.参加政府采购活动前3年内在经营活动中没有重大违法记录的书面声明。</w:t>
      </w:r>
    </w:p>
    <w:p w14:paraId="6FBEA69D">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6.法律、行政法规规定的其他条件。</w:t>
      </w:r>
    </w:p>
    <w:p w14:paraId="7946A780">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730594B5">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8.</w:t>
      </w:r>
      <w:bookmarkStart w:id="4" w:name="OLE_LINK15"/>
      <w:bookmarkStart w:id="5" w:name="OLE_LINK16"/>
      <w:r>
        <w:rPr>
          <w:rFonts w:hint="eastAsia" w:cs="宋体" w:asciiTheme="minorEastAsia" w:hAnsiTheme="minorEastAsia" w:eastAsiaTheme="minorEastAsia"/>
          <w:sz w:val="24"/>
          <w:highlight w:val="none"/>
        </w:rPr>
        <w:t>单位负责人为同一人或者存在直接控股、管理关系的不同供应商，不得参加同一合同项下的政府采购活动</w:t>
      </w:r>
      <w:bookmarkEnd w:id="4"/>
      <w:bookmarkEnd w:id="5"/>
    </w:p>
    <w:p w14:paraId="721C10FB">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二）落实政府采购政策需满足的资格要求：本项目为专门面向中小企业采购的项目,供应商必须为中小微企业，本项目对残疾人福利性单位、监狱和戒毒企业（简称监狱企业）视同小型、微型企业，供应商须提供《残疾人福利性单位声明函》或由省级以上监狱管理局、戒毒管理局（含新疆生产建设兵团）出具的属于监狱企业的证明文件。否则按无效标处理。</w:t>
      </w:r>
    </w:p>
    <w:p w14:paraId="5EF7F47B">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（三）本项目的特定资格要求：无</w:t>
      </w:r>
    </w:p>
    <w:p w14:paraId="7755009B">
      <w:pPr>
        <w:spacing w:line="440" w:lineRule="exact"/>
        <w:ind w:firstLine="482"/>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三、</w:t>
      </w:r>
      <w:r>
        <w:rPr>
          <w:rFonts w:hint="eastAsia" w:cs="宋体" w:asciiTheme="minorEastAsia" w:hAnsiTheme="minorEastAsia" w:eastAsiaTheme="minorEastAsia"/>
          <w:b/>
          <w:sz w:val="24"/>
          <w:highlight w:val="none"/>
        </w:rPr>
        <w:t>获取招标文件</w:t>
      </w:r>
    </w:p>
    <w:p w14:paraId="0E6CEB71">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1.时间：自招标文件公告发布之日起5个工作日。</w:t>
      </w:r>
    </w:p>
    <w:p w14:paraId="129F91A6">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2.地点：“苏采云”系统内免费下载（投标人必须在苏采云系统中获取采购文件，方能参与政府采购项目）；</w:t>
      </w:r>
    </w:p>
    <w:p w14:paraId="5BFF8999">
      <w:pPr>
        <w:spacing w:line="440" w:lineRule="exact"/>
        <w:ind w:firstLine="480"/>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3.方式：本项目采用网上注册登记方式。</w:t>
      </w:r>
    </w:p>
    <w:p w14:paraId="7C51DE13">
      <w:pPr>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4.文件售价：0.00元</w:t>
      </w:r>
    </w:p>
    <w:p w14:paraId="06AF8F5F">
      <w:pPr>
        <w:widowControl/>
        <w:shd w:val="clear" w:color="auto" w:fill="FFFFFF"/>
        <w:spacing w:line="440" w:lineRule="exact"/>
        <w:ind w:firstLine="480"/>
        <w:rPr>
          <w:rFonts w:cs="宋体" w:asciiTheme="minorEastAsia" w:hAnsiTheme="minorEastAsia" w:eastAsiaTheme="minorEastAsia"/>
          <w:bCs/>
          <w:sz w:val="24"/>
          <w:highlight w:val="none"/>
        </w:rPr>
      </w:pPr>
      <w:r>
        <w:rPr>
          <w:rFonts w:hint="eastAsia" w:cs="宋体" w:asciiTheme="minorEastAsia" w:hAnsiTheme="minorEastAsia" w:eastAsiaTheme="minorEastAsia"/>
          <w:b/>
          <w:bCs/>
          <w:sz w:val="24"/>
          <w:highlight w:val="none"/>
        </w:rPr>
        <w:t>四、提交投标文件截止时间、开标时间和地点</w:t>
      </w:r>
    </w:p>
    <w:p w14:paraId="3F982EC8">
      <w:pPr>
        <w:widowControl/>
        <w:shd w:val="clear" w:color="auto" w:fill="FFFFFF"/>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时间：2026年</w:t>
      </w:r>
      <w:r>
        <w:rPr>
          <w:rFonts w:hint="eastAsia" w:cs="宋体" w:asciiTheme="minorEastAsia" w:hAnsiTheme="minorEastAsia" w:eastAsiaTheme="minorEastAsia"/>
          <w:sz w:val="24"/>
          <w:highlight w:val="none"/>
          <w:lang w:val="en-US" w:eastAsia="zh-CN"/>
        </w:rPr>
        <w:t>7</w:t>
      </w:r>
      <w:r>
        <w:rPr>
          <w:rFonts w:hint="eastAsia" w:cs="宋体" w:asciiTheme="minorEastAsia" w:hAnsiTheme="minorEastAsia" w:eastAsiaTheme="minorEastAsia"/>
          <w:sz w:val="24"/>
          <w:highlight w:val="none"/>
        </w:rPr>
        <w:t>月</w:t>
      </w:r>
      <w:r>
        <w:rPr>
          <w:rFonts w:hint="eastAsia" w:cs="宋体" w:asciiTheme="minorEastAsia" w:hAnsiTheme="minorEastAsia" w:eastAsiaTheme="minorEastAsia"/>
          <w:sz w:val="24"/>
          <w:highlight w:val="none"/>
          <w:lang w:val="en-US" w:eastAsia="zh-CN"/>
        </w:rPr>
        <w:t>17</w:t>
      </w:r>
      <w:r>
        <w:rPr>
          <w:rFonts w:hint="eastAsia" w:cs="宋体" w:asciiTheme="minorEastAsia" w:hAnsiTheme="minorEastAsia" w:eastAsiaTheme="minorEastAsia"/>
          <w:sz w:val="24"/>
          <w:highlight w:val="none"/>
        </w:rPr>
        <w:t>日</w:t>
      </w:r>
      <w:r>
        <w:rPr>
          <w:rFonts w:hint="eastAsia" w:cs="宋体" w:asciiTheme="minorEastAsia" w:hAnsiTheme="minorEastAsia" w:eastAsiaTheme="minorEastAsia"/>
          <w:sz w:val="24"/>
          <w:highlight w:val="none"/>
          <w:lang w:val="en-US" w:eastAsia="zh-CN"/>
        </w:rPr>
        <w:t>9</w:t>
      </w:r>
      <w:r>
        <w:rPr>
          <w:rFonts w:hint="eastAsia" w:cs="宋体" w:asciiTheme="minorEastAsia" w:hAnsiTheme="minorEastAsia" w:eastAsiaTheme="minorEastAsia"/>
          <w:sz w:val="24"/>
          <w:highlight w:val="none"/>
        </w:rPr>
        <w:t xml:space="preserve">：00时（北京时间） </w:t>
      </w:r>
    </w:p>
    <w:p w14:paraId="03C20DE3">
      <w:pPr>
        <w:widowControl/>
        <w:shd w:val="clear" w:color="auto" w:fill="FFFFFF"/>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shd w:val="clear" w:color="auto" w:fill="FFFFFF"/>
        </w:rPr>
        <w:t>地点：“苏采云”系统中的“开标大厅”</w:t>
      </w:r>
      <w:r>
        <w:rPr>
          <w:rFonts w:hint="eastAsia" w:cs="宋体" w:asciiTheme="minorEastAsia" w:hAnsiTheme="minorEastAsia" w:eastAsiaTheme="minorEastAsia"/>
          <w:sz w:val="24"/>
          <w:highlight w:val="none"/>
        </w:rPr>
        <w:t>。</w:t>
      </w:r>
    </w:p>
    <w:p w14:paraId="0BEF3B96">
      <w:pPr>
        <w:spacing w:line="440" w:lineRule="exact"/>
        <w:ind w:firstLine="482"/>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五、公告期限</w:t>
      </w:r>
    </w:p>
    <w:p w14:paraId="15B4601E">
      <w:pPr>
        <w:widowControl/>
        <w:shd w:val="clear" w:color="auto" w:fill="FFFFFF"/>
        <w:spacing w:line="440" w:lineRule="exac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自本公告发布之日起5个工作日。</w:t>
      </w:r>
    </w:p>
    <w:p w14:paraId="2E96E154">
      <w:pPr>
        <w:spacing w:line="440" w:lineRule="exact"/>
        <w:ind w:firstLine="482"/>
        <w:rPr>
          <w:rFonts w:cs="宋体" w:asciiTheme="minorEastAsia" w:hAnsiTheme="minorEastAsia" w:eastAsiaTheme="minorEastAsia"/>
          <w:sz w:val="24"/>
          <w:highlight w:val="none"/>
          <w:shd w:val="clear" w:color="auto" w:fill="FFFFFF"/>
        </w:rPr>
      </w:pPr>
      <w:r>
        <w:rPr>
          <w:rFonts w:hint="eastAsia" w:cs="宋体" w:asciiTheme="minorEastAsia" w:hAnsiTheme="minorEastAsia" w:eastAsiaTheme="minorEastAsia"/>
          <w:b/>
          <w:bCs/>
          <w:sz w:val="24"/>
          <w:highlight w:val="none"/>
        </w:rPr>
        <w:t>六、其他补充事宜</w:t>
      </w:r>
    </w:p>
    <w:p w14:paraId="22F6C706">
      <w:pPr>
        <w:spacing w:line="440" w:lineRule="exact"/>
        <w:ind w:firstLine="540"/>
        <w:rPr>
          <w:rFonts w:ascii="宋体" w:hAnsi="宋体" w:cs="宋体"/>
          <w:sz w:val="24"/>
          <w:szCs w:val="20"/>
          <w:highlight w:val="none"/>
        </w:rPr>
      </w:pPr>
      <w:r>
        <w:rPr>
          <w:rFonts w:hint="eastAsia" w:ascii="宋体" w:hAnsi="宋体" w:cs="宋体"/>
          <w:sz w:val="24"/>
          <w:szCs w:val="20"/>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44CCD9A5">
      <w:pPr>
        <w:spacing w:line="440" w:lineRule="exact"/>
        <w:ind w:firstLine="540"/>
        <w:rPr>
          <w:rFonts w:ascii="宋体" w:hAnsi="宋体" w:cs="宋体"/>
          <w:sz w:val="24"/>
          <w:szCs w:val="20"/>
          <w:highlight w:val="none"/>
        </w:rPr>
      </w:pPr>
      <w:r>
        <w:rPr>
          <w:rFonts w:hint="eastAsia" w:ascii="宋体" w:hAnsi="宋体" w:cs="宋体"/>
          <w:sz w:val="24"/>
          <w:szCs w:val="20"/>
          <w:highlight w:val="none"/>
        </w:rPr>
        <w:t>领取CA和办理电子签章（</w:t>
      </w:r>
      <w:r>
        <w:rPr>
          <w:rFonts w:hint="eastAsia" w:ascii="宋体" w:hAnsi="宋体" w:cs="宋体"/>
          <w:sz w:val="24"/>
          <w:highlight w:val="none"/>
        </w:rPr>
        <w:t>请至</w:t>
      </w:r>
      <w:r>
        <w:rPr>
          <w:rFonts w:hint="eastAsia" w:ascii="宋体" w:hAnsi="宋体" w:cs="宋体"/>
          <w:color w:val="FF0000"/>
          <w:sz w:val="24"/>
          <w:highlight w:val="none"/>
        </w:rPr>
        <w:t>盐城市府西路1号盐城市公共资源交易中心四楼大厅10号，11号窗口</w:t>
      </w:r>
      <w:r>
        <w:rPr>
          <w:rFonts w:hint="eastAsia" w:ascii="宋体" w:hAnsi="宋体" w:cs="宋体"/>
          <w:sz w:val="24"/>
          <w:highlight w:val="none"/>
        </w:rPr>
        <w:t>办理</w:t>
      </w:r>
      <w:r>
        <w:rPr>
          <w:rFonts w:hint="eastAsia" w:ascii="宋体" w:hAnsi="宋体" w:cs="宋体"/>
          <w:sz w:val="24"/>
          <w:szCs w:val="20"/>
          <w:highlight w:val="none"/>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2E17A6D">
      <w:pPr>
        <w:spacing w:line="440" w:lineRule="exact"/>
        <w:ind w:firstLine="540"/>
        <w:rPr>
          <w:rFonts w:ascii="宋体" w:hAnsi="宋体" w:cs="宋体"/>
          <w:sz w:val="24"/>
          <w:szCs w:val="20"/>
          <w:highlight w:val="none"/>
        </w:rPr>
      </w:pPr>
      <w:r>
        <w:rPr>
          <w:rFonts w:hint="eastAsia" w:ascii="宋体" w:hAnsi="宋体" w:cs="宋体"/>
          <w:sz w:val="24"/>
          <w:szCs w:val="20"/>
          <w:highlight w:val="none"/>
        </w:rPr>
        <w:t xml:space="preserve">2.潜在供应商访问电子招标响应交易平台的网络地址和方法： </w:t>
      </w:r>
    </w:p>
    <w:p w14:paraId="054A83B5">
      <w:pPr>
        <w:spacing w:line="440" w:lineRule="exact"/>
        <w:ind w:firstLine="540"/>
        <w:rPr>
          <w:rFonts w:ascii="宋体" w:hAnsi="宋体" w:cs="宋体"/>
          <w:sz w:val="24"/>
          <w:szCs w:val="20"/>
          <w:highlight w:val="none"/>
        </w:rPr>
      </w:pPr>
      <w:r>
        <w:rPr>
          <w:rFonts w:hint="eastAsia" w:ascii="宋体" w:hAnsi="宋体" w:cs="宋体"/>
          <w:sz w:val="24"/>
          <w:szCs w:val="20"/>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543E70CF">
      <w:pPr>
        <w:spacing w:line="440" w:lineRule="exact"/>
        <w:ind w:firstLine="540"/>
        <w:rPr>
          <w:rFonts w:ascii="宋体" w:hAnsi="宋体" w:cs="宋体"/>
          <w:sz w:val="24"/>
          <w:szCs w:val="20"/>
          <w:highlight w:val="none"/>
        </w:rPr>
      </w:pPr>
      <w:r>
        <w:rPr>
          <w:rFonts w:hint="eastAsia" w:ascii="宋体" w:hAnsi="宋体" w:cs="宋体"/>
          <w:sz w:val="24"/>
          <w:szCs w:val="20"/>
          <w:highlight w:val="none"/>
        </w:rPr>
        <w:t xml:space="preserve">2.2 潜在投标人访问“苏采云”系统方法：江苏省政府采购网首页-“苏采云”链接。 </w:t>
      </w:r>
    </w:p>
    <w:p w14:paraId="3881E23D">
      <w:pPr>
        <w:spacing w:line="440" w:lineRule="exact"/>
        <w:ind w:firstLine="540"/>
        <w:rPr>
          <w:rFonts w:ascii="宋体" w:hAnsi="宋体" w:cs="宋体"/>
          <w:sz w:val="24"/>
          <w:szCs w:val="20"/>
          <w:highlight w:val="none"/>
        </w:rPr>
      </w:pPr>
      <w:r>
        <w:rPr>
          <w:rFonts w:hint="eastAsia" w:ascii="宋体" w:hAnsi="宋体" w:cs="宋体"/>
          <w:sz w:val="24"/>
          <w:szCs w:val="20"/>
          <w:highlight w:val="none"/>
        </w:rPr>
        <w:t xml:space="preserve">2.3 采购文件（后缀名为“.kedt”）、供应商操作手册及政府采购客户端 工具可通过“苏采云”系统相应链接进行下载。 </w:t>
      </w:r>
    </w:p>
    <w:p w14:paraId="723971E2">
      <w:pPr>
        <w:spacing w:line="440" w:lineRule="exact"/>
        <w:ind w:firstLine="540"/>
        <w:rPr>
          <w:rFonts w:ascii="宋体" w:hAnsi="宋体" w:cs="宋体"/>
          <w:sz w:val="24"/>
          <w:szCs w:val="20"/>
          <w:highlight w:val="none"/>
        </w:rPr>
      </w:pPr>
      <w:r>
        <w:rPr>
          <w:rFonts w:hint="eastAsia" w:ascii="宋体" w:hAnsi="宋体" w:cs="宋体"/>
          <w:sz w:val="24"/>
          <w:szCs w:val="20"/>
          <w:highlight w:val="none"/>
        </w:rPr>
        <w:t xml:space="preserve">2.4 采购代理机构将数据电文形式的采购文件加载至“苏采云”系统，供潜在供应商下载或者查阅。 </w:t>
      </w:r>
    </w:p>
    <w:p w14:paraId="142E95A6">
      <w:pPr>
        <w:spacing w:line="440" w:lineRule="exact"/>
        <w:ind w:firstLine="540"/>
        <w:rPr>
          <w:rFonts w:ascii="宋体" w:hAnsi="宋体" w:cs="宋体"/>
          <w:sz w:val="24"/>
          <w:szCs w:val="20"/>
          <w:highlight w:val="none"/>
        </w:rPr>
      </w:pPr>
      <w:r>
        <w:rPr>
          <w:rFonts w:hint="eastAsia" w:ascii="宋体" w:hAnsi="宋体" w:cs="宋体"/>
          <w:sz w:val="24"/>
          <w:szCs w:val="20"/>
          <w:highlight w:val="none"/>
        </w:rPr>
        <w:t xml:space="preserve">2.5 请潜在投标单位提前安装相应的控件（详见《“苏采云”系统供应商操作手册》）并使用谷歌浏览器登录“苏采云”系统参与不见面开评标。 </w:t>
      </w:r>
    </w:p>
    <w:p w14:paraId="626856D8">
      <w:pPr>
        <w:spacing w:line="440" w:lineRule="exact"/>
        <w:ind w:firstLine="540"/>
        <w:rPr>
          <w:rFonts w:ascii="宋体" w:hAnsi="宋体" w:cs="宋体"/>
          <w:sz w:val="24"/>
          <w:szCs w:val="20"/>
          <w:highlight w:val="none"/>
        </w:rPr>
      </w:pPr>
      <w:r>
        <w:rPr>
          <w:rFonts w:hint="eastAsia" w:ascii="宋体" w:hAnsi="宋体" w:cs="宋体"/>
          <w:sz w:val="24"/>
          <w:szCs w:val="20"/>
          <w:highlight w:val="none"/>
        </w:rPr>
        <w:t>如潜在投标人未按上述要求操作，将自行承担所产生的风险。</w:t>
      </w:r>
    </w:p>
    <w:p w14:paraId="7B59C4F5">
      <w:pPr>
        <w:spacing w:line="440" w:lineRule="exact"/>
        <w:ind w:firstLine="540"/>
        <w:rPr>
          <w:rFonts w:ascii="宋体" w:hAnsi="宋体" w:cs="宋体"/>
          <w:sz w:val="24"/>
          <w:szCs w:val="20"/>
          <w:highlight w:val="none"/>
        </w:rPr>
      </w:pPr>
      <w:r>
        <w:rPr>
          <w:rFonts w:hint="eastAsia" w:ascii="宋体" w:hAnsi="宋体" w:cs="宋体"/>
          <w:sz w:val="24"/>
          <w:szCs w:val="20"/>
          <w:highlight w:val="none"/>
        </w:rPr>
        <w:t>3.有关本次招标的事项若存在变动或修改，敬请及时关注盐城市政府采购中心在“中国政府采购网”“江苏政府采购网”“盐城市政府采购网”发布的更正公告。</w:t>
      </w:r>
    </w:p>
    <w:p w14:paraId="7E266F16">
      <w:pPr>
        <w:pBdr>
          <w:top w:val="none" w:color="000000" w:sz="0" w:space="0"/>
          <w:left w:val="none" w:color="000000" w:sz="0" w:space="0"/>
          <w:bottom w:val="none" w:color="000000" w:sz="0" w:space="0"/>
          <w:right w:val="none" w:color="000000" w:sz="0" w:space="0"/>
        </w:pBdr>
        <w:spacing w:line="440" w:lineRule="exact"/>
        <w:ind w:firstLine="480"/>
        <w:rPr>
          <w:rFonts w:hint="eastAsia" w:ascii="宋体" w:hAnsi="宋体" w:cs="宋体"/>
          <w:sz w:val="24"/>
          <w:szCs w:val="20"/>
          <w:highlight w:val="none"/>
        </w:rPr>
      </w:pPr>
      <w:r>
        <w:rPr>
          <w:rFonts w:hint="eastAsia" w:ascii="宋体" w:hAnsi="宋体" w:cs="宋体"/>
          <w:sz w:val="24"/>
          <w:szCs w:val="20"/>
          <w:highlight w:val="none"/>
        </w:rPr>
        <w:t>4.本次招标不收取投标保证金，不收取质量保证金。</w:t>
      </w:r>
    </w:p>
    <w:p w14:paraId="38635C5A">
      <w:pPr>
        <w:widowControl/>
        <w:spacing w:line="500" w:lineRule="exact"/>
        <w:ind w:firstLine="48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5.监督举报电话信息</w:t>
      </w:r>
    </w:p>
    <w:p w14:paraId="20CCE482">
      <w:pPr>
        <w:widowControl/>
        <w:spacing w:line="500" w:lineRule="exact"/>
        <w:ind w:firstLine="48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联系人：盐南高新区纪检监察工委信访室</w:t>
      </w:r>
    </w:p>
    <w:p w14:paraId="0A900DC3">
      <w:pPr>
        <w:widowControl/>
        <w:spacing w:line="500" w:lineRule="exact"/>
        <w:ind w:firstLine="48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联系方式：0515-66661555</w:t>
      </w:r>
    </w:p>
    <w:p w14:paraId="4CE559D3">
      <w:pPr>
        <w:widowControl/>
        <w:spacing w:line="500" w:lineRule="exact"/>
        <w:ind w:firstLine="48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6.政府采购投诉电话信息</w:t>
      </w:r>
    </w:p>
    <w:p w14:paraId="099A4410">
      <w:pPr>
        <w:widowControl/>
        <w:spacing w:line="500" w:lineRule="exact"/>
        <w:ind w:firstLine="482"/>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联系人：盐南高新区财政金融局政府采购科</w:t>
      </w:r>
    </w:p>
    <w:p w14:paraId="0769A467">
      <w:pPr>
        <w:widowControl/>
        <w:spacing w:line="500" w:lineRule="exact"/>
        <w:ind w:firstLine="482"/>
      </w:pPr>
      <w:r>
        <w:rPr>
          <w:rFonts w:hint="eastAsia" w:ascii="Times New Roman" w:hAnsi="Times New Roman" w:eastAsia="宋体" w:cs="Times New Roman"/>
          <w:color w:val="auto"/>
          <w:sz w:val="24"/>
          <w:szCs w:val="20"/>
          <w:highlight w:val="none"/>
          <w:lang w:val="en-US" w:eastAsia="zh-CN"/>
        </w:rPr>
        <w:t>联系方式：0515-69938599</w:t>
      </w:r>
    </w:p>
    <w:p w14:paraId="4243346C">
      <w:pPr>
        <w:tabs>
          <w:tab w:val="left" w:pos="900"/>
        </w:tabs>
        <w:spacing w:line="440" w:lineRule="exact"/>
        <w:ind w:firstLine="482"/>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七、本次采购联系方式</w:t>
      </w:r>
    </w:p>
    <w:p w14:paraId="64177549">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1.采购人信息</w:t>
      </w:r>
    </w:p>
    <w:p w14:paraId="3FFB9AE5">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名    称：盐城市生态环境局盐南高新区分局</w:t>
      </w:r>
    </w:p>
    <w:p w14:paraId="2F45D021">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地    址：盐南高新区新龙广场 6 号楼</w:t>
      </w:r>
    </w:p>
    <w:p w14:paraId="6353FAA3">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联系人：刘先生</w:t>
      </w:r>
    </w:p>
    <w:p w14:paraId="2FC71689">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联系电话：15161909563</w:t>
      </w:r>
    </w:p>
    <w:p w14:paraId="2377F33E">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2.采购代理机构信息</w:t>
      </w:r>
    </w:p>
    <w:p w14:paraId="7D47A5AA">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单位名称：江苏仁禾中衡工程咨询房地产估价有限公司</w:t>
      </w:r>
    </w:p>
    <w:p w14:paraId="68FBB119">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单位地址：盐城市人民南路国际创投中心南楼4楼3A06室</w:t>
      </w:r>
    </w:p>
    <w:p w14:paraId="5D789376">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 xml:space="preserve">联系人：金先生  </w:t>
      </w:r>
    </w:p>
    <w:p w14:paraId="13F2EE43">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 xml:space="preserve">联系电话：18751447113   </w:t>
      </w:r>
    </w:p>
    <w:p w14:paraId="67ED108D">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3.项目联系方式</w:t>
      </w:r>
    </w:p>
    <w:p w14:paraId="51D9A8F5">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项目联系人：金先生</w:t>
      </w:r>
    </w:p>
    <w:p w14:paraId="62ACAF20">
      <w:pPr>
        <w:pBdr>
          <w:top w:val="none" w:color="000000" w:sz="0" w:space="0"/>
          <w:left w:val="none" w:color="000000" w:sz="0" w:space="0"/>
          <w:bottom w:val="none" w:color="000000" w:sz="0" w:space="0"/>
          <w:right w:val="none" w:color="000000" w:sz="0" w:space="0"/>
        </w:pBdr>
        <w:spacing w:line="439" w:lineRule="atLeast"/>
        <w:ind w:firstLine="480"/>
        <w:rPr>
          <w:rFonts w:ascii="宋体" w:hAnsi="宋体" w:cs="宋体"/>
          <w:sz w:val="24"/>
          <w:highlight w:val="none"/>
        </w:rPr>
      </w:pPr>
      <w:r>
        <w:rPr>
          <w:rFonts w:hint="eastAsia" w:ascii="宋体" w:hAnsi="宋体" w:cs="宋体"/>
          <w:sz w:val="24"/>
          <w:highlight w:val="none"/>
        </w:rPr>
        <w:t>联系电话：18751447113</w:t>
      </w:r>
    </w:p>
    <w:p w14:paraId="5B8220D8">
      <w:pPr>
        <w:spacing w:line="480" w:lineRule="exact"/>
        <w:jc w:val="center"/>
        <w:rPr>
          <w:rFonts w:cs="宋体" w:asciiTheme="minorEastAsia" w:hAnsiTheme="minorEastAsia" w:eastAsiaTheme="minorEastAsia"/>
          <w:b/>
          <w:bCs/>
          <w:sz w:val="32"/>
          <w:szCs w:val="32"/>
          <w:highlight w:val="none"/>
        </w:rPr>
      </w:pPr>
      <w:r>
        <w:rPr>
          <w:rFonts w:cs="宋体" w:asciiTheme="minorEastAsia" w:hAnsiTheme="minorEastAsia" w:eastAsiaTheme="minorEastAsia"/>
          <w:b/>
          <w:bCs/>
          <w:sz w:val="32"/>
          <w:szCs w:val="32"/>
          <w:highlight w:val="none"/>
        </w:rPr>
        <w:br w:type="page" w:clear="all"/>
      </w:r>
      <w:r>
        <w:rPr>
          <w:rFonts w:hint="eastAsia" w:cs="宋体" w:asciiTheme="minorEastAsia" w:hAnsiTheme="minorEastAsia" w:eastAsiaTheme="minorEastAsia"/>
          <w:b/>
          <w:bCs/>
          <w:sz w:val="32"/>
          <w:szCs w:val="32"/>
          <w:highlight w:val="none"/>
        </w:rPr>
        <w:t>第二部分  投标人须知</w:t>
      </w:r>
    </w:p>
    <w:p w14:paraId="7552BE96">
      <w:pPr>
        <w:pStyle w:val="44"/>
        <w:keepNext/>
        <w:keepLines/>
        <w:spacing w:before="145" w:beforeAutospacing="0" w:after="145" w:afterAutospacing="0" w:line="360" w:lineRule="auto"/>
        <w:ind w:firstLine="498"/>
        <w:jc w:val="both"/>
        <w:rPr>
          <w:rFonts w:asciiTheme="minorEastAsia" w:hAnsiTheme="minorEastAsia" w:eastAsiaTheme="minorEastAsia"/>
          <w:highlight w:val="none"/>
        </w:rPr>
      </w:pPr>
      <w:bookmarkStart w:id="6" w:name="_Toc20823275"/>
      <w:bookmarkStart w:id="7" w:name="_Toc120614214"/>
      <w:bookmarkStart w:id="8" w:name="_Toc513029203"/>
      <w:bookmarkStart w:id="9" w:name="_Toc16938519"/>
      <w:r>
        <w:rPr>
          <w:rFonts w:asciiTheme="minorEastAsia" w:hAnsiTheme="minorEastAsia" w:eastAsiaTheme="minorEastAsia"/>
          <w:b/>
          <w:sz w:val="32"/>
          <w:szCs w:val="32"/>
          <w:highlight w:val="none"/>
        </w:rPr>
        <w:t>一、总则</w:t>
      </w:r>
      <w:bookmarkEnd w:id="6"/>
      <w:bookmarkEnd w:id="7"/>
      <w:bookmarkEnd w:id="8"/>
      <w:bookmarkEnd w:id="9"/>
    </w:p>
    <w:p w14:paraId="496ECB76">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10" w:name="_Toc16938520"/>
      <w:bookmarkStart w:id="11" w:name="_Toc513029204"/>
      <w:bookmarkStart w:id="12" w:name="_Toc20823276"/>
      <w:bookmarkStart w:id="13" w:name="_Toc458694821"/>
      <w:r>
        <w:rPr>
          <w:rFonts w:cs="Arial" w:asciiTheme="minorEastAsia" w:hAnsiTheme="minorEastAsia" w:eastAsiaTheme="minorEastAsia"/>
          <w:b/>
          <w:sz w:val="28"/>
          <w:szCs w:val="28"/>
          <w:highlight w:val="none"/>
        </w:rPr>
        <w:t>1</w:t>
      </w:r>
      <w:bookmarkEnd w:id="10"/>
      <w:r>
        <w:rPr>
          <w:rFonts w:cs="Arial" w:asciiTheme="minorEastAsia" w:hAnsiTheme="minorEastAsia" w:eastAsiaTheme="minorEastAsia"/>
          <w:b/>
          <w:sz w:val="28"/>
          <w:szCs w:val="28"/>
          <w:highlight w:val="none"/>
        </w:rPr>
        <w:t>、招标方式</w:t>
      </w:r>
      <w:bookmarkEnd w:id="11"/>
      <w:bookmarkEnd w:id="12"/>
      <w:bookmarkEnd w:id="13"/>
    </w:p>
    <w:p w14:paraId="3EC6C82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1.1本次招标采取公开招标方式，本招标文件仅适用于招标公告中所述项目。</w:t>
      </w:r>
    </w:p>
    <w:p w14:paraId="041F15FD">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14" w:name="_Toc20823277"/>
      <w:bookmarkStart w:id="15" w:name="_Toc16938521"/>
      <w:bookmarkStart w:id="16" w:name="_Toc513029205"/>
      <w:r>
        <w:rPr>
          <w:rFonts w:cs="Arial" w:asciiTheme="minorEastAsia" w:hAnsiTheme="minorEastAsia" w:eastAsiaTheme="minorEastAsia"/>
          <w:b/>
          <w:sz w:val="28"/>
          <w:szCs w:val="28"/>
          <w:highlight w:val="none"/>
        </w:rPr>
        <w:t>2、合格的投标人</w:t>
      </w:r>
      <w:bookmarkEnd w:id="14"/>
      <w:bookmarkEnd w:id="15"/>
      <w:bookmarkEnd w:id="16"/>
    </w:p>
    <w:p w14:paraId="0E17826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2.1满足招标公告中供应商的资格要求的规定。</w:t>
      </w:r>
    </w:p>
    <w:p w14:paraId="25BA11CD">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2.2满足本文件实质性要求和条件的规定。</w:t>
      </w:r>
    </w:p>
    <w:p w14:paraId="366F6E0C">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17" w:name="_Toc16938522"/>
      <w:bookmarkStart w:id="18" w:name="_Toc20823278"/>
      <w:bookmarkStart w:id="19" w:name="_Toc513029206"/>
      <w:r>
        <w:rPr>
          <w:rFonts w:cs="Arial" w:asciiTheme="minorEastAsia" w:hAnsiTheme="minorEastAsia" w:eastAsiaTheme="minorEastAsia"/>
          <w:b/>
          <w:sz w:val="28"/>
          <w:szCs w:val="28"/>
          <w:highlight w:val="none"/>
        </w:rPr>
        <w:t>3、适用法律</w:t>
      </w:r>
      <w:bookmarkEnd w:id="17"/>
      <w:bookmarkEnd w:id="18"/>
      <w:bookmarkEnd w:id="19"/>
    </w:p>
    <w:p w14:paraId="60438463">
      <w:pPr>
        <w:pStyle w:val="44"/>
        <w:spacing w:beforeAutospacing="0" w:afterAutospacing="0" w:line="0" w:lineRule="atLeast"/>
        <w:ind w:firstLine="420"/>
        <w:jc w:val="both"/>
        <w:rPr>
          <w:rFonts w:asciiTheme="minorEastAsia" w:hAnsiTheme="minorEastAsia" w:eastAsiaTheme="minorEastAsia"/>
          <w:highlight w:val="none"/>
        </w:rPr>
      </w:pPr>
      <w:r>
        <w:rPr>
          <w:rFonts w:hint="eastAsia" w:asciiTheme="minorEastAsia" w:hAnsiTheme="minorEastAsia" w:eastAsiaTheme="minorEastAsia"/>
          <w:highlight w:val="none"/>
        </w:rPr>
        <w:t>3.1本次招标及由此产生的合同受中华人民共和国有关的法律法规制约和保护。</w:t>
      </w:r>
    </w:p>
    <w:p w14:paraId="77BD8AA0">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20" w:name="_Toc20823279"/>
      <w:bookmarkStart w:id="21" w:name="_Toc16938523"/>
      <w:bookmarkStart w:id="22" w:name="_Toc513029207"/>
      <w:bookmarkStart w:id="23" w:name="_Toc462564067"/>
      <w:r>
        <w:rPr>
          <w:rFonts w:cs="Arial" w:asciiTheme="minorEastAsia" w:hAnsiTheme="minorEastAsia" w:eastAsiaTheme="minorEastAsia"/>
          <w:b/>
          <w:sz w:val="28"/>
          <w:szCs w:val="28"/>
          <w:highlight w:val="none"/>
        </w:rPr>
        <w:t>4、投标费用</w:t>
      </w:r>
      <w:bookmarkEnd w:id="20"/>
      <w:bookmarkEnd w:id="21"/>
      <w:bookmarkEnd w:id="22"/>
      <w:bookmarkEnd w:id="23"/>
    </w:p>
    <w:p w14:paraId="48427D42">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4.1投标人应自行承担所有与参加投标有关的费用，无论投标过程中的做法和结果如何，</w:t>
      </w:r>
      <w:r>
        <w:rPr>
          <w:rFonts w:hint="eastAsia" w:asciiTheme="minorEastAsia" w:hAnsiTheme="minorEastAsia" w:eastAsiaTheme="minorEastAsia"/>
          <w:szCs w:val="21"/>
          <w:highlight w:val="none"/>
        </w:rPr>
        <w:t>采购人及采购代理机构</w:t>
      </w:r>
      <w:r>
        <w:rPr>
          <w:rFonts w:hint="eastAsia" w:asciiTheme="minorEastAsia" w:hAnsiTheme="minorEastAsia" w:eastAsiaTheme="minorEastAsia"/>
          <w:highlight w:val="none"/>
        </w:rPr>
        <w:t>（以下简称</w:t>
      </w:r>
      <w:r>
        <w:rPr>
          <w:rFonts w:hint="eastAsia" w:asciiTheme="minorEastAsia" w:hAnsiTheme="minorEastAsia" w:eastAsiaTheme="minorEastAsia"/>
          <w:szCs w:val="21"/>
          <w:highlight w:val="none"/>
        </w:rPr>
        <w:t>代理机构</w:t>
      </w:r>
      <w:r>
        <w:rPr>
          <w:rFonts w:hint="eastAsia" w:asciiTheme="minorEastAsia" w:hAnsiTheme="minorEastAsia" w:eastAsiaTheme="minorEastAsia"/>
          <w:highlight w:val="none"/>
        </w:rPr>
        <w:t>）在任何情况下均无义务和责任承担这些费用。</w:t>
      </w:r>
    </w:p>
    <w:p w14:paraId="277A3A0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4.2中标服务费：本次招标代理服务费由中标单位向招标代理机构支付。中标单位须在领取中标通知书时向招标代理机构一次性付清。该费用折算在报价中，不在投标文件中单独列出。招标代理服务费按照苏招协[2022]002号文（服务招标）收费标准的45%收取。</w:t>
      </w:r>
    </w:p>
    <w:p w14:paraId="3D104680">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5、招标文件的约束力</w:t>
      </w:r>
    </w:p>
    <w:p w14:paraId="77756BE3">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5.1投标人一旦参加本项目采购活动，即被认为接受了本招标文件的规定和约束。</w:t>
      </w:r>
    </w:p>
    <w:p w14:paraId="26CB12EE">
      <w:pPr>
        <w:pStyle w:val="44"/>
        <w:keepNext/>
        <w:keepLines/>
        <w:spacing w:before="145" w:beforeAutospacing="0" w:after="145" w:afterAutospacing="0" w:line="360" w:lineRule="auto"/>
        <w:ind w:firstLine="321"/>
        <w:jc w:val="both"/>
        <w:rPr>
          <w:rFonts w:asciiTheme="minorEastAsia" w:hAnsiTheme="minorEastAsia" w:eastAsiaTheme="minorEastAsia"/>
          <w:highlight w:val="none"/>
        </w:rPr>
      </w:pPr>
      <w:bookmarkStart w:id="24" w:name="_Toc120614215"/>
      <w:bookmarkStart w:id="25" w:name="_Toc20823281"/>
      <w:bookmarkStart w:id="26" w:name="_Toc16938525"/>
      <w:bookmarkStart w:id="27" w:name="_Toc513029209"/>
      <w:r>
        <w:rPr>
          <w:rFonts w:asciiTheme="minorEastAsia" w:hAnsiTheme="minorEastAsia" w:eastAsiaTheme="minorEastAsia"/>
          <w:b/>
          <w:sz w:val="32"/>
          <w:szCs w:val="32"/>
          <w:highlight w:val="none"/>
        </w:rPr>
        <w:t>二、招标文件</w:t>
      </w:r>
      <w:bookmarkEnd w:id="24"/>
      <w:bookmarkEnd w:id="25"/>
      <w:bookmarkEnd w:id="26"/>
      <w:bookmarkEnd w:id="27"/>
    </w:p>
    <w:p w14:paraId="3BD75B54">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28" w:name="_Toc513029210"/>
      <w:bookmarkStart w:id="29" w:name="_Toc16938526"/>
      <w:bookmarkStart w:id="30" w:name="_Toc20823282"/>
      <w:r>
        <w:rPr>
          <w:rFonts w:cs="Arial" w:asciiTheme="minorEastAsia" w:hAnsiTheme="minorEastAsia" w:eastAsiaTheme="minorEastAsia"/>
          <w:b/>
          <w:sz w:val="28"/>
          <w:szCs w:val="28"/>
          <w:highlight w:val="none"/>
        </w:rPr>
        <w:t>6、招标文件构成</w:t>
      </w:r>
      <w:bookmarkEnd w:id="28"/>
      <w:bookmarkEnd w:id="29"/>
      <w:bookmarkEnd w:id="30"/>
    </w:p>
    <w:p w14:paraId="4B413898">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6.1 招标文件由以下部分组成：</w:t>
      </w:r>
    </w:p>
    <w:p w14:paraId="2984D22F">
      <w:pPr>
        <w:pStyle w:val="44"/>
        <w:spacing w:beforeAutospacing="0" w:afterAutospacing="0" w:line="0" w:lineRule="atLeast"/>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（1）招标公告</w:t>
      </w:r>
    </w:p>
    <w:p w14:paraId="42E2A099">
      <w:pPr>
        <w:pStyle w:val="44"/>
        <w:spacing w:beforeAutospacing="0" w:afterAutospacing="0" w:line="0" w:lineRule="atLeast"/>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（2）投标人须知</w:t>
      </w:r>
    </w:p>
    <w:p w14:paraId="6899C922">
      <w:pPr>
        <w:pStyle w:val="44"/>
        <w:spacing w:beforeAutospacing="0" w:afterAutospacing="0" w:line="0" w:lineRule="atLeast"/>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（3）合同文本</w:t>
      </w:r>
    </w:p>
    <w:p w14:paraId="243FACD4">
      <w:pPr>
        <w:pStyle w:val="44"/>
        <w:spacing w:beforeAutospacing="0" w:afterAutospacing="0" w:line="0" w:lineRule="atLeast"/>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（4）采购需求</w:t>
      </w:r>
    </w:p>
    <w:p w14:paraId="5E798BC7">
      <w:pPr>
        <w:pStyle w:val="44"/>
        <w:spacing w:beforeAutospacing="0" w:afterAutospacing="0"/>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（5）</w:t>
      </w:r>
      <w:r>
        <w:rPr>
          <w:rFonts w:asciiTheme="minorEastAsia" w:hAnsiTheme="minorEastAsia" w:eastAsiaTheme="minorEastAsia"/>
          <w:highlight w:val="none"/>
        </w:rPr>
        <w:t>评标方法与评标标准</w:t>
      </w:r>
    </w:p>
    <w:p w14:paraId="4CB0B130">
      <w:pPr>
        <w:pStyle w:val="44"/>
        <w:spacing w:beforeAutospacing="0" w:afterAutospacing="0" w:line="0" w:lineRule="atLeast"/>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（6）投标文件格式</w:t>
      </w:r>
    </w:p>
    <w:p w14:paraId="1875A7F2">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请仔细检查招标文件是否齐全，如有缺漏请立即与</w:t>
      </w:r>
      <w:r>
        <w:rPr>
          <w:rFonts w:hint="eastAsia" w:asciiTheme="minorEastAsia" w:hAnsiTheme="minorEastAsia" w:eastAsiaTheme="minorEastAsia"/>
          <w:szCs w:val="21"/>
          <w:highlight w:val="none"/>
        </w:rPr>
        <w:t>采购人或代理机构</w:t>
      </w:r>
      <w:r>
        <w:rPr>
          <w:rFonts w:hint="eastAsia" w:asciiTheme="minorEastAsia" w:hAnsiTheme="minorEastAsia" w:eastAsiaTheme="minorEastAsia"/>
          <w:highlight w:val="none"/>
        </w:rPr>
        <w:t>联系解决。</w:t>
      </w:r>
    </w:p>
    <w:p w14:paraId="3C2D6C9C">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1E02A97">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31" w:name="_Toc513029211"/>
      <w:bookmarkStart w:id="32" w:name="_Toc20823283"/>
      <w:bookmarkStart w:id="33" w:name="_Toc462564070"/>
      <w:bookmarkStart w:id="34" w:name="_Toc16938527"/>
      <w:r>
        <w:rPr>
          <w:rFonts w:cs="Arial" w:asciiTheme="minorEastAsia" w:hAnsiTheme="minorEastAsia" w:eastAsiaTheme="minorEastAsia"/>
          <w:b/>
          <w:sz w:val="28"/>
          <w:szCs w:val="28"/>
          <w:highlight w:val="none"/>
        </w:rPr>
        <w:t>7、招标文件的澄清</w:t>
      </w:r>
      <w:bookmarkEnd w:id="31"/>
      <w:bookmarkEnd w:id="32"/>
      <w:bookmarkEnd w:id="33"/>
      <w:bookmarkEnd w:id="34"/>
    </w:p>
    <w:p w14:paraId="61B5FDAB">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7.1任何要求对招标文件进行澄清的投标人，应在投标截止期</w:t>
      </w:r>
      <w:r>
        <w:rPr>
          <w:rFonts w:cs="仿宋_GB2312" w:asciiTheme="minorEastAsia" w:hAnsiTheme="minorEastAsia" w:eastAsiaTheme="minorEastAsia"/>
          <w:b/>
          <w:highlight w:val="none"/>
        </w:rPr>
        <w:t>十日</w:t>
      </w:r>
      <w:r>
        <w:rPr>
          <w:rFonts w:cs="仿宋_GB2312" w:asciiTheme="minorEastAsia" w:hAnsiTheme="minorEastAsia" w:eastAsiaTheme="minorEastAsia"/>
          <w:highlight w:val="none"/>
        </w:rPr>
        <w:t>前</w:t>
      </w:r>
      <w:r>
        <w:rPr>
          <w:rFonts w:hint="eastAsia" w:asciiTheme="minorEastAsia" w:hAnsiTheme="minorEastAsia" w:eastAsiaTheme="minorEastAsia"/>
          <w:highlight w:val="none"/>
        </w:rPr>
        <w:t>按招标公告中的通讯地址，以书面形式通知</w:t>
      </w:r>
      <w:r>
        <w:rPr>
          <w:rFonts w:hint="eastAsia" w:asciiTheme="minorEastAsia" w:hAnsiTheme="minorEastAsia" w:eastAsiaTheme="minorEastAsia"/>
          <w:szCs w:val="21"/>
          <w:highlight w:val="none"/>
        </w:rPr>
        <w:t>采购人或代理机构</w:t>
      </w:r>
      <w:r>
        <w:rPr>
          <w:rFonts w:hint="eastAsia" w:asciiTheme="minorEastAsia" w:hAnsiTheme="minorEastAsia" w:eastAsiaTheme="minorEastAsia"/>
          <w:highlight w:val="none"/>
        </w:rPr>
        <w:t>。</w:t>
      </w:r>
    </w:p>
    <w:p w14:paraId="20A9DD9F">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35" w:name="_Toc20823284"/>
      <w:bookmarkStart w:id="36" w:name="_Toc16938528"/>
      <w:bookmarkStart w:id="37" w:name="_Toc462564071"/>
      <w:bookmarkStart w:id="38" w:name="_Toc513029212"/>
      <w:r>
        <w:rPr>
          <w:rFonts w:cs="Arial" w:asciiTheme="minorEastAsia" w:hAnsiTheme="minorEastAsia" w:eastAsiaTheme="minorEastAsia"/>
          <w:b/>
          <w:sz w:val="28"/>
          <w:szCs w:val="28"/>
          <w:highlight w:val="none"/>
        </w:rPr>
        <w:t>8、招标文件的修改</w:t>
      </w:r>
      <w:bookmarkEnd w:id="35"/>
      <w:bookmarkEnd w:id="36"/>
      <w:bookmarkEnd w:id="37"/>
      <w:bookmarkEnd w:id="38"/>
    </w:p>
    <w:p w14:paraId="259043A8">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8.1在投标截止时间</w:t>
      </w:r>
      <w:r>
        <w:rPr>
          <w:rFonts w:cs="仿宋_GB2312" w:asciiTheme="minorEastAsia" w:hAnsiTheme="minorEastAsia" w:eastAsiaTheme="minorEastAsia"/>
          <w:highlight w:val="none"/>
        </w:rPr>
        <w:t>前</w:t>
      </w:r>
      <w:r>
        <w:rPr>
          <w:rFonts w:hint="eastAsia" w:asciiTheme="minorEastAsia" w:hAnsiTheme="minorEastAsia" w:eastAsiaTheme="minorEastAsia"/>
          <w:highlight w:val="none"/>
        </w:rPr>
        <w:t>，采购人可以对招标文件进行修改。</w:t>
      </w:r>
    </w:p>
    <w:p w14:paraId="322B6E5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8.2采购人有权按照法定的要求推迟投标截止日期和开标日期。</w:t>
      </w:r>
    </w:p>
    <w:p w14:paraId="35356F19">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8.3招标文件的修改将在“中国政府采购网”、“江苏政府采购网”、“盐城市政府采购网”公布，补充文件将作为招标文件的组成部分，并对投标人具有约束力。</w:t>
      </w:r>
    </w:p>
    <w:p w14:paraId="29E10677">
      <w:pPr>
        <w:pStyle w:val="44"/>
        <w:keepNext/>
        <w:keepLines/>
        <w:spacing w:before="145" w:beforeAutospacing="0" w:after="145" w:afterAutospacing="0" w:line="360" w:lineRule="auto"/>
        <w:ind w:firstLine="482"/>
        <w:jc w:val="both"/>
        <w:rPr>
          <w:rFonts w:asciiTheme="minorEastAsia" w:hAnsiTheme="minorEastAsia" w:eastAsiaTheme="minorEastAsia"/>
          <w:highlight w:val="none"/>
        </w:rPr>
      </w:pPr>
      <w:bookmarkStart w:id="39" w:name="_Toc120614216"/>
      <w:bookmarkStart w:id="40" w:name="_Toc20823285"/>
      <w:bookmarkStart w:id="41" w:name="_Toc16938529"/>
      <w:bookmarkStart w:id="42" w:name="_Toc513029213"/>
      <w:bookmarkStart w:id="43" w:name="_Toc462564072"/>
      <w:r>
        <w:rPr>
          <w:rFonts w:asciiTheme="minorEastAsia" w:hAnsiTheme="minorEastAsia" w:eastAsiaTheme="minorEastAsia"/>
          <w:b/>
          <w:sz w:val="32"/>
          <w:szCs w:val="32"/>
          <w:highlight w:val="none"/>
        </w:rPr>
        <w:t>三、投标文件的编制</w:t>
      </w:r>
      <w:bookmarkEnd w:id="39"/>
      <w:bookmarkEnd w:id="40"/>
      <w:bookmarkEnd w:id="41"/>
      <w:bookmarkEnd w:id="42"/>
      <w:bookmarkEnd w:id="43"/>
    </w:p>
    <w:p w14:paraId="4D30DF54">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44" w:name="_Toc16938530"/>
      <w:bookmarkStart w:id="45" w:name="_Toc513029214"/>
      <w:bookmarkStart w:id="46" w:name="_Toc462564073"/>
      <w:bookmarkStart w:id="47" w:name="_Toc20823286"/>
      <w:r>
        <w:rPr>
          <w:rFonts w:cs="Arial" w:asciiTheme="minorEastAsia" w:hAnsiTheme="minorEastAsia" w:eastAsiaTheme="minorEastAsia"/>
          <w:b/>
          <w:sz w:val="28"/>
          <w:szCs w:val="28"/>
          <w:highlight w:val="none"/>
        </w:rPr>
        <w:t>9、投标文件的语言及度量衡单位</w:t>
      </w:r>
      <w:bookmarkEnd w:id="44"/>
      <w:bookmarkEnd w:id="45"/>
      <w:bookmarkEnd w:id="46"/>
      <w:bookmarkEnd w:id="47"/>
    </w:p>
    <w:p w14:paraId="52B06A3B">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9.1投标人提交的投标文件以及投标人与</w:t>
      </w:r>
      <w:r>
        <w:rPr>
          <w:rFonts w:hint="eastAsia" w:asciiTheme="minorEastAsia" w:hAnsiTheme="minorEastAsia" w:eastAsiaTheme="minorEastAsia"/>
          <w:szCs w:val="21"/>
          <w:highlight w:val="none"/>
        </w:rPr>
        <w:t>采购人（或代理机构）</w:t>
      </w:r>
      <w:r>
        <w:rPr>
          <w:rFonts w:hint="eastAsia" w:asciiTheme="minorEastAsia" w:hAnsiTheme="minorEastAsia" w:eastAsiaTheme="minorEastAsia"/>
          <w:highlight w:val="none"/>
        </w:rPr>
        <w:t>就有关投标的所有来往通知、函件和文件均应使用</w:t>
      </w:r>
      <w:r>
        <w:rPr>
          <w:rFonts w:hint="eastAsia" w:asciiTheme="minorEastAsia" w:hAnsiTheme="minorEastAsia" w:eastAsiaTheme="minorEastAsia"/>
          <w:b/>
          <w:highlight w:val="none"/>
        </w:rPr>
        <w:t>简体中文</w:t>
      </w:r>
      <w:r>
        <w:rPr>
          <w:rFonts w:hint="eastAsia" w:asciiTheme="minorEastAsia" w:hAnsiTheme="minorEastAsia" w:eastAsiaTheme="minorEastAsia"/>
          <w:highlight w:val="none"/>
        </w:rPr>
        <w:t>。</w:t>
      </w:r>
    </w:p>
    <w:p w14:paraId="7EF58AE8">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9.2除技术性能另有规定外，投标文件所使用的度量衡单位，均须采用国家法定计量单位。</w:t>
      </w:r>
    </w:p>
    <w:p w14:paraId="4B943AF7">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48" w:name="_Toc16938531"/>
      <w:bookmarkStart w:id="49" w:name="_Toc20823287"/>
      <w:bookmarkStart w:id="50" w:name="_Toc513029215"/>
      <w:bookmarkStart w:id="51" w:name="_Toc462564074"/>
      <w:r>
        <w:rPr>
          <w:rFonts w:cs="Arial" w:asciiTheme="minorEastAsia" w:hAnsiTheme="minorEastAsia" w:eastAsiaTheme="minorEastAsia"/>
          <w:b/>
          <w:sz w:val="28"/>
          <w:szCs w:val="28"/>
          <w:highlight w:val="none"/>
        </w:rPr>
        <w:t>10、投标文件构成</w:t>
      </w:r>
      <w:bookmarkEnd w:id="48"/>
      <w:bookmarkEnd w:id="49"/>
      <w:bookmarkEnd w:id="50"/>
      <w:bookmarkEnd w:id="51"/>
    </w:p>
    <w:p w14:paraId="1000E963">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10.1投标人编写的投标文件应包括资格证明文件、符合性证明文件、投标分项报价表、技术要求响应及偏离表、商务要求响应及偏离表、其他证明文件、投标函、开标一览表等部分。</w:t>
      </w:r>
    </w:p>
    <w:p w14:paraId="3D7B3CB8">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6B5FF16F">
      <w:pPr>
        <w:pStyle w:val="44"/>
        <w:keepNext/>
        <w:keepLines/>
        <w:spacing w:beforeAutospacing="0" w:afterAutospacing="0"/>
        <w:ind w:firstLine="420"/>
        <w:jc w:val="both"/>
        <w:rPr>
          <w:rFonts w:asciiTheme="minorEastAsia" w:hAnsiTheme="minorEastAsia" w:eastAsiaTheme="minorEastAsia"/>
          <w:highlight w:val="none"/>
        </w:rPr>
      </w:pPr>
      <w:bookmarkStart w:id="52" w:name="_Toc513029219"/>
      <w:bookmarkStart w:id="53" w:name="_Toc49090507"/>
      <w:bookmarkStart w:id="54" w:name="_Toc14577354"/>
      <w:bookmarkStart w:id="55" w:name="_Toc49090509"/>
      <w:bookmarkStart w:id="56" w:name="_Toc513029216"/>
      <w:bookmarkStart w:id="57" w:name="_Toc14577357"/>
      <w:r>
        <w:rPr>
          <w:rFonts w:cs="Arial" w:asciiTheme="minorEastAsia" w:hAnsiTheme="minorEastAsia" w:eastAsiaTheme="minorEastAsia"/>
          <w:b/>
          <w:sz w:val="28"/>
          <w:szCs w:val="28"/>
          <w:highlight w:val="none"/>
        </w:rPr>
        <w:t>11、证明投标人及投标标的符合招标文件规定的文件</w:t>
      </w:r>
      <w:bookmarkEnd w:id="52"/>
      <w:bookmarkEnd w:id="53"/>
      <w:bookmarkEnd w:id="54"/>
      <w:bookmarkEnd w:id="55"/>
      <w:bookmarkEnd w:id="56"/>
      <w:bookmarkEnd w:id="57"/>
      <w:bookmarkStart w:id="58" w:name="_Toc14577355"/>
      <w:bookmarkStart w:id="59" w:name="_Toc49090508"/>
    </w:p>
    <w:p w14:paraId="4F7575F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11.1投标人应按照法律、法规、规章和规范性文件以及招标文件要求提交证明文件，证明其及投标标的符合招标文件规定。</w:t>
      </w:r>
      <w:bookmarkEnd w:id="58"/>
      <w:bookmarkEnd w:id="59"/>
    </w:p>
    <w:p w14:paraId="5F1C8F32">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11.2招标文件对证明文件无明确形式要求的，证明文件可以以文字资料、图纸和数据等形式提交。</w:t>
      </w:r>
    </w:p>
    <w:p w14:paraId="5D595056">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12、投标分项报价表</w:t>
      </w:r>
    </w:p>
    <w:p w14:paraId="7F6F59AF">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12.1投标人应按照招标文件规定格式填报投标分项报价表。</w:t>
      </w:r>
    </w:p>
    <w:p w14:paraId="62A6EE84">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12.2投标货币。投标文件中的单价和总价无特殊规定的采用人民币报价，以元为单位标注。招标文件中另有规定的按规定执行。</w:t>
      </w:r>
    </w:p>
    <w:p w14:paraId="0B8B1884">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13、技术要求响应及偏离表、商务要求响应及偏离表</w:t>
      </w:r>
    </w:p>
    <w:p w14:paraId="070C622F">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13.1投标人需对招标文件中的技术要求与商务要求逐项作出响应或偏离，并说明原因。</w:t>
      </w:r>
    </w:p>
    <w:p w14:paraId="55BD8D84">
      <w:pPr>
        <w:pStyle w:val="44"/>
        <w:tabs>
          <w:tab w:val="left" w:pos="1036"/>
        </w:tabs>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13.2投标人可在投标文件中提供认为需要的其他技术文件或说明。</w:t>
      </w:r>
    </w:p>
    <w:p w14:paraId="5A8B2589">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60" w:name="_Toc49090510"/>
      <w:bookmarkStart w:id="61" w:name="_Toc14577359"/>
      <w:r>
        <w:rPr>
          <w:rFonts w:cs="Arial" w:asciiTheme="minorEastAsia" w:hAnsiTheme="minorEastAsia" w:eastAsiaTheme="minorEastAsia"/>
          <w:b/>
          <w:sz w:val="28"/>
          <w:szCs w:val="28"/>
          <w:highlight w:val="none"/>
        </w:rPr>
        <w:t>14、投标函和开标一览表</w:t>
      </w:r>
      <w:bookmarkEnd w:id="60"/>
      <w:bookmarkEnd w:id="61"/>
    </w:p>
    <w:p w14:paraId="41519FA8">
      <w:pPr>
        <w:spacing w:line="360" w:lineRule="auto"/>
        <w:ind w:firstLine="46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14.1投标人应按照招标文件中提供的格式完整、正确填写投标函、开标一览表。</w:t>
      </w:r>
    </w:p>
    <w:p w14:paraId="4F26B80E">
      <w:pPr>
        <w:spacing w:line="360" w:lineRule="auto"/>
        <w:ind w:firstLine="46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14.2对于采用货币报价的项目，开标一览表中的投标总报价应与投标分项报价表中的投标总报价一致，如不一致，不作为无效投标处理，但评标时按开标一览表中价格为准。</w:t>
      </w:r>
    </w:p>
    <w:p w14:paraId="4987B7A0">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62" w:name="_Toc49090511"/>
      <w:bookmarkStart w:id="63" w:name="_Toc14577360"/>
      <w:r>
        <w:rPr>
          <w:rFonts w:cs="Arial" w:asciiTheme="minorEastAsia" w:hAnsiTheme="minorEastAsia" w:eastAsiaTheme="minorEastAsia"/>
          <w:b/>
          <w:sz w:val="28"/>
          <w:szCs w:val="28"/>
          <w:highlight w:val="none"/>
        </w:rPr>
        <w:t>15、投标有效期</w:t>
      </w:r>
      <w:bookmarkEnd w:id="62"/>
      <w:bookmarkEnd w:id="63"/>
    </w:p>
    <w:p w14:paraId="1C83BEDB">
      <w:pPr>
        <w:spacing w:line="0" w:lineRule="atLeast"/>
        <w:ind w:firstLine="480"/>
        <w:rPr>
          <w:rFonts w:ascii="宋体" w:hAnsi="宋体" w:cs="宋体"/>
          <w:sz w:val="24"/>
          <w:highlight w:val="none"/>
        </w:rPr>
      </w:pPr>
      <w:r>
        <w:rPr>
          <w:rFonts w:hint="eastAsia" w:ascii="宋体" w:hAnsi="宋体" w:cs="宋体"/>
          <w:sz w:val="24"/>
          <w:highlight w:val="none"/>
        </w:rPr>
        <w:t>15.1投标有效期为采购中心规定的开标之日后</w:t>
      </w:r>
      <w:r>
        <w:rPr>
          <w:rFonts w:hint="eastAsia" w:ascii="宋体" w:hAnsi="宋体" w:cs="宋体"/>
          <w:b/>
          <w:sz w:val="24"/>
          <w:highlight w:val="none"/>
          <w:u w:val="single"/>
        </w:rPr>
        <w:t>九十（90）天</w:t>
      </w:r>
      <w:r>
        <w:rPr>
          <w:rFonts w:hint="eastAsia" w:ascii="宋体" w:hAnsi="宋体" w:cs="宋体"/>
          <w:sz w:val="24"/>
          <w:highlight w:val="none"/>
        </w:rPr>
        <w:t>。投标有效期比规定短的将被视为未实质性响应招标文件而予以拒绝。</w:t>
      </w:r>
    </w:p>
    <w:p w14:paraId="0B85AFC9">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16、投标有效期的延长</w:t>
      </w:r>
    </w:p>
    <w:p w14:paraId="002B15F9">
      <w:pPr>
        <w:spacing w:line="0" w:lineRule="atLeast"/>
        <w:ind w:firstLine="480"/>
        <w:rPr>
          <w:rFonts w:ascii="宋体" w:hAnsi="宋体" w:cs="宋体"/>
          <w:sz w:val="24"/>
          <w:highlight w:val="none"/>
        </w:rPr>
      </w:pPr>
      <w:bookmarkStart w:id="64" w:name="_Toc120614217"/>
      <w:bookmarkStart w:id="65" w:name="_Toc513029224"/>
      <w:bookmarkStart w:id="66" w:name="_Toc20823296"/>
      <w:bookmarkStart w:id="67" w:name="_Toc16938540"/>
      <w:r>
        <w:rPr>
          <w:rFonts w:hint="eastAsia" w:ascii="宋体" w:hAnsi="宋体" w:cs="宋体"/>
          <w:sz w:val="24"/>
          <w:highlight w:val="none"/>
        </w:rPr>
        <w:t>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p>
    <w:p w14:paraId="25409EF3">
      <w:pPr>
        <w:pStyle w:val="44"/>
        <w:keepNext/>
        <w:keepLines/>
        <w:spacing w:before="145" w:beforeAutospacing="0" w:after="145" w:afterAutospacing="0" w:line="360" w:lineRule="auto"/>
        <w:ind w:firstLine="482"/>
        <w:jc w:val="both"/>
        <w:rPr>
          <w:rFonts w:asciiTheme="minorEastAsia" w:hAnsiTheme="minorEastAsia" w:eastAsiaTheme="minorEastAsia"/>
          <w:highlight w:val="none"/>
        </w:rPr>
      </w:pPr>
      <w:r>
        <w:rPr>
          <w:rFonts w:asciiTheme="minorEastAsia" w:hAnsiTheme="minorEastAsia" w:eastAsiaTheme="minorEastAsia"/>
          <w:b/>
          <w:sz w:val="32"/>
          <w:szCs w:val="32"/>
          <w:highlight w:val="none"/>
        </w:rPr>
        <w:t>四、投标文件的递交</w:t>
      </w:r>
      <w:bookmarkEnd w:id="64"/>
      <w:bookmarkEnd w:id="65"/>
      <w:bookmarkEnd w:id="66"/>
      <w:bookmarkEnd w:id="67"/>
    </w:p>
    <w:p w14:paraId="7863113A">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68" w:name="_Toc462564084"/>
      <w:bookmarkStart w:id="69" w:name="_Toc16938541"/>
      <w:bookmarkStart w:id="70" w:name="_Toc513029225"/>
      <w:bookmarkStart w:id="71" w:name="_Toc20823297"/>
      <w:r>
        <w:rPr>
          <w:rFonts w:cs="Arial" w:asciiTheme="minorEastAsia" w:hAnsiTheme="minorEastAsia" w:eastAsiaTheme="minorEastAsia"/>
          <w:b/>
          <w:sz w:val="28"/>
          <w:szCs w:val="28"/>
          <w:highlight w:val="none"/>
        </w:rPr>
        <w:t>17、</w:t>
      </w:r>
      <w:r>
        <w:rPr>
          <w:rFonts w:hint="eastAsia" w:cs="Arial" w:asciiTheme="minorEastAsia" w:hAnsiTheme="minorEastAsia" w:eastAsiaTheme="minorEastAsia"/>
          <w:b/>
          <w:sz w:val="28"/>
          <w:szCs w:val="28"/>
          <w:highlight w:val="none"/>
        </w:rPr>
        <w:t>投标文件</w:t>
      </w:r>
      <w:bookmarkEnd w:id="68"/>
      <w:bookmarkEnd w:id="69"/>
      <w:bookmarkEnd w:id="70"/>
      <w:bookmarkEnd w:id="71"/>
      <w:r>
        <w:rPr>
          <w:rFonts w:hint="eastAsia" w:cs="Arial" w:asciiTheme="minorEastAsia" w:hAnsiTheme="minorEastAsia" w:eastAsiaTheme="minorEastAsia"/>
          <w:b/>
          <w:sz w:val="28"/>
          <w:szCs w:val="28"/>
          <w:highlight w:val="none"/>
        </w:rPr>
        <w:t>的递交</w:t>
      </w:r>
    </w:p>
    <w:p w14:paraId="4F83F01D">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17.1 电子投标文件的递交</w:t>
      </w:r>
    </w:p>
    <w:p w14:paraId="24B37EE4">
      <w:pPr>
        <w:pStyle w:val="44"/>
        <w:spacing w:beforeAutospacing="0" w:afterAutospacing="0"/>
        <w:ind w:left="525"/>
        <w:jc w:val="both"/>
        <w:rPr>
          <w:rFonts w:asciiTheme="minorEastAsia" w:hAnsiTheme="minorEastAsia" w:eastAsiaTheme="minorEastAsia"/>
          <w:highlight w:val="none"/>
        </w:rPr>
      </w:pPr>
      <w:r>
        <w:rPr>
          <w:rFonts w:hint="eastAsia" w:asciiTheme="minorEastAsia" w:hAnsiTheme="minorEastAsia" w:eastAsiaTheme="minorEastAsia"/>
          <w:highlight w:val="none"/>
        </w:rPr>
        <w:t>投标人应当按照《操作手册》规定，在投标截止时间前制作并上传电子投标文件。</w:t>
      </w:r>
      <w:bookmarkStart w:id="72" w:name="_Toc16938542"/>
      <w:bookmarkEnd w:id="72"/>
      <w:bookmarkStart w:id="73" w:name="_Toc20823298"/>
      <w:bookmarkEnd w:id="73"/>
    </w:p>
    <w:p w14:paraId="4F2C0620">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18、投标截止时间</w:t>
      </w:r>
    </w:p>
    <w:p w14:paraId="0B118EED">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i/>
          <w:highlight w:val="none"/>
          <w:u w:val="single"/>
        </w:rPr>
        <w:t>18.1投标人上传电子投标文件的时间不得迟于招标公告中规定的投标截止时间。</w:t>
      </w:r>
    </w:p>
    <w:p w14:paraId="31B4E76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投标人应充分考虑到网络环境、网络带宽等风险因素，如因投标人自身原因造成的电子投标文件上传不成功的按照本招标文件第二章第26.1.2条 规定做无效投标处理。</w:t>
      </w:r>
    </w:p>
    <w:p w14:paraId="157D9C4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18.2采购人可以按照规定，通过修改招标文件酌情延长投标截止时间，在此情况下，投标人的所有权利和义务以及投标人受制的截止时间均应以延长后新的截止时间为准。</w:t>
      </w:r>
    </w:p>
    <w:p w14:paraId="3956806B">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74" w:name="_Toc16938543"/>
      <w:bookmarkStart w:id="75" w:name="_Toc20823299"/>
      <w:bookmarkStart w:id="76" w:name="_Toc513029227"/>
      <w:r>
        <w:rPr>
          <w:rFonts w:cs="Arial" w:asciiTheme="minorEastAsia" w:hAnsiTheme="minorEastAsia" w:eastAsiaTheme="minorEastAsia"/>
          <w:b/>
          <w:sz w:val="28"/>
          <w:szCs w:val="28"/>
          <w:highlight w:val="none"/>
        </w:rPr>
        <w:t>19、投标文件</w:t>
      </w:r>
      <w:bookmarkEnd w:id="74"/>
      <w:bookmarkEnd w:id="75"/>
      <w:bookmarkEnd w:id="76"/>
      <w:r>
        <w:rPr>
          <w:rFonts w:cs="Arial" w:asciiTheme="minorEastAsia" w:hAnsiTheme="minorEastAsia" w:eastAsiaTheme="minorEastAsia"/>
          <w:b/>
          <w:sz w:val="28"/>
          <w:szCs w:val="28"/>
          <w:highlight w:val="none"/>
        </w:rPr>
        <w:t>的拒收</w:t>
      </w:r>
    </w:p>
    <w:p w14:paraId="680172AB">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19.1采购人拒绝接收在其规定的投标截止时间后上传的任何投标文件。</w:t>
      </w:r>
    </w:p>
    <w:p w14:paraId="57C4F1AE">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77" w:name="_Toc513029228"/>
      <w:bookmarkStart w:id="78" w:name="_Toc16938544"/>
      <w:bookmarkStart w:id="79" w:name="_Toc20823300"/>
      <w:r>
        <w:rPr>
          <w:rFonts w:cs="Arial" w:asciiTheme="minorEastAsia" w:hAnsiTheme="minorEastAsia" w:eastAsiaTheme="minorEastAsia"/>
          <w:b/>
          <w:sz w:val="28"/>
          <w:szCs w:val="28"/>
          <w:highlight w:val="none"/>
        </w:rPr>
        <w:t>20、投标文件的撤回和修改</w:t>
      </w:r>
      <w:bookmarkEnd w:id="77"/>
      <w:bookmarkEnd w:id="78"/>
      <w:bookmarkEnd w:id="79"/>
    </w:p>
    <w:p w14:paraId="0C30099F">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20.1投标文件的撤回</w:t>
      </w:r>
    </w:p>
    <w:p w14:paraId="344F4505">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21.1.1电子投标文件的撤回</w:t>
      </w:r>
    </w:p>
    <w:p w14:paraId="4077785D">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投标人可在投标截止时间前，撤回其电子投标文件，具体操作方法见《操作手册》。</w:t>
      </w:r>
    </w:p>
    <w:p w14:paraId="47DB76E5">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21.1.2投标人撤回电子投标文件，则认为其不再参与本项目投标活动。</w:t>
      </w:r>
    </w:p>
    <w:p w14:paraId="3E695A1C">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20.2 投标文件的修改</w:t>
      </w:r>
    </w:p>
    <w:p w14:paraId="5EF12B5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20.2.1投标人可在投标截止时间前，对其电子投标文件进行修改，具体操作方法见《操作手册》。</w:t>
      </w:r>
    </w:p>
    <w:p w14:paraId="1EDE2E18">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20.2.2在投标截止时间之后，投标人不得对其电子投标文件作任何修改。</w:t>
      </w:r>
    </w:p>
    <w:p w14:paraId="79B4B9C9">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20.3在投标截止时间至招标文件中规定的投标有效期满之间的这段时间内，投标人不得撤回其投标。</w:t>
      </w:r>
    </w:p>
    <w:p w14:paraId="499C6B54">
      <w:pPr>
        <w:pStyle w:val="44"/>
        <w:keepNext/>
        <w:keepLines/>
        <w:spacing w:before="145" w:beforeAutospacing="0" w:after="145" w:afterAutospacing="0" w:line="360" w:lineRule="auto"/>
        <w:ind w:firstLine="482"/>
        <w:jc w:val="both"/>
        <w:rPr>
          <w:rFonts w:asciiTheme="minorEastAsia" w:hAnsiTheme="minorEastAsia" w:eastAsiaTheme="minorEastAsia"/>
          <w:highlight w:val="none"/>
        </w:rPr>
      </w:pPr>
      <w:bookmarkStart w:id="80" w:name="_Toc513029229"/>
      <w:bookmarkStart w:id="81" w:name="_Toc20823301"/>
      <w:bookmarkStart w:id="82" w:name="_Toc16938545"/>
      <w:bookmarkStart w:id="83" w:name="_Toc120614218"/>
      <w:r>
        <w:rPr>
          <w:rFonts w:asciiTheme="minorEastAsia" w:hAnsiTheme="minorEastAsia" w:eastAsiaTheme="minorEastAsia"/>
          <w:b/>
          <w:sz w:val="32"/>
          <w:szCs w:val="32"/>
          <w:highlight w:val="none"/>
        </w:rPr>
        <w:t>五、开标与评标</w:t>
      </w:r>
      <w:bookmarkEnd w:id="80"/>
      <w:bookmarkEnd w:id="81"/>
      <w:bookmarkEnd w:id="82"/>
      <w:bookmarkEnd w:id="83"/>
    </w:p>
    <w:p w14:paraId="64340C07">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84" w:name="_Toc20823302"/>
      <w:bookmarkStart w:id="85" w:name="_Toc513029230"/>
      <w:bookmarkStart w:id="86" w:name="_Toc16938546"/>
      <w:r>
        <w:rPr>
          <w:rFonts w:cs="Arial" w:asciiTheme="minorEastAsia" w:hAnsiTheme="minorEastAsia" w:eastAsiaTheme="minorEastAsia"/>
          <w:b/>
          <w:sz w:val="28"/>
          <w:szCs w:val="28"/>
          <w:highlight w:val="none"/>
        </w:rPr>
        <w:t>21、开标</w:t>
      </w:r>
      <w:bookmarkEnd w:id="84"/>
      <w:bookmarkEnd w:id="85"/>
      <w:bookmarkEnd w:id="86"/>
    </w:p>
    <w:p w14:paraId="2141FDDC">
      <w:pPr>
        <w:pStyle w:val="44"/>
        <w:spacing w:beforeAutospacing="0" w:afterAutospacing="0"/>
        <w:ind w:firstLine="360"/>
        <w:jc w:val="both"/>
        <w:rPr>
          <w:rFonts w:asciiTheme="minorEastAsia" w:hAnsiTheme="minorEastAsia" w:eastAsiaTheme="minorEastAsia"/>
          <w:highlight w:val="none"/>
        </w:rPr>
      </w:pPr>
      <w:r>
        <w:rPr>
          <w:rFonts w:hint="eastAsia" w:asciiTheme="minorEastAsia" w:hAnsiTheme="minorEastAsia" w:eastAsiaTheme="minorEastAsia"/>
          <w:highlight w:val="none"/>
        </w:rPr>
        <w:t>21.1采购人将在招标公告中规定的时间和地点组织公开开标。投标人应当按照《操作手册》规定，参加开标活动和在苏采云系统规定的时间内对投标文件进行解密。</w:t>
      </w:r>
    </w:p>
    <w:p w14:paraId="6EA0F041">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21.2开标仪式由采购人或代理机构组织。苏采云系统将自动对项目进行开标，并宣布各投标人名称和投标价格。</w:t>
      </w:r>
    </w:p>
    <w:p w14:paraId="08F07705">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21.3投标人在开标过程中涉及到的投标文件解密、开标结果确认等工作，应按照《操作手册》规定执行。</w:t>
      </w:r>
    </w:p>
    <w:p w14:paraId="5471E4C4">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21.4投标人如果对开标过程和开标记录有疑义，应当根据《操作手册》规定提出，如苏采云系统中《开标记录表》宣布后5分钟内未提出的，视同认可开标结果。</w:t>
      </w:r>
    </w:p>
    <w:p w14:paraId="4EB76A56">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87" w:name="_Toc20823303"/>
      <w:bookmarkStart w:id="88" w:name="_Toc513029231"/>
      <w:bookmarkStart w:id="89" w:name="_Toc16938547"/>
      <w:r>
        <w:rPr>
          <w:rFonts w:cs="Arial" w:asciiTheme="minorEastAsia" w:hAnsiTheme="minorEastAsia" w:eastAsiaTheme="minorEastAsia"/>
          <w:b/>
          <w:sz w:val="28"/>
          <w:szCs w:val="28"/>
          <w:highlight w:val="none"/>
        </w:rPr>
        <w:t>22、评标委员会</w:t>
      </w:r>
      <w:bookmarkEnd w:id="87"/>
      <w:bookmarkEnd w:id="88"/>
      <w:bookmarkEnd w:id="89"/>
    </w:p>
    <w:p w14:paraId="713D10F2">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22.1开标后，采购人将立即组织评标委员会（以下简称评委会）进行评标。</w:t>
      </w:r>
    </w:p>
    <w:p w14:paraId="6988B02F">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22.2评委会由采购人代表和有关技术、经济等方面的专家组成，且人员构成符合政府采购有关规定。</w:t>
      </w:r>
    </w:p>
    <w:p w14:paraId="476D6EF3">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22.3评委会独立工作，负责评审所有投标文件并确定中标侯选人。</w:t>
      </w:r>
    </w:p>
    <w:p w14:paraId="13690CF0">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23、评标过程的保密与公正</w:t>
      </w:r>
    </w:p>
    <w:p w14:paraId="4317AE7D">
      <w:pPr>
        <w:keepNext/>
        <w:keepLines/>
        <w:ind w:firstLine="420"/>
        <w:rPr>
          <w:rFonts w:ascii="宋体" w:hAnsi="宋体" w:cs="宋体"/>
          <w:sz w:val="24"/>
          <w:highlight w:val="none"/>
        </w:rPr>
      </w:pPr>
      <w:bookmarkStart w:id="90" w:name="_Toc16938548"/>
      <w:bookmarkStart w:id="91" w:name="_Toc20823304"/>
      <w:bookmarkStart w:id="92" w:name="_Toc513029232"/>
      <w:r>
        <w:rPr>
          <w:rFonts w:hint="eastAsia" w:ascii="宋体" w:hAnsi="宋体" w:cs="宋体"/>
          <w:sz w:val="24"/>
          <w:highlight w:val="none"/>
        </w:rPr>
        <w:t>23、评标过程的保密与公正</w:t>
      </w:r>
    </w:p>
    <w:p w14:paraId="0223ABBC">
      <w:pPr>
        <w:spacing w:line="0" w:lineRule="atLeast"/>
        <w:ind w:firstLine="480"/>
        <w:rPr>
          <w:rFonts w:ascii="宋体" w:hAnsi="宋体" w:cs="宋体"/>
          <w:sz w:val="24"/>
          <w:highlight w:val="none"/>
        </w:rPr>
      </w:pPr>
      <w:r>
        <w:rPr>
          <w:rFonts w:hint="eastAsia" w:ascii="宋体" w:hAnsi="宋体" w:cs="宋体"/>
          <w:sz w:val="24"/>
          <w:highlight w:val="none"/>
        </w:rPr>
        <w:t>23.1凡是与审查、澄清、评价和比较投标的有关资料以及授标建议等，采购人、评委、采购中心均不得向投标人或与评标无关的其他人员透露。</w:t>
      </w:r>
    </w:p>
    <w:p w14:paraId="13CDD2FE">
      <w:pPr>
        <w:spacing w:line="0" w:lineRule="atLeast"/>
        <w:ind w:firstLine="480"/>
        <w:rPr>
          <w:rFonts w:ascii="宋体" w:hAnsi="宋体" w:cs="宋体"/>
          <w:sz w:val="24"/>
          <w:highlight w:val="none"/>
        </w:rPr>
      </w:pPr>
      <w:r>
        <w:rPr>
          <w:rFonts w:hint="eastAsia" w:ascii="宋体" w:hAnsi="宋体" w:cs="宋体"/>
          <w:sz w:val="24"/>
          <w:highlight w:val="none"/>
        </w:rPr>
        <w:t>23.2在评标过程中，投标人不得以任何行为影响评标过程，否则其投标文件将被作为无效投标文件。</w:t>
      </w:r>
    </w:p>
    <w:p w14:paraId="21214734">
      <w:pPr>
        <w:spacing w:line="0" w:lineRule="atLeast"/>
        <w:ind w:firstLine="480"/>
        <w:rPr>
          <w:rFonts w:ascii="宋体" w:hAnsi="宋体" w:cs="宋体"/>
          <w:sz w:val="24"/>
          <w:highlight w:val="none"/>
        </w:rPr>
      </w:pPr>
      <w:r>
        <w:rPr>
          <w:rFonts w:hint="eastAsia" w:ascii="宋体" w:hAnsi="宋体" w:cs="宋体"/>
          <w:sz w:val="24"/>
          <w:highlight w:val="none"/>
        </w:rPr>
        <w:t>23.3采购中心和评标委员会不向未中标的投标人解释未中标原因，也不公布评标过程中的相关细节。</w:t>
      </w:r>
    </w:p>
    <w:p w14:paraId="2BA73B9B">
      <w:pPr>
        <w:pStyle w:val="44"/>
        <w:keepNext/>
        <w:keepLines/>
        <w:spacing w:beforeAutospacing="0" w:afterAutospacing="0"/>
        <w:ind w:firstLine="420"/>
        <w:jc w:val="both"/>
        <w:rPr>
          <w:highlight w:val="none"/>
        </w:rPr>
      </w:pPr>
      <w:r>
        <w:rPr>
          <w:rFonts w:hint="eastAsia"/>
          <w:highlight w:val="none"/>
        </w:rPr>
        <w:t>23.4采用综合评分法的项目，未中标的投标人可于中标结果公告期限届满之日起通过苏采云系统查看自己的评审得分及排序情况。</w:t>
      </w:r>
    </w:p>
    <w:p w14:paraId="2411D4FF">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cs="Arial" w:asciiTheme="minorEastAsia" w:hAnsiTheme="minorEastAsia" w:eastAsiaTheme="minorEastAsia"/>
          <w:b/>
          <w:sz w:val="28"/>
          <w:szCs w:val="28"/>
          <w:highlight w:val="none"/>
        </w:rPr>
        <w:t>24、投标文件的澄清</w:t>
      </w:r>
      <w:bookmarkEnd w:id="90"/>
      <w:bookmarkEnd w:id="91"/>
      <w:bookmarkEnd w:id="92"/>
    </w:p>
    <w:p w14:paraId="6871F7DF">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24.1评标期间，评委会对投标文件中含义不明确、同类问题表述不一致或者有明显文字和计算错误的内容 ，有权要求投标人作出必要的澄清、说明或者补正。</w:t>
      </w:r>
    </w:p>
    <w:p w14:paraId="2C164387">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投标人的澄清、说明或者补正不得超出投标文件的范围或者改变投标文件的实质性内容。</w:t>
      </w:r>
    </w:p>
    <w:p w14:paraId="37359AE1">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评标委员会并非对每个投标人都做澄清要求。</w:t>
      </w:r>
    </w:p>
    <w:p w14:paraId="4CF7CDD7">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DB06F12">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24.3接到评委会澄清、说明和补正要求的投标人如未按规定做出澄清、说明和补正，其风险由投标人自行承担。</w:t>
      </w:r>
    </w:p>
    <w:p w14:paraId="349D9257">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93" w:name="_Toc513029233"/>
      <w:bookmarkStart w:id="94" w:name="_Toc16938549"/>
      <w:bookmarkStart w:id="95" w:name="_Toc20823305"/>
      <w:r>
        <w:rPr>
          <w:rFonts w:cs="Arial" w:asciiTheme="minorEastAsia" w:hAnsiTheme="minorEastAsia" w:eastAsiaTheme="minorEastAsia"/>
          <w:b/>
          <w:sz w:val="28"/>
          <w:szCs w:val="28"/>
          <w:highlight w:val="none"/>
        </w:rPr>
        <w:t>25、对投标文件的初审</w:t>
      </w:r>
      <w:bookmarkEnd w:id="93"/>
      <w:bookmarkEnd w:id="94"/>
      <w:bookmarkEnd w:id="95"/>
    </w:p>
    <w:p w14:paraId="2CB2E1FD">
      <w:pPr>
        <w:spacing w:line="0" w:lineRule="atLeast"/>
        <w:ind w:firstLine="480"/>
        <w:rPr>
          <w:rFonts w:cs="宋体" w:asciiTheme="minorEastAsia" w:hAnsiTheme="minorEastAsia" w:eastAsiaTheme="minorEastAsia"/>
          <w:sz w:val="24"/>
          <w:highlight w:val="none"/>
        </w:rPr>
      </w:pPr>
      <w:bookmarkStart w:id="96" w:name="_Toc120614219"/>
      <w:r>
        <w:rPr>
          <w:rFonts w:hint="eastAsia" w:cs="宋体" w:asciiTheme="minorEastAsia" w:hAnsiTheme="minorEastAsia" w:eastAsiaTheme="minorEastAsia"/>
          <w:sz w:val="24"/>
          <w:highlight w:val="none"/>
        </w:rPr>
        <w:t>25.1投标文件初审分为资格审查和符合性审查。</w:t>
      </w:r>
    </w:p>
    <w:p w14:paraId="0290B974">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25.1.1资格审查：依据法律法规和招标文件的规定，由采购人对投标文件中的资格证明文件进行审查。资格审查的结论，采购人以书面形式向评委会进行反馈。</w:t>
      </w:r>
    </w:p>
    <w:p w14:paraId="6F9C3DC9">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采购人在进行资格性审查的同时，将在“信用中国”网站（www.creditchina.gov.cn）查询投标人的信用记录，以确定投标人是否具备投标资格,查询结果留存并归档。</w:t>
      </w:r>
    </w:p>
    <w:p w14:paraId="30923CE8">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09AE700F">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25.1.2符合性审查：依据招标文件的规定，由评委会从投标文件的有效性、完整性和对招标文件的响应程度进行审查，以确定是否对招标文件的实质性要求作出响应。</w:t>
      </w:r>
    </w:p>
    <w:p w14:paraId="55900AB6">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25.1.3未通过资格审查或符合性审查的投标人，采购中心将在苏采云系统中告知未通过资格审查或符合性审查的原因，评标结束后，采购中心将不再告知未通过资格审查和符合性审查的原因。</w:t>
      </w:r>
    </w:p>
    <w:p w14:paraId="05D24FBE">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7064163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46CE171">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25.3如果投标文件实质上没有响应招标文件的要求，评委会将予以拒绝，投标人不得通过修改或撤销不合要求的偏离或保留而使其投标成为实质性响应的投标。</w:t>
      </w:r>
    </w:p>
    <w:p w14:paraId="04E61C69">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25.4评委会将对确定为实质性响应的投标进行进一步审核，确定其是否有计算上或累加上的算术错误，修正错误的原则如下：</w:t>
      </w:r>
    </w:p>
    <w:p w14:paraId="14B6F4B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（1）投标文件中开标一览表内容与投标文件中相应内容不一致的，以开标一览表为准。</w:t>
      </w:r>
    </w:p>
    <w:p w14:paraId="78BD3C9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（2）大写金额和小写金额不一致的，以大写金额为准。</w:t>
      </w:r>
    </w:p>
    <w:p w14:paraId="7608ACFF">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（3）单价金额小数点或者百分比有明显错位的，以开标一览表的总价为准，并修改单价。</w:t>
      </w:r>
    </w:p>
    <w:p w14:paraId="5FF19059">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（4）总价金额与按单价汇总金额不一致的，以单价金额计算结果为准。</w:t>
      </w:r>
    </w:p>
    <w:p w14:paraId="391C9592">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同时出现两种以上错误的，按照前款规定的顺序修正。</w:t>
      </w:r>
    </w:p>
    <w:p w14:paraId="18D84D73">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53ADD60B">
      <w:pPr>
        <w:spacing w:line="0" w:lineRule="atLeast"/>
        <w:ind w:firstLine="420"/>
        <w:rPr>
          <w:rFonts w:cs="宋体" w:asciiTheme="minorEastAsia" w:hAnsiTheme="minorEastAsia" w:eastAsiaTheme="minorEastAsia"/>
          <w:sz w:val="24"/>
          <w:highlight w:val="none"/>
        </w:rPr>
      </w:pPr>
      <w:bookmarkStart w:id="97" w:name="_Toc513029234"/>
      <w:bookmarkStart w:id="98" w:name="_Toc20823306"/>
      <w:bookmarkStart w:id="99" w:name="_Toc16938550"/>
      <w:r>
        <w:rPr>
          <w:rFonts w:hint="eastAsia" w:cs="宋体" w:asciiTheme="minorEastAsia" w:hAnsiTheme="minorEastAsia" w:eastAsiaTheme="minorEastAsia"/>
          <w:sz w:val="24"/>
          <w:highlight w:val="none"/>
        </w:rPr>
        <w:t>25.6投标人在开、评标全过程中应保持通讯畅通，及时登录苏采云系统查阅、答复相关信息，并安排专人与采购中心及评标委员会联系。</w:t>
      </w:r>
      <w:bookmarkEnd w:id="97"/>
      <w:bookmarkEnd w:id="98"/>
      <w:bookmarkEnd w:id="99"/>
    </w:p>
    <w:p w14:paraId="610B9407">
      <w:pPr>
        <w:keepNext/>
        <w:keepLines/>
        <w:ind w:firstLine="42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26、无效投标条款和废标条款</w:t>
      </w:r>
    </w:p>
    <w:p w14:paraId="7A8CA1D2">
      <w:pPr>
        <w:spacing w:line="0" w:lineRule="atLeast"/>
        <w:ind w:left="479"/>
        <w:rPr>
          <w:rFonts w:cs="宋体" w:asciiTheme="minorEastAsia" w:hAnsiTheme="minorEastAsia" w:eastAsiaTheme="minorEastAsia"/>
          <w:sz w:val="24"/>
          <w:highlight w:val="none"/>
        </w:rPr>
      </w:pPr>
      <w:bookmarkStart w:id="100" w:name="_Toc16938551"/>
      <w:bookmarkStart w:id="101" w:name="_Toc20823307"/>
      <w:bookmarkStart w:id="102" w:name="_Toc513029235"/>
      <w:r>
        <w:rPr>
          <w:rFonts w:hint="eastAsia" w:cs="宋体" w:asciiTheme="minorEastAsia" w:hAnsiTheme="minorEastAsia" w:eastAsiaTheme="minorEastAsia"/>
          <w:sz w:val="24"/>
          <w:highlight w:val="none"/>
        </w:rPr>
        <w:t>26.1无效投标条款</w:t>
      </w:r>
      <w:bookmarkEnd w:id="100"/>
      <w:bookmarkEnd w:id="101"/>
      <w:bookmarkEnd w:id="102"/>
    </w:p>
    <w:p w14:paraId="7EC822B8">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26.1.1投标人在苏采云系统规定的时间内未成功解密电子投标文件的。</w:t>
      </w:r>
    </w:p>
    <w:p w14:paraId="763D507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26.1.2投标人未按照招标文件要求上传电子投标文件的。</w:t>
      </w:r>
    </w:p>
    <w:p w14:paraId="1966FA31">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26.1.3同一投标人提交两个（含两个）以上不同的投标报价的。</w:t>
      </w:r>
    </w:p>
    <w:p w14:paraId="1C1BB210">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26.1.4投标人不具备招标文件中规定资格要求的。</w:t>
      </w:r>
    </w:p>
    <w:p w14:paraId="05CC73B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26.1.5投标人的报价超过了采购预算或最高限价的。</w:t>
      </w:r>
    </w:p>
    <w:p w14:paraId="02E622AC">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26.1.6未通过符合性审查的。</w:t>
      </w:r>
    </w:p>
    <w:p w14:paraId="63DB300B">
      <w:pPr>
        <w:spacing w:line="0" w:lineRule="atLeast"/>
        <w:ind w:firstLine="36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26.1.7不符合招标文件中规定的实质性要求和条件的（本招标文件中斜体且有下划线部分为实质性要求和条件）。</w:t>
      </w:r>
    </w:p>
    <w:p w14:paraId="0BF7F6A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C713272">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26.1.9投标文件含有采购人不能接受的附加条件的。</w:t>
      </w:r>
    </w:p>
    <w:p w14:paraId="52DBA787">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26.1.10投标人不能证明其报价合理性的，评标委员会应当将其作为无效投标处理。</w:t>
      </w:r>
    </w:p>
    <w:p w14:paraId="6F27A046">
      <w:pPr>
        <w:spacing w:line="0" w:lineRule="atLeast"/>
        <w:ind w:firstLine="480"/>
        <w:rPr>
          <w:rFonts w:ascii="宋体" w:hAnsi="宋体" w:cs="宋体"/>
          <w:b/>
          <w:bCs/>
          <w:color w:val="FF0000"/>
          <w:sz w:val="24"/>
          <w:highlight w:val="none"/>
        </w:rPr>
      </w:pPr>
      <w:r>
        <w:rPr>
          <w:rFonts w:hint="eastAsia" w:ascii="宋体" w:hAnsi="宋体" w:cs="宋体"/>
          <w:b/>
          <w:bCs/>
          <w:color w:val="FF0000"/>
          <w:sz w:val="24"/>
          <w:highlight w:val="none"/>
        </w:rPr>
        <w:t>（一）评审过程中出现下列情形之一的，评标委员会应当启动异常低价投标审查程序：</w:t>
      </w:r>
    </w:p>
    <w:p w14:paraId="029D404A">
      <w:pPr>
        <w:spacing w:line="0" w:lineRule="atLeast"/>
        <w:ind w:firstLine="480"/>
        <w:rPr>
          <w:rFonts w:ascii="宋体" w:hAnsi="宋体" w:cs="宋体"/>
          <w:b/>
          <w:bCs/>
          <w:color w:val="FF0000"/>
          <w:sz w:val="24"/>
          <w:highlight w:val="none"/>
        </w:rPr>
      </w:pPr>
      <w:r>
        <w:rPr>
          <w:rFonts w:hint="eastAsia" w:ascii="宋体" w:hAnsi="宋体" w:cs="宋体"/>
          <w:b/>
          <w:bCs/>
          <w:color w:val="FF0000"/>
          <w:sz w:val="24"/>
          <w:highlight w:val="none"/>
        </w:rPr>
        <w:t>1.投标（响应）报价低于全部通过符合性审查供应商投标（响应）报价平均值50%的，即投标（响应）报价&lt;全部通过符合性审查供应商投标（响应）报价平均值×50%；</w:t>
      </w:r>
    </w:p>
    <w:p w14:paraId="191012DE">
      <w:pPr>
        <w:spacing w:line="0" w:lineRule="atLeast"/>
        <w:ind w:firstLine="480"/>
        <w:rPr>
          <w:rFonts w:ascii="宋体" w:hAnsi="宋体" w:cs="宋体"/>
          <w:b/>
          <w:bCs/>
          <w:color w:val="FF0000"/>
          <w:sz w:val="24"/>
          <w:highlight w:val="none"/>
        </w:rPr>
      </w:pPr>
      <w:r>
        <w:rPr>
          <w:rFonts w:hint="eastAsia" w:ascii="宋体" w:hAnsi="宋体" w:cs="宋体"/>
          <w:b/>
          <w:bCs/>
          <w:color w:val="FF0000"/>
          <w:sz w:val="24"/>
          <w:highlight w:val="none"/>
        </w:rPr>
        <w:t>2.投标（响应）报价低于通过符合性审查的次低报价供应商投标（响应）报价50%的，即投标（响应）报价&lt;通过符合性审查的次低报价供应商投标（响应）报价×50%；</w:t>
      </w:r>
    </w:p>
    <w:p w14:paraId="08E26264">
      <w:pPr>
        <w:spacing w:line="0" w:lineRule="atLeast"/>
        <w:ind w:firstLine="480"/>
        <w:rPr>
          <w:rFonts w:ascii="宋体" w:hAnsi="宋体" w:cs="宋体"/>
          <w:b/>
          <w:bCs/>
          <w:color w:val="FF0000"/>
          <w:sz w:val="24"/>
          <w:highlight w:val="none"/>
        </w:rPr>
      </w:pPr>
      <w:r>
        <w:rPr>
          <w:rFonts w:hint="eastAsia" w:ascii="宋体" w:hAnsi="宋体" w:cs="宋体"/>
          <w:b/>
          <w:bCs/>
          <w:color w:val="FF0000"/>
          <w:sz w:val="24"/>
          <w:highlight w:val="none"/>
        </w:rPr>
        <w:t>3.投标（响应）报价低于采购项目最高限价45%的，即投标（响应）报价&lt;采购项目最高限价×45%；</w:t>
      </w:r>
    </w:p>
    <w:p w14:paraId="6B93ED46">
      <w:pPr>
        <w:spacing w:line="0" w:lineRule="atLeast"/>
        <w:ind w:firstLine="480"/>
        <w:rPr>
          <w:rFonts w:ascii="宋体" w:hAnsi="宋体" w:cs="宋体"/>
          <w:b/>
          <w:bCs/>
          <w:color w:val="FF0000"/>
          <w:sz w:val="24"/>
          <w:highlight w:val="none"/>
        </w:rPr>
      </w:pPr>
      <w:r>
        <w:rPr>
          <w:rFonts w:hint="eastAsia" w:ascii="宋体" w:hAnsi="宋体" w:cs="宋体"/>
          <w:b/>
          <w:bCs/>
          <w:color w:val="FF0000"/>
          <w:sz w:val="24"/>
          <w:highlight w:val="none"/>
        </w:rPr>
        <w:t>4.评审委员会基于专业判断，认为供应商报价过低，有可能影响产品质量或者不能诚信履约的其他情形。</w:t>
      </w:r>
    </w:p>
    <w:p w14:paraId="6E14DBF3">
      <w:pPr>
        <w:spacing w:line="0" w:lineRule="atLeast"/>
        <w:ind w:firstLine="480"/>
        <w:rPr>
          <w:rFonts w:ascii="宋体" w:hAnsi="宋体" w:cs="宋体"/>
          <w:b/>
          <w:bCs/>
          <w:color w:val="FF0000"/>
          <w:sz w:val="24"/>
          <w:highlight w:val="none"/>
        </w:rPr>
      </w:pPr>
      <w:r>
        <w:rPr>
          <w:rFonts w:hint="eastAsia" w:ascii="宋体" w:hAnsi="宋体" w:cs="宋体"/>
          <w:b/>
          <w:bCs/>
          <w:color w:val="FF0000"/>
          <w:sz w:val="24"/>
          <w:highlight w:val="none"/>
        </w:rPr>
        <w:t>相关法律法规对供应商报价有规定的，从其规定。</w:t>
      </w:r>
    </w:p>
    <w:p w14:paraId="209516AE">
      <w:pPr>
        <w:spacing w:line="0" w:lineRule="atLeast"/>
        <w:ind w:firstLine="480"/>
        <w:rPr>
          <w:rFonts w:ascii="宋体" w:hAnsi="宋体" w:cs="宋体"/>
          <w:b/>
          <w:bCs/>
          <w:color w:val="FF0000"/>
          <w:sz w:val="24"/>
          <w:highlight w:val="none"/>
        </w:rPr>
      </w:pPr>
      <w:r>
        <w:rPr>
          <w:rFonts w:hint="eastAsia" w:ascii="宋体" w:hAnsi="宋体" w:cs="宋体"/>
          <w:b/>
          <w:bCs/>
          <w:color w:val="FF0000"/>
          <w:sz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spacing w:line="0" w:lineRule="atLeast"/>
        <w:ind w:firstLine="480"/>
        <w:rPr>
          <w:rFonts w:ascii="宋体" w:hAnsi="宋体" w:cs="宋体"/>
          <w:b/>
          <w:bCs/>
          <w:color w:val="FF0000"/>
          <w:sz w:val="24"/>
          <w:highlight w:val="none"/>
        </w:rPr>
      </w:pPr>
      <w:r>
        <w:rPr>
          <w:rFonts w:hint="eastAsia" w:ascii="宋体" w:hAnsi="宋体" w:cs="宋体"/>
          <w:b/>
          <w:bCs/>
          <w:color w:val="FF0000"/>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spacing w:line="0" w:lineRule="atLeast"/>
        <w:ind w:firstLine="480"/>
        <w:rPr>
          <w:rFonts w:ascii="宋体" w:hAnsi="宋体" w:cs="宋体"/>
          <w:b/>
          <w:bCs/>
          <w:color w:val="FF0000"/>
          <w:sz w:val="24"/>
          <w:highlight w:val="none"/>
        </w:rPr>
      </w:pPr>
      <w:r>
        <w:rPr>
          <w:rFonts w:hint="eastAsia" w:ascii="宋体" w:hAnsi="宋体" w:cs="宋体"/>
          <w:b/>
          <w:bCs/>
          <w:color w:val="FF0000"/>
          <w:sz w:val="24"/>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09E22EE">
      <w:pPr>
        <w:spacing w:line="0" w:lineRule="atLeast"/>
        <w:ind w:firstLine="480"/>
        <w:rPr>
          <w:rFonts w:cs="宋体" w:asciiTheme="minorEastAsia" w:hAnsiTheme="minorEastAsia" w:eastAsiaTheme="minorEastAsia"/>
          <w:sz w:val="24"/>
          <w:highlight w:val="none"/>
        </w:rPr>
      </w:pPr>
      <w:r>
        <w:rPr>
          <w:rFonts w:hint="eastAsia" w:ascii="宋体" w:hAnsi="宋体" w:cs="宋体"/>
          <w:b/>
          <w:bCs/>
          <w:color w:val="FF0000"/>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7F3F492F">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26.1.11投标文件未按照招标文件要求加盖CA电子公章的。</w:t>
      </w:r>
    </w:p>
    <w:p w14:paraId="2072C604">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26.1.12其他法律、法规及本招标文件规定的属无效投标的情形。</w:t>
      </w:r>
    </w:p>
    <w:p w14:paraId="2038C1C5">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26.2废标条款</w:t>
      </w:r>
    </w:p>
    <w:p w14:paraId="7CD5352E">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26.2.1符合专业条件的供应商或者对招标文件作实质响应的供应商不足三家的。</w:t>
      </w:r>
    </w:p>
    <w:p w14:paraId="3B5DD437">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26.2.2出现影响采购公正的违法、违规行为的。</w:t>
      </w:r>
    </w:p>
    <w:p w14:paraId="03101840">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26.2.3因重大变故，采购任务取消的。</w:t>
      </w:r>
    </w:p>
    <w:p w14:paraId="6F22E154">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26.2.4评标委员会认定招标文件存在歧义、重大缺陷导致评审工作无法进行。</w:t>
      </w:r>
    </w:p>
    <w:p w14:paraId="3135CE67">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26.2.5因苏采云系统系统故障原因造成开标不成功的。</w:t>
      </w:r>
    </w:p>
    <w:p w14:paraId="4DC25A25">
      <w:pPr>
        <w:spacing w:line="0" w:lineRule="atLeast"/>
        <w:ind w:left="479"/>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26.3 投标截止时间结束后参加投标的供应商不足三家的处理：</w:t>
      </w:r>
    </w:p>
    <w:p w14:paraId="5962F3D8">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26.3.1如出现投标截止时间结束后参加投标的供应商或者在评标期间对招标文件做出实质响应的供应商不足三家情况，按政府采购相关规定执行。</w:t>
      </w:r>
    </w:p>
    <w:p w14:paraId="01F099CA">
      <w:pPr>
        <w:pStyle w:val="44"/>
        <w:keepNext/>
        <w:keepLines/>
        <w:spacing w:before="145" w:beforeAutospacing="0" w:after="145" w:afterAutospacing="0" w:line="360" w:lineRule="auto"/>
        <w:ind w:firstLine="482"/>
        <w:jc w:val="both"/>
        <w:rPr>
          <w:rFonts w:asciiTheme="minorEastAsia" w:hAnsiTheme="minorEastAsia" w:eastAsiaTheme="minorEastAsia"/>
          <w:highlight w:val="none"/>
        </w:rPr>
      </w:pPr>
      <w:r>
        <w:rPr>
          <w:rFonts w:asciiTheme="minorEastAsia" w:hAnsiTheme="minorEastAsia" w:eastAsiaTheme="minorEastAsia"/>
          <w:b/>
          <w:sz w:val="32"/>
          <w:szCs w:val="32"/>
          <w:highlight w:val="none"/>
        </w:rPr>
        <w:t>六、定标</w:t>
      </w:r>
      <w:bookmarkEnd w:id="96"/>
    </w:p>
    <w:p w14:paraId="3F3A83D7">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103" w:name="_Toc20823310"/>
      <w:bookmarkStart w:id="104" w:name="_Toc16938554"/>
      <w:bookmarkStart w:id="105" w:name="_Toc513029238"/>
      <w:r>
        <w:rPr>
          <w:rFonts w:hint="eastAsia" w:cs="Arial" w:asciiTheme="minorEastAsia" w:hAnsiTheme="minorEastAsia" w:eastAsiaTheme="minorEastAsia"/>
          <w:b/>
          <w:sz w:val="28"/>
          <w:szCs w:val="28"/>
          <w:highlight w:val="none"/>
        </w:rPr>
        <w:t>27、</w:t>
      </w:r>
      <w:bookmarkEnd w:id="103"/>
      <w:r>
        <w:rPr>
          <w:rFonts w:hint="eastAsia" w:cs="Arial" w:asciiTheme="minorEastAsia" w:hAnsiTheme="minorEastAsia" w:eastAsiaTheme="minorEastAsia"/>
          <w:b/>
          <w:sz w:val="28"/>
          <w:szCs w:val="28"/>
          <w:highlight w:val="none"/>
        </w:rPr>
        <w:t>确定</w:t>
      </w:r>
      <w:bookmarkEnd w:id="104"/>
      <w:bookmarkEnd w:id="105"/>
      <w:r>
        <w:rPr>
          <w:rFonts w:hint="eastAsia" w:cs="Arial" w:asciiTheme="minorEastAsia" w:hAnsiTheme="minorEastAsia" w:eastAsiaTheme="minorEastAsia"/>
          <w:b/>
          <w:sz w:val="28"/>
          <w:szCs w:val="28"/>
          <w:highlight w:val="none"/>
        </w:rPr>
        <w:t>中标单位</w:t>
      </w:r>
    </w:p>
    <w:p w14:paraId="2192CD70">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 xml:space="preserve">27.1中标候选人的选取原则和数量见招标文件第五章规定。 </w:t>
      </w:r>
    </w:p>
    <w:p w14:paraId="0C0150D7">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27.2采购人应根据评委会推荐的中标候选人确定中标人。</w:t>
      </w:r>
    </w:p>
    <w:p w14:paraId="38081E65">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27.3采购人将在“中国政府采购网”、“江苏政府采购网”、“盐城市政府采购网”发布中标公告，公告期限为1个工作日。</w:t>
      </w:r>
    </w:p>
    <w:p w14:paraId="6AD3DFCB">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27.4若有充分证据证明，中标人出现下列情况之一的，一经查实，将被取消中标资格：</w:t>
      </w:r>
    </w:p>
    <w:p w14:paraId="45B6DA9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27.4.1提供虚假材料谋取中标的。</w:t>
      </w:r>
    </w:p>
    <w:p w14:paraId="51F43E6D">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27.4.2向采购人、代理机构行贿或者提供其他不正当利益的。</w:t>
      </w:r>
    </w:p>
    <w:p w14:paraId="1204B68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27.4.3属于本文件规定的无效条件，但在评标过程中又未被评委会发现的。</w:t>
      </w:r>
    </w:p>
    <w:p w14:paraId="7612FA97">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27.4.4与采购人或者其他供应商恶意串通的。</w:t>
      </w:r>
    </w:p>
    <w:p w14:paraId="13334DA8">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27.4.5采取不正当手段诋毁、排挤其他供应商的。</w:t>
      </w:r>
    </w:p>
    <w:p w14:paraId="4283E6D2">
      <w:pPr>
        <w:pStyle w:val="44"/>
        <w:spacing w:beforeAutospacing="0" w:afterAutospacing="0" w:line="0" w:lineRule="atLeast"/>
        <w:ind w:firstLine="480"/>
        <w:jc w:val="both"/>
        <w:rPr>
          <w:rFonts w:asciiTheme="minorEastAsia" w:hAnsiTheme="minorEastAsia" w:eastAsiaTheme="minorEastAsia"/>
          <w:highlight w:val="none"/>
        </w:rPr>
      </w:pPr>
      <w:bookmarkStart w:id="106" w:name="_Toc200451960"/>
      <w:r>
        <w:rPr>
          <w:rFonts w:hint="eastAsia" w:asciiTheme="minorEastAsia" w:hAnsiTheme="minorEastAsia" w:eastAsiaTheme="minorEastAsia"/>
          <w:highlight w:val="none"/>
        </w:rPr>
        <w:t xml:space="preserve">27.5 </w:t>
      </w:r>
      <w:r>
        <w:rPr>
          <w:rFonts w:asciiTheme="minorEastAsia" w:hAnsiTheme="minorEastAsia" w:eastAsiaTheme="minorEastAsia"/>
          <w:highlight w:val="none"/>
        </w:rPr>
        <w:t>有下列情形之一的，视为投标人串通投标，投标无效：</w:t>
      </w:r>
      <w:bookmarkEnd w:id="106"/>
    </w:p>
    <w:p w14:paraId="327C6B1B">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27.5.1不同投标人的投标文件由同一单位或者个人编制。</w:t>
      </w:r>
    </w:p>
    <w:p w14:paraId="2D3BA2E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27.5.2不同投标人委托同一单位或者个人办理投标事宜。</w:t>
      </w:r>
    </w:p>
    <w:p w14:paraId="1716B4E9">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27.5.3不同投标人的投标文件载明的项目管理成员或者联系人员为同一人。</w:t>
      </w:r>
    </w:p>
    <w:p w14:paraId="5D93AC64">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27.5.4不同投标人的投标文件异常一致或者投标报价呈规律性差异。</w:t>
      </w:r>
    </w:p>
    <w:p w14:paraId="105593EB">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28、质疑处理</w:t>
      </w:r>
    </w:p>
    <w:p w14:paraId="7935D6D8">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28.1提出质疑的供应商应当是参与所质疑项目采购活动的供应商。潜在供应商依法获取其可质疑的采购文件的，可以对采购文件提出质疑。</w:t>
      </w:r>
    </w:p>
    <w:p w14:paraId="324D6B7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28.2供应商认为采购文件、采购过程和采购结果使自己的权益受到损害的，可以在知道或应知其权益受到损害之日起七个工作日内，以书面形式向</w:t>
      </w:r>
      <w:r>
        <w:rPr>
          <w:rFonts w:hint="eastAsia" w:asciiTheme="minorEastAsia" w:hAnsiTheme="minorEastAsia" w:eastAsiaTheme="minorEastAsia"/>
          <w:szCs w:val="21"/>
          <w:highlight w:val="none"/>
        </w:rPr>
        <w:t>采购人或代理机构</w:t>
      </w:r>
      <w:r>
        <w:rPr>
          <w:rFonts w:hint="eastAsia" w:asciiTheme="minorEastAsia" w:hAnsiTheme="minorEastAsia" w:eastAsiaTheme="minorEastAsia"/>
          <w:highlight w:val="none"/>
        </w:rPr>
        <w:t>提出质疑。上述应知其权益受到损害之日，是指：</w:t>
      </w:r>
    </w:p>
    <w:p w14:paraId="4DBF29A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28.2.1</w:t>
      </w:r>
      <w:r>
        <w:rPr>
          <w:rFonts w:asciiTheme="minorEastAsia" w:hAnsiTheme="minorEastAsia" w:eastAsiaTheme="minorEastAsia"/>
          <w:highlight w:val="none"/>
        </w:rPr>
        <w:t>对可以质疑的采购文件提出质疑的，为收到采购文件之日或者采购文件公告期限届满之日；</w:t>
      </w:r>
    </w:p>
    <w:p w14:paraId="49DD5529">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28.2.2</w:t>
      </w:r>
      <w:r>
        <w:rPr>
          <w:rFonts w:asciiTheme="minorEastAsia" w:hAnsiTheme="minorEastAsia" w:eastAsiaTheme="minorEastAsia"/>
          <w:highlight w:val="none"/>
        </w:rPr>
        <w:t>对采购过程提出质疑的，为各采购程序环节结束之日；</w:t>
      </w:r>
    </w:p>
    <w:p w14:paraId="1E164C99">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28.2.3</w:t>
      </w:r>
      <w:r>
        <w:rPr>
          <w:rFonts w:asciiTheme="minorEastAsia" w:hAnsiTheme="minorEastAsia" w:eastAsiaTheme="minorEastAsia"/>
          <w:highlight w:val="none"/>
        </w:rPr>
        <w:t>对中标或者成交结果提出质疑的，为中标或者成交结果公告期限届满之日。</w:t>
      </w:r>
    </w:p>
    <w:p w14:paraId="1CF2F32A">
      <w:pPr>
        <w:pStyle w:val="44"/>
        <w:spacing w:beforeAutospacing="0" w:afterAutospacing="0" w:line="0" w:lineRule="atLeast"/>
        <w:ind w:firstLine="480"/>
        <w:jc w:val="both"/>
        <w:rPr>
          <w:rFonts w:asciiTheme="minorEastAsia" w:hAnsiTheme="minorEastAsia" w:eastAsiaTheme="minorEastAsia"/>
          <w:highlight w:val="none"/>
        </w:rPr>
      </w:pPr>
      <w:r>
        <w:rPr>
          <w:rFonts w:asciiTheme="minorEastAsia" w:hAnsiTheme="minorEastAsia" w:eastAsiaTheme="minorEastAsia"/>
          <w:highlight w:val="none"/>
        </w:rPr>
        <w:t>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szCs w:val="21"/>
          <w:highlight w:val="none"/>
        </w:rPr>
        <w:t>采购人、代理机构</w:t>
      </w:r>
      <w:r>
        <w:rPr>
          <w:rFonts w:asciiTheme="minorEastAsia" w:hAnsiTheme="minorEastAsia" w:eastAsiaTheme="minorEastAsia"/>
          <w:highlight w:val="none"/>
        </w:rPr>
        <w:t>将只对供应商第一次质疑作出答复。</w:t>
      </w:r>
    </w:p>
    <w:p w14:paraId="2AD7EA0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0AFF568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 以下情形的质疑不予受理</w:t>
      </w:r>
    </w:p>
    <w:p w14:paraId="08B56380">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28.4.1内容不符合《政府采购质疑和投诉办法》第十二条规定的质疑。</w:t>
      </w:r>
    </w:p>
    <w:p w14:paraId="505CF7E5">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28.4.2超出政府采购法定期限的质疑。</w:t>
      </w:r>
    </w:p>
    <w:p w14:paraId="5CEA8662">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28.4.3以传真、电子邮件等方式递交的非原件形式的质疑。</w:t>
      </w:r>
    </w:p>
    <w:p w14:paraId="5D48DC6E">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28.4.4未参加投标活动的供应商或在投标活动中自身权益未受到损害的供应商所提出的质疑。</w:t>
      </w:r>
    </w:p>
    <w:p w14:paraId="330E4F36">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28.4.5供应商组成联合体参加投标，联合体中任何一方或多方未按要求签字、盖章、加盖公章的质疑。</w:t>
      </w:r>
    </w:p>
    <w:p w14:paraId="7EED97DE">
      <w:pPr>
        <w:pStyle w:val="44"/>
        <w:keepNext/>
        <w:keepLines/>
        <w:spacing w:beforeAutospacing="0" w:afterAutospacing="0"/>
        <w:ind w:firstLine="600"/>
        <w:jc w:val="both"/>
        <w:rPr>
          <w:rFonts w:asciiTheme="minorEastAsia" w:hAnsiTheme="minorEastAsia" w:eastAsiaTheme="minorEastAsia"/>
          <w:highlight w:val="none"/>
        </w:rPr>
      </w:pPr>
      <w:r>
        <w:rPr>
          <w:rFonts w:hint="eastAsia" w:asciiTheme="minorEastAsia" w:hAnsiTheme="minorEastAsia" w:eastAsiaTheme="minorEastAsia"/>
          <w:highlight w:val="none"/>
        </w:rPr>
        <w:t>28.5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D646E71">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29、中标通知书</w:t>
      </w:r>
    </w:p>
    <w:p w14:paraId="7024B494">
      <w:pPr>
        <w:pStyle w:val="44"/>
        <w:spacing w:beforeAutospacing="0" w:afterAutospacing="0" w:line="0" w:lineRule="atLeast"/>
        <w:ind w:firstLine="480"/>
        <w:jc w:val="both"/>
        <w:rPr>
          <w:rFonts w:asciiTheme="minorEastAsia" w:hAnsiTheme="minorEastAsia" w:eastAsiaTheme="minorEastAsia"/>
          <w:highlight w:val="none"/>
        </w:rPr>
      </w:pPr>
      <w:r>
        <w:rPr>
          <w:rFonts w:hint="eastAsia" w:asciiTheme="minorEastAsia" w:hAnsiTheme="minorEastAsia" w:eastAsiaTheme="minorEastAsia"/>
          <w:highlight w:val="none"/>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69501AD">
      <w:pPr>
        <w:pStyle w:val="44"/>
        <w:spacing w:beforeAutospacing="0" w:afterAutospacing="0" w:line="0" w:lineRule="atLeast"/>
        <w:ind w:firstLine="600"/>
        <w:jc w:val="both"/>
        <w:rPr>
          <w:rFonts w:asciiTheme="minorEastAsia" w:hAnsiTheme="minorEastAsia" w:eastAsiaTheme="minorEastAsia"/>
          <w:highlight w:val="none"/>
        </w:rPr>
      </w:pPr>
      <w:r>
        <w:rPr>
          <w:rFonts w:hint="eastAsia" w:asciiTheme="minorEastAsia" w:hAnsiTheme="minorEastAsia" w:eastAsiaTheme="minorEastAsia"/>
          <w:highlight w:val="none"/>
        </w:rPr>
        <w:t>29.2中标通知书将是合同的一个组成部分。对采购人和中标人均具有法律效力。中标通知书发出后，采购人改变中标结果的，或者中标人放弃中标项目的，应当依法承担法律责任。</w:t>
      </w:r>
    </w:p>
    <w:p w14:paraId="71062EDC">
      <w:pPr>
        <w:pStyle w:val="44"/>
        <w:keepNext/>
        <w:keepLines/>
        <w:spacing w:before="145" w:beforeAutospacing="0" w:after="145" w:afterAutospacing="0" w:line="360" w:lineRule="auto"/>
        <w:jc w:val="both"/>
        <w:rPr>
          <w:rFonts w:asciiTheme="minorEastAsia" w:hAnsiTheme="minorEastAsia" w:eastAsiaTheme="minorEastAsia"/>
          <w:highlight w:val="none"/>
        </w:rPr>
      </w:pPr>
      <w:bookmarkStart w:id="107" w:name="_Toc513029236"/>
      <w:bookmarkStart w:id="108" w:name="_Toc16938552"/>
      <w:bookmarkStart w:id="109" w:name="_Toc120614220"/>
      <w:bookmarkStart w:id="110" w:name="_Toc20823308"/>
      <w:r>
        <w:rPr>
          <w:rFonts w:asciiTheme="minorEastAsia" w:hAnsiTheme="minorEastAsia" w:eastAsiaTheme="minorEastAsia"/>
          <w:b/>
          <w:sz w:val="32"/>
          <w:szCs w:val="32"/>
          <w:highlight w:val="none"/>
        </w:rPr>
        <w:t>七、授予合同</w:t>
      </w:r>
      <w:bookmarkEnd w:id="107"/>
      <w:bookmarkEnd w:id="108"/>
      <w:bookmarkEnd w:id="109"/>
      <w:bookmarkEnd w:id="110"/>
    </w:p>
    <w:p w14:paraId="16461E36">
      <w:pPr>
        <w:pStyle w:val="44"/>
        <w:keepNext/>
        <w:keepLines/>
        <w:spacing w:beforeAutospacing="0" w:afterAutospacing="0"/>
        <w:ind w:firstLine="420"/>
        <w:jc w:val="both"/>
        <w:rPr>
          <w:rFonts w:cs="Arial" w:asciiTheme="minorEastAsia" w:hAnsiTheme="minorEastAsia" w:eastAsiaTheme="minorEastAsia"/>
          <w:b/>
          <w:sz w:val="28"/>
          <w:szCs w:val="28"/>
          <w:highlight w:val="none"/>
        </w:rPr>
      </w:pPr>
      <w:bookmarkStart w:id="111" w:name="_Toc20823309"/>
      <w:bookmarkStart w:id="112" w:name="_Toc16938553"/>
      <w:bookmarkStart w:id="113" w:name="_Toc513029237"/>
      <w:r>
        <w:rPr>
          <w:rFonts w:hint="eastAsia" w:cs="Arial" w:asciiTheme="minorEastAsia" w:hAnsiTheme="minorEastAsia" w:eastAsiaTheme="minorEastAsia"/>
          <w:b/>
          <w:sz w:val="28"/>
          <w:szCs w:val="28"/>
          <w:highlight w:val="none"/>
        </w:rPr>
        <w:t>30.签订合同</w:t>
      </w:r>
      <w:bookmarkEnd w:id="111"/>
      <w:bookmarkEnd w:id="112"/>
      <w:bookmarkEnd w:id="113"/>
    </w:p>
    <w:p w14:paraId="5DF6B440">
      <w:pPr>
        <w:keepNext/>
        <w:keepLines/>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30.签订合同</w:t>
      </w:r>
    </w:p>
    <w:p w14:paraId="7CFBBB12">
      <w:pPr>
        <w:spacing w:line="0" w:lineRule="atLeast"/>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30.l中标人应当在中标通知书发出之日起三十日内，按照招标文件确定的事项与采购人签订政府采购合同。</w:t>
      </w:r>
    </w:p>
    <w:p w14:paraId="1370FC5B">
      <w:pPr>
        <w:spacing w:line="0" w:lineRule="atLeast"/>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30.2招标文件、中标人的投标文件及招标过程中有关澄清、承诺文件均应作为合同附件。</w:t>
      </w:r>
    </w:p>
    <w:p w14:paraId="5207DC16">
      <w:pPr>
        <w:spacing w:line="0" w:lineRule="atLeast"/>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1DD77A62">
      <w:pPr>
        <w:keepNext/>
        <w:keepLines/>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31、服务（包含与服务相关的货物）的追加</w:t>
      </w:r>
    </w:p>
    <w:p w14:paraId="493856A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FEE7437">
      <w:pPr>
        <w:keepNext/>
        <w:keepLines/>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32.政府采购政策功能落实</w:t>
      </w:r>
    </w:p>
    <w:p w14:paraId="2DC64C98">
      <w:pPr>
        <w:keepNext/>
        <w:keepLines/>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32.1政府采购线上合同信用融资政策</w:t>
      </w:r>
    </w:p>
    <w:p w14:paraId="38A7A2F5">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59BE8171">
      <w:pPr>
        <w:tabs>
          <w:tab w:val="left" w:pos="1381"/>
        </w:tabs>
        <w:spacing w:line="480" w:lineRule="exact"/>
        <w:ind w:firstLine="48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32.2进口产品</w:t>
      </w:r>
    </w:p>
    <w:p w14:paraId="5EDF023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19D021C">
      <w:pPr>
        <w:tabs>
          <w:tab w:val="left" w:pos="1381"/>
        </w:tabs>
        <w:spacing w:line="480" w:lineRule="exact"/>
        <w:ind w:firstLine="48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32.3中小企业、监狱企业及残疾人福利性单位</w:t>
      </w:r>
    </w:p>
    <w:p w14:paraId="59FCAAE7">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32.3.1中小企业定义：</w:t>
      </w:r>
    </w:p>
    <w:p w14:paraId="37512F53">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0BE8912">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32.3.2供应商提供的货物、工程或者服务符合下列情形的，享受中小企业扶持政策：</w:t>
      </w:r>
    </w:p>
    <w:p w14:paraId="0C5FFBB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32.3.2.1在货物采购项目中，货物由中小企业制造，即货物由中小企业生产且使用该中小企业商号或者注册商标；</w:t>
      </w:r>
    </w:p>
    <w:p w14:paraId="3994A1C9">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32.3.2.2在工程采购项目中，工程由中小企业承建，即工程施工单位为中小企业；</w:t>
      </w:r>
    </w:p>
    <w:p w14:paraId="56AE0C02">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32.3.2.3在服务采购项目中，服务由中小企业承接，即提供服务的人员为中小企业依照《中华人民共和国劳动合同法》订立劳动合同的从业人员。</w:t>
      </w:r>
    </w:p>
    <w:p w14:paraId="38E1DF14">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32.3.3在货物采购项目中，供应商提供的货物既有中小企业制造货物，也有大型企业制造货物的，不享受中小企业扶持政策。</w:t>
      </w:r>
    </w:p>
    <w:p w14:paraId="7CB1A0EC">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32.3.4以联合体形式参加政府采购活动，联合体各方均为中小企业的，联合体视同中小企业。其中，联合体各方均为小微企业的，联合体视同小微企业。</w:t>
      </w:r>
    </w:p>
    <w:p w14:paraId="1C005CF7">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F3B0A8">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32.3.6残疾人福利单位定义：享受政府采购支持政策的残疾人福利性单位应当同时满足以下条件：</w:t>
      </w:r>
    </w:p>
    <w:p w14:paraId="01F30F19">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32.3.6.1安置的残疾人占本单位在职职工人数的比例不低于25%（含25%），并且安置的残疾人人数不少于10 人（含10 人）；</w:t>
      </w:r>
    </w:p>
    <w:p w14:paraId="63E573F0">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32.3.6.2依法与安置的每位残疾人签订了一年以上（含一年）的劳动合同或服务协议；</w:t>
      </w:r>
    </w:p>
    <w:p w14:paraId="55AAF290">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32.3.6.3为安置的每位残疾人按月足额缴纳了基本养老保险、基本医疗保险、失业保险、工伤保险和生育保险等社会保险费；</w:t>
      </w:r>
    </w:p>
    <w:p w14:paraId="49022B8C">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32.3.6.4通过银行等金融机构向安置的每位残疾人，按月支付了不低于单位所在区县适用的经省级人民政府批准的月最低工资标准的工资；</w:t>
      </w:r>
    </w:p>
    <w:p w14:paraId="13A9F51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32.3.6.5提供本单位制造的货物、承担的工程或者服务（以下简称产品），或者提供其他残疾人福利性单位制造的货物（不包括使用非残疾人福利性单位注册商标的货物）；</w:t>
      </w:r>
    </w:p>
    <w:p w14:paraId="3FF60075">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381BB94">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32.3.7本项目是否专门面向中小企业预留采购份额见第一章《招标公告》。</w:t>
      </w:r>
    </w:p>
    <w:p w14:paraId="7B76D825">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32.3.8采购标的对应的中小企业划分标准所属行业见第四章《采购需求》。</w:t>
      </w:r>
    </w:p>
    <w:p w14:paraId="3F16AB4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32.3.9小微企业价格评审优惠的政策：见第五章《评标方法和评标标准》。</w:t>
      </w:r>
    </w:p>
    <w:p w14:paraId="646ABCE3">
      <w:pPr>
        <w:keepNext/>
        <w:keepLines/>
        <w:ind w:firstLine="6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32.4政府采购节能产品、环境标志产品</w:t>
      </w:r>
    </w:p>
    <w:p w14:paraId="64DC639B">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548257D">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C9F0166">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32.5绿色包装</w:t>
      </w:r>
    </w:p>
    <w:p w14:paraId="3FDCBC96">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532B1F57">
      <w:pPr>
        <w:tabs>
          <w:tab w:val="left" w:pos="1381"/>
        </w:tabs>
        <w:spacing w:line="480" w:lineRule="exact"/>
        <w:ind w:firstLine="48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32.6政府采购创新产品</w:t>
      </w:r>
    </w:p>
    <w:p w14:paraId="5B0CEB5F">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采购人优先采购各级政府部门公开发布的有效期内的创新产品、创新服务、首台套、首购首用等《目录》的创新产品。</w:t>
      </w:r>
    </w:p>
    <w:p w14:paraId="0C69A1F7">
      <w:pPr>
        <w:tabs>
          <w:tab w:val="left" w:pos="1381"/>
        </w:tabs>
        <w:spacing w:line="480" w:lineRule="exact"/>
        <w:ind w:firstLine="48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32.7绿色数据中心政策 </w:t>
      </w:r>
    </w:p>
    <w:p w14:paraId="55089855">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ind w:firstLine="482" w:firstLineChars="200"/>
        <w:rPr>
          <w:rFonts w:ascii="宋体" w:hAnsi="宋体" w:cs="宋体"/>
          <w:b/>
          <w:bCs/>
          <w:color w:val="FF0000"/>
          <w:sz w:val="24"/>
          <w:highlight w:val="none"/>
        </w:rPr>
      </w:pPr>
      <w:r>
        <w:rPr>
          <w:rFonts w:hint="eastAsia" w:ascii="宋体" w:hAnsi="宋体" w:cs="宋体"/>
          <w:b/>
          <w:bCs/>
          <w:color w:val="FF0000"/>
          <w:sz w:val="24"/>
          <w:highlight w:val="none"/>
        </w:rPr>
        <w:t>32.8实施本国产品标准及相关政策</w:t>
      </w:r>
    </w:p>
    <w:p w14:paraId="510E6799">
      <w:pPr>
        <w:ind w:firstLine="482" w:firstLineChars="200"/>
        <w:rPr>
          <w:rFonts w:ascii="宋体" w:hAnsi="宋体" w:cs="宋体"/>
          <w:b/>
          <w:bCs/>
          <w:color w:val="FF0000"/>
          <w:sz w:val="24"/>
          <w:highlight w:val="none"/>
        </w:rPr>
      </w:pPr>
      <w:r>
        <w:rPr>
          <w:rFonts w:hint="eastAsia" w:ascii="宋体" w:hAnsi="宋体" w:cs="宋体"/>
          <w:b/>
          <w:bCs/>
          <w:color w:val="FF0000"/>
          <w:sz w:val="24"/>
          <w:highlight w:val="none"/>
        </w:rPr>
        <w:t>1.本项目对采购本国产品给予政策支持，具体内容见招标文件“第五章 评标方法与评标标准”。</w:t>
      </w:r>
    </w:p>
    <w:p w14:paraId="6E8BCEDC">
      <w:pPr>
        <w:ind w:firstLine="482" w:firstLineChars="200"/>
        <w:rPr>
          <w:rFonts w:ascii="宋体" w:hAnsi="宋体" w:cs="宋体"/>
          <w:b/>
          <w:bCs/>
          <w:color w:val="FF0000"/>
          <w:sz w:val="24"/>
          <w:highlight w:val="none"/>
        </w:rPr>
      </w:pPr>
      <w:r>
        <w:rPr>
          <w:rFonts w:hint="eastAsia" w:ascii="宋体" w:hAnsi="宋体" w:cs="宋体"/>
          <w:b/>
          <w:bCs/>
          <w:color w:val="FF0000"/>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ind w:firstLine="482" w:firstLineChars="200"/>
        <w:rPr>
          <w:rFonts w:ascii="宋体" w:hAnsi="宋体" w:cs="宋体"/>
          <w:color w:val="FF0000"/>
          <w:sz w:val="24"/>
          <w:highlight w:val="none"/>
        </w:rPr>
      </w:pPr>
      <w:r>
        <w:rPr>
          <w:rFonts w:hint="eastAsia" w:ascii="宋体" w:hAnsi="宋体" w:cs="宋体"/>
          <w:b/>
          <w:bCs/>
          <w:color w:val="FF0000"/>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9FE8439">
      <w:pPr>
        <w:spacing w:line="0" w:lineRule="atLeast"/>
        <w:ind w:firstLine="480"/>
        <w:rPr>
          <w:rFonts w:cs="宋体" w:asciiTheme="minorEastAsia" w:hAnsiTheme="minorEastAsia" w:eastAsiaTheme="minorEastAsia"/>
          <w:sz w:val="24"/>
          <w:highlight w:val="none"/>
        </w:rPr>
      </w:pPr>
      <w:r>
        <w:rPr>
          <w:rFonts w:hint="eastAsia" w:ascii="宋体" w:hAnsi="宋体" w:cs="宋体"/>
          <w:b/>
          <w:bCs/>
          <w:color w:val="FF0000"/>
          <w:sz w:val="24"/>
          <w:highlight w:val="none"/>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FF0000"/>
          <w:sz w:val="24"/>
          <w:highlight w:val="none"/>
          <w:u w:val="single"/>
        </w:rPr>
        <w:t>故，如供应商所提供产品为本国产品的，应当对其提供的产品出具《关于符合本国产品标准的声明函》（以下简称《声明函》），不出具《声明函》的，不享受政府采购对本国产品的支持政策。</w:t>
      </w:r>
    </w:p>
    <w:p w14:paraId="513EB56B">
      <w:pPr>
        <w:tabs>
          <w:tab w:val="left" w:pos="1381"/>
        </w:tabs>
        <w:spacing w:line="480" w:lineRule="exact"/>
        <w:ind w:firstLine="482"/>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32.9履约保证金政策</w:t>
      </w:r>
    </w:p>
    <w:p w14:paraId="2E1ABB1E">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确需收取履约保证金的，履约保证金的缴纳形式：</w:t>
      </w:r>
    </w:p>
    <w:p w14:paraId="176F62E0">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E576A4F">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 如以履约保函（保险）形式缴纳履约保证金，供应商可通过政府采购电子履约保函（保险）平台（www.jsdzbh.com）在线申请履约保函（保险）。</w:t>
      </w:r>
    </w:p>
    <w:p w14:paraId="02369EB4">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4A1B7191">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33. 预付款制度</w:t>
      </w:r>
    </w:p>
    <w:p w14:paraId="37A6D6FA">
      <w:pPr>
        <w:spacing w:line="0" w:lineRule="atLeast"/>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本项目落实预付款制度，预付款比例为</w:t>
      </w:r>
      <w:r>
        <w:rPr>
          <w:rFonts w:hint="eastAsia" w:cs="宋体" w:asciiTheme="minorEastAsia" w:hAnsiTheme="minorEastAsia" w:eastAsiaTheme="minorEastAsia"/>
          <w:sz w:val="24"/>
          <w:highlight w:val="none"/>
          <w:u w:val="single"/>
        </w:rPr>
        <w:t xml:space="preserve">30 </w:t>
      </w:r>
      <w:r>
        <w:rPr>
          <w:rFonts w:hint="eastAsia" w:cs="宋体" w:asciiTheme="minorEastAsia" w:hAnsiTheme="minorEastAsia" w:eastAsiaTheme="minorEastAsia"/>
          <w:sz w:val="24"/>
          <w:highlight w:val="none"/>
        </w:rPr>
        <w:t>%。在签订合同时，中标、成交供应商明确书面表示无需预付款或者主动要求降低预付款比例的，采购人可就预付款比例作相应调整。</w:t>
      </w:r>
    </w:p>
    <w:p w14:paraId="293DB5F6">
      <w:pPr>
        <w:spacing w:line="0" w:lineRule="atLeast"/>
        <w:ind w:firstLine="480"/>
        <w:rPr>
          <w:rFonts w:cs="宋体" w:asciiTheme="minorEastAsia" w:hAnsiTheme="minorEastAsia" w:eastAsiaTheme="minorEastAsia"/>
          <w:sz w:val="24"/>
          <w:highlight w:val="none"/>
        </w:rPr>
      </w:pPr>
    </w:p>
    <w:p w14:paraId="38AB0735">
      <w:pPr>
        <w:numPr>
          <w:ilvl w:val="0"/>
          <w:numId w:val="3"/>
        </w:numPr>
        <w:spacing w:line="360" w:lineRule="auto"/>
        <w:ind w:firstLine="422"/>
        <w:jc w:val="center"/>
        <w:rPr>
          <w:rFonts w:cs="宋体" w:asciiTheme="minorEastAsia" w:hAnsiTheme="minorEastAsia" w:eastAsiaTheme="minorEastAsia"/>
          <w:b/>
          <w:bCs/>
          <w:sz w:val="32"/>
          <w:szCs w:val="32"/>
          <w:highlight w:val="none"/>
        </w:rPr>
      </w:pPr>
      <w:r>
        <w:rPr>
          <w:rFonts w:hint="eastAsia" w:cs="宋体" w:asciiTheme="minorEastAsia" w:hAnsiTheme="minorEastAsia" w:eastAsiaTheme="minorEastAsia"/>
          <w:sz w:val="24"/>
          <w:highlight w:val="none"/>
        </w:rPr>
        <w:br w:type="page" w:clear="all"/>
      </w:r>
      <w:r>
        <w:rPr>
          <w:rFonts w:hint="eastAsia" w:cs="宋体" w:asciiTheme="minorEastAsia" w:hAnsiTheme="minorEastAsia" w:eastAsiaTheme="minorEastAsia"/>
          <w:b/>
          <w:bCs/>
          <w:sz w:val="32"/>
          <w:szCs w:val="32"/>
          <w:highlight w:val="none"/>
        </w:rPr>
        <w:t xml:space="preserve"> 合同文本</w:t>
      </w:r>
    </w:p>
    <w:p w14:paraId="3243C6F9">
      <w:pPr>
        <w:pStyle w:val="44"/>
        <w:spacing w:beforeAutospacing="0" w:afterAutospacing="0" w:line="0" w:lineRule="atLeast"/>
        <w:ind w:firstLine="480"/>
        <w:jc w:val="both"/>
        <w:rPr>
          <w:rFonts w:cs="仿宋" w:asciiTheme="minorEastAsia" w:hAnsiTheme="minorEastAsia" w:eastAsiaTheme="minorEastAsia"/>
          <w:highlight w:val="none"/>
        </w:rPr>
      </w:pPr>
      <w:bookmarkStart w:id="114" w:name="_Toc20823315"/>
      <w:bookmarkStart w:id="115" w:name="_Toc513029243"/>
      <w:bookmarkStart w:id="116" w:name="_Toc16938559"/>
      <w:r>
        <w:rPr>
          <w:rFonts w:hint="eastAsia" w:cs="仿宋" w:asciiTheme="minorEastAsia" w:hAnsiTheme="minorEastAsia" w:eastAsiaTheme="minorEastAsia"/>
          <w:highlight w:val="none"/>
        </w:rPr>
        <w:t>以下为中标后签定本项目合同的通用条款，中标人不得提出实质性的修改。</w:t>
      </w:r>
      <w:bookmarkEnd w:id="114"/>
      <w:bookmarkEnd w:id="115"/>
      <w:bookmarkEnd w:id="116"/>
    </w:p>
    <w:p w14:paraId="1909BF4B">
      <w:pPr>
        <w:spacing w:line="480" w:lineRule="exact"/>
        <w:jc w:val="center"/>
        <w:outlineLvl w:val="0"/>
        <w:rPr>
          <w:rFonts w:asciiTheme="minorEastAsia" w:hAnsiTheme="minorEastAsia" w:eastAsiaTheme="minorEastAsia"/>
          <w:b/>
          <w:bCs/>
          <w:sz w:val="24"/>
          <w:highlight w:val="none"/>
        </w:rPr>
      </w:pPr>
      <w:r>
        <w:rPr>
          <w:rFonts w:hint="eastAsia" w:asciiTheme="minorEastAsia" w:hAnsiTheme="minorEastAsia" w:eastAsiaTheme="minorEastAsia"/>
          <w:b/>
          <w:sz w:val="24"/>
          <w:highlight w:val="none"/>
        </w:rPr>
        <w:t>政府采购合同（合同编号）</w:t>
      </w:r>
    </w:p>
    <w:p w14:paraId="51358AF4">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项目编号：</w:t>
      </w:r>
      <w:r>
        <w:rPr>
          <w:rFonts w:hint="eastAsia" w:cs="宋体" w:asciiTheme="minorEastAsia" w:hAnsiTheme="minorEastAsia" w:eastAsiaTheme="minorEastAsia"/>
          <w:sz w:val="24"/>
          <w:highlight w:val="none"/>
          <w:u w:val="single"/>
        </w:rPr>
        <w:t xml:space="preserve">             </w:t>
      </w:r>
    </w:p>
    <w:p w14:paraId="0E20A18A">
      <w:pPr>
        <w:widowControl/>
        <w:spacing w:line="360" w:lineRule="auto"/>
        <w:ind w:firstLine="480" w:firstLineChars="200"/>
        <w:rPr>
          <w:rFonts w:cs="宋体" w:asciiTheme="minorEastAsia" w:hAnsiTheme="minorEastAsia" w:eastAsiaTheme="minorEastAsia"/>
          <w:sz w:val="24"/>
          <w:highlight w:val="none"/>
          <w:u w:val="single"/>
        </w:rPr>
      </w:pPr>
      <w:r>
        <w:rPr>
          <w:rFonts w:hint="eastAsia" w:cs="宋体" w:asciiTheme="minorEastAsia" w:hAnsiTheme="minorEastAsia" w:eastAsiaTheme="minorEastAsia"/>
          <w:sz w:val="24"/>
          <w:highlight w:val="none"/>
        </w:rPr>
        <w:t>项目名称：</w:t>
      </w:r>
      <w:r>
        <w:rPr>
          <w:rFonts w:hint="eastAsia" w:cs="宋体" w:asciiTheme="minorEastAsia" w:hAnsiTheme="minorEastAsia" w:eastAsiaTheme="minorEastAsia"/>
          <w:sz w:val="24"/>
          <w:highlight w:val="none"/>
          <w:u w:val="single"/>
        </w:rPr>
        <w:t xml:space="preserve">                         </w:t>
      </w:r>
    </w:p>
    <w:p w14:paraId="14E1D805">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甲方：（买方）</w:t>
      </w:r>
      <w:r>
        <w:rPr>
          <w:rFonts w:hint="eastAsia" w:cs="宋体" w:asciiTheme="minorEastAsia" w:hAnsiTheme="minorEastAsia" w:eastAsiaTheme="minorEastAsia"/>
          <w:sz w:val="24"/>
          <w:highlight w:val="none"/>
          <w:u w:val="single"/>
        </w:rPr>
        <w:t xml:space="preserve">                     </w:t>
      </w:r>
    </w:p>
    <w:p w14:paraId="3728E3BA">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乙方：（卖方）</w:t>
      </w:r>
      <w:r>
        <w:rPr>
          <w:rFonts w:hint="eastAsia" w:cs="宋体" w:asciiTheme="minorEastAsia" w:hAnsiTheme="minorEastAsia" w:eastAsiaTheme="minorEastAsia"/>
          <w:sz w:val="24"/>
          <w:highlight w:val="none"/>
          <w:u w:val="single"/>
        </w:rPr>
        <w:t xml:space="preserve">                     </w:t>
      </w:r>
    </w:p>
    <w:p w14:paraId="36B51AFB">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甲、乙双方根据</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项目公开招标的结果，签署本合同。</w:t>
      </w:r>
    </w:p>
    <w:p w14:paraId="5CD8E2CD">
      <w:pPr>
        <w:widowControl/>
        <w:spacing w:line="360" w:lineRule="auto"/>
        <w:ind w:firstLine="482"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b/>
          <w:bCs/>
          <w:sz w:val="24"/>
          <w:highlight w:val="none"/>
        </w:rPr>
        <w:t>第一条 合同标的</w:t>
      </w:r>
      <w:r>
        <w:rPr>
          <w:rFonts w:hint="eastAsia" w:cs="宋体" w:asciiTheme="minorEastAsia" w:hAnsiTheme="minorEastAsia" w:eastAsiaTheme="minorEastAsia"/>
          <w:sz w:val="24"/>
          <w:highlight w:val="none"/>
        </w:rPr>
        <w:t xml:space="preserve"> 乙方根据甲方要求提供下列服务：</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。服务内容详见乙方响应文件等。</w:t>
      </w:r>
    </w:p>
    <w:p w14:paraId="0781C797">
      <w:pPr>
        <w:widowControl/>
        <w:spacing w:line="360" w:lineRule="auto"/>
        <w:ind w:firstLine="482"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b/>
          <w:bCs/>
          <w:sz w:val="24"/>
          <w:highlight w:val="none"/>
        </w:rPr>
        <w:t>第二条 合同总价款</w:t>
      </w:r>
      <w:r>
        <w:rPr>
          <w:rFonts w:hint="eastAsia" w:cs="宋体" w:asciiTheme="minorEastAsia" w:hAnsiTheme="minorEastAsia" w:eastAsiaTheme="minorEastAsia"/>
          <w:sz w:val="24"/>
          <w:highlight w:val="none"/>
        </w:rPr>
        <w:t xml:space="preserve"> 本合同项下服务总价款为人民币</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大写），本总价款包含在项目执行过程中所需的设备相关费用（租赁费、运输费、修理费、安装费）、人员费（人员相关的工资、差旅、住宿、通讯费等所有费用）在监测溯源过程中涉及的交通费、车油费、过路费、报告制作费。其中不含：设备安装场地租赁费、水电费、网络专线费、非乙方设备的维修费用，如实际产生由乙方代缴，凭发票结算。</w:t>
      </w:r>
    </w:p>
    <w:p w14:paraId="18D29BAA">
      <w:pPr>
        <w:widowControl/>
        <w:spacing w:line="360" w:lineRule="auto"/>
        <w:ind w:firstLine="482"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b/>
          <w:bCs/>
          <w:sz w:val="24"/>
          <w:highlight w:val="none"/>
        </w:rPr>
        <w:t>第三条 组成本合同的有关文件</w:t>
      </w:r>
      <w:r>
        <w:rPr>
          <w:rFonts w:hint="eastAsia" w:cs="宋体" w:asciiTheme="minorEastAsia" w:hAnsiTheme="minorEastAsia" w:eastAsiaTheme="minorEastAsia"/>
          <w:sz w:val="24"/>
          <w:highlight w:val="none"/>
        </w:rPr>
        <w:t xml:space="preserve"> 下列关于</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文件和有关附件是本合同不可分割的组成部分，与本合同具有同等法律效力。</w:t>
      </w:r>
    </w:p>
    <w:p w14:paraId="62AA77E3">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第四条 技术资料及知识产权</w:t>
      </w:r>
    </w:p>
    <w:p w14:paraId="40C622F8">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4.1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C386654">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4.2乙方应保证为甲方提供服务任何一部分时不受第三方提出侵犯其专利权、版权或其他权利的起诉。一旦出现侵权，乙方应承担全部责任。</w:t>
      </w:r>
    </w:p>
    <w:p w14:paraId="6ABA5D02">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第五条 履约保证金</w:t>
      </w:r>
    </w:p>
    <w:p w14:paraId="6B491689">
      <w:pPr>
        <w:widowControl w:val="0"/>
        <w:snapToGrid w:val="0"/>
        <w:spacing w:before="120" w:after="120" w:line="460" w:lineRule="exact"/>
        <w:ind w:firstLine="480" w:firstLineChars="200"/>
        <w:jc w:val="both"/>
        <w:rPr>
          <w:rFonts w:hint="eastAsia" w:ascii="宋体" w:hAnsi="宋体" w:eastAsia="宋体" w:cs="宋体"/>
          <w:kern w:val="0"/>
          <w:sz w:val="24"/>
          <w:szCs w:val="20"/>
          <w:highlight w:val="none"/>
          <w:lang w:val="en-US" w:eastAsia="zh-CN" w:bidi="ar-SA"/>
        </w:rPr>
      </w:pPr>
      <w:r>
        <w:rPr>
          <w:rFonts w:hint="eastAsia" w:cs="宋体" w:asciiTheme="minorEastAsia" w:hAnsiTheme="minorEastAsia" w:eastAsiaTheme="minorEastAsia"/>
          <w:sz w:val="24"/>
          <w:highlight w:val="none"/>
        </w:rPr>
        <w:t>5.1</w:t>
      </w:r>
      <w:r>
        <w:rPr>
          <w:rFonts w:hint="eastAsia" w:ascii="宋体" w:hAnsi="宋体" w:eastAsia="宋体" w:cs="宋体"/>
          <w:kern w:val="0"/>
          <w:sz w:val="24"/>
          <w:szCs w:val="20"/>
          <w:highlight w:val="none"/>
          <w:lang w:val="en-US" w:eastAsia="zh-CN" w:bidi="ar-SA"/>
        </w:rPr>
        <w:t>履约保证金由乙方在签订合同前向甲方缴纳</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0"/>
          <w:highlight w:val="none"/>
          <w:lang w:val="en-US" w:eastAsia="zh-CN" w:bidi="ar-SA"/>
        </w:rPr>
        <w:t>（￥</w:t>
      </w:r>
      <w:r>
        <w:rPr>
          <w:rFonts w:hint="eastAsia" w:ascii="宋体" w:hAnsi="宋体" w:eastAsia="宋体" w:cs="宋体"/>
          <w:kern w:val="2"/>
          <w:sz w:val="24"/>
          <w:szCs w:val="20"/>
          <w:highlight w:val="none"/>
          <w:u w:val="single"/>
          <w:lang w:val="en-US" w:eastAsia="zh-CN" w:bidi="ar-SA"/>
        </w:rPr>
        <w:t xml:space="preserve">     </w:t>
      </w:r>
      <w:r>
        <w:rPr>
          <w:rFonts w:hint="eastAsia" w:ascii="宋体" w:hAnsi="宋体" w:eastAsia="宋体" w:cs="宋体"/>
          <w:kern w:val="2"/>
          <w:sz w:val="24"/>
          <w:szCs w:val="20"/>
          <w:highlight w:val="none"/>
          <w:lang w:val="en-US" w:eastAsia="zh-CN" w:bidi="ar-SA"/>
        </w:rPr>
        <w:t xml:space="preserve"> 元）</w:t>
      </w:r>
      <w:r>
        <w:rPr>
          <w:rFonts w:hint="eastAsia" w:ascii="宋体" w:hAnsi="宋体" w:eastAsia="宋体" w:cs="宋体"/>
          <w:kern w:val="2"/>
          <w:sz w:val="24"/>
          <w:szCs w:val="24"/>
          <w:highlight w:val="none"/>
          <w:lang w:val="en-US" w:eastAsia="zh-CN" w:bidi="ar-SA"/>
        </w:rPr>
        <w:t>作为本合同的履约保证金（合同金额的</w:t>
      </w:r>
      <w:r>
        <w:rPr>
          <w:rFonts w:hint="eastAsia" w:ascii="宋体" w:hAnsi="宋体" w:cs="宋体"/>
          <w:kern w:val="2"/>
          <w:sz w:val="24"/>
          <w:szCs w:val="24"/>
          <w:highlight w:val="none"/>
          <w:lang w:val="en-US" w:eastAsia="zh-CN" w:bidi="ar-SA"/>
        </w:rPr>
        <w:t>10</w:t>
      </w:r>
      <w:r>
        <w:rPr>
          <w:rFonts w:hint="eastAsia" w:ascii="宋体" w:hAnsi="宋体" w:eastAsia="宋体" w:cs="宋体"/>
          <w:kern w:val="2"/>
          <w:sz w:val="24"/>
          <w:szCs w:val="24"/>
          <w:highlight w:val="none"/>
          <w:lang w:val="en-US" w:eastAsia="zh-CN" w:bidi="ar-SA"/>
        </w:rPr>
        <w:t>%）。</w:t>
      </w:r>
      <w:r>
        <w:rPr>
          <w:rFonts w:hint="default" w:ascii="Times New Roman" w:hAnsi="Times New Roman" w:eastAsia="宋体" w:cs="Times New Roman"/>
          <w:kern w:val="2"/>
          <w:sz w:val="24"/>
          <w:szCs w:val="24"/>
          <w:highlight w:val="none"/>
          <w:lang w:val="en-US" w:eastAsia="zh-CN" w:bidi="ar-SA"/>
        </w:rPr>
        <w:t>乙方在签订合</w:t>
      </w:r>
      <w:r>
        <w:rPr>
          <w:rFonts w:hint="eastAsia" w:ascii="Times New Roman" w:hAnsi="Times New Roman" w:eastAsia="宋体" w:cs="Times New Roman"/>
          <w:kern w:val="2"/>
          <w:sz w:val="24"/>
          <w:szCs w:val="24"/>
          <w:highlight w:val="none"/>
          <w:lang w:val="en-US" w:eastAsia="zh-CN" w:bidi="ar-SA"/>
        </w:rPr>
        <w:t>前</w:t>
      </w:r>
      <w:r>
        <w:rPr>
          <w:rFonts w:hint="default" w:ascii="Times New Roman" w:hAnsi="Times New Roman" w:eastAsia="宋体" w:cs="Times New Roman"/>
          <w:kern w:val="2"/>
          <w:sz w:val="24"/>
          <w:szCs w:val="24"/>
          <w:highlight w:val="none"/>
          <w:lang w:val="en-US" w:eastAsia="zh-CN" w:bidi="ar-SA"/>
        </w:rPr>
        <w:t>以转帐或电汇或网汇形式汇转至甲方指定帐户</w:t>
      </w:r>
      <w:r>
        <w:rPr>
          <w:rFonts w:hint="default" w:ascii="Times New Roman" w:hAnsi="Times New Roman" w:eastAsia="宋体" w:cs="Times New Roman"/>
          <w:kern w:val="0"/>
          <w:sz w:val="24"/>
          <w:szCs w:val="20"/>
          <w:highlight w:val="none"/>
          <w:lang w:val="en-US" w:eastAsia="zh-CN" w:bidi="ar-SA"/>
        </w:rPr>
        <w:t>，户名：</w:t>
      </w:r>
      <w:r>
        <w:rPr>
          <w:rFonts w:hint="eastAsia" w:ascii="Times New Roman" w:hAnsi="Times New Roman" w:eastAsia="宋体" w:cs="Times New Roman"/>
          <w:bCs/>
          <w:color w:val="000000"/>
          <w:kern w:val="2"/>
          <w:sz w:val="24"/>
          <w:szCs w:val="24"/>
          <w:highlight w:val="none"/>
          <w:u w:val="single"/>
          <w:lang w:val="en-US" w:eastAsia="zh-CN" w:bidi="ar-SA"/>
        </w:rPr>
        <w:t xml:space="preserve">             </w:t>
      </w:r>
      <w:r>
        <w:rPr>
          <w:rFonts w:hint="eastAsia" w:ascii="Times New Roman" w:hAnsi="Times New Roman" w:eastAsia="宋体" w:cs="Times New Roman"/>
          <w:kern w:val="0"/>
          <w:sz w:val="24"/>
          <w:szCs w:val="20"/>
          <w:highlight w:val="none"/>
          <w:lang w:val="en-US" w:eastAsia="zh-CN" w:bidi="ar-SA"/>
        </w:rPr>
        <w:t>，</w:t>
      </w:r>
      <w:r>
        <w:rPr>
          <w:rFonts w:hint="default" w:ascii="Times New Roman" w:hAnsi="Times New Roman" w:eastAsia="宋体" w:cs="Times New Roman"/>
          <w:kern w:val="0"/>
          <w:sz w:val="24"/>
          <w:szCs w:val="20"/>
          <w:highlight w:val="none"/>
          <w:lang w:val="en-US" w:eastAsia="zh-CN" w:bidi="ar-SA"/>
        </w:rPr>
        <w:t>账号：</w:t>
      </w:r>
      <w:r>
        <w:rPr>
          <w:rFonts w:hint="eastAsia" w:ascii="Times New Roman" w:hAnsi="Times New Roman" w:eastAsia="宋体" w:cs="Times New Roman"/>
          <w:kern w:val="0"/>
          <w:sz w:val="24"/>
          <w:szCs w:val="20"/>
          <w:highlight w:val="none"/>
          <w:u w:val="single"/>
          <w:lang w:val="en-US" w:eastAsia="zh-CN" w:bidi="ar-SA"/>
        </w:rPr>
        <w:t xml:space="preserve">           </w:t>
      </w:r>
      <w:r>
        <w:rPr>
          <w:rFonts w:hint="default" w:ascii="Times New Roman" w:hAnsi="Times New Roman" w:eastAsia="宋体" w:cs="Times New Roman"/>
          <w:kern w:val="0"/>
          <w:sz w:val="24"/>
          <w:szCs w:val="20"/>
          <w:highlight w:val="none"/>
          <w:lang w:val="en-US" w:eastAsia="zh-CN" w:bidi="ar-SA"/>
        </w:rPr>
        <w:t>，开户行：</w:t>
      </w:r>
      <w:r>
        <w:rPr>
          <w:rFonts w:hint="eastAsia" w:ascii="Times New Roman" w:hAnsi="Times New Roman" w:eastAsia="宋体" w:cs="Times New Roman"/>
          <w:kern w:val="0"/>
          <w:sz w:val="24"/>
          <w:szCs w:val="20"/>
          <w:highlight w:val="none"/>
          <w:u w:val="single"/>
          <w:lang w:val="en-US" w:eastAsia="zh-CN" w:bidi="ar-SA"/>
        </w:rPr>
        <w:t xml:space="preserve">         </w:t>
      </w:r>
      <w:r>
        <w:rPr>
          <w:rFonts w:hint="eastAsia" w:ascii="宋体" w:hAnsi="宋体" w:eastAsia="宋体" w:cs="宋体"/>
          <w:kern w:val="2"/>
          <w:sz w:val="24"/>
          <w:szCs w:val="24"/>
          <w:highlight w:val="none"/>
          <w:lang w:val="en-US" w:eastAsia="zh-CN" w:bidi="ar-SA"/>
        </w:rPr>
        <w:t>。</w:t>
      </w:r>
    </w:p>
    <w:p w14:paraId="385440C8">
      <w:pPr>
        <w:tabs>
          <w:tab w:val="left" w:pos="900"/>
        </w:tabs>
        <w:spacing w:after="143" w:afterLines="50" w:line="500" w:lineRule="exact"/>
        <w:ind w:firstLine="480" w:firstLineChars="200"/>
        <w:rPr>
          <w:rFonts w:hint="eastAsia" w:ascii="宋体" w:hAnsi="宋体"/>
          <w:kern w:val="2"/>
          <w:sz w:val="24"/>
          <w:highlight w:val="none"/>
        </w:rPr>
      </w:pPr>
      <w:r>
        <w:rPr>
          <w:rFonts w:hint="eastAsia" w:ascii="Times New Roman" w:hAnsi="宋体" w:cs="宋体"/>
          <w:kern w:val="0"/>
          <w:sz w:val="24"/>
          <w:highlight w:val="none"/>
        </w:rPr>
        <w:t>注：</w:t>
      </w:r>
      <w:r>
        <w:rPr>
          <w:rFonts w:hint="eastAsia" w:ascii="宋体" w:hAnsi="宋体"/>
          <w:kern w:val="2"/>
          <w:sz w:val="24"/>
          <w:highlight w:val="none"/>
        </w:rPr>
        <w:t>采购人对AA评级及以上政府采购供应商（需提供信用管理部门备案的第三方信用报告），降低履约保证金缴纳比例</w:t>
      </w:r>
      <w:r>
        <w:rPr>
          <w:rFonts w:hint="eastAsia" w:ascii="宋体" w:hAnsi="宋体"/>
          <w:kern w:val="2"/>
          <w:sz w:val="24"/>
          <w:highlight w:val="none"/>
          <w:lang w:val="en-US" w:eastAsia="zh-CN"/>
        </w:rPr>
        <w:t>为</w:t>
      </w:r>
      <w:r>
        <w:rPr>
          <w:rFonts w:hint="eastAsia" w:ascii="宋体" w:hAnsi="宋体" w:eastAsia="宋体" w:cs="宋体"/>
          <w:kern w:val="2"/>
          <w:sz w:val="24"/>
          <w:szCs w:val="24"/>
          <w:highlight w:val="none"/>
          <w:lang w:val="en-US" w:eastAsia="zh-CN" w:bidi="ar-SA"/>
        </w:rPr>
        <w:t>合同金额的</w:t>
      </w:r>
      <w:r>
        <w:rPr>
          <w:rFonts w:hint="eastAsia" w:ascii="宋体" w:hAnsi="宋体" w:cs="宋体"/>
          <w:kern w:val="2"/>
          <w:sz w:val="24"/>
          <w:szCs w:val="24"/>
          <w:highlight w:val="none"/>
          <w:lang w:val="en-US" w:eastAsia="zh-CN" w:bidi="ar-SA"/>
        </w:rPr>
        <w:t>5</w:t>
      </w:r>
      <w:r>
        <w:rPr>
          <w:rFonts w:hint="eastAsia" w:ascii="宋体" w:hAnsi="宋体" w:eastAsia="宋体" w:cs="宋体"/>
          <w:kern w:val="2"/>
          <w:sz w:val="24"/>
          <w:szCs w:val="24"/>
          <w:highlight w:val="none"/>
          <w:lang w:val="en-US" w:eastAsia="zh-CN" w:bidi="ar-SA"/>
        </w:rPr>
        <w:t>%</w:t>
      </w:r>
      <w:r>
        <w:rPr>
          <w:rFonts w:hint="eastAsia" w:ascii="宋体" w:hAnsi="宋体"/>
          <w:kern w:val="2"/>
          <w:sz w:val="24"/>
          <w:highlight w:val="none"/>
        </w:rPr>
        <w:t>。</w:t>
      </w:r>
    </w:p>
    <w:p w14:paraId="25323D3D">
      <w:pPr>
        <w:widowControl/>
        <w:spacing w:line="360" w:lineRule="auto"/>
        <w:ind w:firstLine="480" w:firstLineChars="200"/>
        <w:rPr>
          <w:rFonts w:cs="宋体" w:asciiTheme="minorEastAsia" w:hAnsiTheme="minorEastAsia" w:eastAsiaTheme="minorEastAsia"/>
          <w:sz w:val="24"/>
          <w:highlight w:val="none"/>
        </w:rPr>
      </w:pPr>
    </w:p>
    <w:p w14:paraId="4BE26125">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5.2确需收取履约保证金的，履约保证金的缴纳形式：</w:t>
      </w:r>
    </w:p>
    <w:p w14:paraId="46B5B4CA">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3E575E2">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5.2.2 如以履约保函（保险）形式缴纳履约保证金，供应商可通过政府采购电子履约保函（保险）平台（www.jsdzbh.com）在线申请履约保函（保险）。</w:t>
      </w:r>
    </w:p>
    <w:p w14:paraId="54E84A66">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5.3合同履行结束后，甲方应及时退还交纳的履约保证金。</w:t>
      </w:r>
    </w:p>
    <w:p w14:paraId="6E7B0916">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5.4履约保证金的退还：</w:t>
      </w:r>
    </w:p>
    <w:p w14:paraId="01188FA0">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5.4.1方式：退还至投标人缴纳履约保证金的账户。如为保函，在到期时自行失效。</w:t>
      </w:r>
    </w:p>
    <w:p w14:paraId="264A9FB4">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5.4.2时间：验收合格且采购人收到发票后30日内。</w:t>
      </w:r>
    </w:p>
    <w:p w14:paraId="17DD872C">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5.4.3条件：按合同要求全部履约完成并经采购人验收合格，且采购人收到中标人出具的发票。</w:t>
      </w:r>
    </w:p>
    <w:p w14:paraId="28976C9A">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5.4.4不予退还情形：</w:t>
      </w:r>
    </w:p>
    <w:p w14:paraId="542E2853">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除不可抗力情况外，投标人出现下列情形之一的，其履约保证金，招标人将视情节决定不予退还或部分不予退还。</w:t>
      </w:r>
    </w:p>
    <w:p w14:paraId="09CDC838">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（1）中标人无正当理由拒绝签订合同的，或者在签订合同时向采购人提出附加条件或者更改合同实质性内容要求的；</w:t>
      </w:r>
    </w:p>
    <w:p w14:paraId="3686AFDC">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（2）中标人不履行与采购人订立的合同的；</w:t>
      </w:r>
    </w:p>
    <w:p w14:paraId="68156881">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（3）中标人所供货物或服务不符合招标文件规定要求的；</w:t>
      </w:r>
    </w:p>
    <w:p w14:paraId="1857180C">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（4）中标人采取欺骗、弄虚作假方式投标的或与其他投标人串通投标的；</w:t>
      </w:r>
    </w:p>
    <w:p w14:paraId="60424F83">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（5）中标人将合同内容转包、违法分包的；</w:t>
      </w:r>
    </w:p>
    <w:p w14:paraId="6AF1358B">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（6）中标人故意捏造事实或伪造证明材料，进行虚假恶意投诉或反映的。</w:t>
      </w:r>
    </w:p>
    <w:p w14:paraId="42A01759">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5.4.5逾期退还的违约责任：采购人逾期无故未退还履约保证金的，按中国人民银行同期贷款基准利率上浮20%后的利率支付超期资金占用费，但因供应商自身原因导致无法及时退还的除外。</w:t>
      </w:r>
    </w:p>
    <w:p w14:paraId="12AC82EF">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第六条 质量保证</w:t>
      </w:r>
    </w:p>
    <w:p w14:paraId="7F27B6E1">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6.1乙方提供的服务必须全部达到招标文件各项要求，国家或行业有规定的，还要符合相应规定。服务期满前，乙方应根据甲方要求提供完整的文档资料，并配合甲方做好与本项目相关任务的衔接工作。</w:t>
      </w:r>
    </w:p>
    <w:p w14:paraId="3BE026C5">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6.2 乙方需提供以下服务期间成果材料：</w:t>
      </w:r>
    </w:p>
    <w:p w14:paraId="213C26E4">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6.1盐南高新区大气污染监测溯源服务验收报告</w:t>
      </w:r>
    </w:p>
    <w:p w14:paraId="1BACABB5">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6.2盐南高新区环境空气质量分析日报</w:t>
      </w:r>
    </w:p>
    <w:p w14:paraId="4A43FF0B">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6.3走航分析报告</w:t>
      </w:r>
    </w:p>
    <w:p w14:paraId="2D9C1CFE">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6.4重污染天气分析报告（如有）</w:t>
      </w:r>
    </w:p>
    <w:p w14:paraId="59110780">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6.5污染源溯源台账</w:t>
      </w:r>
    </w:p>
    <w:p w14:paraId="7D59A16C">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6.6雷达扫描情况</w:t>
      </w:r>
    </w:p>
    <w:p w14:paraId="7292A9F6">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6.7高值预警及数据推送</w:t>
      </w:r>
    </w:p>
    <w:p w14:paraId="7F8F3AC6">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6.8每日排名情况推送</w:t>
      </w:r>
    </w:p>
    <w:p w14:paraId="319FCE73">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第七条 服务期限和验收标准</w:t>
      </w:r>
    </w:p>
    <w:p w14:paraId="5ABFDD3B">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7.1</w:t>
      </w:r>
      <w:r>
        <w:rPr>
          <w:rFonts w:hint="eastAsia" w:cs="宋体" w:asciiTheme="minorEastAsia" w:hAnsiTheme="minorEastAsia" w:eastAsiaTheme="minorEastAsia"/>
          <w:sz w:val="24"/>
          <w:highlight w:val="none"/>
          <w:lang w:val="en-US" w:eastAsia="zh-CN"/>
        </w:rPr>
        <w:t>服务期限：一年，</w:t>
      </w:r>
      <w:r>
        <w:rPr>
          <w:rFonts w:hint="eastAsia" w:cs="宋体" w:asciiTheme="minorEastAsia" w:hAnsiTheme="minorEastAsia" w:eastAsiaTheme="minorEastAsia"/>
          <w:sz w:val="24"/>
          <w:highlight w:val="none"/>
        </w:rPr>
        <w:t>本项目的工作定于</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年</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月</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日开始，具体开始时间以招标人通知为准，</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rPr>
        <w:t>年</w:t>
      </w:r>
      <w:r>
        <w:rPr>
          <w:rFonts w:hint="eastAsia" w:cs="宋体" w:asciiTheme="minorEastAsia" w:hAnsiTheme="minorEastAsia" w:eastAsiaTheme="minorEastAsia"/>
          <w:sz w:val="24"/>
          <w:highlight w:val="none"/>
          <w:u w:val="single"/>
        </w:rPr>
        <w:t xml:space="preserve"> </w:t>
      </w:r>
      <w:r>
        <w:rPr>
          <w:rFonts w:hint="eastAsia" w:cs="宋体" w:asciiTheme="minorEastAsia" w:hAnsiTheme="minorEastAsia" w:eastAsiaTheme="minorEastAsia"/>
          <w:sz w:val="24"/>
          <w:highlight w:val="none"/>
          <w:u w:val="single"/>
        </w:rPr>
        <w:tab/>
      </w:r>
      <w:r>
        <w:rPr>
          <w:rFonts w:hint="eastAsia" w:cs="宋体" w:asciiTheme="minorEastAsia" w:hAnsiTheme="minorEastAsia" w:eastAsiaTheme="minorEastAsia"/>
          <w:sz w:val="24"/>
          <w:highlight w:val="none"/>
        </w:rPr>
        <w:t xml:space="preserve">月 </w:t>
      </w:r>
      <w:r>
        <w:rPr>
          <w:rFonts w:hint="eastAsia" w:cs="宋体" w:asciiTheme="minorEastAsia" w:hAnsiTheme="minorEastAsia" w:eastAsiaTheme="minorEastAsia"/>
          <w:sz w:val="24"/>
          <w:highlight w:val="none"/>
          <w:u w:val="single"/>
        </w:rPr>
        <w:tab/>
      </w:r>
      <w:r>
        <w:rPr>
          <w:rFonts w:hint="eastAsia" w:cs="宋体" w:asciiTheme="minorEastAsia" w:hAnsiTheme="minorEastAsia" w:eastAsiaTheme="minorEastAsia"/>
          <w:sz w:val="24"/>
          <w:highlight w:val="none"/>
          <w:u w:val="single"/>
        </w:rPr>
        <w:tab/>
      </w:r>
      <w:r>
        <w:rPr>
          <w:rFonts w:hint="eastAsia" w:cs="宋体" w:asciiTheme="minorEastAsia" w:hAnsiTheme="minorEastAsia" w:eastAsiaTheme="minorEastAsia"/>
          <w:sz w:val="24"/>
          <w:highlight w:val="none"/>
        </w:rPr>
        <w:t>日提交成果资料，招标文件有约定的，从其约定。</w:t>
      </w:r>
    </w:p>
    <w:p w14:paraId="0D96F6E7">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7.2最终成果除需满足业主要求外还应当符合国家及行业现行规范要求及相关部门的检查验收。</w:t>
      </w:r>
    </w:p>
    <w:p w14:paraId="738AC6EB">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7.3合同期满之后双方协商，顺延执行本合同。</w:t>
      </w:r>
    </w:p>
    <w:p w14:paraId="2DFE1EC2">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第八条 合同款支付</w:t>
      </w:r>
    </w:p>
    <w:p w14:paraId="08EEB5D9">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8.1本合同项下所有款项均以人民币支付。</w:t>
      </w:r>
    </w:p>
    <w:p w14:paraId="48C2F03E">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8.2付款方式：</w:t>
      </w:r>
    </w:p>
    <w:p w14:paraId="02F01693">
      <w:pPr>
        <w:widowControl/>
        <w:spacing w:line="360" w:lineRule="auto"/>
        <w:ind w:firstLine="480" w:firstLineChars="200"/>
        <w:rPr>
          <w:rFonts w:hint="eastAsia" w:cs="宋体" w:asciiTheme="minorEastAsia" w:hAnsiTheme="minorEastAsia" w:eastAsiaTheme="minorEastAsia"/>
          <w:sz w:val="24"/>
          <w:highlight w:val="none"/>
          <w:lang w:val="en-US" w:eastAsia="zh-CN"/>
        </w:rPr>
      </w:pPr>
      <w:r>
        <w:rPr>
          <w:rFonts w:hint="eastAsia" w:cs="宋体" w:asciiTheme="minorEastAsia" w:hAnsiTheme="minorEastAsia" w:eastAsiaTheme="minorEastAsia"/>
          <w:sz w:val="24"/>
          <w:highlight w:val="none"/>
        </w:rPr>
        <w:t>合同签订后</w:t>
      </w:r>
      <w:r>
        <w:rPr>
          <w:rFonts w:hint="eastAsia" w:cs="宋体" w:asciiTheme="minorEastAsia" w:hAnsiTheme="minorEastAsia" w:eastAsiaTheme="minorEastAsia"/>
          <w:sz w:val="24"/>
          <w:highlight w:val="none"/>
          <w:lang w:eastAsia="zh-CN"/>
        </w:rPr>
        <w:t>，</w:t>
      </w:r>
      <w:r>
        <w:rPr>
          <w:rFonts w:hint="eastAsia" w:cs="宋体" w:asciiTheme="minorEastAsia" w:hAnsiTheme="minorEastAsia" w:eastAsiaTheme="minorEastAsia"/>
          <w:sz w:val="24"/>
          <w:highlight w:val="none"/>
        </w:rPr>
        <w:t>采购人收到</w:t>
      </w:r>
      <w:r>
        <w:rPr>
          <w:rFonts w:hint="eastAsia" w:cs="宋体" w:asciiTheme="minorEastAsia" w:hAnsiTheme="minorEastAsia" w:eastAsiaTheme="minorEastAsia"/>
          <w:sz w:val="24"/>
          <w:highlight w:val="none"/>
          <w:lang w:eastAsia="zh-CN"/>
        </w:rPr>
        <w:t>预付款</w:t>
      </w:r>
      <w:r>
        <w:rPr>
          <w:rFonts w:hint="eastAsia" w:cs="宋体" w:asciiTheme="minorEastAsia" w:hAnsiTheme="minorEastAsia" w:eastAsiaTheme="minorEastAsia"/>
          <w:sz w:val="24"/>
          <w:highlight w:val="none"/>
        </w:rPr>
        <w:t>发票后10个工作日内，</w:t>
      </w:r>
      <w:r>
        <w:rPr>
          <w:rFonts w:hint="eastAsia" w:cs="宋体" w:asciiTheme="minorEastAsia" w:hAnsiTheme="minorEastAsia" w:eastAsiaTheme="minorEastAsia"/>
          <w:sz w:val="24"/>
          <w:highlight w:val="none"/>
          <w:lang w:val="en-US" w:eastAsia="zh-CN"/>
        </w:rPr>
        <w:t>支付合同价的 30%作为预付款；（如合同签订后，供应商明确表示无需预付款或者主动要求降低预付款比例的，由双方另行商定。）</w:t>
      </w:r>
    </w:p>
    <w:p w14:paraId="5CD39CE2">
      <w:pPr>
        <w:widowControl/>
        <w:spacing w:line="360" w:lineRule="auto"/>
        <w:ind w:firstLine="480" w:firstLineChars="200"/>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lang w:val="en-US" w:eastAsia="zh-CN"/>
        </w:rPr>
        <w:t>剩余合同款项按季度支付，每完成一季度工作，支付合同总价15%，服务期满一年后，</w:t>
      </w:r>
      <w:r>
        <w:rPr>
          <w:rFonts w:hint="eastAsia" w:cs="宋体" w:asciiTheme="minorEastAsia" w:hAnsiTheme="minorEastAsia" w:eastAsiaTheme="minorEastAsia"/>
          <w:sz w:val="24"/>
          <w:highlight w:val="none"/>
        </w:rPr>
        <w:t>采购人收到发票后10个工作日内，</w:t>
      </w:r>
      <w:r>
        <w:rPr>
          <w:rFonts w:hint="eastAsia" w:cs="宋体" w:asciiTheme="minorEastAsia" w:hAnsiTheme="minorEastAsia" w:eastAsiaTheme="minorEastAsia"/>
          <w:sz w:val="24"/>
          <w:highlight w:val="none"/>
          <w:lang w:val="en-US" w:eastAsia="zh-CN"/>
        </w:rPr>
        <w:t>一次性付清余款。</w:t>
      </w:r>
    </w:p>
    <w:p w14:paraId="330D25DA">
      <w:pPr>
        <w:widowControl/>
        <w:spacing w:line="360" w:lineRule="auto"/>
        <w:ind w:firstLine="482"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b/>
          <w:bCs/>
          <w:sz w:val="24"/>
          <w:highlight w:val="none"/>
        </w:rPr>
        <w:t>第九条 违约责任</w:t>
      </w:r>
    </w:p>
    <w:p w14:paraId="33215DD3">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9.</w:t>
      </w:r>
      <w:r>
        <w:rPr>
          <w:rFonts w:hint="eastAsia" w:ascii="宋体" w:hAnsi="宋体" w:cs="宋体"/>
          <w:sz w:val="24"/>
          <w:highlight w:val="none"/>
          <w:lang w:val="en-US" w:eastAsia="zh-CN"/>
        </w:rPr>
        <w:t>1</w:t>
      </w:r>
      <w:r>
        <w:rPr>
          <w:rFonts w:hint="eastAsia" w:ascii="宋体" w:hAnsi="宋体" w:cs="宋体"/>
          <w:sz w:val="24"/>
          <w:highlight w:val="none"/>
        </w:rPr>
        <w:t>如乙方不能按期交付服务的，乙方应当赔偿甲方因此而遭受的实际损失，并应向甲方支付合同总价 5%的违约金。</w:t>
      </w:r>
    </w:p>
    <w:p w14:paraId="22193B0D">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9.</w:t>
      </w:r>
      <w:r>
        <w:rPr>
          <w:rFonts w:hint="eastAsia" w:ascii="宋体" w:hAnsi="宋体" w:cs="宋体"/>
          <w:sz w:val="24"/>
          <w:highlight w:val="none"/>
          <w:lang w:val="en-US" w:eastAsia="zh-CN"/>
        </w:rPr>
        <w:t>2</w:t>
      </w:r>
      <w:r>
        <w:rPr>
          <w:rFonts w:hint="eastAsia" w:ascii="宋体" w:hAnsi="宋体" w:cs="宋体"/>
          <w:sz w:val="24"/>
          <w:highlight w:val="none"/>
        </w:rPr>
        <w:t>乙方逾期交付的，每逾期 1 天，乙方向甲方偿付合同总额的 5‰的滞纳金。如乙方逾期交付达 10 天，甲方有权解除合同，解除合同的通知自到达乙方时生效。乙方逾期交付的，今后参加招标投标活动的信誉将受到影响。</w:t>
      </w:r>
    </w:p>
    <w:p w14:paraId="3CFB1B91">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9</w:t>
      </w:r>
      <w:r>
        <w:rPr>
          <w:rFonts w:hint="eastAsia" w:ascii="宋体" w:hAnsi="宋体" w:cs="宋体"/>
          <w:sz w:val="24"/>
          <w:highlight w:val="none"/>
          <w:lang w:val="en-US" w:eastAsia="zh-CN"/>
        </w:rPr>
        <w:t>.3</w:t>
      </w:r>
      <w:r>
        <w:rPr>
          <w:rFonts w:hint="eastAsia" w:ascii="宋体" w:hAnsi="宋体" w:cs="宋体"/>
          <w:sz w:val="24"/>
          <w:highlight w:val="none"/>
        </w:rPr>
        <w:t>乙方在承担违约责任后，仍应继续履行合同规定的义务（甲方解除合同的除外）。甲方未能及时追究乙方的任何一项违约责任并不表明甲方放弃追究乙方该项或其他违约责任。</w:t>
      </w:r>
    </w:p>
    <w:p w14:paraId="085D6C36">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9.</w:t>
      </w:r>
      <w:r>
        <w:rPr>
          <w:rFonts w:hint="eastAsia" w:ascii="宋体" w:hAnsi="宋体" w:cs="宋体"/>
          <w:sz w:val="24"/>
          <w:highlight w:val="none"/>
          <w:lang w:val="en-US" w:eastAsia="zh-CN"/>
        </w:rPr>
        <w:t>4</w:t>
      </w:r>
      <w:r>
        <w:rPr>
          <w:rFonts w:hint="eastAsia" w:ascii="宋体" w:hAnsi="宋体" w:cs="宋体"/>
          <w:sz w:val="24"/>
          <w:highlight w:val="none"/>
        </w:rPr>
        <w:t>乙方虚假承诺，或经相关部门检测验收提供的服务不能满足招标文件要求，或是由于乙方的过错造成合同无法继续履行的，乙方应向甲方支付不少于合同总价 30%赔偿金。</w:t>
      </w:r>
    </w:p>
    <w:p w14:paraId="030D01A1">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第十条 合同的变更和终止</w:t>
      </w:r>
    </w:p>
    <w:p w14:paraId="25041ED5">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本合同执行期间乙方做好项目驻地各项安全防范措施，保证项目安全生产，积极配合甲方对乙方项目现场的安全检查工作。如发生安全事故，由乙方承担安全事故的所有责任。</w:t>
      </w:r>
    </w:p>
    <w:p w14:paraId="2A1FA4B4">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第十一条 保密协议与版权归属</w:t>
      </w:r>
    </w:p>
    <w:p w14:paraId="1AFE5746">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11.1除《中华人民共和国政府采购法》规定的情形外，本合同一经签订，甲乙双方不得擅自变更、中止或终止合同。</w:t>
      </w:r>
    </w:p>
    <w:p w14:paraId="2A66CFA7">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11.2除发生法律规定的不能预见、不能避免并不能克服的客观情况外，甲乙双方不得放弃或拒绝履行合同。乙方放弃或拒绝履行合同，在三年内不得参加招标人组织的招标投标活动。</w:t>
      </w:r>
    </w:p>
    <w:p w14:paraId="45390E7D">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第十一条 合同的转让</w:t>
      </w:r>
    </w:p>
    <w:p w14:paraId="38ED9C90">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乙方不得擅自部分或全部转让其应履行的合同义务。</w:t>
      </w:r>
    </w:p>
    <w:p w14:paraId="0E9C2146">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第十二条 争议的解决</w:t>
      </w:r>
    </w:p>
    <w:p w14:paraId="16B52F8F">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12.1因履行本合同引起的或与本合同有关的争议，甲、乙双方应首先通过友好协商解决，如果协商不能解决争议，则采取以下第（1）种方式解决争议：</w:t>
      </w:r>
    </w:p>
    <w:p w14:paraId="3FEE2C1C">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（1）向甲方所在地有管辖权的人民法院提起诉讼；</w:t>
      </w:r>
    </w:p>
    <w:p w14:paraId="2F1EF9A0">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（2）向盐城仲裁委员会按其仲裁规则申请仲裁。</w:t>
      </w:r>
    </w:p>
    <w:p w14:paraId="525B4597">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12.2在仲裁期间，本合同应继续履行。</w:t>
      </w:r>
    </w:p>
    <w:p w14:paraId="1289A33A">
      <w:pPr>
        <w:widowControl/>
        <w:spacing w:line="360" w:lineRule="auto"/>
        <w:ind w:firstLine="482" w:firstLineChars="200"/>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第十三条 诚实信用</w:t>
      </w:r>
    </w:p>
    <w:p w14:paraId="454794BA">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乙方应诚实信用，严格按照招标文件要求和承诺履行合同，不向甲方进行商业贿赂或者提供不正当利益。</w:t>
      </w:r>
    </w:p>
    <w:p w14:paraId="6621874C">
      <w:pPr>
        <w:widowControl/>
        <w:spacing w:line="360" w:lineRule="auto"/>
        <w:ind w:firstLine="482"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b/>
          <w:bCs/>
          <w:sz w:val="24"/>
          <w:highlight w:val="none"/>
        </w:rPr>
        <w:t>第十四条 合同生效及其</w:t>
      </w:r>
      <w:r>
        <w:rPr>
          <w:rFonts w:hint="eastAsia" w:cs="宋体" w:asciiTheme="minorEastAsia" w:hAnsiTheme="minorEastAsia" w:eastAsiaTheme="minorEastAsia"/>
          <w:sz w:val="24"/>
          <w:highlight w:val="none"/>
        </w:rPr>
        <w:t>他</w:t>
      </w:r>
    </w:p>
    <w:p w14:paraId="2F5065BF">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14.1本合同自签订之日起生效。</w:t>
      </w:r>
    </w:p>
    <w:p w14:paraId="3A5C22E2">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14.2本合同一式柒份，甲乙双方各执叁份，代理机构壹份。</w:t>
      </w:r>
    </w:p>
    <w:p w14:paraId="7BB3116A">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14.3本合同应按照中华人民共和国的现行法律进行解释。</w:t>
      </w:r>
    </w:p>
    <w:p w14:paraId="1FAFFD21">
      <w:pPr>
        <w:widowControl/>
        <w:spacing w:line="360" w:lineRule="auto"/>
        <w:ind w:firstLine="480" w:firstLineChars="200"/>
        <w:rPr>
          <w:rFonts w:cs="宋体" w:asciiTheme="minorEastAsia" w:hAnsiTheme="minorEastAsia" w:eastAsiaTheme="minorEastAsia"/>
          <w:sz w:val="24"/>
          <w:highlight w:val="none"/>
        </w:rPr>
      </w:pPr>
    </w:p>
    <w:p w14:paraId="383E71C3">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甲方（单位名称）：</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t xml:space="preserve">                        乙方（单位名称）：</w:t>
      </w:r>
    </w:p>
    <w:p w14:paraId="0AC197A4">
      <w:pPr>
        <w:widowControl/>
        <w:spacing w:line="360" w:lineRule="auto"/>
        <w:ind w:firstLine="480" w:firstLineChars="200"/>
        <w:rPr>
          <w:rFonts w:cs="宋体" w:asciiTheme="minorEastAsia" w:hAnsiTheme="minorEastAsia" w:eastAsiaTheme="minorEastAsia"/>
          <w:sz w:val="24"/>
          <w:highlight w:val="none"/>
        </w:rPr>
      </w:pPr>
    </w:p>
    <w:p w14:paraId="4E9F08FA">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地址：</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t xml:space="preserve">                                    地址：</w:t>
      </w:r>
    </w:p>
    <w:p w14:paraId="46282F12">
      <w:pPr>
        <w:widowControl/>
        <w:spacing w:line="360" w:lineRule="auto"/>
        <w:ind w:firstLine="480" w:firstLineChars="200"/>
        <w:rPr>
          <w:rFonts w:cs="宋体" w:asciiTheme="minorEastAsia" w:hAnsiTheme="minorEastAsia" w:eastAsiaTheme="minorEastAsia"/>
          <w:sz w:val="24"/>
          <w:highlight w:val="none"/>
        </w:rPr>
      </w:pPr>
    </w:p>
    <w:p w14:paraId="0EA28DA0">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法定代表人或授权代表：                      法定代表人或授权代表：</w:t>
      </w:r>
    </w:p>
    <w:p w14:paraId="0D1FDC90">
      <w:pPr>
        <w:widowControl/>
        <w:spacing w:line="360" w:lineRule="auto"/>
        <w:ind w:firstLine="480" w:firstLineChars="200"/>
        <w:rPr>
          <w:rFonts w:cs="宋体" w:asciiTheme="minorEastAsia" w:hAnsiTheme="minorEastAsia" w:eastAsiaTheme="minorEastAsia"/>
          <w:sz w:val="24"/>
          <w:highlight w:val="none"/>
        </w:rPr>
      </w:pPr>
    </w:p>
    <w:p w14:paraId="1A5D44F3">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联系电话：</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t xml:space="preserve">                                联系电话：</w:t>
      </w:r>
    </w:p>
    <w:p w14:paraId="072AE071">
      <w:pPr>
        <w:widowControl/>
        <w:spacing w:line="360" w:lineRule="auto"/>
        <w:ind w:firstLine="480" w:firstLineChars="200"/>
        <w:rPr>
          <w:rFonts w:cs="宋体" w:asciiTheme="minorEastAsia" w:hAnsiTheme="minorEastAsia" w:eastAsiaTheme="minorEastAsia"/>
          <w:sz w:val="24"/>
          <w:highlight w:val="none"/>
        </w:rPr>
      </w:pPr>
    </w:p>
    <w:p w14:paraId="5970F165">
      <w:pPr>
        <w:spacing w:line="360" w:lineRule="auto"/>
        <w:ind w:firstLine="480"/>
        <w:rPr>
          <w:rStyle w:val="273"/>
          <w:rFonts w:asciiTheme="minorEastAsia" w:hAnsiTheme="minorEastAsia" w:eastAsiaTheme="minorEastAsia"/>
          <w:sz w:val="28"/>
          <w:szCs w:val="28"/>
          <w:highlight w:val="none"/>
        </w:rPr>
      </w:pPr>
      <w:r>
        <w:rPr>
          <w:rFonts w:hint="eastAsia" w:cs="宋体" w:asciiTheme="minorEastAsia" w:hAnsiTheme="minorEastAsia" w:eastAsiaTheme="minorEastAsia"/>
          <w:sz w:val="24"/>
          <w:highlight w:val="none"/>
        </w:rPr>
        <w:t>日期：</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t>年</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t>月</w:t>
      </w:r>
      <w:r>
        <w:rPr>
          <w:rFonts w:hint="eastAsia" w:cs="宋体" w:asciiTheme="minorEastAsia" w:hAnsiTheme="minorEastAsia" w:eastAsiaTheme="minorEastAsia"/>
          <w:sz w:val="24"/>
          <w:highlight w:val="none"/>
        </w:rPr>
        <w:tab/>
      </w:r>
      <w:r>
        <w:rPr>
          <w:rFonts w:hint="eastAsia" w:cs="宋体" w:asciiTheme="minorEastAsia" w:hAnsiTheme="minorEastAsia" w:eastAsiaTheme="minorEastAsia"/>
          <w:sz w:val="24"/>
          <w:highlight w:val="none"/>
        </w:rPr>
        <w:t>日</w:t>
      </w:r>
    </w:p>
    <w:p w14:paraId="0CB19A41">
      <w:pPr>
        <w:pStyle w:val="2"/>
        <w:ind w:firstLine="0"/>
        <w:rPr>
          <w:rFonts w:cs="宋体" w:asciiTheme="minorEastAsia" w:hAnsiTheme="minorEastAsia" w:eastAsiaTheme="minorEastAsia"/>
          <w:b/>
          <w:szCs w:val="28"/>
          <w:highlight w:val="none"/>
        </w:rPr>
      </w:pPr>
    </w:p>
    <w:p w14:paraId="5538800E">
      <w:pPr>
        <w:pStyle w:val="2"/>
        <w:ind w:firstLine="0"/>
        <w:rPr>
          <w:rFonts w:cs="宋体" w:asciiTheme="minorEastAsia" w:hAnsiTheme="minorEastAsia" w:eastAsiaTheme="minorEastAsia"/>
          <w:b/>
          <w:szCs w:val="28"/>
          <w:highlight w:val="none"/>
        </w:rPr>
      </w:pPr>
    </w:p>
    <w:p w14:paraId="6A51D31D">
      <w:pPr>
        <w:pStyle w:val="2"/>
        <w:ind w:firstLine="0"/>
        <w:rPr>
          <w:rFonts w:cs="宋体" w:asciiTheme="minorEastAsia" w:hAnsiTheme="minorEastAsia" w:eastAsiaTheme="minorEastAsia"/>
          <w:b/>
          <w:szCs w:val="28"/>
          <w:highlight w:val="none"/>
        </w:rPr>
      </w:pPr>
    </w:p>
    <w:p w14:paraId="011BD196">
      <w:pPr>
        <w:pStyle w:val="2"/>
        <w:ind w:firstLine="0"/>
        <w:rPr>
          <w:rFonts w:cs="宋体" w:asciiTheme="minorEastAsia" w:hAnsiTheme="minorEastAsia" w:eastAsiaTheme="minorEastAsia"/>
          <w:b/>
          <w:szCs w:val="28"/>
          <w:highlight w:val="none"/>
        </w:rPr>
      </w:pPr>
    </w:p>
    <w:p w14:paraId="1044961B">
      <w:pPr>
        <w:pStyle w:val="2"/>
        <w:ind w:firstLine="0"/>
        <w:rPr>
          <w:rFonts w:cs="宋体" w:asciiTheme="minorEastAsia" w:hAnsiTheme="minorEastAsia" w:eastAsiaTheme="minorEastAsia"/>
          <w:b/>
          <w:szCs w:val="28"/>
          <w:highlight w:val="none"/>
        </w:rPr>
      </w:pPr>
    </w:p>
    <w:p w14:paraId="50E19A02">
      <w:pPr>
        <w:pStyle w:val="2"/>
        <w:ind w:firstLine="0"/>
        <w:rPr>
          <w:rFonts w:cs="宋体" w:asciiTheme="minorEastAsia" w:hAnsiTheme="minorEastAsia" w:eastAsiaTheme="minorEastAsia"/>
          <w:b/>
          <w:szCs w:val="28"/>
          <w:highlight w:val="none"/>
        </w:rPr>
      </w:pPr>
    </w:p>
    <w:p w14:paraId="12D1C5D5">
      <w:pPr>
        <w:pStyle w:val="2"/>
        <w:ind w:firstLine="0"/>
        <w:rPr>
          <w:rFonts w:cs="宋体" w:asciiTheme="minorEastAsia" w:hAnsiTheme="minorEastAsia" w:eastAsiaTheme="minorEastAsia"/>
          <w:b/>
          <w:szCs w:val="28"/>
          <w:highlight w:val="none"/>
        </w:rPr>
      </w:pPr>
    </w:p>
    <w:p w14:paraId="7FCF1161">
      <w:pPr>
        <w:pStyle w:val="2"/>
        <w:ind w:firstLine="0"/>
        <w:rPr>
          <w:rFonts w:cs="宋体" w:asciiTheme="minorEastAsia" w:hAnsiTheme="minorEastAsia" w:eastAsiaTheme="minorEastAsia"/>
          <w:b/>
          <w:szCs w:val="28"/>
          <w:highlight w:val="none"/>
        </w:rPr>
      </w:pPr>
    </w:p>
    <w:p w14:paraId="127882F9">
      <w:pPr>
        <w:pStyle w:val="2"/>
        <w:ind w:firstLine="0"/>
        <w:rPr>
          <w:rFonts w:cs="宋体" w:asciiTheme="minorEastAsia" w:hAnsiTheme="minorEastAsia" w:eastAsiaTheme="minorEastAsia"/>
          <w:b/>
          <w:szCs w:val="28"/>
          <w:highlight w:val="none"/>
        </w:rPr>
      </w:pPr>
    </w:p>
    <w:p w14:paraId="33235885">
      <w:pPr>
        <w:pStyle w:val="2"/>
        <w:ind w:firstLine="0"/>
        <w:rPr>
          <w:rFonts w:cs="宋体" w:asciiTheme="minorEastAsia" w:hAnsiTheme="minorEastAsia" w:eastAsiaTheme="minorEastAsia"/>
          <w:b/>
          <w:szCs w:val="28"/>
          <w:highlight w:val="none"/>
        </w:rPr>
      </w:pPr>
    </w:p>
    <w:p w14:paraId="440C88DA">
      <w:pPr>
        <w:pStyle w:val="2"/>
        <w:ind w:firstLine="0"/>
        <w:rPr>
          <w:rFonts w:cs="宋体" w:asciiTheme="minorEastAsia" w:hAnsiTheme="minorEastAsia" w:eastAsiaTheme="minorEastAsia"/>
          <w:b/>
          <w:szCs w:val="28"/>
          <w:highlight w:val="none"/>
        </w:rPr>
      </w:pPr>
    </w:p>
    <w:p w14:paraId="698004F7">
      <w:pPr>
        <w:pStyle w:val="2"/>
        <w:ind w:firstLine="0"/>
        <w:rPr>
          <w:rFonts w:cs="宋体" w:asciiTheme="minorEastAsia" w:hAnsiTheme="minorEastAsia" w:eastAsiaTheme="minorEastAsia"/>
          <w:b/>
          <w:szCs w:val="28"/>
          <w:highlight w:val="none"/>
        </w:rPr>
      </w:pPr>
    </w:p>
    <w:p w14:paraId="65675E17">
      <w:pPr>
        <w:pStyle w:val="2"/>
        <w:ind w:firstLine="0"/>
        <w:rPr>
          <w:rFonts w:cs="宋体" w:asciiTheme="minorEastAsia" w:hAnsiTheme="minorEastAsia" w:eastAsiaTheme="minorEastAsia"/>
          <w:b/>
          <w:szCs w:val="28"/>
          <w:highlight w:val="none"/>
        </w:rPr>
      </w:pPr>
    </w:p>
    <w:p w14:paraId="68576831">
      <w:pPr>
        <w:pStyle w:val="2"/>
        <w:ind w:firstLine="0"/>
        <w:rPr>
          <w:rFonts w:cs="宋体" w:asciiTheme="minorEastAsia" w:hAnsiTheme="minorEastAsia" w:eastAsiaTheme="minorEastAsia"/>
          <w:b/>
          <w:szCs w:val="28"/>
          <w:highlight w:val="none"/>
        </w:rPr>
      </w:pPr>
    </w:p>
    <w:p w14:paraId="7A42CC6D">
      <w:pPr>
        <w:pStyle w:val="2"/>
        <w:ind w:firstLine="0"/>
        <w:rPr>
          <w:rFonts w:cs="宋体" w:asciiTheme="minorEastAsia" w:hAnsiTheme="minorEastAsia" w:eastAsiaTheme="minorEastAsia"/>
          <w:b/>
          <w:szCs w:val="28"/>
          <w:highlight w:val="none"/>
        </w:rPr>
      </w:pPr>
    </w:p>
    <w:p w14:paraId="0D1A0717">
      <w:pPr>
        <w:pStyle w:val="2"/>
        <w:ind w:firstLine="0"/>
        <w:rPr>
          <w:rFonts w:cs="宋体" w:asciiTheme="minorEastAsia" w:hAnsiTheme="minorEastAsia" w:eastAsiaTheme="minorEastAsia"/>
          <w:b/>
          <w:szCs w:val="28"/>
          <w:highlight w:val="none"/>
        </w:rPr>
      </w:pPr>
    </w:p>
    <w:p w14:paraId="30408E0E">
      <w:pPr>
        <w:pStyle w:val="2"/>
        <w:ind w:firstLine="0"/>
        <w:rPr>
          <w:rFonts w:cs="宋体" w:asciiTheme="minorEastAsia" w:hAnsiTheme="minorEastAsia" w:eastAsiaTheme="minorEastAsia"/>
          <w:b/>
          <w:szCs w:val="28"/>
          <w:highlight w:val="none"/>
        </w:rPr>
      </w:pPr>
    </w:p>
    <w:p w14:paraId="253D7836">
      <w:pPr>
        <w:pStyle w:val="2"/>
        <w:ind w:firstLine="0"/>
        <w:rPr>
          <w:rFonts w:cs="宋体" w:asciiTheme="minorEastAsia" w:hAnsiTheme="minorEastAsia" w:eastAsiaTheme="minorEastAsia"/>
          <w:b/>
          <w:szCs w:val="28"/>
          <w:highlight w:val="none"/>
        </w:rPr>
      </w:pPr>
    </w:p>
    <w:p w14:paraId="6B4862D1">
      <w:pPr>
        <w:pStyle w:val="2"/>
        <w:ind w:firstLine="0"/>
        <w:rPr>
          <w:rFonts w:cs="宋体" w:asciiTheme="minorEastAsia" w:hAnsiTheme="minorEastAsia" w:eastAsiaTheme="minorEastAsia"/>
          <w:b/>
          <w:szCs w:val="28"/>
          <w:highlight w:val="none"/>
        </w:rPr>
      </w:pPr>
    </w:p>
    <w:p w14:paraId="5C53C6B7">
      <w:pPr>
        <w:pStyle w:val="2"/>
        <w:ind w:firstLine="0"/>
        <w:rPr>
          <w:rFonts w:cs="宋体" w:asciiTheme="minorEastAsia" w:hAnsiTheme="minorEastAsia" w:eastAsiaTheme="minorEastAsia"/>
          <w:b/>
          <w:szCs w:val="28"/>
          <w:highlight w:val="none"/>
        </w:rPr>
      </w:pPr>
    </w:p>
    <w:p w14:paraId="6197C743">
      <w:pPr>
        <w:pStyle w:val="2"/>
        <w:ind w:firstLine="0"/>
        <w:rPr>
          <w:rFonts w:cs="宋体" w:asciiTheme="minorEastAsia" w:hAnsiTheme="minorEastAsia" w:eastAsiaTheme="minorEastAsia"/>
          <w:b/>
          <w:szCs w:val="28"/>
          <w:highlight w:val="none"/>
        </w:rPr>
      </w:pPr>
    </w:p>
    <w:p w14:paraId="7BD498E1">
      <w:pPr>
        <w:pStyle w:val="2"/>
        <w:ind w:firstLine="0"/>
        <w:rPr>
          <w:rFonts w:cs="宋体" w:asciiTheme="minorEastAsia" w:hAnsiTheme="minorEastAsia" w:eastAsiaTheme="minorEastAsia"/>
          <w:b/>
          <w:szCs w:val="28"/>
          <w:highlight w:val="none"/>
        </w:rPr>
      </w:pPr>
    </w:p>
    <w:p w14:paraId="2A084A9F">
      <w:pPr>
        <w:pStyle w:val="2"/>
        <w:ind w:firstLine="0"/>
        <w:rPr>
          <w:rFonts w:cs="宋体" w:asciiTheme="minorEastAsia" w:hAnsiTheme="minorEastAsia" w:eastAsiaTheme="minorEastAsia"/>
          <w:b/>
          <w:szCs w:val="28"/>
          <w:highlight w:val="none"/>
        </w:rPr>
      </w:pPr>
    </w:p>
    <w:p w14:paraId="185E9EBD">
      <w:pPr>
        <w:pStyle w:val="2"/>
        <w:ind w:firstLine="0"/>
        <w:rPr>
          <w:rFonts w:cs="宋体" w:asciiTheme="minorEastAsia" w:hAnsiTheme="minorEastAsia" w:eastAsiaTheme="minorEastAsia"/>
          <w:b/>
          <w:szCs w:val="28"/>
          <w:highlight w:val="none"/>
        </w:rPr>
      </w:pPr>
    </w:p>
    <w:p w14:paraId="00FC6A44">
      <w:pPr>
        <w:pStyle w:val="2"/>
        <w:ind w:firstLine="0"/>
        <w:rPr>
          <w:rFonts w:cs="宋体" w:asciiTheme="minorEastAsia" w:hAnsiTheme="minorEastAsia" w:eastAsiaTheme="minorEastAsia"/>
          <w:b/>
          <w:szCs w:val="28"/>
          <w:highlight w:val="none"/>
        </w:rPr>
      </w:pPr>
    </w:p>
    <w:p w14:paraId="6E856F9E">
      <w:pPr>
        <w:pStyle w:val="2"/>
        <w:ind w:firstLine="0"/>
        <w:rPr>
          <w:rFonts w:cs="宋体" w:asciiTheme="minorEastAsia" w:hAnsiTheme="minorEastAsia" w:eastAsiaTheme="minorEastAsia"/>
          <w:b/>
          <w:szCs w:val="28"/>
          <w:highlight w:val="none"/>
        </w:rPr>
      </w:pPr>
    </w:p>
    <w:p w14:paraId="79825571">
      <w:pPr>
        <w:pStyle w:val="2"/>
        <w:ind w:firstLine="0"/>
        <w:rPr>
          <w:rFonts w:cs="宋体" w:asciiTheme="minorEastAsia" w:hAnsiTheme="minorEastAsia" w:eastAsiaTheme="minorEastAsia"/>
          <w:b/>
          <w:szCs w:val="28"/>
          <w:highlight w:val="none"/>
        </w:rPr>
      </w:pPr>
    </w:p>
    <w:p w14:paraId="139AFF9B">
      <w:pPr>
        <w:numPr>
          <w:ilvl w:val="0"/>
          <w:numId w:val="3"/>
        </w:numPr>
        <w:spacing w:line="360" w:lineRule="auto"/>
        <w:ind w:firstLine="643"/>
        <w:jc w:val="center"/>
        <w:rPr>
          <w:rFonts w:cs="宋体" w:asciiTheme="minorEastAsia" w:hAnsiTheme="minorEastAsia" w:eastAsiaTheme="minorEastAsia"/>
          <w:b/>
          <w:bCs/>
          <w:sz w:val="32"/>
          <w:szCs w:val="32"/>
          <w:highlight w:val="none"/>
        </w:rPr>
      </w:pPr>
      <w:r>
        <w:rPr>
          <w:rFonts w:hint="eastAsia" w:cs="宋体" w:asciiTheme="minorEastAsia" w:hAnsiTheme="minorEastAsia" w:eastAsiaTheme="minorEastAsia"/>
          <w:b/>
          <w:bCs/>
          <w:sz w:val="32"/>
          <w:szCs w:val="32"/>
          <w:highlight w:val="none"/>
        </w:rPr>
        <w:t>采购需求</w:t>
      </w:r>
    </w:p>
    <w:p w14:paraId="18BC7740">
      <w:pPr>
        <w:spacing w:line="360" w:lineRule="auto"/>
        <w:ind w:firstLine="482" w:firstLineChars="200"/>
        <w:rPr>
          <w:rFonts w:ascii="宋体" w:hAnsi="宋体" w:cs="宋体"/>
          <w:b/>
          <w:sz w:val="24"/>
          <w:highlight w:val="none"/>
        </w:rPr>
      </w:pPr>
      <w:r>
        <w:rPr>
          <w:rFonts w:hint="eastAsia" w:ascii="宋体" w:hAnsi="宋体" w:cs="宋体"/>
          <w:b/>
          <w:sz w:val="24"/>
          <w:highlight w:val="none"/>
          <w:lang w:val="zh-CN"/>
        </w:rPr>
        <w:t>项目属性：服务类项目</w:t>
      </w:r>
    </w:p>
    <w:p w14:paraId="33CF9352">
      <w:pPr>
        <w:widowControl/>
        <w:spacing w:line="360" w:lineRule="auto"/>
        <w:ind w:firstLine="482" w:firstLineChars="200"/>
        <w:rPr>
          <w:rFonts w:ascii="宋体" w:hAnsi="宋体" w:cs="宋体"/>
          <w:sz w:val="24"/>
          <w:highlight w:val="none"/>
        </w:rPr>
      </w:pPr>
      <w:r>
        <w:rPr>
          <w:rFonts w:hint="eastAsia" w:ascii="宋体" w:hAnsi="宋体" w:cs="宋体"/>
          <w:b/>
          <w:bCs/>
          <w:sz w:val="24"/>
          <w:highlight w:val="none"/>
        </w:rPr>
        <w:t>一、项目概况</w:t>
      </w:r>
    </w:p>
    <w:p w14:paraId="7DA1ADE5">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紧密围绕精准、科学和依法治污的需要，以实现 PM2.5 和臭氧浓度升高态势得到扭转为目标，从短期污染应急、长期综合减排为综合考量，开展盐南高新区大气污染精准溯源和分析工作；综合利用颗粒物激光雷达、臭氧激光雷达和六参数走航相结合的方式，对盐南高新区进行监测溯源，提供深度分析报告并制定精细化管控措施，全力保障盐南高新区大气污染防治工作成效。</w:t>
      </w:r>
    </w:p>
    <w:p w14:paraId="045492C3">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二、服务内容</w:t>
      </w:r>
    </w:p>
    <w:tbl>
      <w:tblPr>
        <w:tblStyle w:val="48"/>
        <w:tblW w:w="0" w:type="auto"/>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4"/>
        <w:gridCol w:w="1912"/>
        <w:gridCol w:w="4884"/>
        <w:gridCol w:w="1348"/>
      </w:tblGrid>
      <w:tr w14:paraId="13A3E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7" w:hRule="atLeast"/>
        </w:trPr>
        <w:tc>
          <w:tcPr>
            <w:tcW w:w="744" w:type="dxa"/>
            <w:vAlign w:val="center"/>
          </w:tcPr>
          <w:p w14:paraId="51F7C6D3">
            <w:pPr>
              <w:spacing w:line="360" w:lineRule="auto"/>
              <w:jc w:val="center"/>
              <w:rPr>
                <w:rFonts w:ascii="Times New Roman" w:hAnsi="Times New Roman"/>
                <w:sz w:val="24"/>
                <w:highlight w:val="none"/>
              </w:rPr>
            </w:pPr>
            <w:bookmarkStart w:id="117" w:name="OLE_LINK6"/>
            <w:r>
              <w:rPr>
                <w:rFonts w:hint="eastAsia" w:ascii="Times New Roman" w:hAnsi="Times New Roman"/>
                <w:sz w:val="24"/>
                <w:highlight w:val="none"/>
              </w:rPr>
              <w:t>序号</w:t>
            </w:r>
          </w:p>
        </w:tc>
        <w:tc>
          <w:tcPr>
            <w:tcW w:w="1912" w:type="dxa"/>
            <w:vAlign w:val="center"/>
          </w:tcPr>
          <w:p w14:paraId="338B8C2E">
            <w:pPr>
              <w:spacing w:line="360" w:lineRule="auto"/>
              <w:jc w:val="center"/>
              <w:rPr>
                <w:rFonts w:ascii="Times New Roman" w:hAnsi="Times New Roman"/>
                <w:sz w:val="24"/>
                <w:highlight w:val="none"/>
              </w:rPr>
            </w:pPr>
            <w:r>
              <w:rPr>
                <w:rFonts w:hint="eastAsia" w:ascii="Times New Roman" w:hAnsi="Times New Roman"/>
                <w:sz w:val="24"/>
                <w:highlight w:val="none"/>
              </w:rPr>
              <w:t>名称</w:t>
            </w:r>
          </w:p>
        </w:tc>
        <w:tc>
          <w:tcPr>
            <w:tcW w:w="4884" w:type="dxa"/>
            <w:vAlign w:val="center"/>
          </w:tcPr>
          <w:p w14:paraId="1BB6A7E3">
            <w:pPr>
              <w:spacing w:line="360" w:lineRule="auto"/>
              <w:jc w:val="center"/>
              <w:rPr>
                <w:rFonts w:ascii="Times New Roman" w:hAnsi="Times New Roman"/>
                <w:sz w:val="24"/>
                <w:highlight w:val="none"/>
              </w:rPr>
            </w:pPr>
            <w:r>
              <w:rPr>
                <w:rFonts w:hint="eastAsia" w:ascii="Times New Roman" w:hAnsi="Times New Roman"/>
                <w:sz w:val="24"/>
                <w:highlight w:val="none"/>
              </w:rPr>
              <w:t>服务内容</w:t>
            </w:r>
          </w:p>
        </w:tc>
        <w:tc>
          <w:tcPr>
            <w:tcW w:w="1348" w:type="dxa"/>
            <w:vAlign w:val="center"/>
          </w:tcPr>
          <w:p w14:paraId="50EB9B0C">
            <w:pPr>
              <w:spacing w:line="360" w:lineRule="auto"/>
              <w:jc w:val="center"/>
              <w:rPr>
                <w:rFonts w:ascii="Times New Roman" w:hAnsi="Times New Roman"/>
                <w:sz w:val="24"/>
                <w:highlight w:val="none"/>
              </w:rPr>
            </w:pPr>
            <w:r>
              <w:rPr>
                <w:rFonts w:hint="eastAsia" w:ascii="Times New Roman" w:hAnsi="Times New Roman"/>
                <w:sz w:val="24"/>
                <w:highlight w:val="none"/>
              </w:rPr>
              <w:t>备注</w:t>
            </w:r>
          </w:p>
        </w:tc>
      </w:tr>
      <w:tr w14:paraId="19CC2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2" w:hRule="atLeast"/>
        </w:trPr>
        <w:tc>
          <w:tcPr>
            <w:tcW w:w="744" w:type="dxa"/>
            <w:vAlign w:val="center"/>
          </w:tcPr>
          <w:p w14:paraId="5787385E">
            <w:pPr>
              <w:spacing w:line="360" w:lineRule="auto"/>
              <w:jc w:val="center"/>
              <w:rPr>
                <w:rFonts w:ascii="Times New Roman" w:hAnsi="Times New Roman"/>
                <w:sz w:val="24"/>
                <w:highlight w:val="none"/>
              </w:rPr>
            </w:pPr>
            <w:r>
              <w:rPr>
                <w:rFonts w:hint="eastAsia" w:ascii="Times New Roman" w:hAnsi="Times New Roman"/>
                <w:sz w:val="24"/>
                <w:highlight w:val="none"/>
              </w:rPr>
              <w:t>1</w:t>
            </w:r>
          </w:p>
        </w:tc>
        <w:tc>
          <w:tcPr>
            <w:tcW w:w="1912" w:type="dxa"/>
            <w:vAlign w:val="center"/>
          </w:tcPr>
          <w:p w14:paraId="0691C186">
            <w:pPr>
              <w:spacing w:line="360" w:lineRule="auto"/>
              <w:rPr>
                <w:rFonts w:ascii="Times New Roman" w:hAnsi="Times New Roman"/>
                <w:sz w:val="24"/>
                <w:highlight w:val="none"/>
              </w:rPr>
            </w:pPr>
            <w:r>
              <w:rPr>
                <w:rFonts w:hint="eastAsia" w:ascii="Times New Roman" w:hAnsi="Times New Roman"/>
                <w:sz w:val="24"/>
                <w:highlight w:val="none"/>
              </w:rPr>
              <w:t>点位规划与方案设计</w:t>
            </w:r>
          </w:p>
        </w:tc>
        <w:tc>
          <w:tcPr>
            <w:tcW w:w="4884" w:type="dxa"/>
            <w:vAlign w:val="center"/>
          </w:tcPr>
          <w:p w14:paraId="58EB519A">
            <w:pPr>
              <w:spacing w:line="360" w:lineRule="auto"/>
              <w:rPr>
                <w:rFonts w:ascii="Times New Roman" w:hAnsi="Times New Roman"/>
                <w:sz w:val="24"/>
                <w:highlight w:val="none"/>
              </w:rPr>
            </w:pPr>
            <w:r>
              <w:rPr>
                <w:rFonts w:hint="eastAsia" w:ascii="Times New Roman" w:hAnsi="Times New Roman"/>
                <w:sz w:val="24"/>
                <w:highlight w:val="none"/>
              </w:rPr>
              <w:t>结合盐南高新区污染特征及区域分布，科学选定雷达监测点位，编制点位布设技术方案，确保重点区域覆盖。</w:t>
            </w:r>
          </w:p>
        </w:tc>
        <w:tc>
          <w:tcPr>
            <w:tcW w:w="1348" w:type="dxa"/>
            <w:vAlign w:val="center"/>
          </w:tcPr>
          <w:p w14:paraId="058FEEEA">
            <w:pPr>
              <w:spacing w:line="360" w:lineRule="auto"/>
              <w:jc w:val="center"/>
              <w:rPr>
                <w:rFonts w:ascii="Times New Roman" w:hAnsi="Times New Roman"/>
                <w:sz w:val="24"/>
                <w:highlight w:val="none"/>
              </w:rPr>
            </w:pPr>
            <w:r>
              <w:rPr>
                <w:rFonts w:hint="eastAsia" w:ascii="Times New Roman" w:hAnsi="Times New Roman"/>
                <w:sz w:val="24"/>
                <w:highlight w:val="none"/>
              </w:rPr>
              <w:t>采购服务</w:t>
            </w:r>
          </w:p>
        </w:tc>
      </w:tr>
      <w:tr w14:paraId="04E3E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vAlign w:val="center"/>
          </w:tcPr>
          <w:p w14:paraId="3E737542">
            <w:pPr>
              <w:spacing w:line="360" w:lineRule="auto"/>
              <w:jc w:val="center"/>
              <w:rPr>
                <w:rFonts w:ascii="Times New Roman" w:hAnsi="Times New Roman"/>
                <w:sz w:val="24"/>
                <w:highlight w:val="none"/>
              </w:rPr>
            </w:pPr>
            <w:r>
              <w:rPr>
                <w:rFonts w:hint="eastAsia" w:ascii="Times New Roman" w:hAnsi="Times New Roman"/>
                <w:sz w:val="24"/>
                <w:highlight w:val="none"/>
              </w:rPr>
              <w:t>2</w:t>
            </w:r>
          </w:p>
        </w:tc>
        <w:tc>
          <w:tcPr>
            <w:tcW w:w="1912" w:type="dxa"/>
            <w:vAlign w:val="center"/>
          </w:tcPr>
          <w:p w14:paraId="211CD80D">
            <w:pPr>
              <w:spacing w:line="360" w:lineRule="auto"/>
              <w:rPr>
                <w:rFonts w:ascii="Times New Roman" w:hAnsi="Times New Roman"/>
                <w:sz w:val="24"/>
                <w:highlight w:val="none"/>
              </w:rPr>
            </w:pPr>
            <w:r>
              <w:rPr>
                <w:rFonts w:hint="eastAsia" w:ascii="Times New Roman" w:hAnsi="Times New Roman"/>
                <w:sz w:val="24"/>
                <w:highlight w:val="none"/>
              </w:rPr>
              <w:t>颗粒物激光雷达水平扫描监测服务</w:t>
            </w:r>
          </w:p>
        </w:tc>
        <w:tc>
          <w:tcPr>
            <w:tcW w:w="4884" w:type="dxa"/>
            <w:vAlign w:val="center"/>
          </w:tcPr>
          <w:p w14:paraId="08FE2767">
            <w:pPr>
              <w:spacing w:line="360" w:lineRule="auto"/>
              <w:rPr>
                <w:rFonts w:ascii="Times New Roman" w:hAnsi="Times New Roman"/>
                <w:sz w:val="24"/>
                <w:highlight w:val="none"/>
              </w:rPr>
            </w:pPr>
            <w:r>
              <w:rPr>
                <w:rFonts w:hint="eastAsia" w:ascii="Times New Roman" w:hAnsi="Times New Roman"/>
                <w:sz w:val="24"/>
                <w:highlight w:val="none"/>
              </w:rPr>
              <w:t>项目执行期内，租用1台颗粒物激光雷达，开展颗粒物激光雷达水平扫描监测，辅助推进秋冬季颗粒物防治工作。费用不限于包括：设备折旧费、运输费等。</w:t>
            </w:r>
          </w:p>
        </w:tc>
        <w:tc>
          <w:tcPr>
            <w:tcW w:w="1348" w:type="dxa"/>
            <w:vAlign w:val="center"/>
          </w:tcPr>
          <w:p w14:paraId="713775B5">
            <w:pPr>
              <w:spacing w:line="360" w:lineRule="auto"/>
              <w:jc w:val="center"/>
              <w:rPr>
                <w:rFonts w:ascii="Times New Roman" w:hAnsi="Times New Roman"/>
                <w:sz w:val="24"/>
                <w:highlight w:val="none"/>
              </w:rPr>
            </w:pPr>
            <w:r>
              <w:rPr>
                <w:rFonts w:hint="eastAsia" w:ascii="Times New Roman" w:hAnsi="Times New Roman"/>
                <w:sz w:val="24"/>
                <w:highlight w:val="none"/>
              </w:rPr>
              <w:t>采购服务</w:t>
            </w:r>
          </w:p>
        </w:tc>
      </w:tr>
      <w:tr w14:paraId="736C9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vAlign w:val="center"/>
          </w:tcPr>
          <w:p w14:paraId="7AC5B561">
            <w:pPr>
              <w:spacing w:line="360" w:lineRule="auto"/>
              <w:jc w:val="center"/>
              <w:rPr>
                <w:rFonts w:ascii="Times New Roman" w:hAnsi="Times New Roman"/>
                <w:sz w:val="24"/>
                <w:highlight w:val="none"/>
              </w:rPr>
            </w:pPr>
            <w:r>
              <w:rPr>
                <w:rFonts w:hint="eastAsia" w:ascii="Times New Roman" w:hAnsi="Times New Roman"/>
                <w:sz w:val="24"/>
                <w:highlight w:val="none"/>
              </w:rPr>
              <w:t>3</w:t>
            </w:r>
          </w:p>
        </w:tc>
        <w:tc>
          <w:tcPr>
            <w:tcW w:w="1912" w:type="dxa"/>
            <w:vAlign w:val="center"/>
          </w:tcPr>
          <w:p w14:paraId="26923B49">
            <w:pPr>
              <w:spacing w:line="360" w:lineRule="auto"/>
              <w:rPr>
                <w:rFonts w:ascii="Times New Roman" w:hAnsi="Times New Roman"/>
                <w:sz w:val="24"/>
                <w:highlight w:val="none"/>
              </w:rPr>
            </w:pPr>
            <w:r>
              <w:rPr>
                <w:rFonts w:hint="eastAsia" w:ascii="Times New Roman" w:hAnsi="Times New Roman"/>
                <w:sz w:val="24"/>
                <w:highlight w:val="none"/>
              </w:rPr>
              <w:t>臭氧激光雷达水平扫描监测服务</w:t>
            </w:r>
          </w:p>
        </w:tc>
        <w:tc>
          <w:tcPr>
            <w:tcW w:w="4884" w:type="dxa"/>
            <w:vAlign w:val="center"/>
          </w:tcPr>
          <w:p w14:paraId="29F066E9">
            <w:pPr>
              <w:spacing w:line="360" w:lineRule="auto"/>
              <w:rPr>
                <w:rFonts w:ascii="Times New Roman" w:hAnsi="Times New Roman"/>
                <w:sz w:val="24"/>
                <w:highlight w:val="none"/>
              </w:rPr>
            </w:pPr>
            <w:r>
              <w:rPr>
                <w:rFonts w:hint="eastAsia" w:ascii="Times New Roman" w:hAnsi="Times New Roman"/>
                <w:sz w:val="24"/>
                <w:highlight w:val="none"/>
              </w:rPr>
              <w:t>项目执行期内，租用1台臭氧激光雷达，开展为期7个月的臭氧激光雷达水平扫描监测，辅助推进4-10月份臭氧防治工作。费用不限于包括：设备折旧费、运输费用、运维费等。</w:t>
            </w:r>
          </w:p>
        </w:tc>
        <w:tc>
          <w:tcPr>
            <w:tcW w:w="1348" w:type="dxa"/>
            <w:vAlign w:val="center"/>
          </w:tcPr>
          <w:p w14:paraId="1E7E360D">
            <w:pPr>
              <w:spacing w:line="360" w:lineRule="auto"/>
              <w:jc w:val="center"/>
              <w:rPr>
                <w:rFonts w:ascii="Times New Roman" w:hAnsi="Times New Roman"/>
                <w:sz w:val="24"/>
                <w:highlight w:val="none"/>
              </w:rPr>
            </w:pPr>
            <w:r>
              <w:rPr>
                <w:rFonts w:hint="eastAsia" w:ascii="Times New Roman" w:hAnsi="Times New Roman"/>
                <w:sz w:val="24"/>
                <w:highlight w:val="none"/>
              </w:rPr>
              <w:t>采购服务</w:t>
            </w:r>
          </w:p>
        </w:tc>
      </w:tr>
      <w:tr w14:paraId="2C8E8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vAlign w:val="center"/>
          </w:tcPr>
          <w:p w14:paraId="51C60703">
            <w:pPr>
              <w:spacing w:line="360" w:lineRule="auto"/>
              <w:jc w:val="center"/>
              <w:rPr>
                <w:rFonts w:ascii="Times New Roman" w:hAnsi="Times New Roman"/>
                <w:sz w:val="24"/>
                <w:highlight w:val="none"/>
              </w:rPr>
            </w:pPr>
            <w:r>
              <w:rPr>
                <w:rFonts w:hint="eastAsia" w:ascii="Times New Roman" w:hAnsi="Times New Roman"/>
                <w:sz w:val="24"/>
                <w:highlight w:val="none"/>
              </w:rPr>
              <w:t>4</w:t>
            </w:r>
          </w:p>
        </w:tc>
        <w:tc>
          <w:tcPr>
            <w:tcW w:w="1912" w:type="dxa"/>
            <w:vAlign w:val="center"/>
          </w:tcPr>
          <w:p w14:paraId="4B513301">
            <w:pPr>
              <w:spacing w:line="360" w:lineRule="auto"/>
              <w:rPr>
                <w:rFonts w:ascii="Times New Roman" w:hAnsi="Times New Roman"/>
                <w:sz w:val="24"/>
                <w:highlight w:val="none"/>
              </w:rPr>
            </w:pPr>
            <w:r>
              <w:rPr>
                <w:rFonts w:hint="eastAsia" w:ascii="Times New Roman" w:hAnsi="Times New Roman"/>
                <w:sz w:val="24"/>
                <w:highlight w:val="none"/>
              </w:rPr>
              <w:t>六参数走航监测服务</w:t>
            </w:r>
          </w:p>
        </w:tc>
        <w:tc>
          <w:tcPr>
            <w:tcW w:w="4884" w:type="dxa"/>
            <w:vAlign w:val="center"/>
          </w:tcPr>
          <w:p w14:paraId="34FBD20B">
            <w:pPr>
              <w:spacing w:line="360" w:lineRule="auto"/>
              <w:rPr>
                <w:rFonts w:ascii="Times New Roman" w:hAnsi="Times New Roman"/>
                <w:sz w:val="24"/>
                <w:highlight w:val="none"/>
              </w:rPr>
            </w:pPr>
            <w:r>
              <w:rPr>
                <w:rFonts w:hint="eastAsia" w:ascii="Times New Roman" w:hAnsi="Times New Roman"/>
                <w:sz w:val="24"/>
                <w:highlight w:val="none"/>
              </w:rPr>
              <w:t>项目执行期内，租用1台六参数走航车开展走航监测，开展全域全时监测工作。费用不限于包括：设备折旧费燃油费、过路费、运维费等。</w:t>
            </w:r>
          </w:p>
        </w:tc>
        <w:tc>
          <w:tcPr>
            <w:tcW w:w="1348" w:type="dxa"/>
            <w:vAlign w:val="center"/>
          </w:tcPr>
          <w:p w14:paraId="34AB91C3">
            <w:pPr>
              <w:spacing w:line="360" w:lineRule="auto"/>
              <w:jc w:val="center"/>
              <w:rPr>
                <w:rFonts w:ascii="Times New Roman" w:hAnsi="Times New Roman"/>
                <w:sz w:val="24"/>
                <w:highlight w:val="none"/>
              </w:rPr>
            </w:pPr>
            <w:r>
              <w:rPr>
                <w:rFonts w:hint="eastAsia" w:ascii="Times New Roman" w:hAnsi="Times New Roman"/>
                <w:sz w:val="24"/>
                <w:highlight w:val="none"/>
              </w:rPr>
              <w:t>采购服务</w:t>
            </w:r>
          </w:p>
        </w:tc>
      </w:tr>
      <w:tr w14:paraId="4BCB5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vAlign w:val="center"/>
          </w:tcPr>
          <w:p w14:paraId="57989DAA">
            <w:pPr>
              <w:spacing w:line="360" w:lineRule="auto"/>
              <w:jc w:val="center"/>
              <w:rPr>
                <w:rFonts w:ascii="Times New Roman" w:hAnsi="Times New Roman"/>
                <w:sz w:val="24"/>
                <w:highlight w:val="none"/>
              </w:rPr>
            </w:pPr>
            <w:r>
              <w:rPr>
                <w:rFonts w:hint="eastAsia" w:ascii="Times New Roman" w:hAnsi="Times New Roman"/>
                <w:sz w:val="24"/>
                <w:highlight w:val="none"/>
              </w:rPr>
              <w:t>5</w:t>
            </w:r>
          </w:p>
        </w:tc>
        <w:tc>
          <w:tcPr>
            <w:tcW w:w="1912" w:type="dxa"/>
            <w:vAlign w:val="center"/>
          </w:tcPr>
          <w:p w14:paraId="1DC29CB4">
            <w:pPr>
              <w:spacing w:line="360" w:lineRule="auto"/>
              <w:rPr>
                <w:rFonts w:ascii="Times New Roman" w:hAnsi="Times New Roman"/>
                <w:sz w:val="24"/>
                <w:highlight w:val="none"/>
              </w:rPr>
            </w:pPr>
            <w:r>
              <w:rPr>
                <w:rFonts w:hint="eastAsia" w:ascii="Times New Roman" w:hAnsi="Times New Roman"/>
                <w:sz w:val="24"/>
                <w:highlight w:val="none"/>
              </w:rPr>
              <w:t>驻场大气管家服务</w:t>
            </w:r>
          </w:p>
        </w:tc>
        <w:tc>
          <w:tcPr>
            <w:tcW w:w="4884" w:type="dxa"/>
            <w:vAlign w:val="center"/>
          </w:tcPr>
          <w:p w14:paraId="44DD8018">
            <w:pPr>
              <w:spacing w:line="360" w:lineRule="auto"/>
              <w:rPr>
                <w:rFonts w:ascii="Times New Roman" w:hAnsi="Times New Roman"/>
                <w:sz w:val="24"/>
                <w:highlight w:val="none"/>
              </w:rPr>
            </w:pPr>
            <w:r>
              <w:rPr>
                <w:rFonts w:hint="eastAsia" w:ascii="Times New Roman" w:hAnsi="Times New Roman"/>
                <w:sz w:val="24"/>
                <w:highlight w:val="none"/>
              </w:rPr>
              <w:t>聘用3名项目专家，开展为期大气污染防治工作，具体工作包括污染源精细化溯源、污染源台账和地图编制、日常数据分析。费用不限于包括：工资、交通费、通讯费日常补助、住宿费、服务费等。</w:t>
            </w:r>
          </w:p>
        </w:tc>
        <w:tc>
          <w:tcPr>
            <w:tcW w:w="1348" w:type="dxa"/>
            <w:vAlign w:val="center"/>
          </w:tcPr>
          <w:p w14:paraId="71671CF0">
            <w:pPr>
              <w:spacing w:line="360" w:lineRule="auto"/>
              <w:jc w:val="center"/>
              <w:rPr>
                <w:rFonts w:ascii="Times New Roman" w:hAnsi="Times New Roman"/>
                <w:sz w:val="24"/>
                <w:highlight w:val="none"/>
              </w:rPr>
            </w:pPr>
            <w:r>
              <w:rPr>
                <w:rFonts w:hint="eastAsia" w:ascii="Times New Roman" w:hAnsi="Times New Roman"/>
                <w:sz w:val="24"/>
                <w:highlight w:val="none"/>
              </w:rPr>
              <w:t>采购服务</w:t>
            </w:r>
          </w:p>
        </w:tc>
      </w:tr>
      <w:tr w14:paraId="40614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44" w:type="dxa"/>
            <w:vAlign w:val="center"/>
          </w:tcPr>
          <w:p w14:paraId="0767A21A">
            <w:pPr>
              <w:spacing w:line="360" w:lineRule="auto"/>
              <w:jc w:val="center"/>
              <w:rPr>
                <w:rFonts w:ascii="Times New Roman" w:hAnsi="Times New Roman"/>
                <w:sz w:val="24"/>
                <w:highlight w:val="none"/>
              </w:rPr>
            </w:pPr>
            <w:r>
              <w:rPr>
                <w:rFonts w:hint="eastAsia" w:ascii="Times New Roman" w:hAnsi="Times New Roman"/>
                <w:sz w:val="24"/>
                <w:highlight w:val="none"/>
              </w:rPr>
              <w:t>6</w:t>
            </w:r>
          </w:p>
        </w:tc>
        <w:tc>
          <w:tcPr>
            <w:tcW w:w="1912" w:type="dxa"/>
            <w:vAlign w:val="center"/>
          </w:tcPr>
          <w:p w14:paraId="4592BB7C">
            <w:pPr>
              <w:spacing w:line="360" w:lineRule="auto"/>
              <w:rPr>
                <w:rFonts w:ascii="Times New Roman" w:hAnsi="Times New Roman"/>
                <w:sz w:val="24"/>
                <w:highlight w:val="none"/>
              </w:rPr>
            </w:pPr>
            <w:r>
              <w:rPr>
                <w:rFonts w:hint="eastAsia" w:ascii="Times New Roman" w:hAnsi="Times New Roman"/>
                <w:sz w:val="24"/>
                <w:highlight w:val="none"/>
              </w:rPr>
              <w:t>工作计划安排</w:t>
            </w:r>
          </w:p>
        </w:tc>
        <w:tc>
          <w:tcPr>
            <w:tcW w:w="4884" w:type="dxa"/>
            <w:vAlign w:val="center"/>
          </w:tcPr>
          <w:p w14:paraId="7DDC25CD">
            <w:pPr>
              <w:spacing w:line="360" w:lineRule="auto"/>
              <w:rPr>
                <w:rFonts w:ascii="Times New Roman" w:hAnsi="Times New Roman"/>
                <w:sz w:val="24"/>
                <w:highlight w:val="none"/>
              </w:rPr>
            </w:pPr>
            <w:r>
              <w:rPr>
                <w:rFonts w:hint="eastAsia" w:ascii="Times New Roman" w:hAnsi="Times New Roman"/>
                <w:sz w:val="24"/>
                <w:highlight w:val="none"/>
              </w:rPr>
              <w:t>制定空气质量日常工作流程、巡查流程和每周会商机制</w:t>
            </w:r>
          </w:p>
        </w:tc>
        <w:tc>
          <w:tcPr>
            <w:tcW w:w="1348" w:type="dxa"/>
            <w:vAlign w:val="center"/>
          </w:tcPr>
          <w:p w14:paraId="1039E589">
            <w:pPr>
              <w:spacing w:line="360" w:lineRule="auto"/>
              <w:jc w:val="center"/>
              <w:rPr>
                <w:rFonts w:ascii="Times New Roman" w:hAnsi="Times New Roman"/>
                <w:sz w:val="24"/>
                <w:highlight w:val="none"/>
              </w:rPr>
            </w:pPr>
            <w:r>
              <w:rPr>
                <w:rFonts w:hint="eastAsia" w:ascii="Times New Roman" w:hAnsi="Times New Roman"/>
                <w:sz w:val="24"/>
                <w:highlight w:val="none"/>
              </w:rPr>
              <w:t>采购服务</w:t>
            </w:r>
          </w:p>
        </w:tc>
      </w:tr>
      <w:tr w14:paraId="67FAC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744" w:type="dxa"/>
            <w:vAlign w:val="center"/>
          </w:tcPr>
          <w:p w14:paraId="2F9CBB50">
            <w:pPr>
              <w:spacing w:line="360" w:lineRule="auto"/>
              <w:jc w:val="center"/>
              <w:rPr>
                <w:rFonts w:ascii="Times New Roman" w:hAnsi="Times New Roman"/>
                <w:sz w:val="24"/>
                <w:highlight w:val="none"/>
              </w:rPr>
            </w:pPr>
            <w:r>
              <w:rPr>
                <w:rFonts w:hint="eastAsia" w:ascii="Times New Roman" w:hAnsi="Times New Roman"/>
                <w:sz w:val="24"/>
                <w:highlight w:val="none"/>
              </w:rPr>
              <w:t>7</w:t>
            </w:r>
          </w:p>
        </w:tc>
        <w:tc>
          <w:tcPr>
            <w:tcW w:w="1912" w:type="dxa"/>
            <w:vAlign w:val="center"/>
          </w:tcPr>
          <w:p w14:paraId="286B4200">
            <w:pPr>
              <w:spacing w:line="360" w:lineRule="auto"/>
              <w:jc w:val="center"/>
              <w:rPr>
                <w:rFonts w:ascii="Times New Roman" w:hAnsi="Times New Roman"/>
                <w:sz w:val="24"/>
                <w:highlight w:val="none"/>
              </w:rPr>
            </w:pPr>
            <w:r>
              <w:rPr>
                <w:rFonts w:hint="eastAsia" w:ascii="Times New Roman" w:hAnsi="Times New Roman"/>
                <w:sz w:val="24"/>
                <w:highlight w:val="none"/>
              </w:rPr>
              <w:t>重点行业“一行一策”服务</w:t>
            </w:r>
          </w:p>
        </w:tc>
        <w:tc>
          <w:tcPr>
            <w:tcW w:w="4884" w:type="dxa"/>
            <w:vAlign w:val="center"/>
          </w:tcPr>
          <w:p w14:paraId="60CF09B8">
            <w:pPr>
              <w:spacing w:line="360" w:lineRule="auto"/>
              <w:rPr>
                <w:rFonts w:ascii="Times New Roman" w:hAnsi="Times New Roman"/>
                <w:sz w:val="24"/>
                <w:highlight w:val="none"/>
              </w:rPr>
            </w:pPr>
            <w:r>
              <w:rPr>
                <w:rFonts w:hint="eastAsia" w:ascii="Times New Roman" w:hAnsi="Times New Roman"/>
                <w:sz w:val="24"/>
                <w:highlight w:val="none"/>
              </w:rPr>
              <w:t>为打造重点示范行业，开展一行一策工作，并形成管控方案，主要内容包括确定减排环节，减排方案、以及督导评估，形成“把脉-开方-病愈”的闭环帮扶模式，指导行业靶向治理，实现有效减排与空气质量的持续改善。</w:t>
            </w:r>
          </w:p>
        </w:tc>
        <w:tc>
          <w:tcPr>
            <w:tcW w:w="1348" w:type="dxa"/>
            <w:vAlign w:val="center"/>
          </w:tcPr>
          <w:p w14:paraId="0AE34253">
            <w:pPr>
              <w:spacing w:line="360" w:lineRule="auto"/>
              <w:jc w:val="center"/>
              <w:rPr>
                <w:rFonts w:ascii="Times New Roman" w:hAnsi="Times New Roman"/>
                <w:sz w:val="24"/>
                <w:highlight w:val="none"/>
              </w:rPr>
            </w:pPr>
            <w:r>
              <w:rPr>
                <w:rFonts w:hint="eastAsia" w:ascii="Times New Roman" w:hAnsi="Times New Roman"/>
                <w:sz w:val="24"/>
                <w:highlight w:val="none"/>
              </w:rPr>
              <w:t>采购服务</w:t>
            </w:r>
          </w:p>
        </w:tc>
      </w:tr>
      <w:bookmarkEnd w:id="117"/>
    </w:tbl>
    <w:p w14:paraId="4A42C68E">
      <w:pPr>
        <w:spacing w:line="360" w:lineRule="auto"/>
        <w:ind w:firstLine="482" w:firstLineChars="200"/>
        <w:jc w:val="left"/>
        <w:rPr>
          <w:rFonts w:ascii="Times New Roman" w:hAnsi="Times New Roman"/>
          <w:b/>
          <w:sz w:val="24"/>
          <w:highlight w:val="none"/>
        </w:rPr>
      </w:pPr>
      <w:r>
        <w:rPr>
          <w:rFonts w:ascii="Times New Roman" w:hAnsi="Times New Roman"/>
          <w:b/>
          <w:sz w:val="24"/>
          <w:highlight w:val="none"/>
        </w:rPr>
        <w:t>三、服务方案</w:t>
      </w:r>
    </w:p>
    <w:p w14:paraId="128DFE74">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3.1点位规划与方案设计</w:t>
      </w:r>
    </w:p>
    <w:p w14:paraId="6733D717">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结合盐南高新区产业结构、污染源分布特征及主要大气污染物传输规律，科学选定雷达监测点位，编制本技术方案。旨在构建一个空间覆盖合理、监测目标明确、数据代表性强的雷达监测网络，实现对全区重点污染区域、传输通道及敏感区域的有效监控，为精准溯源和科学治污提供数据支撑。</w:t>
      </w:r>
    </w:p>
    <w:p w14:paraId="6FFB41BA">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3.2颗粒物激光雷达描监测服务</w:t>
      </w:r>
    </w:p>
    <w:p w14:paraId="22FA8466">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提供颗粒物激光雷达1台，对站点进行颗粒物雷达水平扫描监测，动态部署在颗粒物高值站点开展颗粒物污染水平扫描溯源监测，响应快速溯源需求；颗粒物传输天气将雷达调成垂直模式，提供站点颗粒物传输监测预报工作。</w:t>
      </w:r>
    </w:p>
    <w:p w14:paraId="52B55C67">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3.3臭氧激光雷达扫描监测服务</w:t>
      </w:r>
    </w:p>
    <w:p w14:paraId="0998AFAA">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提供臭氧激光雷达 1 台，对站点进行臭氧雷达监测，臭氧激光雷达动态部署在臭氧高值站点于 8：00-19：00 开展臭氧污染水平扫描溯源监测，响应快速溯源需求；夜间 19:00-次日 7:00 开展臭氧激光雷达监测系统垂直观测，研判夜间臭氧残留层沉降，提供站点臭氧短临预报工作。</w:t>
      </w:r>
    </w:p>
    <w:p w14:paraId="79463B17">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3.4六参数走航监测</w:t>
      </w:r>
    </w:p>
    <w:p w14:paraId="03EE23E1">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提供六参数走航车 1 辆（搭载六参数走航仪，无人机，PID），开展全区网格化走航监测，绘制污染空间分布情况，监控重点源排放情况，针对全域工地、工业企业、加油站、汽修店、餐饮油烟、机动车尾气集中区域开展上风向和下风向专项监测，形成污染源监测清单和地图，针对污染源进行销号式管控，有效降低污染浓度。</w:t>
      </w:r>
    </w:p>
    <w:p w14:paraId="5EC16384">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3.5驻场大气管家服务</w:t>
      </w:r>
    </w:p>
    <w:p w14:paraId="0612454A">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聘用3名项目专家，开展大气污染防治工作，具体工作包括污染源精细化溯源、污染源台账和地图编制、日常数据监控分析。</w:t>
      </w:r>
    </w:p>
    <w:p w14:paraId="245D587B">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3.5.1污染源精细化溯源</w:t>
      </w:r>
    </w:p>
    <w:p w14:paraId="15DD6C40">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驻点技术人员利用走航巡查车，针对雷达监测点位的雷达扫描热点开展常态化巡查取证工作，及时将巡查到的污染源反馈到大气污染防治群内，同时针对污染源处置情况进行核实评估工作，绘制本地精细化的污染源台账和地图。</w:t>
      </w:r>
    </w:p>
    <w:p w14:paraId="606A747D">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3.5.2污染源台账和地图编制</w:t>
      </w:r>
    </w:p>
    <w:p w14:paraId="3D314BE4">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驻点技术人员对雷达监测点位周边工地扬尘、道路扬尘、工业企业排放、机动车尾气、餐饮油烟等重点大气污染源开展日常巡查工作，汇总污染源台账和地图，及时交办相关问题，并跟进落实情况。</w:t>
      </w:r>
    </w:p>
    <w:p w14:paraId="4FA7EADF">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3.5.3日常数据监控分析服务</w:t>
      </w:r>
    </w:p>
    <w:p w14:paraId="6979B4A8">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驻点技术人员负责推送雷达扫描热点，提供高值预警和每日预测分析，统计污染源信息，提供雷达监测的日报、月报、总结报告、污染过程报告。</w:t>
      </w:r>
    </w:p>
    <w:p w14:paraId="199D690A">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现场分析组依托激光雷达数据平台，持续进行实时动态监控，确保第一时间捕捉到监测点位的异常高值数据，并及时向上级部门汇报。团队充分利用监测数据资源和专业分析研判技术，深入分析污染趋势与变化规律，从而显著提升了污染形势研判的精准性和时效性。基于分析结果，有针对性地制定并推动实施“轻微污染天‘抢’优良天”专项管控方案，同时对各项管控措施的执行情况开展动态跟踪与调度协调。</w:t>
      </w:r>
    </w:p>
    <w:p w14:paraId="340491F2">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在重污染天气应对方面，小组利用平台和各项数据能够提前预警污染过程，迅速启动应急调度和管控机制，有效减缓污染累积。通过快速解析各类污染物的时空分布特征，并结合实时气象条件、本地污染源排放状况及周边区域传输影响，进行多维度、系统性分析，科学判定污染成因及潜在来源。在此基础上，提出精准的管控对策，并撰写详尽的技术分析报告，为管理决策提供有力支撑。</w:t>
      </w:r>
    </w:p>
    <w:p w14:paraId="44B094B8">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3.6工作计划安排</w:t>
      </w:r>
    </w:p>
    <w:p w14:paraId="77929CE1">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3.6.1空气质量日常工作</w:t>
      </w:r>
    </w:p>
    <w:p w14:paraId="7EA779C6">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1）每日上午9:00之前，需按时发布空气质量预报预警信息及相关管控建议通知，确保信息及时传达；同时，在每周一统一发布涵盖未来七天空气质量趋势的预测与预警内容。基于气象条件、污染排放等多方面因素，对潜在的污染形势进行综合研判和深入分析，以提供科学有效的大气污染管控建议及重污染天气应急技术支持，所有预测结果和分析内容将通过工作群及时推送。</w:t>
      </w:r>
    </w:p>
    <w:p w14:paraId="76B754DA">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2）持续跟踪当日空气质量监测数据的动态变化，并及时发布相关数据提醒。通过对空气质量监测数据平台的实时监控，迅速识别并上报监测点位数据异常升高情况，快速解析各类污染物的时空分布特征，结合气象实况、本地污染源排放状况及周边区域影响，全面研判污染成因及潜在污染来源，并提出相应的管控建议。</w:t>
      </w:r>
    </w:p>
    <w:p w14:paraId="196680B0">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（3）每日18:00前，滚动更新并发布包括污染物余量动态、气象要素等内容，确保信息的时效性和准确性，助力日常监管与决策。</w:t>
      </w:r>
    </w:p>
    <w:p w14:paraId="5EF87F15">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（4）在目标计划方面，将针对特定时段制定总体空气质量改善目标，并进一步将计划分解至每周及每日的具体执行目标，以实现精细化、阶段化的管理。</w:t>
      </w:r>
    </w:p>
    <w:p w14:paraId="252FB939">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3.6.2日常巡查</w:t>
      </w:r>
    </w:p>
    <w:p w14:paraId="149785B9">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工地巡查工作：当日由两名巡查人员于上午9点前准时出发，前往高值点位开展全面巡查，巡查过程中会根据现场实际情况动态调整巡查位置和路线，确保覆盖重点区域。在巡查过程中，如发现污染源，立即按照规定格式进行记录并实时发送至工作群内，确保信息及时传递与响应。巡查人员需在当日18:00前完成并发出今日巡查日报，同时认真填写在线巡查清单表格，详细记录巡查情况，形成完整的污染源台账，为后续管理提供依据。</w:t>
      </w:r>
    </w:p>
    <w:p w14:paraId="10741928">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企业巡查安排：根据数据情况提前一天制定企业巡查的详细计划，包括具体企业名单、巡查时段及重点内容等。通过开展企业巡查，全面摸清企业的基本生产数据、生产工艺流程以及废气处理设备的运行状态，确保巡查工作有针对性。巡查结束后，及时整理相关信息，形成本地化的企业管理台账，为环境管理提供数据支持。</w:t>
      </w:r>
    </w:p>
    <w:p w14:paraId="1526B239">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餐饮源巡查工作：根据数据情况不定期组织餐饮源巡查，重点检查餐饮单位的油烟排放及废弃物处理情况，确保符合环保要求，减少对周边环境的影响。</w:t>
      </w:r>
    </w:p>
    <w:p w14:paraId="108C466D">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3.6.3每周会商</w:t>
      </w:r>
    </w:p>
    <w:p w14:paraId="5B15C33F">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为更好开展空气质量管控治理工作，建立环境空气质量会商研判机制，编制会商报告，会商每个周举行一次，驻点团队梳理上个月问题点，指导开展下周工作。</w:t>
      </w:r>
    </w:p>
    <w:p w14:paraId="5F4E7099">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3.7重点行业“一行一策”服务</w:t>
      </w:r>
    </w:p>
    <w:p w14:paraId="51948F78">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为打造重点示范行业，开展一行一策工作，并形成管控方案，主要内容包括确定减排环节，减排方案、以及督导评估，形成“把脉-开方-病愈”的闭环帮扶模式，指导行业靶向治理，实现有效减排与空气质量的持续改善。</w:t>
      </w:r>
    </w:p>
    <w:p w14:paraId="267E0E08">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四、验收标准：</w:t>
      </w:r>
    </w:p>
    <w:p w14:paraId="70E26F87">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4.1提供不少于 360 份的数据分析报告</w:t>
      </w:r>
    </w:p>
    <w:p w14:paraId="04C0E2BB">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4.2动态更新的盐南高新区的污染源地图</w:t>
      </w:r>
    </w:p>
    <w:p w14:paraId="0DE819B1">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4.3动态更新的盐南高新区的污染源清单</w:t>
      </w:r>
    </w:p>
    <w:p w14:paraId="4848B3AA">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4.4重污染天气分析报告</w:t>
      </w:r>
    </w:p>
    <w:p w14:paraId="6BAE98EB">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五、服务产品指标</w:t>
      </w:r>
    </w:p>
    <w:p w14:paraId="2100DF80">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为了确保服务质量，提升项目在监测过程中的高科技、精准性，对设备提出与监测相关的参数要求。</w:t>
      </w:r>
    </w:p>
    <w:p w14:paraId="2DBDF450">
      <w:pPr>
        <w:widowControl/>
        <w:spacing w:line="360" w:lineRule="auto"/>
        <w:ind w:firstLine="482" w:firstLineChars="200"/>
        <w:rPr>
          <w:rFonts w:ascii="宋体" w:hAnsi="宋体" w:cs="宋体"/>
          <w:sz w:val="24"/>
          <w:highlight w:val="none"/>
        </w:rPr>
      </w:pPr>
      <w:r>
        <w:rPr>
          <w:rFonts w:hint="eastAsia" w:ascii="宋体" w:hAnsi="宋体" w:cs="宋体"/>
          <w:b/>
          <w:bCs/>
          <w:sz w:val="24"/>
          <w:highlight w:val="none"/>
        </w:rPr>
        <w:t>5.1臭氧激光雷达设备参数要求</w:t>
      </w:r>
      <w:r>
        <w:rPr>
          <w:rFonts w:hint="eastAsia" w:ascii="宋体" w:hAnsi="宋体" w:cs="宋体"/>
          <w:sz w:val="24"/>
          <w:highlight w:val="none"/>
        </w:rPr>
        <w:t>：</w:t>
      </w:r>
    </w:p>
    <w:p w14:paraId="1F3D2B76">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（1）最大探测距离：≥5km。</w:t>
      </w:r>
    </w:p>
    <w:p w14:paraId="5548E974">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5.2颗粒物激光雷达设备参数要求</w:t>
      </w:r>
    </w:p>
    <w:p w14:paraId="72F9C385">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监测颗粒物污染空间分布信息，实现污染溯源工作，有力支撑颗粒物大气污染防治工作。</w:t>
      </w:r>
    </w:p>
    <w:p w14:paraId="1F440705">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（1）最大探测距离：≥5km。</w:t>
      </w:r>
    </w:p>
    <w:p w14:paraId="467731BC">
      <w:pPr>
        <w:widowControl/>
        <w:spacing w:line="360" w:lineRule="auto"/>
        <w:ind w:firstLine="482" w:firstLineChars="200"/>
        <w:rPr>
          <w:rFonts w:ascii="宋体" w:hAnsi="宋体" w:cs="宋体"/>
          <w:b/>
          <w:bCs/>
          <w:sz w:val="24"/>
          <w:highlight w:val="none"/>
        </w:rPr>
      </w:pPr>
      <w:r>
        <w:rPr>
          <w:rFonts w:hint="eastAsia" w:ascii="宋体" w:hAnsi="宋体" w:cs="宋体"/>
          <w:b/>
          <w:bCs/>
          <w:sz w:val="24"/>
          <w:highlight w:val="none"/>
        </w:rPr>
        <w:t>六、服务队伍选择</w:t>
      </w:r>
    </w:p>
    <w:p w14:paraId="191AFCBD">
      <w:pPr>
        <w:widowControl/>
        <w:spacing w:line="360" w:lineRule="auto"/>
        <w:ind w:firstLine="480" w:firstLineChars="200"/>
        <w:rPr>
          <w:rFonts w:ascii="宋体" w:hAnsi="宋体" w:cs="宋体"/>
          <w:sz w:val="24"/>
          <w:highlight w:val="none"/>
        </w:rPr>
      </w:pPr>
      <w:r>
        <w:rPr>
          <w:rFonts w:hint="eastAsia" w:ascii="宋体" w:hAnsi="宋体" w:cs="宋体"/>
          <w:sz w:val="24"/>
          <w:highlight w:val="none"/>
        </w:rPr>
        <w:t>服务单位应制定完善的管理方案、服务方案及进度安排、安全文明实施措施，具有一定的实施经验及人员力量，确保本项目顺利实施，并通过相关部门的验收。</w:t>
      </w:r>
    </w:p>
    <w:p w14:paraId="391A9503">
      <w:pPr>
        <w:spacing w:line="360" w:lineRule="auto"/>
        <w:ind w:firstLine="422"/>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七、履约</w:t>
      </w:r>
      <w:r>
        <w:rPr>
          <w:rFonts w:cs="宋体" w:asciiTheme="minorEastAsia" w:hAnsiTheme="minorEastAsia" w:eastAsiaTheme="minorEastAsia"/>
          <w:b/>
          <w:bCs/>
          <w:sz w:val="24"/>
          <w:highlight w:val="none"/>
        </w:rPr>
        <w:t>验收</w:t>
      </w:r>
    </w:p>
    <w:p w14:paraId="64D94387">
      <w:pPr>
        <w:pStyle w:val="316"/>
        <w:widowControl/>
        <w:spacing w:line="360" w:lineRule="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7.1履约验收程序：甲方组织最终验收，甲方在组织履约验收前，将根据项目特点制定验收方案，明确履约验收的时间、方式、程序等内容，并可根据项目特点对服务期内的实施情况进行分期考核，综合考核情况和服务效果进行验收。乙方应根据验收方案内容做好相应配合工作。（具体验收流程双方可视实际情况调整）</w:t>
      </w:r>
    </w:p>
    <w:p w14:paraId="66C3A618">
      <w:pPr>
        <w:pStyle w:val="316"/>
        <w:widowControl/>
        <w:spacing w:line="360" w:lineRule="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7.2履约验收的内容：甲方成立验收小组，按照合同的约定对乙方的履约情况进行验收。验收时,甲方按照合同的约定对每一项技术、质量、进度、安全标准等的履约情况进行确认。验收结束后,验收小组出具验收书,列明各项标准的验收情况及项目总体评价,由验收双方共同签署。验收结果与合同约定的资金支付及履约保证金返还条件挂钩。履约验收的各项资料存档备查。</w:t>
      </w:r>
    </w:p>
    <w:p w14:paraId="6B4E4153">
      <w:pPr>
        <w:pStyle w:val="316"/>
        <w:widowControl/>
        <w:spacing w:line="360" w:lineRule="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7.3严格执行省财政厅《关于推动解决政府采购异常低价问题相关工作的通知》（苏财购〔2025〕62号）文件要求，采购人应当严格把好政府采购履约关。对报价异常低且经磋商小组启动相关审查机制后仍中标或成交的供应商，采购人将重点关注其履约能力、履约承诺、实际履约情况等。如供应商在中标或成交后无正当理由拒不签订政府采购合同，采购人将相关情况书面报送同级财政部门，由财政部门依法追究其法律责任；如供应商在签订政府采购合同后不严格履行合同，采购人按照政府采购合同约定追究供应商违约责任，并将不良履约行为书面报送同级财政部门。</w:t>
      </w:r>
    </w:p>
    <w:p w14:paraId="0E1DE824">
      <w:pPr>
        <w:pStyle w:val="316"/>
        <w:widowControl/>
        <w:spacing w:line="360" w:lineRule="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7.4履约验收标准：合格。</w:t>
      </w:r>
    </w:p>
    <w:p w14:paraId="1AE4CA9A">
      <w:pPr>
        <w:spacing w:line="360" w:lineRule="auto"/>
        <w:ind w:firstLine="482"/>
        <w:jc w:val="left"/>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八、商务条款</w:t>
      </w:r>
    </w:p>
    <w:p w14:paraId="378E0565">
      <w:pPr>
        <w:spacing w:line="360" w:lineRule="auto"/>
        <w:ind w:firstLine="480"/>
        <w:jc w:val="lef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8.1报价要求</w:t>
      </w:r>
    </w:p>
    <w:p w14:paraId="4ACA548B">
      <w:pPr>
        <w:spacing w:line="360" w:lineRule="auto"/>
        <w:ind w:firstLine="480"/>
        <w:jc w:val="lef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本总价款包含在项目执行过程中所需的设备相关费用（租赁费、运输费、修理费、安装费）、人员费（人员相关的工资、差旅、住宿、通讯费等所有费用）在监测溯源过程中涉及的交通费、车油费、过路费、报告制作费等合理利润及政策性文件规定等各项应有费用，以及中标人为履行合同所涉及到的一切可预见和不可预见的费用。</w:t>
      </w:r>
    </w:p>
    <w:p w14:paraId="30C0228F">
      <w:pPr>
        <w:spacing w:line="360" w:lineRule="auto"/>
        <w:ind w:firstLine="480"/>
        <w:jc w:val="left"/>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8.2付款方式和时间</w:t>
      </w:r>
    </w:p>
    <w:p w14:paraId="01760D76">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按照合同总价等额结算，合同签订后10个工作日内支付合同价的 30%作为预付款；（如合同签订后，供应商明确表示无需预付款或者主动要求降低预付款比例的，由双方另行商定。）</w:t>
      </w:r>
    </w:p>
    <w:p w14:paraId="65E8EC5A">
      <w:pPr>
        <w:widowControl/>
        <w:spacing w:line="360" w:lineRule="auto"/>
        <w:ind w:firstLine="480" w:firstLineChars="20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剩余合同款项按季度支付，每完成季度工作，支付合同总价17.5%。以上付款均不计任何利息和相关费用，付款一律通过银行结转，乙方提供等额发票，甲方在财政拨款后完成支付。</w:t>
      </w:r>
    </w:p>
    <w:p w14:paraId="74E755E3">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w:t>
      </w:r>
    </w:p>
    <w:p w14:paraId="2F172825">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8.3</w:t>
      </w:r>
      <w:r>
        <w:rPr>
          <w:rFonts w:cs="宋体" w:asciiTheme="minorEastAsia" w:hAnsiTheme="minorEastAsia" w:eastAsiaTheme="minorEastAsia"/>
          <w:sz w:val="24"/>
          <w:highlight w:val="none"/>
        </w:rPr>
        <w:t>每次付款时</w:t>
      </w:r>
      <w:r>
        <w:rPr>
          <w:rFonts w:hint="eastAsia" w:cs="宋体" w:asciiTheme="minorEastAsia" w:hAnsiTheme="minorEastAsia" w:eastAsiaTheme="minorEastAsia"/>
          <w:sz w:val="24"/>
          <w:highlight w:val="none"/>
        </w:rPr>
        <w:t>成交供应商须</w:t>
      </w:r>
      <w:r>
        <w:rPr>
          <w:rFonts w:cs="宋体" w:asciiTheme="minorEastAsia" w:hAnsiTheme="minorEastAsia" w:eastAsiaTheme="minorEastAsia"/>
          <w:sz w:val="24"/>
          <w:highlight w:val="none"/>
        </w:rPr>
        <w:t>提供等额发票，否则采购人有权拒绝付款</w:t>
      </w:r>
      <w:r>
        <w:rPr>
          <w:rFonts w:hint="eastAsia" w:cs="宋体" w:asciiTheme="minorEastAsia" w:hAnsiTheme="minorEastAsia" w:eastAsiaTheme="minorEastAsia"/>
          <w:sz w:val="24"/>
          <w:highlight w:val="none"/>
        </w:rPr>
        <w:t>。</w:t>
      </w:r>
    </w:p>
    <w:p w14:paraId="34647C32">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8.4因财政审批导致的迟延支付，采购人不承担迟延支付的违约责任。</w:t>
      </w:r>
    </w:p>
    <w:p w14:paraId="6F4A5578">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8.5合同履行期限：一年。服务期满之前完成规定工作内容并通过验收。</w:t>
      </w:r>
    </w:p>
    <w:p w14:paraId="19C2A2DC">
      <w:pPr>
        <w:spacing w:line="360" w:lineRule="auto"/>
        <w:ind w:firstLine="482"/>
        <w:jc w:val="left"/>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九、其他要求</w:t>
      </w:r>
    </w:p>
    <w:p w14:paraId="584EF908">
      <w:pPr>
        <w:spacing w:line="360" w:lineRule="auto"/>
        <w:ind w:firstLine="480"/>
        <w:rPr>
          <w:rFonts w:cs="宋体" w:asciiTheme="minorEastAsia" w:hAnsiTheme="minorEastAsia" w:eastAsiaTheme="minorEastAsia"/>
          <w:sz w:val="24"/>
          <w:highlight w:val="none"/>
        </w:rPr>
      </w:pPr>
      <w:bookmarkStart w:id="118" w:name="_Hlk208755948"/>
      <w:r>
        <w:rPr>
          <w:rFonts w:hint="eastAsia" w:cs="宋体" w:asciiTheme="minorEastAsia" w:hAnsiTheme="minorEastAsia" w:eastAsiaTheme="minorEastAsia"/>
          <w:sz w:val="24"/>
          <w:highlight w:val="none"/>
        </w:rPr>
        <w:t>1、企业业绩：为保证本项目的顺利实施，要求供应商做过类似项目的优先。</w:t>
      </w:r>
    </w:p>
    <w:p w14:paraId="1B61C774">
      <w:pPr>
        <w:spacing w:line="360" w:lineRule="auto"/>
        <w:ind w:firstLine="480"/>
        <w:rPr>
          <w:rFonts w:ascii="宋体" w:hAnsi="宋体" w:cs="宋体"/>
          <w:sz w:val="24"/>
          <w:highlight w:val="none"/>
        </w:rPr>
      </w:pPr>
      <w:r>
        <w:rPr>
          <w:rFonts w:hint="eastAsia" w:cs="宋体" w:asciiTheme="minorEastAsia" w:hAnsiTheme="minorEastAsia" w:eastAsiaTheme="minorEastAsia"/>
          <w:sz w:val="24"/>
          <w:highlight w:val="none"/>
        </w:rPr>
        <w:t>2、项目组成员（含项目负责人）：</w:t>
      </w:r>
      <w:r>
        <w:rPr>
          <w:rFonts w:hint="eastAsia" w:ascii="宋体" w:hAnsi="宋体" w:cs="宋体"/>
          <w:sz w:val="24"/>
          <w:highlight w:val="none"/>
        </w:rPr>
        <w:t>具备生态环境工程相关专业中级及以上职称的</w:t>
      </w:r>
      <w:r>
        <w:rPr>
          <w:rFonts w:hint="eastAsia" w:cs="宋体" w:asciiTheme="minorEastAsia" w:hAnsiTheme="minorEastAsia" w:eastAsiaTheme="minorEastAsia"/>
          <w:sz w:val="24"/>
          <w:highlight w:val="none"/>
        </w:rPr>
        <w:t>优先，</w:t>
      </w:r>
      <w:r>
        <w:rPr>
          <w:rFonts w:hint="eastAsia" w:ascii="宋体" w:hAnsi="宋体" w:cs="宋体"/>
          <w:sz w:val="24"/>
          <w:highlight w:val="none"/>
        </w:rPr>
        <w:t>教授可对应正高工程师，副教授可对应高级工程师，团队人员需要具备登高证确保设备安装随时调整点位进行安装。</w:t>
      </w:r>
    </w:p>
    <w:p w14:paraId="06FC419A">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3、本项目设备要求：</w:t>
      </w:r>
      <w:r>
        <w:rPr>
          <w:rFonts w:hint="eastAsia" w:ascii="宋体" w:hAnsi="宋体" w:cs="宋体"/>
          <w:color w:val="000000"/>
          <w:sz w:val="24"/>
          <w:highlight w:val="none"/>
          <w:lang w:bidi="ar"/>
        </w:rPr>
        <w:t>所涉及设备包含颗粒物激光雷达、臭氧激光雷达、</w:t>
      </w:r>
      <w:r>
        <w:rPr>
          <w:rFonts w:hint="eastAsia" w:ascii="宋体" w:hAnsi="宋体" w:cs="宋体"/>
          <w:sz w:val="24"/>
          <w:highlight w:val="none"/>
        </w:rPr>
        <w:t>六参数走航仪、无人机，PID等管控监测设备，供应商须具备对应设备，其中颗粒物、臭氧激光雷达需要具备水平扫描功能，为了响应快速溯源需求，水平扫描一周时间越短越好</w:t>
      </w:r>
      <w:r>
        <w:rPr>
          <w:rFonts w:hint="eastAsia" w:ascii="宋体" w:hAnsi="宋体" w:cs="宋体"/>
          <w:color w:val="000000"/>
          <w:sz w:val="24"/>
          <w:highlight w:val="none"/>
          <w:lang w:bidi="ar"/>
        </w:rPr>
        <w:t>。</w:t>
      </w:r>
    </w:p>
    <w:p w14:paraId="6AA5ECF6">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4、整体项目准备：供应商提供的项目准备应包含本部分第三节提及的设备所有要求，包括项目所使用设备的功能以及设备实施方案，在本项方案部分须提供自研设备的第三方认证材料或外采设备的采购合同和发票，确保供应商真实拥有对应设备，降低项目执行风险。本内容设计立足项目需求：其中本项内容中设备包含或超过项目采购需求，设备实施方案具备极强的设备实施性，视为优于；本项内容设计设备缺少1套设备，设备实施方案勉强满足项目采购需求，</w:t>
      </w:r>
      <w:r>
        <w:rPr>
          <w:rFonts w:cs="宋体" w:asciiTheme="minorEastAsia" w:hAnsiTheme="minorEastAsia" w:eastAsiaTheme="minorEastAsia"/>
          <w:sz w:val="24"/>
          <w:highlight w:val="none"/>
        </w:rPr>
        <w:t>视为基本满足；本项内容缺少</w:t>
      </w:r>
      <w:r>
        <w:rPr>
          <w:rFonts w:hint="eastAsia" w:cs="宋体" w:asciiTheme="minorEastAsia" w:hAnsiTheme="minorEastAsia" w:eastAsiaTheme="minorEastAsia"/>
          <w:sz w:val="24"/>
          <w:highlight w:val="none"/>
        </w:rPr>
        <w:t>2套或以上项目设备要求</w:t>
      </w:r>
      <w:r>
        <w:rPr>
          <w:rFonts w:cs="宋体" w:asciiTheme="minorEastAsia" w:hAnsiTheme="minorEastAsia" w:eastAsiaTheme="minorEastAsia"/>
          <w:sz w:val="24"/>
          <w:highlight w:val="none"/>
        </w:rPr>
        <w:t>，视为难以满足。</w:t>
      </w:r>
    </w:p>
    <w:p w14:paraId="47C4B9F3">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5、整体服务方案：供应商提供的项目方案应包含整体服务方案模块进行评定，内容包含但不限于工作目标、工作内容、项目实施准备、人员安排、技术方法、成果交付等6项内容，本内容设计立足项目需求和可行性：其中本项内容设置超过项目基本采购需求，且具备极强的可行性，视为优于；本项内容可以基本满足项目采购需求，实施有一定难度但具备可行性，</w:t>
      </w:r>
      <w:r>
        <w:rPr>
          <w:rFonts w:cs="宋体" w:asciiTheme="minorEastAsia" w:hAnsiTheme="minorEastAsia" w:eastAsiaTheme="minorEastAsia"/>
          <w:sz w:val="24"/>
          <w:highlight w:val="none"/>
        </w:rPr>
        <w:t xml:space="preserve"> 视为满足；本项内容不太能满足项目采购需求，或者实施难度极大，不具备可行性，视为不满足。</w:t>
      </w:r>
    </w:p>
    <w:p w14:paraId="3B327C24">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6、项目重点分析：根据供应商对项目的重点数据分析进行评定，从数据分析出发，解析项目现场的问题：其中数据分析全面、问题分析完整精准，视为优于；数据分析有但不全面，问题分析有但不完整或部分不准确，能满足项目需求的视为满足；数据分析有但不完整，问题分析有但偏离多，视为不满足。</w:t>
      </w:r>
    </w:p>
    <w:p w14:paraId="40B4C386">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7、工作路线和实施：根据供应商对项目重点分析，设计工作路线和实施方案综合评定：完全符合现场情况以及采购人需求，技术路线清晰、详尽、可操作性强的视为优于；符合现场情况以及采购人需求，技术路线清晰、详尽，视为满足；部分符合现场情况以及采购人需求，技术路线清晰的，视为不满足。</w:t>
      </w:r>
    </w:p>
    <w:p w14:paraId="1122D9CE">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8、工作进度及计划：根据供应商对项目的工作进度及计划方案综合评定，进度计划及保证措施全面合理、可行性强的视为优于；进度计划及保证措施全面、合理，视为满足；进度计划及保证措施不全的视为有偏离。</w:t>
      </w:r>
    </w:p>
    <w:p w14:paraId="53C39257">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9、服务质量管理方案：根据服务质量管理方案包括但不限于质控管理方案、成果满意度回访方案、内部工作流程及档案管理方案等评定，完全符合现场实际需求，技术流程路线清晰、详尽、可操作性强的视为优于；符合现场情况以及采购人需求，技术路线清晰、详尽，视为满足；部分符合现场情况以及采购人需求，技术路线清晰的，视为不满足。</w:t>
      </w:r>
    </w:p>
    <w:p w14:paraId="178B5A88">
      <w:pPr>
        <w:spacing w:line="360" w:lineRule="auto"/>
        <w:ind w:firstLine="48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10、风险及应急管理方案：根据风险及应急管理方案包括但不限于服务过程中的设备故障应急管理、环境质量应急管理方案、人员应急管理方案、应急方案处理流程等进行评定，完全符合现场实际需求，技术流程路线清晰、详尽、可操作性强的视为优于；符合现场情况以及采购人需求，技术路线清晰、详尽，视为满足；部分符合现场情况以及采购人需求，技术路线清晰的，视为不满足。</w:t>
      </w:r>
    </w:p>
    <w:p w14:paraId="474E6609">
      <w:pPr>
        <w:spacing w:line="360" w:lineRule="auto"/>
        <w:ind w:firstLine="48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11、成交供应商必须严格遵守国家和地方关于劳动等法律法规及规章制度，保证按时发放派驻本项目服务团队的每位员工的报酬，且最低月工资标准不低于本地区最低标准；工作时间符合劳动法的规定。供应商应自行为员工办理必须的保险，有关人员伤亡及第三者责任险均由供应商考虑并包含在投标报价中。</w:t>
      </w:r>
    </w:p>
    <w:p w14:paraId="283EC6BD">
      <w:pPr>
        <w:spacing w:line="360" w:lineRule="auto"/>
        <w:ind w:firstLine="48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12、成交供应商必须严格遵守国家和地方关于劳动安全等法律法规及规章制度，制定严格的安全措施，加强安全监督管理，配备合格的劳动防护用品、安全用具，负责对项目服务人员进行培训、教育和管理，服务过程中所有安全责任、安全风险由供应商自行承担，与采购人无关。</w:t>
      </w:r>
    </w:p>
    <w:bookmarkEnd w:id="118"/>
    <w:p w14:paraId="5A2F3C84">
      <w:pPr>
        <w:spacing w:line="360" w:lineRule="auto"/>
        <w:ind w:firstLine="482"/>
        <w:jc w:val="left"/>
        <w:rPr>
          <w:rFonts w:cs="宋体" w:asciiTheme="minorEastAsia" w:hAnsiTheme="minorEastAsia" w:eastAsiaTheme="minorEastAsia"/>
          <w:b/>
          <w:bCs/>
          <w:color w:val="000000"/>
          <w:sz w:val="24"/>
          <w:highlight w:val="none"/>
        </w:rPr>
      </w:pPr>
      <w:r>
        <w:rPr>
          <w:rFonts w:hint="eastAsia" w:cs="宋体" w:asciiTheme="minorEastAsia" w:hAnsiTheme="minorEastAsia" w:eastAsiaTheme="minorEastAsia"/>
          <w:b/>
          <w:bCs/>
          <w:color w:val="000000"/>
          <w:sz w:val="24"/>
          <w:highlight w:val="none"/>
        </w:rPr>
        <w:t>十、采购标的对应的中小企业划分标准所属行业一览表</w:t>
      </w:r>
    </w:p>
    <w:tbl>
      <w:tblPr>
        <w:tblStyle w:val="47"/>
        <w:tblW w:w="7889" w:type="dxa"/>
        <w:jc w:val="center"/>
        <w:tblCellSpacing w:w="0" w:type="dxa"/>
        <w:tblLayout w:type="fixed"/>
        <w:tblCellMar>
          <w:top w:w="0" w:type="dxa"/>
          <w:left w:w="108" w:type="dxa"/>
          <w:bottom w:w="0" w:type="dxa"/>
          <w:right w:w="108" w:type="dxa"/>
        </w:tblCellMar>
      </w:tblPr>
      <w:tblGrid>
        <w:gridCol w:w="801"/>
        <w:gridCol w:w="3260"/>
        <w:gridCol w:w="3828"/>
      </w:tblGrid>
      <w:tr w14:paraId="206A4755">
        <w:tblPrEx>
          <w:tblCellMar>
            <w:top w:w="0" w:type="dxa"/>
            <w:left w:w="108" w:type="dxa"/>
            <w:bottom w:w="0" w:type="dxa"/>
            <w:right w:w="108" w:type="dxa"/>
          </w:tblCellMar>
        </w:tblPrEx>
        <w:trPr>
          <w:tblCellSpacing w:w="0" w:type="dxa"/>
          <w:jc w:val="center"/>
        </w:trPr>
        <w:tc>
          <w:tcPr>
            <w:tcW w:w="801" w:type="dxa"/>
            <w:tcBorders>
              <w:top w:val="single" w:color="000000" w:sz="4" w:space="0"/>
              <w:left w:val="single" w:color="000000" w:sz="4" w:space="0"/>
              <w:bottom w:val="single" w:color="000000" w:sz="4" w:space="0"/>
              <w:right w:val="single" w:color="000000" w:sz="4" w:space="0"/>
            </w:tcBorders>
            <w:vAlign w:val="center"/>
          </w:tcPr>
          <w:p w14:paraId="549E4EE8">
            <w:pPr>
              <w:widowControl/>
              <w:spacing w:line="360" w:lineRule="auto"/>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序号</w:t>
            </w:r>
          </w:p>
        </w:tc>
        <w:tc>
          <w:tcPr>
            <w:tcW w:w="3260" w:type="dxa"/>
            <w:tcBorders>
              <w:top w:val="single" w:color="000000" w:sz="4" w:space="0"/>
              <w:left w:val="single" w:color="000000" w:sz="4" w:space="0"/>
              <w:bottom w:val="single" w:color="000000" w:sz="4" w:space="0"/>
              <w:right w:val="single" w:color="000000" w:sz="4" w:space="0"/>
            </w:tcBorders>
            <w:vAlign w:val="center"/>
          </w:tcPr>
          <w:p w14:paraId="6F81B1FE">
            <w:pPr>
              <w:widowControl/>
              <w:spacing w:line="360" w:lineRule="auto"/>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采购标的</w:t>
            </w:r>
          </w:p>
        </w:tc>
        <w:tc>
          <w:tcPr>
            <w:tcW w:w="3828" w:type="dxa"/>
            <w:tcBorders>
              <w:top w:val="single" w:color="000000" w:sz="4" w:space="0"/>
              <w:left w:val="single" w:color="000000" w:sz="4" w:space="0"/>
              <w:bottom w:val="single" w:color="000000" w:sz="4" w:space="0"/>
              <w:right w:val="single" w:color="000000" w:sz="4" w:space="0"/>
            </w:tcBorders>
            <w:vAlign w:val="center"/>
          </w:tcPr>
          <w:p w14:paraId="2CAA7B5A">
            <w:pPr>
              <w:widowControl/>
              <w:spacing w:line="360" w:lineRule="auto"/>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对应中小企业划分标准所属行业</w:t>
            </w:r>
          </w:p>
        </w:tc>
      </w:tr>
      <w:tr w14:paraId="24D9D475">
        <w:tblPrEx>
          <w:tblCellMar>
            <w:top w:w="0" w:type="dxa"/>
            <w:left w:w="108" w:type="dxa"/>
            <w:bottom w:w="0" w:type="dxa"/>
            <w:right w:w="108" w:type="dxa"/>
          </w:tblCellMar>
        </w:tblPrEx>
        <w:trPr>
          <w:trHeight w:val="581" w:hRule="atLeast"/>
          <w:tblCellSpacing w:w="0" w:type="dxa"/>
          <w:jc w:val="center"/>
        </w:trPr>
        <w:tc>
          <w:tcPr>
            <w:tcW w:w="801" w:type="dxa"/>
            <w:tcBorders>
              <w:top w:val="single" w:color="000000" w:sz="4" w:space="0"/>
              <w:left w:val="single" w:color="000000" w:sz="4" w:space="0"/>
              <w:bottom w:val="single" w:color="000000" w:sz="4" w:space="0"/>
              <w:right w:val="single" w:color="000000" w:sz="4" w:space="0"/>
            </w:tcBorders>
            <w:vAlign w:val="center"/>
          </w:tcPr>
          <w:p w14:paraId="50ED0347">
            <w:pPr>
              <w:widowControl/>
              <w:spacing w:line="360" w:lineRule="auto"/>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1</w:t>
            </w:r>
          </w:p>
        </w:tc>
        <w:tc>
          <w:tcPr>
            <w:tcW w:w="3260" w:type="dxa"/>
            <w:tcBorders>
              <w:top w:val="single" w:color="000000" w:sz="4" w:space="0"/>
              <w:left w:val="single" w:color="000000" w:sz="4" w:space="0"/>
              <w:bottom w:val="single" w:color="000000" w:sz="4" w:space="0"/>
              <w:right w:val="single" w:color="000000" w:sz="4" w:space="0"/>
            </w:tcBorders>
            <w:vAlign w:val="center"/>
          </w:tcPr>
          <w:p w14:paraId="5C4741DC">
            <w:pPr>
              <w:widowControl/>
              <w:spacing w:line="360" w:lineRule="auto"/>
              <w:jc w:val="center"/>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监测服务</w:t>
            </w:r>
          </w:p>
        </w:tc>
        <w:tc>
          <w:tcPr>
            <w:tcW w:w="3828" w:type="dxa"/>
            <w:tcBorders>
              <w:top w:val="single" w:color="000000" w:sz="4" w:space="0"/>
              <w:left w:val="single" w:color="000000" w:sz="4" w:space="0"/>
              <w:bottom w:val="single" w:color="000000" w:sz="4" w:space="0"/>
              <w:right w:val="single" w:color="000000" w:sz="4" w:space="0"/>
            </w:tcBorders>
            <w:vAlign w:val="center"/>
          </w:tcPr>
          <w:p w14:paraId="360DC964">
            <w:pPr>
              <w:widowControl/>
              <w:spacing w:line="360" w:lineRule="auto"/>
              <w:jc w:val="center"/>
              <w:rPr>
                <w:rFonts w:cs="宋体" w:asciiTheme="minorEastAsia" w:hAnsiTheme="minorEastAsia" w:eastAsiaTheme="minorEastAsia"/>
                <w:sz w:val="24"/>
                <w:highlight w:val="none"/>
              </w:rPr>
            </w:pPr>
            <w:r>
              <w:rPr>
                <w:rFonts w:hint="eastAsia" w:cs="Helvetica" w:asciiTheme="minorEastAsia" w:hAnsiTheme="minorEastAsia" w:eastAsiaTheme="minorEastAsia"/>
                <w:color w:val="333333"/>
                <w:sz w:val="24"/>
                <w:highlight w:val="none"/>
              </w:rPr>
              <w:t>其他未列明行业</w:t>
            </w:r>
          </w:p>
        </w:tc>
      </w:tr>
    </w:tbl>
    <w:p w14:paraId="65ED90F3">
      <w:pPr>
        <w:spacing w:line="360" w:lineRule="auto"/>
        <w:ind w:firstLine="480"/>
        <w:rPr>
          <w:rFonts w:asciiTheme="minorEastAsia" w:hAnsiTheme="minorEastAsia" w:eastAsiaTheme="minorEastAsia"/>
          <w:bCs/>
          <w:szCs w:val="21"/>
          <w:highlight w:val="none"/>
        </w:rPr>
      </w:pPr>
      <w:r>
        <w:rPr>
          <w:rFonts w:hint="eastAsia" w:asciiTheme="minorEastAsia" w:hAnsiTheme="minorEastAsia" w:eastAsiaTheme="minorEastAsia"/>
          <w:bCs/>
          <w:sz w:val="24"/>
          <w:highlight w:val="none"/>
        </w:rPr>
        <w:t>根据《工业和信息化部、国家统计局、国家发展和改革委员会、财政部关于印发中小企业划型标准规定的通知》（工信部联企业[2011]300号）规定的划分标准填写。</w:t>
      </w:r>
    </w:p>
    <w:p w14:paraId="20E2EC6C">
      <w:pPr>
        <w:spacing w:line="400" w:lineRule="exact"/>
        <w:ind w:firstLine="480"/>
        <w:rPr>
          <w:rFonts w:asciiTheme="minorEastAsia" w:hAnsiTheme="minorEastAsia" w:eastAsiaTheme="minorEastAsia"/>
          <w:bCs/>
          <w:szCs w:val="21"/>
          <w:highlight w:val="none"/>
        </w:rPr>
      </w:pPr>
    </w:p>
    <w:p w14:paraId="1E6E04F7">
      <w:pPr>
        <w:pageBreakBefore/>
        <w:spacing w:line="420" w:lineRule="atLeast"/>
        <w:jc w:val="center"/>
        <w:rPr>
          <w:rFonts w:asciiTheme="minorEastAsia" w:hAnsiTheme="minorEastAsia" w:eastAsiaTheme="minorEastAsia"/>
          <w:sz w:val="32"/>
          <w:szCs w:val="32"/>
          <w:highlight w:val="none"/>
        </w:rPr>
      </w:pPr>
      <w:r>
        <w:rPr>
          <w:rFonts w:asciiTheme="minorEastAsia" w:hAnsiTheme="minorEastAsia" w:eastAsiaTheme="minorEastAsia"/>
          <w:b/>
          <w:bCs/>
          <w:sz w:val="32"/>
          <w:szCs w:val="32"/>
          <w:highlight w:val="none"/>
        </w:rPr>
        <w:t>第</w:t>
      </w:r>
      <w:r>
        <w:rPr>
          <w:rFonts w:hint="eastAsia" w:asciiTheme="minorEastAsia" w:hAnsiTheme="minorEastAsia" w:eastAsiaTheme="minorEastAsia"/>
          <w:b/>
          <w:bCs/>
          <w:sz w:val="32"/>
          <w:szCs w:val="32"/>
          <w:highlight w:val="none"/>
        </w:rPr>
        <w:t>五</w:t>
      </w:r>
      <w:r>
        <w:rPr>
          <w:rFonts w:asciiTheme="minorEastAsia" w:hAnsiTheme="minorEastAsia" w:eastAsiaTheme="minorEastAsia"/>
          <w:b/>
          <w:bCs/>
          <w:sz w:val="32"/>
          <w:szCs w:val="32"/>
          <w:highlight w:val="none"/>
        </w:rPr>
        <w:t>部分  评标方法与评标标准</w:t>
      </w:r>
    </w:p>
    <w:p w14:paraId="2A1C8CF6">
      <w:pPr>
        <w:spacing w:line="500" w:lineRule="exact"/>
        <w:ind w:firstLine="482"/>
        <w:rPr>
          <w:rFonts w:cs="Courier New" w:asciiTheme="minorEastAsia" w:hAnsiTheme="minorEastAsia" w:eastAsiaTheme="minorEastAsia"/>
          <w:b/>
          <w:bCs/>
          <w:sz w:val="24"/>
          <w:highlight w:val="none"/>
        </w:rPr>
      </w:pPr>
      <w:r>
        <w:rPr>
          <w:rFonts w:hint="eastAsia" w:cs="Courier New" w:asciiTheme="minorEastAsia" w:hAnsiTheme="minorEastAsia" w:eastAsiaTheme="minorEastAsia"/>
          <w:b/>
          <w:bCs/>
          <w:sz w:val="24"/>
          <w:highlight w:val="none"/>
        </w:rPr>
        <w:t>一、评标方法与定标原则</w:t>
      </w:r>
    </w:p>
    <w:p w14:paraId="1A4F695D">
      <w:pPr>
        <w:spacing w:line="500" w:lineRule="exact"/>
        <w:ind w:firstLine="480"/>
        <w:rPr>
          <w:rFonts w:asciiTheme="minorEastAsia" w:hAnsiTheme="minorEastAsia" w:eastAsiaTheme="minorEastAsia"/>
          <w:bCs/>
          <w:sz w:val="24"/>
          <w:highlight w:val="none"/>
        </w:rPr>
      </w:pPr>
      <w:r>
        <w:rPr>
          <w:rFonts w:asciiTheme="minorEastAsia" w:hAnsiTheme="minorEastAsia" w:eastAsiaTheme="minorEastAsia"/>
          <w:bCs/>
          <w:sz w:val="24"/>
          <w:highlight w:val="none"/>
        </w:rPr>
        <w:t>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1家中标候选人。</w:t>
      </w:r>
    </w:p>
    <w:p w14:paraId="7834A3E7">
      <w:pPr>
        <w:pStyle w:val="7"/>
        <w:spacing w:before="0" w:after="0" w:line="500" w:lineRule="exact"/>
        <w:ind w:firstLine="482"/>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二、对投标文件的初审</w:t>
      </w:r>
    </w:p>
    <w:p w14:paraId="7960A574">
      <w:pPr>
        <w:spacing w:line="500" w:lineRule="exact"/>
        <w:ind w:firstLine="48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投标文件初审分为资格审查和符合性审查。</w:t>
      </w:r>
    </w:p>
    <w:p w14:paraId="589217B2">
      <w:pPr>
        <w:spacing w:line="500" w:lineRule="exact"/>
        <w:ind w:firstLine="482"/>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资格审查</w:t>
      </w:r>
    </w:p>
    <w:p w14:paraId="56DCE3B1">
      <w:pPr>
        <w:spacing w:line="500" w:lineRule="exact"/>
        <w:ind w:firstLine="482"/>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开标结束后，采购人或者采购代理机构依法对投标人的资格进行审查。</w:t>
      </w:r>
    </w:p>
    <w:p w14:paraId="21517B2D">
      <w:pPr>
        <w:spacing w:line="500" w:lineRule="exact"/>
        <w:ind w:firstLine="48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审查投标文件中的资格、资信证明文件等，以确定投标人是否具备投标资格。（资格审查需提供的材料详见《资格信誉等证明文件要求》）</w:t>
      </w:r>
    </w:p>
    <w:p w14:paraId="7B89B64D">
      <w:pPr>
        <w:spacing w:line="500" w:lineRule="exact"/>
        <w:ind w:firstLine="482"/>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符合性审查</w:t>
      </w:r>
    </w:p>
    <w:p w14:paraId="4B8CDF03">
      <w:pPr>
        <w:spacing w:line="500" w:lineRule="exact"/>
        <w:ind w:firstLine="482"/>
        <w:rPr>
          <w:rFonts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t>评标委员会对符合资格的投标人的投标文件进行符合性审查。</w:t>
      </w:r>
    </w:p>
    <w:p w14:paraId="60C86812">
      <w:pPr>
        <w:spacing w:line="500" w:lineRule="exact"/>
        <w:ind w:firstLine="480"/>
        <w:rPr>
          <w:rFonts w:asciiTheme="minorEastAsia" w:hAnsiTheme="minorEastAsia" w:eastAsiaTheme="minorEastAsia"/>
          <w:bCs/>
          <w:sz w:val="24"/>
          <w:highlight w:val="none"/>
        </w:rPr>
      </w:pPr>
      <w:r>
        <w:rPr>
          <w:rFonts w:hint="eastAsia" w:asciiTheme="minorEastAsia" w:hAnsiTheme="minorEastAsia" w:eastAsiaTheme="minorEastAsia"/>
          <w:bCs/>
          <w:sz w:val="24"/>
          <w:highlight w:val="none"/>
        </w:rPr>
        <w:t>依据招标文件的规定，从投标文件的有效性、完整性和对招标文件的响应程度进行审查，以确定其是否满足招标文件的实质性要求。</w:t>
      </w:r>
    </w:p>
    <w:p w14:paraId="7E5BE4A1">
      <w:pPr>
        <w:spacing w:line="500" w:lineRule="exact"/>
        <w:ind w:firstLine="48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明确响应的投标应该是与招标文件要求的全部条款、条件和规格相符，没有重大偏离或保留的投标。</w:t>
      </w:r>
    </w:p>
    <w:p w14:paraId="41F5E533">
      <w:pPr>
        <w:spacing w:line="500" w:lineRule="exact"/>
        <w:ind w:firstLine="482"/>
        <w:rPr>
          <w:rFonts w:asciiTheme="minorEastAsia" w:hAnsiTheme="minorEastAsia" w:eastAsiaTheme="minorEastAsia"/>
          <w:bCs/>
          <w:sz w:val="24"/>
          <w:highlight w:val="none"/>
        </w:rPr>
      </w:pPr>
      <w:r>
        <w:rPr>
          <w:rFonts w:hint="eastAsia" w:asciiTheme="minorEastAsia" w:hAnsiTheme="minorEastAsia" w:eastAsiaTheme="minorEastAsia"/>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Theme="minorEastAsia" w:hAnsiTheme="minorEastAsia" w:eastAsiaTheme="minorEastAsia"/>
          <w:bCs/>
          <w:sz w:val="24"/>
          <w:highlight w:val="none"/>
        </w:rPr>
        <w:t>评委决定投标文件的响应性只根据投标文件本身的内容，而不寻求外部的证据。</w:t>
      </w:r>
    </w:p>
    <w:p w14:paraId="6E953A44">
      <w:pPr>
        <w:spacing w:line="500" w:lineRule="exact"/>
        <w:ind w:firstLine="482"/>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如果投标文件没有明确响应招标文件的要求，评标委员会将按无效投标处理，投标人不得通过修改或撤销不合要求的偏离或保留而使其投标成为明确响应的投标。</w:t>
      </w:r>
    </w:p>
    <w:p w14:paraId="5A1D687D">
      <w:pPr>
        <w:spacing w:line="500" w:lineRule="exact"/>
        <w:ind w:firstLine="482"/>
        <w:rPr>
          <w:rFonts w:asciiTheme="minorEastAsia" w:hAnsiTheme="minorEastAsia" w:eastAsiaTheme="minorEastAsia"/>
          <w:sz w:val="24"/>
          <w:highlight w:val="none"/>
        </w:rPr>
      </w:pPr>
      <w:r>
        <w:rPr>
          <w:rFonts w:hint="eastAsia" w:asciiTheme="minorEastAsia" w:hAnsiTheme="minorEastAsia" w:eastAsiaTheme="minorEastAsia"/>
          <w:sz w:val="24"/>
          <w:highlight w:val="none"/>
        </w:rPr>
        <w:t>评标委员会将对确定为明确响应的投标进行进一步审核，投标文件报价出现前后不一致的，除招标文件另有规定外，按照下列规定修正：</w:t>
      </w:r>
    </w:p>
    <w:p w14:paraId="3300A37D">
      <w:pPr>
        <w:spacing w:line="500" w:lineRule="exact"/>
        <w:ind w:firstLine="482"/>
        <w:rPr>
          <w:rFonts w:asciiTheme="minorEastAsia" w:hAnsiTheme="minorEastAsia" w:eastAsiaTheme="minorEastAsia"/>
          <w:sz w:val="24"/>
          <w:highlight w:val="none"/>
        </w:rPr>
      </w:pPr>
      <w:r>
        <w:rPr>
          <w:rFonts w:asciiTheme="minorEastAsia" w:hAnsiTheme="minorEastAsia" w:eastAsiaTheme="minorEastAsia"/>
          <w:sz w:val="24"/>
          <w:highlight w:val="none"/>
        </w:rPr>
        <w:t>1.</w:t>
      </w:r>
      <w:r>
        <w:rPr>
          <w:rFonts w:hint="eastAsia" w:asciiTheme="minorEastAsia" w:hAnsiTheme="minorEastAsia" w:eastAsiaTheme="minorEastAsia"/>
          <w:sz w:val="24"/>
          <w:highlight w:val="none"/>
        </w:rPr>
        <w:t>投标文件中开标一览表内容与投标文件中相应内容不一致的，以开标一览表为准；</w:t>
      </w:r>
    </w:p>
    <w:p w14:paraId="30C23880">
      <w:pPr>
        <w:spacing w:line="500" w:lineRule="exact"/>
        <w:ind w:firstLine="482"/>
        <w:rPr>
          <w:rFonts w:asciiTheme="minorEastAsia" w:hAnsiTheme="minorEastAsia" w:eastAsiaTheme="minorEastAsia"/>
          <w:sz w:val="24"/>
          <w:highlight w:val="none"/>
        </w:rPr>
      </w:pPr>
      <w:r>
        <w:rPr>
          <w:rFonts w:asciiTheme="minorEastAsia" w:hAnsiTheme="minorEastAsia" w:eastAsiaTheme="minorEastAsia"/>
          <w:sz w:val="24"/>
          <w:highlight w:val="none"/>
        </w:rPr>
        <w:t>2.</w:t>
      </w:r>
      <w:r>
        <w:rPr>
          <w:rFonts w:hint="eastAsia" w:asciiTheme="minorEastAsia" w:hAnsiTheme="minorEastAsia" w:eastAsiaTheme="minorEastAsia"/>
          <w:sz w:val="24"/>
          <w:highlight w:val="none"/>
        </w:rPr>
        <w:t>大写金额和小写金额不一致的，以大写金额为准；</w:t>
      </w:r>
    </w:p>
    <w:p w14:paraId="4AA2C280">
      <w:pPr>
        <w:spacing w:line="500" w:lineRule="exact"/>
        <w:ind w:firstLine="482"/>
        <w:rPr>
          <w:rFonts w:cs="Arial" w:asciiTheme="minorEastAsia" w:hAnsiTheme="minorEastAsia" w:eastAsiaTheme="minorEastAsia"/>
          <w:sz w:val="24"/>
          <w:highlight w:val="none"/>
        </w:rPr>
      </w:pPr>
      <w:r>
        <w:rPr>
          <w:rFonts w:cs="Arial" w:asciiTheme="minorEastAsia" w:hAnsiTheme="minorEastAsia" w:eastAsiaTheme="minorEastAsia"/>
          <w:sz w:val="24"/>
          <w:highlight w:val="none"/>
        </w:rPr>
        <w:t>3.</w:t>
      </w:r>
      <w:r>
        <w:rPr>
          <w:rFonts w:hint="eastAsia" w:cs="Arial" w:asciiTheme="minorEastAsia" w:hAnsiTheme="minorEastAsia" w:eastAsiaTheme="minorEastAsia"/>
          <w:sz w:val="24"/>
          <w:highlight w:val="none"/>
        </w:rPr>
        <w:t>单价金额小数点或者百分比有明显错位的，以开标一览表的总价为准，并修改单价；</w:t>
      </w:r>
    </w:p>
    <w:p w14:paraId="441FD12A">
      <w:pPr>
        <w:spacing w:line="500" w:lineRule="exact"/>
        <w:ind w:firstLine="480"/>
        <w:rPr>
          <w:rFonts w:cs="Arial" w:asciiTheme="minorEastAsia" w:hAnsiTheme="minorEastAsia" w:eastAsiaTheme="minorEastAsia"/>
          <w:sz w:val="24"/>
          <w:highlight w:val="none"/>
        </w:rPr>
      </w:pPr>
      <w:r>
        <w:rPr>
          <w:rFonts w:cs="Arial" w:asciiTheme="minorEastAsia" w:hAnsiTheme="minorEastAsia" w:eastAsiaTheme="minorEastAsia"/>
          <w:sz w:val="24"/>
          <w:highlight w:val="none"/>
        </w:rPr>
        <w:t>4.</w:t>
      </w:r>
      <w:r>
        <w:rPr>
          <w:rFonts w:hint="eastAsia" w:cs="Arial" w:asciiTheme="minorEastAsia" w:hAnsiTheme="minorEastAsia" w:eastAsiaTheme="minorEastAsia"/>
          <w:sz w:val="24"/>
          <w:highlight w:val="none"/>
        </w:rPr>
        <w:t>总价金额与按单价汇总金额不一致的，以单价金额计算结果为准。</w:t>
      </w:r>
    </w:p>
    <w:p w14:paraId="053E9B88">
      <w:pPr>
        <w:spacing w:line="500" w:lineRule="exact"/>
        <w:ind w:firstLine="480"/>
        <w:rPr>
          <w:rFonts w:cs="Arial" w:asciiTheme="minorEastAsia" w:hAnsiTheme="minorEastAsia" w:eastAsiaTheme="minorEastAsia"/>
          <w:sz w:val="24"/>
          <w:highlight w:val="none"/>
        </w:rPr>
      </w:pPr>
      <w:r>
        <w:rPr>
          <w:rFonts w:hint="eastAsia" w:asciiTheme="minorEastAsia" w:hAnsiTheme="minorEastAsia" w:eastAsiaTheme="minorEastAsia"/>
          <w:bCs/>
          <w:sz w:val="24"/>
          <w:highlight w:val="none"/>
        </w:rPr>
        <w:t>评标委员会将按上述修正错误的方法调整投标文件中的投标报价，</w:t>
      </w:r>
      <w:r>
        <w:rPr>
          <w:rFonts w:hint="eastAsia" w:cs="Arial" w:asciiTheme="minorEastAsia" w:hAnsiTheme="minorEastAsia" w:eastAsiaTheme="minorEastAsia"/>
          <w:sz w:val="24"/>
          <w:highlight w:val="none"/>
        </w:rPr>
        <w:t>修正后的报价应当采用书面形式，并加盖公章，或者由法定代表人或其授权的代表签字，经投标人确认后产生约束力，投标人不确认的，其投标无效。</w:t>
      </w:r>
    </w:p>
    <w:p w14:paraId="41B1F0C3">
      <w:pPr>
        <w:spacing w:line="500" w:lineRule="exact"/>
        <w:ind w:firstLine="480"/>
        <w:rPr>
          <w:rFonts w:cs="Arial" w:asciiTheme="minorEastAsia" w:hAnsiTheme="minorEastAsia" w:eastAsiaTheme="minorEastAsia"/>
          <w:sz w:val="24"/>
          <w:highlight w:val="none"/>
        </w:rPr>
      </w:pPr>
      <w:r>
        <w:rPr>
          <w:rFonts w:hint="eastAsia" w:cs="Arial" w:asciiTheme="minorEastAsia" w:hAnsiTheme="minorEastAsia" w:eastAsiaTheme="minorEastAsia"/>
          <w:sz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0F32A35">
      <w:pPr>
        <w:spacing w:line="500" w:lineRule="exact"/>
        <w:ind w:firstLine="482"/>
        <w:rPr>
          <w:rFonts w:cs="Courier New" w:asciiTheme="minorEastAsia" w:hAnsiTheme="minorEastAsia" w:eastAsiaTheme="minorEastAsia"/>
          <w:b/>
          <w:bCs/>
          <w:sz w:val="24"/>
          <w:highlight w:val="none"/>
        </w:rPr>
      </w:pPr>
      <w:r>
        <w:rPr>
          <w:rFonts w:hint="eastAsia" w:cs="Courier New" w:asciiTheme="minorEastAsia" w:hAnsiTheme="minorEastAsia" w:eastAsiaTheme="minorEastAsia"/>
          <w:b/>
          <w:bCs/>
          <w:sz w:val="24"/>
          <w:highlight w:val="none"/>
        </w:rPr>
        <w:t>三、政府采购政策功能落实</w:t>
      </w:r>
    </w:p>
    <w:p w14:paraId="1ACE113E">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1、小微型企业价格扣除</w:t>
      </w:r>
    </w:p>
    <w:p w14:paraId="4F824F38">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（1）本项目专门面向中小企业采购，不再对小型和微型企业报价给予价格扣除。</w:t>
      </w:r>
    </w:p>
    <w:p w14:paraId="0AEB51BB">
      <w:pPr>
        <w:spacing w:before="120" w:after="120" w:line="0" w:lineRule="atLeast"/>
        <w:ind w:firstLine="482"/>
        <w:jc w:val="left"/>
        <w:rPr>
          <w:rFonts w:ascii="宋体" w:hAnsi="宋体" w:cs="宋体"/>
          <w:sz w:val="24"/>
          <w:szCs w:val="20"/>
          <w:highlight w:val="none"/>
        </w:rPr>
      </w:pPr>
      <w:r>
        <w:rPr>
          <w:rFonts w:hint="eastAsia" w:ascii="宋体" w:hAnsi="宋体" w:cs="宋体"/>
          <w:color w:val="000000"/>
          <w:sz w:val="24"/>
          <w:highlight w:val="none"/>
        </w:rPr>
        <w:t>（2）供应商需按照采购文件的要</w:t>
      </w:r>
      <w:r>
        <w:rPr>
          <w:rFonts w:hint="eastAsia" w:ascii="宋体" w:hAnsi="宋体" w:cs="宋体"/>
          <w:sz w:val="24"/>
          <w:szCs w:val="20"/>
          <w:highlight w:val="none"/>
        </w:rPr>
        <w:t>求提供相应的《中小企业声明函》。</w:t>
      </w:r>
    </w:p>
    <w:p w14:paraId="76D2AF7D">
      <w:pPr>
        <w:spacing w:before="120" w:after="120" w:line="0" w:lineRule="atLeast"/>
        <w:ind w:firstLine="482"/>
        <w:jc w:val="left"/>
        <w:rPr>
          <w:rFonts w:ascii="宋体" w:hAnsi="宋体" w:cs="宋体"/>
          <w:color w:val="000000"/>
          <w:sz w:val="24"/>
          <w:highlight w:val="none"/>
        </w:rPr>
      </w:pPr>
      <w:r>
        <w:rPr>
          <w:rFonts w:hint="eastAsia" w:ascii="宋体" w:hAnsi="宋体" w:cs="宋体"/>
          <w:sz w:val="24"/>
          <w:szCs w:val="20"/>
          <w:highlight w:val="none"/>
        </w:rPr>
        <w:t>（3）企业标准请参照《关于印发中小企业划型标准规定的通知》（工信部联企业〔2011〕300号）文件规定自行填写。</w:t>
      </w:r>
    </w:p>
    <w:p w14:paraId="3D66AE6A">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2、残疾人福利单位价格扣除</w:t>
      </w:r>
    </w:p>
    <w:p w14:paraId="7E31565E">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sz w:val="24"/>
          <w:szCs w:val="20"/>
          <w:highlight w:val="none"/>
        </w:rPr>
        <w:t>本项目对残疾人福利性单位视同小型、微型企业。</w:t>
      </w:r>
    </w:p>
    <w:p w14:paraId="74650002">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（2）残疾人福利单位需按照采购文件的要求提供《残疾人福利性单位声明函》。</w:t>
      </w:r>
    </w:p>
    <w:p w14:paraId="205C4506">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（3）残疾人福利单位标准请参照《关于促进残疾人就业政府采购政策的通知》（财库〔2017〕141号）。</w:t>
      </w:r>
    </w:p>
    <w:p w14:paraId="377466C5">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3、监狱和戒毒企业价格扣除</w:t>
      </w:r>
    </w:p>
    <w:p w14:paraId="6AE4B672">
      <w:pPr>
        <w:spacing w:before="120" w:after="120" w:line="0" w:lineRule="atLeast"/>
        <w:ind w:firstLine="482"/>
        <w:jc w:val="left"/>
        <w:rPr>
          <w:rFonts w:ascii="宋体" w:hAnsi="宋体" w:cs="宋体"/>
          <w:sz w:val="24"/>
          <w:szCs w:val="20"/>
          <w:highlight w:val="none"/>
        </w:rPr>
      </w:pPr>
      <w:r>
        <w:rPr>
          <w:rFonts w:hint="eastAsia" w:ascii="宋体" w:hAnsi="宋体" w:cs="宋体"/>
          <w:color w:val="000000"/>
          <w:sz w:val="24"/>
          <w:highlight w:val="none"/>
        </w:rPr>
        <w:t>（1）</w:t>
      </w:r>
      <w:r>
        <w:rPr>
          <w:rFonts w:hint="eastAsia" w:ascii="宋体" w:hAnsi="宋体" w:cs="宋体"/>
          <w:sz w:val="24"/>
          <w:szCs w:val="20"/>
          <w:highlight w:val="none"/>
        </w:rPr>
        <w:t>本项目对监狱和戒毒企业（简称监狱企业）视同小型、微型企业。</w:t>
      </w:r>
    </w:p>
    <w:p w14:paraId="055DAA60">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34209C02">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（3）监狱企业标准请参照《关于政府采购支持监狱企业发展有关问题的通知》（财库[2014]68号）。</w:t>
      </w:r>
    </w:p>
    <w:p w14:paraId="19921E11">
      <w:pPr>
        <w:spacing w:before="120" w:after="120" w:line="0" w:lineRule="atLeast"/>
        <w:ind w:firstLine="482"/>
        <w:jc w:val="left"/>
        <w:rPr>
          <w:rFonts w:ascii="宋体" w:hAnsi="宋体" w:cs="宋体"/>
          <w:color w:val="000000"/>
          <w:sz w:val="24"/>
          <w:highlight w:val="none"/>
        </w:rPr>
      </w:pPr>
      <w:r>
        <w:rPr>
          <w:rFonts w:hint="eastAsia" w:ascii="宋体" w:hAnsi="宋体" w:cs="宋体"/>
          <w:color w:val="000000"/>
          <w:sz w:val="24"/>
          <w:highlight w:val="none"/>
        </w:rPr>
        <w:t>4、残疾人福利单位、监狱企业属于小型、微型企业的，不重复享受政策。</w:t>
      </w:r>
    </w:p>
    <w:p w14:paraId="547A6AC6">
      <w:pPr>
        <w:adjustRightInd w:val="0"/>
        <w:spacing w:line="400" w:lineRule="exact"/>
        <w:ind w:firstLine="482" w:firstLineChars="200"/>
        <w:jc w:val="left"/>
        <w:textAlignment w:val="baseline"/>
        <w:rPr>
          <w:rFonts w:ascii="宋体" w:hAnsi="宋体" w:cs="宋体"/>
          <w:b/>
          <w:bCs/>
          <w:color w:val="FF0000"/>
          <w:kern w:val="2"/>
          <w:sz w:val="24"/>
          <w:highlight w:val="none"/>
        </w:rPr>
      </w:pPr>
      <w:r>
        <w:rPr>
          <w:rFonts w:hint="eastAsia" w:ascii="宋体" w:hAnsi="宋体" w:cs="宋体"/>
          <w:b/>
          <w:bCs/>
          <w:color w:val="FF0000"/>
          <w:kern w:val="2"/>
          <w:sz w:val="24"/>
          <w:highlight w:val="none"/>
        </w:rPr>
        <w:t>5、采购本国产品的支持政策</w:t>
      </w:r>
    </w:p>
    <w:p w14:paraId="1B35457D">
      <w:pPr>
        <w:adjustRightInd w:val="0"/>
        <w:spacing w:line="400" w:lineRule="exact"/>
        <w:ind w:firstLine="482" w:firstLineChars="200"/>
        <w:jc w:val="left"/>
        <w:textAlignment w:val="baseline"/>
        <w:rPr>
          <w:rFonts w:ascii="宋体" w:hAnsi="宋体" w:cs="宋体"/>
          <w:b/>
          <w:bCs/>
          <w:color w:val="FF0000"/>
          <w:kern w:val="2"/>
          <w:sz w:val="24"/>
          <w:highlight w:val="none"/>
        </w:rPr>
      </w:pPr>
      <w:r>
        <w:rPr>
          <w:rFonts w:hint="eastAsia" w:ascii="宋体" w:hAnsi="宋体" w:cs="宋体"/>
          <w:b/>
          <w:bCs/>
          <w:color w:val="FF0000"/>
          <w:kern w:val="2"/>
          <w:sz w:val="24"/>
          <w:highlight w:val="none"/>
        </w:rPr>
        <w:t xml:space="preserve">5.1 本项目政府采购活动中既有本国产品又有非本国产品参与竞争的，依法对本国产品给予价格评审优惠，对本国产品的报价给予 </w:t>
      </w:r>
      <w:r>
        <w:rPr>
          <w:rFonts w:hint="eastAsia" w:ascii="宋体" w:hAnsi="宋体" w:cs="宋体"/>
          <w:b/>
          <w:bCs/>
          <w:color w:val="FF0000"/>
          <w:kern w:val="2"/>
          <w:sz w:val="24"/>
          <w:highlight w:val="none"/>
          <w:u w:val="single"/>
        </w:rPr>
        <w:t>20%</w:t>
      </w:r>
      <w:r>
        <w:rPr>
          <w:rFonts w:hint="eastAsia" w:ascii="宋体" w:hAnsi="宋体" w:cs="宋体"/>
          <w:b/>
          <w:bCs/>
          <w:color w:val="FF0000"/>
          <w:kern w:val="2"/>
          <w:sz w:val="24"/>
          <w:highlight w:val="none"/>
        </w:rPr>
        <w:t>的价格扣除，用扣除后的价格参与评审。</w:t>
      </w:r>
    </w:p>
    <w:p w14:paraId="521B83EF">
      <w:pPr>
        <w:adjustRightInd w:val="0"/>
        <w:spacing w:line="400" w:lineRule="exact"/>
        <w:ind w:firstLine="482" w:firstLineChars="200"/>
        <w:jc w:val="left"/>
        <w:textAlignment w:val="baseline"/>
        <w:rPr>
          <w:rFonts w:ascii="宋体" w:hAnsi="宋体" w:cs="宋体"/>
          <w:b/>
          <w:bCs/>
          <w:color w:val="FF0000"/>
          <w:kern w:val="2"/>
          <w:sz w:val="24"/>
          <w:highlight w:val="none"/>
        </w:rPr>
      </w:pPr>
      <w:r>
        <w:rPr>
          <w:rFonts w:hint="eastAsia" w:ascii="宋体" w:hAnsi="宋体" w:cs="宋体"/>
          <w:b/>
          <w:bCs/>
          <w:color w:val="FF0000"/>
          <w:kern w:val="2"/>
          <w:sz w:val="24"/>
          <w:highlight w:val="none"/>
        </w:rPr>
        <w:t>5.2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bCs/>
          <w:color w:val="FF0000"/>
          <w:kern w:val="2"/>
          <w:sz w:val="24"/>
          <w:highlight w:val="none"/>
          <w:u w:val="single"/>
        </w:rPr>
        <w:t>80%</w:t>
      </w:r>
      <w:r>
        <w:rPr>
          <w:rFonts w:hint="eastAsia" w:ascii="宋体" w:hAnsi="宋体" w:cs="宋体"/>
          <w:b/>
          <w:bCs/>
          <w:color w:val="FF0000"/>
          <w:kern w:val="2"/>
          <w:sz w:val="24"/>
          <w:highlight w:val="none"/>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cs="宋体"/>
          <w:b/>
          <w:bCs/>
          <w:color w:val="FF0000"/>
          <w:kern w:val="2"/>
          <w:sz w:val="24"/>
          <w:highlight w:val="none"/>
          <w:u w:val="single"/>
        </w:rPr>
        <w:t>20%</w:t>
      </w:r>
      <w:r>
        <w:rPr>
          <w:rFonts w:hint="eastAsia" w:ascii="宋体" w:hAnsi="宋体" w:cs="宋体"/>
          <w:b/>
          <w:bCs/>
          <w:color w:val="FF0000"/>
          <w:kern w:val="2"/>
          <w:sz w:val="24"/>
          <w:highlight w:val="none"/>
        </w:rPr>
        <w:t>的价格扣除，用扣除后的价格参与评审。供应商未填写比例数值，或比例数值未达到80%的，将不享受本国产品价格评审优惠。</w:t>
      </w:r>
    </w:p>
    <w:p w14:paraId="62AAC6DC">
      <w:pPr>
        <w:adjustRightInd w:val="0"/>
        <w:spacing w:line="400" w:lineRule="exact"/>
        <w:ind w:firstLine="482" w:firstLineChars="200"/>
        <w:jc w:val="left"/>
        <w:textAlignment w:val="baseline"/>
        <w:rPr>
          <w:rFonts w:ascii="宋体" w:hAnsi="宋体" w:cs="宋体"/>
          <w:b/>
          <w:bCs/>
          <w:color w:val="FF0000"/>
          <w:kern w:val="2"/>
          <w:sz w:val="24"/>
          <w:highlight w:val="none"/>
        </w:rPr>
      </w:pPr>
      <w:r>
        <w:rPr>
          <w:rFonts w:hint="eastAsia" w:ascii="宋体" w:hAnsi="宋体" w:cs="宋体"/>
          <w:b/>
          <w:bCs/>
          <w:color w:val="FF0000"/>
          <w:kern w:val="2"/>
          <w:sz w:val="24"/>
          <w:highlight w:val="none"/>
        </w:rPr>
        <w:t>5.3 供应商需按照招标文件的要求提供《关于符合本国产品标准的声明函》（以下简称《声明函》），如不提供将不享受本国产品价格评审优惠。</w:t>
      </w:r>
    </w:p>
    <w:p w14:paraId="7BAC137E">
      <w:pPr>
        <w:adjustRightInd w:val="0"/>
        <w:spacing w:line="400" w:lineRule="exact"/>
        <w:ind w:firstLine="482" w:firstLineChars="200"/>
        <w:jc w:val="left"/>
        <w:textAlignment w:val="baseline"/>
        <w:rPr>
          <w:rFonts w:ascii="宋体" w:hAnsi="宋体" w:cs="宋体"/>
          <w:b/>
          <w:bCs/>
          <w:color w:val="FF0000"/>
          <w:kern w:val="2"/>
          <w:sz w:val="24"/>
          <w:highlight w:val="none"/>
        </w:rPr>
      </w:pPr>
      <w:r>
        <w:rPr>
          <w:rFonts w:hint="eastAsia" w:ascii="宋体" w:hAnsi="宋体" w:cs="宋体"/>
          <w:b/>
          <w:bCs/>
          <w:color w:val="FF0000"/>
          <w:kern w:val="2"/>
          <w:sz w:val="24"/>
          <w:highlight w:val="none"/>
        </w:rPr>
        <w:t>5.4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142E84B6">
      <w:pPr>
        <w:adjustRightInd w:val="0"/>
        <w:spacing w:line="400" w:lineRule="exact"/>
        <w:ind w:firstLine="482" w:firstLineChars="200"/>
        <w:jc w:val="left"/>
        <w:textAlignment w:val="baseline"/>
        <w:rPr>
          <w:rFonts w:ascii="宋体" w:hAnsi="宋体" w:cs="宋体"/>
          <w:color w:val="000000"/>
          <w:kern w:val="2"/>
          <w:highlight w:val="none"/>
          <w:u w:val="single"/>
        </w:rPr>
      </w:pPr>
      <w:r>
        <w:rPr>
          <w:rFonts w:hint="eastAsia" w:ascii="宋体" w:hAnsi="宋体" w:cs="宋体"/>
          <w:b/>
          <w:bCs/>
          <w:color w:val="FF0000"/>
          <w:kern w:val="2"/>
          <w:sz w:val="24"/>
          <w:highlight w:val="none"/>
        </w:rPr>
        <w:t>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w:t>
      </w:r>
      <w:r>
        <w:rPr>
          <w:rFonts w:hint="eastAsia" w:ascii="宋体" w:hAnsi="宋体" w:cs="宋体"/>
          <w:color w:val="FF0000"/>
          <w:kern w:val="2"/>
          <w:sz w:val="24"/>
          <w:highlight w:val="none"/>
        </w:rPr>
        <w:t>和招标文件规定的，供应商提供的相关产品视为不符合本国产品标准。</w:t>
      </w:r>
    </w:p>
    <w:p w14:paraId="33F87CFC">
      <w:pPr>
        <w:pBdr>
          <w:top w:val="none" w:color="000000" w:sz="0" w:space="0"/>
          <w:left w:val="none" w:color="000000" w:sz="0" w:space="0"/>
          <w:bottom w:val="none" w:color="000000" w:sz="0" w:space="0"/>
          <w:right w:val="none" w:color="000000" w:sz="0" w:space="0"/>
        </w:pBdr>
        <w:spacing w:line="360" w:lineRule="auto"/>
        <w:ind w:firstLine="480"/>
        <w:rPr>
          <w:sz w:val="24"/>
          <w:highlight w:val="none"/>
        </w:rPr>
      </w:pPr>
      <w:r>
        <w:rPr>
          <w:rFonts w:hint="eastAsia" w:ascii="宋体" w:hAnsi="宋体" w:cs="宋体"/>
          <w:sz w:val="24"/>
          <w:highlight w:val="none"/>
        </w:rPr>
        <w:t>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highlight w:val="none"/>
        </w:rPr>
        <w:t>如属政府强制采购产品未提供认证证书的或认证证书提供不全的将视为未实质性响应采购要求</w:t>
      </w:r>
      <w:r>
        <w:rPr>
          <w:rFonts w:hint="eastAsia" w:ascii="宋体" w:hAnsi="宋体" w:cs="宋体"/>
          <w:i/>
          <w:sz w:val="24"/>
          <w:highlight w:val="none"/>
        </w:rPr>
        <w:t>。</w:t>
      </w:r>
      <w:r>
        <w:rPr>
          <w:rFonts w:hint="eastAsia" w:ascii="宋体" w:hAnsi="宋体" w:cs="宋体"/>
          <w:sz w:val="24"/>
          <w:highlight w:val="none"/>
        </w:rPr>
        <w:t>其他条件相同情况下，应当优先采购节能产品、环境标志产品。</w:t>
      </w:r>
    </w:p>
    <w:p w14:paraId="7CF39C27">
      <w:pPr>
        <w:pStyle w:val="44"/>
        <w:widowControl w:val="0"/>
        <w:spacing w:before="120" w:beforeAutospacing="0" w:after="120" w:afterAutospacing="0" w:line="400" w:lineRule="atLeast"/>
        <w:ind w:firstLine="363"/>
        <w:rPr>
          <w:rFonts w:asciiTheme="minorEastAsia" w:hAnsiTheme="minorEastAsia" w:eastAsiaTheme="minorEastAsia"/>
          <w:highlight w:val="none"/>
        </w:rPr>
      </w:pPr>
      <w:r>
        <w:rPr>
          <w:rFonts w:hint="eastAsia" w:cs="Courier New" w:asciiTheme="minorEastAsia" w:hAnsiTheme="minorEastAsia" w:eastAsiaTheme="minorEastAsia"/>
          <w:b/>
          <w:bCs/>
          <w:highlight w:val="none"/>
        </w:rPr>
        <w:t>四、评分标准</w:t>
      </w:r>
    </w:p>
    <w:p w14:paraId="3C3F0BED">
      <w:pPr>
        <w:pStyle w:val="44"/>
        <w:widowControl w:val="0"/>
        <w:spacing w:before="120" w:beforeAutospacing="0" w:after="120" w:afterAutospacing="0" w:line="400" w:lineRule="atLeast"/>
        <w:ind w:firstLine="363"/>
        <w:rPr>
          <w:rFonts w:asciiTheme="minorEastAsia" w:hAnsiTheme="minorEastAsia" w:eastAsiaTheme="minorEastAsia"/>
          <w:highlight w:val="none"/>
        </w:rPr>
      </w:pPr>
      <w:r>
        <w:rPr>
          <w:rFonts w:hint="eastAsia" w:cs="Courier New" w:asciiTheme="minorEastAsia" w:hAnsiTheme="minorEastAsia" w:eastAsiaTheme="minorEastAsia"/>
          <w:b/>
          <w:bCs/>
          <w:highlight w:val="none"/>
        </w:rPr>
        <w:t>本项目评分总分值为</w:t>
      </w:r>
      <w:r>
        <w:rPr>
          <w:rFonts w:cs="Courier New" w:asciiTheme="minorEastAsia" w:hAnsiTheme="minorEastAsia" w:eastAsiaTheme="minorEastAsia"/>
          <w:b/>
          <w:bCs/>
          <w:highlight w:val="none"/>
        </w:rPr>
        <w:t>100</w:t>
      </w:r>
      <w:r>
        <w:rPr>
          <w:rFonts w:hint="eastAsia" w:cs="Courier New" w:asciiTheme="minorEastAsia" w:hAnsiTheme="minorEastAsia" w:eastAsiaTheme="minorEastAsia"/>
          <w:b/>
          <w:bCs/>
          <w:highlight w:val="none"/>
        </w:rPr>
        <w:t>分。</w:t>
      </w:r>
    </w:p>
    <w:tbl>
      <w:tblPr>
        <w:tblStyle w:val="47"/>
        <w:tblW w:w="50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1194"/>
        <w:gridCol w:w="1233"/>
        <w:gridCol w:w="7617"/>
      </w:tblGrid>
      <w:tr w14:paraId="5E30B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80" w:hRule="atLeast"/>
        </w:trPr>
        <w:tc>
          <w:tcPr>
            <w:tcW w:w="1194" w:type="dxa"/>
            <w:vAlign w:val="center"/>
          </w:tcPr>
          <w:p w14:paraId="6ECA3D2B">
            <w:pPr>
              <w:spacing w:line="320" w:lineRule="exact"/>
              <w:rPr>
                <w:rFonts w:ascii="宋体" w:hAnsi="宋体" w:cs="宋体"/>
                <w:color w:val="000000"/>
                <w:szCs w:val="21"/>
                <w:highlight w:val="none"/>
              </w:rPr>
            </w:pPr>
            <w:bookmarkStart w:id="119" w:name="OLE_LINK26"/>
            <w:r>
              <w:rPr>
                <w:rFonts w:hint="eastAsia" w:ascii="宋体" w:hAnsi="宋体"/>
                <w:szCs w:val="21"/>
                <w:highlight w:val="none"/>
              </w:rPr>
              <w:t>评审因素</w:t>
            </w:r>
          </w:p>
        </w:tc>
        <w:tc>
          <w:tcPr>
            <w:tcW w:w="1233" w:type="dxa"/>
            <w:vAlign w:val="center"/>
          </w:tcPr>
          <w:p w14:paraId="5F997DAD">
            <w:pPr>
              <w:spacing w:line="280" w:lineRule="exact"/>
              <w:jc w:val="center"/>
              <w:rPr>
                <w:rFonts w:ascii="宋体" w:hAnsi="宋体" w:cs="宋体"/>
                <w:color w:val="000000"/>
                <w:szCs w:val="21"/>
                <w:highlight w:val="none"/>
              </w:rPr>
            </w:pPr>
            <w:r>
              <w:rPr>
                <w:rFonts w:hint="eastAsia" w:ascii="宋体" w:hAnsi="宋体"/>
                <w:szCs w:val="21"/>
                <w:highlight w:val="none"/>
              </w:rPr>
              <w:t>分值</w:t>
            </w:r>
          </w:p>
        </w:tc>
        <w:tc>
          <w:tcPr>
            <w:tcW w:w="7617" w:type="dxa"/>
            <w:vAlign w:val="center"/>
          </w:tcPr>
          <w:p w14:paraId="1E7734C9">
            <w:pPr>
              <w:spacing w:line="320" w:lineRule="exact"/>
              <w:ind w:firstLine="420"/>
              <w:jc w:val="center"/>
              <w:rPr>
                <w:rFonts w:ascii="宋体" w:hAnsi="宋体" w:cs="宋体"/>
                <w:color w:val="000000"/>
                <w:szCs w:val="21"/>
                <w:highlight w:val="none"/>
              </w:rPr>
            </w:pPr>
            <w:r>
              <w:rPr>
                <w:rFonts w:hint="eastAsia" w:ascii="宋体" w:hAnsi="宋体"/>
                <w:szCs w:val="21"/>
                <w:highlight w:val="none"/>
              </w:rPr>
              <w:t>评审标准</w:t>
            </w:r>
          </w:p>
        </w:tc>
      </w:tr>
      <w:tr w14:paraId="342B9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67" w:hRule="atLeast"/>
        </w:trPr>
        <w:tc>
          <w:tcPr>
            <w:tcW w:w="1194" w:type="dxa"/>
            <w:vAlign w:val="center"/>
          </w:tcPr>
          <w:p w14:paraId="0EA20EA1">
            <w:pPr>
              <w:spacing w:line="300" w:lineRule="exact"/>
              <w:jc w:val="center"/>
              <w:rPr>
                <w:rFonts w:ascii="宋体" w:hAnsi="宋体" w:cs="宋体"/>
                <w:color w:val="000000"/>
                <w:szCs w:val="21"/>
                <w:highlight w:val="none"/>
              </w:rPr>
            </w:pPr>
            <w:r>
              <w:rPr>
                <w:rFonts w:hint="eastAsia" w:ascii="宋体" w:hAnsi="宋体" w:cs="宋体"/>
                <w:color w:val="000000"/>
                <w:szCs w:val="21"/>
                <w:highlight w:val="none"/>
              </w:rPr>
              <w:t>投标报价</w:t>
            </w:r>
          </w:p>
        </w:tc>
        <w:tc>
          <w:tcPr>
            <w:tcW w:w="1233" w:type="dxa"/>
            <w:vAlign w:val="center"/>
          </w:tcPr>
          <w:p w14:paraId="7A17F7D3">
            <w:pPr>
              <w:spacing w:line="280" w:lineRule="exact"/>
              <w:jc w:val="center"/>
              <w:rPr>
                <w:rFonts w:ascii="宋体" w:hAnsi="宋体"/>
                <w:szCs w:val="21"/>
                <w:highlight w:val="none"/>
              </w:rPr>
            </w:pPr>
            <w:r>
              <w:rPr>
                <w:rFonts w:hint="eastAsia" w:ascii="宋体" w:hAnsi="宋体"/>
                <w:szCs w:val="21"/>
                <w:highlight w:val="none"/>
              </w:rPr>
              <w:t>30分</w:t>
            </w:r>
          </w:p>
        </w:tc>
        <w:tc>
          <w:tcPr>
            <w:tcW w:w="7617" w:type="dxa"/>
            <w:vAlign w:val="center"/>
          </w:tcPr>
          <w:p w14:paraId="6D8220A7">
            <w:pPr>
              <w:spacing w:line="320" w:lineRule="exact"/>
              <w:rPr>
                <w:rFonts w:ascii="宋体" w:hAnsi="宋体"/>
                <w:szCs w:val="21"/>
                <w:highlight w:val="none"/>
              </w:rPr>
            </w:pPr>
            <w:r>
              <w:rPr>
                <w:rFonts w:hint="eastAsia" w:ascii="宋体" w:hAnsi="宋体"/>
                <w:szCs w:val="21"/>
                <w:highlight w:val="none"/>
              </w:rPr>
              <w:t>价格分采用低价优先法计算，即满足招标文件要求且最后报价最低的供应商的价格为评标基准价，其价格分为满分。其他供应商的价格分统一按照下列公式计算：投标报价得分＝（评标基准价/投标报价）×30</w:t>
            </w:r>
            <w:r>
              <w:rPr>
                <w:rFonts w:hint="eastAsia" w:ascii="宋体" w:hAnsi="宋体" w:cs="宋体"/>
                <w:color w:val="000000"/>
                <w:szCs w:val="21"/>
                <w:highlight w:val="none"/>
                <w:lang w:bidi="ar"/>
              </w:rPr>
              <w:t>（四舍五入取至小数点后两位）</w:t>
            </w:r>
            <w:r>
              <w:rPr>
                <w:rFonts w:hint="eastAsia" w:ascii="宋体" w:hAnsi="宋体"/>
                <w:szCs w:val="21"/>
                <w:highlight w:val="none"/>
              </w:rPr>
              <w:t>。</w:t>
            </w:r>
          </w:p>
        </w:tc>
      </w:tr>
      <w:tr w14:paraId="2FD66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1" w:hRule="atLeast"/>
        </w:trPr>
        <w:tc>
          <w:tcPr>
            <w:tcW w:w="1194" w:type="dxa"/>
            <w:vMerge w:val="restart"/>
            <w:vAlign w:val="center"/>
          </w:tcPr>
          <w:p w14:paraId="4A4630F8">
            <w:pPr>
              <w:spacing w:line="300" w:lineRule="exact"/>
              <w:jc w:val="center"/>
              <w:rPr>
                <w:rFonts w:ascii="宋体" w:hAnsi="宋体" w:cs="宋体"/>
                <w:color w:val="000000"/>
                <w:szCs w:val="21"/>
                <w:highlight w:val="none"/>
              </w:rPr>
            </w:pPr>
            <w:r>
              <w:rPr>
                <w:rFonts w:hint="eastAsia" w:ascii="宋体" w:hAnsi="宋体"/>
                <w:szCs w:val="21"/>
                <w:highlight w:val="none"/>
              </w:rPr>
              <w:t>综合实力</w:t>
            </w:r>
          </w:p>
        </w:tc>
        <w:tc>
          <w:tcPr>
            <w:tcW w:w="1233" w:type="dxa"/>
            <w:vAlign w:val="center"/>
          </w:tcPr>
          <w:p w14:paraId="01D16E64">
            <w:pPr>
              <w:spacing w:line="280" w:lineRule="exact"/>
              <w:jc w:val="center"/>
              <w:rPr>
                <w:rFonts w:ascii="宋体" w:hAnsi="宋体"/>
                <w:szCs w:val="21"/>
                <w:highlight w:val="none"/>
              </w:rPr>
            </w:pPr>
            <w:r>
              <w:rPr>
                <w:rFonts w:hint="eastAsia" w:ascii="宋体" w:hAnsi="宋体"/>
                <w:szCs w:val="21"/>
                <w:highlight w:val="none"/>
              </w:rPr>
              <w:t>企业业绩（4分）</w:t>
            </w:r>
          </w:p>
        </w:tc>
        <w:tc>
          <w:tcPr>
            <w:tcW w:w="7617" w:type="dxa"/>
            <w:vAlign w:val="center"/>
          </w:tcPr>
          <w:p w14:paraId="6B4495EF">
            <w:pPr>
              <w:widowControl/>
              <w:jc w:val="left"/>
              <w:rPr>
                <w:rFonts w:ascii="宋体" w:hAnsi="宋体" w:cs="宋体"/>
                <w:szCs w:val="21"/>
                <w:highlight w:val="none"/>
              </w:rPr>
            </w:pPr>
            <w:bookmarkStart w:id="120" w:name="OLE_LINK45"/>
            <w:bookmarkStart w:id="121" w:name="OLE_LINK46"/>
            <w:r>
              <w:rPr>
                <w:rFonts w:hint="eastAsia" w:ascii="宋体" w:hAnsi="宋体" w:cs="宋体"/>
                <w:szCs w:val="21"/>
                <w:highlight w:val="none"/>
              </w:rPr>
              <w:t>按本项目需求：</w:t>
            </w:r>
          </w:p>
          <w:p w14:paraId="5A84B311">
            <w:pPr>
              <w:widowControl/>
              <w:spacing w:line="300" w:lineRule="atLeast"/>
              <w:jc w:val="left"/>
              <w:rPr>
                <w:rFonts w:ascii="宋体" w:hAnsi="宋体"/>
                <w:szCs w:val="21"/>
                <w:highlight w:val="none"/>
              </w:rPr>
            </w:pPr>
            <w:r>
              <w:rPr>
                <w:rFonts w:hint="eastAsia" w:ascii="宋体" w:hAnsi="宋体"/>
                <w:szCs w:val="21"/>
                <w:highlight w:val="none"/>
              </w:rPr>
              <w:t>1，供应商自</w:t>
            </w:r>
            <w:r>
              <w:rPr>
                <w:rFonts w:hint="eastAsia" w:ascii="宋体" w:hAnsi="宋体" w:cs="宋体"/>
                <w:szCs w:val="21"/>
                <w:highlight w:val="none"/>
              </w:rPr>
              <w:t>2023年1月1日</w:t>
            </w:r>
            <w:r>
              <w:rPr>
                <w:rFonts w:hint="eastAsia" w:ascii="宋体" w:hAnsi="宋体"/>
                <w:szCs w:val="21"/>
                <w:highlight w:val="none"/>
              </w:rPr>
              <w:t>以来（以合同签订日期为准），提供1个雷达监测或溯源服务等类似业绩的得基本分2分，每多提供一个业绩加2分，本项最多得4分。投标时需提供</w:t>
            </w:r>
            <w:r>
              <w:rPr>
                <w:rFonts w:hint="eastAsia" w:ascii="宋体" w:hAnsi="宋体"/>
                <w:bCs/>
                <w:szCs w:val="21"/>
                <w:highlight w:val="none"/>
              </w:rPr>
              <w:t>合同和中标通知书等相关证明材料</w:t>
            </w:r>
            <w:bookmarkEnd w:id="120"/>
            <w:bookmarkEnd w:id="121"/>
            <w:r>
              <w:rPr>
                <w:rFonts w:hint="eastAsia" w:ascii="宋体" w:hAnsi="宋体"/>
                <w:bCs/>
                <w:szCs w:val="21"/>
                <w:highlight w:val="none"/>
              </w:rPr>
              <w:t>原件扫描件并</w:t>
            </w:r>
            <w:r>
              <w:rPr>
                <w:rFonts w:hint="eastAsia" w:ascii="宋体" w:hAnsi="宋体" w:cs="宋体"/>
                <w:color w:val="000000"/>
                <w:szCs w:val="21"/>
                <w:highlight w:val="none"/>
                <w:lang w:bidi="ar"/>
              </w:rPr>
              <w:t>加盖投标人公章</w:t>
            </w:r>
            <w:r>
              <w:rPr>
                <w:rFonts w:hint="eastAsia" w:ascii="宋体" w:hAnsi="宋体"/>
                <w:bCs/>
                <w:szCs w:val="21"/>
                <w:highlight w:val="none"/>
              </w:rPr>
              <w:t>为准，未提供或提供不全不得分。</w:t>
            </w:r>
          </w:p>
        </w:tc>
      </w:tr>
      <w:tr w14:paraId="72CAD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1" w:hRule="atLeast"/>
        </w:trPr>
        <w:tc>
          <w:tcPr>
            <w:tcW w:w="1194" w:type="dxa"/>
            <w:vMerge w:val="continue"/>
            <w:vAlign w:val="center"/>
          </w:tcPr>
          <w:p w14:paraId="188CA4DA">
            <w:pPr>
              <w:spacing w:line="300" w:lineRule="exact"/>
              <w:jc w:val="center"/>
              <w:rPr>
                <w:rFonts w:ascii="宋体" w:hAnsi="宋体"/>
                <w:szCs w:val="21"/>
                <w:highlight w:val="none"/>
              </w:rPr>
            </w:pPr>
          </w:p>
        </w:tc>
        <w:tc>
          <w:tcPr>
            <w:tcW w:w="1233" w:type="dxa"/>
            <w:vAlign w:val="center"/>
          </w:tcPr>
          <w:p w14:paraId="669D0F11">
            <w:pPr>
              <w:spacing w:line="280" w:lineRule="exact"/>
              <w:jc w:val="center"/>
              <w:rPr>
                <w:rFonts w:ascii="宋体" w:hAnsi="宋体"/>
                <w:szCs w:val="21"/>
                <w:highlight w:val="none"/>
              </w:rPr>
            </w:pPr>
            <w:r>
              <w:rPr>
                <w:rFonts w:hint="eastAsia" w:ascii="宋体" w:hAnsi="宋体" w:cs="宋体"/>
                <w:szCs w:val="21"/>
                <w:highlight w:val="none"/>
              </w:rPr>
              <w:t>项目组成员（4分）</w:t>
            </w:r>
          </w:p>
        </w:tc>
        <w:tc>
          <w:tcPr>
            <w:tcW w:w="7617" w:type="dxa"/>
            <w:vAlign w:val="center"/>
          </w:tcPr>
          <w:p w14:paraId="481073F0">
            <w:pPr>
              <w:widowControl/>
              <w:jc w:val="left"/>
              <w:rPr>
                <w:rFonts w:ascii="宋体" w:hAnsi="宋体" w:cs="宋体"/>
                <w:szCs w:val="21"/>
                <w:highlight w:val="none"/>
              </w:rPr>
            </w:pPr>
            <w:r>
              <w:rPr>
                <w:rFonts w:hint="eastAsia" w:ascii="宋体" w:hAnsi="宋体" w:cs="宋体"/>
                <w:szCs w:val="21"/>
                <w:highlight w:val="none"/>
              </w:rPr>
              <w:t>1.项目负责人具备生态环境工程相关专业</w:t>
            </w:r>
            <w:r>
              <w:rPr>
                <w:rFonts w:hint="eastAsia" w:ascii="宋体" w:hAnsi="宋体" w:cs="宋体"/>
                <w:szCs w:val="21"/>
                <w:highlight w:val="none"/>
                <w:lang w:val="en-US" w:eastAsia="zh-CN"/>
              </w:rPr>
              <w:t>中级职称的得1分，</w:t>
            </w:r>
            <w:r>
              <w:rPr>
                <w:rFonts w:hint="eastAsia" w:ascii="宋体" w:hAnsi="宋体" w:cs="宋体"/>
                <w:szCs w:val="21"/>
                <w:highlight w:val="none"/>
              </w:rPr>
              <w:t>具备生态环境工程相关专业高级及以上职称的得2分。</w:t>
            </w:r>
          </w:p>
          <w:p w14:paraId="11849BF5">
            <w:pPr>
              <w:widowControl/>
              <w:jc w:val="left"/>
              <w:rPr>
                <w:rFonts w:ascii="宋体" w:hAnsi="宋体" w:cs="宋体"/>
                <w:szCs w:val="21"/>
                <w:highlight w:val="none"/>
              </w:rPr>
            </w:pPr>
            <w:r>
              <w:rPr>
                <w:rFonts w:hint="eastAsia" w:ascii="宋体" w:hAnsi="宋体" w:cs="宋体"/>
                <w:szCs w:val="21"/>
                <w:highlight w:val="none"/>
              </w:rPr>
              <w:t>2，为了保障雷达安装和维护的安全性，项目组成员</w:t>
            </w:r>
            <w:r>
              <w:rPr>
                <w:rFonts w:hint="eastAsia" w:ascii="宋体" w:hAnsi="宋体" w:cs="宋体"/>
                <w:szCs w:val="21"/>
                <w:highlight w:val="none"/>
                <w:lang w:val="en-US" w:eastAsia="zh-CN"/>
              </w:rPr>
              <w:t>（除项目负责人外）</w:t>
            </w:r>
            <w:r>
              <w:rPr>
                <w:rFonts w:hint="eastAsia" w:ascii="宋体" w:hAnsi="宋体" w:cs="宋体"/>
                <w:szCs w:val="21"/>
                <w:highlight w:val="none"/>
              </w:rPr>
              <w:t>须具有应急管理部门（或安全生产监督管理局）颁发的特种作业操作证的（操作项目为：高处作业），得2分。</w:t>
            </w:r>
          </w:p>
          <w:p w14:paraId="3257F125">
            <w:pPr>
              <w:widowControl/>
              <w:jc w:val="left"/>
              <w:rPr>
                <w:rFonts w:ascii="宋体" w:hAnsi="宋体" w:cs="宋体"/>
                <w:szCs w:val="21"/>
                <w:highlight w:val="none"/>
              </w:rPr>
            </w:pPr>
            <w:r>
              <w:rPr>
                <w:rFonts w:hint="eastAsia" w:ascii="宋体" w:hAnsi="宋体" w:cs="宋体"/>
                <w:szCs w:val="21"/>
                <w:highlight w:val="none"/>
              </w:rPr>
              <w:t>以上两点，</w:t>
            </w:r>
            <w:bookmarkStart w:id="122" w:name="_Hlk208756131"/>
            <w:r>
              <w:rPr>
                <w:rFonts w:hint="eastAsia" w:ascii="宋体" w:hAnsi="宋体" w:cs="宋体"/>
                <w:szCs w:val="21"/>
                <w:highlight w:val="none"/>
              </w:rPr>
              <w:t>投标时以提供的相关人员职称证书</w:t>
            </w:r>
            <w:r>
              <w:rPr>
                <w:rFonts w:hint="eastAsia" w:ascii="宋体" w:hAnsi="宋体"/>
                <w:bCs/>
                <w:szCs w:val="21"/>
                <w:highlight w:val="none"/>
              </w:rPr>
              <w:t>原件扫描件</w:t>
            </w:r>
            <w:r>
              <w:rPr>
                <w:rFonts w:hint="eastAsia" w:ascii="宋体" w:hAnsi="宋体" w:cs="宋体"/>
                <w:szCs w:val="21"/>
                <w:highlight w:val="none"/>
              </w:rPr>
              <w:t>，同时提供近3个月内任意1个月为其缴纳社保的相关证明材料</w:t>
            </w:r>
            <w:r>
              <w:rPr>
                <w:rFonts w:hint="eastAsia" w:ascii="宋体" w:hAnsi="宋体"/>
                <w:bCs/>
                <w:szCs w:val="21"/>
                <w:highlight w:val="none"/>
              </w:rPr>
              <w:t>原件扫描件并</w:t>
            </w:r>
            <w:r>
              <w:rPr>
                <w:rFonts w:hint="eastAsia" w:ascii="宋体" w:hAnsi="宋体" w:cs="宋体"/>
                <w:color w:val="000000"/>
                <w:szCs w:val="21"/>
                <w:highlight w:val="none"/>
                <w:lang w:bidi="ar"/>
              </w:rPr>
              <w:t>加盖投标人公章</w:t>
            </w:r>
            <w:r>
              <w:rPr>
                <w:rFonts w:hint="eastAsia" w:ascii="宋体" w:hAnsi="宋体" w:cs="宋体"/>
                <w:szCs w:val="21"/>
                <w:highlight w:val="none"/>
              </w:rPr>
              <w:t>，否则不得分，教授可对应正高工程师，副教授可对应高级工程师。</w:t>
            </w:r>
            <w:bookmarkEnd w:id="122"/>
          </w:p>
        </w:tc>
      </w:tr>
      <w:tr w14:paraId="685C0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57" w:hRule="atLeast"/>
        </w:trPr>
        <w:tc>
          <w:tcPr>
            <w:tcW w:w="1194" w:type="dxa"/>
            <w:vMerge w:val="restart"/>
            <w:vAlign w:val="center"/>
          </w:tcPr>
          <w:p w14:paraId="7BB7D62F">
            <w:pPr>
              <w:spacing w:line="300" w:lineRule="exact"/>
              <w:rPr>
                <w:rFonts w:ascii="宋体" w:hAnsi="宋体"/>
                <w:szCs w:val="21"/>
                <w:highlight w:val="none"/>
              </w:rPr>
            </w:pPr>
            <w:r>
              <w:rPr>
                <w:rFonts w:hint="eastAsia" w:ascii="宋体" w:hAnsi="宋体"/>
                <w:szCs w:val="21"/>
                <w:highlight w:val="none"/>
              </w:rPr>
              <w:t>服务方案（62分）</w:t>
            </w:r>
          </w:p>
        </w:tc>
        <w:tc>
          <w:tcPr>
            <w:tcW w:w="1233" w:type="dxa"/>
            <w:vAlign w:val="center"/>
          </w:tcPr>
          <w:p w14:paraId="56A0CE5F">
            <w:pPr>
              <w:widowControl/>
              <w:jc w:val="center"/>
              <w:rPr>
                <w:rFonts w:ascii="Times New Roman" w:hAnsi="Times New Roman"/>
                <w:kern w:val="2"/>
                <w:szCs w:val="21"/>
                <w:highlight w:val="none"/>
              </w:rPr>
            </w:pPr>
            <w:r>
              <w:rPr>
                <w:rFonts w:hint="eastAsia" w:ascii="宋体" w:hAnsi="宋体" w:cs="宋体"/>
                <w:szCs w:val="21"/>
                <w:highlight w:val="none"/>
              </w:rPr>
              <w:t>整体项目准备（10）</w:t>
            </w:r>
          </w:p>
        </w:tc>
        <w:tc>
          <w:tcPr>
            <w:tcW w:w="7617" w:type="dxa"/>
            <w:vAlign w:val="center"/>
          </w:tcPr>
          <w:p w14:paraId="7219F1BE">
            <w:pPr>
              <w:widowControl/>
              <w:jc w:val="left"/>
              <w:rPr>
                <w:rFonts w:ascii="宋体" w:hAnsi="宋体" w:cs="宋体"/>
                <w:color w:val="000000"/>
                <w:szCs w:val="21"/>
                <w:highlight w:val="none"/>
              </w:rPr>
            </w:pPr>
            <w:r>
              <w:rPr>
                <w:rFonts w:hint="eastAsia" w:ascii="宋体" w:hAnsi="宋体" w:cs="宋体"/>
                <w:color w:val="000000"/>
                <w:szCs w:val="21"/>
                <w:highlight w:val="none"/>
              </w:rPr>
              <w:t>根据招标文件项目需求，制定整体项目准备方案。本内容设计立足项目需求：</w:t>
            </w:r>
            <w:r>
              <w:rPr>
                <w:rFonts w:hint="eastAsia" w:ascii="宋体" w:hAnsi="宋体" w:cs="宋体"/>
                <w:bCs/>
                <w:sz w:val="21"/>
                <w:szCs w:val="21"/>
                <w:highlight w:val="none"/>
              </w:rPr>
              <w:t>方案优于项目需求得</w:t>
            </w:r>
            <w:r>
              <w:rPr>
                <w:rFonts w:hint="eastAsia" w:ascii="宋体" w:hAnsi="宋体" w:cs="宋体"/>
                <w:bCs/>
                <w:sz w:val="21"/>
                <w:szCs w:val="21"/>
                <w:highlight w:val="none"/>
                <w:lang w:val="en-US" w:eastAsia="zh-CN"/>
              </w:rPr>
              <w:t>10</w:t>
            </w:r>
            <w:r>
              <w:rPr>
                <w:rFonts w:hint="eastAsia" w:ascii="宋体" w:hAnsi="宋体" w:cs="宋体"/>
                <w:bCs/>
                <w:sz w:val="21"/>
                <w:szCs w:val="21"/>
                <w:highlight w:val="none"/>
              </w:rPr>
              <w:t>分，符合项目需求得8分，不符合或未提供的不得分。投标人提供的方案能全部响应要求，提出更为细致、有针对性、切实可行、要求之外且和本项目实施相关的内容的，可视为优于；方案能响应要求的可视为符合；方案对于要求的响应不完全或者</w:t>
            </w:r>
            <w:bookmarkStart w:id="141" w:name="_GoBack"/>
            <w:r>
              <w:rPr>
                <w:rFonts w:hint="eastAsia" w:ascii="宋体" w:hAnsi="宋体" w:cs="宋体"/>
                <w:bCs/>
                <w:sz w:val="21"/>
                <w:szCs w:val="21"/>
                <w:highlight w:val="none"/>
              </w:rPr>
              <w:t>偏离要求的，视为不符合。具体由评标委员会评审。</w:t>
            </w:r>
            <w:bookmarkEnd w:id="141"/>
          </w:p>
        </w:tc>
      </w:tr>
      <w:tr w14:paraId="6949B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214" w:hRule="atLeast"/>
        </w:trPr>
        <w:tc>
          <w:tcPr>
            <w:tcW w:w="1194" w:type="dxa"/>
            <w:vMerge w:val="continue"/>
            <w:vAlign w:val="center"/>
          </w:tcPr>
          <w:p w14:paraId="217B141E">
            <w:pPr>
              <w:spacing w:line="300" w:lineRule="exact"/>
              <w:rPr>
                <w:rFonts w:ascii="宋体" w:hAnsi="宋体"/>
                <w:szCs w:val="21"/>
                <w:highlight w:val="none"/>
              </w:rPr>
            </w:pPr>
          </w:p>
        </w:tc>
        <w:tc>
          <w:tcPr>
            <w:tcW w:w="1233" w:type="dxa"/>
            <w:vAlign w:val="center"/>
          </w:tcPr>
          <w:p w14:paraId="415563CF">
            <w:pPr>
              <w:widowControl/>
              <w:jc w:val="center"/>
              <w:rPr>
                <w:rFonts w:ascii="Times New Roman" w:hAnsi="Times New Roman"/>
                <w:szCs w:val="21"/>
                <w:highlight w:val="none"/>
              </w:rPr>
            </w:pPr>
            <w:r>
              <w:rPr>
                <w:rFonts w:hint="eastAsia" w:ascii="Times New Roman" w:hAnsi="Times New Roman"/>
                <w:kern w:val="2"/>
                <w:szCs w:val="21"/>
                <w:highlight w:val="none"/>
              </w:rPr>
              <w:t>整体服务方案（10分）</w:t>
            </w:r>
          </w:p>
        </w:tc>
        <w:tc>
          <w:tcPr>
            <w:tcW w:w="7617" w:type="dxa"/>
            <w:vAlign w:val="center"/>
          </w:tcPr>
          <w:p w14:paraId="5A730D91">
            <w:pPr>
              <w:widowControl/>
              <w:jc w:val="left"/>
              <w:rPr>
                <w:rFonts w:ascii="宋体" w:hAnsi="宋体" w:cs="宋体"/>
                <w:color w:val="000000"/>
                <w:szCs w:val="21"/>
                <w:highlight w:val="none"/>
                <w:lang w:bidi="ar"/>
              </w:rPr>
            </w:pPr>
            <w:r>
              <w:rPr>
                <w:rFonts w:hint="eastAsia" w:ascii="宋体" w:hAnsi="宋体" w:cs="宋体"/>
                <w:color w:val="000000"/>
                <w:szCs w:val="21"/>
                <w:highlight w:val="none"/>
              </w:rPr>
              <w:t>根据招标文件项目需求，制定实施总方案。内容包含但不限于</w:t>
            </w:r>
            <w:r>
              <w:rPr>
                <w:rFonts w:hint="eastAsia" w:ascii="宋体" w:hAnsi="宋体" w:cs="宋体"/>
                <w:color w:val="000000"/>
                <w:szCs w:val="21"/>
                <w:highlight w:val="none"/>
                <w:lang w:bidi="ar"/>
              </w:rPr>
              <w:t>工作目标、工作内容、项目实施准备、人员安排、技术方法、成果交付等6项内容，</w:t>
            </w:r>
            <w:r>
              <w:rPr>
                <w:rFonts w:hint="eastAsia" w:ascii="宋体" w:hAnsi="宋体" w:cs="宋体"/>
                <w:bCs/>
                <w:sz w:val="21"/>
                <w:szCs w:val="21"/>
                <w:highlight w:val="none"/>
              </w:rPr>
              <w:t>方案优于项目需求得</w:t>
            </w:r>
            <w:r>
              <w:rPr>
                <w:rFonts w:hint="eastAsia" w:ascii="宋体" w:hAnsi="宋体" w:cs="宋体"/>
                <w:bCs/>
                <w:sz w:val="21"/>
                <w:szCs w:val="21"/>
                <w:highlight w:val="none"/>
                <w:lang w:val="en-US" w:eastAsia="zh-CN"/>
              </w:rPr>
              <w:t>10</w:t>
            </w:r>
            <w:r>
              <w:rPr>
                <w:rFonts w:hint="eastAsia" w:ascii="宋体" w:hAnsi="宋体" w:cs="宋体"/>
                <w:bCs/>
                <w:sz w:val="21"/>
                <w:szCs w:val="21"/>
                <w:highlight w:val="none"/>
              </w:rPr>
              <w:t>分，符合项目需求得8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14:paraId="359BE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42" w:hRule="atLeast"/>
        </w:trPr>
        <w:tc>
          <w:tcPr>
            <w:tcW w:w="1194" w:type="dxa"/>
            <w:vMerge w:val="continue"/>
            <w:vAlign w:val="center"/>
          </w:tcPr>
          <w:p w14:paraId="537524F8">
            <w:pPr>
              <w:spacing w:line="300" w:lineRule="exact"/>
              <w:rPr>
                <w:rFonts w:ascii="宋体" w:hAnsi="宋体"/>
                <w:szCs w:val="21"/>
                <w:highlight w:val="none"/>
              </w:rPr>
            </w:pPr>
          </w:p>
        </w:tc>
        <w:tc>
          <w:tcPr>
            <w:tcW w:w="1233" w:type="dxa"/>
            <w:vAlign w:val="center"/>
          </w:tcPr>
          <w:p w14:paraId="4A7459CD">
            <w:pPr>
              <w:widowControl/>
              <w:jc w:val="center"/>
              <w:rPr>
                <w:rFonts w:ascii="宋体" w:hAnsi="宋体"/>
                <w:szCs w:val="21"/>
                <w:highlight w:val="none"/>
              </w:rPr>
            </w:pPr>
            <w:r>
              <w:rPr>
                <w:rFonts w:hint="eastAsia" w:ascii="宋体" w:hAnsi="宋体" w:cs="宋体"/>
                <w:color w:val="000000"/>
                <w:szCs w:val="21"/>
                <w:highlight w:val="none"/>
                <w:lang w:bidi="ar"/>
              </w:rPr>
              <w:t>项目重点分析（10分）</w:t>
            </w:r>
          </w:p>
        </w:tc>
        <w:tc>
          <w:tcPr>
            <w:tcW w:w="7617" w:type="dxa"/>
            <w:vAlign w:val="center"/>
          </w:tcPr>
          <w:p w14:paraId="6CA5F459">
            <w:pPr>
              <w:widowControl/>
              <w:jc w:val="left"/>
              <w:rPr>
                <w:rFonts w:ascii="宋体" w:hAnsi="宋体" w:cs="宋体"/>
                <w:color w:val="000000"/>
                <w:szCs w:val="21"/>
                <w:highlight w:val="none"/>
                <w:lang w:bidi="ar"/>
              </w:rPr>
            </w:pPr>
            <w:r>
              <w:rPr>
                <w:rFonts w:hint="eastAsia" w:ascii="宋体" w:hAnsi="宋体" w:cs="宋体"/>
                <w:color w:val="000000"/>
                <w:szCs w:val="21"/>
                <w:highlight w:val="none"/>
              </w:rPr>
              <w:t>根据招标文件项目需求，</w:t>
            </w:r>
            <w:r>
              <w:rPr>
                <w:rFonts w:hint="eastAsia" w:ascii="宋体" w:hAnsi="宋体" w:cs="宋体"/>
                <w:color w:val="000000"/>
                <w:szCs w:val="21"/>
                <w:highlight w:val="none"/>
                <w:lang w:bidi="ar"/>
              </w:rPr>
              <w:t>供应商对项目的重点进行评定分析，从政策导向、数据分析出发，解析项目现场的问题：</w:t>
            </w:r>
            <w:r>
              <w:rPr>
                <w:rFonts w:hint="eastAsia" w:ascii="宋体" w:hAnsi="宋体" w:cs="宋体"/>
                <w:bCs/>
                <w:sz w:val="21"/>
                <w:szCs w:val="21"/>
                <w:highlight w:val="none"/>
              </w:rPr>
              <w:t>方案优于项目需求得</w:t>
            </w:r>
            <w:r>
              <w:rPr>
                <w:rFonts w:hint="eastAsia" w:ascii="宋体" w:hAnsi="宋体" w:cs="宋体"/>
                <w:bCs/>
                <w:sz w:val="21"/>
                <w:szCs w:val="21"/>
                <w:highlight w:val="none"/>
                <w:lang w:val="en-US" w:eastAsia="zh-CN"/>
              </w:rPr>
              <w:t>10</w:t>
            </w:r>
            <w:r>
              <w:rPr>
                <w:rFonts w:hint="eastAsia" w:ascii="宋体" w:hAnsi="宋体" w:cs="宋体"/>
                <w:bCs/>
                <w:sz w:val="21"/>
                <w:szCs w:val="21"/>
                <w:highlight w:val="none"/>
              </w:rPr>
              <w:t>分，符合项目需求得8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14:paraId="16C86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42" w:hRule="atLeast"/>
        </w:trPr>
        <w:tc>
          <w:tcPr>
            <w:tcW w:w="1194" w:type="dxa"/>
            <w:vMerge w:val="continue"/>
            <w:vAlign w:val="center"/>
          </w:tcPr>
          <w:p w14:paraId="2D4890C4">
            <w:pPr>
              <w:spacing w:line="300" w:lineRule="exact"/>
              <w:rPr>
                <w:rFonts w:ascii="宋体" w:hAnsi="宋体"/>
                <w:szCs w:val="21"/>
                <w:highlight w:val="none"/>
              </w:rPr>
            </w:pPr>
          </w:p>
        </w:tc>
        <w:tc>
          <w:tcPr>
            <w:tcW w:w="1233" w:type="dxa"/>
            <w:vAlign w:val="center"/>
          </w:tcPr>
          <w:p w14:paraId="53E67808">
            <w:pPr>
              <w:widowControl/>
              <w:jc w:val="center"/>
              <w:rPr>
                <w:rFonts w:ascii="宋体" w:hAnsi="宋体" w:cs="宋体"/>
                <w:color w:val="000000"/>
                <w:szCs w:val="21"/>
                <w:highlight w:val="none"/>
                <w:lang w:bidi="ar"/>
              </w:rPr>
            </w:pPr>
            <w:r>
              <w:rPr>
                <w:rFonts w:hint="eastAsia" w:ascii="宋体" w:hAnsi="宋体" w:cs="宋体"/>
                <w:color w:val="000000"/>
                <w:szCs w:val="21"/>
                <w:highlight w:val="none"/>
                <w:lang w:bidi="ar"/>
              </w:rPr>
              <w:t>工作路线和实施（8分）</w:t>
            </w:r>
          </w:p>
        </w:tc>
        <w:tc>
          <w:tcPr>
            <w:tcW w:w="7617" w:type="dxa"/>
            <w:vAlign w:val="center"/>
          </w:tcPr>
          <w:p w14:paraId="4B97BA06">
            <w:pPr>
              <w:widowControl/>
              <w:jc w:val="left"/>
              <w:rPr>
                <w:rFonts w:ascii="宋体" w:hAnsi="宋体" w:cs="宋体"/>
                <w:color w:val="000000"/>
                <w:szCs w:val="21"/>
                <w:highlight w:val="none"/>
                <w:lang w:bidi="ar"/>
              </w:rPr>
            </w:pPr>
            <w:r>
              <w:rPr>
                <w:rFonts w:hint="eastAsia" w:ascii="宋体" w:hAnsi="宋体" w:cs="宋体"/>
                <w:color w:val="000000"/>
                <w:szCs w:val="21"/>
                <w:highlight w:val="none"/>
              </w:rPr>
              <w:t>根据招标文件项目需求，</w:t>
            </w:r>
            <w:r>
              <w:rPr>
                <w:rFonts w:hint="eastAsia" w:ascii="宋体" w:hAnsi="宋体" w:cs="宋体"/>
                <w:color w:val="000000"/>
                <w:szCs w:val="21"/>
                <w:highlight w:val="none"/>
                <w:lang w:bidi="ar"/>
              </w:rPr>
              <w:t>供应商对项目重点分析，设计工作路线和实施方案综合评定：</w:t>
            </w:r>
            <w:r>
              <w:rPr>
                <w:rFonts w:hint="eastAsia" w:ascii="宋体" w:hAnsi="宋体" w:cs="宋体"/>
                <w:bCs/>
                <w:sz w:val="21"/>
                <w:szCs w:val="21"/>
                <w:highlight w:val="none"/>
              </w:rPr>
              <w:t>方案优于项目需求得</w:t>
            </w:r>
            <w:r>
              <w:rPr>
                <w:rFonts w:hint="eastAsia" w:ascii="宋体" w:hAnsi="宋体" w:cs="宋体"/>
                <w:bCs/>
                <w:sz w:val="21"/>
                <w:szCs w:val="21"/>
                <w:highlight w:val="none"/>
                <w:lang w:val="en-US" w:eastAsia="zh-CN"/>
              </w:rPr>
              <w:t>8</w:t>
            </w:r>
            <w:r>
              <w:rPr>
                <w:rFonts w:hint="eastAsia" w:ascii="宋体" w:hAnsi="宋体" w:cs="宋体"/>
                <w:bCs/>
                <w:sz w:val="21"/>
                <w:szCs w:val="21"/>
                <w:highlight w:val="none"/>
              </w:rPr>
              <w:t>分，符合项目需求得</w:t>
            </w:r>
            <w:r>
              <w:rPr>
                <w:rFonts w:hint="eastAsia" w:ascii="宋体" w:hAnsi="宋体" w:cs="宋体"/>
                <w:bCs/>
                <w:sz w:val="21"/>
                <w:szCs w:val="21"/>
                <w:highlight w:val="none"/>
                <w:lang w:val="en-US" w:eastAsia="zh-CN"/>
              </w:rPr>
              <w:t>6</w:t>
            </w:r>
            <w:r>
              <w:rPr>
                <w:rFonts w:hint="eastAsia" w:ascii="宋体" w:hAnsi="宋体" w:cs="宋体"/>
                <w:bCs/>
                <w:sz w:val="21"/>
                <w:szCs w:val="21"/>
                <w:highlight w:val="none"/>
              </w:rPr>
              <w:t>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14:paraId="3A947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42" w:hRule="atLeast"/>
        </w:trPr>
        <w:tc>
          <w:tcPr>
            <w:tcW w:w="1194" w:type="dxa"/>
            <w:vMerge w:val="continue"/>
            <w:vAlign w:val="center"/>
          </w:tcPr>
          <w:p w14:paraId="018D6ED9">
            <w:pPr>
              <w:spacing w:line="300" w:lineRule="exact"/>
              <w:rPr>
                <w:rFonts w:ascii="宋体" w:hAnsi="宋体"/>
                <w:szCs w:val="21"/>
                <w:highlight w:val="none"/>
              </w:rPr>
            </w:pPr>
          </w:p>
        </w:tc>
        <w:tc>
          <w:tcPr>
            <w:tcW w:w="1233" w:type="dxa"/>
            <w:vAlign w:val="center"/>
          </w:tcPr>
          <w:p w14:paraId="29E23820">
            <w:pPr>
              <w:widowControl/>
              <w:jc w:val="center"/>
              <w:rPr>
                <w:rFonts w:ascii="宋体" w:hAnsi="宋体" w:cs="宋体"/>
                <w:color w:val="000000"/>
                <w:szCs w:val="21"/>
                <w:highlight w:val="none"/>
                <w:lang w:bidi="ar"/>
              </w:rPr>
            </w:pPr>
            <w:r>
              <w:rPr>
                <w:rFonts w:hint="eastAsia" w:ascii="宋体" w:hAnsi="宋体" w:cs="宋体"/>
                <w:color w:val="000000"/>
                <w:szCs w:val="21"/>
                <w:highlight w:val="none"/>
                <w:lang w:bidi="ar"/>
              </w:rPr>
              <w:t>工作进度及计划（8分）</w:t>
            </w:r>
          </w:p>
        </w:tc>
        <w:tc>
          <w:tcPr>
            <w:tcW w:w="7617" w:type="dxa"/>
            <w:vAlign w:val="center"/>
          </w:tcPr>
          <w:p w14:paraId="668FED6E">
            <w:pPr>
              <w:widowControl/>
              <w:jc w:val="left"/>
              <w:rPr>
                <w:rFonts w:ascii="宋体" w:hAnsi="宋体" w:cs="宋体"/>
                <w:color w:val="000000"/>
                <w:szCs w:val="21"/>
                <w:highlight w:val="none"/>
                <w:lang w:bidi="ar"/>
              </w:rPr>
            </w:pPr>
            <w:r>
              <w:rPr>
                <w:rFonts w:hint="eastAsia" w:ascii="宋体" w:hAnsi="宋体" w:cs="宋体"/>
                <w:color w:val="000000"/>
                <w:szCs w:val="21"/>
                <w:highlight w:val="none"/>
              </w:rPr>
              <w:t>根据招标文件项目需求，</w:t>
            </w:r>
            <w:r>
              <w:rPr>
                <w:rFonts w:hint="eastAsia" w:ascii="宋体" w:hAnsi="宋体" w:cs="宋体"/>
                <w:color w:val="000000"/>
                <w:szCs w:val="21"/>
                <w:highlight w:val="none"/>
                <w:lang w:bidi="ar"/>
              </w:rPr>
              <w:t>供应商对项目的工作进度及计划方案综合评定：</w:t>
            </w:r>
            <w:r>
              <w:rPr>
                <w:rFonts w:hint="eastAsia" w:ascii="宋体" w:hAnsi="宋体" w:cs="宋体"/>
                <w:bCs/>
                <w:sz w:val="21"/>
                <w:szCs w:val="21"/>
                <w:highlight w:val="none"/>
              </w:rPr>
              <w:t>方案优于项目需求得</w:t>
            </w:r>
            <w:r>
              <w:rPr>
                <w:rFonts w:hint="eastAsia" w:ascii="宋体" w:hAnsi="宋体" w:cs="宋体"/>
                <w:bCs/>
                <w:sz w:val="21"/>
                <w:szCs w:val="21"/>
                <w:highlight w:val="none"/>
                <w:lang w:val="en-US" w:eastAsia="zh-CN"/>
              </w:rPr>
              <w:t>8</w:t>
            </w:r>
            <w:r>
              <w:rPr>
                <w:rFonts w:hint="eastAsia" w:ascii="宋体" w:hAnsi="宋体" w:cs="宋体"/>
                <w:bCs/>
                <w:sz w:val="21"/>
                <w:szCs w:val="21"/>
                <w:highlight w:val="none"/>
              </w:rPr>
              <w:t>分，符合项目需求得</w:t>
            </w:r>
            <w:r>
              <w:rPr>
                <w:rFonts w:hint="eastAsia" w:ascii="宋体" w:hAnsi="宋体" w:cs="宋体"/>
                <w:bCs/>
                <w:sz w:val="21"/>
                <w:szCs w:val="21"/>
                <w:highlight w:val="none"/>
                <w:lang w:val="en-US" w:eastAsia="zh-CN"/>
              </w:rPr>
              <w:t>6</w:t>
            </w:r>
            <w:r>
              <w:rPr>
                <w:rFonts w:hint="eastAsia" w:ascii="宋体" w:hAnsi="宋体" w:cs="宋体"/>
                <w:bCs/>
                <w:sz w:val="21"/>
                <w:szCs w:val="21"/>
                <w:highlight w:val="none"/>
              </w:rPr>
              <w:t>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14:paraId="7FFFF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42" w:hRule="atLeast"/>
        </w:trPr>
        <w:tc>
          <w:tcPr>
            <w:tcW w:w="1194" w:type="dxa"/>
            <w:vMerge w:val="continue"/>
            <w:vAlign w:val="center"/>
          </w:tcPr>
          <w:p w14:paraId="202462CA">
            <w:pPr>
              <w:spacing w:line="300" w:lineRule="exact"/>
              <w:rPr>
                <w:rFonts w:ascii="宋体" w:hAnsi="宋体"/>
                <w:szCs w:val="21"/>
                <w:highlight w:val="none"/>
              </w:rPr>
            </w:pPr>
          </w:p>
        </w:tc>
        <w:tc>
          <w:tcPr>
            <w:tcW w:w="1233" w:type="dxa"/>
            <w:vAlign w:val="center"/>
          </w:tcPr>
          <w:p w14:paraId="2EEEA4EB">
            <w:pPr>
              <w:widowControl/>
              <w:jc w:val="center"/>
              <w:rPr>
                <w:rFonts w:ascii="宋体" w:hAnsi="宋体" w:cs="宋体"/>
                <w:color w:val="000000"/>
                <w:szCs w:val="21"/>
                <w:highlight w:val="none"/>
                <w:lang w:bidi="ar"/>
              </w:rPr>
            </w:pPr>
            <w:r>
              <w:rPr>
                <w:rFonts w:hint="eastAsia" w:ascii="Times New Roman" w:hAnsi="Times New Roman"/>
                <w:kern w:val="2"/>
                <w:szCs w:val="21"/>
                <w:highlight w:val="none"/>
              </w:rPr>
              <w:t>服务质量管理方案（8分）</w:t>
            </w:r>
          </w:p>
        </w:tc>
        <w:tc>
          <w:tcPr>
            <w:tcW w:w="7617" w:type="dxa"/>
            <w:vAlign w:val="center"/>
          </w:tcPr>
          <w:p w14:paraId="1439946E">
            <w:pPr>
              <w:widowControl/>
              <w:jc w:val="left"/>
              <w:rPr>
                <w:rFonts w:ascii="宋体" w:hAnsi="宋体" w:cs="宋体"/>
                <w:color w:val="000000"/>
                <w:szCs w:val="21"/>
                <w:highlight w:val="none"/>
                <w:lang w:bidi="ar"/>
              </w:rPr>
            </w:pPr>
            <w:r>
              <w:rPr>
                <w:rFonts w:hint="eastAsia" w:ascii="宋体" w:hAnsi="宋体" w:cs="宋体"/>
                <w:color w:val="000000"/>
                <w:szCs w:val="21"/>
                <w:highlight w:val="none"/>
              </w:rPr>
              <w:t>根据招标文件项目需求，</w:t>
            </w:r>
            <w:r>
              <w:rPr>
                <w:rFonts w:hint="eastAsia" w:ascii="宋体" w:hAnsi="宋体" w:cs="宋体"/>
                <w:color w:val="000000"/>
                <w:szCs w:val="21"/>
                <w:highlight w:val="none"/>
                <w:lang w:bidi="ar"/>
              </w:rPr>
              <w:t>服务质量管理方案包括但不限于质控管理方案、成果满意度回访方案、内部工作流程及档案管理方案等，</w:t>
            </w:r>
            <w:r>
              <w:rPr>
                <w:rFonts w:hint="eastAsia" w:ascii="宋体" w:hAnsi="宋体" w:cs="宋体"/>
                <w:bCs/>
                <w:sz w:val="21"/>
                <w:szCs w:val="21"/>
                <w:highlight w:val="none"/>
              </w:rPr>
              <w:t>方案优于项目需求得</w:t>
            </w:r>
            <w:r>
              <w:rPr>
                <w:rFonts w:hint="eastAsia" w:ascii="宋体" w:hAnsi="宋体" w:cs="宋体"/>
                <w:bCs/>
                <w:sz w:val="21"/>
                <w:szCs w:val="21"/>
                <w:highlight w:val="none"/>
                <w:lang w:val="en-US" w:eastAsia="zh-CN"/>
              </w:rPr>
              <w:t>8</w:t>
            </w:r>
            <w:r>
              <w:rPr>
                <w:rFonts w:hint="eastAsia" w:ascii="宋体" w:hAnsi="宋体" w:cs="宋体"/>
                <w:bCs/>
                <w:sz w:val="21"/>
                <w:szCs w:val="21"/>
                <w:highlight w:val="none"/>
              </w:rPr>
              <w:t>分，符合项目需求得</w:t>
            </w:r>
            <w:r>
              <w:rPr>
                <w:rFonts w:hint="eastAsia" w:ascii="宋体" w:hAnsi="宋体" w:cs="宋体"/>
                <w:bCs/>
                <w:sz w:val="21"/>
                <w:szCs w:val="21"/>
                <w:highlight w:val="none"/>
                <w:lang w:val="en-US" w:eastAsia="zh-CN"/>
              </w:rPr>
              <w:t>6</w:t>
            </w:r>
            <w:r>
              <w:rPr>
                <w:rFonts w:hint="eastAsia" w:ascii="宋体" w:hAnsi="宋体" w:cs="宋体"/>
                <w:bCs/>
                <w:sz w:val="21"/>
                <w:szCs w:val="21"/>
                <w:highlight w:val="none"/>
              </w:rPr>
              <w:t>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tr w14:paraId="06B35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368" w:hRule="atLeast"/>
        </w:trPr>
        <w:tc>
          <w:tcPr>
            <w:tcW w:w="1194" w:type="dxa"/>
            <w:vMerge w:val="continue"/>
            <w:vAlign w:val="center"/>
          </w:tcPr>
          <w:p w14:paraId="386933AA">
            <w:pPr>
              <w:spacing w:line="300" w:lineRule="exact"/>
              <w:ind w:left="80" w:firstLine="140"/>
              <w:jc w:val="center"/>
              <w:rPr>
                <w:rFonts w:ascii="宋体" w:hAnsi="宋体" w:cs="宋体"/>
                <w:color w:val="000000"/>
                <w:szCs w:val="21"/>
                <w:highlight w:val="none"/>
              </w:rPr>
            </w:pPr>
          </w:p>
        </w:tc>
        <w:tc>
          <w:tcPr>
            <w:tcW w:w="1233" w:type="dxa"/>
            <w:vAlign w:val="center"/>
          </w:tcPr>
          <w:p w14:paraId="36EFC372">
            <w:pPr>
              <w:widowControl/>
              <w:jc w:val="center"/>
              <w:rPr>
                <w:rFonts w:ascii="Times New Roman" w:hAnsi="Times New Roman"/>
                <w:szCs w:val="21"/>
                <w:highlight w:val="none"/>
              </w:rPr>
            </w:pPr>
            <w:r>
              <w:rPr>
                <w:rFonts w:hint="eastAsia" w:ascii="宋体" w:hAnsi="宋体" w:cs="宋体"/>
                <w:szCs w:val="21"/>
                <w:highlight w:val="none"/>
              </w:rPr>
              <w:t>风险及应急管理方案（8分）</w:t>
            </w:r>
          </w:p>
        </w:tc>
        <w:tc>
          <w:tcPr>
            <w:tcW w:w="7617" w:type="dxa"/>
            <w:vAlign w:val="center"/>
          </w:tcPr>
          <w:p w14:paraId="2729B938">
            <w:pPr>
              <w:widowControl/>
              <w:jc w:val="left"/>
              <w:rPr>
                <w:rFonts w:ascii="宋体" w:hAnsi="宋体" w:cs="宋体"/>
                <w:color w:val="000000"/>
                <w:szCs w:val="21"/>
                <w:highlight w:val="none"/>
                <w:lang w:bidi="ar"/>
              </w:rPr>
            </w:pPr>
            <w:r>
              <w:rPr>
                <w:rFonts w:hint="eastAsia" w:ascii="宋体" w:hAnsi="宋体" w:cs="宋体"/>
                <w:color w:val="000000"/>
                <w:szCs w:val="21"/>
                <w:highlight w:val="none"/>
              </w:rPr>
              <w:t>根据招标文件项目需求，</w:t>
            </w:r>
            <w:r>
              <w:rPr>
                <w:rFonts w:hint="eastAsia" w:ascii="宋体" w:hAnsi="宋体" w:cs="宋体"/>
                <w:color w:val="000000"/>
                <w:szCs w:val="21"/>
                <w:highlight w:val="none"/>
                <w:lang w:bidi="ar"/>
              </w:rPr>
              <w:t>风险及应急管理方案包括但不限于服务过程中的设备故障应急管理、环境质量应急管理方案、人员应急管理方案、应急方案处理流程等，</w:t>
            </w:r>
            <w:r>
              <w:rPr>
                <w:rFonts w:hint="eastAsia" w:ascii="宋体" w:hAnsi="宋体" w:cs="宋体"/>
                <w:bCs/>
                <w:sz w:val="21"/>
                <w:szCs w:val="21"/>
                <w:highlight w:val="none"/>
              </w:rPr>
              <w:t>方案优于项目需求得</w:t>
            </w:r>
            <w:r>
              <w:rPr>
                <w:rFonts w:hint="eastAsia" w:ascii="宋体" w:hAnsi="宋体" w:cs="宋体"/>
                <w:bCs/>
                <w:sz w:val="21"/>
                <w:szCs w:val="21"/>
                <w:highlight w:val="none"/>
                <w:lang w:val="en-US" w:eastAsia="zh-CN"/>
              </w:rPr>
              <w:t>8</w:t>
            </w:r>
            <w:r>
              <w:rPr>
                <w:rFonts w:hint="eastAsia" w:ascii="宋体" w:hAnsi="宋体" w:cs="宋体"/>
                <w:bCs/>
                <w:sz w:val="21"/>
                <w:szCs w:val="21"/>
                <w:highlight w:val="none"/>
              </w:rPr>
              <w:t>分，符合项目需求得</w:t>
            </w:r>
            <w:r>
              <w:rPr>
                <w:rFonts w:hint="eastAsia" w:ascii="宋体" w:hAnsi="宋体" w:cs="宋体"/>
                <w:bCs/>
                <w:sz w:val="21"/>
                <w:szCs w:val="21"/>
                <w:highlight w:val="none"/>
                <w:lang w:val="en-US" w:eastAsia="zh-CN"/>
              </w:rPr>
              <w:t>6</w:t>
            </w:r>
            <w:r>
              <w:rPr>
                <w:rFonts w:hint="eastAsia" w:ascii="宋体" w:hAnsi="宋体" w:cs="宋体"/>
                <w:bCs/>
                <w:sz w:val="21"/>
                <w:szCs w:val="21"/>
                <w:highlight w:val="none"/>
              </w:rPr>
              <w:t>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p>
        </w:tc>
      </w:tr>
      <w:bookmarkEnd w:id="119"/>
    </w:tbl>
    <w:p w14:paraId="61804F5C">
      <w:pPr>
        <w:spacing w:line="440" w:lineRule="exact"/>
        <w:ind w:firstLine="420"/>
        <w:outlineLvl w:val="0"/>
        <w:rPr>
          <w:rFonts w:asciiTheme="minorEastAsia" w:hAnsiTheme="minorEastAsia" w:eastAsiaTheme="minorEastAsia"/>
          <w:highlight w:val="none"/>
        </w:rPr>
      </w:pPr>
    </w:p>
    <w:p w14:paraId="1E8F0C96">
      <w:pPr>
        <w:pageBreakBefore/>
        <w:spacing w:line="420" w:lineRule="atLeast"/>
        <w:jc w:val="center"/>
        <w:rPr>
          <w:rFonts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第六部分  投标文件格式</w:t>
      </w:r>
    </w:p>
    <w:p w14:paraId="76B3682E">
      <w:pPr>
        <w:jc w:val="center"/>
        <w:rPr>
          <w:rFonts w:cs="宋体" w:asciiTheme="minorEastAsia" w:hAnsiTheme="minorEastAsia" w:eastAsiaTheme="minorEastAsia"/>
          <w:sz w:val="40"/>
          <w:szCs w:val="30"/>
          <w:highlight w:val="none"/>
        </w:rPr>
      </w:pPr>
    </w:p>
    <w:p w14:paraId="29A0B747">
      <w:pPr>
        <w:jc w:val="center"/>
        <w:rPr>
          <w:rFonts w:asciiTheme="minorEastAsia" w:hAnsiTheme="minorEastAsia" w:eastAsiaTheme="minorEastAsia"/>
          <w:sz w:val="84"/>
          <w:szCs w:val="84"/>
          <w:highlight w:val="none"/>
        </w:rPr>
      </w:pPr>
    </w:p>
    <w:p w14:paraId="33A843EA">
      <w:pPr>
        <w:jc w:val="center"/>
        <w:rPr>
          <w:rFonts w:cs="宋体" w:asciiTheme="minorEastAsia" w:hAnsiTheme="minorEastAsia" w:eastAsiaTheme="minorEastAsia"/>
          <w:b/>
          <w:bCs/>
          <w:sz w:val="72"/>
          <w:szCs w:val="72"/>
          <w:highlight w:val="none"/>
        </w:rPr>
      </w:pPr>
      <w:r>
        <w:rPr>
          <w:rFonts w:hint="eastAsia" w:cs="宋体" w:asciiTheme="minorEastAsia" w:hAnsiTheme="minorEastAsia" w:eastAsiaTheme="minorEastAsia"/>
          <w:b/>
          <w:bCs/>
          <w:sz w:val="72"/>
          <w:szCs w:val="72"/>
          <w:highlight w:val="none"/>
        </w:rPr>
        <w:t>投  标  文  件</w:t>
      </w:r>
    </w:p>
    <w:p w14:paraId="3213AE54">
      <w:pPr>
        <w:jc w:val="left"/>
        <w:rPr>
          <w:rFonts w:asciiTheme="minorEastAsia" w:hAnsiTheme="minorEastAsia" w:eastAsiaTheme="minorEastAsia"/>
          <w:sz w:val="36"/>
          <w:szCs w:val="36"/>
          <w:highlight w:val="none"/>
        </w:rPr>
      </w:pPr>
    </w:p>
    <w:p w14:paraId="73055F34">
      <w:pPr>
        <w:jc w:val="left"/>
        <w:rPr>
          <w:rFonts w:asciiTheme="minorEastAsia" w:hAnsiTheme="minorEastAsia" w:eastAsiaTheme="minorEastAsia"/>
          <w:sz w:val="36"/>
          <w:szCs w:val="36"/>
          <w:highlight w:val="none"/>
        </w:rPr>
      </w:pPr>
    </w:p>
    <w:p w14:paraId="16D9A623">
      <w:pPr>
        <w:jc w:val="left"/>
        <w:rPr>
          <w:rFonts w:asciiTheme="minorEastAsia" w:hAnsiTheme="minorEastAsia" w:eastAsiaTheme="minorEastAsia"/>
          <w:sz w:val="36"/>
          <w:szCs w:val="36"/>
          <w:highlight w:val="none"/>
        </w:rPr>
      </w:pPr>
    </w:p>
    <w:p w14:paraId="160CB824">
      <w:pPr>
        <w:ind w:firstLine="1440"/>
        <w:jc w:val="left"/>
        <w:rPr>
          <w:rFonts w:asciiTheme="minorEastAsia" w:hAnsiTheme="minorEastAsia" w:eastAsiaTheme="minorEastAsia"/>
          <w:sz w:val="36"/>
          <w:szCs w:val="36"/>
          <w:highlight w:val="none"/>
        </w:rPr>
      </w:pPr>
      <w:r>
        <w:rPr>
          <w:rFonts w:asciiTheme="minorEastAsia" w:hAnsiTheme="minorEastAsia" w:eastAsiaTheme="minorEastAsia"/>
          <w:sz w:val="36"/>
          <w:szCs w:val="36"/>
          <w:highlight w:val="none"/>
        </w:rPr>
        <w:t>项 目 名 称：</w:t>
      </w:r>
      <w:r>
        <w:rPr>
          <w:rFonts w:asciiTheme="minorEastAsia" w:hAnsiTheme="minorEastAsia" w:eastAsiaTheme="minorEastAsia"/>
          <w:sz w:val="36"/>
          <w:szCs w:val="36"/>
          <w:highlight w:val="none"/>
          <w:u w:val="single"/>
        </w:rPr>
        <w:t xml:space="preserve">                </w:t>
      </w:r>
    </w:p>
    <w:p w14:paraId="7813503F">
      <w:pPr>
        <w:ind w:firstLine="1440"/>
        <w:jc w:val="left"/>
        <w:rPr>
          <w:rFonts w:asciiTheme="minorEastAsia" w:hAnsiTheme="minorEastAsia" w:eastAsiaTheme="minorEastAsia"/>
          <w:sz w:val="36"/>
          <w:szCs w:val="36"/>
          <w:highlight w:val="none"/>
        </w:rPr>
      </w:pPr>
      <w:r>
        <w:rPr>
          <w:rFonts w:hint="eastAsia" w:asciiTheme="minorEastAsia" w:hAnsiTheme="minorEastAsia" w:eastAsiaTheme="minorEastAsia"/>
          <w:sz w:val="36"/>
          <w:szCs w:val="36"/>
          <w:highlight w:val="none"/>
        </w:rPr>
        <w:t>项</w:t>
      </w:r>
      <w:r>
        <w:rPr>
          <w:rFonts w:asciiTheme="minorEastAsia" w:hAnsiTheme="minorEastAsia" w:eastAsiaTheme="minorEastAsia"/>
          <w:sz w:val="36"/>
          <w:szCs w:val="36"/>
          <w:highlight w:val="none"/>
        </w:rPr>
        <w:t xml:space="preserve"> </w:t>
      </w:r>
      <w:r>
        <w:rPr>
          <w:rFonts w:hint="eastAsia" w:asciiTheme="minorEastAsia" w:hAnsiTheme="minorEastAsia" w:eastAsiaTheme="minorEastAsia"/>
          <w:sz w:val="36"/>
          <w:szCs w:val="36"/>
          <w:highlight w:val="none"/>
        </w:rPr>
        <w:t>目</w:t>
      </w:r>
      <w:r>
        <w:rPr>
          <w:rFonts w:asciiTheme="minorEastAsia" w:hAnsiTheme="minorEastAsia" w:eastAsiaTheme="minorEastAsia"/>
          <w:sz w:val="36"/>
          <w:szCs w:val="36"/>
          <w:highlight w:val="none"/>
        </w:rPr>
        <w:t xml:space="preserve"> 编 号：</w:t>
      </w:r>
      <w:r>
        <w:rPr>
          <w:rFonts w:asciiTheme="minorEastAsia" w:hAnsiTheme="minorEastAsia" w:eastAsiaTheme="minorEastAsia"/>
          <w:sz w:val="36"/>
          <w:szCs w:val="36"/>
          <w:highlight w:val="none"/>
          <w:u w:val="single"/>
        </w:rPr>
        <w:t xml:space="preserve">                </w:t>
      </w:r>
    </w:p>
    <w:p w14:paraId="09927EE8">
      <w:pPr>
        <w:spacing w:line="480" w:lineRule="auto"/>
        <w:ind w:firstLine="1440"/>
        <w:rPr>
          <w:rFonts w:asciiTheme="minorEastAsia" w:hAnsiTheme="minorEastAsia" w:eastAsiaTheme="minorEastAsia"/>
          <w:sz w:val="36"/>
          <w:szCs w:val="36"/>
          <w:highlight w:val="none"/>
        </w:rPr>
      </w:pPr>
      <w:r>
        <w:rPr>
          <w:rFonts w:asciiTheme="minorEastAsia" w:hAnsiTheme="minorEastAsia" w:eastAsiaTheme="minorEastAsia"/>
          <w:sz w:val="36"/>
          <w:szCs w:val="36"/>
          <w:highlight w:val="none"/>
        </w:rPr>
        <w:t>投标人名称 ：</w:t>
      </w:r>
      <w:r>
        <w:rPr>
          <w:rFonts w:asciiTheme="minorEastAsia" w:hAnsiTheme="minorEastAsia" w:eastAsiaTheme="minorEastAsia"/>
          <w:sz w:val="36"/>
          <w:szCs w:val="36"/>
          <w:highlight w:val="none"/>
          <w:u w:val="single"/>
        </w:rPr>
        <w:t xml:space="preserve">             </w:t>
      </w:r>
      <w:r>
        <w:rPr>
          <w:rFonts w:hint="eastAsia" w:asciiTheme="minorEastAsia" w:hAnsiTheme="minorEastAsia" w:eastAsiaTheme="minorEastAsia"/>
          <w:b/>
          <w:sz w:val="36"/>
          <w:szCs w:val="36"/>
          <w:highlight w:val="none"/>
          <w:u w:val="single"/>
        </w:rPr>
        <w:t>（加盖CA电子公章）</w:t>
      </w:r>
    </w:p>
    <w:p w14:paraId="0B02BA47">
      <w:pPr>
        <w:ind w:firstLine="1440"/>
        <w:jc w:val="left"/>
        <w:rPr>
          <w:rFonts w:asciiTheme="minorEastAsia" w:hAnsiTheme="minorEastAsia" w:eastAsiaTheme="minorEastAsia"/>
          <w:sz w:val="36"/>
          <w:szCs w:val="36"/>
          <w:highlight w:val="none"/>
          <w:u w:val="single"/>
        </w:rPr>
      </w:pPr>
      <w:r>
        <w:rPr>
          <w:rFonts w:asciiTheme="minorEastAsia" w:hAnsiTheme="minorEastAsia" w:eastAsiaTheme="minorEastAsia"/>
          <w:sz w:val="36"/>
          <w:szCs w:val="36"/>
          <w:highlight w:val="none"/>
        </w:rPr>
        <w:t>日      期 ：</w:t>
      </w:r>
      <w:r>
        <w:rPr>
          <w:rFonts w:asciiTheme="minorEastAsia" w:hAnsiTheme="minorEastAsia" w:eastAsiaTheme="minorEastAsia"/>
          <w:sz w:val="36"/>
          <w:szCs w:val="36"/>
          <w:highlight w:val="none"/>
          <w:u w:val="single"/>
        </w:rPr>
        <w:t xml:space="preserve">                </w:t>
      </w:r>
    </w:p>
    <w:p w14:paraId="2E2C62E7">
      <w:pPr>
        <w:spacing w:line="500" w:lineRule="exact"/>
        <w:ind w:firstLine="880"/>
        <w:jc w:val="center"/>
        <w:rPr>
          <w:rFonts w:asciiTheme="minorEastAsia" w:hAnsiTheme="minorEastAsia" w:eastAsiaTheme="minorEastAsia"/>
          <w:sz w:val="44"/>
          <w:szCs w:val="44"/>
          <w:highlight w:val="none"/>
        </w:rPr>
      </w:pPr>
    </w:p>
    <w:p w14:paraId="316D7DD4">
      <w:pPr>
        <w:spacing w:line="500" w:lineRule="exact"/>
        <w:ind w:firstLine="880"/>
        <w:jc w:val="center"/>
        <w:rPr>
          <w:rFonts w:asciiTheme="minorEastAsia" w:hAnsiTheme="minorEastAsia" w:eastAsiaTheme="minorEastAsia"/>
          <w:sz w:val="44"/>
          <w:szCs w:val="44"/>
          <w:highlight w:val="none"/>
        </w:rPr>
      </w:pPr>
    </w:p>
    <w:p w14:paraId="788EE090">
      <w:pPr>
        <w:spacing w:line="500" w:lineRule="exact"/>
        <w:ind w:firstLine="880"/>
        <w:jc w:val="center"/>
        <w:rPr>
          <w:rFonts w:asciiTheme="minorEastAsia" w:hAnsiTheme="minorEastAsia" w:eastAsiaTheme="minorEastAsia"/>
          <w:sz w:val="44"/>
          <w:szCs w:val="44"/>
          <w:highlight w:val="none"/>
        </w:rPr>
      </w:pPr>
    </w:p>
    <w:p w14:paraId="651DF31F">
      <w:pPr>
        <w:spacing w:line="500" w:lineRule="exact"/>
        <w:ind w:firstLine="880"/>
        <w:jc w:val="center"/>
        <w:rPr>
          <w:rFonts w:asciiTheme="minorEastAsia" w:hAnsiTheme="minorEastAsia" w:eastAsiaTheme="minorEastAsia"/>
          <w:sz w:val="44"/>
          <w:szCs w:val="44"/>
          <w:highlight w:val="none"/>
        </w:rPr>
      </w:pPr>
    </w:p>
    <w:p w14:paraId="2D91B90C">
      <w:pPr>
        <w:spacing w:line="500" w:lineRule="exact"/>
        <w:ind w:firstLine="880"/>
        <w:jc w:val="center"/>
        <w:rPr>
          <w:rFonts w:asciiTheme="minorEastAsia" w:hAnsiTheme="minorEastAsia" w:eastAsiaTheme="minorEastAsia"/>
          <w:sz w:val="44"/>
          <w:szCs w:val="44"/>
          <w:highlight w:val="none"/>
        </w:rPr>
      </w:pPr>
    </w:p>
    <w:p w14:paraId="13FDD57F">
      <w:pPr>
        <w:spacing w:line="500" w:lineRule="exact"/>
        <w:ind w:firstLine="880"/>
        <w:jc w:val="center"/>
        <w:rPr>
          <w:rFonts w:asciiTheme="minorEastAsia" w:hAnsiTheme="minorEastAsia" w:eastAsiaTheme="minorEastAsia"/>
          <w:sz w:val="44"/>
          <w:szCs w:val="44"/>
          <w:highlight w:val="none"/>
        </w:rPr>
      </w:pPr>
    </w:p>
    <w:p w14:paraId="2FD062BE">
      <w:pPr>
        <w:spacing w:line="500" w:lineRule="exact"/>
        <w:ind w:firstLine="880"/>
        <w:jc w:val="center"/>
        <w:rPr>
          <w:rFonts w:asciiTheme="minorEastAsia" w:hAnsiTheme="minorEastAsia" w:eastAsiaTheme="minorEastAsia"/>
          <w:sz w:val="44"/>
          <w:szCs w:val="44"/>
          <w:highlight w:val="none"/>
        </w:rPr>
      </w:pPr>
    </w:p>
    <w:p w14:paraId="332D329D">
      <w:pPr>
        <w:spacing w:line="500" w:lineRule="exact"/>
        <w:ind w:firstLine="880"/>
        <w:jc w:val="center"/>
        <w:rPr>
          <w:rFonts w:asciiTheme="minorEastAsia" w:hAnsiTheme="minorEastAsia" w:eastAsiaTheme="minorEastAsia"/>
          <w:sz w:val="44"/>
          <w:szCs w:val="44"/>
          <w:highlight w:val="none"/>
        </w:rPr>
      </w:pPr>
    </w:p>
    <w:p w14:paraId="03CD0537">
      <w:pPr>
        <w:spacing w:line="500" w:lineRule="exact"/>
        <w:ind w:firstLine="880"/>
        <w:jc w:val="center"/>
        <w:rPr>
          <w:rFonts w:asciiTheme="minorEastAsia" w:hAnsiTheme="minorEastAsia" w:eastAsiaTheme="minorEastAsia"/>
          <w:sz w:val="44"/>
          <w:szCs w:val="44"/>
          <w:highlight w:val="none"/>
        </w:rPr>
      </w:pPr>
    </w:p>
    <w:p w14:paraId="2B8EA10A">
      <w:pPr>
        <w:spacing w:line="500" w:lineRule="exact"/>
        <w:ind w:firstLine="880"/>
        <w:jc w:val="center"/>
        <w:rPr>
          <w:rFonts w:asciiTheme="minorEastAsia" w:hAnsiTheme="minorEastAsia" w:eastAsiaTheme="minorEastAsia"/>
          <w:sz w:val="44"/>
          <w:szCs w:val="44"/>
          <w:highlight w:val="none"/>
        </w:rPr>
      </w:pPr>
    </w:p>
    <w:p w14:paraId="777CA21B">
      <w:pPr>
        <w:spacing w:line="500" w:lineRule="exact"/>
        <w:ind w:firstLine="880"/>
        <w:jc w:val="center"/>
        <w:rPr>
          <w:rFonts w:asciiTheme="minorEastAsia" w:hAnsiTheme="minorEastAsia" w:eastAsiaTheme="minorEastAsia"/>
          <w:sz w:val="44"/>
          <w:szCs w:val="44"/>
          <w:highlight w:val="none"/>
        </w:rPr>
      </w:pPr>
    </w:p>
    <w:p w14:paraId="3C498622">
      <w:pPr>
        <w:spacing w:line="500" w:lineRule="exact"/>
        <w:ind w:firstLine="880"/>
        <w:jc w:val="center"/>
        <w:rPr>
          <w:rFonts w:asciiTheme="minorEastAsia" w:hAnsiTheme="minorEastAsia" w:eastAsiaTheme="minorEastAsia"/>
          <w:sz w:val="44"/>
          <w:szCs w:val="44"/>
          <w:highlight w:val="none"/>
        </w:rPr>
      </w:pPr>
    </w:p>
    <w:p w14:paraId="18ED4EB8">
      <w:pPr>
        <w:spacing w:line="500" w:lineRule="exact"/>
        <w:ind w:firstLine="880"/>
        <w:jc w:val="center"/>
        <w:rPr>
          <w:rFonts w:asciiTheme="minorEastAsia" w:hAnsiTheme="minorEastAsia" w:eastAsiaTheme="minorEastAsia"/>
          <w:sz w:val="44"/>
          <w:szCs w:val="44"/>
          <w:highlight w:val="none"/>
        </w:rPr>
      </w:pPr>
    </w:p>
    <w:p w14:paraId="7970AE54">
      <w:pPr>
        <w:spacing w:line="500" w:lineRule="exact"/>
        <w:ind w:firstLine="880"/>
        <w:jc w:val="center"/>
        <w:rPr>
          <w:rFonts w:asciiTheme="minorEastAsia" w:hAnsiTheme="minorEastAsia" w:eastAsiaTheme="minorEastAsia"/>
          <w:sz w:val="44"/>
          <w:szCs w:val="44"/>
          <w:highlight w:val="none"/>
        </w:rPr>
      </w:pPr>
    </w:p>
    <w:p w14:paraId="778BF151">
      <w:pPr>
        <w:spacing w:line="500" w:lineRule="exact"/>
        <w:ind w:firstLine="880"/>
        <w:jc w:val="center"/>
        <w:rPr>
          <w:rFonts w:asciiTheme="minorEastAsia" w:hAnsiTheme="minorEastAsia" w:eastAsiaTheme="minorEastAsia"/>
          <w:sz w:val="44"/>
          <w:szCs w:val="44"/>
          <w:highlight w:val="none"/>
        </w:rPr>
      </w:pPr>
    </w:p>
    <w:p w14:paraId="25F86A67">
      <w:pPr>
        <w:spacing w:line="500" w:lineRule="exact"/>
        <w:ind w:firstLine="880"/>
        <w:jc w:val="center"/>
        <w:rPr>
          <w:rFonts w:asciiTheme="minorEastAsia" w:hAnsiTheme="minorEastAsia" w:eastAsiaTheme="minorEastAsia"/>
          <w:sz w:val="44"/>
          <w:szCs w:val="44"/>
          <w:highlight w:val="none"/>
        </w:rPr>
      </w:pPr>
    </w:p>
    <w:p w14:paraId="2AF3101E">
      <w:pPr>
        <w:spacing w:line="0" w:lineRule="atLeast"/>
        <w:jc w:val="center"/>
        <w:rPr>
          <w:sz w:val="24"/>
          <w:highlight w:val="none"/>
        </w:rPr>
      </w:pPr>
      <w:r>
        <w:rPr>
          <w:rFonts w:hint="eastAsia" w:ascii="宋体" w:hAnsi="宋体" w:cs="宋体"/>
          <w:b/>
          <w:sz w:val="32"/>
          <w:szCs w:val="32"/>
          <w:highlight w:val="none"/>
        </w:rPr>
        <w:t>投标文件目录</w:t>
      </w:r>
    </w:p>
    <w:p w14:paraId="2EB996FE">
      <w:pPr>
        <w:spacing w:line="0" w:lineRule="atLeast"/>
        <w:jc w:val="center"/>
        <w:rPr>
          <w:sz w:val="24"/>
          <w:highlight w:val="none"/>
        </w:rPr>
      </w:pPr>
      <w:r>
        <w:rPr>
          <w:sz w:val="24"/>
          <w:highlight w:val="none"/>
        </w:rPr>
        <w:t> </w:t>
      </w:r>
    </w:p>
    <w:p w14:paraId="7196DFD1">
      <w:pPr>
        <w:ind w:left="480"/>
        <w:rPr>
          <w:rFonts w:ascii="宋体" w:hAnsi="宋体" w:cs="宋体"/>
          <w:iCs/>
          <w:sz w:val="24"/>
          <w:highlight w:val="none"/>
        </w:rPr>
      </w:pPr>
      <w:r>
        <w:rPr>
          <w:rFonts w:hint="eastAsia" w:ascii="宋体" w:hAnsi="宋体" w:cs="宋体"/>
          <w:iCs/>
          <w:sz w:val="24"/>
          <w:highlight w:val="none"/>
        </w:rPr>
        <w:t>一、法人或者其他组织的营业执照等证明文件，自然人的身份证明</w:t>
      </w:r>
    </w:p>
    <w:p w14:paraId="55D379EC">
      <w:pPr>
        <w:tabs>
          <w:tab w:val="left" w:pos="1331"/>
        </w:tabs>
        <w:ind w:firstLine="480"/>
        <w:jc w:val="left"/>
        <w:rPr>
          <w:rFonts w:ascii="宋体" w:hAnsi="宋体" w:cs="宋体"/>
          <w:iCs/>
          <w:sz w:val="24"/>
          <w:highlight w:val="none"/>
        </w:rPr>
      </w:pPr>
      <w:r>
        <w:rPr>
          <w:rFonts w:hint="eastAsia" w:ascii="宋体" w:hAnsi="宋体" w:cs="宋体"/>
          <w:iCs/>
          <w:sz w:val="24"/>
          <w:highlight w:val="none"/>
        </w:rPr>
        <w:t>二、上一年度的财务状况报表（至少提供资产负债表、利润表、现金流量表，</w:t>
      </w:r>
    </w:p>
    <w:p w14:paraId="4F95EA9A">
      <w:pPr>
        <w:ind w:left="480"/>
        <w:rPr>
          <w:rFonts w:ascii="宋体" w:hAnsi="宋体" w:cs="宋体"/>
          <w:iCs/>
          <w:sz w:val="24"/>
          <w:highlight w:val="none"/>
        </w:rPr>
      </w:pPr>
      <w:r>
        <w:rPr>
          <w:rFonts w:hint="eastAsia" w:ascii="宋体" w:hAnsi="宋体" w:cs="宋体"/>
          <w:iCs/>
          <w:sz w:val="24"/>
          <w:highlight w:val="none"/>
        </w:rPr>
        <w:t>投标人成立不满一年无需提供）</w:t>
      </w:r>
    </w:p>
    <w:p w14:paraId="34525F78">
      <w:pPr>
        <w:ind w:left="480"/>
        <w:rPr>
          <w:rFonts w:ascii="宋体" w:hAnsi="宋体" w:cs="宋体"/>
          <w:iCs/>
          <w:sz w:val="24"/>
          <w:highlight w:val="none"/>
        </w:rPr>
      </w:pPr>
      <w:r>
        <w:rPr>
          <w:rFonts w:hint="eastAsia" w:ascii="宋体" w:hAnsi="宋体" w:cs="宋体"/>
          <w:iCs/>
          <w:sz w:val="24"/>
          <w:highlight w:val="none"/>
        </w:rPr>
        <w:t>三、具备履行合同所必需的设备和专业技术能力的书面声明</w:t>
      </w:r>
    </w:p>
    <w:p w14:paraId="45714BF2">
      <w:pPr>
        <w:ind w:left="480"/>
        <w:rPr>
          <w:rFonts w:ascii="宋体" w:hAnsi="宋体" w:cs="宋体"/>
          <w:iCs/>
          <w:sz w:val="24"/>
          <w:highlight w:val="none"/>
        </w:rPr>
      </w:pPr>
      <w:r>
        <w:rPr>
          <w:rFonts w:hint="eastAsia" w:ascii="宋体" w:hAnsi="宋体" w:cs="宋体"/>
          <w:iCs/>
          <w:sz w:val="24"/>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7A5DF056">
      <w:pPr>
        <w:ind w:left="480"/>
        <w:rPr>
          <w:rFonts w:ascii="宋体" w:hAnsi="宋体" w:cs="宋体"/>
          <w:iCs/>
          <w:sz w:val="24"/>
          <w:highlight w:val="none"/>
        </w:rPr>
      </w:pPr>
      <w:r>
        <w:rPr>
          <w:rFonts w:hint="eastAsia" w:ascii="宋体" w:hAnsi="宋体" w:cs="宋体"/>
          <w:iCs/>
          <w:sz w:val="24"/>
          <w:highlight w:val="none"/>
        </w:rPr>
        <w:t>五、参加政府采购活动前 3 年内在经营活动中没有重大违法记录的书面声明</w:t>
      </w:r>
    </w:p>
    <w:p w14:paraId="002A3240">
      <w:pPr>
        <w:ind w:left="480"/>
        <w:rPr>
          <w:rFonts w:ascii="宋体" w:hAnsi="宋体" w:cs="宋体"/>
          <w:iCs/>
          <w:sz w:val="24"/>
          <w:highlight w:val="none"/>
        </w:rPr>
      </w:pPr>
      <w:r>
        <w:rPr>
          <w:rFonts w:hint="eastAsia" w:ascii="宋体" w:hAnsi="宋体" w:cs="宋体"/>
          <w:iCs/>
          <w:sz w:val="24"/>
          <w:highlight w:val="none"/>
        </w:rPr>
        <w:t>六、特定资格要求的证明文件（如果本项目设置特定资格要求，则需要提供）</w:t>
      </w:r>
    </w:p>
    <w:p w14:paraId="2D275EB1">
      <w:pPr>
        <w:ind w:left="480"/>
        <w:rPr>
          <w:rFonts w:ascii="宋体" w:hAnsi="宋体" w:cs="宋体"/>
          <w:iCs/>
          <w:sz w:val="24"/>
          <w:highlight w:val="none"/>
        </w:rPr>
      </w:pPr>
      <w:r>
        <w:rPr>
          <w:rFonts w:hint="eastAsia" w:ascii="宋体" w:hAnsi="宋体" w:cs="宋体"/>
          <w:iCs/>
          <w:sz w:val="24"/>
          <w:highlight w:val="none"/>
        </w:rPr>
        <w:t>七、法人授权书</w:t>
      </w:r>
    </w:p>
    <w:p w14:paraId="14EF98EF">
      <w:pPr>
        <w:ind w:left="480"/>
        <w:rPr>
          <w:rFonts w:ascii="宋体" w:hAnsi="宋体" w:cs="宋体"/>
          <w:iCs/>
          <w:sz w:val="24"/>
          <w:highlight w:val="none"/>
        </w:rPr>
      </w:pPr>
      <w:r>
        <w:rPr>
          <w:rFonts w:hint="eastAsia" w:ascii="宋体" w:hAnsi="宋体" w:cs="宋体"/>
          <w:iCs/>
          <w:sz w:val="24"/>
          <w:highlight w:val="none"/>
        </w:rPr>
        <w:t>八、投标函</w:t>
      </w:r>
    </w:p>
    <w:p w14:paraId="74CBA7A4">
      <w:pPr>
        <w:spacing w:line="0" w:lineRule="atLeast"/>
        <w:ind w:firstLine="480"/>
        <w:rPr>
          <w:rFonts w:ascii="宋体" w:hAnsi="宋体" w:cs="宋体"/>
          <w:iCs/>
          <w:sz w:val="24"/>
          <w:highlight w:val="none"/>
        </w:rPr>
      </w:pPr>
      <w:r>
        <w:rPr>
          <w:rFonts w:hint="eastAsia" w:ascii="宋体" w:hAnsi="宋体" w:cs="宋体"/>
          <w:iCs/>
          <w:sz w:val="24"/>
          <w:highlight w:val="none"/>
        </w:rPr>
        <w:t>九、中小企业声明函</w:t>
      </w:r>
    </w:p>
    <w:p w14:paraId="27556F2E">
      <w:pPr>
        <w:spacing w:line="0" w:lineRule="atLeast"/>
        <w:ind w:firstLine="480"/>
        <w:rPr>
          <w:rFonts w:ascii="宋体" w:hAnsi="宋体" w:cs="宋体"/>
          <w:iCs/>
          <w:sz w:val="24"/>
          <w:highlight w:val="none"/>
        </w:rPr>
      </w:pPr>
      <w:r>
        <w:rPr>
          <w:rFonts w:hint="eastAsia" w:ascii="宋体" w:hAnsi="宋体" w:cs="宋体"/>
          <w:iCs/>
          <w:sz w:val="24"/>
          <w:highlight w:val="none"/>
        </w:rPr>
        <w:t>十、残疾人福利性单位声明函</w:t>
      </w:r>
    </w:p>
    <w:p w14:paraId="0375058C">
      <w:pPr>
        <w:spacing w:line="0" w:lineRule="atLeast"/>
        <w:ind w:firstLine="480"/>
        <w:rPr>
          <w:rFonts w:ascii="宋体" w:hAnsi="宋体" w:cs="宋体"/>
          <w:iCs/>
          <w:sz w:val="24"/>
          <w:highlight w:val="none"/>
        </w:rPr>
      </w:pPr>
      <w:r>
        <w:rPr>
          <w:rFonts w:hint="eastAsia" w:ascii="宋体" w:hAnsi="宋体" w:cs="宋体"/>
          <w:iCs/>
          <w:sz w:val="24"/>
          <w:highlight w:val="none"/>
        </w:rPr>
        <w:t>十一、联合体协议</w:t>
      </w:r>
    </w:p>
    <w:p w14:paraId="730BD171">
      <w:pPr>
        <w:spacing w:line="0" w:lineRule="atLeast"/>
        <w:ind w:firstLine="480"/>
        <w:rPr>
          <w:rFonts w:ascii="宋体" w:hAnsi="宋体" w:cs="宋体"/>
          <w:iCs/>
          <w:sz w:val="24"/>
          <w:highlight w:val="none"/>
        </w:rPr>
      </w:pPr>
      <w:r>
        <w:rPr>
          <w:rFonts w:hint="eastAsia" w:ascii="宋体" w:hAnsi="宋体" w:cs="宋体"/>
          <w:iCs/>
          <w:sz w:val="24"/>
          <w:highlight w:val="none"/>
        </w:rPr>
        <w:t>十二、投标分项报价表</w:t>
      </w:r>
    </w:p>
    <w:p w14:paraId="05808D3A">
      <w:pPr>
        <w:spacing w:line="0" w:lineRule="atLeast"/>
        <w:ind w:firstLine="480"/>
        <w:rPr>
          <w:rFonts w:ascii="宋体" w:hAnsi="宋体" w:cs="宋体"/>
          <w:iCs/>
          <w:sz w:val="24"/>
          <w:highlight w:val="none"/>
        </w:rPr>
      </w:pPr>
      <w:r>
        <w:rPr>
          <w:rFonts w:hint="eastAsia" w:ascii="宋体" w:hAnsi="宋体" w:cs="宋体"/>
          <w:iCs/>
          <w:sz w:val="24"/>
          <w:highlight w:val="none"/>
        </w:rPr>
        <w:t>十三、技术要求响应及偏离表</w:t>
      </w:r>
    </w:p>
    <w:p w14:paraId="5E4F8B8C">
      <w:pPr>
        <w:spacing w:line="0" w:lineRule="atLeast"/>
        <w:ind w:firstLine="480"/>
        <w:rPr>
          <w:rFonts w:ascii="宋体" w:hAnsi="宋体" w:cs="宋体"/>
          <w:iCs/>
          <w:sz w:val="24"/>
          <w:highlight w:val="none"/>
        </w:rPr>
      </w:pPr>
      <w:r>
        <w:rPr>
          <w:rFonts w:hint="eastAsia" w:ascii="宋体" w:hAnsi="宋体" w:cs="宋体"/>
          <w:iCs/>
          <w:sz w:val="24"/>
          <w:highlight w:val="none"/>
        </w:rPr>
        <w:t>十四、商务要求响应及偏离表</w:t>
      </w:r>
    </w:p>
    <w:p w14:paraId="2010E391">
      <w:pPr>
        <w:ind w:left="480"/>
        <w:rPr>
          <w:rFonts w:ascii="宋体" w:hAnsi="宋体" w:cs="宋体"/>
          <w:iCs/>
          <w:sz w:val="24"/>
          <w:highlight w:val="none"/>
        </w:rPr>
      </w:pPr>
      <w:r>
        <w:rPr>
          <w:rFonts w:hint="eastAsia" w:ascii="宋体" w:hAnsi="宋体" w:cs="宋体"/>
          <w:iCs/>
          <w:sz w:val="24"/>
          <w:highlight w:val="none"/>
        </w:rPr>
        <w:t>十五、开标一览表</w:t>
      </w:r>
    </w:p>
    <w:p w14:paraId="67A1EDB0">
      <w:pPr>
        <w:widowControl/>
        <w:spacing w:before="50" w:after="50"/>
        <w:ind w:firstLine="480"/>
        <w:rPr>
          <w:rFonts w:ascii="宋体" w:hAnsi="宋体" w:cs="宋体"/>
          <w:iCs/>
          <w:sz w:val="24"/>
          <w:highlight w:val="none"/>
        </w:rPr>
      </w:pPr>
      <w:r>
        <w:rPr>
          <w:rFonts w:hint="eastAsia" w:ascii="宋体" w:hAnsi="宋体" w:cs="宋体"/>
          <w:iCs/>
          <w:sz w:val="24"/>
          <w:highlight w:val="none"/>
        </w:rPr>
        <w:t>十六、技术方案、服务承诺、培训承诺等</w:t>
      </w:r>
    </w:p>
    <w:p w14:paraId="069A18ED">
      <w:pPr>
        <w:spacing w:line="360" w:lineRule="auto"/>
        <w:ind w:firstLine="480"/>
        <w:rPr>
          <w:rFonts w:ascii="宋体" w:hAnsi="宋体" w:cs="宋体"/>
          <w:iCs/>
          <w:sz w:val="24"/>
          <w:highlight w:val="none"/>
        </w:rPr>
      </w:pPr>
      <w:r>
        <w:rPr>
          <w:rFonts w:hint="eastAsia" w:ascii="宋体" w:hAnsi="宋体" w:cs="宋体"/>
          <w:iCs/>
          <w:sz w:val="24"/>
          <w:highlight w:val="none"/>
        </w:rPr>
        <w:t>十七、盐城市政府采购事前信用承诺书</w:t>
      </w:r>
    </w:p>
    <w:p w14:paraId="76D7AD84">
      <w:pPr>
        <w:spacing w:line="0" w:lineRule="atLeast"/>
        <w:ind w:firstLine="480"/>
        <w:rPr>
          <w:rFonts w:ascii="宋体" w:hAnsi="宋体" w:cs="宋体"/>
          <w:sz w:val="24"/>
          <w:highlight w:val="none"/>
        </w:rPr>
      </w:pPr>
    </w:p>
    <w:p w14:paraId="0B08AAD4">
      <w:pPr>
        <w:spacing w:line="0" w:lineRule="atLeast"/>
        <w:ind w:firstLine="480"/>
        <w:rPr>
          <w:rFonts w:ascii="宋体" w:hAnsi="宋体" w:cs="宋体"/>
          <w:sz w:val="24"/>
          <w:highlight w:val="none"/>
        </w:rPr>
      </w:pPr>
    </w:p>
    <w:p w14:paraId="631C5831">
      <w:pPr>
        <w:spacing w:line="0" w:lineRule="atLeast"/>
        <w:ind w:firstLine="480"/>
        <w:rPr>
          <w:sz w:val="24"/>
          <w:highlight w:val="none"/>
        </w:rPr>
      </w:pPr>
      <w:r>
        <w:rPr>
          <w:sz w:val="24"/>
          <w:highlight w:val="none"/>
        </w:rPr>
        <w:t> </w:t>
      </w:r>
    </w:p>
    <w:p w14:paraId="27553DCC">
      <w:pPr>
        <w:spacing w:line="0" w:lineRule="atLeast"/>
        <w:ind w:firstLine="480"/>
        <w:rPr>
          <w:sz w:val="24"/>
          <w:highlight w:val="none"/>
        </w:rPr>
      </w:pPr>
      <w:r>
        <w:rPr>
          <w:sz w:val="24"/>
          <w:highlight w:val="none"/>
        </w:rPr>
        <w:t> </w:t>
      </w:r>
    </w:p>
    <w:p w14:paraId="7D983003">
      <w:pPr>
        <w:spacing w:line="0" w:lineRule="atLeast"/>
        <w:ind w:firstLine="480"/>
        <w:rPr>
          <w:sz w:val="24"/>
          <w:highlight w:val="none"/>
        </w:rPr>
      </w:pPr>
      <w:r>
        <w:rPr>
          <w:sz w:val="24"/>
          <w:highlight w:val="none"/>
        </w:rPr>
        <w:t> </w:t>
      </w:r>
    </w:p>
    <w:p w14:paraId="4A160307">
      <w:pPr>
        <w:spacing w:line="0" w:lineRule="atLeast"/>
        <w:ind w:firstLine="480"/>
        <w:rPr>
          <w:sz w:val="24"/>
          <w:highlight w:val="none"/>
        </w:rPr>
      </w:pPr>
      <w:r>
        <w:rPr>
          <w:sz w:val="24"/>
          <w:highlight w:val="none"/>
        </w:rPr>
        <w:t> </w:t>
      </w:r>
    </w:p>
    <w:p w14:paraId="5BCB5FA3">
      <w:pPr>
        <w:spacing w:line="0" w:lineRule="atLeast"/>
        <w:ind w:firstLine="480"/>
        <w:rPr>
          <w:sz w:val="24"/>
          <w:highlight w:val="none"/>
        </w:rPr>
      </w:pPr>
    </w:p>
    <w:p w14:paraId="3CE00A21">
      <w:pPr>
        <w:spacing w:line="0" w:lineRule="atLeast"/>
        <w:ind w:firstLine="480"/>
        <w:rPr>
          <w:sz w:val="24"/>
          <w:highlight w:val="none"/>
        </w:rPr>
      </w:pPr>
    </w:p>
    <w:p w14:paraId="2CF76589">
      <w:pPr>
        <w:spacing w:line="0" w:lineRule="atLeast"/>
        <w:ind w:firstLine="480"/>
        <w:rPr>
          <w:sz w:val="24"/>
          <w:highlight w:val="none"/>
        </w:rPr>
      </w:pPr>
    </w:p>
    <w:p w14:paraId="401EEA25">
      <w:pPr>
        <w:spacing w:line="0" w:lineRule="atLeast"/>
        <w:ind w:firstLine="480"/>
        <w:rPr>
          <w:sz w:val="24"/>
          <w:highlight w:val="none"/>
        </w:rPr>
      </w:pPr>
    </w:p>
    <w:p w14:paraId="6D2364C2">
      <w:pPr>
        <w:spacing w:line="0" w:lineRule="atLeast"/>
        <w:ind w:firstLine="480"/>
        <w:rPr>
          <w:sz w:val="24"/>
          <w:highlight w:val="none"/>
        </w:rPr>
      </w:pPr>
    </w:p>
    <w:p w14:paraId="186CE479">
      <w:pPr>
        <w:spacing w:line="0" w:lineRule="atLeast"/>
        <w:ind w:firstLine="480"/>
        <w:rPr>
          <w:sz w:val="24"/>
          <w:highlight w:val="none"/>
        </w:rPr>
      </w:pPr>
    </w:p>
    <w:p w14:paraId="72B7909D">
      <w:pPr>
        <w:spacing w:line="0" w:lineRule="atLeast"/>
        <w:ind w:firstLine="480"/>
        <w:rPr>
          <w:sz w:val="24"/>
          <w:highlight w:val="none"/>
        </w:rPr>
      </w:pPr>
    </w:p>
    <w:p w14:paraId="1389C6DE">
      <w:pPr>
        <w:spacing w:line="0" w:lineRule="atLeast"/>
        <w:ind w:firstLine="480"/>
        <w:rPr>
          <w:sz w:val="24"/>
          <w:highlight w:val="none"/>
        </w:rPr>
      </w:pPr>
    </w:p>
    <w:p w14:paraId="15827645">
      <w:pPr>
        <w:spacing w:line="0" w:lineRule="atLeast"/>
        <w:ind w:firstLine="480"/>
        <w:rPr>
          <w:sz w:val="24"/>
          <w:highlight w:val="none"/>
        </w:rPr>
      </w:pPr>
    </w:p>
    <w:p w14:paraId="78F44D5B">
      <w:pPr>
        <w:spacing w:line="0" w:lineRule="atLeast"/>
        <w:ind w:firstLine="480"/>
        <w:rPr>
          <w:sz w:val="24"/>
          <w:highlight w:val="none"/>
        </w:rPr>
      </w:pPr>
    </w:p>
    <w:p w14:paraId="04CA49C6">
      <w:pPr>
        <w:spacing w:line="0" w:lineRule="atLeast"/>
        <w:ind w:firstLine="480"/>
        <w:rPr>
          <w:sz w:val="24"/>
          <w:highlight w:val="none"/>
        </w:rPr>
      </w:pPr>
    </w:p>
    <w:p w14:paraId="750EB5E4">
      <w:pPr>
        <w:spacing w:line="0" w:lineRule="atLeast"/>
        <w:ind w:firstLine="480"/>
        <w:rPr>
          <w:sz w:val="24"/>
          <w:highlight w:val="none"/>
        </w:rPr>
      </w:pPr>
    </w:p>
    <w:p w14:paraId="3470427F">
      <w:pPr>
        <w:spacing w:line="0" w:lineRule="atLeast"/>
        <w:ind w:firstLine="480"/>
        <w:rPr>
          <w:sz w:val="24"/>
          <w:highlight w:val="none"/>
        </w:rPr>
      </w:pPr>
    </w:p>
    <w:p w14:paraId="7A5B8E32">
      <w:pPr>
        <w:spacing w:line="0" w:lineRule="atLeast"/>
        <w:ind w:firstLine="480"/>
        <w:rPr>
          <w:sz w:val="24"/>
          <w:highlight w:val="none"/>
        </w:rPr>
      </w:pPr>
    </w:p>
    <w:p w14:paraId="53604334">
      <w:pPr>
        <w:spacing w:line="0" w:lineRule="atLeast"/>
        <w:ind w:firstLine="480"/>
        <w:rPr>
          <w:sz w:val="24"/>
          <w:highlight w:val="none"/>
        </w:rPr>
      </w:pPr>
      <w:r>
        <w:rPr>
          <w:sz w:val="24"/>
          <w:highlight w:val="none"/>
        </w:rPr>
        <w:t> </w:t>
      </w:r>
    </w:p>
    <w:p w14:paraId="18EA9328">
      <w:pPr>
        <w:spacing w:line="0" w:lineRule="atLeast"/>
        <w:ind w:firstLine="480"/>
        <w:rPr>
          <w:sz w:val="24"/>
          <w:highlight w:val="none"/>
        </w:rPr>
      </w:pPr>
      <w:r>
        <w:rPr>
          <w:sz w:val="24"/>
          <w:highlight w:val="none"/>
        </w:rPr>
        <w:t> </w:t>
      </w:r>
    </w:p>
    <w:p w14:paraId="2A637D40">
      <w:pPr>
        <w:spacing w:line="0" w:lineRule="atLeast"/>
        <w:ind w:firstLine="480"/>
        <w:rPr>
          <w:sz w:val="24"/>
          <w:highlight w:val="none"/>
        </w:rPr>
      </w:pPr>
      <w:r>
        <w:rPr>
          <w:sz w:val="24"/>
          <w:highlight w:val="none"/>
        </w:rPr>
        <w:t> </w:t>
      </w:r>
    </w:p>
    <w:p w14:paraId="0DCF4408">
      <w:pPr>
        <w:spacing w:line="0" w:lineRule="atLeast"/>
        <w:ind w:firstLine="480"/>
        <w:rPr>
          <w:sz w:val="24"/>
          <w:highlight w:val="none"/>
        </w:rPr>
      </w:pPr>
      <w:r>
        <w:rPr>
          <w:sz w:val="24"/>
          <w:highlight w:val="none"/>
        </w:rPr>
        <w:t> </w:t>
      </w:r>
    </w:p>
    <w:p w14:paraId="4AEB472F">
      <w:pPr>
        <w:rPr>
          <w:sz w:val="24"/>
          <w:highlight w:val="none"/>
        </w:rPr>
      </w:pPr>
      <w:r>
        <w:rPr>
          <w:rFonts w:hint="eastAsia" w:ascii="黑体" w:hAnsi="宋体" w:eastAsia="黑体" w:cs="黑体"/>
          <w:i/>
          <w:sz w:val="32"/>
          <w:szCs w:val="32"/>
          <w:highlight w:val="none"/>
          <w:u w:val="single"/>
        </w:rPr>
        <w:t>一、法人或者其他组织的营业执照等证明文件，自然人的身份证明</w:t>
      </w:r>
    </w:p>
    <w:p w14:paraId="69D471B6">
      <w:pPr>
        <w:spacing w:line="0" w:lineRule="atLeast"/>
        <w:ind w:firstLine="480"/>
        <w:rPr>
          <w:sz w:val="24"/>
          <w:highlight w:val="none"/>
        </w:rPr>
      </w:pPr>
      <w:r>
        <w:rPr>
          <w:sz w:val="24"/>
          <w:highlight w:val="none"/>
        </w:rPr>
        <w:t> </w:t>
      </w:r>
    </w:p>
    <w:p w14:paraId="032F0A29">
      <w:pPr>
        <w:rPr>
          <w:rFonts w:eastAsia="黑体"/>
          <w:sz w:val="24"/>
          <w:highlight w:val="none"/>
        </w:rPr>
      </w:pPr>
      <w:r>
        <w:rPr>
          <w:rFonts w:hint="eastAsia" w:ascii="黑体" w:hAnsi="宋体" w:eastAsia="黑体" w:cs="黑体"/>
          <w:i/>
          <w:sz w:val="32"/>
          <w:szCs w:val="32"/>
          <w:highlight w:val="none"/>
          <w:u w:val="single"/>
        </w:rPr>
        <w:t>二、上一年度的财务状况报表</w:t>
      </w:r>
    </w:p>
    <w:p w14:paraId="1E1EEB8C">
      <w:pPr>
        <w:spacing w:line="0" w:lineRule="atLeast"/>
        <w:ind w:firstLine="480"/>
        <w:rPr>
          <w:sz w:val="24"/>
          <w:highlight w:val="none"/>
        </w:rPr>
      </w:pPr>
      <w:r>
        <w:rPr>
          <w:rFonts w:hint="eastAsia" w:ascii="宋体" w:hAnsi="宋体" w:cs="宋体"/>
          <w:sz w:val="24"/>
          <w:highlight w:val="none"/>
        </w:rPr>
        <w:t>投标人成立不满一年不需提供</w:t>
      </w:r>
    </w:p>
    <w:p w14:paraId="5EB85CAB">
      <w:pPr>
        <w:rPr>
          <w:sz w:val="24"/>
          <w:highlight w:val="none"/>
        </w:rPr>
      </w:pPr>
      <w:r>
        <w:rPr>
          <w:sz w:val="24"/>
          <w:highlight w:val="none"/>
        </w:rPr>
        <w:t> </w:t>
      </w:r>
    </w:p>
    <w:p w14:paraId="31083F9C">
      <w:pPr>
        <w:rPr>
          <w:sz w:val="24"/>
          <w:highlight w:val="none"/>
        </w:rPr>
      </w:pPr>
      <w:r>
        <w:rPr>
          <w:sz w:val="24"/>
          <w:highlight w:val="none"/>
        </w:rPr>
        <w:t> </w:t>
      </w:r>
    </w:p>
    <w:p w14:paraId="79A656D0">
      <w:pPr>
        <w:rPr>
          <w:sz w:val="24"/>
          <w:highlight w:val="none"/>
        </w:rPr>
      </w:pPr>
      <w:r>
        <w:rPr>
          <w:rFonts w:hint="eastAsia" w:ascii="黑体" w:hAnsi="宋体" w:eastAsia="黑体" w:cs="黑体"/>
          <w:i/>
          <w:sz w:val="32"/>
          <w:szCs w:val="32"/>
          <w:highlight w:val="none"/>
          <w:u w:val="single"/>
        </w:rPr>
        <w:t>三、具备履行合同所必需的设备和专业技术能力的书面声明</w:t>
      </w:r>
    </w:p>
    <w:p w14:paraId="6ED200E2">
      <w:pPr>
        <w:spacing w:line="0" w:lineRule="atLeast"/>
        <w:ind w:firstLine="492"/>
        <w:rPr>
          <w:sz w:val="24"/>
          <w:highlight w:val="none"/>
        </w:rPr>
      </w:pPr>
      <w:r>
        <w:rPr>
          <w:rFonts w:hint="eastAsia" w:ascii="宋体" w:hAnsi="宋体" w:cs="宋体"/>
          <w:sz w:val="24"/>
          <w:highlight w:val="none"/>
        </w:rPr>
        <w:t>我单位郑重声明：我单位具备履行本项采购合同所必需的设备和专业技术能力，为履行本项采购合同我公司具备如下主要设备和主要专业技术能力：</w:t>
      </w:r>
    </w:p>
    <w:p w14:paraId="6DC6FC05">
      <w:pPr>
        <w:spacing w:line="0" w:lineRule="atLeast"/>
        <w:ind w:firstLine="492"/>
        <w:rPr>
          <w:sz w:val="24"/>
          <w:highlight w:val="none"/>
        </w:rPr>
      </w:pPr>
      <w:r>
        <w:rPr>
          <w:rFonts w:hint="eastAsia" w:ascii="宋体" w:hAnsi="宋体" w:cs="宋体"/>
          <w:sz w:val="24"/>
          <w:highlight w:val="none"/>
        </w:rPr>
        <w:t>主要设备有：</w:t>
      </w:r>
      <w:r>
        <w:rPr>
          <w:rFonts w:hint="eastAsia" w:ascii="宋体" w:hAnsi="宋体" w:cs="宋体"/>
          <w:sz w:val="24"/>
          <w:highlight w:val="none"/>
          <w:u w:val="single"/>
        </w:rPr>
        <w:t xml:space="preserve">  </w:t>
      </w:r>
      <w:r>
        <w:rPr>
          <w:rFonts w:hint="eastAsia" w:ascii="宋体" w:hAnsi="宋体" w:cs="宋体"/>
          <w:sz w:val="24"/>
          <w:highlight w:val="none"/>
        </w:rPr>
        <w:t>。</w:t>
      </w:r>
    </w:p>
    <w:p w14:paraId="2C463262">
      <w:pPr>
        <w:rPr>
          <w:rFonts w:ascii="宋体" w:hAnsi="宋体" w:cs="宋体"/>
          <w:sz w:val="24"/>
          <w:highlight w:val="none"/>
        </w:rPr>
      </w:pPr>
      <w:r>
        <w:rPr>
          <w:rFonts w:hint="eastAsia" w:ascii="宋体" w:hAnsi="宋体" w:cs="宋体"/>
          <w:sz w:val="24"/>
          <w:highlight w:val="none"/>
        </w:rPr>
        <w:t>主要专业技术能力有：</w:t>
      </w:r>
      <w:r>
        <w:rPr>
          <w:rFonts w:hint="eastAsia" w:ascii="宋体" w:hAnsi="宋体" w:cs="宋体"/>
          <w:sz w:val="24"/>
          <w:highlight w:val="none"/>
          <w:u w:val="single"/>
        </w:rPr>
        <w:t xml:space="preserve">   </w:t>
      </w:r>
      <w:r>
        <w:rPr>
          <w:rFonts w:hint="eastAsia" w:ascii="宋体" w:hAnsi="宋体" w:cs="宋体"/>
          <w:sz w:val="24"/>
          <w:highlight w:val="none"/>
        </w:rPr>
        <w:t>。</w:t>
      </w:r>
    </w:p>
    <w:p w14:paraId="7051052F">
      <w:pPr>
        <w:rPr>
          <w:sz w:val="24"/>
          <w:highlight w:val="none"/>
        </w:rPr>
      </w:pPr>
      <w:r>
        <w:rPr>
          <w:rFonts w:hint="eastAsia" w:ascii="黑体" w:hAnsi="宋体" w:eastAsia="黑体" w:cs="黑体"/>
          <w:i/>
          <w:sz w:val="32"/>
          <w:szCs w:val="32"/>
          <w:highlight w:val="none"/>
          <w:u w:val="single"/>
        </w:rPr>
        <w:t>四、依法缴纳税收和社会保障资金的相关材料</w:t>
      </w:r>
    </w:p>
    <w:p w14:paraId="72976F12">
      <w:pPr>
        <w:ind w:firstLine="480"/>
        <w:rPr>
          <w:sz w:val="24"/>
          <w:highlight w:val="none"/>
        </w:rPr>
      </w:pPr>
      <w:bookmarkStart w:id="123" w:name="_Toc120614284"/>
      <w:r>
        <w:rPr>
          <w:rFonts w:hint="eastAsia" w:ascii="宋体" w:hAnsi="宋体" w:cs="宋体"/>
          <w:sz w:val="24"/>
          <w:highlight w:val="none"/>
        </w:rPr>
        <w:t>提供提交投标文件截止时间前一年内至少一个月依法缴纳税收及缴纳社会保障资金的证明材料。投标人依法享受缓缴、免缴税收、社会保障资金的提供证明材料。</w:t>
      </w:r>
      <w:bookmarkEnd w:id="123"/>
    </w:p>
    <w:p w14:paraId="1D0782A0">
      <w:pPr>
        <w:rPr>
          <w:sz w:val="24"/>
          <w:highlight w:val="none"/>
        </w:rPr>
      </w:pPr>
      <w:r>
        <w:rPr>
          <w:rFonts w:hint="eastAsia" w:ascii="黑体" w:hAnsi="宋体" w:eastAsia="黑体" w:cs="黑体"/>
          <w:i/>
          <w:sz w:val="32"/>
          <w:szCs w:val="32"/>
          <w:highlight w:val="none"/>
          <w:u w:val="single"/>
        </w:rPr>
        <w:t>五、参加政府采购活动前 3 年内在经营活动中没有重大违法记录的书面声明</w:t>
      </w:r>
    </w:p>
    <w:p w14:paraId="734E46F4">
      <w:pPr>
        <w:spacing w:line="0" w:lineRule="atLeast"/>
        <w:rPr>
          <w:sz w:val="24"/>
          <w:highlight w:val="none"/>
        </w:rPr>
      </w:pPr>
      <w:r>
        <w:rPr>
          <w:rFonts w:hint="eastAsia" w:ascii="宋体" w:hAnsi="宋体" w:cs="宋体"/>
          <w:b/>
          <w:sz w:val="44"/>
          <w:szCs w:val="44"/>
          <w:highlight w:val="none"/>
        </w:rPr>
        <w:t>       声  明</w:t>
      </w:r>
    </w:p>
    <w:p w14:paraId="0B7498C5">
      <w:pPr>
        <w:spacing w:line="0" w:lineRule="atLeast"/>
        <w:rPr>
          <w:sz w:val="24"/>
          <w:highlight w:val="none"/>
        </w:rPr>
      </w:pPr>
      <w:r>
        <w:rPr>
          <w:rFonts w:hint="eastAsia" w:ascii="宋体" w:hAnsi="宋体" w:cs="宋体"/>
          <w:b/>
          <w:sz w:val="24"/>
          <w:highlight w:val="none"/>
        </w:rPr>
        <w:t xml:space="preserve">    </w:t>
      </w:r>
      <w:r>
        <w:rPr>
          <w:rFonts w:hint="eastAsia" w:ascii="宋体" w:hAnsi="宋体" w:cs="宋体"/>
          <w:sz w:val="24"/>
          <w:highlight w:val="none"/>
        </w:rPr>
        <w:t>我单位郑重声明：参加本次政府采购活动前 3 年内，我单位在经营活动中没有因违法经营受到刑事处罚或者责令停产停业、吊销许可证或者执照、较大数额罚款等行政处罚。</w:t>
      </w:r>
    </w:p>
    <w:p w14:paraId="38A4EF66">
      <w:pPr>
        <w:rPr>
          <w:sz w:val="24"/>
          <w:highlight w:val="none"/>
        </w:rPr>
      </w:pPr>
      <w:r>
        <w:rPr>
          <w:sz w:val="24"/>
          <w:highlight w:val="none"/>
        </w:rPr>
        <w:t> </w:t>
      </w:r>
    </w:p>
    <w:p w14:paraId="335858E1">
      <w:pPr>
        <w:rPr>
          <w:sz w:val="24"/>
          <w:highlight w:val="none"/>
        </w:rPr>
      </w:pPr>
      <w:r>
        <w:rPr>
          <w:rFonts w:hint="eastAsia" w:ascii="黑体" w:hAnsi="宋体" w:eastAsia="黑体" w:cs="黑体"/>
          <w:i/>
          <w:sz w:val="32"/>
          <w:szCs w:val="32"/>
          <w:highlight w:val="none"/>
          <w:u w:val="single"/>
        </w:rPr>
        <w:t>六、特定资格要求的证明文件</w:t>
      </w:r>
    </w:p>
    <w:p w14:paraId="422A3CCD">
      <w:pPr>
        <w:spacing w:line="0" w:lineRule="atLeast"/>
        <w:rPr>
          <w:sz w:val="24"/>
          <w:highlight w:val="none"/>
        </w:rPr>
      </w:pPr>
      <w:r>
        <w:rPr>
          <w:rFonts w:hint="eastAsia" w:ascii="宋体" w:hAnsi="宋体" w:cs="宋体"/>
          <w:sz w:val="24"/>
          <w:highlight w:val="none"/>
        </w:rPr>
        <w:t>    如果本项目申请人的特定资格要求中要求提供的，必须提供。</w:t>
      </w:r>
    </w:p>
    <w:p w14:paraId="261EE5C7">
      <w:pPr>
        <w:spacing w:line="0" w:lineRule="atLeast"/>
        <w:rPr>
          <w:sz w:val="24"/>
          <w:highlight w:val="none"/>
        </w:rPr>
      </w:pPr>
      <w:r>
        <w:rPr>
          <w:sz w:val="24"/>
          <w:highlight w:val="none"/>
        </w:rPr>
        <w:t> </w:t>
      </w:r>
    </w:p>
    <w:p w14:paraId="6EE9A7FD">
      <w:pPr>
        <w:jc w:val="center"/>
        <w:rPr>
          <w:rFonts w:ascii="黑体" w:hAnsi="宋体" w:eastAsia="黑体" w:cs="黑体"/>
          <w:i/>
          <w:sz w:val="32"/>
          <w:szCs w:val="32"/>
          <w:highlight w:val="none"/>
          <w:u w:val="single"/>
        </w:rPr>
      </w:pPr>
    </w:p>
    <w:p w14:paraId="466E0DDE">
      <w:pPr>
        <w:jc w:val="center"/>
        <w:rPr>
          <w:rFonts w:ascii="黑体" w:hAnsi="宋体" w:eastAsia="黑体" w:cs="黑体"/>
          <w:i/>
          <w:sz w:val="32"/>
          <w:szCs w:val="32"/>
          <w:highlight w:val="none"/>
          <w:u w:val="single"/>
        </w:rPr>
      </w:pPr>
    </w:p>
    <w:p w14:paraId="587B5BE5">
      <w:pPr>
        <w:jc w:val="center"/>
        <w:rPr>
          <w:rFonts w:ascii="黑体" w:hAnsi="宋体" w:eastAsia="黑体" w:cs="黑体"/>
          <w:i/>
          <w:sz w:val="32"/>
          <w:szCs w:val="32"/>
          <w:highlight w:val="none"/>
          <w:u w:val="single"/>
        </w:rPr>
      </w:pPr>
    </w:p>
    <w:p w14:paraId="50B9FF46">
      <w:pPr>
        <w:jc w:val="center"/>
        <w:rPr>
          <w:rFonts w:ascii="黑体" w:hAnsi="宋体" w:eastAsia="黑体" w:cs="黑体"/>
          <w:i/>
          <w:sz w:val="32"/>
          <w:szCs w:val="32"/>
          <w:highlight w:val="none"/>
          <w:u w:val="single"/>
        </w:rPr>
      </w:pPr>
    </w:p>
    <w:p w14:paraId="52EBC127">
      <w:pPr>
        <w:jc w:val="center"/>
        <w:rPr>
          <w:rFonts w:ascii="黑体" w:hAnsi="宋体" w:eastAsia="黑体" w:cs="黑体"/>
          <w:i/>
          <w:sz w:val="32"/>
          <w:szCs w:val="32"/>
          <w:highlight w:val="none"/>
          <w:u w:val="single"/>
        </w:rPr>
      </w:pPr>
    </w:p>
    <w:p w14:paraId="5449916B">
      <w:pPr>
        <w:jc w:val="center"/>
        <w:rPr>
          <w:rFonts w:ascii="黑体" w:hAnsi="宋体" w:eastAsia="黑体" w:cs="黑体"/>
          <w:i/>
          <w:sz w:val="32"/>
          <w:szCs w:val="32"/>
          <w:highlight w:val="none"/>
          <w:u w:val="single"/>
        </w:rPr>
      </w:pPr>
    </w:p>
    <w:p w14:paraId="402F50BA">
      <w:pPr>
        <w:jc w:val="center"/>
        <w:rPr>
          <w:rFonts w:ascii="黑体" w:hAnsi="宋体" w:eastAsia="黑体" w:cs="黑体"/>
          <w:i/>
          <w:sz w:val="32"/>
          <w:szCs w:val="32"/>
          <w:highlight w:val="none"/>
          <w:u w:val="single"/>
        </w:rPr>
      </w:pPr>
    </w:p>
    <w:p w14:paraId="5B6902BE">
      <w:pPr>
        <w:jc w:val="center"/>
        <w:rPr>
          <w:rFonts w:ascii="黑体" w:hAnsi="宋体" w:eastAsia="黑体" w:cs="黑体"/>
          <w:i/>
          <w:sz w:val="32"/>
          <w:szCs w:val="32"/>
          <w:highlight w:val="none"/>
          <w:u w:val="single"/>
        </w:rPr>
      </w:pPr>
    </w:p>
    <w:p w14:paraId="0416C710">
      <w:pPr>
        <w:jc w:val="center"/>
        <w:rPr>
          <w:rFonts w:ascii="黑体" w:hAnsi="宋体" w:eastAsia="黑体" w:cs="黑体"/>
          <w:i/>
          <w:sz w:val="32"/>
          <w:szCs w:val="32"/>
          <w:highlight w:val="none"/>
          <w:u w:val="single"/>
        </w:rPr>
      </w:pPr>
    </w:p>
    <w:p w14:paraId="6F8E220D">
      <w:pPr>
        <w:jc w:val="center"/>
        <w:rPr>
          <w:rFonts w:ascii="黑体" w:hAnsi="宋体" w:eastAsia="黑体" w:cs="黑体"/>
          <w:i/>
          <w:sz w:val="32"/>
          <w:szCs w:val="32"/>
          <w:highlight w:val="none"/>
          <w:u w:val="single"/>
        </w:rPr>
      </w:pPr>
    </w:p>
    <w:p w14:paraId="457562F8">
      <w:pPr>
        <w:jc w:val="center"/>
        <w:rPr>
          <w:rFonts w:ascii="黑体" w:hAnsi="宋体" w:eastAsia="黑体" w:cs="黑体"/>
          <w:i/>
          <w:sz w:val="32"/>
          <w:szCs w:val="32"/>
          <w:highlight w:val="none"/>
          <w:u w:val="single"/>
        </w:rPr>
      </w:pPr>
    </w:p>
    <w:p w14:paraId="103C1426">
      <w:pPr>
        <w:jc w:val="center"/>
        <w:rPr>
          <w:rFonts w:ascii="黑体" w:hAnsi="宋体" w:eastAsia="黑体" w:cs="黑体"/>
          <w:i/>
          <w:sz w:val="32"/>
          <w:szCs w:val="32"/>
          <w:highlight w:val="none"/>
          <w:u w:val="single"/>
        </w:rPr>
      </w:pPr>
    </w:p>
    <w:p w14:paraId="6F10D855">
      <w:pPr>
        <w:jc w:val="center"/>
        <w:rPr>
          <w:rFonts w:ascii="黑体" w:hAnsi="宋体" w:eastAsia="黑体" w:cs="黑体"/>
          <w:i/>
          <w:sz w:val="32"/>
          <w:szCs w:val="32"/>
          <w:highlight w:val="none"/>
          <w:u w:val="single"/>
        </w:rPr>
      </w:pPr>
    </w:p>
    <w:p w14:paraId="2905BF93">
      <w:pPr>
        <w:jc w:val="center"/>
        <w:rPr>
          <w:sz w:val="24"/>
          <w:highlight w:val="none"/>
        </w:rPr>
      </w:pPr>
      <w:r>
        <w:rPr>
          <w:rFonts w:hint="eastAsia" w:ascii="黑体" w:hAnsi="宋体" w:eastAsia="黑体" w:cs="黑体"/>
          <w:i/>
          <w:sz w:val="32"/>
          <w:szCs w:val="32"/>
          <w:highlight w:val="none"/>
          <w:u w:val="single"/>
        </w:rPr>
        <w:t>七、法人授权书</w:t>
      </w:r>
    </w:p>
    <w:p w14:paraId="6C191E6B">
      <w:pPr>
        <w:tabs>
          <w:tab w:val="left" w:pos="360"/>
        </w:tabs>
        <w:ind w:firstLine="480"/>
        <w:rPr>
          <w:sz w:val="24"/>
          <w:highlight w:val="none"/>
        </w:rPr>
      </w:pPr>
      <w:r>
        <w:rPr>
          <w:rFonts w:ascii="Times New Roman" w:hAnsi="Times New Roman"/>
          <w:sz w:val="24"/>
          <w:highlight w:val="none"/>
        </w:rPr>
        <w:t>本授权书声明：____________（投标人名称）授权________________（被授权人的姓名）为我方就</w:t>
      </w:r>
      <w:r>
        <w:rPr>
          <w:rFonts w:hint="eastAsia" w:ascii="Times New Roman" w:hAnsi="Times New Roman"/>
          <w:sz w:val="24"/>
          <w:highlight w:val="none"/>
          <w:u w:val="single"/>
        </w:rPr>
        <w:t xml:space="preserve">            </w:t>
      </w:r>
      <w:r>
        <w:rPr>
          <w:rFonts w:ascii="Times New Roman" w:hAnsi="Times New Roman"/>
          <w:sz w:val="24"/>
          <w:highlight w:val="none"/>
          <w:u w:val="single"/>
        </w:rPr>
        <w:t xml:space="preserve"> </w:t>
      </w:r>
      <w:r>
        <w:rPr>
          <w:rFonts w:ascii="Times New Roman" w:hAnsi="Times New Roman"/>
          <w:sz w:val="24"/>
          <w:highlight w:val="none"/>
        </w:rPr>
        <w:t>号项目采购活动的合法代理人，以本单位名义全权处理一切与该项目采购有关的事务。</w:t>
      </w:r>
    </w:p>
    <w:p w14:paraId="41A54319">
      <w:pPr>
        <w:tabs>
          <w:tab w:val="left" w:pos="360"/>
        </w:tabs>
        <w:ind w:firstLine="480"/>
        <w:rPr>
          <w:sz w:val="24"/>
          <w:highlight w:val="none"/>
        </w:rPr>
      </w:pPr>
      <w:r>
        <w:rPr>
          <w:rFonts w:ascii="Times New Roman" w:hAnsi="Times New Roman"/>
          <w:sz w:val="24"/>
          <w:highlight w:val="none"/>
        </w:rPr>
        <w:t>本授权书于______年____月____日起生效，特此声明。</w:t>
      </w:r>
    </w:p>
    <w:p w14:paraId="04D29B2F">
      <w:pPr>
        <w:tabs>
          <w:tab w:val="left" w:pos="360"/>
        </w:tabs>
        <w:rPr>
          <w:sz w:val="24"/>
          <w:highlight w:val="none"/>
        </w:rPr>
      </w:pPr>
      <w:r>
        <w:rPr>
          <w:rFonts w:ascii="Times New Roman" w:hAnsi="Times New Roman"/>
          <w:sz w:val="24"/>
          <w:highlight w:val="none"/>
        </w:rPr>
        <w:t>          被授权人身份证号码：</w:t>
      </w:r>
      <w:r>
        <w:rPr>
          <w:rFonts w:ascii="Times New Roman" w:hAnsi="Times New Roman"/>
          <w:sz w:val="24"/>
          <w:highlight w:val="none"/>
          <w:u w:val="single"/>
        </w:rPr>
        <w:t xml:space="preserve">                              </w:t>
      </w:r>
    </w:p>
    <w:p w14:paraId="582679F2">
      <w:pPr>
        <w:tabs>
          <w:tab w:val="left" w:pos="360"/>
        </w:tabs>
        <w:rPr>
          <w:sz w:val="24"/>
          <w:highlight w:val="none"/>
        </w:rPr>
      </w:pPr>
      <w:r>
        <w:rPr>
          <w:rFonts w:ascii="Times New Roman" w:hAnsi="Times New Roman"/>
          <w:sz w:val="24"/>
          <w:highlight w:val="none"/>
        </w:rPr>
        <w:t>          被授权人联系电话：（手机）</w:t>
      </w:r>
      <w:r>
        <w:rPr>
          <w:rFonts w:ascii="Times New Roman" w:hAnsi="Times New Roman"/>
          <w:sz w:val="24"/>
          <w:highlight w:val="none"/>
          <w:u w:val="single"/>
        </w:rPr>
        <w:t xml:space="preserve">                          </w:t>
      </w:r>
    </w:p>
    <w:p w14:paraId="4E6A3CFE">
      <w:pPr>
        <w:tabs>
          <w:tab w:val="left" w:pos="360"/>
        </w:tabs>
        <w:ind w:firstLine="1200"/>
        <w:rPr>
          <w:sz w:val="24"/>
          <w:highlight w:val="none"/>
        </w:rPr>
      </w:pPr>
      <w:r>
        <w:rPr>
          <w:rFonts w:ascii="Times New Roman" w:hAnsi="Times New Roman"/>
          <w:sz w:val="24"/>
          <w:highlight w:val="none"/>
        </w:rPr>
        <w:t>授权单位名称：</w:t>
      </w:r>
      <w:r>
        <w:rPr>
          <w:rFonts w:ascii="Times New Roman" w:hAnsi="Times New Roman"/>
          <w:sz w:val="24"/>
          <w:highlight w:val="none"/>
          <w:u w:val="single"/>
        </w:rPr>
        <w:t>（加盖CA电子公章）</w:t>
      </w:r>
    </w:p>
    <w:p w14:paraId="756813B4">
      <w:pPr>
        <w:tabs>
          <w:tab w:val="left" w:pos="360"/>
        </w:tabs>
        <w:ind w:firstLine="480"/>
        <w:rPr>
          <w:sz w:val="24"/>
          <w:highlight w:val="none"/>
        </w:rPr>
      </w:pPr>
      <w:r>
        <w:rPr>
          <w:rFonts w:ascii="Times New Roman" w:hAnsi="Times New Roman"/>
          <w:sz w:val="24"/>
          <w:highlight w:val="none"/>
        </w:rPr>
        <w:t>      单位地址：</w:t>
      </w:r>
      <w:r>
        <w:rPr>
          <w:rFonts w:ascii="Times New Roman" w:hAnsi="Times New Roman"/>
          <w:sz w:val="24"/>
          <w:highlight w:val="none"/>
          <w:u w:val="single"/>
        </w:rPr>
        <w:t xml:space="preserve">                                         </w:t>
      </w:r>
    </w:p>
    <w:p w14:paraId="2DAF7344">
      <w:pPr>
        <w:tabs>
          <w:tab w:val="left" w:pos="360"/>
        </w:tabs>
        <w:ind w:firstLine="480"/>
        <w:rPr>
          <w:sz w:val="24"/>
          <w:highlight w:val="none"/>
        </w:rPr>
      </w:pPr>
      <w:r>
        <w:rPr>
          <w:rFonts w:ascii="Times New Roman" w:hAnsi="Times New Roman"/>
          <w:sz w:val="24"/>
          <w:highlight w:val="none"/>
        </w:rPr>
        <w:t>      日期：</w:t>
      </w:r>
      <w:bookmarkStart w:id="124" w:name="_格式3__银行出具的资信证明"/>
      <w:bookmarkStart w:id="125" w:name="_Hlt26671380"/>
      <w:bookmarkStart w:id="126" w:name="_Hlt26955070"/>
      <w:r>
        <w:rPr>
          <w:rFonts w:ascii="Times New Roman" w:hAnsi="Times New Roman"/>
          <w:sz w:val="24"/>
          <w:highlight w:val="none"/>
          <w:u w:val="single"/>
        </w:rPr>
        <w:t xml:space="preserve">                                         </w:t>
      </w:r>
    </w:p>
    <w:p w14:paraId="3B41B5CB">
      <w:pPr>
        <w:ind w:firstLine="420"/>
        <w:rPr>
          <w:sz w:val="24"/>
          <w:highlight w:val="none"/>
        </w:rPr>
      </w:pPr>
      <w:r>
        <w:rPr>
          <w:sz w:val="24"/>
          <w:highlight w:val="none"/>
        </w:rPr>
        <w:t> </w:t>
      </w:r>
    </w:p>
    <w:p w14:paraId="0A4CAE90">
      <w:pPr>
        <w:rPr>
          <w:sz w:val="24"/>
          <w:highlight w:val="none"/>
        </w:rPr>
      </w:pPr>
      <w:r>
        <w:rPr>
          <w:sz w:val="24"/>
          <w:highlight w:val="none"/>
        </w:rPr>
        <w:t> </w:t>
      </w:r>
    </w:p>
    <w:p w14:paraId="5E05AF62">
      <w:pPr>
        <w:spacing w:line="0" w:lineRule="atLeast"/>
        <w:rPr>
          <w:sz w:val="24"/>
          <w:highlight w:val="none"/>
        </w:rPr>
      </w:pPr>
      <w:r>
        <w:rPr>
          <w:sz w:val="24"/>
          <w:highlight w:val="none"/>
        </w:rPr>
        <w:t> </w:t>
      </w:r>
    </w:p>
    <w:p w14:paraId="7DDFC1BC">
      <w:pPr>
        <w:spacing w:line="0" w:lineRule="atLeast"/>
        <w:ind w:firstLine="480"/>
        <w:rPr>
          <w:rFonts w:ascii="宋体" w:hAnsi="宋体" w:cs="宋体"/>
          <w:sz w:val="24"/>
          <w:highlight w:val="none"/>
        </w:rPr>
      </w:pPr>
      <w:r>
        <w:rPr>
          <w:rFonts w:hint="eastAsia" w:ascii="宋体" w:hAnsi="宋体" w:cs="宋体"/>
          <w:sz w:val="24"/>
          <w:highlight w:val="none"/>
        </w:rPr>
        <w:t>备注 我公司（单位）委托进行现场演示的人员为（本项目如果无现场演示要求，请项目经办人自行删除该备注）</w:t>
      </w:r>
    </w:p>
    <w:p w14:paraId="1843FBFC">
      <w:pPr>
        <w:spacing w:line="0" w:lineRule="atLeast"/>
        <w:ind w:firstLine="480"/>
        <w:rPr>
          <w:rFonts w:ascii="宋体" w:hAnsi="宋体" w:cs="宋体"/>
          <w:sz w:val="24"/>
          <w:highlight w:val="none"/>
        </w:rPr>
      </w:pPr>
      <w:r>
        <w:rPr>
          <w:rFonts w:hint="eastAsia" w:ascii="宋体" w:hAnsi="宋体" w:cs="宋体"/>
          <w:sz w:val="24"/>
          <w:highlight w:val="none"/>
        </w:rPr>
        <w:t>        （人员姓名），身份证号          。</w:t>
      </w:r>
    </w:p>
    <w:p w14:paraId="196F0A11">
      <w:pPr>
        <w:spacing w:line="0" w:lineRule="atLeast"/>
        <w:ind w:firstLine="480"/>
        <w:rPr>
          <w:rFonts w:ascii="宋体" w:hAnsi="宋体" w:cs="宋体"/>
          <w:sz w:val="24"/>
          <w:highlight w:val="none"/>
        </w:rPr>
      </w:pPr>
      <w:r>
        <w:rPr>
          <w:rFonts w:hint="eastAsia" w:ascii="宋体" w:hAnsi="宋体" w:cs="宋体"/>
          <w:sz w:val="24"/>
          <w:highlight w:val="none"/>
        </w:rPr>
        <w:t>        ……</w:t>
      </w:r>
    </w:p>
    <w:p w14:paraId="092AD631">
      <w:pPr>
        <w:spacing w:line="0" w:lineRule="atLeast"/>
        <w:rPr>
          <w:sz w:val="24"/>
          <w:highlight w:val="none"/>
        </w:rPr>
      </w:pPr>
      <w:r>
        <w:rPr>
          <w:sz w:val="24"/>
          <w:highlight w:val="none"/>
        </w:rPr>
        <w:t> </w:t>
      </w:r>
    </w:p>
    <w:p w14:paraId="42C5359C">
      <w:pPr>
        <w:keepNext/>
        <w:keepLines/>
        <w:spacing w:before="260" w:after="260" w:line="415" w:lineRule="auto"/>
        <w:ind w:firstLine="3390"/>
        <w:rPr>
          <w:rFonts w:ascii="黑体" w:hAnsi="宋体" w:eastAsia="黑体" w:cs="黑体"/>
          <w:b/>
          <w:sz w:val="32"/>
          <w:szCs w:val="32"/>
          <w:highlight w:val="none"/>
        </w:rPr>
      </w:pPr>
      <w:r>
        <w:rPr>
          <w:rFonts w:hint="eastAsia" w:ascii="宋体" w:hAnsi="宋体" w:cs="宋体"/>
          <w:b/>
          <w:sz w:val="24"/>
          <w:highlight w:val="none"/>
        </w:rPr>
        <w:br w:type="page" w:clear="all"/>
      </w:r>
      <w:r>
        <w:rPr>
          <w:rFonts w:hint="eastAsia" w:ascii="宋体" w:hAnsi="宋体" w:cs="宋体"/>
          <w:b/>
          <w:sz w:val="24"/>
          <w:highlight w:val="none"/>
        </w:rPr>
        <w:t> </w:t>
      </w:r>
      <w:r>
        <w:rPr>
          <w:rFonts w:hint="eastAsia" w:ascii="黑体" w:hAnsi="宋体" w:eastAsia="黑体" w:cs="黑体"/>
          <w:b/>
          <w:sz w:val="32"/>
          <w:szCs w:val="32"/>
          <w:highlight w:val="none"/>
        </w:rPr>
        <w:t>八、投标函</w:t>
      </w:r>
    </w:p>
    <w:p w14:paraId="34AFAA72">
      <w:pPr>
        <w:spacing w:line="0" w:lineRule="atLeast"/>
        <w:jc w:val="left"/>
        <w:rPr>
          <w:sz w:val="24"/>
          <w:highlight w:val="none"/>
          <w:u w:val="single"/>
        </w:rPr>
      </w:pPr>
      <w:r>
        <w:rPr>
          <w:rFonts w:hint="eastAsia" w:ascii="宋体" w:hAnsi="宋体" w:cs="宋体"/>
          <w:sz w:val="24"/>
          <w:highlight w:val="none"/>
        </w:rPr>
        <w:t>致：</w:t>
      </w:r>
      <w:r>
        <w:rPr>
          <w:rFonts w:hint="eastAsia" w:ascii="宋体" w:hAnsi="宋体" w:cs="宋体"/>
          <w:sz w:val="24"/>
          <w:highlight w:val="none"/>
          <w:u w:val="single"/>
        </w:rPr>
        <w:t>盐城市生态环境局盐南高新区分局</w:t>
      </w:r>
    </w:p>
    <w:p w14:paraId="3B9162E9">
      <w:pPr>
        <w:spacing w:line="0" w:lineRule="atLeast"/>
        <w:ind w:firstLine="480"/>
        <w:jc w:val="left"/>
        <w:rPr>
          <w:sz w:val="24"/>
          <w:highlight w:val="none"/>
        </w:rPr>
      </w:pPr>
      <w:r>
        <w:rPr>
          <w:rFonts w:hint="eastAsia" w:ascii="宋体" w:hAnsi="宋体" w:cs="宋体"/>
          <w:sz w:val="24"/>
          <w:highlight w:val="none"/>
        </w:rPr>
        <w:t>根据贵方的           号招标文件，正式授权下述签字人______(姓名)代表我方______________（投标人的名称），全权处理本次项目投标的有关事宜。</w:t>
      </w:r>
    </w:p>
    <w:p w14:paraId="466244E2">
      <w:pPr>
        <w:spacing w:line="0" w:lineRule="atLeast"/>
        <w:ind w:firstLine="480"/>
        <w:jc w:val="left"/>
        <w:rPr>
          <w:sz w:val="24"/>
          <w:highlight w:val="none"/>
        </w:rPr>
      </w:pPr>
      <w:r>
        <w:rPr>
          <w:rFonts w:hint="eastAsia" w:ascii="宋体" w:hAnsi="宋体" w:cs="宋体"/>
          <w:sz w:val="24"/>
          <w:highlight w:val="none"/>
        </w:rPr>
        <w:t>据此函，__________签字人兹宣布同意如下：</w:t>
      </w:r>
    </w:p>
    <w:p w14:paraId="28FA0CD2">
      <w:pPr>
        <w:spacing w:line="0" w:lineRule="atLeast"/>
        <w:ind w:firstLine="480"/>
        <w:jc w:val="left"/>
        <w:rPr>
          <w:sz w:val="24"/>
          <w:highlight w:val="none"/>
        </w:rPr>
      </w:pPr>
      <w:r>
        <w:rPr>
          <w:rFonts w:hint="eastAsia" w:ascii="宋体" w:hAnsi="宋体" w:cs="宋体"/>
          <w:sz w:val="24"/>
          <w:highlight w:val="none"/>
        </w:rPr>
        <w:t>1.按招标文件规定的各项要求，向买方提供所需服务（包含与服务相关的货物）。</w:t>
      </w:r>
    </w:p>
    <w:p w14:paraId="41920768">
      <w:pPr>
        <w:spacing w:line="0" w:lineRule="atLeast"/>
        <w:ind w:firstLine="480"/>
        <w:jc w:val="left"/>
        <w:rPr>
          <w:sz w:val="24"/>
          <w:highlight w:val="none"/>
        </w:rPr>
      </w:pPr>
      <w:r>
        <w:rPr>
          <w:rFonts w:hint="eastAsia" w:ascii="宋体" w:hAnsi="宋体" w:cs="宋体"/>
          <w:sz w:val="24"/>
          <w:highlight w:val="none"/>
        </w:rPr>
        <w:t>2.我们完全理解贵方不一定将合同授予最低报价的投标人。</w:t>
      </w:r>
    </w:p>
    <w:p w14:paraId="770BF9E2">
      <w:pPr>
        <w:spacing w:line="0" w:lineRule="atLeast"/>
        <w:ind w:firstLine="480"/>
        <w:jc w:val="left"/>
        <w:rPr>
          <w:sz w:val="24"/>
          <w:highlight w:val="none"/>
        </w:rPr>
      </w:pPr>
      <w:r>
        <w:rPr>
          <w:rFonts w:hint="eastAsia" w:ascii="宋体" w:hAnsi="宋体" w:cs="宋体"/>
          <w:sz w:val="24"/>
          <w:highlight w:val="none"/>
        </w:rPr>
        <w:t>3.我们已详细审核全部招标文件及其有效补充文件，我们知道必须放弃提出含糊不清或误解问题的权利。</w:t>
      </w:r>
    </w:p>
    <w:p w14:paraId="3ECB965D">
      <w:pPr>
        <w:spacing w:line="0" w:lineRule="atLeast"/>
        <w:ind w:firstLine="480"/>
        <w:jc w:val="left"/>
        <w:rPr>
          <w:sz w:val="24"/>
          <w:highlight w:val="none"/>
        </w:rPr>
      </w:pPr>
      <w:r>
        <w:rPr>
          <w:rFonts w:hint="eastAsia" w:ascii="宋体" w:hAnsi="宋体" w:cs="宋体"/>
          <w:sz w:val="24"/>
          <w:highlight w:val="none"/>
        </w:rPr>
        <w:t>4.我们同意从规定的开标日期起遵循本投标文件，并在规定的投标有效期期满之前均具有约束力。</w:t>
      </w:r>
    </w:p>
    <w:p w14:paraId="49E60B97">
      <w:pPr>
        <w:spacing w:line="0" w:lineRule="atLeast"/>
        <w:ind w:firstLine="480"/>
        <w:jc w:val="left"/>
        <w:rPr>
          <w:sz w:val="24"/>
          <w:highlight w:val="none"/>
        </w:rPr>
      </w:pPr>
      <w:r>
        <w:rPr>
          <w:rFonts w:hint="eastAsia" w:ascii="宋体" w:hAnsi="宋体" w:cs="宋体"/>
          <w:sz w:val="24"/>
          <w:highlight w:val="none"/>
        </w:rPr>
        <w:t>5.同意向贵方提供贵方可能另外要求的与投标有关的任何证据或资料，并保证我方已提供和将要提供的文件是真实的、准确的。</w:t>
      </w:r>
    </w:p>
    <w:p w14:paraId="613065B9">
      <w:pPr>
        <w:spacing w:line="0" w:lineRule="atLeast"/>
        <w:ind w:firstLine="480"/>
        <w:jc w:val="left"/>
        <w:rPr>
          <w:sz w:val="24"/>
          <w:highlight w:val="none"/>
        </w:rPr>
      </w:pPr>
      <w:r>
        <w:rPr>
          <w:rFonts w:hint="eastAsia" w:ascii="宋体" w:hAnsi="宋体" w:cs="宋体"/>
          <w:sz w:val="24"/>
          <w:highlight w:val="none"/>
        </w:rPr>
        <w:t>6.一旦我方中标,我方将根据招标文件的规定，严格履行合同的责任和义务,并保证在招标文件规定的时间完成项目，交付买方验收、使用。</w:t>
      </w:r>
    </w:p>
    <w:p w14:paraId="26D2251A">
      <w:pPr>
        <w:spacing w:line="0" w:lineRule="atLeast"/>
        <w:ind w:firstLine="480"/>
        <w:jc w:val="left"/>
        <w:rPr>
          <w:sz w:val="24"/>
          <w:highlight w:val="none"/>
        </w:rPr>
      </w:pPr>
      <w:r>
        <w:rPr>
          <w:rFonts w:hint="eastAsia" w:ascii="宋体" w:hAnsi="宋体" w:cs="宋体"/>
          <w:sz w:val="24"/>
          <w:highlight w:val="none"/>
        </w:rPr>
        <w:t>7.与本投标有关的正式通讯地址为：</w:t>
      </w:r>
    </w:p>
    <w:p w14:paraId="53C5B556">
      <w:pPr>
        <w:spacing w:line="0" w:lineRule="atLeast"/>
        <w:ind w:left="420" w:firstLine="480"/>
        <w:jc w:val="left"/>
        <w:rPr>
          <w:sz w:val="24"/>
          <w:highlight w:val="none"/>
        </w:rPr>
      </w:pPr>
      <w:r>
        <w:rPr>
          <w:rFonts w:hint="eastAsia" w:ascii="宋体" w:hAnsi="宋体" w:cs="宋体"/>
          <w:sz w:val="24"/>
          <w:highlight w:val="none"/>
        </w:rPr>
        <w:t>地          址：</w:t>
      </w:r>
    </w:p>
    <w:p w14:paraId="7FDC8861">
      <w:pPr>
        <w:spacing w:line="0" w:lineRule="atLeast"/>
        <w:ind w:left="420" w:firstLine="480"/>
        <w:jc w:val="left"/>
        <w:rPr>
          <w:sz w:val="24"/>
          <w:highlight w:val="none"/>
        </w:rPr>
      </w:pPr>
      <w:r>
        <w:rPr>
          <w:rFonts w:hint="eastAsia" w:ascii="宋体" w:hAnsi="宋体" w:cs="宋体"/>
          <w:sz w:val="24"/>
          <w:highlight w:val="none"/>
        </w:rPr>
        <w:t>邮          编：</w:t>
      </w:r>
    </w:p>
    <w:p w14:paraId="4143EB2E">
      <w:pPr>
        <w:spacing w:line="0" w:lineRule="atLeast"/>
        <w:ind w:left="420" w:firstLine="480"/>
        <w:jc w:val="left"/>
        <w:rPr>
          <w:sz w:val="24"/>
          <w:highlight w:val="none"/>
        </w:rPr>
      </w:pPr>
      <w:r>
        <w:rPr>
          <w:rFonts w:hint="eastAsia" w:ascii="宋体" w:hAnsi="宋体" w:cs="宋体"/>
          <w:sz w:val="24"/>
          <w:highlight w:val="none"/>
        </w:rPr>
        <w:t>电          话：</w:t>
      </w:r>
    </w:p>
    <w:p w14:paraId="67B966AE">
      <w:pPr>
        <w:spacing w:line="0" w:lineRule="atLeast"/>
        <w:ind w:left="420" w:firstLine="480"/>
        <w:jc w:val="left"/>
        <w:rPr>
          <w:sz w:val="24"/>
          <w:highlight w:val="none"/>
        </w:rPr>
      </w:pPr>
      <w:r>
        <w:rPr>
          <w:rFonts w:hint="eastAsia" w:ascii="宋体" w:hAnsi="宋体" w:cs="宋体"/>
          <w:sz w:val="24"/>
          <w:highlight w:val="none"/>
        </w:rPr>
        <w:t>传          真：</w:t>
      </w:r>
    </w:p>
    <w:p w14:paraId="21DA2DA4">
      <w:pPr>
        <w:spacing w:line="0" w:lineRule="atLeast"/>
        <w:ind w:left="420" w:firstLine="480"/>
        <w:jc w:val="left"/>
        <w:rPr>
          <w:sz w:val="24"/>
          <w:highlight w:val="none"/>
        </w:rPr>
      </w:pPr>
      <w:r>
        <w:rPr>
          <w:rFonts w:hint="eastAsia" w:ascii="宋体" w:hAnsi="宋体" w:cs="宋体"/>
          <w:sz w:val="24"/>
          <w:highlight w:val="none"/>
        </w:rPr>
        <w:t>投标人开户行：</w:t>
      </w:r>
    </w:p>
    <w:p w14:paraId="13DD02F1">
      <w:pPr>
        <w:spacing w:line="0" w:lineRule="atLeast"/>
        <w:ind w:left="420" w:firstLine="480"/>
        <w:jc w:val="left"/>
        <w:rPr>
          <w:sz w:val="24"/>
          <w:highlight w:val="none"/>
        </w:rPr>
      </w:pPr>
      <w:r>
        <w:rPr>
          <w:rFonts w:hint="eastAsia" w:ascii="宋体" w:hAnsi="宋体" w:cs="宋体"/>
          <w:sz w:val="24"/>
          <w:highlight w:val="none"/>
        </w:rPr>
        <w:t xml:space="preserve">账          号： </w:t>
      </w:r>
    </w:p>
    <w:p w14:paraId="45D01C05">
      <w:pPr>
        <w:spacing w:line="0" w:lineRule="atLeast"/>
        <w:ind w:left="420" w:firstLine="480"/>
        <w:jc w:val="left"/>
        <w:rPr>
          <w:sz w:val="24"/>
          <w:highlight w:val="none"/>
        </w:rPr>
      </w:pPr>
      <w:r>
        <w:rPr>
          <w:rFonts w:hint="eastAsia" w:ascii="宋体" w:hAnsi="宋体" w:cs="宋体"/>
          <w:sz w:val="24"/>
          <w:highlight w:val="none"/>
        </w:rPr>
        <w:t>日           期：________年____月____日</w:t>
      </w:r>
    </w:p>
    <w:p w14:paraId="62016606">
      <w:pPr>
        <w:spacing w:line="0" w:lineRule="atLeast"/>
        <w:ind w:firstLine="240"/>
        <w:jc w:val="center"/>
        <w:rPr>
          <w:sz w:val="24"/>
          <w:highlight w:val="none"/>
        </w:rPr>
      </w:pPr>
      <w:r>
        <w:rPr>
          <w:sz w:val="24"/>
          <w:highlight w:val="none"/>
        </w:rPr>
        <w:t> </w:t>
      </w:r>
    </w:p>
    <w:p w14:paraId="246F4C54">
      <w:pPr>
        <w:spacing w:line="0" w:lineRule="atLeast"/>
        <w:ind w:firstLine="240"/>
        <w:jc w:val="center"/>
        <w:rPr>
          <w:sz w:val="24"/>
          <w:highlight w:val="none"/>
        </w:rPr>
      </w:pPr>
      <w:r>
        <w:rPr>
          <w:sz w:val="24"/>
          <w:highlight w:val="none"/>
        </w:rPr>
        <w:t> </w:t>
      </w:r>
    </w:p>
    <w:p w14:paraId="60E2B0A3">
      <w:pPr>
        <w:spacing w:line="0" w:lineRule="atLeast"/>
        <w:ind w:firstLine="240"/>
        <w:jc w:val="center"/>
        <w:rPr>
          <w:sz w:val="24"/>
          <w:highlight w:val="none"/>
        </w:rPr>
      </w:pPr>
      <w:r>
        <w:rPr>
          <w:sz w:val="24"/>
          <w:highlight w:val="none"/>
        </w:rPr>
        <w:t> </w:t>
      </w:r>
    </w:p>
    <w:p w14:paraId="319AF9C4">
      <w:pPr>
        <w:spacing w:line="0" w:lineRule="atLeast"/>
        <w:ind w:firstLine="240"/>
        <w:jc w:val="center"/>
        <w:rPr>
          <w:sz w:val="24"/>
          <w:highlight w:val="none"/>
        </w:rPr>
      </w:pPr>
      <w:r>
        <w:rPr>
          <w:sz w:val="24"/>
          <w:highlight w:val="none"/>
        </w:rPr>
        <w:t> </w:t>
      </w:r>
    </w:p>
    <w:p w14:paraId="1D330D43">
      <w:pPr>
        <w:spacing w:line="0" w:lineRule="atLeast"/>
        <w:ind w:firstLine="240"/>
        <w:jc w:val="center"/>
        <w:rPr>
          <w:sz w:val="24"/>
          <w:highlight w:val="none"/>
        </w:rPr>
      </w:pPr>
      <w:r>
        <w:rPr>
          <w:sz w:val="24"/>
          <w:highlight w:val="none"/>
        </w:rPr>
        <w:t> </w:t>
      </w:r>
    </w:p>
    <w:p w14:paraId="061158C4">
      <w:pPr>
        <w:spacing w:line="0" w:lineRule="atLeast"/>
        <w:ind w:firstLine="240"/>
        <w:jc w:val="center"/>
        <w:rPr>
          <w:sz w:val="24"/>
          <w:highlight w:val="none"/>
        </w:rPr>
      </w:pPr>
    </w:p>
    <w:p w14:paraId="6C589FB6">
      <w:pPr>
        <w:spacing w:line="0" w:lineRule="atLeast"/>
        <w:ind w:firstLine="240"/>
        <w:jc w:val="center"/>
        <w:rPr>
          <w:sz w:val="24"/>
          <w:highlight w:val="none"/>
        </w:rPr>
      </w:pPr>
    </w:p>
    <w:p w14:paraId="70A3687E">
      <w:pPr>
        <w:spacing w:line="0" w:lineRule="atLeast"/>
        <w:ind w:firstLine="240"/>
        <w:jc w:val="center"/>
        <w:rPr>
          <w:sz w:val="24"/>
          <w:highlight w:val="none"/>
        </w:rPr>
      </w:pPr>
    </w:p>
    <w:p w14:paraId="6C4A2ED9">
      <w:pPr>
        <w:spacing w:line="0" w:lineRule="atLeast"/>
        <w:ind w:firstLine="240"/>
        <w:jc w:val="center"/>
        <w:rPr>
          <w:sz w:val="24"/>
          <w:highlight w:val="none"/>
        </w:rPr>
      </w:pPr>
    </w:p>
    <w:p w14:paraId="7DA8C96D">
      <w:pPr>
        <w:spacing w:line="0" w:lineRule="atLeast"/>
        <w:ind w:firstLine="240"/>
        <w:jc w:val="center"/>
        <w:rPr>
          <w:sz w:val="24"/>
          <w:highlight w:val="none"/>
        </w:rPr>
      </w:pPr>
    </w:p>
    <w:p w14:paraId="33F683D6">
      <w:pPr>
        <w:spacing w:line="0" w:lineRule="atLeast"/>
        <w:ind w:firstLine="240"/>
        <w:jc w:val="center"/>
        <w:rPr>
          <w:sz w:val="24"/>
          <w:highlight w:val="none"/>
        </w:rPr>
      </w:pPr>
    </w:p>
    <w:p w14:paraId="0605F4FD">
      <w:pPr>
        <w:spacing w:line="0" w:lineRule="atLeast"/>
        <w:ind w:firstLine="240"/>
        <w:jc w:val="center"/>
        <w:rPr>
          <w:sz w:val="24"/>
          <w:highlight w:val="none"/>
        </w:rPr>
      </w:pPr>
    </w:p>
    <w:p w14:paraId="2953ADCC">
      <w:pPr>
        <w:spacing w:line="0" w:lineRule="atLeast"/>
        <w:ind w:firstLine="240"/>
        <w:jc w:val="center"/>
        <w:rPr>
          <w:sz w:val="24"/>
          <w:highlight w:val="none"/>
        </w:rPr>
      </w:pPr>
    </w:p>
    <w:p w14:paraId="17E26A41">
      <w:pPr>
        <w:spacing w:line="0" w:lineRule="atLeast"/>
        <w:ind w:firstLine="240"/>
        <w:jc w:val="center"/>
        <w:rPr>
          <w:sz w:val="24"/>
          <w:highlight w:val="none"/>
        </w:rPr>
      </w:pPr>
    </w:p>
    <w:p w14:paraId="211486E7">
      <w:pPr>
        <w:spacing w:line="0" w:lineRule="atLeast"/>
        <w:ind w:firstLine="240"/>
        <w:jc w:val="center"/>
        <w:rPr>
          <w:sz w:val="24"/>
          <w:highlight w:val="none"/>
        </w:rPr>
      </w:pPr>
    </w:p>
    <w:p w14:paraId="66C6E0F5">
      <w:pPr>
        <w:spacing w:line="0" w:lineRule="atLeast"/>
        <w:ind w:firstLine="240"/>
        <w:jc w:val="center"/>
        <w:rPr>
          <w:sz w:val="24"/>
          <w:highlight w:val="none"/>
        </w:rPr>
      </w:pPr>
    </w:p>
    <w:p w14:paraId="21C4504A">
      <w:pPr>
        <w:spacing w:line="0" w:lineRule="atLeast"/>
        <w:ind w:firstLine="240"/>
        <w:jc w:val="center"/>
        <w:rPr>
          <w:sz w:val="24"/>
          <w:highlight w:val="none"/>
        </w:rPr>
      </w:pPr>
    </w:p>
    <w:p w14:paraId="107AC83A">
      <w:pPr>
        <w:spacing w:line="0" w:lineRule="atLeast"/>
        <w:ind w:firstLine="240"/>
        <w:jc w:val="center"/>
        <w:rPr>
          <w:sz w:val="24"/>
          <w:highlight w:val="none"/>
        </w:rPr>
      </w:pPr>
    </w:p>
    <w:p w14:paraId="4545503D">
      <w:pPr>
        <w:spacing w:line="0" w:lineRule="atLeast"/>
        <w:ind w:firstLine="240"/>
        <w:jc w:val="center"/>
        <w:rPr>
          <w:sz w:val="24"/>
          <w:highlight w:val="none"/>
        </w:rPr>
      </w:pPr>
    </w:p>
    <w:p w14:paraId="3A7424A0">
      <w:pPr>
        <w:spacing w:line="0" w:lineRule="atLeast"/>
        <w:jc w:val="center"/>
        <w:rPr>
          <w:sz w:val="24"/>
          <w:highlight w:val="none"/>
        </w:rPr>
      </w:pPr>
      <w:r>
        <w:rPr>
          <w:sz w:val="24"/>
          <w:highlight w:val="none"/>
        </w:rPr>
        <w:t> </w:t>
      </w:r>
    </w:p>
    <w:p w14:paraId="76C7103C">
      <w:pPr>
        <w:spacing w:line="0" w:lineRule="atLeast"/>
        <w:jc w:val="center"/>
        <w:rPr>
          <w:sz w:val="24"/>
          <w:highlight w:val="none"/>
        </w:rPr>
      </w:pPr>
      <w:r>
        <w:rPr>
          <w:rFonts w:hint="eastAsia" w:ascii="黑体" w:hAnsi="宋体" w:eastAsia="黑体" w:cs="黑体"/>
          <w:b/>
          <w:sz w:val="32"/>
          <w:szCs w:val="32"/>
          <w:highlight w:val="none"/>
        </w:rPr>
        <w:t>九、中小企业声明函（服务）（分包号：**）</w:t>
      </w:r>
    </w:p>
    <w:p w14:paraId="25D544E0">
      <w:pPr>
        <w:spacing w:line="500" w:lineRule="exact"/>
        <w:ind w:firstLine="480"/>
        <w:rPr>
          <w:sz w:val="24"/>
          <w:highlight w:val="none"/>
        </w:rPr>
      </w:pPr>
      <w:r>
        <w:rPr>
          <w:rFonts w:hint="eastAsia"/>
          <w:sz w:val="24"/>
          <w:highlight w:val="none"/>
        </w:rPr>
        <w:t>本公司（联合体）郑重声明，根据《政府采购促进中小企业发展管理办法》（财库﹝2020﹞46 号）的规定，本公司（联合体）参加盐城市政府采购中心组织的</w:t>
      </w:r>
      <w:r>
        <w:rPr>
          <w:rFonts w:hint="eastAsia"/>
          <w:i/>
          <w:iCs/>
          <w:sz w:val="24"/>
          <w:highlight w:val="none"/>
          <w:u w:val="single"/>
        </w:rPr>
        <w:t>（单位名称）</w:t>
      </w:r>
      <w:r>
        <w:rPr>
          <w:rFonts w:hint="eastAsia"/>
          <w:sz w:val="24"/>
          <w:szCs w:val="20"/>
          <w:highlight w:val="none"/>
        </w:rPr>
        <w:t>，</w:t>
      </w:r>
      <w:r>
        <w:rPr>
          <w:rFonts w:hint="eastAsia"/>
          <w:sz w:val="24"/>
          <w:highlight w:val="none"/>
        </w:rPr>
        <w:t>采购编号为</w:t>
      </w:r>
      <w:r>
        <w:rPr>
          <w:rFonts w:hint="eastAsia"/>
          <w:sz w:val="24"/>
          <w:highlight w:val="none"/>
          <w:u w:val="single"/>
        </w:rPr>
        <w:t xml:space="preserve">     </w:t>
      </w:r>
      <w:r>
        <w:rPr>
          <w:rFonts w:hint="eastAsia"/>
          <w:sz w:val="24"/>
          <w:highlight w:val="none"/>
        </w:rPr>
        <w:t>的</w:t>
      </w:r>
      <w:r>
        <w:rPr>
          <w:rFonts w:hint="eastAsia"/>
          <w:i/>
          <w:iCs/>
          <w:sz w:val="24"/>
          <w:highlight w:val="none"/>
          <w:u w:val="single"/>
        </w:rPr>
        <w:t>（项目名称）</w:t>
      </w:r>
      <w:r>
        <w:rPr>
          <w:rFonts w:hint="eastAsia"/>
          <w:sz w:val="24"/>
          <w:highlight w:val="none"/>
        </w:rPr>
        <w:t>的采购活动，服务全部由符合政策要求的中小企业承接。相关企业（含联合体中的中小企业、签订分包意向协议的中小企业）的具体情况如下：</w:t>
      </w:r>
    </w:p>
    <w:p w14:paraId="2B10C7C3">
      <w:pPr>
        <w:numPr>
          <w:ilvl w:val="0"/>
          <w:numId w:val="4"/>
        </w:numPr>
        <w:spacing w:line="500" w:lineRule="exact"/>
        <w:ind w:firstLine="480"/>
        <w:rPr>
          <w:sz w:val="24"/>
          <w:highlight w:val="none"/>
        </w:rPr>
      </w:pPr>
      <w:r>
        <w:rPr>
          <w:rFonts w:hint="eastAsia"/>
          <w:i/>
          <w:iCs/>
          <w:sz w:val="24"/>
          <w:highlight w:val="none"/>
          <w:u w:val="single"/>
        </w:rPr>
        <w:t>（标的名称）</w:t>
      </w:r>
      <w:r>
        <w:rPr>
          <w:rFonts w:hint="eastAsia"/>
          <w:sz w:val="24"/>
          <w:highlight w:val="none"/>
        </w:rPr>
        <w:t xml:space="preserve"> ，属于</w:t>
      </w:r>
      <w:r>
        <w:rPr>
          <w:rFonts w:hint="eastAsia"/>
          <w:i/>
          <w:iCs/>
          <w:sz w:val="24"/>
          <w:highlight w:val="none"/>
          <w:u w:val="single"/>
        </w:rPr>
        <w:t>（采购文件中明确的所属行业）</w:t>
      </w:r>
      <w:r>
        <w:rPr>
          <w:rFonts w:hint="eastAsia"/>
          <w:sz w:val="24"/>
          <w:highlight w:val="none"/>
        </w:rPr>
        <w:t>；承建（承接）企业为</w:t>
      </w:r>
      <w:r>
        <w:rPr>
          <w:rFonts w:hint="eastAsia"/>
          <w:i/>
          <w:iCs/>
          <w:sz w:val="24"/>
          <w:highlight w:val="none"/>
          <w:u w:val="single"/>
        </w:rPr>
        <w:t>（企业名称）</w:t>
      </w:r>
      <w:r>
        <w:rPr>
          <w:rFonts w:hint="eastAsia"/>
          <w:sz w:val="24"/>
          <w:highlight w:val="none"/>
        </w:rPr>
        <w:t>，从业人员</w:t>
      </w:r>
      <w:r>
        <w:rPr>
          <w:rFonts w:hint="eastAsia"/>
          <w:sz w:val="24"/>
          <w:highlight w:val="none"/>
          <w:u w:val="single"/>
        </w:rPr>
        <w:t xml:space="preserve">    </w:t>
      </w:r>
      <w:r>
        <w:rPr>
          <w:rFonts w:hint="eastAsia"/>
          <w:sz w:val="24"/>
          <w:highlight w:val="none"/>
        </w:rPr>
        <w:t>人，营业收入为</w:t>
      </w:r>
      <w:r>
        <w:rPr>
          <w:rFonts w:hint="eastAsia"/>
          <w:sz w:val="24"/>
          <w:highlight w:val="none"/>
          <w:u w:val="single"/>
        </w:rPr>
        <w:t xml:space="preserve">    </w:t>
      </w:r>
      <w:r>
        <w:rPr>
          <w:rFonts w:hint="eastAsia"/>
          <w:sz w:val="24"/>
          <w:highlight w:val="none"/>
        </w:rPr>
        <w:t>万元，资产总额为</w:t>
      </w:r>
      <w:r>
        <w:rPr>
          <w:rFonts w:hint="eastAsia"/>
          <w:sz w:val="24"/>
          <w:highlight w:val="none"/>
          <w:u w:val="single"/>
        </w:rPr>
        <w:t xml:space="preserve">    </w:t>
      </w:r>
      <w:r>
        <w:rPr>
          <w:rFonts w:hint="eastAsia"/>
          <w:sz w:val="24"/>
          <w:highlight w:val="none"/>
        </w:rPr>
        <w:t>万元，属于（</w:t>
      </w:r>
      <w:r>
        <w:rPr>
          <w:rFonts w:hint="eastAsia"/>
          <w:i/>
          <w:iCs/>
          <w:sz w:val="24"/>
          <w:highlight w:val="none"/>
          <w:u w:val="single"/>
        </w:rPr>
        <w:t>中型企业、小型企业、微型企业</w:t>
      </w:r>
      <w:r>
        <w:rPr>
          <w:rFonts w:hint="eastAsia"/>
          <w:sz w:val="24"/>
          <w:highlight w:val="none"/>
        </w:rPr>
        <w:t>）；</w:t>
      </w:r>
    </w:p>
    <w:p w14:paraId="39955D1C">
      <w:pPr>
        <w:numPr>
          <w:ilvl w:val="0"/>
          <w:numId w:val="4"/>
        </w:numPr>
        <w:spacing w:line="500" w:lineRule="exact"/>
        <w:ind w:firstLine="480"/>
        <w:rPr>
          <w:sz w:val="24"/>
          <w:highlight w:val="none"/>
        </w:rPr>
      </w:pPr>
      <w:r>
        <w:rPr>
          <w:rFonts w:hint="eastAsia"/>
          <w:i/>
          <w:iCs/>
          <w:sz w:val="24"/>
          <w:highlight w:val="none"/>
          <w:u w:val="single"/>
        </w:rPr>
        <w:t>（标的名称）</w:t>
      </w:r>
      <w:r>
        <w:rPr>
          <w:rFonts w:hint="eastAsia"/>
          <w:sz w:val="24"/>
          <w:highlight w:val="none"/>
        </w:rPr>
        <w:t xml:space="preserve"> ，属于</w:t>
      </w:r>
      <w:r>
        <w:rPr>
          <w:rFonts w:hint="eastAsia"/>
          <w:i/>
          <w:iCs/>
          <w:sz w:val="24"/>
          <w:highlight w:val="none"/>
          <w:u w:val="single"/>
        </w:rPr>
        <w:t>（采购文件中明确的所属行业）</w:t>
      </w:r>
      <w:r>
        <w:rPr>
          <w:rFonts w:hint="eastAsia"/>
          <w:sz w:val="24"/>
          <w:highlight w:val="none"/>
        </w:rPr>
        <w:t>；承建（承接）企业为</w:t>
      </w:r>
      <w:r>
        <w:rPr>
          <w:rFonts w:hint="eastAsia"/>
          <w:i/>
          <w:iCs/>
          <w:sz w:val="24"/>
          <w:highlight w:val="none"/>
          <w:u w:val="single"/>
        </w:rPr>
        <w:t>（企业名称）</w:t>
      </w:r>
      <w:r>
        <w:rPr>
          <w:rFonts w:hint="eastAsia"/>
          <w:sz w:val="24"/>
          <w:highlight w:val="none"/>
        </w:rPr>
        <w:t>，从业人员</w:t>
      </w:r>
      <w:r>
        <w:rPr>
          <w:rFonts w:hint="eastAsia"/>
          <w:sz w:val="24"/>
          <w:highlight w:val="none"/>
          <w:u w:val="single"/>
        </w:rPr>
        <w:t xml:space="preserve">    </w:t>
      </w:r>
      <w:r>
        <w:rPr>
          <w:rFonts w:hint="eastAsia"/>
          <w:sz w:val="24"/>
          <w:highlight w:val="none"/>
        </w:rPr>
        <w:t>人，营业收入为</w:t>
      </w:r>
      <w:r>
        <w:rPr>
          <w:rFonts w:hint="eastAsia"/>
          <w:sz w:val="24"/>
          <w:highlight w:val="none"/>
          <w:u w:val="single"/>
        </w:rPr>
        <w:t xml:space="preserve">    </w:t>
      </w:r>
      <w:r>
        <w:rPr>
          <w:rFonts w:hint="eastAsia"/>
          <w:sz w:val="24"/>
          <w:highlight w:val="none"/>
        </w:rPr>
        <w:t>万元，资产总额为</w:t>
      </w:r>
      <w:r>
        <w:rPr>
          <w:rFonts w:hint="eastAsia"/>
          <w:sz w:val="24"/>
          <w:highlight w:val="none"/>
          <w:u w:val="single"/>
        </w:rPr>
        <w:t xml:space="preserve">    </w:t>
      </w:r>
      <w:r>
        <w:rPr>
          <w:rFonts w:hint="eastAsia"/>
          <w:sz w:val="24"/>
          <w:highlight w:val="none"/>
        </w:rPr>
        <w:t>万元，属于</w:t>
      </w:r>
      <w:r>
        <w:rPr>
          <w:rFonts w:hint="eastAsia"/>
          <w:i/>
          <w:iCs/>
          <w:sz w:val="24"/>
          <w:highlight w:val="none"/>
          <w:u w:val="single"/>
        </w:rPr>
        <w:t>（中型企业、小型企业、微型企业）</w:t>
      </w:r>
      <w:r>
        <w:rPr>
          <w:rFonts w:hint="eastAsia"/>
          <w:sz w:val="24"/>
          <w:highlight w:val="none"/>
        </w:rPr>
        <w:t>；</w:t>
      </w:r>
    </w:p>
    <w:p w14:paraId="1B820DC8">
      <w:pPr>
        <w:spacing w:line="500" w:lineRule="exact"/>
        <w:ind w:firstLine="480"/>
        <w:rPr>
          <w:sz w:val="24"/>
          <w:highlight w:val="none"/>
        </w:rPr>
      </w:pPr>
      <w:r>
        <w:rPr>
          <w:rFonts w:hint="eastAsia"/>
          <w:sz w:val="24"/>
          <w:highlight w:val="none"/>
        </w:rPr>
        <w:t>……</w:t>
      </w:r>
    </w:p>
    <w:p w14:paraId="0F792596">
      <w:pPr>
        <w:spacing w:line="500" w:lineRule="exact"/>
        <w:ind w:firstLine="480"/>
        <w:rPr>
          <w:sz w:val="24"/>
          <w:highlight w:val="none"/>
        </w:rPr>
      </w:pPr>
      <w:r>
        <w:rPr>
          <w:rFonts w:hint="eastAsia"/>
          <w:sz w:val="24"/>
          <w:highlight w:val="none"/>
        </w:rPr>
        <w:t>以上企业，不属于大企业的分支机构，不存在控股股东为大企业的情形，也不存在与大企业的负责人为同一人的情形。</w:t>
      </w:r>
    </w:p>
    <w:p w14:paraId="21CD0B3A">
      <w:pPr>
        <w:spacing w:line="500" w:lineRule="exact"/>
        <w:ind w:firstLine="480"/>
        <w:rPr>
          <w:sz w:val="24"/>
          <w:highlight w:val="none"/>
        </w:rPr>
      </w:pPr>
      <w:r>
        <w:rPr>
          <w:rFonts w:hint="eastAsia"/>
          <w:sz w:val="24"/>
          <w:highlight w:val="none"/>
        </w:rPr>
        <w:t>本企业对上述声明内容的真实性负责。如有虚假，将依法承担相应责任。</w:t>
      </w:r>
    </w:p>
    <w:p w14:paraId="7AEB52BA">
      <w:pPr>
        <w:spacing w:line="0" w:lineRule="atLeast"/>
        <w:ind w:right="720"/>
        <w:rPr>
          <w:sz w:val="24"/>
          <w:highlight w:val="none"/>
        </w:rPr>
      </w:pPr>
      <w:r>
        <w:rPr>
          <w:sz w:val="24"/>
          <w:highlight w:val="none"/>
        </w:rPr>
        <w:t> </w:t>
      </w:r>
    </w:p>
    <w:p w14:paraId="54EBDCD3">
      <w:pPr>
        <w:spacing w:line="0" w:lineRule="atLeast"/>
        <w:ind w:right="180" w:firstLine="360"/>
        <w:jc w:val="right"/>
        <w:rPr>
          <w:sz w:val="24"/>
          <w:highlight w:val="none"/>
        </w:rPr>
      </w:pPr>
      <w:r>
        <w:rPr>
          <w:rFonts w:hint="eastAsia" w:ascii="宋体" w:hAnsi="宋体" w:cs="宋体"/>
          <w:sz w:val="24"/>
          <w:highlight w:val="none"/>
        </w:rPr>
        <w:t>企业名称（加盖CA电子公章）：</w:t>
      </w:r>
    </w:p>
    <w:p w14:paraId="591A8396">
      <w:pPr>
        <w:spacing w:line="0" w:lineRule="atLeast"/>
        <w:ind w:right="480" w:firstLine="5400"/>
        <w:rPr>
          <w:sz w:val="24"/>
          <w:highlight w:val="none"/>
        </w:rPr>
      </w:pPr>
      <w:r>
        <w:rPr>
          <w:rFonts w:hint="eastAsia" w:ascii="宋体" w:hAnsi="宋体" w:cs="宋体"/>
          <w:sz w:val="24"/>
          <w:highlight w:val="none"/>
        </w:rPr>
        <w:t>日  期：</w:t>
      </w:r>
    </w:p>
    <w:p w14:paraId="58D63D43">
      <w:pPr>
        <w:spacing w:line="0" w:lineRule="atLeast"/>
        <w:ind w:firstLine="240"/>
        <w:rPr>
          <w:sz w:val="24"/>
          <w:highlight w:val="none"/>
        </w:rPr>
      </w:pPr>
      <w:r>
        <w:rPr>
          <w:sz w:val="24"/>
          <w:highlight w:val="none"/>
        </w:rPr>
        <w:t> </w:t>
      </w:r>
    </w:p>
    <w:p w14:paraId="1B7D39D3">
      <w:pPr>
        <w:spacing w:line="0" w:lineRule="atLeast"/>
        <w:ind w:firstLine="480"/>
        <w:rPr>
          <w:sz w:val="24"/>
          <w:highlight w:val="none"/>
        </w:rPr>
      </w:pPr>
      <w:r>
        <w:rPr>
          <w:rFonts w:hint="eastAsia" w:ascii="宋体" w:hAnsi="宋体" w:cs="宋体"/>
          <w:sz w:val="24"/>
          <w:highlight w:val="none"/>
        </w:rPr>
        <w:t>备注1：从业人员、营业收入、资产总额填报上一年度数据，无上一年度数据的新成立企业可不填报。</w:t>
      </w:r>
    </w:p>
    <w:p w14:paraId="5BC53CB1">
      <w:pPr>
        <w:spacing w:line="0" w:lineRule="atLeast"/>
        <w:ind w:firstLine="480"/>
        <w:rPr>
          <w:sz w:val="24"/>
          <w:highlight w:val="none"/>
        </w:rPr>
      </w:pPr>
      <w:r>
        <w:rPr>
          <w:rFonts w:hint="eastAsia" w:ascii="宋体" w:hAnsi="宋体" w:cs="宋体"/>
          <w:sz w:val="24"/>
          <w:highlight w:val="none"/>
        </w:rPr>
        <w:t>备注2：供应商如不提供此声明函，价格将不做相应扣除（如项目全面面向中小企业，则资格审查不通过）。</w:t>
      </w:r>
    </w:p>
    <w:p w14:paraId="5D34A266">
      <w:pPr>
        <w:spacing w:line="0" w:lineRule="atLeast"/>
        <w:jc w:val="center"/>
        <w:rPr>
          <w:sz w:val="24"/>
          <w:highlight w:val="none"/>
        </w:rPr>
      </w:pPr>
      <w:r>
        <w:rPr>
          <w:rFonts w:hint="eastAsia" w:ascii="黑体" w:hAnsi="宋体" w:eastAsia="黑体" w:cs="黑体"/>
          <w:b/>
          <w:sz w:val="32"/>
          <w:szCs w:val="32"/>
          <w:highlight w:val="none"/>
        </w:rPr>
        <w:br w:type="page" w:clear="all"/>
      </w:r>
      <w:r>
        <w:rPr>
          <w:rFonts w:hint="eastAsia" w:ascii="黑体" w:hAnsi="宋体" w:eastAsia="黑体" w:cs="黑体"/>
          <w:b/>
          <w:sz w:val="32"/>
          <w:szCs w:val="32"/>
          <w:highlight w:val="none"/>
        </w:rPr>
        <w:t> 十、残疾人福利性单位声明函（分包号：**）</w:t>
      </w:r>
    </w:p>
    <w:p w14:paraId="12AC6606">
      <w:pPr>
        <w:spacing w:line="0" w:lineRule="atLeast"/>
        <w:ind w:firstLine="480"/>
        <w:rPr>
          <w:sz w:val="24"/>
          <w:highlight w:val="none"/>
        </w:rPr>
      </w:pPr>
      <w:r>
        <w:rPr>
          <w:rFonts w:hint="eastAsia" w:ascii="宋体" w:hAnsi="宋体" w:cs="宋体"/>
          <w:sz w:val="24"/>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highlight w:val="none"/>
          <w:u w:val="single"/>
        </w:rPr>
        <w:t xml:space="preserve">       </w:t>
      </w:r>
      <w:r>
        <w:rPr>
          <w:rFonts w:hint="eastAsia" w:ascii="宋体" w:hAnsi="宋体" w:cs="宋体"/>
          <w:sz w:val="24"/>
          <w:highlight w:val="none"/>
        </w:rPr>
        <w:t>项目（分包号：**）采购活动由本单位提供服务。</w:t>
      </w:r>
    </w:p>
    <w:p w14:paraId="50A96227">
      <w:pPr>
        <w:spacing w:line="0" w:lineRule="atLeast"/>
        <w:ind w:firstLine="480"/>
        <w:rPr>
          <w:sz w:val="24"/>
          <w:highlight w:val="none"/>
        </w:rPr>
      </w:pPr>
      <w:r>
        <w:rPr>
          <w:rFonts w:hint="eastAsia" w:ascii="宋体" w:hAnsi="宋体" w:cs="宋体"/>
          <w:sz w:val="24"/>
          <w:highlight w:val="none"/>
        </w:rPr>
        <w:t>本单位对上述声明的真实性负责。如有虚假，将依法承担相应责任。</w:t>
      </w:r>
    </w:p>
    <w:p w14:paraId="5AAFCDD2">
      <w:pPr>
        <w:spacing w:line="0" w:lineRule="atLeast"/>
        <w:ind w:firstLine="480"/>
        <w:rPr>
          <w:sz w:val="24"/>
          <w:highlight w:val="none"/>
        </w:rPr>
      </w:pPr>
      <w:r>
        <w:rPr>
          <w:sz w:val="24"/>
          <w:highlight w:val="none"/>
        </w:rPr>
        <w:t> </w:t>
      </w:r>
    </w:p>
    <w:p w14:paraId="4B9314E8">
      <w:pPr>
        <w:spacing w:line="0" w:lineRule="atLeast"/>
        <w:ind w:firstLine="480"/>
        <w:rPr>
          <w:sz w:val="24"/>
          <w:highlight w:val="none"/>
        </w:rPr>
      </w:pPr>
      <w:r>
        <w:rPr>
          <w:rFonts w:hint="eastAsia" w:ascii="宋体" w:hAnsi="宋体" w:cs="宋体"/>
          <w:sz w:val="24"/>
          <w:highlight w:val="none"/>
        </w:rPr>
        <w:t>备注：1、供应商如不提供此声明函，价格将不做相应扣除（如项目全面面向中小企业，则资格审查不通过）。</w:t>
      </w:r>
    </w:p>
    <w:p w14:paraId="39CD2923">
      <w:pPr>
        <w:spacing w:line="0" w:lineRule="atLeast"/>
        <w:ind w:firstLine="480"/>
        <w:rPr>
          <w:sz w:val="24"/>
          <w:highlight w:val="none"/>
        </w:rPr>
      </w:pPr>
      <w:r>
        <w:rPr>
          <w:rFonts w:hint="eastAsia" w:ascii="宋体" w:hAnsi="宋体" w:cs="宋体"/>
          <w:sz w:val="24"/>
          <w:highlight w:val="none"/>
        </w:rPr>
        <w:t>2、中标人为残疾人福利单位的，此声明函将随中标结果同时公告，接受社会监督</w:t>
      </w:r>
    </w:p>
    <w:p w14:paraId="72A4E5D8">
      <w:pPr>
        <w:spacing w:line="0" w:lineRule="atLeast"/>
        <w:ind w:firstLine="624"/>
        <w:rPr>
          <w:sz w:val="24"/>
          <w:highlight w:val="none"/>
        </w:rPr>
      </w:pPr>
      <w:r>
        <w:rPr>
          <w:sz w:val="24"/>
          <w:highlight w:val="none"/>
        </w:rPr>
        <w:t> </w:t>
      </w:r>
    </w:p>
    <w:p w14:paraId="6E0ED25F">
      <w:pPr>
        <w:tabs>
          <w:tab w:val="left" w:pos="4864"/>
        </w:tabs>
        <w:spacing w:line="0" w:lineRule="atLeast"/>
        <w:ind w:right="1560" w:firstLine="624"/>
        <w:jc w:val="center"/>
        <w:rPr>
          <w:sz w:val="24"/>
          <w:highlight w:val="none"/>
        </w:rPr>
      </w:pPr>
      <w:r>
        <w:rPr>
          <w:rFonts w:ascii="仿宋_GB2312" w:eastAsia="仿宋_GB2312" w:cs="仿宋_GB2312"/>
          <w:sz w:val="30"/>
          <w:szCs w:val="30"/>
          <w:highlight w:val="none"/>
        </w:rPr>
        <w:t xml:space="preserve">             </w:t>
      </w:r>
      <w:r>
        <w:rPr>
          <w:rFonts w:hint="eastAsia" w:ascii="宋体" w:hAnsi="宋体" w:cs="宋体"/>
          <w:sz w:val="24"/>
          <w:highlight w:val="none"/>
        </w:rPr>
        <w:t>          供应商全称（加盖CA电子公章）：</w:t>
      </w:r>
    </w:p>
    <w:p w14:paraId="54240B98">
      <w:pPr>
        <w:tabs>
          <w:tab w:val="left" w:pos="4864"/>
        </w:tabs>
        <w:spacing w:line="0" w:lineRule="atLeast"/>
        <w:ind w:right="1560" w:firstLine="480"/>
        <w:jc w:val="center"/>
        <w:rPr>
          <w:sz w:val="24"/>
          <w:highlight w:val="none"/>
        </w:rPr>
      </w:pPr>
      <w:r>
        <w:rPr>
          <w:rFonts w:hint="eastAsia" w:ascii="宋体" w:hAnsi="宋体" w:cs="宋体"/>
          <w:sz w:val="24"/>
          <w:highlight w:val="none"/>
        </w:rPr>
        <w:t>        日  期：</w:t>
      </w:r>
    </w:p>
    <w:p w14:paraId="7145743F">
      <w:pPr>
        <w:spacing w:line="0" w:lineRule="atLeast"/>
        <w:jc w:val="center"/>
        <w:rPr>
          <w:sz w:val="24"/>
          <w:highlight w:val="none"/>
        </w:rPr>
      </w:pPr>
      <w:r>
        <w:rPr>
          <w:sz w:val="24"/>
          <w:highlight w:val="none"/>
        </w:rPr>
        <w:t> </w:t>
      </w:r>
    </w:p>
    <w:p w14:paraId="2FAC4725">
      <w:pPr>
        <w:spacing w:line="0" w:lineRule="atLeast"/>
        <w:jc w:val="center"/>
        <w:rPr>
          <w:sz w:val="24"/>
          <w:highlight w:val="none"/>
        </w:rPr>
      </w:pPr>
      <w:r>
        <w:rPr>
          <w:sz w:val="24"/>
          <w:highlight w:val="none"/>
        </w:rPr>
        <w:t> </w:t>
      </w:r>
    </w:p>
    <w:p w14:paraId="2973E331">
      <w:pPr>
        <w:spacing w:line="0" w:lineRule="atLeast"/>
        <w:jc w:val="center"/>
        <w:rPr>
          <w:sz w:val="24"/>
          <w:highlight w:val="none"/>
        </w:rPr>
      </w:pPr>
      <w:r>
        <w:rPr>
          <w:sz w:val="24"/>
          <w:highlight w:val="none"/>
        </w:rPr>
        <w:t> </w:t>
      </w:r>
    </w:p>
    <w:p w14:paraId="3FF49FC0">
      <w:pPr>
        <w:spacing w:line="0" w:lineRule="atLeast"/>
        <w:jc w:val="center"/>
        <w:rPr>
          <w:sz w:val="24"/>
          <w:highlight w:val="none"/>
        </w:rPr>
      </w:pPr>
      <w:r>
        <w:rPr>
          <w:sz w:val="24"/>
          <w:highlight w:val="none"/>
        </w:rPr>
        <w:t> </w:t>
      </w:r>
    </w:p>
    <w:p w14:paraId="05434F66">
      <w:pPr>
        <w:spacing w:line="0" w:lineRule="atLeast"/>
        <w:jc w:val="center"/>
        <w:rPr>
          <w:sz w:val="24"/>
          <w:highlight w:val="none"/>
        </w:rPr>
      </w:pPr>
      <w:r>
        <w:rPr>
          <w:sz w:val="24"/>
          <w:highlight w:val="none"/>
        </w:rPr>
        <w:t> </w:t>
      </w:r>
    </w:p>
    <w:p w14:paraId="526FD8AB">
      <w:pPr>
        <w:spacing w:line="0" w:lineRule="atLeast"/>
        <w:jc w:val="center"/>
        <w:rPr>
          <w:sz w:val="24"/>
          <w:highlight w:val="none"/>
        </w:rPr>
      </w:pPr>
      <w:r>
        <w:rPr>
          <w:sz w:val="24"/>
          <w:highlight w:val="none"/>
        </w:rPr>
        <w:t> </w:t>
      </w:r>
    </w:p>
    <w:p w14:paraId="47BC3661">
      <w:pPr>
        <w:spacing w:line="0" w:lineRule="atLeast"/>
        <w:jc w:val="center"/>
        <w:rPr>
          <w:sz w:val="24"/>
          <w:highlight w:val="none"/>
        </w:rPr>
      </w:pPr>
      <w:r>
        <w:rPr>
          <w:sz w:val="24"/>
          <w:highlight w:val="none"/>
        </w:rPr>
        <w:t> </w:t>
      </w:r>
    </w:p>
    <w:p w14:paraId="56DD0B83">
      <w:pPr>
        <w:spacing w:line="0" w:lineRule="atLeast"/>
        <w:jc w:val="center"/>
        <w:rPr>
          <w:sz w:val="24"/>
          <w:highlight w:val="none"/>
        </w:rPr>
      </w:pPr>
      <w:r>
        <w:rPr>
          <w:sz w:val="24"/>
          <w:highlight w:val="none"/>
        </w:rPr>
        <w:t> </w:t>
      </w:r>
    </w:p>
    <w:p w14:paraId="00A94260">
      <w:pPr>
        <w:spacing w:line="0" w:lineRule="atLeast"/>
        <w:jc w:val="center"/>
        <w:rPr>
          <w:sz w:val="24"/>
          <w:highlight w:val="none"/>
        </w:rPr>
      </w:pPr>
    </w:p>
    <w:p w14:paraId="2DDA262F">
      <w:pPr>
        <w:spacing w:line="0" w:lineRule="atLeast"/>
        <w:jc w:val="center"/>
        <w:rPr>
          <w:sz w:val="24"/>
          <w:highlight w:val="none"/>
        </w:rPr>
      </w:pPr>
    </w:p>
    <w:p w14:paraId="5004DD17">
      <w:pPr>
        <w:spacing w:line="0" w:lineRule="atLeast"/>
        <w:jc w:val="center"/>
        <w:rPr>
          <w:sz w:val="24"/>
          <w:highlight w:val="none"/>
        </w:rPr>
      </w:pPr>
    </w:p>
    <w:p w14:paraId="6DBB3F76">
      <w:pPr>
        <w:spacing w:line="0" w:lineRule="atLeast"/>
        <w:jc w:val="center"/>
        <w:rPr>
          <w:sz w:val="24"/>
          <w:highlight w:val="none"/>
        </w:rPr>
      </w:pPr>
    </w:p>
    <w:p w14:paraId="7708A311">
      <w:pPr>
        <w:spacing w:line="0" w:lineRule="atLeast"/>
        <w:jc w:val="center"/>
        <w:rPr>
          <w:sz w:val="24"/>
          <w:highlight w:val="none"/>
        </w:rPr>
      </w:pPr>
    </w:p>
    <w:p w14:paraId="1A32B281">
      <w:pPr>
        <w:spacing w:line="0" w:lineRule="atLeast"/>
        <w:jc w:val="center"/>
        <w:rPr>
          <w:sz w:val="24"/>
          <w:highlight w:val="none"/>
        </w:rPr>
      </w:pPr>
    </w:p>
    <w:p w14:paraId="296DC681">
      <w:pPr>
        <w:spacing w:line="0" w:lineRule="atLeast"/>
        <w:jc w:val="center"/>
        <w:rPr>
          <w:sz w:val="24"/>
          <w:highlight w:val="none"/>
        </w:rPr>
      </w:pPr>
    </w:p>
    <w:p w14:paraId="316C5CBA">
      <w:pPr>
        <w:spacing w:line="0" w:lineRule="atLeast"/>
        <w:jc w:val="center"/>
        <w:rPr>
          <w:sz w:val="24"/>
          <w:highlight w:val="none"/>
        </w:rPr>
      </w:pPr>
    </w:p>
    <w:p w14:paraId="452A6F41">
      <w:pPr>
        <w:spacing w:line="0" w:lineRule="atLeast"/>
        <w:jc w:val="center"/>
        <w:rPr>
          <w:sz w:val="24"/>
          <w:highlight w:val="none"/>
        </w:rPr>
      </w:pPr>
    </w:p>
    <w:p w14:paraId="15B4EFDF">
      <w:pPr>
        <w:spacing w:line="0" w:lineRule="atLeast"/>
        <w:jc w:val="center"/>
        <w:rPr>
          <w:sz w:val="24"/>
          <w:highlight w:val="none"/>
        </w:rPr>
      </w:pPr>
    </w:p>
    <w:p w14:paraId="0433B75D">
      <w:pPr>
        <w:spacing w:line="0" w:lineRule="atLeast"/>
        <w:jc w:val="center"/>
        <w:rPr>
          <w:sz w:val="24"/>
          <w:highlight w:val="none"/>
        </w:rPr>
      </w:pPr>
    </w:p>
    <w:p w14:paraId="1A01118C">
      <w:pPr>
        <w:spacing w:line="0" w:lineRule="atLeast"/>
        <w:jc w:val="center"/>
        <w:rPr>
          <w:sz w:val="24"/>
          <w:highlight w:val="none"/>
        </w:rPr>
      </w:pPr>
    </w:p>
    <w:p w14:paraId="1782EB33">
      <w:pPr>
        <w:spacing w:line="0" w:lineRule="atLeast"/>
        <w:jc w:val="center"/>
        <w:rPr>
          <w:sz w:val="24"/>
          <w:highlight w:val="none"/>
        </w:rPr>
      </w:pPr>
    </w:p>
    <w:p w14:paraId="6A1FC906">
      <w:pPr>
        <w:spacing w:line="0" w:lineRule="atLeast"/>
        <w:jc w:val="center"/>
        <w:rPr>
          <w:sz w:val="24"/>
          <w:highlight w:val="none"/>
        </w:rPr>
      </w:pPr>
    </w:p>
    <w:p w14:paraId="4F5AAF39">
      <w:pPr>
        <w:spacing w:line="0" w:lineRule="atLeast"/>
        <w:jc w:val="center"/>
        <w:rPr>
          <w:sz w:val="24"/>
          <w:highlight w:val="none"/>
        </w:rPr>
      </w:pPr>
    </w:p>
    <w:p w14:paraId="681855D4">
      <w:pPr>
        <w:spacing w:line="0" w:lineRule="atLeast"/>
        <w:jc w:val="center"/>
        <w:rPr>
          <w:sz w:val="24"/>
          <w:highlight w:val="none"/>
        </w:rPr>
      </w:pPr>
    </w:p>
    <w:p w14:paraId="496F9A13">
      <w:pPr>
        <w:spacing w:line="0" w:lineRule="atLeast"/>
        <w:jc w:val="center"/>
        <w:rPr>
          <w:sz w:val="24"/>
          <w:highlight w:val="none"/>
        </w:rPr>
      </w:pPr>
    </w:p>
    <w:p w14:paraId="2C080568">
      <w:pPr>
        <w:spacing w:line="0" w:lineRule="atLeast"/>
        <w:jc w:val="center"/>
        <w:rPr>
          <w:sz w:val="24"/>
          <w:highlight w:val="none"/>
        </w:rPr>
      </w:pPr>
    </w:p>
    <w:p w14:paraId="72341768">
      <w:pPr>
        <w:spacing w:line="0" w:lineRule="atLeast"/>
        <w:jc w:val="center"/>
        <w:rPr>
          <w:sz w:val="24"/>
          <w:highlight w:val="none"/>
        </w:rPr>
      </w:pPr>
    </w:p>
    <w:p w14:paraId="65545D3C">
      <w:pPr>
        <w:spacing w:line="0" w:lineRule="atLeast"/>
        <w:jc w:val="center"/>
        <w:rPr>
          <w:sz w:val="24"/>
          <w:highlight w:val="none"/>
        </w:rPr>
      </w:pPr>
    </w:p>
    <w:p w14:paraId="638063E5">
      <w:pPr>
        <w:spacing w:line="0" w:lineRule="atLeast"/>
        <w:jc w:val="center"/>
        <w:rPr>
          <w:sz w:val="24"/>
          <w:highlight w:val="none"/>
        </w:rPr>
      </w:pPr>
      <w:r>
        <w:rPr>
          <w:sz w:val="24"/>
          <w:highlight w:val="none"/>
        </w:rPr>
        <w:t> </w:t>
      </w:r>
    </w:p>
    <w:p w14:paraId="4ACE4A94">
      <w:pPr>
        <w:spacing w:line="0" w:lineRule="atLeast"/>
        <w:jc w:val="center"/>
        <w:rPr>
          <w:sz w:val="24"/>
          <w:highlight w:val="none"/>
        </w:rPr>
      </w:pPr>
    </w:p>
    <w:p w14:paraId="5651BEEF">
      <w:pPr>
        <w:spacing w:line="0" w:lineRule="atLeast"/>
        <w:jc w:val="center"/>
        <w:rPr>
          <w:sz w:val="24"/>
          <w:highlight w:val="none"/>
        </w:rPr>
      </w:pPr>
    </w:p>
    <w:p w14:paraId="358B8083">
      <w:pPr>
        <w:spacing w:line="0" w:lineRule="atLeast"/>
        <w:jc w:val="center"/>
        <w:rPr>
          <w:sz w:val="24"/>
          <w:highlight w:val="none"/>
        </w:rPr>
      </w:pPr>
      <w:r>
        <w:rPr>
          <w:sz w:val="24"/>
          <w:highlight w:val="none"/>
        </w:rPr>
        <w:t> </w:t>
      </w:r>
    </w:p>
    <w:p w14:paraId="5E7125B0">
      <w:pPr>
        <w:spacing w:line="0" w:lineRule="atLeast"/>
        <w:jc w:val="center"/>
        <w:rPr>
          <w:sz w:val="24"/>
          <w:highlight w:val="none"/>
        </w:rPr>
      </w:pPr>
      <w:r>
        <w:rPr>
          <w:sz w:val="24"/>
          <w:highlight w:val="none"/>
        </w:rPr>
        <w:t> </w:t>
      </w:r>
    </w:p>
    <w:p w14:paraId="09BC14FC">
      <w:pPr>
        <w:spacing w:line="0" w:lineRule="atLeast"/>
        <w:jc w:val="center"/>
        <w:rPr>
          <w:sz w:val="24"/>
          <w:highlight w:val="none"/>
        </w:rPr>
      </w:pPr>
      <w:r>
        <w:rPr>
          <w:sz w:val="24"/>
          <w:highlight w:val="none"/>
        </w:rPr>
        <w:t> </w:t>
      </w:r>
    </w:p>
    <w:p w14:paraId="776905E6">
      <w:pPr>
        <w:jc w:val="center"/>
        <w:rPr>
          <w:sz w:val="24"/>
          <w:highlight w:val="none"/>
        </w:rPr>
      </w:pPr>
      <w:r>
        <w:rPr>
          <w:rFonts w:ascii="黑体" w:hAnsi="宋体" w:eastAsia="黑体" w:cs="黑体"/>
          <w:b/>
          <w:bCs/>
          <w:color w:val="FF0000"/>
          <w:sz w:val="32"/>
          <w:szCs w:val="32"/>
          <w:highlight w:val="none"/>
        </w:rPr>
        <w:t>十一、 关于符合本国产品标准的声明函（采购包号：**）</w:t>
      </w:r>
    </w:p>
    <w:p w14:paraId="3D48EB6C">
      <w:pPr>
        <w:ind w:firstLine="420"/>
        <w:rPr>
          <w:sz w:val="24"/>
          <w:highlight w:val="none"/>
        </w:rPr>
      </w:pPr>
      <w:r>
        <w:rPr>
          <w:rFonts w:ascii="Arial" w:hAnsi="Arial" w:cs="Arial"/>
          <w:color w:val="FF0000"/>
          <w:sz w:val="24"/>
          <w:highlight w:val="none"/>
        </w:rPr>
        <w:t> </w:t>
      </w:r>
    </w:p>
    <w:p w14:paraId="311B4E85">
      <w:pPr>
        <w:ind w:firstLine="420"/>
        <w:rPr>
          <w:b/>
          <w:bCs/>
          <w:sz w:val="24"/>
          <w:highlight w:val="none"/>
        </w:rPr>
      </w:pPr>
      <w:r>
        <w:rPr>
          <w:rFonts w:ascii="宋体" w:hAnsi="宋体" w:cs="宋体"/>
          <w:b/>
          <w:bCs/>
          <w:color w:val="FF0000"/>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5A8AFE73">
      <w:pPr>
        <w:spacing w:before="30" w:after="30"/>
        <w:ind w:firstLine="420"/>
        <w:rPr>
          <w:b/>
          <w:bCs/>
          <w:sz w:val="24"/>
          <w:highlight w:val="none"/>
        </w:rPr>
      </w:pPr>
      <w:r>
        <w:rPr>
          <w:rFonts w:ascii="宋体" w:hAnsi="宋体" w:cs="宋体"/>
          <w:b/>
          <w:bCs/>
          <w:color w:val="FF0000"/>
          <w:sz w:val="24"/>
          <w:highlight w:val="none"/>
          <w:shd w:val="clear" w:color="auto" w:fill="FFFFFF"/>
        </w:rPr>
        <w:t>1.</w:t>
      </w:r>
      <w:r>
        <w:rPr>
          <w:rFonts w:ascii="宋体" w:hAnsi="宋体" w:cs="宋体"/>
          <w:b/>
          <w:bCs/>
          <w:color w:val="FF0000"/>
          <w:sz w:val="24"/>
          <w:highlight w:val="none"/>
          <w:u w:val="single"/>
          <w:shd w:val="clear" w:color="auto" w:fill="FFFFFF"/>
        </w:rPr>
        <w:t>（产品名称1）</w:t>
      </w:r>
      <w:r>
        <w:rPr>
          <w:rFonts w:ascii="宋体" w:hAnsi="宋体" w:cs="宋体"/>
          <w:b/>
          <w:bCs/>
          <w:color w:val="FF0000"/>
          <w:sz w:val="24"/>
          <w:highlight w:val="none"/>
          <w:shd w:val="clear" w:color="auto" w:fill="FFFFFF"/>
          <w:vertAlign w:val="superscript"/>
        </w:rPr>
        <w:t>1</w:t>
      </w:r>
      <w:r>
        <w:rPr>
          <w:rFonts w:ascii="宋体" w:hAnsi="宋体" w:cs="宋体"/>
          <w:b/>
          <w:bCs/>
          <w:color w:val="FF0000"/>
          <w:sz w:val="24"/>
          <w:highlight w:val="none"/>
          <w:shd w:val="clear" w:color="auto" w:fill="FFFFFF"/>
        </w:rPr>
        <w:t>，生产厂为</w:t>
      </w:r>
      <w:r>
        <w:rPr>
          <w:rFonts w:ascii="宋体" w:hAnsi="宋体" w:cs="宋体"/>
          <w:b/>
          <w:bCs/>
          <w:color w:val="FF0000"/>
          <w:sz w:val="24"/>
          <w:highlight w:val="none"/>
          <w:u w:val="single"/>
          <w:shd w:val="clear" w:color="auto" w:fill="FFFFFF"/>
        </w:rPr>
        <w:t>（厂名）</w:t>
      </w:r>
      <w:r>
        <w:rPr>
          <w:rFonts w:ascii="宋体" w:hAnsi="宋体" w:cs="宋体"/>
          <w:b/>
          <w:bCs/>
          <w:color w:val="FF0000"/>
          <w:sz w:val="24"/>
          <w:highlight w:val="none"/>
          <w:shd w:val="clear" w:color="auto" w:fill="FFFFFF"/>
          <w:vertAlign w:val="superscript"/>
        </w:rPr>
        <w:t>2</w:t>
      </w:r>
      <w:r>
        <w:rPr>
          <w:rFonts w:ascii="宋体" w:hAnsi="宋体" w:cs="宋体"/>
          <w:b/>
          <w:bCs/>
          <w:color w:val="FF0000"/>
          <w:sz w:val="24"/>
          <w:highlight w:val="none"/>
          <w:shd w:val="clear" w:color="auto" w:fill="FFFFFF"/>
        </w:rPr>
        <w:t>，厂址为</w:t>
      </w:r>
      <w:r>
        <w:rPr>
          <w:rFonts w:ascii="宋体" w:hAnsi="宋体" w:cs="宋体"/>
          <w:b/>
          <w:bCs/>
          <w:color w:val="FF0000"/>
          <w:sz w:val="24"/>
          <w:highlight w:val="none"/>
          <w:u w:val="single"/>
          <w:shd w:val="clear" w:color="auto" w:fill="FFFFFF"/>
        </w:rPr>
        <w:t>（生产厂址）</w:t>
      </w:r>
      <w:r>
        <w:rPr>
          <w:rFonts w:ascii="宋体" w:hAnsi="宋体" w:cs="宋体"/>
          <w:b/>
          <w:bCs/>
          <w:color w:val="FF0000"/>
          <w:sz w:val="24"/>
          <w:highlight w:val="none"/>
          <w:shd w:val="clear" w:color="auto" w:fill="FFFFFF"/>
        </w:rPr>
        <w:t>。</w:t>
      </w:r>
      <w:r>
        <w:rPr>
          <w:rFonts w:ascii="宋体" w:hAnsi="宋体" w:cs="宋体"/>
          <w:b/>
          <w:bCs/>
          <w:strike/>
          <w:color w:val="FF0000"/>
          <w:sz w:val="24"/>
          <w:highlight w:val="none"/>
          <w:u w:val="single"/>
          <w:shd w:val="clear" w:color="auto" w:fill="FFFFFF"/>
        </w:rPr>
        <w:t> （产品名称1）</w:t>
      </w:r>
      <w:r>
        <w:rPr>
          <w:rFonts w:ascii="宋体" w:hAnsi="宋体" w:cs="宋体"/>
          <w:b/>
          <w:bCs/>
          <w:color w:val="FF0000"/>
          <w:sz w:val="24"/>
          <w:highlight w:val="none"/>
          <w:u w:val="single"/>
          <w:shd w:val="clear" w:color="auto" w:fill="FFFFFF"/>
        </w:rPr>
        <w:t> </w:t>
      </w:r>
      <w:r>
        <w:rPr>
          <w:rFonts w:ascii="宋体" w:hAnsi="宋体" w:cs="宋体"/>
          <w:b/>
          <w:bCs/>
          <w:color w:val="FF0000"/>
          <w:sz w:val="24"/>
          <w:highlight w:val="none"/>
          <w:shd w:val="clear" w:color="auto" w:fill="FFFFFF"/>
        </w:rPr>
        <w:t>的中国境内生产的组件成本占比≥</w:t>
      </w:r>
      <w:r>
        <w:rPr>
          <w:rFonts w:ascii="宋体" w:hAnsi="宋体" w:cs="宋体"/>
          <w:b/>
          <w:bCs/>
          <w:strike/>
          <w:color w:val="FF0000"/>
          <w:sz w:val="24"/>
          <w:highlight w:val="none"/>
          <w:u w:val="single"/>
          <w:shd w:val="clear" w:color="auto" w:fill="FFFFFF"/>
        </w:rPr>
        <w:t>（规定比例）</w:t>
      </w:r>
      <w:r>
        <w:rPr>
          <w:rFonts w:ascii="宋体" w:hAnsi="宋体" w:cs="宋体"/>
          <w:b/>
          <w:bCs/>
          <w:strike/>
          <w:color w:val="FF0000"/>
          <w:sz w:val="24"/>
          <w:highlight w:val="none"/>
          <w:shd w:val="clear" w:color="auto" w:fill="FFFFFF"/>
          <w:vertAlign w:val="superscript"/>
        </w:rPr>
        <w:t>3</w:t>
      </w:r>
      <w:r>
        <w:rPr>
          <w:rFonts w:ascii="宋体" w:hAnsi="宋体" w:cs="宋体"/>
          <w:b/>
          <w:bCs/>
          <w:color w:val="FF0000"/>
          <w:sz w:val="24"/>
          <w:highlight w:val="none"/>
          <w:shd w:val="clear" w:color="auto" w:fill="FFFFFF"/>
        </w:rPr>
        <w:t>。</w:t>
      </w:r>
      <w:r>
        <w:rPr>
          <w:rFonts w:ascii="宋体" w:hAnsi="宋体" w:cs="宋体"/>
          <w:b/>
          <w:bCs/>
          <w:strike/>
          <w:color w:val="FF0000"/>
          <w:sz w:val="24"/>
          <w:highlight w:val="none"/>
          <w:u w:val="single"/>
          <w:shd w:val="clear" w:color="auto" w:fill="FFFFFF"/>
        </w:rPr>
        <w:t>（产品名称1）</w:t>
      </w:r>
      <w:r>
        <w:rPr>
          <w:rFonts w:ascii="宋体" w:hAnsi="宋体" w:cs="宋体"/>
          <w:b/>
          <w:bCs/>
          <w:color w:val="FF0000"/>
          <w:sz w:val="24"/>
          <w:highlight w:val="none"/>
          <w:shd w:val="clear" w:color="auto" w:fill="FFFFFF"/>
        </w:rPr>
        <w:t>的</w:t>
      </w:r>
      <w:r>
        <w:rPr>
          <w:rFonts w:ascii="宋体" w:hAnsi="宋体" w:cs="宋体"/>
          <w:b/>
          <w:bCs/>
          <w:strike/>
          <w:color w:val="FF0000"/>
          <w:sz w:val="24"/>
          <w:highlight w:val="none"/>
          <w:u w:val="single"/>
          <w:shd w:val="clear" w:color="auto" w:fill="FFFFFF"/>
        </w:rPr>
        <w:t>（关键组件）</w:t>
      </w:r>
      <w:r>
        <w:rPr>
          <w:rFonts w:ascii="宋体" w:hAnsi="宋体" w:cs="宋体"/>
          <w:b/>
          <w:bCs/>
          <w:strike/>
          <w:color w:val="FF0000"/>
          <w:sz w:val="24"/>
          <w:highlight w:val="none"/>
          <w:shd w:val="clear" w:color="auto" w:fill="FFFFFF"/>
          <w:vertAlign w:val="superscript"/>
        </w:rPr>
        <w:t>4</w:t>
      </w:r>
      <w:r>
        <w:rPr>
          <w:rFonts w:ascii="宋体" w:hAnsi="宋体" w:cs="宋体"/>
          <w:b/>
          <w:bCs/>
          <w:color w:val="FF0000"/>
          <w:sz w:val="24"/>
          <w:highlight w:val="none"/>
          <w:shd w:val="clear" w:color="auto" w:fill="FFFFFF"/>
        </w:rPr>
        <w:t>在中国境内生产。</w:t>
      </w:r>
      <w:r>
        <w:rPr>
          <w:rFonts w:ascii="宋体" w:hAnsi="宋体" w:cs="宋体"/>
          <w:b/>
          <w:bCs/>
          <w:strike/>
          <w:color w:val="FF0000"/>
          <w:sz w:val="24"/>
          <w:highlight w:val="none"/>
          <w:u w:val="single"/>
          <w:shd w:val="clear" w:color="auto" w:fill="FFFFFF"/>
        </w:rPr>
        <w:t>（产品名称1）</w:t>
      </w:r>
      <w:r>
        <w:rPr>
          <w:rFonts w:ascii="宋体" w:hAnsi="宋体" w:cs="宋体"/>
          <w:b/>
          <w:bCs/>
          <w:color w:val="FF0000"/>
          <w:sz w:val="24"/>
          <w:highlight w:val="none"/>
          <w:shd w:val="clear" w:color="auto" w:fill="FFFFFF"/>
        </w:rPr>
        <w:t>的</w:t>
      </w:r>
      <w:r>
        <w:rPr>
          <w:rFonts w:ascii="宋体" w:hAnsi="宋体" w:cs="宋体"/>
          <w:b/>
          <w:bCs/>
          <w:strike/>
          <w:color w:val="FF0000"/>
          <w:sz w:val="24"/>
          <w:highlight w:val="none"/>
          <w:u w:val="single"/>
          <w:shd w:val="clear" w:color="auto" w:fill="FFFFFF"/>
        </w:rPr>
        <w:t>（关键工序）</w:t>
      </w:r>
      <w:r>
        <w:rPr>
          <w:rFonts w:ascii="宋体" w:hAnsi="宋体" w:cs="宋体"/>
          <w:b/>
          <w:bCs/>
          <w:strike/>
          <w:color w:val="FF0000"/>
          <w:sz w:val="24"/>
          <w:highlight w:val="none"/>
          <w:shd w:val="clear" w:color="auto" w:fill="FFFFFF"/>
          <w:vertAlign w:val="superscript"/>
        </w:rPr>
        <w:t>5</w:t>
      </w:r>
      <w:r>
        <w:rPr>
          <w:rFonts w:ascii="宋体" w:hAnsi="宋体" w:cs="宋体"/>
          <w:b/>
          <w:bCs/>
          <w:color w:val="FF0000"/>
          <w:sz w:val="24"/>
          <w:highlight w:val="none"/>
          <w:shd w:val="clear" w:color="auto" w:fill="FFFFFF"/>
        </w:rPr>
        <w:t>在中国境内完成。</w:t>
      </w:r>
    </w:p>
    <w:p w14:paraId="20758D95">
      <w:pPr>
        <w:spacing w:before="30" w:after="30"/>
        <w:ind w:firstLine="420"/>
        <w:rPr>
          <w:b/>
          <w:bCs/>
          <w:sz w:val="24"/>
          <w:highlight w:val="none"/>
        </w:rPr>
      </w:pPr>
      <w:r>
        <w:rPr>
          <w:rFonts w:ascii="宋体" w:hAnsi="宋体" w:cs="宋体"/>
          <w:b/>
          <w:bCs/>
          <w:color w:val="FF0000"/>
          <w:sz w:val="24"/>
          <w:highlight w:val="none"/>
          <w:shd w:val="clear" w:color="auto" w:fill="FFFFFF"/>
        </w:rPr>
        <w:t>2.</w:t>
      </w:r>
      <w:r>
        <w:rPr>
          <w:rFonts w:ascii="宋体" w:hAnsi="宋体" w:cs="宋体"/>
          <w:b/>
          <w:bCs/>
          <w:color w:val="FF0000"/>
          <w:sz w:val="24"/>
          <w:highlight w:val="none"/>
          <w:u w:val="single"/>
          <w:shd w:val="clear" w:color="auto" w:fill="FFFFFF"/>
        </w:rPr>
        <w:t>（产品名称2）</w:t>
      </w:r>
      <w:r>
        <w:rPr>
          <w:rFonts w:ascii="宋体" w:hAnsi="宋体" w:cs="宋体"/>
          <w:b/>
          <w:bCs/>
          <w:color w:val="FF0000"/>
          <w:sz w:val="24"/>
          <w:highlight w:val="none"/>
          <w:shd w:val="clear" w:color="auto" w:fill="FFFFFF"/>
        </w:rPr>
        <w:t>，生产厂为</w:t>
      </w:r>
      <w:r>
        <w:rPr>
          <w:rFonts w:ascii="宋体" w:hAnsi="宋体" w:cs="宋体"/>
          <w:b/>
          <w:bCs/>
          <w:color w:val="FF0000"/>
          <w:sz w:val="24"/>
          <w:highlight w:val="none"/>
          <w:u w:val="single"/>
          <w:shd w:val="clear" w:color="auto" w:fill="FFFFFF"/>
        </w:rPr>
        <w:t>（厂名）</w:t>
      </w:r>
      <w:r>
        <w:rPr>
          <w:rFonts w:ascii="宋体" w:hAnsi="宋体" w:cs="宋体"/>
          <w:b/>
          <w:bCs/>
          <w:color w:val="FF0000"/>
          <w:sz w:val="24"/>
          <w:highlight w:val="none"/>
          <w:shd w:val="clear" w:color="auto" w:fill="FFFFFF"/>
        </w:rPr>
        <w:t>，厂址为</w:t>
      </w:r>
      <w:r>
        <w:rPr>
          <w:rFonts w:ascii="宋体" w:hAnsi="宋体" w:cs="宋体"/>
          <w:b/>
          <w:bCs/>
          <w:color w:val="FF0000"/>
          <w:sz w:val="24"/>
          <w:highlight w:val="none"/>
          <w:u w:val="single"/>
          <w:shd w:val="clear" w:color="auto" w:fill="FFFFFF"/>
        </w:rPr>
        <w:t>（生产厂址）</w:t>
      </w:r>
      <w:r>
        <w:rPr>
          <w:rFonts w:ascii="宋体" w:hAnsi="宋体" w:cs="宋体"/>
          <w:b/>
          <w:bCs/>
          <w:color w:val="FF0000"/>
          <w:sz w:val="24"/>
          <w:highlight w:val="none"/>
          <w:shd w:val="clear" w:color="auto" w:fill="FFFFFF"/>
        </w:rPr>
        <w:t>。</w:t>
      </w:r>
      <w:r>
        <w:rPr>
          <w:rFonts w:ascii="宋体" w:hAnsi="宋体" w:cs="宋体"/>
          <w:b/>
          <w:bCs/>
          <w:strike/>
          <w:color w:val="FF0000"/>
          <w:sz w:val="24"/>
          <w:highlight w:val="none"/>
          <w:u w:val="single"/>
          <w:shd w:val="clear" w:color="auto" w:fill="FFFFFF"/>
        </w:rPr>
        <w:t>（产品名称2）</w:t>
      </w:r>
      <w:r>
        <w:rPr>
          <w:rFonts w:ascii="宋体" w:hAnsi="宋体" w:cs="宋体"/>
          <w:b/>
          <w:bCs/>
          <w:color w:val="FF0000"/>
          <w:sz w:val="24"/>
          <w:highlight w:val="none"/>
          <w:shd w:val="clear" w:color="auto" w:fill="FFFFFF"/>
        </w:rPr>
        <w:t>的中国境内生产的组件成本占比≥</w:t>
      </w:r>
      <w:r>
        <w:rPr>
          <w:rFonts w:ascii="宋体" w:hAnsi="宋体" w:cs="宋体"/>
          <w:b/>
          <w:bCs/>
          <w:strike/>
          <w:color w:val="FF0000"/>
          <w:sz w:val="24"/>
          <w:highlight w:val="none"/>
          <w:u w:val="single"/>
          <w:shd w:val="clear" w:color="auto" w:fill="FFFFFF"/>
        </w:rPr>
        <w:t>（规定比例）</w:t>
      </w:r>
      <w:r>
        <w:rPr>
          <w:rFonts w:ascii="宋体" w:hAnsi="宋体" w:cs="宋体"/>
          <w:b/>
          <w:bCs/>
          <w:color w:val="FF0000"/>
          <w:sz w:val="24"/>
          <w:highlight w:val="none"/>
          <w:shd w:val="clear" w:color="auto" w:fill="FFFFFF"/>
        </w:rPr>
        <w:t>。</w:t>
      </w:r>
      <w:r>
        <w:rPr>
          <w:rFonts w:ascii="宋体" w:hAnsi="宋体" w:cs="宋体"/>
          <w:b/>
          <w:bCs/>
          <w:strike/>
          <w:color w:val="FF0000"/>
          <w:sz w:val="24"/>
          <w:highlight w:val="none"/>
          <w:u w:val="single"/>
          <w:shd w:val="clear" w:color="auto" w:fill="FFFFFF"/>
        </w:rPr>
        <w:t>（产品名称2）</w:t>
      </w:r>
      <w:r>
        <w:rPr>
          <w:rFonts w:ascii="宋体" w:hAnsi="宋体" w:cs="宋体"/>
          <w:b/>
          <w:bCs/>
          <w:color w:val="FF0000"/>
          <w:sz w:val="24"/>
          <w:highlight w:val="none"/>
          <w:shd w:val="clear" w:color="auto" w:fill="FFFFFF"/>
        </w:rPr>
        <w:t>的</w:t>
      </w:r>
      <w:r>
        <w:rPr>
          <w:rFonts w:ascii="宋体" w:hAnsi="宋体" w:cs="宋体"/>
          <w:b/>
          <w:bCs/>
          <w:strike/>
          <w:color w:val="FF0000"/>
          <w:sz w:val="24"/>
          <w:highlight w:val="none"/>
          <w:u w:val="single"/>
          <w:shd w:val="clear" w:color="auto" w:fill="FFFFFF"/>
        </w:rPr>
        <w:t>（关键组件）</w:t>
      </w:r>
      <w:r>
        <w:rPr>
          <w:rFonts w:ascii="宋体" w:hAnsi="宋体" w:cs="宋体"/>
          <w:b/>
          <w:bCs/>
          <w:color w:val="FF0000"/>
          <w:sz w:val="24"/>
          <w:highlight w:val="none"/>
          <w:shd w:val="clear" w:color="auto" w:fill="FFFFFF"/>
        </w:rPr>
        <w:t>在中国境内生产。</w:t>
      </w:r>
      <w:r>
        <w:rPr>
          <w:rFonts w:ascii="宋体" w:hAnsi="宋体" w:cs="宋体"/>
          <w:b/>
          <w:bCs/>
          <w:strike/>
          <w:color w:val="FF0000"/>
          <w:sz w:val="24"/>
          <w:highlight w:val="none"/>
          <w:u w:val="single"/>
          <w:shd w:val="clear" w:color="auto" w:fill="FFFFFF"/>
        </w:rPr>
        <w:t>（产品名称1）</w:t>
      </w:r>
      <w:r>
        <w:rPr>
          <w:rFonts w:ascii="宋体" w:hAnsi="宋体" w:cs="宋体"/>
          <w:b/>
          <w:bCs/>
          <w:color w:val="FF0000"/>
          <w:sz w:val="24"/>
          <w:highlight w:val="none"/>
          <w:shd w:val="clear" w:color="auto" w:fill="FFFFFF"/>
        </w:rPr>
        <w:t>的</w:t>
      </w:r>
      <w:r>
        <w:rPr>
          <w:rFonts w:ascii="宋体" w:hAnsi="宋体" w:cs="宋体"/>
          <w:b/>
          <w:bCs/>
          <w:strike/>
          <w:color w:val="FF0000"/>
          <w:sz w:val="24"/>
          <w:highlight w:val="none"/>
          <w:u w:val="single"/>
          <w:shd w:val="clear" w:color="auto" w:fill="FFFFFF"/>
        </w:rPr>
        <w:t>（关键工序）</w:t>
      </w:r>
      <w:r>
        <w:rPr>
          <w:rFonts w:ascii="宋体" w:hAnsi="宋体" w:cs="宋体"/>
          <w:b/>
          <w:bCs/>
          <w:color w:val="FF0000"/>
          <w:sz w:val="24"/>
          <w:highlight w:val="none"/>
          <w:shd w:val="clear" w:color="auto" w:fill="FFFFFF"/>
        </w:rPr>
        <w:t>在中国境内完成。</w:t>
      </w:r>
    </w:p>
    <w:p w14:paraId="519DADE7">
      <w:pPr>
        <w:spacing w:before="30" w:after="30"/>
        <w:ind w:firstLine="420"/>
        <w:rPr>
          <w:b/>
          <w:bCs/>
          <w:sz w:val="24"/>
          <w:highlight w:val="none"/>
        </w:rPr>
      </w:pPr>
      <w:r>
        <w:rPr>
          <w:rFonts w:ascii="宋体" w:hAnsi="宋体" w:cs="宋体"/>
          <w:b/>
          <w:bCs/>
          <w:color w:val="FF0000"/>
          <w:sz w:val="24"/>
          <w:highlight w:val="none"/>
          <w:shd w:val="clear" w:color="auto" w:fill="FFFFFF"/>
        </w:rPr>
        <w:t>……</w:t>
      </w:r>
    </w:p>
    <w:p w14:paraId="2898E24F">
      <w:pPr>
        <w:spacing w:before="30" w:after="30"/>
        <w:ind w:firstLine="420"/>
        <w:rPr>
          <w:b/>
          <w:bCs/>
          <w:sz w:val="24"/>
          <w:highlight w:val="none"/>
        </w:rPr>
      </w:pPr>
      <w:r>
        <w:rPr>
          <w:rFonts w:ascii="宋体" w:hAnsi="宋体" w:cs="宋体"/>
          <w:b/>
          <w:bCs/>
          <w:color w:val="FF0000"/>
          <w:sz w:val="24"/>
          <w:highlight w:val="none"/>
          <w:shd w:val="clear" w:color="auto" w:fill="FFFFFF"/>
        </w:rPr>
        <w:t>本公司（单位）对上述声明内容的真实性负责。如有虚假，愿承担相应法律责任。</w:t>
      </w:r>
    </w:p>
    <w:p w14:paraId="1CAC866F">
      <w:pPr>
        <w:spacing w:before="30" w:after="30"/>
        <w:rPr>
          <w:b/>
          <w:bCs/>
          <w:sz w:val="24"/>
          <w:highlight w:val="none"/>
        </w:rPr>
      </w:pPr>
      <w:r>
        <w:rPr>
          <w:rFonts w:ascii="宋体" w:hAnsi="宋体" w:cs="宋体"/>
          <w:b/>
          <w:bCs/>
          <w:color w:val="FF0000"/>
          <w:sz w:val="24"/>
          <w:highlight w:val="none"/>
        </w:rPr>
        <w:t> </w:t>
      </w:r>
    </w:p>
    <w:p w14:paraId="4B7D6087">
      <w:pPr>
        <w:spacing w:before="30" w:after="30"/>
        <w:ind w:right="480" w:firstLine="3720"/>
        <w:rPr>
          <w:b/>
          <w:bCs/>
          <w:sz w:val="24"/>
          <w:highlight w:val="none"/>
        </w:rPr>
      </w:pPr>
      <w:r>
        <w:rPr>
          <w:rFonts w:ascii="宋体" w:hAnsi="宋体" w:cs="宋体"/>
          <w:b/>
          <w:bCs/>
          <w:color w:val="FF0000"/>
          <w:sz w:val="24"/>
          <w:highlight w:val="none"/>
          <w:shd w:val="clear" w:color="auto" w:fill="FFFFFF"/>
        </w:rPr>
        <w:t>公司（单位）名称（盖章）：　</w:t>
      </w:r>
    </w:p>
    <w:p w14:paraId="4B86CD8E">
      <w:pPr>
        <w:spacing w:before="30" w:after="30"/>
        <w:jc w:val="center"/>
        <w:rPr>
          <w:b/>
          <w:bCs/>
          <w:sz w:val="24"/>
          <w:highlight w:val="none"/>
        </w:rPr>
      </w:pPr>
      <w:r>
        <w:rPr>
          <w:rFonts w:ascii="宋体" w:hAnsi="宋体" w:cs="宋体"/>
          <w:b/>
          <w:bCs/>
          <w:color w:val="FF0000"/>
          <w:sz w:val="24"/>
          <w:highlight w:val="none"/>
          <w:shd w:val="clear" w:color="auto" w:fill="FFFFFF"/>
        </w:rPr>
        <w:t>                                日期：　   年　  月　  日         </w:t>
      </w:r>
    </w:p>
    <w:p w14:paraId="563751CB">
      <w:pPr>
        <w:spacing w:before="30" w:after="30"/>
        <w:rPr>
          <w:b/>
          <w:bCs/>
          <w:sz w:val="24"/>
          <w:highlight w:val="none"/>
        </w:rPr>
      </w:pPr>
      <w:r>
        <w:rPr>
          <w:rFonts w:ascii="宋体" w:hAnsi="宋体" w:cs="宋体"/>
          <w:b/>
          <w:bCs/>
          <w:color w:val="FF0000"/>
          <w:sz w:val="24"/>
          <w:highlight w:val="none"/>
          <w:shd w:val="clear" w:color="auto" w:fill="FFFFFF"/>
        </w:rPr>
        <w:t>__________________</w:t>
      </w:r>
    </w:p>
    <w:p w14:paraId="0D130BF1">
      <w:pPr>
        <w:spacing w:before="30" w:after="30"/>
        <w:rPr>
          <w:b/>
          <w:bCs/>
          <w:sz w:val="24"/>
          <w:highlight w:val="none"/>
        </w:rPr>
      </w:pPr>
      <w:r>
        <w:rPr>
          <w:rFonts w:ascii="宋体" w:hAnsi="宋体" w:cs="宋体"/>
          <w:b/>
          <w:bCs/>
          <w:color w:val="FF0000"/>
          <w:sz w:val="24"/>
          <w:highlight w:val="none"/>
          <w:shd w:val="clear" w:color="auto" w:fill="FFFFFF"/>
        </w:rPr>
        <w:t>1.产品如有型号，请在“产品名称”栏一并填写。</w:t>
      </w:r>
    </w:p>
    <w:p w14:paraId="3BE63DDD">
      <w:pPr>
        <w:spacing w:before="30" w:after="30"/>
        <w:rPr>
          <w:b/>
          <w:bCs/>
          <w:sz w:val="24"/>
          <w:highlight w:val="none"/>
        </w:rPr>
      </w:pPr>
      <w:r>
        <w:rPr>
          <w:rFonts w:ascii="宋体" w:hAnsi="宋体" w:cs="宋体"/>
          <w:b/>
          <w:bCs/>
          <w:color w:val="FF0000"/>
          <w:sz w:val="24"/>
          <w:highlight w:val="none"/>
          <w:shd w:val="clear" w:color="auto" w:fill="FFFFFF"/>
        </w:rPr>
        <w:t>2.生产厂名与厂址应与生产厂营业执照载明的相关信息保持一致。</w:t>
      </w:r>
    </w:p>
    <w:p w14:paraId="187E10C6">
      <w:pPr>
        <w:spacing w:before="30" w:after="30"/>
        <w:rPr>
          <w:b/>
          <w:bCs/>
          <w:sz w:val="24"/>
          <w:highlight w:val="none"/>
        </w:rPr>
      </w:pPr>
      <w:r>
        <w:rPr>
          <w:rFonts w:ascii="宋体" w:hAnsi="宋体" w:cs="宋体"/>
          <w:b/>
          <w:bCs/>
          <w:color w:val="FF0000"/>
          <w:sz w:val="24"/>
          <w:highlight w:val="none"/>
          <w:shd w:val="clear" w:color="auto" w:fill="FFFFFF"/>
        </w:rPr>
        <w:t>3.该产品的中国境内生产的组件成本占比相关要求实施前，“规定比例”栏可不填，下同。</w:t>
      </w:r>
    </w:p>
    <w:p w14:paraId="3267BE6A">
      <w:pPr>
        <w:spacing w:before="30" w:after="30"/>
        <w:rPr>
          <w:b/>
          <w:bCs/>
          <w:sz w:val="24"/>
          <w:highlight w:val="none"/>
        </w:rPr>
      </w:pPr>
      <w:r>
        <w:rPr>
          <w:rFonts w:ascii="宋体" w:hAnsi="宋体" w:cs="宋体"/>
          <w:b/>
          <w:bCs/>
          <w:color w:val="FF0000"/>
          <w:sz w:val="24"/>
          <w:highlight w:val="none"/>
          <w:shd w:val="clear" w:color="auto" w:fill="FFFFFF"/>
        </w:rPr>
        <w:t>4.该产品的关键组件要求实施前，“关键组件”栏可不填，下同。</w:t>
      </w:r>
    </w:p>
    <w:p w14:paraId="2E60DA6D">
      <w:pPr>
        <w:spacing w:before="30" w:after="30"/>
        <w:rPr>
          <w:rFonts w:ascii="宋体" w:hAnsi="宋体" w:cs="宋体"/>
          <w:b/>
          <w:bCs/>
          <w:color w:val="FF0000"/>
          <w:sz w:val="24"/>
          <w:highlight w:val="none"/>
          <w:shd w:val="clear" w:color="auto" w:fill="FFFFFF"/>
        </w:rPr>
      </w:pPr>
      <w:r>
        <w:rPr>
          <w:rFonts w:ascii="宋体" w:hAnsi="宋体" w:cs="宋体"/>
          <w:b/>
          <w:bCs/>
          <w:color w:val="FF0000"/>
          <w:sz w:val="24"/>
          <w:highlight w:val="none"/>
          <w:shd w:val="clear" w:color="auto" w:fill="FFFFFF"/>
        </w:rPr>
        <w:t>5.该产品的关键工序要求实施前，“关键工序”栏可不填，下同。</w:t>
      </w:r>
    </w:p>
    <w:p w14:paraId="2039D937">
      <w:pPr>
        <w:spacing w:before="30" w:after="30"/>
        <w:rPr>
          <w:rFonts w:ascii="宋体" w:hAnsi="宋体" w:cs="宋体"/>
          <w:b/>
          <w:bCs/>
          <w:color w:val="FF0000"/>
          <w:sz w:val="24"/>
          <w:highlight w:val="none"/>
          <w:shd w:val="clear" w:color="auto" w:fill="FFFFFF"/>
        </w:rPr>
      </w:pPr>
      <w:r>
        <w:rPr>
          <w:rFonts w:ascii="宋体" w:hAnsi="宋体" w:cs="宋体"/>
          <w:b/>
          <w:bCs/>
          <w:color w:val="FF0000"/>
          <w:sz w:val="24"/>
          <w:highlight w:val="none"/>
          <w:shd w:val="clear" w:color="auto" w:fill="FFFFFF"/>
        </w:rPr>
        <w:t>6.用</w:t>
      </w:r>
      <w:r>
        <w:rPr>
          <w:rFonts w:hint="eastAsia" w:ascii="宋体" w:hAnsi="宋体" w:cs="宋体"/>
          <w:b/>
          <w:bCs/>
          <w:color w:val="FF0000"/>
          <w:sz w:val="24"/>
          <w:highlight w:val="none"/>
          <w:shd w:val="clear" w:color="auto" w:fill="FFFFFF"/>
        </w:rPr>
        <w:t>横</w:t>
      </w:r>
      <w:r>
        <w:rPr>
          <w:rFonts w:ascii="宋体" w:hAnsi="宋体" w:cs="宋体"/>
          <w:b/>
          <w:bCs/>
          <w:color w:val="FF0000"/>
          <w:sz w:val="24"/>
          <w:highlight w:val="none"/>
          <w:shd w:val="clear" w:color="auto" w:fill="FFFFFF"/>
        </w:rPr>
        <w:t>线划除的地方无需填写。</w:t>
      </w:r>
    </w:p>
    <w:p w14:paraId="243D5117">
      <w:pPr>
        <w:spacing w:line="0" w:lineRule="atLeast"/>
        <w:jc w:val="center"/>
        <w:rPr>
          <w:sz w:val="24"/>
          <w:highlight w:val="none"/>
        </w:rPr>
      </w:pPr>
      <w:r>
        <w:rPr>
          <w:rFonts w:hint="eastAsia" w:ascii="宋体" w:hAnsi="宋体" w:cs="宋体"/>
          <w:b/>
          <w:bCs/>
          <w:color w:val="FF0000"/>
          <w:sz w:val="24"/>
          <w:highlight w:val="none"/>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FF0000"/>
          <w:sz w:val="24"/>
          <w:highlight w:val="none"/>
          <w:u w:val="single"/>
        </w:rPr>
        <w:t>故，如供应商所提供产品为本国产品的，应当对其提供的产品出具《关于符合本国产品标准的声明函》（以下简称《声明函》），不出具《声明函》的，不享受政府采购对本国产品的支持政策。</w:t>
      </w:r>
    </w:p>
    <w:p w14:paraId="59C8A1DA">
      <w:pPr>
        <w:spacing w:line="0" w:lineRule="atLeast"/>
        <w:jc w:val="center"/>
        <w:rPr>
          <w:rFonts w:ascii="黑体" w:hAnsi="宋体" w:eastAsia="黑体" w:cs="黑体"/>
          <w:b/>
          <w:sz w:val="32"/>
          <w:szCs w:val="32"/>
          <w:highlight w:val="none"/>
        </w:rPr>
      </w:pPr>
    </w:p>
    <w:p w14:paraId="0D00F64D">
      <w:pPr>
        <w:spacing w:line="0" w:lineRule="atLeast"/>
        <w:jc w:val="center"/>
        <w:rPr>
          <w:rFonts w:ascii="黑体" w:hAnsi="宋体" w:eastAsia="黑体" w:cs="黑体"/>
          <w:b/>
          <w:sz w:val="32"/>
          <w:szCs w:val="32"/>
          <w:highlight w:val="none"/>
        </w:rPr>
      </w:pPr>
    </w:p>
    <w:p w14:paraId="4AF9C02F">
      <w:pPr>
        <w:spacing w:line="0" w:lineRule="atLeast"/>
        <w:jc w:val="center"/>
        <w:rPr>
          <w:rFonts w:ascii="黑体" w:hAnsi="宋体" w:eastAsia="黑体" w:cs="黑体"/>
          <w:b/>
          <w:sz w:val="32"/>
          <w:szCs w:val="32"/>
          <w:highlight w:val="none"/>
        </w:rPr>
      </w:pPr>
    </w:p>
    <w:p w14:paraId="06563620">
      <w:pPr>
        <w:spacing w:line="0" w:lineRule="atLeast"/>
        <w:jc w:val="center"/>
        <w:rPr>
          <w:rFonts w:ascii="黑体" w:hAnsi="宋体" w:eastAsia="黑体" w:cs="黑体"/>
          <w:b/>
          <w:sz w:val="32"/>
          <w:szCs w:val="32"/>
          <w:highlight w:val="none"/>
        </w:rPr>
      </w:pPr>
    </w:p>
    <w:p w14:paraId="6F22B7A9">
      <w:pPr>
        <w:spacing w:line="0" w:lineRule="atLeast"/>
        <w:jc w:val="center"/>
        <w:rPr>
          <w:rFonts w:ascii="黑体" w:hAnsi="宋体" w:eastAsia="黑体" w:cs="黑体"/>
          <w:b/>
          <w:sz w:val="32"/>
          <w:szCs w:val="32"/>
          <w:highlight w:val="none"/>
        </w:rPr>
      </w:pPr>
    </w:p>
    <w:p w14:paraId="767BEA09">
      <w:pPr>
        <w:spacing w:line="0" w:lineRule="atLeast"/>
        <w:jc w:val="center"/>
        <w:rPr>
          <w:rFonts w:ascii="黑体" w:hAnsi="宋体" w:eastAsia="黑体" w:cs="黑体"/>
          <w:b/>
          <w:sz w:val="32"/>
          <w:szCs w:val="32"/>
          <w:highlight w:val="none"/>
        </w:rPr>
      </w:pPr>
    </w:p>
    <w:p w14:paraId="772A0106">
      <w:pPr>
        <w:spacing w:line="0" w:lineRule="atLeast"/>
        <w:jc w:val="center"/>
        <w:rPr>
          <w:rFonts w:ascii="黑体" w:hAnsi="宋体" w:eastAsia="黑体" w:cs="黑体"/>
          <w:b/>
          <w:sz w:val="32"/>
          <w:szCs w:val="32"/>
          <w:highlight w:val="none"/>
        </w:rPr>
      </w:pPr>
    </w:p>
    <w:p w14:paraId="56886D88">
      <w:pPr>
        <w:spacing w:line="0" w:lineRule="atLeast"/>
        <w:jc w:val="center"/>
        <w:rPr>
          <w:rFonts w:ascii="黑体" w:hAnsi="宋体" w:eastAsia="黑体" w:cs="黑体"/>
          <w:b/>
          <w:sz w:val="32"/>
          <w:szCs w:val="32"/>
          <w:highlight w:val="none"/>
        </w:rPr>
      </w:pPr>
    </w:p>
    <w:p w14:paraId="005CB56A">
      <w:pPr>
        <w:spacing w:line="0" w:lineRule="atLeast"/>
        <w:jc w:val="center"/>
        <w:rPr>
          <w:rFonts w:ascii="黑体" w:hAnsi="宋体" w:eastAsia="黑体" w:cs="黑体"/>
          <w:b/>
          <w:sz w:val="32"/>
          <w:szCs w:val="32"/>
          <w:highlight w:val="none"/>
        </w:rPr>
      </w:pPr>
    </w:p>
    <w:p w14:paraId="59A18C57">
      <w:pPr>
        <w:spacing w:line="0" w:lineRule="atLeast"/>
        <w:jc w:val="center"/>
        <w:rPr>
          <w:rFonts w:ascii="黑体" w:hAnsi="宋体" w:eastAsia="黑体" w:cs="黑体"/>
          <w:b/>
          <w:sz w:val="32"/>
          <w:szCs w:val="32"/>
          <w:highlight w:val="none"/>
        </w:rPr>
      </w:pPr>
    </w:p>
    <w:p w14:paraId="10ABAFA1">
      <w:pPr>
        <w:spacing w:line="0" w:lineRule="atLeast"/>
        <w:jc w:val="center"/>
        <w:rPr>
          <w:rFonts w:ascii="黑体" w:hAnsi="宋体" w:eastAsia="黑体" w:cs="黑体"/>
          <w:b/>
          <w:sz w:val="32"/>
          <w:szCs w:val="32"/>
          <w:highlight w:val="none"/>
        </w:rPr>
      </w:pPr>
    </w:p>
    <w:p w14:paraId="54459368">
      <w:pPr>
        <w:spacing w:line="0" w:lineRule="atLeast"/>
        <w:jc w:val="center"/>
        <w:rPr>
          <w:sz w:val="24"/>
          <w:highlight w:val="none"/>
        </w:rPr>
      </w:pPr>
      <w:r>
        <w:rPr>
          <w:rFonts w:hint="eastAsia" w:ascii="黑体" w:hAnsi="宋体" w:eastAsia="黑体" w:cs="黑体"/>
          <w:b/>
          <w:sz w:val="32"/>
          <w:szCs w:val="32"/>
          <w:highlight w:val="none"/>
        </w:rPr>
        <w:t>十二、联合体协议（参考格式）（分包号：**）</w:t>
      </w:r>
    </w:p>
    <w:p w14:paraId="04763648">
      <w:pPr>
        <w:spacing w:line="0" w:lineRule="atLeast"/>
        <w:rPr>
          <w:sz w:val="24"/>
          <w:highlight w:val="none"/>
        </w:rPr>
      </w:pPr>
      <w:r>
        <w:rPr>
          <w:rFonts w:hint="eastAsia" w:ascii="宋体" w:hAnsi="宋体" w:cs="宋体"/>
          <w:sz w:val="24"/>
          <w:highlight w:val="none"/>
        </w:rPr>
        <w:t>（联合体中各供应商全称）在此达成以下协议：</w:t>
      </w:r>
    </w:p>
    <w:p w14:paraId="07DCC90B">
      <w:pPr>
        <w:spacing w:line="0" w:lineRule="atLeast"/>
        <w:ind w:firstLine="645"/>
        <w:rPr>
          <w:sz w:val="24"/>
          <w:highlight w:val="none"/>
        </w:rPr>
      </w:pPr>
      <w:r>
        <w:rPr>
          <w:rFonts w:hint="eastAsia" w:ascii="宋体" w:hAnsi="宋体" w:cs="宋体"/>
          <w:sz w:val="24"/>
          <w:highlight w:val="none"/>
        </w:rPr>
        <w:t>1、我们</w:t>
      </w:r>
      <w:r>
        <w:rPr>
          <w:rFonts w:hint="eastAsia" w:ascii="宋体" w:hAnsi="宋体" w:cs="宋体"/>
          <w:sz w:val="24"/>
          <w:highlight w:val="none"/>
          <w:u w:val="single"/>
        </w:rPr>
        <w:t xml:space="preserve"> （供应商1），（供应商2） ，……</w:t>
      </w:r>
      <w:r>
        <w:rPr>
          <w:rFonts w:hint="eastAsia" w:ascii="宋体" w:hAnsi="宋体" w:cs="宋体"/>
          <w:sz w:val="24"/>
          <w:highlight w:val="none"/>
        </w:rPr>
        <w:t>自愿组成联合体，参加盐城市政府采购中心组织的采购编号为</w:t>
      </w:r>
      <w:r>
        <w:rPr>
          <w:rFonts w:hint="eastAsia" w:ascii="宋体" w:hAnsi="宋体" w:cs="宋体"/>
          <w:sz w:val="24"/>
          <w:highlight w:val="none"/>
          <w:u w:val="single"/>
        </w:rPr>
        <w:t>（编号全称），（项目全称）</w:t>
      </w:r>
      <w:r>
        <w:rPr>
          <w:rFonts w:hint="eastAsia" w:ascii="宋体" w:hAnsi="宋体" w:cs="宋体"/>
          <w:sz w:val="24"/>
          <w:highlight w:val="none"/>
        </w:rPr>
        <w:t>项目（分包号：**）的政府采购活动，我联合体指定</w:t>
      </w:r>
      <w:r>
        <w:rPr>
          <w:rFonts w:hint="eastAsia" w:ascii="宋体" w:hAnsi="宋体" w:cs="宋体"/>
          <w:sz w:val="24"/>
          <w:highlight w:val="none"/>
          <w:u w:val="single"/>
        </w:rPr>
        <w:t>（供应商*）</w:t>
      </w:r>
      <w:r>
        <w:rPr>
          <w:rFonts w:hint="eastAsia" w:ascii="宋体" w:hAnsi="宋体" w:cs="宋体"/>
          <w:sz w:val="24"/>
          <w:highlight w:val="none"/>
        </w:rPr>
        <w:t>为牵头单位（牵头单位必须为联合体成员）。</w:t>
      </w:r>
    </w:p>
    <w:p w14:paraId="3177D261">
      <w:pPr>
        <w:spacing w:line="0" w:lineRule="atLeast"/>
        <w:ind w:firstLine="645"/>
        <w:rPr>
          <w:sz w:val="24"/>
          <w:highlight w:val="none"/>
        </w:rPr>
      </w:pPr>
      <w:r>
        <w:rPr>
          <w:rFonts w:hint="eastAsia" w:ascii="宋体" w:hAnsi="宋体" w:cs="宋体"/>
          <w:sz w:val="24"/>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61420A0E">
      <w:pPr>
        <w:spacing w:line="0" w:lineRule="atLeast"/>
        <w:ind w:firstLine="645"/>
        <w:rPr>
          <w:sz w:val="24"/>
          <w:highlight w:val="none"/>
        </w:rPr>
      </w:pPr>
      <w:r>
        <w:rPr>
          <w:rFonts w:hint="eastAsia" w:ascii="宋体" w:hAnsi="宋体" w:cs="宋体"/>
          <w:sz w:val="24"/>
          <w:highlight w:val="none"/>
        </w:rPr>
        <w:t>3、其中</w:t>
      </w:r>
      <w:r>
        <w:rPr>
          <w:rFonts w:hint="eastAsia" w:ascii="宋体" w:hAnsi="宋体" w:cs="宋体"/>
          <w:sz w:val="24"/>
          <w:highlight w:val="none"/>
          <w:u w:val="single"/>
        </w:rPr>
        <w:t xml:space="preserve">      </w:t>
      </w:r>
      <w:r>
        <w:rPr>
          <w:rFonts w:hint="eastAsia" w:ascii="宋体" w:hAnsi="宋体" w:cs="宋体"/>
          <w:sz w:val="24"/>
          <w:highlight w:val="none"/>
        </w:rPr>
        <w:t>（小型、微型企业/残疾人福利性单位/监狱企业全称）为</w:t>
      </w:r>
      <w:r>
        <w:rPr>
          <w:rFonts w:hint="eastAsia" w:ascii="宋体" w:hAnsi="宋体" w:cs="宋体"/>
          <w:sz w:val="24"/>
          <w:highlight w:val="none"/>
          <w:u w:val="single"/>
        </w:rPr>
        <w:t xml:space="preserve">    </w:t>
      </w:r>
      <w:r>
        <w:rPr>
          <w:rFonts w:hint="eastAsia" w:ascii="宋体" w:hAnsi="宋体" w:cs="宋体"/>
          <w:sz w:val="24"/>
          <w:highlight w:val="none"/>
        </w:rPr>
        <w:t>（小型、微型企业/残疾人福利性单位/监狱企业）企业，且我们约定该公司/单位所承担的合同金额将占本项目合同总金额的</w:t>
      </w:r>
      <w:r>
        <w:rPr>
          <w:rFonts w:hint="eastAsia" w:ascii="宋体" w:hAnsi="宋体" w:cs="宋体"/>
          <w:sz w:val="24"/>
          <w:highlight w:val="none"/>
          <w:u w:val="single"/>
        </w:rPr>
        <w:t xml:space="preserve">  </w:t>
      </w:r>
      <w:r>
        <w:rPr>
          <w:rFonts w:hint="eastAsia" w:ascii="宋体" w:hAnsi="宋体" w:cs="宋体"/>
          <w:sz w:val="24"/>
          <w:highlight w:val="none"/>
        </w:rPr>
        <w:t>%。</w:t>
      </w:r>
    </w:p>
    <w:p w14:paraId="7DD48D7A">
      <w:pPr>
        <w:spacing w:line="0" w:lineRule="atLeast"/>
        <w:ind w:firstLine="645"/>
        <w:rPr>
          <w:sz w:val="24"/>
          <w:highlight w:val="none"/>
        </w:rPr>
      </w:pPr>
      <w:r>
        <w:rPr>
          <w:sz w:val="24"/>
          <w:highlight w:val="none"/>
        </w:rPr>
        <w:t> </w:t>
      </w:r>
    </w:p>
    <w:p w14:paraId="287BFFB3">
      <w:pPr>
        <w:spacing w:line="0" w:lineRule="atLeast"/>
        <w:ind w:firstLine="645"/>
        <w:rPr>
          <w:sz w:val="24"/>
          <w:highlight w:val="none"/>
        </w:rPr>
      </w:pPr>
      <w:r>
        <w:rPr>
          <w:rFonts w:hint="eastAsia" w:ascii="宋体" w:hAnsi="宋体" w:cs="宋体"/>
          <w:sz w:val="24"/>
          <w:highlight w:val="none"/>
        </w:rPr>
        <w:t>备注：本招标文件中要求加盖CA电子签章的地方，仅需加盖牵头单位的CA电子签章。</w:t>
      </w:r>
    </w:p>
    <w:p w14:paraId="5FC003CE">
      <w:pPr>
        <w:spacing w:line="0" w:lineRule="atLeast"/>
        <w:ind w:firstLine="645"/>
        <w:rPr>
          <w:sz w:val="24"/>
          <w:highlight w:val="none"/>
        </w:rPr>
      </w:pPr>
      <w:r>
        <w:rPr>
          <w:rFonts w:hint="eastAsia" w:ascii="宋体" w:hAnsi="宋体" w:cs="宋体"/>
          <w:sz w:val="24"/>
          <w:highlight w:val="none"/>
        </w:rPr>
        <w:t>                               </w:t>
      </w:r>
    </w:p>
    <w:p w14:paraId="21E4BFB3">
      <w:pPr>
        <w:spacing w:line="0" w:lineRule="atLeast"/>
        <w:ind w:firstLine="645"/>
        <w:jc w:val="right"/>
        <w:rPr>
          <w:sz w:val="24"/>
          <w:highlight w:val="none"/>
        </w:rPr>
      </w:pPr>
      <w:r>
        <w:rPr>
          <w:rFonts w:hint="eastAsia" w:ascii="宋体" w:hAnsi="宋体" w:cs="宋体"/>
          <w:sz w:val="24"/>
          <w:highlight w:val="none"/>
        </w:rPr>
        <w:t xml:space="preserve">联合体中各供应商全称（公章）：     </w:t>
      </w:r>
    </w:p>
    <w:p w14:paraId="0FDF0C72">
      <w:pPr>
        <w:spacing w:line="0" w:lineRule="atLeast"/>
        <w:ind w:firstLine="645"/>
        <w:rPr>
          <w:sz w:val="24"/>
          <w:highlight w:val="none"/>
        </w:rPr>
      </w:pPr>
      <w:r>
        <w:rPr>
          <w:rFonts w:hint="eastAsia" w:ascii="宋体" w:hAnsi="宋体" w:cs="宋体"/>
          <w:sz w:val="24"/>
          <w:highlight w:val="none"/>
        </w:rPr>
        <w:t>                                                          日期：</w:t>
      </w:r>
    </w:p>
    <w:p w14:paraId="407A0841">
      <w:pPr>
        <w:spacing w:line="0" w:lineRule="atLeast"/>
        <w:ind w:firstLine="645"/>
        <w:rPr>
          <w:sz w:val="24"/>
          <w:highlight w:val="none"/>
        </w:rPr>
      </w:pPr>
      <w:r>
        <w:rPr>
          <w:sz w:val="24"/>
          <w:highlight w:val="none"/>
        </w:rPr>
        <w:t> </w:t>
      </w:r>
    </w:p>
    <w:p w14:paraId="276A8FC0">
      <w:pPr>
        <w:spacing w:line="0" w:lineRule="atLeast"/>
        <w:rPr>
          <w:sz w:val="24"/>
          <w:highlight w:val="none"/>
        </w:rPr>
      </w:pPr>
      <w:r>
        <w:rPr>
          <w:sz w:val="24"/>
          <w:highlight w:val="none"/>
        </w:rPr>
        <w:t> </w:t>
      </w:r>
    </w:p>
    <w:p w14:paraId="1EF560EE">
      <w:pPr>
        <w:spacing w:line="0" w:lineRule="atLeast"/>
        <w:rPr>
          <w:sz w:val="24"/>
          <w:highlight w:val="none"/>
        </w:rPr>
      </w:pPr>
    </w:p>
    <w:p w14:paraId="6B8DF82D">
      <w:pPr>
        <w:spacing w:line="0" w:lineRule="atLeast"/>
        <w:rPr>
          <w:sz w:val="24"/>
          <w:highlight w:val="none"/>
        </w:rPr>
      </w:pPr>
    </w:p>
    <w:p w14:paraId="08E174E3">
      <w:pPr>
        <w:spacing w:line="0" w:lineRule="atLeast"/>
        <w:rPr>
          <w:sz w:val="24"/>
          <w:highlight w:val="none"/>
        </w:rPr>
      </w:pPr>
    </w:p>
    <w:p w14:paraId="048A8CD2">
      <w:pPr>
        <w:spacing w:line="0" w:lineRule="atLeast"/>
        <w:rPr>
          <w:sz w:val="24"/>
          <w:highlight w:val="none"/>
        </w:rPr>
      </w:pPr>
    </w:p>
    <w:p w14:paraId="4FB08968">
      <w:pPr>
        <w:spacing w:line="0" w:lineRule="atLeast"/>
        <w:rPr>
          <w:sz w:val="24"/>
          <w:highlight w:val="none"/>
        </w:rPr>
      </w:pPr>
    </w:p>
    <w:p w14:paraId="7B85EF4C">
      <w:pPr>
        <w:spacing w:line="0" w:lineRule="atLeast"/>
        <w:rPr>
          <w:sz w:val="24"/>
          <w:highlight w:val="none"/>
        </w:rPr>
      </w:pPr>
    </w:p>
    <w:p w14:paraId="0DCEBD3B">
      <w:pPr>
        <w:spacing w:line="0" w:lineRule="atLeast"/>
        <w:rPr>
          <w:sz w:val="24"/>
          <w:highlight w:val="none"/>
        </w:rPr>
      </w:pPr>
    </w:p>
    <w:p w14:paraId="2DA119EC">
      <w:pPr>
        <w:spacing w:line="0" w:lineRule="atLeast"/>
        <w:rPr>
          <w:sz w:val="24"/>
          <w:highlight w:val="none"/>
        </w:rPr>
      </w:pPr>
    </w:p>
    <w:p w14:paraId="35563E99">
      <w:pPr>
        <w:spacing w:line="0" w:lineRule="atLeast"/>
        <w:rPr>
          <w:sz w:val="24"/>
          <w:highlight w:val="none"/>
        </w:rPr>
      </w:pPr>
    </w:p>
    <w:p w14:paraId="4778EF7D">
      <w:pPr>
        <w:spacing w:line="0" w:lineRule="atLeast"/>
        <w:rPr>
          <w:sz w:val="24"/>
          <w:highlight w:val="none"/>
        </w:rPr>
      </w:pPr>
    </w:p>
    <w:p w14:paraId="6274FBCF">
      <w:pPr>
        <w:spacing w:line="0" w:lineRule="atLeast"/>
        <w:rPr>
          <w:sz w:val="24"/>
          <w:highlight w:val="none"/>
        </w:rPr>
      </w:pPr>
    </w:p>
    <w:p w14:paraId="5D645686">
      <w:pPr>
        <w:spacing w:line="0" w:lineRule="atLeast"/>
        <w:rPr>
          <w:sz w:val="24"/>
          <w:highlight w:val="none"/>
        </w:rPr>
      </w:pPr>
    </w:p>
    <w:p w14:paraId="70536E49">
      <w:pPr>
        <w:spacing w:line="0" w:lineRule="atLeast"/>
        <w:rPr>
          <w:sz w:val="24"/>
          <w:highlight w:val="none"/>
        </w:rPr>
      </w:pPr>
    </w:p>
    <w:p w14:paraId="308DDE7E">
      <w:pPr>
        <w:spacing w:line="0" w:lineRule="atLeast"/>
        <w:rPr>
          <w:sz w:val="24"/>
          <w:highlight w:val="none"/>
        </w:rPr>
      </w:pPr>
    </w:p>
    <w:p w14:paraId="5E2A8D9F">
      <w:pPr>
        <w:spacing w:line="0" w:lineRule="atLeast"/>
        <w:rPr>
          <w:sz w:val="24"/>
          <w:highlight w:val="none"/>
        </w:rPr>
      </w:pPr>
    </w:p>
    <w:p w14:paraId="5B4F0004">
      <w:pPr>
        <w:spacing w:line="0" w:lineRule="atLeast"/>
        <w:rPr>
          <w:sz w:val="24"/>
          <w:highlight w:val="none"/>
        </w:rPr>
      </w:pPr>
    </w:p>
    <w:p w14:paraId="23A1EEB2">
      <w:pPr>
        <w:spacing w:line="0" w:lineRule="atLeast"/>
        <w:rPr>
          <w:sz w:val="24"/>
          <w:highlight w:val="none"/>
        </w:rPr>
      </w:pPr>
    </w:p>
    <w:p w14:paraId="277457EE">
      <w:pPr>
        <w:spacing w:line="0" w:lineRule="atLeast"/>
        <w:rPr>
          <w:sz w:val="24"/>
          <w:highlight w:val="none"/>
        </w:rPr>
      </w:pPr>
    </w:p>
    <w:p w14:paraId="63A572C3">
      <w:pPr>
        <w:spacing w:line="0" w:lineRule="atLeast"/>
        <w:rPr>
          <w:sz w:val="24"/>
          <w:highlight w:val="none"/>
        </w:rPr>
      </w:pPr>
    </w:p>
    <w:p w14:paraId="25B3F399">
      <w:pPr>
        <w:spacing w:line="0" w:lineRule="atLeast"/>
        <w:rPr>
          <w:sz w:val="24"/>
          <w:highlight w:val="none"/>
        </w:rPr>
      </w:pPr>
    </w:p>
    <w:p w14:paraId="13F9AEF6">
      <w:pPr>
        <w:spacing w:line="0" w:lineRule="atLeast"/>
        <w:rPr>
          <w:sz w:val="24"/>
          <w:highlight w:val="none"/>
        </w:rPr>
      </w:pPr>
    </w:p>
    <w:p w14:paraId="1C6BCD23">
      <w:pPr>
        <w:spacing w:line="0" w:lineRule="atLeast"/>
        <w:rPr>
          <w:sz w:val="24"/>
          <w:highlight w:val="none"/>
        </w:rPr>
      </w:pPr>
    </w:p>
    <w:p w14:paraId="2121B445">
      <w:pPr>
        <w:spacing w:line="0" w:lineRule="atLeast"/>
        <w:rPr>
          <w:sz w:val="24"/>
          <w:highlight w:val="none"/>
        </w:rPr>
      </w:pPr>
    </w:p>
    <w:p w14:paraId="66EB35BA">
      <w:pPr>
        <w:spacing w:line="0" w:lineRule="atLeast"/>
        <w:rPr>
          <w:sz w:val="24"/>
          <w:highlight w:val="none"/>
        </w:rPr>
      </w:pPr>
    </w:p>
    <w:p w14:paraId="5287B63B">
      <w:pPr>
        <w:spacing w:line="0" w:lineRule="atLeast"/>
        <w:rPr>
          <w:sz w:val="24"/>
          <w:highlight w:val="none"/>
        </w:rPr>
      </w:pPr>
    </w:p>
    <w:p w14:paraId="68B1E057">
      <w:pPr>
        <w:spacing w:line="0" w:lineRule="atLeast"/>
        <w:rPr>
          <w:sz w:val="24"/>
          <w:highlight w:val="none"/>
        </w:rPr>
      </w:pPr>
    </w:p>
    <w:p w14:paraId="398ABCAE">
      <w:pPr>
        <w:spacing w:line="0" w:lineRule="atLeast"/>
        <w:rPr>
          <w:sz w:val="24"/>
          <w:highlight w:val="none"/>
        </w:rPr>
      </w:pPr>
    </w:p>
    <w:p w14:paraId="4D1B7DCF">
      <w:pPr>
        <w:spacing w:line="0" w:lineRule="atLeast"/>
        <w:rPr>
          <w:sz w:val="24"/>
          <w:highlight w:val="none"/>
        </w:rPr>
      </w:pPr>
    </w:p>
    <w:p w14:paraId="049CEF72">
      <w:pPr>
        <w:spacing w:line="0" w:lineRule="atLeast"/>
        <w:rPr>
          <w:sz w:val="24"/>
          <w:highlight w:val="none"/>
        </w:rPr>
      </w:pPr>
    </w:p>
    <w:p w14:paraId="0C4A03F5">
      <w:pPr>
        <w:spacing w:line="0" w:lineRule="atLeast"/>
        <w:rPr>
          <w:sz w:val="24"/>
          <w:highlight w:val="none"/>
        </w:rPr>
      </w:pPr>
    </w:p>
    <w:p w14:paraId="129145C5">
      <w:pPr>
        <w:spacing w:line="0" w:lineRule="atLeast"/>
        <w:rPr>
          <w:sz w:val="24"/>
          <w:highlight w:val="none"/>
        </w:rPr>
      </w:pPr>
    </w:p>
    <w:p w14:paraId="62D0D8C7">
      <w:pPr>
        <w:spacing w:line="0" w:lineRule="atLeast"/>
        <w:rPr>
          <w:sz w:val="24"/>
          <w:highlight w:val="none"/>
        </w:rPr>
      </w:pPr>
      <w:r>
        <w:rPr>
          <w:sz w:val="24"/>
          <w:highlight w:val="none"/>
        </w:rPr>
        <w:t> </w:t>
      </w:r>
    </w:p>
    <w:p w14:paraId="1BADC0BD">
      <w:pPr>
        <w:rPr>
          <w:sz w:val="24"/>
          <w:highlight w:val="none"/>
        </w:rPr>
      </w:pPr>
      <w:r>
        <w:rPr>
          <w:sz w:val="24"/>
          <w:highlight w:val="none"/>
        </w:rPr>
        <w:t> </w:t>
      </w:r>
    </w:p>
    <w:p w14:paraId="78064B9B">
      <w:pPr>
        <w:jc w:val="center"/>
        <w:rPr>
          <w:sz w:val="24"/>
          <w:highlight w:val="none"/>
        </w:rPr>
      </w:pPr>
      <w:r>
        <w:rPr>
          <w:rFonts w:hint="eastAsia" w:ascii="黑体" w:hAnsi="宋体" w:eastAsia="黑体" w:cs="黑体"/>
          <w:b/>
          <w:sz w:val="32"/>
          <w:szCs w:val="32"/>
          <w:highlight w:val="none"/>
        </w:rPr>
        <w:t>十三、投标分项报价表（分包号：**）</w:t>
      </w:r>
    </w:p>
    <w:tbl>
      <w:tblPr>
        <w:tblStyle w:val="47"/>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6AD317E7">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vAlign w:val="center"/>
          </w:tcPr>
          <w:p w14:paraId="386BA856">
            <w:pPr>
              <w:spacing w:line="0" w:lineRule="atLeast"/>
              <w:jc w:val="center"/>
              <w:rPr>
                <w:sz w:val="24"/>
                <w:highlight w:val="none"/>
              </w:rPr>
            </w:pPr>
            <w:r>
              <w:rPr>
                <w:rFonts w:hint="eastAsia" w:ascii="宋体" w:hAnsi="宋体" w:cs="宋体"/>
                <w:sz w:val="24"/>
                <w:highlight w:val="none"/>
              </w:rPr>
              <w:t>序号</w:t>
            </w:r>
          </w:p>
        </w:tc>
        <w:tc>
          <w:tcPr>
            <w:tcW w:w="1217" w:type="dxa"/>
            <w:tcBorders>
              <w:top w:val="single" w:color="000000" w:sz="4" w:space="0"/>
              <w:left w:val="single" w:color="000000" w:sz="4" w:space="0"/>
              <w:bottom w:val="single" w:color="000000" w:sz="4" w:space="0"/>
              <w:right w:val="single" w:color="000000" w:sz="4" w:space="0"/>
            </w:tcBorders>
            <w:vAlign w:val="center"/>
          </w:tcPr>
          <w:p w14:paraId="2B2EAA2C">
            <w:pPr>
              <w:spacing w:line="0" w:lineRule="atLeast"/>
              <w:jc w:val="center"/>
              <w:rPr>
                <w:sz w:val="24"/>
                <w:highlight w:val="none"/>
              </w:rPr>
            </w:pPr>
            <w:r>
              <w:rPr>
                <w:rFonts w:hint="eastAsia" w:ascii="宋体" w:hAnsi="宋体" w:cs="宋体"/>
                <w:sz w:val="24"/>
                <w:highlight w:val="none"/>
              </w:rPr>
              <w:t>1</w:t>
            </w:r>
          </w:p>
        </w:tc>
        <w:tc>
          <w:tcPr>
            <w:tcW w:w="1205" w:type="dxa"/>
            <w:tcBorders>
              <w:top w:val="single" w:color="000000" w:sz="4" w:space="0"/>
              <w:left w:val="single" w:color="000000" w:sz="4" w:space="0"/>
              <w:bottom w:val="single" w:color="000000" w:sz="4" w:space="0"/>
              <w:right w:val="single" w:color="000000" w:sz="4" w:space="0"/>
            </w:tcBorders>
            <w:vAlign w:val="center"/>
          </w:tcPr>
          <w:p w14:paraId="214376D8">
            <w:pPr>
              <w:spacing w:line="0" w:lineRule="atLeast"/>
              <w:jc w:val="center"/>
              <w:rPr>
                <w:sz w:val="24"/>
                <w:highlight w:val="none"/>
              </w:rPr>
            </w:pPr>
            <w:r>
              <w:rPr>
                <w:rFonts w:hint="eastAsia" w:ascii="宋体" w:hAnsi="宋体" w:cs="宋体"/>
                <w:sz w:val="24"/>
                <w:highlight w:val="none"/>
              </w:rPr>
              <w:t>2</w:t>
            </w:r>
          </w:p>
        </w:tc>
        <w:tc>
          <w:tcPr>
            <w:tcW w:w="878" w:type="dxa"/>
            <w:tcBorders>
              <w:top w:val="single" w:color="000000" w:sz="4" w:space="0"/>
              <w:left w:val="single" w:color="000000" w:sz="4" w:space="0"/>
              <w:bottom w:val="single" w:color="000000" w:sz="4" w:space="0"/>
              <w:right w:val="single" w:color="000000" w:sz="4" w:space="0"/>
            </w:tcBorders>
            <w:vAlign w:val="center"/>
          </w:tcPr>
          <w:p w14:paraId="7B821AA6">
            <w:pPr>
              <w:spacing w:line="0" w:lineRule="atLeast"/>
              <w:jc w:val="center"/>
              <w:rPr>
                <w:sz w:val="24"/>
                <w:highlight w:val="none"/>
              </w:rPr>
            </w:pPr>
            <w:r>
              <w:rPr>
                <w:rFonts w:hint="eastAsia" w:ascii="宋体" w:hAnsi="宋体" w:cs="宋体"/>
                <w:sz w:val="24"/>
                <w:highlight w:val="none"/>
              </w:rPr>
              <w:t>3</w:t>
            </w:r>
          </w:p>
        </w:tc>
        <w:tc>
          <w:tcPr>
            <w:tcW w:w="1129" w:type="dxa"/>
            <w:tcBorders>
              <w:top w:val="single" w:color="000000" w:sz="4" w:space="0"/>
              <w:left w:val="single" w:color="000000" w:sz="4" w:space="0"/>
              <w:bottom w:val="single" w:color="000000" w:sz="4" w:space="0"/>
              <w:right w:val="single" w:color="000000" w:sz="4" w:space="0"/>
            </w:tcBorders>
            <w:vAlign w:val="center"/>
          </w:tcPr>
          <w:p w14:paraId="34A5C0C9">
            <w:pPr>
              <w:spacing w:line="0" w:lineRule="atLeast"/>
              <w:jc w:val="center"/>
              <w:rPr>
                <w:sz w:val="24"/>
                <w:highlight w:val="none"/>
              </w:rPr>
            </w:pPr>
            <w:r>
              <w:rPr>
                <w:rFonts w:hint="eastAsia" w:ascii="宋体" w:hAnsi="宋体" w:cs="宋体"/>
                <w:sz w:val="24"/>
                <w:highlight w:val="none"/>
              </w:rPr>
              <w:t>4</w:t>
            </w:r>
          </w:p>
        </w:tc>
        <w:tc>
          <w:tcPr>
            <w:tcW w:w="1502" w:type="dxa"/>
            <w:tcBorders>
              <w:top w:val="single" w:color="000000" w:sz="4" w:space="0"/>
              <w:left w:val="single" w:color="000000" w:sz="4" w:space="0"/>
              <w:bottom w:val="single" w:color="000000" w:sz="4" w:space="0"/>
              <w:right w:val="single" w:color="000000" w:sz="4" w:space="0"/>
            </w:tcBorders>
            <w:vAlign w:val="center"/>
          </w:tcPr>
          <w:p w14:paraId="5202B795">
            <w:pPr>
              <w:spacing w:line="0" w:lineRule="atLeast"/>
              <w:jc w:val="center"/>
              <w:rPr>
                <w:sz w:val="24"/>
                <w:highlight w:val="none"/>
              </w:rPr>
            </w:pPr>
            <w:r>
              <w:rPr>
                <w:rFonts w:hint="eastAsia" w:ascii="宋体" w:hAnsi="宋体" w:cs="宋体"/>
                <w:sz w:val="24"/>
                <w:highlight w:val="none"/>
              </w:rPr>
              <w:t>5</w:t>
            </w:r>
          </w:p>
        </w:tc>
        <w:tc>
          <w:tcPr>
            <w:tcW w:w="1663" w:type="dxa"/>
            <w:tcBorders>
              <w:top w:val="single" w:color="000000" w:sz="4" w:space="0"/>
              <w:left w:val="single" w:color="000000" w:sz="4" w:space="0"/>
              <w:bottom w:val="single" w:color="000000" w:sz="4" w:space="0"/>
              <w:right w:val="single" w:color="000000" w:sz="4" w:space="0"/>
            </w:tcBorders>
            <w:vAlign w:val="center"/>
          </w:tcPr>
          <w:p w14:paraId="16CC063C">
            <w:pPr>
              <w:spacing w:line="0" w:lineRule="atLeast"/>
              <w:jc w:val="center"/>
              <w:rPr>
                <w:sz w:val="24"/>
                <w:highlight w:val="none"/>
              </w:rPr>
            </w:pPr>
            <w:r>
              <w:rPr>
                <w:rFonts w:hint="eastAsia" w:ascii="宋体" w:hAnsi="宋体" w:cs="宋体"/>
                <w:sz w:val="24"/>
                <w:highlight w:val="none"/>
              </w:rPr>
              <w:t>6</w:t>
            </w:r>
          </w:p>
        </w:tc>
      </w:tr>
      <w:tr w14:paraId="1B0A6959">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vAlign w:val="center"/>
          </w:tcPr>
          <w:p w14:paraId="64174962">
            <w:pPr>
              <w:rPr>
                <w:rFonts w:ascii="宋体"/>
                <w:sz w:val="24"/>
                <w:highlight w:val="none"/>
              </w:rPr>
            </w:pPr>
          </w:p>
        </w:tc>
        <w:tc>
          <w:tcPr>
            <w:tcW w:w="1217" w:type="dxa"/>
            <w:tcBorders>
              <w:top w:val="single" w:color="000000" w:sz="4" w:space="0"/>
              <w:left w:val="single" w:color="000000" w:sz="4" w:space="0"/>
              <w:bottom w:val="single" w:color="000000" w:sz="4" w:space="0"/>
              <w:right w:val="single" w:color="000000" w:sz="4" w:space="0"/>
            </w:tcBorders>
            <w:vAlign w:val="center"/>
          </w:tcPr>
          <w:p w14:paraId="254D41E8">
            <w:pPr>
              <w:spacing w:line="0" w:lineRule="atLeast"/>
              <w:jc w:val="center"/>
              <w:rPr>
                <w:sz w:val="24"/>
                <w:highlight w:val="none"/>
              </w:rPr>
            </w:pPr>
            <w:r>
              <w:rPr>
                <w:rFonts w:hint="eastAsia" w:ascii="宋体" w:hAnsi="宋体" w:cs="宋体"/>
                <w:sz w:val="24"/>
                <w:highlight w:val="none"/>
              </w:rPr>
              <w:t>分项服务名称</w:t>
            </w:r>
          </w:p>
        </w:tc>
        <w:tc>
          <w:tcPr>
            <w:tcW w:w="1205" w:type="dxa"/>
            <w:tcBorders>
              <w:top w:val="single" w:color="000000" w:sz="4" w:space="0"/>
              <w:left w:val="single" w:color="000000" w:sz="4" w:space="0"/>
              <w:bottom w:val="single" w:color="000000" w:sz="4" w:space="0"/>
              <w:right w:val="single" w:color="000000" w:sz="4" w:space="0"/>
            </w:tcBorders>
            <w:vAlign w:val="center"/>
          </w:tcPr>
          <w:p w14:paraId="289A0D68">
            <w:pPr>
              <w:spacing w:line="0" w:lineRule="atLeast"/>
              <w:jc w:val="center"/>
              <w:rPr>
                <w:sz w:val="24"/>
                <w:highlight w:val="none"/>
              </w:rPr>
            </w:pPr>
            <w:r>
              <w:rPr>
                <w:rFonts w:hint="eastAsia" w:ascii="宋体" w:hAnsi="宋体" w:cs="宋体"/>
                <w:sz w:val="24"/>
                <w:highlight w:val="none"/>
              </w:rPr>
              <w:t>交付期</w:t>
            </w:r>
          </w:p>
        </w:tc>
        <w:tc>
          <w:tcPr>
            <w:tcW w:w="878" w:type="dxa"/>
            <w:tcBorders>
              <w:top w:val="single" w:color="000000" w:sz="4" w:space="0"/>
              <w:left w:val="single" w:color="000000" w:sz="4" w:space="0"/>
              <w:bottom w:val="single" w:color="000000" w:sz="4" w:space="0"/>
              <w:right w:val="single" w:color="000000" w:sz="4" w:space="0"/>
            </w:tcBorders>
            <w:vAlign w:val="center"/>
          </w:tcPr>
          <w:p w14:paraId="30B6E272">
            <w:pPr>
              <w:spacing w:line="0" w:lineRule="atLeast"/>
              <w:jc w:val="center"/>
              <w:rPr>
                <w:sz w:val="24"/>
                <w:highlight w:val="none"/>
              </w:rPr>
            </w:pPr>
            <w:r>
              <w:rPr>
                <w:rFonts w:hint="eastAsia" w:ascii="宋体" w:hAnsi="宋体" w:cs="宋体"/>
                <w:sz w:val="24"/>
                <w:highlight w:val="none"/>
              </w:rPr>
              <w:t>分项单位</w:t>
            </w:r>
          </w:p>
        </w:tc>
        <w:tc>
          <w:tcPr>
            <w:tcW w:w="1129" w:type="dxa"/>
            <w:tcBorders>
              <w:top w:val="single" w:color="000000" w:sz="4" w:space="0"/>
              <w:left w:val="single" w:color="000000" w:sz="4" w:space="0"/>
              <w:bottom w:val="single" w:color="000000" w:sz="4" w:space="0"/>
              <w:right w:val="single" w:color="000000" w:sz="4" w:space="0"/>
            </w:tcBorders>
            <w:vAlign w:val="center"/>
          </w:tcPr>
          <w:p w14:paraId="0CAAE0DC">
            <w:pPr>
              <w:spacing w:line="0" w:lineRule="atLeast"/>
              <w:jc w:val="center"/>
              <w:rPr>
                <w:sz w:val="24"/>
                <w:highlight w:val="none"/>
              </w:rPr>
            </w:pPr>
            <w:r>
              <w:rPr>
                <w:rFonts w:hint="eastAsia" w:ascii="宋体" w:hAnsi="宋体" w:cs="宋体"/>
                <w:sz w:val="24"/>
                <w:highlight w:val="none"/>
              </w:rPr>
              <w:t>数量</w:t>
            </w:r>
          </w:p>
        </w:tc>
        <w:tc>
          <w:tcPr>
            <w:tcW w:w="1502" w:type="dxa"/>
            <w:tcBorders>
              <w:top w:val="single" w:color="000000" w:sz="4" w:space="0"/>
              <w:left w:val="single" w:color="000000" w:sz="4" w:space="0"/>
              <w:bottom w:val="single" w:color="000000" w:sz="4" w:space="0"/>
              <w:right w:val="single" w:color="000000" w:sz="4" w:space="0"/>
            </w:tcBorders>
            <w:vAlign w:val="center"/>
          </w:tcPr>
          <w:p w14:paraId="5D145979">
            <w:pPr>
              <w:spacing w:line="0" w:lineRule="atLeast"/>
              <w:jc w:val="center"/>
              <w:rPr>
                <w:sz w:val="24"/>
                <w:highlight w:val="none"/>
              </w:rPr>
            </w:pPr>
            <w:r>
              <w:rPr>
                <w:rFonts w:hint="eastAsia" w:ascii="宋体" w:hAnsi="宋体" w:cs="宋体"/>
                <w:sz w:val="24"/>
                <w:highlight w:val="none"/>
              </w:rPr>
              <w:t>分项</w:t>
            </w:r>
          </w:p>
          <w:p w14:paraId="3CB0F982">
            <w:pPr>
              <w:spacing w:line="0" w:lineRule="atLeast"/>
              <w:jc w:val="center"/>
              <w:rPr>
                <w:sz w:val="24"/>
                <w:highlight w:val="none"/>
              </w:rPr>
            </w:pPr>
            <w:r>
              <w:rPr>
                <w:rFonts w:hint="eastAsia" w:ascii="宋体" w:hAnsi="宋体" w:cs="宋体"/>
                <w:sz w:val="24"/>
                <w:highlight w:val="none"/>
              </w:rPr>
              <w:t>单价</w:t>
            </w:r>
          </w:p>
        </w:tc>
        <w:tc>
          <w:tcPr>
            <w:tcW w:w="1663" w:type="dxa"/>
            <w:tcBorders>
              <w:top w:val="single" w:color="000000" w:sz="4" w:space="0"/>
              <w:left w:val="single" w:color="000000" w:sz="4" w:space="0"/>
              <w:bottom w:val="single" w:color="000000" w:sz="4" w:space="0"/>
              <w:right w:val="single" w:color="000000" w:sz="4" w:space="0"/>
            </w:tcBorders>
            <w:vAlign w:val="center"/>
          </w:tcPr>
          <w:p w14:paraId="3971D664">
            <w:pPr>
              <w:spacing w:line="0" w:lineRule="atLeast"/>
              <w:jc w:val="center"/>
              <w:rPr>
                <w:sz w:val="24"/>
                <w:highlight w:val="none"/>
              </w:rPr>
            </w:pPr>
            <w:r>
              <w:rPr>
                <w:rFonts w:hint="eastAsia" w:ascii="宋体" w:hAnsi="宋体" w:cs="宋体"/>
                <w:sz w:val="24"/>
                <w:highlight w:val="none"/>
              </w:rPr>
              <w:t>分项</w:t>
            </w:r>
          </w:p>
          <w:p w14:paraId="0DD33FB1">
            <w:pPr>
              <w:spacing w:line="0" w:lineRule="atLeast"/>
              <w:jc w:val="center"/>
              <w:rPr>
                <w:sz w:val="24"/>
                <w:highlight w:val="none"/>
              </w:rPr>
            </w:pPr>
            <w:r>
              <w:rPr>
                <w:rFonts w:hint="eastAsia" w:ascii="宋体" w:hAnsi="宋体" w:cs="宋体"/>
                <w:sz w:val="24"/>
                <w:highlight w:val="none"/>
              </w:rPr>
              <w:t>总价</w:t>
            </w:r>
          </w:p>
        </w:tc>
      </w:tr>
      <w:tr w14:paraId="25E414E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111CDF0E">
            <w:pPr>
              <w:spacing w:line="0" w:lineRule="atLeast"/>
              <w:jc w:val="center"/>
              <w:rPr>
                <w:sz w:val="24"/>
                <w:highlight w:val="none"/>
              </w:rPr>
            </w:pPr>
            <w:r>
              <w:rPr>
                <w:rFonts w:hint="eastAsia" w:ascii="宋体" w:hAnsi="宋体" w:cs="宋体"/>
                <w:sz w:val="24"/>
                <w:highlight w:val="none"/>
              </w:rPr>
              <w:t>1</w:t>
            </w:r>
          </w:p>
        </w:tc>
        <w:tc>
          <w:tcPr>
            <w:tcW w:w="1217" w:type="dxa"/>
            <w:tcBorders>
              <w:top w:val="single" w:color="000000" w:sz="4" w:space="0"/>
              <w:left w:val="single" w:color="000000" w:sz="4" w:space="0"/>
              <w:bottom w:val="single" w:color="000000" w:sz="4" w:space="0"/>
              <w:right w:val="single" w:color="000000" w:sz="4" w:space="0"/>
            </w:tcBorders>
            <w:vAlign w:val="center"/>
          </w:tcPr>
          <w:p w14:paraId="1BE41013">
            <w:pPr>
              <w:spacing w:line="0" w:lineRule="atLeast"/>
              <w:jc w:val="center"/>
              <w:rPr>
                <w:sz w:val="24"/>
                <w:highlight w:val="none"/>
              </w:rPr>
            </w:pPr>
            <w:r>
              <w:rPr>
                <w:sz w:val="24"/>
                <w:highlight w:val="none"/>
              </w:rPr>
              <w:t> </w:t>
            </w:r>
          </w:p>
        </w:tc>
        <w:tc>
          <w:tcPr>
            <w:tcW w:w="1205" w:type="dxa"/>
            <w:tcBorders>
              <w:top w:val="single" w:color="000000" w:sz="4" w:space="0"/>
              <w:left w:val="single" w:color="000000" w:sz="4" w:space="0"/>
              <w:bottom w:val="single" w:color="000000" w:sz="4" w:space="0"/>
              <w:right w:val="single" w:color="000000" w:sz="4" w:space="0"/>
            </w:tcBorders>
            <w:vAlign w:val="center"/>
          </w:tcPr>
          <w:p w14:paraId="7249B857">
            <w:pPr>
              <w:spacing w:line="0" w:lineRule="atLeast"/>
              <w:jc w:val="center"/>
              <w:rPr>
                <w:sz w:val="24"/>
                <w:highlight w:val="none"/>
              </w:rPr>
            </w:pPr>
            <w:r>
              <w:rPr>
                <w:sz w:val="24"/>
                <w:highlight w:val="none"/>
              </w:rP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69AE311C">
            <w:pPr>
              <w:spacing w:line="0" w:lineRule="atLeast"/>
              <w:jc w:val="center"/>
              <w:rPr>
                <w:sz w:val="24"/>
                <w:highlight w:val="none"/>
              </w:rPr>
            </w:pPr>
            <w:r>
              <w:rPr>
                <w:sz w:val="24"/>
                <w:highlight w:val="none"/>
              </w:rP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12F00B98">
            <w:pPr>
              <w:spacing w:line="0" w:lineRule="atLeast"/>
              <w:jc w:val="center"/>
              <w:rPr>
                <w:sz w:val="24"/>
                <w:highlight w:val="none"/>
              </w:rPr>
            </w:pPr>
            <w:r>
              <w:rPr>
                <w:sz w:val="24"/>
                <w:highlight w:val="none"/>
              </w:rP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18E52984">
            <w:pPr>
              <w:spacing w:line="0" w:lineRule="atLeast"/>
              <w:jc w:val="center"/>
              <w:rPr>
                <w:sz w:val="24"/>
                <w:highlight w:val="none"/>
              </w:rPr>
            </w:pPr>
            <w:r>
              <w:rPr>
                <w:sz w:val="24"/>
                <w:highlight w:val="none"/>
              </w:rP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78BA6B91">
            <w:pPr>
              <w:spacing w:line="0" w:lineRule="atLeast"/>
              <w:jc w:val="center"/>
              <w:rPr>
                <w:sz w:val="24"/>
                <w:highlight w:val="none"/>
              </w:rPr>
            </w:pPr>
            <w:r>
              <w:rPr>
                <w:sz w:val="24"/>
                <w:highlight w:val="none"/>
              </w:rPr>
              <w:t> </w:t>
            </w:r>
          </w:p>
        </w:tc>
      </w:tr>
      <w:tr w14:paraId="014F757B">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50FDE6AF">
            <w:pPr>
              <w:spacing w:line="0" w:lineRule="atLeast"/>
              <w:jc w:val="center"/>
              <w:rPr>
                <w:sz w:val="24"/>
                <w:highlight w:val="none"/>
              </w:rPr>
            </w:pPr>
            <w:r>
              <w:rPr>
                <w:rFonts w:hint="eastAsia" w:ascii="宋体" w:hAnsi="宋体" w:cs="宋体"/>
                <w:sz w:val="24"/>
                <w:highlight w:val="none"/>
              </w:rPr>
              <w:t>2</w:t>
            </w:r>
          </w:p>
        </w:tc>
        <w:tc>
          <w:tcPr>
            <w:tcW w:w="1217" w:type="dxa"/>
            <w:tcBorders>
              <w:top w:val="single" w:color="000000" w:sz="4" w:space="0"/>
              <w:left w:val="single" w:color="000000" w:sz="4" w:space="0"/>
              <w:bottom w:val="single" w:color="000000" w:sz="4" w:space="0"/>
              <w:right w:val="single" w:color="000000" w:sz="4" w:space="0"/>
            </w:tcBorders>
            <w:vAlign w:val="center"/>
          </w:tcPr>
          <w:p w14:paraId="5D199E8F">
            <w:pPr>
              <w:spacing w:line="0" w:lineRule="atLeast"/>
              <w:jc w:val="center"/>
              <w:rPr>
                <w:sz w:val="24"/>
                <w:highlight w:val="none"/>
              </w:rPr>
            </w:pPr>
            <w:r>
              <w:rPr>
                <w:sz w:val="24"/>
                <w:highlight w:val="none"/>
              </w:rPr>
              <w:t> </w:t>
            </w:r>
          </w:p>
        </w:tc>
        <w:tc>
          <w:tcPr>
            <w:tcW w:w="1205" w:type="dxa"/>
            <w:tcBorders>
              <w:top w:val="single" w:color="000000" w:sz="4" w:space="0"/>
              <w:left w:val="single" w:color="000000" w:sz="4" w:space="0"/>
              <w:bottom w:val="single" w:color="000000" w:sz="4" w:space="0"/>
              <w:right w:val="single" w:color="000000" w:sz="4" w:space="0"/>
            </w:tcBorders>
            <w:vAlign w:val="center"/>
          </w:tcPr>
          <w:p w14:paraId="2DD0422F">
            <w:pPr>
              <w:spacing w:line="0" w:lineRule="atLeast"/>
              <w:jc w:val="center"/>
              <w:rPr>
                <w:sz w:val="24"/>
                <w:highlight w:val="none"/>
              </w:rPr>
            </w:pPr>
            <w:r>
              <w:rPr>
                <w:sz w:val="24"/>
                <w:highlight w:val="none"/>
              </w:rP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46FC13FB">
            <w:pPr>
              <w:spacing w:line="0" w:lineRule="atLeast"/>
              <w:jc w:val="center"/>
              <w:rPr>
                <w:sz w:val="24"/>
                <w:highlight w:val="none"/>
              </w:rPr>
            </w:pPr>
            <w:r>
              <w:rPr>
                <w:sz w:val="24"/>
                <w:highlight w:val="none"/>
              </w:rP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55B6C8F6">
            <w:pPr>
              <w:spacing w:line="0" w:lineRule="atLeast"/>
              <w:jc w:val="center"/>
              <w:rPr>
                <w:sz w:val="24"/>
                <w:highlight w:val="none"/>
              </w:rPr>
            </w:pPr>
            <w:r>
              <w:rPr>
                <w:sz w:val="24"/>
                <w:highlight w:val="none"/>
              </w:rP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59EC8AF8">
            <w:pPr>
              <w:spacing w:line="0" w:lineRule="atLeast"/>
              <w:jc w:val="center"/>
              <w:rPr>
                <w:sz w:val="24"/>
                <w:highlight w:val="none"/>
              </w:rPr>
            </w:pPr>
            <w:r>
              <w:rPr>
                <w:sz w:val="24"/>
                <w:highlight w:val="none"/>
              </w:rP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57871927">
            <w:pPr>
              <w:spacing w:line="0" w:lineRule="atLeast"/>
              <w:jc w:val="center"/>
              <w:rPr>
                <w:sz w:val="24"/>
                <w:highlight w:val="none"/>
              </w:rPr>
            </w:pPr>
            <w:r>
              <w:rPr>
                <w:sz w:val="24"/>
                <w:highlight w:val="none"/>
              </w:rPr>
              <w:t> </w:t>
            </w:r>
          </w:p>
        </w:tc>
      </w:tr>
      <w:tr w14:paraId="38E8E6E3">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41AF906D">
            <w:pPr>
              <w:spacing w:line="0" w:lineRule="atLeast"/>
              <w:jc w:val="center"/>
              <w:rPr>
                <w:sz w:val="24"/>
                <w:highlight w:val="none"/>
              </w:rPr>
            </w:pPr>
            <w:r>
              <w:rPr>
                <w:rFonts w:hint="eastAsia" w:ascii="宋体" w:hAnsi="宋体" w:cs="宋体"/>
                <w:sz w:val="24"/>
                <w:highlight w:val="none"/>
              </w:rPr>
              <w:t>3</w:t>
            </w:r>
          </w:p>
        </w:tc>
        <w:tc>
          <w:tcPr>
            <w:tcW w:w="1217" w:type="dxa"/>
            <w:tcBorders>
              <w:top w:val="single" w:color="000000" w:sz="4" w:space="0"/>
              <w:left w:val="single" w:color="000000" w:sz="4" w:space="0"/>
              <w:bottom w:val="single" w:color="000000" w:sz="4" w:space="0"/>
              <w:right w:val="single" w:color="000000" w:sz="4" w:space="0"/>
            </w:tcBorders>
            <w:vAlign w:val="center"/>
          </w:tcPr>
          <w:p w14:paraId="3E75A7A6">
            <w:pPr>
              <w:spacing w:line="0" w:lineRule="atLeast"/>
              <w:jc w:val="center"/>
              <w:rPr>
                <w:sz w:val="24"/>
                <w:highlight w:val="none"/>
              </w:rPr>
            </w:pPr>
            <w:r>
              <w:rPr>
                <w:sz w:val="24"/>
                <w:highlight w:val="none"/>
              </w:rPr>
              <w:t> </w:t>
            </w:r>
          </w:p>
        </w:tc>
        <w:tc>
          <w:tcPr>
            <w:tcW w:w="1205" w:type="dxa"/>
            <w:tcBorders>
              <w:top w:val="single" w:color="000000" w:sz="4" w:space="0"/>
              <w:left w:val="single" w:color="000000" w:sz="4" w:space="0"/>
              <w:bottom w:val="single" w:color="000000" w:sz="4" w:space="0"/>
              <w:right w:val="single" w:color="000000" w:sz="4" w:space="0"/>
            </w:tcBorders>
            <w:vAlign w:val="center"/>
          </w:tcPr>
          <w:p w14:paraId="6942FCA8">
            <w:pPr>
              <w:spacing w:line="0" w:lineRule="atLeast"/>
              <w:jc w:val="center"/>
              <w:rPr>
                <w:sz w:val="24"/>
                <w:highlight w:val="none"/>
              </w:rPr>
            </w:pPr>
            <w:r>
              <w:rPr>
                <w:sz w:val="24"/>
                <w:highlight w:val="none"/>
              </w:rP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2CC98E5A">
            <w:pPr>
              <w:spacing w:line="0" w:lineRule="atLeast"/>
              <w:jc w:val="center"/>
              <w:rPr>
                <w:sz w:val="24"/>
                <w:highlight w:val="none"/>
              </w:rPr>
            </w:pPr>
            <w:r>
              <w:rPr>
                <w:sz w:val="24"/>
                <w:highlight w:val="none"/>
              </w:rP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2B825938">
            <w:pPr>
              <w:spacing w:line="0" w:lineRule="atLeast"/>
              <w:jc w:val="center"/>
              <w:rPr>
                <w:sz w:val="24"/>
                <w:highlight w:val="none"/>
              </w:rPr>
            </w:pPr>
            <w:r>
              <w:rPr>
                <w:sz w:val="24"/>
                <w:highlight w:val="none"/>
              </w:rP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7AAB5C18">
            <w:pPr>
              <w:spacing w:line="0" w:lineRule="atLeast"/>
              <w:jc w:val="center"/>
              <w:rPr>
                <w:sz w:val="24"/>
                <w:highlight w:val="none"/>
              </w:rPr>
            </w:pPr>
            <w:r>
              <w:rPr>
                <w:sz w:val="24"/>
                <w:highlight w:val="none"/>
              </w:rP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3952AC2E">
            <w:pPr>
              <w:spacing w:line="0" w:lineRule="atLeast"/>
              <w:jc w:val="center"/>
              <w:rPr>
                <w:sz w:val="24"/>
                <w:highlight w:val="none"/>
              </w:rPr>
            </w:pPr>
            <w:r>
              <w:rPr>
                <w:sz w:val="24"/>
                <w:highlight w:val="none"/>
              </w:rPr>
              <w:t> </w:t>
            </w:r>
          </w:p>
        </w:tc>
      </w:tr>
      <w:tr w14:paraId="3EED1444">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482C57FC">
            <w:pPr>
              <w:spacing w:line="0" w:lineRule="atLeast"/>
              <w:jc w:val="center"/>
              <w:rPr>
                <w:sz w:val="24"/>
                <w:highlight w:val="none"/>
              </w:rPr>
            </w:pPr>
            <w:r>
              <w:rPr>
                <w:rFonts w:hint="eastAsia" w:ascii="宋体" w:hAnsi="宋体" w:cs="宋体"/>
                <w:sz w:val="24"/>
                <w:highlight w:val="none"/>
              </w:rPr>
              <w:t>……</w:t>
            </w:r>
          </w:p>
        </w:tc>
        <w:tc>
          <w:tcPr>
            <w:tcW w:w="1217" w:type="dxa"/>
            <w:tcBorders>
              <w:top w:val="single" w:color="000000" w:sz="4" w:space="0"/>
              <w:left w:val="single" w:color="000000" w:sz="4" w:space="0"/>
              <w:bottom w:val="single" w:color="000000" w:sz="4" w:space="0"/>
              <w:right w:val="single" w:color="000000" w:sz="4" w:space="0"/>
            </w:tcBorders>
            <w:vAlign w:val="center"/>
          </w:tcPr>
          <w:p w14:paraId="172CF5C3">
            <w:pPr>
              <w:spacing w:line="0" w:lineRule="atLeast"/>
              <w:jc w:val="center"/>
              <w:rPr>
                <w:sz w:val="24"/>
                <w:highlight w:val="none"/>
              </w:rPr>
            </w:pPr>
            <w:r>
              <w:rPr>
                <w:rFonts w:hint="eastAsia" w:ascii="宋体" w:hAnsi="宋体" w:cs="宋体"/>
                <w:sz w:val="24"/>
                <w:highlight w:val="none"/>
              </w:rPr>
              <w:t>……</w:t>
            </w:r>
          </w:p>
        </w:tc>
        <w:tc>
          <w:tcPr>
            <w:tcW w:w="1205" w:type="dxa"/>
            <w:tcBorders>
              <w:top w:val="single" w:color="000000" w:sz="4" w:space="0"/>
              <w:left w:val="single" w:color="000000" w:sz="4" w:space="0"/>
              <w:bottom w:val="single" w:color="000000" w:sz="4" w:space="0"/>
              <w:right w:val="single" w:color="000000" w:sz="4" w:space="0"/>
            </w:tcBorders>
            <w:vAlign w:val="center"/>
          </w:tcPr>
          <w:p w14:paraId="30D49EF6">
            <w:pPr>
              <w:spacing w:line="0" w:lineRule="atLeast"/>
              <w:jc w:val="center"/>
              <w:rPr>
                <w:sz w:val="24"/>
                <w:highlight w:val="none"/>
              </w:rPr>
            </w:pPr>
            <w:r>
              <w:rPr>
                <w:sz w:val="24"/>
                <w:highlight w:val="none"/>
              </w:rP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53F73DA2">
            <w:pPr>
              <w:spacing w:line="0" w:lineRule="atLeast"/>
              <w:jc w:val="center"/>
              <w:rPr>
                <w:sz w:val="24"/>
                <w:highlight w:val="none"/>
              </w:rPr>
            </w:pPr>
            <w:r>
              <w:rPr>
                <w:sz w:val="24"/>
                <w:highlight w:val="none"/>
              </w:rP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40984D54">
            <w:pPr>
              <w:spacing w:line="0" w:lineRule="atLeast"/>
              <w:jc w:val="center"/>
              <w:rPr>
                <w:sz w:val="24"/>
                <w:highlight w:val="none"/>
              </w:rPr>
            </w:pPr>
            <w:r>
              <w:rPr>
                <w:sz w:val="24"/>
                <w:highlight w:val="none"/>
              </w:rP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3987CA5C">
            <w:pPr>
              <w:spacing w:line="0" w:lineRule="atLeast"/>
              <w:jc w:val="center"/>
              <w:rPr>
                <w:sz w:val="24"/>
                <w:highlight w:val="none"/>
              </w:rPr>
            </w:pPr>
            <w:r>
              <w:rPr>
                <w:sz w:val="24"/>
                <w:highlight w:val="none"/>
              </w:rP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478DBCA7">
            <w:pPr>
              <w:spacing w:line="0" w:lineRule="atLeast"/>
              <w:jc w:val="center"/>
              <w:rPr>
                <w:sz w:val="24"/>
                <w:highlight w:val="none"/>
              </w:rPr>
            </w:pPr>
            <w:r>
              <w:rPr>
                <w:sz w:val="24"/>
                <w:highlight w:val="none"/>
              </w:rPr>
              <w:t> </w:t>
            </w:r>
          </w:p>
        </w:tc>
      </w:tr>
      <w:tr w14:paraId="70B2ED22">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vAlign w:val="center"/>
          </w:tcPr>
          <w:p w14:paraId="67067461">
            <w:pPr>
              <w:spacing w:line="0" w:lineRule="atLeast"/>
              <w:jc w:val="center"/>
              <w:rPr>
                <w:sz w:val="24"/>
                <w:highlight w:val="none"/>
              </w:rPr>
            </w:pPr>
            <w:r>
              <w:rPr>
                <w:rFonts w:hint="eastAsia" w:ascii="宋体" w:hAnsi="宋体" w:cs="宋体"/>
                <w:sz w:val="24"/>
                <w:highlight w:val="none"/>
              </w:rPr>
              <w:t>投标总报价（人民币：元）</w:t>
            </w:r>
          </w:p>
        </w:tc>
        <w:tc>
          <w:tcPr>
            <w:tcW w:w="1663" w:type="dxa"/>
            <w:tcBorders>
              <w:top w:val="single" w:color="000000" w:sz="4" w:space="0"/>
              <w:left w:val="single" w:color="000000" w:sz="4" w:space="0"/>
              <w:bottom w:val="single" w:color="000000" w:sz="4" w:space="0"/>
              <w:right w:val="single" w:color="000000" w:sz="4" w:space="0"/>
            </w:tcBorders>
            <w:vAlign w:val="center"/>
          </w:tcPr>
          <w:p w14:paraId="19ED208D">
            <w:pPr>
              <w:spacing w:line="0" w:lineRule="atLeast"/>
              <w:rPr>
                <w:sz w:val="24"/>
                <w:highlight w:val="none"/>
              </w:rPr>
            </w:pPr>
            <w:r>
              <w:rPr>
                <w:sz w:val="24"/>
                <w:highlight w:val="none"/>
              </w:rPr>
              <w:t> </w:t>
            </w:r>
          </w:p>
        </w:tc>
      </w:tr>
    </w:tbl>
    <w:p w14:paraId="026F3EC5">
      <w:pPr>
        <w:spacing w:line="0" w:lineRule="atLeast"/>
        <w:ind w:firstLine="480"/>
        <w:rPr>
          <w:rFonts w:ascii="宋体" w:hAnsi="宋体" w:cs="宋体"/>
          <w:sz w:val="24"/>
          <w:highlight w:val="none"/>
        </w:rPr>
      </w:pPr>
      <w:r>
        <w:rPr>
          <w:rFonts w:hint="eastAsia" w:ascii="宋体" w:hAnsi="宋体" w:cs="宋体"/>
          <w:sz w:val="24"/>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3D3638CE">
      <w:pPr>
        <w:spacing w:line="0" w:lineRule="atLeast"/>
        <w:ind w:firstLine="480"/>
        <w:rPr>
          <w:rFonts w:ascii="宋体" w:hAnsi="宋体" w:cs="宋体"/>
          <w:sz w:val="24"/>
          <w:highlight w:val="none"/>
        </w:rPr>
      </w:pPr>
      <w:r>
        <w:rPr>
          <w:rFonts w:hint="eastAsia" w:ascii="宋体" w:hAnsi="宋体" w:cs="宋体"/>
          <w:sz w:val="24"/>
          <w:highlight w:val="none"/>
        </w:rPr>
        <w:t>备注：该表仅适用于项目采用货币报价的情形。项目采用折扣率报价的，如需要填写投标分项报价表，请项目经办人自行设计表格。招标文件定稿后该备注删除。</w:t>
      </w:r>
    </w:p>
    <w:p w14:paraId="25A65837">
      <w:pPr>
        <w:spacing w:line="0" w:lineRule="atLeast"/>
        <w:ind w:firstLine="480"/>
        <w:rPr>
          <w:rFonts w:ascii="宋体" w:hAnsi="宋体" w:cs="宋体"/>
          <w:sz w:val="24"/>
          <w:highlight w:val="none"/>
        </w:rPr>
      </w:pPr>
      <w:r>
        <w:rPr>
          <w:rFonts w:hint="eastAsia" w:ascii="宋体" w:hAnsi="宋体" w:cs="宋体"/>
          <w:sz w:val="24"/>
          <w:highlight w:val="none"/>
        </w:rPr>
        <w:t> </w:t>
      </w:r>
    </w:p>
    <w:p w14:paraId="1C5D1100">
      <w:pPr>
        <w:jc w:val="center"/>
        <w:rPr>
          <w:sz w:val="24"/>
          <w:highlight w:val="none"/>
        </w:rPr>
      </w:pPr>
      <w:r>
        <w:rPr>
          <w:sz w:val="24"/>
          <w:highlight w:val="none"/>
        </w:rPr>
        <w:t> </w:t>
      </w:r>
    </w:p>
    <w:p w14:paraId="051C5977">
      <w:pPr>
        <w:jc w:val="center"/>
        <w:rPr>
          <w:sz w:val="24"/>
          <w:highlight w:val="none"/>
        </w:rPr>
      </w:pPr>
      <w:r>
        <w:rPr>
          <w:sz w:val="24"/>
          <w:highlight w:val="none"/>
        </w:rPr>
        <w:t> </w:t>
      </w:r>
    </w:p>
    <w:p w14:paraId="4B4C207C">
      <w:pPr>
        <w:jc w:val="center"/>
        <w:rPr>
          <w:sz w:val="24"/>
          <w:highlight w:val="none"/>
        </w:rPr>
      </w:pPr>
      <w:r>
        <w:rPr>
          <w:sz w:val="24"/>
          <w:highlight w:val="none"/>
        </w:rPr>
        <w:t> </w:t>
      </w:r>
    </w:p>
    <w:p w14:paraId="73E26B98">
      <w:pPr>
        <w:jc w:val="center"/>
        <w:rPr>
          <w:sz w:val="24"/>
          <w:highlight w:val="none"/>
        </w:rPr>
      </w:pPr>
      <w:r>
        <w:rPr>
          <w:sz w:val="24"/>
          <w:highlight w:val="none"/>
        </w:rPr>
        <w:t> </w:t>
      </w:r>
    </w:p>
    <w:p w14:paraId="212DBC82">
      <w:pPr>
        <w:jc w:val="center"/>
        <w:rPr>
          <w:sz w:val="24"/>
          <w:highlight w:val="none"/>
        </w:rPr>
      </w:pPr>
    </w:p>
    <w:p w14:paraId="42B7F48E">
      <w:pPr>
        <w:jc w:val="center"/>
        <w:rPr>
          <w:sz w:val="24"/>
          <w:highlight w:val="none"/>
        </w:rPr>
      </w:pPr>
    </w:p>
    <w:p w14:paraId="2B0A3401">
      <w:pPr>
        <w:jc w:val="center"/>
        <w:rPr>
          <w:sz w:val="24"/>
          <w:highlight w:val="none"/>
        </w:rPr>
      </w:pPr>
    </w:p>
    <w:p w14:paraId="3F5F5AB0">
      <w:pPr>
        <w:jc w:val="center"/>
        <w:rPr>
          <w:sz w:val="24"/>
          <w:highlight w:val="none"/>
        </w:rPr>
      </w:pPr>
    </w:p>
    <w:p w14:paraId="66892162">
      <w:pPr>
        <w:jc w:val="center"/>
        <w:rPr>
          <w:sz w:val="24"/>
          <w:highlight w:val="none"/>
        </w:rPr>
      </w:pPr>
    </w:p>
    <w:p w14:paraId="482001BC">
      <w:pPr>
        <w:jc w:val="center"/>
        <w:rPr>
          <w:sz w:val="24"/>
          <w:highlight w:val="none"/>
        </w:rPr>
      </w:pPr>
    </w:p>
    <w:p w14:paraId="12D1BE1E">
      <w:pPr>
        <w:jc w:val="center"/>
        <w:rPr>
          <w:sz w:val="24"/>
          <w:highlight w:val="none"/>
        </w:rPr>
      </w:pPr>
    </w:p>
    <w:p w14:paraId="54759E1A">
      <w:pPr>
        <w:jc w:val="center"/>
        <w:rPr>
          <w:sz w:val="24"/>
          <w:highlight w:val="none"/>
        </w:rPr>
      </w:pPr>
    </w:p>
    <w:p w14:paraId="370CD5AC">
      <w:pPr>
        <w:jc w:val="center"/>
        <w:rPr>
          <w:sz w:val="24"/>
          <w:highlight w:val="none"/>
        </w:rPr>
      </w:pPr>
    </w:p>
    <w:p w14:paraId="60FD26C3">
      <w:pPr>
        <w:jc w:val="center"/>
        <w:rPr>
          <w:sz w:val="24"/>
          <w:highlight w:val="none"/>
        </w:rPr>
      </w:pPr>
    </w:p>
    <w:p w14:paraId="2F173378">
      <w:pPr>
        <w:jc w:val="center"/>
        <w:rPr>
          <w:sz w:val="24"/>
          <w:highlight w:val="none"/>
        </w:rPr>
      </w:pPr>
    </w:p>
    <w:p w14:paraId="1BC1E1C0">
      <w:pPr>
        <w:jc w:val="center"/>
        <w:rPr>
          <w:sz w:val="24"/>
          <w:highlight w:val="none"/>
        </w:rPr>
      </w:pPr>
    </w:p>
    <w:p w14:paraId="5642B8A2">
      <w:pPr>
        <w:jc w:val="center"/>
        <w:rPr>
          <w:sz w:val="24"/>
          <w:highlight w:val="none"/>
        </w:rPr>
      </w:pPr>
    </w:p>
    <w:p w14:paraId="29309C3A">
      <w:pPr>
        <w:jc w:val="center"/>
        <w:rPr>
          <w:sz w:val="24"/>
          <w:highlight w:val="none"/>
        </w:rPr>
      </w:pPr>
    </w:p>
    <w:p w14:paraId="0ABF0D63">
      <w:pPr>
        <w:jc w:val="center"/>
        <w:rPr>
          <w:sz w:val="24"/>
          <w:highlight w:val="none"/>
        </w:rPr>
      </w:pPr>
    </w:p>
    <w:p w14:paraId="5B33E409">
      <w:pPr>
        <w:jc w:val="center"/>
        <w:rPr>
          <w:sz w:val="24"/>
          <w:highlight w:val="none"/>
        </w:rPr>
      </w:pPr>
      <w:r>
        <w:rPr>
          <w:rFonts w:hint="eastAsia" w:ascii="黑体" w:hAnsi="宋体" w:eastAsia="黑体" w:cs="黑体"/>
          <w:b/>
          <w:sz w:val="32"/>
          <w:szCs w:val="32"/>
          <w:highlight w:val="none"/>
        </w:rPr>
        <w:t>十四、技术要求响应及偏离表（分包号：**）</w:t>
      </w:r>
    </w:p>
    <w:tbl>
      <w:tblPr>
        <w:tblStyle w:val="47"/>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6D86EFDC">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BB38811">
            <w:pPr>
              <w:jc w:val="center"/>
              <w:rPr>
                <w:sz w:val="24"/>
                <w:highlight w:val="none"/>
              </w:rPr>
            </w:pPr>
            <w:r>
              <w:rPr>
                <w:rFonts w:hint="eastAsia" w:ascii="宋体" w:hAnsi="宋体" w:cs="宋体"/>
                <w:sz w:val="24"/>
                <w:highlight w:val="none"/>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0D5AF594">
            <w:pPr>
              <w:jc w:val="center"/>
              <w:rPr>
                <w:sz w:val="24"/>
                <w:highlight w:val="none"/>
              </w:rPr>
            </w:pPr>
            <w:r>
              <w:rPr>
                <w:rFonts w:hint="eastAsia" w:ascii="宋体" w:hAnsi="宋体" w:cs="宋体"/>
                <w:sz w:val="24"/>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4AF3FE14">
            <w:pPr>
              <w:jc w:val="center"/>
              <w:rPr>
                <w:sz w:val="24"/>
                <w:highlight w:val="none"/>
              </w:rPr>
            </w:pPr>
            <w:r>
              <w:rPr>
                <w:rFonts w:hint="eastAsia" w:ascii="宋体" w:hAnsi="宋体" w:cs="宋体"/>
                <w:sz w:val="24"/>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6C4EF052">
            <w:pPr>
              <w:jc w:val="center"/>
              <w:rPr>
                <w:sz w:val="24"/>
                <w:highlight w:val="none"/>
              </w:rPr>
            </w:pPr>
            <w:r>
              <w:rPr>
                <w:rFonts w:hint="eastAsia" w:ascii="宋体" w:hAnsi="宋体" w:cs="宋体"/>
                <w:sz w:val="24"/>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3CBD7F5D">
            <w:pPr>
              <w:jc w:val="center"/>
              <w:rPr>
                <w:sz w:val="24"/>
                <w:highlight w:val="none"/>
              </w:rPr>
            </w:pPr>
            <w:r>
              <w:rPr>
                <w:rFonts w:hint="eastAsia" w:ascii="宋体" w:hAnsi="宋体" w:cs="宋体"/>
                <w:sz w:val="24"/>
                <w:highlight w:val="none"/>
              </w:rPr>
              <w:t>证明</w:t>
            </w:r>
          </w:p>
          <w:p w14:paraId="699BB8E3">
            <w:pPr>
              <w:jc w:val="center"/>
              <w:rPr>
                <w:sz w:val="24"/>
                <w:highlight w:val="none"/>
              </w:rPr>
            </w:pPr>
            <w:r>
              <w:rPr>
                <w:rFonts w:hint="eastAsia" w:ascii="宋体" w:hAnsi="宋体" w:cs="宋体"/>
                <w:sz w:val="24"/>
                <w:highlight w:val="none"/>
              </w:rPr>
              <w:t>材料</w:t>
            </w:r>
          </w:p>
        </w:tc>
      </w:tr>
      <w:tr w14:paraId="7ECD54C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442648F">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50FAD5F">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12819D5">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8319478">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CD0C23C">
            <w:pPr>
              <w:jc w:val="center"/>
              <w:rPr>
                <w:sz w:val="24"/>
                <w:highlight w:val="none"/>
              </w:rPr>
            </w:pPr>
            <w:r>
              <w:rPr>
                <w:sz w:val="24"/>
                <w:highlight w:val="none"/>
              </w:rPr>
              <w:t> </w:t>
            </w:r>
          </w:p>
        </w:tc>
      </w:tr>
      <w:tr w14:paraId="7149A44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C794114">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AEBA644">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E9A3616">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3D8E455">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C041056">
            <w:pPr>
              <w:jc w:val="center"/>
              <w:rPr>
                <w:sz w:val="24"/>
                <w:highlight w:val="none"/>
              </w:rPr>
            </w:pPr>
            <w:r>
              <w:rPr>
                <w:sz w:val="24"/>
                <w:highlight w:val="none"/>
              </w:rPr>
              <w:t> </w:t>
            </w:r>
          </w:p>
        </w:tc>
      </w:tr>
      <w:tr w14:paraId="3689A48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1CAC75D">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2286547">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26D1D71">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0AC659B">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FDE1EA9">
            <w:pPr>
              <w:jc w:val="center"/>
              <w:rPr>
                <w:sz w:val="24"/>
                <w:highlight w:val="none"/>
              </w:rPr>
            </w:pPr>
            <w:r>
              <w:rPr>
                <w:sz w:val="24"/>
                <w:highlight w:val="none"/>
              </w:rPr>
              <w:t> </w:t>
            </w:r>
          </w:p>
        </w:tc>
      </w:tr>
      <w:tr w14:paraId="09E3F13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7DE8AA5">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01A7696">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5658895">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A682FAA">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87E7B58">
            <w:pPr>
              <w:jc w:val="center"/>
              <w:rPr>
                <w:sz w:val="24"/>
                <w:highlight w:val="none"/>
              </w:rPr>
            </w:pPr>
            <w:r>
              <w:rPr>
                <w:sz w:val="24"/>
                <w:highlight w:val="none"/>
              </w:rPr>
              <w:t> </w:t>
            </w:r>
          </w:p>
        </w:tc>
      </w:tr>
      <w:tr w14:paraId="6599224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9FB6DCF">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016F04E">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5180A64">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4B0AF59">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C7747E9">
            <w:pPr>
              <w:jc w:val="center"/>
              <w:rPr>
                <w:sz w:val="24"/>
                <w:highlight w:val="none"/>
              </w:rPr>
            </w:pPr>
            <w:r>
              <w:rPr>
                <w:sz w:val="24"/>
                <w:highlight w:val="none"/>
              </w:rPr>
              <w:t> </w:t>
            </w:r>
          </w:p>
        </w:tc>
      </w:tr>
      <w:tr w14:paraId="262E4DA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5180F78">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B770F62">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89AE710">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CCA7ABA">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C53D0E0">
            <w:pPr>
              <w:jc w:val="center"/>
              <w:rPr>
                <w:sz w:val="24"/>
                <w:highlight w:val="none"/>
              </w:rPr>
            </w:pPr>
            <w:r>
              <w:rPr>
                <w:sz w:val="24"/>
                <w:highlight w:val="none"/>
              </w:rPr>
              <w:t> </w:t>
            </w:r>
          </w:p>
        </w:tc>
      </w:tr>
      <w:tr w14:paraId="62A3BCD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245DE1A">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D4E033B">
            <w:pPr>
              <w:jc w:val="center"/>
              <w:rPr>
                <w:sz w:val="24"/>
                <w:highlight w:val="none"/>
              </w:rPr>
            </w:pPr>
            <w:r>
              <w:rPr>
                <w:sz w:val="24"/>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CBE3907">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A250CBC">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28AB815">
            <w:pPr>
              <w:jc w:val="center"/>
              <w:rPr>
                <w:sz w:val="24"/>
                <w:highlight w:val="none"/>
              </w:rPr>
            </w:pPr>
            <w:r>
              <w:rPr>
                <w:sz w:val="24"/>
                <w:highlight w:val="none"/>
              </w:rPr>
              <w:t> </w:t>
            </w:r>
          </w:p>
        </w:tc>
      </w:tr>
      <w:tr w14:paraId="020D63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2A5D38E">
            <w:pPr>
              <w:jc w:val="center"/>
              <w:rPr>
                <w:sz w:val="24"/>
                <w:highlight w:val="none"/>
              </w:rPr>
            </w:pPr>
            <w:r>
              <w:rPr>
                <w:sz w:val="24"/>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AD22E55">
            <w:pPr>
              <w:jc w:val="center"/>
              <w:rPr>
                <w:sz w:val="24"/>
                <w:highlight w:val="none"/>
              </w:rPr>
            </w:pPr>
            <w:r>
              <w:rPr>
                <w:rFonts w:hint="eastAsia" w:ascii="宋体" w:hAnsi="宋体" w:cs="宋体"/>
                <w:sz w:val="24"/>
                <w:highlight w:val="none"/>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2B032316">
            <w:pPr>
              <w:jc w:val="center"/>
              <w:rPr>
                <w:sz w:val="24"/>
                <w:highlight w:val="none"/>
              </w:rPr>
            </w:pPr>
            <w:r>
              <w:rPr>
                <w:sz w:val="24"/>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B1BA653">
            <w:pPr>
              <w:jc w:val="center"/>
              <w:rPr>
                <w:sz w:val="24"/>
                <w:highlight w:val="none"/>
              </w:rPr>
            </w:pPr>
            <w:r>
              <w:rPr>
                <w:sz w:val="24"/>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6AE9876">
            <w:pPr>
              <w:jc w:val="center"/>
              <w:rPr>
                <w:sz w:val="24"/>
                <w:highlight w:val="none"/>
              </w:rPr>
            </w:pPr>
            <w:r>
              <w:rPr>
                <w:sz w:val="24"/>
                <w:highlight w:val="none"/>
              </w:rPr>
              <w:t> </w:t>
            </w:r>
          </w:p>
        </w:tc>
      </w:tr>
    </w:tbl>
    <w:p w14:paraId="7B95444B">
      <w:pPr>
        <w:rPr>
          <w:sz w:val="24"/>
          <w:highlight w:val="none"/>
        </w:rPr>
      </w:pPr>
      <w:r>
        <w:rPr>
          <w:rFonts w:hint="eastAsia" w:ascii="宋体" w:hAnsi="宋体" w:cs="宋体"/>
          <w:sz w:val="24"/>
          <w:highlight w:val="none"/>
        </w:rPr>
        <w:t>注： 行数不够，可自行添加。</w:t>
      </w:r>
    </w:p>
    <w:p w14:paraId="31FF44C2">
      <w:pPr>
        <w:jc w:val="center"/>
        <w:rPr>
          <w:sz w:val="24"/>
          <w:highlight w:val="none"/>
        </w:rPr>
      </w:pPr>
      <w:r>
        <w:rPr>
          <w:sz w:val="24"/>
          <w:highlight w:val="none"/>
        </w:rPr>
        <w:t> </w:t>
      </w:r>
    </w:p>
    <w:p w14:paraId="10B23179">
      <w:pPr>
        <w:jc w:val="center"/>
        <w:rPr>
          <w:sz w:val="24"/>
          <w:highlight w:val="none"/>
        </w:rPr>
      </w:pPr>
      <w:r>
        <w:rPr>
          <w:sz w:val="24"/>
          <w:highlight w:val="none"/>
        </w:rPr>
        <w:t> </w:t>
      </w:r>
    </w:p>
    <w:p w14:paraId="5B1B00B8">
      <w:pPr>
        <w:jc w:val="center"/>
        <w:rPr>
          <w:sz w:val="24"/>
          <w:highlight w:val="none"/>
        </w:rPr>
      </w:pPr>
      <w:r>
        <w:rPr>
          <w:sz w:val="24"/>
          <w:highlight w:val="none"/>
        </w:rPr>
        <w:t> </w:t>
      </w:r>
    </w:p>
    <w:p w14:paraId="47AF8350">
      <w:pPr>
        <w:jc w:val="center"/>
        <w:rPr>
          <w:sz w:val="24"/>
          <w:highlight w:val="none"/>
        </w:rPr>
      </w:pPr>
      <w:r>
        <w:rPr>
          <w:sz w:val="24"/>
          <w:highlight w:val="none"/>
        </w:rPr>
        <w:t> </w:t>
      </w:r>
    </w:p>
    <w:p w14:paraId="735BBA60">
      <w:pPr>
        <w:rPr>
          <w:sz w:val="24"/>
          <w:highlight w:val="none"/>
        </w:rPr>
      </w:pPr>
      <w:r>
        <w:rPr>
          <w:sz w:val="24"/>
          <w:highlight w:val="none"/>
        </w:rPr>
        <w:t> </w:t>
      </w:r>
    </w:p>
    <w:p w14:paraId="1DFC6785">
      <w:pPr>
        <w:rPr>
          <w:sz w:val="24"/>
          <w:highlight w:val="none"/>
        </w:rPr>
      </w:pPr>
      <w:r>
        <w:rPr>
          <w:sz w:val="24"/>
          <w:highlight w:val="none"/>
        </w:rPr>
        <w:t> </w:t>
      </w:r>
    </w:p>
    <w:p w14:paraId="63E89366">
      <w:pPr>
        <w:rPr>
          <w:sz w:val="24"/>
          <w:highlight w:val="none"/>
        </w:rPr>
      </w:pPr>
      <w:r>
        <w:rPr>
          <w:sz w:val="24"/>
          <w:highlight w:val="none"/>
        </w:rPr>
        <w:t> </w:t>
      </w:r>
    </w:p>
    <w:p w14:paraId="5069A703">
      <w:pPr>
        <w:rPr>
          <w:sz w:val="24"/>
          <w:highlight w:val="none"/>
        </w:rPr>
      </w:pPr>
      <w:r>
        <w:rPr>
          <w:sz w:val="24"/>
          <w:highlight w:val="none"/>
        </w:rPr>
        <w:t> </w:t>
      </w:r>
    </w:p>
    <w:p w14:paraId="424D1B19">
      <w:pPr>
        <w:rPr>
          <w:sz w:val="24"/>
          <w:highlight w:val="none"/>
        </w:rPr>
      </w:pPr>
    </w:p>
    <w:p w14:paraId="360F8B9A">
      <w:pPr>
        <w:rPr>
          <w:sz w:val="24"/>
          <w:highlight w:val="none"/>
        </w:rPr>
      </w:pPr>
    </w:p>
    <w:p w14:paraId="76F417BB">
      <w:pPr>
        <w:rPr>
          <w:sz w:val="24"/>
          <w:highlight w:val="none"/>
        </w:rPr>
      </w:pPr>
    </w:p>
    <w:p w14:paraId="58450B31">
      <w:pPr>
        <w:rPr>
          <w:sz w:val="24"/>
          <w:highlight w:val="none"/>
        </w:rPr>
      </w:pPr>
    </w:p>
    <w:p w14:paraId="1043B5BD">
      <w:pPr>
        <w:rPr>
          <w:sz w:val="24"/>
          <w:highlight w:val="none"/>
        </w:rPr>
      </w:pPr>
    </w:p>
    <w:p w14:paraId="79F8A0E1">
      <w:pPr>
        <w:rPr>
          <w:sz w:val="24"/>
          <w:highlight w:val="none"/>
        </w:rPr>
      </w:pPr>
    </w:p>
    <w:p w14:paraId="4765FC2C">
      <w:pPr>
        <w:rPr>
          <w:sz w:val="24"/>
          <w:highlight w:val="none"/>
        </w:rPr>
      </w:pPr>
    </w:p>
    <w:p w14:paraId="05AEC048">
      <w:pPr>
        <w:rPr>
          <w:sz w:val="24"/>
          <w:highlight w:val="none"/>
        </w:rPr>
      </w:pPr>
    </w:p>
    <w:p w14:paraId="5AE68567">
      <w:pPr>
        <w:rPr>
          <w:sz w:val="24"/>
          <w:highlight w:val="none"/>
        </w:rPr>
      </w:pPr>
    </w:p>
    <w:p w14:paraId="64C2318E">
      <w:pPr>
        <w:rPr>
          <w:sz w:val="24"/>
          <w:highlight w:val="none"/>
        </w:rPr>
      </w:pPr>
    </w:p>
    <w:p w14:paraId="00E60AEE">
      <w:pPr>
        <w:rPr>
          <w:sz w:val="24"/>
          <w:highlight w:val="none"/>
        </w:rPr>
      </w:pPr>
    </w:p>
    <w:p w14:paraId="643A3D07">
      <w:pPr>
        <w:rPr>
          <w:sz w:val="24"/>
          <w:highlight w:val="none"/>
        </w:rPr>
      </w:pPr>
    </w:p>
    <w:p w14:paraId="21604FF1">
      <w:pPr>
        <w:rPr>
          <w:sz w:val="24"/>
          <w:highlight w:val="none"/>
        </w:rPr>
      </w:pPr>
    </w:p>
    <w:p w14:paraId="13A57FAD">
      <w:pPr>
        <w:rPr>
          <w:sz w:val="24"/>
          <w:highlight w:val="none"/>
        </w:rPr>
      </w:pPr>
      <w:r>
        <w:rPr>
          <w:sz w:val="24"/>
          <w:highlight w:val="none"/>
        </w:rPr>
        <w:t> </w:t>
      </w:r>
    </w:p>
    <w:p w14:paraId="14391E93">
      <w:pPr>
        <w:rPr>
          <w:sz w:val="24"/>
          <w:highlight w:val="none"/>
        </w:rPr>
      </w:pPr>
      <w:r>
        <w:rPr>
          <w:sz w:val="24"/>
          <w:highlight w:val="none"/>
        </w:rPr>
        <w:t> </w:t>
      </w:r>
    </w:p>
    <w:p w14:paraId="361191E6">
      <w:pPr>
        <w:rPr>
          <w:sz w:val="24"/>
          <w:highlight w:val="none"/>
        </w:rPr>
      </w:pPr>
      <w:r>
        <w:rPr>
          <w:sz w:val="24"/>
          <w:highlight w:val="none"/>
        </w:rPr>
        <w:t> </w:t>
      </w:r>
    </w:p>
    <w:p w14:paraId="7DCA93C6">
      <w:pPr>
        <w:jc w:val="center"/>
        <w:rPr>
          <w:sz w:val="24"/>
          <w:highlight w:val="none"/>
        </w:rPr>
      </w:pPr>
      <w:bookmarkStart w:id="127" w:name="_Hlt26955054"/>
      <w:r>
        <w:rPr>
          <w:rFonts w:hint="eastAsia" w:ascii="黑体" w:hAnsi="宋体" w:eastAsia="黑体" w:cs="黑体"/>
          <w:b/>
          <w:sz w:val="32"/>
          <w:szCs w:val="32"/>
          <w:highlight w:val="none"/>
        </w:rPr>
        <w:t>十五、商务要求响应及偏离表（分包号：**）</w:t>
      </w:r>
    </w:p>
    <w:tbl>
      <w:tblPr>
        <w:tblStyle w:val="47"/>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7E3137F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7544CCF8">
            <w:pPr>
              <w:jc w:val="center"/>
              <w:rPr>
                <w:sz w:val="24"/>
                <w:highlight w:val="none"/>
              </w:rPr>
            </w:pPr>
            <w:bookmarkStart w:id="128" w:name="_Hlt26671343"/>
            <w:bookmarkStart w:id="129" w:name="_Hlt26955056"/>
            <w:bookmarkStart w:id="130" w:name="_Hlt26782999"/>
            <w:bookmarkStart w:id="131" w:name="_Hlt26609391"/>
            <w:bookmarkStart w:id="132" w:name="_Hlt26955064"/>
            <w:bookmarkStart w:id="133" w:name="_Hlt26671372"/>
            <w:bookmarkStart w:id="134" w:name="_Hlt24879081"/>
            <w:bookmarkStart w:id="135" w:name="_Hlt26580838"/>
            <w:r>
              <w:rPr>
                <w:rFonts w:hint="eastAsia" w:ascii="宋体" w:hAnsi="宋体" w:cs="宋体"/>
                <w:sz w:val="24"/>
                <w:highlight w:val="none"/>
              </w:rPr>
              <w:t>序号</w:t>
            </w:r>
            <w:bookmarkEnd w:id="128"/>
            <w:bookmarkEnd w:id="129"/>
            <w:bookmarkEnd w:id="130"/>
            <w:bookmarkEnd w:id="131"/>
            <w:bookmarkEnd w:id="132"/>
            <w:bookmarkEnd w:id="133"/>
            <w:bookmarkEnd w:id="134"/>
            <w:bookmarkEnd w:id="135"/>
          </w:p>
        </w:tc>
        <w:tc>
          <w:tcPr>
            <w:tcW w:w="2469" w:type="dxa"/>
            <w:tcBorders>
              <w:top w:val="single" w:color="000000" w:sz="4" w:space="0"/>
              <w:left w:val="single" w:color="000000" w:sz="4" w:space="0"/>
              <w:bottom w:val="single" w:color="000000" w:sz="4" w:space="0"/>
              <w:right w:val="single" w:color="000000" w:sz="4" w:space="0"/>
            </w:tcBorders>
            <w:vAlign w:val="center"/>
          </w:tcPr>
          <w:p w14:paraId="41BD071F">
            <w:pPr>
              <w:jc w:val="center"/>
              <w:rPr>
                <w:sz w:val="24"/>
                <w:highlight w:val="none"/>
              </w:rPr>
            </w:pPr>
            <w:r>
              <w:rPr>
                <w:rFonts w:hint="eastAsia" w:ascii="宋体" w:hAnsi="宋体" w:cs="宋体"/>
                <w:sz w:val="24"/>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vAlign w:val="center"/>
          </w:tcPr>
          <w:p w14:paraId="7EFF84C1">
            <w:pPr>
              <w:jc w:val="center"/>
              <w:rPr>
                <w:sz w:val="24"/>
                <w:highlight w:val="none"/>
              </w:rPr>
            </w:pPr>
            <w:r>
              <w:rPr>
                <w:rFonts w:hint="eastAsia" w:ascii="宋体" w:hAnsi="宋体" w:cs="宋体"/>
                <w:sz w:val="24"/>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vAlign w:val="center"/>
          </w:tcPr>
          <w:p w14:paraId="757EE112">
            <w:pPr>
              <w:jc w:val="center"/>
              <w:rPr>
                <w:sz w:val="24"/>
                <w:highlight w:val="none"/>
              </w:rPr>
            </w:pPr>
            <w:r>
              <w:rPr>
                <w:rFonts w:hint="eastAsia" w:ascii="宋体" w:hAnsi="宋体" w:cs="宋体"/>
                <w:sz w:val="24"/>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vAlign w:val="center"/>
          </w:tcPr>
          <w:p w14:paraId="67FCC888">
            <w:pPr>
              <w:jc w:val="center"/>
              <w:rPr>
                <w:sz w:val="24"/>
                <w:highlight w:val="none"/>
              </w:rPr>
            </w:pPr>
            <w:r>
              <w:rPr>
                <w:rFonts w:hint="eastAsia" w:ascii="宋体" w:hAnsi="宋体" w:cs="宋体"/>
                <w:sz w:val="24"/>
                <w:highlight w:val="none"/>
              </w:rPr>
              <w:t>证明</w:t>
            </w:r>
          </w:p>
          <w:p w14:paraId="3EAEB3D3">
            <w:pPr>
              <w:jc w:val="center"/>
              <w:rPr>
                <w:sz w:val="24"/>
                <w:highlight w:val="none"/>
              </w:rPr>
            </w:pPr>
            <w:r>
              <w:rPr>
                <w:rFonts w:hint="eastAsia" w:ascii="宋体" w:hAnsi="宋体" w:cs="宋体"/>
                <w:sz w:val="24"/>
                <w:highlight w:val="none"/>
              </w:rPr>
              <w:t>材料</w:t>
            </w:r>
          </w:p>
        </w:tc>
      </w:tr>
      <w:tr w14:paraId="1865943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3105FB23">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55E09207">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3C6A6249">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1C594995">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7B9723B0">
            <w:pPr>
              <w:jc w:val="center"/>
              <w:rPr>
                <w:sz w:val="24"/>
                <w:highlight w:val="none"/>
              </w:rPr>
            </w:pPr>
            <w:r>
              <w:rPr>
                <w:sz w:val="24"/>
                <w:highlight w:val="none"/>
              </w:rPr>
              <w:t> </w:t>
            </w:r>
          </w:p>
        </w:tc>
      </w:tr>
      <w:tr w14:paraId="64BFE54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047A93D5">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6FFC2BB5">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6A2315E4">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57C4A72">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727EBFA0">
            <w:pPr>
              <w:jc w:val="center"/>
              <w:rPr>
                <w:sz w:val="24"/>
                <w:highlight w:val="none"/>
              </w:rPr>
            </w:pPr>
            <w:r>
              <w:rPr>
                <w:sz w:val="24"/>
                <w:highlight w:val="none"/>
              </w:rPr>
              <w:t> </w:t>
            </w:r>
          </w:p>
        </w:tc>
      </w:tr>
      <w:tr w14:paraId="63D3716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496EFB6A">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39D3F6BB">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4DD102D3">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557547F6">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7C5D03BF">
            <w:pPr>
              <w:jc w:val="center"/>
              <w:rPr>
                <w:sz w:val="24"/>
                <w:highlight w:val="none"/>
              </w:rPr>
            </w:pPr>
            <w:r>
              <w:rPr>
                <w:sz w:val="24"/>
                <w:highlight w:val="none"/>
              </w:rPr>
              <w:t> </w:t>
            </w:r>
          </w:p>
        </w:tc>
      </w:tr>
      <w:tr w14:paraId="5EA4568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0EA3119A">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12C561C3">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59205628">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E8F82B1">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57B4085A">
            <w:pPr>
              <w:jc w:val="center"/>
              <w:rPr>
                <w:sz w:val="24"/>
                <w:highlight w:val="none"/>
              </w:rPr>
            </w:pPr>
            <w:r>
              <w:rPr>
                <w:sz w:val="24"/>
                <w:highlight w:val="none"/>
              </w:rPr>
              <w:t> </w:t>
            </w:r>
          </w:p>
        </w:tc>
      </w:tr>
      <w:tr w14:paraId="5534377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5789C1B1">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53C63E74">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358B471D">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3592F635">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5E20F3E6">
            <w:pPr>
              <w:jc w:val="center"/>
              <w:rPr>
                <w:sz w:val="24"/>
                <w:highlight w:val="none"/>
              </w:rPr>
            </w:pPr>
            <w:r>
              <w:rPr>
                <w:sz w:val="24"/>
                <w:highlight w:val="none"/>
              </w:rPr>
              <w:t> </w:t>
            </w:r>
          </w:p>
        </w:tc>
      </w:tr>
      <w:tr w14:paraId="71937B8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5142F445">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599CE1E2">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2A08AC90">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6ED5CEA7">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43BDF2EF">
            <w:pPr>
              <w:jc w:val="center"/>
              <w:rPr>
                <w:sz w:val="24"/>
                <w:highlight w:val="none"/>
              </w:rPr>
            </w:pPr>
            <w:r>
              <w:rPr>
                <w:sz w:val="24"/>
                <w:highlight w:val="none"/>
              </w:rPr>
              <w:t> </w:t>
            </w:r>
          </w:p>
        </w:tc>
      </w:tr>
      <w:tr w14:paraId="78C08AF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11EA6EA">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4B0066BB">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7E2C8383">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ED38B06">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725F120F">
            <w:pPr>
              <w:jc w:val="center"/>
              <w:rPr>
                <w:sz w:val="24"/>
                <w:highlight w:val="none"/>
              </w:rPr>
            </w:pPr>
            <w:r>
              <w:rPr>
                <w:sz w:val="24"/>
                <w:highlight w:val="none"/>
              </w:rPr>
              <w:t> </w:t>
            </w:r>
          </w:p>
        </w:tc>
      </w:tr>
      <w:tr w14:paraId="2C6DF59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1E9008CE">
            <w:pPr>
              <w:jc w:val="center"/>
              <w:rPr>
                <w:sz w:val="24"/>
                <w:highlight w:val="none"/>
              </w:rPr>
            </w:pPr>
            <w:r>
              <w:rPr>
                <w:sz w:val="24"/>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670BBB29">
            <w:pPr>
              <w:jc w:val="center"/>
              <w:rPr>
                <w:sz w:val="24"/>
                <w:highlight w:val="none"/>
              </w:rPr>
            </w:pPr>
            <w:r>
              <w:rPr>
                <w:sz w:val="24"/>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2499CE65">
            <w:pPr>
              <w:jc w:val="center"/>
              <w:rPr>
                <w:sz w:val="24"/>
                <w:highlight w:val="none"/>
              </w:rPr>
            </w:pPr>
            <w:r>
              <w:rPr>
                <w:sz w:val="24"/>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74CAE939">
            <w:pPr>
              <w:jc w:val="center"/>
              <w:rPr>
                <w:sz w:val="24"/>
                <w:highlight w:val="none"/>
              </w:rPr>
            </w:pPr>
            <w:r>
              <w:rPr>
                <w:sz w:val="24"/>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2A1CBE98">
            <w:pPr>
              <w:jc w:val="center"/>
              <w:rPr>
                <w:sz w:val="24"/>
                <w:highlight w:val="none"/>
              </w:rPr>
            </w:pPr>
            <w:r>
              <w:rPr>
                <w:sz w:val="24"/>
                <w:highlight w:val="none"/>
              </w:rPr>
              <w:t> </w:t>
            </w:r>
          </w:p>
        </w:tc>
      </w:tr>
    </w:tbl>
    <w:p w14:paraId="18A8A6EC">
      <w:pPr>
        <w:rPr>
          <w:sz w:val="24"/>
          <w:highlight w:val="none"/>
        </w:rPr>
      </w:pPr>
      <w:r>
        <w:rPr>
          <w:rFonts w:hint="eastAsia" w:ascii="宋体" w:hAnsi="宋体" w:cs="宋体"/>
          <w:sz w:val="24"/>
          <w:highlight w:val="none"/>
        </w:rPr>
        <w:t>注： 行数不够，可自行添加。</w:t>
      </w:r>
    </w:p>
    <w:p w14:paraId="21246B54">
      <w:pPr>
        <w:spacing w:line="480" w:lineRule="auto"/>
        <w:rPr>
          <w:sz w:val="24"/>
          <w:highlight w:val="none"/>
        </w:rPr>
      </w:pPr>
      <w:r>
        <w:rPr>
          <w:sz w:val="24"/>
          <w:highlight w:val="none"/>
        </w:rPr>
        <w:t> </w:t>
      </w:r>
    </w:p>
    <w:p w14:paraId="298CEEEE">
      <w:pPr>
        <w:spacing w:line="480" w:lineRule="auto"/>
        <w:rPr>
          <w:sz w:val="24"/>
          <w:highlight w:val="none"/>
        </w:rPr>
      </w:pPr>
      <w:r>
        <w:rPr>
          <w:sz w:val="24"/>
          <w:highlight w:val="none"/>
        </w:rPr>
        <w:t> </w:t>
      </w:r>
    </w:p>
    <w:p w14:paraId="0C95C772">
      <w:pPr>
        <w:jc w:val="center"/>
        <w:rPr>
          <w:sz w:val="24"/>
          <w:highlight w:val="none"/>
        </w:rPr>
      </w:pPr>
      <w:bookmarkStart w:id="136" w:name="_Hlt26609389"/>
      <w:bookmarkStart w:id="137" w:name="_格式2__法定代表人授权书"/>
      <w:bookmarkStart w:id="138" w:name="_Toc462564146"/>
      <w:bookmarkStart w:id="139" w:name="_Hlt26671374"/>
      <w:bookmarkStart w:id="140" w:name="_Hlt26955066"/>
      <w:r>
        <w:rPr>
          <w:sz w:val="24"/>
          <w:highlight w:val="none"/>
        </w:rPr>
        <w:t> </w:t>
      </w:r>
    </w:p>
    <w:p w14:paraId="66D85A0D">
      <w:pPr>
        <w:rPr>
          <w:sz w:val="24"/>
          <w:highlight w:val="none"/>
        </w:rPr>
      </w:pPr>
      <w:r>
        <w:rPr>
          <w:sz w:val="24"/>
          <w:highlight w:val="none"/>
        </w:rPr>
        <w:t> </w:t>
      </w:r>
    </w:p>
    <w:p w14:paraId="24717449">
      <w:pPr>
        <w:rPr>
          <w:sz w:val="24"/>
          <w:highlight w:val="none"/>
        </w:rPr>
      </w:pPr>
      <w:r>
        <w:rPr>
          <w:sz w:val="24"/>
          <w:highlight w:val="none"/>
        </w:rPr>
        <w:t> </w:t>
      </w:r>
    </w:p>
    <w:p w14:paraId="1AF68C49">
      <w:pPr>
        <w:rPr>
          <w:sz w:val="24"/>
          <w:highlight w:val="none"/>
        </w:rPr>
      </w:pPr>
    </w:p>
    <w:p w14:paraId="7A83C9A2">
      <w:pPr>
        <w:rPr>
          <w:sz w:val="24"/>
          <w:highlight w:val="none"/>
        </w:rPr>
      </w:pPr>
    </w:p>
    <w:p w14:paraId="0F93B33C">
      <w:pPr>
        <w:rPr>
          <w:sz w:val="24"/>
          <w:highlight w:val="none"/>
        </w:rPr>
      </w:pPr>
    </w:p>
    <w:p w14:paraId="3BA2691B">
      <w:pPr>
        <w:rPr>
          <w:sz w:val="24"/>
          <w:highlight w:val="none"/>
        </w:rPr>
      </w:pPr>
    </w:p>
    <w:p w14:paraId="75B15704">
      <w:pPr>
        <w:rPr>
          <w:sz w:val="24"/>
          <w:highlight w:val="none"/>
        </w:rPr>
      </w:pPr>
    </w:p>
    <w:p w14:paraId="6AF3487A">
      <w:pPr>
        <w:rPr>
          <w:sz w:val="24"/>
          <w:highlight w:val="none"/>
        </w:rPr>
      </w:pPr>
    </w:p>
    <w:p w14:paraId="77D182E0">
      <w:pPr>
        <w:rPr>
          <w:sz w:val="24"/>
          <w:highlight w:val="none"/>
        </w:rPr>
      </w:pPr>
    </w:p>
    <w:p w14:paraId="3E0C6456">
      <w:pPr>
        <w:rPr>
          <w:sz w:val="24"/>
          <w:highlight w:val="none"/>
        </w:rPr>
      </w:pPr>
    </w:p>
    <w:p w14:paraId="2AADE7EF">
      <w:pPr>
        <w:rPr>
          <w:sz w:val="24"/>
          <w:highlight w:val="none"/>
        </w:rPr>
      </w:pPr>
    </w:p>
    <w:p w14:paraId="12CB8F84">
      <w:pPr>
        <w:rPr>
          <w:sz w:val="24"/>
          <w:highlight w:val="none"/>
        </w:rPr>
      </w:pPr>
    </w:p>
    <w:p w14:paraId="1CBBABE4">
      <w:pPr>
        <w:rPr>
          <w:sz w:val="24"/>
          <w:highlight w:val="none"/>
        </w:rPr>
      </w:pPr>
    </w:p>
    <w:p w14:paraId="55042723">
      <w:pPr>
        <w:rPr>
          <w:sz w:val="24"/>
          <w:highlight w:val="none"/>
        </w:rPr>
      </w:pPr>
    </w:p>
    <w:p w14:paraId="36797FDC">
      <w:pPr>
        <w:rPr>
          <w:sz w:val="24"/>
          <w:highlight w:val="none"/>
        </w:rPr>
      </w:pPr>
    </w:p>
    <w:p w14:paraId="2EDA015B">
      <w:pPr>
        <w:rPr>
          <w:sz w:val="24"/>
          <w:highlight w:val="none"/>
        </w:rPr>
      </w:pPr>
    </w:p>
    <w:p w14:paraId="5BAC2D2E">
      <w:pPr>
        <w:rPr>
          <w:sz w:val="24"/>
          <w:highlight w:val="none"/>
        </w:rPr>
      </w:pPr>
    </w:p>
    <w:p w14:paraId="6C7F40F9">
      <w:pPr>
        <w:rPr>
          <w:sz w:val="24"/>
          <w:highlight w:val="none"/>
        </w:rPr>
      </w:pPr>
    </w:p>
    <w:p w14:paraId="3CE0DEC5">
      <w:pPr>
        <w:rPr>
          <w:sz w:val="24"/>
          <w:highlight w:val="none"/>
        </w:rPr>
      </w:pPr>
    </w:p>
    <w:p w14:paraId="4E988329">
      <w:pPr>
        <w:rPr>
          <w:sz w:val="24"/>
          <w:highlight w:val="none"/>
        </w:rPr>
      </w:pPr>
    </w:p>
    <w:p w14:paraId="158AFFEF">
      <w:pPr>
        <w:rPr>
          <w:sz w:val="24"/>
          <w:highlight w:val="none"/>
        </w:rPr>
      </w:pPr>
    </w:p>
    <w:p w14:paraId="7791FDBC">
      <w:pPr>
        <w:jc w:val="center"/>
        <w:rPr>
          <w:sz w:val="24"/>
          <w:highlight w:val="none"/>
        </w:rPr>
      </w:pPr>
      <w:r>
        <w:rPr>
          <w:rFonts w:hint="eastAsia" w:ascii="黑体" w:hAnsi="宋体" w:eastAsia="黑体" w:cs="黑体"/>
          <w:b/>
          <w:i/>
          <w:sz w:val="32"/>
          <w:szCs w:val="32"/>
          <w:highlight w:val="none"/>
          <w:u w:val="single"/>
        </w:rPr>
        <w:t>十六、开标一览表</w:t>
      </w:r>
    </w:p>
    <w:p w14:paraId="1061EBDE">
      <w:pPr>
        <w:ind w:firstLine="480"/>
        <w:rPr>
          <w:sz w:val="24"/>
          <w:highlight w:val="none"/>
        </w:rPr>
      </w:pPr>
      <w:r>
        <w:rPr>
          <w:rFonts w:hint="eastAsia" w:ascii="宋体" w:hAnsi="宋体" w:cs="宋体"/>
          <w:sz w:val="24"/>
          <w:highlight w:val="none"/>
        </w:rPr>
        <w:t>投标人全称（加盖CA电子签章）：</w:t>
      </w:r>
    </w:p>
    <w:p w14:paraId="759B677A">
      <w:pPr>
        <w:ind w:firstLine="480"/>
        <w:rPr>
          <w:sz w:val="24"/>
          <w:highlight w:val="none"/>
        </w:rPr>
      </w:pPr>
      <w:r>
        <w:rPr>
          <w:rFonts w:hint="eastAsia" w:ascii="宋体" w:hAnsi="宋体" w:cs="宋体"/>
          <w:sz w:val="24"/>
          <w:highlight w:val="none"/>
        </w:rPr>
        <w:t>项目名称：</w:t>
      </w:r>
    </w:p>
    <w:p w14:paraId="51FB8F08">
      <w:pPr>
        <w:ind w:firstLine="480"/>
        <w:rPr>
          <w:rFonts w:ascii="宋体" w:hAnsi="宋体" w:cs="宋体"/>
          <w:sz w:val="24"/>
          <w:highlight w:val="none"/>
        </w:rPr>
      </w:pPr>
      <w:r>
        <w:rPr>
          <w:rFonts w:hint="eastAsia" w:ascii="宋体" w:hAnsi="宋体" w:cs="宋体"/>
          <w:sz w:val="24"/>
          <w:highlight w:val="none"/>
        </w:rPr>
        <w:t>项目编号：</w:t>
      </w:r>
    </w:p>
    <w:p w14:paraId="4334DE76">
      <w:pPr>
        <w:ind w:firstLine="480"/>
        <w:rPr>
          <w:sz w:val="24"/>
          <w:highlight w:val="none"/>
        </w:rPr>
      </w:pPr>
      <w:r>
        <w:rPr>
          <w:rFonts w:hint="eastAsia" w:ascii="宋体" w:hAnsi="宋体" w:cs="宋体"/>
          <w:sz w:val="24"/>
          <w:highlight w:val="none"/>
        </w:rPr>
        <w:t>分包号：</w:t>
      </w:r>
    </w:p>
    <w:tbl>
      <w:tblPr>
        <w:tblStyle w:val="47"/>
        <w:tblW w:w="8206" w:type="dxa"/>
        <w:tblCellSpacing w:w="0" w:type="dxa"/>
        <w:tblInd w:w="118" w:type="dxa"/>
        <w:tblLayout w:type="fixed"/>
        <w:tblCellMar>
          <w:top w:w="0" w:type="dxa"/>
          <w:left w:w="108" w:type="dxa"/>
          <w:bottom w:w="0" w:type="dxa"/>
          <w:right w:w="108" w:type="dxa"/>
        </w:tblCellMar>
      </w:tblPr>
      <w:tblGrid>
        <w:gridCol w:w="8206"/>
      </w:tblGrid>
      <w:tr w14:paraId="232D8801">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0F471602">
            <w:pPr>
              <w:jc w:val="center"/>
              <w:rPr>
                <w:sz w:val="24"/>
                <w:highlight w:val="none"/>
              </w:rPr>
            </w:pPr>
            <w:r>
              <w:rPr>
                <w:rFonts w:hint="eastAsia" w:ascii="宋体" w:hAnsi="宋体" w:cs="宋体"/>
                <w:sz w:val="24"/>
                <w:highlight w:val="none"/>
              </w:rPr>
              <w:t>投标总报价</w:t>
            </w:r>
          </w:p>
        </w:tc>
      </w:tr>
      <w:tr w14:paraId="57CC93E9">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03A9FC91">
            <w:pPr>
              <w:spacing w:line="0" w:lineRule="atLeast"/>
              <w:jc w:val="left"/>
              <w:rPr>
                <w:rFonts w:ascii="宋体" w:hAnsi="宋体" w:cs="宋体"/>
                <w:sz w:val="24"/>
                <w:highlight w:val="none"/>
              </w:rPr>
            </w:pPr>
            <w:r>
              <w:rPr>
                <w:rFonts w:hint="eastAsia" w:ascii="宋体" w:hAnsi="宋体" w:cs="宋体"/>
                <w:sz w:val="24"/>
                <w:highlight w:val="none"/>
              </w:rPr>
              <w:t>大写：</w:t>
            </w:r>
          </w:p>
        </w:tc>
      </w:tr>
      <w:tr w14:paraId="78E61391">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7BE8D64E">
            <w:pPr>
              <w:spacing w:line="0" w:lineRule="atLeast"/>
              <w:jc w:val="left"/>
              <w:rPr>
                <w:sz w:val="24"/>
                <w:highlight w:val="none"/>
              </w:rPr>
            </w:pPr>
            <w:r>
              <w:rPr>
                <w:rFonts w:hint="eastAsia" w:ascii="宋体" w:hAnsi="宋体" w:cs="宋体"/>
                <w:sz w:val="24"/>
                <w:highlight w:val="none"/>
              </w:rPr>
              <w:t>小写：                        （人民币：元）</w:t>
            </w:r>
          </w:p>
        </w:tc>
      </w:tr>
    </w:tbl>
    <w:p w14:paraId="0085894F">
      <w:pPr>
        <w:rPr>
          <w:sz w:val="24"/>
          <w:highlight w:val="none"/>
        </w:rPr>
      </w:pPr>
      <w:r>
        <w:rPr>
          <w:sz w:val="24"/>
          <w:highlight w:val="none"/>
        </w:rPr>
        <w:t> </w:t>
      </w:r>
    </w:p>
    <w:p w14:paraId="10BAF282">
      <w:pPr>
        <w:ind w:firstLine="480"/>
        <w:rPr>
          <w:sz w:val="24"/>
          <w:highlight w:val="none"/>
        </w:rPr>
      </w:pPr>
      <w:r>
        <w:rPr>
          <w:rFonts w:hint="eastAsia" w:ascii="宋体" w:hAnsi="宋体" w:cs="宋体"/>
          <w:sz w:val="24"/>
          <w:highlight w:val="none"/>
        </w:rPr>
        <w:t xml:space="preserve">                                              日期：  </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52E01215">
      <w:pPr>
        <w:ind w:firstLine="480"/>
        <w:rPr>
          <w:sz w:val="24"/>
          <w:highlight w:val="none"/>
        </w:rPr>
      </w:pPr>
      <w:r>
        <w:rPr>
          <w:sz w:val="24"/>
          <w:highlight w:val="none"/>
        </w:rPr>
        <w:t> </w:t>
      </w:r>
    </w:p>
    <w:p w14:paraId="15303D57">
      <w:pPr>
        <w:widowControl/>
        <w:spacing w:before="50" w:after="50"/>
        <w:jc w:val="center"/>
        <w:rPr>
          <w:highlight w:val="none"/>
        </w:rPr>
      </w:pPr>
    </w:p>
    <w:p w14:paraId="22B27185">
      <w:pPr>
        <w:widowControl/>
        <w:spacing w:before="50" w:after="50"/>
        <w:jc w:val="center"/>
        <w:rPr>
          <w:highlight w:val="none"/>
        </w:rPr>
      </w:pPr>
    </w:p>
    <w:p w14:paraId="3B60CB73">
      <w:pPr>
        <w:widowControl/>
        <w:spacing w:before="50" w:after="50"/>
        <w:jc w:val="center"/>
        <w:rPr>
          <w:highlight w:val="none"/>
        </w:rPr>
      </w:pPr>
    </w:p>
    <w:p w14:paraId="49810BBA">
      <w:pPr>
        <w:jc w:val="left"/>
        <w:rPr>
          <w:rFonts w:ascii="宋体" w:cs="宋体"/>
          <w:sz w:val="24"/>
          <w:highlight w:val="none"/>
        </w:rPr>
      </w:pPr>
    </w:p>
    <w:p w14:paraId="25613F94">
      <w:pPr>
        <w:jc w:val="left"/>
        <w:rPr>
          <w:rFonts w:ascii="宋体" w:cs="宋体"/>
          <w:sz w:val="24"/>
          <w:highlight w:val="none"/>
        </w:rPr>
      </w:pPr>
    </w:p>
    <w:p w14:paraId="09FC1CE0">
      <w:pPr>
        <w:jc w:val="left"/>
        <w:rPr>
          <w:rFonts w:ascii="宋体" w:cs="宋体"/>
          <w:sz w:val="24"/>
          <w:highlight w:val="none"/>
        </w:rPr>
      </w:pPr>
    </w:p>
    <w:p w14:paraId="605A6316">
      <w:pPr>
        <w:jc w:val="left"/>
        <w:rPr>
          <w:rFonts w:ascii="宋体" w:cs="宋体"/>
          <w:sz w:val="24"/>
          <w:highlight w:val="none"/>
        </w:rPr>
      </w:pPr>
    </w:p>
    <w:p w14:paraId="615C909C">
      <w:pPr>
        <w:jc w:val="left"/>
        <w:rPr>
          <w:rFonts w:ascii="宋体" w:cs="宋体"/>
          <w:sz w:val="24"/>
          <w:highlight w:val="none"/>
        </w:rPr>
      </w:pPr>
    </w:p>
    <w:p w14:paraId="44122650">
      <w:pPr>
        <w:jc w:val="left"/>
        <w:rPr>
          <w:rFonts w:ascii="宋体" w:cs="宋体"/>
          <w:sz w:val="24"/>
          <w:highlight w:val="none"/>
        </w:rPr>
      </w:pPr>
    </w:p>
    <w:p w14:paraId="767CE4D2">
      <w:pPr>
        <w:jc w:val="left"/>
        <w:rPr>
          <w:rFonts w:ascii="宋体" w:cs="宋体"/>
          <w:sz w:val="24"/>
          <w:highlight w:val="none"/>
        </w:rPr>
      </w:pPr>
    </w:p>
    <w:p w14:paraId="51C85247">
      <w:pPr>
        <w:jc w:val="left"/>
        <w:rPr>
          <w:rFonts w:ascii="宋体" w:cs="宋体"/>
          <w:sz w:val="24"/>
          <w:highlight w:val="none"/>
        </w:rPr>
      </w:pPr>
    </w:p>
    <w:p w14:paraId="1503AEE0">
      <w:pPr>
        <w:jc w:val="left"/>
        <w:rPr>
          <w:rFonts w:ascii="宋体" w:cs="宋体"/>
          <w:sz w:val="24"/>
          <w:highlight w:val="none"/>
        </w:rPr>
      </w:pPr>
    </w:p>
    <w:p w14:paraId="6B76F495">
      <w:pPr>
        <w:jc w:val="left"/>
        <w:rPr>
          <w:rFonts w:ascii="宋体" w:cs="宋体"/>
          <w:sz w:val="24"/>
          <w:highlight w:val="none"/>
        </w:rPr>
      </w:pPr>
    </w:p>
    <w:p w14:paraId="766205B4">
      <w:pPr>
        <w:jc w:val="left"/>
        <w:rPr>
          <w:rFonts w:ascii="宋体" w:cs="宋体"/>
          <w:sz w:val="24"/>
          <w:highlight w:val="none"/>
        </w:rPr>
      </w:pPr>
    </w:p>
    <w:p w14:paraId="2551B937">
      <w:pPr>
        <w:jc w:val="left"/>
        <w:rPr>
          <w:rFonts w:ascii="宋体" w:cs="宋体"/>
          <w:sz w:val="24"/>
          <w:highlight w:val="none"/>
        </w:rPr>
      </w:pPr>
    </w:p>
    <w:p w14:paraId="7793A87E">
      <w:pPr>
        <w:jc w:val="left"/>
        <w:rPr>
          <w:rFonts w:ascii="宋体" w:cs="宋体"/>
          <w:sz w:val="24"/>
          <w:highlight w:val="none"/>
        </w:rPr>
      </w:pPr>
    </w:p>
    <w:p w14:paraId="747C11F9">
      <w:pPr>
        <w:jc w:val="left"/>
        <w:rPr>
          <w:rFonts w:ascii="宋体" w:cs="宋体"/>
          <w:sz w:val="24"/>
          <w:highlight w:val="none"/>
        </w:rPr>
      </w:pPr>
    </w:p>
    <w:p w14:paraId="5486DD6D">
      <w:pPr>
        <w:jc w:val="left"/>
        <w:rPr>
          <w:rFonts w:ascii="宋体" w:cs="宋体"/>
          <w:sz w:val="24"/>
          <w:highlight w:val="none"/>
        </w:rPr>
      </w:pPr>
    </w:p>
    <w:p w14:paraId="207F3E33">
      <w:pPr>
        <w:jc w:val="left"/>
        <w:rPr>
          <w:rFonts w:ascii="宋体" w:cs="宋体"/>
          <w:sz w:val="24"/>
          <w:highlight w:val="none"/>
        </w:rPr>
      </w:pPr>
    </w:p>
    <w:p w14:paraId="601E9EA2">
      <w:pPr>
        <w:jc w:val="left"/>
        <w:rPr>
          <w:rFonts w:ascii="宋体" w:cs="宋体"/>
          <w:sz w:val="24"/>
          <w:highlight w:val="none"/>
        </w:rPr>
      </w:pPr>
    </w:p>
    <w:p w14:paraId="1685D035">
      <w:pPr>
        <w:jc w:val="left"/>
        <w:rPr>
          <w:rFonts w:ascii="宋体" w:cs="宋体"/>
          <w:sz w:val="24"/>
          <w:highlight w:val="none"/>
        </w:rPr>
      </w:pPr>
    </w:p>
    <w:p w14:paraId="58F4625B">
      <w:pPr>
        <w:jc w:val="left"/>
        <w:rPr>
          <w:rFonts w:ascii="宋体" w:cs="宋体"/>
          <w:sz w:val="24"/>
          <w:highlight w:val="none"/>
        </w:rPr>
      </w:pPr>
    </w:p>
    <w:p w14:paraId="70C5230C">
      <w:pPr>
        <w:jc w:val="left"/>
        <w:rPr>
          <w:rFonts w:ascii="宋体" w:cs="宋体"/>
          <w:sz w:val="24"/>
          <w:highlight w:val="none"/>
        </w:rPr>
      </w:pPr>
    </w:p>
    <w:p w14:paraId="7494B492">
      <w:pPr>
        <w:jc w:val="left"/>
        <w:rPr>
          <w:rFonts w:ascii="宋体" w:cs="宋体"/>
          <w:sz w:val="24"/>
          <w:highlight w:val="none"/>
        </w:rPr>
      </w:pPr>
    </w:p>
    <w:p w14:paraId="52ADF87E">
      <w:pPr>
        <w:jc w:val="left"/>
        <w:rPr>
          <w:rFonts w:ascii="宋体" w:cs="宋体"/>
          <w:sz w:val="24"/>
          <w:highlight w:val="none"/>
        </w:rPr>
      </w:pPr>
    </w:p>
    <w:p w14:paraId="78770AF8">
      <w:pPr>
        <w:jc w:val="left"/>
        <w:rPr>
          <w:rFonts w:ascii="宋体" w:cs="宋体"/>
          <w:sz w:val="24"/>
          <w:highlight w:val="none"/>
        </w:rPr>
      </w:pPr>
    </w:p>
    <w:p w14:paraId="757BED89">
      <w:pPr>
        <w:jc w:val="left"/>
        <w:rPr>
          <w:rFonts w:ascii="宋体" w:cs="宋体"/>
          <w:sz w:val="24"/>
          <w:highlight w:val="none"/>
        </w:rPr>
      </w:pPr>
    </w:p>
    <w:p w14:paraId="3D9CAF64">
      <w:pPr>
        <w:jc w:val="left"/>
        <w:rPr>
          <w:rFonts w:ascii="宋体" w:cs="宋体"/>
          <w:sz w:val="24"/>
          <w:highlight w:val="none"/>
        </w:rPr>
      </w:pPr>
    </w:p>
    <w:p w14:paraId="4D9062FB">
      <w:pPr>
        <w:jc w:val="left"/>
        <w:rPr>
          <w:rFonts w:ascii="宋体" w:cs="宋体"/>
          <w:sz w:val="24"/>
          <w:highlight w:val="none"/>
        </w:rPr>
      </w:pPr>
    </w:p>
    <w:p w14:paraId="16ED0244">
      <w:pPr>
        <w:widowControl/>
        <w:spacing w:before="50" w:after="50"/>
        <w:jc w:val="center"/>
        <w:rPr>
          <w:highlight w:val="none"/>
        </w:rPr>
      </w:pPr>
    </w:p>
    <w:p w14:paraId="7FF51673">
      <w:pPr>
        <w:widowControl/>
        <w:spacing w:before="50" w:after="50"/>
        <w:jc w:val="center"/>
        <w:rPr>
          <w:highlight w:val="none"/>
        </w:rPr>
      </w:pPr>
    </w:p>
    <w:p w14:paraId="3B5AFDC1">
      <w:pPr>
        <w:widowControl/>
        <w:spacing w:before="50" w:after="50"/>
        <w:jc w:val="center"/>
        <w:rPr>
          <w:highlight w:val="none"/>
        </w:rPr>
      </w:pPr>
    </w:p>
    <w:p w14:paraId="1CD7E3FF">
      <w:pPr>
        <w:widowControl/>
        <w:spacing w:before="50" w:after="50"/>
        <w:jc w:val="center"/>
        <w:rPr>
          <w:rFonts w:ascii="宋体" w:hAnsi="宋体" w:cs="宋体"/>
          <w:b/>
          <w:bCs/>
          <w:sz w:val="24"/>
          <w:highlight w:val="none"/>
        </w:rPr>
      </w:pPr>
      <w:r>
        <w:rPr>
          <w:rFonts w:hint="eastAsia" w:ascii="宋体" w:hAnsi="宋体" w:cs="宋体"/>
          <w:b/>
          <w:bCs/>
          <w:sz w:val="32"/>
          <w:szCs w:val="32"/>
          <w:highlight w:val="none"/>
        </w:rPr>
        <w:t>十七、技术方案、服务承诺、培训承诺等</w:t>
      </w:r>
    </w:p>
    <w:p w14:paraId="76653D01">
      <w:pPr>
        <w:tabs>
          <w:tab w:val="left" w:pos="2160"/>
        </w:tabs>
        <w:rPr>
          <w:sz w:val="24"/>
          <w:highlight w:val="none"/>
        </w:rPr>
      </w:pPr>
    </w:p>
    <w:p w14:paraId="6E18440A">
      <w:pPr>
        <w:widowControl/>
        <w:spacing w:line="499" w:lineRule="atLeast"/>
        <w:ind w:firstLine="1600"/>
        <w:rPr>
          <w:rFonts w:ascii="宋体" w:hAnsi="宋体" w:cs="宋体"/>
          <w:sz w:val="32"/>
          <w:szCs w:val="32"/>
          <w:highlight w:val="none"/>
        </w:rPr>
      </w:pPr>
    </w:p>
    <w:p w14:paraId="4EBF4074">
      <w:pPr>
        <w:widowControl/>
        <w:spacing w:line="499" w:lineRule="atLeast"/>
        <w:ind w:firstLine="1600"/>
        <w:rPr>
          <w:rFonts w:ascii="宋体" w:hAnsi="宋体" w:cs="宋体"/>
          <w:sz w:val="32"/>
          <w:szCs w:val="32"/>
          <w:highlight w:val="none"/>
        </w:rPr>
      </w:pPr>
    </w:p>
    <w:p w14:paraId="1EA05B09">
      <w:pPr>
        <w:widowControl/>
        <w:spacing w:line="499" w:lineRule="atLeast"/>
        <w:ind w:firstLine="1600"/>
        <w:rPr>
          <w:rFonts w:ascii="宋体" w:hAnsi="宋体" w:cs="宋体"/>
          <w:sz w:val="32"/>
          <w:szCs w:val="32"/>
          <w:highlight w:val="none"/>
        </w:rPr>
      </w:pPr>
    </w:p>
    <w:p w14:paraId="31DC7776">
      <w:pPr>
        <w:widowControl/>
        <w:spacing w:line="499" w:lineRule="atLeast"/>
        <w:ind w:firstLine="1600"/>
        <w:rPr>
          <w:rFonts w:ascii="宋体" w:hAnsi="宋体" w:cs="宋体"/>
          <w:sz w:val="32"/>
          <w:szCs w:val="32"/>
          <w:highlight w:val="none"/>
        </w:rPr>
      </w:pPr>
    </w:p>
    <w:p w14:paraId="12BBF6D6">
      <w:pPr>
        <w:widowControl/>
        <w:spacing w:line="499" w:lineRule="atLeast"/>
        <w:ind w:firstLine="1600"/>
        <w:rPr>
          <w:rFonts w:ascii="宋体" w:hAnsi="宋体" w:cs="宋体"/>
          <w:sz w:val="32"/>
          <w:szCs w:val="32"/>
          <w:highlight w:val="none"/>
        </w:rPr>
      </w:pPr>
    </w:p>
    <w:p w14:paraId="0D53EC18">
      <w:pPr>
        <w:widowControl/>
        <w:spacing w:line="499" w:lineRule="atLeast"/>
        <w:ind w:firstLine="1600"/>
        <w:rPr>
          <w:rFonts w:ascii="宋体" w:hAnsi="宋体" w:cs="宋体"/>
          <w:sz w:val="32"/>
          <w:szCs w:val="32"/>
          <w:highlight w:val="none"/>
        </w:rPr>
      </w:pPr>
    </w:p>
    <w:p w14:paraId="1F171987">
      <w:pPr>
        <w:widowControl/>
        <w:spacing w:line="499" w:lineRule="atLeast"/>
        <w:ind w:firstLine="1600"/>
        <w:rPr>
          <w:rFonts w:ascii="宋体" w:hAnsi="宋体" w:cs="宋体"/>
          <w:sz w:val="32"/>
          <w:szCs w:val="32"/>
          <w:highlight w:val="none"/>
        </w:rPr>
      </w:pPr>
    </w:p>
    <w:p w14:paraId="43C07885">
      <w:pPr>
        <w:widowControl/>
        <w:spacing w:line="499" w:lineRule="atLeast"/>
        <w:ind w:firstLine="1600"/>
        <w:rPr>
          <w:rFonts w:ascii="宋体" w:hAnsi="宋体" w:cs="宋体"/>
          <w:sz w:val="32"/>
          <w:szCs w:val="32"/>
          <w:highlight w:val="none"/>
        </w:rPr>
      </w:pPr>
    </w:p>
    <w:p w14:paraId="760CA849">
      <w:pPr>
        <w:widowControl/>
        <w:spacing w:line="499" w:lineRule="atLeast"/>
        <w:ind w:firstLine="1600"/>
        <w:rPr>
          <w:rFonts w:ascii="宋体" w:hAnsi="宋体" w:cs="宋体"/>
          <w:sz w:val="32"/>
          <w:szCs w:val="32"/>
          <w:highlight w:val="none"/>
        </w:rPr>
      </w:pPr>
    </w:p>
    <w:p w14:paraId="7E4705A2">
      <w:pPr>
        <w:widowControl/>
        <w:spacing w:line="499" w:lineRule="atLeast"/>
        <w:ind w:firstLine="1600"/>
        <w:rPr>
          <w:rFonts w:ascii="宋体" w:hAnsi="宋体" w:cs="宋体"/>
          <w:sz w:val="32"/>
          <w:szCs w:val="32"/>
          <w:highlight w:val="none"/>
        </w:rPr>
      </w:pPr>
    </w:p>
    <w:p w14:paraId="0750436C">
      <w:pPr>
        <w:widowControl/>
        <w:spacing w:line="499" w:lineRule="atLeast"/>
        <w:ind w:firstLine="1600"/>
        <w:rPr>
          <w:rFonts w:ascii="宋体" w:hAnsi="宋体" w:cs="宋体"/>
          <w:sz w:val="32"/>
          <w:szCs w:val="32"/>
          <w:highlight w:val="none"/>
        </w:rPr>
      </w:pPr>
    </w:p>
    <w:p w14:paraId="0B1D1F7F">
      <w:pPr>
        <w:widowControl/>
        <w:spacing w:line="499" w:lineRule="atLeast"/>
        <w:ind w:firstLine="1600"/>
        <w:rPr>
          <w:rFonts w:ascii="宋体" w:hAnsi="宋体" w:cs="宋体"/>
          <w:sz w:val="32"/>
          <w:szCs w:val="32"/>
          <w:highlight w:val="none"/>
        </w:rPr>
      </w:pPr>
    </w:p>
    <w:p w14:paraId="3BE86898">
      <w:pPr>
        <w:widowControl/>
        <w:spacing w:line="499" w:lineRule="atLeast"/>
        <w:ind w:firstLine="1600"/>
        <w:rPr>
          <w:rFonts w:ascii="宋体" w:hAnsi="宋体" w:cs="宋体"/>
          <w:sz w:val="32"/>
          <w:szCs w:val="32"/>
          <w:highlight w:val="none"/>
        </w:rPr>
      </w:pPr>
    </w:p>
    <w:p w14:paraId="35260DB3">
      <w:pPr>
        <w:widowControl/>
        <w:spacing w:line="499" w:lineRule="atLeast"/>
        <w:ind w:firstLine="1600"/>
        <w:rPr>
          <w:rFonts w:ascii="宋体" w:hAnsi="宋体" w:cs="宋体"/>
          <w:sz w:val="32"/>
          <w:szCs w:val="32"/>
          <w:highlight w:val="none"/>
        </w:rPr>
      </w:pPr>
    </w:p>
    <w:p w14:paraId="5341C059">
      <w:pPr>
        <w:widowControl/>
        <w:spacing w:line="499" w:lineRule="atLeast"/>
        <w:ind w:firstLine="1600"/>
        <w:rPr>
          <w:rFonts w:ascii="宋体" w:hAnsi="宋体" w:cs="宋体"/>
          <w:sz w:val="32"/>
          <w:szCs w:val="32"/>
          <w:highlight w:val="none"/>
        </w:rPr>
      </w:pPr>
    </w:p>
    <w:p w14:paraId="3C971AC2">
      <w:pPr>
        <w:widowControl/>
        <w:spacing w:line="499" w:lineRule="atLeast"/>
        <w:ind w:firstLine="1600"/>
        <w:rPr>
          <w:rFonts w:ascii="宋体" w:hAnsi="宋体" w:cs="宋体"/>
          <w:sz w:val="32"/>
          <w:szCs w:val="32"/>
          <w:highlight w:val="none"/>
        </w:rPr>
      </w:pPr>
    </w:p>
    <w:p w14:paraId="3F22E626">
      <w:pPr>
        <w:widowControl/>
        <w:spacing w:line="499" w:lineRule="atLeast"/>
        <w:ind w:firstLine="1600"/>
        <w:rPr>
          <w:rFonts w:ascii="宋体" w:hAnsi="宋体" w:cs="宋体"/>
          <w:sz w:val="32"/>
          <w:szCs w:val="32"/>
          <w:highlight w:val="none"/>
        </w:rPr>
      </w:pPr>
    </w:p>
    <w:p w14:paraId="78094070">
      <w:pPr>
        <w:widowControl/>
        <w:spacing w:line="499" w:lineRule="atLeast"/>
        <w:ind w:firstLine="1600"/>
        <w:rPr>
          <w:rFonts w:ascii="宋体" w:hAnsi="宋体" w:cs="宋体"/>
          <w:sz w:val="32"/>
          <w:szCs w:val="32"/>
          <w:highlight w:val="none"/>
        </w:rPr>
      </w:pPr>
    </w:p>
    <w:p w14:paraId="76E9AFD0">
      <w:pPr>
        <w:widowControl/>
        <w:spacing w:line="499" w:lineRule="atLeast"/>
        <w:ind w:firstLine="1600"/>
        <w:rPr>
          <w:rFonts w:ascii="宋体" w:hAnsi="宋体" w:cs="宋体"/>
          <w:sz w:val="32"/>
          <w:szCs w:val="32"/>
          <w:highlight w:val="none"/>
        </w:rPr>
      </w:pPr>
    </w:p>
    <w:p w14:paraId="18A67297">
      <w:pPr>
        <w:widowControl/>
        <w:spacing w:line="499" w:lineRule="atLeast"/>
        <w:ind w:firstLine="1600"/>
        <w:rPr>
          <w:rFonts w:ascii="宋体" w:hAnsi="宋体" w:cs="宋体"/>
          <w:sz w:val="32"/>
          <w:szCs w:val="32"/>
          <w:highlight w:val="none"/>
        </w:rPr>
      </w:pPr>
    </w:p>
    <w:p w14:paraId="1BB8F7D2">
      <w:pPr>
        <w:widowControl/>
        <w:spacing w:line="499" w:lineRule="atLeast"/>
        <w:ind w:firstLine="1600"/>
        <w:rPr>
          <w:rFonts w:ascii="宋体" w:hAnsi="宋体" w:cs="宋体"/>
          <w:sz w:val="32"/>
          <w:szCs w:val="32"/>
          <w:highlight w:val="none"/>
        </w:rPr>
      </w:pPr>
    </w:p>
    <w:p w14:paraId="20AF2B38">
      <w:pPr>
        <w:widowControl/>
        <w:spacing w:line="499" w:lineRule="atLeast"/>
        <w:ind w:firstLine="1600"/>
        <w:rPr>
          <w:rFonts w:ascii="宋体" w:hAnsi="宋体" w:cs="宋体"/>
          <w:sz w:val="32"/>
          <w:szCs w:val="32"/>
          <w:highlight w:val="none"/>
        </w:rPr>
      </w:pPr>
    </w:p>
    <w:p w14:paraId="2780FC34">
      <w:pPr>
        <w:widowControl/>
        <w:spacing w:line="499" w:lineRule="atLeast"/>
        <w:ind w:firstLine="1600"/>
        <w:rPr>
          <w:rFonts w:ascii="宋体" w:hAnsi="宋体" w:cs="宋体"/>
          <w:sz w:val="32"/>
          <w:szCs w:val="32"/>
          <w:highlight w:val="none"/>
        </w:rPr>
      </w:pPr>
    </w:p>
    <w:bookmarkEnd w:id="124"/>
    <w:bookmarkEnd w:id="125"/>
    <w:bookmarkEnd w:id="126"/>
    <w:bookmarkEnd w:id="127"/>
    <w:bookmarkEnd w:id="136"/>
    <w:bookmarkEnd w:id="137"/>
    <w:bookmarkEnd w:id="138"/>
    <w:bookmarkEnd w:id="139"/>
    <w:bookmarkEnd w:id="140"/>
    <w:p w14:paraId="746BBEC8">
      <w:pPr>
        <w:widowControl/>
        <w:spacing w:line="499" w:lineRule="atLeast"/>
        <w:rPr>
          <w:rFonts w:ascii="宋体" w:hAnsi="宋体" w:cs="宋体"/>
          <w:sz w:val="32"/>
          <w:szCs w:val="32"/>
          <w:highlight w:val="none"/>
        </w:rPr>
      </w:pPr>
    </w:p>
    <w:p w14:paraId="00B1B2D7">
      <w:pPr>
        <w:widowControl/>
        <w:spacing w:line="499" w:lineRule="atLeast"/>
        <w:ind w:firstLine="1600"/>
        <w:rPr>
          <w:rFonts w:ascii="宋体" w:hAnsi="宋体" w:cs="宋体"/>
          <w:b/>
          <w:bCs/>
          <w:sz w:val="24"/>
          <w:highlight w:val="none"/>
        </w:rPr>
      </w:pPr>
      <w:r>
        <w:rPr>
          <w:rFonts w:hint="eastAsia" w:ascii="宋体" w:hAnsi="宋体" w:cs="宋体"/>
          <w:b/>
          <w:bCs/>
          <w:sz w:val="32"/>
          <w:szCs w:val="32"/>
          <w:highlight w:val="none"/>
        </w:rPr>
        <w:t>十八、盐城市政府采购事前信用承诺书</w:t>
      </w:r>
    </w:p>
    <w:p w14:paraId="3FD5DDAB">
      <w:pPr>
        <w:widowControl/>
        <w:spacing w:line="499" w:lineRule="atLeast"/>
        <w:ind w:firstLine="640"/>
        <w:jc w:val="left"/>
        <w:rPr>
          <w:rFonts w:ascii="宋体" w:hAnsi="宋体" w:cs="宋体"/>
          <w:sz w:val="24"/>
          <w:highlight w:val="none"/>
        </w:rPr>
      </w:pPr>
      <w:r>
        <w:rPr>
          <w:rFonts w:hint="eastAsia" w:ascii="宋体" w:hAnsi="宋体" w:cs="宋体"/>
          <w:sz w:val="32"/>
          <w:szCs w:val="32"/>
          <w:highlight w:val="none"/>
        </w:rPr>
        <w:t> </w:t>
      </w:r>
    </w:p>
    <w:p w14:paraId="27CE4914">
      <w:pPr>
        <w:widowControl/>
        <w:spacing w:line="499" w:lineRule="atLeast"/>
        <w:ind w:firstLine="480"/>
        <w:jc w:val="left"/>
        <w:rPr>
          <w:rFonts w:ascii="宋体" w:hAnsi="宋体" w:cs="宋体"/>
          <w:sz w:val="24"/>
          <w:highlight w:val="none"/>
        </w:rPr>
      </w:pPr>
      <w:r>
        <w:rPr>
          <w:rFonts w:hint="eastAsia" w:ascii="宋体" w:hAnsi="宋体" w:cs="宋体"/>
          <w:sz w:val="24"/>
          <w:highlight w:val="none"/>
        </w:rPr>
        <w:t>为营造我市公开、公平、公正、诚实守信的政府采购交易环境，树立诚信守法的投标人形象，本人代表本单位作出以下承诺：</w:t>
      </w:r>
    </w:p>
    <w:p w14:paraId="4BF7862D">
      <w:pPr>
        <w:widowControl/>
        <w:spacing w:line="499" w:lineRule="atLeast"/>
        <w:jc w:val="left"/>
        <w:rPr>
          <w:rFonts w:ascii="宋体" w:hAnsi="宋体" w:cs="宋体"/>
          <w:sz w:val="24"/>
          <w:highlight w:val="none"/>
        </w:rPr>
      </w:pPr>
      <w:r>
        <w:rPr>
          <w:rFonts w:hint="eastAsia" w:ascii="宋体" w:hAnsi="宋体" w:cs="宋体"/>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ED07EE1">
      <w:pPr>
        <w:widowControl/>
        <w:spacing w:line="499" w:lineRule="atLeast"/>
        <w:ind w:firstLine="480"/>
        <w:jc w:val="left"/>
        <w:rPr>
          <w:rFonts w:ascii="宋体" w:hAnsi="宋体" w:cs="宋体"/>
          <w:sz w:val="24"/>
          <w:highlight w:val="none"/>
        </w:rPr>
      </w:pPr>
      <w:r>
        <w:rPr>
          <w:rFonts w:hint="eastAsia" w:ascii="宋体" w:hAnsi="宋体" w:cs="宋体"/>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C209690">
      <w:pPr>
        <w:widowControl/>
        <w:spacing w:line="499" w:lineRule="atLeast"/>
        <w:jc w:val="left"/>
        <w:rPr>
          <w:rFonts w:ascii="宋体" w:hAnsi="宋体" w:cs="宋体"/>
          <w:sz w:val="24"/>
          <w:highlight w:val="none"/>
        </w:rPr>
      </w:pPr>
      <w:r>
        <w:rPr>
          <w:rFonts w:hint="eastAsia" w:ascii="宋体" w:hAnsi="宋体" w:cs="宋体"/>
          <w:sz w:val="24"/>
          <w:highlight w:val="none"/>
        </w:rPr>
        <w:t xml:space="preserve">   （三）严格依照国家和省、市关于政府采购的法律、法规、规章、规范性文件，参加政府采购投标活动；积极履行社会责任，促进廉政建设； </w:t>
      </w:r>
    </w:p>
    <w:p w14:paraId="4AAD1E4F">
      <w:pPr>
        <w:widowControl/>
        <w:spacing w:line="499" w:lineRule="atLeast"/>
        <w:jc w:val="left"/>
        <w:rPr>
          <w:rFonts w:ascii="宋体" w:hAnsi="宋体" w:cs="宋体"/>
          <w:sz w:val="24"/>
          <w:highlight w:val="none"/>
        </w:rPr>
      </w:pPr>
      <w:r>
        <w:rPr>
          <w:rFonts w:hint="eastAsia" w:ascii="宋体" w:hAnsi="宋体" w:cs="宋体"/>
          <w:sz w:val="24"/>
          <w:highlight w:val="none"/>
        </w:rPr>
        <w:t>   （四）严格遵守即时信息公示规定，及时维护和更新维护和更新盐城市政府采购网中与本单位相关的信息；</w:t>
      </w:r>
    </w:p>
    <w:p w14:paraId="0C635B28">
      <w:pPr>
        <w:widowControl/>
        <w:spacing w:line="499" w:lineRule="atLeast"/>
        <w:jc w:val="left"/>
        <w:rPr>
          <w:rFonts w:ascii="宋体" w:hAnsi="宋体" w:cs="宋体"/>
          <w:sz w:val="24"/>
          <w:highlight w:val="none"/>
        </w:rPr>
      </w:pPr>
      <w:r>
        <w:rPr>
          <w:rFonts w:hint="eastAsia" w:ascii="宋体" w:hAnsi="宋体" w:cs="宋体"/>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B78703B">
      <w:pPr>
        <w:widowControl/>
        <w:spacing w:line="499" w:lineRule="atLeast"/>
        <w:jc w:val="left"/>
        <w:rPr>
          <w:rFonts w:ascii="宋体" w:hAnsi="宋体" w:cs="宋体"/>
          <w:sz w:val="24"/>
          <w:highlight w:val="none"/>
        </w:rPr>
      </w:pPr>
      <w:r>
        <w:rPr>
          <w:rFonts w:hint="eastAsia" w:ascii="宋体" w:hAnsi="宋体" w:cs="宋体"/>
          <w:sz w:val="24"/>
          <w:highlight w:val="none"/>
        </w:rPr>
        <w:t>   （六）自觉接受政府、行业组织、社会公众、新闻舆论的监督；</w:t>
      </w:r>
    </w:p>
    <w:p w14:paraId="44FBBD84">
      <w:pPr>
        <w:widowControl/>
        <w:spacing w:line="499" w:lineRule="atLeast"/>
        <w:ind w:firstLine="480"/>
        <w:jc w:val="left"/>
        <w:rPr>
          <w:rFonts w:ascii="宋体" w:hAnsi="宋体" w:cs="宋体"/>
          <w:sz w:val="24"/>
          <w:highlight w:val="none"/>
        </w:rPr>
      </w:pPr>
      <w:r>
        <w:rPr>
          <w:rFonts w:hint="eastAsia" w:ascii="宋体" w:hAnsi="宋体" w:cs="宋体"/>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C91D879">
      <w:pPr>
        <w:widowControl/>
        <w:spacing w:line="499" w:lineRule="atLeast"/>
        <w:jc w:val="left"/>
        <w:rPr>
          <w:rFonts w:ascii="宋体" w:hAnsi="宋体" w:cs="宋体"/>
          <w:sz w:val="24"/>
          <w:highlight w:val="none"/>
        </w:rPr>
      </w:pPr>
      <w:r>
        <w:rPr>
          <w:rFonts w:hint="eastAsia" w:ascii="宋体" w:hAnsi="宋体" w:cs="宋体"/>
          <w:sz w:val="24"/>
          <w:highlight w:val="none"/>
        </w:rPr>
        <w:t>   （八）本人已认真阅读了上述承诺，并向本单位员工作了宣传教育。</w:t>
      </w:r>
    </w:p>
    <w:p w14:paraId="1AB8369D">
      <w:pPr>
        <w:widowControl/>
        <w:spacing w:line="499" w:lineRule="atLeast"/>
        <w:jc w:val="left"/>
        <w:rPr>
          <w:rFonts w:ascii="宋体" w:hAnsi="宋体" w:cs="宋体"/>
          <w:sz w:val="24"/>
          <w:highlight w:val="none"/>
        </w:rPr>
      </w:pPr>
      <w:r>
        <w:rPr>
          <w:rFonts w:hint="eastAsia" w:ascii="宋体" w:hAnsi="宋体" w:cs="宋体"/>
          <w:sz w:val="24"/>
          <w:highlight w:val="none"/>
        </w:rPr>
        <w:t>                  法定代表人签名：</w:t>
      </w:r>
    </w:p>
    <w:p w14:paraId="788CD5DF">
      <w:pPr>
        <w:widowControl/>
        <w:spacing w:line="499" w:lineRule="atLeast"/>
        <w:jc w:val="center"/>
        <w:rPr>
          <w:rFonts w:ascii="宋体" w:hAnsi="宋体" w:cs="宋体"/>
          <w:sz w:val="24"/>
          <w:highlight w:val="none"/>
        </w:rPr>
      </w:pPr>
      <w:r>
        <w:rPr>
          <w:rFonts w:hint="eastAsia" w:ascii="宋体" w:hAnsi="宋体" w:cs="宋体"/>
          <w:sz w:val="24"/>
          <w:highlight w:val="none"/>
        </w:rPr>
        <w:t>                   单位名称（盖章）：</w:t>
      </w:r>
    </w:p>
    <w:p w14:paraId="71910D7C">
      <w:pPr>
        <w:widowControl/>
        <w:spacing w:line="499" w:lineRule="atLeast"/>
        <w:jc w:val="center"/>
        <w:rPr>
          <w:rFonts w:ascii="宋体" w:hAnsi="宋体" w:cs="宋体"/>
          <w:sz w:val="24"/>
          <w:highlight w:val="none"/>
        </w:rPr>
      </w:pPr>
      <w:r>
        <w:rPr>
          <w:rFonts w:hint="eastAsia" w:ascii="宋体" w:hAnsi="宋体" w:cs="宋体"/>
          <w:sz w:val="24"/>
          <w:highlight w:val="none"/>
        </w:rPr>
        <w:t>                      年月日</w:t>
      </w:r>
    </w:p>
    <w:p w14:paraId="79A53017">
      <w:pPr>
        <w:jc w:val="center"/>
        <w:rPr>
          <w:sz w:val="24"/>
          <w:highlight w:val="none"/>
        </w:rPr>
      </w:pPr>
    </w:p>
    <w:p w14:paraId="4F29D3B2">
      <w:pPr>
        <w:jc w:val="center"/>
        <w:rPr>
          <w:sz w:val="24"/>
          <w:highlight w:val="none"/>
        </w:rPr>
      </w:pPr>
    </w:p>
    <w:p w14:paraId="4E773638">
      <w:pPr>
        <w:jc w:val="center"/>
        <w:rPr>
          <w:sz w:val="24"/>
          <w:highlight w:val="none"/>
        </w:rPr>
      </w:pPr>
    </w:p>
    <w:p w14:paraId="267317C7">
      <w:pPr>
        <w:jc w:val="center"/>
        <w:rPr>
          <w:sz w:val="24"/>
          <w:highlight w:val="none"/>
        </w:rPr>
      </w:pPr>
    </w:p>
    <w:p w14:paraId="1D8B6E55">
      <w:pPr>
        <w:jc w:val="center"/>
        <w:rPr>
          <w:sz w:val="24"/>
          <w:highlight w:val="none"/>
        </w:rPr>
      </w:pPr>
    </w:p>
    <w:p w14:paraId="7F6BDF3B">
      <w:pPr>
        <w:rPr>
          <w:highlight w:val="none"/>
        </w:rPr>
      </w:pPr>
    </w:p>
    <w:p w14:paraId="464DD9C7">
      <w:pPr>
        <w:jc w:val="center"/>
        <w:rPr>
          <w:rFonts w:ascii="宋体" w:hAnsi="宋体" w:cs="宋体"/>
          <w:b/>
          <w:sz w:val="32"/>
          <w:szCs w:val="32"/>
          <w:highlight w:val="none"/>
        </w:rPr>
      </w:pPr>
      <w:r>
        <w:rPr>
          <w:rFonts w:hint="eastAsia" w:ascii="宋体" w:hAnsi="宋体" w:cs="宋体"/>
          <w:b/>
          <w:sz w:val="32"/>
          <w:szCs w:val="32"/>
          <w:highlight w:val="none"/>
        </w:rPr>
        <w:t>质疑函范本</w:t>
      </w:r>
    </w:p>
    <w:p w14:paraId="526A3A9B">
      <w:pPr>
        <w:spacing w:before="290" w:line="360" w:lineRule="auto"/>
        <w:rPr>
          <w:rFonts w:ascii="宋体" w:hAnsi="宋体" w:cs="宋体"/>
          <w:sz w:val="24"/>
          <w:highlight w:val="none"/>
        </w:rPr>
      </w:pPr>
      <w:r>
        <w:rPr>
          <w:rFonts w:hint="eastAsia" w:ascii="宋体" w:hAnsi="宋体" w:cs="宋体"/>
          <w:sz w:val="24"/>
          <w:highlight w:val="none"/>
        </w:rPr>
        <w:t>一、质疑供应商基本信息</w:t>
      </w:r>
    </w:p>
    <w:p w14:paraId="3A5B8528">
      <w:pPr>
        <w:spacing w:line="360" w:lineRule="auto"/>
        <w:rPr>
          <w:rFonts w:ascii="宋体" w:hAnsi="宋体" w:cs="宋体"/>
          <w:sz w:val="24"/>
          <w:highlight w:val="none"/>
        </w:rPr>
      </w:pPr>
      <w:r>
        <w:rPr>
          <w:rFonts w:hint="eastAsia" w:ascii="宋体" w:hAnsi="宋体" w:cs="宋体"/>
          <w:sz w:val="24"/>
          <w:highlight w:val="none"/>
        </w:rPr>
        <w:t>质疑供应商：</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5AC87B1E">
      <w:pPr>
        <w:spacing w:line="360" w:lineRule="auto"/>
        <w:rPr>
          <w:rFonts w:ascii="宋体" w:hAnsi="宋体" w:cs="宋体"/>
          <w:sz w:val="24"/>
          <w:highlight w:val="none"/>
          <w:u w:val="single"/>
        </w:rPr>
      </w:pPr>
      <w:r>
        <w:rPr>
          <w:rFonts w:hint="eastAsia" w:ascii="宋体" w:hAnsi="宋体" w:cs="宋体"/>
          <w:sz w:val="24"/>
          <w:highlight w:val="none"/>
        </w:rPr>
        <w:t>地址：</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w:t>
      </w:r>
    </w:p>
    <w:p w14:paraId="5105DD49">
      <w:pPr>
        <w:spacing w:line="360" w:lineRule="auto"/>
        <w:rPr>
          <w:rFonts w:ascii="宋体" w:hAnsi="宋体" w:cs="宋体"/>
          <w:sz w:val="24"/>
          <w:highlight w:val="none"/>
        </w:rPr>
      </w:pPr>
      <w:r>
        <w:rPr>
          <w:rFonts w:hint="eastAsia" w:ascii="宋体" w:hAnsi="宋体" w:cs="宋体"/>
          <w:sz w:val="24"/>
          <w:highlight w:val="none"/>
        </w:rPr>
        <w:t>邮编：</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512A8374">
      <w:pPr>
        <w:spacing w:line="360" w:lineRule="auto"/>
        <w:rPr>
          <w:rFonts w:ascii="宋体" w:hAnsi="宋体" w:cs="宋体"/>
          <w:sz w:val="24"/>
          <w:highlight w:val="none"/>
          <w:u w:val="single"/>
        </w:rPr>
      </w:pPr>
      <w:r>
        <w:rPr>
          <w:rFonts w:hint="eastAsia" w:ascii="宋体" w:hAnsi="宋体" w:cs="宋体"/>
          <w:sz w:val="24"/>
          <w:highlight w:val="none"/>
        </w:rPr>
        <w:t>联系人：</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3E5804FE">
      <w:pPr>
        <w:spacing w:line="360" w:lineRule="auto"/>
        <w:rPr>
          <w:rFonts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xml:space="preserve">                                           </w:t>
      </w:r>
    </w:p>
    <w:p w14:paraId="6B031185">
      <w:pPr>
        <w:spacing w:line="360" w:lineRule="auto"/>
        <w:rPr>
          <w:rFonts w:ascii="宋体" w:hAnsi="宋体" w:cs="宋体"/>
          <w:sz w:val="24"/>
          <w:highlight w:val="none"/>
        </w:rPr>
      </w:pPr>
      <w:r>
        <w:rPr>
          <w:rFonts w:hint="eastAsia" w:ascii="宋体" w:hAnsi="宋体" w:cs="宋体"/>
          <w:sz w:val="24"/>
          <w:highlight w:val="none"/>
        </w:rPr>
        <w:t>授权代表：</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0DAC5A13">
      <w:pPr>
        <w:spacing w:line="360" w:lineRule="auto"/>
        <w:rPr>
          <w:rFonts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1BD86A70">
      <w:pPr>
        <w:spacing w:line="360" w:lineRule="auto"/>
        <w:rPr>
          <w:rFonts w:ascii="宋体" w:hAnsi="宋体" w:cs="宋体"/>
          <w:sz w:val="24"/>
          <w:highlight w:val="none"/>
          <w:u w:val="single"/>
        </w:rPr>
      </w:pPr>
      <w:r>
        <w:rPr>
          <w:rFonts w:hint="eastAsia" w:ascii="宋体" w:hAnsi="宋体" w:cs="宋体"/>
          <w:sz w:val="24"/>
          <w:highlight w:val="none"/>
        </w:rPr>
        <w:t>地址： </w:t>
      </w:r>
      <w:r>
        <w:rPr>
          <w:rFonts w:hint="eastAsia" w:ascii="宋体" w:hAnsi="宋体" w:cs="宋体"/>
          <w:sz w:val="24"/>
          <w:highlight w:val="none"/>
          <w:u w:val="single"/>
        </w:rPr>
        <w:t>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2ADEA7D1">
      <w:pPr>
        <w:spacing w:line="360" w:lineRule="auto"/>
        <w:rPr>
          <w:rFonts w:ascii="宋体" w:hAnsi="宋体" w:cs="宋体"/>
          <w:sz w:val="24"/>
          <w:highlight w:val="none"/>
        </w:rPr>
      </w:pPr>
      <w:r>
        <w:rPr>
          <w:rFonts w:hint="eastAsia" w:ascii="宋体" w:hAnsi="宋体" w:cs="宋体"/>
          <w:sz w:val="24"/>
          <w:highlight w:val="none"/>
        </w:rPr>
        <w:t>邮编：</w:t>
      </w:r>
      <w:r>
        <w:rPr>
          <w:rFonts w:hint="eastAsia" w:ascii="宋体" w:hAnsi="宋体" w:cs="宋体"/>
          <w:sz w:val="24"/>
          <w:highlight w:val="none"/>
          <w:u w:val="single"/>
        </w:rPr>
        <w:t xml:space="preserve">                                </w:t>
      </w:r>
    </w:p>
    <w:p w14:paraId="7D7A8A2D">
      <w:pPr>
        <w:spacing w:line="360" w:lineRule="auto"/>
        <w:rPr>
          <w:rFonts w:ascii="宋体" w:hAnsi="宋体" w:cs="宋体"/>
          <w:sz w:val="24"/>
          <w:highlight w:val="none"/>
        </w:rPr>
      </w:pPr>
      <w:r>
        <w:rPr>
          <w:rFonts w:hint="eastAsia" w:ascii="宋体" w:hAnsi="宋体" w:cs="宋体"/>
          <w:sz w:val="24"/>
          <w:highlight w:val="none"/>
        </w:rPr>
        <w:t>二、质疑项目基本情况</w:t>
      </w:r>
    </w:p>
    <w:p w14:paraId="37F94BC7">
      <w:pPr>
        <w:spacing w:line="360" w:lineRule="auto"/>
        <w:rPr>
          <w:rFonts w:ascii="宋体" w:hAnsi="宋体" w:cs="宋体"/>
          <w:sz w:val="24"/>
          <w:highlight w:val="none"/>
        </w:rPr>
      </w:pPr>
      <w:r>
        <w:rPr>
          <w:rFonts w:hint="eastAsia" w:ascii="宋体" w:hAnsi="宋体" w:cs="宋体"/>
          <w:sz w:val="24"/>
          <w:highlight w:val="none"/>
        </w:rPr>
        <w:t>质疑项目的名称：</w:t>
      </w:r>
      <w:r>
        <w:rPr>
          <w:rFonts w:hint="eastAsia" w:ascii="宋体" w:hAnsi="宋体" w:cs="宋体"/>
          <w:sz w:val="24"/>
          <w:highlight w:val="none"/>
          <w:u w:val="single"/>
        </w:rPr>
        <w:t xml:space="preserve">                            </w:t>
      </w:r>
    </w:p>
    <w:p w14:paraId="0BABF260">
      <w:pPr>
        <w:spacing w:line="360" w:lineRule="auto"/>
        <w:rPr>
          <w:rFonts w:ascii="宋体" w:hAnsi="宋体" w:cs="宋体"/>
          <w:sz w:val="24"/>
          <w:highlight w:val="none"/>
          <w:u w:val="single"/>
        </w:rPr>
      </w:pPr>
      <w:r>
        <w:rPr>
          <w:rFonts w:hint="eastAsia" w:ascii="宋体" w:hAnsi="宋体" w:cs="宋体"/>
          <w:sz w:val="24"/>
          <w:highlight w:val="none"/>
        </w:rPr>
        <w:t>质疑项目的编号：</w:t>
      </w:r>
      <w:r>
        <w:rPr>
          <w:rFonts w:hint="eastAsia" w:ascii="宋体" w:hAnsi="宋体" w:cs="宋体"/>
          <w:sz w:val="24"/>
          <w:highlight w:val="none"/>
          <w:u w:val="single"/>
        </w:rPr>
        <w:t xml:space="preserve">                          </w:t>
      </w:r>
    </w:p>
    <w:p w14:paraId="33067DB6">
      <w:pPr>
        <w:spacing w:line="360" w:lineRule="auto"/>
        <w:rPr>
          <w:rFonts w:ascii="宋体" w:hAnsi="宋体" w:cs="宋体"/>
          <w:sz w:val="24"/>
          <w:highlight w:val="none"/>
        </w:rPr>
      </w:pPr>
      <w:r>
        <w:rPr>
          <w:rFonts w:hint="eastAsia" w:ascii="宋体" w:hAnsi="宋体" w:cs="宋体"/>
          <w:sz w:val="24"/>
          <w:highlight w:val="none"/>
        </w:rPr>
        <w:t>包号：</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1A2F4A8E">
      <w:pPr>
        <w:spacing w:line="360" w:lineRule="auto"/>
        <w:rPr>
          <w:rFonts w:ascii="宋体" w:hAnsi="宋体" w:cs="宋体"/>
          <w:sz w:val="24"/>
          <w:highlight w:val="none"/>
        </w:rPr>
      </w:pPr>
      <w:r>
        <w:rPr>
          <w:rFonts w:hint="eastAsia" w:ascii="宋体" w:hAnsi="宋体" w:cs="宋体"/>
          <w:sz w:val="24"/>
          <w:highlight w:val="none"/>
        </w:rPr>
        <w:t>采购人名称：</w:t>
      </w:r>
      <w:r>
        <w:rPr>
          <w:rFonts w:hint="eastAsia" w:ascii="宋体" w:hAnsi="宋体" w:cs="宋体"/>
          <w:sz w:val="24"/>
          <w:highlight w:val="none"/>
          <w:u w:val="single"/>
        </w:rPr>
        <w:t xml:space="preserve">                            </w:t>
      </w:r>
    </w:p>
    <w:p w14:paraId="737E1259">
      <w:pPr>
        <w:spacing w:line="360" w:lineRule="auto"/>
        <w:rPr>
          <w:rFonts w:ascii="宋体" w:hAnsi="宋体" w:cs="宋体"/>
          <w:sz w:val="24"/>
          <w:highlight w:val="none"/>
        </w:rPr>
      </w:pPr>
      <w:r>
        <w:rPr>
          <w:rFonts w:hint="eastAsia" w:ascii="宋体" w:hAnsi="宋体" w:cs="宋体"/>
          <w:sz w:val="24"/>
          <w:highlight w:val="none"/>
        </w:rPr>
        <w:t>采购文件获取日期：</w:t>
      </w:r>
      <w:r>
        <w:rPr>
          <w:rFonts w:hint="eastAsia" w:ascii="宋体" w:hAnsi="宋体" w:cs="宋体"/>
          <w:sz w:val="24"/>
          <w:highlight w:val="none"/>
          <w:u w:val="single"/>
        </w:rPr>
        <w:t xml:space="preserve">                             </w:t>
      </w:r>
    </w:p>
    <w:p w14:paraId="415FFCF8">
      <w:pPr>
        <w:spacing w:line="360" w:lineRule="auto"/>
        <w:rPr>
          <w:rFonts w:ascii="宋体" w:hAnsi="宋体" w:cs="宋体"/>
          <w:sz w:val="24"/>
          <w:highlight w:val="none"/>
        </w:rPr>
      </w:pPr>
      <w:r>
        <w:rPr>
          <w:rFonts w:hint="eastAsia" w:ascii="宋体" w:hAnsi="宋体" w:cs="宋体"/>
          <w:sz w:val="24"/>
          <w:highlight w:val="none"/>
        </w:rPr>
        <w:t>三、质疑事项具体内容</w:t>
      </w:r>
    </w:p>
    <w:p w14:paraId="14DF79AD">
      <w:pPr>
        <w:spacing w:line="360" w:lineRule="auto"/>
        <w:rPr>
          <w:rFonts w:ascii="宋体" w:hAnsi="宋体" w:cs="宋体"/>
          <w:sz w:val="24"/>
          <w:highlight w:val="none"/>
        </w:rPr>
      </w:pPr>
      <w:r>
        <w:rPr>
          <w:rFonts w:hint="eastAsia" w:ascii="宋体" w:hAnsi="宋体" w:cs="宋体"/>
          <w:sz w:val="24"/>
          <w:highlight w:val="none"/>
        </w:rPr>
        <w:t>质疑事项1：</w:t>
      </w:r>
      <w:r>
        <w:rPr>
          <w:rFonts w:hint="eastAsia" w:ascii="宋体" w:hAnsi="宋体" w:cs="宋体"/>
          <w:sz w:val="24"/>
          <w:highlight w:val="none"/>
          <w:u w:val="single"/>
        </w:rPr>
        <w:t xml:space="preserve">                             </w:t>
      </w:r>
    </w:p>
    <w:p w14:paraId="37F1E8C9">
      <w:pPr>
        <w:spacing w:line="360" w:lineRule="auto"/>
        <w:jc w:val="left"/>
        <w:rPr>
          <w:rFonts w:ascii="宋体" w:hAnsi="宋体" w:cs="宋体"/>
          <w:sz w:val="24"/>
          <w:highlight w:val="none"/>
        </w:rPr>
      </w:pPr>
      <w:r>
        <w:rPr>
          <w:rFonts w:hint="eastAsia" w:ascii="宋体" w:hAnsi="宋体" w:cs="宋体"/>
          <w:sz w:val="24"/>
          <w:highlight w:val="none"/>
        </w:rPr>
        <w:t>事实依据：</w:t>
      </w:r>
      <w:r>
        <w:rPr>
          <w:rFonts w:hint="eastAsia" w:ascii="宋体" w:hAnsi="宋体" w:cs="宋体"/>
          <w:sz w:val="24"/>
          <w:highlight w:val="none"/>
          <w:u w:val="single"/>
        </w:rPr>
        <w:t xml:space="preserve">                                                   </w:t>
      </w:r>
    </w:p>
    <w:p w14:paraId="224B672A">
      <w:pPr>
        <w:spacing w:line="360" w:lineRule="auto"/>
        <w:rPr>
          <w:rFonts w:ascii="宋体" w:hAnsi="宋体" w:cs="宋体"/>
          <w:sz w:val="24"/>
          <w:highlight w:val="none"/>
        </w:rPr>
      </w:pPr>
      <w:r>
        <w:rPr>
          <w:rFonts w:hint="eastAsia" w:ascii="宋体" w:hAnsi="宋体" w:cs="宋体"/>
          <w:sz w:val="24"/>
          <w:highlight w:val="none"/>
        </w:rPr>
        <w:t>法律依据：</w:t>
      </w:r>
      <w:r>
        <w:rPr>
          <w:rFonts w:hint="eastAsia" w:ascii="宋体" w:hAnsi="宋体" w:cs="宋体"/>
          <w:sz w:val="24"/>
          <w:highlight w:val="none"/>
          <w:u w:val="single"/>
        </w:rPr>
        <w:t xml:space="preserve">                                                    </w:t>
      </w:r>
    </w:p>
    <w:p w14:paraId="6ADD5672">
      <w:pPr>
        <w:spacing w:line="360" w:lineRule="auto"/>
        <w:rPr>
          <w:rFonts w:ascii="宋体" w:hAnsi="宋体" w:cs="宋体"/>
          <w:sz w:val="24"/>
          <w:highlight w:val="none"/>
        </w:rPr>
      </w:pPr>
      <w:r>
        <w:rPr>
          <w:rFonts w:hint="eastAsia" w:ascii="宋体" w:hAnsi="宋体" w:cs="宋体"/>
          <w:sz w:val="24"/>
          <w:highlight w:val="none"/>
        </w:rPr>
        <w:t>质疑事项2</w:t>
      </w:r>
    </w:p>
    <w:p w14:paraId="6B3374AE">
      <w:pPr>
        <w:spacing w:line="360" w:lineRule="auto"/>
        <w:rPr>
          <w:rFonts w:ascii="宋体" w:hAnsi="宋体" w:cs="宋体"/>
          <w:sz w:val="24"/>
          <w:highlight w:val="none"/>
        </w:rPr>
      </w:pPr>
      <w:r>
        <w:rPr>
          <w:rFonts w:hint="eastAsia" w:ascii="宋体" w:hAnsi="宋体" w:cs="宋体"/>
          <w:sz w:val="24"/>
          <w:highlight w:val="none"/>
        </w:rPr>
        <w:t>……</w:t>
      </w:r>
    </w:p>
    <w:p w14:paraId="4A784127">
      <w:pPr>
        <w:spacing w:line="360" w:lineRule="auto"/>
        <w:rPr>
          <w:rFonts w:ascii="宋体" w:hAnsi="宋体" w:cs="宋体"/>
          <w:sz w:val="24"/>
          <w:highlight w:val="none"/>
        </w:rPr>
      </w:pPr>
      <w:r>
        <w:rPr>
          <w:rFonts w:hint="eastAsia" w:ascii="宋体" w:hAnsi="宋体" w:cs="宋体"/>
          <w:sz w:val="24"/>
          <w:highlight w:val="none"/>
        </w:rPr>
        <w:t>四、与质疑事项相关的质疑请求</w:t>
      </w:r>
    </w:p>
    <w:p w14:paraId="7B14F8EA">
      <w:pPr>
        <w:spacing w:line="360" w:lineRule="auto"/>
        <w:rPr>
          <w:rFonts w:ascii="宋体" w:hAnsi="宋体" w:cs="宋体"/>
          <w:sz w:val="24"/>
          <w:highlight w:val="none"/>
        </w:rPr>
      </w:pPr>
      <w:r>
        <w:rPr>
          <w:rFonts w:hint="eastAsia" w:ascii="宋体" w:hAnsi="宋体" w:cs="宋体"/>
          <w:sz w:val="24"/>
          <w:highlight w:val="none"/>
        </w:rPr>
        <w:t>请求：</w:t>
      </w:r>
      <w:r>
        <w:rPr>
          <w:rFonts w:hint="eastAsia" w:ascii="宋体" w:hAnsi="宋体" w:cs="宋体"/>
          <w:sz w:val="24"/>
          <w:highlight w:val="none"/>
          <w:u w:val="single"/>
        </w:rPr>
        <w:t xml:space="preserve">                                                          </w:t>
      </w:r>
    </w:p>
    <w:p w14:paraId="7AE30A77">
      <w:pPr>
        <w:rPr>
          <w:rFonts w:ascii="宋体" w:hAnsi="宋体" w:cs="宋体"/>
          <w:sz w:val="24"/>
          <w:highlight w:val="none"/>
        </w:rPr>
      </w:pPr>
      <w:r>
        <w:rPr>
          <w:rFonts w:hint="eastAsia" w:ascii="宋体" w:hAnsi="宋体" w:cs="宋体"/>
          <w:sz w:val="24"/>
          <w:highlight w:val="none"/>
        </w:rPr>
        <w:t xml:space="preserve">签字(签章)：                 公章：               日期：    </w:t>
      </w:r>
    </w:p>
    <w:p w14:paraId="286D21DC">
      <w:pPr>
        <w:spacing w:line="0" w:lineRule="atLeast"/>
        <w:rPr>
          <w:rFonts w:ascii="宋体" w:hAnsi="宋体" w:cs="宋体"/>
          <w:sz w:val="24"/>
          <w:highlight w:val="none"/>
        </w:rPr>
      </w:pPr>
      <w:r>
        <w:rPr>
          <w:rFonts w:hint="eastAsia" w:ascii="宋体" w:hAnsi="宋体" w:cs="宋体"/>
          <w:b/>
          <w:sz w:val="24"/>
          <w:highlight w:val="none"/>
        </w:rPr>
        <w:t>质疑函制作说明：</w:t>
      </w:r>
    </w:p>
    <w:p w14:paraId="372061D7">
      <w:pPr>
        <w:widowControl/>
        <w:spacing w:line="0" w:lineRule="atLeast"/>
        <w:ind w:firstLine="480"/>
        <w:jc w:val="left"/>
        <w:rPr>
          <w:rFonts w:ascii="宋体" w:hAnsi="宋体" w:cs="宋体"/>
          <w:sz w:val="24"/>
          <w:highlight w:val="none"/>
        </w:rPr>
      </w:pPr>
      <w:r>
        <w:rPr>
          <w:rFonts w:hint="eastAsia" w:ascii="宋体" w:hAnsi="宋体" w:cs="宋体"/>
          <w:sz w:val="24"/>
          <w:highlight w:val="none"/>
        </w:rPr>
        <w:t>1.供应商提出质疑时，应提交质疑函和必要的证明材料。</w:t>
      </w:r>
    </w:p>
    <w:p w14:paraId="166E79BD">
      <w:pPr>
        <w:widowControl/>
        <w:spacing w:line="0" w:lineRule="atLeast"/>
        <w:ind w:firstLine="480"/>
        <w:jc w:val="left"/>
        <w:rPr>
          <w:rFonts w:ascii="宋体" w:hAnsi="宋体" w:cs="宋体"/>
          <w:sz w:val="24"/>
          <w:highlight w:val="none"/>
        </w:rPr>
      </w:pPr>
      <w:r>
        <w:rPr>
          <w:rFonts w:hint="eastAsia" w:ascii="宋体" w:hAnsi="宋体" w:cs="宋体"/>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CB7133C">
      <w:pPr>
        <w:widowControl/>
        <w:spacing w:line="0" w:lineRule="atLeast"/>
        <w:ind w:firstLine="480"/>
        <w:jc w:val="left"/>
        <w:rPr>
          <w:rFonts w:ascii="宋体" w:hAnsi="宋体" w:cs="宋体"/>
          <w:sz w:val="24"/>
          <w:highlight w:val="none"/>
        </w:rPr>
      </w:pPr>
      <w:r>
        <w:rPr>
          <w:rFonts w:hint="eastAsia" w:ascii="宋体" w:hAnsi="宋体" w:cs="宋体"/>
          <w:sz w:val="24"/>
          <w:highlight w:val="none"/>
        </w:rPr>
        <w:t>3.质疑供应商若对项目的某一分包进行质疑，质疑函中应列明具体分包号。</w:t>
      </w:r>
    </w:p>
    <w:p w14:paraId="66EF7E77">
      <w:pPr>
        <w:widowControl/>
        <w:spacing w:line="0" w:lineRule="atLeast"/>
        <w:ind w:firstLine="480"/>
        <w:jc w:val="left"/>
        <w:rPr>
          <w:rFonts w:ascii="宋体" w:hAnsi="宋体" w:cs="宋体"/>
          <w:sz w:val="24"/>
          <w:highlight w:val="none"/>
        </w:rPr>
      </w:pPr>
      <w:r>
        <w:rPr>
          <w:rFonts w:hint="eastAsia" w:ascii="宋体" w:hAnsi="宋体" w:cs="宋体"/>
          <w:sz w:val="24"/>
          <w:highlight w:val="none"/>
        </w:rPr>
        <w:t>4.质疑函的质疑事项应具体、明确，并有必要的事实依据和法律依据。</w:t>
      </w:r>
    </w:p>
    <w:p w14:paraId="798B8867">
      <w:pPr>
        <w:widowControl/>
        <w:spacing w:line="0" w:lineRule="atLeast"/>
        <w:ind w:firstLine="480"/>
        <w:jc w:val="left"/>
        <w:rPr>
          <w:rFonts w:ascii="宋体" w:hAnsi="宋体" w:cs="宋体"/>
          <w:sz w:val="24"/>
          <w:highlight w:val="none"/>
        </w:rPr>
      </w:pPr>
      <w:r>
        <w:rPr>
          <w:rFonts w:hint="eastAsia" w:ascii="宋体" w:hAnsi="宋体" w:cs="宋体"/>
          <w:sz w:val="24"/>
          <w:highlight w:val="none"/>
        </w:rPr>
        <w:t>5.质疑函的质疑请求应与质疑事项相关。</w:t>
      </w:r>
    </w:p>
    <w:p w14:paraId="156FB0A6">
      <w:pPr>
        <w:widowControl/>
        <w:spacing w:line="0" w:lineRule="atLeast"/>
        <w:ind w:firstLine="480"/>
        <w:jc w:val="left"/>
        <w:rPr>
          <w:rFonts w:ascii="宋体" w:hAnsi="宋体" w:cs="宋体"/>
          <w:sz w:val="24"/>
          <w:highlight w:val="none"/>
        </w:rPr>
      </w:pPr>
      <w:r>
        <w:rPr>
          <w:rFonts w:hint="eastAsia" w:ascii="宋体" w:hAnsi="宋体" w:cs="宋体"/>
          <w:sz w:val="24"/>
          <w:highlight w:val="none"/>
        </w:rPr>
        <w:t>6.质疑供应商为自然人的，质疑函应由本人签字；质疑供应商为法人或者其他组织的，质疑函应由法定代表人、主要负责人，或者其授权代表签字或者盖章，并加盖公章。</w:t>
      </w:r>
    </w:p>
    <w:p w14:paraId="4B6030A0">
      <w:pPr>
        <w:ind w:firstLine="420"/>
        <w:rPr>
          <w:rFonts w:ascii="宋体" w:hAnsi="宋体" w:cs="宋体"/>
          <w:sz w:val="24"/>
          <w:highlight w:val="none"/>
        </w:rPr>
      </w:pPr>
      <w:r>
        <w:rPr>
          <w:rFonts w:hint="eastAsia" w:ascii="宋体" w:hAnsi="宋体" w:cs="宋体"/>
          <w:sz w:val="24"/>
          <w:highlight w:val="none"/>
        </w:rPr>
        <w:t> </w:t>
      </w:r>
    </w:p>
    <w:p w14:paraId="61698A74">
      <w:pPr>
        <w:rPr>
          <w:highlight w:val="none"/>
        </w:rPr>
      </w:pPr>
    </w:p>
    <w:p w14:paraId="3B3774EC">
      <w:pPr>
        <w:pStyle w:val="2"/>
        <w:ind w:firstLine="240"/>
        <w:rPr>
          <w:rFonts w:asciiTheme="minorEastAsia" w:hAnsiTheme="minorEastAsia" w:eastAsiaTheme="minorEastAsia"/>
          <w:b/>
          <w:bCs/>
          <w:sz w:val="24"/>
          <w:highlight w:val="none"/>
        </w:rPr>
      </w:pPr>
    </w:p>
    <w:sectPr>
      <w:footerReference r:id="rId3" w:type="default"/>
      <w:pgSz w:w="11906" w:h="16838"/>
      <w:pgMar w:top="1418" w:right="885" w:bottom="1134" w:left="1161" w:header="851" w:footer="992"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华文楷体">
    <w:panose1 w:val="02010600040101010101"/>
    <w:charset w:val="86"/>
    <w:family w:val="auto"/>
    <w:pitch w:val="default"/>
    <w:sig w:usb0="00000287" w:usb1="080F0000" w:usb2="00000000" w:usb3="00000000" w:csb0="0004009F" w:csb1="DFD70000"/>
  </w:font>
  <w:font w:name="Helvetica">
    <w:altName w:val="Arial"/>
    <w:panose1 w:val="020B0604020202020204"/>
    <w:charset w:val="00"/>
    <w:family w:val="swiss"/>
    <w:pitch w:val="default"/>
    <w:sig w:usb0="00000000" w:usb1="00000000" w:usb2="00000000" w:usb3="00000000" w:csb0="0000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D7383">
    <w:pPr>
      <w:pStyle w:val="31"/>
      <w:jc w:val="center"/>
    </w:pPr>
    <w:r>
      <w:fldChar w:fldCharType="begin"/>
    </w:r>
    <w:r>
      <w:instrText xml:space="preserve">PAGE \* MERGEFORMAT</w:instrText>
    </w:r>
    <w:r>
      <w:fldChar w:fldCharType="separate"/>
    </w:r>
    <w:r>
      <w:t>35</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pStyle w:val="237"/>
      <w:lvlText w:val="%1、"/>
      <w:lvlJc w:val="left"/>
      <w:pPr>
        <w:tabs>
          <w:tab w:val="left" w:pos="27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
      <w:pStyle w:val="35"/>
      <w:lvlText w:val="%1"/>
      <w:lvlJc w:val="left"/>
      <w:pPr>
        <w:ind w:left="425" w:hanging="425"/>
      </w:pPr>
      <w:rPr>
        <w:rFonts w:ascii="黑体" w:hAnsi="黑体" w:eastAsia="黑体"/>
      </w:rPr>
    </w:lvl>
    <w:lvl w:ilvl="1" w:tentative="0">
      <w:start w:val="1"/>
      <w:numFmt w:val="decimal"/>
      <w:pStyle w:val="256"/>
      <w:lvlText w:val="%1.%2"/>
      <w:lvlJc w:val="left"/>
      <w:pPr>
        <w:ind w:left="992" w:hanging="567"/>
      </w:pPr>
    </w:lvl>
    <w:lvl w:ilvl="2" w:tentative="0">
      <w:start w:val="1"/>
      <w:numFmt w:val="decimal"/>
      <w:lvlText w:val="%1.%2.%3"/>
      <w:lvlJc w:val="left"/>
      <w:pPr>
        <w:ind w:left="993"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3">
    <w:nsid w:val="59ADCABA"/>
    <w:multiLevelType w:val="multilevel"/>
    <w:tmpl w:val="59ADCABA"/>
    <w:lvl w:ilvl="0" w:tentative="0">
      <w:start w:val="3"/>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A4B"/>
    <w:rsid w:val="00022384"/>
    <w:rsid w:val="00052DEA"/>
    <w:rsid w:val="00055060"/>
    <w:rsid w:val="000575C8"/>
    <w:rsid w:val="001237E1"/>
    <w:rsid w:val="001807E4"/>
    <w:rsid w:val="001C18CE"/>
    <w:rsid w:val="00270C7F"/>
    <w:rsid w:val="002B2E3A"/>
    <w:rsid w:val="002C4DE0"/>
    <w:rsid w:val="0034302B"/>
    <w:rsid w:val="003505A3"/>
    <w:rsid w:val="003C68BB"/>
    <w:rsid w:val="00424115"/>
    <w:rsid w:val="004E5044"/>
    <w:rsid w:val="00514648"/>
    <w:rsid w:val="0053330E"/>
    <w:rsid w:val="005C0762"/>
    <w:rsid w:val="0063636F"/>
    <w:rsid w:val="00682F3F"/>
    <w:rsid w:val="007127A3"/>
    <w:rsid w:val="00756892"/>
    <w:rsid w:val="007B4057"/>
    <w:rsid w:val="008560E6"/>
    <w:rsid w:val="00890C6F"/>
    <w:rsid w:val="00903722"/>
    <w:rsid w:val="0092136E"/>
    <w:rsid w:val="009C18D5"/>
    <w:rsid w:val="009C6726"/>
    <w:rsid w:val="00AA4E87"/>
    <w:rsid w:val="00B57247"/>
    <w:rsid w:val="00B600A3"/>
    <w:rsid w:val="00CB2AB8"/>
    <w:rsid w:val="00D25D2C"/>
    <w:rsid w:val="00E87D65"/>
    <w:rsid w:val="00ED3E0B"/>
    <w:rsid w:val="00F10FF9"/>
    <w:rsid w:val="00F33A4B"/>
    <w:rsid w:val="00FA4BB6"/>
    <w:rsid w:val="01D134FA"/>
    <w:rsid w:val="0AEA1B50"/>
    <w:rsid w:val="10E9341A"/>
    <w:rsid w:val="1AD46F28"/>
    <w:rsid w:val="20573D9F"/>
    <w:rsid w:val="24AE5302"/>
    <w:rsid w:val="26E0284D"/>
    <w:rsid w:val="2A5675AA"/>
    <w:rsid w:val="2AE81C65"/>
    <w:rsid w:val="35D15D5D"/>
    <w:rsid w:val="36121410"/>
    <w:rsid w:val="387463B2"/>
    <w:rsid w:val="459B0A47"/>
    <w:rsid w:val="538403AF"/>
    <w:rsid w:val="54531726"/>
    <w:rsid w:val="56E32779"/>
    <w:rsid w:val="59B43B71"/>
    <w:rsid w:val="712C2183"/>
    <w:rsid w:val="72C311BC"/>
    <w:rsid w:val="734923DF"/>
    <w:rsid w:val="75AC7CD2"/>
    <w:rsid w:val="76EF322F"/>
    <w:rsid w:val="7E145F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4"/>
      <w:lang w:val="en-US" w:eastAsia="zh-CN" w:bidi="ar-SA"/>
    </w:rPr>
  </w:style>
  <w:style w:type="paragraph" w:styleId="3">
    <w:name w:val="heading 1"/>
    <w:basedOn w:val="1"/>
    <w:next w:val="1"/>
    <w:link w:val="98"/>
    <w:qFormat/>
    <w:uiPriority w:val="9"/>
    <w:pPr>
      <w:keepNext/>
      <w:keepLines/>
      <w:tabs>
        <w:tab w:val="left" w:pos="432"/>
      </w:tabs>
      <w:spacing w:before="340" w:after="330" w:line="578" w:lineRule="auto"/>
      <w:ind w:left="425" w:hanging="425"/>
      <w:outlineLvl w:val="0"/>
    </w:pPr>
    <w:rPr>
      <w:rFonts w:eastAsia="楷体_GB2312"/>
      <w:b/>
      <w:bCs/>
      <w:sz w:val="44"/>
      <w:szCs w:val="44"/>
    </w:rPr>
  </w:style>
  <w:style w:type="paragraph" w:styleId="4">
    <w:name w:val="heading 2"/>
    <w:basedOn w:val="1"/>
    <w:next w:val="1"/>
    <w:link w:val="99"/>
    <w:qFormat/>
    <w:uiPriority w:val="0"/>
    <w:pPr>
      <w:keepNext/>
      <w:keepLines/>
      <w:tabs>
        <w:tab w:val="left" w:pos="3686"/>
      </w:tabs>
      <w:spacing w:before="260" w:after="260" w:line="416" w:lineRule="auto"/>
      <w:ind w:left="3686" w:hanging="567"/>
      <w:outlineLvl w:val="1"/>
    </w:pPr>
    <w:rPr>
      <w:rFonts w:ascii="Arial" w:hAnsi="Arial" w:eastAsia="黑体"/>
      <w:b/>
      <w:bCs/>
      <w:sz w:val="32"/>
      <w:szCs w:val="32"/>
    </w:rPr>
  </w:style>
  <w:style w:type="paragraph" w:styleId="5">
    <w:name w:val="heading 3"/>
    <w:basedOn w:val="1"/>
    <w:next w:val="6"/>
    <w:link w:val="100"/>
    <w:qFormat/>
    <w:uiPriority w:val="0"/>
    <w:pPr>
      <w:keepNext/>
      <w:keepLines/>
      <w:tabs>
        <w:tab w:val="left" w:pos="2978"/>
      </w:tabs>
      <w:spacing w:before="260" w:after="260" w:line="416" w:lineRule="auto"/>
      <w:ind w:left="2978" w:hanging="709"/>
      <w:outlineLvl w:val="2"/>
    </w:pPr>
    <w:rPr>
      <w:rFonts w:eastAsia="仿宋_GB2312"/>
      <w:b/>
      <w:bCs/>
      <w:sz w:val="32"/>
      <w:szCs w:val="32"/>
    </w:rPr>
  </w:style>
  <w:style w:type="paragraph" w:styleId="7">
    <w:name w:val="heading 4"/>
    <w:basedOn w:val="1"/>
    <w:next w:val="1"/>
    <w:link w:val="228"/>
    <w:qFormat/>
    <w:uiPriority w:val="9"/>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link w:val="102"/>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103"/>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104"/>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105"/>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106"/>
    <w:unhideWhenUsed/>
    <w:qFormat/>
    <w:uiPriority w:val="9"/>
    <w:pPr>
      <w:keepNext/>
      <w:keepLines/>
      <w:spacing w:before="320" w:after="200"/>
      <w:outlineLvl w:val="8"/>
    </w:pPr>
    <w:rPr>
      <w:rFonts w:ascii="Arial" w:hAnsi="Arial" w:eastAsia="Arial" w:cs="Arial"/>
      <w:i/>
      <w:iCs/>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1"/>
    <w:next w:val="1"/>
    <w:qFormat/>
    <w:uiPriority w:val="99"/>
    <w:pPr>
      <w:widowControl/>
      <w:spacing w:after="120"/>
      <w:ind w:firstLine="420"/>
    </w:pPr>
    <w:rPr>
      <w:rFonts w:eastAsia="仿宋_GB2312"/>
    </w:rPr>
  </w:style>
  <w:style w:type="paragraph" w:styleId="6">
    <w:name w:val="Normal Indent"/>
    <w:basedOn w:val="1"/>
    <w:next w:val="1"/>
    <w:link w:val="227"/>
    <w:qFormat/>
    <w:uiPriority w:val="0"/>
    <w:pPr>
      <w:ind w:firstLine="420"/>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semiHidden/>
    <w:qFormat/>
    <w:uiPriority w:val="0"/>
    <w:rPr>
      <w:rFonts w:ascii="Times New Roman" w:hAnsi="Times New Roman"/>
    </w:rPr>
  </w:style>
  <w:style w:type="paragraph" w:styleId="16">
    <w:name w:val="annotation text"/>
    <w:basedOn w:val="1"/>
    <w:link w:val="310"/>
    <w:qFormat/>
    <w:uiPriority w:val="99"/>
    <w:pPr>
      <w:jc w:val="left"/>
    </w:pPr>
  </w:style>
  <w:style w:type="paragraph" w:styleId="17">
    <w:name w:val="Body Text"/>
    <w:basedOn w:val="1"/>
    <w:next w:val="18"/>
    <w:link w:val="229"/>
    <w:qFormat/>
    <w:uiPriority w:val="99"/>
    <w:pPr>
      <w:spacing w:after="120"/>
    </w:pPr>
  </w:style>
  <w:style w:type="paragraph" w:styleId="18">
    <w:name w:val="toc 2"/>
    <w:basedOn w:val="1"/>
    <w:next w:val="1"/>
    <w:unhideWhenUsed/>
    <w:qFormat/>
    <w:uiPriority w:val="39"/>
    <w:pPr>
      <w:spacing w:after="57"/>
      <w:ind w:left="283"/>
    </w:pPr>
  </w:style>
  <w:style w:type="paragraph" w:styleId="19">
    <w:name w:val="Body Text Indent"/>
    <w:basedOn w:val="1"/>
    <w:next w:val="20"/>
    <w:link w:val="230"/>
    <w:qFormat/>
    <w:uiPriority w:val="0"/>
    <w:pPr>
      <w:ind w:firstLine="645"/>
    </w:pPr>
    <w:rPr>
      <w:rFonts w:ascii="楷体_GB2312" w:hAnsi="Times New Roman" w:eastAsia="楷体_GB2312"/>
      <w:sz w:val="32"/>
      <w:szCs w:val="32"/>
    </w:rPr>
  </w:style>
  <w:style w:type="paragraph" w:styleId="20">
    <w:name w:val="envelope return"/>
    <w:basedOn w:val="1"/>
    <w:qFormat/>
    <w:uiPriority w:val="0"/>
    <w:rPr>
      <w:rFonts w:ascii="Arial" w:hAnsi="Arial"/>
    </w:rPr>
  </w:style>
  <w:style w:type="paragraph" w:styleId="21">
    <w:name w:val="List 2"/>
    <w:basedOn w:val="1"/>
    <w:qFormat/>
    <w:uiPriority w:val="0"/>
    <w:pPr>
      <w:spacing w:line="360" w:lineRule="auto"/>
      <w:ind w:left="100" w:hanging="200"/>
    </w:pPr>
    <w:rPr>
      <w:rFonts w:ascii="Times New Roman" w:hAnsi="Times New Roman" w:eastAsia="仿宋_GB2312"/>
    </w:rPr>
  </w:style>
  <w:style w:type="paragraph" w:styleId="22">
    <w:name w:val="Block Text"/>
    <w:basedOn w:val="1"/>
    <w:qFormat/>
    <w:uiPriority w:val="99"/>
    <w:pPr>
      <w:tabs>
        <w:tab w:val="left" w:pos="9000"/>
      </w:tabs>
      <w:spacing w:after="120"/>
      <w:ind w:left="1440" w:right="1440"/>
    </w:pPr>
  </w:style>
  <w:style w:type="paragraph" w:styleId="23">
    <w:name w:val="index 4"/>
    <w:basedOn w:val="1"/>
    <w:next w:val="1"/>
    <w:qFormat/>
    <w:uiPriority w:val="0"/>
    <w:pPr>
      <w:ind w:left="600"/>
    </w:pPr>
    <w:rPr>
      <w:szCs w:val="21"/>
    </w:rPr>
  </w:style>
  <w:style w:type="paragraph" w:styleId="24">
    <w:name w:val="toc 5"/>
    <w:basedOn w:val="1"/>
    <w:next w:val="1"/>
    <w:unhideWhenUsed/>
    <w:qFormat/>
    <w:uiPriority w:val="39"/>
    <w:pPr>
      <w:spacing w:after="57"/>
      <w:ind w:left="1134"/>
    </w:pPr>
  </w:style>
  <w:style w:type="paragraph" w:styleId="25">
    <w:name w:val="toc 3"/>
    <w:basedOn w:val="1"/>
    <w:next w:val="1"/>
    <w:unhideWhenUsed/>
    <w:qFormat/>
    <w:uiPriority w:val="39"/>
    <w:pPr>
      <w:spacing w:after="57"/>
      <w:ind w:left="567"/>
    </w:pPr>
  </w:style>
  <w:style w:type="paragraph" w:styleId="26">
    <w:name w:val="Plain Text"/>
    <w:basedOn w:val="1"/>
    <w:link w:val="231"/>
    <w:qFormat/>
    <w:uiPriority w:val="0"/>
    <w:rPr>
      <w:rFonts w:ascii="宋体" w:hAnsi="Courier New" w:eastAsia="楷体_GB2312"/>
    </w:rPr>
  </w:style>
  <w:style w:type="paragraph" w:styleId="27">
    <w:name w:val="toc 8"/>
    <w:basedOn w:val="1"/>
    <w:next w:val="1"/>
    <w:unhideWhenUsed/>
    <w:qFormat/>
    <w:uiPriority w:val="39"/>
    <w:pPr>
      <w:spacing w:after="57"/>
      <w:ind w:left="1984"/>
    </w:pPr>
  </w:style>
  <w:style w:type="paragraph" w:styleId="28">
    <w:name w:val="Body Text Indent 2"/>
    <w:basedOn w:val="1"/>
    <w:link w:val="232"/>
    <w:qFormat/>
    <w:uiPriority w:val="0"/>
    <w:pPr>
      <w:spacing w:after="120" w:line="480" w:lineRule="auto"/>
      <w:ind w:left="420"/>
    </w:pPr>
  </w:style>
  <w:style w:type="paragraph" w:styleId="29">
    <w:name w:val="endnote text"/>
    <w:basedOn w:val="1"/>
    <w:link w:val="225"/>
    <w:semiHidden/>
    <w:unhideWhenUsed/>
    <w:qFormat/>
    <w:uiPriority w:val="99"/>
    <w:rPr>
      <w:sz w:val="20"/>
    </w:rPr>
  </w:style>
  <w:style w:type="paragraph" w:styleId="30">
    <w:name w:val="Balloon Text"/>
    <w:basedOn w:val="1"/>
    <w:link w:val="233"/>
    <w:qFormat/>
    <w:uiPriority w:val="99"/>
    <w:rPr>
      <w:sz w:val="18"/>
      <w:szCs w:val="18"/>
    </w:rPr>
  </w:style>
  <w:style w:type="paragraph" w:styleId="31">
    <w:name w:val="footer"/>
    <w:basedOn w:val="1"/>
    <w:link w:val="234"/>
    <w:qFormat/>
    <w:uiPriority w:val="99"/>
    <w:pPr>
      <w:tabs>
        <w:tab w:val="center" w:pos="4153"/>
        <w:tab w:val="right" w:pos="8306"/>
      </w:tabs>
      <w:jc w:val="left"/>
    </w:pPr>
    <w:rPr>
      <w:sz w:val="18"/>
    </w:rPr>
  </w:style>
  <w:style w:type="paragraph" w:styleId="32">
    <w:name w:val="header"/>
    <w:basedOn w:val="1"/>
    <w:next w:val="17"/>
    <w:link w:val="115"/>
    <w:qFormat/>
    <w:uiPriority w:val="99"/>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paragraph" w:styleId="33">
    <w:name w:val="toc 1"/>
    <w:basedOn w:val="1"/>
    <w:next w:val="1"/>
    <w:unhideWhenUsed/>
    <w:qFormat/>
    <w:uiPriority w:val="39"/>
    <w:pPr>
      <w:spacing w:after="57"/>
    </w:pPr>
  </w:style>
  <w:style w:type="paragraph" w:styleId="34">
    <w:name w:val="toc 4"/>
    <w:basedOn w:val="1"/>
    <w:next w:val="1"/>
    <w:unhideWhenUsed/>
    <w:qFormat/>
    <w:uiPriority w:val="39"/>
    <w:pPr>
      <w:spacing w:after="57"/>
      <w:ind w:left="850"/>
    </w:pPr>
  </w:style>
  <w:style w:type="paragraph" w:styleId="35">
    <w:name w:val="Subtitle"/>
    <w:basedOn w:val="1"/>
    <w:next w:val="1"/>
    <w:link w:val="110"/>
    <w:qFormat/>
    <w:uiPriority w:val="0"/>
    <w:pPr>
      <w:numPr>
        <w:ilvl w:val="0"/>
        <w:numId w:val="1"/>
      </w:numPr>
      <w:spacing w:before="240" w:after="60" w:line="312" w:lineRule="auto"/>
      <w:jc w:val="left"/>
      <w:outlineLvl w:val="1"/>
    </w:pPr>
    <w:rPr>
      <w:rFonts w:ascii="黑体" w:hAnsi="黑体" w:eastAsia="黑体"/>
      <w:b/>
      <w:bCs/>
      <w:sz w:val="28"/>
      <w:szCs w:val="36"/>
    </w:rPr>
  </w:style>
  <w:style w:type="paragraph" w:styleId="36">
    <w:name w:val="footnote text"/>
    <w:basedOn w:val="1"/>
    <w:link w:val="224"/>
    <w:semiHidden/>
    <w:unhideWhenUsed/>
    <w:qFormat/>
    <w:uiPriority w:val="99"/>
    <w:pPr>
      <w:spacing w:after="40"/>
    </w:pPr>
    <w:rPr>
      <w:sz w:val="18"/>
    </w:rPr>
  </w:style>
  <w:style w:type="paragraph" w:styleId="37">
    <w:name w:val="toc 6"/>
    <w:basedOn w:val="1"/>
    <w:next w:val="1"/>
    <w:unhideWhenUsed/>
    <w:qFormat/>
    <w:uiPriority w:val="39"/>
    <w:pPr>
      <w:spacing w:after="57"/>
      <w:ind w:left="1417"/>
    </w:pPr>
  </w:style>
  <w:style w:type="paragraph" w:styleId="38">
    <w:name w:val="Body Text Indent 3"/>
    <w:basedOn w:val="1"/>
    <w:link w:val="235"/>
    <w:qFormat/>
    <w:uiPriority w:val="0"/>
    <w:pPr>
      <w:spacing w:after="120"/>
      <w:ind w:left="420"/>
    </w:pPr>
    <w:rPr>
      <w:rFonts w:ascii="Times New Roman" w:hAnsi="Times New Roman"/>
      <w:sz w:val="16"/>
      <w:szCs w:val="16"/>
    </w:rPr>
  </w:style>
  <w:style w:type="paragraph" w:styleId="39">
    <w:name w:val="table of figures"/>
    <w:basedOn w:val="1"/>
    <w:next w:val="1"/>
    <w:unhideWhenUsed/>
    <w:qFormat/>
    <w:uiPriority w:val="99"/>
  </w:style>
  <w:style w:type="paragraph" w:styleId="40">
    <w:name w:val="toc 9"/>
    <w:basedOn w:val="1"/>
    <w:next w:val="1"/>
    <w:unhideWhenUsed/>
    <w:qFormat/>
    <w:uiPriority w:val="39"/>
    <w:pPr>
      <w:spacing w:after="57"/>
      <w:ind w:left="2268"/>
    </w:pPr>
  </w:style>
  <w:style w:type="paragraph" w:styleId="41">
    <w:name w:val="Body Text 2"/>
    <w:basedOn w:val="1"/>
    <w:qFormat/>
    <w:uiPriority w:val="0"/>
    <w:pPr>
      <w:spacing w:after="120" w:line="360" w:lineRule="auto"/>
      <w:ind w:firstLine="510"/>
    </w:pPr>
    <w:rPr>
      <w:sz w:val="24"/>
    </w:rPr>
  </w:style>
  <w:style w:type="paragraph" w:styleId="42">
    <w:name w:val="Message Header"/>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rPr>
  </w:style>
  <w:style w:type="paragraph" w:styleId="43">
    <w:name w:val="HTML Preformatted"/>
    <w:basedOn w:val="1"/>
    <w:link w:val="27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styleId="44">
    <w:name w:val="Normal (Web)"/>
    <w:basedOn w:val="1"/>
    <w:link w:val="277"/>
    <w:unhideWhenUsed/>
    <w:qFormat/>
    <w:uiPriority w:val="0"/>
    <w:pPr>
      <w:widowControl/>
      <w:spacing w:before="100" w:beforeAutospacing="1" w:after="100" w:afterAutospacing="1"/>
      <w:jc w:val="left"/>
    </w:pPr>
    <w:rPr>
      <w:rFonts w:ascii="宋体" w:hAnsi="宋体" w:cs="宋体"/>
      <w:sz w:val="24"/>
    </w:rPr>
  </w:style>
  <w:style w:type="paragraph" w:styleId="45">
    <w:name w:val="Title"/>
    <w:basedOn w:val="1"/>
    <w:next w:val="1"/>
    <w:link w:val="109"/>
    <w:qFormat/>
    <w:uiPriority w:val="10"/>
    <w:pPr>
      <w:spacing w:before="300" w:after="200"/>
      <w:contextualSpacing/>
    </w:pPr>
    <w:rPr>
      <w:sz w:val="48"/>
      <w:szCs w:val="48"/>
    </w:rPr>
  </w:style>
  <w:style w:type="paragraph" w:styleId="46">
    <w:name w:val="Body Text First Indent 2"/>
    <w:basedOn w:val="19"/>
    <w:qFormat/>
    <w:uiPriority w:val="0"/>
    <w:pPr>
      <w:spacing w:after="120"/>
      <w:ind w:left="420" w:firstLine="420"/>
    </w:pPr>
    <w:rPr>
      <w:rFonts w:ascii="Cambria" w:hAnsi="Cambria" w:eastAsia="华文细黑"/>
      <w:sz w:val="21"/>
    </w:rPr>
  </w:style>
  <w:style w:type="table" w:styleId="48">
    <w:name w:val="Table Grid"/>
    <w:basedOn w:val="47"/>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0">
    <w:name w:val="Strong"/>
    <w:qFormat/>
    <w:uiPriority w:val="22"/>
    <w:rPr>
      <w:b/>
      <w:bCs/>
    </w:rPr>
  </w:style>
  <w:style w:type="character" w:styleId="51">
    <w:name w:val="endnote reference"/>
    <w:semiHidden/>
    <w:unhideWhenUsed/>
    <w:qFormat/>
    <w:uiPriority w:val="99"/>
    <w:rPr>
      <w:vertAlign w:val="superscript"/>
    </w:rPr>
  </w:style>
  <w:style w:type="character" w:styleId="52">
    <w:name w:val="page number"/>
    <w:qFormat/>
    <w:uiPriority w:val="0"/>
  </w:style>
  <w:style w:type="character" w:styleId="53">
    <w:name w:val="FollowedHyperlink"/>
    <w:qFormat/>
    <w:uiPriority w:val="0"/>
    <w:rPr>
      <w:color w:val="555555"/>
      <w:u w:val="none"/>
    </w:rPr>
  </w:style>
  <w:style w:type="character" w:styleId="54">
    <w:name w:val="Emphasis"/>
    <w:basedOn w:val="49"/>
    <w:qFormat/>
    <w:uiPriority w:val="20"/>
    <w:rPr>
      <w:i/>
      <w:iCs/>
    </w:rPr>
  </w:style>
  <w:style w:type="character" w:styleId="55">
    <w:name w:val="Hyperlink"/>
    <w:qFormat/>
    <w:uiPriority w:val="99"/>
    <w:rPr>
      <w:color w:val="555555"/>
      <w:u w:val="none"/>
    </w:rPr>
  </w:style>
  <w:style w:type="character" w:styleId="56">
    <w:name w:val="annotation reference"/>
    <w:qFormat/>
    <w:uiPriority w:val="99"/>
    <w:rPr>
      <w:sz w:val="21"/>
      <w:szCs w:val="21"/>
    </w:rPr>
  </w:style>
  <w:style w:type="character" w:styleId="57">
    <w:name w:val="footnote reference"/>
    <w:unhideWhenUsed/>
    <w:qFormat/>
    <w:uiPriority w:val="99"/>
    <w:rPr>
      <w:vertAlign w:val="superscript"/>
    </w:rPr>
  </w:style>
  <w:style w:type="table" w:customStyle="1" w:styleId="58">
    <w:name w:val="无格式表格 11"/>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无格式表格 21"/>
    <w:basedOn w:val="4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无格式表格 31"/>
    <w:basedOn w:val="47"/>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无格式表格 41"/>
    <w:basedOn w:val="47"/>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无格式表格 51"/>
    <w:basedOn w:val="47"/>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网格表 1 浅色1"/>
    <w:basedOn w:val="4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网格表 2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网格表 3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网格表 41"/>
    <w:basedOn w:val="4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网格表 5 深色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8">
    <w:name w:val="网格表 6 彩色1"/>
    <w:basedOn w:val="4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网格表 7 彩色1"/>
    <w:basedOn w:val="4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清单表 1 浅色1"/>
    <w:basedOn w:val="47"/>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1">
    <w:name w:val="清单表 21"/>
    <w:basedOn w:val="4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清单表 3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3">
    <w:name w:val="清单表 4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清单表 5 深色1"/>
    <w:basedOn w:val="4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5">
    <w:name w:val="清单表 6 彩色1"/>
    <w:basedOn w:val="47"/>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6">
    <w:name w:val="清单表 7 彩色1"/>
    <w:basedOn w:val="47"/>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7">
    <w:name w:val="TOC 标题1"/>
    <w:unhideWhenUsed/>
    <w:qFormat/>
    <w:uiPriority w:val="39"/>
    <w:rPr>
      <w:rFonts w:ascii="Times New Roman" w:hAnsi="Times New Roman" w:eastAsia="宋体" w:cs="Times New Roman"/>
      <w:lang w:val="en-US" w:eastAsia="zh-CN" w:bidi="ar-SA"/>
    </w:rPr>
  </w:style>
  <w:style w:type="paragraph" w:customStyle="1" w:styleId="78">
    <w:name w:val="一级条标题"/>
    <w:basedOn w:val="79"/>
    <w:next w:val="8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79">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80">
    <w:name w:val="段"/>
    <w:next w:val="81"/>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81">
    <w:name w:val="正文 A"/>
    <w:next w:val="80"/>
    <w:qFormat/>
    <w:uiPriority w:val="0"/>
    <w:pPr>
      <w:widowControl w:val="0"/>
      <w:jc w:val="both"/>
    </w:pPr>
    <w:rPr>
      <w:rFonts w:ascii="Calibri" w:hAnsi="Calibri" w:eastAsia="Calibri" w:cs="Calibri"/>
      <w:color w:val="000000"/>
      <w:sz w:val="21"/>
      <w:szCs w:val="21"/>
      <w:lang w:val="en-US" w:eastAsia="zh-CN" w:bidi="ar-SA"/>
    </w:rPr>
  </w:style>
  <w:style w:type="paragraph" w:customStyle="1" w:styleId="82">
    <w:name w:val="TOC 标题111"/>
    <w:unhideWhenUsed/>
    <w:qFormat/>
    <w:uiPriority w:val="39"/>
    <w:rPr>
      <w:rFonts w:ascii="Times New Roman" w:hAnsi="Times New Roman" w:eastAsia="宋体" w:cs="Times New Roman"/>
      <w:lang w:val="en-US" w:eastAsia="zh-CN" w:bidi="ar-SA"/>
    </w:rPr>
  </w:style>
  <w:style w:type="character" w:customStyle="1" w:styleId="83">
    <w:name w:val="Heading 1 Char"/>
    <w:basedOn w:val="49"/>
    <w:qFormat/>
    <w:uiPriority w:val="9"/>
    <w:rPr>
      <w:rFonts w:ascii="Arial" w:hAnsi="Arial" w:eastAsia="Arial" w:cs="Arial"/>
      <w:sz w:val="40"/>
      <w:szCs w:val="40"/>
    </w:rPr>
  </w:style>
  <w:style w:type="character" w:customStyle="1" w:styleId="84">
    <w:name w:val="Heading 2 Char"/>
    <w:basedOn w:val="49"/>
    <w:qFormat/>
    <w:uiPriority w:val="9"/>
    <w:rPr>
      <w:rFonts w:ascii="Arial" w:hAnsi="Arial" w:eastAsia="Arial" w:cs="Arial"/>
      <w:sz w:val="34"/>
    </w:rPr>
  </w:style>
  <w:style w:type="character" w:customStyle="1" w:styleId="85">
    <w:name w:val="Heading 3 Char"/>
    <w:basedOn w:val="49"/>
    <w:qFormat/>
    <w:uiPriority w:val="9"/>
    <w:rPr>
      <w:rFonts w:ascii="Arial" w:hAnsi="Arial" w:eastAsia="Arial" w:cs="Arial"/>
      <w:sz w:val="30"/>
      <w:szCs w:val="30"/>
    </w:rPr>
  </w:style>
  <w:style w:type="character" w:customStyle="1" w:styleId="86">
    <w:name w:val="Heading 5 Char"/>
    <w:basedOn w:val="49"/>
    <w:qFormat/>
    <w:uiPriority w:val="9"/>
    <w:rPr>
      <w:rFonts w:ascii="Arial" w:hAnsi="Arial" w:eastAsia="Arial" w:cs="Arial"/>
      <w:b/>
      <w:bCs/>
      <w:sz w:val="24"/>
      <w:szCs w:val="24"/>
    </w:rPr>
  </w:style>
  <w:style w:type="character" w:customStyle="1" w:styleId="87">
    <w:name w:val="Heading 6 Char"/>
    <w:basedOn w:val="49"/>
    <w:qFormat/>
    <w:uiPriority w:val="9"/>
    <w:rPr>
      <w:rFonts w:ascii="Arial" w:hAnsi="Arial" w:eastAsia="Arial" w:cs="Arial"/>
      <w:b/>
      <w:bCs/>
      <w:sz w:val="22"/>
      <w:szCs w:val="22"/>
    </w:rPr>
  </w:style>
  <w:style w:type="character" w:customStyle="1" w:styleId="88">
    <w:name w:val="Heading 7 Char"/>
    <w:basedOn w:val="49"/>
    <w:qFormat/>
    <w:uiPriority w:val="9"/>
    <w:rPr>
      <w:rFonts w:ascii="Arial" w:hAnsi="Arial" w:eastAsia="Arial" w:cs="Arial"/>
      <w:b/>
      <w:bCs/>
      <w:i/>
      <w:iCs/>
      <w:sz w:val="22"/>
      <w:szCs w:val="22"/>
    </w:rPr>
  </w:style>
  <w:style w:type="character" w:customStyle="1" w:styleId="89">
    <w:name w:val="Heading 8 Char"/>
    <w:basedOn w:val="49"/>
    <w:qFormat/>
    <w:uiPriority w:val="9"/>
    <w:rPr>
      <w:rFonts w:ascii="Arial" w:hAnsi="Arial" w:eastAsia="Arial" w:cs="Arial"/>
      <w:i/>
      <w:iCs/>
      <w:sz w:val="22"/>
      <w:szCs w:val="22"/>
    </w:rPr>
  </w:style>
  <w:style w:type="character" w:customStyle="1" w:styleId="90">
    <w:name w:val="Heading 9 Char"/>
    <w:basedOn w:val="49"/>
    <w:qFormat/>
    <w:uiPriority w:val="9"/>
    <w:rPr>
      <w:rFonts w:ascii="Arial" w:hAnsi="Arial" w:eastAsia="Arial" w:cs="Arial"/>
      <w:i/>
      <w:iCs/>
      <w:sz w:val="21"/>
      <w:szCs w:val="21"/>
    </w:rPr>
  </w:style>
  <w:style w:type="character" w:customStyle="1" w:styleId="91">
    <w:name w:val="Title Char"/>
    <w:basedOn w:val="49"/>
    <w:qFormat/>
    <w:uiPriority w:val="10"/>
    <w:rPr>
      <w:sz w:val="48"/>
      <w:szCs w:val="48"/>
    </w:rPr>
  </w:style>
  <w:style w:type="character" w:customStyle="1" w:styleId="92">
    <w:name w:val="Subtitle Char"/>
    <w:basedOn w:val="49"/>
    <w:qFormat/>
    <w:uiPriority w:val="11"/>
    <w:rPr>
      <w:sz w:val="24"/>
      <w:szCs w:val="24"/>
    </w:rPr>
  </w:style>
  <w:style w:type="character" w:customStyle="1" w:styleId="93">
    <w:name w:val="Quote Char"/>
    <w:qFormat/>
    <w:uiPriority w:val="29"/>
    <w:rPr>
      <w:i/>
    </w:rPr>
  </w:style>
  <w:style w:type="character" w:customStyle="1" w:styleId="94">
    <w:name w:val="Intense Quote Char"/>
    <w:qFormat/>
    <w:uiPriority w:val="30"/>
    <w:rPr>
      <w:i/>
    </w:rPr>
  </w:style>
  <w:style w:type="character" w:customStyle="1" w:styleId="95">
    <w:name w:val="Header Char"/>
    <w:basedOn w:val="49"/>
    <w:qFormat/>
    <w:uiPriority w:val="99"/>
  </w:style>
  <w:style w:type="character" w:customStyle="1" w:styleId="96">
    <w:name w:val="Footnote Text Char"/>
    <w:qFormat/>
    <w:uiPriority w:val="99"/>
    <w:rPr>
      <w:sz w:val="18"/>
    </w:rPr>
  </w:style>
  <w:style w:type="character" w:customStyle="1" w:styleId="97">
    <w:name w:val="Endnote Text Char"/>
    <w:qFormat/>
    <w:uiPriority w:val="99"/>
    <w:rPr>
      <w:sz w:val="20"/>
    </w:rPr>
  </w:style>
  <w:style w:type="character" w:customStyle="1" w:styleId="98">
    <w:name w:val="标题 1 Char"/>
    <w:link w:val="3"/>
    <w:qFormat/>
    <w:uiPriority w:val="9"/>
    <w:rPr>
      <w:rFonts w:ascii="Arial" w:hAnsi="Arial" w:eastAsia="Arial" w:cs="Arial"/>
      <w:sz w:val="40"/>
      <w:szCs w:val="40"/>
    </w:rPr>
  </w:style>
  <w:style w:type="character" w:customStyle="1" w:styleId="99">
    <w:name w:val="标题 2 Char"/>
    <w:link w:val="4"/>
    <w:qFormat/>
    <w:uiPriority w:val="9"/>
    <w:rPr>
      <w:rFonts w:ascii="Arial" w:hAnsi="Arial" w:eastAsia="Arial" w:cs="Arial"/>
      <w:sz w:val="34"/>
    </w:rPr>
  </w:style>
  <w:style w:type="character" w:customStyle="1" w:styleId="100">
    <w:name w:val="标题 3 Char"/>
    <w:link w:val="5"/>
    <w:qFormat/>
    <w:uiPriority w:val="9"/>
    <w:rPr>
      <w:rFonts w:ascii="Arial" w:hAnsi="Arial" w:eastAsia="Arial" w:cs="Arial"/>
      <w:sz w:val="30"/>
      <w:szCs w:val="30"/>
    </w:rPr>
  </w:style>
  <w:style w:type="character" w:customStyle="1" w:styleId="101">
    <w:name w:val="Heading 4 Char"/>
    <w:qFormat/>
    <w:uiPriority w:val="9"/>
    <w:rPr>
      <w:rFonts w:ascii="Arial" w:hAnsi="Arial" w:eastAsia="Arial" w:cs="Arial"/>
      <w:b/>
      <w:bCs/>
      <w:sz w:val="26"/>
      <w:szCs w:val="26"/>
    </w:rPr>
  </w:style>
  <w:style w:type="character" w:customStyle="1" w:styleId="102">
    <w:name w:val="标题 5 Char"/>
    <w:link w:val="8"/>
    <w:qFormat/>
    <w:uiPriority w:val="9"/>
    <w:rPr>
      <w:rFonts w:ascii="Arial" w:hAnsi="Arial" w:eastAsia="Arial" w:cs="Arial"/>
      <w:b/>
      <w:bCs/>
      <w:sz w:val="24"/>
      <w:szCs w:val="24"/>
    </w:rPr>
  </w:style>
  <w:style w:type="character" w:customStyle="1" w:styleId="103">
    <w:name w:val="标题 6 Char"/>
    <w:link w:val="9"/>
    <w:qFormat/>
    <w:uiPriority w:val="9"/>
    <w:rPr>
      <w:rFonts w:ascii="Arial" w:hAnsi="Arial" w:eastAsia="Arial" w:cs="Arial"/>
      <w:b/>
      <w:bCs/>
      <w:sz w:val="22"/>
      <w:szCs w:val="22"/>
    </w:rPr>
  </w:style>
  <w:style w:type="character" w:customStyle="1" w:styleId="104">
    <w:name w:val="标题 7 Char"/>
    <w:link w:val="10"/>
    <w:qFormat/>
    <w:uiPriority w:val="9"/>
    <w:rPr>
      <w:rFonts w:ascii="Arial" w:hAnsi="Arial" w:eastAsia="Arial" w:cs="Arial"/>
      <w:b/>
      <w:bCs/>
      <w:i/>
      <w:iCs/>
      <w:sz w:val="22"/>
      <w:szCs w:val="22"/>
    </w:rPr>
  </w:style>
  <w:style w:type="character" w:customStyle="1" w:styleId="105">
    <w:name w:val="标题 8 Char"/>
    <w:link w:val="11"/>
    <w:qFormat/>
    <w:uiPriority w:val="9"/>
    <w:rPr>
      <w:rFonts w:ascii="Arial" w:hAnsi="Arial" w:eastAsia="Arial" w:cs="Arial"/>
      <w:i/>
      <w:iCs/>
      <w:sz w:val="22"/>
      <w:szCs w:val="22"/>
    </w:rPr>
  </w:style>
  <w:style w:type="character" w:customStyle="1" w:styleId="106">
    <w:name w:val="标题 9 Char"/>
    <w:link w:val="12"/>
    <w:qFormat/>
    <w:uiPriority w:val="9"/>
    <w:rPr>
      <w:rFonts w:ascii="Arial" w:hAnsi="Arial" w:eastAsia="Arial" w:cs="Arial"/>
      <w:i/>
      <w:iCs/>
      <w:sz w:val="21"/>
      <w:szCs w:val="21"/>
    </w:rPr>
  </w:style>
  <w:style w:type="paragraph" w:styleId="107">
    <w:name w:val="List Paragraph"/>
    <w:basedOn w:val="1"/>
    <w:qFormat/>
    <w:uiPriority w:val="34"/>
    <w:pPr>
      <w:widowControl/>
      <w:ind w:left="720"/>
      <w:contextualSpacing/>
      <w:jc w:val="left"/>
    </w:pPr>
    <w:rPr>
      <w:rFonts w:cs="宋体"/>
      <w:sz w:val="24"/>
      <w:lang w:eastAsia="en-US"/>
    </w:rPr>
  </w:style>
  <w:style w:type="paragraph" w:styleId="108">
    <w:name w:val="No Spacing"/>
    <w:qFormat/>
    <w:uiPriority w:val="1"/>
    <w:rPr>
      <w:rFonts w:ascii="Times New Roman" w:hAnsi="Times New Roman" w:eastAsia="宋体" w:cs="Times New Roman"/>
      <w:lang w:val="en-US" w:eastAsia="zh-CN" w:bidi="ar-SA"/>
    </w:rPr>
  </w:style>
  <w:style w:type="character" w:customStyle="1" w:styleId="109">
    <w:name w:val="标题 Char"/>
    <w:link w:val="45"/>
    <w:qFormat/>
    <w:uiPriority w:val="10"/>
    <w:rPr>
      <w:sz w:val="48"/>
      <w:szCs w:val="48"/>
    </w:rPr>
  </w:style>
  <w:style w:type="character" w:customStyle="1" w:styleId="110">
    <w:name w:val="副标题 Char"/>
    <w:link w:val="35"/>
    <w:qFormat/>
    <w:uiPriority w:val="11"/>
    <w:rPr>
      <w:sz w:val="24"/>
      <w:szCs w:val="24"/>
    </w:rPr>
  </w:style>
  <w:style w:type="paragraph" w:styleId="111">
    <w:name w:val="Quote"/>
    <w:basedOn w:val="1"/>
    <w:next w:val="1"/>
    <w:link w:val="112"/>
    <w:qFormat/>
    <w:uiPriority w:val="29"/>
    <w:pPr>
      <w:ind w:left="720" w:right="720"/>
    </w:pPr>
    <w:rPr>
      <w:i/>
    </w:rPr>
  </w:style>
  <w:style w:type="character" w:customStyle="1" w:styleId="112">
    <w:name w:val="引用 Char"/>
    <w:link w:val="111"/>
    <w:qFormat/>
    <w:uiPriority w:val="29"/>
    <w:rPr>
      <w:i/>
    </w:rPr>
  </w:style>
  <w:style w:type="paragraph" w:styleId="113">
    <w:name w:val="Intense Quote"/>
    <w:basedOn w:val="1"/>
    <w:next w:val="1"/>
    <w:link w:val="11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4">
    <w:name w:val="明显引用 Char"/>
    <w:link w:val="113"/>
    <w:qFormat/>
    <w:uiPriority w:val="30"/>
    <w:rPr>
      <w:i/>
    </w:rPr>
  </w:style>
  <w:style w:type="character" w:customStyle="1" w:styleId="115">
    <w:name w:val="页眉 Char"/>
    <w:link w:val="32"/>
    <w:qFormat/>
    <w:uiPriority w:val="99"/>
  </w:style>
  <w:style w:type="character" w:customStyle="1" w:styleId="116">
    <w:name w:val="Footer Char"/>
    <w:qFormat/>
    <w:uiPriority w:val="99"/>
  </w:style>
  <w:style w:type="character" w:customStyle="1" w:styleId="117">
    <w:name w:val="Caption Char"/>
    <w:qFormat/>
    <w:uiPriority w:val="99"/>
  </w:style>
  <w:style w:type="table" w:customStyle="1" w:styleId="11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4">
    <w:name w:val="脚注文本 Char"/>
    <w:link w:val="36"/>
    <w:qFormat/>
    <w:uiPriority w:val="99"/>
    <w:rPr>
      <w:sz w:val="18"/>
    </w:rPr>
  </w:style>
  <w:style w:type="character" w:customStyle="1" w:styleId="225">
    <w:name w:val="尾注文本 Char"/>
    <w:link w:val="29"/>
    <w:qFormat/>
    <w:uiPriority w:val="99"/>
    <w:rPr>
      <w:sz w:val="20"/>
    </w:rPr>
  </w:style>
  <w:style w:type="paragraph" w:customStyle="1" w:styleId="226">
    <w:name w:val="TOC 标题11"/>
    <w:unhideWhenUsed/>
    <w:qFormat/>
    <w:uiPriority w:val="39"/>
    <w:rPr>
      <w:rFonts w:ascii="Times New Roman" w:hAnsi="Times New Roman" w:eastAsia="宋体" w:cs="Times New Roman"/>
      <w:lang w:val="en-US" w:eastAsia="zh-CN" w:bidi="ar-SA"/>
    </w:rPr>
  </w:style>
  <w:style w:type="character" w:customStyle="1" w:styleId="227">
    <w:name w:val="正文缩进 Char"/>
    <w:link w:val="6"/>
    <w:qFormat/>
    <w:uiPriority w:val="0"/>
    <w:rPr>
      <w:rFonts w:ascii="Calibri" w:hAnsi="Calibri"/>
      <w:sz w:val="21"/>
      <w:szCs w:val="24"/>
    </w:rPr>
  </w:style>
  <w:style w:type="character" w:customStyle="1" w:styleId="228">
    <w:name w:val="标题 4 Char"/>
    <w:link w:val="7"/>
    <w:qFormat/>
    <w:uiPriority w:val="9"/>
    <w:rPr>
      <w:rFonts w:ascii="Arial" w:hAnsi="Arial" w:eastAsia="黑体" w:cs="Arial"/>
      <w:b/>
      <w:bCs/>
      <w:sz w:val="28"/>
      <w:szCs w:val="28"/>
    </w:rPr>
  </w:style>
  <w:style w:type="character" w:customStyle="1" w:styleId="229">
    <w:name w:val="正文文本 Char"/>
    <w:link w:val="17"/>
    <w:qFormat/>
    <w:uiPriority w:val="99"/>
    <w:rPr>
      <w:rFonts w:ascii="Calibri" w:hAnsi="Calibri"/>
      <w:sz w:val="21"/>
      <w:szCs w:val="24"/>
    </w:rPr>
  </w:style>
  <w:style w:type="character" w:customStyle="1" w:styleId="230">
    <w:name w:val="正文文本缩进 Char"/>
    <w:link w:val="19"/>
    <w:qFormat/>
    <w:uiPriority w:val="99"/>
    <w:rPr>
      <w:rFonts w:ascii="楷体_GB2312" w:eastAsia="楷体_GB2312"/>
      <w:sz w:val="32"/>
      <w:szCs w:val="32"/>
    </w:rPr>
  </w:style>
  <w:style w:type="character" w:customStyle="1" w:styleId="231">
    <w:name w:val="纯文本 Char2"/>
    <w:link w:val="26"/>
    <w:qFormat/>
    <w:uiPriority w:val="99"/>
    <w:rPr>
      <w:rFonts w:ascii="宋体" w:hAnsi="Courier New"/>
      <w:sz w:val="21"/>
      <w:szCs w:val="21"/>
    </w:rPr>
  </w:style>
  <w:style w:type="character" w:customStyle="1" w:styleId="232">
    <w:name w:val="正文文本缩进 2 Char"/>
    <w:link w:val="28"/>
    <w:qFormat/>
    <w:uiPriority w:val="0"/>
    <w:rPr>
      <w:rFonts w:ascii="Calibri" w:hAnsi="Calibri"/>
      <w:sz w:val="21"/>
      <w:szCs w:val="24"/>
    </w:rPr>
  </w:style>
  <w:style w:type="character" w:customStyle="1" w:styleId="233">
    <w:name w:val="批注框文本 Char"/>
    <w:link w:val="30"/>
    <w:qFormat/>
    <w:uiPriority w:val="99"/>
    <w:rPr>
      <w:rFonts w:ascii="Calibri" w:hAnsi="Calibri"/>
      <w:sz w:val="18"/>
      <w:szCs w:val="18"/>
    </w:rPr>
  </w:style>
  <w:style w:type="character" w:customStyle="1" w:styleId="234">
    <w:name w:val="页脚 Char"/>
    <w:link w:val="31"/>
    <w:qFormat/>
    <w:uiPriority w:val="99"/>
    <w:rPr>
      <w:rFonts w:ascii="Calibri" w:hAnsi="Calibri"/>
      <w:sz w:val="18"/>
      <w:szCs w:val="24"/>
    </w:rPr>
  </w:style>
  <w:style w:type="character" w:customStyle="1" w:styleId="235">
    <w:name w:val="正文文本缩进 3 Char"/>
    <w:link w:val="38"/>
    <w:qFormat/>
    <w:uiPriority w:val="0"/>
    <w:rPr>
      <w:sz w:val="16"/>
      <w:szCs w:val="16"/>
    </w:rPr>
  </w:style>
  <w:style w:type="paragraph" w:customStyle="1" w:styleId="236">
    <w:name w:val="Default"/>
    <w:qFormat/>
    <w:uiPriority w:val="0"/>
    <w:pPr>
      <w:widowControl w:val="0"/>
    </w:pPr>
    <w:rPr>
      <w:rFonts w:ascii="宋体" w:hAnsi="宋体" w:eastAsia="宋体" w:cs="宋体"/>
      <w:color w:val="000000"/>
      <w:sz w:val="24"/>
      <w:szCs w:val="24"/>
      <w:lang w:val="en-US" w:eastAsia="zh-CN" w:bidi="ar-SA"/>
    </w:rPr>
  </w:style>
  <w:style w:type="paragraph" w:customStyle="1" w:styleId="237">
    <w:name w:val="正文1"/>
    <w:basedOn w:val="1"/>
    <w:next w:val="1"/>
    <w:qFormat/>
    <w:uiPriority w:val="0"/>
    <w:pPr>
      <w:numPr>
        <w:ilvl w:val="0"/>
        <w:numId w:val="2"/>
      </w:numPr>
      <w:tabs>
        <w:tab w:val="left" w:pos="480"/>
      </w:tabs>
      <w:spacing w:line="500" w:lineRule="exact"/>
      <w:ind w:left="359" w:hanging="359"/>
    </w:pPr>
    <w:rPr>
      <w:rFonts w:ascii="黑体" w:hAnsi="宋体"/>
    </w:rPr>
  </w:style>
  <w:style w:type="character" w:customStyle="1" w:styleId="238">
    <w:name w:val="font91"/>
    <w:qFormat/>
    <w:uiPriority w:val="0"/>
    <w:rPr>
      <w:rFonts w:hint="eastAsia" w:ascii="宋体" w:hAnsi="宋体" w:eastAsia="宋体" w:cs="宋体"/>
      <w:color w:val="000000"/>
      <w:sz w:val="21"/>
      <w:szCs w:val="21"/>
      <w:u w:val="single"/>
    </w:rPr>
  </w:style>
  <w:style w:type="character" w:customStyle="1" w:styleId="239">
    <w:name w:val="font21"/>
    <w:qFormat/>
    <w:uiPriority w:val="0"/>
    <w:rPr>
      <w:rFonts w:ascii="等线" w:hAnsi="等线" w:eastAsia="等线" w:cs="等线"/>
      <w:color w:val="FF0000"/>
      <w:sz w:val="20"/>
      <w:szCs w:val="20"/>
      <w:u w:val="none"/>
    </w:rPr>
  </w:style>
  <w:style w:type="character" w:customStyle="1" w:styleId="240">
    <w:name w:val="正文文本缩进 3 Char1"/>
    <w:qFormat/>
    <w:uiPriority w:val="0"/>
    <w:rPr>
      <w:rFonts w:ascii="Calibri" w:hAnsi="Calibri"/>
      <w:sz w:val="16"/>
      <w:szCs w:val="16"/>
    </w:rPr>
  </w:style>
  <w:style w:type="character" w:customStyle="1" w:styleId="241">
    <w:name w:val="font61"/>
    <w:qFormat/>
    <w:uiPriority w:val="0"/>
    <w:rPr>
      <w:rFonts w:hint="eastAsia" w:ascii="宋体" w:hAnsi="宋体" w:eastAsia="宋体" w:cs="宋体"/>
      <w:color w:val="000000"/>
      <w:sz w:val="21"/>
      <w:szCs w:val="21"/>
      <w:u w:val="none"/>
    </w:rPr>
  </w:style>
  <w:style w:type="character" w:customStyle="1" w:styleId="242">
    <w:name w:val="font31"/>
    <w:qFormat/>
    <w:uiPriority w:val="0"/>
    <w:rPr>
      <w:rFonts w:ascii="等线" w:hAnsi="等线" w:eastAsia="等线" w:cs="等线"/>
      <w:color w:val="000000"/>
      <w:sz w:val="20"/>
      <w:szCs w:val="20"/>
      <w:u w:val="none"/>
    </w:rPr>
  </w:style>
  <w:style w:type="character" w:customStyle="1" w:styleId="243">
    <w:name w:val="正文2 Char"/>
    <w:link w:val="244"/>
    <w:qFormat/>
    <w:uiPriority w:val="99"/>
    <w:rPr>
      <w:sz w:val="24"/>
      <w:szCs w:val="24"/>
      <w:lang w:val="en-US" w:eastAsia="zh-CN" w:bidi="ar-SA"/>
    </w:rPr>
  </w:style>
  <w:style w:type="paragraph" w:customStyle="1" w:styleId="244">
    <w:name w:val="正文2"/>
    <w:link w:val="243"/>
    <w:qFormat/>
    <w:uiPriority w:val="99"/>
    <w:rPr>
      <w:rFonts w:ascii="Times New Roman" w:hAnsi="Times New Roman" w:eastAsia="宋体" w:cs="Times New Roman"/>
      <w:sz w:val="24"/>
      <w:szCs w:val="24"/>
      <w:lang w:val="en-US" w:eastAsia="zh-CN" w:bidi="ar-SA"/>
    </w:rPr>
  </w:style>
  <w:style w:type="character" w:customStyle="1" w:styleId="245">
    <w:name w:val="纯文本 Char1"/>
    <w:qFormat/>
    <w:uiPriority w:val="0"/>
    <w:rPr>
      <w:rFonts w:ascii="宋体" w:hAnsi="Courier New" w:cs="Courier New"/>
      <w:sz w:val="21"/>
      <w:szCs w:val="21"/>
    </w:rPr>
  </w:style>
  <w:style w:type="character" w:customStyle="1" w:styleId="246">
    <w:name w:val="fontstyle01"/>
    <w:qFormat/>
    <w:uiPriority w:val="0"/>
    <w:rPr>
      <w:rFonts w:hint="eastAsia" w:ascii="宋体" w:hAnsi="宋体" w:eastAsia="宋体"/>
      <w:color w:val="000000"/>
      <w:sz w:val="24"/>
      <w:szCs w:val="24"/>
    </w:rPr>
  </w:style>
  <w:style w:type="character" w:customStyle="1" w:styleId="247">
    <w:name w:val="font81"/>
    <w:qFormat/>
    <w:uiPriority w:val="0"/>
    <w:rPr>
      <w:rFonts w:hint="eastAsia" w:ascii="宋体" w:hAnsi="宋体" w:eastAsia="宋体" w:cs="宋体"/>
      <w:color w:val="000000"/>
      <w:sz w:val="21"/>
      <w:szCs w:val="21"/>
      <w:u w:val="none"/>
    </w:rPr>
  </w:style>
  <w:style w:type="character" w:customStyle="1" w:styleId="248">
    <w:name w:val="font101"/>
    <w:qFormat/>
    <w:uiPriority w:val="0"/>
    <w:rPr>
      <w:rFonts w:ascii="Times New Roman" w:hAnsi="Times New Roman" w:cs="Times New Roman"/>
      <w:color w:val="000000"/>
      <w:sz w:val="21"/>
      <w:szCs w:val="21"/>
      <w:u w:val="single"/>
    </w:rPr>
  </w:style>
  <w:style w:type="character" w:customStyle="1" w:styleId="249">
    <w:name w:val="17"/>
    <w:qFormat/>
    <w:uiPriority w:val="0"/>
  </w:style>
  <w:style w:type="paragraph" w:customStyle="1" w:styleId="250">
    <w:name w:val="普通正文"/>
    <w:basedOn w:val="1"/>
    <w:qFormat/>
    <w:uiPriority w:val="0"/>
    <w:pPr>
      <w:spacing w:before="120" w:after="120" w:line="360" w:lineRule="auto"/>
      <w:ind w:firstLine="480"/>
      <w:jc w:val="left"/>
    </w:pPr>
    <w:rPr>
      <w:rFonts w:ascii="Arial" w:hAnsi="Arial"/>
      <w:sz w:val="24"/>
    </w:rPr>
  </w:style>
  <w:style w:type="paragraph" w:customStyle="1" w:styleId="251">
    <w:name w:val="文档标题"/>
    <w:basedOn w:val="1"/>
    <w:qFormat/>
    <w:uiPriority w:val="0"/>
    <w:pPr>
      <w:spacing w:line="300" w:lineRule="auto"/>
      <w:jc w:val="center"/>
    </w:pPr>
    <w:rPr>
      <w:rFonts w:ascii="Arial" w:hAnsi="Arial" w:eastAsia="黑体" w:cs="Arial"/>
      <w:b/>
      <w:sz w:val="48"/>
      <w:szCs w:val="32"/>
    </w:rPr>
  </w:style>
  <w:style w:type="paragraph" w:customStyle="1" w:styleId="252">
    <w:name w:val="Plain Text1"/>
    <w:basedOn w:val="1"/>
    <w:qFormat/>
    <w:uiPriority w:val="0"/>
    <w:rPr>
      <w:rFonts w:ascii="宋体" w:hAnsi="Courier New" w:eastAsia="楷体_GB2312"/>
      <w:sz w:val="26"/>
    </w:rPr>
  </w:style>
  <w:style w:type="paragraph" w:customStyle="1" w:styleId="253">
    <w:name w:val="列出段落1"/>
    <w:basedOn w:val="1"/>
    <w:qFormat/>
    <w:uiPriority w:val="34"/>
    <w:pPr>
      <w:ind w:firstLine="420"/>
    </w:pPr>
    <w:rPr>
      <w:szCs w:val="22"/>
    </w:rPr>
  </w:style>
  <w:style w:type="paragraph" w:customStyle="1" w:styleId="254">
    <w:name w:val="首行缩进"/>
    <w:basedOn w:val="1"/>
    <w:qFormat/>
    <w:uiPriority w:val="0"/>
    <w:pPr>
      <w:spacing w:line="360" w:lineRule="auto"/>
      <w:ind w:firstLine="480"/>
      <w:jc w:val="left"/>
    </w:pPr>
  </w:style>
  <w:style w:type="paragraph" w:customStyle="1" w:styleId="255">
    <w:name w:val="Andy_正文"/>
    <w:basedOn w:val="1"/>
    <w:qFormat/>
    <w:uiPriority w:val="0"/>
    <w:pPr>
      <w:spacing w:line="360" w:lineRule="auto"/>
      <w:ind w:firstLine="480"/>
    </w:pPr>
    <w:rPr>
      <w:sz w:val="24"/>
    </w:rPr>
  </w:style>
  <w:style w:type="paragraph" w:customStyle="1" w:styleId="256">
    <w:name w:val="第二级"/>
    <w:next w:val="1"/>
    <w:qFormat/>
    <w:uiPriority w:val="0"/>
    <w:pPr>
      <w:numPr>
        <w:ilvl w:val="1"/>
        <w:numId w:val="1"/>
      </w:numPr>
      <w:spacing w:line="360" w:lineRule="auto"/>
      <w:outlineLvl w:val="2"/>
    </w:pPr>
    <w:rPr>
      <w:rFonts w:ascii="Arial" w:hAnsi="Arial" w:eastAsia="黑体" w:cs="Times New Roman"/>
      <w:bCs/>
      <w:sz w:val="30"/>
      <w:szCs w:val="44"/>
      <w:lang w:val="en-US" w:eastAsia="zh-CN" w:bidi="ar-SA"/>
    </w:rPr>
  </w:style>
  <w:style w:type="character" w:customStyle="1" w:styleId="257">
    <w:name w:val="font51"/>
    <w:qFormat/>
    <w:uiPriority w:val="0"/>
    <w:rPr>
      <w:rFonts w:hint="eastAsia" w:ascii="宋体" w:hAnsi="宋体" w:eastAsia="宋体" w:cs="宋体"/>
      <w:color w:val="000000"/>
      <w:sz w:val="20"/>
      <w:szCs w:val="20"/>
      <w:u w:val="none"/>
    </w:rPr>
  </w:style>
  <w:style w:type="character" w:customStyle="1" w:styleId="258">
    <w:name w:val="font01"/>
    <w:qFormat/>
    <w:uiPriority w:val="0"/>
    <w:rPr>
      <w:rFonts w:hint="eastAsia" w:ascii="宋体" w:hAnsi="宋体" w:eastAsia="宋体" w:cs="宋体"/>
      <w:color w:val="000000"/>
      <w:sz w:val="20"/>
      <w:szCs w:val="20"/>
      <w:u w:val="none"/>
    </w:rPr>
  </w:style>
  <w:style w:type="character" w:customStyle="1" w:styleId="259">
    <w:name w:val="font41"/>
    <w:qFormat/>
    <w:uiPriority w:val="0"/>
    <w:rPr>
      <w:rFonts w:hint="eastAsia" w:ascii="宋体" w:hAnsi="宋体" w:eastAsia="宋体" w:cs="宋体"/>
      <w:color w:val="000000"/>
      <w:sz w:val="20"/>
      <w:szCs w:val="20"/>
      <w:u w:val="none"/>
    </w:rPr>
  </w:style>
  <w:style w:type="character" w:customStyle="1" w:styleId="260">
    <w:name w:val="NormalCharacter1"/>
    <w:qFormat/>
    <w:uiPriority w:val="0"/>
    <w:rPr>
      <w:sz w:val="21"/>
      <w:szCs w:val="24"/>
      <w:lang w:val="en-US" w:eastAsia="zh-CN" w:bidi="ar-SA"/>
    </w:rPr>
  </w:style>
  <w:style w:type="character" w:customStyle="1" w:styleId="261">
    <w:name w:val="apple-converted-space"/>
    <w:qFormat/>
    <w:uiPriority w:val="0"/>
  </w:style>
  <w:style w:type="paragraph" w:customStyle="1" w:styleId="262">
    <w:name w:val="列出段落2"/>
    <w:basedOn w:val="1"/>
    <w:qFormat/>
    <w:uiPriority w:val="0"/>
    <w:pPr>
      <w:ind w:firstLine="420"/>
    </w:pPr>
    <w:rPr>
      <w:szCs w:val="22"/>
    </w:rPr>
  </w:style>
  <w:style w:type="paragraph" w:customStyle="1" w:styleId="263">
    <w:name w:val="_Style 2"/>
    <w:basedOn w:val="3"/>
    <w:next w:val="1"/>
    <w:qFormat/>
    <w:uiPriority w:val="0"/>
    <w:pPr>
      <w:outlineLvl w:val="9"/>
    </w:pPr>
    <w:rPr>
      <w:rFonts w:ascii="Times New Roman" w:eastAsia="宋体"/>
    </w:rPr>
  </w:style>
  <w:style w:type="paragraph" w:customStyle="1" w:styleId="264">
    <w:name w:val="无间隔1"/>
    <w:qFormat/>
    <w:uiPriority w:val="1"/>
    <w:pPr>
      <w:widowControl w:val="0"/>
      <w:spacing w:line="360" w:lineRule="auto"/>
      <w:jc w:val="both"/>
    </w:pPr>
    <w:rPr>
      <w:rFonts w:ascii="Calibri" w:hAnsi="Calibri" w:eastAsia="宋体" w:cs="Times New Roman"/>
      <w:sz w:val="24"/>
      <w:szCs w:val="22"/>
      <w:lang w:val="en-US" w:eastAsia="zh-CN" w:bidi="ar-SA"/>
    </w:rPr>
  </w:style>
  <w:style w:type="paragraph" w:customStyle="1" w:styleId="265">
    <w:name w:val="Table Paragraph"/>
    <w:basedOn w:val="1"/>
    <w:qFormat/>
    <w:uiPriority w:val="1"/>
    <w:rPr>
      <w:rFonts w:ascii="宋体" w:hAnsi="宋体" w:cs="宋体"/>
      <w:lang w:val="zh-CN" w:bidi="zh-CN"/>
    </w:rPr>
  </w:style>
  <w:style w:type="paragraph" w:customStyle="1" w:styleId="266">
    <w:name w:val="UserStyle_20"/>
    <w:qFormat/>
    <w:uiPriority w:val="0"/>
    <w:pPr>
      <w:spacing w:before="120" w:after="120" w:line="180" w:lineRule="auto"/>
      <w:ind w:firstLine="200"/>
    </w:pPr>
    <w:rPr>
      <w:rFonts w:ascii="Times New Roman" w:hAnsi="Times New Roman" w:eastAsia="宋体" w:cs="Times New Roman"/>
      <w:sz w:val="21"/>
      <w:szCs w:val="21"/>
      <w:lang w:val="en-US" w:eastAsia="zh-CN" w:bidi="ar-SA"/>
    </w:rPr>
  </w:style>
  <w:style w:type="paragraph" w:customStyle="1" w:styleId="267">
    <w:name w:val="*正文"/>
    <w:basedOn w:val="1"/>
    <w:qFormat/>
    <w:uiPriority w:val="0"/>
    <w:pPr>
      <w:widowControl/>
      <w:spacing w:line="300" w:lineRule="auto"/>
      <w:ind w:firstLine="480"/>
      <w:jc w:val="left"/>
    </w:pPr>
    <w:rPr>
      <w:rFonts w:ascii="宋体" w:hAnsi="宋体"/>
      <w:sz w:val="20"/>
    </w:rPr>
  </w:style>
  <w:style w:type="paragraph" w:customStyle="1" w:styleId="268">
    <w:name w:val="文本块1"/>
    <w:basedOn w:val="1"/>
    <w:qFormat/>
    <w:uiPriority w:val="99"/>
    <w:pPr>
      <w:widowControl/>
      <w:tabs>
        <w:tab w:val="left" w:pos="9000"/>
      </w:tabs>
      <w:spacing w:after="120" w:line="276" w:lineRule="auto"/>
      <w:ind w:left="1440" w:right="1440"/>
      <w:jc w:val="left"/>
    </w:pPr>
    <w:rPr>
      <w:rFonts w:ascii="Times New Roman" w:hAnsi="Times New Roman"/>
      <w:sz w:val="22"/>
      <w:szCs w:val="22"/>
      <w:lang w:eastAsia="en-US"/>
    </w:rPr>
  </w:style>
  <w:style w:type="paragraph" w:customStyle="1" w:styleId="269">
    <w:name w:val="p0"/>
    <w:basedOn w:val="1"/>
    <w:qFormat/>
    <w:uiPriority w:val="0"/>
    <w:pPr>
      <w:widowControl/>
      <w:spacing w:before="100" w:beforeAutospacing="1" w:after="100" w:afterAutospacing="1"/>
      <w:jc w:val="left"/>
    </w:pPr>
    <w:rPr>
      <w:rFonts w:ascii="宋体" w:hAnsi="宋体" w:cs="宋体"/>
      <w:sz w:val="24"/>
    </w:rPr>
  </w:style>
  <w:style w:type="paragraph" w:customStyle="1" w:styleId="270">
    <w:name w:val="4"/>
    <w:basedOn w:val="1"/>
    <w:next w:val="38"/>
    <w:qFormat/>
    <w:uiPriority w:val="0"/>
    <w:pPr>
      <w:spacing w:line="360" w:lineRule="auto"/>
      <w:ind w:firstLine="420"/>
    </w:pPr>
    <w:rPr>
      <w:color w:val="FF0000"/>
      <w:sz w:val="24"/>
    </w:rPr>
  </w:style>
  <w:style w:type="character" w:customStyle="1" w:styleId="271">
    <w:name w:val="15"/>
    <w:qFormat/>
    <w:uiPriority w:val="0"/>
    <w:rPr>
      <w:rFonts w:hint="eastAsia" w:ascii="宋体" w:hAnsi="宋体" w:eastAsia="宋体" w:cs="Times New Roman"/>
      <w:b/>
      <w:bCs/>
      <w:color w:val="000000"/>
      <w:sz w:val="24"/>
      <w:szCs w:val="24"/>
    </w:rPr>
  </w:style>
  <w:style w:type="character" w:customStyle="1" w:styleId="272">
    <w:name w:val="纯文本 Char"/>
    <w:qFormat/>
    <w:uiPriority w:val="0"/>
    <w:rPr>
      <w:rFonts w:ascii="宋体" w:hAnsi="Courier New" w:eastAsia="等线" w:cs="Courier New"/>
    </w:rPr>
  </w:style>
  <w:style w:type="character" w:customStyle="1" w:styleId="273">
    <w:name w:val="NormalCharacter11"/>
    <w:qFormat/>
    <w:uiPriority w:val="99"/>
    <w:rPr>
      <w:rFonts w:ascii="Calibri" w:hAnsi="Calibri" w:eastAsia="宋体"/>
    </w:rPr>
  </w:style>
  <w:style w:type="character" w:customStyle="1" w:styleId="274">
    <w:name w:val="font11"/>
    <w:qFormat/>
    <w:uiPriority w:val="0"/>
    <w:rPr>
      <w:rFonts w:ascii="Times New Roman" w:hAnsi="Times New Roman" w:eastAsia="宋体" w:cs="Times New Roman"/>
      <w:sz w:val="21"/>
      <w:szCs w:val="21"/>
      <w:lang w:val="en-US" w:eastAsia="zh-CN" w:bidi="ar-SA"/>
    </w:rPr>
  </w:style>
  <w:style w:type="paragraph" w:customStyle="1" w:styleId="275">
    <w:name w:val="UserStyle_53"/>
    <w:basedOn w:val="19"/>
    <w:next w:val="46"/>
    <w:qFormat/>
    <w:uiPriority w:val="0"/>
    <w:pPr>
      <w:spacing w:after="120"/>
      <w:ind w:left="420" w:firstLine="420"/>
    </w:pPr>
    <w:rPr>
      <w:rFonts w:ascii="Cambria" w:hAnsi="Cambria" w:eastAsia="华文细黑"/>
      <w:sz w:val="21"/>
      <w:lang w:eastAsia="en-US"/>
    </w:rPr>
  </w:style>
  <w:style w:type="character" w:customStyle="1" w:styleId="276">
    <w:name w:val="custom-tag-placeholder-class"/>
    <w:qFormat/>
    <w:uiPriority w:val="0"/>
  </w:style>
  <w:style w:type="character" w:customStyle="1" w:styleId="277">
    <w:name w:val="普通(网站) Char"/>
    <w:link w:val="44"/>
    <w:qFormat/>
    <w:uiPriority w:val="99"/>
    <w:rPr>
      <w:rFonts w:ascii="宋体" w:hAnsi="宋体" w:cs="宋体"/>
      <w:sz w:val="24"/>
      <w:szCs w:val="24"/>
    </w:rPr>
  </w:style>
  <w:style w:type="character" w:customStyle="1" w:styleId="278">
    <w:name w:val="HTML 预设格式 Char"/>
    <w:basedOn w:val="49"/>
    <w:link w:val="43"/>
    <w:qFormat/>
    <w:uiPriority w:val="0"/>
    <w:rPr>
      <w:rFonts w:ascii="Arial" w:hAnsi="Arial" w:cs="Arial"/>
      <w:sz w:val="24"/>
      <w:szCs w:val="24"/>
    </w:rPr>
  </w:style>
  <w:style w:type="paragraph" w:customStyle="1" w:styleId="279">
    <w:name w:val="纯文本1"/>
    <w:basedOn w:val="1"/>
    <w:qFormat/>
    <w:uiPriority w:val="0"/>
    <w:rPr>
      <w:rFonts w:ascii="宋体" w:hAnsi="Courier New" w:eastAsia="楷体_GB2312"/>
      <w:sz w:val="28"/>
      <w:szCs w:val="20"/>
    </w:rPr>
  </w:style>
  <w:style w:type="character" w:customStyle="1" w:styleId="280">
    <w:name w:val="NormalCharacter"/>
    <w:qFormat/>
    <w:uiPriority w:val="99"/>
    <w:rPr>
      <w:rFonts w:ascii="Calibri" w:hAnsi="Calibri" w:eastAsia="宋体"/>
    </w:rPr>
  </w:style>
  <w:style w:type="paragraph" w:customStyle="1" w:styleId="281">
    <w:name w:val="PlainText"/>
    <w:basedOn w:val="1"/>
    <w:qFormat/>
    <w:uiPriority w:val="0"/>
    <w:rPr>
      <w:rFonts w:ascii="宋体" w:hAnsi="Courier New"/>
      <w:szCs w:val="21"/>
    </w:rPr>
  </w:style>
  <w:style w:type="table" w:customStyle="1" w:styleId="282">
    <w:name w:val="网格型1"/>
    <w:basedOn w:val="47"/>
    <w:qFormat/>
    <w:uiPriority w:val="39"/>
    <w:pPr>
      <w:widowControl w:val="0"/>
    </w:pPr>
    <w:rPr>
      <w:sz w:val="24"/>
      <w:szCs w:val="24"/>
      <w:lang w:eastAsia="en-US"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83">
    <w:name w:val="Body text|2_"/>
    <w:basedOn w:val="49"/>
    <w:link w:val="284"/>
    <w:qFormat/>
    <w:uiPriority w:val="0"/>
    <w:rPr>
      <w:rFonts w:ascii="宋体" w:hAnsi="宋体" w:cs="宋体"/>
      <w:sz w:val="32"/>
      <w:szCs w:val="32"/>
      <w:lang w:val="zh-TW" w:eastAsia="zh-TW" w:bidi="zh-TW"/>
    </w:rPr>
  </w:style>
  <w:style w:type="paragraph" w:customStyle="1" w:styleId="284">
    <w:name w:val="Body text|2"/>
    <w:basedOn w:val="1"/>
    <w:link w:val="283"/>
    <w:qFormat/>
    <w:uiPriority w:val="0"/>
    <w:pPr>
      <w:spacing w:after="300"/>
      <w:jc w:val="left"/>
    </w:pPr>
    <w:rPr>
      <w:rFonts w:ascii="宋体" w:hAnsi="宋体" w:cs="宋体"/>
      <w:sz w:val="32"/>
      <w:szCs w:val="32"/>
      <w:lang w:val="zh-TW" w:eastAsia="zh-TW" w:bidi="zh-TW"/>
    </w:rPr>
  </w:style>
  <w:style w:type="character" w:customStyle="1" w:styleId="285">
    <w:name w:val="Header or footer|2_"/>
    <w:basedOn w:val="49"/>
    <w:link w:val="286"/>
    <w:qFormat/>
    <w:uiPriority w:val="0"/>
    <w:rPr>
      <w:lang w:val="zh-TW" w:eastAsia="zh-TW" w:bidi="zh-TW"/>
    </w:rPr>
  </w:style>
  <w:style w:type="paragraph" w:customStyle="1" w:styleId="286">
    <w:name w:val="Header or footer|2"/>
    <w:basedOn w:val="1"/>
    <w:link w:val="285"/>
    <w:qFormat/>
    <w:uiPriority w:val="0"/>
    <w:pPr>
      <w:jc w:val="left"/>
    </w:pPr>
    <w:rPr>
      <w:rFonts w:ascii="Times New Roman" w:hAnsi="Times New Roman"/>
      <w:sz w:val="20"/>
      <w:szCs w:val="20"/>
      <w:lang w:val="zh-TW" w:eastAsia="zh-TW" w:bidi="zh-TW"/>
    </w:rPr>
  </w:style>
  <w:style w:type="character" w:customStyle="1" w:styleId="287">
    <w:name w:val="Heading #1|1_"/>
    <w:basedOn w:val="49"/>
    <w:link w:val="288"/>
    <w:qFormat/>
    <w:uiPriority w:val="0"/>
    <w:rPr>
      <w:rFonts w:ascii="宋体" w:hAnsi="宋体" w:cs="宋体"/>
      <w:sz w:val="44"/>
      <w:szCs w:val="44"/>
      <w:lang w:val="zh-TW" w:eastAsia="zh-TW" w:bidi="zh-TW"/>
    </w:rPr>
  </w:style>
  <w:style w:type="paragraph" w:customStyle="1" w:styleId="288">
    <w:name w:val="Heading #1|1"/>
    <w:basedOn w:val="1"/>
    <w:link w:val="287"/>
    <w:qFormat/>
    <w:uiPriority w:val="0"/>
    <w:pPr>
      <w:spacing w:after="430"/>
      <w:ind w:firstLine="90"/>
      <w:jc w:val="left"/>
      <w:outlineLvl w:val="0"/>
    </w:pPr>
    <w:rPr>
      <w:rFonts w:ascii="宋体" w:hAnsi="宋体" w:cs="宋体"/>
      <w:sz w:val="44"/>
      <w:szCs w:val="44"/>
      <w:lang w:val="zh-TW" w:eastAsia="zh-TW" w:bidi="zh-TW"/>
    </w:rPr>
  </w:style>
  <w:style w:type="character" w:customStyle="1" w:styleId="289">
    <w:name w:val="Body text|1_"/>
    <w:basedOn w:val="49"/>
    <w:link w:val="290"/>
    <w:qFormat/>
    <w:uiPriority w:val="0"/>
    <w:rPr>
      <w:rFonts w:ascii="宋体" w:hAnsi="宋体" w:cs="宋体"/>
      <w:sz w:val="26"/>
      <w:szCs w:val="26"/>
      <w:lang w:val="zh-TW" w:eastAsia="zh-TW" w:bidi="zh-TW"/>
    </w:rPr>
  </w:style>
  <w:style w:type="paragraph" w:customStyle="1" w:styleId="290">
    <w:name w:val="Body text|1"/>
    <w:basedOn w:val="1"/>
    <w:link w:val="289"/>
    <w:qFormat/>
    <w:uiPriority w:val="0"/>
    <w:pPr>
      <w:spacing w:line="439" w:lineRule="auto"/>
      <w:ind w:firstLine="400"/>
      <w:jc w:val="left"/>
    </w:pPr>
    <w:rPr>
      <w:rFonts w:ascii="宋体" w:hAnsi="宋体" w:cs="宋体"/>
      <w:sz w:val="26"/>
      <w:szCs w:val="26"/>
      <w:lang w:val="zh-TW" w:eastAsia="zh-TW" w:bidi="zh-TW"/>
    </w:rPr>
  </w:style>
  <w:style w:type="character" w:customStyle="1" w:styleId="291">
    <w:name w:val="Picture caption|1_"/>
    <w:basedOn w:val="49"/>
    <w:link w:val="292"/>
    <w:qFormat/>
    <w:uiPriority w:val="0"/>
    <w:rPr>
      <w:rFonts w:ascii="宋体" w:hAnsi="宋体" w:cs="宋体"/>
      <w:sz w:val="14"/>
      <w:szCs w:val="14"/>
      <w:lang w:val="zh-TW" w:eastAsia="zh-TW" w:bidi="zh-TW"/>
    </w:rPr>
  </w:style>
  <w:style w:type="paragraph" w:customStyle="1" w:styleId="292">
    <w:name w:val="Picture caption|1"/>
    <w:basedOn w:val="1"/>
    <w:link w:val="291"/>
    <w:qFormat/>
    <w:uiPriority w:val="0"/>
    <w:pPr>
      <w:jc w:val="left"/>
    </w:pPr>
    <w:rPr>
      <w:rFonts w:ascii="宋体" w:hAnsi="宋体" w:cs="宋体"/>
      <w:sz w:val="14"/>
      <w:szCs w:val="14"/>
      <w:lang w:val="zh-TW" w:eastAsia="zh-TW" w:bidi="zh-TW"/>
    </w:rPr>
  </w:style>
  <w:style w:type="character" w:customStyle="1" w:styleId="293">
    <w:name w:val="Body text|3_"/>
    <w:basedOn w:val="49"/>
    <w:link w:val="294"/>
    <w:qFormat/>
    <w:uiPriority w:val="0"/>
    <w:rPr>
      <w:rFonts w:ascii="宋体" w:hAnsi="宋体" w:cs="宋体"/>
      <w:sz w:val="14"/>
      <w:szCs w:val="14"/>
      <w:lang w:val="zh-TW" w:eastAsia="zh-TW" w:bidi="zh-TW"/>
    </w:rPr>
  </w:style>
  <w:style w:type="paragraph" w:customStyle="1" w:styleId="294">
    <w:name w:val="Body text|3"/>
    <w:basedOn w:val="1"/>
    <w:link w:val="293"/>
    <w:qFormat/>
    <w:uiPriority w:val="0"/>
    <w:pPr>
      <w:spacing w:line="281" w:lineRule="auto"/>
      <w:jc w:val="left"/>
    </w:pPr>
    <w:rPr>
      <w:rFonts w:ascii="宋体" w:hAnsi="宋体" w:cs="宋体"/>
      <w:sz w:val="14"/>
      <w:szCs w:val="14"/>
      <w:lang w:val="zh-TW" w:eastAsia="zh-TW" w:bidi="zh-TW"/>
    </w:rPr>
  </w:style>
  <w:style w:type="character" w:customStyle="1" w:styleId="295">
    <w:name w:val="Body text|4_"/>
    <w:basedOn w:val="49"/>
    <w:link w:val="296"/>
    <w:qFormat/>
    <w:uiPriority w:val="0"/>
    <w:rPr>
      <w:rFonts w:ascii="宋体" w:hAnsi="宋体" w:cs="宋体"/>
      <w:sz w:val="16"/>
      <w:szCs w:val="16"/>
      <w:lang w:val="zh-TW" w:eastAsia="zh-TW" w:bidi="zh-TW"/>
    </w:rPr>
  </w:style>
  <w:style w:type="paragraph" w:customStyle="1" w:styleId="296">
    <w:name w:val="Body text|4"/>
    <w:basedOn w:val="1"/>
    <w:link w:val="295"/>
    <w:qFormat/>
    <w:uiPriority w:val="0"/>
    <w:pPr>
      <w:jc w:val="left"/>
    </w:pPr>
    <w:rPr>
      <w:rFonts w:ascii="宋体" w:hAnsi="宋体" w:cs="宋体"/>
      <w:sz w:val="16"/>
      <w:szCs w:val="16"/>
      <w:lang w:val="zh-TW" w:eastAsia="zh-TW" w:bidi="zh-TW"/>
    </w:rPr>
  </w:style>
  <w:style w:type="character" w:customStyle="1" w:styleId="297">
    <w:name w:val="Heading #2|1_"/>
    <w:basedOn w:val="49"/>
    <w:link w:val="298"/>
    <w:qFormat/>
    <w:uiPriority w:val="0"/>
    <w:rPr>
      <w:rFonts w:ascii="宋体" w:hAnsi="宋体" w:cs="宋体"/>
      <w:sz w:val="32"/>
      <w:szCs w:val="32"/>
      <w:lang w:val="zh-TW" w:eastAsia="zh-TW" w:bidi="zh-TW"/>
    </w:rPr>
  </w:style>
  <w:style w:type="paragraph" w:customStyle="1" w:styleId="298">
    <w:name w:val="Heading #2|1"/>
    <w:basedOn w:val="1"/>
    <w:link w:val="297"/>
    <w:qFormat/>
    <w:uiPriority w:val="0"/>
    <w:pPr>
      <w:spacing w:after="280"/>
      <w:ind w:firstLine="490"/>
      <w:jc w:val="left"/>
      <w:outlineLvl w:val="1"/>
    </w:pPr>
    <w:rPr>
      <w:rFonts w:ascii="宋体" w:hAnsi="宋体" w:cs="宋体"/>
      <w:sz w:val="32"/>
      <w:szCs w:val="32"/>
      <w:lang w:val="zh-TW" w:eastAsia="zh-TW" w:bidi="zh-TW"/>
    </w:rPr>
  </w:style>
  <w:style w:type="character" w:customStyle="1" w:styleId="299">
    <w:name w:val="Header or footer|1_"/>
    <w:basedOn w:val="49"/>
    <w:link w:val="300"/>
    <w:qFormat/>
    <w:uiPriority w:val="0"/>
    <w:rPr>
      <w:rFonts w:ascii="宋体" w:hAnsi="宋体" w:cs="宋体"/>
      <w:sz w:val="18"/>
      <w:szCs w:val="18"/>
      <w:lang w:val="zh-TW" w:eastAsia="zh-TW" w:bidi="zh-TW"/>
    </w:rPr>
  </w:style>
  <w:style w:type="paragraph" w:customStyle="1" w:styleId="300">
    <w:name w:val="Header or footer|1"/>
    <w:basedOn w:val="1"/>
    <w:link w:val="299"/>
    <w:qFormat/>
    <w:uiPriority w:val="0"/>
    <w:pPr>
      <w:jc w:val="left"/>
    </w:pPr>
    <w:rPr>
      <w:rFonts w:ascii="宋体" w:hAnsi="宋体" w:cs="宋体"/>
      <w:sz w:val="18"/>
      <w:szCs w:val="18"/>
      <w:lang w:val="zh-TW" w:eastAsia="zh-TW" w:bidi="zh-TW"/>
    </w:rPr>
  </w:style>
  <w:style w:type="character" w:customStyle="1" w:styleId="301">
    <w:name w:val="Table caption|1_"/>
    <w:basedOn w:val="49"/>
    <w:link w:val="302"/>
    <w:qFormat/>
    <w:uiPriority w:val="0"/>
    <w:rPr>
      <w:rFonts w:ascii="宋体" w:hAnsi="宋体" w:cs="宋体"/>
      <w:sz w:val="28"/>
      <w:szCs w:val="28"/>
      <w:lang w:val="zh-TW" w:eastAsia="zh-TW" w:bidi="zh-TW"/>
    </w:rPr>
  </w:style>
  <w:style w:type="paragraph" w:customStyle="1" w:styleId="302">
    <w:name w:val="Table caption|1"/>
    <w:basedOn w:val="1"/>
    <w:link w:val="301"/>
    <w:qFormat/>
    <w:uiPriority w:val="0"/>
    <w:pPr>
      <w:jc w:val="left"/>
    </w:pPr>
    <w:rPr>
      <w:rFonts w:ascii="宋体" w:hAnsi="宋体" w:cs="宋体"/>
      <w:sz w:val="28"/>
      <w:szCs w:val="28"/>
      <w:lang w:val="zh-TW" w:eastAsia="zh-TW" w:bidi="zh-TW"/>
    </w:rPr>
  </w:style>
  <w:style w:type="character" w:customStyle="1" w:styleId="303">
    <w:name w:val="Other|1_"/>
    <w:basedOn w:val="49"/>
    <w:link w:val="304"/>
    <w:qFormat/>
    <w:uiPriority w:val="0"/>
    <w:rPr>
      <w:rFonts w:ascii="宋体" w:hAnsi="宋体" w:cs="宋体"/>
      <w:sz w:val="26"/>
      <w:szCs w:val="26"/>
      <w:lang w:val="zh-TW" w:eastAsia="zh-TW" w:bidi="zh-TW"/>
    </w:rPr>
  </w:style>
  <w:style w:type="paragraph" w:customStyle="1" w:styleId="304">
    <w:name w:val="Other|1"/>
    <w:basedOn w:val="1"/>
    <w:link w:val="303"/>
    <w:qFormat/>
    <w:uiPriority w:val="0"/>
    <w:pPr>
      <w:spacing w:line="439" w:lineRule="auto"/>
      <w:ind w:firstLine="400"/>
      <w:jc w:val="left"/>
    </w:pPr>
    <w:rPr>
      <w:rFonts w:ascii="宋体" w:hAnsi="宋体" w:cs="宋体"/>
      <w:sz w:val="26"/>
      <w:szCs w:val="26"/>
      <w:lang w:val="zh-TW" w:eastAsia="zh-TW" w:bidi="zh-TW"/>
    </w:rPr>
  </w:style>
  <w:style w:type="character" w:customStyle="1" w:styleId="305">
    <w:name w:val="表格标题_"/>
    <w:basedOn w:val="49"/>
    <w:link w:val="306"/>
    <w:qFormat/>
    <w:uiPriority w:val="0"/>
    <w:rPr>
      <w:rFonts w:ascii="MingLiU" w:hAnsi="MingLiU" w:eastAsia="MingLiU" w:cs="MingLiU"/>
      <w:b/>
      <w:bCs/>
      <w:shd w:val="clear" w:color="auto" w:fill="FFFFFF"/>
      <w:lang w:val="zh-CN" w:bidi="zh-CN"/>
    </w:rPr>
  </w:style>
  <w:style w:type="paragraph" w:customStyle="1" w:styleId="306">
    <w:name w:val="表格标题"/>
    <w:basedOn w:val="1"/>
    <w:link w:val="305"/>
    <w:qFormat/>
    <w:uiPriority w:val="0"/>
    <w:pPr>
      <w:shd w:val="clear" w:color="auto" w:fill="FFFFFF"/>
      <w:jc w:val="left"/>
    </w:pPr>
    <w:rPr>
      <w:rFonts w:ascii="MingLiU" w:hAnsi="MingLiU" w:eastAsia="MingLiU" w:cs="MingLiU"/>
      <w:b/>
      <w:bCs/>
      <w:sz w:val="20"/>
      <w:szCs w:val="20"/>
      <w:lang w:val="zh-CN" w:bidi="zh-CN"/>
    </w:rPr>
  </w:style>
  <w:style w:type="character" w:customStyle="1" w:styleId="307">
    <w:name w:val="正文文本 字符"/>
    <w:basedOn w:val="49"/>
    <w:qFormat/>
    <w:uiPriority w:val="99"/>
    <w:rPr>
      <w:rFonts w:eastAsia="Times New Roman"/>
      <w:color w:val="000000"/>
      <w:sz w:val="24"/>
      <w:szCs w:val="24"/>
      <w:lang w:eastAsia="en-US" w:bidi="en-US"/>
    </w:rPr>
  </w:style>
  <w:style w:type="character" w:customStyle="1" w:styleId="308">
    <w:name w:val="正文文本 字符1"/>
    <w:qFormat/>
    <w:uiPriority w:val="99"/>
    <w:rPr>
      <w:rFonts w:ascii="楷体_GB2312" w:eastAsia="楷体_GB2312"/>
      <w:sz w:val="32"/>
    </w:rPr>
  </w:style>
  <w:style w:type="paragraph" w:customStyle="1" w:styleId="309">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character" w:customStyle="1" w:styleId="310">
    <w:name w:val="批注文字 Char"/>
    <w:basedOn w:val="49"/>
    <w:link w:val="16"/>
    <w:qFormat/>
    <w:uiPriority w:val="99"/>
    <w:rPr>
      <w:rFonts w:ascii="Calibri" w:hAnsi="Calibri"/>
      <w:sz w:val="21"/>
      <w:szCs w:val="24"/>
    </w:rPr>
  </w:style>
  <w:style w:type="table" w:customStyle="1" w:styleId="311">
    <w:name w:val="网格型2"/>
    <w:basedOn w:val="47"/>
    <w:qFormat/>
    <w:uiPriority w:val="39"/>
    <w:pPr>
      <w:widowControl w:val="0"/>
    </w:pPr>
    <w:rPr>
      <w:sz w:val="24"/>
      <w:szCs w:val="24"/>
      <w:lang w:eastAsia="en-US"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12">
    <w:name w:val="align-middle"/>
    <w:basedOn w:val="49"/>
    <w:qFormat/>
    <w:uiPriority w:val="0"/>
  </w:style>
  <w:style w:type="table" w:customStyle="1" w:styleId="313">
    <w:name w:val="网格型3"/>
    <w:basedOn w:val="47"/>
    <w:qFormat/>
    <w:uiPriority w:val="99"/>
    <w:tblPr>
      <w:tblCellMar>
        <w:top w:w="0" w:type="dxa"/>
        <w:left w:w="108" w:type="dxa"/>
        <w:bottom w:w="0" w:type="dxa"/>
        <w:right w:w="108" w:type="dxa"/>
      </w:tblCellMar>
    </w:tblPr>
  </w:style>
  <w:style w:type="character" w:customStyle="1" w:styleId="314">
    <w:name w:val="news12241"/>
    <w:basedOn w:val="49"/>
    <w:qFormat/>
    <w:uiPriority w:val="0"/>
    <w:rPr>
      <w:color w:val="000000"/>
      <w:sz w:val="18"/>
      <w:szCs w:val="18"/>
      <w:u w:val="none"/>
    </w:rPr>
  </w:style>
  <w:style w:type="character" w:customStyle="1" w:styleId="315">
    <w:name w:val="active16"/>
    <w:basedOn w:val="49"/>
    <w:qFormat/>
    <w:uiPriority w:val="0"/>
    <w:rPr>
      <w:color w:val="FFFFFF"/>
      <w:shd w:val="clear" w:color="auto" w:fill="0F5BB9"/>
    </w:rPr>
  </w:style>
  <w:style w:type="paragraph" w:customStyle="1" w:styleId="316">
    <w:name w:val="列出段落3"/>
    <w:qFormat/>
    <w:uiPriority w:val="0"/>
    <w:pPr>
      <w:widowControl w:val="0"/>
      <w:ind w:firstLine="420"/>
      <w:jc w:val="both"/>
    </w:pPr>
    <w:rPr>
      <w:rFonts w:ascii="Calibri" w:hAnsi="Calibri"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51</Pages>
  <Words>14618</Words>
  <Characters>15644</Characters>
  <Lines>255</Lines>
  <Paragraphs>72</Paragraphs>
  <TotalTime>19</TotalTime>
  <ScaleCrop>false</ScaleCrop>
  <LinksUpToDate>false</LinksUpToDate>
  <CharactersWithSpaces>15965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2026-01-19T02:25:00Z</dcterms:created>
  <dc:creator>lenovo</dc:creator>
  <cp:lastModifiedBy>华东师范大学盐城实验学校(填报)</cp:lastModifiedBy>
  <dcterms:modified xsi:type="dcterms:W3CDTF">2026-06-23T03:34:15Z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eyJoZGlkIjoiMzYxMmUxNDY4MWRlYzllMjQ2ZDBlYTNjYzYxOTlkMTciLCJ1c2VySWQiOiI0MDI4NDQyMzMifQ==</vt:lpwstr>
  </property>
  <property fmtid="{D5CDD505-2E9C-101B-9397-08002B2CF9AE}" pid="3" name="KSOProductBuildVer">
    <vt:lpwstr>2052-12.1.0.26895</vt:lpwstr>
  </property>
  <property fmtid="{D5CDD505-2E9C-101B-9397-08002B2CF9AE}" pid="4" name="ICV">
    <vt:lpwstr>840BB75B09B14F67B20F2F0529A1FCFC_13</vt:lpwstr>
  </property>
</Properties>
</file>