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sz w:val="84"/>
          <w:szCs w:val="84"/>
          <w:highlight w:val="none"/>
        </w:rPr>
      </w:pPr>
      <w:r>
        <w:rPr>
          <w:rFonts w:hint="eastAsia" w:ascii="宋体" w:hAnsi="宋体" w:cs="宋体"/>
          <w:b/>
          <w:bCs/>
          <w:sz w:val="84"/>
          <w:szCs w:val="84"/>
          <w:highlight w:val="none"/>
        </w:rPr>
      </w:r>
      <w:r/>
    </w:p>
    <w:p>
      <w:pPr>
        <w:rPr>
          <w:rFonts w:hint="eastAsia" w:ascii="宋体" w:hAnsi="宋体" w:cs="宋体"/>
          <w:b/>
          <w:bCs/>
          <w:sz w:val="84"/>
          <w:szCs w:val="84"/>
          <w:highlight w:val="none"/>
        </w:rPr>
      </w:pPr>
      <w:r>
        <w:rPr>
          <w:rFonts w:hint="eastAsia" w:ascii="宋体" w:hAnsi="宋体" w:cs="宋体"/>
          <w:b/>
          <w:bCs/>
          <w:sz w:val="84"/>
          <w:szCs w:val="84"/>
          <w:highlight w:val="none"/>
        </w:rPr>
      </w:r>
      <w:r/>
    </w:p>
    <w:p>
      <w:pPr>
        <w:jc w:val="center"/>
        <w:rPr>
          <w:rFonts w:hint="eastAsia" w:ascii="宋体" w:hAnsi="宋体" w:cs="宋体"/>
          <w:sz w:val="44"/>
          <w:szCs w:val="44"/>
          <w:highlight w:val="none"/>
        </w:rPr>
      </w:pPr>
      <w:r>
        <w:rPr>
          <w:rFonts w:hint="eastAsia" w:ascii="宋体" w:hAnsi="宋体" w:cs="宋体"/>
          <w:b/>
          <w:sz w:val="84"/>
          <w:highlight w:val="none"/>
        </w:rPr>
        <w:t xml:space="preserve">招 标 文 件</w:t>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Cs/>
          <w:sz w:val="32"/>
          <w:highlight w:val="none"/>
        </w:rPr>
      </w:pPr>
      <w:r>
        <w:rPr>
          <w:rFonts w:hint="eastAsia" w:ascii="宋体" w:hAnsi="宋体" w:cs="宋体"/>
          <w:bCs/>
          <w:sz w:val="32"/>
          <w:highlight w:val="none"/>
        </w:rPr>
      </w:r>
      <w:r/>
    </w:p>
    <w:p>
      <w:pPr>
        <w:ind w:firstLine="1080"/>
        <w:rPr>
          <w:rFonts w:hint="eastAsia" w:ascii="宋体" w:hAnsi="宋体" w:eastAsia="宋体" w:cs="宋体"/>
          <w:bCs/>
          <w:color w:val="000000"/>
          <w:sz w:val="30"/>
          <w:szCs w:val="30"/>
          <w:highlight w:val="none"/>
          <w:lang w:eastAsia="zh-CN"/>
        </w:rPr>
      </w:pPr>
      <w:r>
        <w:rPr>
          <w:rFonts w:hint="eastAsia" w:ascii="宋体" w:hAnsi="宋体" w:cs="宋体"/>
          <w:bCs/>
          <w:color w:val="000000"/>
          <w:sz w:val="36"/>
          <w:szCs w:val="36"/>
          <w:highlight w:val="none"/>
        </w:rPr>
        <w:t xml:space="preserve">项目编号：</w:t>
      </w:r>
      <w:r>
        <w:rPr>
          <w:rFonts w:hint="eastAsia" w:ascii="宋体" w:hAnsi="宋体" w:cs="宋体"/>
          <w:bCs/>
          <w:color w:val="000000"/>
          <w:sz w:val="36"/>
          <w:szCs w:val="36"/>
          <w:highlight w:val="none"/>
          <w:lang w:eastAsia="zh-CN"/>
        </w:rPr>
        <w:t xml:space="preserve">JSZC-320992-YDCW-G2026-0002</w:t>
      </w:r>
      <w:r/>
    </w:p>
    <w:p>
      <w:pPr>
        <w:jc w:val="center"/>
        <w:spacing w:line="300" w:lineRule="auto"/>
        <w:rPr>
          <w:rFonts w:hint="eastAsia" w:ascii="宋体" w:hAnsi="宋体" w:cs="宋体"/>
          <w:bCs/>
          <w:color w:val="000000"/>
          <w:highlight w:val="none"/>
        </w:rPr>
      </w:pPr>
      <w:r>
        <w:rPr>
          <w:rFonts w:hint="eastAsia" w:ascii="宋体" w:hAnsi="宋体" w:cs="宋体"/>
          <w:bCs/>
          <w:color w:val="000000"/>
          <w:highlight w:val="none"/>
        </w:rPr>
      </w:r>
      <w:r/>
    </w:p>
    <w:p>
      <w:pPr>
        <w:ind w:firstLine="1080"/>
        <w:spacing w:line="480" w:lineRule="auto"/>
        <w:rPr>
          <w:rFonts w:hint="eastAsia" w:ascii="宋体" w:hAnsi="宋体" w:cs="宋体"/>
          <w:bCs/>
          <w:sz w:val="36"/>
          <w:highlight w:val="none"/>
        </w:rPr>
      </w:pPr>
      <w:r>
        <w:rPr>
          <w:rFonts w:hint="eastAsia" w:ascii="宋体" w:hAnsi="宋体" w:cs="宋体"/>
          <w:bCs/>
          <w:sz w:val="36"/>
          <w:highlight w:val="none"/>
        </w:rPr>
        <w:t xml:space="preserve">项目名称：盐南高新区伍佑街道农村生活污水</w:t>
      </w:r>
      <w:bookmarkStart w:id="0" w:name="OLE_LINK17"/>
      <w:r/>
      <w:r/>
    </w:p>
    <w:p>
      <w:pPr>
        <w:ind w:firstLine="1080"/>
        <w:jc w:val="center"/>
        <w:spacing w:line="480" w:lineRule="auto"/>
        <w:rPr>
          <w:rFonts w:hint="eastAsia" w:ascii="宋体" w:hAnsi="宋体" w:cs="宋体"/>
          <w:bCs/>
          <w:sz w:val="32"/>
          <w:highlight w:val="none"/>
        </w:rPr>
      </w:pPr>
      <w:r>
        <w:rPr>
          <w:rFonts w:hint="eastAsia" w:ascii="宋体" w:hAnsi="宋体" w:cs="宋体"/>
          <w:bCs/>
          <w:sz w:val="36"/>
          <w:highlight w:val="none"/>
        </w:rPr>
        <w:t xml:space="preserve">处理设施运维项目</w:t>
      </w:r>
      <w:bookmarkEnd w:id="0"/>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jc w:val="center"/>
        <w:spacing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t xml:space="preserve">采购单位：盐城市生态环境局盐南高新区分局</w:t>
      </w:r>
      <w:r/>
    </w:p>
    <w:p>
      <w:pPr>
        <w:spacing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after="120"/>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t xml:space="preserve">2026年</w:t>
      </w:r>
      <w:r>
        <w:rPr>
          <w:rFonts w:hint="eastAsia" w:ascii="宋体" w:hAnsi="宋体" w:cs="宋体"/>
          <w:color w:val="000000"/>
          <w:sz w:val="36"/>
          <w:highlight w:val="none"/>
          <w:lang w:val="en-US" w:eastAsia="zh-CN"/>
        </w:rPr>
        <w:t xml:space="preserve">3</w:t>
      </w:r>
      <w:r>
        <w:rPr>
          <w:rFonts w:hint="eastAsia" w:ascii="宋体" w:hAnsi="宋体" w:cs="宋体"/>
          <w:color w:val="000000"/>
          <w:sz w:val="36"/>
          <w:highlight w:val="none"/>
        </w:rPr>
        <w:t xml:space="preserve">月</w:t>
      </w:r>
      <w:r>
        <w:rPr>
          <w:rFonts w:hint="eastAsia" w:ascii="宋体" w:hAnsi="宋体" w:cs="宋体"/>
          <w:b/>
          <w:sz w:val="44"/>
          <w:highlight w:val="none"/>
        </w:rPr>
        <w:br w:type="page" w:clear="all"/>
      </w:r>
      <w:r/>
    </w:p>
    <w:p>
      <w:pPr>
        <w:jc w:val="center"/>
        <w:rPr>
          <w:rFonts w:hint="eastAsia" w:ascii="宋体" w:hAnsi="宋体" w:cs="宋体"/>
          <w:b/>
          <w:sz w:val="44"/>
          <w:highlight w:val="none"/>
        </w:rPr>
      </w:pPr>
      <w:r>
        <w:rPr>
          <w:rFonts w:hint="eastAsia" w:ascii="宋体" w:hAnsi="宋体" w:cs="宋体"/>
          <w:b/>
          <w:sz w:val="44"/>
          <w:highlight w:val="none"/>
        </w:rPr>
        <w:t xml:space="preserve">总  目  录</w:t>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ind w:firstLine="360"/>
        <w:spacing w:line="700" w:lineRule="exact"/>
        <w:rPr>
          <w:rFonts w:hint="eastAsia" w:ascii="宋体" w:hAnsi="宋体" w:cs="宋体"/>
          <w:sz w:val="36"/>
          <w:highlight w:val="none"/>
        </w:rPr>
        <w:outlineLvl w:val="0"/>
      </w:pPr>
      <w:r>
        <w:rPr>
          <w:rFonts w:hint="eastAsia" w:ascii="宋体" w:hAnsi="宋体" w:cs="宋体"/>
          <w:sz w:val="36"/>
          <w:highlight w:val="none"/>
        </w:rPr>
        <w:t xml:space="preserve">第一章  招标公告………………………………3</w:t>
      </w:r>
      <w:r/>
    </w:p>
    <w:p>
      <w:pPr>
        <w:ind w:firstLine="360"/>
        <w:spacing w:line="700" w:lineRule="exact"/>
        <w:rPr>
          <w:rFonts w:hint="eastAsia" w:ascii="宋体" w:hAnsi="宋体" w:cs="宋体"/>
          <w:sz w:val="36"/>
          <w:highlight w:val="none"/>
        </w:rPr>
        <w:outlineLvl w:val="0"/>
      </w:pPr>
      <w:r>
        <w:rPr>
          <w:rFonts w:hint="eastAsia" w:ascii="宋体" w:hAnsi="宋体" w:cs="宋体"/>
          <w:sz w:val="36"/>
          <w:highlight w:val="none"/>
        </w:rPr>
        <w:t xml:space="preserve">第二章  投标人须知</w:t>
      </w:r>
      <w:r>
        <w:rPr>
          <w:rFonts w:hint="eastAsia" w:ascii="宋体" w:hAnsi="宋体" w:cs="宋体"/>
          <w:sz w:val="36"/>
          <w:szCs w:val="36"/>
          <w:highlight w:val="none"/>
        </w:rPr>
        <w:t xml:space="preserve">…</w:t>
      </w:r>
      <w:r>
        <w:rPr>
          <w:rFonts w:hint="eastAsia" w:ascii="宋体" w:hAnsi="宋体" w:cs="宋体"/>
          <w:sz w:val="36"/>
          <w:highlight w:val="none"/>
        </w:rPr>
        <w:t xml:space="preserve">…………………………6</w:t>
      </w:r>
      <w:r/>
    </w:p>
    <w:p>
      <w:pPr>
        <w:ind w:firstLine="360"/>
        <w:spacing w:line="700" w:lineRule="exact"/>
        <w:rPr>
          <w:rFonts w:hint="eastAsia" w:ascii="宋体" w:hAnsi="宋体" w:cs="宋体"/>
          <w:sz w:val="36"/>
          <w:highlight w:val="none"/>
        </w:rPr>
        <w:outlineLvl w:val="0"/>
      </w:pPr>
      <w:r>
        <w:rPr>
          <w:rFonts w:hint="eastAsia" w:ascii="宋体" w:hAnsi="宋体" w:cs="宋体"/>
          <w:sz w:val="36"/>
          <w:highlight w:val="none"/>
        </w:rPr>
        <w:t xml:space="preserve">第三章  合同文本………………………</w:t>
      </w:r>
      <w:bookmarkStart w:id="1" w:name="OLE_LINK16"/>
      <w:r>
        <w:rPr>
          <w:rFonts w:hint="eastAsia" w:ascii="宋体" w:hAnsi="宋体" w:cs="宋体"/>
          <w:sz w:val="36"/>
          <w:highlight w:val="none"/>
        </w:rPr>
        <w:t xml:space="preserve">……</w:t>
      </w:r>
      <w:bookmarkEnd w:id="1"/>
      <w:r>
        <w:rPr>
          <w:rFonts w:hint="eastAsia" w:ascii="宋体" w:hAnsi="宋体" w:cs="宋体"/>
          <w:sz w:val="36"/>
          <w:highlight w:val="none"/>
        </w:rPr>
        <w:t xml:space="preserve">…18</w:t>
      </w:r>
      <w:r/>
    </w:p>
    <w:p>
      <w:pPr>
        <w:ind w:firstLine="360"/>
        <w:spacing w:line="700" w:lineRule="exact"/>
        <w:rPr>
          <w:rFonts w:hint="eastAsia" w:ascii="宋体" w:hAnsi="宋体" w:cs="宋体"/>
          <w:sz w:val="36"/>
          <w:highlight w:val="none"/>
        </w:rPr>
        <w:outlineLvl w:val="0"/>
      </w:pPr>
      <w:r>
        <w:rPr>
          <w:rFonts w:hint="eastAsia" w:ascii="宋体" w:hAnsi="宋体" w:cs="宋体"/>
          <w:sz w:val="36"/>
          <w:highlight w:val="none"/>
        </w:rPr>
        <w:t xml:space="preserve">第四章  采购需求………………………………23</w:t>
      </w:r>
      <w:r/>
    </w:p>
    <w:p>
      <w:pPr>
        <w:ind w:firstLine="360"/>
        <w:spacing w:line="700" w:lineRule="exact"/>
        <w:rPr>
          <w:rFonts w:hint="eastAsia" w:ascii="宋体" w:hAnsi="宋体" w:cs="宋体"/>
          <w:sz w:val="36"/>
          <w:highlight w:val="none"/>
        </w:rPr>
        <w:outlineLvl w:val="0"/>
      </w:pPr>
      <w:r>
        <w:rPr>
          <w:rFonts w:hint="eastAsia" w:ascii="宋体" w:hAnsi="宋体" w:cs="宋体"/>
          <w:sz w:val="36"/>
          <w:highlight w:val="none"/>
        </w:rPr>
        <w:t xml:space="preserve">第五章  评标方法与评标标准…………………45</w:t>
      </w:r>
      <w:r/>
    </w:p>
    <w:p>
      <w:pPr>
        <w:ind w:firstLine="360"/>
        <w:spacing w:line="700" w:lineRule="exact"/>
        <w:rPr>
          <w:rFonts w:hint="eastAsia" w:ascii="宋体" w:hAnsi="宋体" w:cs="宋体"/>
          <w:sz w:val="36"/>
          <w:highlight w:val="none"/>
        </w:rPr>
        <w:outlineLvl w:val="0"/>
      </w:pPr>
      <w:r>
        <w:rPr>
          <w:rFonts w:hint="eastAsia" w:ascii="宋体" w:hAnsi="宋体" w:cs="宋体"/>
          <w:sz w:val="36"/>
          <w:highlight w:val="none"/>
        </w:rPr>
        <w:t xml:space="preserve">第六章  投标文件格式…………………………49</w:t>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tabs>
          <w:tab w:val="left" w:pos="5057" w:leader="none"/>
        </w:tabs>
        <w:rPr>
          <w:rFonts w:hint="eastAsia" w:ascii="宋体" w:hAnsi="宋体" w:cs="宋体"/>
          <w:sz w:val="36"/>
          <w:highlight w:val="none"/>
        </w:rPr>
        <w:outlineLvl w:val="0"/>
      </w:pPr>
      <w:r>
        <w:rPr>
          <w:rFonts w:hint="eastAsia" w:ascii="宋体" w:hAnsi="宋体" w:cs="宋体"/>
          <w:sz w:val="36"/>
          <w:highlight w:val="none"/>
        </w:rPr>
        <w:tab/>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highlight w:val="none"/>
        </w:rPr>
        <w:outlineLvl w:val="0"/>
      </w:pPr>
      <w:r>
        <w:rPr>
          <w:rFonts w:hint="eastAsia" w:ascii="宋体" w:hAnsi="宋体" w:cs="宋体"/>
          <w:highlight w:val="none"/>
        </w:rPr>
      </w:r>
      <w:r/>
    </w:p>
    <w:p>
      <w:pPr>
        <w:jc w:val="center"/>
        <w:spacing w:line="700" w:lineRule="exact"/>
        <w:rPr>
          <w:rFonts w:hint="eastAsia" w:ascii="宋体" w:hAnsi="宋体" w:cs="宋体"/>
          <w:sz w:val="30"/>
          <w:szCs w:val="30"/>
          <w:highlight w:val="none"/>
        </w:rPr>
        <w:outlineLvl w:val="0"/>
      </w:pPr>
      <w:r>
        <w:rPr>
          <w:rFonts w:hint="eastAsia" w:ascii="宋体" w:hAnsi="宋体" w:cs="宋体"/>
          <w:sz w:val="44"/>
          <w:szCs w:val="44"/>
          <w:highlight w:val="none"/>
        </w:rPr>
        <w:t xml:space="preserve">第一章  招标公告</w:t>
      </w:r>
      <w:r/>
    </w:p>
    <w:tbl>
      <w:tblPr>
        <w:tblStyle w:val="722"/>
        <w:tblW w:w="913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9"/>
      </w:tblGrid>
      <w:tr>
        <w:trPr>
          <w:trHeight w:val="1436"/>
        </w:trPr>
        <w:tc>
          <w:tcPr>
            <w:tcW w:w="9139" w:type="dxa"/>
            <w:textDirection w:val="lrTb"/>
            <w:noWrap w:val="false"/>
          </w:tcPr>
          <w:p>
            <w:pPr>
              <w:pStyle w:val="901"/>
              <w:ind w:firstLine="0"/>
              <w:jc w:val="both"/>
              <w:spacing w:before="0" w:after="0" w:line="360" w:lineRule="exact"/>
              <w:rPr>
                <w:rFonts w:hint="eastAsia" w:ascii="宋体" w:hAnsi="宋体" w:cs="宋体"/>
                <w:sz w:val="21"/>
                <w:szCs w:val="21"/>
                <w:highlight w:val="none"/>
              </w:rPr>
            </w:pPr>
            <w:r>
              <w:rPr>
                <w:rFonts w:hint="eastAsia" w:ascii="宋体" w:hAnsi="宋体" w:cs="宋体"/>
                <w:sz w:val="21"/>
                <w:szCs w:val="21"/>
                <w:highlight w:val="none"/>
              </w:rPr>
              <w:t xml:space="preserve">项目概况</w:t>
            </w:r>
            <w:r/>
          </w:p>
          <w:p>
            <w:pPr>
              <w:pStyle w:val="901"/>
              <w:ind w:firstLine="420"/>
              <w:jc w:val="both"/>
              <w:spacing w:before="0" w:after="0" w:line="360" w:lineRule="exact"/>
              <w:rPr>
                <w:rFonts w:hint="eastAsia" w:ascii="宋体" w:hAnsi="宋体" w:cs="宋体"/>
                <w:sz w:val="21"/>
                <w:szCs w:val="21"/>
                <w:highlight w:val="none"/>
                <w:u w:val="single"/>
              </w:rPr>
            </w:pPr>
            <w:r>
              <w:rPr>
                <w:rFonts w:hint="eastAsia" w:ascii="宋体" w:hAnsi="宋体" w:cs="宋体"/>
                <w:sz w:val="21"/>
                <w:szCs w:val="21"/>
                <w:highlight w:val="none"/>
              </w:rPr>
              <w:t xml:space="preserve">盐南高新区伍佑街道农村生活污水处理设施运维项目的潜在投标人可在“苏采云”系统内免费下载（投标人必须在苏采云系统中获取采购文件，方能参与政府采购项目），并于</w:t>
            </w:r>
            <w:r>
              <w:rPr>
                <w:rFonts w:hint="eastAsia" w:ascii="宋体" w:hAnsi="宋体" w:cs="宋体"/>
                <w:sz w:val="21"/>
                <w:szCs w:val="21"/>
                <w:highlight w:val="none"/>
                <w:u w:val="single"/>
              </w:rPr>
              <w:t xml:space="preserve">2026年</w:t>
            </w:r>
            <w:r>
              <w:rPr>
                <w:rFonts w:hint="eastAsia" w:ascii="宋体" w:hAnsi="宋体" w:cs="宋体"/>
                <w:sz w:val="21"/>
                <w:szCs w:val="21"/>
                <w:highlight w:val="none"/>
                <w:u w:val="single"/>
                <w:lang w:val="en-US" w:eastAsia="zh-CN"/>
              </w:rPr>
              <w:t xml:space="preserve">4</w:t>
            </w:r>
            <w:r>
              <w:rPr>
                <w:rFonts w:hint="eastAsia" w:ascii="宋体" w:hAnsi="宋体" w:cs="宋体"/>
                <w:sz w:val="21"/>
                <w:szCs w:val="21"/>
                <w:highlight w:val="none"/>
                <w:u w:val="single"/>
              </w:rPr>
              <w:t xml:space="preserve">月</w:t>
            </w:r>
            <w:r>
              <w:rPr>
                <w:rFonts w:hint="eastAsia" w:ascii="宋体" w:hAnsi="宋体" w:cs="宋体"/>
                <w:sz w:val="21"/>
                <w:szCs w:val="21"/>
                <w:highlight w:val="none"/>
                <w:u w:val="single"/>
                <w:lang w:val="en-US" w:eastAsia="zh-CN"/>
              </w:rPr>
              <w:t xml:space="preserve">21</w:t>
            </w:r>
            <w:r>
              <w:rPr>
                <w:rFonts w:hint="eastAsia" w:ascii="宋体" w:hAnsi="宋体" w:cs="宋体"/>
                <w:sz w:val="21"/>
                <w:szCs w:val="21"/>
                <w:highlight w:val="none"/>
                <w:u w:val="single"/>
              </w:rPr>
              <w:t xml:space="preserve">日</w:t>
            </w:r>
            <w:r>
              <w:rPr>
                <w:rFonts w:hint="eastAsia" w:ascii="宋体" w:hAnsi="宋体" w:cs="宋体"/>
                <w:sz w:val="21"/>
                <w:szCs w:val="21"/>
                <w:highlight w:val="none"/>
                <w:u w:val="single"/>
                <w:lang w:val="en-US" w:eastAsia="zh-CN"/>
              </w:rPr>
              <w:t xml:space="preserve">09</w:t>
            </w:r>
            <w:r>
              <w:rPr>
                <w:rFonts w:hint="eastAsia" w:ascii="宋体" w:hAnsi="宋体" w:cs="宋体"/>
                <w:sz w:val="21"/>
                <w:szCs w:val="21"/>
                <w:highlight w:val="none"/>
                <w:u w:val="single"/>
              </w:rPr>
              <w:t xml:space="preserve">点00分</w:t>
            </w:r>
            <w:r>
              <w:rPr>
                <w:rFonts w:hint="eastAsia" w:ascii="宋体" w:hAnsi="宋体" w:cs="宋体"/>
                <w:sz w:val="21"/>
                <w:szCs w:val="21"/>
                <w:highlight w:val="none"/>
              </w:rPr>
              <w:t xml:space="preserve">（北京时间）前递交投标文件。</w:t>
            </w:r>
            <w:r/>
          </w:p>
        </w:tc>
      </w:tr>
    </w:tbl>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一、项目基本情况</w:t>
      </w:r>
      <w:r/>
    </w:p>
    <w:p>
      <w:pPr>
        <w:ind w:firstLine="420"/>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项目编号：</w:t>
      </w:r>
      <w:r>
        <w:rPr>
          <w:rFonts w:hint="eastAsia" w:ascii="宋体" w:hAnsi="宋体" w:cs="宋体"/>
          <w:sz w:val="21"/>
          <w:szCs w:val="21"/>
          <w:highlight w:val="none"/>
          <w:lang w:eastAsia="zh-CN"/>
        </w:rPr>
        <w:t xml:space="preserve">JSZC-320992-YDCW-G2026-0002</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项目名称：盐南高新区伍佑街道农村生活污水处理设施运维项目</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采购方式：公开招标</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预算金额：1136000.00元</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最高限价（如有）：113.60万元</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采购需求：本项目位于盐南高新区伍佑街道宏心村、珠溪社区、严家村、龙园社区，配套有污水一体化处理设施、提升泵站、蓄水池、主支管网、污泥沉井和相关检查井、化粪池等。要求在覆盖范围内，农户生活污水经收集、处理后达到国家、省规定的标准，由车辆或内部提升泵浇灌农田、绿化、道路等。（详细内容见本招标文件第四章）</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合同履行期限：一年</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本项目（是/否）接受联合体投标：否</w:t>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二、申请人的资格要求</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1.满足《中华人民共和国政府采购法》第二十二条规定，并提供下列材料：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1.1法人或者其他组织的营业执照等证明文件，自然人的身份证明；</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1.2上一年度的财务状况报告（成立不满一年无需提供）；</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1.3具备履行合同所必需的设备和专业技术能力的书面声明；</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1.5参加政府采购活动前3年内在经营活动中没有重大违法记录的书面声明。</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1.6法律、行政法规规定的其他条件。</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1.8单位负责人为同一人或者存在直接控股、管理关系的不同供应商，不得参加同一合同项下的政府采购活动。</w:t>
      </w:r>
      <w:r/>
    </w:p>
    <w:p>
      <w:pPr>
        <w:ind w:firstLine="420"/>
        <w:spacing w:line="400" w:lineRule="atLeast"/>
        <w:tabs>
          <w:tab w:val="left" w:pos="900" w:leader="none"/>
        </w:tabs>
        <w:rPr>
          <w:rFonts w:hint="eastAsia" w:ascii="宋体" w:hAnsi="宋体" w:cs="宋体"/>
          <w:b/>
          <w:bCs/>
          <w:sz w:val="21"/>
          <w:szCs w:val="21"/>
          <w:highlight w:val="none"/>
        </w:rPr>
      </w:pPr>
      <w:r>
        <w:rPr>
          <w:rFonts w:hint="eastAsia" w:ascii="宋体" w:hAnsi="宋体" w:cs="宋体"/>
          <w:sz w:val="21"/>
          <w:szCs w:val="21"/>
          <w:highlight w:val="none"/>
        </w:rPr>
        <w:t xml:space="preserve">2.落实政府采购政策需满足的资格要求：</w:t>
      </w:r>
      <w:bookmarkStart w:id="2" w:name="OLE_LINK20"/>
      <w:r>
        <w:rPr>
          <w:rFonts w:hint="eastAsia" w:ascii="宋体" w:hAnsi="宋体" w:cs="宋体"/>
          <w:b/>
          <w:bCs/>
          <w:sz w:val="21"/>
          <w:szCs w:val="21"/>
          <w:highlight w:val="none"/>
        </w:rPr>
        <w:t xml:space="preserve">本项目为专门面向中小企业采购,采购标的所属行业为其他未列明行业。</w:t>
      </w:r>
      <w:bookmarkEnd w:id="2"/>
      <w:r>
        <w:rPr>
          <w:rFonts w:hint="eastAsia" w:ascii="宋体" w:hAnsi="宋体" w:cs="宋体"/>
          <w:b/>
          <w:bCs/>
          <w:sz w:val="21"/>
          <w:szCs w:val="21"/>
          <w:highlight w:val="none"/>
        </w:rPr>
        <w:t xml:space="preserve">投标人需按照采购文件的要求提供相应的《中小企业声明函》。企业标准请参照《关于印发中小企业划型标准规定的通知》（工信部联企业[2011]300号）文件规定自行填写。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3.本项目的特定资格要求：</w:t>
      </w:r>
      <w:r>
        <w:rPr>
          <w:rFonts w:hint="eastAsia" w:ascii="宋体" w:hAnsi="宋体" w:cs="宋体"/>
          <w:sz w:val="21"/>
          <w:szCs w:val="21"/>
          <w:highlight w:val="none"/>
          <w:shd w:val="clear" w:color="auto" w:fill="ffffff"/>
        </w:rPr>
        <w:t xml:space="preserve">无</w:t>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三、获取招标文件</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1.时间：自招标文件公告发布之日起5个工作日</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2.地点：“苏采云”系统内免费下载（投标人必须在苏采云系统中获取采购文件，方能参与政府采购项目。）</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3.方式：本项目采用网上注册登记方式</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4.售价：0元</w:t>
      </w:r>
      <w:r/>
    </w:p>
    <w:p>
      <w:pPr>
        <w:ind w:firstLine="420"/>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四、提交投标文件截止时间、开标时间和地点</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时间：2026-</w:t>
      </w:r>
      <w:r>
        <w:rPr>
          <w:rFonts w:hint="eastAsia" w:ascii="宋体" w:hAnsi="宋体" w:cs="宋体"/>
          <w:sz w:val="21"/>
          <w:szCs w:val="21"/>
          <w:highlight w:val="none"/>
          <w:lang w:val="en-US" w:eastAsia="zh-CN"/>
        </w:rPr>
        <w:t xml:space="preserve">04</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21</w:t>
      </w:r>
      <w:r>
        <w:rPr>
          <w:rFonts w:hint="eastAsia" w:ascii="宋体" w:hAnsi="宋体" w:cs="宋体"/>
          <w:sz w:val="21"/>
          <w:szCs w:val="21"/>
          <w:highlight w:val="none"/>
        </w:rPr>
        <w:t xml:space="preserve">（北京时间）</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地点：</w:t>
      </w:r>
      <w:bookmarkStart w:id="3" w:name="_Toc28359007"/>
      <w:r/>
      <w:bookmarkStart w:id="4" w:name="_Toc35393625"/>
      <w:r/>
      <w:bookmarkStart w:id="5" w:name="_Toc35393794"/>
      <w:r/>
      <w:bookmarkStart w:id="6" w:name="_Toc28359084"/>
      <w:r/>
      <w:bookmarkStart w:id="7" w:name="_Toc38985267"/>
      <w:r>
        <w:rPr>
          <w:rFonts w:hint="eastAsia" w:ascii="宋体" w:hAnsi="宋体" w:cs="宋体"/>
          <w:sz w:val="21"/>
          <w:szCs w:val="21"/>
          <w:highlight w:val="none"/>
        </w:rPr>
        <w:t xml:space="preserve">苏采云“不见面”开标大厅</w:t>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五、公告期限</w:t>
      </w:r>
      <w:bookmarkEnd w:id="3"/>
      <w:r/>
      <w:bookmarkEnd w:id="4"/>
      <w:r/>
      <w:bookmarkEnd w:id="5"/>
      <w:r/>
      <w:bookmarkEnd w:id="6"/>
      <w:r/>
      <w:bookmarkEnd w:id="7"/>
      <w:r/>
      <w:r/>
    </w:p>
    <w:p>
      <w:pPr>
        <w:ind w:firstLine="420"/>
        <w:spacing w:line="400" w:lineRule="atLeast"/>
        <w:tabs>
          <w:tab w:val="left" w:pos="900" w:leader="none"/>
        </w:tabs>
        <w:rPr>
          <w:rFonts w:hint="eastAsia" w:ascii="宋体" w:hAnsi="宋体" w:cs="宋体"/>
          <w:sz w:val="21"/>
          <w:szCs w:val="21"/>
          <w:highlight w:val="none"/>
        </w:rPr>
      </w:pPr>
      <w:r/>
      <w:bookmarkStart w:id="8" w:name="_Toc38985268"/>
      <w:r/>
      <w:bookmarkStart w:id="9" w:name="_Toc35393626"/>
      <w:r/>
      <w:bookmarkStart w:id="10" w:name="_Toc35393795"/>
      <w:r>
        <w:rPr>
          <w:rFonts w:hint="eastAsia" w:ascii="宋体" w:hAnsi="宋体" w:cs="宋体"/>
          <w:sz w:val="21"/>
          <w:szCs w:val="21"/>
          <w:highlight w:val="none"/>
        </w:rPr>
        <w:t xml:space="preserve">自本公告发布之日起5个工作日</w:t>
      </w:r>
      <w:bookmarkEnd w:id="8"/>
      <w:r/>
      <w:bookmarkEnd w:id="9"/>
      <w:r/>
      <w:bookmarkEnd w:id="10"/>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六、其他补充事宜</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 潜在供应商访问电子招标响应交易平台的网络地址和方法：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2.2 潜在投标人访问“苏采云”系统方法：江苏省政府采购网首页-“苏采云”链接。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2.3 采购文件（后缀名为“.kedt”）、供应商操作手册及政府采购客户端工具可通过“苏采云”系统相应链接进行下载。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2.4 采购代理机构将数据电文形式的采购文件加载至“苏采云”系统，供潜在供应商下载或者查阅。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2.5 请潜在投标单位提前安装相应的控件（详见《“苏采云”系统供应商操作手册》）并使用谷歌浏览器登录“苏采云”系统参与不见面开评标。</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如潜在投标人未按上述要求操作，将自行承担所产生的风险。</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3.有关本次招标的事项若存在变动或修改，敬请及时关注在“中国政府采购网”“江苏政府采购网”“盐城市政府采购网”发布的更正公告。</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4.本次招标不收取投标保证金，不收取质量保证金。</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b/>
          <w:bCs/>
          <w:sz w:val="21"/>
          <w:szCs w:val="21"/>
          <w:highlight w:val="none"/>
        </w:rPr>
        <w:t xml:space="preserve">七、对本次招标提出询问，请按以下方式联系</w:t>
      </w:r>
      <w:r/>
    </w:p>
    <w:p>
      <w:pPr>
        <w:ind w:firstLine="422"/>
        <w:spacing w:line="400" w:lineRule="atLeast"/>
        <w:tabs>
          <w:tab w:val="left" w:pos="900" w:leader="none"/>
        </w:tabs>
        <w:rPr>
          <w:rFonts w:hint="eastAsia" w:ascii="宋体" w:hAnsi="宋体" w:cs="宋体"/>
          <w:sz w:val="21"/>
          <w:szCs w:val="21"/>
          <w:highlight w:val="none"/>
        </w:rPr>
      </w:pPr>
      <w:r/>
      <w:bookmarkStart w:id="11" w:name="_Toc35393806"/>
      <w:r/>
      <w:bookmarkStart w:id="12" w:name="_Toc28359019"/>
      <w:r/>
      <w:bookmarkStart w:id="13" w:name="_Toc35393637"/>
      <w:r/>
      <w:bookmarkStart w:id="14" w:name="_Toc28359096"/>
      <w:r>
        <w:rPr>
          <w:rFonts w:hint="eastAsia" w:ascii="宋体" w:hAnsi="宋体" w:cs="宋体"/>
          <w:sz w:val="21"/>
          <w:szCs w:val="21"/>
          <w:highlight w:val="none"/>
        </w:rPr>
        <w:t xml:space="preserve">1.采购人信息</w:t>
      </w:r>
      <w:bookmarkEnd w:id="11"/>
      <w:r/>
      <w:bookmarkEnd w:id="12"/>
      <w:r/>
      <w:bookmarkEnd w:id="13"/>
      <w:r/>
      <w:bookmarkEnd w:id="14"/>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名称：</w:t>
      </w:r>
      <w:bookmarkStart w:id="15" w:name="OLE_LINK4"/>
      <w:r>
        <w:rPr>
          <w:rFonts w:hint="eastAsia" w:ascii="宋体" w:hAnsi="宋体" w:cs="宋体"/>
          <w:sz w:val="21"/>
          <w:szCs w:val="21"/>
          <w:highlight w:val="none"/>
        </w:rPr>
        <w:t xml:space="preserve">盐城市生态环境局盐南高新区分局</w:t>
      </w:r>
      <w:bookmarkEnd w:id="15"/>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地址：盐城市新龙广场6号楼21楼</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val="en-US" w:eastAsia="zh-CN"/>
        </w:rPr>
        <w:t xml:space="preserve">刘</w:t>
      </w:r>
      <w:r>
        <w:rPr>
          <w:rFonts w:hint="eastAsia" w:ascii="宋体" w:hAnsi="宋体" w:cs="宋体"/>
          <w:sz w:val="21"/>
          <w:szCs w:val="21"/>
          <w:highlight w:val="none"/>
        </w:rPr>
        <w:t xml:space="preserve">先生</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联系方式：0515-86662632</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2.采购代理机构信息</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名称：盐城市畅为企业管理服务有限公司</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地址：盐城市西环路293号瞰都公馆10幢15楼东</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联系人：李先生</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联系方式：0515-88321829、17834761557</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3.项目联系方式</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项目联系人：李先生</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电话：0515-88321829、17834761557</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第二章  投标人须知</w:t>
      </w:r>
      <w:r/>
    </w:p>
    <w:p>
      <w:pPr>
        <w:ind w:firstLine="422"/>
        <w:spacing w:line="400" w:lineRule="exact"/>
        <w:rPr>
          <w:rFonts w:hint="eastAsia" w:ascii="宋体" w:hAnsi="宋体" w:cs="宋体"/>
          <w:b/>
          <w:sz w:val="21"/>
          <w:szCs w:val="21"/>
          <w:highlight w:val="none"/>
        </w:rPr>
      </w:pPr>
      <w:r/>
      <w:bookmarkStart w:id="16" w:name="_Toc20823275"/>
      <w:r/>
      <w:bookmarkStart w:id="17" w:name="_Toc513029203"/>
      <w:r/>
      <w:bookmarkStart w:id="18" w:name="_Toc120614214"/>
      <w:r/>
      <w:bookmarkStart w:id="19" w:name="_Toc16938519"/>
      <w:r>
        <w:rPr>
          <w:rFonts w:hint="eastAsia" w:ascii="宋体" w:hAnsi="宋体" w:cs="宋体"/>
          <w:b/>
          <w:sz w:val="21"/>
          <w:szCs w:val="21"/>
          <w:highlight w:val="none"/>
        </w:rPr>
        <w:t xml:space="preserve">一、总则</w:t>
      </w:r>
      <w:bookmarkEnd w:id="16"/>
      <w:r/>
      <w:bookmarkEnd w:id="17"/>
      <w:r/>
      <w:bookmarkEnd w:id="18"/>
      <w:r/>
      <w:bookmarkEnd w:id="19"/>
      <w:r/>
      <w:r/>
    </w:p>
    <w:p>
      <w:pPr>
        <w:ind w:firstLine="420"/>
        <w:spacing w:line="400" w:lineRule="exact"/>
        <w:rPr>
          <w:rFonts w:hint="eastAsia" w:ascii="宋体" w:hAnsi="宋体" w:cs="宋体"/>
          <w:bCs/>
          <w:sz w:val="21"/>
          <w:szCs w:val="21"/>
          <w:highlight w:val="none"/>
        </w:rPr>
      </w:pPr>
      <w:r/>
      <w:bookmarkStart w:id="20" w:name="_Hlt16619475"/>
      <w:r/>
      <w:bookmarkEnd w:id="20"/>
      <w:r>
        <w:rPr>
          <w:rFonts w:hint="eastAsia" w:ascii="宋体" w:hAnsi="宋体" w:cs="宋体"/>
          <w:bCs/>
          <w:sz w:val="21"/>
          <w:szCs w:val="21"/>
          <w:highlight w:val="none"/>
        </w:rPr>
        <w:t xml:space="preserve">1、招标方式</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1.1本次招标采取公开招标方式，本招标文件仅适用于招标公告中所述项目。</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2、合格的投标人</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2.1满足招标公告中供应商的资格要求的规定。</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2.2满足本文件实质性要求和条件的规定。</w:t>
      </w:r>
      <w:r/>
    </w:p>
    <w:p>
      <w:pPr>
        <w:numPr>
          <w:ilvl w:val="0"/>
          <w:numId w:val="1"/>
        </w:num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适用法律和标准</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3.1本次招标及由此产生的合同受中华人民共和国有关的法律法规制约和保护。</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3.2在本项目政府采购活动过程中，如果所执行的标准有更新的，按照最新标准执行。</w:t>
      </w:r>
      <w:r/>
    </w:p>
    <w:p>
      <w:pPr>
        <w:ind w:left="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4、投标费用</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4.1投标人应自行承担所有与参加投标有关的费用，无论投标过程中的做法和结果如何，采购人及采购代理机构在任何情况下均无义务和责任承担这些费用。</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4.2</w:t>
      </w:r>
      <w:bookmarkStart w:id="21" w:name="OLE_LINK29"/>
      <w:r>
        <w:rPr>
          <w:rFonts w:hint="eastAsia" w:ascii="宋体" w:hAnsi="宋体" w:cs="宋体"/>
          <w:bCs/>
          <w:sz w:val="21"/>
          <w:szCs w:val="21"/>
          <w:highlight w:val="none"/>
        </w:rPr>
        <w:t xml:space="preserve">本项目招标代理费参照苏招协〔2022〕002号文执行，</w:t>
      </w:r>
      <w:bookmarkStart w:id="22" w:name="_Hlk213348157"/>
      <w:r>
        <w:rPr>
          <w:rFonts w:hint="eastAsia" w:ascii="宋体" w:hAnsi="宋体" w:cs="宋体"/>
          <w:bCs/>
          <w:sz w:val="21"/>
          <w:szCs w:val="21"/>
          <w:highlight w:val="none"/>
        </w:rPr>
        <w:t xml:space="preserve">造价咨询服务费参照苏建价协〔2022〕7号文执行</w:t>
      </w:r>
      <w:bookmarkEnd w:id="22"/>
      <w:r>
        <w:rPr>
          <w:rFonts w:hint="eastAsia" w:ascii="宋体" w:hAnsi="宋体" w:cs="宋体"/>
          <w:bCs/>
          <w:sz w:val="21"/>
          <w:szCs w:val="21"/>
          <w:highlight w:val="none"/>
        </w:rPr>
        <w:t xml:space="preserve">，以上费用不单独列项，包含在投标报价中，由中标人在领取中标通知书前一次性向代理机构支付。</w:t>
      </w:r>
      <w:bookmarkEnd w:id="21"/>
      <w:r/>
      <w:r/>
    </w:p>
    <w:p>
      <w:pPr>
        <w:ind w:left="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5、招标文件的约束力</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 投标人一旦参加本项目采购活动，即被认为接受了本招标文件的规定和约束。</w:t>
      </w:r>
      <w:r/>
    </w:p>
    <w:p>
      <w:pPr>
        <w:ind w:firstLine="422"/>
        <w:spacing w:line="400" w:lineRule="exact"/>
        <w:rPr>
          <w:rFonts w:hint="eastAsia" w:ascii="宋体" w:hAnsi="宋体" w:cs="宋体"/>
          <w:b/>
          <w:bCs/>
          <w:sz w:val="21"/>
          <w:szCs w:val="21"/>
          <w:highlight w:val="none"/>
        </w:rPr>
      </w:pPr>
      <w:r/>
      <w:bookmarkStart w:id="23" w:name="_Toc20823281"/>
      <w:r/>
      <w:bookmarkStart w:id="24" w:name="_Toc120614215"/>
      <w:r/>
      <w:bookmarkStart w:id="25" w:name="_Toc513029209"/>
      <w:r/>
      <w:bookmarkStart w:id="26" w:name="_Toc16938525"/>
      <w:r>
        <w:rPr>
          <w:rFonts w:hint="eastAsia" w:ascii="宋体" w:hAnsi="宋体" w:cs="宋体"/>
          <w:b/>
          <w:bCs/>
          <w:sz w:val="21"/>
          <w:szCs w:val="21"/>
          <w:highlight w:val="none"/>
        </w:rPr>
        <w:t xml:space="preserve">二、招标文件</w:t>
      </w:r>
      <w:bookmarkEnd w:id="23"/>
      <w:r/>
      <w:bookmarkEnd w:id="24"/>
      <w:r/>
      <w:bookmarkEnd w:id="25"/>
      <w:r/>
      <w:bookmarkEnd w:id="26"/>
      <w:r/>
      <w:bookmarkStart w:id="27" w:name="_Toc20823282"/>
      <w:r/>
      <w:bookmarkStart w:id="28" w:name="_Toc16938526"/>
      <w:r/>
      <w:bookmarkStart w:id="29" w:name="_Toc513029210"/>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6、招标文件构成</w:t>
      </w:r>
      <w:bookmarkEnd w:id="27"/>
      <w:r/>
      <w:bookmarkEnd w:id="28"/>
      <w:r/>
      <w:bookmarkEnd w:id="2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6.1 招标文件由以下部分组成：</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（1）招标公告</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（2）投标人须知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（3）合同文本</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（4）采购需求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（5）评标方法与评标标准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（6）投标文件格式</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请仔细检查招标文件是否齐全，如有缺漏请立即与采购代理机构联系解决。</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00" w:lineRule="exact"/>
        <w:rPr>
          <w:rFonts w:hint="eastAsia" w:ascii="宋体" w:hAnsi="宋体" w:cs="宋体"/>
          <w:sz w:val="21"/>
          <w:szCs w:val="21"/>
          <w:highlight w:val="none"/>
        </w:rPr>
      </w:pPr>
      <w:r/>
      <w:bookmarkStart w:id="30" w:name="_Toc20823283"/>
      <w:r/>
      <w:bookmarkStart w:id="31" w:name="_Toc462564070"/>
      <w:r/>
      <w:bookmarkStart w:id="32" w:name="_Toc513029211"/>
      <w:r/>
      <w:bookmarkStart w:id="33" w:name="_Toc16938527"/>
      <w:r>
        <w:rPr>
          <w:rFonts w:hint="eastAsia" w:ascii="宋体" w:hAnsi="宋体" w:cs="宋体"/>
          <w:sz w:val="21"/>
          <w:szCs w:val="21"/>
          <w:highlight w:val="none"/>
        </w:rPr>
        <w:t xml:space="preserve">7、招标文件的澄清</w:t>
      </w:r>
      <w:bookmarkEnd w:id="30"/>
      <w:r/>
      <w:bookmarkEnd w:id="31"/>
      <w:r/>
      <w:bookmarkEnd w:id="32"/>
      <w:r/>
      <w:bookmarkEnd w:id="33"/>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7.1任何要求对招标文件进行澄清的投标人，应在投标截止期十日前按招标公告中的通讯地址，以书面形式通知采购</w:t>
      </w:r>
      <w:bookmarkStart w:id="34" w:name="OLE_LINK1"/>
      <w:r>
        <w:rPr>
          <w:rFonts w:hint="eastAsia" w:ascii="宋体" w:hAnsi="宋体" w:cs="宋体"/>
          <w:sz w:val="21"/>
          <w:szCs w:val="21"/>
          <w:highlight w:val="none"/>
        </w:rPr>
        <w:t xml:space="preserve">代理机构</w:t>
      </w:r>
      <w:bookmarkEnd w:id="34"/>
      <w:r>
        <w:rPr>
          <w:rFonts w:hint="eastAsia" w:ascii="宋体" w:hAnsi="宋体" w:cs="宋体"/>
          <w:sz w:val="21"/>
          <w:szCs w:val="21"/>
          <w:highlight w:val="none"/>
        </w:rPr>
        <w:t xml:space="preserve">。</w:t>
      </w:r>
      <w:r/>
    </w:p>
    <w:p>
      <w:pPr>
        <w:ind w:firstLine="420"/>
        <w:spacing w:line="400" w:lineRule="exact"/>
        <w:rPr>
          <w:rFonts w:hint="eastAsia" w:ascii="宋体" w:hAnsi="宋体" w:cs="宋体"/>
          <w:sz w:val="21"/>
          <w:szCs w:val="21"/>
          <w:highlight w:val="none"/>
        </w:rPr>
      </w:pPr>
      <w:r/>
      <w:bookmarkStart w:id="35" w:name="_Toc16938528"/>
      <w:r/>
      <w:bookmarkStart w:id="36" w:name="_Toc462564071"/>
      <w:r/>
      <w:bookmarkStart w:id="37" w:name="_Toc513029212"/>
      <w:r/>
      <w:bookmarkStart w:id="38" w:name="_Toc20823284"/>
      <w:r>
        <w:rPr>
          <w:rFonts w:hint="eastAsia" w:ascii="宋体" w:hAnsi="宋体" w:cs="宋体"/>
          <w:sz w:val="21"/>
          <w:szCs w:val="21"/>
          <w:highlight w:val="none"/>
        </w:rPr>
        <w:t xml:space="preserve">8、招标文件的修改</w:t>
      </w:r>
      <w:bookmarkEnd w:id="35"/>
      <w:r/>
      <w:bookmarkEnd w:id="36"/>
      <w:r/>
      <w:bookmarkEnd w:id="37"/>
      <w:r/>
      <w:bookmarkEnd w:id="38"/>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8.1在投标截止时间前，采购人可以对招标文件进行修改。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8.2采购人有权按照法定的要求推迟投标截止日期和开标日期。</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8.3招标文件的修改将在中国政府采购网、江苏政府采购网、盐城市政府采购网公布，补充文件将作为招标文件的组成部分，并对投标人具有约束力。</w:t>
      </w:r>
      <w:r/>
    </w:p>
    <w:p>
      <w:pPr>
        <w:ind w:firstLine="422"/>
        <w:spacing w:line="400" w:lineRule="exact"/>
        <w:rPr>
          <w:rFonts w:hint="eastAsia" w:ascii="宋体" w:hAnsi="宋体" w:cs="宋体"/>
          <w:b/>
          <w:bCs/>
          <w:sz w:val="21"/>
          <w:szCs w:val="21"/>
          <w:highlight w:val="none"/>
        </w:rPr>
      </w:pPr>
      <w:r/>
      <w:bookmarkStart w:id="39" w:name="_Toc120614216"/>
      <w:r/>
      <w:bookmarkStart w:id="40" w:name="_Toc20823285"/>
      <w:r/>
      <w:bookmarkStart w:id="41" w:name="_Toc16938529"/>
      <w:r/>
      <w:bookmarkStart w:id="42" w:name="_Toc513029213"/>
      <w:r/>
      <w:bookmarkStart w:id="43" w:name="_Toc462564072"/>
      <w:r>
        <w:rPr>
          <w:rFonts w:hint="eastAsia" w:ascii="宋体" w:hAnsi="宋体" w:cs="宋体"/>
          <w:b/>
          <w:bCs/>
          <w:sz w:val="21"/>
          <w:szCs w:val="21"/>
          <w:highlight w:val="none"/>
        </w:rPr>
        <w:t xml:space="preserve">三、投标文件的编制</w:t>
      </w:r>
      <w:bookmarkEnd w:id="39"/>
      <w:r/>
      <w:bookmarkEnd w:id="40"/>
      <w:r/>
      <w:bookmarkEnd w:id="41"/>
      <w:r/>
      <w:bookmarkEnd w:id="42"/>
      <w:r/>
      <w:bookmarkEnd w:id="43"/>
      <w:r/>
      <w:r/>
    </w:p>
    <w:p>
      <w:pPr>
        <w:ind w:firstLine="420"/>
        <w:spacing w:line="400" w:lineRule="exact"/>
        <w:rPr>
          <w:rFonts w:hint="eastAsia" w:ascii="宋体" w:hAnsi="宋体" w:cs="宋体"/>
          <w:sz w:val="21"/>
          <w:szCs w:val="21"/>
          <w:highlight w:val="none"/>
        </w:rPr>
      </w:pPr>
      <w:r/>
      <w:bookmarkStart w:id="44" w:name="_Toc20823286"/>
      <w:r/>
      <w:bookmarkStart w:id="45" w:name="_Toc513029214"/>
      <w:r/>
      <w:bookmarkStart w:id="46" w:name="_Toc16938530"/>
      <w:r/>
      <w:bookmarkStart w:id="47" w:name="_Toc462564073"/>
      <w:r>
        <w:rPr>
          <w:rFonts w:hint="eastAsia" w:ascii="宋体" w:hAnsi="宋体" w:cs="宋体"/>
          <w:sz w:val="21"/>
          <w:szCs w:val="21"/>
          <w:highlight w:val="none"/>
        </w:rPr>
        <w:t xml:space="preserve">9、投标文件的语言及度量衡单位</w:t>
      </w:r>
      <w:bookmarkEnd w:id="44"/>
      <w:r/>
      <w:bookmarkEnd w:id="45"/>
      <w:r/>
      <w:bookmarkEnd w:id="46"/>
      <w:r/>
      <w:bookmarkEnd w:id="47"/>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9.1投标人提交的投标文件以及投标人与采购代理机构就有关投标的所有来往通知、函件和文件均应使用</w:t>
      </w:r>
      <w:r>
        <w:rPr>
          <w:rFonts w:hint="eastAsia" w:ascii="宋体" w:hAnsi="宋体" w:cs="宋体"/>
          <w:b/>
          <w:bCs/>
          <w:sz w:val="21"/>
          <w:szCs w:val="21"/>
          <w:highlight w:val="none"/>
        </w:rPr>
        <w:t xml:space="preserve">简体中文</w:t>
      </w:r>
      <w:r>
        <w:rPr>
          <w:rFonts w:hint="eastAsia" w:ascii="宋体" w:hAnsi="宋体" w:cs="宋体"/>
          <w:sz w:val="21"/>
          <w:szCs w:val="21"/>
          <w:highlight w:val="none"/>
        </w:rPr>
        <w:t xml:space="preserve">。</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9.2除技术性能另有规定外，投标文件所使用的度量衡单位，均须采用国家法定计量单位。</w:t>
      </w:r>
      <w:r/>
    </w:p>
    <w:p>
      <w:pPr>
        <w:ind w:firstLine="420"/>
        <w:spacing w:line="400" w:lineRule="exact"/>
        <w:rPr>
          <w:rFonts w:hint="eastAsia" w:ascii="宋体" w:hAnsi="宋体" w:cs="宋体"/>
          <w:sz w:val="21"/>
          <w:szCs w:val="21"/>
          <w:highlight w:val="none"/>
        </w:rPr>
      </w:pPr>
      <w:r/>
      <w:bookmarkStart w:id="48" w:name="_Toc20823287"/>
      <w:r/>
      <w:bookmarkStart w:id="49" w:name="_Toc462564074"/>
      <w:r/>
      <w:bookmarkStart w:id="50" w:name="_Toc513029215"/>
      <w:r/>
      <w:bookmarkStart w:id="51" w:name="_Toc16938531"/>
      <w:r>
        <w:rPr>
          <w:rFonts w:hint="eastAsia" w:ascii="宋体" w:hAnsi="宋体" w:cs="宋体"/>
          <w:sz w:val="21"/>
          <w:szCs w:val="21"/>
          <w:highlight w:val="none"/>
        </w:rPr>
        <w:t xml:space="preserve">10、投标文件构成</w:t>
      </w:r>
      <w:bookmarkEnd w:id="48"/>
      <w:r/>
      <w:bookmarkEnd w:id="49"/>
      <w:r/>
      <w:bookmarkEnd w:id="50"/>
      <w:r/>
      <w:bookmarkEnd w:id="51"/>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rPr>
          <w:rFonts w:hint="eastAsia" w:ascii="宋体" w:hAnsi="宋体" w:cs="宋体"/>
          <w:sz w:val="21"/>
          <w:szCs w:val="21"/>
          <w:highlight w:val="none"/>
        </w:rPr>
      </w:pPr>
      <w:r/>
      <w:bookmarkStart w:id="52" w:name="_Toc513029219"/>
      <w:r/>
      <w:bookmarkStart w:id="53" w:name="_Toc49090509"/>
      <w:r/>
      <w:bookmarkStart w:id="54" w:name="_Toc14577357"/>
      <w:r/>
      <w:bookmarkStart w:id="55" w:name="_Toc513029216"/>
      <w:r/>
      <w:bookmarkStart w:id="56" w:name="_Toc14577354"/>
      <w:r/>
      <w:bookmarkStart w:id="57" w:name="_Toc49090507"/>
      <w:r>
        <w:rPr>
          <w:rFonts w:hint="eastAsia" w:ascii="宋体" w:hAnsi="宋体" w:cs="宋体"/>
          <w:sz w:val="21"/>
          <w:szCs w:val="21"/>
          <w:highlight w:val="none"/>
        </w:rPr>
        <w:t xml:space="preserve">11、证明投标人及投标标的符合招标文件规定的文件</w:t>
      </w:r>
      <w:bookmarkEnd w:id="52"/>
      <w:r/>
      <w:bookmarkEnd w:id="53"/>
      <w:r/>
      <w:bookmarkEnd w:id="54"/>
      <w:r/>
      <w:bookmarkEnd w:id="55"/>
      <w:r/>
      <w:bookmarkEnd w:id="56"/>
      <w:r/>
      <w:bookmarkEnd w:id="57"/>
      <w:r/>
      <w:r/>
    </w:p>
    <w:p>
      <w:pPr>
        <w:ind w:firstLine="420"/>
        <w:spacing w:line="400" w:lineRule="exact"/>
        <w:rPr>
          <w:rFonts w:hint="eastAsia" w:ascii="宋体" w:hAnsi="宋体" w:cs="宋体"/>
          <w:sz w:val="21"/>
          <w:szCs w:val="21"/>
          <w:highlight w:val="none"/>
        </w:rPr>
      </w:pPr>
      <w:r/>
      <w:bookmarkStart w:id="58" w:name="_Toc49090508"/>
      <w:r/>
      <w:bookmarkStart w:id="59" w:name="_Toc14577355"/>
      <w:r>
        <w:rPr>
          <w:rFonts w:hint="eastAsia" w:ascii="宋体" w:hAnsi="宋体" w:cs="宋体"/>
          <w:sz w:val="21"/>
          <w:szCs w:val="21"/>
          <w:highlight w:val="none"/>
        </w:rPr>
        <w:t xml:space="preserve">11.1投标人应按照法律、法规、规章和规范性文件以及招标文件要求提交证明文件，证明其及投标标的符合招标文件规定。</w:t>
      </w:r>
      <w:bookmarkEnd w:id="58"/>
      <w:r/>
      <w:bookmarkEnd w:id="5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11.2招标文件对证明文件无明确形式要求的，证明文件可以以文字资料、图纸和数据等形式提交。</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12、投标分项报价表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12.1投标人应按照招标文件规定格式填报投标分项报价表。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12.2投标货币。投标文件中的单价和总价无特殊规定的采用人民币报价，以元为单位标注。招标文件中另有规定的按规定执行。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13、技术要求响应及偏离表、商务要求响应及偏离表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13.1投标人需对招标文件中的技术要求与商务要求逐项作出响应或偏离，并说明原因。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13.2投标人可在投标文件中提供认为需要的其他技术文件或说明。</w:t>
      </w:r>
      <w:r/>
    </w:p>
    <w:p>
      <w:pPr>
        <w:ind w:firstLine="420"/>
        <w:spacing w:line="400" w:lineRule="exact"/>
        <w:rPr>
          <w:rFonts w:hint="eastAsia" w:ascii="宋体" w:hAnsi="宋体" w:cs="宋体"/>
          <w:sz w:val="21"/>
          <w:szCs w:val="21"/>
          <w:highlight w:val="none"/>
        </w:rPr>
      </w:pPr>
      <w:r/>
      <w:bookmarkStart w:id="60" w:name="_Toc49090510"/>
      <w:r/>
      <w:bookmarkStart w:id="61" w:name="_Toc14577359"/>
      <w:r>
        <w:rPr>
          <w:rFonts w:hint="eastAsia" w:ascii="宋体" w:hAnsi="宋体" w:cs="宋体"/>
          <w:sz w:val="21"/>
          <w:szCs w:val="21"/>
          <w:highlight w:val="none"/>
        </w:rPr>
        <w:t xml:space="preserve">14、投标函和开标一览表</w:t>
      </w:r>
      <w:bookmarkEnd w:id="60"/>
      <w:r/>
      <w:bookmarkEnd w:id="61"/>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14.1投标人应按照招标文件中提供的格式完整、正确填写投标函、开标一览表。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hint="eastAsia" w:ascii="宋体" w:hAnsi="宋体" w:cs="宋体"/>
          <w:sz w:val="21"/>
          <w:szCs w:val="21"/>
          <w:highlight w:val="none"/>
        </w:rPr>
      </w:pPr>
      <w:r/>
      <w:bookmarkStart w:id="62" w:name="_Toc49090511"/>
      <w:r/>
      <w:bookmarkStart w:id="63" w:name="_Toc14577360"/>
      <w:r>
        <w:rPr>
          <w:rFonts w:hint="eastAsia" w:ascii="宋体" w:hAnsi="宋体" w:cs="宋体"/>
          <w:sz w:val="21"/>
          <w:szCs w:val="21"/>
          <w:highlight w:val="none"/>
        </w:rPr>
        <w:t xml:space="preserve">15、投标有效期</w:t>
      </w:r>
      <w:bookmarkEnd w:id="62"/>
      <w:r/>
      <w:bookmarkEnd w:id="63"/>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15.1投标有效期为采购人规定的开标之日后</w:t>
      </w:r>
      <w:r>
        <w:rPr>
          <w:rFonts w:hint="eastAsia" w:ascii="宋体" w:hAnsi="宋体" w:cs="宋体"/>
          <w:b/>
          <w:bCs/>
          <w:sz w:val="21"/>
          <w:szCs w:val="21"/>
          <w:highlight w:val="none"/>
          <w:u w:val="single"/>
        </w:rPr>
        <w:t xml:space="preserve">九十（90）天</w:t>
      </w:r>
      <w:r>
        <w:rPr>
          <w:rFonts w:hint="eastAsia" w:ascii="宋体" w:hAnsi="宋体" w:cs="宋体"/>
          <w:sz w:val="21"/>
          <w:szCs w:val="21"/>
          <w:highlight w:val="none"/>
        </w:rPr>
        <w:t xml:space="preserve">。投标有效期比规定短的将被视为未实质性响应招标文件而予以拒绝。</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16、投标有效期的延长</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22"/>
        <w:spacing w:line="400" w:lineRule="exact"/>
        <w:rPr>
          <w:rFonts w:hint="eastAsia" w:ascii="宋体" w:hAnsi="宋体" w:cs="宋体"/>
          <w:b/>
          <w:bCs/>
          <w:sz w:val="21"/>
          <w:szCs w:val="21"/>
          <w:highlight w:val="none"/>
        </w:rPr>
      </w:pPr>
      <w:r/>
      <w:bookmarkStart w:id="64" w:name="_Toc16938540"/>
      <w:r/>
      <w:bookmarkStart w:id="65" w:name="_Toc513029224"/>
      <w:r/>
      <w:bookmarkStart w:id="66" w:name="_Toc120614217"/>
      <w:r/>
      <w:bookmarkStart w:id="67" w:name="_Toc20823296"/>
      <w:r>
        <w:rPr>
          <w:rFonts w:hint="eastAsia" w:ascii="宋体" w:hAnsi="宋体" w:cs="宋体"/>
          <w:b/>
          <w:bCs/>
          <w:sz w:val="21"/>
          <w:szCs w:val="21"/>
          <w:highlight w:val="none"/>
        </w:rPr>
        <w:t xml:space="preserve">四、投标文件的递交</w:t>
      </w:r>
      <w:bookmarkEnd w:id="64"/>
      <w:r/>
      <w:bookmarkEnd w:id="65"/>
      <w:r/>
      <w:bookmarkEnd w:id="66"/>
      <w:r/>
      <w:bookmarkEnd w:id="67"/>
      <w:r/>
      <w:r/>
    </w:p>
    <w:p>
      <w:pPr>
        <w:ind w:firstLine="420"/>
        <w:spacing w:line="400" w:lineRule="exact"/>
        <w:rPr>
          <w:rFonts w:hint="eastAsia" w:ascii="宋体" w:hAnsi="宋体" w:cs="宋体"/>
          <w:sz w:val="21"/>
          <w:szCs w:val="21"/>
          <w:highlight w:val="none"/>
        </w:rPr>
      </w:pPr>
      <w:r/>
      <w:bookmarkStart w:id="68" w:name="_Toc20823297"/>
      <w:r/>
      <w:bookmarkStart w:id="69" w:name="_Toc513029225"/>
      <w:r/>
      <w:bookmarkStart w:id="70" w:name="_Toc462564084"/>
      <w:r/>
      <w:bookmarkStart w:id="71" w:name="_Toc16938541"/>
      <w:r>
        <w:rPr>
          <w:rFonts w:hint="eastAsia" w:ascii="宋体" w:hAnsi="宋体" w:cs="宋体"/>
          <w:sz w:val="21"/>
          <w:szCs w:val="21"/>
          <w:highlight w:val="none"/>
        </w:rPr>
        <w:t xml:space="preserve">17、投标文件</w:t>
      </w:r>
      <w:bookmarkEnd w:id="68"/>
      <w:r/>
      <w:bookmarkEnd w:id="69"/>
      <w:r/>
      <w:bookmarkEnd w:id="70"/>
      <w:r/>
      <w:bookmarkEnd w:id="71"/>
      <w:r>
        <w:rPr>
          <w:rFonts w:hint="eastAsia" w:ascii="宋体" w:hAnsi="宋体" w:cs="宋体"/>
          <w:sz w:val="21"/>
          <w:szCs w:val="21"/>
          <w:highlight w:val="none"/>
        </w:rPr>
        <w:t xml:space="preserve">的递交</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17.1 电子投标文件的递交</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投标人应当按照《操作手册》规定，在投标截止时间前制作并上传电子投标文件。</w:t>
      </w:r>
      <w:bookmarkStart w:id="72" w:name="_Toc16938542"/>
      <w:r/>
      <w:bookmarkEnd w:id="72"/>
      <w:r/>
      <w:bookmarkStart w:id="73" w:name="_Toc20823298"/>
      <w:r/>
      <w:bookmarkEnd w:id="73"/>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18、投标截止时间</w:t>
      </w:r>
      <w:r/>
    </w:p>
    <w:p>
      <w:pPr>
        <w:ind w:firstLine="420"/>
        <w:spacing w:line="400" w:lineRule="exact"/>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18.1投标人上传电子投标文件的时间不得迟于招标公告中规定的投标截止时间。</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int="eastAsia" w:ascii="宋体" w:hAnsi="宋体" w:cs="宋体"/>
          <w:sz w:val="21"/>
          <w:szCs w:val="21"/>
          <w:highlight w:val="none"/>
        </w:rPr>
      </w:pPr>
      <w:r/>
      <w:bookmarkStart w:id="74" w:name="_Toc20823299"/>
      <w:r/>
      <w:bookmarkStart w:id="75" w:name="_Toc16938543"/>
      <w:r/>
      <w:bookmarkStart w:id="76" w:name="_Toc513029227"/>
      <w:r>
        <w:rPr>
          <w:rFonts w:hint="eastAsia" w:ascii="宋体" w:hAnsi="宋体" w:cs="宋体"/>
          <w:sz w:val="21"/>
          <w:szCs w:val="21"/>
          <w:highlight w:val="none"/>
        </w:rPr>
        <w:t xml:space="preserve">19、投标文件</w:t>
      </w:r>
      <w:bookmarkEnd w:id="74"/>
      <w:r/>
      <w:bookmarkEnd w:id="75"/>
      <w:r/>
      <w:bookmarkEnd w:id="76"/>
      <w:r>
        <w:rPr>
          <w:rFonts w:hint="eastAsia" w:ascii="宋体" w:hAnsi="宋体" w:cs="宋体"/>
          <w:sz w:val="21"/>
          <w:szCs w:val="21"/>
          <w:highlight w:val="none"/>
        </w:rPr>
        <w:t xml:space="preserve">的拒收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19.1采购人拒绝接收在其规定的投标截止时间后上传的任何投标文件。</w:t>
      </w:r>
      <w:r/>
    </w:p>
    <w:p>
      <w:pPr>
        <w:ind w:firstLine="420"/>
        <w:spacing w:line="400" w:lineRule="exact"/>
        <w:rPr>
          <w:rFonts w:hint="eastAsia" w:ascii="宋体" w:hAnsi="宋体" w:cs="宋体"/>
          <w:sz w:val="21"/>
          <w:szCs w:val="21"/>
          <w:highlight w:val="none"/>
        </w:rPr>
      </w:pPr>
      <w:r/>
      <w:bookmarkStart w:id="77" w:name="_Toc20823300"/>
      <w:r/>
      <w:bookmarkStart w:id="78" w:name="_Toc513029228"/>
      <w:r/>
      <w:bookmarkStart w:id="79" w:name="_Toc16938544"/>
      <w:r>
        <w:rPr>
          <w:rFonts w:hint="eastAsia" w:ascii="宋体" w:hAnsi="宋体" w:cs="宋体"/>
          <w:sz w:val="21"/>
          <w:szCs w:val="21"/>
          <w:highlight w:val="none"/>
        </w:rPr>
        <w:t xml:space="preserve">20、投标文件的撤回和修改</w:t>
      </w:r>
      <w:bookmarkEnd w:id="77"/>
      <w:r/>
      <w:bookmarkEnd w:id="78"/>
      <w:r/>
      <w:bookmarkEnd w:id="7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20.1投标文件的撤回</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20.1.1电子投标文件的撤回</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投标人可在投标截止时间前，撤回其电子投标文件，具体操作方法见《操作手册》。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20.1.2投标人撤回电子投标文件，则认为其不再参与本项目投标活动。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 投标文件的修改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20.2.1投标人可在投标截止时间前，对其电子投标文件进行修改，具体操作方法见《操作手册》。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20.2.2在投标截止时间之后，投标人不得对其电子投标文件作任何修改。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20.3在投标截止时间至招标文件中规定的投标有效期满之间的这段时间内，投标人不得撤回其投标。</w:t>
      </w:r>
      <w:r/>
    </w:p>
    <w:p>
      <w:pPr>
        <w:ind w:firstLine="422"/>
        <w:spacing w:line="400" w:lineRule="exact"/>
        <w:rPr>
          <w:rFonts w:hint="eastAsia" w:ascii="宋体" w:hAnsi="宋体" w:cs="宋体"/>
          <w:b/>
          <w:bCs/>
          <w:sz w:val="21"/>
          <w:szCs w:val="21"/>
          <w:highlight w:val="none"/>
        </w:rPr>
      </w:pPr>
      <w:r/>
      <w:bookmarkStart w:id="80" w:name="_Toc20823301"/>
      <w:r/>
      <w:bookmarkStart w:id="81" w:name="_Toc513029229"/>
      <w:r/>
      <w:bookmarkStart w:id="82" w:name="_Toc16938545"/>
      <w:r/>
      <w:bookmarkStart w:id="83" w:name="_Toc120614218"/>
      <w:r>
        <w:rPr>
          <w:rFonts w:hint="eastAsia" w:ascii="宋体" w:hAnsi="宋体" w:cs="宋体"/>
          <w:b/>
          <w:bCs/>
          <w:sz w:val="21"/>
          <w:szCs w:val="21"/>
          <w:highlight w:val="none"/>
        </w:rPr>
        <w:t xml:space="preserve">五、开标与评标</w:t>
      </w:r>
      <w:bookmarkEnd w:id="80"/>
      <w:r/>
      <w:bookmarkEnd w:id="81"/>
      <w:r/>
      <w:bookmarkEnd w:id="82"/>
      <w:r/>
      <w:bookmarkEnd w:id="83"/>
      <w:r/>
      <w:r/>
    </w:p>
    <w:p>
      <w:pPr>
        <w:ind w:firstLine="420"/>
        <w:spacing w:line="400" w:lineRule="exact"/>
        <w:rPr>
          <w:rFonts w:hint="eastAsia" w:ascii="宋体" w:hAnsi="宋体" w:cs="宋体"/>
          <w:sz w:val="21"/>
          <w:szCs w:val="21"/>
          <w:highlight w:val="none"/>
        </w:rPr>
      </w:pPr>
      <w:r/>
      <w:bookmarkStart w:id="84" w:name="_Toc20823302"/>
      <w:r/>
      <w:bookmarkStart w:id="85" w:name="_Toc513029230"/>
      <w:r/>
      <w:bookmarkStart w:id="86" w:name="_Toc16938546"/>
      <w:r>
        <w:rPr>
          <w:rFonts w:hint="eastAsia" w:ascii="宋体" w:hAnsi="宋体" w:cs="宋体"/>
          <w:sz w:val="21"/>
          <w:szCs w:val="21"/>
          <w:highlight w:val="none"/>
        </w:rPr>
        <w:t xml:space="preserve">21、开标</w:t>
      </w:r>
      <w:bookmarkEnd w:id="84"/>
      <w:r/>
      <w:bookmarkEnd w:id="85"/>
      <w:r/>
      <w:bookmarkEnd w:id="86"/>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21.1采购代理机构将在招标公告中规定的时间和地点组织公开开标。投标人应当按照《操作手册》规定，参加开标活动和在苏采云系统规定的时间内对投标文件进行解密。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21.2开标仪式由采购代理机构组织。苏采云系统将自动对项目进行开标，并宣布各投标人名称和投标价格。</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21.3投标人在开标过程中涉及到的投标文件解密、开标结果确认等工作，应按照《操作手册》规定执行。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spacing w:line="400" w:lineRule="exact"/>
        <w:rPr>
          <w:rFonts w:hint="eastAsia" w:ascii="宋体" w:hAnsi="宋体" w:cs="宋体"/>
          <w:sz w:val="21"/>
          <w:szCs w:val="21"/>
          <w:highlight w:val="none"/>
        </w:rPr>
      </w:pPr>
      <w:r/>
      <w:bookmarkStart w:id="87" w:name="_Toc16938547"/>
      <w:r/>
      <w:bookmarkStart w:id="88" w:name="_Toc513029231"/>
      <w:r/>
      <w:bookmarkStart w:id="89" w:name="_Toc20823303"/>
      <w:r>
        <w:rPr>
          <w:rFonts w:hint="eastAsia" w:ascii="宋体" w:hAnsi="宋体" w:cs="宋体"/>
          <w:sz w:val="21"/>
          <w:szCs w:val="21"/>
          <w:highlight w:val="none"/>
        </w:rPr>
        <w:t xml:space="preserve">22、评标委员会</w:t>
      </w:r>
      <w:bookmarkEnd w:id="87"/>
      <w:r/>
      <w:bookmarkEnd w:id="88"/>
      <w:r/>
      <w:bookmarkEnd w:id="8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22.1开标后，采购代理机构将立即组织评标委员会（以下简称评委会）进行评标。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22.2评委会由采购人代表和有关技术、经济等方面的专家组成，且人员构成符合政府采购有关规定。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22.3评委会独立工作，负责评审所有投标文件并确定中标候选人。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23、评标过程的保密与公正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23.1凡是与审查、澄清、评价和比较投标的有关资料以及授标建议等，采购人、评委、采购代理机构均不得向投标人或与评标无关的其他人员透露。</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23.2在评标过程中，投标人不得以任何行为影响评标过程，否则其投标文件将被作为无效投标文件。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23.3采购人和评标委员会不向未中标的投标人解释未中标原因，也不公布评标过程中的相关细节。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23.4采用综合评分法的项目，未中标的投标人可于中标结果公告期限届满之日起通过苏采云系统查看自己的评审得分及排序情况。</w:t>
      </w:r>
      <w:r/>
    </w:p>
    <w:p>
      <w:pPr>
        <w:ind w:firstLine="420"/>
        <w:spacing w:line="400" w:lineRule="exact"/>
        <w:rPr>
          <w:rFonts w:hint="eastAsia" w:ascii="宋体" w:hAnsi="宋体" w:cs="宋体"/>
          <w:sz w:val="21"/>
          <w:szCs w:val="21"/>
          <w:highlight w:val="none"/>
        </w:rPr>
      </w:pPr>
      <w:r/>
      <w:bookmarkStart w:id="90" w:name="_Toc16938548"/>
      <w:r/>
      <w:bookmarkStart w:id="91" w:name="_Toc20823304"/>
      <w:r/>
      <w:bookmarkStart w:id="92" w:name="_Toc513029232"/>
      <w:r>
        <w:rPr>
          <w:rFonts w:hint="eastAsia" w:ascii="宋体" w:hAnsi="宋体" w:cs="宋体"/>
          <w:sz w:val="21"/>
          <w:szCs w:val="21"/>
          <w:highlight w:val="none"/>
        </w:rPr>
        <w:t xml:space="preserve">24、投标文件的澄清</w:t>
      </w:r>
      <w:bookmarkEnd w:id="90"/>
      <w:r/>
      <w:bookmarkEnd w:id="91"/>
      <w:r/>
      <w:bookmarkEnd w:id="92"/>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投标人的澄清、说明或者补正不得超出投标文件的范围或者改变投标文件的实质性内容。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评标委员会并非对每个投标人都做澄清要求。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24.3接到评委会澄清、说明和补正要求的投标人如未按规定作出澄清、说明和补正，其风险由投标人自行承担。</w:t>
      </w:r>
      <w:r/>
    </w:p>
    <w:p>
      <w:pPr>
        <w:ind w:firstLine="420"/>
        <w:spacing w:line="400" w:lineRule="exact"/>
        <w:rPr>
          <w:rFonts w:hint="eastAsia" w:ascii="宋体" w:hAnsi="宋体" w:cs="宋体"/>
          <w:sz w:val="21"/>
          <w:szCs w:val="21"/>
          <w:highlight w:val="none"/>
        </w:rPr>
      </w:pPr>
      <w:r/>
      <w:bookmarkStart w:id="93" w:name="_Toc513029233"/>
      <w:r/>
      <w:bookmarkStart w:id="94" w:name="_Toc20823305"/>
      <w:r/>
      <w:bookmarkStart w:id="95" w:name="_Toc16938549"/>
      <w:r>
        <w:rPr>
          <w:rFonts w:hint="eastAsia" w:ascii="宋体" w:hAnsi="宋体" w:cs="宋体"/>
          <w:sz w:val="21"/>
          <w:szCs w:val="21"/>
          <w:highlight w:val="none"/>
        </w:rPr>
        <w:t xml:space="preserve">25、对投标文件的初审</w:t>
      </w:r>
      <w:bookmarkEnd w:id="93"/>
      <w:r/>
      <w:bookmarkEnd w:id="94"/>
      <w:r/>
      <w:bookmarkEnd w:id="95"/>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25.1投标文件初审分为资格审查和符合性审查。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25.4评委会将对确定为实质性响应的投标进行进一步审核，确定其是否有计算上或累加上的算术错误，修正错误的原则如下：</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（1）投标文件中开标一览表内容与投标文件中相应内容不一致的，以开标一览表为准。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（2）大写金额和小写金额不一致的，以大写金额为准。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（3）单价金额小数点或者百分比有明显错位的，以开标一览表的总价为准，并修改单价。</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（4）总价金额与按单价汇总金额不一致的，以单价金额计算结果为准。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同时出现两种以上错误的，按照前款规定的顺序修正。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hint="eastAsia" w:ascii="宋体" w:hAnsi="宋体" w:cs="宋体"/>
          <w:sz w:val="21"/>
          <w:szCs w:val="21"/>
          <w:highlight w:val="none"/>
        </w:rPr>
      </w:pPr>
      <w:r/>
      <w:bookmarkStart w:id="96" w:name="_Toc20823306"/>
      <w:r/>
      <w:bookmarkStart w:id="97" w:name="_Toc16938550"/>
      <w:r/>
      <w:bookmarkStart w:id="98" w:name="_Toc513029234"/>
      <w:r>
        <w:rPr>
          <w:rFonts w:hint="eastAsia" w:ascii="宋体" w:hAnsi="宋体" w:cs="宋体"/>
          <w:sz w:val="21"/>
          <w:szCs w:val="21"/>
          <w:highlight w:val="none"/>
        </w:rPr>
        <w:t xml:space="preserve">25.6投标人在开、评标全过程中应保持通信畅通，及时登录苏采云系统查阅、答复相关信息，并安排专人与采购代理机构及评标委员会联系。</w:t>
      </w:r>
      <w:bookmarkEnd w:id="96"/>
      <w:r/>
      <w:bookmarkEnd w:id="97"/>
      <w:r/>
      <w:bookmarkEnd w:id="98"/>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26、无效投标条款和废标条款</w:t>
      </w:r>
      <w:r/>
    </w:p>
    <w:p>
      <w:pPr>
        <w:ind w:firstLine="420"/>
        <w:spacing w:line="400" w:lineRule="exact"/>
        <w:rPr>
          <w:rFonts w:hint="eastAsia" w:ascii="宋体" w:hAnsi="宋体" w:cs="宋体"/>
          <w:sz w:val="21"/>
          <w:szCs w:val="21"/>
          <w:highlight w:val="none"/>
        </w:rPr>
      </w:pPr>
      <w:r/>
      <w:bookmarkStart w:id="99" w:name="_Toc20823307"/>
      <w:r/>
      <w:bookmarkStart w:id="100" w:name="_Toc16938551"/>
      <w:r/>
      <w:bookmarkStart w:id="101" w:name="_Toc513029235"/>
      <w:r>
        <w:rPr>
          <w:rFonts w:hint="eastAsia" w:ascii="宋体" w:hAnsi="宋体" w:cs="宋体"/>
          <w:sz w:val="21"/>
          <w:szCs w:val="21"/>
          <w:highlight w:val="none"/>
        </w:rPr>
        <w:t xml:space="preserve">26.1无效投标条款</w:t>
      </w:r>
      <w:bookmarkEnd w:id="99"/>
      <w:r/>
      <w:bookmarkEnd w:id="100"/>
      <w:r/>
      <w:bookmarkEnd w:id="101"/>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26.1.1投标人在苏采云系统规定的时间内未成功解密电子投标文件的。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26.1.2投标人未按照招标文件要求上传电子投标文件的。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26.1.3同一投标人提交两个（含两个）以上不同的投标报价的。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26.1.4投标人不具备招标文件中规定资格要求的。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26.1.5投标人的报价超过了采购预算或最高限价的。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26.1.6未通过符合性审查的。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26.1.7不符合招标文件中规定的实质性要求和条件的（本招标文件中斜体且有下划线部分为实质性要求和条件）。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26.1.9投标文件含有采购人不能接受的附加条件的。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26.1.10投标人不能证明其报价合理性的，评标委员会应当将其作为无效投标处理。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（一）评审过程中出现下列情形之一的，评标委员会应当启动异常低价投标审查程序：</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1.投标（响应）报价低于全部通过符合性审查供应商 投标（响应）报价平均值50%的，即投标（响应）报价&lt;全部通过符合性审查供应商投标（响应）报价平均值×50%；</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3.投标（响应）报价低于采购项目最高限价45%的，即投标（响应）报价&lt;采购项目最高限价×45%；</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4.评审委员会基于专业判断，认为供应商报价过低，有可能影响产品质量或者不能诚信履约的其他情形。 采购人可以结合具体项目实际情况，提高上述第1项 至第3项中启动异常低价投标（响应）审查的数值标准，但是最高不得超过65%。</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相关法律法规对供应商报价有规定的，从其规定。</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（二）评审委员会启动异常低价投标（响应）审查后， 属于前述第1项至第4项情形的，应当要求相关供应商在评审现场合理的时间内对投标（响应）价格作出解释，提供项目具体成本测算等与报价合理性相关的书面说明及必要的证明材料，包括但不限于原材料成本、人工成本、 制造费用等，给予相关供应商的合理时间一般不少于30 分钟。其中，属于第3项情形，供应商已随投标（响应） 文件一并提交相关书面说明及必要的证明材料的，在评审现场可不再重复提交。</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26.1.11投标文件未按照招标文件要求加盖CA电子公章的。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26.1.12其他法律、法规及本招标文件规定的属无效投标的情形。</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26.2废标条款</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26.2.1符合专业条件的供应商或者对招标文件作实质响应的供应商不足三家的。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26.2.2出现影响采购公正的违法、违规行为的。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26.2.3因重大变故，采购任务取消的。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26.2.4评标委员会认定招标文件存在歧义、重大缺陷导致评审工作无法进行。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26.2.5因苏采云系统系统故障原因造成开标不成功的。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26.3 投标截止时间结束后参加投标的供应商不足三家的处理：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cs="宋体"/>
          <w:b/>
          <w:bCs/>
          <w:sz w:val="21"/>
          <w:szCs w:val="21"/>
          <w:highlight w:val="none"/>
        </w:rPr>
      </w:pPr>
      <w:r/>
      <w:bookmarkStart w:id="102" w:name="_Toc120614219"/>
      <w:r>
        <w:rPr>
          <w:rFonts w:hint="eastAsia" w:ascii="宋体" w:hAnsi="宋体" w:cs="宋体"/>
          <w:b/>
          <w:bCs/>
          <w:sz w:val="21"/>
          <w:szCs w:val="21"/>
          <w:highlight w:val="none"/>
        </w:rPr>
        <w:t xml:space="preserve">六、定标</w:t>
      </w:r>
      <w:bookmarkEnd w:id="102"/>
      <w:r/>
      <w:r/>
    </w:p>
    <w:p>
      <w:pPr>
        <w:ind w:firstLine="420"/>
        <w:spacing w:line="400" w:lineRule="exact"/>
        <w:rPr>
          <w:rFonts w:hint="eastAsia" w:ascii="宋体" w:hAnsi="宋体" w:cs="宋体"/>
          <w:sz w:val="21"/>
          <w:szCs w:val="21"/>
          <w:highlight w:val="none"/>
        </w:rPr>
      </w:pPr>
      <w:r/>
      <w:bookmarkStart w:id="103" w:name="_Toc20823310"/>
      <w:r/>
      <w:bookmarkStart w:id="104" w:name="_Toc513029238"/>
      <w:r/>
      <w:bookmarkStart w:id="105" w:name="_Toc16938554"/>
      <w:r>
        <w:rPr>
          <w:rFonts w:hint="eastAsia" w:ascii="宋体" w:hAnsi="宋体" w:cs="宋体"/>
          <w:sz w:val="21"/>
          <w:szCs w:val="21"/>
          <w:highlight w:val="none"/>
        </w:rPr>
        <w:t xml:space="preserve">27、</w:t>
      </w:r>
      <w:bookmarkEnd w:id="103"/>
      <w:r>
        <w:rPr>
          <w:rFonts w:hint="eastAsia" w:ascii="宋体" w:hAnsi="宋体" w:cs="宋体"/>
          <w:sz w:val="21"/>
          <w:szCs w:val="21"/>
          <w:highlight w:val="none"/>
        </w:rPr>
        <w:t xml:space="preserve">确定</w:t>
      </w:r>
      <w:bookmarkEnd w:id="104"/>
      <w:r/>
      <w:bookmarkEnd w:id="105"/>
      <w:r>
        <w:rPr>
          <w:rFonts w:hint="eastAsia" w:ascii="宋体" w:hAnsi="宋体" w:cs="宋体"/>
          <w:sz w:val="21"/>
          <w:szCs w:val="21"/>
          <w:highlight w:val="none"/>
        </w:rPr>
        <w:t xml:space="preserve">中标单位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27.1中标候选人的选取原则和数量见招标文件第五章规定。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27.2采购人应根据评委会推荐的中标候选人确定中标人。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27.3采购代理机构将在“中国政府采购网”“江苏政府采购网”“盐城市政府采购网”发布中标公告，公告期限为1个工作日。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27.4若有充分证据证明，中标人出现下列情况之一的，一经查实，将被取消中标资格：</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27.4.1提供虚假材料谋取中标的。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27.4.2向采购人、采购代理机构行贿或者提供其他不正当利益的。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27.4.3属于本文件规定的无效条件，但在评标过程中又未被评委会发现的。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27.4.4与采购人或者其他供应商恶意串通的。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27.4.5采取不正当手段诋毁、排挤其他供应商的。</w:t>
      </w:r>
      <w:r/>
    </w:p>
    <w:p>
      <w:pPr>
        <w:ind w:firstLine="420"/>
        <w:spacing w:line="400" w:lineRule="exact"/>
        <w:rPr>
          <w:rFonts w:hint="eastAsia" w:ascii="宋体" w:hAnsi="宋体" w:cs="宋体"/>
          <w:sz w:val="21"/>
          <w:szCs w:val="21"/>
          <w:highlight w:val="none"/>
        </w:rPr>
      </w:pPr>
      <w:r/>
      <w:bookmarkStart w:id="106" w:name="_Toc200451960"/>
      <w:r>
        <w:rPr>
          <w:rFonts w:hint="eastAsia" w:ascii="宋体" w:hAnsi="宋体" w:cs="宋体"/>
          <w:sz w:val="21"/>
          <w:szCs w:val="21"/>
          <w:highlight w:val="none"/>
        </w:rPr>
        <w:t xml:space="preserve">27.5 有下列情形之一的，视为投标人串通投标，投标无效：</w:t>
      </w:r>
      <w:bookmarkEnd w:id="106"/>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27.5.1不同投标人的投标文件由同一单位或者个人编制。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27.5.2不同投标人委托同一单位或者个人办理投标事宜。</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27.5.3不同投标人的投标文件载明的项目管理成员或者联系人员为同一人。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27.5.4不同投标人的投标文件异常一致或者投标报价呈规律性差异。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28、质疑处理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28.2.1对可以质疑的采购文件提出质疑的，为收到采购文件之日或者采购文件公告期限届满之日；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28.2.2对采购过程提出质疑的，为各采购程序环节结束之日；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28.2.3对中标或者成交结果提出质疑的，为中标或者成交结果公告期限届满之日。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744"/>
        <w:ind w:firstLine="420"/>
        <w:jc w:val="both"/>
        <w:spacing w:before="0" w:beforeAutospacing="0" w:after="0" w:afterAutospacing="0" w:line="400" w:lineRule="exact"/>
        <w:rPr>
          <w:rFonts w:hint="eastAsia"/>
          <w:sz w:val="21"/>
          <w:szCs w:val="21"/>
          <w:highlight w:val="none"/>
        </w:rPr>
      </w:pPr>
      <w:r>
        <w:rPr>
          <w:rFonts w:hint="eastAsia"/>
          <w:sz w:val="21"/>
          <w:szCs w:val="21"/>
          <w:highlight w:val="none"/>
        </w:rPr>
        <w:t xml:space="preserve">采购人及代理机构只接收以纸质原件形式送达的质疑,采购人和代理机构不接受未填写快递运单的快件。质疑接收部门为盐城市畅为企业管理有限公司招标代理部，联系地址：盐城市西环路293号瞰都公馆10号楼1501，联系电话：0515-88321829。</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 以下情形的质疑不予受理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28.5.1内容不符合《政府采购质疑和投诉办法》第十二条规定的质疑。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28.5.2超出政府采购法定期限的质疑。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28.5.3以传真、电子邮件等方式递交的非原件形式的质疑。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28.5.4未参加投标活动的供应商或在投标活动中自身权益未受到损害的供应商所提出的质疑。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28.5.5供应商组成联合体参加投标，联合体中任何一方或多方未按要求签字、盖章、加盖公章的质疑。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29、中标通知书</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400" w:lineRule="exact"/>
        <w:rPr>
          <w:rFonts w:hint="eastAsia" w:ascii="宋体" w:hAnsi="宋体" w:cs="宋体"/>
          <w:b/>
          <w:bCs/>
          <w:sz w:val="21"/>
          <w:szCs w:val="21"/>
          <w:highlight w:val="none"/>
        </w:rPr>
      </w:pPr>
      <w:r/>
      <w:bookmarkStart w:id="107" w:name="_Toc513029236"/>
      <w:r/>
      <w:bookmarkStart w:id="108" w:name="_Toc120614220"/>
      <w:r/>
      <w:bookmarkStart w:id="109" w:name="_Toc16938552"/>
      <w:r/>
      <w:bookmarkStart w:id="110" w:name="_Toc20823308"/>
      <w:r>
        <w:rPr>
          <w:rFonts w:hint="eastAsia" w:ascii="宋体" w:hAnsi="宋体" w:cs="宋体"/>
          <w:b/>
          <w:bCs/>
          <w:sz w:val="21"/>
          <w:szCs w:val="21"/>
          <w:highlight w:val="none"/>
        </w:rPr>
        <w:t xml:space="preserve">七、授予合同</w:t>
      </w:r>
      <w:bookmarkEnd w:id="107"/>
      <w:r/>
      <w:bookmarkEnd w:id="108"/>
      <w:r/>
      <w:bookmarkEnd w:id="109"/>
      <w:r/>
      <w:bookmarkEnd w:id="110"/>
      <w:r/>
      <w:r/>
    </w:p>
    <w:p>
      <w:pPr>
        <w:ind w:firstLine="420"/>
        <w:spacing w:line="400" w:lineRule="exact"/>
        <w:rPr>
          <w:rFonts w:hint="eastAsia" w:ascii="宋体" w:hAnsi="宋体" w:cs="宋体"/>
          <w:sz w:val="21"/>
          <w:szCs w:val="21"/>
          <w:highlight w:val="none"/>
        </w:rPr>
      </w:pPr>
      <w:r/>
      <w:bookmarkStart w:id="111" w:name="_Toc513029237"/>
      <w:r/>
      <w:bookmarkStart w:id="112" w:name="_Toc16938553"/>
      <w:r/>
      <w:bookmarkStart w:id="113" w:name="_Toc20823309"/>
      <w:r>
        <w:rPr>
          <w:rFonts w:hint="eastAsia" w:ascii="宋体" w:hAnsi="宋体" w:cs="宋体"/>
          <w:sz w:val="21"/>
          <w:szCs w:val="21"/>
          <w:highlight w:val="none"/>
        </w:rPr>
        <w:t xml:space="preserve">30、签订合同</w:t>
      </w:r>
      <w:bookmarkEnd w:id="111"/>
      <w:r/>
      <w:bookmarkEnd w:id="112"/>
      <w:r/>
      <w:bookmarkEnd w:id="113"/>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30.l中标人应当在中标通知书发出之日起三十日内，按照招标文件确定的事项与采购人签订政府采购合同。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30.2招标文件、中标人的投标文件及招标过程中有关澄清、承诺文件均应作为合同附件。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30.3签订合同后，</w:t>
      </w:r>
      <w:r>
        <w:rPr>
          <w:rFonts w:hint="eastAsia" w:ascii="宋体" w:hAnsi="宋体" w:cs="宋体"/>
          <w:i/>
          <w:iCs/>
          <w:sz w:val="21"/>
          <w:szCs w:val="21"/>
          <w:highlight w:val="none"/>
          <w:u w:val="single"/>
        </w:rPr>
        <w:t xml:space="preserve">中标人不得将合同标的进行转包。</w:t>
      </w:r>
      <w:r>
        <w:rPr>
          <w:rFonts w:hint="eastAsia" w:ascii="宋体" w:hAnsi="宋体" w:cs="宋体"/>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31、服务（包含与服务相关的货物）的追加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32、政府采购政策功能落实</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32.1政府采购线上合同信用融资政策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32.2进口产品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32.3中小企业、监狱企业及残疾人福利性单位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32.3.1中小企业定义：</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中小企业是</w:t>
      </w:r>
      <w:r>
        <w:rPr>
          <w:rFonts w:hint="eastAsia" w:ascii="宋体" w:hAnsi="宋体" w:cs="宋体"/>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32.3.2供应商提供的货物、工程或者服务符合下列情形的，享受中小企业扶持政策：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32.3.2.1在货物采购项目中，货物由中小企业制造，即货物由中小企业生产且使用该中小企业商号或者注册商标；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32.3.2.2在工程采购项目中，工程由中小企业承建，即工程施工单位为中小企业；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32.3.2.3在服务采购项目中，服务由中小企业承接，即提供服务的人员为中小企业依照《中华人民共和国劳动合同法》订立劳动合同的从业人员。</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32.3.3在货物采购项目中，供应商提供的货物既有中小企业制造货物，也有大型企业制造货物的，不享受中小企业扶持政策。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32.3.4以联合体形式参加政府采购活动，联合体各方均为中小企业的，联合体视同中小企业。其中，联合体各方均为小微企业的，联合体视同小微企业。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32.3.6残疾人福利单位定义：享受政府采购支持政策的残疾人福利性单位应当同时满足以下条件：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32.3.6.1安置的残疾人占本单位在职职工人数的比例不低于25%（含25%），并且安置的残疾人人数不少于10 人（含10 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32.3.6.2依法与安置的每位残疾人签订了一年以上（含一年）的劳动合同或服务协议；</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32.3.6.3为安置的每位残疾人按月足额缴纳了基本养老保险、基本医疗保险、失业保险、工伤保险和生育保险等社会保险费；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32.3.6.4通过银行等金融机构向安置的每位残疾人，按月支付了不低于单位所在区县适用的经省级人民政府批准的月最低工资标准的工资；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32.3.7本项目是否专门面向中小企业预留采购份额见第一章《招标公告》。</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32.3.8采购标的对应的中小企业划分标准所属行业见第四章《采购需求》。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32.3.9小微企业价格评审优惠的政策：见第五章《评标方法和评标标准》。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32.4政府采购节能产品、环境标志产品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32.4.1严格执行政府采购关于支持</w:t>
      </w:r>
      <w:r>
        <w:rPr>
          <w:rFonts w:hint="eastAsia" w:ascii="宋体" w:hAnsi="宋体" w:cs="宋体"/>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32.5绿色包装</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32.6政府采购创新产品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采购人优先采购各级政府部门公开发布的有效期内的创新产品、创新服务、首台套、首购首用等《目录》的创新产品。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32.7绿色数据中心政策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本文件中若涉及到数据中心采购，采购人应依据《绿色数据中心政府采购需求标准（试行）》（财办库〔2023〕7号）文件精神</w:t>
      </w:r>
      <w:r>
        <w:rPr>
          <w:rFonts w:hint="eastAsia" w:ascii="宋体" w:hAnsi="宋体" w:cs="宋体"/>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32.8实施本国产品标准及相关政策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32.8.1本项目对采购本国产品给予政策支持，具体内容见招标文件“第五章 评标方法与评标标准”。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32.9履约保证金政策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确需收取履约保证金的，履约保证金的缴纳形式：</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 如以履约保函（保险）形式缴纳履约保证金，供应商可通过政府采购电子履约保函（保险）平台（www.jsdzbh.com）在线申请履约保函（保险）。</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33、预付款制度</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本项目落实预付款制度，预付款比例为_</w:t>
      </w:r>
      <w:r>
        <w:rPr>
          <w:rFonts w:hint="eastAsia" w:ascii="宋体" w:hAnsi="宋体" w:cs="宋体"/>
          <w:sz w:val="21"/>
          <w:szCs w:val="21"/>
          <w:highlight w:val="none"/>
          <w:u w:val="single"/>
        </w:rPr>
        <w:t xml:space="preserve">30</w:t>
      </w:r>
      <w:r>
        <w:rPr>
          <w:rFonts w:hint="eastAsia" w:ascii="宋体" w:hAnsi="宋体" w:cs="宋体"/>
          <w:sz w:val="21"/>
          <w:szCs w:val="21"/>
          <w:highlight w:val="none"/>
        </w:rPr>
        <w:t xml:space="preserve">_%（原则上不低于合同金额的30%）。在签订合同时，中标、成交供应商明确书面表示无需预付款或者主动要求降低预付款比例的，采购人可就预付款比例作相应调整。</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exact"/>
        <w:rPr>
          <w:rFonts w:hint="eastAsia" w:ascii="宋体" w:hAnsi="宋体" w:cs="宋体"/>
          <w:sz w:val="21"/>
          <w:szCs w:val="21"/>
          <w:highlight w:val="none"/>
        </w:rPr>
      </w:pPr>
      <w:r>
        <w:rPr>
          <w:rFonts w:hint="eastAsia"/>
          <w:szCs w:val="24"/>
          <w:highlight w:val="none"/>
        </w:rPr>
        <w:t xml:space="preserve"> </w:t>
      </w:r>
      <w:r/>
    </w:p>
    <w:p>
      <w:pPr>
        <w:jc w:val="center"/>
        <w:spacing w:line="700" w:lineRule="exact"/>
        <w:rPr>
          <w:rFonts w:hint="eastAsia" w:ascii="宋体" w:hAnsi="宋体" w:cs="宋体"/>
          <w:sz w:val="24"/>
          <w:szCs w:val="24"/>
          <w:highlight w:val="none"/>
        </w:rPr>
        <w:outlineLvl w:val="0"/>
      </w:pPr>
      <w:r>
        <w:rPr>
          <w:rFonts w:hint="eastAsia" w:ascii="宋体" w:hAnsi="宋体" w:cs="宋体"/>
          <w:sz w:val="21"/>
          <w:szCs w:val="21"/>
          <w:highlight w:val="none"/>
        </w:rPr>
        <w:br w:type="page" w:clear="all"/>
      </w:r>
      <w:bookmarkStart w:id="114" w:name="_Toc16938559"/>
      <w:r/>
      <w:bookmarkStart w:id="115" w:name="_Toc20823315"/>
      <w:r/>
      <w:bookmarkStart w:id="116" w:name="_Toc513029243"/>
      <w:r>
        <w:rPr>
          <w:rFonts w:hint="eastAsia" w:ascii="宋体" w:hAnsi="宋体" w:cs="宋体"/>
          <w:sz w:val="44"/>
          <w:szCs w:val="44"/>
          <w:highlight w:val="none"/>
        </w:rPr>
        <w:t xml:space="preserve">第三章  合同文本</w:t>
      </w:r>
      <w:r/>
    </w:p>
    <w:p>
      <w:pPr>
        <w:pStyle w:val="744"/>
        <w:ind w:firstLine="42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以下为中标后签订本项目合同的通用条款，中标人不得提出实质性的修改。</w:t>
      </w:r>
      <w:bookmarkEnd w:id="114"/>
      <w:r/>
      <w:bookmarkEnd w:id="115"/>
      <w:r/>
      <w:bookmarkEnd w:id="116"/>
      <w:r/>
      <w:r/>
    </w:p>
    <w:p>
      <w:pPr>
        <w:pStyle w:val="744"/>
        <w:jc w:val="center"/>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盐城市政府采购合同（服务）（合同编号）</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项目名称：盐南高新区伍佑街道农村生活污水处理设施运维项目</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项目编号：</w:t>
      </w:r>
      <w:r/>
    </w:p>
    <w:p>
      <w:pPr>
        <w:pStyle w:val="744"/>
        <w:ind w:firstLine="480"/>
        <w:jc w:val="both"/>
        <w:spacing w:before="0" w:beforeAutospacing="0" w:after="0" w:afterAutospacing="0" w:line="440" w:lineRule="exact"/>
        <w:rPr>
          <w:rFonts w:hint="eastAsia"/>
          <w:color w:val="000000"/>
          <w:sz w:val="21"/>
          <w:szCs w:val="21"/>
          <w:highlight w:val="none"/>
          <w:u w:val="single"/>
        </w:rPr>
      </w:pPr>
      <w:r>
        <w:rPr>
          <w:rFonts w:hint="eastAsia"/>
          <w:color w:val="000000"/>
          <w:sz w:val="21"/>
          <w:szCs w:val="21"/>
          <w:highlight w:val="none"/>
        </w:rPr>
        <w:t xml:space="preserve">甲方：（买方）</w:t>
      </w:r>
      <w:r>
        <w:rPr>
          <w:rFonts w:hint="eastAsia"/>
          <w:color w:val="000000"/>
          <w:sz w:val="21"/>
          <w:szCs w:val="21"/>
          <w:highlight w:val="none"/>
          <w:u w:val="single"/>
        </w:rPr>
        <w:t xml:space="preserve">                     </w:t>
      </w:r>
      <w:r/>
    </w:p>
    <w:p>
      <w:pPr>
        <w:pStyle w:val="744"/>
        <w:ind w:firstLine="480"/>
        <w:jc w:val="both"/>
        <w:spacing w:before="0" w:beforeAutospacing="0" w:after="0" w:afterAutospacing="0" w:line="440" w:lineRule="exact"/>
        <w:rPr>
          <w:rFonts w:hint="eastAsia"/>
          <w:color w:val="000000"/>
          <w:sz w:val="21"/>
          <w:szCs w:val="21"/>
          <w:highlight w:val="none"/>
          <w:u w:val="single"/>
        </w:rPr>
      </w:pPr>
      <w:r>
        <w:rPr>
          <w:rFonts w:hint="eastAsia"/>
          <w:color w:val="000000"/>
          <w:sz w:val="21"/>
          <w:szCs w:val="21"/>
          <w:highlight w:val="none"/>
        </w:rPr>
        <w:t xml:space="preserve">乙方：（卖方）</w:t>
      </w:r>
      <w:r>
        <w:rPr>
          <w:rFonts w:hint="eastAsia"/>
          <w:color w:val="000000"/>
          <w:sz w:val="21"/>
          <w:szCs w:val="21"/>
          <w:highlight w:val="none"/>
          <w:u w:val="single"/>
        </w:rPr>
        <w:t xml:space="preserve">                     </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甲、乙双方根据</w:t>
      </w:r>
      <w:r>
        <w:rPr>
          <w:rFonts w:hint="eastAsia"/>
          <w:color w:val="000000"/>
          <w:sz w:val="21"/>
          <w:szCs w:val="21"/>
          <w:highlight w:val="none"/>
          <w:u w:val="single"/>
        </w:rPr>
        <w:t xml:space="preserve">盐南高新区伍佑街道农村生活污水处理设施运维项目</w:t>
      </w:r>
      <w:r>
        <w:rPr>
          <w:rFonts w:hint="eastAsia"/>
          <w:color w:val="000000"/>
          <w:sz w:val="21"/>
          <w:szCs w:val="21"/>
          <w:highlight w:val="none"/>
        </w:rPr>
        <w:t xml:space="preserve">公开招标的结果，签署本合同。</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一、合同内容</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1.1 标的名称：</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1.2标的质量：</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1.3 标的数量（规模）：</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1.4 履行时间（期限）：</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1.5 履行地点：</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1.6履行方式：</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二、合同金额</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2.1本合同金额为（大写）：</w:t>
      </w:r>
      <w:r>
        <w:rPr>
          <w:rFonts w:hint="eastAsia"/>
          <w:color w:val="000000"/>
          <w:sz w:val="21"/>
          <w:szCs w:val="21"/>
          <w:highlight w:val="none"/>
          <w:u w:val="single"/>
        </w:rPr>
        <w:t xml:space="preserve">             </w:t>
      </w:r>
      <w:r>
        <w:rPr>
          <w:rFonts w:hint="eastAsia"/>
          <w:color w:val="000000"/>
          <w:sz w:val="21"/>
          <w:szCs w:val="21"/>
          <w:highlight w:val="none"/>
        </w:rPr>
        <w:t xml:space="preserve"> 圆（</w:t>
      </w:r>
      <w:r>
        <w:rPr>
          <w:rFonts w:hint="eastAsia"/>
          <w:color w:val="000000"/>
          <w:sz w:val="21"/>
          <w:szCs w:val="21"/>
          <w:highlight w:val="none"/>
          <w:u w:val="single"/>
        </w:rPr>
        <w:t xml:space="preserve">          </w:t>
      </w:r>
      <w:r>
        <w:rPr>
          <w:rFonts w:hint="eastAsia"/>
          <w:color w:val="000000"/>
          <w:sz w:val="21"/>
          <w:szCs w:val="21"/>
          <w:highlight w:val="none"/>
        </w:rPr>
        <w:t xml:space="preserve">元）人民币或其他币种。</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三、技术资料</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3.1乙方应按招标文件规定的时间向甲方提供服务（包含与服务相关的货物）的有关技术资料。</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四、知识产权</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五、产权担保</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5.1乙方保证所交付的服务（包含与服务相关的货物）的所有权完全属于乙方且无任何抵押、查封等产权瑕疵。</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六、履约保证金</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6.1乙方交纳人民币_________元作为本合同的履约保证金。</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（备注：不得超过合同金额的10%，采购人应当对AA评级及以上政府采购供应商（需提供信用管理部门备案的第三方信用报告）免收履约保证金或降低履约保证金缴纳比例。）</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6.2确需收取履约保证金的，履约保证金的缴纳形式：</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6.2.2 如以履约保函（保险）形式缴纳履约保证金，供应商可通过政府采购电子履约保函（保险）平台（www.jsdzbh.com）在线申请履约保函（保险）。</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6.3合同履行结束后，甲方应及时退还交纳的履约保证金。</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6.4履约保证金的退还：</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6.4.1方式：退还至投标人缴纳履约保证金的账户。如为保函，在到期时自行失效。</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6.4.2时间：验收合格且采购人收到发票后30日内。</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6.4.3条件：按合同要求全部履约完成并经采购人验收合格，且采购人收到中标人出具的发票。</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6.4.4不予退还情形：</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除不可抗力情况外，投标人出现下列情形之一的，其履约保证金，招标人将视情节决定不予退还或部分不予退还。</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（1）中标人无正当理由拒绝签订合同的，或者在签订合同时向采购人提出附加条件或者更改合同实质性内容要求的；</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（2）中标人不履行与采购人订立的合同的；</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（3）中标人所供货物或服务不符合招标文件规定要求的；</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（4）中标人采取欺骗、弄虚作假方式投标的或与其它投标人串通投标的；</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（5）中标人将合同内容转包、违法分包的；</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（6）中标人故意捏造事实或伪造证明材料，进行虚假恶意投诉或反映的。</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七、合同转包或分包</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7.1乙方不得将合同标的转包给他人履行。</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7.2乙方不得将合同标的分包给他人履行。</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7.3乙方如有转包或未经甲方同意的分包行为，甲方有权解除合同。</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八、合同款项支付</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8.1合同款项的支付方式及进度安排</w:t>
      </w:r>
      <w:r/>
    </w:p>
    <w:p>
      <w:pPr>
        <w:pStyle w:val="744"/>
        <w:ind w:firstLine="480"/>
        <w:jc w:val="both"/>
        <w:spacing w:before="0" w:beforeAutospacing="0" w:after="0" w:afterAutospacing="0" w:line="440" w:lineRule="exact"/>
        <w:rPr>
          <w:rFonts w:hint="eastAsia"/>
          <w:color w:val="000000"/>
          <w:sz w:val="21"/>
          <w:szCs w:val="21"/>
          <w:highlight w:val="none"/>
        </w:rPr>
      </w:pPr>
      <w:r/>
      <w:bookmarkStart w:id="117" w:name="OLE_LINK30"/>
      <w:r/>
      <w:bookmarkStart w:id="118" w:name="OLE_LINK23"/>
      <w:r>
        <w:rPr>
          <w:rFonts w:hint="eastAsia"/>
          <w:color w:val="000000"/>
          <w:sz w:val="21"/>
          <w:szCs w:val="21"/>
          <w:highlight w:val="none"/>
        </w:rPr>
        <w:t xml:space="preserve">8.1.1 预付款支付时间：合同签订后，采购人收到预付款发票后30日内；预付款支付比例：合同金额的30%。</w:t>
      </w:r>
      <w:r/>
    </w:p>
    <w:p>
      <w:pPr>
        <w:pStyle w:val="744"/>
        <w:ind w:firstLine="480"/>
        <w:jc w:val="both"/>
        <w:spacing w:before="0" w:beforeAutospacing="0" w:after="0" w:afterAutospacing="0" w:line="440" w:lineRule="exact"/>
        <w:rPr>
          <w:rFonts w:hint="eastAsia"/>
          <w:sz w:val="21"/>
          <w:szCs w:val="21"/>
          <w:highlight w:val="none"/>
        </w:rPr>
      </w:pPr>
      <w:r>
        <w:rPr>
          <w:rFonts w:hint="eastAsia"/>
          <w:color w:val="000000"/>
          <w:sz w:val="21"/>
          <w:szCs w:val="21"/>
          <w:highlight w:val="none"/>
        </w:rPr>
        <w:t xml:space="preserve">8.1.2支付方式</w:t>
      </w:r>
      <w:bookmarkStart w:id="119" w:name="OLE_LINK32"/>
      <w:r>
        <w:rPr>
          <w:rFonts w:hint="eastAsia"/>
          <w:color w:val="000000"/>
          <w:sz w:val="21"/>
          <w:szCs w:val="21"/>
          <w:highlight w:val="none"/>
        </w:rPr>
        <w:t xml:space="preserve">：试用期（3个月）期满，经考核合格后，付试用期期间的运维服务费用。如果未能按合同履约的，试用期结束后，终止合同，</w:t>
      </w:r>
      <w:r>
        <w:rPr>
          <w:rFonts w:hint="eastAsia"/>
          <w:sz w:val="21"/>
          <w:szCs w:val="21"/>
          <w:highlight w:val="none"/>
        </w:rPr>
        <w:t xml:space="preserve">履约保证金不予退还，</w:t>
      </w:r>
      <w:r>
        <w:rPr>
          <w:rFonts w:hint="eastAsia"/>
          <w:color w:val="000000"/>
          <w:sz w:val="21"/>
          <w:szCs w:val="21"/>
          <w:highlight w:val="none"/>
        </w:rPr>
        <w:t xml:space="preserve">不支付试用期间的服务费</w:t>
      </w:r>
      <w:r>
        <w:rPr>
          <w:rFonts w:hint="eastAsia"/>
          <w:sz w:val="21"/>
          <w:szCs w:val="21"/>
          <w:highlight w:val="none"/>
        </w:rPr>
        <w:t xml:space="preserve">用，同时乙方应返还预付款，并承担因此造成甲方的所有损失。试用期满后，服务费按月支付，下一个月支付上一个月的服务费，服务费结算方式：每月付款额按年中标价/12为基数，并扣除甲方对乙方的处罚、违约金等扣款。付款时先扣回预付款。甲方付款前，乙方应提供完税发票，供甲方办理付费手续，乙方提供发票后30日内，甲方支付费用。</w:t>
      </w:r>
      <w:bookmarkEnd w:id="119"/>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8.1.3本项目污水处理设施运行所消耗的电力费用先由乙方按时交纳垫付，甲方每季度与乙方结算，下季度第一个月结算上一季度的电费。</w:t>
      </w:r>
      <w:bookmarkEnd w:id="117"/>
      <w:r/>
      <w:bookmarkEnd w:id="118"/>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8.1.4本项目中的大修事项，是指不在质保范围的，一次维修费用大于等于 5000 元(人民币)的，属于本项目大修，其费用由甲方承担，一次维修费用小于 5000元(人民币)的，其费用由乙方承担。由于设计、施工原因导致项目缺陷的，维修费用由甲方承担，并纳入大修范围。涉及大修以及其他修理事项需要而停运的，由乙方提前2日报甲方备案。</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8.1.5大修或设计、施工原因导致项目缺陷的维修费用确认程序：由乙方将大修事项报甲方审核后实施，大修完成后，由甲方委托相关单位审核，按照审核结果支付款项。</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备注1：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备注2：根据《关于进一步提高政府采购透明度和采购效率相关事项的通知》财办库〔2023〕243号），对于满足合同约定支付条件的，采购人原则上应当自收到发票后1个月内将资金支付到合同约定的供应商账户。）</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九、税费</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9.1本合同执行中相关的一切税费均由乙方负担。</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十、项目验收</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10.1甲方依法组织履约验收工作。</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10.3对于实际使用人和甲方分离的项目，甲方邀请实际使用人参与验收。</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10.4如有必要，甲方邀请参加本项目的其他供应商或第三方专业机构及专家参与验收，相关意见将作为验收书的参考资料。</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十一、违约责任</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11.1甲方无正当理由拒绝接受乙方提供服务的，甲方向乙方偿付拒绝接受服务合同价款总值</w:t>
      </w:r>
      <w:r>
        <w:rPr>
          <w:rFonts w:hint="eastAsia"/>
          <w:color w:val="000000"/>
          <w:sz w:val="21"/>
          <w:szCs w:val="21"/>
          <w:highlight w:val="none"/>
          <w:u w:val="single"/>
        </w:rPr>
        <w:t xml:space="preserve">5%</w:t>
      </w:r>
      <w:r>
        <w:rPr>
          <w:rFonts w:hint="eastAsia"/>
          <w:color w:val="000000"/>
          <w:sz w:val="21"/>
          <w:szCs w:val="21"/>
          <w:highlight w:val="none"/>
        </w:rPr>
        <w:t xml:space="preserve">的违约金。</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11.2甲方无故逾期验收和办理合同款项支付手续的,甲方应按逾期付款总额</w:t>
      </w:r>
      <w:bookmarkStart w:id="120" w:name="OLE_LINK44"/>
      <w:r/>
      <w:bookmarkStart w:id="121" w:name="OLE_LINK43"/>
      <w:r>
        <w:rPr>
          <w:rFonts w:hint="eastAsia"/>
          <w:sz w:val="21"/>
          <w:szCs w:val="21"/>
          <w:highlight w:val="none"/>
          <w:u w:val="single"/>
        </w:rPr>
        <w:t xml:space="preserve">万分之</w:t>
      </w:r>
      <w:bookmarkEnd w:id="120"/>
      <w:r/>
      <w:bookmarkEnd w:id="121"/>
      <w:r>
        <w:rPr>
          <w:rFonts w:hint="eastAsia"/>
          <w:sz w:val="21"/>
          <w:szCs w:val="21"/>
          <w:highlight w:val="none"/>
          <w:u w:val="single"/>
        </w:rPr>
        <w:t xml:space="preserve">一</w:t>
      </w:r>
      <w:r>
        <w:rPr>
          <w:rFonts w:hint="eastAsia"/>
          <w:color w:val="000000"/>
          <w:sz w:val="21"/>
          <w:szCs w:val="21"/>
          <w:highlight w:val="none"/>
        </w:rPr>
        <w:t xml:space="preserve">每日向乙方支付违约金。</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11.3乙方逾期提供服务的，乙方应按逾期提供服务合同总额每日</w:t>
      </w:r>
      <w:r>
        <w:rPr>
          <w:rFonts w:hint="eastAsia"/>
          <w:color w:val="000000"/>
          <w:sz w:val="21"/>
          <w:szCs w:val="21"/>
          <w:highlight w:val="none"/>
          <w:u w:val="single"/>
        </w:rPr>
        <w:t xml:space="preserve">千分之六</w:t>
      </w:r>
      <w:r>
        <w:rPr>
          <w:rFonts w:hint="eastAsia"/>
          <w:color w:val="000000"/>
          <w:sz w:val="21"/>
          <w:szCs w:val="21"/>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sz w:val="21"/>
          <w:szCs w:val="21"/>
          <w:highlight w:val="none"/>
          <w:u w:val="single"/>
        </w:rPr>
        <w:t xml:space="preserve">5%</w:t>
      </w:r>
      <w:r>
        <w:rPr>
          <w:rFonts w:hint="eastAsia"/>
          <w:color w:val="000000"/>
          <w:sz w:val="21"/>
          <w:szCs w:val="21"/>
          <w:highlight w:val="none"/>
        </w:rPr>
        <w:t xml:space="preserve">的违约金，如造成甲方损失超过违约金的，超出部分由乙方继续承担赔偿责任。 </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11.4乙方所提供服务的标准不符合合同规定及招标文件规定标准的，甲方有权拒绝接受服务，并可单方面解除合同。</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十二、不可抗力事件处理</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12.1在合同有效期内，任何一方因不可抗力事件导致不能履行合同，则合同履行期可延长，其延长期与不可抗力影响 期相同。</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12.2不可抗力事件发生后，应立即通知对方，并寄送有关权威机构出具的证明。</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12.3不可抗力事件延续120天以上，双方应通过友好协商，确定是否继续履行合同。</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十三、解决争议的方法</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13.1双方在签订、履行合同中所发生的一切争议，应通过友好协商解决。如协商不成，由甲方住所地人民法院管辖。</w:t>
      </w:r>
      <w:r/>
    </w:p>
    <w:p>
      <w:pPr>
        <w:pStyle w:val="744"/>
        <w:ind w:firstLine="480"/>
        <w:jc w:val="both"/>
        <w:spacing w:before="0" w:beforeAutospacing="0" w:after="0" w:afterAutospacing="0" w:line="440" w:lineRule="exact"/>
        <w:rPr>
          <w:rFonts w:hint="eastAsia"/>
          <w:b/>
          <w:bCs/>
          <w:color w:val="000000"/>
          <w:sz w:val="21"/>
          <w:szCs w:val="21"/>
          <w:highlight w:val="none"/>
        </w:rPr>
      </w:pPr>
      <w:r>
        <w:rPr>
          <w:rFonts w:hint="eastAsia"/>
          <w:b/>
          <w:bCs/>
          <w:color w:val="000000"/>
          <w:sz w:val="21"/>
          <w:szCs w:val="21"/>
          <w:highlight w:val="none"/>
        </w:rPr>
        <w:t xml:space="preserve">十四、合同生效及其他</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14.1合同经双方法定代表人或授权委托代表人签字并加盖单位公章后生效。</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14.2本合同未尽事宜，遵照《</w:t>
      </w:r>
      <w:bookmarkStart w:id="122" w:name="OLE_LINK12"/>
      <w:r>
        <w:rPr>
          <w:rFonts w:hint="eastAsia"/>
          <w:color w:val="000000"/>
          <w:sz w:val="21"/>
          <w:szCs w:val="21"/>
          <w:highlight w:val="none"/>
        </w:rPr>
        <w:t xml:space="preserve">中华人民共和国</w:t>
      </w:r>
      <w:bookmarkEnd w:id="122"/>
      <w:r>
        <w:rPr>
          <w:rFonts w:hint="eastAsia"/>
          <w:color w:val="000000"/>
          <w:sz w:val="21"/>
          <w:szCs w:val="21"/>
          <w:highlight w:val="none"/>
        </w:rPr>
        <w:t xml:space="preserve">民法典》、《中华人民共和国政府采购法》有关条文执行。</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14.3 本合同正本一式两份，具有同等法律效力，甲方、乙方各执一份。</w:t>
      </w:r>
      <w:r/>
    </w:p>
    <w:p>
      <w:pPr>
        <w:pStyle w:val="744"/>
        <w:ind w:firstLine="42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r>
      <w:r/>
    </w:p>
    <w:p>
      <w:pPr>
        <w:pStyle w:val="744"/>
        <w:ind w:firstLine="42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甲方：                 乙方： </w:t>
      </w:r>
      <w:r/>
    </w:p>
    <w:p>
      <w:pPr>
        <w:pStyle w:val="744"/>
        <w:ind w:firstLine="42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地址：                 地址： </w:t>
      </w:r>
      <w:r/>
    </w:p>
    <w:p>
      <w:pPr>
        <w:pStyle w:val="744"/>
        <w:ind w:firstLine="42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法定代表人或授权代表：          法定代表人或授权代表：</w:t>
      </w:r>
      <w:r/>
    </w:p>
    <w:p>
      <w:pPr>
        <w:pStyle w:val="744"/>
        <w:ind w:firstLine="42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联系电话：               联系电话：</w:t>
      </w:r>
      <w:r/>
    </w:p>
    <w:p>
      <w:pPr>
        <w:pStyle w:val="744"/>
        <w:ind w:firstLine="42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签订日期：  年   月   日</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r>
      <w:r/>
    </w:p>
    <w:p>
      <w:pPr>
        <w:rPr>
          <w:highlight w:val="none"/>
        </w:rPr>
      </w:pPr>
      <w:r>
        <w:rPr>
          <w:highlight w:val="none"/>
        </w:rPr>
      </w:r>
      <w:r/>
    </w:p>
    <w:p>
      <w:pPr>
        <w:rPr>
          <w:highlight w:val="none"/>
        </w:rPr>
      </w:pPr>
      <w:r/>
      <w:bookmarkStart w:id="123" w:name="_Hlk213336307"/>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szCs w:val="28"/>
          <w:highlight w:val="none"/>
        </w:rPr>
      </w:pPr>
      <w:r>
        <w:rPr>
          <w:szCs w:val="28"/>
          <w:highlight w:val="none"/>
        </w:rPr>
      </w:r>
      <w:r/>
    </w:p>
    <w:p>
      <w:pPr>
        <w:jc w:val="center"/>
        <w:rPr>
          <w:szCs w:val="28"/>
          <w:highlight w:val="none"/>
        </w:rPr>
      </w:pPr>
      <w:r>
        <w:rPr>
          <w:szCs w:val="28"/>
          <w:highlight w:val="none"/>
        </w:rPr>
      </w:r>
      <w:r/>
    </w:p>
    <w:p>
      <w:pPr>
        <w:jc w:val="center"/>
        <w:rPr>
          <w:szCs w:val="28"/>
          <w:highlight w:val="none"/>
        </w:rPr>
      </w:pPr>
      <w:r>
        <w:rPr>
          <w:szCs w:val="28"/>
          <w:highlight w:val="none"/>
        </w:rPr>
      </w:r>
      <w:r/>
    </w:p>
    <w:p>
      <w:pPr>
        <w:jc w:val="center"/>
        <w:rPr>
          <w:szCs w:val="28"/>
          <w:highlight w:val="none"/>
        </w:rPr>
      </w:pPr>
      <w:r>
        <w:rPr>
          <w:szCs w:val="28"/>
          <w:highlight w:val="none"/>
        </w:rPr>
      </w:r>
      <w:r/>
    </w:p>
    <w:p>
      <w:pPr>
        <w:jc w:val="center"/>
        <w:rPr>
          <w:szCs w:val="28"/>
          <w:highlight w:val="none"/>
        </w:rPr>
      </w:pPr>
      <w:r>
        <w:rPr>
          <w:szCs w:val="28"/>
          <w:highlight w:val="none"/>
        </w:rPr>
      </w:r>
      <w:r/>
    </w:p>
    <w:p>
      <w:pPr>
        <w:jc w:val="left"/>
        <w:rPr>
          <w:szCs w:val="28"/>
          <w:highlight w:val="none"/>
        </w:rPr>
      </w:pPr>
      <w:r>
        <w:rPr>
          <w:szCs w:val="28"/>
          <w:highlight w:val="none"/>
        </w:rPr>
      </w:r>
      <w:r/>
    </w:p>
    <w:p>
      <w:pPr>
        <w:jc w:val="center"/>
        <w:rPr>
          <w:szCs w:val="28"/>
          <w:highlight w:val="none"/>
        </w:rPr>
      </w:pPr>
      <w:r/>
      <w:bookmarkStart w:id="124" w:name="OLE_LINK35"/>
      <w:r/>
      <w:bookmarkStart w:id="125" w:name="OLE_LINK36"/>
      <w:r>
        <w:rPr>
          <w:rFonts w:hint="eastAsia"/>
          <w:szCs w:val="28"/>
          <w:highlight w:val="none"/>
        </w:rPr>
        <w:t xml:space="preserve">盐南高新区农村生活污水处理设备运维服务考核表</w:t>
      </w:r>
      <w:bookmarkEnd w:id="124"/>
      <w:r/>
      <w:bookmarkEnd w:id="125"/>
      <w:r/>
      <w:r/>
    </w:p>
    <w:p>
      <w:pPr>
        <w:jc w:val="left"/>
        <w:spacing w:before="120" w:after="120"/>
        <w:rPr>
          <w:sz w:val="21"/>
          <w:szCs w:val="21"/>
          <w:highlight w:val="none"/>
        </w:rPr>
      </w:pPr>
      <w:r>
        <w:rPr>
          <w:rFonts w:hint="eastAsia"/>
          <w:sz w:val="21"/>
          <w:szCs w:val="21"/>
          <w:highlight w:val="none"/>
        </w:rPr>
        <w:t xml:space="preserve">考核时间：</w:t>
      </w:r>
      <w:r>
        <w:rPr>
          <w:rFonts w:hint="eastAsia"/>
          <w:sz w:val="21"/>
          <w:szCs w:val="21"/>
          <w:highlight w:val="none"/>
          <w:u w:val="single"/>
        </w:rPr>
        <w:t xml:space="preserve">  </w:t>
      </w:r>
      <w:r>
        <w:rPr>
          <w:sz w:val="21"/>
          <w:szCs w:val="21"/>
          <w:highlight w:val="none"/>
          <w:u w:val="single"/>
        </w:rPr>
        <w:t xml:space="preserve">   </w:t>
      </w:r>
      <w:r>
        <w:rPr>
          <w:rFonts w:hint="eastAsia"/>
          <w:sz w:val="21"/>
          <w:szCs w:val="21"/>
          <w:highlight w:val="none"/>
        </w:rPr>
        <w:t xml:space="preserve">年</w:t>
      </w:r>
      <w:r>
        <w:rPr>
          <w:rFonts w:hint="eastAsia"/>
          <w:sz w:val="21"/>
          <w:szCs w:val="21"/>
          <w:highlight w:val="none"/>
          <w:u w:val="single"/>
        </w:rPr>
        <w:t xml:space="preserve"> </w:t>
      </w:r>
      <w:r>
        <w:rPr>
          <w:sz w:val="21"/>
          <w:szCs w:val="21"/>
          <w:highlight w:val="none"/>
          <w:u w:val="single"/>
        </w:rPr>
        <w:t xml:space="preserve">  </w:t>
      </w:r>
      <w:r>
        <w:rPr>
          <w:rFonts w:hint="eastAsia"/>
          <w:sz w:val="21"/>
          <w:szCs w:val="21"/>
          <w:highlight w:val="none"/>
        </w:rPr>
        <w:t xml:space="preserve">月</w:t>
      </w:r>
      <w:r>
        <w:rPr>
          <w:rFonts w:hint="eastAsia"/>
          <w:sz w:val="21"/>
          <w:szCs w:val="21"/>
          <w:highlight w:val="none"/>
          <w:u w:val="single"/>
        </w:rPr>
        <w:t xml:space="preserve"> </w:t>
      </w:r>
      <w:r>
        <w:rPr>
          <w:sz w:val="21"/>
          <w:szCs w:val="21"/>
          <w:highlight w:val="none"/>
          <w:u w:val="single"/>
        </w:rPr>
        <w:t xml:space="preserve">  </w:t>
      </w:r>
      <w:r>
        <w:rPr>
          <w:rFonts w:hint="eastAsia"/>
          <w:sz w:val="21"/>
          <w:szCs w:val="21"/>
          <w:highlight w:val="none"/>
        </w:rPr>
        <w:t xml:space="preserve">日 </w:t>
      </w:r>
      <w:r>
        <w:rPr>
          <w:sz w:val="21"/>
          <w:szCs w:val="21"/>
          <w:highlight w:val="none"/>
        </w:rPr>
        <w:t xml:space="preserve">       </w:t>
      </w:r>
      <w:r>
        <w:rPr>
          <w:rFonts w:hint="eastAsia"/>
          <w:sz w:val="21"/>
          <w:szCs w:val="21"/>
          <w:highlight w:val="none"/>
        </w:rPr>
        <w:t xml:space="preserve">考核对象：</w:t>
      </w:r>
      <w:r>
        <w:rPr>
          <w:rFonts w:hint="eastAsia"/>
          <w:highlight w:val="none"/>
          <w:u w:val="single"/>
        </w:rPr>
        <w:t xml:space="preserve">                      </w:t>
      </w:r>
      <w:r>
        <w:rPr>
          <w:rFonts w:hint="eastAsia"/>
          <w:sz w:val="21"/>
          <w:szCs w:val="21"/>
          <w:highlight w:val="none"/>
        </w:rPr>
        <w:t xml:space="preserve">评分：</w:t>
      </w:r>
      <w:r/>
    </w:p>
    <w:tbl>
      <w:tblPr>
        <w:tblStyle w:val="748"/>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12"/>
        <w:gridCol w:w="581"/>
        <w:gridCol w:w="4102"/>
        <w:gridCol w:w="1134"/>
        <w:gridCol w:w="567"/>
        <w:gridCol w:w="709"/>
        <w:gridCol w:w="567"/>
      </w:tblGrid>
      <w:tr>
        <w:trPr>
          <w:jc w:val="center"/>
        </w:trPr>
        <w:tc>
          <w:tcPr>
            <w:gridSpan w:val="2"/>
            <w:tcW w:w="2116" w:type="dxa"/>
            <w:vAlign w:val="center"/>
            <w:vMerge w:val="restart"/>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考核项目</w:t>
            </w:r>
            <w:r/>
          </w:p>
        </w:tc>
        <w:tc>
          <w:tcPr>
            <w:tcW w:w="581"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分值</w:t>
            </w:r>
            <w:r/>
          </w:p>
        </w:tc>
        <w:tc>
          <w:tcPr>
            <w:tcW w:w="4102" w:type="dxa"/>
            <w:vAlign w:val="center"/>
            <w:vMerge w:val="restart"/>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评分标准</w:t>
            </w:r>
            <w:r/>
          </w:p>
        </w:tc>
        <w:tc>
          <w:tcPr>
            <w:tcW w:w="1134" w:type="dxa"/>
            <w:vAlign w:val="center"/>
            <w:vMerge w:val="restart"/>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考核办法</w:t>
            </w:r>
            <w:r/>
          </w:p>
        </w:tc>
        <w:tc>
          <w:tcPr>
            <w:tcW w:w="567" w:type="dxa"/>
            <w:vAlign w:val="center"/>
            <w:vMerge w:val="restart"/>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扣分</w:t>
            </w:r>
            <w:r/>
          </w:p>
        </w:tc>
        <w:tc>
          <w:tcPr>
            <w:tcW w:w="709" w:type="dxa"/>
            <w:vAlign w:val="center"/>
            <w:vMerge w:val="restart"/>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实得分</w:t>
            </w:r>
            <w:r/>
          </w:p>
        </w:tc>
        <w:tc>
          <w:tcPr>
            <w:tcW w:w="567" w:type="dxa"/>
            <w:vAlign w:val="center"/>
            <w:vMerge w:val="restart"/>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备注</w:t>
            </w:r>
            <w:r/>
          </w:p>
        </w:tc>
      </w:tr>
      <w:tr>
        <w:trPr>
          <w:jc w:val="center"/>
        </w:trPr>
        <w:tc>
          <w:tcPr>
            <w:gridSpan w:val="2"/>
            <w:tcW w:w="2116" w:type="dxa"/>
            <w:vAlign w:val="center"/>
            <w:vMerge w:val="continue"/>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r>
            <w:r/>
          </w:p>
        </w:tc>
        <w:tc>
          <w:tcPr>
            <w:tcW w:w="581"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100</w:t>
            </w:r>
            <w:r/>
          </w:p>
        </w:tc>
        <w:tc>
          <w:tcPr>
            <w:tcW w:w="4102" w:type="dxa"/>
            <w:vAlign w:val="center"/>
            <w:vMerge w:val="continue"/>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r>
            <w:r/>
          </w:p>
        </w:tc>
        <w:tc>
          <w:tcPr>
            <w:tcW w:w="1134" w:type="dxa"/>
            <w:vAlign w:val="center"/>
            <w:vMerge w:val="continue"/>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vMerge w:val="continue"/>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vMerge w:val="continue"/>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vMerge w:val="continue"/>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一、水质和水量管理</w:t>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水质管理</w:t>
            </w:r>
            <w:r/>
          </w:p>
        </w:tc>
        <w:tc>
          <w:tcPr>
            <w:tcW w:w="581"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20</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按照省、市文件要求，尾水排放按各一体化设备处理能力及规模执行一级A（城镇污水处理厂污染物排放标准(GB18918-2002)，农村生活污水处理设施水污染物排放标准(DB32/3462-2020)，未能达标的，发现一次扣20分；处理后尾水，由乙方按规范处置，处理效率低于设计要求，未能提供证明的扣4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vMerge w:val="restart"/>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二、设备运营管理维护</w:t>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设备管理体系</w:t>
            </w:r>
            <w:r/>
          </w:p>
        </w:tc>
        <w:tc>
          <w:tcPr>
            <w:tcW w:w="581" w:type="dxa"/>
            <w:vAlign w:val="center"/>
            <w:textDirection w:val="lrTb"/>
            <w:noWrap w:val="false"/>
          </w:tcPr>
          <w:p>
            <w:pPr>
              <w:jc w:val="center"/>
              <w:rPr>
                <w:rFonts w:hint="eastAsia" w:ascii="宋体" w:hAnsi="宋体"/>
                <w:sz w:val="18"/>
                <w:szCs w:val="18"/>
                <w:highlight w:val="none"/>
              </w:rPr>
            </w:pPr>
            <w:r>
              <w:rPr>
                <w:rFonts w:ascii="宋体" w:hAnsi="宋体"/>
                <w:sz w:val="18"/>
                <w:szCs w:val="18"/>
                <w:highlight w:val="none"/>
              </w:rPr>
              <w:t xml:space="preserve">10</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按照规定，建立设备巡查和维护管理体系，台账资料不全，缺一项的扣1分。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污泥、栅渣、药剂及沉砂等固体废物处置</w:t>
            </w:r>
            <w:r/>
          </w:p>
        </w:tc>
        <w:tc>
          <w:tcPr>
            <w:tcW w:w="581" w:type="dxa"/>
            <w:vAlign w:val="center"/>
            <w:textDirection w:val="lrTb"/>
            <w:noWrap w:val="false"/>
          </w:tcPr>
          <w:p>
            <w:pPr>
              <w:jc w:val="center"/>
              <w:rPr>
                <w:rFonts w:hint="eastAsia" w:ascii="宋体" w:hAnsi="宋体"/>
                <w:sz w:val="18"/>
                <w:szCs w:val="18"/>
                <w:highlight w:val="none"/>
              </w:rPr>
            </w:pPr>
            <w:r>
              <w:rPr>
                <w:rFonts w:ascii="宋体" w:hAnsi="宋体"/>
                <w:sz w:val="18"/>
                <w:szCs w:val="18"/>
                <w:highlight w:val="none"/>
              </w:rPr>
              <w:t xml:space="preserve">15</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污泥、栅渣、药剂及沉砂等固体废物处置，并确保按规定处置；未处置、处置不全或未按规范处置的，一次扣</w:t>
            </w:r>
            <w:r>
              <w:rPr>
                <w:rFonts w:ascii="宋体" w:hAnsi="宋体"/>
                <w:sz w:val="18"/>
                <w:szCs w:val="18"/>
                <w:highlight w:val="none"/>
              </w:rPr>
              <w:t xml:space="preserve">5</w:t>
            </w:r>
            <w:r>
              <w:rPr>
                <w:rFonts w:hint="eastAsia" w:ascii="宋体" w:hAnsi="宋体"/>
                <w:sz w:val="18"/>
                <w:szCs w:val="18"/>
                <w:highlight w:val="none"/>
              </w:rPr>
              <w:t xml:space="preserve">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电气设备及仪表仪器和加药系统</w:t>
            </w:r>
            <w:r/>
          </w:p>
        </w:tc>
        <w:tc>
          <w:tcPr>
            <w:tcW w:w="581" w:type="dxa"/>
            <w:vAlign w:val="center"/>
            <w:textDirection w:val="lrTb"/>
            <w:noWrap w:val="false"/>
          </w:tcPr>
          <w:p>
            <w:pPr>
              <w:jc w:val="center"/>
              <w:rPr>
                <w:rFonts w:hint="eastAsia" w:ascii="宋体" w:hAnsi="宋体"/>
                <w:sz w:val="18"/>
                <w:szCs w:val="18"/>
                <w:highlight w:val="none"/>
              </w:rPr>
            </w:pPr>
            <w:r>
              <w:rPr>
                <w:rFonts w:ascii="宋体" w:hAnsi="宋体"/>
                <w:sz w:val="18"/>
                <w:szCs w:val="18"/>
                <w:highlight w:val="none"/>
              </w:rPr>
              <w:t xml:space="preserve">10</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电气设备正常运行管理和维护，仪器仪表和加药系统正常运行管理和维护(在报修状态的除外)，不能正常运转或没有及时维护，有一项扣2分。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管网系统</w:t>
            </w:r>
            <w:r/>
          </w:p>
        </w:tc>
        <w:tc>
          <w:tcPr>
            <w:tcW w:w="581" w:type="dxa"/>
            <w:vAlign w:val="center"/>
            <w:textDirection w:val="lrTb"/>
            <w:noWrap w:val="false"/>
          </w:tcPr>
          <w:p>
            <w:pPr>
              <w:jc w:val="center"/>
              <w:rPr>
                <w:rFonts w:hint="eastAsia" w:ascii="宋体" w:hAnsi="宋体"/>
                <w:sz w:val="18"/>
                <w:szCs w:val="18"/>
                <w:highlight w:val="none"/>
              </w:rPr>
            </w:pPr>
            <w:r>
              <w:rPr>
                <w:rFonts w:ascii="宋体" w:hAnsi="宋体"/>
                <w:sz w:val="18"/>
                <w:szCs w:val="18"/>
                <w:highlight w:val="none"/>
              </w:rPr>
              <w:t xml:space="preserve">15</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主、支管网、检查井、蓄水池等相关构筑物是否正常，农户接入端是否正常，发现一处破损、漏水、堵塞、满溢等，有一项扣1分；配套的围栏，发现一处破损的，扣1分。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现场检查</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vMerge w:val="restart"/>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三、资料台账</w:t>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建立档案及运行台账</w:t>
            </w:r>
            <w:r/>
          </w:p>
        </w:tc>
        <w:tc>
          <w:tcPr>
            <w:tcW w:w="581"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5</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按照方案规定建立完善的运行台帐及设备档案等，每月记录及时、完整、准确、清晰、规范，发现一次扣1分。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查阅资料</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应急预案</w:t>
            </w:r>
            <w:r/>
          </w:p>
        </w:tc>
        <w:tc>
          <w:tcPr>
            <w:tcW w:w="581"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5</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环境安全应急处理处置体系健全。没有应急预案的，扣5分；应急预案不符合规范要求的，扣3分。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vMerge w:val="restart"/>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四、内部管理及考勤</w:t>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管理制度标志牌</w:t>
            </w:r>
            <w:r/>
          </w:p>
        </w:tc>
        <w:tc>
          <w:tcPr>
            <w:tcW w:w="581"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5</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管理制度完善，操作规程上墙:标志牌按规定悬挂:工作人员挂工作牌;有一项不到位，扣1分。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项目部人员配备协同配合及考勤</w:t>
            </w:r>
            <w:r/>
          </w:p>
        </w:tc>
        <w:tc>
          <w:tcPr>
            <w:tcW w:w="581"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5</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配置项目经理、电工、质量负责人(招标文件要求)，定期组织操作人员进行相关的业务培训；配合做好上级部门等监督检查工作。如有人员配置缺失、虚假等，未组织或组织少于2次培训，未配合或在上级检查中弄虑作假、表面应付的，有一次扣1分；污水处理设备运维期间，项目部必须每天有人在岗。如被检查到无人在岗或群众来电不及时处理的，有一次扣1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tcW w:w="70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五、社会综合评价</w:t>
            </w:r>
            <w:r/>
          </w:p>
        </w:tc>
        <w:tc>
          <w:tcPr>
            <w:tcW w:w="141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项目负责人及项目技术负责人</w:t>
            </w:r>
            <w:r/>
          </w:p>
        </w:tc>
        <w:tc>
          <w:tcPr>
            <w:tcW w:w="581"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7</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运维期间，无重大安全事故，无有效信访和舆情、无被上级领导或媒体通报，及时接受群众和甲方的应急响应。否则有一次(项)，扣7分。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Pr>
        <w:tc>
          <w:tcPr>
            <w:gridSpan w:val="2"/>
            <w:tcW w:w="2116"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六、完成甲方安排的其他工作任务</w:t>
            </w:r>
            <w:r/>
          </w:p>
        </w:tc>
        <w:tc>
          <w:tcPr>
            <w:tcW w:w="581"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3</w:t>
            </w:r>
            <w:r/>
          </w:p>
        </w:tc>
        <w:tc>
          <w:tcPr>
            <w:tcW w:w="4102"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甲方临时交办的，在合同范围内的工作任务要及时保质完成，有一次未完成或者达不到甲方交办要求的扣2分。</w:t>
            </w:r>
            <w:r/>
          </w:p>
        </w:tc>
        <w:tc>
          <w:tcPr>
            <w:tcW w:w="1134"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c>
          <w:tcPr>
            <w:tcW w:w="567"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r>
            <w:r/>
          </w:p>
        </w:tc>
      </w:tr>
      <w:tr>
        <w:trPr>
          <w:jc w:val="center"/>
          <w:trHeight w:val="2047"/>
        </w:trPr>
        <w:tc>
          <w:tcPr>
            <w:gridSpan w:val="8"/>
            <w:tcW w:w="9776" w:type="dxa"/>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注：1、乙方运维期间，被国家级发现问题并通报，甲乙双方直接解除合同。2、乙方运维期间，被省级发现问题并通报1次，甲方扣除乙方当季30%运维费用；发现2次，甲方扣除乙方当季60%运维费用；发现3次及以上视同于被国家级发现问题，甲乙双方直接解除合同。3、乙方运维期间，被</w:t>
            </w:r>
            <w:r>
              <w:rPr>
                <w:rFonts w:hint="eastAsia" w:ascii="宋体" w:hAnsi="宋体"/>
                <w:sz w:val="18"/>
                <w:szCs w:val="18"/>
                <w:highlight w:val="none"/>
              </w:rPr>
              <w:t xml:space="preserve">市级发现问题并通报1次，甲方扣除乙方当月30%运维费用；发现2次，甲方扣除乙方当月60%运维费用；发现3次，甲方扣除乙方当季运维费用。4、考核得分90分及以上为优秀，80分为合格，80分以下为不合格。表中“按照规定”是指:按照《江苏省盐南高新区农村生活污水处理设施运行维护管理办法(试行)》、合同和招投标文件规定。5、考核组必须由甲方安排2人及以上，被考核方对考核得分存疑，可向区生态环境分局提出复审，区生态环境分局联合伍佑街道对申请事项进行复审，考核得分以复审结果为最终得分。6、考核得分为运维服务的评价依据。</w:t>
            </w:r>
            <w:bookmarkEnd w:id="123"/>
            <w:r/>
            <w:r/>
          </w:p>
        </w:tc>
      </w:tr>
    </w:tbl>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第四章 采购需求</w:t>
      </w:r>
      <w:r/>
    </w:p>
    <w:p>
      <w:pPr>
        <w:ind w:firstLine="422"/>
        <w:spacing w:line="480" w:lineRule="exact"/>
        <w:rPr>
          <w:rFonts w:hint="eastAsia" w:ascii="宋体" w:hAnsi="宋体" w:cs="宋体"/>
          <w:b/>
          <w:bCs/>
          <w:sz w:val="21"/>
          <w:szCs w:val="21"/>
          <w:highlight w:val="none"/>
        </w:rPr>
      </w:pPr>
      <w:r/>
      <w:bookmarkStart w:id="126" w:name="OLE_LINK15"/>
      <w:r>
        <w:rPr>
          <w:rFonts w:hint="eastAsia" w:ascii="宋体" w:hAnsi="宋体" w:cs="宋体"/>
          <w:b/>
          <w:bCs/>
          <w:sz w:val="21"/>
          <w:szCs w:val="21"/>
          <w:highlight w:val="none"/>
          <w:lang w:val="zh-CN"/>
        </w:rPr>
        <w:t xml:space="preserve">项目属性：服务类项目</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位于盐南高新区伍佑街道宏心村、珠溪社区、严家村、龙园社区，配套有污水一体化处理设施、提升泵站、蓄水池、主支管网、污泥沉井和相关检查井、化粪池等。在覆盖范围内，农户生活污水经收集、处理后达到国家、省规定的标准，由车辆或内部提升泵浇灌农田、绿化、道路等。为进一步加强对农村生活污水处理设施的长效管理，确保已建成的生活污水治理设施长期、稳定、有效运行，本项目拟通过公开招标方式择优选择供应商，实施盐南高新区伍佑街道农村生活污水处理设施运维项目。 </w:t>
      </w:r>
      <w:r/>
    </w:p>
    <w:p>
      <w:pPr>
        <w:ind w:firstLine="422"/>
        <w:spacing w:line="40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一、项目概况</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本项目位于盐南高新区伍佑街道境内，其中宏心村现有提升泵站1套（50m³</w:t>
      </w:r>
      <w:r>
        <w:rPr>
          <w:rFonts w:hint="eastAsia" w:ascii="宋体" w:hAnsi="宋体" w:cs="宋体"/>
          <w:color w:val="000000"/>
          <w:sz w:val="21"/>
          <w:szCs w:val="21"/>
          <w:highlight w:val="none"/>
          <w:lang w:bidi="ar"/>
        </w:rPr>
        <w:t xml:space="preserve">/</w:t>
      </w:r>
      <w:r>
        <w:rPr>
          <w:rFonts w:hint="eastAsia" w:ascii="宋体" w:hAnsi="宋体" w:eastAsia="宋体" w:cs="宋体"/>
          <w:sz w:val="21"/>
          <w:szCs w:val="21"/>
          <w:highlight w:val="none"/>
        </w:rPr>
        <w:t xml:space="preserve">d一套），珠溪社区现有污水一体化设施一套（50m³</w:t>
      </w:r>
      <w:r>
        <w:rPr>
          <w:rFonts w:hint="eastAsia" w:ascii="宋体" w:hAnsi="宋体" w:cs="宋体"/>
          <w:color w:val="000000"/>
          <w:sz w:val="21"/>
          <w:szCs w:val="21"/>
          <w:highlight w:val="none"/>
          <w:lang w:bidi="ar"/>
        </w:rPr>
        <w:t xml:space="preserve">/</w:t>
      </w:r>
      <w:r>
        <w:rPr>
          <w:rFonts w:hint="eastAsia" w:ascii="宋体" w:hAnsi="宋体" w:eastAsia="宋体" w:cs="宋体"/>
          <w:sz w:val="21"/>
          <w:szCs w:val="21"/>
          <w:highlight w:val="none"/>
        </w:rPr>
        <w:t xml:space="preserve">d）、蓄水池十套（40m³</w:t>
      </w:r>
      <w:r>
        <w:rPr>
          <w:rFonts w:hint="eastAsia" w:ascii="宋体" w:hAnsi="宋体" w:cs="宋体"/>
          <w:color w:val="000000"/>
          <w:sz w:val="21"/>
          <w:szCs w:val="21"/>
          <w:highlight w:val="none"/>
          <w:lang w:bidi="ar"/>
        </w:rPr>
        <w:t xml:space="preserve">/</w:t>
      </w:r>
      <w:r>
        <w:rPr>
          <w:rFonts w:hint="eastAsia" w:ascii="宋体" w:hAnsi="宋体" w:eastAsia="宋体" w:cs="宋体"/>
          <w:sz w:val="21"/>
          <w:szCs w:val="21"/>
          <w:highlight w:val="none"/>
        </w:rPr>
        <w:t xml:space="preserve">座）、提升泵站1套（50m</w:t>
      </w:r>
      <w:r>
        <w:rPr>
          <w:rFonts w:hint="eastAsia" w:ascii="宋体" w:hAnsi="宋体" w:eastAsia="宋体" w:cs="宋体"/>
          <w:sz w:val="21"/>
          <w:szCs w:val="21"/>
          <w:highlight w:val="none"/>
          <w:vertAlign w:val="superscript"/>
        </w:rPr>
        <w:t xml:space="preserve">3</w:t>
      </w:r>
      <w:r>
        <w:rPr>
          <w:rFonts w:hint="eastAsia" w:ascii="宋体" w:hAnsi="宋体" w:cs="宋体"/>
          <w:color w:val="000000"/>
          <w:sz w:val="21"/>
          <w:szCs w:val="21"/>
          <w:highlight w:val="none"/>
          <w:lang w:bidi="ar"/>
        </w:rPr>
        <w:t xml:space="preserve">/</w:t>
      </w:r>
      <w:r>
        <w:rPr>
          <w:rFonts w:hint="eastAsia" w:ascii="宋体" w:hAnsi="宋体" w:eastAsia="宋体" w:cs="宋体"/>
          <w:sz w:val="21"/>
          <w:szCs w:val="21"/>
          <w:highlight w:val="none"/>
        </w:rPr>
        <w:t xml:space="preserve">d），严家村现有提升泵站1套（50m³</w:t>
      </w:r>
      <w:r>
        <w:rPr>
          <w:rFonts w:hint="eastAsia" w:ascii="宋体" w:hAnsi="宋体" w:cs="宋体"/>
          <w:color w:val="000000"/>
          <w:sz w:val="21"/>
          <w:szCs w:val="21"/>
          <w:highlight w:val="none"/>
          <w:lang w:bidi="ar"/>
        </w:rPr>
        <w:t xml:space="preserve">/</w:t>
      </w:r>
      <w:r>
        <w:rPr>
          <w:rFonts w:hint="eastAsia" w:ascii="宋体" w:hAnsi="宋体" w:eastAsia="宋体" w:cs="宋体"/>
          <w:sz w:val="21"/>
          <w:szCs w:val="21"/>
          <w:highlight w:val="none"/>
        </w:rPr>
        <w:t xml:space="preserve">d）、蓄水池十套（40m³</w:t>
      </w:r>
      <w:r>
        <w:rPr>
          <w:rFonts w:hint="eastAsia" w:ascii="宋体" w:hAnsi="宋体" w:cs="宋体"/>
          <w:color w:val="000000"/>
          <w:sz w:val="21"/>
          <w:szCs w:val="21"/>
          <w:highlight w:val="none"/>
          <w:lang w:bidi="ar"/>
        </w:rPr>
        <w:t xml:space="preserve">/</w:t>
      </w:r>
      <w:r>
        <w:rPr>
          <w:rFonts w:hint="eastAsia" w:ascii="宋体" w:hAnsi="宋体" w:eastAsia="宋体" w:cs="宋体"/>
          <w:sz w:val="21"/>
          <w:szCs w:val="21"/>
          <w:highlight w:val="none"/>
        </w:rPr>
        <w:t xml:space="preserve">座），龙园社现有区蓄水池1套（50m³</w:t>
      </w:r>
      <w:r>
        <w:rPr>
          <w:rFonts w:hint="eastAsia" w:ascii="宋体" w:hAnsi="宋体" w:cs="宋体"/>
          <w:color w:val="000000"/>
          <w:sz w:val="21"/>
          <w:szCs w:val="21"/>
          <w:highlight w:val="none"/>
          <w:lang w:bidi="ar"/>
        </w:rPr>
        <w:t xml:space="preserve">/</w:t>
      </w:r>
      <w:r>
        <w:rPr>
          <w:rFonts w:hint="eastAsia" w:ascii="宋体" w:hAnsi="宋体" w:eastAsia="宋体" w:cs="宋体"/>
          <w:sz w:val="21"/>
          <w:szCs w:val="21"/>
          <w:highlight w:val="none"/>
        </w:rPr>
        <w:t xml:space="preserve">座），合计主管网7481米，支管网10387米，检查井Φ600mm以上检查井291座，Φ600mm以下检查井390座，受益农户278户。要求在覆盖范围内，生活污水经一体化处理后达到《农村生活污水处理设施水污染物排放标准》（DB 32</w:t>
      </w:r>
      <w:r>
        <w:rPr>
          <w:rFonts w:hint="eastAsia" w:ascii="宋体" w:hAnsi="宋体" w:cs="宋体"/>
          <w:color w:val="000000"/>
          <w:sz w:val="21"/>
          <w:szCs w:val="21"/>
          <w:highlight w:val="none"/>
          <w:lang w:bidi="ar"/>
        </w:rPr>
        <w:t xml:space="preserve">/</w:t>
      </w:r>
      <w:r>
        <w:rPr>
          <w:rFonts w:hint="eastAsia" w:ascii="宋体" w:hAnsi="宋体" w:eastAsia="宋体" w:cs="宋体"/>
          <w:sz w:val="21"/>
          <w:szCs w:val="21"/>
          <w:highlight w:val="none"/>
        </w:rPr>
        <w:t xml:space="preserve">3462-2020），由车辆或内部提升泵浇灌农田绿化、道路降尘或送至市政污水管网等。</w:t>
      </w:r>
      <w:r/>
    </w:p>
    <w:p>
      <w:pPr>
        <w:ind w:firstLine="422"/>
        <w:widowControl/>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bidi="ar"/>
        </w:rPr>
        <w:t xml:space="preserve">1、设备种类、数量、用途和处理能力</w:t>
      </w:r>
      <w:r/>
    </w:p>
    <w:tbl>
      <w:tblPr>
        <w:tblStyle w:val="722"/>
        <w:tblW w:w="9185" w:type="dxa"/>
        <w:tblInd w:w="-5" w:type="dxa"/>
        <w:tblLayout w:type="fixed"/>
        <w:tblCellMar>
          <w:left w:w="108" w:type="dxa"/>
          <w:top w:w="0" w:type="dxa"/>
          <w:right w:w="108" w:type="dxa"/>
          <w:bottom w:w="0" w:type="dxa"/>
        </w:tblCellMar>
        <w:tblLook w:val="04A0" w:firstRow="1" w:lastRow="0" w:firstColumn="1" w:lastColumn="0" w:noHBand="0" w:noVBand="1"/>
      </w:tblPr>
      <w:tblGrid>
        <w:gridCol w:w="1560"/>
        <w:gridCol w:w="1620"/>
        <w:gridCol w:w="2050"/>
        <w:gridCol w:w="1425"/>
        <w:gridCol w:w="2530"/>
      </w:tblGrid>
      <w:tr>
        <w:trPr>
          <w:trHeight w:val="570"/>
        </w:trPr>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设备种类</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数量（台</w:t>
            </w:r>
            <w:bookmarkStart w:id="127" w:name="OLE_LINK14"/>
            <w:r>
              <w:rPr>
                <w:rFonts w:hint="eastAsia" w:ascii="宋体" w:hAnsi="宋体" w:cs="宋体"/>
                <w:color w:val="000000"/>
                <w:sz w:val="21"/>
                <w:szCs w:val="21"/>
                <w:highlight w:val="none"/>
                <w:lang w:bidi="ar"/>
              </w:rPr>
              <w:t xml:space="preserve">/</w:t>
            </w:r>
            <w:bookmarkEnd w:id="127"/>
            <w:r>
              <w:rPr>
                <w:rFonts w:hint="eastAsia" w:ascii="宋体" w:hAnsi="宋体" w:cs="宋体"/>
                <w:color w:val="000000"/>
                <w:sz w:val="21"/>
                <w:szCs w:val="21"/>
                <w:highlight w:val="none"/>
                <w:lang w:bidi="ar"/>
              </w:rPr>
              <w:t xml:space="preserve">套）</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用途</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处理能力</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设施所在位置</w:t>
            </w:r>
            <w:r/>
          </w:p>
        </w:tc>
      </w:tr>
      <w:tr>
        <w:trPr>
          <w:trHeight w:val="567"/>
        </w:trPr>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提升泵站</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污水从主管网提升至蓄水池</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50m³/d</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宏心村</w:t>
            </w:r>
            <w:r/>
          </w:p>
        </w:tc>
      </w:tr>
      <w:tr>
        <w:trPr>
          <w:trHeight w:val="567"/>
        </w:trPr>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提升泵站</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污水从主管网提升至蓄水池</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50m³/d</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w:t>
            </w:r>
            <w:r/>
          </w:p>
        </w:tc>
      </w:tr>
      <w:tr>
        <w:trPr>
          <w:trHeight w:val="56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污水一体化处理设施</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处理农村生活污水</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50m³/d</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w:t>
            </w:r>
            <w:r/>
          </w:p>
        </w:tc>
      </w:tr>
      <w:tr>
        <w:trPr>
          <w:trHeight w:val="567"/>
        </w:trPr>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蓄水池</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蓄储农村生活污水</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40m³/座</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w:t>
            </w:r>
            <w:r/>
          </w:p>
        </w:tc>
      </w:tr>
      <w:tr>
        <w:trPr>
          <w:trHeight w:val="567"/>
        </w:trPr>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提升泵站</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污水从主管网提升至蓄水池</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50m³/d</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严家村</w:t>
            </w:r>
            <w:r/>
          </w:p>
        </w:tc>
      </w:tr>
      <w:tr>
        <w:trPr>
          <w:trHeight w:val="567"/>
        </w:trPr>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蓄水池</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蓄储农村生活污水</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40m³/座</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严家村</w:t>
            </w:r>
            <w:r/>
          </w:p>
        </w:tc>
      </w:tr>
      <w:tr>
        <w:trPr>
          <w:trHeight w:val="567"/>
        </w:trPr>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蓄水池</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蓄储农村生活污水</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50m³/座</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龙园社区</w:t>
            </w:r>
            <w:r/>
          </w:p>
        </w:tc>
      </w:tr>
    </w:tbl>
    <w:p>
      <w:pPr>
        <w:pStyle w:val="925"/>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25"/>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2、主支污水管网长度及现状（运行维护）</w:t>
      </w:r>
      <w:r/>
    </w:p>
    <w:tbl>
      <w:tblPr>
        <w:tblStyle w:val="722"/>
        <w:tblW w:w="9185" w:type="dxa"/>
        <w:tblInd w:w="-5" w:type="dxa"/>
        <w:tblLayout w:type="fixed"/>
        <w:tblCellMar>
          <w:left w:w="108" w:type="dxa"/>
          <w:top w:w="0" w:type="dxa"/>
          <w:right w:w="108" w:type="dxa"/>
          <w:bottom w:w="0" w:type="dxa"/>
        </w:tblCellMar>
        <w:tblLook w:val="04A0" w:firstRow="1" w:lastRow="0" w:firstColumn="1" w:lastColumn="0" w:noHBand="0" w:noVBand="1"/>
      </w:tblPr>
      <w:tblGrid>
        <w:gridCol w:w="2123"/>
        <w:gridCol w:w="1203"/>
        <w:gridCol w:w="1920"/>
        <w:gridCol w:w="1200"/>
        <w:gridCol w:w="2739"/>
      </w:tblGrid>
      <w:tr>
        <w:trPr>
          <w:trHeight w:val="577"/>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主支管网名称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长度（m）</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现状</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所在位置</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备注</w:t>
            </w:r>
            <w:r/>
          </w:p>
        </w:tc>
      </w:tr>
      <w:tr>
        <w:trPr>
          <w:trHeight w:val="554"/>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主管网</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2549</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和支管网已接通</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宏心村</w:t>
            </w:r>
            <w:r/>
          </w:p>
        </w:tc>
        <w:tc>
          <w:tcPr>
            <w:tcBorders>
              <w:top w:val="single" w:color="auto" w:sz="4" w:space="0"/>
              <w:left w:val="single" w:color="auto" w:sz="4" w:space="0"/>
              <w:bottom w:val="single" w:color="auto" w:sz="4" w:space="0"/>
              <w:right w:val="single" w:color="auto" w:sz="4" w:space="0"/>
            </w:tcBorders>
            <w:tcW w:w="2739" w:type="dxa"/>
            <w:vAlign w:val="center"/>
            <w:vMerge w:val="restart"/>
            <w:textDirection w:val="lrTb"/>
            <w:noWrap w:val="false"/>
          </w:tcPr>
          <w:p>
            <w:pPr>
              <w:jc w:val="left"/>
              <w:spacing w:after="240"/>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污水从主管网流至蓄水池后，采用机动车拖运至三星村2号站污水处理设施进行处理。</w:t>
            </w:r>
            <w:r/>
          </w:p>
        </w:tc>
      </w:tr>
      <w:tr>
        <w:trPr>
          <w:trHeight w:val="485"/>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支管网</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3817</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和主管网已接通</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宏心村</w:t>
            </w:r>
            <w:r/>
          </w:p>
        </w:tc>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主管网</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3239</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和支管网已接通</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w:t>
            </w:r>
            <w:r/>
          </w:p>
        </w:tc>
        <w:tc>
          <w:tcPr>
            <w:tcBorders>
              <w:top w:val="single" w:color="auto" w:sz="4" w:space="0"/>
              <w:left w:val="single" w:color="auto" w:sz="4" w:space="0"/>
              <w:bottom w:val="single" w:color="auto" w:sz="4" w:space="0"/>
              <w:right w:val="single" w:color="auto" w:sz="4" w:space="0"/>
            </w:tcBorders>
            <w:tcW w:w="2739" w:type="dxa"/>
            <w:vAlign w:val="center"/>
            <w:vMerge w:val="restart"/>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污水从主管网接至珠溪社区污水处理设施进行处理。</w:t>
            </w:r>
            <w:r/>
          </w:p>
        </w:tc>
      </w:tr>
      <w:tr>
        <w:trPr>
          <w:trHeight w:val="567"/>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支管网</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4350</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和主管网已接通</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w:t>
            </w:r>
            <w:r/>
          </w:p>
        </w:tc>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主管网</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885</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和支管网已接通</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严家村</w:t>
            </w:r>
            <w:r/>
          </w:p>
        </w:tc>
        <w:tc>
          <w:tcPr>
            <w:tcBorders>
              <w:top w:val="single" w:color="auto" w:sz="4" w:space="0"/>
              <w:left w:val="single" w:color="auto" w:sz="4" w:space="0"/>
              <w:bottom w:val="single" w:color="auto" w:sz="4" w:space="0"/>
              <w:right w:val="single" w:color="auto" w:sz="4" w:space="0"/>
            </w:tcBorders>
            <w:tcW w:w="2739" w:type="dxa"/>
            <w:vAlign w:val="center"/>
            <w:vMerge w:val="restart"/>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污水从主管网接入蓄水池，采用机动车拖运至三星村4号站污水处理</w:t>
            </w:r>
            <w:bookmarkStart w:id="128" w:name="OLE_LINK24"/>
            <w:r>
              <w:rPr>
                <w:rFonts w:hint="eastAsia" w:ascii="宋体" w:hAnsi="宋体" w:cs="宋体"/>
                <w:color w:val="000000"/>
                <w:sz w:val="21"/>
                <w:szCs w:val="21"/>
                <w:highlight w:val="none"/>
                <w:lang w:bidi="ar"/>
              </w:rPr>
              <w:t xml:space="preserve">设施进行处理。</w:t>
            </w:r>
            <w:bookmarkEnd w:id="128"/>
            <w:r/>
            <w:r/>
          </w:p>
        </w:tc>
      </w:tr>
      <w:tr>
        <w:trPr>
          <w:trHeight w:val="567"/>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支管网</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1760</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和主管网已接通</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严家村</w:t>
            </w:r>
            <w:r/>
          </w:p>
        </w:tc>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主管网</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808</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和支管网已接通</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龙园社区</w:t>
            </w:r>
            <w:r/>
          </w:p>
        </w:tc>
        <w:tc>
          <w:tcPr>
            <w:tcBorders>
              <w:top w:val="single" w:color="auto" w:sz="4" w:space="0"/>
              <w:left w:val="single" w:color="auto" w:sz="4" w:space="0"/>
              <w:bottom w:val="single" w:color="auto" w:sz="4" w:space="0"/>
              <w:right w:val="single" w:color="auto" w:sz="4" w:space="0"/>
            </w:tcBorders>
            <w:tcW w:w="2739" w:type="dxa"/>
            <w:vAlign w:val="center"/>
            <w:vMerge w:val="restart"/>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污水从主管网接入至蓄水池，采用机动车拖运至珠溪社区污水处理设施进行处理。</w:t>
            </w:r>
            <w:r/>
          </w:p>
        </w:tc>
      </w:tr>
      <w:tr>
        <w:trPr>
          <w:trHeight w:val="567"/>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支管网</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460</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和主管网已接通</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color w:val="000000"/>
                <w:sz w:val="21"/>
                <w:szCs w:val="21"/>
                <w:highlight w:val="none"/>
              </w:rPr>
            </w:pPr>
            <w:r/>
            <w:bookmarkStart w:id="129" w:name="OLE_LINK31"/>
            <w:r>
              <w:rPr>
                <w:rFonts w:hint="eastAsia" w:ascii="宋体" w:hAnsi="宋体" w:cs="宋体"/>
                <w:color w:val="000000"/>
                <w:sz w:val="21"/>
                <w:szCs w:val="21"/>
                <w:highlight w:val="none"/>
                <w:lang w:bidi="ar"/>
              </w:rPr>
              <w:t xml:space="preserve">龙园社区</w:t>
            </w:r>
            <w:bookmarkEnd w:id="129"/>
            <w:r/>
            <w:r/>
          </w:p>
        </w:tc>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25"/>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25"/>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3、检查井种类和数量（含污泥处置及维护）</w:t>
      </w:r>
      <w:r/>
    </w:p>
    <w:tbl>
      <w:tblPr>
        <w:tblStyle w:val="722"/>
        <w:tblW w:w="9185" w:type="dxa"/>
        <w:tblInd w:w="-5" w:type="dxa"/>
        <w:tblLayout w:type="fixed"/>
        <w:tblCellMar>
          <w:left w:w="108" w:type="dxa"/>
          <w:top w:w="0" w:type="dxa"/>
          <w:right w:w="108" w:type="dxa"/>
          <w:bottom w:w="0" w:type="dxa"/>
        </w:tblCellMar>
        <w:tblLook w:val="04A0" w:firstRow="1" w:lastRow="0" w:firstColumn="1" w:lastColumn="0" w:noHBand="0" w:noVBand="1"/>
      </w:tblPr>
      <w:tblGrid>
        <w:gridCol w:w="2001"/>
        <w:gridCol w:w="1824"/>
        <w:gridCol w:w="1628"/>
        <w:gridCol w:w="1841"/>
        <w:gridCol w:w="1891"/>
      </w:tblGrid>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检查井名称</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种类</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数量（座）</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所在位置</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备注</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检查井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600mm以上</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95</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宏心村</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检查井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600mm以下</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167</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宏心村</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污泥沉井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1000mm</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宏心村</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检查井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600mm以上</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101</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检查井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600mm以下</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162</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污泥沉井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1000mm</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检查井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600mm以上</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严家村</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检查井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600mm以下</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严家村</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污泥沉井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1000mm</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严家村</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r>
        <w:trPr>
          <w:trHeight w:val="557"/>
        </w:trPr>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检查井</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1000mm</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龙园社区</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垂直式</w:t>
            </w:r>
            <w:r/>
          </w:p>
        </w:tc>
      </w:tr>
    </w:tbl>
    <w:p>
      <w:pPr>
        <w:ind w:firstLine="422"/>
        <w:spacing w:line="52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4、化粪池数量和能力</w:t>
      </w:r>
      <w:r/>
    </w:p>
    <w:tbl>
      <w:tblPr>
        <w:tblStyle w:val="722"/>
        <w:tblW w:w="9185" w:type="dxa"/>
        <w:tblInd w:w="-5" w:type="dxa"/>
        <w:tblLayout w:type="fixed"/>
        <w:tblCellMar>
          <w:left w:w="108" w:type="dxa"/>
          <w:top w:w="0" w:type="dxa"/>
          <w:right w:w="108" w:type="dxa"/>
          <w:bottom w:w="0" w:type="dxa"/>
        </w:tblCellMar>
        <w:tblLook w:val="04A0" w:firstRow="1" w:lastRow="0" w:firstColumn="1" w:lastColumn="0" w:noHBand="0" w:noVBand="1"/>
      </w:tblPr>
      <w:tblGrid>
        <w:gridCol w:w="1612"/>
        <w:gridCol w:w="1496"/>
        <w:gridCol w:w="1814"/>
        <w:gridCol w:w="2181"/>
        <w:gridCol w:w="2082"/>
      </w:tblGrid>
      <w:tr>
        <w:trPr>
          <w:trHeight w:val="565"/>
        </w:trPr>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名称</w:t>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种类</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数量(套)</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设施所在位置</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tcPr>
          <w:p>
            <w:pPr>
              <w:jc w:val="center"/>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化粪池</w:t>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lm³</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宏心村</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tcPr>
          <w:p>
            <w:pPr>
              <w:jc w:val="center"/>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受益农户117</w:t>
            </w:r>
            <w:r/>
          </w:p>
        </w:tc>
      </w:tr>
      <w:tr>
        <w:trPr>
          <w:trHeight w:val="567"/>
        </w:trPr>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化粪池</w:t>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lm³</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tcPr>
          <w:p>
            <w:pPr>
              <w:jc w:val="center"/>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受益农户72</w:t>
            </w:r>
            <w:r/>
          </w:p>
        </w:tc>
      </w:tr>
      <w:tr>
        <w:trPr>
          <w:trHeight w:val="567"/>
        </w:trPr>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化粪池</w:t>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lm³</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严家村</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tcPr>
          <w:p>
            <w:pPr>
              <w:jc w:val="center"/>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受益农户72</w:t>
            </w:r>
            <w:r/>
          </w:p>
        </w:tc>
      </w:tr>
      <w:tr>
        <w:trPr>
          <w:trHeight w:val="567"/>
        </w:trPr>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化粪池</w:t>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lm³</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龙园社区</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tcPr>
          <w:p>
            <w:pPr>
              <w:jc w:val="center"/>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受益农户17</w:t>
            </w:r>
            <w:r/>
          </w:p>
        </w:tc>
      </w:tr>
    </w:tbl>
    <w:p>
      <w:pPr>
        <w:ind w:firstLine="422"/>
        <w:spacing w:line="52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5、一体化污水处理设施工艺及执行标准</w:t>
      </w:r>
      <w:r/>
    </w:p>
    <w:tbl>
      <w:tblPr>
        <w:tblStyle w:val="722"/>
        <w:tblW w:w="9185" w:type="dxa"/>
        <w:tblInd w:w="-5" w:type="dxa"/>
        <w:tblLayout w:type="fixed"/>
        <w:tblCellMar>
          <w:left w:w="108" w:type="dxa"/>
          <w:top w:w="0" w:type="dxa"/>
          <w:right w:w="108" w:type="dxa"/>
          <w:bottom w:w="0" w:type="dxa"/>
        </w:tblCellMar>
        <w:tblLook w:val="04A0" w:firstRow="1" w:lastRow="0" w:firstColumn="1" w:lastColumn="0" w:noHBand="0" w:noVBand="1"/>
      </w:tblPr>
      <w:tblGrid>
        <w:gridCol w:w="1560"/>
        <w:gridCol w:w="1134"/>
        <w:gridCol w:w="1361"/>
        <w:gridCol w:w="1325"/>
        <w:gridCol w:w="2200"/>
        <w:gridCol w:w="1605"/>
      </w:tblGrid>
      <w:tr>
        <w:trPr>
          <w:trHeight w:val="708"/>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污水处理设施名称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污水处理方法</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处理规模</w:t>
            </w:r>
            <w:r/>
          </w:p>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（m³/d)</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服务人口数量（人）</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执行标准名称</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执行标准</w:t>
            </w:r>
            <w:r/>
          </w:p>
        </w:tc>
      </w:tr>
      <w:tr>
        <w:trPr>
          <w:trHeight w:val="999"/>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珠溪社区污水处理设施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AO+MBR 膜</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农村生活污水处理设施水污染物排放标准(DB32/3462-2020)</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一级 A</w:t>
            </w:r>
            <w:r/>
          </w:p>
        </w:tc>
      </w:tr>
    </w:tbl>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珠溪社区和龙园社区处理后尾水道路降尘，浇灌农田和绿化，宏心村和严家村处理后尾水浇灌农田和绿化，可排至附近沟渠。</w:t>
      </w:r>
      <w:r/>
    </w:p>
    <w:p>
      <w:pPr>
        <w:ind w:firstLine="480"/>
        <w:spacing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二、运维要求</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1、确保设施常年正常运转，并定期对设备进行检修保养，确保池体无堵塞、渗漏、开裂、破损等情况发生，保持池体及周边绿化带内无杂物堆放，做到池体整洁美观。</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2、对于有动力处理设施，保证水泵及配电设施运行良好，无漏电、跳闸、运转异常等现象发生。污水处理设施及其场地内应做到无板结、无垃圾、无杂草，保持场地整洁美观。</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建立并完善污水管网的巡查制度和应急处理预案，一旦发现污水管网破损或堵塞，立即安排维修，保证管网完好通畅。每周至少开展1次现场厌氧池、管网、检查井、泵站等的巡查养护，按要求对污水处理设施（含污水管网、污水处理装置等）和监控设施（流量监控、动力设备状态监控、数据采集等）进行检查、测试、清理、维护、维修等工作，保证其正常运行（必须进行大修的，以区相关职能部门验收通过为准），并做好巡查记录。</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承担设施设备运行维护管理安全生产责任，严格操作规程，加强对操作人员的安全生产教育，定期检查设施的运行维护及设备运转情况，及时纠正、整改安全隐患，保证运行维护做到安全、规范、优质、高效。</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建立运行管理台账，内容包括设施运转情况、设备维护情况、生态养护情况和进出水水质情况等，每季度要有运营管护总结和水质监测报告并定期报采购人和伍佑街道备案。运维单位要建立污水处理运维管理信息库。主要内容为项目信息资料和队伍人员资料。项目信息资料，包括工程验收移交资料、终端处理设施基本情况、受益农户基本情况、日常运维巡查资料、故障处理资料、水质检测报告等。队伍人员资料，包括管理人员资料、运维人员资料、巡查人员资料等。</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6、供应商应定期开展终端处理设施的水质检测，采购人将定期不定期开展抽查检测，不达标的将按相关规定予以处理。</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7、设立并公开应急投诉电话，能够及时响应公众对污水处理设施运行情况的投诉，对通过日常巡查发现、街道书面送达以及群众居民反馈的异常情况，要求在1小时内响应、人员在6小时内到达现场处置，对一般故障要求24小时内恢复并正常运行，对不易诊断或维修的故障，要求在72小时内恢复并正常运行。</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8、配备维护车、吸污车、高压清洗泵车、管道疏通设备。常年备有充足的各种耗材备品、备用整机和关键部件，能确保备品备机及时更换。</w:t>
      </w:r>
      <w:r/>
    </w:p>
    <w:p>
      <w:pPr>
        <w:ind w:firstLine="480"/>
        <w:spacing w:line="40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三、考核管理</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采购人按照《环境保护设施运营单位运营服务能力要求》等标准规范制定的《盐南高新区农村生活污水处理设备运维服务考核管理办法》，每季组织一次监督检查，实施年度考核。对设施的正常运转率、设备完好率、出水达标率、设施周边环境、管理制度等进行综合考核。</w:t>
      </w:r>
      <w:r/>
    </w:p>
    <w:p>
      <w:pPr>
        <w:ind w:firstLine="482"/>
        <w:jc w:val="left"/>
        <w:spacing w:line="44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四、商务条款</w:t>
      </w:r>
      <w:r/>
    </w:p>
    <w:p>
      <w:pPr>
        <w:ind w:firstLine="480"/>
        <w:jc w:val="left"/>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1、供应商需为本项目至少配备工作人员3人。</w:t>
      </w:r>
      <w:r/>
    </w:p>
    <w:p>
      <w:pPr>
        <w:pStyle w:val="911"/>
        <w:ind w:firstLine="480"/>
        <w:jc w:val="both"/>
        <w:spacing w:before="0" w:beforeAutospacing="0" w:after="0" w:afterAutospacing="0" w:line="440" w:lineRule="exact"/>
        <w:rPr>
          <w:rFonts w:hint="eastAsia"/>
          <w:sz w:val="21"/>
          <w:szCs w:val="21"/>
          <w:highlight w:val="none"/>
        </w:rPr>
      </w:pPr>
      <w:r>
        <w:rPr>
          <w:rFonts w:hint="eastAsia"/>
          <w:sz w:val="21"/>
          <w:szCs w:val="21"/>
          <w:highlight w:val="none"/>
        </w:rPr>
        <w:t xml:space="preserve">2、合同履行期限：一年</w:t>
      </w:r>
      <w:r/>
    </w:p>
    <w:p>
      <w:pPr>
        <w:ind w:firstLine="480"/>
        <w:jc w:val="left"/>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3、报价要求</w:t>
      </w:r>
      <w:r/>
    </w:p>
    <w:p>
      <w:pPr>
        <w:ind w:firstLine="480"/>
        <w:jc w:val="left"/>
        <w:spacing w:line="440" w:lineRule="exact"/>
        <w:rPr>
          <w:rFonts w:hint="eastAsia" w:ascii="宋体" w:hAnsi="宋体" w:cs="宋体"/>
          <w:color w:val="000000"/>
          <w:sz w:val="21"/>
          <w:szCs w:val="21"/>
          <w:highlight w:val="none"/>
        </w:rPr>
      </w:pPr>
      <w:r>
        <w:rPr>
          <w:rFonts w:hint="eastAsia" w:ascii="宋体" w:hAnsi="宋体" w:cs="宋体"/>
          <w:sz w:val="21"/>
          <w:szCs w:val="21"/>
          <w:highlight w:val="none"/>
        </w:rPr>
        <w:t xml:space="preserve">本项目采用总承包报价方式，项目总价</w:t>
      </w:r>
      <w:r>
        <w:rPr>
          <w:rFonts w:hint="eastAsia" w:ascii="宋体" w:hAnsi="宋体" w:cs="宋体"/>
          <w:color w:val="000000"/>
          <w:sz w:val="21"/>
          <w:szCs w:val="21"/>
          <w:highlight w:val="none"/>
        </w:rPr>
        <w:t xml:space="preserve">包含但不限于</w:t>
      </w:r>
      <w:r>
        <w:rPr>
          <w:rFonts w:hint="eastAsia"/>
          <w:color w:val="000000"/>
          <w:sz w:val="21"/>
          <w:szCs w:val="21"/>
          <w:highlight w:val="none"/>
        </w:rPr>
        <w:t xml:space="preserve">除项目大修事项产生的费用以外的</w:t>
      </w:r>
      <w:r>
        <w:rPr>
          <w:rFonts w:hint="eastAsia" w:ascii="宋体" w:hAnsi="宋体" w:cs="宋体"/>
          <w:color w:val="000000"/>
          <w:sz w:val="21"/>
          <w:szCs w:val="21"/>
          <w:highlight w:val="none"/>
        </w:rPr>
        <w:t xml:space="preserve">所有乙方服务人员的相关报酬待遇、检测检验费、材料设备费、运行维修维护费、运输费、办公费、管理费、培训费、风险费、税金、合理利润及政策性文件规定等各项应有费用，以及中标人为履行合同所涉及到的一切可预见和不可预见的费用。</w:t>
      </w:r>
      <w:r/>
    </w:p>
    <w:p>
      <w:pPr>
        <w:ind w:firstLine="480"/>
        <w:jc w:val="left"/>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4、付款方式和时间</w:t>
      </w:r>
      <w:r/>
    </w:p>
    <w:p>
      <w:pPr>
        <w:pStyle w:val="744"/>
        <w:ind w:firstLine="480"/>
        <w:jc w:val="both"/>
        <w:spacing w:before="0" w:beforeAutospacing="0" w:after="0" w:afterAutospacing="0" w:line="440" w:lineRule="exact"/>
        <w:rPr>
          <w:rFonts w:hint="eastAsia"/>
          <w:sz w:val="21"/>
          <w:szCs w:val="21"/>
          <w:highlight w:val="none"/>
        </w:rPr>
      </w:pPr>
      <w:r>
        <w:rPr>
          <w:rFonts w:hint="eastAsia"/>
          <w:color w:val="000000"/>
          <w:sz w:val="21"/>
          <w:szCs w:val="21"/>
          <w:highlight w:val="none"/>
        </w:rPr>
        <w:t xml:space="preserve">4.1 预付款支付时间：合同签订后，采购人收到预付款发票后30日内；预付款支付比例：</w:t>
      </w:r>
      <w:r>
        <w:rPr>
          <w:rFonts w:hint="eastAsia"/>
          <w:color w:val="000000"/>
          <w:sz w:val="21"/>
          <w:szCs w:val="21"/>
          <w:highlight w:val="none"/>
          <w:u w:val="single"/>
        </w:rPr>
        <w:t xml:space="preserve">合同金额的30%</w:t>
      </w:r>
      <w:r>
        <w:rPr>
          <w:rFonts w:hint="eastAsia"/>
          <w:color w:val="000000"/>
          <w:sz w:val="21"/>
          <w:szCs w:val="21"/>
          <w:highlight w:val="none"/>
        </w:rPr>
        <w:t xml:space="preserve">。</w:t>
      </w:r>
      <w:r/>
    </w:p>
    <w:p>
      <w:pPr>
        <w:pStyle w:val="744"/>
        <w:ind w:firstLine="480"/>
        <w:jc w:val="both"/>
        <w:spacing w:before="0" w:beforeAutospacing="0" w:after="0" w:afterAutospacing="0" w:line="440" w:lineRule="exact"/>
        <w:rPr>
          <w:rFonts w:hint="eastAsia"/>
          <w:sz w:val="21"/>
          <w:szCs w:val="21"/>
          <w:highlight w:val="none"/>
        </w:rPr>
      </w:pPr>
      <w:r>
        <w:rPr>
          <w:rFonts w:hint="eastAsia"/>
          <w:sz w:val="21"/>
          <w:szCs w:val="21"/>
          <w:highlight w:val="none"/>
        </w:rPr>
        <w:t xml:space="preserve">4.2支付方式：试用期（3个月）期满，经考核合格后，付试用期期间的运维服务费用。如果未能按合同履约的，试用期结束后，终止合同，履约保证金不予退还，不支付试用期间的服务费用，同时供应商应返还预付款，并承担因此造成采购人的所有损失。试用期满后，服务费按月支付，下一个月支付上一个月的服务费，服务费结算方式：每月付款额按年中标价/12为基数，并扣除采购人对供应商的处罚、违约金等扣款。付款时先扣回预付款。采购人付款前，供应商应提供完税发票，供采购人办理付费手续，供应商提供发票后30日内，采购人支付费用。</w:t>
      </w:r>
      <w:r/>
    </w:p>
    <w:p>
      <w:pPr>
        <w:pStyle w:val="744"/>
        <w:ind w:firstLine="480"/>
        <w:jc w:val="both"/>
        <w:spacing w:before="0" w:beforeAutospacing="0" w:after="0" w:afterAutospacing="0" w:line="440" w:lineRule="exact"/>
        <w:rPr>
          <w:rFonts w:hint="eastAsia"/>
          <w:color w:val="000000"/>
          <w:sz w:val="21"/>
          <w:szCs w:val="21"/>
          <w:highlight w:val="none"/>
        </w:rPr>
      </w:pPr>
      <w:r>
        <w:rPr>
          <w:rFonts w:hint="eastAsia"/>
          <w:color w:val="000000"/>
          <w:sz w:val="21"/>
          <w:szCs w:val="21"/>
          <w:highlight w:val="none"/>
        </w:rPr>
        <w:t xml:space="preserve">4.3本项目污水处理设施运行所消耗的电力费用先由供应商按时交纳垫付，采购人每季度与供应商结算，下季度第一个月结算上一季度的电费。</w:t>
      </w:r>
      <w:r/>
    </w:p>
    <w:p>
      <w:pPr>
        <w:pStyle w:val="744"/>
        <w:ind w:firstLine="480"/>
        <w:jc w:val="both"/>
        <w:spacing w:before="0" w:beforeAutospacing="0" w:after="0" w:afterAutospacing="0" w:line="440" w:lineRule="exact"/>
        <w:rPr>
          <w:rFonts w:hint="eastAsia"/>
          <w:color w:val="000000"/>
          <w:sz w:val="21"/>
          <w:szCs w:val="21"/>
          <w:highlight w:val="none"/>
        </w:rPr>
      </w:pPr>
      <w:r>
        <w:rPr>
          <w:color w:val="000000"/>
          <w:sz w:val="21"/>
          <w:szCs w:val="21"/>
          <w:highlight w:val="none"/>
        </w:rPr>
        <w:t xml:space="preserve">4.4</w:t>
      </w:r>
      <w:r>
        <w:rPr>
          <w:rFonts w:hint="eastAsia"/>
          <w:color w:val="000000"/>
          <w:sz w:val="21"/>
          <w:szCs w:val="21"/>
          <w:highlight w:val="none"/>
        </w:rPr>
        <w:t xml:space="preserve">本项目招标文件中的大修事项，是指不在质保范围的，一次维修费用大于等于</w:t>
      </w:r>
      <w:r>
        <w:rPr>
          <w:color w:val="000000"/>
          <w:sz w:val="21"/>
          <w:szCs w:val="21"/>
          <w:highlight w:val="none"/>
        </w:rPr>
        <w:t xml:space="preserve">5000元（人民币）的，属于本项目大修，其费用由采购</w:t>
      </w:r>
      <w:r>
        <w:rPr>
          <w:rFonts w:hint="eastAsia"/>
          <w:color w:val="000000"/>
          <w:sz w:val="21"/>
          <w:szCs w:val="21"/>
          <w:highlight w:val="none"/>
        </w:rPr>
        <w:t xml:space="preserve">人</w:t>
      </w:r>
      <w:r>
        <w:rPr>
          <w:color w:val="000000"/>
          <w:sz w:val="21"/>
          <w:szCs w:val="21"/>
          <w:highlight w:val="none"/>
        </w:rPr>
        <w:t xml:space="preserve">承担。由于设计、施工原因导致项目缺陷的，维修费用由采购</w:t>
      </w:r>
      <w:r>
        <w:rPr>
          <w:rFonts w:hint="eastAsia"/>
          <w:color w:val="000000"/>
          <w:sz w:val="21"/>
          <w:szCs w:val="21"/>
          <w:highlight w:val="none"/>
        </w:rPr>
        <w:t xml:space="preserve">人</w:t>
      </w:r>
      <w:r>
        <w:rPr>
          <w:color w:val="000000"/>
          <w:sz w:val="21"/>
          <w:szCs w:val="21"/>
          <w:highlight w:val="none"/>
        </w:rPr>
        <w:t xml:space="preserve">承担，并纳入大修范围。涉及大修以及其他修理事项需要而停运的，由中标</w:t>
      </w:r>
      <w:r>
        <w:rPr>
          <w:rFonts w:hint="eastAsia"/>
          <w:color w:val="000000"/>
          <w:sz w:val="21"/>
          <w:szCs w:val="21"/>
          <w:highlight w:val="none"/>
        </w:rPr>
        <w:t xml:space="preserve">人</w:t>
      </w:r>
      <w:r>
        <w:rPr>
          <w:color w:val="000000"/>
          <w:sz w:val="21"/>
          <w:szCs w:val="21"/>
          <w:highlight w:val="none"/>
        </w:rPr>
        <w:t xml:space="preserve">提前2日报</w:t>
      </w:r>
      <w:r>
        <w:rPr>
          <w:rFonts w:hint="eastAsia"/>
          <w:color w:val="000000"/>
          <w:sz w:val="21"/>
          <w:szCs w:val="21"/>
          <w:highlight w:val="none"/>
        </w:rPr>
        <w:t xml:space="preserve">采购人</w:t>
      </w:r>
      <w:r>
        <w:rPr>
          <w:color w:val="000000"/>
          <w:sz w:val="21"/>
          <w:szCs w:val="21"/>
          <w:highlight w:val="none"/>
        </w:rPr>
        <w:t xml:space="preserve">备案。</w:t>
      </w:r>
      <w:r/>
    </w:p>
    <w:p>
      <w:pPr>
        <w:pStyle w:val="744"/>
        <w:ind w:firstLine="480"/>
        <w:jc w:val="both"/>
        <w:spacing w:before="0" w:beforeAutospacing="0" w:after="0" w:afterAutospacing="0" w:line="440" w:lineRule="exact"/>
        <w:rPr>
          <w:rFonts w:hint="eastAsia"/>
          <w:color w:val="000000"/>
          <w:sz w:val="21"/>
          <w:szCs w:val="21"/>
          <w:highlight w:val="none"/>
        </w:rPr>
      </w:pPr>
      <w:r>
        <w:rPr>
          <w:color w:val="000000"/>
          <w:sz w:val="21"/>
          <w:szCs w:val="21"/>
          <w:highlight w:val="none"/>
        </w:rPr>
        <w:t xml:space="preserve">4.5</w:t>
      </w:r>
      <w:r>
        <w:rPr>
          <w:rFonts w:hint="eastAsia"/>
          <w:color w:val="000000"/>
          <w:sz w:val="21"/>
          <w:szCs w:val="21"/>
          <w:highlight w:val="none"/>
        </w:rPr>
        <w:t xml:space="preserve">大修或设计、施工原因导致项目缺陷的维修费用确认程序：由中标人将大修事项报采购人审核后实施，大修完成后，由采购人委托相关单位审核，按照审核结果支付款项。</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4.6每次付款时成交供应商须提供等额发票，否则采购人有权拒绝付款。</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4.7因财政审批导致的迟延支付，采购人不承担迟延支付的违约责任。</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5、项目验收</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5.1甲方依法组织履约验收工作。</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5.3对于实际使用人和甲方分离的项目，甲方邀请实际使用人参与验收。</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5.4如有必要，甲方邀请参加本项目的其他供应商或第三方专业机构及专家参与验收，相关意见将作为验收书的参考资料。</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26"/>
        <w:ind w:firstLine="422"/>
        <w:spacing w:line="400" w:lineRule="exact"/>
        <w:rPr>
          <w:rStyle w:val="931"/>
          <w:rFonts w:hint="eastAsia"/>
          <w:color w:val="auto"/>
          <w:sz w:val="21"/>
          <w:szCs w:val="21"/>
          <w:highlight w:val="none"/>
        </w:rPr>
      </w:pPr>
      <w:r>
        <w:rPr>
          <w:rFonts w:hint="eastAsia" w:ascii="宋体" w:hAnsi="宋体" w:cs="宋体"/>
          <w:b/>
          <w:bCs/>
          <w:sz w:val="21"/>
          <w:szCs w:val="21"/>
          <w:highlight w:val="none"/>
        </w:rPr>
        <w:t xml:space="preserve">五、相关</w:t>
      </w:r>
      <w:r>
        <w:rPr>
          <w:rStyle w:val="931"/>
          <w:rFonts w:hint="eastAsia"/>
          <w:color w:val="auto"/>
          <w:sz w:val="21"/>
          <w:szCs w:val="21"/>
          <w:highlight w:val="none"/>
        </w:rPr>
        <w:t xml:space="preserve">要求</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为伍佑街道农村生活污水处理设施运维项目，是环境治理和民生实事项目，非常重要。为确保项目目标实现，需要供应商具有丰富的工作经验。本项目对自2023年1月1日以来承担过类似项目（须含污水处理运维）的供应商优先。</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需具备各种良好的管理体系，规范日常管理与服务流程，确保服务质量稳定,积极保障员工健康，提升工作环境，防范信息泄露，整合管理流程，减少重复工作，提高资源利用效率，以保障本项目的顺利实施，本项目对具有质量管理体系认证证书、环境管理体系认证证书的供应商优先。</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3、项目负责人决定人了项目实施的水平和质量。本项目对项目负责人具有环保类相关专业中级及以上职称的供应商优先。</w:t>
      </w:r>
      <w:r/>
    </w:p>
    <w:p>
      <w:pPr>
        <w:pStyle w:val="932"/>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4、本项目对项目组成员配备环保专业中级及以上职称或具有环保设施运营（污水处理工）操作技术岗位能力证书的供应商优先。</w:t>
      </w:r>
      <w:r/>
    </w:p>
    <w:p>
      <w:pPr>
        <w:ind w:firstLine="480"/>
        <w:spacing w:line="400" w:lineRule="exact"/>
        <w:rPr>
          <w:rFonts w:hint="eastAsia" w:ascii="宋体" w:hAnsi="宋体" w:cs="宋体"/>
          <w:sz w:val="21"/>
          <w:szCs w:val="21"/>
          <w:highlight w:val="none"/>
        </w:rPr>
      </w:pPr>
      <w:r>
        <w:rPr>
          <w:rFonts w:hint="eastAsia" w:ascii="宋体" w:hAnsi="宋体" w:cs="宋体"/>
          <w:bCs/>
          <w:sz w:val="21"/>
          <w:szCs w:val="21"/>
          <w:highlight w:val="none"/>
        </w:rPr>
        <w:t xml:space="preserve">5、</w:t>
      </w:r>
      <w:r>
        <w:rPr>
          <w:rFonts w:hint="eastAsia" w:ascii="宋体" w:hAnsi="宋体" w:cs="宋体"/>
          <w:sz w:val="21"/>
          <w:szCs w:val="21"/>
          <w:highlight w:val="none"/>
        </w:rPr>
        <w:t xml:space="preserve">技术方案</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供应商应根据国家政策法规、本地实际和本采购文件要求，围绕项目目标，制定细致完整、科学合理、分析透彻、措施有力、针对性和操作性强的技术方案，至少包括实施方案、</w:t>
      </w:r>
      <w:r>
        <w:rPr>
          <w:rFonts w:hint="eastAsia" w:ascii="宋体" w:hAnsi="宋体" w:cs="宋体"/>
          <w:bCs/>
          <w:sz w:val="21"/>
          <w:szCs w:val="21"/>
          <w:highlight w:val="none"/>
        </w:rPr>
        <w:t xml:space="preserve">组织机构设置和人员配备、管理服务模式、质量保证方案、重难点分析及对策措施、应急处理方案、台账管理方案</w:t>
      </w:r>
      <w:r>
        <w:rPr>
          <w:rFonts w:hint="eastAsia" w:ascii="宋体" w:hAnsi="宋体" w:cs="宋体"/>
          <w:sz w:val="21"/>
          <w:szCs w:val="21"/>
          <w:highlight w:val="none"/>
        </w:rPr>
        <w:t xml:space="preserve">等方面。</w:t>
      </w:r>
      <w:r/>
    </w:p>
    <w:p>
      <w:pPr>
        <w:ind w:firstLine="480"/>
        <w:spacing w:line="40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5.1实施方案</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供应商应针对本项目实际情况，制订切实可行的实施方案，内容至少包括服务范围及标准，工作流程及规范（日常运维流程、应急响应流程），设施设备维护管理（巡查管理、维修管理、运行管理、保养管理），环保与安全要求等方面。</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5.1.1</w:t>
      </w:r>
      <w:r>
        <w:rPr>
          <w:rFonts w:ascii="宋体" w:hAnsi="宋体" w:cs="宋体"/>
          <w:bCs/>
          <w:sz w:val="21"/>
          <w:szCs w:val="21"/>
          <w:highlight w:val="none"/>
        </w:rPr>
        <w:t xml:space="preserve">服务</w:t>
      </w:r>
      <w:r>
        <w:rPr>
          <w:rFonts w:hint="eastAsia" w:ascii="宋体" w:hAnsi="宋体" w:cs="宋体"/>
          <w:sz w:val="21"/>
          <w:szCs w:val="21"/>
          <w:highlight w:val="none"/>
        </w:rPr>
        <w:t xml:space="preserve">范围</w:t>
      </w:r>
      <w:r>
        <w:rPr>
          <w:rFonts w:ascii="宋体" w:hAnsi="宋体" w:cs="宋体"/>
          <w:sz w:val="21"/>
          <w:szCs w:val="21"/>
          <w:highlight w:val="none"/>
        </w:rPr>
        <w:t xml:space="preserve">及</w:t>
      </w:r>
      <w:r>
        <w:rPr>
          <w:rFonts w:ascii="宋体" w:hAnsi="宋体" w:cs="宋体"/>
          <w:bCs/>
          <w:sz w:val="21"/>
          <w:szCs w:val="21"/>
          <w:highlight w:val="none"/>
        </w:rPr>
        <w:t xml:space="preserve">标准</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5.1.1.</w:t>
      </w:r>
      <w:r>
        <w:rPr>
          <w:rFonts w:ascii="宋体" w:hAnsi="宋体" w:cs="宋体"/>
          <w:bCs/>
          <w:sz w:val="21"/>
          <w:szCs w:val="21"/>
          <w:highlight w:val="none"/>
        </w:rPr>
        <w:t xml:space="preserve">1 服务范围</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本项目的运维服务范围全面覆盖盐南高新区伍佑街道的宏心村、珠溪社区、严家村、龙园社区，具体包括：处理设施</w:t>
      </w:r>
      <w:r>
        <w:rPr>
          <w:rFonts w:hint="eastAsia" w:ascii="宋体" w:hAnsi="宋体" w:cs="宋体"/>
          <w:bCs/>
          <w:sz w:val="21"/>
          <w:szCs w:val="21"/>
          <w:highlight w:val="none"/>
        </w:rPr>
        <w:t xml:space="preserve">、</w:t>
      </w:r>
      <w:r>
        <w:rPr>
          <w:rFonts w:ascii="宋体" w:hAnsi="宋体" w:cs="宋体"/>
          <w:bCs/>
          <w:sz w:val="21"/>
          <w:szCs w:val="21"/>
          <w:highlight w:val="none"/>
        </w:rPr>
        <w:t xml:space="preserve">管网系统</w:t>
      </w:r>
      <w:r>
        <w:rPr>
          <w:rFonts w:hint="eastAsia" w:ascii="宋体" w:hAnsi="宋体" w:cs="宋体"/>
          <w:bCs/>
          <w:sz w:val="21"/>
          <w:szCs w:val="21"/>
          <w:highlight w:val="none"/>
        </w:rPr>
        <w:t xml:space="preserve">、</w:t>
      </w:r>
      <w:r>
        <w:rPr>
          <w:rFonts w:ascii="宋体" w:hAnsi="宋体" w:cs="宋体"/>
          <w:bCs/>
          <w:sz w:val="21"/>
          <w:szCs w:val="21"/>
          <w:highlight w:val="none"/>
        </w:rPr>
        <w:t xml:space="preserve">附属构筑物。</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5.1.1.2</w:t>
      </w:r>
      <w:r>
        <w:rPr>
          <w:rFonts w:ascii="宋体" w:hAnsi="宋体" w:cs="宋体"/>
          <w:bCs/>
          <w:sz w:val="21"/>
          <w:szCs w:val="21"/>
          <w:highlight w:val="none"/>
        </w:rPr>
        <w:t xml:space="preserve"> 服务标准</w:t>
      </w:r>
      <w:r>
        <w:rPr>
          <w:rFonts w:hint="eastAsia" w:ascii="宋体" w:hAnsi="宋体" w:cs="宋体"/>
          <w:bCs/>
          <w:sz w:val="21"/>
          <w:szCs w:val="21"/>
          <w:highlight w:val="none"/>
        </w:rPr>
        <w:t xml:space="preserve">至少符合</w:t>
      </w:r>
      <w:r>
        <w:rPr>
          <w:rFonts w:ascii="宋体" w:hAnsi="宋体" w:cs="宋体"/>
          <w:bCs/>
          <w:sz w:val="21"/>
          <w:szCs w:val="21"/>
          <w:highlight w:val="none"/>
        </w:rPr>
        <w:t xml:space="preserve">招标文件要求的标准，</w:t>
      </w:r>
      <w:r>
        <w:rPr>
          <w:rFonts w:hint="eastAsia" w:ascii="宋体" w:hAnsi="宋体" w:cs="宋体"/>
          <w:bCs/>
          <w:sz w:val="21"/>
          <w:szCs w:val="21"/>
          <w:highlight w:val="none"/>
        </w:rPr>
        <w:t xml:space="preserve">并</w:t>
      </w:r>
      <w:r>
        <w:rPr>
          <w:rFonts w:ascii="宋体" w:hAnsi="宋体" w:cs="宋体"/>
          <w:bCs/>
          <w:sz w:val="21"/>
          <w:szCs w:val="21"/>
          <w:highlight w:val="none"/>
        </w:rPr>
        <w:t xml:space="preserve">确保项目稳定、高效、合规运行：</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出水水质标准：严格执行《农村生活污水处理设施水污染物排放标准》（DB32/3462-2020）一级A标准，确保尾水安全用于农田灌溉、绿化、道路降尘或排入附近沟渠。</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设施运行标准</w:t>
      </w:r>
      <w:r>
        <w:rPr>
          <w:rFonts w:hint="eastAsia" w:ascii="宋体" w:hAnsi="宋体" w:cs="宋体"/>
          <w:bCs/>
          <w:sz w:val="21"/>
          <w:szCs w:val="21"/>
          <w:highlight w:val="none"/>
        </w:rPr>
        <w:t xml:space="preserve">至少达到</w:t>
      </w:r>
      <w:r>
        <w:rPr>
          <w:rFonts w:ascii="宋体" w:hAnsi="宋体" w:cs="宋体"/>
          <w:bCs/>
          <w:sz w:val="21"/>
          <w:szCs w:val="21"/>
          <w:highlight w:val="none"/>
        </w:rPr>
        <w:t xml:space="preserve">：设施正常运行率 ≥ 98%</w:t>
      </w:r>
      <w:r>
        <w:rPr>
          <w:rFonts w:hint="eastAsia" w:ascii="宋体" w:hAnsi="宋体" w:cs="宋体"/>
          <w:bCs/>
          <w:sz w:val="21"/>
          <w:szCs w:val="21"/>
          <w:highlight w:val="none"/>
        </w:rPr>
        <w:t xml:space="preserve">；</w:t>
      </w:r>
      <w:r>
        <w:rPr>
          <w:rFonts w:ascii="宋体" w:hAnsi="宋体" w:cs="宋体"/>
          <w:bCs/>
          <w:sz w:val="21"/>
          <w:szCs w:val="21"/>
          <w:highlight w:val="none"/>
        </w:rPr>
        <w:t xml:space="preserve">设备完好率 ≥ 95%</w:t>
      </w:r>
      <w:r>
        <w:rPr>
          <w:rFonts w:hint="eastAsia" w:ascii="宋体" w:hAnsi="宋体" w:cs="宋体"/>
          <w:bCs/>
          <w:sz w:val="21"/>
          <w:szCs w:val="21"/>
          <w:highlight w:val="none"/>
        </w:rPr>
        <w:t xml:space="preserve">；</w:t>
      </w:r>
      <w:r>
        <w:rPr>
          <w:rFonts w:ascii="宋体" w:hAnsi="宋体" w:cs="宋体"/>
          <w:bCs/>
          <w:sz w:val="21"/>
          <w:szCs w:val="21"/>
          <w:highlight w:val="none"/>
        </w:rPr>
        <w:t xml:space="preserve">巡查任务完成率 100%</w:t>
      </w:r>
      <w:r>
        <w:rPr>
          <w:rFonts w:hint="eastAsia" w:ascii="宋体" w:hAnsi="宋体" w:cs="宋体"/>
          <w:bCs/>
          <w:sz w:val="21"/>
          <w:szCs w:val="21"/>
          <w:highlight w:val="none"/>
        </w:rPr>
        <w:t xml:space="preserve">。</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c.</w:t>
      </w:r>
      <w:r>
        <w:rPr>
          <w:rFonts w:ascii="宋体" w:hAnsi="宋体" w:cs="宋体"/>
          <w:bCs/>
          <w:sz w:val="21"/>
          <w:szCs w:val="21"/>
          <w:highlight w:val="none"/>
        </w:rPr>
        <w:t xml:space="preserve">响应与处置标准</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服务响应：设立24小时应急电话，接到异常通知后1小时内作出响应。</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人员到场：运维人员6小时内到达现场进行处置。</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故障修复：一般故障24小时内修复；复杂故障72小时内修复；需大修的，提前2日报备并按程序执行。</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d.</w:t>
      </w:r>
      <w:r>
        <w:rPr>
          <w:rFonts w:ascii="宋体" w:hAnsi="宋体" w:cs="宋体"/>
          <w:bCs/>
          <w:sz w:val="21"/>
          <w:szCs w:val="21"/>
          <w:highlight w:val="none"/>
        </w:rPr>
        <w:t xml:space="preserve">检测与报告标准</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水质自检：</w:t>
      </w:r>
      <w:r>
        <w:rPr>
          <w:rFonts w:hint="eastAsia" w:ascii="宋体" w:hAnsi="宋体" w:cs="宋体"/>
          <w:bCs/>
          <w:sz w:val="21"/>
          <w:szCs w:val="21"/>
          <w:highlight w:val="none"/>
        </w:rPr>
        <w:t xml:space="preserve">每季</w:t>
      </w:r>
      <w:r>
        <w:rPr>
          <w:rFonts w:ascii="宋体" w:hAnsi="宋体" w:cs="宋体"/>
          <w:bCs/>
          <w:sz w:val="21"/>
          <w:szCs w:val="21"/>
          <w:highlight w:val="none"/>
        </w:rPr>
        <w:t xml:space="preserve">度对终端处理设施进行一次水质检测，并记录存档。</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报告备案：每季</w:t>
      </w:r>
      <w:bookmarkStart w:id="130" w:name="OLE_LINK13"/>
      <w:r>
        <w:rPr>
          <w:rFonts w:ascii="宋体" w:hAnsi="宋体" w:cs="宋体"/>
          <w:bCs/>
          <w:sz w:val="21"/>
          <w:szCs w:val="21"/>
          <w:highlight w:val="none"/>
        </w:rPr>
        <w:t xml:space="preserve">度</w:t>
      </w:r>
      <w:bookmarkEnd w:id="130"/>
      <w:r>
        <w:rPr>
          <w:rFonts w:ascii="宋体" w:hAnsi="宋体" w:cs="宋体"/>
          <w:bCs/>
          <w:sz w:val="21"/>
          <w:szCs w:val="21"/>
          <w:highlight w:val="none"/>
        </w:rPr>
        <w:t xml:space="preserve">向采购人及伍佑街道提交运营管护总结和水质监测报告。</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5.1.2</w:t>
      </w:r>
      <w:r>
        <w:rPr>
          <w:rFonts w:ascii="宋体" w:hAnsi="宋体" w:cs="宋体"/>
          <w:bCs/>
          <w:sz w:val="21"/>
          <w:szCs w:val="21"/>
          <w:highlight w:val="none"/>
        </w:rPr>
        <w:t xml:space="preserve">工作流程及规范</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5.1.2.1</w:t>
      </w:r>
      <w:r>
        <w:rPr>
          <w:rFonts w:ascii="宋体" w:hAnsi="宋体" w:cs="宋体"/>
          <w:bCs/>
          <w:sz w:val="21"/>
          <w:szCs w:val="21"/>
          <w:highlight w:val="none"/>
        </w:rPr>
        <w:t xml:space="preserve"> 日常运维流程（标准化闭环管理）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建立“巡检-维护-记录-报告-改进”的标准化闭环工作流程。</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计划性巡检：每周制定并执行覆盖所有设施、管网、检查井的巡查计划。</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标准化操作：严格按照《设备操作规程》进行检查、保养和简单维护。</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c.</w:t>
      </w:r>
      <w:r>
        <w:rPr>
          <w:rFonts w:ascii="宋体" w:hAnsi="宋体" w:cs="宋体"/>
          <w:bCs/>
          <w:sz w:val="21"/>
          <w:szCs w:val="21"/>
          <w:highlight w:val="none"/>
        </w:rPr>
        <w:t xml:space="preserve">实时数据记录：使用移动终端APP实时上传巡检数据、设备状态照片和视频。</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d.</w:t>
      </w:r>
      <w:r>
        <w:rPr>
          <w:rFonts w:ascii="宋体" w:hAnsi="宋体" w:cs="宋体"/>
          <w:bCs/>
          <w:sz w:val="21"/>
          <w:szCs w:val="21"/>
          <w:highlight w:val="none"/>
        </w:rPr>
        <w:t xml:space="preserve">异常情况处理：发现异常立即上报，并启动相应的维修或应急流程。</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e.</w:t>
      </w:r>
      <w:r>
        <w:rPr>
          <w:rFonts w:ascii="宋体" w:hAnsi="宋体" w:cs="宋体"/>
          <w:bCs/>
          <w:sz w:val="21"/>
          <w:szCs w:val="21"/>
          <w:highlight w:val="none"/>
        </w:rPr>
        <w:t xml:space="preserve">周期性总结：每季度进行工作总结，分析问题，优化运维策略。</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5.1.2.</w:t>
      </w:r>
      <w:r>
        <w:rPr>
          <w:rFonts w:ascii="宋体" w:hAnsi="宋体" w:cs="宋体"/>
          <w:bCs/>
          <w:sz w:val="21"/>
          <w:szCs w:val="21"/>
          <w:highlight w:val="none"/>
        </w:rPr>
        <w:t xml:space="preserve">2</w:t>
      </w:r>
      <w:r>
        <w:rPr>
          <w:rFonts w:hint="eastAsia" w:ascii="宋体" w:hAnsi="宋体" w:cs="宋体"/>
          <w:bCs/>
          <w:sz w:val="21"/>
          <w:szCs w:val="21"/>
          <w:highlight w:val="none"/>
        </w:rPr>
        <w:t xml:space="preserve"> </w:t>
      </w:r>
      <w:r>
        <w:rPr>
          <w:rFonts w:ascii="宋体" w:hAnsi="宋体" w:cs="宋体"/>
          <w:bCs/>
          <w:sz w:val="21"/>
          <w:szCs w:val="21"/>
          <w:highlight w:val="none"/>
        </w:rPr>
        <w:t xml:space="preserve">应急响应流程</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接报与响应：24小时值班中心接报后，1小时内确认情况并通知最近运维人员。</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现场处置：人员6小时内抵达，进行初步诊断，设置安全警示，并根据《应急预案》执行抢修。</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c.</w:t>
      </w:r>
      <w:r>
        <w:rPr>
          <w:rFonts w:ascii="宋体" w:hAnsi="宋体" w:cs="宋体"/>
          <w:bCs/>
          <w:sz w:val="21"/>
          <w:szCs w:val="21"/>
          <w:highlight w:val="none"/>
        </w:rPr>
        <w:t xml:space="preserve">资源调配：根据需要，迅速调配吸污车、备用泵、发电机等应急物资。</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d.</w:t>
      </w:r>
      <w:r>
        <w:rPr>
          <w:rFonts w:ascii="宋体" w:hAnsi="宋体" w:cs="宋体"/>
          <w:bCs/>
          <w:sz w:val="21"/>
          <w:szCs w:val="21"/>
          <w:highlight w:val="none"/>
        </w:rPr>
        <w:t xml:space="preserve">事后恢复与报告：故障排除后，清理现场，恢复运行，并在24小时内提交书面应急处理报告。</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5.1.3</w:t>
      </w:r>
      <w:r>
        <w:rPr>
          <w:rFonts w:ascii="宋体" w:hAnsi="宋体" w:cs="宋体"/>
          <w:bCs/>
          <w:sz w:val="21"/>
          <w:szCs w:val="21"/>
          <w:highlight w:val="none"/>
        </w:rPr>
        <w:t xml:space="preserve">设施设备维护管理</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5.1.3.</w:t>
      </w:r>
      <w:r>
        <w:rPr>
          <w:rFonts w:ascii="宋体" w:hAnsi="宋体" w:cs="宋体"/>
          <w:bCs/>
          <w:sz w:val="21"/>
          <w:szCs w:val="21"/>
          <w:highlight w:val="none"/>
        </w:rPr>
        <w:t xml:space="preserve">1 巡查管理</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频率：每周不少于1次全覆盖巡查。雨季、汛期增加至每周2次。</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内容：</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设施：检查结构完整性（渗漏、开裂）、设备运行状态（水泵、风机、仪表）、场地清洁度。</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管网：检查破损、堵塞、漏水、满溢情况。</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检查井/蓄水池：检查井盖完好、防坠网有效、池内淤积情况。</w:t>
      </w:r>
      <w:r/>
    </w:p>
    <w:p>
      <w:pPr>
        <w:ind w:firstLine="480"/>
        <w:spacing w:line="400" w:lineRule="exact"/>
        <w:tabs>
          <w:tab w:val="left" w:pos="720" w:leader="none"/>
        </w:tabs>
        <w:rPr>
          <w:rFonts w:hint="eastAsia" w:ascii="宋体" w:hAnsi="宋体" w:cs="宋体"/>
          <w:bCs/>
          <w:sz w:val="21"/>
          <w:szCs w:val="21"/>
          <w:highlight w:val="none"/>
        </w:rPr>
      </w:pPr>
      <w:r>
        <w:rPr>
          <w:rFonts w:ascii="宋体" w:hAnsi="宋体" w:cs="宋体"/>
          <w:bCs/>
          <w:sz w:val="21"/>
          <w:szCs w:val="21"/>
          <w:highlight w:val="none"/>
        </w:rPr>
        <w:t xml:space="preserve">工具：采用巡检APP，实现GPS定位、扫码打卡、问题拍照上传，确保巡查轨迹和内容真实可溯。</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5.1.3.</w:t>
      </w:r>
      <w:r>
        <w:rPr>
          <w:rFonts w:ascii="宋体" w:hAnsi="宋体" w:cs="宋体"/>
          <w:bCs/>
          <w:sz w:val="21"/>
          <w:szCs w:val="21"/>
          <w:highlight w:val="none"/>
        </w:rPr>
        <w:t xml:space="preserve">2 维修管理</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分级维修：</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小修（&lt;5000元）：由</w:t>
      </w:r>
      <w:r>
        <w:rPr>
          <w:rFonts w:hint="eastAsia" w:ascii="宋体" w:hAnsi="宋体" w:cs="宋体"/>
          <w:bCs/>
          <w:sz w:val="21"/>
          <w:szCs w:val="21"/>
          <w:highlight w:val="none"/>
        </w:rPr>
        <w:t xml:space="preserve">中标</w:t>
      </w:r>
      <w:r>
        <w:rPr>
          <w:rFonts w:ascii="宋体" w:hAnsi="宋体" w:cs="宋体"/>
          <w:bCs/>
          <w:sz w:val="21"/>
          <w:szCs w:val="21"/>
          <w:highlight w:val="none"/>
        </w:rPr>
        <w:t xml:space="preserve">方承担，发现即处理，并记录在案。</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大修（≥5000元）：立即报采购人审核，审核通过后实施，费用由采购人承担。维修前备案，维修后由采购人验收。</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备品备件：建立常用耗材和关键部件（如水泵、膜组件、传感器）的库存，确保48小时内可完成更换。</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5.1.3.</w:t>
      </w:r>
      <w:r>
        <w:rPr>
          <w:rFonts w:ascii="宋体" w:hAnsi="宋体" w:cs="宋体"/>
          <w:bCs/>
          <w:sz w:val="21"/>
          <w:szCs w:val="21"/>
          <w:highlight w:val="none"/>
        </w:rPr>
        <w:t xml:space="preserve">3</w:t>
      </w:r>
      <w:r>
        <w:rPr>
          <w:rFonts w:hint="eastAsia" w:ascii="宋体" w:hAnsi="宋体" w:cs="宋体"/>
          <w:bCs/>
          <w:sz w:val="21"/>
          <w:szCs w:val="21"/>
          <w:highlight w:val="none"/>
        </w:rPr>
        <w:t xml:space="preserve"> </w:t>
      </w:r>
      <w:r>
        <w:rPr>
          <w:rFonts w:ascii="宋体" w:hAnsi="宋体" w:cs="宋体"/>
          <w:bCs/>
          <w:sz w:val="21"/>
          <w:szCs w:val="21"/>
          <w:highlight w:val="none"/>
        </w:rPr>
        <w:t xml:space="preserve">运行管理</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参数优化：根据进水水量水质变化，动态调整一体化设施（AO+MBR）的曝气量、回流比、加药量等运行参数，确保处理效率最高、能耗最低。</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仪表校准：定期对流量计、液位计、在线水质监测仪等仪表进行校准，保证数据准确性。</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c.</w:t>
      </w:r>
      <w:r>
        <w:rPr>
          <w:rFonts w:ascii="宋体" w:hAnsi="宋体" w:cs="宋体"/>
          <w:bCs/>
          <w:sz w:val="21"/>
          <w:szCs w:val="21"/>
          <w:highlight w:val="none"/>
        </w:rPr>
        <w:t xml:space="preserve">季节性管理：冬季做好设备防冻保温，夏季加强格栅清理和蚊蝇防治。</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5.1.3.</w:t>
      </w:r>
      <w:r>
        <w:rPr>
          <w:rFonts w:ascii="宋体" w:hAnsi="宋体" w:cs="宋体"/>
          <w:bCs/>
          <w:sz w:val="21"/>
          <w:szCs w:val="21"/>
          <w:highlight w:val="none"/>
        </w:rPr>
        <w:t xml:space="preserve">4 保养管理</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制定年度保养计划：明确每台设备的保养周期、内容和标准。</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预防性维护：定期对水泵进行绝缘检测和润滑，对MBR膜组件进行在线和离线化学清洗，对电气柜进行除尘和紧固。</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c.</w:t>
      </w:r>
      <w:r>
        <w:rPr>
          <w:rFonts w:ascii="宋体" w:hAnsi="宋体" w:cs="宋体"/>
          <w:bCs/>
          <w:sz w:val="21"/>
          <w:szCs w:val="21"/>
          <w:highlight w:val="none"/>
        </w:rPr>
        <w:t xml:space="preserve">智能化预警：利用历史数据，对设备寿命进行预测，提前安排更换，避免突发故障。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5.1.4</w:t>
      </w:r>
      <w:r>
        <w:rPr>
          <w:rFonts w:ascii="宋体" w:hAnsi="宋体" w:cs="宋体"/>
          <w:bCs/>
          <w:sz w:val="21"/>
          <w:szCs w:val="21"/>
          <w:highlight w:val="none"/>
        </w:rPr>
        <w:t xml:space="preserve"> 环保与安全要求</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5.1.4.</w:t>
      </w:r>
      <w:r>
        <w:rPr>
          <w:rFonts w:ascii="宋体" w:hAnsi="宋体" w:cs="宋体"/>
          <w:bCs/>
          <w:sz w:val="21"/>
          <w:szCs w:val="21"/>
          <w:highlight w:val="none"/>
        </w:rPr>
        <w:t xml:space="preserve">1 环保要求</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固体废物合规处置：栅渣、沉砂及规范化处理后的污泥，将委托有资质的单位进行清运和处置，并建立完整的转移联单台账，确保全过程合法合规。</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绿色运维：</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节能：选用高效节能设备，优化运行方案，降低电耗。</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降耗：使用环境友好型水处理药剂。</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资源化：全力保障尾水用于农灌、绿化和降尘，实现水资源循环利用。</w:t>
      </w:r>
      <w:r/>
    </w:p>
    <w:p>
      <w:pPr>
        <w:ind w:firstLine="480"/>
        <w:spacing w:line="400" w:lineRule="exact"/>
        <w:tabs>
          <w:tab w:val="left" w:pos="720" w:leader="none"/>
        </w:tabs>
        <w:rPr>
          <w:rFonts w:hint="eastAsia" w:ascii="宋体" w:hAnsi="宋体" w:cs="宋体"/>
          <w:bCs/>
          <w:sz w:val="21"/>
          <w:szCs w:val="21"/>
          <w:highlight w:val="none"/>
        </w:rPr>
      </w:pPr>
      <w:r>
        <w:rPr>
          <w:rFonts w:ascii="宋体" w:hAnsi="宋体" w:cs="宋体"/>
          <w:bCs/>
          <w:sz w:val="21"/>
          <w:szCs w:val="21"/>
          <w:highlight w:val="none"/>
        </w:rPr>
        <w:t xml:space="preserve">降噪防扰：对产噪设备进行隔音处理，合理安排高噪音作业时间，避免扰民。</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5.1.4.</w:t>
      </w:r>
      <w:r>
        <w:rPr>
          <w:rFonts w:ascii="宋体" w:hAnsi="宋体" w:cs="宋体"/>
          <w:bCs/>
          <w:sz w:val="21"/>
          <w:szCs w:val="21"/>
          <w:highlight w:val="none"/>
        </w:rPr>
        <w:t xml:space="preserve">2 安全要求</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安全责任制：建立“安全第一，预防为主”的安全生产责任制，项目经理为第一责任人。</w:t>
      </w:r>
      <w:r/>
    </w:p>
    <w:p>
      <w:pPr>
        <w:ind w:firstLine="480"/>
        <w:spacing w:line="400" w:lineRule="exact"/>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安全培训与演练：所有人员持证上岗，定期进行安全（特别是有限空间、用电、高空作业）培训和应急演练。</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c.</w:t>
      </w:r>
      <w:r>
        <w:rPr>
          <w:rFonts w:ascii="宋体" w:hAnsi="宋体" w:cs="宋体"/>
          <w:bCs/>
          <w:sz w:val="21"/>
          <w:szCs w:val="21"/>
          <w:highlight w:val="none"/>
        </w:rPr>
        <w:t xml:space="preserve">现场安全管理：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作业现场设置安全警示牌、围挡。</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配备并强制使用安全帽、反光衣、防护手套、气体检测仪、防毒面具等安全防护用具。</w:t>
      </w:r>
      <w:r/>
    </w:p>
    <w:p>
      <w:pPr>
        <w:ind w:firstLine="480"/>
        <w:spacing w:line="400" w:lineRule="exact"/>
        <w:tabs>
          <w:tab w:val="left" w:pos="1440" w:leader="none"/>
        </w:tabs>
        <w:rPr>
          <w:rFonts w:hint="eastAsia" w:ascii="宋体" w:hAnsi="宋体" w:cs="宋体"/>
          <w:bCs/>
          <w:sz w:val="21"/>
          <w:szCs w:val="21"/>
          <w:highlight w:val="none"/>
        </w:rPr>
      </w:pPr>
      <w:r>
        <w:rPr>
          <w:rFonts w:ascii="宋体" w:hAnsi="宋体" w:cs="宋体"/>
          <w:bCs/>
          <w:sz w:val="21"/>
          <w:szCs w:val="21"/>
          <w:highlight w:val="none"/>
        </w:rPr>
        <w:t xml:space="preserve">严格执行《有限空间作业安全规程》，实行“先通风、再检测、后作业”。</w:t>
      </w:r>
      <w:r/>
    </w:p>
    <w:p>
      <w:pPr>
        <w:ind w:firstLine="480"/>
        <w:spacing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5.2</w:t>
      </w:r>
      <w:bookmarkStart w:id="131" w:name="OLE_LINK56"/>
      <w:r/>
      <w:bookmarkStart w:id="132" w:name="OLE_LINK55"/>
      <w:r>
        <w:rPr>
          <w:rFonts w:hint="eastAsia" w:ascii="宋体" w:hAnsi="宋体" w:cs="宋体"/>
          <w:b/>
          <w:sz w:val="21"/>
          <w:szCs w:val="21"/>
          <w:highlight w:val="none"/>
        </w:rPr>
        <w:t xml:space="preserve">组织机构设置和人员配备</w:t>
      </w:r>
      <w:bookmarkEnd w:id="131"/>
      <w:r/>
      <w:bookmarkEnd w:id="132"/>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供应商应针对本项目的实际情况，制订科学合理、切实可行的组织机构设置和人员配备方案，内容至少包括组织机构设置、人员配备、岗位职责等方面，</w:t>
      </w:r>
      <w:r>
        <w:rPr>
          <w:rFonts w:ascii="宋体" w:hAnsi="宋体" w:cs="宋体"/>
          <w:bCs/>
          <w:sz w:val="21"/>
          <w:szCs w:val="21"/>
          <w:highlight w:val="none"/>
        </w:rPr>
        <w:t xml:space="preserve">确保项目运维工作科学、高效、规范开展。</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5.2.1</w:t>
      </w:r>
      <w:r>
        <w:rPr>
          <w:rFonts w:ascii="宋体" w:hAnsi="宋体" w:cs="宋体"/>
          <w:sz w:val="21"/>
          <w:szCs w:val="21"/>
          <w:highlight w:val="none"/>
        </w:rPr>
        <w:t xml:space="preserve">组织机构设置</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为实现项目运维工作的统一管理、专业分工与高效执行，本项目</w:t>
      </w:r>
      <w:r>
        <w:rPr>
          <w:rFonts w:hint="eastAsia" w:ascii="宋体" w:hAnsi="宋体" w:cs="宋体"/>
          <w:bCs/>
          <w:sz w:val="21"/>
          <w:szCs w:val="21"/>
          <w:highlight w:val="none"/>
        </w:rPr>
        <w:t xml:space="preserve">应</w:t>
      </w:r>
      <w:r>
        <w:rPr>
          <w:rFonts w:ascii="宋体" w:hAnsi="宋体" w:cs="宋体"/>
          <w:bCs/>
          <w:sz w:val="21"/>
          <w:szCs w:val="21"/>
          <w:highlight w:val="none"/>
        </w:rPr>
        <w:t xml:space="preserve">设立</w:t>
      </w:r>
      <w:r>
        <w:rPr>
          <w:rFonts w:ascii="宋体" w:hAnsi="宋体" w:cs="宋体"/>
          <w:b/>
          <w:bCs/>
          <w:sz w:val="21"/>
          <w:szCs w:val="21"/>
          <w:highlight w:val="none"/>
        </w:rPr>
        <w:t xml:space="preserve">项目运维部</w:t>
      </w:r>
      <w:r>
        <w:rPr>
          <w:rFonts w:ascii="宋体" w:hAnsi="宋体" w:cs="宋体"/>
          <w:bCs/>
          <w:sz w:val="21"/>
          <w:szCs w:val="21"/>
          <w:highlight w:val="none"/>
        </w:rPr>
        <w:t xml:space="preserve">，采用“项目经理负责制”的组织架构，下设运维技术组、水质检测组与综合支持岗，形成“一级管理、两级执行”的扁平化管理模式。具体组织结构如下：</w:t>
      </w:r>
      <w:r/>
    </w:p>
    <w:p>
      <w:pPr>
        <w:ind w:firstLine="480"/>
        <w:spacing w:line="400" w:lineRule="exact"/>
        <w:rPr>
          <w:rFonts w:hint="eastAsia" w:ascii="宋体" w:hAnsi="宋体" w:cs="宋体"/>
          <w:bCs/>
          <w:sz w:val="21"/>
          <w:szCs w:val="21"/>
          <w:highlight w:val="none"/>
        </w:rPr>
      </w:pPr>
      <w:r>
        <w:rPr>
          <w:rFonts w:hint="eastAsia" w:ascii="宋体" w:hAnsi="宋体" w:cs="宋体"/>
          <w:sz w:val="21"/>
          <w:szCs w:val="21"/>
          <w:highlight w:val="none"/>
        </w:rPr>
        <w:t xml:space="preserve">5.2.1.</w:t>
      </w:r>
      <w:r>
        <w:rPr>
          <w:rFonts w:hint="eastAsia" w:ascii="宋体" w:hAnsi="宋体" w:cs="宋体"/>
          <w:bCs/>
          <w:sz w:val="21"/>
          <w:szCs w:val="21"/>
          <w:highlight w:val="none"/>
        </w:rPr>
        <w:t xml:space="preserve">1 </w:t>
      </w:r>
      <w:r>
        <w:rPr>
          <w:rFonts w:ascii="宋体" w:hAnsi="宋体" w:cs="宋体"/>
          <w:bCs/>
          <w:sz w:val="21"/>
          <w:szCs w:val="21"/>
          <w:highlight w:val="none"/>
        </w:rPr>
        <w:t xml:space="preserve">项目运维部</w:t>
      </w:r>
      <w:r>
        <w:rPr>
          <w:rFonts w:hint="eastAsia" w:ascii="宋体" w:hAnsi="宋体" w:cs="宋体"/>
          <w:bCs/>
          <w:sz w:val="21"/>
          <w:szCs w:val="21"/>
          <w:highlight w:val="none"/>
        </w:rPr>
        <w:t xml:space="preserve">：</w:t>
      </w:r>
      <w:r>
        <w:rPr>
          <w:rFonts w:ascii="宋体" w:hAnsi="宋体" w:cs="宋体"/>
          <w:bCs/>
          <w:sz w:val="21"/>
          <w:szCs w:val="21"/>
          <w:highlight w:val="none"/>
        </w:rPr>
        <w:t xml:space="preserve">项目经理（1人）</w:t>
      </w:r>
      <w:r>
        <w:rPr>
          <w:rFonts w:hint="eastAsia" w:ascii="宋体" w:hAnsi="宋体" w:cs="宋体"/>
          <w:bCs/>
          <w:sz w:val="21"/>
          <w:szCs w:val="21"/>
          <w:highlight w:val="none"/>
        </w:rPr>
        <w:t xml:space="preserve">；</w:t>
      </w:r>
      <w:r>
        <w:rPr>
          <w:rFonts w:ascii="宋体" w:hAnsi="宋体" w:cs="宋体"/>
          <w:bCs/>
          <w:sz w:val="21"/>
          <w:szCs w:val="21"/>
          <w:highlight w:val="none"/>
        </w:rPr>
        <w:t xml:space="preserve">运维技术组（2人）</w:t>
      </w:r>
      <w:r>
        <w:rPr>
          <w:rFonts w:hint="eastAsia" w:ascii="宋体" w:hAnsi="宋体" w:cs="宋体"/>
          <w:bCs/>
          <w:sz w:val="21"/>
          <w:szCs w:val="21"/>
          <w:highlight w:val="none"/>
        </w:rPr>
        <w:t xml:space="preserve"> </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5.2.1.2 </w:t>
      </w:r>
      <w:r>
        <w:rPr>
          <w:rFonts w:ascii="宋体" w:hAnsi="宋体" w:cs="宋体"/>
          <w:sz w:val="21"/>
          <w:szCs w:val="21"/>
          <w:highlight w:val="none"/>
        </w:rPr>
        <w:t xml:space="preserve">人员配备</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本项目共配备</w:t>
      </w:r>
      <w:r>
        <w:rPr>
          <w:rFonts w:hint="eastAsia" w:ascii="宋体" w:hAnsi="宋体" w:cs="宋体"/>
          <w:b/>
          <w:bCs/>
          <w:sz w:val="21"/>
          <w:szCs w:val="21"/>
          <w:highlight w:val="none"/>
        </w:rPr>
        <w:t xml:space="preserve">3</w:t>
      </w:r>
      <w:r>
        <w:rPr>
          <w:rFonts w:ascii="宋体" w:hAnsi="宋体" w:cs="宋体"/>
          <w:b/>
          <w:bCs/>
          <w:sz w:val="21"/>
          <w:szCs w:val="21"/>
          <w:highlight w:val="none"/>
        </w:rPr>
        <w:t xml:space="preserve">名专职人员</w:t>
      </w:r>
      <w:r>
        <w:rPr>
          <w:rFonts w:ascii="宋体" w:hAnsi="宋体" w:cs="宋体"/>
          <w:bCs/>
          <w:sz w:val="21"/>
          <w:szCs w:val="21"/>
          <w:highlight w:val="none"/>
        </w:rPr>
        <w:t xml:space="preserve">，具体配置如下：</w:t>
      </w:r>
      <w:r/>
    </w:p>
    <w:tbl>
      <w:tblPr>
        <w:tblStyle w:val="722"/>
        <w:tblW w:w="893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418"/>
        <w:gridCol w:w="992"/>
        <w:gridCol w:w="2410"/>
        <w:gridCol w:w="4110"/>
      </w:tblGrid>
      <w:tr>
        <w:trPr>
          <w:tblHeader/>
        </w:trPr>
        <w:tc>
          <w:tcPr>
            <w:tcMar>
              <w:left w:w="0" w:type="dxa"/>
              <w:top w:w="150" w:type="dxa"/>
              <w:right w:w="240" w:type="dxa"/>
              <w:bottom w:w="150" w:type="dxa"/>
            </w:tcMar>
            <w:tcW w:w="1418" w:type="dxa"/>
            <w:vAlign w:val="center"/>
            <w:textDirection w:val="lrTb"/>
            <w:noWrap w:val="false"/>
          </w:tcPr>
          <w:p>
            <w:pPr>
              <w:jc w:val="center"/>
              <w:spacing w:line="280" w:lineRule="exact"/>
              <w:rPr>
                <w:rFonts w:hint="eastAsia" w:ascii="宋体" w:hAnsi="宋体" w:cs="宋体"/>
                <w:b/>
                <w:bCs/>
                <w:sz w:val="21"/>
                <w:szCs w:val="21"/>
                <w:highlight w:val="none"/>
              </w:rPr>
            </w:pPr>
            <w:r>
              <w:rPr>
                <w:rFonts w:ascii="宋体" w:hAnsi="宋体" w:cs="宋体"/>
                <w:b/>
                <w:bCs/>
                <w:sz w:val="21"/>
                <w:szCs w:val="21"/>
                <w:highlight w:val="none"/>
              </w:rPr>
              <w:t xml:space="preserve">岗位名称</w:t>
            </w:r>
            <w:r/>
          </w:p>
        </w:tc>
        <w:tc>
          <w:tcPr>
            <w:tcMar>
              <w:left w:w="240" w:type="dxa"/>
              <w:top w:w="150" w:type="dxa"/>
              <w:right w:w="240" w:type="dxa"/>
              <w:bottom w:w="150" w:type="dxa"/>
            </w:tcMar>
            <w:tcW w:w="992" w:type="dxa"/>
            <w:vAlign w:val="center"/>
            <w:textDirection w:val="lrTb"/>
            <w:noWrap w:val="false"/>
          </w:tcPr>
          <w:p>
            <w:pPr>
              <w:jc w:val="center"/>
              <w:spacing w:line="280" w:lineRule="exact"/>
              <w:rPr>
                <w:rFonts w:hint="eastAsia" w:ascii="宋体" w:hAnsi="宋体" w:cs="宋体"/>
                <w:b/>
                <w:bCs/>
                <w:sz w:val="21"/>
                <w:szCs w:val="21"/>
                <w:highlight w:val="none"/>
              </w:rPr>
            </w:pPr>
            <w:r>
              <w:rPr>
                <w:rFonts w:ascii="宋体" w:hAnsi="宋体" w:cs="宋体"/>
                <w:b/>
                <w:bCs/>
                <w:sz w:val="21"/>
                <w:szCs w:val="21"/>
                <w:highlight w:val="none"/>
              </w:rPr>
              <w:t xml:space="preserve">人数</w:t>
            </w:r>
            <w:r/>
          </w:p>
        </w:tc>
        <w:tc>
          <w:tcPr>
            <w:tcMar>
              <w:left w:w="240" w:type="dxa"/>
              <w:top w:w="150" w:type="dxa"/>
              <w:right w:w="240" w:type="dxa"/>
              <w:bottom w:w="150" w:type="dxa"/>
            </w:tcMar>
            <w:tcW w:w="2410" w:type="dxa"/>
            <w:vAlign w:val="center"/>
            <w:textDirection w:val="lrTb"/>
            <w:noWrap w:val="false"/>
          </w:tcPr>
          <w:p>
            <w:pPr>
              <w:jc w:val="center"/>
              <w:spacing w:line="280" w:lineRule="exact"/>
              <w:rPr>
                <w:rFonts w:hint="eastAsia" w:ascii="宋体" w:hAnsi="宋体" w:cs="宋体"/>
                <w:b/>
                <w:bCs/>
                <w:sz w:val="21"/>
                <w:szCs w:val="21"/>
                <w:highlight w:val="none"/>
              </w:rPr>
            </w:pPr>
            <w:r>
              <w:rPr>
                <w:rFonts w:ascii="宋体" w:hAnsi="宋体" w:cs="宋体"/>
                <w:b/>
                <w:bCs/>
                <w:sz w:val="21"/>
                <w:szCs w:val="21"/>
                <w:highlight w:val="none"/>
              </w:rPr>
              <w:t xml:space="preserve">职责类别</w:t>
            </w:r>
            <w:r/>
          </w:p>
        </w:tc>
        <w:tc>
          <w:tcPr>
            <w:tcMar>
              <w:left w:w="240" w:type="dxa"/>
              <w:top w:w="150" w:type="dxa"/>
              <w:right w:w="240" w:type="dxa"/>
              <w:bottom w:w="150" w:type="dxa"/>
            </w:tcMar>
            <w:tcW w:w="4110" w:type="dxa"/>
            <w:vAlign w:val="center"/>
            <w:textDirection w:val="lrTb"/>
            <w:noWrap w:val="false"/>
          </w:tcPr>
          <w:p>
            <w:pPr>
              <w:jc w:val="center"/>
              <w:spacing w:line="280" w:lineRule="exact"/>
              <w:rPr>
                <w:rFonts w:hint="eastAsia" w:ascii="宋体" w:hAnsi="宋体" w:cs="宋体"/>
                <w:b/>
                <w:bCs/>
                <w:sz w:val="21"/>
                <w:szCs w:val="21"/>
                <w:highlight w:val="none"/>
              </w:rPr>
            </w:pPr>
            <w:r>
              <w:rPr>
                <w:rFonts w:ascii="宋体" w:hAnsi="宋体" w:cs="宋体"/>
                <w:b/>
                <w:bCs/>
                <w:sz w:val="21"/>
                <w:szCs w:val="21"/>
                <w:highlight w:val="none"/>
              </w:rPr>
              <w:t xml:space="preserve">备注</w:t>
            </w:r>
            <w:r/>
          </w:p>
        </w:tc>
      </w:tr>
      <w:tr>
        <w:trPr/>
        <w:tc>
          <w:tcPr>
            <w:tcMar>
              <w:left w:w="0" w:type="dxa"/>
              <w:top w:w="150" w:type="dxa"/>
              <w:right w:w="240" w:type="dxa"/>
              <w:bottom w:w="150" w:type="dxa"/>
            </w:tcMar>
            <w:tcW w:w="1418" w:type="dxa"/>
            <w:vAlign w:val="center"/>
            <w:textDirection w:val="lrTb"/>
            <w:noWrap w:val="false"/>
          </w:tcPr>
          <w:p>
            <w:pPr>
              <w:jc w:val="center"/>
              <w:spacing w:line="280" w:lineRule="exact"/>
              <w:rPr>
                <w:rFonts w:hint="eastAsia" w:ascii="宋体" w:hAnsi="宋体" w:cs="宋体"/>
                <w:bCs/>
                <w:sz w:val="21"/>
                <w:szCs w:val="21"/>
                <w:highlight w:val="none"/>
              </w:rPr>
            </w:pPr>
            <w:r>
              <w:rPr>
                <w:rFonts w:ascii="宋体" w:hAnsi="宋体" w:cs="宋体"/>
                <w:bCs/>
                <w:sz w:val="21"/>
                <w:szCs w:val="21"/>
                <w:highlight w:val="none"/>
              </w:rPr>
              <w:t xml:space="preserve">项目经理</w:t>
            </w:r>
            <w:r/>
          </w:p>
        </w:tc>
        <w:tc>
          <w:tcPr>
            <w:tcMar>
              <w:left w:w="240" w:type="dxa"/>
              <w:top w:w="150" w:type="dxa"/>
              <w:right w:w="240" w:type="dxa"/>
              <w:bottom w:w="150" w:type="dxa"/>
            </w:tcMar>
            <w:tcW w:w="992" w:type="dxa"/>
            <w:vAlign w:val="center"/>
            <w:textDirection w:val="lrTb"/>
            <w:noWrap w:val="false"/>
          </w:tcPr>
          <w:p>
            <w:pPr>
              <w:jc w:val="center"/>
              <w:spacing w:line="280" w:lineRule="exact"/>
              <w:rPr>
                <w:rFonts w:hint="eastAsia" w:ascii="宋体" w:hAnsi="宋体" w:cs="宋体"/>
                <w:bCs/>
                <w:sz w:val="21"/>
                <w:szCs w:val="21"/>
                <w:highlight w:val="none"/>
              </w:rPr>
            </w:pPr>
            <w:r>
              <w:rPr>
                <w:rFonts w:ascii="宋体" w:hAnsi="宋体" w:cs="宋体"/>
                <w:bCs/>
                <w:sz w:val="21"/>
                <w:szCs w:val="21"/>
                <w:highlight w:val="none"/>
              </w:rPr>
              <w:t xml:space="preserve">1</w:t>
            </w:r>
            <w:r/>
          </w:p>
        </w:tc>
        <w:tc>
          <w:tcPr>
            <w:tcMar>
              <w:left w:w="240" w:type="dxa"/>
              <w:top w:w="150" w:type="dxa"/>
              <w:right w:w="240" w:type="dxa"/>
              <w:bottom w:w="150" w:type="dxa"/>
            </w:tcMar>
            <w:tcW w:w="2410" w:type="dxa"/>
            <w:vAlign w:val="center"/>
            <w:textDirection w:val="lrTb"/>
            <w:noWrap w:val="false"/>
          </w:tcPr>
          <w:p>
            <w:pPr>
              <w:spacing w:line="280" w:lineRule="exact"/>
              <w:rPr>
                <w:rFonts w:hint="eastAsia" w:ascii="宋体" w:hAnsi="宋体" w:cs="宋体"/>
                <w:bCs/>
                <w:sz w:val="21"/>
                <w:szCs w:val="21"/>
                <w:highlight w:val="none"/>
              </w:rPr>
            </w:pPr>
            <w:r>
              <w:rPr>
                <w:rFonts w:ascii="宋体" w:hAnsi="宋体" w:cs="宋体"/>
                <w:bCs/>
                <w:sz w:val="21"/>
                <w:szCs w:val="21"/>
                <w:highlight w:val="none"/>
              </w:rPr>
              <w:t xml:space="preserve">管理统筹</w:t>
            </w:r>
            <w:r/>
          </w:p>
        </w:tc>
        <w:tc>
          <w:tcPr>
            <w:tcMar>
              <w:left w:w="240" w:type="dxa"/>
              <w:top w:w="150" w:type="dxa"/>
              <w:right w:w="0" w:type="dxa"/>
              <w:bottom w:w="150" w:type="dxa"/>
            </w:tcMar>
            <w:tcW w:w="4110" w:type="dxa"/>
            <w:vAlign w:val="center"/>
            <w:textDirection w:val="lrTb"/>
            <w:noWrap w:val="false"/>
          </w:tcPr>
          <w:p>
            <w:pPr>
              <w:spacing w:line="280" w:lineRule="exact"/>
              <w:rPr>
                <w:rFonts w:hint="eastAsia" w:ascii="宋体" w:hAnsi="宋体" w:cs="宋体"/>
                <w:bCs/>
                <w:sz w:val="21"/>
                <w:szCs w:val="21"/>
                <w:highlight w:val="none"/>
              </w:rPr>
            </w:pPr>
            <w:r>
              <w:rPr>
                <w:rFonts w:ascii="宋体" w:hAnsi="宋体" w:cs="宋体"/>
                <w:bCs/>
                <w:sz w:val="21"/>
                <w:szCs w:val="21"/>
                <w:highlight w:val="none"/>
              </w:rPr>
              <w:t xml:space="preserve">全面负责项目运维管理</w:t>
            </w:r>
            <w:r/>
          </w:p>
        </w:tc>
      </w:tr>
      <w:tr>
        <w:trPr/>
        <w:tc>
          <w:tcPr>
            <w:tcMar>
              <w:left w:w="0" w:type="dxa"/>
              <w:top w:w="150" w:type="dxa"/>
              <w:right w:w="240" w:type="dxa"/>
              <w:bottom w:w="150" w:type="dxa"/>
            </w:tcMar>
            <w:tcW w:w="1418" w:type="dxa"/>
            <w:vAlign w:val="center"/>
            <w:textDirection w:val="lrTb"/>
            <w:noWrap w:val="false"/>
          </w:tcPr>
          <w:p>
            <w:pPr>
              <w:jc w:val="center"/>
              <w:spacing w:line="280" w:lineRule="exact"/>
              <w:rPr>
                <w:rFonts w:hint="eastAsia" w:ascii="宋体" w:hAnsi="宋体" w:cs="宋体"/>
                <w:bCs/>
                <w:sz w:val="21"/>
                <w:szCs w:val="21"/>
                <w:highlight w:val="none"/>
              </w:rPr>
            </w:pPr>
            <w:r>
              <w:rPr>
                <w:rFonts w:ascii="宋体" w:hAnsi="宋体" w:cs="宋体"/>
                <w:bCs/>
                <w:sz w:val="21"/>
                <w:szCs w:val="21"/>
                <w:highlight w:val="none"/>
              </w:rPr>
              <w:t xml:space="preserve">运维技术员</w:t>
            </w:r>
            <w:r/>
          </w:p>
        </w:tc>
        <w:tc>
          <w:tcPr>
            <w:tcMar>
              <w:left w:w="240" w:type="dxa"/>
              <w:top w:w="150" w:type="dxa"/>
              <w:right w:w="240" w:type="dxa"/>
              <w:bottom w:w="150" w:type="dxa"/>
            </w:tcMar>
            <w:tcW w:w="992" w:type="dxa"/>
            <w:vAlign w:val="center"/>
            <w:textDirection w:val="lrTb"/>
            <w:noWrap w:val="false"/>
          </w:tcPr>
          <w:p>
            <w:pPr>
              <w:jc w:val="center"/>
              <w:spacing w:line="280" w:lineRule="exact"/>
              <w:rPr>
                <w:rFonts w:hint="eastAsia" w:ascii="宋体" w:hAnsi="宋体" w:cs="宋体"/>
                <w:bCs/>
                <w:sz w:val="21"/>
                <w:szCs w:val="21"/>
                <w:highlight w:val="none"/>
              </w:rPr>
            </w:pPr>
            <w:r>
              <w:rPr>
                <w:rFonts w:ascii="宋体" w:hAnsi="宋体" w:cs="宋体"/>
                <w:bCs/>
                <w:sz w:val="21"/>
                <w:szCs w:val="21"/>
                <w:highlight w:val="none"/>
              </w:rPr>
              <w:t xml:space="preserve">2</w:t>
            </w:r>
            <w:r/>
          </w:p>
        </w:tc>
        <w:tc>
          <w:tcPr>
            <w:tcMar>
              <w:left w:w="240" w:type="dxa"/>
              <w:top w:w="150" w:type="dxa"/>
              <w:right w:w="240" w:type="dxa"/>
              <w:bottom w:w="150" w:type="dxa"/>
            </w:tcMar>
            <w:tcW w:w="2410" w:type="dxa"/>
            <w:vAlign w:val="center"/>
            <w:textDirection w:val="lrTb"/>
            <w:noWrap w:val="false"/>
          </w:tcPr>
          <w:p>
            <w:pPr>
              <w:spacing w:line="280" w:lineRule="exact"/>
              <w:rPr>
                <w:rFonts w:hint="eastAsia" w:ascii="宋体" w:hAnsi="宋体" w:cs="宋体"/>
                <w:bCs/>
                <w:sz w:val="21"/>
                <w:szCs w:val="21"/>
                <w:highlight w:val="none"/>
              </w:rPr>
            </w:pPr>
            <w:r>
              <w:rPr>
                <w:rFonts w:ascii="宋体" w:hAnsi="宋体" w:cs="宋体"/>
                <w:bCs/>
                <w:sz w:val="21"/>
                <w:szCs w:val="21"/>
                <w:highlight w:val="none"/>
              </w:rPr>
              <w:t xml:space="preserve">技术运维</w:t>
            </w:r>
            <w:r/>
          </w:p>
        </w:tc>
        <w:tc>
          <w:tcPr>
            <w:tcMar>
              <w:left w:w="240" w:type="dxa"/>
              <w:top w:w="150" w:type="dxa"/>
              <w:right w:w="0" w:type="dxa"/>
              <w:bottom w:w="150" w:type="dxa"/>
            </w:tcMar>
            <w:tcW w:w="4110" w:type="dxa"/>
            <w:vAlign w:val="center"/>
            <w:textDirection w:val="lrTb"/>
            <w:noWrap w:val="false"/>
          </w:tcPr>
          <w:p>
            <w:pPr>
              <w:spacing w:line="280" w:lineRule="exact"/>
              <w:rPr>
                <w:rFonts w:hint="eastAsia" w:ascii="宋体" w:hAnsi="宋体" w:cs="宋体"/>
                <w:bCs/>
                <w:sz w:val="21"/>
                <w:szCs w:val="21"/>
                <w:highlight w:val="none"/>
              </w:rPr>
            </w:pPr>
            <w:r>
              <w:rPr>
                <w:rFonts w:ascii="宋体" w:hAnsi="宋体" w:cs="宋体"/>
                <w:bCs/>
                <w:sz w:val="21"/>
                <w:szCs w:val="21"/>
                <w:highlight w:val="none"/>
              </w:rPr>
              <w:t xml:space="preserve">分区域负责设施巡查、维修、保养</w:t>
            </w:r>
            <w:r/>
          </w:p>
        </w:tc>
      </w:tr>
    </w:tbl>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注：所有人员均具备相关岗位工作经验，持证上岗，并接受岗前培训。</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5.2.1.3 </w:t>
      </w:r>
      <w:r>
        <w:rPr>
          <w:rFonts w:ascii="宋体" w:hAnsi="宋体" w:cs="宋体"/>
          <w:sz w:val="21"/>
          <w:szCs w:val="21"/>
          <w:highlight w:val="none"/>
        </w:rPr>
        <w:t xml:space="preserve">岗位职责说明</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a.</w:t>
      </w:r>
      <w:r>
        <w:rPr>
          <w:rFonts w:ascii="宋体" w:hAnsi="宋体" w:cs="宋体"/>
          <w:bCs/>
          <w:sz w:val="21"/>
          <w:szCs w:val="21"/>
          <w:highlight w:val="none"/>
        </w:rPr>
        <w:t xml:space="preserve">项目经理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全面负责项目运维工作的组织、协调与实施；制定运维计划、应急预案并组织实施；负责与采购人、街道、社区等外部单位的沟通协调；组织项目例会、培训与考核工作；监督运维质量，确保出水水质达标、设施正常运行；负责项目台账、报告的审核与报送。</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b</w:t>
      </w:r>
      <w:r>
        <w:rPr>
          <w:rFonts w:ascii="宋体" w:hAnsi="宋体" w:cs="宋体"/>
          <w:bCs/>
          <w:sz w:val="21"/>
          <w:szCs w:val="21"/>
          <w:highlight w:val="none"/>
        </w:rPr>
        <w:t xml:space="preserve">. 运维技术员</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负责污水设施、管网、泵站、检查井等的日常巡查与维护；执行设备保养、故障排查与维修工作；记录运维数据，填写巡查日志与维修报告；配合应急抢修工作，确保故障及时处理；协助水质检测员进行采样与现场检测。</w:t>
      </w:r>
      <w:r/>
    </w:p>
    <w:p>
      <w:pPr>
        <w:ind w:firstLine="480"/>
        <w:spacing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5.3管理服务模式</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为保障伍佑街道农村生活污水处理设施运维项目的长效稳定运行，</w:t>
      </w:r>
      <w:r>
        <w:rPr>
          <w:rFonts w:hint="eastAsia" w:ascii="宋体" w:hAnsi="宋体" w:cs="宋体"/>
          <w:bCs/>
          <w:sz w:val="21"/>
          <w:szCs w:val="21"/>
          <w:highlight w:val="none"/>
        </w:rPr>
        <w:t xml:space="preserve">供应商应根据采购需求和本项目实际，提供科学合理、切实可行的管理服务模式方案，</w:t>
      </w:r>
      <w:bookmarkStart w:id="133" w:name="OLE_LINK26"/>
      <w:r/>
      <w:bookmarkStart w:id="134" w:name="OLE_LINK25"/>
      <w:r>
        <w:rPr>
          <w:rFonts w:hint="eastAsia" w:ascii="宋体" w:hAnsi="宋体" w:cs="宋体"/>
          <w:bCs/>
          <w:sz w:val="21"/>
          <w:szCs w:val="21"/>
          <w:highlight w:val="none"/>
        </w:rPr>
        <w:t xml:space="preserve">方案至少包括管理模式、运作流程、管理机制、项目支持与保障等方面。</w:t>
      </w:r>
      <w:bookmarkEnd w:id="133"/>
      <w:r/>
      <w:bookmarkEnd w:id="134"/>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5.3.1管理模式</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 </w:t>
      </w:r>
      <w:r>
        <w:rPr>
          <w:rFonts w:ascii="宋体" w:hAnsi="宋体" w:cs="宋体"/>
          <w:bCs/>
          <w:sz w:val="21"/>
          <w:szCs w:val="21"/>
          <w:highlight w:val="none"/>
        </w:rPr>
        <w:t xml:space="preserve">本项目采用“矩阵式扁平化管理”模式，即“公司总部资源支撑 + 项目经理全权负责 + 现场团队分区执行”的三级联动结构。</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5.3.1.1 </w:t>
      </w:r>
      <w:r>
        <w:rPr>
          <w:rFonts w:ascii="宋体" w:hAnsi="宋体" w:cs="宋体"/>
          <w:bCs/>
          <w:sz w:val="21"/>
          <w:szCs w:val="21"/>
          <w:highlight w:val="none"/>
        </w:rPr>
        <w:t xml:space="preserve">公司总部支撑层</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由公司高层管理和技术专家组成，负责提供战略指导、重大技术支援、资金保障、后备人力资源及关键设备调配，是项目运行的坚强后盾。</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5.3.1.2 </w:t>
      </w:r>
      <w:r>
        <w:rPr>
          <w:rFonts w:ascii="宋体" w:hAnsi="宋体" w:cs="宋体"/>
          <w:bCs/>
          <w:sz w:val="21"/>
          <w:szCs w:val="21"/>
          <w:highlight w:val="none"/>
        </w:rPr>
        <w:t xml:space="preserve">项目管理层（核心）</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派驻现场的项目经理作为项目唯一负责人和总协调人，对采购人（甲方）全权负责。</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项目经理拥有现场人事、财务、技术的决策权与执行权，确保指令畅通、决策高效，避免多层汇报带来的效率损失。</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5.3.1.3 </w:t>
      </w:r>
      <w:r>
        <w:rPr>
          <w:rFonts w:ascii="宋体" w:hAnsi="宋体" w:cs="宋体"/>
          <w:bCs/>
          <w:sz w:val="21"/>
          <w:szCs w:val="21"/>
          <w:highlight w:val="none"/>
        </w:rPr>
        <w:t xml:space="preserve">现场执行层</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运维团队</w:t>
      </w:r>
      <w:r>
        <w:rPr>
          <w:rFonts w:hint="eastAsia" w:ascii="宋体" w:hAnsi="宋体" w:cs="宋体"/>
          <w:bCs/>
          <w:sz w:val="21"/>
          <w:szCs w:val="21"/>
          <w:highlight w:val="none"/>
        </w:rPr>
        <w:t xml:space="preserve">应</w:t>
      </w:r>
      <w:r>
        <w:rPr>
          <w:rFonts w:ascii="宋体" w:hAnsi="宋体" w:cs="宋体"/>
          <w:bCs/>
          <w:sz w:val="21"/>
          <w:szCs w:val="21"/>
          <w:highlight w:val="none"/>
        </w:rPr>
        <w:t xml:space="preserve">按“专业分工、区域包干” 相结合的方式组织。</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专业分工：设立技术组、水质检测岗，确保专业技术深度。</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区域包干：将宏心村、珠溪社区、严家村、龙园社区划分为若干责任区，指定专人负责该区域的日常巡查、简单维护与问题初步排查，实现网格化精细管理。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此模式确保了管理的垂直高效与技术的横向协同，既能快速响应现场需求，又能获得公司层面的全面支持。</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5.3.2 </w:t>
      </w:r>
      <w:r>
        <w:rPr>
          <w:rFonts w:ascii="宋体" w:hAnsi="宋体" w:cs="宋体"/>
          <w:bCs/>
          <w:sz w:val="21"/>
          <w:szCs w:val="21"/>
          <w:highlight w:val="none"/>
        </w:rPr>
        <w:t xml:space="preserve">运作流程</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本项目运维服务遵循 “PDCA循环”（计划-执行-检查-处理） 的闭环管理流程，具体运作流程如下：</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5.3.2.1</w:t>
      </w:r>
      <w:r>
        <w:rPr>
          <w:rFonts w:ascii="宋体" w:hAnsi="宋体" w:cs="宋体"/>
          <w:bCs/>
          <w:sz w:val="21"/>
          <w:szCs w:val="21"/>
          <w:highlight w:val="none"/>
        </w:rPr>
        <w:t xml:space="preserve">计划阶段 (Plan)：</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年度/季度计划：根据合同要求和设施现状，制定年度运维大纲及季度重点工作计划。</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周计划：每周五制定下一周的详细巡查、保养、检测工作计划，明确任务、人员、时间和标准。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应急计划：常备不懈，定期更新应急预案，确保应急物资和设备处于良好状态。</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5.3.2.2</w:t>
      </w:r>
      <w:r>
        <w:rPr>
          <w:rFonts w:ascii="宋体" w:hAnsi="宋体" w:cs="宋体"/>
          <w:bCs/>
          <w:sz w:val="21"/>
          <w:szCs w:val="21"/>
          <w:highlight w:val="none"/>
        </w:rPr>
        <w:t xml:space="preserve">执行阶段 (Do)：</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标准化作业：所有运维操作（如巡查、设备保养、水质采样、数据记录）均严格按照既定的《运维作业指导书》执行。</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智能化辅助：运用运维管理APP进行任务派发、现场打卡、数据上传、问题上报，实现过程留痕、实时监控。</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闭环化处理：对于发现的问题，执行“发现 → 上报 → 处理 → 验证 → 记录”的闭环处理流程。</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5.3.2.3</w:t>
      </w:r>
      <w:r>
        <w:rPr>
          <w:rFonts w:ascii="宋体" w:hAnsi="宋体" w:cs="宋体"/>
          <w:bCs/>
          <w:sz w:val="21"/>
          <w:szCs w:val="21"/>
          <w:highlight w:val="none"/>
        </w:rPr>
        <w:t xml:space="preserve">检查阶段 (Check)：三级检查机制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员工自检：运维人员对当日工作完成质量和记录准确性进行自查。</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技术负责人巡检：技术负责人定期对各站点工作质量进行抽查和复核。</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项目经理督查：项目经理不定期对全线运维状况、台账记录、现场环境进行综合督查。</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对标考核：每月依据甲方《运维服务考核表》进行内部模拟考评，提前发现并弥补不足。</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5.3.2.4</w:t>
      </w:r>
      <w:r>
        <w:rPr>
          <w:rFonts w:ascii="宋体" w:hAnsi="宋体" w:cs="宋体"/>
          <w:bCs/>
          <w:sz w:val="21"/>
          <w:szCs w:val="21"/>
          <w:highlight w:val="none"/>
        </w:rPr>
        <w:t xml:space="preserve">处理阶段 (Act)：</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每周例会：总结本周工作，分析存在问题，制定改进措施，并部署下周任务。</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持续改进：对检查阶段发现的系统性或反复出现的问题，进行根源分析，修订工作方案或制度，实现管理水平的螺旋式上升。</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5.3.3 </w:t>
      </w:r>
      <w:r>
        <w:rPr>
          <w:rFonts w:ascii="宋体" w:hAnsi="宋体" w:cs="宋体"/>
          <w:bCs/>
          <w:sz w:val="21"/>
          <w:szCs w:val="21"/>
          <w:highlight w:val="none"/>
        </w:rPr>
        <w:t xml:space="preserve">管理机制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为确保管理模式和运作流程的有效落地，建立并实施以下四大核心管理机制：</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5.3.3.1 </w:t>
      </w:r>
      <w:r>
        <w:rPr>
          <w:rFonts w:ascii="宋体" w:hAnsi="宋体" w:cs="宋体"/>
          <w:bCs/>
          <w:sz w:val="21"/>
          <w:szCs w:val="21"/>
          <w:highlight w:val="none"/>
        </w:rPr>
        <w:t xml:space="preserve">常态化沟通协调机制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内部沟通：建立项目工作群，确保指令、信息在团队内部即时传递。每日进行晨会布置，每周召开周会总结。</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对外沟通：</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定期汇报：按季度向采购人及伍佑街道提交运维总结和水质监测报告。</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主动对接：项目经理作为指定联络人，主动、定期与甲方及相关社区（村）保持沟通，及时了解需求和反馈。</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公众沟通：公开应急服务电话，建立与受益农户的沟通渠道，及时响应和处理群众诉求。</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5.3.3.2 </w:t>
      </w:r>
      <w:r>
        <w:rPr>
          <w:rFonts w:ascii="宋体" w:hAnsi="宋体" w:cs="宋体"/>
          <w:bCs/>
          <w:sz w:val="21"/>
          <w:szCs w:val="21"/>
          <w:highlight w:val="none"/>
        </w:rPr>
        <w:t xml:space="preserve">预防性运维管理机制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变“被动维修”为“主动预防”。通过高频次的定期巡查、按计划的设备保养、关键运行参数的趋势分析，提前发现故障隐患，将问题消灭在萌芽状态。</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建立设备生命周期档案，预测性更换易损件，避免设备突发性停机。</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5.3.3.3 </w:t>
      </w:r>
      <w:r>
        <w:rPr>
          <w:rFonts w:ascii="宋体" w:hAnsi="宋体" w:cs="宋体"/>
          <w:bCs/>
          <w:sz w:val="21"/>
          <w:szCs w:val="21"/>
          <w:highlight w:val="none"/>
        </w:rPr>
        <w:t xml:space="preserve">监督与考核激励机制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内部考核：将甲方的考核标准细化、量化到每个岗位和个人，考核结果与绩效工资、评优评先直接挂钩。</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正向激励：设立“运维标兵”、“安全之星”等奖项，激发员工工作积极性和责任心。</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责任追究：对因工作失误造成服务质量问题或甲方考核扣分的，明确责任，予以相应处理。</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5.3.3.4 </w:t>
      </w:r>
      <w:r>
        <w:rPr>
          <w:rFonts w:ascii="宋体" w:hAnsi="宋体" w:cs="宋体"/>
          <w:bCs/>
          <w:sz w:val="21"/>
          <w:szCs w:val="21"/>
          <w:highlight w:val="none"/>
        </w:rPr>
        <w:t xml:space="preserve">应急快速响应机制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24小时值班：设立并公开24小时应急电话，确保不漏接任何报警信息。</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分级响应：根据事件紧急程度和影响范围，启动不同级别的应急响应程序。</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资源保障：常设应急小组，备有充足的应急物资和抢修工具，车辆随时待命，确保严格执行“1小时内响应、6小时内到场”的承诺。</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5.3.4 </w:t>
      </w:r>
      <w:r>
        <w:rPr>
          <w:rFonts w:ascii="宋体" w:hAnsi="宋体" w:cs="宋体"/>
          <w:bCs/>
          <w:sz w:val="21"/>
          <w:szCs w:val="21"/>
          <w:highlight w:val="none"/>
        </w:rPr>
        <w:t xml:space="preserve">项目支持与保障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为本项目提供全方位、强有力的支持与保障。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5.3.4.1</w:t>
      </w:r>
      <w:r>
        <w:rPr>
          <w:rFonts w:ascii="宋体" w:hAnsi="宋体" w:cs="宋体"/>
          <w:bCs/>
          <w:sz w:val="21"/>
          <w:szCs w:val="21"/>
          <w:highlight w:val="none"/>
        </w:rPr>
        <w:t xml:space="preserve">技术保障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w:t>
      </w:r>
      <w:r>
        <w:rPr>
          <w:rFonts w:ascii="宋体" w:hAnsi="宋体" w:cs="宋体"/>
          <w:bCs/>
          <w:sz w:val="21"/>
          <w:szCs w:val="21"/>
          <w:highlight w:val="none"/>
        </w:rPr>
        <w:t xml:space="preserve">总部技术专家库</w:t>
      </w:r>
      <w:r>
        <w:rPr>
          <w:rFonts w:hint="eastAsia" w:ascii="宋体" w:hAnsi="宋体" w:cs="宋体"/>
          <w:bCs/>
          <w:sz w:val="21"/>
          <w:szCs w:val="21"/>
          <w:highlight w:val="none"/>
        </w:rPr>
        <w:t xml:space="preserve">应</w:t>
      </w:r>
      <w:r>
        <w:rPr>
          <w:rFonts w:ascii="宋体" w:hAnsi="宋体" w:cs="宋体"/>
          <w:bCs/>
          <w:sz w:val="21"/>
          <w:szCs w:val="21"/>
          <w:highlight w:val="none"/>
        </w:rPr>
        <w:t xml:space="preserve">将作为本项目的“智囊团”，提供远程技术支持和重大故障的现场会诊。</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定期组织新技术、新工艺的内部培训，提升团队整体技术水平。</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5.3.4.2</w:t>
      </w:r>
      <w:r>
        <w:rPr>
          <w:rFonts w:ascii="宋体" w:hAnsi="宋体" w:cs="宋体"/>
          <w:bCs/>
          <w:sz w:val="21"/>
          <w:szCs w:val="21"/>
          <w:highlight w:val="none"/>
        </w:rPr>
        <w:t xml:space="preserve">人力资源保障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w:t>
      </w:r>
      <w:r>
        <w:rPr>
          <w:rFonts w:ascii="宋体" w:hAnsi="宋体" w:cs="宋体"/>
          <w:bCs/>
          <w:sz w:val="21"/>
          <w:szCs w:val="21"/>
          <w:highlight w:val="none"/>
        </w:rPr>
        <w:t xml:space="preserve">配备的项目团队成员均</w:t>
      </w:r>
      <w:r>
        <w:rPr>
          <w:rFonts w:hint="eastAsia" w:ascii="宋体" w:hAnsi="宋体" w:cs="宋体"/>
          <w:bCs/>
          <w:sz w:val="21"/>
          <w:szCs w:val="21"/>
          <w:highlight w:val="none"/>
        </w:rPr>
        <w:t xml:space="preserve">应</w:t>
      </w:r>
      <w:r>
        <w:rPr>
          <w:rFonts w:ascii="宋体" w:hAnsi="宋体" w:cs="宋体"/>
          <w:bCs/>
          <w:sz w:val="21"/>
          <w:szCs w:val="21"/>
          <w:highlight w:val="none"/>
        </w:rPr>
        <w:t xml:space="preserve">具备相关经验和资质，并实行AB角备份，确保关键岗位不空缺。</w:t>
      </w:r>
      <w:r/>
    </w:p>
    <w:p>
      <w:pPr>
        <w:ind w:firstLine="480"/>
        <w:spacing w:line="400" w:lineRule="exact"/>
        <w:rPr>
          <w:rFonts w:hint="eastAsia" w:ascii="宋体" w:hAnsi="宋体" w:cs="宋体"/>
          <w:bCs/>
          <w:sz w:val="21"/>
          <w:szCs w:val="21"/>
          <w:highlight w:val="none"/>
        </w:rPr>
      </w:pPr>
      <w:r/>
      <w:bookmarkStart w:id="135" w:name="OLE_LINK40"/>
      <w:r/>
      <w:bookmarkStart w:id="136" w:name="OLE_LINK39"/>
      <w:r/>
      <w:bookmarkStart w:id="137" w:name="OLE_LINK41"/>
      <w:r>
        <w:rPr>
          <w:rFonts w:hint="eastAsia" w:ascii="宋体" w:hAnsi="宋体" w:cs="宋体"/>
          <w:bCs/>
          <w:sz w:val="21"/>
          <w:szCs w:val="21"/>
          <w:highlight w:val="none"/>
        </w:rPr>
        <w:t xml:space="preserve">供应商应</w:t>
      </w:r>
      <w:bookmarkEnd w:id="135"/>
      <w:r/>
      <w:bookmarkEnd w:id="136"/>
      <w:r/>
      <w:bookmarkEnd w:id="137"/>
      <w:r>
        <w:rPr>
          <w:rFonts w:ascii="宋体" w:hAnsi="宋体" w:cs="宋体"/>
          <w:bCs/>
          <w:sz w:val="21"/>
          <w:szCs w:val="21"/>
          <w:highlight w:val="none"/>
        </w:rPr>
        <w:t xml:space="preserve">建立人才储备池，可根据项目需要，随时增派合格人员。</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5.3.4.3</w:t>
      </w:r>
      <w:r>
        <w:rPr>
          <w:rFonts w:ascii="宋体" w:hAnsi="宋体" w:cs="宋体"/>
          <w:bCs/>
          <w:sz w:val="21"/>
          <w:szCs w:val="21"/>
          <w:highlight w:val="none"/>
        </w:rPr>
        <w:t xml:space="preserve">物资与装备保障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确保维护车、吸污车、检测设备等投入到位且性能良好。</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在</w:t>
      </w:r>
      <w:r>
        <w:rPr>
          <w:rFonts w:hint="eastAsia" w:ascii="宋体" w:hAnsi="宋体" w:cs="宋体"/>
          <w:bCs/>
          <w:sz w:val="21"/>
          <w:szCs w:val="21"/>
          <w:highlight w:val="none"/>
        </w:rPr>
        <w:t xml:space="preserve">本地</w:t>
      </w:r>
      <w:r>
        <w:rPr>
          <w:rFonts w:ascii="宋体" w:hAnsi="宋体" w:cs="宋体"/>
          <w:bCs/>
          <w:sz w:val="21"/>
          <w:szCs w:val="21"/>
          <w:highlight w:val="none"/>
        </w:rPr>
        <w:t xml:space="preserve">设立备品备件库，存储常用的泵机、阀门、传感器等，确保维修的及时性。</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5.3.4.4</w:t>
      </w:r>
      <w:r>
        <w:rPr>
          <w:rFonts w:ascii="宋体" w:hAnsi="宋体" w:cs="宋体"/>
          <w:bCs/>
          <w:sz w:val="21"/>
          <w:szCs w:val="21"/>
          <w:highlight w:val="none"/>
        </w:rPr>
        <w:t xml:space="preserve">信息化保障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引入或开发运维管理信息系统，实现人员定位、任务调度、台账电子化、数据分析等功能，提升管理效率和决策科学性。</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5.3.4.5</w:t>
      </w:r>
      <w:r>
        <w:rPr>
          <w:rFonts w:ascii="宋体" w:hAnsi="宋体" w:cs="宋体"/>
          <w:bCs/>
          <w:sz w:val="21"/>
          <w:szCs w:val="21"/>
          <w:highlight w:val="none"/>
        </w:rPr>
        <w:t xml:space="preserve">资金保障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设立项目专项备用金，确保运维工作中所需的零星采购、应急处理等资金及时到位，绝不因资金问题影响运维工作的正常开展。</w:t>
      </w:r>
      <w:r/>
    </w:p>
    <w:p>
      <w:pPr>
        <w:ind w:firstLine="480"/>
        <w:spacing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5.4质量保证方案</w:t>
      </w:r>
      <w:r/>
    </w:p>
    <w:p>
      <w:pPr>
        <w:ind w:firstLine="480"/>
        <w:spacing w:line="400" w:lineRule="exact"/>
        <w:rPr>
          <w:rFonts w:hint="eastAsia" w:ascii="宋体" w:hAnsi="宋体" w:cs="宋体"/>
          <w:bCs/>
          <w:sz w:val="21"/>
          <w:szCs w:val="21"/>
          <w:highlight w:val="none"/>
        </w:rPr>
      </w:pPr>
      <w:r/>
      <w:bookmarkStart w:id="138" w:name="OLE_LINK45"/>
      <w:r/>
      <w:bookmarkStart w:id="139" w:name="OLE_LINK42"/>
      <w:r/>
      <w:bookmarkStart w:id="140" w:name="OLE_LINK19"/>
      <w:r>
        <w:rPr>
          <w:rFonts w:hint="eastAsia" w:ascii="宋体" w:hAnsi="宋体" w:cs="宋体"/>
          <w:bCs/>
          <w:sz w:val="21"/>
          <w:szCs w:val="21"/>
          <w:highlight w:val="none"/>
        </w:rPr>
        <w:t xml:space="preserve">供应商应</w:t>
      </w:r>
      <w:bookmarkEnd w:id="138"/>
      <w:r/>
      <w:bookmarkEnd w:id="139"/>
      <w:r>
        <w:rPr>
          <w:rFonts w:hint="eastAsia" w:ascii="宋体" w:hAnsi="宋体" w:cs="宋体"/>
          <w:bCs/>
          <w:sz w:val="21"/>
          <w:szCs w:val="21"/>
          <w:highlight w:val="none"/>
        </w:rPr>
        <w:t xml:space="preserve">针对本项目的实际情况，为</w:t>
      </w:r>
      <w:r>
        <w:rPr>
          <w:rFonts w:ascii="宋体" w:hAnsi="宋体" w:cs="宋体"/>
          <w:bCs/>
          <w:sz w:val="21"/>
          <w:szCs w:val="21"/>
          <w:highlight w:val="none"/>
        </w:rPr>
        <w:t xml:space="preserve">实现设施长期、稳定、有效运行的目标，</w:t>
      </w:r>
      <w:r>
        <w:rPr>
          <w:rFonts w:hint="eastAsia" w:ascii="宋体" w:hAnsi="宋体" w:cs="宋体"/>
          <w:bCs/>
          <w:sz w:val="21"/>
          <w:szCs w:val="21"/>
          <w:highlight w:val="none"/>
        </w:rPr>
        <w:t xml:space="preserve">制订科学合理、切实可行的质量保证方案，内容至少包括质量管理体系、质量管理制度、质量控制措施和岗位职责等方面。</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5.4.1</w:t>
      </w:r>
      <w:r>
        <w:rPr>
          <w:rFonts w:ascii="宋体" w:hAnsi="宋体" w:cs="宋体"/>
          <w:bCs/>
          <w:sz w:val="21"/>
          <w:szCs w:val="21"/>
          <w:highlight w:val="none"/>
        </w:rPr>
        <w:t xml:space="preserve"> 质量管理体系</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本项目应</w:t>
      </w:r>
      <w:r>
        <w:rPr>
          <w:rFonts w:ascii="宋体" w:hAnsi="宋体" w:cs="宋体"/>
          <w:bCs/>
          <w:sz w:val="21"/>
          <w:szCs w:val="21"/>
          <w:highlight w:val="none"/>
        </w:rPr>
        <w:t xml:space="preserve">采用国际通行的PDCA（计划-执行-检查-处理）循环模式，结合本项目特点，建立并实施一个闭环式、持续改进的质量管理体系。</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5.4.1.1</w:t>
      </w:r>
      <w:r>
        <w:rPr>
          <w:rFonts w:ascii="宋体" w:hAnsi="宋体" w:cs="宋体"/>
          <w:bCs/>
          <w:sz w:val="21"/>
          <w:szCs w:val="21"/>
          <w:highlight w:val="none"/>
        </w:rPr>
        <w:t xml:space="preserve">组织架构保障：</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成立以项目经理为第一责任人的项目质量保证小组。小组核心成员包括技术负责人、质量安全员及各片区运维组长，形成公司级、项目级、班组级三级质量管理网络。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5.4.1.2</w:t>
      </w:r>
      <w:r>
        <w:rPr>
          <w:rFonts w:ascii="宋体" w:hAnsi="宋体" w:cs="宋体"/>
          <w:bCs/>
          <w:sz w:val="21"/>
          <w:szCs w:val="21"/>
          <w:highlight w:val="none"/>
        </w:rPr>
        <w:t xml:space="preserve">标准化作业：</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依据《江苏省盐南高新区农村生活污水处理设施运行维护管理办法(试行)》、招标文件、合同条款及国家、行业相关标准，编制《运维作业指导书》、《设备操作规程》、《安全生产手册》等标准化文件，作为所有运维活动的唯一依据。</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5.4.1.3</w:t>
      </w:r>
      <w:r>
        <w:rPr>
          <w:rFonts w:ascii="宋体" w:hAnsi="宋体" w:cs="宋体"/>
          <w:bCs/>
          <w:sz w:val="21"/>
          <w:szCs w:val="21"/>
          <w:highlight w:val="none"/>
        </w:rPr>
        <w:t xml:space="preserve">全过程监控：</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对运维服务的“巡检-维护-监测-响应-记录-改进”全过程进行监控。</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利用智能化管理平台（如配备的系统）进行实时数据跟踪，结合人工抽查与定期审核，确保每个环节符合质量标准。</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5.4.1.4</w:t>
      </w:r>
      <w:r>
        <w:rPr>
          <w:rFonts w:ascii="宋体" w:hAnsi="宋体" w:cs="宋体"/>
          <w:bCs/>
          <w:sz w:val="21"/>
          <w:szCs w:val="21"/>
          <w:highlight w:val="none"/>
        </w:rPr>
        <w:t xml:space="preserve">持续改进机制：</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通过定期的内部审核、管理评审、客户满意度调查及对不合格服务的分析，识别改进机会，并采取纠正与预防措施，实现质量管理体系的螺旋式上升。</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5.4.2</w:t>
      </w:r>
      <w:r>
        <w:rPr>
          <w:rFonts w:ascii="宋体" w:hAnsi="宋体" w:cs="宋体"/>
          <w:bCs/>
          <w:sz w:val="21"/>
          <w:szCs w:val="21"/>
          <w:highlight w:val="none"/>
        </w:rPr>
        <w:t xml:space="preserve"> 质量管理制度</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为确保质量方针和目标的实现，</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严格执行以下核心质量管理制度：</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5.4.2.1</w:t>
      </w:r>
      <w:r>
        <w:rPr>
          <w:rFonts w:ascii="宋体" w:hAnsi="宋体" w:cs="宋体"/>
          <w:bCs/>
          <w:sz w:val="21"/>
          <w:szCs w:val="21"/>
          <w:highlight w:val="none"/>
        </w:rPr>
        <w:t xml:space="preserve">日常巡查与维护制度</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频次：</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严格执行每周至少1次的全面现场巡查制度，对关键设备（水泵、风机、加药系统、仪表）增加检查频次。</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内容：</w:t>
      </w:r>
      <w:r>
        <w:rPr>
          <w:rFonts w:hint="eastAsia" w:ascii="宋体" w:hAnsi="宋体" w:cs="宋体"/>
          <w:bCs/>
          <w:sz w:val="21"/>
          <w:szCs w:val="21"/>
          <w:highlight w:val="none"/>
        </w:rPr>
        <w:t xml:space="preserve">供应商</w:t>
      </w:r>
      <w:r>
        <w:rPr>
          <w:rFonts w:ascii="宋体" w:hAnsi="宋体" w:cs="宋体"/>
          <w:bCs/>
          <w:sz w:val="21"/>
          <w:szCs w:val="21"/>
          <w:highlight w:val="none"/>
        </w:rPr>
        <w:t xml:space="preserve">巡查</w:t>
      </w:r>
      <w:r>
        <w:rPr>
          <w:rFonts w:hint="eastAsia" w:ascii="宋体" w:hAnsi="宋体" w:cs="宋体"/>
          <w:bCs/>
          <w:sz w:val="21"/>
          <w:szCs w:val="21"/>
          <w:highlight w:val="none"/>
        </w:rPr>
        <w:t xml:space="preserve">应</w:t>
      </w:r>
      <w:r>
        <w:rPr>
          <w:rFonts w:ascii="宋体" w:hAnsi="宋体" w:cs="宋体"/>
          <w:bCs/>
          <w:sz w:val="21"/>
          <w:szCs w:val="21"/>
          <w:highlight w:val="none"/>
        </w:rPr>
        <w:t xml:space="preserve">涵盖设施运行状态、管网通畅性、池体结构安全性、场地环境等，并形成标准化巡查清单。</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记录：</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使用统一制式的《日常巡查记录表》，实时记录，发现问题立即上报并启动处理流程。</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5.4.2.2</w:t>
      </w:r>
      <w:r>
        <w:rPr>
          <w:rFonts w:ascii="宋体" w:hAnsi="宋体" w:cs="宋体"/>
          <w:bCs/>
          <w:sz w:val="21"/>
          <w:szCs w:val="21"/>
          <w:highlight w:val="none"/>
        </w:rPr>
        <w:t xml:space="preserve">定期检测与校准制度</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水质检测：</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严格执行“半月一次”的终端出水水质自检，并按规定委托有资质的第三方进行季度性比对监测</w:t>
      </w:r>
      <w:r>
        <w:rPr>
          <w:rFonts w:hint="eastAsia" w:ascii="宋体" w:hAnsi="宋体" w:cs="宋体"/>
          <w:bCs/>
          <w:sz w:val="21"/>
          <w:szCs w:val="21"/>
          <w:highlight w:val="none"/>
        </w:rPr>
        <w:t xml:space="preserve">，</w:t>
      </w:r>
      <w:r>
        <w:rPr>
          <w:rFonts w:ascii="宋体" w:hAnsi="宋体" w:cs="宋体"/>
          <w:bCs/>
          <w:sz w:val="21"/>
          <w:szCs w:val="21"/>
          <w:highlight w:val="none"/>
        </w:rPr>
        <w:t xml:space="preserve">确保数据真实、准确、可追溯。</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设备校准：</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对在线监测仪表（如流量计、液位计等）及实验室检测设备，建立定期校准计划，确保测量数据的有效性。</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5.4.2.3</w:t>
      </w:r>
      <w:r>
        <w:rPr>
          <w:rFonts w:ascii="宋体" w:hAnsi="宋体" w:cs="宋体"/>
          <w:bCs/>
          <w:sz w:val="21"/>
          <w:szCs w:val="21"/>
          <w:highlight w:val="none"/>
        </w:rPr>
        <w:t xml:space="preserve">预防性维护与计划检修制度</w:t>
      </w:r>
      <w:r/>
    </w:p>
    <w:p>
      <w:pPr>
        <w:ind w:firstLine="480"/>
        <w:spacing w:line="400" w:lineRule="exact"/>
        <w:rPr>
          <w:rFonts w:hint="eastAsia" w:ascii="宋体" w:hAnsi="宋体" w:cs="宋体"/>
          <w:bCs/>
          <w:sz w:val="21"/>
          <w:szCs w:val="21"/>
          <w:highlight w:val="none"/>
        </w:rPr>
      </w:pPr>
      <w:r/>
      <w:bookmarkStart w:id="141" w:name="OLE_LINK52"/>
      <w:r/>
      <w:bookmarkStart w:id="142" w:name="OLE_LINK47"/>
      <w:r/>
      <w:bookmarkStart w:id="143" w:name="OLE_LINK51"/>
      <w:r/>
      <w:bookmarkStart w:id="144" w:name="OLE_LINK46"/>
      <w:r/>
      <w:bookmarkStart w:id="145" w:name="OLE_LINK53"/>
      <w:r>
        <w:rPr>
          <w:rFonts w:hint="eastAsia" w:ascii="宋体" w:hAnsi="宋体" w:cs="宋体"/>
          <w:bCs/>
          <w:sz w:val="21"/>
          <w:szCs w:val="21"/>
          <w:highlight w:val="none"/>
        </w:rPr>
        <w:t xml:space="preserve">供应商应</w:t>
      </w:r>
      <w:bookmarkEnd w:id="141"/>
      <w:r/>
      <w:bookmarkEnd w:id="142"/>
      <w:r/>
      <w:bookmarkEnd w:id="143"/>
      <w:r/>
      <w:bookmarkEnd w:id="144"/>
      <w:r/>
      <w:bookmarkEnd w:id="145"/>
      <w:r>
        <w:rPr>
          <w:rFonts w:ascii="宋体" w:hAnsi="宋体" w:cs="宋体"/>
          <w:bCs/>
          <w:sz w:val="21"/>
          <w:szCs w:val="21"/>
          <w:highlight w:val="none"/>
        </w:rPr>
        <w:t xml:space="preserve">根据设备厂家建议和运行经验，制定年度、季度《设备预防性维护计划》，对风机、水泵、膜组件等核心设备进行定期保养，延长设备寿命，减少突发故障。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对大修项目，提前申报方案，经</w:t>
      </w:r>
      <w:r>
        <w:rPr>
          <w:rFonts w:hint="eastAsia" w:ascii="宋体" w:hAnsi="宋体" w:cs="宋体"/>
          <w:bCs/>
          <w:sz w:val="21"/>
          <w:szCs w:val="21"/>
          <w:highlight w:val="none"/>
        </w:rPr>
        <w:t xml:space="preserve">采购人</w:t>
      </w:r>
      <w:r>
        <w:rPr>
          <w:rFonts w:ascii="宋体" w:hAnsi="宋体" w:cs="宋体"/>
          <w:bCs/>
          <w:sz w:val="21"/>
          <w:szCs w:val="21"/>
          <w:highlight w:val="none"/>
        </w:rPr>
        <w:t xml:space="preserve">审核后实施，并做好完整的维修及验收记录。</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5.4.2.4</w:t>
      </w:r>
      <w:r>
        <w:rPr>
          <w:rFonts w:ascii="宋体" w:hAnsi="宋体" w:cs="宋体"/>
          <w:bCs/>
          <w:sz w:val="21"/>
          <w:szCs w:val="21"/>
          <w:highlight w:val="none"/>
        </w:rPr>
        <w:t xml:space="preserve">应急响应与处置制度</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确保应急电话24小时畅通。严格执行“1小时内响应、6小时内到场、一般故障24小时内修复、复杂故障72小时内解决”的承诺。</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定期组织应急演练，提高团队对设备故障、水质超标、安全事故等突发事件的快速处置能力。</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5.4.3</w:t>
      </w:r>
      <w:r>
        <w:rPr>
          <w:rFonts w:ascii="宋体" w:hAnsi="宋体" w:cs="宋体"/>
          <w:bCs/>
          <w:sz w:val="21"/>
          <w:szCs w:val="21"/>
          <w:highlight w:val="none"/>
        </w:rPr>
        <w:t xml:space="preserve"> 质量控制措施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针对运维服务的关键节点，</w:t>
      </w:r>
      <w:r>
        <w:rPr>
          <w:rFonts w:hint="eastAsia" w:ascii="宋体" w:hAnsi="宋体" w:cs="宋体"/>
          <w:bCs/>
          <w:sz w:val="21"/>
          <w:szCs w:val="21"/>
          <w:highlight w:val="none"/>
        </w:rPr>
        <w:t xml:space="preserve">应</w:t>
      </w:r>
      <w:r>
        <w:rPr>
          <w:rFonts w:ascii="宋体" w:hAnsi="宋体" w:cs="宋体"/>
          <w:bCs/>
          <w:sz w:val="21"/>
          <w:szCs w:val="21"/>
          <w:highlight w:val="none"/>
        </w:rPr>
        <w:t xml:space="preserve">实施以下具体质量控制措施：</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5.4.3.1</w:t>
      </w:r>
      <w:r>
        <w:rPr>
          <w:rFonts w:ascii="宋体" w:hAnsi="宋体" w:cs="宋体"/>
          <w:bCs/>
          <w:sz w:val="21"/>
          <w:szCs w:val="21"/>
          <w:highlight w:val="none"/>
        </w:rPr>
        <w:t xml:space="preserve">出水水质控制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源头把控：</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加强管网巡查，防止工业废水、养殖废水等非生活污水混入，影响处理效果。</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过程控制：</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严格按照AO+MBR工艺要求，控制曝气量、污泥浓度、膜清洗周期等关键工艺参数。</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结果导向：</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以稳定达到《农村生活污水处理设施水污染物排放标准》（DB32/3462-2020）一级A标准为硬性指标，一旦自检或抽检超标，立即启动工艺调整和问题排查程序。</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5.4.3.2</w:t>
      </w:r>
      <w:r>
        <w:rPr>
          <w:rFonts w:ascii="宋体" w:hAnsi="宋体" w:cs="宋体"/>
          <w:bCs/>
          <w:sz w:val="21"/>
          <w:szCs w:val="21"/>
          <w:highlight w:val="none"/>
        </w:rPr>
        <w:t xml:space="preserve">设备运行可靠性控制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状态监控：</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通过听、看、摸、测等方式，日常判断设备运行状态</w:t>
      </w:r>
      <w:r>
        <w:rPr>
          <w:rFonts w:hint="eastAsia" w:ascii="宋体" w:hAnsi="宋体" w:cs="宋体"/>
          <w:bCs/>
          <w:sz w:val="21"/>
          <w:szCs w:val="21"/>
          <w:highlight w:val="none"/>
        </w:rPr>
        <w:t xml:space="preserve">，</w:t>
      </w:r>
      <w:r>
        <w:rPr>
          <w:rFonts w:ascii="宋体" w:hAnsi="宋体" w:cs="宋体"/>
          <w:bCs/>
          <w:sz w:val="21"/>
          <w:szCs w:val="21"/>
          <w:highlight w:val="none"/>
        </w:rPr>
        <w:t xml:space="preserve">利用监控系统远程监视设备运行参数。</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备品备件管理：</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建立关键设备和易损件的备件库，确保故障时能及时更换，缩短停机时间。</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维修质量闭环：</w:t>
      </w:r>
      <w:r>
        <w:rPr>
          <w:rFonts w:hint="eastAsia" w:ascii="宋体" w:hAnsi="宋体" w:cs="宋体"/>
          <w:bCs/>
          <w:sz w:val="21"/>
          <w:szCs w:val="21"/>
          <w:highlight w:val="none"/>
        </w:rPr>
        <w:t xml:space="preserve">供应商</w:t>
      </w:r>
      <w:r>
        <w:rPr>
          <w:rFonts w:ascii="宋体" w:hAnsi="宋体" w:cs="宋体"/>
          <w:bCs/>
          <w:sz w:val="21"/>
          <w:szCs w:val="21"/>
          <w:highlight w:val="none"/>
        </w:rPr>
        <w:t xml:space="preserve">从报修、维修到验收，</w:t>
      </w:r>
      <w:r>
        <w:rPr>
          <w:rFonts w:hint="eastAsia" w:ascii="宋体" w:hAnsi="宋体" w:cs="宋体"/>
          <w:bCs/>
          <w:sz w:val="21"/>
          <w:szCs w:val="21"/>
          <w:highlight w:val="none"/>
        </w:rPr>
        <w:t xml:space="preserve">应</w:t>
      </w:r>
      <w:r>
        <w:rPr>
          <w:rFonts w:ascii="宋体" w:hAnsi="宋体" w:cs="宋体"/>
          <w:bCs/>
          <w:sz w:val="21"/>
          <w:szCs w:val="21"/>
          <w:highlight w:val="none"/>
        </w:rPr>
        <w:t xml:space="preserve">形成闭环管理，确保维修彻底，同一问题不重复发生。</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5.4.3.3</w:t>
      </w:r>
      <w:r>
        <w:rPr>
          <w:rFonts w:ascii="宋体" w:hAnsi="宋体" w:cs="宋体"/>
          <w:bCs/>
          <w:sz w:val="21"/>
          <w:szCs w:val="21"/>
          <w:highlight w:val="none"/>
        </w:rPr>
        <w:t xml:space="preserve">管网系统完好性控制</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定期使用高压清洗车、管道疏通设备对管网进行预防性疏通。</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供应商在</w:t>
      </w:r>
      <w:r>
        <w:rPr>
          <w:rFonts w:ascii="宋体" w:hAnsi="宋体" w:cs="宋体"/>
          <w:bCs/>
          <w:sz w:val="21"/>
          <w:szCs w:val="21"/>
          <w:highlight w:val="none"/>
        </w:rPr>
        <w:t xml:space="preserve">巡查中</w:t>
      </w:r>
      <w:r>
        <w:rPr>
          <w:rFonts w:hint="eastAsia" w:ascii="宋体" w:hAnsi="宋体" w:cs="宋体"/>
          <w:bCs/>
          <w:sz w:val="21"/>
          <w:szCs w:val="21"/>
          <w:highlight w:val="none"/>
        </w:rPr>
        <w:t xml:space="preserve">应</w:t>
      </w:r>
      <w:r>
        <w:rPr>
          <w:rFonts w:ascii="宋体" w:hAnsi="宋体" w:cs="宋体"/>
          <w:bCs/>
          <w:sz w:val="21"/>
          <w:szCs w:val="21"/>
          <w:highlight w:val="none"/>
        </w:rPr>
        <w:t xml:space="preserve">重点关注检查井盖是否完好、井内是否淤积、管道接口是否渗漏，发现问题立即列入维修计划。</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5.4.3.4</w:t>
      </w:r>
      <w:r>
        <w:rPr>
          <w:rFonts w:ascii="宋体" w:hAnsi="宋体" w:cs="宋体"/>
          <w:bCs/>
          <w:sz w:val="21"/>
          <w:szCs w:val="21"/>
          <w:highlight w:val="none"/>
        </w:rPr>
        <w:t xml:space="preserve">安全与环境控制</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w:t>
      </w:r>
      <w:r>
        <w:rPr>
          <w:rFonts w:ascii="宋体" w:hAnsi="宋体" w:cs="宋体"/>
          <w:bCs/>
          <w:sz w:val="21"/>
          <w:szCs w:val="21"/>
          <w:highlight w:val="none"/>
        </w:rPr>
        <w:t xml:space="preserve">所有运维人员</w:t>
      </w:r>
      <w:r>
        <w:rPr>
          <w:rFonts w:hint="eastAsia" w:ascii="宋体" w:hAnsi="宋体" w:cs="宋体"/>
          <w:bCs/>
          <w:sz w:val="21"/>
          <w:szCs w:val="21"/>
          <w:highlight w:val="none"/>
        </w:rPr>
        <w:t xml:space="preserve">应</w:t>
      </w:r>
      <w:r>
        <w:rPr>
          <w:rFonts w:ascii="宋体" w:hAnsi="宋体" w:cs="宋体"/>
          <w:bCs/>
          <w:sz w:val="21"/>
          <w:szCs w:val="21"/>
          <w:highlight w:val="none"/>
        </w:rPr>
        <w:t xml:space="preserve">持证上岗，定期进行安全培训</w:t>
      </w:r>
      <w:r>
        <w:rPr>
          <w:rFonts w:hint="eastAsia" w:ascii="宋体" w:hAnsi="宋体" w:cs="宋体"/>
          <w:bCs/>
          <w:sz w:val="21"/>
          <w:szCs w:val="21"/>
          <w:highlight w:val="none"/>
        </w:rPr>
        <w:t xml:space="preserve">，</w:t>
      </w:r>
      <w:r>
        <w:rPr>
          <w:rFonts w:ascii="宋体" w:hAnsi="宋体" w:cs="宋体"/>
          <w:bCs/>
          <w:sz w:val="21"/>
          <w:szCs w:val="21"/>
          <w:highlight w:val="none"/>
        </w:rPr>
        <w:t xml:space="preserve">下井、用电等危险作业严格执行审批程序。</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作业现场</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设置警示标志，做到工完料清场地净，保持设施周边环境整洁美观。</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污泥、栅渣等固体废物</w:t>
      </w:r>
      <w:r>
        <w:rPr>
          <w:rFonts w:hint="eastAsia" w:ascii="宋体" w:hAnsi="宋体" w:cs="宋体"/>
          <w:bCs/>
          <w:sz w:val="21"/>
          <w:szCs w:val="21"/>
          <w:highlight w:val="none"/>
        </w:rPr>
        <w:t xml:space="preserve">应</w:t>
      </w:r>
      <w:r>
        <w:rPr>
          <w:rFonts w:ascii="宋体" w:hAnsi="宋体" w:cs="宋体"/>
          <w:bCs/>
          <w:sz w:val="21"/>
          <w:szCs w:val="21"/>
          <w:highlight w:val="none"/>
        </w:rPr>
        <w:t xml:space="preserve">按规定路线和标准进行合规处置，并记录在案。</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5.4.4</w:t>
      </w:r>
      <w:r>
        <w:rPr>
          <w:rFonts w:ascii="宋体" w:hAnsi="宋体" w:cs="宋体"/>
          <w:bCs/>
          <w:sz w:val="21"/>
          <w:szCs w:val="21"/>
          <w:highlight w:val="none"/>
        </w:rPr>
        <w:t xml:space="preserve"> 岗位职责</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明确各岗位在质量管理体系中的职责。</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5.4.4.1</w:t>
      </w:r>
      <w:r>
        <w:rPr>
          <w:rFonts w:ascii="宋体" w:hAnsi="宋体" w:cs="宋体"/>
          <w:bCs/>
          <w:sz w:val="21"/>
          <w:szCs w:val="21"/>
          <w:highlight w:val="none"/>
        </w:rPr>
        <w:t xml:space="preserve">项目经理（质量第一责任人）：全面负责本项目质量目标的实现和质量体系的有效运行</w:t>
      </w:r>
      <w:r>
        <w:rPr>
          <w:rFonts w:hint="eastAsia" w:ascii="宋体" w:hAnsi="宋体" w:cs="宋体"/>
          <w:bCs/>
          <w:sz w:val="21"/>
          <w:szCs w:val="21"/>
          <w:highlight w:val="none"/>
        </w:rPr>
        <w:t xml:space="preserve">；</w:t>
      </w:r>
      <w:r>
        <w:rPr>
          <w:rFonts w:ascii="宋体" w:hAnsi="宋体" w:cs="宋体"/>
          <w:bCs/>
          <w:sz w:val="21"/>
          <w:szCs w:val="21"/>
          <w:highlight w:val="none"/>
        </w:rPr>
        <w:t xml:space="preserve">审批各项质量计划和管理制度</w:t>
      </w:r>
      <w:r>
        <w:rPr>
          <w:rFonts w:hint="eastAsia" w:ascii="宋体" w:hAnsi="宋体" w:cs="宋体"/>
          <w:bCs/>
          <w:sz w:val="21"/>
          <w:szCs w:val="21"/>
          <w:highlight w:val="none"/>
        </w:rPr>
        <w:t xml:space="preserve">；</w:t>
      </w:r>
      <w:r>
        <w:rPr>
          <w:rFonts w:ascii="宋体" w:hAnsi="宋体" w:cs="宋体"/>
          <w:bCs/>
          <w:sz w:val="21"/>
          <w:szCs w:val="21"/>
          <w:highlight w:val="none"/>
        </w:rPr>
        <w:t xml:space="preserve">组织处理重大质量问题和客户投诉</w:t>
      </w:r>
      <w:r>
        <w:rPr>
          <w:rFonts w:hint="eastAsia" w:ascii="宋体" w:hAnsi="宋体" w:cs="宋体"/>
          <w:bCs/>
          <w:sz w:val="21"/>
          <w:szCs w:val="21"/>
          <w:highlight w:val="none"/>
        </w:rPr>
        <w:t xml:space="preserve">；</w:t>
      </w:r>
      <w:r>
        <w:rPr>
          <w:rFonts w:ascii="宋体" w:hAnsi="宋体" w:cs="宋体"/>
          <w:bCs/>
          <w:sz w:val="21"/>
          <w:szCs w:val="21"/>
          <w:highlight w:val="none"/>
        </w:rPr>
        <w:t xml:space="preserve">主持管理评审，推动质量持续改进。</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5.4.4.2</w:t>
      </w:r>
      <w:r>
        <w:rPr>
          <w:rFonts w:ascii="宋体" w:hAnsi="宋体" w:cs="宋体"/>
          <w:bCs/>
          <w:sz w:val="21"/>
          <w:szCs w:val="21"/>
          <w:highlight w:val="none"/>
        </w:rPr>
        <w:t xml:space="preserve">技术/质量负责人：负责编制技术方案、作业指导书和质量控制标准</w:t>
      </w:r>
      <w:r>
        <w:rPr>
          <w:rFonts w:hint="eastAsia" w:ascii="宋体" w:hAnsi="宋体" w:cs="宋体"/>
          <w:bCs/>
          <w:sz w:val="21"/>
          <w:szCs w:val="21"/>
          <w:highlight w:val="none"/>
        </w:rPr>
        <w:t xml:space="preserve">；</w:t>
      </w:r>
      <w:r>
        <w:rPr>
          <w:rFonts w:ascii="宋体" w:hAnsi="宋体" w:cs="宋体"/>
          <w:bCs/>
          <w:sz w:val="21"/>
          <w:szCs w:val="21"/>
          <w:highlight w:val="none"/>
        </w:rPr>
        <w:t xml:space="preserve">监督各项质量制度的执行情况，组织内部质量检查与考核</w:t>
      </w:r>
      <w:r>
        <w:rPr>
          <w:rFonts w:hint="eastAsia" w:ascii="宋体" w:hAnsi="宋体" w:cs="宋体"/>
          <w:bCs/>
          <w:sz w:val="21"/>
          <w:szCs w:val="21"/>
          <w:highlight w:val="none"/>
        </w:rPr>
        <w:t xml:space="preserve">；</w:t>
      </w:r>
      <w:r>
        <w:rPr>
          <w:rFonts w:ascii="宋体" w:hAnsi="宋体" w:cs="宋体"/>
          <w:bCs/>
          <w:sz w:val="21"/>
          <w:szCs w:val="21"/>
          <w:highlight w:val="none"/>
        </w:rPr>
        <w:t xml:space="preserve">负责对运维人员进行技术培训和质量意识教育</w:t>
      </w:r>
      <w:r>
        <w:rPr>
          <w:rFonts w:hint="eastAsia" w:ascii="宋体" w:hAnsi="宋体" w:cs="宋体"/>
          <w:bCs/>
          <w:sz w:val="21"/>
          <w:szCs w:val="21"/>
          <w:highlight w:val="none"/>
        </w:rPr>
        <w:t xml:space="preserve">；</w:t>
      </w:r>
      <w:r>
        <w:rPr>
          <w:rFonts w:ascii="宋体" w:hAnsi="宋体" w:cs="宋体"/>
          <w:bCs/>
          <w:sz w:val="21"/>
          <w:szCs w:val="21"/>
          <w:highlight w:val="none"/>
        </w:rPr>
        <w:t xml:space="preserve">分析水质数据和设备运行数据，提出工艺优化建议。</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5.4.4.3</w:t>
      </w:r>
      <w:r>
        <w:rPr>
          <w:rFonts w:ascii="宋体" w:hAnsi="宋体" w:cs="宋体"/>
          <w:bCs/>
          <w:sz w:val="21"/>
          <w:szCs w:val="21"/>
          <w:highlight w:val="none"/>
        </w:rPr>
        <w:t xml:space="preserve">运维操作员/组长：严格按照操作规程和巡查计划完成日常运维工作</w:t>
      </w:r>
      <w:r>
        <w:rPr>
          <w:rFonts w:hint="eastAsia" w:ascii="宋体" w:hAnsi="宋体" w:cs="宋体"/>
          <w:bCs/>
          <w:sz w:val="21"/>
          <w:szCs w:val="21"/>
          <w:highlight w:val="none"/>
        </w:rPr>
        <w:t xml:space="preserve">；</w:t>
      </w:r>
      <w:r>
        <w:rPr>
          <w:rFonts w:ascii="宋体" w:hAnsi="宋体" w:cs="宋体"/>
          <w:bCs/>
          <w:sz w:val="21"/>
          <w:szCs w:val="21"/>
          <w:highlight w:val="none"/>
        </w:rPr>
        <w:t xml:space="preserve">负责填写各类运行、维护记录，确保原始数据真实准确</w:t>
      </w:r>
      <w:r>
        <w:rPr>
          <w:rFonts w:hint="eastAsia" w:ascii="宋体" w:hAnsi="宋体" w:cs="宋体"/>
          <w:bCs/>
          <w:sz w:val="21"/>
          <w:szCs w:val="21"/>
          <w:highlight w:val="none"/>
        </w:rPr>
        <w:t xml:space="preserve">；</w:t>
      </w:r>
      <w:r>
        <w:rPr>
          <w:rFonts w:ascii="宋体" w:hAnsi="宋体" w:cs="宋体"/>
          <w:bCs/>
          <w:sz w:val="21"/>
          <w:szCs w:val="21"/>
          <w:highlight w:val="none"/>
        </w:rPr>
        <w:t xml:space="preserve">执行设备保养和简单维修任务</w:t>
      </w:r>
      <w:r>
        <w:rPr>
          <w:rFonts w:hint="eastAsia" w:ascii="宋体" w:hAnsi="宋体" w:cs="宋体"/>
          <w:bCs/>
          <w:sz w:val="21"/>
          <w:szCs w:val="21"/>
          <w:highlight w:val="none"/>
        </w:rPr>
        <w:t xml:space="preserve">；</w:t>
      </w:r>
      <w:r>
        <w:rPr>
          <w:rFonts w:ascii="宋体" w:hAnsi="宋体" w:cs="宋体"/>
          <w:bCs/>
          <w:sz w:val="21"/>
          <w:szCs w:val="21"/>
          <w:highlight w:val="none"/>
        </w:rPr>
        <w:t xml:space="preserve">发现异常情况，第一时间上报并参与前期处置。</w:t>
      </w:r>
      <w:bookmarkEnd w:id="140"/>
      <w:r/>
      <w:r/>
    </w:p>
    <w:p>
      <w:pPr>
        <w:ind w:firstLine="480"/>
        <w:spacing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5.5重难点分析及对策措施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为确保</w:t>
      </w:r>
      <w:r>
        <w:rPr>
          <w:rFonts w:hint="eastAsia" w:ascii="宋体" w:hAnsi="宋体" w:cs="宋体"/>
          <w:bCs/>
          <w:sz w:val="21"/>
          <w:szCs w:val="21"/>
          <w:highlight w:val="none"/>
        </w:rPr>
        <w:t xml:space="preserve">本</w:t>
      </w:r>
      <w:r>
        <w:rPr>
          <w:rFonts w:ascii="宋体" w:hAnsi="宋体" w:cs="宋体"/>
          <w:bCs/>
          <w:sz w:val="21"/>
          <w:szCs w:val="21"/>
          <w:highlight w:val="none"/>
        </w:rPr>
        <w:t xml:space="preserve">项目的顺利实施与长期稳定运行，</w:t>
      </w:r>
      <w:r>
        <w:rPr>
          <w:rFonts w:hint="eastAsia" w:ascii="宋体" w:hAnsi="宋体" w:cs="宋体"/>
          <w:bCs/>
          <w:sz w:val="21"/>
          <w:szCs w:val="21"/>
          <w:highlight w:val="none"/>
        </w:rPr>
        <w:t xml:space="preserve">供应商应针对本项目实际，认真提出本项目的重难点及对策措施方案，内容至少包括关键技术问题、重点、难点的分析及应对措施等方面。</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5.5.1</w:t>
      </w:r>
      <w:r>
        <w:rPr>
          <w:rFonts w:ascii="宋体" w:hAnsi="宋体" w:cs="宋体"/>
          <w:bCs/>
          <w:sz w:val="21"/>
          <w:szCs w:val="21"/>
          <w:highlight w:val="none"/>
        </w:rPr>
        <w:t xml:space="preserve"> 关键技术问题、重点、难点分析</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5.5.1.1</w:t>
      </w:r>
      <w:r>
        <w:rPr>
          <w:rFonts w:ascii="宋体" w:hAnsi="宋体" w:cs="宋体"/>
          <w:bCs/>
          <w:sz w:val="21"/>
          <w:szCs w:val="21"/>
          <w:highlight w:val="none"/>
        </w:rPr>
        <w:t xml:space="preserve">重点：确保出水水质稳定达标</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分析：本项目核心目标是出水水质稳定达到《农村生活污水处理设施水污染物排放标准》（DB32/3462-2020）一级A标准。珠溪社区的AO+MBR工艺虽较为先进，但其稳定运行对进水水质、工艺参数控制、膜组件的维护要求极高。同时，宏心村、严家村采用“蓄水池+机动车拖运”模式，存在转运不及时导致蓄水池内污水发酵、水质恶化的风险。水质达标是本项目考核的核心（考核表水质管理项占20分，且单次不达标即扣20分），是运维工作的重中之重。</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5.5.1.2</w:t>
      </w:r>
      <w:r>
        <w:rPr>
          <w:rFonts w:ascii="宋体" w:hAnsi="宋体" w:cs="宋体"/>
          <w:bCs/>
          <w:sz w:val="21"/>
          <w:szCs w:val="21"/>
          <w:highlight w:val="none"/>
        </w:rPr>
        <w:t xml:space="preserve">难点一：设施点位分散，运维巡检效率与及时性要求高</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分析：项目覆盖宏心村、珠溪社区、严家村、龙园社区四个片区，设施包括提升泵站、一体化设备、蓄水池、化粪池以及长达17.8公里的主支管网和681座检查井。点多人散，地理跨度大，对日常巡检的覆盖范围、巡检频率、问题发现的及时性以及应急响应的速度构成巨大挑战。合同要求的“1小时内响应、6小时内到场”在交通、人员调度上是严峻考验。</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5.5.1.3</w:t>
      </w:r>
      <w:r>
        <w:rPr>
          <w:rFonts w:ascii="宋体" w:hAnsi="宋体" w:cs="宋体"/>
          <w:bCs/>
          <w:sz w:val="21"/>
          <w:szCs w:val="21"/>
          <w:highlight w:val="none"/>
        </w:rPr>
        <w:t xml:space="preserve">难点二：管网系统复杂，堵塞、渗漏预防与处置难度大</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分析：庞大的地下管网系统是运维的“隐形战场”。农村生活污水常含有油脂、杂物，易造成管道及检查井淤积、堵塞。此外，地质沉降、树根侵入等可能导致管道接口渗漏或破裂。这些问题隐蔽性强，发现难度大，但一旦发生，可能引发路面溢流、环境污染，且维修工程量大，成本高。</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5.5.1.4</w:t>
      </w:r>
      <w:r>
        <w:rPr>
          <w:rFonts w:ascii="宋体" w:hAnsi="宋体" w:cs="宋体"/>
          <w:bCs/>
          <w:sz w:val="21"/>
          <w:szCs w:val="21"/>
          <w:highlight w:val="none"/>
        </w:rPr>
        <w:t xml:space="preserve">难点三：农村用水特征导致水质水量波动大，工艺调控复杂</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分析：农村生活污水排放具有早、中、晚高峰时段集中排放的特点，水量瞬时波动大。同时，可能混入少量农家乐餐饮废水、洗涤废水等，导致进水水质浓度（COD、氨氮、SS等）不稳定，对生化处理系统，特别是珠溪社区的AO+MBR工艺造成冲击，影响处理效率和出水稳定性。</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5.5.1.5</w:t>
      </w:r>
      <w:r>
        <w:rPr>
          <w:rFonts w:ascii="宋体" w:hAnsi="宋体" w:cs="宋体"/>
          <w:bCs/>
          <w:sz w:val="21"/>
          <w:szCs w:val="21"/>
          <w:highlight w:val="none"/>
        </w:rPr>
        <w:t xml:space="preserve">难点四：与村民的协同及应急管理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分析：运维工作与278户受益农户密切相关。村民可能向管网倾倒杂物、占用设施场地等，影响系统正常运行。同时，设备故障、管网爆裂、突发水质超标等应急事件若处置不当，易引发群众投诉或负面舆情（考核表社会综合评价项占7分，且被上级通报后果严重）。如何建立有效的村民沟通机制和快速高效的应急体系是关键。</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5.5.1.6</w:t>
      </w:r>
      <w:r>
        <w:rPr>
          <w:rFonts w:ascii="宋体" w:hAnsi="宋体" w:cs="宋体"/>
          <w:bCs/>
          <w:sz w:val="21"/>
          <w:szCs w:val="21"/>
          <w:highlight w:val="none"/>
        </w:rPr>
        <w:t xml:space="preserve">难点五：新旧服务商交接的平稳过渡</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分析：</w:t>
      </w:r>
      <w:r>
        <w:rPr>
          <w:rFonts w:hint="eastAsia" w:ascii="宋体" w:hAnsi="宋体" w:cs="宋体"/>
          <w:bCs/>
          <w:sz w:val="21"/>
          <w:szCs w:val="21"/>
          <w:highlight w:val="none"/>
        </w:rPr>
        <w:t xml:space="preserve">项目</w:t>
      </w:r>
      <w:r>
        <w:rPr>
          <w:rFonts w:ascii="宋体" w:hAnsi="宋体" w:cs="宋体"/>
          <w:bCs/>
          <w:sz w:val="21"/>
          <w:szCs w:val="21"/>
          <w:highlight w:val="none"/>
        </w:rPr>
        <w:t xml:space="preserve">要求“在1个月内完成全部交接工作，确保项目设施、管道等无故障、损坏”。若交接不清，历史遗留问题、隐蔽故障将成为后期运维的“定时炸弹”，导致责任界定困难，影响服务考核与费用支付。</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5.5.2</w:t>
      </w:r>
      <w:r>
        <w:rPr>
          <w:rFonts w:ascii="宋体" w:hAnsi="宋体" w:cs="宋体"/>
          <w:bCs/>
          <w:sz w:val="21"/>
          <w:szCs w:val="21"/>
          <w:highlight w:val="none"/>
        </w:rPr>
        <w:t xml:space="preserve"> 针对性应对措施</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5.5.2.1</w:t>
      </w:r>
      <w:r>
        <w:rPr>
          <w:rFonts w:ascii="宋体" w:hAnsi="宋体" w:cs="宋体"/>
          <w:bCs/>
          <w:sz w:val="21"/>
          <w:szCs w:val="21"/>
          <w:highlight w:val="none"/>
        </w:rPr>
        <w:t xml:space="preserve">针对出水水质稳定达标的对策</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精细化工艺控制：</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对珠溪社区AO+MBR设施，建立严格的工艺参数监控体系，每日记录并分析曝气量、污泥浓度、膜压差等关键数据，及时调整。制定科学的膜组件化学清洗与离线清洗计划。</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强化水质监测：</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严格执行“半月一次”的出水自检，并增加关键点位（如蓄水池进水口）的快速检测频次。建立水质预警机制，一旦数据异常，立即溯源排查。</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优化转运调度：</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针对拖运模式，建立蓄水池液位监控与调度系统，制定高效的转运计划，确保蓄水池在高水位前完成清运，防止污水停留时间过长。</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5.5.2.2</w:t>
      </w:r>
      <w:r>
        <w:rPr>
          <w:rFonts w:ascii="宋体" w:hAnsi="宋体" w:cs="宋体"/>
          <w:bCs/>
          <w:sz w:val="21"/>
          <w:szCs w:val="21"/>
          <w:highlight w:val="none"/>
        </w:rPr>
        <w:t xml:space="preserve">针对设施分散、运维效率低的应对措施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划分网格，责任到人：</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将四个片区划分为若干运维网格，每个网格指定专人负责，实现“定人、定区、定责”。</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智慧运维平台辅助：</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运用运维管理APP或小程序，实现巡检任务线上派发、轨迹记录、问题拍照上传、闭环处理</w:t>
      </w:r>
      <w:r>
        <w:rPr>
          <w:rFonts w:hint="eastAsia" w:ascii="宋体" w:hAnsi="宋体" w:cs="宋体"/>
          <w:bCs/>
          <w:sz w:val="21"/>
          <w:szCs w:val="21"/>
          <w:highlight w:val="none"/>
        </w:rPr>
        <w:t xml:space="preserve">，</w:t>
      </w:r>
      <w:r>
        <w:rPr>
          <w:rFonts w:ascii="宋体" w:hAnsi="宋体" w:cs="宋体"/>
          <w:bCs/>
          <w:sz w:val="21"/>
          <w:szCs w:val="21"/>
          <w:highlight w:val="none"/>
        </w:rPr>
        <w:t xml:space="preserve">利用手机定位、水印相机等功能，确保巡检真实性、及时性。</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合理配置资源：项目部</w:t>
      </w:r>
      <w:r>
        <w:rPr>
          <w:rFonts w:hint="eastAsia" w:ascii="宋体" w:hAnsi="宋体" w:cs="宋体"/>
          <w:bCs/>
          <w:sz w:val="21"/>
          <w:szCs w:val="21"/>
          <w:highlight w:val="none"/>
        </w:rPr>
        <w:t xml:space="preserve">应</w:t>
      </w:r>
      <w:r>
        <w:rPr>
          <w:rFonts w:ascii="宋体" w:hAnsi="宋体" w:cs="宋体"/>
          <w:bCs/>
          <w:sz w:val="21"/>
          <w:szCs w:val="21"/>
          <w:highlight w:val="none"/>
        </w:rPr>
        <w:t xml:space="preserve">分别在珠溪社区（核心处理点）和宏心/严家村片区（拖运模式集中点）设立联络点或派驻人员，缩短应急响应半径，确保“6小时内到达现场”。</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5.5.2.3</w:t>
      </w:r>
      <w:r>
        <w:rPr>
          <w:rFonts w:ascii="宋体" w:hAnsi="宋体" w:cs="宋体"/>
          <w:bCs/>
          <w:sz w:val="21"/>
          <w:szCs w:val="21"/>
          <w:highlight w:val="none"/>
        </w:rPr>
        <w:t xml:space="preserve">针对管网系统复杂问题的解决策略</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预防性维护为主：</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严格执行每周巡查制度，重点检查井内壁、水位、水流声，判断是否堵塞</w:t>
      </w:r>
      <w:r>
        <w:rPr>
          <w:rFonts w:hint="eastAsia" w:ascii="宋体" w:hAnsi="宋体" w:cs="宋体"/>
          <w:bCs/>
          <w:sz w:val="21"/>
          <w:szCs w:val="21"/>
          <w:highlight w:val="none"/>
        </w:rPr>
        <w:t xml:space="preserve">，</w:t>
      </w:r>
      <w:r>
        <w:rPr>
          <w:rFonts w:ascii="宋体" w:hAnsi="宋体" w:cs="宋体"/>
          <w:bCs/>
          <w:sz w:val="21"/>
          <w:szCs w:val="21"/>
          <w:highlight w:val="none"/>
        </w:rPr>
        <w:t xml:space="preserve">定期（每季度或每半年）使用高压清洗车对易堵管段进行预防性疏通。</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周期性全面检测：</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每年聘请专业单位采用CCTV管道内窥镜对主干管网进行一轮全面检测，精准定位破损、渗漏、堵塞点，实现“精准维修”。</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建立管网电子档案：</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将管网图纸、检查井位置、历史维修记录等信息化，形成“管网一张图”，便于快速定位和决策。</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5.5.2.4</w:t>
      </w:r>
      <w:r>
        <w:rPr>
          <w:rFonts w:ascii="宋体" w:hAnsi="宋体" w:cs="宋体"/>
          <w:bCs/>
          <w:sz w:val="21"/>
          <w:szCs w:val="21"/>
          <w:highlight w:val="none"/>
        </w:rPr>
        <w:t xml:space="preserve">应对水质水量波动的调控手段</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加强源头引导与宣传：</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制作并发放通俗易懂的宣传册，引导村民规范排水，避免杂物、油污倒入下水道。</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工艺弹性操作：</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在用水高峰时段，调整提升泵站的运行策略，实现均衡进水。根据进水水质监测数据，预判性调整一体化设备的曝气和回流，增强系统抗冲击负荷能力。</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设立应急调节池（如条件允许）：在关键节点，</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探讨利用现有蓄水池作为应急调节池的可能性，以缓冲瞬时大水量冲击。</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5.5.2.5</w:t>
      </w:r>
      <w:r>
        <w:rPr>
          <w:rFonts w:ascii="宋体" w:hAnsi="宋体" w:cs="宋体"/>
          <w:bCs/>
          <w:sz w:val="21"/>
          <w:szCs w:val="21"/>
          <w:highlight w:val="none"/>
        </w:rPr>
        <w:t xml:space="preserve">强化社区协同与应急响应机制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建立公开透明的沟通渠道：</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在各村社显著位置设立公示牌，公开运维单位、负责人、应急电话和服务承诺，主动接受监督。</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定期走访与宣传：</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每月定期走访村委会和部分农户，了解诉求，宣传运维知识，建立良好互动关系。</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完善应急预案与演练：</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编制详尽的综合应急预案（涵盖设备故障、管网应急、水质超标、安全事故等），并每半年组织一次实战演练，确保应急队伍反应迅速、处置得当。</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5.5.2.6</w:t>
      </w:r>
      <w:r>
        <w:rPr>
          <w:rFonts w:ascii="宋体" w:hAnsi="宋体" w:cs="宋体"/>
          <w:bCs/>
          <w:sz w:val="21"/>
          <w:szCs w:val="21"/>
          <w:highlight w:val="none"/>
        </w:rPr>
        <w:t xml:space="preserve">确保交接期平稳过渡的保障措施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成立专项交接小组：由项目经理带队，技术骨干参与，主动对接采购人及原运维单位。</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制定详细的交接方案：</w:t>
      </w:r>
      <w:r>
        <w:rPr>
          <w:rFonts w:hint="eastAsia" w:ascii="宋体" w:hAnsi="宋体" w:cs="宋体"/>
          <w:bCs/>
          <w:sz w:val="21"/>
          <w:szCs w:val="21"/>
          <w:highlight w:val="none"/>
        </w:rPr>
        <w:t xml:space="preserve">至少</w:t>
      </w:r>
      <w:r>
        <w:rPr>
          <w:rFonts w:ascii="宋体" w:hAnsi="宋体" w:cs="宋体"/>
          <w:bCs/>
          <w:sz w:val="21"/>
          <w:szCs w:val="21"/>
          <w:highlight w:val="none"/>
        </w:rPr>
        <w:t xml:space="preserve">包括资料交接（图纸、台账、设备说明书等）、现场实物盘点（设备状态、备品备件、工具车辆）、系统调试与测试，并形成三方签字确认的交接清单。</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设置过渡期强化巡检：交接后第一个月，</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实施每日重点巡查和全面排查，确保第一时间掌握所有设施的真实状态，快速解决遗留问题。</w:t>
      </w:r>
      <w:r/>
    </w:p>
    <w:p>
      <w:pPr>
        <w:ind w:firstLine="480"/>
        <w:spacing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5.6应急处理方案</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为确保伍佑街道农村生活污水处理设施在突发状况下得到迅速、有效、安全的处置，最大程度降低环境风险与社会影响，保障运维工作的连续性和稳定性</w:t>
      </w:r>
      <w:r>
        <w:rPr>
          <w:rFonts w:hint="eastAsia" w:ascii="宋体" w:hAnsi="宋体" w:cs="宋体"/>
          <w:bCs/>
          <w:sz w:val="21"/>
          <w:szCs w:val="21"/>
          <w:highlight w:val="none"/>
        </w:rPr>
        <w:t xml:space="preserve">，供应商应根据采购需求和本项目实际，提供科学合理、切实可行的应急处理方案，方案至少包括</w:t>
      </w:r>
      <w:bookmarkStart w:id="146" w:name="OLE_LINK66"/>
      <w:r/>
      <w:bookmarkStart w:id="147" w:name="OLE_LINK68"/>
      <w:r/>
      <w:bookmarkStart w:id="148" w:name="OLE_LINK67"/>
      <w:r>
        <w:rPr>
          <w:rFonts w:hint="eastAsia" w:ascii="宋体" w:hAnsi="宋体" w:cs="宋体"/>
          <w:bCs/>
          <w:sz w:val="21"/>
          <w:szCs w:val="21"/>
          <w:highlight w:val="none"/>
        </w:rPr>
        <w:t xml:space="preserve">原则与目标、应急组织体系与职责、可能发生的设施设备故障、安全事故、极端天气等突发事故情况分析、应急响应流程、应急保障措施</w:t>
      </w:r>
      <w:bookmarkEnd w:id="146"/>
      <w:r/>
      <w:bookmarkEnd w:id="147"/>
      <w:r/>
      <w:bookmarkEnd w:id="148"/>
      <w:r>
        <w:rPr>
          <w:rFonts w:hint="eastAsia" w:ascii="宋体" w:hAnsi="宋体" w:cs="宋体"/>
          <w:bCs/>
          <w:sz w:val="21"/>
          <w:szCs w:val="21"/>
          <w:highlight w:val="none"/>
        </w:rPr>
        <w:t xml:space="preserve">等方面。</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5.6.1</w:t>
      </w:r>
      <w:r>
        <w:rPr>
          <w:rFonts w:ascii="宋体" w:hAnsi="宋体" w:cs="宋体"/>
          <w:bCs/>
          <w:sz w:val="21"/>
          <w:szCs w:val="21"/>
          <w:highlight w:val="none"/>
        </w:rPr>
        <w:t xml:space="preserve"> </w:t>
      </w:r>
      <w:r>
        <w:rPr>
          <w:rFonts w:hint="eastAsia" w:ascii="宋体" w:hAnsi="宋体" w:cs="宋体"/>
          <w:bCs/>
          <w:sz w:val="21"/>
          <w:szCs w:val="21"/>
          <w:highlight w:val="none"/>
        </w:rPr>
        <w:t xml:space="preserve">原</w:t>
      </w:r>
      <w:r>
        <w:rPr>
          <w:rFonts w:ascii="宋体" w:hAnsi="宋体" w:cs="宋体"/>
          <w:bCs/>
          <w:sz w:val="21"/>
          <w:szCs w:val="21"/>
          <w:highlight w:val="none"/>
        </w:rPr>
        <w:t xml:space="preserve">则与目标</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原则：</w:t>
      </w:r>
      <w:r>
        <w:rPr>
          <w:rFonts w:hint="eastAsia" w:ascii="宋体" w:hAnsi="宋体" w:cs="宋体"/>
          <w:bCs/>
          <w:sz w:val="21"/>
          <w:szCs w:val="21"/>
          <w:highlight w:val="none"/>
        </w:rPr>
        <w:t xml:space="preserve">应</w:t>
      </w:r>
      <w:r>
        <w:rPr>
          <w:rFonts w:ascii="宋体" w:hAnsi="宋体" w:cs="宋体"/>
          <w:bCs/>
          <w:sz w:val="21"/>
          <w:szCs w:val="21"/>
          <w:highlight w:val="none"/>
        </w:rPr>
        <w:t xml:space="preserve">坚持“安全第一、预防为主、统一指挥、快速反应、分级负责、处理果断”的原则。</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目标：</w:t>
      </w:r>
      <w:r>
        <w:rPr>
          <w:rFonts w:hint="eastAsia" w:ascii="宋体" w:hAnsi="宋体" w:cs="宋体"/>
          <w:bCs/>
          <w:sz w:val="21"/>
          <w:szCs w:val="21"/>
          <w:highlight w:val="none"/>
        </w:rPr>
        <w:t xml:space="preserve">应承诺</w:t>
      </w:r>
      <w:r>
        <w:rPr>
          <w:rFonts w:ascii="宋体" w:hAnsi="宋体" w:cs="宋体"/>
          <w:bCs/>
          <w:sz w:val="21"/>
          <w:szCs w:val="21"/>
          <w:highlight w:val="none"/>
        </w:rPr>
        <w:t xml:space="preserve">实现突发事件的早发现、早报告、早处置</w:t>
      </w:r>
      <w:r>
        <w:rPr>
          <w:rFonts w:hint="eastAsia" w:ascii="宋体" w:hAnsi="宋体" w:cs="宋体"/>
          <w:bCs/>
          <w:sz w:val="21"/>
          <w:szCs w:val="21"/>
          <w:highlight w:val="none"/>
        </w:rPr>
        <w:t xml:space="preserve">，</w:t>
      </w:r>
      <w:r>
        <w:rPr>
          <w:rFonts w:ascii="宋体" w:hAnsi="宋体" w:cs="宋体"/>
          <w:bCs/>
          <w:sz w:val="21"/>
          <w:szCs w:val="21"/>
          <w:highlight w:val="none"/>
        </w:rPr>
        <w:t xml:space="preserve">确保应急响应时间1小时内，人员到达现场时间6小时内，一般故障恢复时间24小时内，复杂故障恢复时间72小时内，最大限度减少事故损失，杜绝因运维不到位导致的重大环境污染事件和安全生产事故。</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5.6.2</w:t>
      </w:r>
      <w:r>
        <w:rPr>
          <w:rFonts w:ascii="宋体" w:hAnsi="宋体" w:cs="宋体"/>
          <w:bCs/>
          <w:sz w:val="21"/>
          <w:szCs w:val="21"/>
          <w:highlight w:val="none"/>
        </w:rPr>
        <w:t xml:space="preserve"> 应急组织体系与职责</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5.6.2.1</w:t>
      </w:r>
      <w:r>
        <w:rPr>
          <w:rFonts w:ascii="宋体" w:hAnsi="宋体" w:cs="宋体"/>
          <w:bCs/>
          <w:sz w:val="21"/>
          <w:szCs w:val="21"/>
          <w:highlight w:val="none"/>
        </w:rPr>
        <w:t xml:space="preserve">应急领导小组</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组成：项目经理任组长，技术负责人任副组长，各片区运维组长为成员。</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职责：全面负责应急工作的组织、协调和决策；启动和终止应急响应；调配应急资源和人员；对外信息报送与沟通（向采购人、伍佑街道及上级部门报告）。</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5.6.2.2</w:t>
      </w:r>
      <w:r>
        <w:rPr>
          <w:rFonts w:ascii="宋体" w:hAnsi="宋体" w:cs="宋体"/>
          <w:bCs/>
          <w:sz w:val="21"/>
          <w:szCs w:val="21"/>
          <w:highlight w:val="none"/>
        </w:rPr>
        <w:t xml:space="preserve">现场处置组</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组成：以运维人员为核心，根据事件类型配备电工、维修工等专业人员。</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职责：负责现场警戒、事故初步判断、采取紧急控制措施；执行故障修复、抢险救援任务；向应急领导小组实时汇报现场情况。</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5.6.2.3</w:t>
      </w:r>
      <w:r>
        <w:rPr>
          <w:rFonts w:ascii="宋体" w:hAnsi="宋体" w:cs="宋体"/>
          <w:bCs/>
          <w:sz w:val="21"/>
          <w:szCs w:val="21"/>
          <w:highlight w:val="none"/>
        </w:rPr>
        <w:t xml:space="preserve">后勤保障组</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组成：由项目内勤及指定人员兼任。</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职责：负责应急物资的储备、保管和供应；保障应急车辆、通讯设备畅通；提供后勤支持及医疗救护联络。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5.6.3</w:t>
      </w:r>
      <w:r>
        <w:rPr>
          <w:rFonts w:ascii="宋体" w:hAnsi="宋体" w:cs="宋体"/>
          <w:bCs/>
          <w:sz w:val="21"/>
          <w:szCs w:val="21"/>
          <w:highlight w:val="none"/>
        </w:rPr>
        <w:t xml:space="preserve"> 主要突发事故情况分析及应急措施</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5.6.3.1</w:t>
      </w:r>
      <w:r>
        <w:rPr>
          <w:rFonts w:ascii="宋体" w:hAnsi="宋体" w:cs="宋体"/>
          <w:bCs/>
          <w:sz w:val="21"/>
          <w:szCs w:val="21"/>
          <w:highlight w:val="none"/>
        </w:rPr>
        <w:t xml:space="preserve"> 设施设备故障类</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1、</w:t>
      </w:r>
      <w:r>
        <w:rPr>
          <w:rFonts w:ascii="宋体" w:hAnsi="宋体" w:cs="宋体"/>
          <w:bCs/>
          <w:sz w:val="21"/>
          <w:szCs w:val="21"/>
          <w:highlight w:val="none"/>
        </w:rPr>
        <w:t xml:space="preserve">情况分析</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动力设备故障：提升泵站水泵、一体化设施风机、回流泵等核心设备停转，导致污水无法提升或处理工艺中断，存在蓄水池满溢、系统停摆风险。</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MBR膜组件堵塞或破损：导致珠溪社区一体化设施处理效率骤降，出水水质超标。</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电气控制系统故障：如PLC故障、电路短路，造成设备瘫痪。</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仪表仪器失灵：流量计、液位计、在线监测仪数据失真，影响运行判断。</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w:t>
      </w:r>
      <w:r>
        <w:rPr>
          <w:rFonts w:ascii="宋体" w:hAnsi="宋体" w:cs="宋体"/>
          <w:bCs/>
          <w:sz w:val="21"/>
          <w:szCs w:val="21"/>
          <w:highlight w:val="none"/>
        </w:rPr>
        <w:t xml:space="preserve">应急响应措施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立即报备：第一时间向应急领导小组和采购人报备，如需停运，提前2日备案（突发故障即时报备）。</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切换备用设备：若有备用设备，立即切换运行。</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紧急抢修：现场处置组携带工具及备件赶赴现场，诊断故障原因，进行维修或更换。如需外部技术支持或大修，立即上报。</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工艺调整：对于膜堵塞，启动在线或离线清洗程序；对于设备维修期间，根据工艺条件调整运行参数，最大限度减少处理效率损失。</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水质应急监测：设备故障修复后，立即对出水水质进行加密监测，确保达标后方可正常排放。</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5.6.3.2</w:t>
      </w:r>
      <w:r>
        <w:rPr>
          <w:rFonts w:ascii="宋体" w:hAnsi="宋体" w:cs="宋体"/>
          <w:bCs/>
          <w:sz w:val="21"/>
          <w:szCs w:val="21"/>
          <w:highlight w:val="none"/>
        </w:rPr>
        <w:t xml:space="preserve"> 出水水质突发性超标</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1、</w:t>
      </w:r>
      <w:r>
        <w:rPr>
          <w:rFonts w:ascii="宋体" w:hAnsi="宋体" w:cs="宋体"/>
          <w:bCs/>
          <w:sz w:val="21"/>
          <w:szCs w:val="21"/>
          <w:highlight w:val="none"/>
        </w:rPr>
        <w:t xml:space="preserve">情况分析</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进水水质剧烈波动（如混入高浓度废水）、工艺异常、设备故障或药剂投加失效等原因，导致出水COD、氨氮、总磷等指标超标。</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w:t>
      </w:r>
      <w:r>
        <w:rPr>
          <w:rFonts w:ascii="宋体" w:hAnsi="宋体" w:cs="宋体"/>
          <w:bCs/>
          <w:sz w:val="21"/>
          <w:szCs w:val="21"/>
          <w:highlight w:val="none"/>
        </w:rPr>
        <w:t xml:space="preserve">应急响应措施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立即溯源与工艺调整：</w:t>
      </w:r>
      <w:bookmarkStart w:id="149" w:name="OLE_LINK54"/>
      <w:r/>
      <w:bookmarkStart w:id="150" w:name="OLE_LINK57"/>
      <w:r>
        <w:rPr>
          <w:rFonts w:hint="eastAsia" w:ascii="宋体" w:hAnsi="宋体" w:cs="宋体"/>
          <w:bCs/>
          <w:sz w:val="21"/>
          <w:szCs w:val="21"/>
          <w:highlight w:val="none"/>
        </w:rPr>
        <w:t xml:space="preserve">供应商应</w:t>
      </w:r>
      <w:bookmarkEnd w:id="149"/>
      <w:r/>
      <w:bookmarkEnd w:id="150"/>
      <w:r>
        <w:rPr>
          <w:rFonts w:ascii="宋体" w:hAnsi="宋体" w:cs="宋体"/>
          <w:bCs/>
          <w:sz w:val="21"/>
          <w:szCs w:val="21"/>
          <w:highlight w:val="none"/>
        </w:rPr>
        <w:t xml:space="preserve">排查进水来源，检查设备运行状态及药剂投加系统</w:t>
      </w:r>
      <w:r>
        <w:rPr>
          <w:rFonts w:hint="eastAsia" w:ascii="宋体" w:hAnsi="宋体" w:cs="宋体"/>
          <w:bCs/>
          <w:sz w:val="21"/>
          <w:szCs w:val="21"/>
          <w:highlight w:val="none"/>
        </w:rPr>
        <w:t xml:space="preserve">，</w:t>
      </w:r>
      <w:r>
        <w:rPr>
          <w:rFonts w:ascii="宋体" w:hAnsi="宋体" w:cs="宋体"/>
          <w:bCs/>
          <w:sz w:val="21"/>
          <w:szCs w:val="21"/>
          <w:highlight w:val="none"/>
        </w:rPr>
        <w:t xml:space="preserve">立即调整曝气量、污泥回流比等工艺参数。</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启用应急措施：若条件允许，</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将超标尾水引入应急池（或协商使用蓄水池暂存），禁止直接外排。</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强化处理与监测：</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投加针对性化学药剂（如PAC）进行应急处理，并每2小时进行一次水质快速检测，直至连续稳定达标。</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报告与评估：</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立即向采购人报告超标情况、原因及已采取的措施，并配合后续调查与评估。</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5.6.3.3</w:t>
      </w:r>
      <w:r>
        <w:rPr>
          <w:rFonts w:ascii="宋体" w:hAnsi="宋体" w:cs="宋体"/>
          <w:bCs/>
          <w:sz w:val="21"/>
          <w:szCs w:val="21"/>
          <w:highlight w:val="none"/>
        </w:rPr>
        <w:t xml:space="preserve"> 管网系统突发事故</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1、</w:t>
      </w:r>
      <w:r>
        <w:rPr>
          <w:rFonts w:ascii="宋体" w:hAnsi="宋体" w:cs="宋体"/>
          <w:bCs/>
          <w:sz w:val="21"/>
          <w:szCs w:val="21"/>
          <w:highlight w:val="none"/>
        </w:rPr>
        <w:t xml:space="preserve">情况分析</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管网破损或渗漏：因地基沉降、外力破坏等导致管道破裂，污水外泄，污染土壤和地下水。</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检查井堵塞或满溢：油污凝结、杂物沉积导致管道堵塞，污水从检查井溢出至路面，影响环境卫生和交通。</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w:t>
      </w:r>
      <w:r>
        <w:rPr>
          <w:rFonts w:ascii="宋体" w:hAnsi="宋体" w:cs="宋体"/>
          <w:bCs/>
          <w:sz w:val="21"/>
          <w:szCs w:val="21"/>
          <w:highlight w:val="none"/>
        </w:rPr>
        <w:t xml:space="preserve">应急响应措施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现场警戒与围护：立即设置安全警示牌、警戒线，夜间配备警示灯，防止次生事故。</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紧急疏通与抽运：对于堵塞，立即调派吸污车、高压清洗车进行疏通和抽运。对于破损，评估后采取临时抱箍堵漏或快速开挖更换管段。</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环境清理：对溢流到路面、地面的污水进行冲洗、清理，消除环境影响。</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后续修复：临时处置后，制定永久性修复方案，按程序报批后实施。</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5.6.3.4</w:t>
      </w:r>
      <w:r>
        <w:rPr>
          <w:rFonts w:ascii="宋体" w:hAnsi="宋体" w:cs="宋体"/>
          <w:bCs/>
          <w:sz w:val="21"/>
          <w:szCs w:val="21"/>
          <w:highlight w:val="none"/>
        </w:rPr>
        <w:t xml:space="preserve"> 安全生产事故</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1、</w:t>
      </w:r>
      <w:r>
        <w:rPr>
          <w:rFonts w:ascii="宋体" w:hAnsi="宋体" w:cs="宋体"/>
          <w:bCs/>
          <w:sz w:val="21"/>
          <w:szCs w:val="21"/>
          <w:highlight w:val="none"/>
        </w:rPr>
        <w:t xml:space="preserve">情况分析</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有限空间作业事故：下井清淤、维修时，可能发生中毒、窒息、爆炸。</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触电事故：电气设备操作、维修不当引发。</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溺水、滑跌等：在蓄水池、处理设施周边作业时发生。</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w:t>
      </w:r>
      <w:r>
        <w:rPr>
          <w:rFonts w:ascii="宋体" w:hAnsi="宋体" w:cs="宋体"/>
          <w:bCs/>
          <w:sz w:val="21"/>
          <w:szCs w:val="21"/>
          <w:highlight w:val="none"/>
        </w:rPr>
        <w:t xml:space="preserve">应急响应措施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立即呼救与报警：第一时间拨打120、119等急救电话。</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科学施救：严禁盲目施救。有限空间事故必须先通风、再检测、后作业，救援人员必须佩戴正压式空气呼吸器等专业防护装备。</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切断电源：发生触电事故，立即切断电源，使用绝缘物体使伤员脱离电源。</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现场急救：对伤员进行必要的现场急救（如心肺复苏），直至专业医护人员到达。</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5.6.3.5</w:t>
      </w:r>
      <w:r>
        <w:rPr>
          <w:rFonts w:ascii="宋体" w:hAnsi="宋体" w:cs="宋体"/>
          <w:bCs/>
          <w:sz w:val="21"/>
          <w:szCs w:val="21"/>
          <w:highlight w:val="none"/>
        </w:rPr>
        <w:t xml:space="preserve"> 极端天气</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1、</w:t>
      </w:r>
      <w:r>
        <w:rPr>
          <w:rFonts w:ascii="宋体" w:hAnsi="宋体" w:cs="宋体"/>
          <w:bCs/>
          <w:sz w:val="21"/>
          <w:szCs w:val="21"/>
          <w:highlight w:val="none"/>
        </w:rPr>
        <w:t xml:space="preserve">情况分析</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台风、暴雨、冰雹、极寒天气等可能导致设施淹没、供电中断、设备冻损、池体结构受损。</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2</w:t>
      </w:r>
      <w:r>
        <w:rPr>
          <w:rFonts w:hint="eastAsia" w:ascii="宋体" w:hAnsi="宋体" w:cs="宋体"/>
          <w:bCs/>
          <w:sz w:val="21"/>
          <w:szCs w:val="21"/>
          <w:highlight w:val="none"/>
        </w:rPr>
        <w:t xml:space="preserve">、</w:t>
      </w:r>
      <w:r>
        <w:rPr>
          <w:rFonts w:ascii="宋体" w:hAnsi="宋体" w:cs="宋体"/>
          <w:bCs/>
          <w:sz w:val="21"/>
          <w:szCs w:val="21"/>
          <w:highlight w:val="none"/>
        </w:rPr>
        <w:t xml:space="preserve">应急响应措施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预警与预防：密切关注天气预报，提前对设备进行加固，对易受淹的泵站、电控柜准备沙袋；对裸露管道、阀门进行保温处理。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应急供电：提前检查备用发电机，确保暴雨或台风导致停电时，关键设备能持续运行。</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加强巡查：极端天气过后，立即对所有设施、管网进行全面巡查，及时发现并处理隐患。</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灾后恢复：迅速统计受损情况，调配资源进行抢修，优先恢复处理功能。</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5.6.4</w:t>
      </w:r>
      <w:r>
        <w:rPr>
          <w:rFonts w:ascii="宋体" w:hAnsi="宋体" w:cs="宋体"/>
          <w:bCs/>
          <w:sz w:val="21"/>
          <w:szCs w:val="21"/>
          <w:highlight w:val="none"/>
        </w:rPr>
        <w:t xml:space="preserve"> 应急响应流程</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接警与报告：任何人员发现异常，立即向项目经理报告，说明事件时间、地点、概况。</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启动响应：应急领导小组根据事件级别，决定启动相应级别的应急响应。</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现场处置：现场处置组按</w:t>
      </w:r>
      <w:r>
        <w:rPr>
          <w:rFonts w:hint="eastAsia" w:ascii="宋体" w:hAnsi="宋体" w:cs="宋体"/>
          <w:bCs/>
          <w:sz w:val="21"/>
          <w:szCs w:val="21"/>
          <w:highlight w:val="none"/>
        </w:rPr>
        <w:t xml:space="preserve">应急方案</w:t>
      </w:r>
      <w:r>
        <w:rPr>
          <w:rFonts w:ascii="宋体" w:hAnsi="宋体" w:cs="宋体"/>
          <w:bCs/>
          <w:sz w:val="21"/>
          <w:szCs w:val="21"/>
          <w:highlight w:val="none"/>
        </w:rPr>
        <w:t xml:space="preserve">开展处置，并实时反馈。</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扩大应急：当事件无法控制或升级时，立即请求采购人、街道及消防、环保等外部力量支援。</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应急终止：事件得到有效控制，隐患消除后，由应急领导小组宣布应急终止。</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后期处置：进行事故调查、评估损失、整理应急记录、补充消耗的应急物资。</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5.6.5</w:t>
      </w:r>
      <w:r>
        <w:rPr>
          <w:rFonts w:ascii="宋体" w:hAnsi="宋体" w:cs="宋体"/>
          <w:bCs/>
          <w:sz w:val="21"/>
          <w:szCs w:val="21"/>
          <w:highlight w:val="none"/>
        </w:rPr>
        <w:t xml:space="preserve"> 应急保障措施</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5.6.5.1</w:t>
      </w:r>
      <w:r>
        <w:rPr>
          <w:rFonts w:ascii="宋体" w:hAnsi="宋体" w:cs="宋体"/>
          <w:bCs/>
          <w:sz w:val="21"/>
          <w:szCs w:val="21"/>
          <w:highlight w:val="none"/>
        </w:rPr>
        <w:t xml:space="preserve">通讯保障</w:t>
      </w:r>
      <w:r/>
    </w:p>
    <w:p>
      <w:pPr>
        <w:ind w:firstLine="480"/>
        <w:spacing w:line="400" w:lineRule="exact"/>
        <w:rPr>
          <w:rFonts w:hint="eastAsia" w:ascii="宋体" w:hAnsi="宋体" w:cs="宋体"/>
          <w:bCs/>
          <w:sz w:val="21"/>
          <w:szCs w:val="21"/>
          <w:highlight w:val="none"/>
        </w:rPr>
      </w:pPr>
      <w:r/>
      <w:bookmarkStart w:id="151" w:name="OLE_LINK59"/>
      <w:r/>
      <w:bookmarkStart w:id="152" w:name="OLE_LINK58"/>
      <w:r>
        <w:rPr>
          <w:rFonts w:hint="eastAsia" w:ascii="宋体" w:hAnsi="宋体" w:cs="宋体"/>
          <w:bCs/>
          <w:sz w:val="21"/>
          <w:szCs w:val="21"/>
          <w:highlight w:val="none"/>
        </w:rPr>
        <w:t xml:space="preserve">供应商应</w:t>
      </w:r>
      <w:bookmarkEnd w:id="151"/>
      <w:r/>
      <w:bookmarkEnd w:id="152"/>
      <w:r>
        <w:rPr>
          <w:rFonts w:ascii="宋体" w:hAnsi="宋体" w:cs="宋体"/>
          <w:bCs/>
          <w:sz w:val="21"/>
          <w:szCs w:val="21"/>
          <w:highlight w:val="none"/>
        </w:rPr>
        <w:t xml:space="preserve">确保项目经理、关键岗位人员手机24小时畅通</w:t>
      </w:r>
      <w:r>
        <w:rPr>
          <w:rFonts w:hint="eastAsia" w:ascii="宋体" w:hAnsi="宋体" w:cs="宋体"/>
          <w:bCs/>
          <w:sz w:val="21"/>
          <w:szCs w:val="21"/>
          <w:highlight w:val="none"/>
        </w:rPr>
        <w:t xml:space="preserve">，</w:t>
      </w:r>
      <w:r>
        <w:rPr>
          <w:rFonts w:ascii="宋体" w:hAnsi="宋体" w:cs="宋体"/>
          <w:bCs/>
          <w:sz w:val="21"/>
          <w:szCs w:val="21"/>
          <w:highlight w:val="none"/>
        </w:rPr>
        <w:t xml:space="preserve">建立微信群等即时通讯组，确保信息传递高效。</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5.6.5.</w:t>
      </w:r>
      <w:r>
        <w:rPr>
          <w:rFonts w:ascii="宋体" w:hAnsi="宋体" w:cs="宋体"/>
          <w:bCs/>
          <w:sz w:val="21"/>
          <w:szCs w:val="21"/>
          <w:highlight w:val="none"/>
        </w:rPr>
        <w:t xml:space="preserve">2物资与装备保障</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车辆：</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保障维护车、吸污车、高压清洗车随时可用。</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抢修工具与备件：</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储备充足的水泵、风机、膜组件、管道、电缆等常用易损件及专业工具。</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安全防护：</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配备正压式空气呼吸器、安全绳、气体检测仪、防毒面具、绝缘手套、急救箱等。</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应急物资：</w:t>
      </w: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储备沙袋、潜水泵、应急照明灯、警示标志、围挡等。</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5.6.5.</w:t>
      </w:r>
      <w:r>
        <w:rPr>
          <w:rFonts w:ascii="宋体" w:hAnsi="宋体" w:cs="宋体"/>
          <w:bCs/>
          <w:sz w:val="21"/>
          <w:szCs w:val="21"/>
          <w:highlight w:val="none"/>
        </w:rPr>
        <w:t xml:space="preserve">3人员与培训保障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w:t>
      </w:r>
      <w:r>
        <w:rPr>
          <w:rFonts w:ascii="宋体" w:hAnsi="宋体" w:cs="宋体"/>
          <w:bCs/>
          <w:sz w:val="21"/>
          <w:szCs w:val="21"/>
          <w:highlight w:val="none"/>
        </w:rPr>
        <w:t xml:space="preserve">所有运维人员必须经过应急培训，熟知本方案。</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每年至少组织一次综合应急演练，针对有限空间作业、水质超标、管网抢修等专项演练每半年一次，不断提高实战能力。</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5.6.5.</w:t>
      </w:r>
      <w:r>
        <w:rPr>
          <w:rFonts w:ascii="宋体" w:hAnsi="宋体" w:cs="宋体"/>
          <w:bCs/>
          <w:sz w:val="21"/>
          <w:szCs w:val="21"/>
          <w:highlight w:val="none"/>
        </w:rPr>
        <w:t xml:space="preserve">4技术保障</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w:t>
      </w:r>
      <w:r>
        <w:rPr>
          <w:rFonts w:ascii="宋体" w:hAnsi="宋体" w:cs="宋体"/>
          <w:bCs/>
          <w:sz w:val="21"/>
          <w:szCs w:val="21"/>
          <w:highlight w:val="none"/>
        </w:rPr>
        <w:t xml:space="preserve">与设备供应商、专业维修公司建立技术支持合作关系，确保复杂故障能得到快速外部支援。</w:t>
      </w:r>
      <w:r/>
    </w:p>
    <w:p>
      <w:pPr>
        <w:ind w:firstLine="480"/>
        <w:spacing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5.7台账管理方案</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供应商应根据采购需求和本项目实际，</w:t>
      </w:r>
      <w:r>
        <w:rPr>
          <w:rFonts w:ascii="宋体" w:hAnsi="宋体" w:cs="宋体"/>
          <w:bCs/>
          <w:sz w:val="21"/>
          <w:szCs w:val="21"/>
          <w:highlight w:val="none"/>
        </w:rPr>
        <w:t xml:space="preserve">提供一个细致完整、科学合理、针对性和操作性强的台账管理方案</w:t>
      </w:r>
      <w:r>
        <w:rPr>
          <w:rFonts w:hint="eastAsia" w:ascii="宋体" w:hAnsi="宋体" w:cs="宋体"/>
          <w:bCs/>
          <w:sz w:val="21"/>
          <w:szCs w:val="21"/>
          <w:highlight w:val="none"/>
        </w:rPr>
        <w:t xml:space="preserve">，方案至少包括台账建立、保管、归档管理、质量保证措施等方面，</w:t>
      </w:r>
      <w:r>
        <w:rPr>
          <w:rFonts w:ascii="宋体" w:hAnsi="宋体" w:cs="宋体"/>
          <w:bCs/>
          <w:sz w:val="21"/>
          <w:szCs w:val="21"/>
          <w:highlight w:val="none"/>
        </w:rPr>
        <w:t xml:space="preserve">确保项目运维过程可追溯、数据可查、管理规范。</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w:t>
      </w:r>
      <w:r>
        <w:rPr>
          <w:rFonts w:ascii="宋体" w:hAnsi="宋体" w:cs="宋体"/>
          <w:bCs/>
          <w:sz w:val="21"/>
          <w:szCs w:val="21"/>
          <w:highlight w:val="none"/>
        </w:rPr>
        <w:t xml:space="preserve">.7.1台账建立</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w:t>
      </w:r>
      <w:r>
        <w:rPr>
          <w:rFonts w:ascii="宋体" w:hAnsi="宋体" w:cs="宋体"/>
          <w:bCs/>
          <w:sz w:val="21"/>
          <w:szCs w:val="21"/>
          <w:highlight w:val="none"/>
        </w:rPr>
        <w:t xml:space="preserve">1.1台账设计原则</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全面性：</w:t>
      </w:r>
      <w:r>
        <w:rPr>
          <w:rFonts w:hint="eastAsia" w:ascii="宋体" w:hAnsi="宋体" w:cs="宋体"/>
          <w:bCs/>
          <w:sz w:val="21"/>
          <w:szCs w:val="21"/>
          <w:highlight w:val="none"/>
        </w:rPr>
        <w:t xml:space="preserve">应</w:t>
      </w:r>
      <w:r>
        <w:rPr>
          <w:rFonts w:ascii="宋体" w:hAnsi="宋体" w:cs="宋体"/>
          <w:bCs/>
          <w:sz w:val="21"/>
          <w:szCs w:val="21"/>
          <w:highlight w:val="none"/>
        </w:rPr>
        <w:t xml:space="preserve">覆盖项目运维全过程，包括设施运行、维护、检测、应急、人员管理等。</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规范性：</w:t>
      </w:r>
      <w:r>
        <w:rPr>
          <w:rFonts w:hint="eastAsia" w:ascii="宋体" w:hAnsi="宋体" w:cs="宋体"/>
          <w:bCs/>
          <w:sz w:val="21"/>
          <w:szCs w:val="21"/>
          <w:highlight w:val="none"/>
        </w:rPr>
        <w:t xml:space="preserve">应</w:t>
      </w:r>
      <w:r>
        <w:rPr>
          <w:rFonts w:ascii="宋体" w:hAnsi="宋体" w:cs="宋体"/>
          <w:bCs/>
          <w:sz w:val="21"/>
          <w:szCs w:val="21"/>
          <w:highlight w:val="none"/>
        </w:rPr>
        <w:t xml:space="preserve">遵循《江苏省盐南高新区农村生活污水处理设施运行维护管理办法(试行)》及招标文件要求。</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可操作性：</w:t>
      </w:r>
      <w:r>
        <w:rPr>
          <w:rFonts w:hint="eastAsia" w:ascii="宋体" w:hAnsi="宋体" w:cs="宋体"/>
          <w:bCs/>
          <w:sz w:val="21"/>
          <w:szCs w:val="21"/>
          <w:highlight w:val="none"/>
        </w:rPr>
        <w:t xml:space="preserve">应</w:t>
      </w:r>
      <w:r>
        <w:rPr>
          <w:rFonts w:ascii="宋体" w:hAnsi="宋体" w:cs="宋体"/>
          <w:bCs/>
          <w:sz w:val="21"/>
          <w:szCs w:val="21"/>
          <w:highlight w:val="none"/>
        </w:rPr>
        <w:t xml:space="preserve">采用电子与纸质相结合的方式，便于现场记录与后台管理。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实时性：</w:t>
      </w:r>
      <w:r>
        <w:rPr>
          <w:rFonts w:hint="eastAsia" w:ascii="宋体" w:hAnsi="宋体" w:cs="宋体"/>
          <w:bCs/>
          <w:sz w:val="21"/>
          <w:szCs w:val="21"/>
          <w:highlight w:val="none"/>
        </w:rPr>
        <w:t xml:space="preserve">应</w:t>
      </w:r>
      <w:r>
        <w:rPr>
          <w:rFonts w:ascii="宋体" w:hAnsi="宋体" w:cs="宋体"/>
          <w:bCs/>
          <w:sz w:val="21"/>
          <w:szCs w:val="21"/>
          <w:highlight w:val="none"/>
        </w:rPr>
        <w:t xml:space="preserve">确保台账记录及时、准确，反映设施真实运行状态。</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5.7.1.</w:t>
      </w:r>
      <w:r>
        <w:rPr>
          <w:rFonts w:ascii="宋体" w:hAnsi="宋体" w:cs="宋体"/>
          <w:bCs/>
          <w:sz w:val="21"/>
          <w:szCs w:val="21"/>
          <w:highlight w:val="none"/>
        </w:rPr>
        <w:t xml:space="preserve">2台账分类与内容</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根据项目特点，将台账分为以下几类：</w:t>
      </w:r>
      <w:r/>
    </w:p>
    <w:tbl>
      <w:tblPr>
        <w:tblStyle w:val="722"/>
        <w:tblpPr w:horzAnchor="margin" w:tblpXSpec="left" w:vertAnchor="text" w:tblpY="232"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5"/>
        <w:gridCol w:w="4422"/>
        <w:gridCol w:w="1452"/>
        <w:gridCol w:w="1448"/>
      </w:tblGrid>
      <w:tr>
        <w:trPr>
          <w:trHeight w:val="553"/>
        </w:trPr>
        <w:tc>
          <w:tcPr>
            <w:tcMar>
              <w:left w:w="108" w:type="dxa"/>
              <w:top w:w="0" w:type="dxa"/>
              <w:right w:w="108" w:type="dxa"/>
              <w:bottom w:w="0" w:type="dxa"/>
            </w:tcMar>
            <w:tcW w:w="1058" w:type="pct"/>
            <w:vAlign w:val="center"/>
            <w:textDirection w:val="lrTb"/>
            <w:noWrap w:val="false"/>
          </w:tcPr>
          <w:p>
            <w:pPr>
              <w:jc w:val="center"/>
              <w:spacing w:line="320" w:lineRule="exact"/>
              <w:rPr>
                <w:rFonts w:hint="eastAsia" w:ascii="宋体" w:hAnsi="宋体" w:cs="宋体"/>
                <w:sz w:val="21"/>
                <w:szCs w:val="21"/>
                <w:highlight w:val="none"/>
              </w:rPr>
            </w:pPr>
            <w:r>
              <w:rPr>
                <w:rFonts w:ascii="宋体" w:hAnsi="宋体"/>
                <w:sz w:val="21"/>
                <w:szCs w:val="21"/>
                <w:highlight w:val="none"/>
              </w:rPr>
              <w:t xml:space="preserve">台账类别</w:t>
            </w:r>
            <w:r/>
          </w:p>
        </w:tc>
        <w:tc>
          <w:tcPr>
            <w:tcW w:w="2381" w:type="pct"/>
            <w:vAlign w:val="center"/>
            <w:textDirection w:val="lrTb"/>
            <w:noWrap w:val="false"/>
          </w:tcPr>
          <w:p>
            <w:pPr>
              <w:jc w:val="center"/>
              <w:spacing w:line="320" w:lineRule="exact"/>
              <w:rPr>
                <w:rFonts w:hint="eastAsia" w:ascii="宋体" w:hAnsi="宋体" w:cs="宋体"/>
                <w:sz w:val="21"/>
                <w:szCs w:val="21"/>
                <w:highlight w:val="none"/>
              </w:rPr>
            </w:pPr>
            <w:r>
              <w:rPr>
                <w:rFonts w:ascii="宋体" w:hAnsi="宋体"/>
                <w:sz w:val="21"/>
                <w:szCs w:val="21"/>
                <w:highlight w:val="none"/>
              </w:rPr>
              <w:t xml:space="preserve">主要内容</w:t>
            </w:r>
            <w:r/>
          </w:p>
        </w:tc>
        <w:tc>
          <w:tcPr>
            <w:tcW w:w="782" w:type="pct"/>
            <w:vAlign w:val="center"/>
            <w:textDirection w:val="lrTb"/>
            <w:noWrap w:val="false"/>
          </w:tcPr>
          <w:p>
            <w:pPr>
              <w:jc w:val="center"/>
              <w:spacing w:line="320" w:lineRule="exact"/>
              <w:rPr>
                <w:rFonts w:hint="eastAsia" w:ascii="宋体" w:hAnsi="宋体" w:cs="宋体"/>
                <w:sz w:val="21"/>
                <w:szCs w:val="21"/>
                <w:highlight w:val="none"/>
              </w:rPr>
            </w:pPr>
            <w:r>
              <w:rPr>
                <w:rFonts w:ascii="宋体" w:hAnsi="宋体"/>
                <w:sz w:val="21"/>
                <w:szCs w:val="21"/>
                <w:highlight w:val="none"/>
              </w:rPr>
              <w:t xml:space="preserve">记录频率</w:t>
            </w:r>
            <w:r/>
          </w:p>
        </w:tc>
        <w:tc>
          <w:tcPr>
            <w:tcW w:w="779" w:type="pct"/>
            <w:vAlign w:val="center"/>
            <w:textDirection w:val="lrTb"/>
            <w:noWrap w:val="false"/>
          </w:tcPr>
          <w:p>
            <w:pPr>
              <w:jc w:val="center"/>
              <w:spacing w:line="320" w:lineRule="exact"/>
              <w:rPr>
                <w:rFonts w:hint="eastAsia" w:ascii="宋体" w:hAnsi="宋体"/>
                <w:bCs/>
                <w:sz w:val="21"/>
                <w:szCs w:val="21"/>
                <w:highlight w:val="none"/>
              </w:rPr>
            </w:pPr>
            <w:r>
              <w:rPr>
                <w:rFonts w:ascii="宋体" w:hAnsi="宋体"/>
                <w:sz w:val="21"/>
                <w:szCs w:val="21"/>
                <w:highlight w:val="none"/>
              </w:rPr>
              <w:t xml:space="preserve">责任人</w:t>
            </w:r>
            <w:r/>
          </w:p>
        </w:tc>
      </w:tr>
      <w:tr>
        <w:trPr>
          <w:trHeight w:val="722"/>
        </w:trPr>
        <w:tc>
          <w:tcPr>
            <w:tcMar>
              <w:left w:w="108" w:type="dxa"/>
              <w:top w:w="0" w:type="dxa"/>
              <w:right w:w="108" w:type="dxa"/>
              <w:bottom w:w="0" w:type="dxa"/>
            </w:tcMar>
            <w:tcW w:w="1058" w:type="pct"/>
            <w:vAlign w:val="center"/>
            <w:textDirection w:val="lrTb"/>
            <w:noWrap w:val="false"/>
          </w:tcPr>
          <w:p>
            <w:pPr>
              <w:jc w:val="center"/>
              <w:spacing w:line="320" w:lineRule="exact"/>
              <w:rPr>
                <w:rFonts w:hint="eastAsia" w:ascii="宋体" w:hAnsi="宋体" w:cs="宋体"/>
                <w:sz w:val="21"/>
                <w:szCs w:val="21"/>
                <w:highlight w:val="none"/>
              </w:rPr>
            </w:pPr>
            <w:r>
              <w:rPr>
                <w:rFonts w:ascii="宋体" w:hAnsi="宋体"/>
                <w:sz w:val="21"/>
                <w:szCs w:val="21"/>
                <w:highlight w:val="none"/>
              </w:rPr>
              <w:t xml:space="preserve">设施运行台账</w:t>
            </w:r>
            <w:r/>
          </w:p>
        </w:tc>
        <w:tc>
          <w:tcPr>
            <w:tcW w:w="2381" w:type="pct"/>
            <w:vAlign w:val="center"/>
            <w:textDirection w:val="lrTb"/>
            <w:noWrap w:val="false"/>
          </w:tcPr>
          <w:p>
            <w:pPr>
              <w:jc w:val="center"/>
              <w:spacing w:line="320" w:lineRule="exact"/>
              <w:rPr>
                <w:rFonts w:hint="eastAsia" w:ascii="宋体" w:hAnsi="宋体" w:cs="宋体"/>
                <w:sz w:val="21"/>
                <w:szCs w:val="21"/>
                <w:highlight w:val="none"/>
              </w:rPr>
            </w:pPr>
            <w:r>
              <w:rPr>
                <w:rFonts w:ascii="宋体" w:hAnsi="宋体"/>
                <w:sz w:val="21"/>
                <w:szCs w:val="21"/>
                <w:highlight w:val="none"/>
              </w:rPr>
              <w:t xml:space="preserve">处理水量、设备运行状态、电力消耗、出水水质指标（COD、氨氮、TP等）</w:t>
            </w:r>
            <w:r/>
          </w:p>
        </w:tc>
        <w:tc>
          <w:tcPr>
            <w:tcW w:w="782" w:type="pct"/>
            <w:vAlign w:val="center"/>
            <w:textDirection w:val="lrTb"/>
            <w:noWrap w:val="false"/>
          </w:tcPr>
          <w:p>
            <w:pPr>
              <w:jc w:val="center"/>
              <w:spacing w:line="320" w:lineRule="exact"/>
              <w:rPr>
                <w:rFonts w:hint="eastAsia" w:ascii="宋体" w:hAnsi="宋体" w:cs="宋体"/>
                <w:sz w:val="21"/>
                <w:szCs w:val="21"/>
                <w:highlight w:val="none"/>
              </w:rPr>
            </w:pPr>
            <w:r>
              <w:rPr>
                <w:rFonts w:ascii="宋体" w:hAnsi="宋体"/>
                <w:sz w:val="21"/>
                <w:szCs w:val="21"/>
                <w:highlight w:val="none"/>
              </w:rPr>
              <w:t xml:space="preserve">每日记录</w:t>
            </w:r>
            <w:r/>
          </w:p>
        </w:tc>
        <w:tc>
          <w:tcPr>
            <w:tcW w:w="779" w:type="pct"/>
            <w:vAlign w:val="center"/>
            <w:textDirection w:val="lrTb"/>
            <w:noWrap w:val="false"/>
          </w:tcPr>
          <w:p>
            <w:pPr>
              <w:jc w:val="center"/>
              <w:spacing w:line="320" w:lineRule="exact"/>
              <w:rPr>
                <w:rFonts w:hint="eastAsia" w:ascii="宋体" w:hAnsi="宋体"/>
                <w:bCs/>
                <w:sz w:val="21"/>
                <w:szCs w:val="21"/>
                <w:highlight w:val="none"/>
              </w:rPr>
            </w:pPr>
            <w:r>
              <w:rPr>
                <w:rFonts w:ascii="宋体" w:hAnsi="宋体"/>
                <w:sz w:val="21"/>
                <w:szCs w:val="21"/>
                <w:highlight w:val="none"/>
              </w:rPr>
              <w:t xml:space="preserve">运维人员</w:t>
            </w:r>
            <w:r/>
          </w:p>
        </w:tc>
      </w:tr>
      <w:tr>
        <w:trPr>
          <w:trHeight w:val="722"/>
        </w:trPr>
        <w:tc>
          <w:tcPr>
            <w:tcMar>
              <w:left w:w="108" w:type="dxa"/>
              <w:top w:w="0" w:type="dxa"/>
              <w:right w:w="108" w:type="dxa"/>
              <w:bottom w:w="0" w:type="dxa"/>
            </w:tcMar>
            <w:tcW w:w="1058" w:type="pct"/>
            <w:vAlign w:val="center"/>
            <w:textDirection w:val="lrTb"/>
            <w:noWrap w:val="false"/>
          </w:tcPr>
          <w:p>
            <w:pPr>
              <w:jc w:val="center"/>
              <w:spacing w:line="320" w:lineRule="exact"/>
              <w:rPr>
                <w:rFonts w:hint="eastAsia" w:ascii="宋体" w:hAnsi="宋体" w:cs="宋体"/>
                <w:sz w:val="21"/>
                <w:szCs w:val="21"/>
                <w:highlight w:val="none"/>
              </w:rPr>
            </w:pPr>
            <w:r>
              <w:rPr>
                <w:rFonts w:ascii="宋体" w:hAnsi="宋体"/>
                <w:sz w:val="21"/>
                <w:szCs w:val="21"/>
                <w:highlight w:val="none"/>
              </w:rPr>
              <w:t xml:space="preserve">巡查维护台账</w:t>
            </w:r>
            <w:r/>
          </w:p>
        </w:tc>
        <w:tc>
          <w:tcPr>
            <w:tcW w:w="2381" w:type="pct"/>
            <w:vAlign w:val="center"/>
            <w:textDirection w:val="lrTb"/>
            <w:noWrap w:val="false"/>
          </w:tcPr>
          <w:p>
            <w:pPr>
              <w:jc w:val="center"/>
              <w:spacing w:line="320" w:lineRule="exact"/>
              <w:rPr>
                <w:rFonts w:hint="eastAsia" w:ascii="宋体" w:hAnsi="宋体" w:cs="宋体"/>
                <w:sz w:val="21"/>
                <w:szCs w:val="21"/>
                <w:highlight w:val="none"/>
              </w:rPr>
            </w:pPr>
            <w:r>
              <w:rPr>
                <w:rFonts w:ascii="宋体" w:hAnsi="宋体"/>
                <w:sz w:val="21"/>
                <w:szCs w:val="21"/>
                <w:highlight w:val="none"/>
              </w:rPr>
              <w:t xml:space="preserve">巡查时间、点位、发现问题、处理措施、完成情况</w:t>
            </w:r>
            <w:r/>
          </w:p>
        </w:tc>
        <w:tc>
          <w:tcPr>
            <w:tcW w:w="782" w:type="pct"/>
            <w:vAlign w:val="center"/>
            <w:textDirection w:val="lrTb"/>
            <w:noWrap w:val="false"/>
          </w:tcPr>
          <w:p>
            <w:pPr>
              <w:jc w:val="center"/>
              <w:spacing w:line="320" w:lineRule="exact"/>
              <w:rPr>
                <w:rFonts w:hint="eastAsia" w:ascii="宋体" w:hAnsi="宋体" w:cs="宋体"/>
                <w:sz w:val="21"/>
                <w:szCs w:val="21"/>
                <w:highlight w:val="none"/>
              </w:rPr>
            </w:pPr>
            <w:r>
              <w:rPr>
                <w:rFonts w:ascii="宋体" w:hAnsi="宋体"/>
                <w:sz w:val="21"/>
                <w:szCs w:val="21"/>
                <w:highlight w:val="none"/>
              </w:rPr>
              <w:t xml:space="preserve">每周至少1次</w:t>
            </w:r>
            <w:r/>
          </w:p>
        </w:tc>
        <w:tc>
          <w:tcPr>
            <w:tcW w:w="779" w:type="pct"/>
            <w:vAlign w:val="center"/>
            <w:textDirection w:val="lrTb"/>
            <w:noWrap w:val="false"/>
          </w:tcPr>
          <w:p>
            <w:pPr>
              <w:jc w:val="center"/>
              <w:spacing w:line="320" w:lineRule="exact"/>
              <w:rPr>
                <w:rFonts w:hint="eastAsia" w:ascii="宋体" w:hAnsi="宋体"/>
                <w:bCs/>
                <w:sz w:val="21"/>
                <w:szCs w:val="21"/>
                <w:highlight w:val="none"/>
              </w:rPr>
            </w:pPr>
            <w:r>
              <w:rPr>
                <w:rFonts w:ascii="宋体" w:hAnsi="宋体"/>
                <w:sz w:val="21"/>
                <w:szCs w:val="21"/>
                <w:highlight w:val="none"/>
              </w:rPr>
              <w:t xml:space="preserve">巡查人员</w:t>
            </w:r>
            <w:r/>
          </w:p>
        </w:tc>
      </w:tr>
      <w:tr>
        <w:trPr>
          <w:trHeight w:val="722"/>
        </w:trPr>
        <w:tc>
          <w:tcPr>
            <w:tcMar>
              <w:left w:w="108" w:type="dxa"/>
              <w:top w:w="0" w:type="dxa"/>
              <w:right w:w="108" w:type="dxa"/>
              <w:bottom w:w="0" w:type="dxa"/>
            </w:tcMar>
            <w:tcW w:w="1058" w:type="pct"/>
            <w:vAlign w:val="center"/>
            <w:textDirection w:val="lrTb"/>
            <w:noWrap w:val="false"/>
          </w:tcPr>
          <w:p>
            <w:pPr>
              <w:jc w:val="center"/>
              <w:spacing w:line="320" w:lineRule="exact"/>
              <w:widowControl/>
              <w:rPr>
                <w:rFonts w:hint="eastAsia" w:ascii="宋体" w:hAnsi="宋体"/>
                <w:sz w:val="21"/>
                <w:szCs w:val="21"/>
                <w:highlight w:val="none"/>
                <w:lang w:eastAsia="en-US"/>
              </w:rPr>
            </w:pPr>
            <w:r>
              <w:rPr>
                <w:rFonts w:ascii="宋体" w:hAnsi="宋体"/>
                <w:sz w:val="21"/>
                <w:szCs w:val="21"/>
                <w:highlight w:val="none"/>
              </w:rPr>
              <w:t xml:space="preserve">水质检测台账</w:t>
            </w:r>
            <w:r/>
          </w:p>
        </w:tc>
        <w:tc>
          <w:tcPr>
            <w:tcW w:w="2381" w:type="pct"/>
            <w:vAlign w:val="center"/>
            <w:textDirection w:val="lrTb"/>
            <w:noWrap w:val="false"/>
          </w:tcPr>
          <w:p>
            <w:pPr>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检测时间、点位、检测项目、检测结果、检测机构</w:t>
            </w:r>
            <w:r/>
          </w:p>
        </w:tc>
        <w:tc>
          <w:tcPr>
            <w:tcW w:w="782" w:type="pct"/>
            <w:vAlign w:val="center"/>
            <w:textDirection w:val="lrTb"/>
            <w:noWrap w:val="false"/>
          </w:tcPr>
          <w:p>
            <w:pPr>
              <w:ind w:firstLine="210"/>
              <w:jc w:val="center"/>
              <w:spacing w:line="320" w:lineRule="exact"/>
              <w:widowControl/>
              <w:rPr>
                <w:rFonts w:hint="eastAsia" w:ascii="宋体" w:hAnsi="宋体" w:cs="宋体"/>
                <w:sz w:val="21"/>
                <w:szCs w:val="21"/>
                <w:highlight w:val="none"/>
              </w:rPr>
            </w:pPr>
            <w:r>
              <w:rPr>
                <w:rFonts w:ascii="宋体" w:hAnsi="宋体"/>
                <w:sz w:val="21"/>
                <w:szCs w:val="21"/>
                <w:highlight w:val="none"/>
              </w:rPr>
              <w:t xml:space="preserve">半月1次</w:t>
            </w:r>
            <w:r/>
          </w:p>
        </w:tc>
        <w:tc>
          <w:tcPr>
            <w:tcW w:w="779" w:type="pct"/>
            <w:vAlign w:val="center"/>
            <w:textDirection w:val="lrTb"/>
            <w:noWrap w:val="false"/>
          </w:tcPr>
          <w:p>
            <w:pPr>
              <w:ind w:firstLine="210"/>
              <w:jc w:val="center"/>
              <w:spacing w:line="320" w:lineRule="exact"/>
              <w:widowControl/>
              <w:rPr>
                <w:rFonts w:hint="eastAsia" w:ascii="宋体" w:hAnsi="宋体"/>
                <w:bCs/>
                <w:sz w:val="21"/>
                <w:szCs w:val="21"/>
                <w:highlight w:val="none"/>
              </w:rPr>
            </w:pPr>
            <w:r>
              <w:rPr>
                <w:rFonts w:ascii="宋体" w:hAnsi="宋体"/>
                <w:sz w:val="21"/>
                <w:szCs w:val="21"/>
                <w:highlight w:val="none"/>
              </w:rPr>
              <w:t xml:space="preserve">质量负责人</w:t>
            </w:r>
            <w:r/>
          </w:p>
        </w:tc>
      </w:tr>
      <w:tr>
        <w:trPr>
          <w:trHeight w:val="722"/>
        </w:trPr>
        <w:tc>
          <w:tcPr>
            <w:tcMar>
              <w:left w:w="108" w:type="dxa"/>
              <w:top w:w="0" w:type="dxa"/>
              <w:right w:w="108" w:type="dxa"/>
              <w:bottom w:w="0" w:type="dxa"/>
            </w:tcMar>
            <w:tcW w:w="1058" w:type="pct"/>
            <w:vAlign w:val="center"/>
            <w:textDirection w:val="lrTb"/>
            <w:noWrap w:val="false"/>
          </w:tcPr>
          <w:p>
            <w:pPr>
              <w:jc w:val="center"/>
              <w:spacing w:line="320" w:lineRule="exact"/>
              <w:widowControl/>
              <w:rPr>
                <w:rFonts w:hint="eastAsia" w:ascii="宋体" w:hAnsi="宋体" w:cs="宋体"/>
                <w:sz w:val="21"/>
                <w:szCs w:val="21"/>
                <w:highlight w:val="none"/>
                <w:lang w:eastAsia="en-US"/>
              </w:rPr>
            </w:pPr>
            <w:r>
              <w:rPr>
                <w:rFonts w:ascii="宋体" w:hAnsi="宋体"/>
                <w:sz w:val="21"/>
                <w:szCs w:val="21"/>
                <w:highlight w:val="none"/>
              </w:rPr>
              <w:t xml:space="preserve">故障维修台账</w:t>
            </w:r>
            <w:r/>
          </w:p>
        </w:tc>
        <w:tc>
          <w:tcPr>
            <w:tcW w:w="2381" w:type="pct"/>
            <w:vAlign w:val="center"/>
            <w:textDirection w:val="lrTb"/>
            <w:noWrap w:val="false"/>
          </w:tcPr>
          <w:p>
            <w:pPr>
              <w:jc w:val="center"/>
              <w:spacing w:line="320" w:lineRule="exact"/>
              <w:widowControl/>
              <w:rPr>
                <w:rFonts w:hint="eastAsia" w:ascii="宋体" w:hAnsi="宋体" w:cs="宋体"/>
                <w:sz w:val="21"/>
                <w:szCs w:val="21"/>
                <w:highlight w:val="none"/>
              </w:rPr>
            </w:pPr>
            <w:r>
              <w:rPr>
                <w:rFonts w:ascii="宋体" w:hAnsi="宋体"/>
                <w:sz w:val="21"/>
                <w:szCs w:val="21"/>
                <w:highlight w:val="none"/>
              </w:rPr>
              <w:t xml:space="preserve">故障时间、描述、维修措施、更换部件、维修结果</w:t>
            </w:r>
            <w:r/>
          </w:p>
        </w:tc>
        <w:tc>
          <w:tcPr>
            <w:tcW w:w="782" w:type="pct"/>
            <w:vAlign w:val="center"/>
            <w:textDirection w:val="lrTb"/>
            <w:noWrap w:val="false"/>
          </w:tcPr>
          <w:p>
            <w:pPr>
              <w:ind w:firstLine="210"/>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实时记录</w:t>
            </w:r>
            <w:r/>
          </w:p>
        </w:tc>
        <w:tc>
          <w:tcPr>
            <w:tcW w:w="779" w:type="pct"/>
            <w:vAlign w:val="center"/>
            <w:textDirection w:val="lrTb"/>
            <w:noWrap w:val="false"/>
          </w:tcPr>
          <w:p>
            <w:pPr>
              <w:ind w:firstLine="210"/>
              <w:jc w:val="center"/>
              <w:spacing w:line="320" w:lineRule="exact"/>
              <w:widowControl/>
              <w:rPr>
                <w:rFonts w:hint="eastAsia" w:ascii="宋体" w:hAnsi="宋体"/>
                <w:bCs/>
                <w:sz w:val="21"/>
                <w:szCs w:val="21"/>
                <w:highlight w:val="none"/>
              </w:rPr>
            </w:pPr>
            <w:r>
              <w:rPr>
                <w:rFonts w:ascii="宋体" w:hAnsi="宋体"/>
                <w:sz w:val="21"/>
                <w:szCs w:val="21"/>
                <w:highlight w:val="none"/>
              </w:rPr>
              <w:t xml:space="preserve">项目经理</w:t>
            </w:r>
            <w:r/>
          </w:p>
        </w:tc>
      </w:tr>
      <w:tr>
        <w:trPr>
          <w:trHeight w:val="722"/>
        </w:trPr>
        <w:tc>
          <w:tcPr>
            <w:tcMar>
              <w:left w:w="108" w:type="dxa"/>
              <w:top w:w="0" w:type="dxa"/>
              <w:right w:w="108" w:type="dxa"/>
              <w:bottom w:w="0" w:type="dxa"/>
            </w:tcMar>
            <w:tcW w:w="1058" w:type="pct"/>
            <w:vAlign w:val="center"/>
            <w:textDirection w:val="lrTb"/>
            <w:noWrap w:val="false"/>
          </w:tcPr>
          <w:p>
            <w:pPr>
              <w:jc w:val="center"/>
              <w:spacing w:line="320" w:lineRule="exact"/>
              <w:widowControl/>
              <w:rPr>
                <w:rFonts w:hint="eastAsia" w:ascii="宋体" w:hAnsi="宋体"/>
                <w:bCs/>
                <w:sz w:val="21"/>
                <w:szCs w:val="21"/>
                <w:highlight w:val="none"/>
              </w:rPr>
            </w:pPr>
            <w:r>
              <w:rPr>
                <w:rFonts w:ascii="宋体" w:hAnsi="宋体"/>
                <w:sz w:val="21"/>
                <w:szCs w:val="21"/>
                <w:highlight w:val="none"/>
              </w:rPr>
              <w:t xml:space="preserve">应急处理台账</w:t>
            </w:r>
            <w:r/>
          </w:p>
        </w:tc>
        <w:tc>
          <w:tcPr>
            <w:tcW w:w="2381" w:type="pct"/>
            <w:vAlign w:val="center"/>
            <w:textDirection w:val="lrTb"/>
            <w:noWrap w:val="false"/>
          </w:tcPr>
          <w:p>
            <w:pPr>
              <w:jc w:val="center"/>
              <w:spacing w:line="320" w:lineRule="exact"/>
              <w:widowControl/>
              <w:rPr>
                <w:rFonts w:hint="eastAsia" w:ascii="宋体" w:hAnsi="宋体" w:cs="宋体"/>
                <w:sz w:val="21"/>
                <w:szCs w:val="21"/>
                <w:highlight w:val="none"/>
              </w:rPr>
            </w:pPr>
            <w:r>
              <w:rPr>
                <w:rFonts w:ascii="宋体" w:hAnsi="宋体"/>
                <w:sz w:val="21"/>
                <w:szCs w:val="21"/>
                <w:highlight w:val="none"/>
              </w:rPr>
              <w:t xml:space="preserve">事件类型、响应时间、处理过程、结果、后续措施</w:t>
            </w:r>
            <w:r/>
          </w:p>
        </w:tc>
        <w:tc>
          <w:tcPr>
            <w:tcW w:w="782" w:type="pct"/>
            <w:vAlign w:val="center"/>
            <w:textDirection w:val="lrTb"/>
            <w:noWrap w:val="false"/>
          </w:tcPr>
          <w:p>
            <w:pPr>
              <w:ind w:firstLine="210"/>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实时记录</w:t>
            </w:r>
            <w:r/>
          </w:p>
        </w:tc>
        <w:tc>
          <w:tcPr>
            <w:tcW w:w="779" w:type="pct"/>
            <w:vAlign w:val="center"/>
            <w:textDirection w:val="lrTb"/>
            <w:noWrap w:val="false"/>
          </w:tcPr>
          <w:p>
            <w:pPr>
              <w:ind w:firstLine="210"/>
              <w:jc w:val="center"/>
              <w:spacing w:line="320" w:lineRule="exact"/>
              <w:widowControl/>
              <w:rPr>
                <w:rFonts w:hint="eastAsia" w:ascii="宋体" w:hAnsi="宋体"/>
                <w:bCs/>
                <w:sz w:val="21"/>
                <w:szCs w:val="21"/>
                <w:highlight w:val="none"/>
              </w:rPr>
            </w:pPr>
            <w:r>
              <w:rPr>
                <w:rFonts w:ascii="宋体" w:hAnsi="宋体"/>
                <w:sz w:val="21"/>
                <w:szCs w:val="21"/>
                <w:highlight w:val="none"/>
              </w:rPr>
              <w:t xml:space="preserve">应急负责人</w:t>
            </w:r>
            <w:r/>
          </w:p>
        </w:tc>
      </w:tr>
      <w:tr>
        <w:trPr>
          <w:trHeight w:val="722"/>
        </w:trPr>
        <w:tc>
          <w:tcPr>
            <w:tcMar>
              <w:left w:w="108" w:type="dxa"/>
              <w:top w:w="0" w:type="dxa"/>
              <w:right w:w="108" w:type="dxa"/>
              <w:bottom w:w="0" w:type="dxa"/>
            </w:tcMar>
            <w:tcW w:w="1058" w:type="pct"/>
            <w:vAlign w:val="center"/>
            <w:textDirection w:val="lrTb"/>
            <w:noWrap w:val="false"/>
          </w:tcPr>
          <w:p>
            <w:pPr>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人员管理台账</w:t>
            </w:r>
            <w:r/>
          </w:p>
        </w:tc>
        <w:tc>
          <w:tcPr>
            <w:tcW w:w="2381" w:type="pct"/>
            <w:vAlign w:val="center"/>
            <w:textDirection w:val="lrTb"/>
            <w:noWrap w:val="false"/>
          </w:tcPr>
          <w:p>
            <w:pPr>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岗位职责、培训记录、考勤、证书更新情况</w:t>
            </w:r>
            <w:r/>
          </w:p>
        </w:tc>
        <w:tc>
          <w:tcPr>
            <w:tcW w:w="782" w:type="pct"/>
            <w:vAlign w:val="center"/>
            <w:textDirection w:val="lrTb"/>
            <w:noWrap w:val="false"/>
          </w:tcPr>
          <w:p>
            <w:pPr>
              <w:ind w:firstLine="210"/>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每月更新</w:t>
            </w:r>
            <w:r/>
          </w:p>
        </w:tc>
        <w:tc>
          <w:tcPr>
            <w:tcW w:w="779" w:type="pct"/>
            <w:vAlign w:val="center"/>
            <w:textDirection w:val="lrTb"/>
            <w:noWrap w:val="false"/>
          </w:tcPr>
          <w:p>
            <w:pPr>
              <w:ind w:firstLine="210"/>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项目经理</w:t>
            </w:r>
            <w:r/>
          </w:p>
        </w:tc>
      </w:tr>
      <w:tr>
        <w:trPr>
          <w:trHeight w:val="722"/>
        </w:trPr>
        <w:tc>
          <w:tcPr>
            <w:tcMar>
              <w:left w:w="108" w:type="dxa"/>
              <w:top w:w="0" w:type="dxa"/>
              <w:right w:w="108" w:type="dxa"/>
              <w:bottom w:w="0" w:type="dxa"/>
            </w:tcMar>
            <w:tcW w:w="1058" w:type="pct"/>
            <w:vAlign w:val="center"/>
            <w:textDirection w:val="lrTb"/>
            <w:noWrap w:val="false"/>
          </w:tcPr>
          <w:p>
            <w:pPr>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大修与专项台账</w:t>
            </w:r>
            <w:r/>
          </w:p>
        </w:tc>
        <w:tc>
          <w:tcPr>
            <w:tcW w:w="2381" w:type="pct"/>
            <w:vAlign w:val="center"/>
            <w:textDirection w:val="lrTb"/>
            <w:noWrap w:val="false"/>
          </w:tcPr>
          <w:p>
            <w:pPr>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大修申请、审核意见、实施过程、验收结果、费用明细</w:t>
            </w:r>
            <w:r/>
          </w:p>
        </w:tc>
        <w:tc>
          <w:tcPr>
            <w:tcW w:w="782" w:type="pct"/>
            <w:vAlign w:val="center"/>
            <w:textDirection w:val="lrTb"/>
            <w:noWrap w:val="false"/>
          </w:tcPr>
          <w:p>
            <w:pPr>
              <w:ind w:firstLine="210"/>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按需记录</w:t>
            </w:r>
            <w:r/>
          </w:p>
        </w:tc>
        <w:tc>
          <w:tcPr>
            <w:tcW w:w="779" w:type="pct"/>
            <w:vAlign w:val="center"/>
            <w:textDirection w:val="lrTb"/>
            <w:noWrap w:val="false"/>
          </w:tcPr>
          <w:p>
            <w:pPr>
              <w:ind w:firstLine="210"/>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项目经理</w:t>
            </w:r>
            <w:r/>
          </w:p>
        </w:tc>
      </w:tr>
      <w:tr>
        <w:trPr>
          <w:trHeight w:val="722"/>
        </w:trPr>
        <w:tc>
          <w:tcPr>
            <w:tcMar>
              <w:left w:w="108" w:type="dxa"/>
              <w:top w:w="0" w:type="dxa"/>
              <w:right w:w="108" w:type="dxa"/>
              <w:bottom w:w="0" w:type="dxa"/>
            </w:tcMar>
            <w:tcW w:w="1058" w:type="pct"/>
            <w:vAlign w:val="center"/>
            <w:textDirection w:val="lrTb"/>
            <w:noWrap w:val="false"/>
          </w:tcPr>
          <w:p>
            <w:pPr>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受益农户台账</w:t>
            </w:r>
            <w:r/>
          </w:p>
        </w:tc>
        <w:tc>
          <w:tcPr>
            <w:tcW w:w="2381" w:type="pct"/>
            <w:vAlign w:val="center"/>
            <w:textDirection w:val="lrTb"/>
            <w:noWrap w:val="false"/>
          </w:tcPr>
          <w:p>
            <w:pPr>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农户信息、接入状态、投诉记录、回访情况</w:t>
            </w:r>
            <w:r/>
          </w:p>
        </w:tc>
        <w:tc>
          <w:tcPr>
            <w:tcW w:w="782" w:type="pct"/>
            <w:vAlign w:val="center"/>
            <w:textDirection w:val="lrTb"/>
            <w:noWrap w:val="false"/>
          </w:tcPr>
          <w:p>
            <w:pPr>
              <w:ind w:firstLine="210"/>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每季度更新</w:t>
            </w:r>
            <w:r/>
          </w:p>
        </w:tc>
        <w:tc>
          <w:tcPr>
            <w:tcW w:w="779" w:type="pct"/>
            <w:vAlign w:val="center"/>
            <w:textDirection w:val="lrTb"/>
            <w:noWrap w:val="false"/>
          </w:tcPr>
          <w:p>
            <w:pPr>
              <w:ind w:firstLine="210"/>
              <w:jc w:val="center"/>
              <w:spacing w:line="320" w:lineRule="exact"/>
              <w:widowControl/>
              <w:rPr>
                <w:rFonts w:hint="eastAsia" w:ascii="宋体" w:hAnsi="宋体"/>
                <w:sz w:val="21"/>
                <w:szCs w:val="21"/>
                <w:highlight w:val="none"/>
              </w:rPr>
            </w:pPr>
            <w:r>
              <w:rPr>
                <w:rFonts w:ascii="宋体" w:hAnsi="宋体"/>
                <w:sz w:val="21"/>
                <w:szCs w:val="21"/>
                <w:highlight w:val="none"/>
              </w:rPr>
              <w:t xml:space="preserve">客服专员</w:t>
            </w:r>
            <w:r/>
          </w:p>
        </w:tc>
      </w:tr>
    </w:tbl>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5.7.1.</w:t>
      </w:r>
      <w:r>
        <w:rPr>
          <w:rFonts w:ascii="宋体" w:hAnsi="宋体" w:cs="宋体"/>
          <w:bCs/>
          <w:sz w:val="21"/>
          <w:szCs w:val="21"/>
          <w:highlight w:val="none"/>
        </w:rPr>
        <w:t xml:space="preserve">3台账记录方式</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电子台账：</w:t>
      </w:r>
      <w:r>
        <w:rPr>
          <w:rFonts w:hint="eastAsia" w:ascii="宋体" w:hAnsi="宋体" w:cs="宋体"/>
          <w:bCs/>
          <w:sz w:val="21"/>
          <w:szCs w:val="21"/>
          <w:highlight w:val="none"/>
        </w:rPr>
        <w:t xml:space="preserve">应</w:t>
      </w:r>
      <w:r>
        <w:rPr>
          <w:rFonts w:ascii="宋体" w:hAnsi="宋体" w:cs="宋体"/>
          <w:bCs/>
          <w:sz w:val="21"/>
          <w:szCs w:val="21"/>
          <w:highlight w:val="none"/>
        </w:rPr>
        <w:t xml:space="preserve">采用专用运维管理软件或Excel模板，支持移动端APP现场录入。</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纸质台账：用于现场临时记录，后续由专人录入电子系统。</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签名确认：每项记录需由责任人签字确认，确保真实性。</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w:t>
      </w:r>
      <w:r>
        <w:rPr>
          <w:rFonts w:ascii="宋体" w:hAnsi="宋体" w:cs="宋体"/>
          <w:bCs/>
          <w:sz w:val="21"/>
          <w:szCs w:val="21"/>
          <w:highlight w:val="none"/>
        </w:rPr>
        <w:t xml:space="preserve">1.4应急情况下的台账管理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在设备故障、自然灾害等应急情况下，启用应急台账模块，记录响应与处置全过程。</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应急台账需在事件结束后24小时内完成整理归档。</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支持离线记录，事后补录至系统。</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5.7.2</w:t>
      </w:r>
      <w:r>
        <w:rPr>
          <w:rFonts w:ascii="宋体" w:hAnsi="宋体" w:cs="宋体"/>
          <w:bCs/>
          <w:sz w:val="21"/>
          <w:szCs w:val="21"/>
          <w:highlight w:val="none"/>
        </w:rPr>
        <w:t xml:space="preserve">台账保管</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5.7.2.</w:t>
      </w:r>
      <w:r>
        <w:rPr>
          <w:rFonts w:ascii="宋体" w:hAnsi="宋体" w:cs="宋体"/>
          <w:bCs/>
          <w:sz w:val="21"/>
          <w:szCs w:val="21"/>
          <w:highlight w:val="none"/>
        </w:rPr>
        <w:t xml:space="preserve">1 保管制度</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分级管理：项目经理为总负责人，各岗位人员负责本岗位台账的初步整理与提交。</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保密要求：</w:t>
      </w:r>
      <w:r>
        <w:rPr>
          <w:rFonts w:hint="eastAsia" w:ascii="宋体" w:hAnsi="宋体" w:cs="宋体"/>
          <w:bCs/>
          <w:sz w:val="21"/>
          <w:szCs w:val="21"/>
          <w:highlight w:val="none"/>
        </w:rPr>
        <w:t xml:space="preserve">应实行</w:t>
      </w:r>
      <w:r>
        <w:rPr>
          <w:rFonts w:ascii="宋体" w:hAnsi="宋体" w:cs="宋体"/>
          <w:bCs/>
          <w:sz w:val="21"/>
          <w:szCs w:val="21"/>
          <w:highlight w:val="none"/>
        </w:rPr>
        <w:t xml:space="preserve">涉及农户信息、水质数据等敏感内容，严格限制访问权限。</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备份机制：</w:t>
      </w:r>
      <w:r>
        <w:rPr>
          <w:rFonts w:hint="eastAsia" w:ascii="宋体" w:hAnsi="宋体" w:cs="宋体"/>
          <w:bCs/>
          <w:sz w:val="21"/>
          <w:szCs w:val="21"/>
          <w:highlight w:val="none"/>
        </w:rPr>
        <w:t xml:space="preserve">应实行</w:t>
      </w:r>
      <w:r>
        <w:rPr>
          <w:rFonts w:ascii="宋体" w:hAnsi="宋体" w:cs="宋体"/>
          <w:bCs/>
          <w:sz w:val="21"/>
          <w:szCs w:val="21"/>
          <w:highlight w:val="none"/>
        </w:rPr>
        <w:t xml:space="preserve">电子台账每日自动备份至云端服务器，纸质台账扫描存档。</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5.7.2.2</w:t>
      </w:r>
      <w:r>
        <w:rPr>
          <w:rFonts w:ascii="宋体" w:hAnsi="宋体" w:cs="宋体"/>
          <w:bCs/>
          <w:sz w:val="21"/>
          <w:szCs w:val="21"/>
          <w:highlight w:val="none"/>
        </w:rPr>
        <w:t xml:space="preserve"> 存储方式</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电子台账：</w:t>
      </w:r>
      <w:r>
        <w:rPr>
          <w:rFonts w:hint="eastAsia" w:ascii="宋体" w:hAnsi="宋体" w:cs="宋体"/>
          <w:bCs/>
          <w:sz w:val="21"/>
          <w:szCs w:val="21"/>
          <w:highlight w:val="none"/>
        </w:rPr>
        <w:t xml:space="preserve">应实行</w:t>
      </w:r>
      <w:r>
        <w:rPr>
          <w:rFonts w:ascii="宋体" w:hAnsi="宋体" w:cs="宋体"/>
          <w:bCs/>
          <w:sz w:val="21"/>
          <w:szCs w:val="21"/>
          <w:highlight w:val="none"/>
        </w:rPr>
        <w:t xml:space="preserve">存储在本地服务器+云端双备份，设置访问权限和操作日志。</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纸质台账：</w:t>
      </w:r>
      <w:r>
        <w:rPr>
          <w:rFonts w:hint="eastAsia" w:ascii="宋体" w:hAnsi="宋体" w:cs="宋体"/>
          <w:bCs/>
          <w:sz w:val="21"/>
          <w:szCs w:val="21"/>
          <w:highlight w:val="none"/>
        </w:rPr>
        <w:t xml:space="preserve">应实行</w:t>
      </w:r>
      <w:r>
        <w:rPr>
          <w:rFonts w:ascii="宋体" w:hAnsi="宋体" w:cs="宋体"/>
          <w:bCs/>
          <w:sz w:val="21"/>
          <w:szCs w:val="21"/>
          <w:highlight w:val="none"/>
        </w:rPr>
        <w:t xml:space="preserve">专柜存放，防潮防火，标识清晰，便于查阅。</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5.7.2.</w:t>
      </w:r>
      <w:r>
        <w:rPr>
          <w:rFonts w:ascii="宋体" w:hAnsi="宋体" w:cs="宋体"/>
          <w:bCs/>
          <w:sz w:val="21"/>
          <w:szCs w:val="21"/>
          <w:highlight w:val="none"/>
        </w:rPr>
        <w:t xml:space="preserve">3 查阅与更新</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内部查阅：经项目经理批准后方可调阅。</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外部查阅：仅向采购人、审计单位、监管部门开放，需书面申请。</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更新流程：台账更新需经复核人审核后方可生效。</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5.7.2.</w:t>
      </w:r>
      <w:r>
        <w:rPr>
          <w:rFonts w:ascii="宋体" w:hAnsi="宋体" w:cs="宋体"/>
          <w:bCs/>
          <w:sz w:val="21"/>
          <w:szCs w:val="21"/>
          <w:highlight w:val="none"/>
        </w:rPr>
        <w:t xml:space="preserve">4 安全措施</w:t>
      </w:r>
      <w:r/>
    </w:p>
    <w:p>
      <w:pPr>
        <w:ind w:firstLine="480"/>
        <w:spacing w:line="400" w:lineRule="exact"/>
        <w:rPr>
          <w:rFonts w:hint="eastAsia" w:ascii="宋体" w:hAnsi="宋体" w:cs="宋体"/>
          <w:bCs/>
          <w:sz w:val="21"/>
          <w:szCs w:val="21"/>
          <w:highlight w:val="none"/>
        </w:rPr>
      </w:pPr>
      <w:r/>
      <w:bookmarkStart w:id="153" w:name="OLE_LINK65"/>
      <w:r/>
      <w:bookmarkStart w:id="154" w:name="OLE_LINK62"/>
      <w:r>
        <w:rPr>
          <w:rFonts w:hint="eastAsia" w:ascii="宋体" w:hAnsi="宋体" w:cs="宋体"/>
          <w:bCs/>
          <w:sz w:val="21"/>
          <w:szCs w:val="21"/>
          <w:highlight w:val="none"/>
        </w:rPr>
        <w:t xml:space="preserve">应实行</w:t>
      </w:r>
      <w:bookmarkEnd w:id="153"/>
      <w:r/>
      <w:bookmarkEnd w:id="154"/>
      <w:r>
        <w:rPr>
          <w:rFonts w:ascii="宋体" w:hAnsi="宋体" w:cs="宋体"/>
          <w:bCs/>
          <w:sz w:val="21"/>
          <w:szCs w:val="21"/>
          <w:highlight w:val="none"/>
        </w:rPr>
        <w:t xml:space="preserve">电子系统采用密码+指纹双认证。</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应实行</w:t>
      </w:r>
      <w:r>
        <w:rPr>
          <w:rFonts w:ascii="宋体" w:hAnsi="宋体" w:cs="宋体"/>
          <w:bCs/>
          <w:sz w:val="21"/>
          <w:szCs w:val="21"/>
          <w:highlight w:val="none"/>
        </w:rPr>
        <w:t xml:space="preserve">纸质台账存放处安装监控设备。</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应实行</w:t>
      </w:r>
      <w:r>
        <w:rPr>
          <w:rFonts w:ascii="宋体" w:hAnsi="宋体" w:cs="宋体"/>
          <w:bCs/>
          <w:sz w:val="21"/>
          <w:szCs w:val="21"/>
          <w:highlight w:val="none"/>
        </w:rPr>
        <w:t xml:space="preserve">定期进行数据完整性检查。</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5.7.3</w:t>
      </w:r>
      <w:r>
        <w:rPr>
          <w:rFonts w:ascii="宋体" w:hAnsi="宋体" w:cs="宋体"/>
          <w:bCs/>
          <w:sz w:val="21"/>
          <w:szCs w:val="21"/>
          <w:highlight w:val="none"/>
        </w:rPr>
        <w:t xml:space="preserve">台账归档</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5.7.3.</w:t>
      </w:r>
      <w:r>
        <w:rPr>
          <w:rFonts w:ascii="宋体" w:hAnsi="宋体" w:cs="宋体"/>
          <w:bCs/>
          <w:sz w:val="21"/>
          <w:szCs w:val="21"/>
          <w:highlight w:val="none"/>
        </w:rPr>
        <w:t xml:space="preserve">1 归档周期</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月度归档：</w:t>
      </w:r>
      <w:r>
        <w:rPr>
          <w:rFonts w:hint="eastAsia" w:ascii="宋体" w:hAnsi="宋体" w:cs="宋体"/>
          <w:bCs/>
          <w:sz w:val="21"/>
          <w:szCs w:val="21"/>
          <w:highlight w:val="none"/>
        </w:rPr>
        <w:t xml:space="preserve">供应商应在</w:t>
      </w:r>
      <w:r>
        <w:rPr>
          <w:rFonts w:ascii="宋体" w:hAnsi="宋体" w:cs="宋体"/>
          <w:bCs/>
          <w:sz w:val="21"/>
          <w:szCs w:val="21"/>
          <w:highlight w:val="none"/>
        </w:rPr>
        <w:t xml:space="preserve">每月5日前完成上月台账整理归档。</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季度归档：</w:t>
      </w:r>
      <w:r>
        <w:rPr>
          <w:rFonts w:hint="eastAsia" w:ascii="宋体" w:hAnsi="宋体" w:cs="宋体"/>
          <w:bCs/>
          <w:sz w:val="21"/>
          <w:szCs w:val="21"/>
          <w:highlight w:val="none"/>
        </w:rPr>
        <w:t xml:space="preserve">供应商应在</w:t>
      </w:r>
      <w:r>
        <w:rPr>
          <w:rFonts w:ascii="宋体" w:hAnsi="宋体" w:cs="宋体"/>
          <w:bCs/>
          <w:sz w:val="21"/>
          <w:szCs w:val="21"/>
          <w:highlight w:val="none"/>
        </w:rPr>
        <w:t xml:space="preserve">每季度第一个月10日前完成上季度台账归档。</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年度归档：</w:t>
      </w:r>
      <w:r>
        <w:rPr>
          <w:rFonts w:hint="eastAsia" w:ascii="宋体" w:hAnsi="宋体" w:cs="宋体"/>
          <w:bCs/>
          <w:sz w:val="21"/>
          <w:szCs w:val="21"/>
          <w:highlight w:val="none"/>
        </w:rPr>
        <w:t xml:space="preserve">供应商应在</w:t>
      </w:r>
      <w:r>
        <w:rPr>
          <w:rFonts w:ascii="宋体" w:hAnsi="宋体" w:cs="宋体"/>
          <w:bCs/>
          <w:sz w:val="21"/>
          <w:szCs w:val="21"/>
          <w:highlight w:val="none"/>
        </w:rPr>
        <w:t xml:space="preserve">合同期满后30日内完成全部台账归档。</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5.7.3.</w:t>
      </w:r>
      <w:r>
        <w:rPr>
          <w:rFonts w:ascii="宋体" w:hAnsi="宋体" w:cs="宋体"/>
          <w:bCs/>
          <w:sz w:val="21"/>
          <w:szCs w:val="21"/>
          <w:highlight w:val="none"/>
        </w:rPr>
        <w:t xml:space="preserve">2</w:t>
      </w:r>
      <w:r>
        <w:rPr>
          <w:rFonts w:hint="eastAsia" w:ascii="宋体" w:hAnsi="宋体" w:cs="宋体"/>
          <w:bCs/>
          <w:sz w:val="21"/>
          <w:szCs w:val="21"/>
          <w:highlight w:val="none"/>
        </w:rPr>
        <w:t xml:space="preserve"> </w:t>
      </w:r>
      <w:r>
        <w:rPr>
          <w:rFonts w:ascii="宋体" w:hAnsi="宋体" w:cs="宋体"/>
          <w:bCs/>
          <w:sz w:val="21"/>
          <w:szCs w:val="21"/>
          <w:highlight w:val="none"/>
        </w:rPr>
        <w:t xml:space="preserve">归档内容</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至少</w:t>
      </w:r>
      <w:r>
        <w:rPr>
          <w:rFonts w:ascii="宋体" w:hAnsi="宋体" w:cs="宋体"/>
          <w:bCs/>
          <w:sz w:val="21"/>
          <w:szCs w:val="21"/>
          <w:highlight w:val="none"/>
        </w:rPr>
        <w:t xml:space="preserve">包括所有原始记录表、扫描件、电子文件。</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相关附件：</w:t>
      </w:r>
      <w:r>
        <w:rPr>
          <w:rFonts w:hint="eastAsia" w:ascii="宋体" w:hAnsi="宋体" w:cs="宋体"/>
          <w:bCs/>
          <w:sz w:val="21"/>
          <w:szCs w:val="21"/>
          <w:highlight w:val="none"/>
        </w:rPr>
        <w:t xml:space="preserve">至少</w:t>
      </w:r>
      <w:r>
        <w:rPr>
          <w:rFonts w:ascii="宋体" w:hAnsi="宋体" w:cs="宋体"/>
          <w:bCs/>
          <w:sz w:val="21"/>
          <w:szCs w:val="21"/>
          <w:highlight w:val="none"/>
        </w:rPr>
        <w:t xml:space="preserve">包括检测报告、维修单据、照片视频等。</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归档清单：</w:t>
      </w:r>
      <w:bookmarkStart w:id="155" w:name="OLE_LINK61"/>
      <w:r/>
      <w:bookmarkStart w:id="156" w:name="OLE_LINK60"/>
      <w:r>
        <w:rPr>
          <w:rFonts w:hint="eastAsia" w:ascii="宋体" w:hAnsi="宋体" w:cs="宋体"/>
          <w:bCs/>
          <w:sz w:val="21"/>
          <w:szCs w:val="21"/>
          <w:highlight w:val="none"/>
        </w:rPr>
        <w:t xml:space="preserve">至少</w:t>
      </w:r>
      <w:r>
        <w:rPr>
          <w:rFonts w:ascii="宋体" w:hAnsi="宋体" w:cs="宋体"/>
          <w:bCs/>
          <w:sz w:val="21"/>
          <w:szCs w:val="21"/>
          <w:highlight w:val="none"/>
        </w:rPr>
        <w:t xml:space="preserve">包括</w:t>
      </w:r>
      <w:bookmarkEnd w:id="155"/>
      <w:r/>
      <w:bookmarkEnd w:id="156"/>
      <w:r>
        <w:rPr>
          <w:rFonts w:ascii="宋体" w:hAnsi="宋体" w:cs="宋体"/>
          <w:bCs/>
          <w:sz w:val="21"/>
          <w:szCs w:val="21"/>
          <w:highlight w:val="none"/>
        </w:rPr>
        <w:t xml:space="preserve">归档时间、内容摘要、责任人。</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5.7.3.3 </w:t>
      </w:r>
      <w:r>
        <w:rPr>
          <w:rFonts w:ascii="宋体" w:hAnsi="宋体" w:cs="宋体"/>
          <w:bCs/>
          <w:sz w:val="21"/>
          <w:szCs w:val="21"/>
          <w:highlight w:val="none"/>
        </w:rPr>
        <w:t xml:space="preserve">归档流程</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整理：</w:t>
      </w:r>
      <w:r>
        <w:rPr>
          <w:rFonts w:hint="eastAsia" w:ascii="宋体" w:hAnsi="宋体" w:cs="宋体"/>
          <w:bCs/>
          <w:sz w:val="21"/>
          <w:szCs w:val="21"/>
          <w:highlight w:val="none"/>
        </w:rPr>
        <w:t xml:space="preserve">应</w:t>
      </w:r>
      <w:r>
        <w:rPr>
          <w:rFonts w:ascii="宋体" w:hAnsi="宋体" w:cs="宋体"/>
          <w:bCs/>
          <w:sz w:val="21"/>
          <w:szCs w:val="21"/>
          <w:highlight w:val="none"/>
        </w:rPr>
        <w:t xml:space="preserve">按时间、类别分类整理。</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审核：</w:t>
      </w:r>
      <w:r>
        <w:rPr>
          <w:rFonts w:hint="eastAsia" w:ascii="宋体" w:hAnsi="宋体" w:cs="宋体"/>
          <w:bCs/>
          <w:sz w:val="21"/>
          <w:szCs w:val="21"/>
          <w:highlight w:val="none"/>
        </w:rPr>
        <w:t xml:space="preserve">应</w:t>
      </w:r>
      <w:r>
        <w:rPr>
          <w:rFonts w:ascii="宋体" w:hAnsi="宋体" w:cs="宋体"/>
          <w:bCs/>
          <w:sz w:val="21"/>
          <w:szCs w:val="21"/>
          <w:highlight w:val="none"/>
        </w:rPr>
        <w:t xml:space="preserve">由质量负责人审核完整性、准确性。</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编号：</w:t>
      </w:r>
      <w:r>
        <w:rPr>
          <w:rFonts w:hint="eastAsia" w:ascii="宋体" w:hAnsi="宋体" w:cs="宋体"/>
          <w:bCs/>
          <w:sz w:val="21"/>
          <w:szCs w:val="21"/>
          <w:highlight w:val="none"/>
        </w:rPr>
        <w:t xml:space="preserve">应</w:t>
      </w:r>
      <w:r>
        <w:rPr>
          <w:rFonts w:ascii="宋体" w:hAnsi="宋体" w:cs="宋体"/>
          <w:bCs/>
          <w:sz w:val="21"/>
          <w:szCs w:val="21"/>
          <w:highlight w:val="none"/>
        </w:rPr>
        <w:t xml:space="preserve">按“年度-类别-序号”规则编号。</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装订/打包：纸质台账</w:t>
      </w:r>
      <w:r>
        <w:rPr>
          <w:rFonts w:hint="eastAsia" w:ascii="宋体" w:hAnsi="宋体" w:cs="宋体"/>
          <w:bCs/>
          <w:sz w:val="21"/>
          <w:szCs w:val="21"/>
          <w:highlight w:val="none"/>
        </w:rPr>
        <w:t xml:space="preserve">应</w:t>
      </w:r>
      <w:r>
        <w:rPr>
          <w:rFonts w:ascii="宋体" w:hAnsi="宋体" w:cs="宋体"/>
          <w:bCs/>
          <w:sz w:val="21"/>
          <w:szCs w:val="21"/>
          <w:highlight w:val="none"/>
        </w:rPr>
        <w:t xml:space="preserve">装订成册，电子台账打包压缩。</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移交：移交至</w:t>
      </w:r>
      <w:r>
        <w:rPr>
          <w:rFonts w:hint="eastAsia" w:ascii="宋体" w:hAnsi="宋体" w:cs="宋体"/>
          <w:bCs/>
          <w:sz w:val="21"/>
          <w:szCs w:val="21"/>
          <w:highlight w:val="none"/>
        </w:rPr>
        <w:t xml:space="preserve">供应商</w:t>
      </w:r>
      <w:r>
        <w:rPr>
          <w:rFonts w:ascii="宋体" w:hAnsi="宋体" w:cs="宋体"/>
          <w:bCs/>
          <w:sz w:val="21"/>
          <w:szCs w:val="21"/>
          <w:highlight w:val="none"/>
        </w:rPr>
        <w:t xml:space="preserve">档案室或采购人指定位置。</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5.7.3.4</w:t>
      </w:r>
      <w:r>
        <w:rPr>
          <w:rFonts w:ascii="宋体" w:hAnsi="宋体" w:cs="宋体"/>
          <w:bCs/>
          <w:sz w:val="21"/>
          <w:szCs w:val="21"/>
          <w:highlight w:val="none"/>
        </w:rPr>
        <w:t xml:space="preserve">长期保存与检索</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电子档案保存期限不少于10年，纸质档案不少于5年。</w:t>
      </w:r>
      <w:r/>
    </w:p>
    <w:p>
      <w:pPr>
        <w:ind w:firstLine="480"/>
        <w:spacing w:line="400" w:lineRule="exact"/>
        <w:rPr>
          <w:rFonts w:hint="eastAsia" w:ascii="宋体" w:hAnsi="宋体" w:cs="宋体"/>
          <w:bCs/>
          <w:sz w:val="21"/>
          <w:szCs w:val="21"/>
          <w:highlight w:val="none"/>
        </w:rPr>
      </w:pPr>
      <w:r>
        <w:rPr>
          <w:rFonts w:ascii="宋体" w:hAnsi="宋体" w:cs="宋体"/>
          <w:sz w:val="21"/>
          <w:szCs w:val="21"/>
          <w:highlight w:val="none"/>
        </w:rPr>
        <w:t xml:space="preserve">建立档案检索系统</w:t>
      </w:r>
      <w:r>
        <w:rPr>
          <w:rFonts w:ascii="宋体" w:hAnsi="宋体" w:cs="宋体"/>
          <w:bCs/>
          <w:sz w:val="21"/>
          <w:szCs w:val="21"/>
          <w:highlight w:val="none"/>
        </w:rPr>
        <w:t xml:space="preserve">，支持按时间、设施、事件类型等多维度查询。</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定期检查档案完整性，防止损坏或丢失。</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5.7.4</w:t>
      </w:r>
      <w:r>
        <w:rPr>
          <w:rFonts w:ascii="宋体" w:hAnsi="宋体" w:cs="宋体"/>
          <w:bCs/>
          <w:sz w:val="21"/>
          <w:szCs w:val="21"/>
          <w:highlight w:val="none"/>
        </w:rPr>
        <w:t xml:space="preserve">质量</w:t>
      </w:r>
      <w:r>
        <w:rPr>
          <w:rFonts w:hint="eastAsia" w:ascii="宋体" w:hAnsi="宋体" w:cs="宋体"/>
          <w:bCs/>
          <w:sz w:val="21"/>
          <w:szCs w:val="21"/>
          <w:highlight w:val="none"/>
        </w:rPr>
        <w:t xml:space="preserve">保证</w:t>
      </w:r>
      <w:r>
        <w:rPr>
          <w:rFonts w:ascii="宋体" w:hAnsi="宋体" w:cs="宋体"/>
          <w:bCs/>
          <w:sz w:val="21"/>
          <w:szCs w:val="21"/>
          <w:highlight w:val="none"/>
        </w:rPr>
        <w:t xml:space="preserve">措施</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培训制度：每季度对运维人员进行台账管理培训。</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考核机制：将台账记录质量纳入绩效考核，与薪酬挂钩。</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内部审计：每月由质量负责人抽查台账，发现问题立即整改。</w:t>
      </w:r>
      <w:r/>
    </w:p>
    <w:p>
      <w:pPr>
        <w:ind w:firstLine="480"/>
        <w:spacing w:line="400" w:lineRule="exact"/>
        <w:rPr>
          <w:rFonts w:hint="eastAsia" w:ascii="宋体" w:hAnsi="宋体" w:cs="宋体"/>
          <w:bCs/>
          <w:sz w:val="21"/>
          <w:szCs w:val="21"/>
          <w:highlight w:val="none"/>
        </w:rPr>
      </w:pPr>
      <w:r>
        <w:rPr>
          <w:rFonts w:ascii="宋体" w:hAnsi="宋体" w:cs="宋体"/>
          <w:bCs/>
          <w:sz w:val="21"/>
          <w:szCs w:val="21"/>
          <w:highlight w:val="none"/>
        </w:rPr>
        <w:t xml:space="preserve">持续改进：根据实际运行情况，优化台账格式和流程。</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6、成交供应商必须严格遵守国家和地方关于劳动等法律法规及规章制度，保证按时发放本项目服务人员报酬，且最低月工资标准不低于本地区最低标准；工作时间符合劳动法的规定。供应商应自行为员工办理必须的保险，有关人员伤亡及第三者责任险均由供应商考虑并包含在投标报价中。</w:t>
      </w:r>
      <w:r/>
    </w:p>
    <w:p>
      <w:pPr>
        <w:ind w:firstLine="480"/>
        <w:spacing w:line="400" w:lineRule="exact"/>
        <w:rPr>
          <w:rFonts w:hint="eastAsia" w:ascii="宋体" w:hAnsi="宋体" w:cs="宋体"/>
          <w:sz w:val="21"/>
          <w:szCs w:val="21"/>
          <w:highlight w:val="none"/>
        </w:rPr>
      </w:pPr>
      <w:r>
        <w:rPr>
          <w:rFonts w:hint="eastAsia" w:ascii="宋体" w:hAnsi="宋体" w:cs="宋体"/>
          <w:bCs/>
          <w:sz w:val="21"/>
          <w:szCs w:val="21"/>
          <w:highlight w:val="none"/>
        </w:rPr>
        <w:t xml:space="preserve">7、成交供应商必须严格遵守国家和地方关于劳动安全等法律法规及规章制度，制定严格的安全措施，加强安全监督管理，配备合格的劳动防护用品、安全用具，负责对</w:t>
      </w:r>
      <w:r>
        <w:rPr>
          <w:rFonts w:hint="eastAsia" w:ascii="宋体" w:hAnsi="宋体" w:cs="宋体"/>
          <w:sz w:val="21"/>
          <w:szCs w:val="21"/>
          <w:highlight w:val="none"/>
        </w:rPr>
        <w:t xml:space="preserve">项目服务人员进行培训、教育和管理，服务过程中所有安全责任、安全风险由供应商自行承担，与采购人无关。</w:t>
      </w:r>
      <w:r/>
    </w:p>
    <w:p>
      <w:pPr>
        <w:ind w:firstLine="480"/>
        <w:spacing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六、采购标的对应的中小企业划分标准所属行业一览表</w:t>
      </w:r>
      <w:r/>
    </w:p>
    <w:tbl>
      <w:tblPr>
        <w:tblStyle w:val="748"/>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4083"/>
        <w:gridCol w:w="3661"/>
      </w:tblGrid>
      <w:tr>
        <w:trPr>
          <w:trHeight w:val="412"/>
        </w:trPr>
        <w:tc>
          <w:tcPr>
            <w:tcW w:w="888" w:type="dxa"/>
            <w:vAlign w:val="center"/>
            <w:textDirection w:val="lrTb"/>
            <w:noWrap w:val="false"/>
          </w:tcPr>
          <w:p>
            <w:pPr>
              <w:jc w:val="center"/>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W w:w="4083" w:type="dxa"/>
            <w:vAlign w:val="center"/>
            <w:textDirection w:val="lrTb"/>
            <w:noWrap w:val="false"/>
          </w:tcPr>
          <w:p>
            <w:pPr>
              <w:jc w:val="center"/>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采购标的</w:t>
            </w:r>
            <w:r/>
          </w:p>
        </w:tc>
        <w:tc>
          <w:tcPr>
            <w:tcW w:w="3661" w:type="dxa"/>
            <w:vAlign w:val="center"/>
            <w:textDirection w:val="lrTb"/>
            <w:noWrap w:val="false"/>
          </w:tcPr>
          <w:p>
            <w:pPr>
              <w:jc w:val="center"/>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对应中小企业划分标准所属行业</w:t>
            </w:r>
            <w:r/>
          </w:p>
        </w:tc>
      </w:tr>
      <w:tr>
        <w:trPr>
          <w:trHeight w:val="612"/>
        </w:trPr>
        <w:tc>
          <w:tcPr>
            <w:tcW w:w="888" w:type="dxa"/>
            <w:vAlign w:val="center"/>
            <w:textDirection w:val="lrTb"/>
            <w:noWrap w:val="false"/>
          </w:tcPr>
          <w:p>
            <w:pPr>
              <w:jc w:val="center"/>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1</w:t>
            </w:r>
            <w:r/>
          </w:p>
        </w:tc>
        <w:tc>
          <w:tcPr>
            <w:tcW w:w="4083" w:type="dxa"/>
            <w:vAlign w:val="center"/>
            <w:textDirection w:val="lrTb"/>
            <w:noWrap w:val="false"/>
          </w:tcPr>
          <w:p>
            <w:pPr>
              <w:jc w:val="center"/>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农村生活污水处理设施运维</w:t>
            </w:r>
            <w:r/>
          </w:p>
        </w:tc>
        <w:tc>
          <w:tcPr>
            <w:tcW w:w="3661" w:type="dxa"/>
            <w:vAlign w:val="center"/>
            <w:textDirection w:val="lrTb"/>
            <w:noWrap w:val="false"/>
          </w:tcPr>
          <w:p>
            <w:pPr>
              <w:jc w:val="center"/>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其他未列明行业</w:t>
            </w:r>
            <w:r/>
          </w:p>
        </w:tc>
      </w:tr>
    </w:tbl>
    <w:p>
      <w:pPr>
        <w:ind w:firstLine="880"/>
        <w:jc w:val="center"/>
        <w:spacing w:line="1000" w:lineRule="exact"/>
        <w:rPr>
          <w:rFonts w:hint="eastAsia" w:ascii="宋体" w:hAnsi="宋体" w:cs="宋体"/>
          <w:sz w:val="44"/>
          <w:szCs w:val="44"/>
          <w:highlight w:val="none"/>
        </w:rPr>
      </w:pPr>
      <w:r>
        <w:rPr>
          <w:rFonts w:hint="eastAsia" w:ascii="宋体" w:hAnsi="宋体" w:cs="宋体"/>
          <w:sz w:val="44"/>
          <w:szCs w:val="44"/>
          <w:highlight w:val="none"/>
        </w:rPr>
      </w:r>
      <w:r/>
    </w:p>
    <w:p>
      <w:pPr>
        <w:jc w:val="left"/>
        <w:widowControl/>
        <w:rPr>
          <w:rFonts w:hint="eastAsia" w:ascii="宋体" w:hAnsi="宋体" w:cs="宋体"/>
          <w:sz w:val="44"/>
          <w:szCs w:val="44"/>
          <w:highlight w:val="none"/>
        </w:rPr>
      </w:pPr>
      <w:r>
        <w:rPr>
          <w:rFonts w:ascii="宋体" w:hAnsi="宋体" w:cs="宋体"/>
          <w:sz w:val="44"/>
          <w:szCs w:val="44"/>
          <w:highlight w:val="none"/>
        </w:rPr>
        <w:br w:type="page" w:clear="all"/>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第五章  评标方法与评标标准</w:t>
      </w:r>
      <w:r/>
    </w:p>
    <w:p>
      <w:pPr>
        <w:ind w:firstLine="420"/>
        <w:spacing w:line="360" w:lineRule="exact"/>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bookmarkStart w:id="157" w:name="OLE_LINK21"/>
      <w:r>
        <w:rPr>
          <w:rFonts w:hint="eastAsia" w:ascii="宋体" w:hAnsi="宋体" w:cs="宋体"/>
          <w:b/>
          <w:sz w:val="21"/>
          <w:szCs w:val="21"/>
          <w:highlight w:val="none"/>
        </w:rPr>
        <w:t xml:space="preserve">一、定标原则</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本项目采用</w:t>
      </w:r>
      <w:r>
        <w:rPr>
          <w:rFonts w:hint="eastAsia" w:ascii="宋体" w:hAnsi="宋体" w:cs="宋体"/>
          <w:bCs/>
          <w:sz w:val="21"/>
          <w:szCs w:val="21"/>
          <w:highlight w:val="none"/>
          <w:u w:val="single"/>
        </w:rPr>
        <w:t xml:space="preserve"> 综合评分 </w:t>
      </w:r>
      <w:r>
        <w:rPr>
          <w:rFonts w:hint="eastAsia" w:ascii="宋体" w:hAnsi="宋体" w:cs="宋体"/>
          <w:bCs/>
          <w:sz w:val="21"/>
          <w:szCs w:val="21"/>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0"/>
        <w:spacing w:line="360" w:lineRule="exact"/>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政府采购政策功能落实</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1、小微型企业价格扣除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（1）本项目为专门面向中小企业采购，不再对小型和微型企业报价给予价格扣除。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（2）供应商需按照采购文件的要求提供相应的《中小企业声明函》。</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（3）企业标准请参照《关于印发中小企业划型标准规定的通知》（工信部联企业[2011]300号）文件规定自行填写。</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2、残疾人福利单位价格扣除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（1）本项目对残疾人福利性单位视同小型、微型企业。</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（2）残疾人福利单位需按照采购文件的要求提供《残疾人福利性单位声明函》。</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（3）残疾人福利单位标准请参照《关于促进残疾人就业政府采购政策的通知》（财库〔2017〕141号）。</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3、监狱和戒毒企业价格扣除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（1）本项目对监狱和戒毒企业（简称监狱企业）视同小型、微型企业。</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（3）监狱企业标准请参照《关于政府采购支持监狱企业发展有关问题的通知》（财库[2014]68号）。</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4、残疾人福利单位、监狱企业属于小型、微型企业的，不重复享受政策。</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5、采购本国产品的支持政策</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5.3 供应商需按照招标文件的要求提供《关于符合本国产品标准的声明函》（以下简称《声明函》），如不提供将不享受本国产品价格评审优惠。</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sz w:val="21"/>
          <w:szCs w:val="21"/>
          <w:highlight w:val="none"/>
        </w:rPr>
        <w:t xml:space="preserve">如属政府强制采购产品未提供认证证书的或认证证书提供不全的将视为未实质性响应采购要求。</w:t>
      </w:r>
      <w:r>
        <w:rPr>
          <w:rFonts w:hint="eastAsia" w:ascii="宋体" w:hAnsi="宋体" w:cs="宋体"/>
          <w:bCs/>
          <w:sz w:val="21"/>
          <w:szCs w:val="21"/>
          <w:highlight w:val="none"/>
        </w:rPr>
        <w:t xml:space="preserve">其他条件相同情况下，应当优先采购节能产品、环境标志产品。</w:t>
      </w:r>
      <w:r/>
    </w:p>
    <w:p>
      <w:pPr>
        <w:ind w:firstLine="422"/>
        <w:spacing w:line="360" w:lineRule="exact"/>
        <w:rPr>
          <w:rFonts w:hint="eastAsia" w:ascii="宋体" w:hAnsi="宋体" w:cs="宋体"/>
          <w:b/>
          <w:bCs/>
          <w:sz w:val="21"/>
          <w:szCs w:val="21"/>
          <w:highlight w:val="none"/>
        </w:rPr>
      </w:pPr>
      <w:r/>
      <w:bookmarkStart w:id="158" w:name="OLE_LINK5"/>
      <w:r/>
      <w:bookmarkStart w:id="159" w:name="OLE_LINK6"/>
      <w:r>
        <w:rPr>
          <w:rFonts w:hint="eastAsia" w:ascii="宋体" w:hAnsi="宋体" w:cs="宋体"/>
          <w:b/>
          <w:bCs/>
          <w:sz w:val="21"/>
          <w:szCs w:val="21"/>
          <w:highlight w:val="none"/>
        </w:rPr>
        <w:t xml:space="preserve">二、评标标准</w:t>
      </w:r>
      <w:r/>
    </w:p>
    <w:p>
      <w:pPr>
        <w:ind w:firstLine="420"/>
        <w:spacing w:line="360" w:lineRule="exact"/>
        <w:rPr>
          <w:rFonts w:hint="eastAsia" w:ascii="宋体" w:hAnsi="宋体" w:cs="宋体"/>
          <w:sz w:val="21"/>
          <w:szCs w:val="21"/>
          <w:highlight w:val="none"/>
        </w:rPr>
      </w:pPr>
      <w:r/>
      <w:bookmarkStart w:id="160" w:name="OLE_LINK7"/>
      <w:r>
        <w:rPr>
          <w:rFonts w:hint="eastAsia" w:ascii="宋体" w:hAnsi="宋体" w:cs="宋体"/>
          <w:sz w:val="21"/>
          <w:szCs w:val="21"/>
          <w:highlight w:val="none"/>
        </w:rPr>
        <w:t xml:space="preserve">本项目评分总分值为100分。</w:t>
      </w:r>
      <w:bookmarkEnd w:id="126"/>
      <w:r/>
      <w:bookmarkEnd w:id="157"/>
      <w:r/>
      <w:bookmarkStart w:id="161" w:name="OLE_LINK22"/>
      <w:r/>
      <w:bookmarkEnd w:id="158"/>
      <w:r/>
      <w:bookmarkEnd w:id="159"/>
      <w:r/>
      <w:r/>
    </w:p>
    <w:tbl>
      <w:tblPr>
        <w:tblStyle w:val="722"/>
        <w:tblW w:w="5003"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0"/>
        <w:gridCol w:w="1176"/>
        <w:gridCol w:w="6957"/>
      </w:tblGrid>
      <w:tr>
        <w:trPr/>
        <w:tc>
          <w:tcPr>
            <w:tcBorders>
              <w:top w:val="single" w:color="000000" w:sz="2" w:space="0"/>
              <w:left w:val="single" w:color="000000" w:sz="2" w:space="0"/>
              <w:bottom w:val="single" w:color="000000" w:sz="2" w:space="0"/>
              <w:right w:val="single" w:color="000000" w:sz="2" w:space="0"/>
            </w:tcBorders>
            <w:tcW w:w="624" w:type="pct"/>
            <w:vAlign w:val="center"/>
            <w:textDirection w:val="lrTb"/>
            <w:noWrap w:val="false"/>
          </w:tcPr>
          <w:p>
            <w:pPr>
              <w:pStyle w:val="933"/>
              <w:jc w:val="center"/>
              <w:spacing w:line="2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W w:w="633" w:type="pct"/>
            <w:vAlign w:val="center"/>
            <w:textDirection w:val="lrTb"/>
            <w:noWrap w:val="false"/>
          </w:tcPr>
          <w:p>
            <w:pPr>
              <w:pStyle w:val="933"/>
              <w:jc w:val="center"/>
              <w:spacing w:line="2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2" w:type="pct"/>
            <w:vAlign w:val="center"/>
            <w:textDirection w:val="lrTb"/>
            <w:noWrap w:val="false"/>
          </w:tcPr>
          <w:p>
            <w:pPr>
              <w:pStyle w:val="933"/>
              <w:jc w:val="center"/>
              <w:spacing w:line="2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评分标准</w:t>
            </w:r>
            <w:r/>
          </w:p>
        </w:tc>
      </w:tr>
      <w:tr>
        <w:trPr>
          <w:trHeight w:val="1135"/>
        </w:trPr>
        <w:tc>
          <w:tcPr>
            <w:tcBorders>
              <w:top w:val="single" w:color="000000" w:sz="2" w:space="0"/>
              <w:left w:val="single" w:color="000000" w:sz="2" w:space="0"/>
              <w:bottom w:val="single" w:color="000000" w:sz="2" w:space="0"/>
              <w:right w:val="single" w:color="000000" w:sz="2" w:space="0"/>
            </w:tcBorders>
            <w:tcW w:w="624" w:type="pct"/>
            <w:vAlign w:val="center"/>
            <w:textDirection w:val="lrTb"/>
            <w:noWrap w:val="false"/>
          </w:tcPr>
          <w:p>
            <w:pPr>
              <w:jc w:val="center"/>
              <w:spacing w:line="240" w:lineRule="exact"/>
              <w:rPr>
                <w:rFonts w:hint="eastAsia" w:ascii="宋体" w:hAnsi="宋体" w:cs="宋体"/>
                <w:bCs/>
                <w:sz w:val="21"/>
                <w:szCs w:val="21"/>
                <w:highlight w:val="none"/>
              </w:rPr>
            </w:pPr>
            <w:r>
              <w:rPr>
                <w:rFonts w:hint="eastAsia" w:ascii="宋体" w:hAnsi="宋体" w:cs="宋体"/>
                <w:bCs/>
                <w:sz w:val="21"/>
                <w:szCs w:val="21"/>
                <w:highlight w:val="none"/>
              </w:rPr>
              <w:t xml:space="preserve">价格部分</w:t>
            </w:r>
            <w:r/>
          </w:p>
        </w:tc>
        <w:tc>
          <w:tcPr>
            <w:tcBorders>
              <w:top w:val="single" w:color="000000" w:sz="2" w:space="0"/>
              <w:left w:val="single" w:color="000000" w:sz="2" w:space="0"/>
              <w:bottom w:val="single" w:color="000000" w:sz="2" w:space="0"/>
              <w:right w:val="single" w:color="000000" w:sz="2" w:space="0"/>
            </w:tcBorders>
            <w:tcW w:w="633" w:type="pct"/>
            <w:vAlign w:val="center"/>
            <w:textDirection w:val="lrTb"/>
            <w:noWrap w:val="false"/>
          </w:tcPr>
          <w:p>
            <w:pPr>
              <w:jc w:val="center"/>
              <w:spacing w:line="240" w:lineRule="exact"/>
              <w:rPr>
                <w:rFonts w:hint="eastAsia" w:ascii="宋体" w:hAnsi="宋体" w:cs="宋体"/>
                <w:bCs/>
                <w:sz w:val="21"/>
                <w:szCs w:val="21"/>
                <w:highlight w:val="none"/>
              </w:rPr>
            </w:pPr>
            <w:r>
              <w:rPr>
                <w:rFonts w:hint="eastAsia" w:ascii="宋体" w:hAnsi="宋体" w:cs="宋体"/>
                <w:bCs/>
                <w:sz w:val="21"/>
                <w:szCs w:val="21"/>
                <w:highlight w:val="none"/>
              </w:rPr>
              <w:t xml:space="preserve">30分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2" w:type="pct"/>
            <w:textDirection w:val="lrTb"/>
            <w:noWrap w:val="false"/>
          </w:tcPr>
          <w:p>
            <w:pPr>
              <w:spacing w:line="28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价格分采用低价优先法计算，即满足采购文件要求且投标价格最低的投标报价为评标基准价，其价格分为满分30分。其他供应商的价格分统一按照下列公式计算：投标报价得分=(评标基准价/投标报价)×30,得分四舍五入保留2位小数。</w:t>
            </w:r>
            <w:r/>
          </w:p>
        </w:tc>
      </w:tr>
      <w:tr>
        <w:trPr>
          <w:trHeight w:val="965"/>
        </w:trPr>
        <w:tc>
          <w:tcPr>
            <w:tcBorders>
              <w:top w:val="single" w:color="000000" w:sz="2" w:space="0"/>
              <w:left w:val="single" w:color="000000" w:sz="2" w:space="0"/>
              <w:right w:val="single" w:color="000000" w:sz="2" w:space="0"/>
            </w:tcBorders>
            <w:tcW w:w="624" w:type="pct"/>
            <w:vAlign w:val="center"/>
            <w:vMerge w:val="restart"/>
            <w:textDirection w:val="lrTb"/>
            <w:noWrap w:val="false"/>
          </w:tcPr>
          <w:p>
            <w:pPr>
              <w:pStyle w:val="934"/>
              <w:jc w:val="center"/>
              <w:spacing w:line="2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综合实力（12分）</w:t>
            </w:r>
            <w:r/>
          </w:p>
        </w:tc>
        <w:tc>
          <w:tcPr>
            <w:tcBorders>
              <w:top w:val="single" w:color="000000" w:sz="2" w:space="0"/>
              <w:left w:val="single" w:color="000000" w:sz="2" w:space="0"/>
              <w:bottom w:val="single" w:color="000000" w:sz="2" w:space="0"/>
              <w:right w:val="single" w:color="000000" w:sz="2" w:space="0"/>
            </w:tcBorders>
            <w:tcW w:w="633" w:type="pct"/>
            <w:vAlign w:val="center"/>
            <w:textDirection w:val="lrTb"/>
            <w:noWrap w:val="false"/>
          </w:tcPr>
          <w:p>
            <w:pPr>
              <w:pStyle w:val="934"/>
              <w:jc w:val="center"/>
              <w:spacing w:line="2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业绩</w:t>
            </w:r>
            <w:r/>
          </w:p>
          <w:p>
            <w:pPr>
              <w:pStyle w:val="934"/>
              <w:jc w:val="center"/>
              <w:spacing w:line="2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投标人自2023年1月1日（以合同签订日期为准）以来承担过类似项目业绩（须含污水处理运维）的，有一个得2分，本项最高得4分。投标时需提供服务合同原件彩色扫描件，且合同中需体现甲乙双方名称、合同签订时间、甲乙双方章印齐全、合同服务内容，否则不予认可。未提供或经评审不合格的均不得分。</w:t>
            </w:r>
            <w:r/>
          </w:p>
        </w:tc>
      </w:tr>
      <w:tr>
        <w:trPr>
          <w:trHeight w:val="1318"/>
        </w:trPr>
        <w:tc>
          <w:tcPr>
            <w:tcBorders>
              <w:left w:val="single" w:color="000000" w:sz="2" w:space="0"/>
              <w:right w:val="single" w:color="000000" w:sz="2" w:space="0"/>
            </w:tcBorders>
            <w:tcW w:w="624" w:type="pct"/>
            <w:vAlign w:val="center"/>
            <w:vMerge w:val="continue"/>
            <w:textDirection w:val="lrTb"/>
            <w:noWrap w:val="false"/>
          </w:tcPr>
          <w:p>
            <w:pPr>
              <w:pStyle w:val="934"/>
              <w:jc w:val="center"/>
              <w:spacing w:line="240" w:lineRule="exact"/>
              <w:rPr>
                <w:rFonts w:ascii="宋体" w:hAnsi="宋体" w:cs="宋体"/>
                <w:bCs/>
                <w:sz w:val="21"/>
                <w:szCs w:val="21"/>
                <w:highlight w:val="none"/>
              </w:rPr>
            </w:pPr>
            <w:r>
              <w:rPr>
                <w:rFonts w:ascii="宋体" w:hAnsi="宋体" w:cs="宋体"/>
                <w:bCs/>
                <w:sz w:val="21"/>
                <w:szCs w:val="21"/>
                <w:highlight w:val="none"/>
              </w:rPr>
            </w:r>
            <w:r/>
          </w:p>
        </w:tc>
        <w:tc>
          <w:tcPr>
            <w:tcBorders>
              <w:top w:val="single" w:color="000000" w:sz="2" w:space="0"/>
              <w:left w:val="single" w:color="000000" w:sz="2" w:space="0"/>
              <w:bottom w:val="single" w:color="000000" w:sz="2" w:space="0"/>
              <w:right w:val="single" w:color="000000" w:sz="2" w:space="0"/>
            </w:tcBorders>
            <w:tcW w:w="633" w:type="pct"/>
            <w:vAlign w:val="center"/>
            <w:textDirection w:val="lrTb"/>
            <w:noWrap w:val="false"/>
          </w:tcPr>
          <w:p>
            <w:pPr>
              <w:pStyle w:val="934"/>
              <w:jc w:val="center"/>
              <w:spacing w:line="240" w:lineRule="exact"/>
              <w:rPr>
                <w:rFonts w:ascii="宋体" w:hAnsi="宋体" w:cs="宋体"/>
                <w:bCs/>
                <w:sz w:val="21"/>
                <w:szCs w:val="21"/>
                <w:highlight w:val="none"/>
              </w:rPr>
            </w:pPr>
            <w:r>
              <w:rPr>
                <w:rFonts w:hint="eastAsia" w:ascii="宋体" w:hAnsi="宋体" w:eastAsia="宋体" w:cs="宋体"/>
                <w:bCs/>
                <w:sz w:val="21"/>
                <w:szCs w:val="21"/>
                <w:highlight w:val="none"/>
              </w:rPr>
              <w:t xml:space="preserve">认证证书（4分）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投标人具有有效的质量管理体系、环境管理体系认证证书的，提供1个得2分，本项最高得4分。投标时需提供认证证书原件扫描件和国家认监委网站查询截图，投标人应当确保证书开标当天处于有效期内，否则不予认可。以上材料均须加盖投标人公章，否则不予认可，未提供不得分。</w:t>
            </w:r>
            <w:r/>
          </w:p>
        </w:tc>
      </w:tr>
      <w:tr>
        <w:trPr>
          <w:trHeight w:val="1437"/>
        </w:trPr>
        <w:tc>
          <w:tcPr>
            <w:tcBorders>
              <w:left w:val="single" w:color="000000" w:sz="2" w:space="0"/>
              <w:right w:val="single" w:color="000000" w:sz="2" w:space="0"/>
            </w:tcBorders>
            <w:tcW w:w="624" w:type="pct"/>
            <w:vAlign w:val="center"/>
            <w:vMerge w:val="continue"/>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000000" w:sz="2" w:space="0"/>
              <w:left w:val="single" w:color="000000" w:sz="2" w:space="0"/>
              <w:bottom w:val="single" w:color="000000" w:sz="2" w:space="0"/>
              <w:right w:val="single" w:color="000000" w:sz="2" w:space="0"/>
            </w:tcBorders>
            <w:tcW w:w="633" w:type="pct"/>
            <w:vAlign w:val="center"/>
            <w:textDirection w:val="lrTb"/>
            <w:noWrap w:val="false"/>
          </w:tcPr>
          <w:p>
            <w:pPr>
              <w:jc w:val="center"/>
              <w:spacing w:line="240" w:lineRule="exact"/>
              <w:widowControl/>
              <w:rPr>
                <w:rFonts w:hint="eastAsia" w:ascii="宋体" w:hAnsi="宋体" w:cs="宋体"/>
                <w:bCs/>
                <w:sz w:val="21"/>
                <w:szCs w:val="21"/>
                <w:highlight w:val="none"/>
              </w:rPr>
            </w:pPr>
            <w:r/>
            <w:bookmarkStart w:id="162" w:name="OLE_LINK11"/>
            <w:r>
              <w:rPr>
                <w:rFonts w:hint="eastAsia" w:ascii="宋体" w:hAnsi="宋体" w:cs="宋体"/>
                <w:bCs/>
                <w:sz w:val="21"/>
                <w:szCs w:val="21"/>
                <w:highlight w:val="none"/>
              </w:rPr>
              <w:t xml:space="preserve">项目负责人</w:t>
            </w:r>
            <w:bookmarkEnd w:id="162"/>
            <w:r>
              <w:rPr>
                <w:rFonts w:hint="eastAsia" w:ascii="宋体" w:hAnsi="宋体" w:cs="宋体"/>
                <w:bCs/>
                <w:sz w:val="21"/>
                <w:szCs w:val="21"/>
                <w:highlight w:val="none"/>
              </w:rPr>
              <w:t xml:space="preserve">（2分）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2" w:type="pct"/>
            <w:vAlign w:val="center"/>
            <w:textDirection w:val="lrTb"/>
            <w:noWrap w:val="false"/>
          </w:tcPr>
          <w:p>
            <w:pP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项目负责人具有环保类相关专业高级及以上职称的，得2分，中级职称的，得1分（职称证书按高级别计分），本项最高得2分。</w:t>
            </w:r>
            <w:r/>
          </w:p>
          <w:p>
            <w:pPr>
              <w:spacing w:line="280" w:lineRule="exact"/>
              <w:widowControl/>
              <w:rPr>
                <w:rFonts w:hint="eastAsia" w:ascii="宋体" w:hAnsi="宋体" w:cs="宋体"/>
                <w:bCs/>
                <w:sz w:val="21"/>
                <w:szCs w:val="21"/>
                <w:highlight w:val="none"/>
              </w:rPr>
            </w:pPr>
            <w:r/>
            <w:bookmarkStart w:id="163" w:name="OLE_LINK3"/>
            <w:r>
              <w:rPr>
                <w:rFonts w:hint="eastAsia" w:ascii="宋体" w:hAnsi="宋体" w:cs="宋体"/>
                <w:bCs/>
                <w:sz w:val="21"/>
                <w:szCs w:val="21"/>
                <w:highlight w:val="none"/>
              </w:rPr>
              <w:t xml:space="preserve">投标时须提供项目负责人职称证书原件扫描件加盖投标人公章和该人员近3个月以来任一月在投标人单位缴纳社保证明材料扫描件加盖投标人公章，未提供或提供不全的不得分。</w:t>
            </w:r>
            <w:bookmarkEnd w:id="163"/>
            <w:r/>
            <w:r/>
          </w:p>
        </w:tc>
      </w:tr>
      <w:tr>
        <w:trPr>
          <w:trHeight w:val="432"/>
        </w:trPr>
        <w:tc>
          <w:tcPr>
            <w:tcBorders>
              <w:left w:val="single" w:color="000000" w:sz="2" w:space="0"/>
              <w:bottom w:val="single" w:color="000000" w:sz="2" w:space="0"/>
              <w:right w:val="single" w:color="000000" w:sz="2" w:space="0"/>
            </w:tcBorders>
            <w:tcW w:w="624" w:type="pct"/>
            <w:vAlign w:val="center"/>
            <w:vMerge w:val="continue"/>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r>
            <w:r/>
          </w:p>
        </w:tc>
        <w:tc>
          <w:tcPr>
            <w:tcBorders>
              <w:top w:val="single" w:color="000000" w:sz="2" w:space="0"/>
              <w:left w:val="single" w:color="000000" w:sz="2" w:space="0"/>
              <w:bottom w:val="single" w:color="000000" w:sz="2" w:space="0"/>
              <w:right w:val="single" w:color="000000" w:sz="2" w:space="0"/>
            </w:tcBorders>
            <w:tcW w:w="633" w:type="pct"/>
            <w:vAlign w:val="center"/>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项目组成员（2分）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项目组成员（除项目负责人外），提供一名环保专业中级及以上职称证书的，得1分，提供一名环保设施运营（污水处理工）操作技术岗位能力证书的，得1分，同一人只计分一次，本项最高得2分。投标时以提供的人员证书原件扫描件和该人员近3个月以来任一月在投标人单位缴纳社保证明材料扫描件加盖投标人公章为准，未提供或提供不全的不得分。</w:t>
            </w:r>
            <w:r/>
          </w:p>
        </w:tc>
      </w:tr>
      <w:tr>
        <w:trPr>
          <w:trHeight w:val="2445"/>
        </w:trPr>
        <w:tc>
          <w:tcPr>
            <w:tcBorders>
              <w:top w:val="single" w:color="000000" w:sz="2" w:space="0"/>
              <w:left w:val="single" w:color="000000" w:sz="2" w:space="0"/>
              <w:right w:val="single" w:color="000000" w:sz="2" w:space="0"/>
            </w:tcBorders>
            <w:tcW w:w="624" w:type="pct"/>
            <w:vAlign w:val="center"/>
            <w:vMerge w:val="restart"/>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技术方案（58分）</w:t>
            </w:r>
            <w:r/>
          </w:p>
        </w:tc>
        <w:tc>
          <w:tcPr>
            <w:tcW w:w="633" w:type="pct"/>
            <w:vAlign w:val="center"/>
            <w:textDirection w:val="lrTb"/>
            <w:noWrap w:val="false"/>
          </w:tcPr>
          <w:p>
            <w:pPr>
              <w:jc w:val="center"/>
              <w:spacing w:line="240" w:lineRule="exact"/>
              <w:widowControl/>
              <w:rPr>
                <w:rFonts w:hint="eastAsia" w:ascii="宋体" w:hAnsi="宋体" w:cs="宋体"/>
                <w:bCs/>
                <w:sz w:val="21"/>
                <w:szCs w:val="21"/>
                <w:highlight w:val="none"/>
              </w:rPr>
            </w:pPr>
            <w:r/>
            <w:bookmarkStart w:id="164" w:name="OLE_LINK33"/>
            <w:r>
              <w:rPr>
                <w:rFonts w:hint="eastAsia" w:ascii="宋体" w:hAnsi="宋体" w:cs="宋体"/>
                <w:bCs/>
                <w:sz w:val="21"/>
                <w:szCs w:val="21"/>
                <w:highlight w:val="none"/>
              </w:rPr>
              <w:t xml:space="preserve">实施方案</w:t>
            </w:r>
            <w:bookmarkEnd w:id="164"/>
            <w:r>
              <w:rPr>
                <w:rFonts w:hint="eastAsia" w:ascii="宋体" w:hAnsi="宋体" w:cs="宋体"/>
                <w:bCs/>
                <w:sz w:val="21"/>
                <w:szCs w:val="21"/>
                <w:highlight w:val="none"/>
              </w:rPr>
              <w:t xml:space="preserve">（9分）</w:t>
            </w:r>
            <w:r/>
          </w:p>
        </w:tc>
        <w:tc>
          <w:tcPr>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bookmarkStart w:id="165" w:name="OLE_LINK64"/>
            <w:r/>
            <w:bookmarkStart w:id="166" w:name="OLE_LINK63"/>
            <w:r>
              <w:rPr>
                <w:rFonts w:hint="eastAsia" w:ascii="宋体" w:hAnsi="宋体" w:cs="宋体"/>
                <w:bCs/>
                <w:sz w:val="21"/>
                <w:szCs w:val="21"/>
                <w:highlight w:val="none"/>
              </w:rPr>
              <w:t xml:space="preserve">投标人根据本项目第四章第五点“5.1实施方案”要求，</w:t>
            </w:r>
            <w:bookmarkEnd w:id="165"/>
            <w:r/>
            <w:bookmarkEnd w:id="166"/>
            <w:r/>
            <w:bookmarkStart w:id="167" w:name="OLE_LINK8"/>
            <w:r/>
            <w:bookmarkStart w:id="168" w:name="OLE_LINK34"/>
            <w:r/>
            <w:bookmarkStart w:id="169" w:name="OLE_LINK37"/>
            <w:r>
              <w:rPr>
                <w:rFonts w:asciiTheme="minorEastAsia" w:hAnsiTheme="minorEastAsia" w:eastAsiaTheme="minorEastAsia"/>
                <w:color w:val="000000" w:themeColor="text1"/>
                <w:sz w:val="21"/>
                <w:szCs w:val="21"/>
                <w:highlight w:val="none"/>
                <w14:textFill>
                  <w14:solidFill>
                    <w14:schemeClr w14:val="tx1"/>
                  </w14:solidFill>
                </w14:textFill>
              </w:rPr>
              <w:t xml:space="preserve">提供细致完整、科学合理、分析透彻、措施有力、针对性和操作性强的</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实施</w:t>
            </w:r>
            <w:r>
              <w:rPr>
                <w:rFonts w:asciiTheme="minorEastAsia" w:hAnsiTheme="minorEastAsia" w:eastAsiaTheme="minorEastAsia"/>
                <w:color w:val="000000" w:themeColor="text1"/>
                <w:sz w:val="21"/>
                <w:szCs w:val="21"/>
                <w:highlight w:val="none"/>
                <w14:textFill>
                  <w14:solidFill>
                    <w14:schemeClr w14:val="tx1"/>
                  </w14:solidFill>
                </w14:textFill>
              </w:rPr>
              <w:t xml:space="preserve">方案，内容</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至少</w:t>
            </w:r>
            <w:r>
              <w:rPr>
                <w:rFonts w:asciiTheme="minorEastAsia" w:hAnsiTheme="minorEastAsia" w:eastAsiaTheme="minorEastAsia"/>
                <w:color w:val="000000" w:themeColor="text1"/>
                <w:sz w:val="21"/>
                <w:szCs w:val="21"/>
                <w:highlight w:val="none"/>
                <w14:textFill>
                  <w14:solidFill>
                    <w14:schemeClr w14:val="tx1"/>
                  </w14:solidFill>
                </w14:textFill>
              </w:rPr>
              <w:t xml:space="preserve">包含</w:t>
            </w:r>
            <w:r>
              <w:rPr>
                <w:rFonts w:hint="eastAsia" w:ascii="宋体" w:hAnsi="宋体" w:cs="宋体"/>
                <w:bCs/>
                <w:sz w:val="21"/>
                <w:szCs w:val="21"/>
                <w:highlight w:val="none"/>
              </w:rPr>
              <w:t xml:space="preserve">服务范围及标准、工作流程及规范、设施设备维护管理、环保与安全要求等方面。</w:t>
            </w:r>
            <w:bookmarkEnd w:id="167"/>
            <w:r>
              <w:rPr>
                <w:rFonts w:hint="eastAsia" w:ascii="宋体" w:hAnsi="宋体" w:cs="宋体"/>
                <w:bCs/>
                <w:sz w:val="21"/>
                <w:szCs w:val="21"/>
                <w:highlight w:val="none"/>
              </w:rPr>
              <w:t xml:space="preserve">方案优于要求的得9分，符合要求得8分，不符合要求或未提供的不得分。</w:t>
            </w:r>
            <w:bookmarkEnd w:id="168"/>
            <w:r/>
            <w:bookmarkEnd w:id="169"/>
            <w:r>
              <w:rPr>
                <w:rFonts w:hint="eastAsia" w:ascii="宋体" w:hAnsi="宋体" w:cs="宋体"/>
                <w:bCs/>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327"/>
        </w:trPr>
        <w:tc>
          <w:tcPr>
            <w:tcBorders>
              <w:left w:val="single" w:color="000000" w:sz="2" w:space="0"/>
              <w:right w:val="single" w:color="000000" w:sz="2" w:space="0"/>
            </w:tcBorders>
            <w:tcW w:w="624" w:type="pct"/>
            <w:vAlign w:val="center"/>
            <w:vMerge w:val="continue"/>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r>
            <w:r/>
          </w:p>
        </w:tc>
        <w:tc>
          <w:tcPr>
            <w:tcW w:w="633" w:type="pct"/>
            <w:vAlign w:val="center"/>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组织机构设置和人员配备（9分）</w:t>
            </w:r>
            <w:r/>
          </w:p>
        </w:tc>
        <w:tc>
          <w:tcPr>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投标人根据第四章第五点“5.2组织机构设置、人员配置”要求，</w:t>
            </w:r>
            <w:r>
              <w:rPr>
                <w:rFonts w:asciiTheme="minorEastAsia" w:hAnsiTheme="minorEastAsia" w:eastAsiaTheme="minorEastAsia"/>
                <w:color w:val="000000" w:themeColor="text1"/>
                <w:sz w:val="21"/>
                <w:szCs w:val="21"/>
                <w:highlight w:val="none"/>
                <w14:textFill>
                  <w14:solidFill>
                    <w14:schemeClr w14:val="tx1"/>
                  </w14:solidFill>
                </w14:textFill>
              </w:rPr>
              <w:t xml:space="preserve">提供细致完整、科学合理、分析透彻、措施有力、针对性和操作性强的</w:t>
            </w:r>
            <w:r>
              <w:rPr>
                <w:rFonts w:hint="eastAsia" w:ascii="宋体" w:hAnsi="宋体" w:cs="宋体"/>
                <w:bCs/>
                <w:sz w:val="21"/>
                <w:szCs w:val="21"/>
                <w:highlight w:val="none"/>
              </w:rPr>
              <w:t xml:space="preserve">组织机构设置、人员配备</w:t>
            </w:r>
            <w:r>
              <w:rPr>
                <w:rFonts w:asciiTheme="minorEastAsia" w:hAnsiTheme="minorEastAsia" w:eastAsiaTheme="minorEastAsia"/>
                <w:color w:val="000000" w:themeColor="text1"/>
                <w:sz w:val="21"/>
                <w:szCs w:val="21"/>
                <w:highlight w:val="none"/>
                <w14:textFill>
                  <w14:solidFill>
                    <w14:schemeClr w14:val="tx1"/>
                  </w14:solidFill>
                </w14:textFill>
              </w:rPr>
              <w:t xml:space="preserve">方案，内容</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至少</w:t>
            </w:r>
            <w:r>
              <w:rPr>
                <w:rFonts w:asciiTheme="minorEastAsia" w:hAnsiTheme="minorEastAsia" w:eastAsiaTheme="minorEastAsia"/>
                <w:color w:val="000000" w:themeColor="text1"/>
                <w:sz w:val="21"/>
                <w:szCs w:val="21"/>
                <w:highlight w:val="none"/>
                <w14:textFill>
                  <w14:solidFill>
                    <w14:schemeClr w14:val="tx1"/>
                  </w14:solidFill>
                </w14:textFill>
              </w:rPr>
              <w:t xml:space="preserve">包含</w:t>
            </w:r>
            <w:r>
              <w:rPr>
                <w:rFonts w:hint="eastAsia" w:ascii="宋体" w:hAnsi="宋体" w:cs="宋体"/>
                <w:bCs/>
                <w:sz w:val="21"/>
                <w:szCs w:val="21"/>
                <w:highlight w:val="none"/>
              </w:rPr>
              <w:t xml:space="preserve">组织机构设置、人员配备、岗位职责等方面。方案优于项目需求得9分，符合项目需求得8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502"/>
        </w:trPr>
        <w:tc>
          <w:tcPr>
            <w:tcBorders>
              <w:left w:val="single" w:color="000000" w:sz="2" w:space="0"/>
              <w:right w:val="single" w:color="000000" w:sz="2" w:space="0"/>
            </w:tcBorders>
            <w:tcW w:w="624" w:type="pct"/>
            <w:vAlign w:val="center"/>
            <w:vMerge w:val="continue"/>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r>
            <w:r/>
          </w:p>
        </w:tc>
        <w:tc>
          <w:tcPr>
            <w:tcW w:w="633" w:type="pct"/>
            <w:vAlign w:val="center"/>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管理服务模式（8分）</w:t>
            </w:r>
            <w:r/>
          </w:p>
        </w:tc>
        <w:tc>
          <w:tcPr>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投标人根据第四章第五点“5.3管理服务模式”要求，</w:t>
            </w:r>
            <w:r>
              <w:rPr>
                <w:rFonts w:asciiTheme="minorEastAsia" w:hAnsiTheme="minorEastAsia" w:eastAsiaTheme="minorEastAsia"/>
                <w:color w:val="000000" w:themeColor="text1"/>
                <w:sz w:val="21"/>
                <w:szCs w:val="21"/>
                <w:highlight w:val="none"/>
                <w14:textFill>
                  <w14:solidFill>
                    <w14:schemeClr w14:val="tx1"/>
                  </w14:solidFill>
                </w14:textFill>
              </w:rPr>
              <w:t xml:space="preserve">提供细致完整、科学合理、分析透彻、措施有力、针对性和操作性强的</w:t>
            </w:r>
            <w:r>
              <w:rPr>
                <w:rFonts w:hint="eastAsia" w:ascii="宋体" w:hAnsi="宋体" w:cs="宋体"/>
                <w:bCs/>
                <w:sz w:val="21"/>
                <w:szCs w:val="21"/>
                <w:highlight w:val="none"/>
              </w:rPr>
              <w:t xml:space="preserve">管理服务模式</w:t>
            </w:r>
            <w:r>
              <w:rPr>
                <w:rFonts w:asciiTheme="minorEastAsia" w:hAnsiTheme="minorEastAsia" w:eastAsiaTheme="minorEastAsia"/>
                <w:color w:val="000000" w:themeColor="text1"/>
                <w:sz w:val="21"/>
                <w:szCs w:val="21"/>
                <w:highlight w:val="none"/>
                <w14:textFill>
                  <w14:solidFill>
                    <w14:schemeClr w14:val="tx1"/>
                  </w14:solidFill>
                </w14:textFill>
              </w:rPr>
              <w:t xml:space="preserve">方案，内容</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至少</w:t>
            </w:r>
            <w:r>
              <w:rPr>
                <w:rFonts w:asciiTheme="minorEastAsia" w:hAnsiTheme="minorEastAsia" w:eastAsiaTheme="minorEastAsia"/>
                <w:color w:val="000000" w:themeColor="text1"/>
                <w:sz w:val="21"/>
                <w:szCs w:val="21"/>
                <w:highlight w:val="none"/>
                <w14:textFill>
                  <w14:solidFill>
                    <w14:schemeClr w14:val="tx1"/>
                  </w14:solidFill>
                </w14:textFill>
              </w:rPr>
              <w:t xml:space="preserve">包含</w:t>
            </w:r>
            <w:r>
              <w:rPr>
                <w:rFonts w:hint="eastAsia" w:ascii="宋体" w:hAnsi="宋体" w:cs="宋体"/>
                <w:bCs/>
                <w:sz w:val="21"/>
                <w:szCs w:val="21"/>
                <w:highlight w:val="none"/>
              </w:rPr>
              <w:t xml:space="preserve">管理模式、运作流程、管理机制、项目支持与保障等方面。方案优于项目需求得8分，符合项目需求得7分，不满足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502"/>
        </w:trPr>
        <w:tc>
          <w:tcPr>
            <w:tcBorders>
              <w:left w:val="single" w:color="000000" w:sz="2" w:space="0"/>
              <w:right w:val="single" w:color="000000" w:sz="2" w:space="0"/>
            </w:tcBorders>
            <w:tcW w:w="624" w:type="pct"/>
            <w:vAlign w:val="center"/>
            <w:vMerge w:val="continue"/>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r>
            <w:r/>
          </w:p>
        </w:tc>
        <w:tc>
          <w:tcPr>
            <w:tcW w:w="633" w:type="pct"/>
            <w:vAlign w:val="center"/>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质量保证方案（8分）</w:t>
            </w:r>
            <w:r/>
          </w:p>
        </w:tc>
        <w:tc>
          <w:tcPr>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bookmarkStart w:id="170" w:name="OLE_LINK9"/>
            <w:r/>
            <w:bookmarkStart w:id="171" w:name="OLE_LINK2"/>
            <w:r/>
            <w:bookmarkStart w:id="172" w:name="OLE_LINK48"/>
            <w:r/>
            <w:bookmarkStart w:id="173" w:name="OLE_LINK38"/>
            <w:r>
              <w:rPr>
                <w:rFonts w:hint="eastAsia" w:ascii="宋体" w:hAnsi="宋体" w:cs="宋体"/>
                <w:bCs/>
                <w:sz w:val="21"/>
                <w:szCs w:val="21"/>
                <w:highlight w:val="none"/>
              </w:rPr>
              <w:t xml:space="preserve">投标人根据本项目第四章第五点“5.4质量保证方案”要求，</w:t>
            </w:r>
            <w:bookmarkEnd w:id="170"/>
            <w:r/>
            <w:bookmarkEnd w:id="171"/>
            <w:r>
              <w:rPr>
                <w:rFonts w:asciiTheme="minorEastAsia" w:hAnsiTheme="minorEastAsia" w:eastAsiaTheme="minorEastAsia"/>
                <w:color w:val="000000" w:themeColor="text1"/>
                <w:sz w:val="21"/>
                <w:szCs w:val="21"/>
                <w:highlight w:val="none"/>
                <w14:textFill>
                  <w14:solidFill>
                    <w14:schemeClr w14:val="tx1"/>
                  </w14:solidFill>
                </w14:textFill>
              </w:rPr>
              <w:t xml:space="preserve">提供细致完整、科学合理、分析透彻、措施有力、针对性和操作性强的</w:t>
            </w:r>
            <w:r>
              <w:rPr>
                <w:rFonts w:hint="eastAsia" w:ascii="宋体" w:hAnsi="宋体" w:cs="宋体"/>
                <w:bCs/>
                <w:sz w:val="21"/>
                <w:szCs w:val="21"/>
                <w:highlight w:val="none"/>
              </w:rPr>
              <w:t xml:space="preserve">质量保证</w:t>
            </w:r>
            <w:r>
              <w:rPr>
                <w:rFonts w:asciiTheme="minorEastAsia" w:hAnsiTheme="minorEastAsia" w:eastAsiaTheme="minorEastAsia"/>
                <w:color w:val="000000" w:themeColor="text1"/>
                <w:sz w:val="21"/>
                <w:szCs w:val="21"/>
                <w:highlight w:val="none"/>
                <w14:textFill>
                  <w14:solidFill>
                    <w14:schemeClr w14:val="tx1"/>
                  </w14:solidFill>
                </w14:textFill>
              </w:rPr>
              <w:t xml:space="preserve">方案，内容包含</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但不限于</w:t>
            </w:r>
            <w:r>
              <w:rPr>
                <w:rFonts w:hint="eastAsia" w:ascii="宋体" w:hAnsi="宋体" w:cs="宋体"/>
                <w:bCs/>
                <w:sz w:val="21"/>
                <w:szCs w:val="21"/>
                <w:highlight w:val="none"/>
              </w:rPr>
              <w:t xml:space="preserve">质量管理体系、质量管理制度、质量控制措施和岗位职责等方面。方案优于要求的得8分，符合要求得7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w:t>
            </w:r>
            <w:bookmarkEnd w:id="172"/>
            <w:r/>
            <w:bookmarkEnd w:id="173"/>
            <w:r>
              <w:rPr>
                <w:rFonts w:hint="eastAsia" w:ascii="宋体" w:hAnsi="宋体" w:cs="宋体"/>
                <w:bCs/>
                <w:sz w:val="21"/>
                <w:szCs w:val="21"/>
                <w:highlight w:val="none"/>
              </w:rPr>
              <w:t xml:space="preserve">具体由评标委员会评审。</w:t>
            </w:r>
            <w:r/>
          </w:p>
        </w:tc>
      </w:tr>
      <w:tr>
        <w:trPr>
          <w:trHeight w:val="1715"/>
        </w:trPr>
        <w:tc>
          <w:tcPr>
            <w:tcBorders>
              <w:left w:val="single" w:color="000000" w:sz="2" w:space="0"/>
              <w:right w:val="single" w:color="000000" w:sz="2" w:space="0"/>
            </w:tcBorders>
            <w:tcW w:w="624" w:type="pct"/>
            <w:vAlign w:val="center"/>
            <w:vMerge w:val="continue"/>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r>
            <w:r/>
          </w:p>
        </w:tc>
        <w:tc>
          <w:tcPr>
            <w:tcW w:w="633" w:type="pct"/>
            <w:vAlign w:val="center"/>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重难点分析及对策措施（8分）</w:t>
            </w:r>
            <w:r/>
          </w:p>
        </w:tc>
        <w:tc>
          <w:tcPr>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bookmarkStart w:id="174" w:name="OLE_LINK50"/>
            <w:r/>
            <w:bookmarkStart w:id="175" w:name="OLE_LINK49"/>
            <w:r>
              <w:rPr>
                <w:rFonts w:hint="eastAsia" w:ascii="宋体" w:hAnsi="宋体" w:cs="宋体"/>
                <w:bCs/>
                <w:sz w:val="21"/>
                <w:szCs w:val="21"/>
                <w:highlight w:val="none"/>
              </w:rPr>
              <w:t xml:space="preserve">投标人根据本项目第四章第五点“5.5重难点分析及对策措施”要求，</w:t>
            </w:r>
            <w:bookmarkStart w:id="176" w:name="OLE_LINK27"/>
            <w:r/>
            <w:bookmarkStart w:id="177" w:name="OLE_LINK28"/>
            <w:r>
              <w:rPr>
                <w:rFonts w:asciiTheme="minorEastAsia" w:hAnsiTheme="minorEastAsia" w:eastAsiaTheme="minorEastAsia"/>
                <w:color w:val="000000" w:themeColor="text1"/>
                <w:sz w:val="21"/>
                <w:szCs w:val="21"/>
                <w:highlight w:val="none"/>
                <w14:textFill>
                  <w14:solidFill>
                    <w14:schemeClr w14:val="tx1"/>
                  </w14:solidFill>
                </w14:textFill>
              </w:rPr>
              <w:t xml:space="preserve">提供细致完整、科学合理、分析透彻、措施有力、针对性和操作性强的</w:t>
            </w:r>
            <w:r>
              <w:rPr>
                <w:rFonts w:hint="eastAsia" w:ascii="宋体" w:hAnsi="宋体" w:cs="宋体"/>
                <w:bCs/>
                <w:sz w:val="21"/>
                <w:szCs w:val="21"/>
                <w:highlight w:val="none"/>
              </w:rPr>
              <w:t xml:space="preserve">重难点分析及对策措施</w:t>
            </w:r>
            <w:r>
              <w:rPr>
                <w:rFonts w:asciiTheme="minorEastAsia" w:hAnsiTheme="minorEastAsia" w:eastAsiaTheme="minorEastAsia"/>
                <w:color w:val="000000" w:themeColor="text1"/>
                <w:sz w:val="21"/>
                <w:szCs w:val="21"/>
                <w:highlight w:val="none"/>
                <w14:textFill>
                  <w14:solidFill>
                    <w14:schemeClr w14:val="tx1"/>
                  </w14:solidFill>
                </w14:textFill>
              </w:rPr>
              <w:t xml:space="preserve">方案，内容</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至少</w:t>
            </w:r>
            <w:r>
              <w:rPr>
                <w:rFonts w:asciiTheme="minorEastAsia" w:hAnsiTheme="minorEastAsia" w:eastAsiaTheme="minorEastAsia"/>
                <w:color w:val="000000" w:themeColor="text1"/>
                <w:sz w:val="21"/>
                <w:szCs w:val="21"/>
                <w:highlight w:val="none"/>
                <w14:textFill>
                  <w14:solidFill>
                    <w14:schemeClr w14:val="tx1"/>
                  </w14:solidFill>
                </w14:textFill>
              </w:rPr>
              <w:t xml:space="preserve">包含</w:t>
            </w:r>
            <w:r>
              <w:rPr>
                <w:rFonts w:hint="eastAsia" w:ascii="宋体" w:hAnsi="宋体" w:cs="宋体"/>
                <w:bCs/>
                <w:sz w:val="21"/>
                <w:szCs w:val="21"/>
                <w:highlight w:val="none"/>
              </w:rPr>
              <w:t xml:space="preserve">关键技术问题、重点、难点的分析及应对措施等方面。方案优于要求的得8分，符合要求得7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w:t>
            </w:r>
            <w:bookmarkEnd w:id="174"/>
            <w:r/>
            <w:bookmarkEnd w:id="175"/>
            <w:r/>
            <w:bookmarkEnd w:id="176"/>
            <w:r/>
            <w:bookmarkEnd w:id="177"/>
            <w:r>
              <w:rPr>
                <w:rFonts w:hint="eastAsia" w:ascii="宋体" w:hAnsi="宋体" w:cs="宋体"/>
                <w:bCs/>
                <w:sz w:val="21"/>
                <w:szCs w:val="21"/>
                <w:highlight w:val="none"/>
              </w:rPr>
              <w:t xml:space="preserve">具体由评标委员会评审。</w:t>
            </w:r>
            <w:r/>
          </w:p>
        </w:tc>
      </w:tr>
      <w:tr>
        <w:trPr>
          <w:trHeight w:val="90"/>
        </w:trPr>
        <w:tc>
          <w:tcPr>
            <w:tcBorders>
              <w:left w:val="single" w:color="000000" w:sz="2" w:space="0"/>
              <w:right w:val="single" w:color="000000" w:sz="2" w:space="0"/>
            </w:tcBorders>
            <w:tcW w:w="624" w:type="pct"/>
            <w:vAlign w:val="center"/>
            <w:vMerge w:val="continue"/>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r>
            <w:r/>
          </w:p>
        </w:tc>
        <w:tc>
          <w:tcPr>
            <w:tcW w:w="633" w:type="pct"/>
            <w:vAlign w:val="center"/>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应急处理方案（8分）</w:t>
            </w:r>
            <w:r/>
          </w:p>
        </w:tc>
        <w:tc>
          <w:tcPr>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投标人根据第四章第五点“5.6应急处理方案”要求，</w:t>
            </w:r>
            <w:r>
              <w:rPr>
                <w:rFonts w:asciiTheme="minorEastAsia" w:hAnsiTheme="minorEastAsia" w:eastAsiaTheme="minorEastAsia"/>
                <w:color w:val="000000" w:themeColor="text1"/>
                <w:sz w:val="21"/>
                <w:szCs w:val="21"/>
                <w:highlight w:val="none"/>
                <w14:textFill>
                  <w14:solidFill>
                    <w14:schemeClr w14:val="tx1"/>
                  </w14:solidFill>
                </w14:textFill>
              </w:rPr>
              <w:t xml:space="preserve">提供细致完整、科学合理、分析透彻、措施有力、针对性和操作性强的</w:t>
            </w:r>
            <w:r>
              <w:rPr>
                <w:rFonts w:hint="eastAsia" w:ascii="宋体" w:hAnsi="宋体" w:cs="宋体"/>
                <w:bCs/>
                <w:sz w:val="21"/>
                <w:szCs w:val="21"/>
                <w:highlight w:val="none"/>
              </w:rPr>
              <w:t xml:space="preserve">应急处理方案</w:t>
            </w:r>
            <w:r>
              <w:rPr>
                <w:rFonts w:asciiTheme="minorEastAsia" w:hAnsiTheme="minorEastAsia" w:eastAsiaTheme="minorEastAsia"/>
                <w:color w:val="000000" w:themeColor="text1"/>
                <w:sz w:val="21"/>
                <w:szCs w:val="21"/>
                <w:highlight w:val="none"/>
                <w14:textFill>
                  <w14:solidFill>
                    <w14:schemeClr w14:val="tx1"/>
                  </w14:solidFill>
                </w14:textFill>
              </w:rPr>
              <w:t xml:space="preserve">，内容</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至少</w:t>
            </w:r>
            <w:r>
              <w:rPr>
                <w:rFonts w:asciiTheme="minorEastAsia" w:hAnsiTheme="minorEastAsia" w:eastAsiaTheme="minorEastAsia"/>
                <w:color w:val="000000" w:themeColor="text1"/>
                <w:sz w:val="21"/>
                <w:szCs w:val="21"/>
                <w:highlight w:val="none"/>
                <w14:textFill>
                  <w14:solidFill>
                    <w14:schemeClr w14:val="tx1"/>
                  </w14:solidFill>
                </w14:textFill>
              </w:rPr>
              <w:t xml:space="preserve">包含</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原则与目标、应急组织体系与职责、可能发生的设施设备故障、安全事故、极端天气等突发事故情况分析、应急响应流程、应急保障措施等方</w:t>
            </w:r>
            <w:r>
              <w:rPr>
                <w:rFonts w:hint="eastAsia" w:ascii="宋体" w:hAnsi="宋体" w:cs="宋体"/>
                <w:bCs/>
                <w:sz w:val="21"/>
                <w:szCs w:val="21"/>
                <w:highlight w:val="none"/>
              </w:rPr>
              <w:t xml:space="preserve">面</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w:t>
            </w:r>
            <w:r>
              <w:rPr>
                <w:rFonts w:hint="eastAsia" w:ascii="宋体" w:hAnsi="宋体" w:cs="宋体"/>
                <w:bCs/>
                <w:sz w:val="21"/>
                <w:szCs w:val="21"/>
                <w:highlight w:val="none"/>
              </w:rPr>
              <w:t xml:space="preserve">方案优于项目需求得8分，符合项目需求得7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1415"/>
        </w:trPr>
        <w:tc>
          <w:tcPr>
            <w:tcBorders>
              <w:left w:val="single" w:color="000000" w:sz="2" w:space="0"/>
              <w:right w:val="single" w:color="000000" w:sz="2" w:space="0"/>
            </w:tcBorders>
            <w:tcW w:w="624" w:type="pct"/>
            <w:vAlign w:val="center"/>
            <w:vMerge w:val="continue"/>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r>
            <w:r/>
          </w:p>
        </w:tc>
        <w:tc>
          <w:tcPr>
            <w:tcW w:w="633" w:type="pct"/>
            <w:vAlign w:val="center"/>
            <w:textDirection w:val="lrTb"/>
            <w:noWrap w:val="false"/>
          </w:tcPr>
          <w:p>
            <w:pPr>
              <w:jc w:val="center"/>
              <w:spacing w:line="24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台账管理方案（8分）</w:t>
            </w:r>
            <w:r/>
          </w:p>
        </w:tc>
        <w:tc>
          <w:tcPr>
            <w:tcMar>
              <w:top w:w="100" w:type="dxa"/>
              <w:bottom w:w="100" w:type="dxa"/>
            </w:tcMar>
            <w:tcW w:w="3742" w:type="pct"/>
            <w:vAlign w:val="center"/>
            <w:textDirection w:val="lrTb"/>
            <w:noWrap w:val="false"/>
          </w:tcPr>
          <w:p>
            <w:pPr>
              <w:spacing w:line="280" w:lineRule="exact"/>
              <w:widowControl/>
              <w:rPr>
                <w:rFonts w:hint="eastAsia" w:ascii="宋体" w:hAnsi="宋体" w:cs="宋体"/>
                <w:bCs/>
                <w:sz w:val="21"/>
                <w:szCs w:val="21"/>
                <w:highlight w:val="none"/>
              </w:rPr>
            </w:pPr>
            <w:r>
              <w:rPr>
                <w:rFonts w:hint="eastAsia" w:ascii="宋体" w:hAnsi="宋体" w:cs="宋体"/>
                <w:bCs/>
                <w:sz w:val="21"/>
                <w:szCs w:val="21"/>
                <w:highlight w:val="none"/>
              </w:rPr>
              <w:t xml:space="preserve">投标人根据第四章第五点“5.7台账管理方案”要求，</w:t>
            </w:r>
            <w:r>
              <w:rPr>
                <w:rFonts w:asciiTheme="minorEastAsia" w:hAnsiTheme="minorEastAsia" w:eastAsiaTheme="minorEastAsia"/>
                <w:color w:val="000000" w:themeColor="text1"/>
                <w:sz w:val="21"/>
                <w:szCs w:val="21"/>
                <w:highlight w:val="none"/>
                <w14:textFill>
                  <w14:solidFill>
                    <w14:schemeClr w14:val="tx1"/>
                  </w14:solidFill>
                </w14:textFill>
              </w:rPr>
              <w:t xml:space="preserve">提供细致完整、科学合理、分析透彻、措施有力、针对性和操作性强的</w:t>
            </w:r>
            <w:r>
              <w:rPr>
                <w:rFonts w:hint="eastAsia" w:ascii="宋体" w:hAnsi="宋体" w:cs="宋体"/>
                <w:bCs/>
                <w:sz w:val="21"/>
                <w:szCs w:val="21"/>
                <w:highlight w:val="none"/>
              </w:rPr>
              <w:t xml:space="preserve">台账管理方案</w:t>
            </w:r>
            <w:r>
              <w:rPr>
                <w:rFonts w:asciiTheme="minorEastAsia" w:hAnsiTheme="minorEastAsia" w:eastAsiaTheme="minorEastAsia"/>
                <w:color w:val="000000" w:themeColor="text1"/>
                <w:sz w:val="21"/>
                <w:szCs w:val="21"/>
                <w:highlight w:val="none"/>
                <w14:textFill>
                  <w14:solidFill>
                    <w14:schemeClr w14:val="tx1"/>
                  </w14:solidFill>
                </w14:textFill>
              </w:rPr>
              <w:t xml:space="preserve">，内容</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至少</w:t>
            </w:r>
            <w:r>
              <w:rPr>
                <w:rFonts w:asciiTheme="minorEastAsia" w:hAnsiTheme="minorEastAsia" w:eastAsiaTheme="minorEastAsia"/>
                <w:color w:val="000000" w:themeColor="text1"/>
                <w:sz w:val="21"/>
                <w:szCs w:val="21"/>
                <w:highlight w:val="none"/>
                <w14:textFill>
                  <w14:solidFill>
                    <w14:schemeClr w14:val="tx1"/>
                  </w14:solidFill>
                </w14:textFill>
              </w:rPr>
              <w:t xml:space="preserve">包含</w:t>
            </w:r>
            <w:r>
              <w:rPr>
                <w:rFonts w:hint="eastAsia" w:ascii="宋体" w:hAnsi="宋体" w:cs="宋体"/>
                <w:bCs/>
                <w:sz w:val="21"/>
                <w:szCs w:val="21"/>
                <w:highlight w:val="none"/>
              </w:rPr>
              <w:t xml:space="preserve">台账建立、保管、归档管理、质量保证措施等方面</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w:t>
            </w:r>
            <w:r>
              <w:rPr>
                <w:rFonts w:hint="eastAsia" w:ascii="宋体" w:hAnsi="宋体" w:cs="宋体"/>
                <w:bCs/>
                <w:sz w:val="21"/>
                <w:szCs w:val="21"/>
                <w:highlight w:val="none"/>
              </w:rPr>
              <w:t xml:space="preserve">方案优于项目需求得8分，符合项目需求得7分，不满足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bookmarkEnd w:id="160"/>
            <w:r/>
            <w:bookmarkEnd w:id="161"/>
            <w:r/>
            <w:r/>
          </w:p>
        </w:tc>
      </w:tr>
    </w:tbl>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第六章  投标文件格式</w:t>
      </w:r>
      <w:r/>
    </w:p>
    <w:p>
      <w:pPr>
        <w:rPr>
          <w:rFonts w:hint="eastAsia" w:ascii="宋体" w:hAnsi="宋体" w:cs="宋体"/>
          <w:b/>
          <w:sz w:val="72"/>
          <w:highlight w:val="none"/>
        </w:rPr>
      </w:pPr>
      <w:r/>
      <w:bookmarkStart w:id="178" w:name="_Hlt26955039"/>
      <w:r/>
      <w:bookmarkEnd w:id="178"/>
      <w:r/>
      <w:bookmarkStart w:id="179" w:name="_Hlt26671244"/>
      <w:r/>
      <w:bookmarkEnd w:id="179"/>
      <w:r/>
      <w:r/>
    </w:p>
    <w:p>
      <w:pP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72"/>
          <w:highlight w:val="none"/>
        </w:rPr>
      </w:pPr>
      <w:r>
        <w:rPr>
          <w:rFonts w:hint="eastAsia" w:ascii="宋体" w:hAnsi="宋体" w:cs="宋体"/>
          <w:b/>
          <w:sz w:val="72"/>
          <w:highlight w:val="none"/>
        </w:rPr>
        <w:t xml:space="preserve">投  标  文  件</w:t>
      </w:r>
      <w:r/>
    </w:p>
    <w:p>
      <w:pPr>
        <w:jc w:val="center"/>
        <w:rPr>
          <w:rFonts w:hint="eastAsia" w:ascii="宋体" w:hAnsi="宋体" w:cs="宋体"/>
          <w:b/>
          <w:sz w:val="72"/>
          <w:highlight w:val="none"/>
        </w:rPr>
      </w:pPr>
      <w:r>
        <w:rPr>
          <w:rFonts w:hint="eastAsia" w:ascii="宋体" w:hAnsi="宋体" w:cs="宋体"/>
          <w:b/>
          <w:sz w:val="36"/>
          <w:highlight w:val="none"/>
        </w:rPr>
        <w:t xml:space="preserve">（</w:t>
      </w:r>
      <w:r>
        <w:rPr>
          <w:rFonts w:hint="eastAsia" w:ascii="宋体" w:hAnsi="宋体" w:cs="宋体"/>
          <w:b/>
          <w:sz w:val="36"/>
          <w:highlight w:val="none"/>
          <w:u w:val="single"/>
        </w:rPr>
        <w:t xml:space="preserve">正或副</w:t>
      </w:r>
      <w:r>
        <w:rPr>
          <w:rFonts w:hint="eastAsia" w:ascii="宋体" w:hAnsi="宋体" w:cs="宋体"/>
          <w:b/>
          <w:sz w:val="36"/>
          <w:highlight w:val="none"/>
        </w:rPr>
        <w:t xml:space="preserve">）本</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ind w:firstLine="1084"/>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rPr>
          <w:rFonts w:hint="eastAsia" w:ascii="宋体" w:hAnsi="宋体" w:cs="宋体"/>
          <w:b/>
          <w:sz w:val="36"/>
          <w:highlight w:val="none"/>
          <w:u w:val="single"/>
        </w:rPr>
      </w:pPr>
      <w:r>
        <w:rPr>
          <w:rFonts w:hint="eastAsia" w:ascii="宋体" w:hAnsi="宋体" w:cs="宋体"/>
          <w:b/>
          <w:sz w:val="36"/>
          <w:highlight w:val="none"/>
        </w:rPr>
        <w:t xml:space="preserve">招 标 编 号：</w:t>
      </w:r>
      <w:r>
        <w:rPr>
          <w:rFonts w:hint="eastAsia" w:ascii="宋体" w:hAnsi="宋体" w:cs="宋体"/>
          <w:b/>
          <w:sz w:val="36"/>
          <w:highlight w:val="none"/>
          <w:u w:val="single"/>
        </w:rPr>
        <w:t xml:space="preserve">                    </w:t>
      </w:r>
      <w:r/>
    </w:p>
    <w:p>
      <w:pPr>
        <w:rPr>
          <w:rFonts w:hint="eastAsia"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szCs w:val="36"/>
          <w:highlight w:val="none"/>
          <w:u w:val="single"/>
        </w:rPr>
        <w:t xml:space="preserve">（加盖CA电子公章）</w:t>
      </w:r>
      <w:r/>
    </w:p>
    <w:p>
      <w:pPr>
        <w:rPr>
          <w:rFonts w:hint="eastAsia"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jc w:val="center"/>
        <w:spacing w:line="440" w:lineRule="exact"/>
        <w:rPr>
          <w:rFonts w:hint="eastAsia" w:ascii="宋体" w:hAnsi="宋体" w:cs="宋体"/>
          <w:b/>
          <w:bCs/>
          <w:sz w:val="36"/>
          <w:szCs w:val="36"/>
          <w:highlight w:val="none"/>
        </w:rPr>
      </w:pPr>
      <w:r>
        <w:rPr>
          <w:rFonts w:hint="eastAsia" w:ascii="宋体" w:hAnsi="宋体" w:cs="宋体"/>
          <w:b/>
          <w:bCs/>
          <w:sz w:val="36"/>
          <w:szCs w:val="36"/>
          <w:highlight w:val="none"/>
        </w:rPr>
        <w:t xml:space="preserve">投标主要文件目录</w:t>
      </w:r>
      <w:r/>
    </w:p>
    <w:p>
      <w:pPr>
        <w:ind w:firstLine="480"/>
        <w:rPr>
          <w:rFonts w:hint="eastAsia" w:ascii="宋体" w:hAnsi="宋体" w:cs="宋体"/>
          <w:sz w:val="24"/>
          <w:highlight w:val="none"/>
        </w:rPr>
      </w:pPr>
      <w:r>
        <w:rPr>
          <w:rFonts w:hint="eastAsia" w:ascii="宋体" w:hAnsi="宋体" w:cs="宋体"/>
          <w:sz w:val="24"/>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一、法人或者其他组织的营业执照等证明文件，自然人的身份证明</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二、上一年度的财务状况报告（</w:t>
      </w:r>
      <w:r>
        <w:rPr>
          <w:rFonts w:hint="eastAsia" w:ascii="宋体" w:hAnsi="宋体" w:cs="宋体"/>
          <w:sz w:val="22"/>
          <w:highlight w:val="none"/>
        </w:rPr>
        <w:t xml:space="preserve">至少提供资产负债表、利润表、现金流量表，供应商成立不满一年无需提供</w:t>
      </w:r>
      <w:r>
        <w:rPr>
          <w:rFonts w:hint="eastAsia" w:ascii="宋体" w:hAnsi="宋体" w:cs="宋体"/>
          <w:sz w:val="22"/>
          <w:szCs w:val="21"/>
          <w:highlight w:val="none"/>
        </w:rPr>
        <w:t xml:space="preserve">）</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三、具备履行合同所必需的设备和专业技术能力的书面声明</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五、参加政府采购活动前 3 年内在经营活动中没有重大违法记录的书面声明</w:t>
      </w:r>
      <w:r/>
    </w:p>
    <w:p>
      <w:pPr>
        <w:pStyle w:val="744"/>
        <w:ind w:firstLine="440"/>
        <w:jc w:val="both"/>
        <w:spacing w:before="0" w:beforeAutospacing="0" w:after="0" w:afterAutospacing="0" w:line="440" w:lineRule="exact"/>
        <w:rPr>
          <w:rFonts w:hint="eastAsia"/>
          <w:iCs/>
          <w:highlight w:val="none"/>
        </w:rPr>
      </w:pPr>
      <w:r>
        <w:rPr>
          <w:rFonts w:hint="eastAsia"/>
          <w:sz w:val="22"/>
          <w:szCs w:val="21"/>
          <w:highlight w:val="none"/>
        </w:rPr>
        <w:t xml:space="preserve">六、特定资格要求的证明文件（如果本项目设置特定资格要求，则需要提供）</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七、法人授权书</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八、投标函</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九、中小企业声明函</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十、残疾人福利性单位声明函</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十一、关于符合本国产品标准的声明函（如有）</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十二、联合体协议</w:t>
      </w:r>
      <w:bookmarkStart w:id="180" w:name="OLE_LINK69"/>
      <w:r>
        <w:rPr>
          <w:rFonts w:hint="eastAsia" w:ascii="宋体" w:hAnsi="宋体" w:cs="宋体"/>
          <w:sz w:val="22"/>
          <w:szCs w:val="21"/>
          <w:highlight w:val="none"/>
        </w:rPr>
        <w:t xml:space="preserve">（如有）</w:t>
      </w:r>
      <w:bookmarkEnd w:id="180"/>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十三、投标分项报价表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十四、技术要求响应及偏离表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十五、商务要求响应及偏离表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十六、开标一览表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十七、技术方案、服务承诺、培训承诺等</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十八、盐城市政府采购事前信用承诺书</w:t>
      </w:r>
      <w:r/>
    </w:p>
    <w:p>
      <w:pPr>
        <w:ind w:firstLine="440"/>
        <w:spacing w:line="440" w:lineRule="exact"/>
        <w:rPr>
          <w:rFonts w:hint="eastAsia" w:ascii="宋体" w:hAnsi="宋体" w:cs="宋体"/>
          <w:sz w:val="22"/>
          <w:szCs w:val="21"/>
          <w:highlight w:val="none"/>
          <w:lang w:val="en-US" w:eastAsia="zh-CN"/>
        </w:rPr>
      </w:pPr>
      <w:r>
        <w:rPr>
          <w:rFonts w:hint="eastAsia" w:ascii="宋体" w:hAnsi="宋体" w:cs="宋体"/>
          <w:sz w:val="22"/>
          <w:szCs w:val="21"/>
          <w:highlight w:val="none"/>
          <w:lang w:val="en-US" w:eastAsia="zh-CN"/>
        </w:rPr>
      </w:r>
      <w:r/>
    </w:p>
    <w:p>
      <w:pPr>
        <w:ind w:firstLine="440"/>
        <w:spacing w:line="440" w:lineRule="exact"/>
        <w:rPr>
          <w:rFonts w:hint="eastAsia" w:ascii="宋体" w:hAnsi="宋体" w:cs="宋体"/>
          <w:sz w:val="22"/>
          <w:szCs w:val="21"/>
          <w:highlight w:val="none"/>
          <w:lang w:val="en-US" w:eastAsia="zh-CN"/>
        </w:rPr>
      </w:pPr>
      <w:r>
        <w:rPr>
          <w:rFonts w:hint="eastAsia" w:ascii="宋体" w:hAnsi="宋体" w:cs="宋体"/>
          <w:sz w:val="22"/>
          <w:szCs w:val="21"/>
          <w:highlight w:val="none"/>
          <w:lang w:val="en-US" w:eastAsia="zh-CN"/>
        </w:rPr>
      </w:r>
      <w:r/>
    </w:p>
    <w:p>
      <w:pPr>
        <w:ind w:firstLine="440"/>
        <w:spacing w:line="440" w:lineRule="exact"/>
        <w:rPr>
          <w:rFonts w:hint="default" w:ascii="宋体" w:hAnsi="宋体" w:eastAsia="宋体" w:cs="宋体"/>
          <w:sz w:val="22"/>
          <w:szCs w:val="21"/>
          <w:highlight w:val="none"/>
          <w:lang w:val="en-US" w:eastAsia="zh-CN"/>
        </w:rPr>
      </w:pPr>
      <w:r>
        <w:rPr>
          <w:rFonts w:hint="eastAsia" w:ascii="宋体" w:hAnsi="宋体" w:cs="宋体"/>
          <w:sz w:val="22"/>
          <w:szCs w:val="21"/>
          <w:highlight w:val="none"/>
          <w:lang w:val="en-US" w:eastAsia="zh-CN"/>
        </w:rPr>
        <w:t xml:space="preserve">请将封面放在目录里</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pStyle w:val="744"/>
        <w:jc w:val="both"/>
        <w:spacing w:beforeAutospacing="0" w:afterAutospacing="0"/>
        <w:rPr>
          <w:rFonts w:hint="eastAsia"/>
          <w:highlight w:val="none"/>
        </w:rPr>
      </w:pPr>
      <w:r/>
      <w:bookmarkStart w:id="185" w:name="_GoBack"/>
      <w:r/>
      <w:bookmarkEnd w:id="185"/>
      <w:r>
        <w:rPr>
          <w:rFonts w:hint="eastAsia" w:ascii="黑体" w:eastAsia="黑体" w:cs="黑体"/>
          <w:i/>
          <w:color w:val="000000"/>
          <w:sz w:val="32"/>
          <w:szCs w:val="32"/>
          <w:highlight w:val="none"/>
          <w:u w:val="single"/>
        </w:rPr>
        <w:t xml:space="preserve">一、法人或者其他组织的营业执照等证明文件，自然人的身份证明</w:t>
      </w:r>
      <w:r/>
    </w:p>
    <w:p>
      <w:pPr>
        <w:pStyle w:val="744"/>
        <w:ind w:firstLine="480"/>
        <w:jc w:val="both"/>
        <w:spacing w:beforeAutospacing="0" w:afterAutospacing="0" w:line="0" w:lineRule="atLeast"/>
        <w:rPr>
          <w:rFonts w:hint="eastAsia"/>
          <w:highlight w:val="none"/>
        </w:rPr>
      </w:pPr>
      <w:r>
        <w:rPr>
          <w:highlight w:val="none"/>
        </w:rPr>
        <w:t xml:space="preserve"> </w:t>
      </w:r>
      <w:r/>
    </w:p>
    <w:p>
      <w:pPr>
        <w:pStyle w:val="744"/>
        <w:jc w:val="both"/>
        <w:spacing w:beforeAutospacing="0" w:afterAutospacing="0"/>
        <w:rPr>
          <w:rFonts w:hint="eastAsia" w:eastAsia="黑体"/>
          <w:highlight w:val="none"/>
        </w:rPr>
      </w:pPr>
      <w:r>
        <w:rPr>
          <w:rFonts w:hint="eastAsia" w:ascii="黑体" w:eastAsia="黑体" w:cs="黑体"/>
          <w:i/>
          <w:color w:val="000000"/>
          <w:sz w:val="32"/>
          <w:szCs w:val="32"/>
          <w:highlight w:val="none"/>
          <w:u w:val="single"/>
        </w:rPr>
        <w:t xml:space="preserve">二、上一年度的财务状况报告</w:t>
      </w:r>
      <w:r/>
    </w:p>
    <w:p>
      <w:pPr>
        <w:jc w:val="left"/>
        <w:tabs>
          <w:tab w:val="left" w:pos="1331" w:leader="none"/>
        </w:tabs>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（至少提供资产负债表、利润表、现金流量表，投标人成立不满一年无需提供）</w:t>
      </w:r>
      <w:r/>
    </w:p>
    <w:p>
      <w:pPr>
        <w:pStyle w:val="744"/>
        <w:jc w:val="both"/>
        <w:spacing w:beforeAutospacing="0" w:afterAutospacing="0"/>
        <w:rPr>
          <w:rFonts w:hint="eastAsia"/>
          <w:highlight w:val="none"/>
        </w:rPr>
      </w:pPr>
      <w:r>
        <w:rPr>
          <w:highlight w:val="none"/>
        </w:rPr>
        <w:t xml:space="preserve"> </w:t>
      </w:r>
      <w:r/>
    </w:p>
    <w:p>
      <w:pPr>
        <w:pStyle w:val="744"/>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p>
    <w:p>
      <w:pPr>
        <w:pStyle w:val="744"/>
        <w:ind w:firstLine="492"/>
        <w:jc w:val="both"/>
        <w:spacing w:beforeAutospacing="0" w:afterAutospacing="0" w:line="0" w:lineRule="atLeast"/>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44"/>
        <w:ind w:firstLine="492"/>
        <w:jc w:val="both"/>
        <w:spacing w:beforeAutospacing="0" w:afterAutospacing="0" w:line="0" w:lineRule="atLeast"/>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p>
    <w:p>
      <w:pPr>
        <w:pStyle w:val="744"/>
        <w:ind w:firstLine="480"/>
        <w:jc w:val="both"/>
        <w:spacing w:beforeAutospacing="0" w:afterAutospacing="0"/>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pStyle w:val="744"/>
        <w:ind w:firstLine="480"/>
        <w:jc w:val="both"/>
        <w:spacing w:beforeAutospacing="0" w:afterAutospacing="0"/>
        <w:rPr>
          <w:rFonts w:hint="eastAsia"/>
          <w:color w:val="000000"/>
          <w:highlight w:val="none"/>
        </w:rPr>
      </w:pPr>
      <w:r>
        <w:rPr>
          <w:rFonts w:hint="eastAsia"/>
          <w:color w:val="000000"/>
          <w:highlight w:val="none"/>
        </w:rPr>
      </w:r>
      <w:r/>
    </w:p>
    <w:p>
      <w:pPr>
        <w:pStyle w:val="744"/>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四、依法缴纳税收和社会保障资金的相关材料</w:t>
      </w:r>
      <w:r/>
    </w:p>
    <w:p>
      <w:pPr>
        <w:pStyle w:val="744"/>
        <w:ind w:firstLine="480"/>
        <w:jc w:val="both"/>
        <w:spacing w:beforeAutospacing="0" w:afterAutospacing="0"/>
        <w:rPr>
          <w:rFonts w:hint="eastAsia"/>
          <w:color w:val="000000"/>
          <w:highlight w:val="none"/>
        </w:rPr>
      </w:pPr>
      <w:r/>
      <w:bookmarkStart w:id="181" w:name="_Toc120614284"/>
      <w:r>
        <w:rPr>
          <w:rFonts w:hint="eastAsia"/>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1"/>
      <w:r/>
      <w:r/>
    </w:p>
    <w:p>
      <w:pPr>
        <w:pStyle w:val="744"/>
        <w:ind w:firstLine="480"/>
        <w:jc w:val="both"/>
        <w:spacing w:beforeAutospacing="0" w:afterAutospacing="0"/>
        <w:rPr>
          <w:rFonts w:hint="eastAsia"/>
          <w:highlight w:val="none"/>
        </w:rPr>
      </w:pPr>
      <w:r>
        <w:rPr>
          <w:rFonts w:hint="eastAsia"/>
          <w:highlight w:val="none"/>
        </w:rPr>
      </w:r>
      <w:r/>
    </w:p>
    <w:p>
      <w:pPr>
        <w:pStyle w:val="744"/>
        <w:jc w:val="both"/>
        <w:spacing w:beforeAutospacing="0" w:afterAutospacing="0"/>
        <w:rPr>
          <w:rFonts w:hint="eastAsia"/>
          <w:b/>
          <w:sz w:val="44"/>
          <w:szCs w:val="44"/>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rPr>
          <w:rFonts w:hint="eastAsia"/>
          <w:b/>
          <w:sz w:val="44"/>
          <w:szCs w:val="44"/>
          <w:highlight w:val="none"/>
        </w:rPr>
        <w:t xml:space="preserve">                </w:t>
      </w:r>
      <w:r/>
    </w:p>
    <w:p>
      <w:pPr>
        <w:pStyle w:val="744"/>
        <w:ind w:firstLine="3092"/>
        <w:jc w:val="both"/>
        <w:spacing w:beforeAutospacing="0" w:afterAutospacing="0" w:line="0" w:lineRule="atLeast"/>
        <w:rPr>
          <w:rFonts w:hint="eastAsia"/>
          <w:highlight w:val="none"/>
        </w:rPr>
      </w:pPr>
      <w:r>
        <w:rPr>
          <w:rFonts w:hint="eastAsia"/>
          <w:b/>
          <w:sz w:val="44"/>
          <w:szCs w:val="44"/>
          <w:highlight w:val="none"/>
        </w:rPr>
        <w:t xml:space="preserve"> 声  明</w:t>
      </w:r>
      <w:r/>
    </w:p>
    <w:p>
      <w:pPr>
        <w:pStyle w:val="744"/>
        <w:jc w:val="both"/>
        <w:spacing w:beforeAutospacing="0" w:afterAutospacing="0" w:line="0" w:lineRule="atLeast"/>
        <w:rPr>
          <w:rFonts w:hint="eastAsia"/>
          <w:highlight w:val="none"/>
        </w:rPr>
      </w:pPr>
      <w:r>
        <w:rPr>
          <w:rFonts w:hint="eastAsia"/>
          <w:b/>
          <w:highlight w:val="none"/>
        </w:rPr>
        <w:t xml:space="preserve">  </w:t>
      </w: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44"/>
        <w:jc w:val="both"/>
        <w:spacing w:beforeAutospacing="0" w:afterAutospacing="0"/>
        <w:rPr>
          <w:rFonts w:hint="eastAsia"/>
          <w:highlight w:val="none"/>
        </w:rPr>
      </w:pPr>
      <w:r>
        <w:rPr>
          <w:rFonts w:hint="eastAsia"/>
          <w:highlight w:val="none"/>
        </w:rPr>
        <w:t xml:space="preserve"> </w:t>
      </w:r>
      <w:r/>
    </w:p>
    <w:p>
      <w:pPr>
        <w:pStyle w:val="744"/>
        <w:jc w:val="both"/>
        <w:spacing w:beforeAutospacing="0" w:afterAutospacing="0"/>
        <w:rPr>
          <w:rFonts w:hint="eastAsia"/>
          <w:highlight w:val="none"/>
        </w:rPr>
      </w:pPr>
      <w:r>
        <w:rPr>
          <w:rFonts w:hint="eastAsia"/>
          <w:i/>
          <w:sz w:val="32"/>
          <w:szCs w:val="32"/>
          <w:highlight w:val="none"/>
          <w:u w:val="single"/>
        </w:rPr>
        <w:t xml:space="preserve">六、特定资格要求的证明文件</w:t>
      </w:r>
      <w:r/>
    </w:p>
    <w:p>
      <w:pPr>
        <w:pStyle w:val="744"/>
        <w:jc w:val="both"/>
        <w:spacing w:beforeAutospacing="0" w:afterAutospacing="0" w:line="0" w:lineRule="atLeast"/>
        <w:rPr>
          <w:rFonts w:hint="eastAsia"/>
          <w:highlight w:val="none"/>
        </w:rPr>
      </w:pPr>
      <w:r>
        <w:rPr>
          <w:rFonts w:hint="eastAsia"/>
          <w:highlight w:val="none"/>
        </w:rPr>
        <w:t xml:space="preserve">   如果本项目申请人的特定资格要求中要求提供的，必须提供。</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11"/>
        <w:jc w:val="center"/>
        <w:spacing w:beforeAutospacing="0" w:afterAutospacing="0" w:line="500" w:lineRule="exact"/>
        <w:rPr>
          <w:rFonts w:hint="eastAsia"/>
          <w:i/>
          <w:sz w:val="32"/>
          <w:szCs w:val="32"/>
          <w:highlight w:val="none"/>
          <w:u w:val="single"/>
        </w:rPr>
        <w:outlineLvl w:val="1"/>
      </w:pPr>
      <w:r>
        <w:rPr>
          <w:rFonts w:hint="eastAsia"/>
          <w:i/>
          <w:sz w:val="32"/>
          <w:szCs w:val="32"/>
          <w:highlight w:val="none"/>
          <w:u w:val="single"/>
        </w:rPr>
      </w:r>
      <w:r/>
    </w:p>
    <w:p>
      <w:pPr>
        <w:pStyle w:val="911"/>
        <w:jc w:val="center"/>
        <w:spacing w:beforeAutospacing="0" w:afterAutospacing="0" w:line="500" w:lineRule="exact"/>
        <w:rPr>
          <w:rFonts w:hint="eastAsia"/>
          <w:i/>
          <w:sz w:val="32"/>
          <w:szCs w:val="32"/>
          <w:highlight w:val="none"/>
          <w:u w:val="single"/>
        </w:rPr>
        <w:outlineLvl w:val="1"/>
      </w:pPr>
      <w:r>
        <w:rPr>
          <w:rFonts w:hint="eastAsia"/>
          <w:i/>
          <w:sz w:val="32"/>
          <w:szCs w:val="32"/>
          <w:highlight w:val="none"/>
          <w:u w:val="single"/>
        </w:rPr>
        <w:t xml:space="preserve">七、法人授权书</w:t>
      </w:r>
      <w:r/>
    </w:p>
    <w:p>
      <w:pPr>
        <w:pStyle w:val="911"/>
        <w:ind w:firstLine="482"/>
        <w:spacing w:line="480" w:lineRule="exact"/>
        <w:rPr>
          <w:rFonts w:hint="eastAsia"/>
          <w:highlight w:val="none"/>
        </w:rPr>
      </w:pPr>
      <w:r>
        <w:rPr>
          <w:rFonts w:hint="eastAsia"/>
          <w:highlight w:val="none"/>
        </w:rPr>
        <w:t xml:space="preserve">本授权书声明：____________（投标人名称）授权________________（被授权人的姓名）为我方就</w:t>
      </w:r>
      <w:r>
        <w:rPr>
          <w:highlight w:val="none"/>
        </w:rPr>
        <w:t xml:space="preserve">JSZC-</w:t>
      </w:r>
      <w:r>
        <w:rPr>
          <w:rFonts w:hint="eastAsia"/>
          <w:highlight w:val="none"/>
          <w:u w:val="single"/>
        </w:rPr>
        <w:t xml:space="preserve">            </w:t>
      </w:r>
      <w:r>
        <w:rPr>
          <w:rFonts w:hint="eastAsia"/>
          <w:highlight w:val="none"/>
        </w:rPr>
        <w:t xml:space="preserve">号</w:t>
      </w:r>
      <w:r>
        <w:rPr>
          <w:rFonts w:hint="eastAsia"/>
          <w:szCs w:val="20"/>
          <w:highlight w:val="none"/>
        </w:rPr>
        <w:t xml:space="preserve">项目</w:t>
      </w:r>
      <w:r>
        <w:rPr>
          <w:rFonts w:hint="eastAsia"/>
          <w:highlight w:val="none"/>
        </w:rPr>
        <w:t xml:space="preserve">采购活动的合法代理人，以本单位名义全权处理一切与该项目采购有关的事务。</w:t>
      </w:r>
      <w:r/>
    </w:p>
    <w:p>
      <w:pPr>
        <w:pStyle w:val="911"/>
        <w:ind w:firstLine="480"/>
        <w:rPr>
          <w:rFonts w:hint="eastAsia"/>
          <w:highlight w:val="none"/>
        </w:rPr>
      </w:pPr>
      <w:r>
        <w:rPr>
          <w:rFonts w:hint="eastAsia"/>
          <w:highlight w:val="none"/>
        </w:rPr>
      </w:r>
      <w:r/>
    </w:p>
    <w:p>
      <w:pPr>
        <w:pStyle w:val="911"/>
        <w:ind w:firstLine="480"/>
        <w:rPr>
          <w:rFonts w:hint="eastAsia"/>
          <w:highlight w:val="none"/>
        </w:rPr>
      </w:pPr>
      <w:r>
        <w:rPr>
          <w:rFonts w:hint="eastAsia"/>
          <w:highlight w:val="none"/>
        </w:rPr>
        <w:t xml:space="preserve">本授权书于______年____月____日起生效，特此声明。</w:t>
      </w:r>
      <w:r/>
    </w:p>
    <w:p>
      <w:pPr>
        <w:pStyle w:val="911"/>
        <w:ind w:firstLine="480"/>
        <w:rPr>
          <w:rFonts w:hint="eastAsia"/>
          <w:highlight w:val="none"/>
        </w:rPr>
      </w:pPr>
      <w:r>
        <w:rPr>
          <w:rFonts w:hint="eastAsia"/>
          <w:highlight w:val="none"/>
        </w:rPr>
        <w:t xml:space="preserve">被授权人身份证号码：</w:t>
      </w:r>
      <w:r>
        <w:rPr>
          <w:rFonts w:hint="eastAsia"/>
          <w:highlight w:val="none"/>
          <w:u w:val="single"/>
        </w:rPr>
        <w:t xml:space="preserve">                 </w:t>
      </w:r>
      <w:r/>
    </w:p>
    <w:p>
      <w:pPr>
        <w:pStyle w:val="911"/>
        <w:ind w:firstLine="480"/>
        <w:rPr>
          <w:rFonts w:hint="eastAsia"/>
          <w:highlight w:val="none"/>
        </w:rPr>
      </w:pPr>
      <w:r>
        <w:rPr>
          <w:rFonts w:hint="eastAsia"/>
          <w:highlight w:val="none"/>
        </w:rPr>
        <w:t xml:space="preserve">被授权人联系电话：</w:t>
      </w:r>
      <w:r>
        <w:rPr>
          <w:rFonts w:hint="eastAsia"/>
          <w:highlight w:val="none"/>
          <w:u w:val="single"/>
        </w:rPr>
        <w:t xml:space="preserve">  （手机）              </w:t>
      </w:r>
      <w:r/>
    </w:p>
    <w:p>
      <w:pPr>
        <w:pStyle w:val="911"/>
        <w:ind w:firstLine="480"/>
        <w:rPr>
          <w:rFonts w:hint="eastAsia"/>
          <w:highlight w:val="none"/>
        </w:rPr>
      </w:pPr>
      <w:r>
        <w:rPr>
          <w:rFonts w:hint="eastAsia"/>
          <w:highlight w:val="none"/>
        </w:rPr>
        <w:t xml:space="preserve">授权单位名称：</w:t>
      </w:r>
      <w:r>
        <w:rPr>
          <w:rFonts w:hint="eastAsia"/>
          <w:highlight w:val="none"/>
          <w:u w:val="single"/>
        </w:rPr>
        <w:t xml:space="preserve">（加盖CA电子公章）          </w:t>
      </w:r>
      <w:r/>
    </w:p>
    <w:p>
      <w:pPr>
        <w:pStyle w:val="911"/>
        <w:ind w:firstLine="480"/>
        <w:rPr>
          <w:rFonts w:hint="eastAsia"/>
          <w:highlight w:val="none"/>
        </w:rPr>
      </w:pPr>
      <w:r>
        <w:rPr>
          <w:rFonts w:hint="eastAsia"/>
          <w:highlight w:val="none"/>
        </w:rPr>
        <w:t xml:space="preserve">单 位 地 址：</w:t>
      </w:r>
      <w:r>
        <w:rPr>
          <w:rFonts w:hint="eastAsia"/>
          <w:highlight w:val="none"/>
          <w:u w:val="single"/>
        </w:rPr>
        <w:t xml:space="preserve">                      </w:t>
      </w:r>
      <w:r/>
    </w:p>
    <w:p>
      <w:pPr>
        <w:pStyle w:val="911"/>
        <w:ind w:firstLine="480"/>
        <w:rPr>
          <w:rFonts w:hint="eastAsia"/>
          <w:highlight w:val="none"/>
        </w:rPr>
      </w:pPr>
      <w:r>
        <w:rPr>
          <w:rFonts w:hint="eastAsia"/>
          <w:highlight w:val="none"/>
        </w:rPr>
        <w:t xml:space="preserve">日       期：</w:t>
      </w:r>
      <w:r>
        <w:rPr>
          <w:rFonts w:hint="eastAsia"/>
          <w:highlight w:val="none"/>
          <w:u w:val="single"/>
        </w:rPr>
        <w:t xml:space="preserve">                           </w:t>
      </w:r>
      <w:r/>
    </w:p>
    <w:p>
      <w:pPr>
        <w:pStyle w:val="911"/>
        <w:jc w:val="both"/>
        <w:rPr>
          <w:rFonts w:hint="eastAsia"/>
          <w:highlight w:val="none"/>
        </w:rPr>
      </w:pPr>
      <w:r>
        <w:rPr>
          <w:rFonts w:hint="eastAsia"/>
          <w:highlight w:val="none"/>
        </w:rPr>
        <w:t xml:space="preserve">                            </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iCs/>
          <w:highlight w:val="none"/>
        </w:rPr>
      </w:pPr>
      <w:r>
        <w:rPr>
          <w:rFonts w:hint="eastAsia" w:ascii="宋体" w:hAnsi="宋体" w:cs="宋体"/>
          <w:iCs/>
          <w:sz w:val="32"/>
          <w:szCs w:val="32"/>
          <w:highlight w:val="none"/>
        </w:rPr>
        <w:t xml:space="preserve">八、投标函</w:t>
      </w:r>
      <w:r/>
    </w:p>
    <w:p>
      <w:pPr>
        <w:spacing w:line="44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采购人名称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根据贵方的JSZC-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号招标文件，正式授权下述签字人______</w:t>
      </w:r>
      <w:bookmarkStart w:id="182" w:name="OLE_LINK10"/>
      <w:r>
        <w:rPr>
          <w:rFonts w:hint="eastAsia" w:ascii="宋体" w:hAnsi="宋体" w:cs="宋体"/>
          <w:sz w:val="24"/>
          <w:szCs w:val="24"/>
          <w:highlight w:val="none"/>
        </w:rPr>
        <w:t xml:space="preserve">(姓名)</w:t>
      </w:r>
      <w:bookmarkEnd w:id="182"/>
      <w:r>
        <w:rPr>
          <w:rFonts w:hint="eastAsia" w:ascii="宋体" w:hAnsi="宋体" w:cs="宋体"/>
          <w:sz w:val="24"/>
          <w:szCs w:val="24"/>
          <w:highlight w:val="none"/>
        </w:rPr>
        <w:t xml:space="preserve">代表我方______________（投标人的名称），全权处理本次项目投标的有关事宜。</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据此函，</w:t>
      </w:r>
      <w:r>
        <w:rPr>
          <w:rFonts w:hint="eastAsia" w:ascii="宋体" w:hAnsi="宋体" w:cs="宋体"/>
          <w:sz w:val="24"/>
          <w:szCs w:val="24"/>
          <w:highlight w:val="none"/>
          <w:u w:val="single"/>
        </w:rPr>
        <w:t xml:space="preserve">   (姓名)    </w:t>
      </w:r>
      <w:r>
        <w:rPr>
          <w:rFonts w:hint="eastAsia" w:ascii="宋体" w:hAnsi="宋体" w:cs="宋体"/>
          <w:sz w:val="24"/>
          <w:szCs w:val="24"/>
          <w:highlight w:val="none"/>
        </w:rPr>
        <w:t xml:space="preserve">签字人兹宣布同意如下：</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1.按招标文件规定的各项要求，向买方提供所需服务（包含与服务相关的货物）。</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2.我们完全理解贵方不一定将合同授予最低报价的投标人。</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4.我们同意从规定的开标日期起遵循本投标文件，并在规定的投标有效期期满之前均具有约束力。</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5.同意向贵方提供贵方可能另外要求的与投标有关的任何证据或资料，并保证我方已提供和将要提供的文件是真实的、准确的。</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6.一旦我方中标,我方将根据招标文件的规定，严格履行合同的责任和义务,并保证在招标文件规定的时间完成项目，交付买方验收、使用。</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7.与本投标有关的正式通讯地址为：</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邮      编：</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电     话：</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传     真：</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投标人开户行：</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账     号： </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日      期：______年____月____日</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56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九、中小企业声明函（服务）</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本公司（联合体）郑重声明，根据《政府采购促进中小企业发展管理办法》(财库[2020]46号)的规定，本公司（联合体）参加</w:t>
      </w:r>
      <w:r>
        <w:rPr>
          <w:rFonts w:hint="eastAsia" w:ascii="宋体" w:hAnsi="宋体" w:cs="宋体"/>
          <w:sz w:val="24"/>
          <w:szCs w:val="20"/>
          <w:highlight w:val="none"/>
          <w:u w:val="single"/>
        </w:rPr>
        <w:t xml:space="preserve"> 盐城市生态环境局盐南高新区分局 </w:t>
      </w:r>
      <w:r>
        <w:rPr>
          <w:rFonts w:hint="eastAsia" w:ascii="宋体" w:hAnsi="宋体" w:cs="宋体"/>
          <w:sz w:val="24"/>
          <w:highlight w:val="none"/>
        </w:rPr>
        <w:t xml:space="preserve">组织的采购编号为</w:t>
      </w:r>
      <w:r>
        <w:rPr>
          <w:rFonts w:hint="eastAsia" w:ascii="宋体" w:hAnsi="宋体" w:cs="宋体"/>
          <w:sz w:val="24"/>
          <w:highlight w:val="none"/>
          <w:u w:val="single"/>
        </w:rPr>
        <w:t xml:space="preserve">           </w:t>
      </w:r>
      <w:r>
        <w:rPr>
          <w:rFonts w:hint="eastAsia" w:ascii="宋体" w:hAnsi="宋体" w:cs="宋体"/>
          <w:sz w:val="24"/>
          <w:highlight w:val="none"/>
        </w:rPr>
        <w:t xml:space="preserve">的</w:t>
      </w:r>
      <w:r>
        <w:rPr>
          <w:rFonts w:hint="eastAsia" w:ascii="宋体" w:hAnsi="宋体" w:cs="宋体"/>
          <w:sz w:val="24"/>
          <w:szCs w:val="20"/>
          <w:highlight w:val="none"/>
          <w:u w:val="single"/>
        </w:rPr>
        <w:t xml:space="preserve">盐南高新区伍佑街道农村生活污水处理设施运维项目</w:t>
      </w:r>
      <w:r>
        <w:rPr>
          <w:rFonts w:hint="eastAsia" w:ascii="宋体" w:hAnsi="宋体" w:cs="宋体"/>
          <w:sz w:val="24"/>
          <w:highlight w:val="none"/>
        </w:rPr>
        <w:t xml:space="preserve">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i/>
          <w:iCs/>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iCs/>
          <w:sz w:val="24"/>
          <w:highlight w:val="none"/>
          <w:u w:val="single"/>
        </w:rPr>
        <w:t xml:space="preserve">（招标文件中明确的所属行业）</w:t>
      </w:r>
      <w:r>
        <w:rPr>
          <w:rFonts w:hint="eastAsia" w:ascii="宋体" w:hAnsi="宋体" w:cs="宋体"/>
          <w:sz w:val="24"/>
          <w:highlight w:val="none"/>
        </w:rPr>
        <w:t xml:space="preserve">行业；承接企业为（</w:t>
      </w:r>
      <w:r>
        <w:rPr>
          <w:rFonts w:hint="eastAsia" w:ascii="宋体" w:hAnsi="宋体" w:cs="宋体"/>
          <w:i/>
          <w:iCs/>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i/>
          <w:iCs/>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i/>
          <w:iCs/>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iCs/>
          <w:sz w:val="24"/>
          <w:highlight w:val="none"/>
          <w:u w:val="single"/>
        </w:rPr>
        <w:t xml:space="preserve">（招标文件中明确的所属行业）</w:t>
      </w:r>
      <w:r>
        <w:rPr>
          <w:rFonts w:hint="eastAsia" w:ascii="宋体" w:hAnsi="宋体" w:cs="宋体"/>
          <w:sz w:val="24"/>
          <w:highlight w:val="none"/>
        </w:rPr>
        <w:t xml:space="preserve">行业；承接企业为（</w:t>
      </w:r>
      <w:r>
        <w:rPr>
          <w:rFonts w:hint="eastAsia" w:ascii="宋体" w:hAnsi="宋体" w:cs="宋体"/>
          <w:i/>
          <w:iCs/>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i/>
          <w:iCs/>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 </w:t>
      </w:r>
      <w:r/>
    </w:p>
    <w:p>
      <w:pPr>
        <w:ind w:right="960" w:firstLine="2880"/>
        <w:spacing w:line="50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p>
    <w:p>
      <w:pPr>
        <w:ind w:right="960" w:firstLine="4080"/>
        <w:spacing w:line="500" w:lineRule="exact"/>
        <w:rPr>
          <w:rFonts w:hint="eastAsia" w:ascii="宋体" w:hAnsi="宋体" w:cs="宋体"/>
          <w:sz w:val="24"/>
          <w:highlight w:val="none"/>
        </w:rPr>
      </w:pPr>
      <w:r>
        <w:rPr>
          <w:rFonts w:hint="eastAsia" w:ascii="宋体" w:hAnsi="宋体" w:cs="宋体"/>
          <w:sz w:val="24"/>
          <w:highlight w:val="none"/>
        </w:rPr>
        <w:t xml:space="preserve">日  期：</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备注1：从业人员、营业收入、资产总额填报上一年度数据，无上一年度数据的新成立企业可不填报。</w:t>
      </w:r>
      <w:r/>
    </w:p>
    <w:p>
      <w:pPr>
        <w:ind w:firstLine="480"/>
        <w:spacing w:line="500" w:lineRule="exact"/>
        <w:rPr>
          <w:rFonts w:hint="eastAsia" w:ascii="宋体" w:hAnsi="宋体" w:cs="宋体"/>
          <w:i/>
          <w:sz w:val="32"/>
          <w:szCs w:val="32"/>
          <w:highlight w:val="none"/>
          <w:u w:val="single"/>
        </w:rPr>
      </w:pPr>
      <w:r>
        <w:rPr>
          <w:rFonts w:hint="eastAsia" w:ascii="宋体" w:hAnsi="宋体" w:cs="宋体"/>
          <w:sz w:val="24"/>
          <w:highlight w:val="none"/>
        </w:rPr>
        <w:t xml:space="preserve">备注2：供应商如不提供此声明函，价格将不做相应扣除（如项目全面面向中小企业，则资格审查不通过）。</w:t>
      </w:r>
      <w:r/>
    </w:p>
    <w:p>
      <w:pPr>
        <w:widowControl/>
        <w:rPr>
          <w:rFonts w:hint="eastAsia" w:ascii="宋体" w:hAnsi="宋体" w:cs="宋体"/>
          <w:i/>
          <w:sz w:val="32"/>
          <w:szCs w:val="32"/>
          <w:highlight w:val="none"/>
        </w:rPr>
      </w:pPr>
      <w:r>
        <w:rPr>
          <w:rFonts w:hint="eastAsia" w:ascii="宋体" w:hAnsi="宋体" w:cs="宋体"/>
          <w:i/>
          <w:sz w:val="32"/>
          <w:szCs w:val="32"/>
          <w:highlight w:val="none"/>
        </w:rPr>
        <w:br w:type="page" w:clear="all"/>
      </w:r>
      <w:r/>
    </w:p>
    <w:p>
      <w:pPr>
        <w:pStyle w:val="912"/>
        <w:ind w:firstLine="6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十、</w:t>
      </w:r>
      <w:bookmarkStart w:id="183" w:name="OLE_LINK18"/>
      <w:r>
        <w:rPr>
          <w:rFonts w:hint="eastAsia" w:ascii="宋体" w:hAnsi="宋体" w:cs="宋体"/>
          <w:i/>
          <w:sz w:val="32"/>
          <w:szCs w:val="32"/>
          <w:highlight w:val="none"/>
          <w:u w:val="single"/>
        </w:rPr>
        <w:t xml:space="preserve">残疾人福利性单位</w:t>
      </w:r>
      <w:bookmarkEnd w:id="183"/>
      <w:r>
        <w:rPr>
          <w:rFonts w:hint="eastAsia" w:ascii="宋体" w:hAnsi="宋体" w:cs="宋体"/>
          <w:i/>
          <w:sz w:val="32"/>
          <w:szCs w:val="32"/>
          <w:highlight w:val="none"/>
          <w:u w:val="single"/>
        </w:rPr>
        <w:t xml:space="preserve">声明函</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0"/>
          <w:highlight w:val="none"/>
          <w:u w:val="single"/>
        </w:rPr>
        <w:t xml:space="preserve">   （采购人）        </w:t>
      </w:r>
      <w:r>
        <w:rPr>
          <w:rFonts w:hint="eastAsia" w:ascii="宋体" w:hAnsi="宋体" w:cs="宋体"/>
          <w:sz w:val="24"/>
          <w:szCs w:val="24"/>
          <w:highlight w:val="none"/>
        </w:rPr>
        <w:t xml:space="preserve">单位的招标文件编号为</w:t>
      </w:r>
      <w:r>
        <w:rPr>
          <w:rFonts w:hint="eastAsia" w:ascii="宋体" w:hAnsi="宋体" w:cs="宋体"/>
          <w:sz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采购活动由本单位提供服务。</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备注：1、供应商如不提供此声明函，价格将不做相应扣除</w:t>
      </w:r>
      <w:r>
        <w:rPr>
          <w:rFonts w:hint="eastAsia" w:ascii="宋体" w:hAnsi="宋体" w:cs="宋体"/>
          <w:sz w:val="24"/>
          <w:highlight w:val="none"/>
        </w:rPr>
        <w:t xml:space="preserve">（如项目全面面向中小企业，则资格审查不通过）</w:t>
      </w:r>
      <w:r>
        <w:rPr>
          <w:rFonts w:hint="eastAsia" w:ascii="宋体" w:hAnsi="宋体" w:cs="宋体"/>
          <w:sz w:val="24"/>
          <w:szCs w:val="24"/>
          <w:highlight w:val="none"/>
        </w:rPr>
        <w:t xml:space="preserve">。2、中标人为残疾人福利单位的，此声明函将随中标结果同时公告，接受社会监督</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企业名称（加盖CA电子公章）：</w:t>
      </w:r>
      <w:r/>
    </w:p>
    <w:p>
      <w:pPr>
        <w:ind w:firstLine="2880"/>
        <w:rPr>
          <w:rFonts w:hint="eastAsia" w:ascii="宋体" w:hAnsi="宋体" w:cs="宋体"/>
          <w:sz w:val="24"/>
          <w:szCs w:val="24"/>
          <w:highlight w:val="none"/>
        </w:rPr>
      </w:pPr>
      <w:r>
        <w:rPr>
          <w:rFonts w:hint="eastAsia" w:ascii="宋体" w:hAnsi="宋体" w:cs="宋体"/>
          <w:sz w:val="24"/>
          <w:szCs w:val="24"/>
          <w:highlight w:val="none"/>
        </w:rPr>
        <w:t xml:space="preserve">                          日  期：</w:t>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t xml:space="preserve">十一、关于符合本国产品标准的声明函（如有）</w:t>
      </w:r>
      <w:r/>
    </w:p>
    <w:p>
      <w:pPr>
        <w:pStyle w:val="744"/>
        <w:ind w:firstLine="420"/>
        <w:jc w:val="both"/>
        <w:spacing w:before="0" w:beforeAutospacing="0" w:after="0" w:afterAutospacing="0"/>
        <w:widowControl w:val="off"/>
        <w:rPr>
          <w:rFonts w:hint="eastAsia"/>
          <w:highlight w:val="none"/>
        </w:rPr>
      </w:pPr>
      <w:r>
        <w:rPr>
          <w:rFonts w:ascii="Arial" w:hAnsi="Arial" w:cs="Arial"/>
          <w:szCs w:val="24"/>
          <w:highlight w:val="none"/>
        </w:rPr>
        <w:t xml:space="preserve"> </w:t>
      </w:r>
      <w:r/>
    </w:p>
    <w:p>
      <w:pPr>
        <w:pStyle w:val="744"/>
        <w:ind w:firstLine="420"/>
        <w:jc w:val="both"/>
        <w:spacing w:before="0" w:beforeAutospacing="0" w:after="0" w:afterAutospacing="0"/>
        <w:widowControl w:val="off"/>
        <w:rPr>
          <w:rFonts w:hint="eastAsia"/>
          <w:highlight w:val="none"/>
        </w:rPr>
      </w:pPr>
      <w:r>
        <w:rPr>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4"/>
        <w:ind w:firstLine="420"/>
        <w:jc w:val="both"/>
        <w:spacing w:before="30" w:beforeAutospacing="0" w:after="30" w:afterAutospacing="0"/>
        <w:widowControl w:val="off"/>
        <w:rPr>
          <w:rFonts w:hint="eastAsia"/>
          <w:highlight w:val="none"/>
        </w:rPr>
      </w:pPr>
      <w:r>
        <w:rPr>
          <w:szCs w:val="24"/>
          <w:highlight w:val="none"/>
          <w:shd w:val="clear" w:color="auto" w:fill="ffffff"/>
        </w:rPr>
        <w:t xml:space="preserve">1.</w:t>
      </w:r>
      <w:r>
        <w:rPr>
          <w:szCs w:val="24"/>
          <w:highlight w:val="none"/>
          <w:u w:val="single"/>
          <w:shd w:val="clear" w:color="auto" w:fill="ffffff"/>
        </w:rPr>
        <w:t xml:space="preserve">（产品名称1）</w:t>
      </w:r>
      <w:r>
        <w:rPr>
          <w:szCs w:val="24"/>
          <w:highlight w:val="none"/>
          <w:shd w:val="clear" w:color="auto" w:fill="ffffff"/>
          <w:vertAlign w:val="superscript"/>
        </w:rPr>
        <w:t xml:space="preserve">1</w:t>
      </w:r>
      <w:r>
        <w:rPr>
          <w:szCs w:val="24"/>
          <w:highlight w:val="none"/>
          <w:shd w:val="clear" w:color="auto" w:fill="ffffff"/>
        </w:rPr>
        <w:t xml:space="preserve">，生产厂为</w:t>
      </w:r>
      <w:r>
        <w:rPr>
          <w:szCs w:val="24"/>
          <w:highlight w:val="none"/>
          <w:u w:val="single"/>
          <w:shd w:val="clear" w:color="auto" w:fill="ffffff"/>
        </w:rPr>
        <w:t xml:space="preserve">（厂名）</w:t>
      </w:r>
      <w:r>
        <w:rPr>
          <w:szCs w:val="24"/>
          <w:highlight w:val="none"/>
          <w:shd w:val="clear" w:color="auto" w:fill="ffffff"/>
          <w:vertAlign w:val="superscript"/>
        </w:rPr>
        <w:t xml:space="preserve">2</w:t>
      </w:r>
      <w:r>
        <w:rPr>
          <w:szCs w:val="24"/>
          <w:highlight w:val="none"/>
          <w:shd w:val="clear" w:color="auto" w:fill="ffffff"/>
        </w:rPr>
        <w:t xml:space="preserve">，厂址为</w:t>
      </w:r>
      <w:r>
        <w:rPr>
          <w:szCs w:val="24"/>
          <w:highlight w:val="none"/>
          <w:u w:val="single"/>
          <w:shd w:val="clear" w:color="auto" w:fill="ffffff"/>
        </w:rPr>
        <w:t xml:space="preserve">（生产厂址）</w:t>
      </w:r>
      <w:r>
        <w:rPr>
          <w:szCs w:val="24"/>
          <w:highlight w:val="none"/>
          <w:shd w:val="clear" w:color="auto" w:fill="ffffff"/>
        </w:rPr>
        <w:t xml:space="preserve">。</w:t>
      </w:r>
      <w:r>
        <w:rPr>
          <w:strike/>
          <w:szCs w:val="24"/>
          <w:highlight w:val="none"/>
          <w:u w:val="single"/>
          <w:shd w:val="clear" w:color="auto" w:fill="ffffff"/>
        </w:rPr>
        <w:t xml:space="preserve"> （产品名称1）</w:t>
      </w:r>
      <w:r>
        <w:rPr>
          <w:szCs w:val="24"/>
          <w:highlight w:val="none"/>
          <w:u w:val="single"/>
          <w:shd w:val="clear" w:color="auto" w:fill="ffffff"/>
        </w:rPr>
        <w:t xml:space="preserve"> </w:t>
      </w:r>
      <w:r>
        <w:rPr>
          <w:szCs w:val="24"/>
          <w:highlight w:val="none"/>
          <w:shd w:val="clear" w:color="auto" w:fill="ffffff"/>
        </w:rPr>
        <w:t xml:space="preserve">的中国境内生产的组件成本占比≥</w:t>
      </w:r>
      <w:r>
        <w:rPr>
          <w:strike/>
          <w:szCs w:val="24"/>
          <w:highlight w:val="none"/>
          <w:u w:val="single"/>
          <w:shd w:val="clear" w:color="auto" w:fill="ffffff"/>
        </w:rPr>
        <w:t xml:space="preserve">（规定比例）</w:t>
      </w:r>
      <w:r>
        <w:rPr>
          <w:strike/>
          <w:szCs w:val="24"/>
          <w:highlight w:val="none"/>
          <w:shd w:val="clear" w:color="auto" w:fill="ffffff"/>
          <w:vertAlign w:val="superscript"/>
        </w:rPr>
        <w:t xml:space="preserve">3</w:t>
      </w:r>
      <w:r>
        <w:rPr>
          <w:szCs w:val="24"/>
          <w:highlight w:val="none"/>
          <w:shd w:val="clear" w:color="auto" w:fill="ffffff"/>
        </w:rPr>
        <w:t xml:space="preserve">。</w:t>
      </w:r>
      <w:r>
        <w:rPr>
          <w:strike/>
          <w:szCs w:val="24"/>
          <w:highlight w:val="none"/>
          <w:u w:val="single"/>
          <w:shd w:val="clear" w:color="auto" w:fill="ffffff"/>
        </w:rPr>
        <w:t xml:space="preserve">（产品名称1）</w:t>
      </w:r>
      <w:r>
        <w:rPr>
          <w:szCs w:val="24"/>
          <w:highlight w:val="none"/>
          <w:shd w:val="clear" w:color="auto" w:fill="ffffff"/>
        </w:rPr>
        <w:t xml:space="preserve">的</w:t>
      </w:r>
      <w:r>
        <w:rPr>
          <w:strike/>
          <w:szCs w:val="24"/>
          <w:highlight w:val="none"/>
          <w:u w:val="single"/>
          <w:shd w:val="clear" w:color="auto" w:fill="ffffff"/>
        </w:rPr>
        <w:t xml:space="preserve">（关键组件）</w:t>
      </w:r>
      <w:r>
        <w:rPr>
          <w:strike/>
          <w:szCs w:val="24"/>
          <w:highlight w:val="none"/>
          <w:shd w:val="clear" w:color="auto" w:fill="ffffff"/>
          <w:vertAlign w:val="superscript"/>
        </w:rPr>
        <w:t xml:space="preserve">4</w:t>
      </w:r>
      <w:r>
        <w:rPr>
          <w:szCs w:val="24"/>
          <w:highlight w:val="none"/>
          <w:shd w:val="clear" w:color="auto" w:fill="ffffff"/>
        </w:rPr>
        <w:t xml:space="preserve">在中国境内生产。</w:t>
      </w:r>
      <w:r>
        <w:rPr>
          <w:strike/>
          <w:szCs w:val="24"/>
          <w:highlight w:val="none"/>
          <w:u w:val="single"/>
          <w:shd w:val="clear" w:color="auto" w:fill="ffffff"/>
        </w:rPr>
        <w:t xml:space="preserve">（产品名称1）</w:t>
      </w:r>
      <w:r>
        <w:rPr>
          <w:szCs w:val="24"/>
          <w:highlight w:val="none"/>
          <w:shd w:val="clear" w:color="auto" w:fill="ffffff"/>
        </w:rPr>
        <w:t xml:space="preserve">的</w:t>
      </w:r>
      <w:r>
        <w:rPr>
          <w:strike/>
          <w:szCs w:val="24"/>
          <w:highlight w:val="none"/>
          <w:u w:val="single"/>
          <w:shd w:val="clear" w:color="auto" w:fill="ffffff"/>
        </w:rPr>
        <w:t xml:space="preserve">（关键工序）</w:t>
      </w:r>
      <w:r>
        <w:rPr>
          <w:strike/>
          <w:szCs w:val="24"/>
          <w:highlight w:val="none"/>
          <w:shd w:val="clear" w:color="auto" w:fill="ffffff"/>
          <w:vertAlign w:val="superscript"/>
        </w:rPr>
        <w:t xml:space="preserve">5</w:t>
      </w:r>
      <w:r>
        <w:rPr>
          <w:szCs w:val="24"/>
          <w:highlight w:val="none"/>
          <w:shd w:val="clear" w:color="auto" w:fill="ffffff"/>
        </w:rPr>
        <w:t xml:space="preserve">在中国境内完成。</w:t>
      </w:r>
      <w:r/>
    </w:p>
    <w:p>
      <w:pPr>
        <w:pStyle w:val="744"/>
        <w:ind w:firstLine="420"/>
        <w:jc w:val="both"/>
        <w:spacing w:before="30" w:beforeAutospacing="0" w:after="30" w:afterAutospacing="0"/>
        <w:widowControl w:val="off"/>
        <w:rPr>
          <w:rFonts w:hint="eastAsia"/>
          <w:highlight w:val="none"/>
        </w:rPr>
      </w:pPr>
      <w:r>
        <w:rPr>
          <w:szCs w:val="24"/>
          <w:highlight w:val="none"/>
          <w:shd w:val="clear" w:color="auto" w:fill="ffffff"/>
        </w:rPr>
        <w:t xml:space="preserve">2.</w:t>
      </w:r>
      <w:r>
        <w:rPr>
          <w:szCs w:val="24"/>
          <w:highlight w:val="none"/>
          <w:u w:val="single"/>
          <w:shd w:val="clear" w:color="auto" w:fill="ffffff"/>
        </w:rPr>
        <w:t xml:space="preserve">（产品名称2）</w:t>
      </w:r>
      <w:r>
        <w:rPr>
          <w:szCs w:val="24"/>
          <w:highlight w:val="none"/>
          <w:shd w:val="clear" w:color="auto" w:fill="ffffff"/>
        </w:rPr>
        <w:t xml:space="preserve">，生产厂为</w:t>
      </w:r>
      <w:r>
        <w:rPr>
          <w:szCs w:val="24"/>
          <w:highlight w:val="none"/>
          <w:u w:val="single"/>
          <w:shd w:val="clear" w:color="auto" w:fill="ffffff"/>
        </w:rPr>
        <w:t xml:space="preserve">（厂名）</w:t>
      </w:r>
      <w:r>
        <w:rPr>
          <w:szCs w:val="24"/>
          <w:highlight w:val="none"/>
          <w:shd w:val="clear" w:color="auto" w:fill="ffffff"/>
        </w:rPr>
        <w:t xml:space="preserve">，厂址为</w:t>
      </w:r>
      <w:r>
        <w:rPr>
          <w:szCs w:val="24"/>
          <w:highlight w:val="none"/>
          <w:u w:val="single"/>
          <w:shd w:val="clear" w:color="auto" w:fill="ffffff"/>
        </w:rPr>
        <w:t xml:space="preserve">（生产厂址）</w:t>
      </w:r>
      <w:r>
        <w:rPr>
          <w:szCs w:val="24"/>
          <w:highlight w:val="none"/>
          <w:shd w:val="clear" w:color="auto" w:fill="ffffff"/>
        </w:rPr>
        <w:t xml:space="preserve">。</w:t>
      </w:r>
      <w:r>
        <w:rPr>
          <w:strike/>
          <w:szCs w:val="24"/>
          <w:highlight w:val="none"/>
          <w:u w:val="single"/>
          <w:shd w:val="clear" w:color="auto" w:fill="ffffff"/>
        </w:rPr>
        <w:t xml:space="preserve">（产品名称2）</w:t>
      </w:r>
      <w:r>
        <w:rPr>
          <w:szCs w:val="24"/>
          <w:highlight w:val="none"/>
          <w:shd w:val="clear" w:color="auto" w:fill="ffffff"/>
        </w:rPr>
        <w:t xml:space="preserve">的中国境内生产的组件成本占比≥</w:t>
      </w:r>
      <w:r>
        <w:rPr>
          <w:strike/>
          <w:szCs w:val="24"/>
          <w:highlight w:val="none"/>
          <w:u w:val="single"/>
          <w:shd w:val="clear" w:color="auto" w:fill="ffffff"/>
        </w:rPr>
        <w:t xml:space="preserve">（规定比例）</w:t>
      </w:r>
      <w:r>
        <w:rPr>
          <w:szCs w:val="24"/>
          <w:highlight w:val="none"/>
          <w:shd w:val="clear" w:color="auto" w:fill="ffffff"/>
        </w:rPr>
        <w:t xml:space="preserve">。</w:t>
      </w:r>
      <w:r>
        <w:rPr>
          <w:strike/>
          <w:szCs w:val="24"/>
          <w:highlight w:val="none"/>
          <w:u w:val="single"/>
          <w:shd w:val="clear" w:color="auto" w:fill="ffffff"/>
        </w:rPr>
        <w:t xml:space="preserve">（产品名称2）</w:t>
      </w:r>
      <w:r>
        <w:rPr>
          <w:szCs w:val="24"/>
          <w:highlight w:val="none"/>
          <w:shd w:val="clear" w:color="auto" w:fill="ffffff"/>
        </w:rPr>
        <w:t xml:space="preserve">的</w:t>
      </w:r>
      <w:r>
        <w:rPr>
          <w:strike/>
          <w:szCs w:val="24"/>
          <w:highlight w:val="none"/>
          <w:u w:val="single"/>
          <w:shd w:val="clear" w:color="auto" w:fill="ffffff"/>
        </w:rPr>
        <w:t xml:space="preserve">（关键组件）</w:t>
      </w:r>
      <w:r>
        <w:rPr>
          <w:szCs w:val="24"/>
          <w:highlight w:val="none"/>
          <w:shd w:val="clear" w:color="auto" w:fill="ffffff"/>
        </w:rPr>
        <w:t xml:space="preserve">在中国境内生产。</w:t>
      </w:r>
      <w:r>
        <w:rPr>
          <w:strike/>
          <w:szCs w:val="24"/>
          <w:highlight w:val="none"/>
          <w:u w:val="single"/>
          <w:shd w:val="clear" w:color="auto" w:fill="ffffff"/>
        </w:rPr>
        <w:t xml:space="preserve">（产品名称1）</w:t>
      </w:r>
      <w:r>
        <w:rPr>
          <w:szCs w:val="24"/>
          <w:highlight w:val="none"/>
          <w:shd w:val="clear" w:color="auto" w:fill="ffffff"/>
        </w:rPr>
        <w:t xml:space="preserve">的</w:t>
      </w:r>
      <w:r>
        <w:rPr>
          <w:strike/>
          <w:szCs w:val="24"/>
          <w:highlight w:val="none"/>
          <w:u w:val="single"/>
          <w:shd w:val="clear" w:color="auto" w:fill="ffffff"/>
        </w:rPr>
        <w:t xml:space="preserve">（关键工序）</w:t>
      </w:r>
      <w:r>
        <w:rPr>
          <w:szCs w:val="24"/>
          <w:highlight w:val="none"/>
          <w:shd w:val="clear" w:color="auto" w:fill="ffffff"/>
        </w:rPr>
        <w:t xml:space="preserve">在中国境内完成。</w:t>
      </w:r>
      <w:r/>
    </w:p>
    <w:p>
      <w:pPr>
        <w:pStyle w:val="744"/>
        <w:ind w:firstLine="420"/>
        <w:jc w:val="both"/>
        <w:spacing w:before="30" w:beforeAutospacing="0" w:after="30" w:afterAutospacing="0"/>
        <w:widowControl w:val="off"/>
        <w:rPr>
          <w:rFonts w:hint="eastAsia"/>
          <w:highlight w:val="none"/>
        </w:rPr>
      </w:pPr>
      <w:r>
        <w:rPr>
          <w:szCs w:val="24"/>
          <w:highlight w:val="none"/>
          <w:shd w:val="clear" w:color="auto" w:fill="ffffff"/>
        </w:rPr>
        <w:t xml:space="preserve">……</w:t>
      </w:r>
      <w:r/>
    </w:p>
    <w:p>
      <w:pPr>
        <w:pStyle w:val="744"/>
        <w:ind w:firstLine="420"/>
        <w:jc w:val="both"/>
        <w:spacing w:before="30" w:beforeAutospacing="0" w:after="30" w:afterAutospacing="0"/>
        <w:widowControl w:val="off"/>
        <w:rPr>
          <w:rFonts w:hint="eastAsia"/>
          <w:highlight w:val="none"/>
        </w:rPr>
      </w:pPr>
      <w:r>
        <w:rPr>
          <w:szCs w:val="24"/>
          <w:highlight w:val="none"/>
          <w:shd w:val="clear" w:color="auto" w:fill="ffffff"/>
        </w:rPr>
        <w:t xml:space="preserve">本公司（单位）对上述声明内容的真实性负责。如有虚假，愿承担相应法律责任。</w:t>
      </w:r>
      <w:r/>
    </w:p>
    <w:p>
      <w:pPr>
        <w:pStyle w:val="744"/>
        <w:jc w:val="both"/>
        <w:spacing w:before="30" w:beforeAutospacing="0" w:after="30" w:afterAutospacing="0"/>
        <w:widowControl w:val="off"/>
        <w:rPr>
          <w:rFonts w:hint="eastAsia"/>
          <w:highlight w:val="none"/>
        </w:rPr>
      </w:pPr>
      <w:r>
        <w:rPr>
          <w:szCs w:val="24"/>
          <w:highlight w:val="none"/>
        </w:rPr>
        <w:t xml:space="preserve"> </w:t>
      </w:r>
      <w:r/>
    </w:p>
    <w:p>
      <w:pPr>
        <w:pStyle w:val="744"/>
        <w:ind w:right="480" w:firstLine="3720"/>
        <w:jc w:val="both"/>
        <w:spacing w:before="30" w:beforeAutospacing="0" w:after="30" w:afterAutospacing="0"/>
        <w:widowControl w:val="off"/>
        <w:rPr>
          <w:rFonts w:hint="eastAsia"/>
          <w:highlight w:val="none"/>
        </w:rPr>
      </w:pPr>
      <w:r>
        <w:rPr>
          <w:szCs w:val="24"/>
          <w:highlight w:val="none"/>
          <w:shd w:val="clear" w:color="auto" w:fill="ffffff"/>
        </w:rPr>
        <w:t xml:space="preserve">公司（单位）名称（盖章）：　</w:t>
      </w:r>
      <w:r/>
    </w:p>
    <w:p>
      <w:pPr>
        <w:pStyle w:val="744"/>
        <w:jc w:val="center"/>
        <w:spacing w:before="30" w:beforeAutospacing="0" w:after="30" w:afterAutospacing="0"/>
        <w:widowControl w:val="off"/>
        <w:rPr>
          <w:rFonts w:hint="eastAsia"/>
          <w:highlight w:val="none"/>
        </w:rPr>
      </w:pPr>
      <w:r>
        <w:rPr>
          <w:szCs w:val="24"/>
          <w:highlight w:val="none"/>
          <w:shd w:val="clear" w:color="auto" w:fill="ffffff"/>
        </w:rPr>
        <w:t xml:space="preserve">                                日期：　   年　  月　  日         </w:t>
      </w:r>
      <w:r/>
    </w:p>
    <w:p>
      <w:pPr>
        <w:pStyle w:val="744"/>
        <w:jc w:val="both"/>
        <w:spacing w:before="30" w:beforeAutospacing="0" w:after="30" w:afterAutospacing="0"/>
        <w:widowControl w:val="off"/>
        <w:rPr>
          <w:rFonts w:hint="eastAsia"/>
          <w:highlight w:val="none"/>
        </w:rPr>
      </w:pPr>
      <w:r>
        <w:rPr>
          <w:szCs w:val="24"/>
          <w:highlight w:val="none"/>
          <w:shd w:val="clear" w:color="auto" w:fill="ffffff"/>
        </w:rPr>
        <w:t xml:space="preserve">__________________</w:t>
      </w:r>
      <w:r/>
    </w:p>
    <w:p>
      <w:pPr>
        <w:pStyle w:val="744"/>
        <w:jc w:val="both"/>
        <w:spacing w:before="30" w:beforeAutospacing="0" w:after="30" w:afterAutospacing="0"/>
        <w:widowControl w:val="off"/>
        <w:rPr>
          <w:rFonts w:hint="eastAsia"/>
          <w:highlight w:val="none"/>
        </w:rPr>
      </w:pPr>
      <w:r>
        <w:rPr>
          <w:szCs w:val="24"/>
          <w:highlight w:val="none"/>
          <w:shd w:val="clear" w:color="auto" w:fill="ffffff"/>
        </w:rPr>
        <w:t xml:space="preserve">1.产品如有型号，请在“产品名称”栏一并填写。</w:t>
      </w:r>
      <w:r/>
    </w:p>
    <w:p>
      <w:pPr>
        <w:pStyle w:val="744"/>
        <w:jc w:val="both"/>
        <w:spacing w:before="30" w:beforeAutospacing="0" w:after="30" w:afterAutospacing="0"/>
        <w:widowControl w:val="off"/>
        <w:rPr>
          <w:rFonts w:hint="eastAsia"/>
          <w:highlight w:val="none"/>
        </w:rPr>
      </w:pPr>
      <w:r>
        <w:rPr>
          <w:szCs w:val="24"/>
          <w:highlight w:val="none"/>
          <w:shd w:val="clear" w:color="auto" w:fill="ffffff"/>
        </w:rPr>
        <w:t xml:space="preserve">2.生产厂名与厂址应与生产厂营业执照载明的相关信息保持一致。</w:t>
      </w:r>
      <w:r/>
    </w:p>
    <w:p>
      <w:pPr>
        <w:pStyle w:val="744"/>
        <w:jc w:val="both"/>
        <w:spacing w:before="30" w:beforeAutospacing="0" w:after="30" w:afterAutospacing="0"/>
        <w:widowControl w:val="off"/>
        <w:rPr>
          <w:rFonts w:hint="eastAsia"/>
          <w:highlight w:val="none"/>
        </w:rPr>
      </w:pPr>
      <w:r>
        <w:rPr>
          <w:szCs w:val="24"/>
          <w:highlight w:val="none"/>
          <w:shd w:val="clear" w:color="auto" w:fill="ffffff"/>
        </w:rPr>
        <w:t xml:space="preserve">3.该产品的中国境内生产的组件成本占比相关要求实施前，“规定比例”栏可不填，下同。</w:t>
      </w:r>
      <w:r/>
    </w:p>
    <w:p>
      <w:pPr>
        <w:pStyle w:val="744"/>
        <w:jc w:val="both"/>
        <w:spacing w:before="30" w:beforeAutospacing="0" w:after="30" w:afterAutospacing="0"/>
        <w:widowControl w:val="off"/>
        <w:rPr>
          <w:rFonts w:hint="eastAsia"/>
          <w:highlight w:val="none"/>
        </w:rPr>
      </w:pPr>
      <w:r>
        <w:rPr>
          <w:szCs w:val="24"/>
          <w:highlight w:val="none"/>
          <w:shd w:val="clear" w:color="auto" w:fill="ffffff"/>
        </w:rPr>
        <w:t xml:space="preserve">4.该产品的关键组件要求实施前，“关键组件”栏可不填，下同。</w:t>
      </w:r>
      <w:r/>
    </w:p>
    <w:p>
      <w:pPr>
        <w:pStyle w:val="744"/>
        <w:jc w:val="both"/>
        <w:spacing w:before="30" w:beforeAutospacing="0" w:after="30" w:afterAutospacing="0"/>
        <w:widowControl w:val="off"/>
        <w:rPr>
          <w:rFonts w:hint="eastAsia"/>
          <w:highlight w:val="none"/>
        </w:rPr>
      </w:pPr>
      <w:r>
        <w:rPr>
          <w:szCs w:val="24"/>
          <w:highlight w:val="none"/>
          <w:shd w:val="clear" w:color="auto" w:fill="ffffff"/>
        </w:rPr>
        <w:t xml:space="preserve">5.该产品的关键工序要求实施前，“关键工序”栏可不填，下同。</w:t>
      </w:r>
      <w:r/>
    </w:p>
    <w:p>
      <w:pPr>
        <w:pStyle w:val="744"/>
        <w:jc w:val="both"/>
        <w:spacing w:before="30" w:beforeAutospacing="0" w:after="30" w:afterAutospacing="0"/>
        <w:widowControl w:val="off"/>
        <w:rPr>
          <w:rFonts w:hint="eastAsia"/>
          <w:highlight w:val="none"/>
        </w:rPr>
      </w:pPr>
      <w:r>
        <w:rPr>
          <w:szCs w:val="24"/>
          <w:highlight w:val="none"/>
          <w:shd w:val="clear" w:color="auto" w:fill="ffffff"/>
        </w:rPr>
        <w:t xml:space="preserve">6.用</w:t>
      </w:r>
      <w:r>
        <w:rPr>
          <w:rFonts w:hint="eastAsia"/>
          <w:szCs w:val="24"/>
          <w:highlight w:val="none"/>
          <w:shd w:val="clear" w:color="auto" w:fill="ffffff"/>
        </w:rPr>
        <w:t xml:space="preserve">横</w:t>
      </w:r>
      <w:r>
        <w:rPr>
          <w:szCs w:val="24"/>
          <w:highlight w:val="none"/>
          <w:shd w:val="clear" w:color="auto" w:fill="ffffff"/>
        </w:rPr>
        <w:t xml:space="preserve">线划除的地方无需填写。</w:t>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744"/>
        <w:jc w:val="center"/>
        <w:spacing w:beforeAutospacing="0" w:afterAutospacing="0"/>
        <w:rPr>
          <w:rFonts w:hint="eastAsia"/>
          <w:iCs/>
          <w:sz w:val="32"/>
          <w:szCs w:val="32"/>
          <w:highlight w:val="none"/>
        </w:rPr>
      </w:pPr>
      <w:r>
        <w:rPr>
          <w:rFonts w:hint="eastAsia"/>
          <w:iCs/>
          <w:sz w:val="32"/>
          <w:szCs w:val="32"/>
          <w:highlight w:val="none"/>
        </w:rPr>
        <w:t xml:space="preserve">十二、联合体协议（参考格式）（如有）</w:t>
      </w:r>
      <w:r/>
    </w:p>
    <w:p>
      <w:pPr>
        <w:pStyle w:val="744"/>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（联合体中各供应商全称）在此达成以下协议：</w:t>
      </w:r>
      <w:r/>
    </w:p>
    <w:p>
      <w:pPr>
        <w:pStyle w:val="744"/>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1、我们</w:t>
      </w:r>
      <w:r>
        <w:rPr>
          <w:rFonts w:hint="eastAsia"/>
          <w:iCs/>
          <w:szCs w:val="24"/>
          <w:highlight w:val="none"/>
          <w:u w:val="single"/>
        </w:rPr>
        <w:t xml:space="preserve"> （供应商1），（供应商2），……</w:t>
      </w:r>
      <w:r>
        <w:rPr>
          <w:rFonts w:hint="eastAsia"/>
          <w:iCs/>
          <w:szCs w:val="24"/>
          <w:highlight w:val="none"/>
        </w:rPr>
        <w:t xml:space="preserve">自愿组成联合体，参加盐城市政府采购中心组织的采购编号为</w:t>
      </w:r>
      <w:r>
        <w:rPr>
          <w:rFonts w:hint="eastAsia"/>
          <w:iCs/>
          <w:szCs w:val="24"/>
          <w:highlight w:val="none"/>
          <w:u w:val="single"/>
        </w:rPr>
        <w:t xml:space="preserve">（编号全称），（项目全称）</w:t>
      </w:r>
      <w:r>
        <w:rPr>
          <w:rFonts w:hint="eastAsia"/>
          <w:iCs/>
          <w:szCs w:val="24"/>
          <w:highlight w:val="none"/>
        </w:rPr>
        <w:t xml:space="preserve">项目（分包号：**）的政府采购活动，我联合体指定</w:t>
      </w:r>
      <w:r>
        <w:rPr>
          <w:rFonts w:hint="eastAsia"/>
          <w:iCs/>
          <w:szCs w:val="24"/>
          <w:highlight w:val="none"/>
          <w:u w:val="single"/>
        </w:rPr>
        <w:t xml:space="preserve">（供应商*）</w:t>
      </w:r>
      <w:r>
        <w:rPr>
          <w:rFonts w:hint="eastAsia"/>
          <w:iCs/>
          <w:szCs w:val="24"/>
          <w:highlight w:val="none"/>
        </w:rPr>
        <w:t xml:space="preserve">为牵头单位（牵头单位必须为联合体成员）。</w:t>
      </w:r>
      <w:r/>
    </w:p>
    <w:p>
      <w:pPr>
        <w:pStyle w:val="744"/>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44"/>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3、其中</w:t>
      </w:r>
      <w:r>
        <w:rPr>
          <w:rFonts w:hint="eastAsia"/>
          <w:iCs/>
          <w:szCs w:val="24"/>
          <w:highlight w:val="none"/>
          <w:u w:val="single"/>
        </w:rPr>
        <w:t xml:space="preserve">      </w:t>
      </w:r>
      <w:r>
        <w:rPr>
          <w:rFonts w:hint="eastAsia"/>
          <w:iCs/>
          <w:szCs w:val="24"/>
          <w:highlight w:val="none"/>
        </w:rPr>
        <w:t xml:space="preserve">（小型、微型企业/残疾人福利性单位/监狱企业全称）为</w:t>
      </w:r>
      <w:r>
        <w:rPr>
          <w:rFonts w:hint="eastAsia"/>
          <w:iCs/>
          <w:szCs w:val="24"/>
          <w:highlight w:val="none"/>
          <w:u w:val="single"/>
        </w:rPr>
        <w:t xml:space="preserve">    </w:t>
      </w:r>
      <w:r>
        <w:rPr>
          <w:rFonts w:hint="eastAsia"/>
          <w:iCs/>
          <w:szCs w:val="24"/>
          <w:highlight w:val="none"/>
        </w:rPr>
        <w:t xml:space="preserve">（小型、微型企业/残疾人福利性单位/监狱企业）企业，且我们约定该公司/单位所承担的合同金额将占本项目合同总金额的</w:t>
      </w:r>
      <w:r>
        <w:rPr>
          <w:rFonts w:hint="eastAsia"/>
          <w:iCs/>
          <w:szCs w:val="24"/>
          <w:highlight w:val="none"/>
          <w:u w:val="single"/>
        </w:rPr>
        <w:t xml:space="preserve">  </w:t>
      </w:r>
      <w:r>
        <w:rPr>
          <w:rFonts w:hint="eastAsia"/>
          <w:iCs/>
          <w:szCs w:val="24"/>
          <w:highlight w:val="none"/>
        </w:rPr>
        <w:t xml:space="preserve">%。</w:t>
      </w:r>
      <w:r/>
    </w:p>
    <w:p>
      <w:pPr>
        <w:pStyle w:val="744"/>
        <w:ind w:firstLine="480"/>
        <w:jc w:val="both"/>
        <w:spacing w:before="0" w:beforeAutospacing="0" w:after="0" w:afterAutospacing="0" w:line="360" w:lineRule="exact"/>
        <w:rPr>
          <w:rFonts w:hint="eastAsia"/>
          <w:iCs/>
          <w:szCs w:val="24"/>
          <w:highlight w:val="none"/>
        </w:rPr>
      </w:pPr>
      <w:r>
        <w:rPr>
          <w:iCs/>
          <w:szCs w:val="24"/>
          <w:highlight w:val="none"/>
        </w:rPr>
        <w:t xml:space="preserve"> </w:t>
      </w:r>
      <w:r/>
    </w:p>
    <w:p>
      <w:pPr>
        <w:pStyle w:val="744"/>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备注：本招标文件中要求加盖CA电子签章的地方，仅需加盖牵头单位的CA电子签章。</w:t>
      </w:r>
      <w:r/>
    </w:p>
    <w:p>
      <w:pPr>
        <w:pStyle w:val="744"/>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                               </w:t>
      </w:r>
      <w:r/>
    </w:p>
    <w:p>
      <w:pPr>
        <w:pStyle w:val="744"/>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联合体中各供应商全称（公章）：     </w:t>
      </w:r>
      <w:r/>
    </w:p>
    <w:p>
      <w:pPr>
        <w:pStyle w:val="744"/>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                 日期：</w:t>
      </w:r>
      <w:r/>
    </w:p>
    <w:p>
      <w:pPr>
        <w:pStyle w:val="744"/>
        <w:ind w:firstLine="420"/>
        <w:spacing w:before="0" w:beforeAutospacing="0" w:after="0" w:afterAutospacing="0" w:line="360" w:lineRule="exact"/>
        <w:rPr>
          <w:rFonts w:hint="eastAsia"/>
          <w:iCs/>
          <w:sz w:val="21"/>
          <w:szCs w:val="21"/>
          <w:highlight w:val="none"/>
        </w:rPr>
      </w:pPr>
      <w:r>
        <w:rPr>
          <w:iCs/>
          <w:sz w:val="21"/>
          <w:szCs w:val="21"/>
          <w:highlight w:val="none"/>
        </w:rPr>
        <w:t xml:space="preserve"> </w:t>
      </w:r>
      <w:r/>
    </w:p>
    <w:p>
      <w:pPr>
        <w:pStyle w:val="744"/>
        <w:jc w:val="center"/>
        <w:spacing w:beforeAutospacing="0" w:afterAutospacing="0"/>
        <w:rPr>
          <w:rFonts w:hint="eastAsia"/>
          <w:iCs/>
          <w:sz w:val="32"/>
          <w:szCs w:val="32"/>
          <w:highlight w:val="none"/>
        </w:rPr>
      </w:pPr>
      <w:r>
        <w:rPr>
          <w:iCs/>
          <w:sz w:val="32"/>
          <w:szCs w:val="32"/>
          <w:highlight w:val="none"/>
        </w:rPr>
        <w:t xml:space="preserve"> </w:t>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rFonts w:hint="eastAsia"/>
          <w:iCs/>
          <w:sz w:val="32"/>
          <w:szCs w:val="32"/>
          <w:highlight w:val="none"/>
        </w:rPr>
      </w:r>
      <w:r/>
    </w:p>
    <w:p>
      <w:pPr>
        <w:pStyle w:val="744"/>
        <w:jc w:val="center"/>
        <w:spacing w:beforeAutospacing="0" w:afterAutospacing="0"/>
        <w:rPr>
          <w:rFonts w:hint="eastAsia"/>
          <w:iCs/>
          <w:sz w:val="32"/>
          <w:szCs w:val="32"/>
          <w:highlight w:val="none"/>
        </w:rPr>
      </w:pPr>
      <w:r>
        <w:rPr>
          <w:iCs/>
          <w:sz w:val="32"/>
          <w:szCs w:val="32"/>
          <w:highlight w:val="none"/>
        </w:rPr>
        <w:t xml:space="preserve"> </w:t>
      </w:r>
      <w:r/>
    </w:p>
    <w:p>
      <w:pPr>
        <w:pStyle w:val="744"/>
        <w:jc w:val="center"/>
        <w:spacing w:beforeAutospacing="0" w:afterAutospacing="0"/>
        <w:rPr>
          <w:rFonts w:hint="eastAsia"/>
          <w:iCs/>
          <w:sz w:val="32"/>
          <w:szCs w:val="32"/>
          <w:highlight w:val="none"/>
        </w:rPr>
      </w:pPr>
      <w:r>
        <w:rPr>
          <w:iCs/>
          <w:sz w:val="32"/>
          <w:szCs w:val="32"/>
          <w:highlight w:val="none"/>
        </w:rPr>
        <w:t xml:space="preserve"> </w:t>
      </w:r>
      <w:r/>
    </w:p>
    <w:p>
      <w:pPr>
        <w:pStyle w:val="744"/>
        <w:jc w:val="center"/>
        <w:spacing w:beforeAutospacing="0" w:afterAutospacing="0"/>
        <w:rPr>
          <w:rFonts w:hint="eastAsia"/>
          <w:highlight w:val="none"/>
        </w:rPr>
      </w:pPr>
      <w:r>
        <w:rPr>
          <w:rFonts w:hint="eastAsia"/>
          <w:iCs/>
          <w:sz w:val="32"/>
          <w:szCs w:val="32"/>
          <w:highlight w:val="none"/>
        </w:rPr>
        <w:t xml:space="preserve">十三、投标分项报价表</w:t>
      </w:r>
      <w:r/>
    </w:p>
    <w:tbl>
      <w:tblPr>
        <w:tblStyle w:val="722"/>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分项</w:t>
            </w:r>
            <w:r/>
          </w:p>
          <w:p>
            <w:pPr>
              <w:pStyle w:val="744"/>
              <w:jc w:val="center"/>
              <w:spacing w:beforeAutospacing="0" w:afterAutospacing="0" w:line="0" w:lineRule="atLeast"/>
              <w:rPr>
                <w:rFonts w:hint="eastAsia"/>
                <w:highlight w:val="none"/>
              </w:rPr>
            </w:pPr>
            <w:r>
              <w:rPr>
                <w:rFonts w:hint="eastAsia"/>
                <w:color w:val="000000"/>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分项</w:t>
            </w:r>
            <w:r/>
          </w:p>
          <w:p>
            <w:pPr>
              <w:pStyle w:val="744"/>
              <w:jc w:val="center"/>
              <w:spacing w:beforeAutospacing="0" w:afterAutospacing="0" w:line="0" w:lineRule="atLeast"/>
              <w:rPr>
                <w:rFonts w:hint="eastAsia"/>
                <w:highlight w:val="none"/>
              </w:rPr>
            </w:pPr>
            <w:r>
              <w:rPr>
                <w:rFonts w:hint="eastAsia"/>
                <w:color w:val="000000"/>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4"/>
              <w:jc w:val="center"/>
              <w:spacing w:beforeAutospacing="0" w:afterAutospacing="0" w:line="0" w:lineRule="atLeast"/>
              <w:rPr>
                <w:rFonts w:hint="eastAsia"/>
                <w:highlight w:val="none"/>
              </w:rPr>
            </w:pPr>
            <w:r>
              <w:rPr>
                <w:highlight w:val="none"/>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44"/>
              <w:jc w:val="center"/>
              <w:spacing w:beforeAutospacing="0" w:afterAutospacing="0" w:line="0" w:lineRule="atLeast"/>
              <w:rPr>
                <w:rFonts w:hint="eastAsia"/>
                <w:highlight w:val="none"/>
              </w:rPr>
            </w:pPr>
            <w:r>
              <w:rPr>
                <w:rFonts w:hint="eastAsia"/>
                <w:color w:val="000000"/>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4"/>
              <w:jc w:val="both"/>
              <w:spacing w:beforeAutospacing="0" w:afterAutospacing="0" w:line="0" w:lineRule="atLeast"/>
              <w:rPr>
                <w:rFonts w:hint="eastAsia"/>
                <w:highlight w:val="none"/>
              </w:rPr>
            </w:pPr>
            <w:r>
              <w:rPr>
                <w:highlight w:val="none"/>
              </w:rPr>
              <w:t xml:space="preserve"> </w:t>
            </w:r>
            <w:r/>
          </w:p>
        </w:tc>
      </w:tr>
    </w:tbl>
    <w:p>
      <w:pPr>
        <w:pStyle w:val="744"/>
        <w:ind w:firstLine="480"/>
        <w:jc w:val="both"/>
        <w:spacing w:beforeAutospacing="0" w:afterAutospacing="0" w:line="0" w:lineRule="atLeast"/>
        <w:rPr>
          <w:rFonts w:hint="eastAsia"/>
          <w:color w:val="000000"/>
          <w:highlight w:val="none"/>
        </w:rPr>
      </w:pPr>
      <w:r>
        <w:rPr>
          <w:rFonts w:hint="eastAsia"/>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Cs/>
          <w:sz w:val="24"/>
          <w:szCs w:val="24"/>
          <w:highlight w:val="none"/>
        </w:rPr>
      </w:pPr>
      <w:r>
        <w:rPr>
          <w:rFonts w:hint="eastAsia" w:ascii="宋体" w:hAnsi="宋体" w:cs="宋体"/>
          <w:iCs/>
          <w:sz w:val="32"/>
          <w:szCs w:val="32"/>
          <w:highlight w:val="none"/>
        </w:rPr>
        <w:t xml:space="preserve">十四、技术要求响应及偏离表</w:t>
      </w:r>
      <w:r/>
    </w:p>
    <w:tbl>
      <w:tblPr>
        <w:tblStyle w:val="722"/>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1991"/>
        <w:gridCol w:w="2160"/>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1"/>
              <w:ind w:firstLine="480"/>
              <w:spacing w:line="500" w:lineRule="exact"/>
              <w:rPr>
                <w:rFonts w:hint="eastAsia"/>
                <w:szCs w:val="24"/>
                <w:highlight w:val="none"/>
              </w:rPr>
            </w:pPr>
            <w:r>
              <w:rPr>
                <w:rFonts w:hint="eastAsia"/>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1"/>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1"/>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11"/>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1"/>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1"/>
              <w:ind w:firstLine="480"/>
              <w:jc w:val="center"/>
              <w:spacing w:line="500" w:lineRule="exact"/>
              <w:rPr>
                <w:rFonts w:hint="eastAsia"/>
                <w:szCs w:val="24"/>
                <w:highlight w:val="none"/>
              </w:rPr>
            </w:pPr>
            <w:r>
              <w:rPr>
                <w:rFonts w:hint="eastAsia"/>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r>
      <w:tr>
        <w:trPr>
          <w:jc w:val="center"/>
          <w:tblCellSpacing w:w="0" w:type="dxa"/>
          <w:trHeight w:val="87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1"/>
              <w:ind w:firstLine="480"/>
              <w:spacing w:line="500" w:lineRule="exact"/>
              <w:rPr>
                <w:rFonts w:hint="eastAsia"/>
                <w:highlight w:val="none"/>
              </w:rPr>
            </w:pPr>
            <w:r>
              <w:rPr>
                <w:rFonts w:hint="eastAsia"/>
                <w:highlight w:val="none"/>
              </w:rPr>
              <w:t xml:space="preserve"> </w:t>
            </w:r>
            <w:r/>
          </w:p>
        </w:tc>
      </w:tr>
    </w:tbl>
    <w:p>
      <w:pPr>
        <w:pStyle w:val="911"/>
        <w:ind w:firstLine="480"/>
        <w:rPr>
          <w:rFonts w:hint="eastAsia"/>
          <w:highlight w:val="none"/>
        </w:rPr>
      </w:pPr>
      <w:r>
        <w:rPr>
          <w:rFonts w:hint="eastAsia"/>
          <w:highlight w:val="none"/>
        </w:rPr>
        <w:t xml:space="preserve">注： 行数不够，可自行添加。</w:t>
      </w:r>
      <w:r/>
    </w:p>
    <w:p>
      <w:pPr>
        <w:pStyle w:val="911"/>
        <w:ind w:firstLine="480"/>
        <w:rPr>
          <w:rFonts w:hint="eastAsia"/>
          <w:highlight w:val="none"/>
        </w:rPr>
      </w:pPr>
      <w:r>
        <w:rPr>
          <w:rFonts w:hint="eastAsia"/>
          <w:highlight w:val="none"/>
        </w:rPr>
        <w:t xml:space="preserve"> </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80"/>
        <w:jc w:val="center"/>
        <w:rPr>
          <w:rFonts w:hint="eastAsia" w:ascii="宋体" w:hAnsi="宋体" w:cs="宋体"/>
          <w:iCs/>
          <w:sz w:val="24"/>
          <w:highlight w:val="none"/>
        </w:rPr>
      </w:pPr>
      <w:r>
        <w:rPr>
          <w:rFonts w:hint="eastAsia" w:ascii="宋体" w:hAnsi="宋体" w:cs="宋体"/>
          <w:iCs/>
          <w:sz w:val="32"/>
          <w:szCs w:val="32"/>
          <w:highlight w:val="none"/>
        </w:rPr>
        <w:t xml:space="preserve">十五、商务要求响应及偏离表</w:t>
      </w:r>
      <w:r/>
    </w:p>
    <w:tbl>
      <w:tblPr>
        <w:tblStyle w:val="722"/>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jc w:val="center"/>
              <w:spacing w:line="500" w:lineRule="exact"/>
              <w:rPr>
                <w:rFonts w:hint="eastAsia"/>
                <w:szCs w:val="24"/>
                <w:highlight w:val="none"/>
              </w:rPr>
            </w:pPr>
            <w:r>
              <w:rPr>
                <w:rFonts w:hint="eastAsia"/>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11"/>
              <w:ind w:firstLine="480"/>
              <w:rPr>
                <w:rFonts w:hint="eastAsia"/>
                <w:highlight w:val="none"/>
              </w:rPr>
            </w:pPr>
            <w:r>
              <w:rPr>
                <w:rFonts w:hint="eastAsia"/>
                <w:highlight w:val="none"/>
              </w:rPr>
              <w:t xml:space="preserve"> </w:t>
            </w:r>
            <w:r/>
          </w:p>
        </w:tc>
      </w:tr>
    </w:tbl>
    <w:p>
      <w:pPr>
        <w:pStyle w:val="911"/>
        <w:ind w:firstLine="480"/>
        <w:rPr>
          <w:rFonts w:hint="eastAsia"/>
          <w:highlight w:val="none"/>
        </w:rPr>
      </w:pPr>
      <w:r>
        <w:rPr>
          <w:rFonts w:hint="eastAsia"/>
          <w:highlight w:val="none"/>
        </w:rPr>
        <w:t xml:space="preserve">注：行数不够，可自行添加。</w:t>
      </w:r>
      <w:r/>
    </w:p>
    <w:p>
      <w:pPr>
        <w:pStyle w:val="911"/>
        <w:ind w:firstLine="480"/>
        <w:rPr>
          <w:rFonts w:hint="eastAsia"/>
          <w:highlight w:val="none"/>
        </w:rPr>
      </w:pPr>
      <w:r>
        <w:rPr>
          <w:rFonts w:hint="eastAsia"/>
          <w:highlight w:val="none"/>
        </w:rPr>
        <w:t xml:space="preserve"> </w:t>
      </w:r>
      <w:r/>
    </w:p>
    <w:p>
      <w:pPr>
        <w:pStyle w:val="911"/>
        <w:ind w:firstLine="480"/>
        <w:rPr>
          <w:rFonts w:hint="eastAsia"/>
          <w:highlight w:val="none"/>
        </w:rPr>
      </w:pPr>
      <w:r>
        <w:rPr>
          <w:rFonts w:hint="eastAsia"/>
          <w:highlight w:val="none"/>
        </w:rPr>
      </w:r>
      <w:r/>
    </w:p>
    <w:p>
      <w:pPr>
        <w:pStyle w:val="911"/>
        <w:ind w:firstLine="480"/>
        <w:rPr>
          <w:rFonts w:hint="eastAsia"/>
          <w:highlight w:val="none"/>
        </w:rPr>
      </w:pPr>
      <w:r>
        <w:rPr>
          <w:rFonts w:hint="eastAsia"/>
          <w:highlight w:val="none"/>
        </w:rPr>
      </w:r>
      <w:r/>
    </w:p>
    <w:p>
      <w:pPr>
        <w:pStyle w:val="911"/>
        <w:ind w:firstLine="480"/>
        <w:rPr>
          <w:rFonts w:hint="eastAsia"/>
          <w:highlight w:val="none"/>
        </w:rPr>
      </w:pPr>
      <w:r>
        <w:rPr>
          <w:rFonts w:hint="eastAsia"/>
          <w:highlight w:val="none"/>
        </w:rPr>
      </w:r>
      <w:r/>
    </w:p>
    <w:p>
      <w:pPr>
        <w:pStyle w:val="911"/>
        <w:ind w:firstLine="480"/>
        <w:rPr>
          <w:rFonts w:hint="eastAsia"/>
          <w:highlight w:val="none"/>
        </w:rPr>
      </w:pPr>
      <w:r>
        <w:rPr>
          <w:rFonts w:hint="eastAsia"/>
          <w:highlight w:val="none"/>
        </w:rPr>
      </w:r>
      <w:r/>
    </w:p>
    <w:p>
      <w:pPr>
        <w:pStyle w:val="911"/>
        <w:ind w:firstLine="480"/>
        <w:rPr>
          <w:rFonts w:hint="eastAsia"/>
          <w:highlight w:val="none"/>
        </w:rPr>
      </w:pPr>
      <w:r>
        <w:rPr>
          <w:rFonts w:hint="eastAsia"/>
          <w:highlight w:val="none"/>
        </w:rPr>
      </w:r>
      <w:r/>
    </w:p>
    <w:p>
      <w:pPr>
        <w:pStyle w:val="911"/>
        <w:ind w:firstLine="480"/>
        <w:rPr>
          <w:rFonts w:hint="eastAsia"/>
          <w:highlight w:val="none"/>
        </w:rPr>
      </w:pPr>
      <w:r>
        <w:rPr>
          <w:rFonts w:hint="eastAsia"/>
          <w:highlight w:val="none"/>
        </w:rPr>
      </w:r>
      <w:r/>
    </w:p>
    <w:p>
      <w:pPr>
        <w:pStyle w:val="911"/>
        <w:ind w:firstLine="480"/>
        <w:rPr>
          <w:rFonts w:hint="eastAsia"/>
          <w:highlight w:val="none"/>
        </w:rPr>
      </w:pPr>
      <w:r>
        <w:rPr>
          <w:rFonts w:hint="eastAsia"/>
          <w:highlight w:val="none"/>
        </w:rPr>
      </w:r>
      <w:r/>
    </w:p>
    <w:p>
      <w:pPr>
        <w:ind w:firstLine="442"/>
        <w:jc w:val="center"/>
        <w:rPr>
          <w:rFonts w:hint="eastAsia" w:ascii="宋体" w:hAnsi="宋体" w:cs="宋体"/>
          <w:iCs/>
          <w:sz w:val="32"/>
          <w:szCs w:val="32"/>
          <w:highlight w:val="none"/>
        </w:rPr>
      </w:pPr>
      <w:r>
        <w:rPr>
          <w:rFonts w:hint="eastAsia" w:ascii="宋体" w:hAnsi="宋体" w:cs="宋体"/>
          <w:iCs/>
          <w:sz w:val="32"/>
          <w:szCs w:val="32"/>
          <w:highlight w:val="none"/>
        </w:rPr>
        <w:t xml:space="preserve">十六、开标一览表</w:t>
      </w:r>
      <w:r/>
    </w:p>
    <w:p>
      <w:pPr>
        <w:pStyle w:val="744"/>
        <w:ind w:firstLine="480"/>
        <w:jc w:val="both"/>
        <w:spacing w:beforeAutospacing="0" w:afterAutospacing="0"/>
        <w:rPr>
          <w:rFonts w:hint="eastAsia"/>
          <w:highlight w:val="none"/>
        </w:rPr>
      </w:pPr>
      <w:r>
        <w:rPr>
          <w:rFonts w:hint="eastAsia"/>
          <w:highlight w:val="none"/>
        </w:rPr>
        <w:t xml:space="preserve">投标人全称（加盖CA电子签章）：</w:t>
      </w:r>
      <w:r/>
    </w:p>
    <w:p>
      <w:pPr>
        <w:pStyle w:val="744"/>
        <w:ind w:firstLine="480"/>
        <w:jc w:val="both"/>
        <w:spacing w:beforeAutospacing="0" w:afterAutospacing="0"/>
        <w:rPr>
          <w:rFonts w:hint="eastAsia"/>
          <w:highlight w:val="none"/>
        </w:rPr>
      </w:pPr>
      <w:r>
        <w:rPr>
          <w:rFonts w:hint="eastAsia"/>
          <w:highlight w:val="none"/>
        </w:rPr>
        <w:t xml:space="preserve">项目名称：</w:t>
      </w:r>
      <w:r/>
    </w:p>
    <w:p>
      <w:pPr>
        <w:pStyle w:val="744"/>
        <w:ind w:firstLine="480"/>
        <w:jc w:val="both"/>
        <w:spacing w:beforeAutospacing="0" w:afterAutospacing="0"/>
        <w:rPr>
          <w:rFonts w:hint="eastAsia"/>
          <w:highlight w:val="none"/>
        </w:rPr>
      </w:pPr>
      <w:r>
        <w:rPr>
          <w:rFonts w:hint="eastAsia"/>
          <w:highlight w:val="none"/>
        </w:rPr>
        <w:t xml:space="preserve">项目编号：</w:t>
      </w:r>
      <w:r/>
    </w:p>
    <w:tbl>
      <w:tblPr>
        <w:tblStyle w:val="72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44"/>
              <w:jc w:val="center"/>
              <w:spacing w:beforeAutospacing="0" w:afterAutospacing="0"/>
              <w:rPr>
                <w:rFonts w:hint="eastAsia"/>
                <w:highlight w:val="none"/>
              </w:rPr>
            </w:pPr>
            <w:r>
              <w:rPr>
                <w:rFonts w:hint="eastAsia"/>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44"/>
              <w:spacing w:beforeAutospacing="0" w:afterAutospacing="0" w:line="0" w:lineRule="atLeast"/>
              <w:rPr>
                <w:rFonts w:hint="eastAsia"/>
                <w:highlight w:val="none"/>
              </w:rPr>
            </w:pPr>
            <w:r>
              <w:rPr>
                <w:rFonts w:hint="eastAsia"/>
                <w:highlight w:val="none"/>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44"/>
              <w:spacing w:beforeAutospacing="0" w:afterAutospacing="0" w:line="0" w:lineRule="atLeast"/>
              <w:rPr>
                <w:rFonts w:hint="eastAsia"/>
                <w:highlight w:val="none"/>
              </w:rPr>
            </w:pPr>
            <w:r>
              <w:rPr>
                <w:rFonts w:hint="eastAsia"/>
                <w:highlight w:val="none"/>
              </w:rPr>
              <w:t xml:space="preserve">小写：                       （人民币：元）</w:t>
            </w:r>
            <w:r/>
          </w:p>
        </w:tc>
      </w:tr>
    </w:tbl>
    <w:p>
      <w:pPr>
        <w:pStyle w:val="744"/>
        <w:jc w:val="both"/>
        <w:spacing w:beforeAutospacing="0" w:afterAutospacing="0"/>
        <w:rPr>
          <w:rFonts w:hint="eastAsia"/>
          <w:highlight w:val="none"/>
        </w:rPr>
      </w:pPr>
      <w:r>
        <w:rPr>
          <w:highlight w:val="none"/>
        </w:rPr>
        <w:t xml:space="preserve"> </w:t>
      </w:r>
      <w:r/>
    </w:p>
    <w:p>
      <w:pPr>
        <w:pStyle w:val="744"/>
        <w:ind w:firstLine="480"/>
        <w:jc w:val="both"/>
        <w:spacing w:beforeAutospacing="0" w:afterAutospacing="0"/>
        <w:rPr>
          <w:rFonts w:hint="eastAsia"/>
          <w:highlight w:val="none"/>
        </w:rPr>
      </w:pPr>
      <w:r>
        <w:rPr>
          <w:rFonts w:hint="eastAsia"/>
          <w:highlight w:val="none"/>
        </w:rPr>
        <w:t xml:space="preserve">                                              日期：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744"/>
        <w:ind w:firstLine="480"/>
        <w:jc w:val="both"/>
        <w:spacing w:beforeAutospacing="0" w:afterAutospacing="0"/>
        <w:rPr>
          <w:rFonts w:hint="eastAsia"/>
          <w:highlight w:val="none"/>
        </w:rPr>
      </w:pPr>
      <w:r>
        <w:rPr>
          <w:highlight w:val="none"/>
        </w:rPr>
        <w:t xml:space="preserve"> </w:t>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ind w:firstLine="420"/>
        <w:spacing w:beforeAutospacing="0" w:afterAutospacing="0" w:line="360" w:lineRule="exact"/>
        <w:rPr>
          <w:rFonts w:hint="eastAsia" w:asciiTheme="minorEastAsia" w:hAnsiTheme="minorEastAsia"/>
          <w:b/>
          <w:sz w:val="21"/>
          <w:szCs w:val="21"/>
          <w:highlight w:val="none"/>
        </w:rPr>
      </w:pPr>
      <w:r>
        <w:rPr>
          <w:rFonts w:hint="eastAsia" w:asciiTheme="minorEastAsia" w:hAnsiTheme="minorEastAsia"/>
          <w:b/>
          <w:sz w:val="21"/>
          <w:szCs w:val="21"/>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44"/>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jc w:val="center"/>
        <w:rPr>
          <w:rFonts w:hint="eastAsia" w:ascii="宋体" w:hAnsi="宋体" w:cs="宋体"/>
          <w:iCs/>
          <w:sz w:val="32"/>
          <w:szCs w:val="32"/>
          <w:highlight w:val="none"/>
        </w:rPr>
      </w:pPr>
      <w:r>
        <w:rPr>
          <w:rFonts w:hint="eastAsia" w:ascii="宋体" w:hAnsi="宋体" w:cs="宋体"/>
          <w:iCs/>
          <w:sz w:val="32"/>
          <w:szCs w:val="32"/>
          <w:highlight w:val="none"/>
        </w:rPr>
        <w:t xml:space="preserve">十七、技术方案、服务承诺、培训承诺等</w:t>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11"/>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11"/>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11"/>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11"/>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11"/>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11"/>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11"/>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pStyle w:val="911"/>
        <w:ind w:firstLine="480"/>
        <w:spacing w:beforeAutospacing="0" w:afterAutospacing="0"/>
        <w:rPr>
          <w:rFonts w:hint="eastAsia"/>
          <w:b/>
          <w:i/>
          <w:szCs w:val="24"/>
          <w:highlight w:val="none"/>
          <w:u w:val="single"/>
        </w:rPr>
      </w:pPr>
      <w:r>
        <w:rPr>
          <w:rFonts w:hint="eastAsia"/>
          <w:b/>
          <w:i/>
          <w:szCs w:val="24"/>
          <w:highlight w:val="none"/>
          <w:u w:val="single"/>
        </w:rPr>
      </w:r>
      <w:r/>
    </w:p>
    <w:p>
      <w:pPr>
        <w:jc w:val="center"/>
        <w:spacing w:line="499" w:lineRule="atLeast"/>
        <w:widowControl/>
        <w:rPr>
          <w:rFonts w:hint="eastAsia" w:ascii="宋体" w:hAnsi="宋体" w:cs="宋体"/>
          <w:iCs/>
          <w:sz w:val="32"/>
          <w:szCs w:val="32"/>
          <w:highlight w:val="none"/>
        </w:rPr>
      </w:pPr>
      <w:r/>
      <w:bookmarkStart w:id="184" w:name="_Hlt26955054"/>
      <w:r/>
      <w:bookmarkEnd w:id="184"/>
      <w:r>
        <w:rPr>
          <w:rFonts w:hint="eastAsia" w:ascii="宋体" w:hAnsi="宋体" w:cs="宋体"/>
          <w:iCs/>
          <w:sz w:val="32"/>
          <w:szCs w:val="32"/>
          <w:highlight w:val="none"/>
        </w:rPr>
        <w:t xml:space="preserve">十八、盐城市政府采购事前信用承诺书</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（六）自觉接受政府、行业组织、社会公众、新闻的监督；</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法定代表人签名：</w:t>
      </w:r>
      <w:r/>
    </w:p>
    <w:p>
      <w:pPr>
        <w:ind w:firstLine="3120"/>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单位名称（盖章）：</w:t>
      </w:r>
      <w:r/>
    </w:p>
    <w:p>
      <w:pPr>
        <w:jc w:val="center"/>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日期：     年  月  日</w:t>
      </w:r>
      <w:r/>
    </w:p>
    <w:p>
      <w:pPr>
        <w:ind w:right="960" w:firstLine="4080"/>
        <w:spacing w:line="500" w:lineRule="exact"/>
        <w:widowControl/>
        <w:rPr>
          <w:rFonts w:hint="eastAsia" w:ascii="宋体" w:hAnsi="宋体" w:cs="宋体"/>
          <w:sz w:val="24"/>
          <w:highlight w:val="none"/>
        </w:rPr>
      </w:pPr>
      <w:r>
        <w:rPr>
          <w:rFonts w:hint="eastAsia" w:ascii="宋体" w:hAnsi="宋体" w:cs="宋体"/>
          <w:b/>
          <w:bCs/>
          <w:sz w:val="32"/>
          <w:szCs w:val="32"/>
          <w:highlight w:val="none"/>
        </w:rPr>
        <w:br w:type="page" w:clear="all"/>
      </w:r>
      <w:r/>
    </w:p>
    <w:p>
      <w:pPr>
        <w:pStyle w:val="905"/>
        <w:jc w:val="center"/>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t xml:space="preserve">质疑函范本</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一、质疑供应商基本信息</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质疑供应商：</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p>
    <w:p>
      <w:pPr>
        <w:pStyle w:val="905"/>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地址：</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邮编：</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p>
    <w:p>
      <w:pPr>
        <w:pStyle w:val="905"/>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联系人：</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联系电话：</w:t>
      </w:r>
      <w:r>
        <w:rPr>
          <w:rFonts w:hint="eastAsia" w:ascii="宋体" w:hAnsi="宋体" w:cs="宋体"/>
          <w:bCs/>
          <w:szCs w:val="24"/>
          <w:highlight w:val="none"/>
          <w:u w:val="single"/>
        </w:rPr>
        <w:t xml:space="preserve">                                </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授权代表：</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联系电话：</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05"/>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地址： </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邮编：</w:t>
      </w:r>
      <w:r>
        <w:rPr>
          <w:rFonts w:hint="eastAsia" w:ascii="宋体" w:hAnsi="宋体" w:cs="宋体"/>
          <w:bCs/>
          <w:szCs w:val="24"/>
          <w:highlight w:val="none"/>
          <w:u w:val="single"/>
        </w:rPr>
        <w:t xml:space="preserve">                         </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二、质疑项目基本情况</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质疑项目的名称：</w:t>
      </w:r>
      <w:r>
        <w:rPr>
          <w:rFonts w:hint="eastAsia" w:ascii="宋体" w:hAnsi="宋体" w:cs="宋体"/>
          <w:bCs/>
          <w:szCs w:val="24"/>
          <w:highlight w:val="none"/>
          <w:u w:val="single"/>
        </w:rPr>
        <w:t xml:space="preserve">                      </w:t>
      </w:r>
      <w:r/>
    </w:p>
    <w:p>
      <w:pPr>
        <w:pStyle w:val="905"/>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质疑项目的编号：</w:t>
      </w:r>
      <w:r>
        <w:rPr>
          <w:rFonts w:hint="eastAsia" w:ascii="宋体" w:hAnsi="宋体" w:cs="宋体"/>
          <w:bCs/>
          <w:szCs w:val="24"/>
          <w:highlight w:val="none"/>
          <w:u w:val="single"/>
        </w:rPr>
        <w:t xml:space="preserve">                     </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包号：</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采购人名称：</w:t>
      </w:r>
      <w:r>
        <w:rPr>
          <w:rFonts w:hint="eastAsia" w:ascii="宋体" w:hAnsi="宋体" w:cs="宋体"/>
          <w:bCs/>
          <w:szCs w:val="24"/>
          <w:highlight w:val="none"/>
          <w:u w:val="single"/>
        </w:rPr>
        <w:t xml:space="preserve">                      </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招标文件获取日期：</w:t>
      </w:r>
      <w:r>
        <w:rPr>
          <w:rFonts w:hint="eastAsia" w:ascii="宋体" w:hAnsi="宋体" w:cs="宋体"/>
          <w:bCs/>
          <w:szCs w:val="24"/>
          <w:highlight w:val="none"/>
          <w:u w:val="single"/>
        </w:rPr>
        <w:t xml:space="preserve">                        </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三、质疑事项具体内容</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质疑事项1：</w:t>
      </w:r>
      <w:r>
        <w:rPr>
          <w:rFonts w:hint="eastAsia" w:ascii="宋体" w:hAnsi="宋体" w:cs="宋体"/>
          <w:bCs/>
          <w:szCs w:val="24"/>
          <w:highlight w:val="none"/>
          <w:u w:val="single"/>
        </w:rPr>
        <w:t xml:space="preserve">                      </w:t>
      </w:r>
      <w:r/>
    </w:p>
    <w:p>
      <w:pPr>
        <w:pStyle w:val="905"/>
        <w:ind w:firstLine="480"/>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事实依据：</w:t>
      </w:r>
      <w:r>
        <w:rPr>
          <w:rFonts w:hint="eastAsia" w:ascii="宋体" w:hAnsi="宋体" w:cs="宋体"/>
          <w:bCs/>
          <w:szCs w:val="24"/>
          <w:highlight w:val="none"/>
          <w:u w:val="single"/>
        </w:rPr>
        <w:t xml:space="preserve">                                        </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法律依据：</w:t>
      </w:r>
      <w:r>
        <w:rPr>
          <w:rFonts w:hint="eastAsia" w:ascii="宋体" w:hAnsi="宋体" w:cs="宋体"/>
          <w:bCs/>
          <w:szCs w:val="24"/>
          <w:highlight w:val="none"/>
          <w:u w:val="single"/>
        </w:rPr>
        <w:t xml:space="preserve">                                          </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质疑事项2</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四、与质疑事项相关的质疑请求</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请求：</w:t>
      </w:r>
      <w:r>
        <w:rPr>
          <w:rFonts w:hint="eastAsia" w:ascii="宋体" w:hAnsi="宋体" w:cs="宋体"/>
          <w:bCs/>
          <w:szCs w:val="24"/>
          <w:highlight w:val="none"/>
          <w:u w:val="single"/>
        </w:rPr>
        <w:t xml:space="preserve">                                               </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签字(签章)：                 公章：               日期：</w:t>
      </w:r>
      <w:r/>
    </w:p>
    <w:p>
      <w:pPr>
        <w:pStyle w:val="90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质疑函制作说明：</w:t>
      </w:r>
      <w:r/>
    </w:p>
    <w:p>
      <w:pPr>
        <w:pStyle w:val="90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1.供应商提出质疑时，应提交质疑函和必要的证明材料。</w:t>
      </w:r>
      <w:r/>
    </w:p>
    <w:p>
      <w:pPr>
        <w:pStyle w:val="90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3.质疑供应商若对项目的某一分包进行质疑，质疑函中应列明具体分包号。</w:t>
      </w:r>
      <w:r/>
    </w:p>
    <w:p>
      <w:pPr>
        <w:pStyle w:val="90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4.质疑函的质疑事项应具体、明确，并有必要的事实依据和法律依据。</w:t>
      </w:r>
      <w:r/>
    </w:p>
    <w:p>
      <w:pPr>
        <w:pStyle w:val="90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5.质疑函的质疑请求应与质疑事项相关。</w:t>
      </w:r>
      <w:r/>
    </w:p>
    <w:p>
      <w:pPr>
        <w:pStyle w:val="90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7" w:h="16840" w:orient="portrait"/>
      <w:pgMar w:top="1457" w:right="1418" w:bottom="1457" w:left="1418" w:header="1134" w:footer="113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方正黑体_GBK">
    <w:panose1 w:val="020B0503020202020204"/>
  </w:font>
  <w:font w:name="楷体_GB2312">
    <w:panose1 w:val="02010609060101010101"/>
  </w:font>
  <w:font w:name="Symbol">
    <w:panose1 w:val="05050102010706020507"/>
  </w:font>
  <w:font w:name="MiSans Bold">
    <w:panose1 w:val="020B0503020202020204"/>
  </w:font>
  <w:font w:name="MiSans">
    <w:panose1 w:val="020B050302020202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222293"/>
      <w:rPr/>
    </w:sdtPr>
    <w:sdtContent>
      <w:sdt>
        <w:sdtPr>
          <w15:appearance w15:val="boundingBox"/>
          <w:id w:val="1728636285"/>
          <w:rPr/>
        </w:sdtPr>
        <w:sdtContent>
          <w:p>
            <w:pPr>
              <w:pStyle w:val="733"/>
              <w:jc w:val="center"/>
            </w:pPr>
            <w:r>
              <w:rPr>
                <w:rFonts w:ascii="宋体" w:hAnsi="宋体"/>
                <w:sz w:val="21"/>
                <w:szCs w:val="21"/>
                <w:lang w:val="zh-CN"/>
              </w:rPr>
              <w:t xml:space="preserve"> </w:t>
            </w:r>
            <w:r>
              <w:rPr>
                <w:rFonts w:ascii="宋体" w:hAnsi="宋体"/>
                <w:b/>
                <w:bCs/>
                <w:sz w:val="21"/>
                <w:szCs w:val="21"/>
              </w:rPr>
              <w:fldChar w:fldCharType="begin"/>
            </w:r>
            <w:r>
              <w:rPr>
                <w:rFonts w:ascii="宋体" w:hAnsi="宋体"/>
                <w:b/>
                <w:bCs/>
                <w:sz w:val="21"/>
                <w:szCs w:val="21"/>
              </w:rPr>
              <w:instrText xml:space="preserve">PAGE</w:instrText>
            </w:r>
            <w:r>
              <w:rPr>
                <w:rFonts w:ascii="宋体" w:hAnsi="宋体"/>
                <w:b/>
                <w:bCs/>
                <w:sz w:val="21"/>
                <w:szCs w:val="21"/>
              </w:rPr>
              <w:fldChar w:fldCharType="separate"/>
            </w:r>
            <w:r>
              <w:rPr>
                <w:rFonts w:ascii="宋体" w:hAnsi="宋体"/>
                <w:b/>
                <w:bCs/>
                <w:sz w:val="21"/>
                <w:szCs w:val="21"/>
              </w:rPr>
              <w:t xml:space="preserve">59</w:t>
            </w:r>
            <w:r>
              <w:rPr>
                <w:rFonts w:ascii="宋体" w:hAnsi="宋体"/>
                <w:b/>
                <w:bCs/>
                <w:sz w:val="21"/>
                <w:szCs w:val="21"/>
              </w:rPr>
              <w:fldChar w:fldCharType="end"/>
            </w:r>
            <w:r>
              <w:rPr>
                <w:rFonts w:ascii="宋体" w:hAnsi="宋体"/>
                <w:sz w:val="21"/>
                <w:szCs w:val="21"/>
                <w:lang w:val="zh-CN"/>
              </w:rPr>
              <w:t xml:space="preserve"> / </w:t>
            </w:r>
            <w:r>
              <w:rPr>
                <w:rFonts w:ascii="宋体" w:hAnsi="宋体"/>
                <w:b/>
                <w:bCs/>
                <w:sz w:val="21"/>
                <w:szCs w:val="21"/>
              </w:rPr>
              <w:fldChar w:fldCharType="begin"/>
            </w:r>
            <w:r>
              <w:rPr>
                <w:rFonts w:ascii="宋体" w:hAnsi="宋体"/>
                <w:b/>
                <w:bCs/>
                <w:sz w:val="21"/>
                <w:szCs w:val="21"/>
              </w:rPr>
              <w:instrText xml:space="preserve">NUMPAGES</w:instrText>
            </w:r>
            <w:r>
              <w:rPr>
                <w:rFonts w:ascii="宋体" w:hAnsi="宋体"/>
                <w:b/>
                <w:bCs/>
                <w:sz w:val="21"/>
                <w:szCs w:val="21"/>
              </w:rPr>
              <w:fldChar w:fldCharType="separate"/>
            </w:r>
            <w:r>
              <w:rPr>
                <w:rFonts w:ascii="宋体" w:hAnsi="宋体"/>
                <w:b/>
                <w:bCs/>
                <w:sz w:val="21"/>
                <w:szCs w:val="21"/>
              </w:rPr>
              <w:t xml:space="preserve">64</w:t>
            </w:r>
            <w:r>
              <w:rPr>
                <w:rFonts w:ascii="宋体" w:hAnsi="宋体"/>
                <w:b/>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721"/>
    <w:link w:val="712"/>
    <w:uiPriority w:val="9"/>
    <w:rPr>
      <w:rFonts w:ascii="Arial" w:hAnsi="Arial" w:eastAsia="Arial" w:cs="Arial"/>
      <w:sz w:val="40"/>
      <w:szCs w:val="40"/>
    </w:rPr>
  </w:style>
  <w:style w:type="character" w:styleId="680">
    <w:name w:val="Heading 4 Char"/>
    <w:basedOn w:val="721"/>
    <w:link w:val="715"/>
    <w:uiPriority w:val="9"/>
    <w:rPr>
      <w:rFonts w:ascii="Arial" w:hAnsi="Arial" w:eastAsia="Arial" w:cs="Arial"/>
      <w:b/>
      <w:bCs/>
      <w:sz w:val="26"/>
      <w:szCs w:val="26"/>
    </w:rPr>
  </w:style>
  <w:style w:type="character" w:styleId="681">
    <w:name w:val="Heading 5 Char"/>
    <w:basedOn w:val="721"/>
    <w:link w:val="716"/>
    <w:uiPriority w:val="9"/>
    <w:rPr>
      <w:rFonts w:ascii="Arial" w:hAnsi="Arial" w:eastAsia="Arial" w:cs="Arial"/>
      <w:b/>
      <w:bCs/>
      <w:sz w:val="24"/>
      <w:szCs w:val="24"/>
    </w:rPr>
  </w:style>
  <w:style w:type="character" w:styleId="682">
    <w:name w:val="Heading 6 Char"/>
    <w:basedOn w:val="721"/>
    <w:link w:val="717"/>
    <w:uiPriority w:val="9"/>
    <w:rPr>
      <w:rFonts w:ascii="Arial" w:hAnsi="Arial" w:eastAsia="Arial" w:cs="Arial"/>
      <w:b/>
      <w:bCs/>
      <w:sz w:val="22"/>
      <w:szCs w:val="22"/>
    </w:rPr>
  </w:style>
  <w:style w:type="character" w:styleId="683">
    <w:name w:val="Heading 7 Char"/>
    <w:basedOn w:val="721"/>
    <w:link w:val="718"/>
    <w:uiPriority w:val="9"/>
    <w:rPr>
      <w:rFonts w:ascii="Arial" w:hAnsi="Arial" w:eastAsia="Arial" w:cs="Arial"/>
      <w:b/>
      <w:bCs/>
      <w:i/>
      <w:iCs/>
      <w:sz w:val="22"/>
      <w:szCs w:val="22"/>
    </w:rPr>
  </w:style>
  <w:style w:type="character" w:styleId="684">
    <w:name w:val="Heading 8 Char"/>
    <w:basedOn w:val="721"/>
    <w:link w:val="719"/>
    <w:uiPriority w:val="9"/>
    <w:rPr>
      <w:rFonts w:ascii="Arial" w:hAnsi="Arial" w:eastAsia="Arial" w:cs="Arial"/>
      <w:i/>
      <w:iCs/>
      <w:sz w:val="22"/>
      <w:szCs w:val="22"/>
    </w:rPr>
  </w:style>
  <w:style w:type="character" w:styleId="685">
    <w:name w:val="Heading 9 Char"/>
    <w:basedOn w:val="721"/>
    <w:link w:val="720"/>
    <w:uiPriority w:val="9"/>
    <w:rPr>
      <w:rFonts w:ascii="Arial" w:hAnsi="Arial" w:eastAsia="Arial" w:cs="Arial"/>
      <w:i/>
      <w:iCs/>
      <w:sz w:val="21"/>
      <w:szCs w:val="21"/>
    </w:rPr>
  </w:style>
  <w:style w:type="character" w:styleId="686">
    <w:name w:val="Subtitle Char"/>
    <w:basedOn w:val="721"/>
    <w:link w:val="737"/>
    <w:uiPriority w:val="11"/>
    <w:rPr>
      <w:sz w:val="24"/>
      <w:szCs w:val="24"/>
    </w:rPr>
  </w:style>
  <w:style w:type="character" w:styleId="687">
    <w:name w:val="Quote Char"/>
    <w:link w:val="766"/>
    <w:uiPriority w:val="29"/>
    <w:rPr>
      <w:i/>
    </w:rPr>
  </w:style>
  <w:style w:type="character" w:styleId="688">
    <w:name w:val="Intense Quote Char"/>
    <w:link w:val="768"/>
    <w:uiPriority w:val="30"/>
    <w:rPr>
      <w:i/>
    </w:rPr>
  </w:style>
  <w:style w:type="table" w:styleId="68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8">
    <w:name w:val="Footnote Text Char"/>
    <w:link w:val="738"/>
    <w:uiPriority w:val="99"/>
    <w:rPr>
      <w:sz w:val="18"/>
    </w:rPr>
  </w:style>
  <w:style w:type="character" w:styleId="709">
    <w:name w:val="Endnote Text Char"/>
    <w:link w:val="732"/>
    <w:uiPriority w:val="99"/>
    <w:rPr>
      <w:sz w:val="20"/>
    </w:r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8"/>
      <w:szCs w:val="22"/>
      <w:lang w:val="en-US" w:eastAsia="zh-CN" w:bidi="ar-SA"/>
    </w:rPr>
  </w:style>
  <w:style w:type="paragraph" w:styleId="712">
    <w:name w:val="Heading 1"/>
    <w:basedOn w:val="711"/>
    <w:next w:val="711"/>
    <w:link w:val="754"/>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uiPriority w:val="0"/>
    <w:semiHidden/>
    <w:unhideWhenUsed/>
    <w:qFormat/>
    <w:pPr>
      <w:jc w:val="left"/>
      <w:spacing w:beforeAutospacing="1" w:afterAutospacing="1"/>
      <w:outlineLvl w:val="1"/>
    </w:pPr>
    <w:rPr>
      <w:rFonts w:hint="eastAsia" w:ascii="宋体" w:hAnsi="宋体"/>
      <w:b/>
      <w:bCs/>
      <w:sz w:val="36"/>
      <w:szCs w:val="36"/>
    </w:rPr>
  </w:style>
  <w:style w:type="paragraph" w:styleId="714">
    <w:name w:val="Heading 3"/>
    <w:basedOn w:val="711"/>
    <w:next w:val="711"/>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57"/>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5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59"/>
    <w:uiPriority w:val="9"/>
    <w:unhideWhenUsed/>
    <w:qFormat/>
    <w:pPr>
      <w:keepLines/>
      <w:keepNext/>
      <w:spacing w:before="320" w:after="200"/>
      <w:outlineLvl w:val="5"/>
    </w:pPr>
    <w:rPr>
      <w:rFonts w:ascii="Arial" w:hAnsi="Arial" w:eastAsia="Arial" w:cs="Arial"/>
      <w:b/>
      <w:bCs/>
      <w:sz w:val="22"/>
    </w:rPr>
  </w:style>
  <w:style w:type="paragraph" w:styleId="718">
    <w:name w:val="Heading 7"/>
    <w:basedOn w:val="711"/>
    <w:next w:val="711"/>
    <w:link w:val="760"/>
    <w:uiPriority w:val="9"/>
    <w:unhideWhenUsed/>
    <w:qFormat/>
    <w:pPr>
      <w:keepLines/>
      <w:keepNext/>
      <w:spacing w:before="320" w:after="200"/>
      <w:outlineLvl w:val="6"/>
    </w:pPr>
    <w:rPr>
      <w:rFonts w:ascii="Arial" w:hAnsi="Arial" w:eastAsia="Arial" w:cs="Arial"/>
      <w:b/>
      <w:bCs/>
      <w:i/>
      <w:iCs/>
      <w:sz w:val="22"/>
    </w:rPr>
  </w:style>
  <w:style w:type="paragraph" w:styleId="719">
    <w:name w:val="Heading 8"/>
    <w:basedOn w:val="711"/>
    <w:next w:val="711"/>
    <w:link w:val="761"/>
    <w:uiPriority w:val="9"/>
    <w:unhideWhenUsed/>
    <w:qFormat/>
    <w:pPr>
      <w:keepLines/>
      <w:keepNext/>
      <w:spacing w:before="320" w:after="200"/>
      <w:outlineLvl w:val="7"/>
    </w:pPr>
    <w:rPr>
      <w:rFonts w:ascii="Arial" w:hAnsi="Arial" w:eastAsia="Arial" w:cs="Arial"/>
      <w:i/>
      <w:iCs/>
      <w:sz w:val="22"/>
    </w:rPr>
  </w:style>
  <w:style w:type="paragraph" w:styleId="720">
    <w:name w:val="Heading 9"/>
    <w:basedOn w:val="711"/>
    <w:next w:val="711"/>
    <w:link w:val="762"/>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spacing w:after="57"/>
    </w:pPr>
  </w:style>
  <w:style w:type="paragraph" w:styleId="724">
    <w:name w:val="Normal Indent"/>
    <w:basedOn w:val="711"/>
    <w:link w:val="922"/>
    <w:uiPriority w:val="0"/>
    <w:qFormat/>
    <w:pPr>
      <w:ind w:firstLine="420"/>
    </w:pPr>
  </w:style>
  <w:style w:type="paragraph" w:styleId="725">
    <w:name w:val="Caption"/>
    <w:basedOn w:val="711"/>
    <w:next w:val="71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6">
    <w:name w:val="annotation text"/>
    <w:basedOn w:val="711"/>
    <w:link w:val="935"/>
    <w:uiPriority w:val="99"/>
    <w:semiHidden/>
    <w:unhideWhenUsed/>
    <w:qFormat/>
    <w:pPr>
      <w:jc w:val="left"/>
    </w:pPr>
  </w:style>
  <w:style w:type="paragraph" w:styleId="727">
    <w:name w:val="Body Text"/>
    <w:basedOn w:val="711"/>
    <w:next w:val="711"/>
    <w:link w:val="919"/>
    <w:uiPriority w:val="0"/>
    <w:qFormat/>
    <w:pPr>
      <w:spacing w:after="120"/>
    </w:pPr>
  </w:style>
  <w:style w:type="paragraph" w:styleId="728">
    <w:name w:val="toc 5"/>
    <w:basedOn w:val="711"/>
    <w:next w:val="711"/>
    <w:uiPriority w:val="39"/>
    <w:unhideWhenUsed/>
    <w:qFormat/>
    <w:pPr>
      <w:ind w:left="1134"/>
      <w:spacing w:after="57"/>
    </w:pPr>
  </w:style>
  <w:style w:type="paragraph" w:styleId="729">
    <w:name w:val="toc 3"/>
    <w:basedOn w:val="711"/>
    <w:next w:val="711"/>
    <w:uiPriority w:val="39"/>
    <w:unhideWhenUsed/>
    <w:qFormat/>
    <w:pPr>
      <w:ind w:left="567"/>
      <w:spacing w:after="57"/>
    </w:pPr>
  </w:style>
  <w:style w:type="paragraph" w:styleId="730">
    <w:name w:val="Plain Text"/>
    <w:basedOn w:val="711"/>
    <w:link w:val="921"/>
    <w:uiPriority w:val="0"/>
    <w:qFormat/>
    <w:rPr>
      <w:rFonts w:ascii="宋体" w:hAnsi="Courier New"/>
      <w:sz w:val="21"/>
      <w:szCs w:val="20"/>
    </w:rPr>
  </w:style>
  <w:style w:type="paragraph" w:styleId="731">
    <w:name w:val="toc 8"/>
    <w:basedOn w:val="711"/>
    <w:next w:val="711"/>
    <w:uiPriority w:val="39"/>
    <w:unhideWhenUsed/>
    <w:qFormat/>
    <w:pPr>
      <w:ind w:left="1984"/>
      <w:spacing w:after="57"/>
    </w:pPr>
    <w:rPr>
      <w:sz w:val="21"/>
      <w:szCs w:val="24"/>
    </w:rPr>
  </w:style>
  <w:style w:type="paragraph" w:styleId="732">
    <w:name w:val="endnote text"/>
    <w:basedOn w:val="711"/>
    <w:link w:val="899"/>
    <w:uiPriority w:val="99"/>
    <w:semiHidden/>
    <w:unhideWhenUsed/>
    <w:qFormat/>
    <w:rPr>
      <w:sz w:val="20"/>
    </w:rPr>
  </w:style>
  <w:style w:type="paragraph" w:styleId="733">
    <w:name w:val="Footer"/>
    <w:basedOn w:val="711"/>
    <w:link w:val="918"/>
    <w:uiPriority w:val="99"/>
    <w:unhideWhenUsed/>
    <w:qFormat/>
    <w:pPr>
      <w:tabs>
        <w:tab w:val="center" w:pos="7143" w:leader="none"/>
        <w:tab w:val="right" w:pos="14287" w:leader="none"/>
      </w:tabs>
    </w:pPr>
  </w:style>
  <w:style w:type="paragraph" w:styleId="734">
    <w:name w:val="Header"/>
    <w:basedOn w:val="711"/>
    <w:uiPriority w:val="99"/>
    <w:unhideWhenUsed/>
    <w:qFormat/>
    <w:pPr>
      <w:tabs>
        <w:tab w:val="center" w:pos="7143" w:leader="none"/>
        <w:tab w:val="right" w:pos="14287" w:leader="none"/>
      </w:tabs>
    </w:pPr>
  </w:style>
  <w:style w:type="paragraph" w:styleId="735">
    <w:name w:val="toc 1"/>
    <w:basedOn w:val="711"/>
    <w:next w:val="711"/>
    <w:uiPriority w:val="39"/>
    <w:unhideWhenUsed/>
    <w:qFormat/>
    <w:pPr>
      <w:spacing w:after="57"/>
    </w:pPr>
  </w:style>
  <w:style w:type="paragraph" w:styleId="736">
    <w:name w:val="toc 4"/>
    <w:basedOn w:val="711"/>
    <w:next w:val="711"/>
    <w:uiPriority w:val="39"/>
    <w:unhideWhenUsed/>
    <w:qFormat/>
    <w:pPr>
      <w:ind w:left="850"/>
      <w:spacing w:after="57"/>
    </w:pPr>
  </w:style>
  <w:style w:type="paragraph" w:styleId="737">
    <w:name w:val="Subtitle"/>
    <w:basedOn w:val="711"/>
    <w:next w:val="711"/>
    <w:link w:val="765"/>
    <w:uiPriority w:val="11"/>
    <w:qFormat/>
    <w:pPr>
      <w:spacing w:before="200" w:after="200"/>
    </w:pPr>
    <w:rPr>
      <w:sz w:val="24"/>
      <w:szCs w:val="24"/>
    </w:rPr>
  </w:style>
  <w:style w:type="paragraph" w:styleId="738">
    <w:name w:val="footnote text"/>
    <w:basedOn w:val="711"/>
    <w:link w:val="898"/>
    <w:uiPriority w:val="99"/>
    <w:semiHidden/>
    <w:unhideWhenUsed/>
    <w:qFormat/>
    <w:pPr>
      <w:spacing w:after="40"/>
    </w:pPr>
    <w:rPr>
      <w:sz w:val="18"/>
    </w:rPr>
  </w:style>
  <w:style w:type="paragraph" w:styleId="739">
    <w:name w:val="toc 6"/>
    <w:basedOn w:val="711"/>
    <w:next w:val="711"/>
    <w:uiPriority w:val="39"/>
    <w:unhideWhenUsed/>
    <w:qFormat/>
    <w:pPr>
      <w:ind w:left="1417"/>
      <w:spacing w:after="57"/>
    </w:pPr>
  </w:style>
  <w:style w:type="paragraph" w:styleId="740">
    <w:name w:val="Body Text Indent 3"/>
    <w:basedOn w:val="711"/>
    <w:uiPriority w:val="0"/>
    <w:qFormat/>
    <w:pPr>
      <w:ind w:left="645" w:firstLine="645"/>
    </w:pPr>
    <w:rPr>
      <w:rFonts w:ascii="Arial" w:hAnsi="Arial" w:eastAsia="仿宋_GB2312" w:cs="Arial"/>
      <w:color w:val="ffff00"/>
      <w:sz w:val="32"/>
      <w:szCs w:val="32"/>
    </w:rPr>
  </w:style>
  <w:style w:type="paragraph" w:styleId="741">
    <w:name w:val="table of figures"/>
    <w:basedOn w:val="711"/>
    <w:next w:val="711"/>
    <w:uiPriority w:val="99"/>
    <w:unhideWhenUsed/>
    <w:qFormat/>
  </w:style>
  <w:style w:type="paragraph" w:styleId="742">
    <w:name w:val="toc 2"/>
    <w:basedOn w:val="711"/>
    <w:next w:val="711"/>
    <w:uiPriority w:val="39"/>
    <w:unhideWhenUsed/>
    <w:qFormat/>
    <w:pPr>
      <w:ind w:left="283"/>
      <w:spacing w:after="57"/>
    </w:pPr>
  </w:style>
  <w:style w:type="paragraph" w:styleId="743">
    <w:name w:val="toc 9"/>
    <w:basedOn w:val="711"/>
    <w:next w:val="711"/>
    <w:uiPriority w:val="39"/>
    <w:unhideWhenUsed/>
    <w:qFormat/>
    <w:pPr>
      <w:ind w:left="2268"/>
      <w:spacing w:after="57"/>
    </w:pPr>
  </w:style>
  <w:style w:type="paragraph" w:styleId="744">
    <w:name w:val="Normal (Web)"/>
    <w:basedOn w:val="711"/>
    <w:link w:val="937"/>
    <w:uiPriority w:val="0"/>
    <w:unhideWhenUsed/>
    <w:qFormat/>
    <w:pPr>
      <w:jc w:val="left"/>
      <w:spacing w:before="100" w:beforeAutospacing="1" w:after="100" w:afterAutospacing="1"/>
      <w:widowControl/>
    </w:pPr>
    <w:rPr>
      <w:rFonts w:ascii="宋体" w:hAnsi="宋体" w:cs="宋体"/>
      <w:sz w:val="24"/>
    </w:rPr>
  </w:style>
  <w:style w:type="paragraph" w:styleId="745">
    <w:name w:val="Title"/>
    <w:basedOn w:val="711"/>
    <w:next w:val="711"/>
    <w:uiPriority w:val="99"/>
    <w:qFormat/>
    <w:pPr>
      <w:jc w:val="center"/>
      <w:pBdr>
        <w:top w:val="none" w:color="auto" w:sz="0" w:space="1"/>
        <w:left w:val="none" w:color="auto" w:sz="0" w:space="4"/>
        <w:bottom w:val="none" w:color="B92D07" w:sz="0" w:space="1"/>
        <w:right w:val="none" w:color="auto" w:sz="0" w:space="4"/>
      </w:pBdr>
      <w:outlineLvl w:val="0"/>
    </w:pPr>
    <w:rPr>
      <w:rFonts w:ascii="MiSans" w:hAnsi="MiSans" w:eastAsia="MiSans" w:cs="MiSans Bold"/>
      <w:b/>
      <w:sz w:val="72"/>
      <w:szCs w:val="72"/>
    </w:rPr>
  </w:style>
  <w:style w:type="paragraph" w:styleId="746">
    <w:name w:val="annotation subject"/>
    <w:basedOn w:val="726"/>
    <w:next w:val="726"/>
    <w:link w:val="936"/>
    <w:uiPriority w:val="99"/>
    <w:semiHidden/>
    <w:unhideWhenUsed/>
    <w:qFormat/>
    <w:rPr>
      <w:b/>
      <w:bCs/>
    </w:rPr>
  </w:style>
  <w:style w:type="paragraph" w:styleId="747">
    <w:name w:val="Body Text First Indent"/>
    <w:basedOn w:val="727"/>
    <w:link w:val="920"/>
    <w:uiPriority w:val="0"/>
    <w:qFormat/>
    <w:pPr>
      <w:ind w:firstLine="420"/>
    </w:pPr>
  </w:style>
  <w:style w:type="table" w:styleId="74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21"/>
    <w:uiPriority w:val="22"/>
    <w:qFormat/>
    <w:rPr>
      <w:b/>
    </w:rPr>
  </w:style>
  <w:style w:type="character" w:styleId="750">
    <w:name w:val="endnote reference"/>
    <w:basedOn w:val="721"/>
    <w:uiPriority w:val="99"/>
    <w:semiHidden/>
    <w:unhideWhenUsed/>
    <w:qFormat/>
    <w:rPr>
      <w:vertAlign w:val="superscript"/>
    </w:rPr>
  </w:style>
  <w:style w:type="character" w:styleId="751">
    <w:name w:val="Hyperlink"/>
    <w:basedOn w:val="721"/>
    <w:uiPriority w:val="0"/>
    <w:qFormat/>
    <w:rPr>
      <w:color w:val="0026e5" w:themeColor="hyperlink"/>
      <w:u w:val="single"/>
      <w14:textFill>
        <w14:solidFill>
          <w14:schemeClr w14:val="hlink"/>
        </w14:solidFill>
      </w14:textFill>
    </w:rPr>
  </w:style>
  <w:style w:type="character" w:styleId="752">
    <w:name w:val="annotation reference"/>
    <w:basedOn w:val="721"/>
    <w:uiPriority w:val="99"/>
    <w:semiHidden/>
    <w:unhideWhenUsed/>
    <w:qFormat/>
    <w:rPr>
      <w:sz w:val="21"/>
      <w:szCs w:val="21"/>
    </w:rPr>
  </w:style>
  <w:style w:type="character" w:styleId="753">
    <w:name w:val="footnote reference"/>
    <w:basedOn w:val="721"/>
    <w:uiPriority w:val="99"/>
    <w:unhideWhenUsed/>
    <w:qFormat/>
    <w:rPr>
      <w:vertAlign w:val="superscript"/>
    </w:rPr>
  </w:style>
  <w:style w:type="character" w:styleId="754" w:customStyle="1">
    <w:name w:val="标题 1 字符"/>
    <w:basedOn w:val="721"/>
    <w:link w:val="712"/>
    <w:uiPriority w:val="9"/>
    <w:qFormat/>
    <w:rPr>
      <w:rFonts w:ascii="Arial" w:hAnsi="Arial" w:eastAsia="Arial" w:cs="Arial"/>
      <w:sz w:val="40"/>
      <w:szCs w:val="40"/>
    </w:rPr>
  </w:style>
  <w:style w:type="character" w:styleId="755" w:customStyle="1">
    <w:name w:val="Heading 2 Char"/>
    <w:basedOn w:val="721"/>
    <w:uiPriority w:val="9"/>
    <w:qFormat/>
    <w:rPr>
      <w:rFonts w:ascii="Arial" w:hAnsi="Arial" w:eastAsia="Arial" w:cs="Arial"/>
      <w:sz w:val="34"/>
    </w:rPr>
  </w:style>
  <w:style w:type="character" w:styleId="756" w:customStyle="1">
    <w:name w:val="Heading 3 Char"/>
    <w:basedOn w:val="721"/>
    <w:uiPriority w:val="9"/>
    <w:qFormat/>
    <w:rPr>
      <w:rFonts w:ascii="Arial" w:hAnsi="Arial" w:eastAsia="Arial" w:cs="Arial"/>
      <w:sz w:val="30"/>
      <w:szCs w:val="30"/>
    </w:rPr>
  </w:style>
  <w:style w:type="character" w:styleId="757" w:customStyle="1">
    <w:name w:val="标题 4 字符"/>
    <w:basedOn w:val="721"/>
    <w:link w:val="715"/>
    <w:uiPriority w:val="9"/>
    <w:qFormat/>
    <w:rPr>
      <w:rFonts w:ascii="Arial" w:hAnsi="Arial" w:eastAsia="Arial" w:cs="Arial"/>
      <w:b/>
      <w:bCs/>
      <w:sz w:val="26"/>
      <w:szCs w:val="26"/>
    </w:rPr>
  </w:style>
  <w:style w:type="character" w:styleId="758" w:customStyle="1">
    <w:name w:val="标题 5 字符"/>
    <w:basedOn w:val="721"/>
    <w:link w:val="716"/>
    <w:uiPriority w:val="9"/>
    <w:qFormat/>
    <w:rPr>
      <w:rFonts w:ascii="Arial" w:hAnsi="Arial" w:eastAsia="Arial" w:cs="Arial"/>
      <w:b/>
      <w:bCs/>
      <w:sz w:val="24"/>
      <w:szCs w:val="24"/>
    </w:rPr>
  </w:style>
  <w:style w:type="character" w:styleId="759" w:customStyle="1">
    <w:name w:val="标题 6 字符"/>
    <w:basedOn w:val="721"/>
    <w:link w:val="717"/>
    <w:uiPriority w:val="9"/>
    <w:qFormat/>
    <w:rPr>
      <w:rFonts w:ascii="Arial" w:hAnsi="Arial" w:eastAsia="Arial" w:cs="Arial"/>
      <w:b/>
      <w:bCs/>
      <w:sz w:val="22"/>
      <w:szCs w:val="22"/>
    </w:rPr>
  </w:style>
  <w:style w:type="character" w:styleId="760" w:customStyle="1">
    <w:name w:val="标题 7 字符"/>
    <w:basedOn w:val="721"/>
    <w:link w:val="718"/>
    <w:uiPriority w:val="9"/>
    <w:qFormat/>
    <w:rPr>
      <w:rFonts w:ascii="Arial" w:hAnsi="Arial" w:eastAsia="Arial" w:cs="Arial"/>
      <w:b/>
      <w:bCs/>
      <w:i/>
      <w:iCs/>
      <w:sz w:val="22"/>
      <w:szCs w:val="22"/>
    </w:rPr>
  </w:style>
  <w:style w:type="character" w:styleId="761" w:customStyle="1">
    <w:name w:val="标题 8 字符"/>
    <w:basedOn w:val="721"/>
    <w:link w:val="719"/>
    <w:uiPriority w:val="9"/>
    <w:qFormat/>
    <w:rPr>
      <w:rFonts w:ascii="Arial" w:hAnsi="Arial" w:eastAsia="Arial" w:cs="Arial"/>
      <w:i/>
      <w:iCs/>
      <w:sz w:val="22"/>
      <w:szCs w:val="22"/>
    </w:rPr>
  </w:style>
  <w:style w:type="character" w:styleId="762" w:customStyle="1">
    <w:name w:val="标题 9 字符"/>
    <w:basedOn w:val="721"/>
    <w:link w:val="720"/>
    <w:uiPriority w:val="9"/>
    <w:qFormat/>
    <w:rPr>
      <w:rFonts w:ascii="Arial" w:hAnsi="Arial" w:eastAsia="Arial" w:cs="Arial"/>
      <w:i/>
      <w:iCs/>
      <w:sz w:val="21"/>
      <w:szCs w:val="21"/>
    </w:rPr>
  </w:style>
  <w:style w:type="paragraph" w:styleId="763">
    <w:name w:val="No Spacing"/>
    <w:uiPriority w:val="1"/>
    <w:qFormat/>
    <w:rPr>
      <w:rFonts w:asciiTheme="minorHAnsi" w:hAnsiTheme="minorHAnsi" w:eastAsiaTheme="minorEastAsia" w:cstheme="minorBidi"/>
      <w:lang w:val="en-US" w:eastAsia="zh-CN" w:bidi="ar-SA"/>
    </w:rPr>
  </w:style>
  <w:style w:type="character" w:styleId="764" w:customStyle="1">
    <w:name w:val="Title Char"/>
    <w:basedOn w:val="721"/>
    <w:uiPriority w:val="10"/>
    <w:qFormat/>
    <w:rPr>
      <w:sz w:val="48"/>
      <w:szCs w:val="48"/>
    </w:rPr>
  </w:style>
  <w:style w:type="character" w:styleId="765" w:customStyle="1">
    <w:name w:val="副标题 字符"/>
    <w:basedOn w:val="721"/>
    <w:link w:val="737"/>
    <w:uiPriority w:val="11"/>
    <w:qFormat/>
    <w:rPr>
      <w:sz w:val="24"/>
      <w:szCs w:val="24"/>
    </w:rPr>
  </w:style>
  <w:style w:type="paragraph" w:styleId="766">
    <w:name w:val="Quote"/>
    <w:basedOn w:val="711"/>
    <w:next w:val="711"/>
    <w:link w:val="767"/>
    <w:uiPriority w:val="29"/>
    <w:qFormat/>
    <w:pPr>
      <w:ind w:left="720" w:right="720"/>
    </w:pPr>
    <w:rPr>
      <w:i/>
    </w:rPr>
  </w:style>
  <w:style w:type="character" w:styleId="767" w:customStyle="1">
    <w:name w:val="引用 字符"/>
    <w:link w:val="766"/>
    <w:uiPriority w:val="29"/>
    <w:qFormat/>
    <w:rPr>
      <w:i/>
    </w:rPr>
  </w:style>
  <w:style w:type="paragraph" w:styleId="768">
    <w:name w:val="Intense Quote"/>
    <w:basedOn w:val="711"/>
    <w:next w:val="711"/>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character" w:styleId="770" w:customStyle="1">
    <w:name w:val="Header Char"/>
    <w:basedOn w:val="721"/>
    <w:uiPriority w:val="99"/>
    <w:qFormat/>
  </w:style>
  <w:style w:type="character" w:styleId="771" w:customStyle="1">
    <w:name w:val="Footer Char"/>
    <w:basedOn w:val="721"/>
    <w:uiPriority w:val="99"/>
    <w:qFormat/>
  </w:style>
  <w:style w:type="character" w:styleId="772" w:customStyle="1">
    <w:name w:val="Caption Char"/>
    <w:uiPriority w:val="99"/>
    <w:qFormat/>
  </w:style>
  <w:style w:type="table" w:styleId="773"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4" w:customStyle="1">
    <w:name w:val="无格式表格 1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2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2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2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2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2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2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2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2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2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2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2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2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3" w:customStyle="1">
    <w:name w:val="网格表 3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2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2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2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2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2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2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2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2" w:customStyle="1">
    <w:name w:val="Grid Table 4 - Accent 2"/>
    <w:basedOn w:val="72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3" w:customStyle="1">
    <w:name w:val="Grid Table 4 - Accent 3"/>
    <w:basedOn w:val="72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4" w:customStyle="1">
    <w:name w:val="Grid Table 4 - Accent 4"/>
    <w:basedOn w:val="72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5" w:customStyle="1">
    <w:name w:val="Grid Table 4 - Accent 5"/>
    <w:basedOn w:val="72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6" w:customStyle="1">
    <w:name w:val="Grid Table 4 - Accent 6"/>
    <w:basedOn w:val="72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7"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9"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0"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1"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2"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3"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4" w:customStyle="1">
    <w:name w:val="网格表 6 彩色1"/>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72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72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72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18" w:customStyle="1">
    <w:name w:val="Grid Table 6 Colorful - Accent 4"/>
    <w:basedOn w:val="72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72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0" w:customStyle="1">
    <w:name w:val="Grid Table 6 Colorful - Accent 6"/>
    <w:basedOn w:val="72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1" w:customStyle="1">
    <w:name w:val="网格表 7 彩色1"/>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2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2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2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2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2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2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basedOn w:val="7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2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2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2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2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2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2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5" w:customStyle="1">
    <w:name w:val="清单表 21"/>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72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7" w:customStyle="1">
    <w:name w:val="List Table 2 - Accent 2"/>
    <w:basedOn w:val="72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8" w:customStyle="1">
    <w:name w:val="List Table 2 - Accent 3"/>
    <w:basedOn w:val="72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9" w:customStyle="1">
    <w:name w:val="List Table 2 - Accent 4"/>
    <w:basedOn w:val="72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0" w:customStyle="1">
    <w:name w:val="List Table 2 - Accent 5"/>
    <w:basedOn w:val="72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1" w:customStyle="1">
    <w:name w:val="List Table 2 - Accent 6"/>
    <w:basedOn w:val="72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2"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2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4" w:customStyle="1">
    <w:name w:val="List Table 3 - Accent 2"/>
    <w:basedOn w:val="72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2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2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2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2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9"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2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1" w:customStyle="1">
    <w:name w:val="List Table 4 - Accent 2"/>
    <w:basedOn w:val="72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2" w:customStyle="1">
    <w:name w:val="List Table 4 - Accent 3"/>
    <w:basedOn w:val="72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3" w:customStyle="1">
    <w:name w:val="List Table 4 - Accent 4"/>
    <w:basedOn w:val="72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4" w:customStyle="1">
    <w:name w:val="List Table 4 - Accent 5"/>
    <w:basedOn w:val="72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5" w:customStyle="1">
    <w:name w:val="List Table 4 - Accent 6"/>
    <w:basedOn w:val="72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6" w:customStyle="1">
    <w:name w:val="清单表 5 深色1"/>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72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72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72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72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72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72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清单表 6 彩色1"/>
    <w:basedOn w:val="7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72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5" w:customStyle="1">
    <w:name w:val="List Table 6 Colorful - Accent 2"/>
    <w:basedOn w:val="72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6" w:customStyle="1">
    <w:name w:val="List Table 6 Colorful - Accent 3"/>
    <w:basedOn w:val="72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7" w:customStyle="1">
    <w:name w:val="List Table 6 Colorful - Accent 4"/>
    <w:basedOn w:val="72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8" w:customStyle="1">
    <w:name w:val="List Table 6 Colorful - Accent 5"/>
    <w:basedOn w:val="72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9" w:customStyle="1">
    <w:name w:val="List Table 6 Colorful - Accent 6"/>
    <w:basedOn w:val="72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0" w:customStyle="1">
    <w:name w:val="清单表 7 彩色1"/>
    <w:basedOn w:val="7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2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2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2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2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2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2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9"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0"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1"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2"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3"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4"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72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6" w:customStyle="1">
    <w:name w:val="Bordered &amp; Lined - Accent 2"/>
    <w:basedOn w:val="72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7" w:customStyle="1">
    <w:name w:val="Bordered &amp; Lined - Accent 3"/>
    <w:basedOn w:val="72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8" w:customStyle="1">
    <w:name w:val="Bordered &amp; Lined - Accent 4"/>
    <w:basedOn w:val="72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9" w:customStyle="1">
    <w:name w:val="Bordered &amp; Lined - Accent 5"/>
    <w:basedOn w:val="72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0" w:customStyle="1">
    <w:name w:val="Bordered &amp; Lined - Accent 6"/>
    <w:basedOn w:val="72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1"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72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3" w:customStyle="1">
    <w:name w:val="Bordered - Accent 2"/>
    <w:basedOn w:val="72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4" w:customStyle="1">
    <w:name w:val="Bordered - Accent 3"/>
    <w:basedOn w:val="72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5" w:customStyle="1">
    <w:name w:val="Bordered - Accent 4"/>
    <w:basedOn w:val="72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6" w:customStyle="1">
    <w:name w:val="Bordered - Accent 5"/>
    <w:basedOn w:val="72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7" w:customStyle="1">
    <w:name w:val="Bordered - Accent 6"/>
    <w:basedOn w:val="72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8" w:customStyle="1">
    <w:name w:val="脚注文本 字符"/>
    <w:link w:val="738"/>
    <w:uiPriority w:val="99"/>
    <w:qFormat/>
    <w:rPr>
      <w:sz w:val="18"/>
    </w:rPr>
  </w:style>
  <w:style w:type="character" w:styleId="899" w:customStyle="1">
    <w:name w:val="尾注文本 字符"/>
    <w:link w:val="732"/>
    <w:uiPriority w:val="99"/>
    <w:qFormat/>
    <w:rPr>
      <w:sz w:val="20"/>
    </w:rPr>
  </w:style>
  <w:style w:type="paragraph" w:styleId="900" w:customStyle="1">
    <w:name w:val="TOC 标题1"/>
    <w:uiPriority w:val="39"/>
    <w:unhideWhenUsed/>
    <w:qFormat/>
    <w:rPr>
      <w:rFonts w:asciiTheme="minorHAnsi" w:hAnsiTheme="minorHAnsi" w:eastAsiaTheme="minorEastAsia" w:cstheme="minorBidi"/>
      <w:lang w:val="en-US" w:eastAsia="zh-CN" w:bidi="ar-SA"/>
    </w:rPr>
  </w:style>
  <w:style w:type="paragraph" w:styleId="901" w:customStyle="1">
    <w:name w:val="普通正文"/>
    <w:basedOn w:val="711"/>
    <w:uiPriority w:val="99"/>
    <w:qFormat/>
    <w:pPr>
      <w:ind w:firstLine="480"/>
      <w:jc w:val="left"/>
      <w:spacing w:before="120" w:after="120" w:line="360" w:lineRule="auto"/>
    </w:pPr>
    <w:rPr>
      <w:rFonts w:ascii="Arial" w:hAnsi="Arial"/>
      <w:sz w:val="24"/>
      <w:szCs w:val="24"/>
    </w:rPr>
  </w:style>
  <w:style w:type="paragraph" w:styleId="902" w:customStyle="1">
    <w:name w:val="标题 31"/>
    <w:basedOn w:val="711"/>
    <w:next w:val="903"/>
    <w:uiPriority w:val="99"/>
    <w:qFormat/>
    <w:pPr>
      <w:ind w:firstLine="137"/>
      <w:keepLines/>
      <w:keepNext/>
      <w:spacing w:line="415" w:lineRule="auto"/>
      <w:outlineLvl w:val="2"/>
    </w:pPr>
    <w:rPr>
      <w:rFonts w:hAnsi="黑体" w:eastAsia="黑体"/>
      <w:sz w:val="24"/>
      <w:szCs w:val="20"/>
    </w:rPr>
  </w:style>
  <w:style w:type="paragraph" w:styleId="903" w:customStyle="1">
    <w:name w:val="正文缩进1"/>
    <w:basedOn w:val="711"/>
    <w:uiPriority w:val="99"/>
    <w:unhideWhenUsed/>
    <w:qFormat/>
    <w:pPr>
      <w:ind w:firstLine="420"/>
      <w:jc w:val="left"/>
    </w:pPr>
    <w:rPr>
      <w:rFonts w:ascii="宋体"/>
      <w:sz w:val="24"/>
    </w:rPr>
  </w:style>
  <w:style w:type="paragraph" w:styleId="904" w:customStyle="1">
    <w:name w:val="标题 41"/>
    <w:basedOn w:val="711"/>
    <w:next w:val="903"/>
    <w:uiPriority w:val="0"/>
    <w:qFormat/>
    <w:pPr>
      <w:keepLines/>
      <w:keepNext/>
      <w:spacing w:before="280" w:after="290" w:line="376" w:lineRule="auto"/>
      <w:outlineLvl w:val="3"/>
    </w:pPr>
    <w:rPr>
      <w:rFonts w:ascii="Arial" w:hAnsi="Arial" w:eastAsia="黑体" w:cs="Arial"/>
      <w:b/>
      <w:bCs/>
      <w:szCs w:val="28"/>
    </w:rPr>
  </w:style>
  <w:style w:type="paragraph" w:styleId="905" w:customStyle="1">
    <w:name w:val="普通(网站)112"/>
    <w:basedOn w:val="711"/>
    <w:uiPriority w:val="0"/>
    <w:qFormat/>
    <w:pPr>
      <w:jc w:val="left"/>
      <w:spacing w:beforeAutospacing="1" w:afterAutospacing="1"/>
    </w:pPr>
    <w:rPr>
      <w:sz w:val="24"/>
    </w:rPr>
  </w:style>
  <w:style w:type="paragraph" w:styleId="906" w:customStyle="1">
    <w:name w:val="正文首行缩进 21"/>
    <w:basedOn w:val="907"/>
    <w:uiPriority w:val="99"/>
    <w:qFormat/>
    <w:pPr>
      <w:ind w:firstLine="420"/>
      <w:spacing w:line="360" w:lineRule="auto"/>
    </w:pPr>
    <w:rPr>
      <w:rFonts w:ascii="宋体" w:hAnsi="宋体" w:eastAsia="宋体"/>
      <w:sz w:val="21"/>
      <w:szCs w:val="20"/>
    </w:rPr>
  </w:style>
  <w:style w:type="paragraph" w:styleId="907" w:customStyle="1">
    <w:name w:val="正文文本缩进1"/>
    <w:basedOn w:val="711"/>
    <w:uiPriority w:val="99"/>
    <w:qFormat/>
    <w:pPr>
      <w:ind w:firstLine="645"/>
    </w:pPr>
    <w:rPr>
      <w:rFonts w:ascii="楷体_GB2312" w:eastAsia="楷体_GB2312"/>
      <w:sz w:val="32"/>
      <w:szCs w:val="32"/>
    </w:rPr>
  </w:style>
  <w:style w:type="character" w:styleId="908" w:customStyle="1">
    <w:name w:val="ant-tree-switcher6"/>
    <w:uiPriority w:val="0"/>
    <w:qFormat/>
  </w:style>
  <w:style w:type="paragraph" w:styleId="909" w:customStyle="1">
    <w:name w:val="标题 11"/>
    <w:basedOn w:val="711"/>
    <w:next w:val="711"/>
    <w:uiPriority w:val="0"/>
    <w:qFormat/>
    <w:pPr>
      <w:keepLines/>
      <w:keepNext/>
      <w:spacing w:before="340" w:after="330" w:line="578" w:lineRule="auto"/>
      <w:outlineLvl w:val="0"/>
    </w:pPr>
    <w:rPr>
      <w:b/>
      <w:bCs/>
      <w:sz w:val="44"/>
      <w:szCs w:val="44"/>
    </w:rPr>
  </w:style>
  <w:style w:type="paragraph" w:styleId="910" w:customStyle="1">
    <w:name w:val="文本块1"/>
    <w:basedOn w:val="711"/>
    <w:uiPriority w:val="99"/>
    <w:qFormat/>
    <w:pPr>
      <w:ind w:left="1440" w:right="1440"/>
      <w:spacing w:after="120"/>
      <w:tabs>
        <w:tab w:val="left" w:pos="9000" w:leader="none"/>
      </w:tabs>
    </w:pPr>
  </w:style>
  <w:style w:type="paragraph" w:styleId="911" w:customStyle="1">
    <w:name w:val="普通(网站)1"/>
    <w:basedOn w:val="711"/>
    <w:uiPriority w:val="99"/>
    <w:unhideWhenUsed/>
    <w:qFormat/>
    <w:pPr>
      <w:jc w:val="left"/>
      <w:spacing w:before="100" w:beforeAutospacing="1" w:after="100" w:afterAutospacing="1"/>
      <w:widowControl/>
    </w:pPr>
    <w:rPr>
      <w:rFonts w:ascii="宋体" w:hAnsi="宋体" w:cs="宋体"/>
      <w:sz w:val="24"/>
    </w:rPr>
  </w:style>
  <w:style w:type="paragraph" w:styleId="912">
    <w:name w:val="List Paragraph"/>
    <w:basedOn w:val="711"/>
    <w:uiPriority w:val="0"/>
    <w:qFormat/>
    <w:pPr>
      <w:ind w:firstLine="420"/>
    </w:pPr>
    <w:rPr>
      <w:sz w:val="21"/>
    </w:rPr>
  </w:style>
  <w:style w:type="paragraph" w:styleId="913" w:customStyle="1">
    <w:name w:val="普通(网站)11"/>
    <w:basedOn w:val="711"/>
    <w:uiPriority w:val="0"/>
    <w:unhideWhenUsed/>
    <w:qFormat/>
    <w:pPr>
      <w:ind w:firstLine="5742"/>
      <w:jc w:val="center"/>
      <w:spacing w:before="100" w:beforeAutospacing="1" w:after="100" w:afterAutospacing="1"/>
      <w:widowControl/>
    </w:pPr>
    <w:rPr>
      <w:rFonts w:ascii="宋体" w:hAnsi="宋体"/>
      <w:b/>
      <w:sz w:val="44"/>
    </w:rPr>
  </w:style>
  <w:style w:type="character" w:styleId="914" w:customStyle="1">
    <w:name w:val="NormalCharacter11"/>
    <w:uiPriority w:val="99"/>
    <w:qFormat/>
    <w:rPr>
      <w:rFonts w:hint="default" w:ascii="Times New Roman" w:hAnsi="Times New Roman" w:eastAsia="宋体" w:cs="Times New Roman"/>
      <w:sz w:val="28"/>
      <w:szCs w:val="22"/>
      <w:lang w:val="en-US" w:eastAsia="zh-CN" w:bidi="ar-SA"/>
    </w:rPr>
  </w:style>
  <w:style w:type="paragraph" w:styleId="915" w:customStyle="1">
    <w:name w:val="页脚1"/>
    <w:basedOn w:val="711"/>
    <w:uiPriority w:val="99"/>
    <w:qFormat/>
    <w:pPr>
      <w:jc w:val="left"/>
      <w:tabs>
        <w:tab w:val="center" w:pos="4153" w:leader="none"/>
        <w:tab w:val="right" w:pos="8306" w:leader="none"/>
      </w:tabs>
    </w:pPr>
    <w:rPr>
      <w:sz w:val="18"/>
    </w:rPr>
  </w:style>
  <w:style w:type="character" w:styleId="916" w:customStyle="1">
    <w:name w:val="font01"/>
    <w:basedOn w:val="721"/>
    <w:uiPriority w:val="0"/>
    <w:qFormat/>
    <w:rPr>
      <w:rFonts w:ascii="方正黑体_GBK" w:hAnsi="方正黑体_GBK" w:eastAsia="方正黑体_GBK" w:cs="方正黑体_GBK"/>
      <w:color w:val="000000"/>
      <w:sz w:val="20"/>
      <w:szCs w:val="20"/>
      <w:u w:val="none"/>
    </w:rPr>
  </w:style>
  <w:style w:type="paragraph" w:styleId="917" w:customStyle="1">
    <w:name w:val="4"/>
    <w:basedOn w:val="711"/>
    <w:next w:val="740"/>
    <w:uiPriority w:val="0"/>
    <w:qFormat/>
    <w:pPr>
      <w:ind w:firstLine="420"/>
      <w:spacing w:line="360" w:lineRule="auto"/>
    </w:pPr>
    <w:rPr>
      <w:color w:val="ff0000"/>
      <w:sz w:val="24"/>
    </w:rPr>
  </w:style>
  <w:style w:type="character" w:styleId="918" w:customStyle="1">
    <w:name w:val="页脚 字符"/>
    <w:basedOn w:val="721"/>
    <w:link w:val="733"/>
    <w:uiPriority w:val="99"/>
    <w:qFormat/>
    <w:rPr>
      <w:rFonts w:ascii="Times New Roman" w:hAnsi="Times New Roman" w:eastAsia="宋体" w:cs="Times New Roman"/>
      <w:sz w:val="28"/>
      <w:szCs w:val="22"/>
    </w:rPr>
  </w:style>
  <w:style w:type="character" w:styleId="919" w:customStyle="1">
    <w:name w:val="正文文本 字符"/>
    <w:basedOn w:val="721"/>
    <w:link w:val="727"/>
    <w:uiPriority w:val="0"/>
    <w:qFormat/>
    <w:rPr>
      <w:rFonts w:ascii="Times New Roman" w:hAnsi="Times New Roman" w:eastAsia="宋体" w:cs="Times New Roman"/>
      <w:sz w:val="28"/>
      <w:szCs w:val="22"/>
    </w:rPr>
  </w:style>
  <w:style w:type="character" w:styleId="920" w:customStyle="1">
    <w:name w:val="正文文本首行缩进 字符"/>
    <w:basedOn w:val="919"/>
    <w:link w:val="747"/>
    <w:uiPriority w:val="0"/>
    <w:qFormat/>
    <w:rPr>
      <w:rFonts w:ascii="Times New Roman" w:hAnsi="Times New Roman" w:eastAsia="宋体" w:cs="Times New Roman"/>
      <w:sz w:val="28"/>
      <w:szCs w:val="22"/>
    </w:rPr>
  </w:style>
  <w:style w:type="character" w:styleId="921" w:customStyle="1">
    <w:name w:val="纯文本 字符"/>
    <w:basedOn w:val="721"/>
    <w:link w:val="730"/>
    <w:uiPriority w:val="0"/>
    <w:qFormat/>
    <w:rPr>
      <w:rFonts w:ascii="宋体" w:hAnsi="Courier New" w:eastAsia="宋体" w:cs="Times New Roman"/>
      <w:sz w:val="21"/>
    </w:rPr>
  </w:style>
  <w:style w:type="character" w:styleId="922" w:customStyle="1">
    <w:name w:val="正文缩进 字符"/>
    <w:link w:val="724"/>
    <w:uiPriority w:val="0"/>
    <w:qFormat/>
    <w:rPr>
      <w:rFonts w:ascii="Times New Roman" w:hAnsi="Times New Roman" w:eastAsia="宋体" w:cs="Times New Roman"/>
      <w:sz w:val="28"/>
      <w:szCs w:val="22"/>
    </w:rPr>
  </w:style>
  <w:style w:type="paragraph" w:styleId="923" w:customStyle="1">
    <w:name w:val="页脚11"/>
    <w:basedOn w:val="711"/>
    <w:uiPriority w:val="99"/>
    <w:qFormat/>
    <w:pPr>
      <w:jc w:val="left"/>
      <w:tabs>
        <w:tab w:val="center" w:pos="4153" w:leader="none"/>
        <w:tab w:val="right" w:pos="8306" w:leader="none"/>
      </w:tabs>
    </w:pPr>
    <w:rPr>
      <w:sz w:val="18"/>
      <w:szCs w:val="20"/>
    </w:rPr>
  </w:style>
  <w:style w:type="character" w:styleId="924" w:customStyle="1">
    <w:name w:val="页码1"/>
    <w:uiPriority w:val="0"/>
    <w:qFormat/>
  </w:style>
  <w:style w:type="paragraph" w:styleId="92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26" w:customStyle="1">
    <w:name w:val="段"/>
    <w:basedOn w:val="927"/>
    <w:next w:val="711"/>
    <w:uiPriority w:val="0"/>
    <w:qFormat/>
    <w:pPr>
      <w:ind w:firstLine="200"/>
      <w:widowControl/>
    </w:pPr>
    <w:rPr>
      <w:sz w:val="20"/>
    </w:rPr>
  </w:style>
  <w:style w:type="paragraph" w:styleId="927" w:customStyle="1">
    <w:name w:val="正文1"/>
    <w:basedOn w:val="711"/>
    <w:next w:val="928"/>
    <w:uiPriority w:val="0"/>
    <w:qFormat/>
  </w:style>
  <w:style w:type="paragraph" w:styleId="928" w:customStyle="1">
    <w:name w:val="正文文本1"/>
    <w:basedOn w:val="927"/>
    <w:next w:val="929"/>
    <w:uiPriority w:val="0"/>
    <w:qFormat/>
    <w:pPr>
      <w:spacing w:after="120"/>
    </w:pPr>
    <w:rPr>
      <w:lang w:eastAsia="en-US"/>
    </w:rPr>
  </w:style>
  <w:style w:type="paragraph" w:styleId="929" w:customStyle="1">
    <w:name w:val="一级条标题"/>
    <w:basedOn w:val="930"/>
    <w:next w:val="9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0" w:customStyle="1">
    <w:name w:val="章标题"/>
    <w:next w:val="71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character" w:styleId="931" w:customStyle="1">
    <w:name w:val="titlebody"/>
    <w:uiPriority w:val="0"/>
    <w:qFormat/>
    <w:rPr>
      <w:rFonts w:ascii="宋体" w:hAnsi="宋体" w:eastAsia="宋体" w:cs="宋体"/>
      <w:b/>
      <w:bCs/>
      <w:color w:val="000000"/>
      <w:sz w:val="24"/>
      <w:szCs w:val="24"/>
    </w:rPr>
  </w:style>
  <w:style w:type="paragraph" w:styleId="932" w:customStyle="1">
    <w:name w:val="Normal_0"/>
    <w:uiPriority w:val="0"/>
    <w:qFormat/>
    <w:rPr>
      <w:rFonts w:ascii="Times New Roman" w:hAnsi="Times New Roman" w:eastAsia="Times New Roman" w:cs="Times New Roman"/>
      <w:sz w:val="24"/>
      <w:szCs w:val="24"/>
      <w:lang w:val="en-US" w:eastAsia="zh-CN" w:bidi="ar-SA"/>
    </w:rPr>
  </w:style>
  <w:style w:type="paragraph" w:styleId="933" w:customStyle="1">
    <w:name w:val="Normal_5"/>
    <w:uiPriority w:val="0"/>
    <w:qFormat/>
    <w:rPr>
      <w:rFonts w:ascii="Times New Roman" w:hAnsi="Times New Roman" w:eastAsia="Times New Roman" w:cs="Times New Roman"/>
      <w:sz w:val="24"/>
      <w:szCs w:val="24"/>
      <w:lang w:val="en-US" w:eastAsia="zh-CN" w:bidi="ar-SA"/>
    </w:rPr>
  </w:style>
  <w:style w:type="paragraph" w:styleId="934" w:customStyle="1">
    <w:name w:val="Normal_6"/>
    <w:uiPriority w:val="0"/>
    <w:qFormat/>
    <w:rPr>
      <w:rFonts w:ascii="Times New Roman" w:hAnsi="Times New Roman" w:eastAsia="Times New Roman" w:cs="Times New Roman"/>
      <w:sz w:val="24"/>
      <w:szCs w:val="24"/>
      <w:lang w:val="en-US" w:eastAsia="zh-CN" w:bidi="ar-SA"/>
    </w:rPr>
  </w:style>
  <w:style w:type="character" w:styleId="935" w:customStyle="1">
    <w:name w:val="批注文字 字符"/>
    <w:basedOn w:val="721"/>
    <w:link w:val="726"/>
    <w:uiPriority w:val="99"/>
    <w:semiHidden/>
    <w:qFormat/>
    <w:rPr>
      <w:sz w:val="28"/>
      <w:szCs w:val="22"/>
    </w:rPr>
  </w:style>
  <w:style w:type="character" w:styleId="936" w:customStyle="1">
    <w:name w:val="批注主题 字符"/>
    <w:basedOn w:val="935"/>
    <w:link w:val="746"/>
    <w:uiPriority w:val="99"/>
    <w:semiHidden/>
    <w:qFormat/>
    <w:rPr>
      <w:b/>
      <w:bCs/>
      <w:sz w:val="28"/>
      <w:szCs w:val="22"/>
    </w:rPr>
  </w:style>
  <w:style w:type="character" w:styleId="937" w:customStyle="1">
    <w:name w:val="普通(网站) 字符"/>
    <w:link w:val="744"/>
    <w:uiPriority w:val="0"/>
    <w:qFormat/>
    <w:rPr>
      <w:rFonts w:ascii="宋体" w:hAnsi="宋体" w:cs="宋体"/>
      <w:sz w:val="24"/>
      <w:szCs w:val="22"/>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CAC4C-98C2-479E-80CC-A7F01A2D1B74}"/>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SUNYAO123</dc:creator>
  <cp:lastModifiedBy>胡志霞</cp:lastModifiedBy>
  <cp:revision>213</cp:revision>
  <dcterms:created xsi:type="dcterms:W3CDTF">2025-10-30T05:47:00Z</dcterms:created>
  <dcterms:modified xsi:type="dcterms:W3CDTF">2026-03-30T08:52:05Z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8FC365FB6B8F441C8B97D93BDDE41A99_13</vt:lpwstr>
  </property>
  <property fmtid="{D5CDD505-2E9C-101B-9397-08002B2CF9AE}" pid="4" name="KSOTemplateDocerSaveRecord">
    <vt:lpwstr>eyJoZGlkIjoiMDkxZDAzMWU2NTMwMTU3ZjdhYmU4ZjllMWEyZmFkMjIiLCJ1c2VySWQiOiIzNzk3OTIzNDYifQ==</vt:lpwstr>
  </property>
</Properties>
</file>