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项目名称：2026年食品监督抽检项目</w:t>
      </w:r>
      <w:r/>
    </w:p>
    <w:p>
      <w:pPr>
        <w:ind w:left="0" w:right="0" w:firstLine="239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盐城市大丰区市场监督管理局</w:t>
      </w:r>
      <w:r/>
    </w:p>
    <w:p>
      <w:pPr>
        <w:ind w:left="0" w:right="0" w:firstLine="0"/>
        <w:jc w:val="center"/>
        <w:spacing w:before="120" w:after="12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盐城宏源工程管理有限公司</w:t>
      </w:r>
      <w:r/>
    </w:p>
    <w:p>
      <w:pPr>
        <w:ind w:left="0" w:right="0" w:firstLine="0"/>
        <w:jc w:val="center"/>
        <w:spacing w:before="120" w:after="12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2026年4月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0"/>
            <w:spacing w:before="240" w:after="240" w:line="170" w:lineRule="atLeast"/>
            <w:tabs>
              <w:tab w:val="left" w:pos="8732"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1944" w:history="1">
            <w:r>
              <w:rPr>
                <w:rStyle w:val="891"/>
                <w:rFonts w:ascii="SimSun" w:hAnsi="SimSun" w:eastAsia="SimSun" w:cs="SimSun"/>
                <w:color w:val="0000ee"/>
                <w:sz w:val="32"/>
                <w:u w:val="single"/>
              </w:rPr>
              <w:t xml:space="preserve">第一章招标公告</w:t>
              <w:tab/>
            </w:r>
          </w:hyperlink>
          <w:r/>
          <w:r/>
        </w:p>
        <w:p>
          <w:pPr>
            <w:ind w:left="0" w:right="0" w:firstLine="0"/>
            <w:spacing w:before="240" w:after="240" w:line="17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3154" w:history="1">
            <w:r>
              <w:rPr>
                <w:rStyle w:val="891"/>
                <w:rFonts w:ascii="SimSun" w:hAnsi="SimSun" w:eastAsia="SimSun" w:cs="SimSun"/>
                <w:color w:val="0000ee"/>
                <w:sz w:val="32"/>
                <w:u w:val="single"/>
              </w:rPr>
              <w:t xml:space="preserve">第二章投标人须知</w:t>
              <w:tab/>
            </w:r>
          </w:hyperlink>
          <w:r/>
          <w:r/>
        </w:p>
        <w:p>
          <w:pPr>
            <w:ind w:left="0" w:right="0" w:firstLine="0"/>
            <w:spacing w:before="240" w:after="240" w:line="17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090" w:history="1">
            <w:r>
              <w:rPr>
                <w:rStyle w:val="891"/>
                <w:rFonts w:ascii="SimSun" w:hAnsi="SimSun" w:eastAsia="SimSun" w:cs="SimSun"/>
                <w:color w:val="0000ee"/>
                <w:sz w:val="32"/>
                <w:u w:val="single"/>
              </w:rPr>
              <w:t xml:space="preserve">第三章合同条款及格式</w:t>
              <w:tab/>
              <w:t xml:space="preserve">2</w:t>
            </w:r>
          </w:hyperlink>
          <w:r>
            <w:rPr>
              <w:rFonts w:ascii="SimSun" w:hAnsi="SimSun" w:eastAsia="SimSun" w:cs="SimSun"/>
              <w:color w:val="000000"/>
              <w:sz w:val="32"/>
            </w:rPr>
            <w:t xml:space="preserve">1</w:t>
          </w:r>
          <w:r/>
        </w:p>
        <w:p>
          <w:pPr>
            <w:ind w:left="0" w:right="0" w:firstLine="0"/>
            <w:spacing w:before="240" w:after="240" w:line="17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5912" w:history="1">
            <w:r>
              <w:rPr>
                <w:rStyle w:val="891"/>
                <w:rFonts w:ascii="SimSun" w:hAnsi="SimSun" w:eastAsia="SimSun" w:cs="SimSun"/>
                <w:color w:val="0000ee"/>
                <w:sz w:val="32"/>
                <w:u w:val="single"/>
              </w:rPr>
              <w:t xml:space="preserve">第四章项目需求</w:t>
              <w:tab/>
              <w:t xml:space="preserve">3</w:t>
            </w:r>
          </w:hyperlink>
          <w:r>
            <w:rPr>
              <w:rFonts w:ascii="SimSun" w:hAnsi="SimSun" w:eastAsia="SimSun" w:cs="SimSun"/>
              <w:color w:val="000000"/>
              <w:sz w:val="32"/>
            </w:rPr>
            <w:t xml:space="preserve">7</w:t>
          </w:r>
          <w:r/>
        </w:p>
        <w:p>
          <w:pPr>
            <w:ind w:left="0" w:right="0" w:firstLine="0"/>
            <w:spacing w:before="240" w:after="240" w:line="17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6135" w:history="1">
            <w:r>
              <w:rPr>
                <w:rStyle w:val="891"/>
                <w:rFonts w:ascii="SimSun" w:hAnsi="SimSun" w:eastAsia="SimSun" w:cs="SimSun"/>
                <w:color w:val="0000ee"/>
                <w:sz w:val="32"/>
                <w:u w:val="single"/>
              </w:rPr>
              <w:t xml:space="preserve">第五章定标原则与评标标准</w:t>
              <w:tab/>
              <w:t xml:space="preserve">3</w:t>
            </w:r>
          </w:hyperlink>
          <w:r>
            <w:rPr>
              <w:rFonts w:ascii="SimSun" w:hAnsi="SimSun" w:eastAsia="SimSun" w:cs="SimSun"/>
              <w:color w:val="000000"/>
              <w:sz w:val="32"/>
            </w:rPr>
            <w:t xml:space="preserve">8</w:t>
          </w:r>
          <w:r/>
        </w:p>
        <w:p>
          <w:pPr>
            <w:ind w:left="0" w:right="0" w:firstLine="0"/>
            <w:spacing w:before="240" w:after="240" w:line="17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3734" w:history="1">
            <w:r>
              <w:rPr>
                <w:rStyle w:val="891"/>
                <w:rFonts w:ascii="SimSun" w:hAnsi="SimSun" w:eastAsia="SimSun" w:cs="SimSun"/>
                <w:color w:val="0000ee"/>
                <w:sz w:val="32"/>
                <w:u w:val="single"/>
              </w:rPr>
              <w:t xml:space="preserve">第六章投标文件格式</w:t>
              <w:tab/>
              <w:t xml:space="preserve">4</w:t>
            </w:r>
          </w:hyperlink>
          <w:r>
            <w:rPr>
              <w:rFonts w:ascii="SimSun" w:hAnsi="SimSun" w:eastAsia="SimSun" w:cs="SimSun"/>
              <w:color w:val="000000"/>
              <w:sz w:val="32"/>
            </w:rPr>
            <w:t xml:space="preserve">1</w:t>
          </w:r>
          <w:r/>
        </w:p>
        <w:p>
          <w:pPr>
            <w:ind w:left="0" w:right="0" w:firstLine="64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sdtContent>
    </w:sdt>
    <w:p>
      <w:pPr>
        <w:ind w:left="0" w:right="0" w:firstLine="0"/>
        <w:spacing w:before="0" w:after="0" w:line="170" w:lineRule="atLeast"/>
        <w:pBdr>
          <w:top w:val="none" w:color="000000" w:sz="4" w:space="0"/>
          <w:left w:val="none" w:color="000000" w:sz="4" w:space="0"/>
          <w:bottom w:val="none" w:color="000000" w:sz="4" w:space="0"/>
          <w:right w:val="none" w:color="000000" w:sz="4" w:space="0"/>
        </w:pBdr>
      </w:pPr>
      <w:r>
        <w:br w:type="page" w:clear="all"/>
      </w:r>
      <w:r/>
    </w:p>
    <w:p>
      <w:pPr>
        <w:pStyle w:val="865"/>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u w:val="none"/>
        </w:rPr>
        <w:t xml:space="preserve">第一章</w:t>
      </w:r>
      <w:r>
        <w:rPr>
          <w:rFonts w:ascii="SimHei" w:hAnsi="SimHei" w:eastAsia="SimHei" w:cs="SimHei"/>
          <w:b/>
          <w:color w:val="000000"/>
          <w:sz w:val="36"/>
        </w:rPr>
        <w:t xml:space="preserve">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2026年食品监督抽检项目JSZC-320904-YCHY-G2026-0001 </w:t>
      </w:r>
      <w:r>
        <w:rPr>
          <w:rFonts w:ascii="SimSun" w:hAnsi="SimSun" w:eastAsia="SimSun" w:cs="SimSun"/>
          <w:color w:val="000000"/>
          <w:sz w:val="24"/>
        </w:rPr>
        <w:t xml:space="preserve">招标项目的潜在投标人应在“苏采云”系统内免费下载（投标人必须在苏采云系统中获取采购文件，方能参与政府采购项目）获取招标文件，并于</w:t>
      </w:r>
      <w:r>
        <w:rPr>
          <w:rFonts w:ascii="SimSun" w:hAnsi="SimSun" w:eastAsia="SimSun" w:cs="SimSun"/>
          <w:color w:val="000000"/>
          <w:sz w:val="24"/>
          <w:u w:val="single"/>
        </w:rPr>
        <w:t xml:space="preserve">2026年5月6日10点00分</w:t>
      </w:r>
      <w:r>
        <w:rPr>
          <w:rFonts w:ascii="SimSun" w:hAnsi="SimSun" w:eastAsia="SimSun" w:cs="SimSun"/>
          <w:color w:val="000000"/>
          <w:sz w:val="24"/>
        </w:rPr>
        <w:t xml:space="preserve">（北京时间）前递交投标文件。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1、项目编号：JSZC-320904-YCHY-G2026-0001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2、项目名称：2026年食品监督抽检项目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3、预算金额：173.6万元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4、最高限价：根据本项目特点，本次招标4家入围单位，共计2800批次，投标人按单批次进行报价，最高限价为620元/批次，投标报价高于最高限价的作无效标处理。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5、服务需求：</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年食品监督抽检项目，检测服务单位抽检品种包括：酒、食用油和油脂及其制品、肉制品、食用农产品、粮食及其制品等，具体详见采购需求。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年</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1.2.上一年度的财务状况报告（成立不满一年不需提供）。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为依法设立（注册）或相对独立的、并具备有效的计量认证CMA证书（证书应在有效期内，且其附表中必须满足招标文件的相关内容，提供计量认证CMA完整的附表）食品检验机构，具有独立法人资格或具有其法人机构的法定代表人授权的非独立法人食品检验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地点：“苏采云”系统，网址：http://jszfcg.jsczt.cn/（投标人必须在苏采云系统中获取采购文件，方能参与政府采购项目）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2026-05-6 10:00 （北京时间）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地点：“苏采云”系统中的“开标大厅”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2.有关本次招标的事项若存在变动或修改，敬请及时关注盐城市政府采购中心在“中国政府采购网”、“江苏政府采购网”、“盐城市政府采购网”发布的更正公告。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招标人：盐城市大丰区市场监督管理局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联系人：许智慧联系电话：18361611626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招标代理：盐城宏源工程管理有限公司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联系地址：盐城市大丰区黄海西路28号富贵园小区2幢201室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联系人：朱亮峰    联系电话：15950328527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人：朱亮峰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话：15950328527</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9"/>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p>
    <w:p>
      <w:pPr>
        <w:ind w:left="238"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一、投标须知前附表</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98"/>
        <w:gridCol w:w="2219"/>
        <w:gridCol w:w="1497"/>
        <w:gridCol w:w="3741"/>
      </w:tblGrid>
      <w:tr>
        <w:trPr>
          <w:trHeight w:val="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2026年食品监督抽检项目</w:t>
            </w:r>
            <w:r/>
          </w:p>
        </w:tc>
      </w:tr>
      <w:tr>
        <w:trPr>
          <w:trHeight w:val="10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2026年食品监督抽检项目，检测服务单位抽检品种包括：酒、食用油和油脂及其制品、肉制品、食用农产品、粮食及其制品等，具体详见采购需求。</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highlight w:val="white"/>
              </w:rPr>
              <w:t xml:space="preserve">大丰区境内</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分包划分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一个分包</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许智慧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18361611626</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朱亮峰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15950328527</w:t>
            </w:r>
            <w:r/>
          </w:p>
        </w:tc>
      </w:tr>
      <w:tr>
        <w:trPr>
          <w:trHeight w:val="9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本项目落实江苏省财政厅《关于做好政府采购支持企业发展有关事项的通知》(苏财购(2020)52号)文件精神，不收取投标保证金。</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在签订合同前，须向采购人交纳中标价10%的履约保证金，服务期满后无息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免交/降低履约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履约保证金形式：投标人应当以支票、汇票、本票或者金融机构、担保机构出具的保函等非现金形式提交。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退还时间：完成所有工作内容后30日内无息退还。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tc>
      </w:tr>
      <w:tr>
        <w:trPr>
          <w:trHeight w:val="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详见公告</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投标截止日起</w:t>
            </w:r>
            <w:r>
              <w:rPr>
                <w:rFonts w:ascii="SimSun" w:hAnsi="SimSun" w:eastAsia="SimSun" w:cs="SimSun"/>
                <w:color w:val="000000"/>
                <w:sz w:val="21"/>
                <w:u w:val="single"/>
              </w:rPr>
              <w:t xml:space="preserve">60</w:t>
            </w:r>
            <w:r>
              <w:rPr>
                <w:rFonts w:ascii="SimSun" w:hAnsi="SimSun" w:eastAsia="SimSun" w:cs="SimSun"/>
                <w:color w:val="000000"/>
                <w:sz w:val="21"/>
              </w:rPr>
              <w:t xml:space="preserve">天（日历天）</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1"/>
                <w:u w:val="single"/>
              </w:rPr>
              <w:t xml:space="preserve">2026年5月6日10点00分</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开标时间及地点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1"/>
                <w:u w:val="single"/>
              </w:rPr>
              <w:t xml:space="preserve">2026年5月6日10点00分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地点:“苏采云”系统中的“开标大厅”</w:t>
            </w:r>
            <w:r/>
          </w:p>
        </w:tc>
      </w:tr>
      <w:tr>
        <w:trPr>
          <w:trHeight w:val="12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电子投标文件一份(通过系统提交)；纸质投标文件正本一份，副本三份（评审结束后由中标候选人邮寄至盐城宏源工程管理有限公司（盐城市大丰区黄海西路南侧富贵园小区2幢201室）。</w:t>
            </w:r>
            <w:r/>
          </w:p>
        </w:tc>
      </w:tr>
      <w:tr>
        <w:trPr>
          <w:trHeight w:val="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最高限价为620元/批次，投标报价高于该最高限价的作无效标论处。</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评标办法</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综合评分法</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投标人如在投标过程中提供虚假材料谋取中标成交的或采取不正当手段诋毁、排挤其他投标人的,列入不良行为记录名单。</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解释权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本采购文件的最终解释权归采购单位所有。</w:t>
            </w:r>
            <w:r/>
          </w:p>
        </w:tc>
      </w:tr>
      <w:tr>
        <w:trPr>
          <w:trHeight w:val="1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质疑受理部门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联系部门：盐城市大丰区市场监督管理局/盐城宏源工程管理有限公司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联系电话：18361611626/15950328527</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通讯地址：盐城市大丰区黄海西路南侧富贵园小区2幢201室</w:t>
            </w:r>
            <w:r/>
          </w:p>
        </w:tc>
      </w:tr>
      <w:tr>
        <w:trPr>
          <w:trHeight w:val="10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投诉受理部门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7"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联系部门：盐城市大丰区财政局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通讯地址：江苏省盐城市大丰区飞达东路100号丰华大厦5楼</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0"/>
        </w:numPr>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总则</w:t>
      </w:r>
      <w:r/>
    </w:p>
    <w:p>
      <w:pPr>
        <w:ind w:left="0" w:right="0" w:firstLine="472"/>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适用范围</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本次项目仅适用于招标文件中所叙述项目的服务采购。</w:t>
      </w:r>
      <w:r/>
    </w:p>
    <w:p>
      <w:pPr>
        <w:ind w:left="0" w:right="0" w:firstLine="472"/>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定义</w:t>
      </w:r>
      <w:r/>
    </w:p>
    <w:p>
      <w:pPr>
        <w:ind w:left="0" w:right="0" w:firstLine="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 “采购人”、“采购单位”系指本次采购项目的业主方。</w:t>
      </w:r>
      <w:r/>
    </w:p>
    <w:p>
      <w:pPr>
        <w:ind w:left="0" w:right="0" w:firstLine="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 “采购代理机构”系指本次招标采购项目活动组织方。</w:t>
      </w:r>
      <w:r/>
    </w:p>
    <w:p>
      <w:pPr>
        <w:ind w:left="0" w:right="0" w:firstLine="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 “投标人”系指获取了本招标文件，且已经提交或者准备提交本次投标文件的制造商或供货商。</w:t>
      </w:r>
      <w:r/>
    </w:p>
    <w:p>
      <w:pPr>
        <w:ind w:left="0" w:right="0" w:firstLine="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 “投标文件有效期” 系指本次采购项目投标截止之日起至合同签订之日止的期限。</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不可抗力：不可预见、不能避免并且不能克服的客观情况。</w:t>
      </w:r>
      <w:r/>
    </w:p>
    <w:p>
      <w:pPr>
        <w:ind w:left="0" w:right="0" w:firstLine="482"/>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申请人的资格要求：详见招标公告</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三、招标文件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4．招标文件的构成</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4.1招标文件用以阐明招标项目所需的资质、技术、服务及报价等要求、招标投标程序、有关规定和注意事项以及合同主要条款等。本招标文件包括以下内容：</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4.1.1招标公告；</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4.1.2投标人须知；</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4.1.3合同主要条款及格式；</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4.1.4项目需求；</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4.1.5定标原则与评分标准；</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4.1.6投标文件格式。</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left="0" w:right="0" w:firstLine="480"/>
        <w:jc w:val="both"/>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4.3 </w:t>
      </w:r>
      <w:r>
        <w:rPr>
          <w:rFonts w:ascii="SimSun" w:hAnsi="SimSun" w:eastAsia="SimSun" w:cs="SimSun"/>
          <w:b/>
          <w:color w:val="000000"/>
          <w:sz w:val="24"/>
        </w:rPr>
        <w:t xml:space="preserve">勘察现场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无论投标人踏勘与否，都将被视为熟悉履行该项目有关的一切情况，并承担一切与投标有关的风险、责任和义务。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现场踏勘由各投标人自行实施，采购人不统一组织现场踏勘。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5．招标文件的澄清、修改及补充：</w:t>
      </w:r>
      <w:r/>
    </w:p>
    <w:p>
      <w:pPr>
        <w:ind w:left="0" w:right="0" w:firstLine="480"/>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任何要求对招标文件进行询问的投标人，应在投标截止日期15日前按招标公告中的通讯地址，向采购人或采购代理机构提出。</w:t>
      </w:r>
      <w:r/>
    </w:p>
    <w:p>
      <w:pPr>
        <w:ind w:left="0" w:right="0" w:firstLine="480"/>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标书以外的内容，一律拒绝答复。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本采购文件的最终解释权归采购单位所有</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8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四、投标文件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6．投标文件的编制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left="0" w:right="0" w:firstLine="480"/>
        <w:spacing w:before="0" w:after="0" w:line="479"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6.1.2无论投标过程中的做法和结果如何，投标人自行承担所有与参加投标有关的全部费用。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6.2投标语言及计量单位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6.2.1投标文件以及投标人与采购单位就有关投标事宜的所有来往函电均应使用简体中文书写。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6.2.2关于投标计量单位，招标文件已有明确规定的，使用招标文件规定的计量单位；招标文件没有规定的，应采用中华人民共和国法定计量单位。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6.2.4翻译的中文文件与外文文件如果出现差异和矛盾时，以中文为准。但不能故意错误翻译，否则，投标人的投标文件将作为无效投标处理。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6.3电子投标文件其他要求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6.3.1电子招标投标交易平台（即“苏采云”系统）相关要求是本招标文件的组成部分。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6.3.2投标人应对CA证书妥善保管，如被他人盗用投标，因此带来的结果均由投标人自行承担。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6.3.3投标人应当对招标文件提出的实质性要求和条件作出实质性响应，并在电子投标系统逐条应答。</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7．本项目落实江苏省财政厅《关于做好政府采购支持企业发展有关事项的通知》(苏财购(2020)52号)文件精神，不收取投标保证金。</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投标报价：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方应在招标文件所附的投标报价表上写明单价和投标总价，如单价与总价有出入，以单价为准。投标方只允许有一个报价，招标方不接受有任何选择的报价。除合同另有约定，投标人投标报价表上所标明的价格均为履约的固定价格，不得以任何理由予以变更。</w:t>
      </w:r>
      <w:r/>
    </w:p>
    <w:p>
      <w:pPr>
        <w:ind w:left="0" w:right="0" w:firstLine="4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8.2本项目最高限价：根据本项目特点，本次招标4家入围单位，共计2800批次，投标人按单批次进行报价，最高限价为620元/批次，投标报价高于最高限价的作无效标处理</w:t>
      </w:r>
      <w:r/>
    </w:p>
    <w:p>
      <w:pPr>
        <w:ind w:left="0" w:right="0" w:firstLine="4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8.3 投标报价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8.3.1报价应包含以下内容：固定单价报价，投标报价文件中的投标单价是履行合同的最终结算单价，投标报价应是在投标文件所承诺的服务期限内并达到投标人所承诺的质量标准为完成招标文件所确定的招标范围的全部内容所需费用的全部价格体现。投标人应充分考虑为完成上述内容所必须的应包括一年内为完成本项目服务可能发生的全部费用及利润和税金等（包括人员工资福利、津贴、高温费、劳保费、社会保险、服装费、人员食宿与交通、安全教育、安全管理、事故赔偿、工具费、设备的日常保养及人工费、）等一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8.3.2 开标一览表、投标价格表的报价一律用人民币（单位：元）填报。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8.4</w:t>
      </w:r>
      <w:r>
        <w:rPr>
          <w:rFonts w:ascii="SimSun" w:hAnsi="SimSun" w:eastAsia="SimSun" w:cs="SimSun"/>
          <w:color w:val="000000"/>
          <w:sz w:val="24"/>
        </w:rPr>
        <w:t xml:space="preserve">投标人在投标文件中应按照本招标文件所附的投标报价单样式进行报价，并计算总价。报价表必须由法定代表人或委托代理人签署。</w:t>
      </w:r>
      <w:r/>
    </w:p>
    <w:p>
      <w:pPr>
        <w:ind w:left="0" w:right="0" w:firstLine="47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9．线上投标文件编制要求，请按照以下要求（包括但不限于以下要求）制作：</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9.1基本目录</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（1）《开标一览表》（加盖电子签章，政府采购客户端工具输入报价自动生成）；</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（2）《法定代表人身份证明书》及《授权委托书》（加盖电子签章，格式见招标文件第六章《投标文件相关格式》）；</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9.2资格条件</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为依法设立（注册）或相对独立的、并具备有效的计量认证CMA证书（证书应在有效期内，且其附表中必须满足招标文件相关内容，提供计量认证CMA完整的附表）食品检验机构，具有独立法人资格或具有其法人机构的法定代表人授权的非独立法人食品检验机构。（提供证书）</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9.3符合条件（符合条件要求内容必须提供，且须加盖电子签章，格式见招标文件第六章《投标文件格式》，否则投标无效。</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①投标函；</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②投标分项报价表；</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（2）商务资信：</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①营业执照副本；</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②法定代表人身份证明书；</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③法定代表人授权委托书（如有）；</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④商务要求响应及偏离表。</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（3）服务内容响应：</w:t>
      </w:r>
      <w:r/>
    </w:p>
    <w:p>
      <w:pPr>
        <w:ind w:left="0" w:right="0" w:firstLine="472"/>
        <w:spacing w:before="0" w:after="0" w:line="47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服务需求响应及偏离表</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9.4企业声明函</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（1）投标人为中小企业（含中型、小型、微型企业，下同）的，</w:t>
      </w:r>
      <w:r>
        <w:rPr>
          <w:rFonts w:ascii="SimSun" w:hAnsi="SimSun" w:eastAsia="SimSun" w:cs="SimSun"/>
          <w:b/>
          <w:color w:val="000000"/>
          <w:sz w:val="24"/>
        </w:rPr>
        <w:t xml:space="preserve">提供《中小企业声明函》（加盖电子签章，填写完整，格式见招标文件第六章《投标文件格式》）</w:t>
      </w:r>
      <w:r>
        <w:rPr>
          <w:rFonts w:ascii="SimSun" w:hAnsi="SimSun" w:eastAsia="SimSun" w:cs="SimSun"/>
          <w:color w:val="000000"/>
          <w:sz w:val="24"/>
        </w:rPr>
        <w:t xml:space="preserve">。</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（2）投标人为监狱企业的等同于小微企业，</w:t>
      </w:r>
      <w:r>
        <w:rPr>
          <w:rFonts w:ascii="SimSun" w:hAnsi="SimSun" w:eastAsia="SimSun" w:cs="SimSun"/>
          <w:b/>
          <w:color w:val="000000"/>
          <w:sz w:val="24"/>
        </w:rPr>
        <w:t xml:space="preserve">提供省级以上监狱管理局、戒毒管理局（含新疆生产建设兵团）出具的属于监狱企业的证明文件。</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（3）投标人为享受政府采购支持政策的残疾人福利性单位的等同于小微企业，提供《残疾人福利性单位声明函》（加盖电子签章，格式见招标文件第六章《投标文件相关格式》）。</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9.5招标文件要求的其它证明资料和评标细则要求提供证明材料。</w:t>
      </w:r>
      <w:r/>
    </w:p>
    <w:p>
      <w:pPr>
        <w:ind w:left="0" w:right="0" w:firstLine="482"/>
        <w:spacing w:before="0" w:after="0" w:line="47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注：投标人应对以上文件的合法性、真实性负责，投标人提供的材料如有虚假，视为提供虚假材料谋取中标资格，将被列入不良行为记录名单。</w:t>
      </w:r>
      <w:r/>
    </w:p>
    <w:p>
      <w:pPr>
        <w:ind w:left="0" w:right="0" w:firstLine="463"/>
        <w:spacing w:before="0" w:after="0" w:line="47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10．投标文件线上格式要求</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10.1投标人应当通过“苏采云”系统提交数据电文形式的投标文件（即电子投标）。</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通过“苏采云”系统提交政府采购客户端工具导出加密的投标文件（后缀名为zip）。</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本项目采用线上投标，即投标人投标文件从政府采购客户端工具制作通过“苏采云”系统提交，未提供线上投标文件的，投标无效。</w:t>
      </w:r>
      <w:r/>
    </w:p>
    <w:p>
      <w:pPr>
        <w:ind w:left="0" w:right="0" w:firstLine="48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11．线上投标文件的密封、签署、盖章要求</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11.1投标文件的密封（加密）要求：</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11.2投标文件的签署要求：见招标文件第六章《投标文件相关格式》。</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说明：投标人应在用CA数字证书以及自备的能够登录“苏采云”系统的笔记本电脑，在达到开标时间后，使用CA数字证书解密各自投标文件。</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11.4投标人未按规定加密的投标文件，“苏采云”系统应当拒收并提示。</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投标文件的提交与接收</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投标文件提交与接收时间：</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线上提交与接收时间：提交投标文件截止时间（2026年5月6日10点00分）前。</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12.2投标文件提交与接收地点：</w:t>
      </w:r>
      <w:r/>
    </w:p>
    <w:p>
      <w:pPr>
        <w:ind w:left="0" w:right="-105"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13．投标文件的撤回与修改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13.1投标文件的撤回</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13.1.1电子投标文件的撤回</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投标人可在投标截止时间前，撤回其电子投标文件，具体操作方法见《江苏省政府采购（投标人）意源CA数字证书及电子签章办理指南》。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13.1.2投标人撤回电子投标文件，则认为其不再参与本项目投标活动。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投标文件的修改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投标人可在投标截止时间前，对其电子投标文件进行修改，具体操作方法见《江苏省政府采购（投标人）意源CA数字证书及电子签章办理指南》。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在投标截止时间之后，投标人不得对其电子投标文件作任何修改。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在投标截止时间至招标文件中规定的投标有效期满之间的这段时间内，投标人不得撤回其投标。</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054"/>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五、开标及资格审查</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14．开标、唱标、资格审查</w:t>
      </w:r>
      <w:r/>
    </w:p>
    <w:p>
      <w:pPr>
        <w:ind w:left="0" w:right="0" w:firstLine="47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 线上开标时，“苏采云”系统自动提取所有投标文件，投标人按招标文件规定方式按时在线解密。本项目招标文件规定的投标人按时在线解密方式：通过“苏采云”系统（使用“CA数字证书”）解密。</w:t>
      </w:r>
      <w:r/>
    </w:p>
    <w:p>
      <w:pPr>
        <w:ind w:left="0" w:right="0" w:firstLine="47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14.2所有投标人解密（或解密时间）结束后，“苏采云”系统生成开标记录并向社会公众公布，但依法应当保密的除外。</w:t>
      </w:r>
      <w:r/>
    </w:p>
    <w:p>
      <w:pPr>
        <w:ind w:left="0" w:right="0" w:firstLine="47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14.3开标时，《开标一览表》</w:t>
      </w:r>
      <w:r>
        <w:rPr>
          <w:rFonts w:ascii="SimSun" w:hAnsi="SimSun" w:eastAsia="SimSun" w:cs="SimSun"/>
          <w:color w:val="000000"/>
          <w:sz w:val="24"/>
        </w:rPr>
        <w:t xml:space="preserve">（报价表）内容与投标文件中相应内容不一致的，以《开标一览表》（报价表）为准。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投标文件、《开标一览表》（报价表）中报价的大写金额与小写金额不一致的，以大写金额为准。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单价金额小数点或者百分比有明显错位的，以《开标一览表》（报价表）的总价为准，并修改单价；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14.6总价金额与按单价汇总金额不一致的，以单价金额计算结果为准；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14.7同时出现14.3-14.6中两种以上不一致的,按照14.3-14.6的顺序修正。修正后的报价由法定代表人/单位负责人或其授权的代表签字确认后产生约束力，投标人不确认的，投标无效。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14.8对不同文字文本投标文件的解释发生异议的，以中文文本为准。</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14.9资格审查：</w:t>
      </w:r>
      <w:r>
        <w:rPr>
          <w:rFonts w:ascii="SimSun" w:hAnsi="SimSun" w:eastAsia="SimSun" w:cs="SimSun"/>
          <w:color w:val="000000"/>
          <w:sz w:val="24"/>
        </w:rPr>
        <w:t xml:space="preserve">开标结束后，依据法规政策和招标文件的规定，在对投标文件详细评估之前，</w:t>
      </w:r>
      <w:r>
        <w:rPr>
          <w:rFonts w:ascii="SimSun" w:hAnsi="SimSun" w:eastAsia="SimSun" w:cs="SimSun"/>
          <w:b/>
          <w:color w:val="000000"/>
          <w:sz w:val="24"/>
        </w:rPr>
        <w:t xml:space="preserve">采购人或采购代理机构</w:t>
      </w:r>
      <w:r>
        <w:rPr>
          <w:rFonts w:ascii="SimSun" w:hAnsi="SimSun" w:eastAsia="SimSun" w:cs="SimSun"/>
          <w:color w:val="000000"/>
          <w:sz w:val="24"/>
        </w:rPr>
        <w:t xml:space="preserve">将依据投标人提交的投标文件按招标公告第三项所述的资格标准对投标人进行资格审查,以确定其是否具备投标资格。如果投标人不具备投标资格、不满足招标文件所规定的资格标准或提供资格证明文件不全,其投标将被作为无效投标，不得参与下一环节的评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采购人及采购代理机构在进行资格性审查的同时，将在“信用中国”网站</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（www.creditchina.gov.cn）对投标人是否被列入失信被执行人、重大税收违法案件当事人名单、政府采购严重失信行为记录名单情况进行查询，以确定投标人是否具备投标资格。</w:t>
      </w:r>
      <w:r>
        <w:rPr>
          <w:rFonts w:ascii="SimSun" w:hAnsi="SimSun" w:eastAsia="SimSun" w:cs="SimSun"/>
          <w:b/>
          <w:color w:val="000000"/>
          <w:sz w:val="24"/>
        </w:rPr>
        <w:t xml:space="preserve">查询结果将以网页打印的形式留存并归档。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六、评标</w:t>
      </w:r>
      <w:r/>
    </w:p>
    <w:p>
      <w:pPr>
        <w:ind w:left="0" w:right="0" w:firstLine="482"/>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15．组建评标委员会</w:t>
      </w:r>
      <w:r/>
    </w:p>
    <w:p>
      <w:pPr>
        <w:ind w:left="0" w:right="0" w:firstLine="480"/>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SimSun" w:hAnsi="SimSun" w:eastAsia="SimSun" w:cs="SimSun"/>
          <w:b/>
          <w:color w:val="000000"/>
          <w:sz w:val="24"/>
        </w:rPr>
        <w:t xml:space="preserve">推荐4名合格的中标候选人。</w:t>
      </w:r>
      <w:r/>
    </w:p>
    <w:p>
      <w:pPr>
        <w:ind w:left="0" w:right="0" w:firstLine="482"/>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16．投标文件的审查</w:t>
      </w:r>
      <w:r/>
    </w:p>
    <w:p>
      <w:pPr>
        <w:ind w:left="0" w:right="0" w:firstLine="480"/>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16.1对所有投标人的评估，都采用相同的程序和标准。评标过程将严格按照招标文件的要求和条件进行。</w:t>
      </w:r>
      <w:r/>
    </w:p>
    <w:p>
      <w:pPr>
        <w:ind w:left="0" w:right="0" w:firstLine="480"/>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16.2评标委员会将对投标文件进行检查，以确定投标文件是否完整、有无计算上的错误、文件是否已正确签署等。</w:t>
      </w:r>
      <w:r/>
    </w:p>
    <w:p>
      <w:pPr>
        <w:ind w:left="0" w:right="0" w:firstLine="463"/>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16.3评标委员会将对确定为实质性响应的投标文件进行进一步评审，看其是否有计算上或累加上的算术错误，修正错误的原则如下：</w:t>
      </w:r>
      <w:r/>
    </w:p>
    <w:p>
      <w:pPr>
        <w:ind w:left="0" w:right="0" w:firstLine="461"/>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16.3.1如果用数字表示的金额和用文字表示的金额不一致时，应以文字表示的金额为准进行修正；</w:t>
      </w:r>
      <w:r/>
    </w:p>
    <w:p>
      <w:pPr>
        <w:ind w:left="0" w:right="0" w:firstLine="461"/>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16.3.2当单价与数量的乘积和总价不一致时，以单价为准进行修正。只有在评委会认为单价有明显的小数点错误时，才能以标出的总价为准，并修改单价；</w:t>
      </w:r>
      <w:r/>
    </w:p>
    <w:p>
      <w:pPr>
        <w:ind w:left="0" w:right="0" w:firstLine="461"/>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16.3.3评标委员会将按上述修正错误的方法调整投标文件中的投标价，调整后的价格应对投标人具有约束力。如果投标人不接受修正后的价格，则其投标将被拒绝；</w:t>
      </w:r>
      <w:r/>
    </w:p>
    <w:p>
      <w:pPr>
        <w:ind w:left="0" w:right="0" w:firstLine="461"/>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16.3.4评委会将允许修正投标文件中不构成重大偏离的、微小的、非正规的、不一致的或不规则的地方，但这些修改不能影响任何投标人相应的名次排列。</w:t>
      </w:r>
      <w:r/>
    </w:p>
    <w:p>
      <w:pPr>
        <w:ind w:left="0" w:right="0" w:firstLine="463"/>
        <w:spacing w:before="0" w:after="0" w:line="47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16.4符合性检查：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SimSun" w:hAnsi="SimSun" w:eastAsia="SimSun" w:cs="SimSun"/>
          <w:b/>
          <w:color w:val="000000"/>
          <w:sz w:val="24"/>
        </w:rPr>
        <w:t xml:space="preserve">无效投标</w:t>
      </w:r>
      <w:r>
        <w:rPr>
          <w:rFonts w:ascii="SimSun" w:hAnsi="SimSun" w:eastAsia="SimSun" w:cs="SimSun"/>
          <w:color w:val="000000"/>
          <w:sz w:val="24"/>
        </w:rPr>
        <w:t xml:space="preserve">。凡有下列情况之一者，投标文件将被视为未实质性响应招标文件要求。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（1）投标人未按照招标文件要求上传电子投标文件的；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（2）投标人未在规定解密时间内进行解密；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（3）投标人在报价时采用选择性报价；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（4）投标人不具备招标文件中规定资格要求的；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（5）投标人的报价超过了采购预算或最高限价的；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（6）未通过符合性检查的；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（7）不符合招标文件中规定的其他实质性要求和条件的；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（8）投标人串通投标；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（9）投标文件含有采购人不能接受的附加条件的；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（10）不符合招标文件中规定的其它实质性条款以及法律法规规定的其他情形；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（11）被“信用中国”网站（www.creditchina.gov.cn）列入失信被执行人、重大税收违法案件当事人名单、政府采购严重失信行为记录名单；</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（12）异常低价投标（响应）审查</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 的，即投标（响应）报价&lt;采购项目预算×50%；</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（13）投标文件未按照招标文件要求加盖电子签章；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（14）组成联合体投标未提供联合体各方共同投标协议的；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（15）在同一招标项目中，联合体成员以自己名义单独投标或者参加其他联合体投标的；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（16）其他法律、法规及本招标文件规定的属无效投标的情形。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评标委员会决定投标响应性只根据投标文件本身的内容，而不寻求其他的外部证据。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16.5在评审过程中，评标委员会发现投标人有下列情形之一的，可以认定属于串标、围标的行为。具体表现形式如下：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16.5.1不同投标人的投标文件异常一致或者投标报价呈规律性差异的。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16.5.2不同投标人的投标文件由同一单位或个人编制的。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16.5.3不同投标人的投标文件载明的项目管理成员为同一人的。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16.5.4不同投标人的投标文件相互混装的。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16.5.5不同投标人授权同一人作为投标人代表的。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16.5.6有证据证明投标人与采购单位、采购代理机构或其他投标人串通的其他情形的。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16.5.7评标委员会认定的其他串标、围标情形。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16.6有下列情形之一的予以废标，同时将废标理由通知所有服务单位：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（1）符合专业条件的服务单位或者对招标文件作实质性响应的服务单位不足三家的；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（3）服务单位的报价均超过了采购预算或最高限价的，采购人不能支付的；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（5）投标文件存在歧义、重大缺陷，或者招标文件内容违反国家有关强制性规定的。</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17．比较与评价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17.1评标委员会将按本招标文件规定的评标方法与标准，对资格性检查和符合性检查合格的投标文件进行商务和技术评估，综合比较与评价。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17.2对漏（缺）报项的处理：招标文件中要求列入报价的费用（含配置、功能），漏（缺）报的视同已含在投标总价中。对多报项及赠送项的价格评标时不予核减，全部进入评标评议。</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18．评标过程及保密原则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18.1凡与本次招标有关人员对属于审查、澄清、评价和比较投标的有关资料以及定标意向等，均不得向投标人或其他人员透露。否则,将按有关规定追究相关人员的责任。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18.2在评标期间，投标人试图影响或干预评审的任何行为，将导致其投标被作为无效投标，并承担相应的法律责任。</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七、定标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19．定标原则</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19.1本项目采用</w:t>
      </w:r>
      <w:r>
        <w:rPr>
          <w:rFonts w:ascii="SimSun" w:hAnsi="SimSun" w:eastAsia="SimSun" w:cs="SimSun"/>
          <w:color w:val="000000"/>
          <w:sz w:val="24"/>
          <w:u w:val="single"/>
        </w:rPr>
        <w:t xml:space="preserve"> 综合评分 </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前四的投标人为中标候选人，本项目选取4名中标候选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20．确定中标投标人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采购人将根据评标委员会的书面评标报告，依据法律法规确定中标人。采购人不得在评标委员会推荐的中标候选人之外确定中标人，否则中标结果无效。</w:t>
      </w:r>
      <w:r/>
    </w:p>
    <w:p>
      <w:pPr>
        <w:numPr>
          <w:ilvl w:val="0"/>
          <w:numId w:val="1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中标通知书和签订合同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评审结束后，中标公告在江苏省政府采购网、盐城市政府采购网发布；公示结束向中标投标人发出中标通知书。中标通知书成为合同文件的组成部分，具有法律效力。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中标投标人在规定的时间内不领取中标通知书的，视为中标后自动放弃中标资格，承担由此引起的一切后果。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21.3采购单位与中标投标人应当在《中标通知书》发出之日起三十日内，按采购文件确定的事情签订政府采购合同，合同在签订之日2个工作日内在盐城市政府采购网http://czj.yancheng.gov.cn/col/col2383/index.html上公示。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中标单位如果未按中标通知书规定日期与采购单位签订合同，或要求更改招标文件内容而拖延合同签订，按照政府采购法相关法律法规执行。</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质疑和投诉：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质疑投标人是指直接参加本次投标活动的投标人，未参加投标活动的投标人或在投标活动中自身权益未受到损害的投标人所提出的质疑不予受理。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质疑投标人必须以书面形式向采购人、采购代理机构提出质疑。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（1）投标人的姓名或者名称、地址、邮编、联系人及联系电话；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采购人或代理机构在收到投标人的书面质疑后将及时组织调查核实，在七个工作日内作出答复，并以书面形式通知质疑投标人，答复的内容不涉及商业秘密。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质疑或投诉程序：</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投标人或者其他利害关系人不按规定投诉或通过捏造事实、伪造证明材料等方式提出异议或投诉，影响招投标活动正常进行的，招投标行政监督部门不予受理，并给予警告。</w:t>
      </w:r>
      <w:r/>
    </w:p>
    <w:p>
      <w:pPr>
        <w:ind w:left="0" w:right="0" w:firstLine="480"/>
        <w:jc w:val="both"/>
        <w:spacing w:before="50" w:after="0" w:line="479" w:lineRule="atLeast"/>
        <w:tabs>
          <w:tab w:val="left" w:pos="47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 恶意投诉情形：</w:t>
        <w:tab/>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下列情况之一，投标人的投诉将被界定为恶意投诉，监管机构将对投诉人按有关规定列入不良记录名单并上网公示，投标人今后参与政府项目将受到影响：</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（1）未按规定向投诉处理部门投诉或向不同部门多方投诉的；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（2）不符合投诉受理条件，被告知后仍进行投诉的；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（3）投诉处理部门受理投诉后，投诉人仍就同一内容向其他部门进行投诉的；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（4）捏造事实、伪造材料进行投诉或在网络等媒体上进行失实报道的；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（5）投诉经查失实，被告知后，仍然恶意缠诉的；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（6）一年内三次以上失实投诉的；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（7）直接向领导、纪委、检察部门写匿名信等。</w:t>
      </w:r>
      <w:r/>
    </w:p>
    <w:p>
      <w:pPr>
        <w:ind w:left="0" w:right="0" w:firstLine="482"/>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其他</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投标人有下列行为之一造成招标人重新招标的，招标人重新招标时可以拒绝其参加投标：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（1）无故放弃中标；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（2）串通投标；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（3）存在弄虚作假行为；</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（4）以可能影响履约的异常低价参加投标；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（5）其他违反法律、法规的行为。</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left="0" w:right="0" w:firstLine="482"/>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电子招标投标交易平台</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7" w:tooltip="http://jszfcg.jsczt.cn/" w:history="1">
        <w:r>
          <w:rPr>
            <w:rStyle w:val="891"/>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）相关要求是本招标文件的组成部分。</w:t>
      </w:r>
      <w:r/>
    </w:p>
    <w:p>
      <w:pPr>
        <w:numPr>
          <w:ilvl w:val="0"/>
          <w:numId w:val="12"/>
        </w:numPr>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政府采购履约资金扶持政策</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br w:type="page" w:clear="all"/>
      </w:r>
      <w:r/>
    </w:p>
    <w:p>
      <w:pPr>
        <w:pStyle w:val="865"/>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rPr>
          <w:rFonts w:ascii="SimHei" w:hAnsi="SimHei" w:eastAsia="SimHei" w:cs="SimHei"/>
          <w:b/>
          <w:color w:val="000000"/>
          <w:sz w:val="36"/>
          <w:u w:val="none"/>
        </w:rPr>
        <w:t xml:space="preserve">合同条款及</w:t>
      </w:r>
      <w:r>
        <w:rPr>
          <w:rFonts w:ascii="SimHei" w:hAnsi="SimHei" w:eastAsia="SimHei" w:cs="SimHei"/>
          <w:b/>
          <w:color w:val="000000"/>
          <w:sz w:val="36"/>
        </w:rPr>
        <w:t xml:space="preserve">格式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项目名称：项目编号：</w:t>
      </w:r>
      <w:r/>
    </w:p>
    <w:p>
      <w:pPr>
        <w:ind w:left="0" w:right="0" w:firstLine="36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36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甲、乙双方根据项目公开招标的结果，签署本合同。</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一、合同价款</w:t>
      </w:r>
      <w:r/>
    </w:p>
    <w:p>
      <w:pPr>
        <w:ind w:left="0" w:right="0" w:firstLine="4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本项目合同价款为</w:t>
      </w:r>
      <w:r>
        <w:rPr>
          <w:rFonts w:ascii="SimSun" w:hAnsi="SimSun" w:eastAsia="SimSun" w:cs="SimSun"/>
          <w:b/>
          <w:color w:val="000000"/>
          <w:sz w:val="24"/>
        </w:rPr>
        <w:t xml:space="preserve">人民币元（¥ </w:t>
      </w:r>
      <w:r>
        <w:rPr>
          <w:rFonts w:ascii="SimSun" w:hAnsi="SimSun" w:eastAsia="SimSun" w:cs="SimSun"/>
          <w:b/>
          <w:color w:val="000000"/>
          <w:sz w:val="24"/>
          <w:u w:val="single"/>
        </w:rPr>
        <w:t xml:space="preserve">         元</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二、质量要求、技术标准及售后服务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1.乙方应遵照《食品安全法》、《食品安全抽样检验管理办法》和《食品安全监督抽检和风险监测工作规范》等要求执行食品安全抽检工作。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抽样时间：按照甲方实际需求确定时间。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抽样地点：根据甲方实际工作要求确定具体抽样地点。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抽样人员：每次抽检由乙方安排2名以上具备食品抽样资格的工作人配合采购方抽样，承诺配备能同时出动2组（2人一组）或以上专业抽样人员。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样品运输：由乙方负责，并确保样品安全。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交通工具：乙方单日能安排配套的抽样车辆2台（提供行驶证），并配有车载冰箱。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乙方在完成抽样检验工作后三个工作日内完成对检验检测数据分析研判并编制检验检测结果分析报告提供给甲方。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24小时内填写《食品安全抽检限时报告情况表》，将问题或有关情况报告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9.乙方在抽样时应向甲方提供技术指导，提高抽样的针对性和不合格产品检出率，合同期内食品（不含餐具）抽检不合格率不低于2%。</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三、付款方式</w:t>
      </w:r>
      <w:r>
        <w:rPr>
          <w:rFonts w:ascii="SimSun" w:hAnsi="SimSun" w:eastAsia="SimSun" w:cs="SimSun"/>
          <w:color w:val="000000"/>
          <w:sz w:val="24"/>
        </w:rPr>
        <w:t xml:space="preserve">：合同签订后，乙方须提供税务发票后10个工作日内支付合同总额10%的预付款，服务期满考核后付至合同价款的90%，服务期满当年年底付清余款(以上付款无任何利息补偿)。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四、检验期限：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1、原则上乙方应在抽样之日起 30 日内出具检验报告。组织抽检监测工作的甲方与乙方另有约定的，从其约定。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2、检验结论由乙方报送甲方。检验结论为合格的，在做出结论后10个工作日内报送。检验结论为不合格的，在结论做出后的2个工作日内报送。</w:t>
      </w:r>
      <w:r/>
    </w:p>
    <w:p>
      <w:pPr>
        <w:ind w:left="0" w:right="0" w:firstLine="361"/>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五、知识产权：</w:t>
      </w:r>
      <w:r>
        <w:rPr>
          <w:rFonts w:ascii="SimSun" w:hAnsi="SimSun" w:eastAsia="SimSun" w:cs="SimSun"/>
          <w:color w:val="000000"/>
          <w:sz w:val="24"/>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363" w:right="0" w:hanging="48"/>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36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6.1本项目不需要缴纳履约保证金。</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七、违约责任：按照标书的规定和国家的有关规定处理。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1、乙方在履行合同中产生的一切非因甲方过错导致的损失，均由乙方自行承担责任。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2、乙方因违反抽样、检验、信息披露等相关规定的，甲方有权取消其承检资格并追究其经济赔偿责任和法律责任。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3、乙方对检验结果的真实性负责，由于虚假、错误检验数据和结论而给被检人造成损失的，或者给社会带来不良影响的，取消其承检资格，乙方承担赔偿责任及相应法律责任。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5、对中标人在开展抽检监测过程中弄虚作假或不配合采购人开展工作的，取消其承检资格。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6、除采购方同意外，中标人不得将检验任务外包或分包给其他检验机构检验，一经发现，立即取消承检资格。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每次任务的抽检品种和项目由采购方确定，中标人必须具备该任务所有检验项目的</w:t>
      </w:r>
      <w:r>
        <w:rPr>
          <w:rFonts w:ascii="SimHei" w:hAnsi="SimHei" w:eastAsia="SimHei" w:cs="SimHei"/>
          <w:b/>
          <w:color w:val="000000"/>
          <w:sz w:val="24"/>
        </w:rPr>
        <w:t xml:space="preserve">资质认定</w:t>
      </w:r>
      <w:r>
        <w:rPr>
          <w:rFonts w:ascii="SimSun" w:hAnsi="SimSun" w:eastAsia="SimSun" w:cs="SimSun"/>
          <w:b/>
          <w:color w:val="000000"/>
          <w:sz w:val="24"/>
        </w:rPr>
        <w:t xml:space="preserve">CMA资质，检验项目的检验方法需与食品安全国家标准、食品安全江苏省地方标准或国家市场监管总局《食品安全抽检实施细则》（2025年版）要求一致，方有资格承担该任务。</w:t>
      </w:r>
      <w:r>
        <w:rPr>
          <w:rFonts w:ascii="SimSun" w:hAnsi="SimSun" w:eastAsia="SimSun" w:cs="SimSun"/>
          <w:color w:val="000000"/>
          <w:sz w:val="24"/>
        </w:rPr>
        <w:t xml:space="preserve">如中标人均不具备承检资格，采购方将视实际情况决定是否另行委托其他所有项目均取得资质认定</w:t>
      </w:r>
      <w:r>
        <w:rPr>
          <w:rFonts w:ascii="SimSun" w:hAnsi="SimSun" w:eastAsia="SimSun" w:cs="SimSun"/>
          <w:b/>
          <w:color w:val="000000"/>
          <w:sz w:val="24"/>
        </w:rPr>
        <w:t xml:space="preserve">CMA</w:t>
      </w:r>
      <w:r>
        <w:rPr>
          <w:rFonts w:ascii="SimSun" w:hAnsi="SimSun" w:eastAsia="SimSun" w:cs="SimSun"/>
          <w:color w:val="000000"/>
          <w:sz w:val="24"/>
        </w:rPr>
        <w:t xml:space="preserve">资质的检验机构承担。</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八、不可抗力事件处理</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在合同有效期内，任何一方因不可抗力事件导致不能履行合同，则合同履行期可延长，其延长期与不可抗力影响期相同。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不可抗力事件发生后，应立即通知对方，并寄送有关权威机构出具的证明。</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不可抗力事件延续120天以上，双方应通过友好协商，确定是否继续履行合同。</w:t>
      </w:r>
      <w:r/>
    </w:p>
    <w:p>
      <w:pPr>
        <w:ind w:left="0" w:right="0" w:firstLine="361"/>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九、诉讼</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双方在执行合同中所发生的一切争议，应通过协商解决。如协商不成，可向合同签订地法院起诉，合同签订地在此约定为盐城市大丰区。</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十、合同生效及其它</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合同经双方法定代表人或授权委托代表人签字并加盖单位公章后生效。</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10.2本合同未尽事宜，遵照《中华人民共和国民法典》和指标文件有关条文执行。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本合同正本一式伍份，具有同等法律效力，甲方、乙方各执贰份，招标代理机构壹份。</w:t>
      </w:r>
      <w:r/>
    </w:p>
    <w:p>
      <w:pPr>
        <w:ind w:left="111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63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63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630" w:right="0" w:firstLine="144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rPr>
          <w:rFonts w:ascii="SimSun" w:hAnsi="SimSun" w:eastAsia="SimSun" w:cs="SimSun"/>
          <w:color w:val="000000"/>
          <w:sz w:val="21"/>
        </w:rPr>
        <w:t xml:space="preserve">                </w:t>
      </w:r>
      <w:r>
        <w:rPr>
          <w:rFonts w:ascii="SimSun" w:hAnsi="SimSun" w:eastAsia="SimSun" w:cs="SimSun"/>
          <w:color w:val="000000"/>
          <w:sz w:val="24"/>
        </w:rPr>
        <w:t xml:space="preserve">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政府采购合同履约验收书（参考格式）</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7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bl>
    <w:p>
      <w:pPr>
        <w:ind w:left="0" w:right="0" w:firstLine="493"/>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一、抽检品种、检验项目：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详见附件：《盐城市2026年食品监督抽检项目》计划</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注：抽检品种及抽检项目从《盐城市2026年食品监督抽检项目》计划中筛选（具体情况以采购方抽检计划为准，检测项目按标书中相对应项目执行)，具体结算以实际完成批次为结算依据。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二、其它说明：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㈠、商务要求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1、投标报价包括：人力成本、设备成本、购样费、检验费、利润、税金、招标代理费和其他不可预见费用等完成本项目所需的全部费用的总和，采购方不再支付其他任何费用。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2、服务期：一年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3、完工地点：采购人指定地点。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㈡、技术要求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①抽样时间：按照采购方实际需求确定时间。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②抽样地点：根据实际工作要求，由采购方确定具体抽样地点。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③抽样人员：每次抽检由中标人安排2名以上工作人配合采购方抽样，承诺配备能同时出动2组（2人一组）或以上专业抽样人员。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④抽样办法：根据检验项目及国家标准中规定的采样方法及采样数量抽取样品。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⑤检验依据：依据食品安全国家标准、食品安全江苏省地方标准或国家食药监总局《食品安全监督抽检实施细则》（2025年版）要求一致。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⑥样品运输：由中标人负责，并确保样品安全。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⑦样品检验：由中标人负责，并对样品检验结果负责。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⑧交通工具：中标人单日能安排配套的抽样车辆2台（投标时提供行驶证正副本复印件加盖投标单位公章），并配有车载冰箱。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⑨抽检方案：由采购方提供具体的项目实施方案。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①中标人负责提供每次抽检所需的交通工作，积极配合抽检工作。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②实验室检验设备、检验人员充实，能满足食品检验的特殊要求，能按时按质完成抽检任务，出具合法有效的检验报告。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③中标人技术服务水平高，采样操作规范，实验室质量控制严格，中标人须以承诺函的形式承诺近3年无食品检验数据严重质量问题。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⑤食品安全抽检监测工作遵照《食品安全抽样检验管理办法》和国家食药监总局制定的《食品安全监督抽检和风险监测工作规范》执行。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⑥中标人对其抽取的样品负责，检验结果反映送检样品的真实状况。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⑦中标人应针对每次任务提供承接项目的质量保障计划、措施和结果，保证原始记录规范完整，并接受采购人组织的专家检验及评估。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㈢、其他事项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①中标人必须自觉接受采购方的考核、检查、比对。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②投标人须具有与承担的食品安全抽检监测任务相匹配的工作人员、仪器设备、实验室环境设施；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③投标人须拥有安全有效的实验室信息化管理系统和信息分析汇总人员，能够完成食品安全抽检监测数据上报和结果分析工作。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④投标人须同时承担抽样任务的，应当具有与抽样工作相匹配的专职抽样人员、抽样工具、设备等条件；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⑤投标人须具有承担食品安全监督抽检或风险监测检验任务的工作能力；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⑥投标人须检验活动中无重大差错，能够保证检验结果质量，参加与检验任务相关的能力验证并取得满意结果。</w:t>
      </w:r>
      <w:r/>
    </w:p>
    <w:p>
      <w:pPr>
        <w:ind w:left="0" w:right="0" w:firstLine="49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⑦中标入围单位数量为4家，每家完成的工作量为总批次的25%。</w:t>
        <w:br w:type="page" w:clear="all"/>
      </w:r>
      <w:r/>
    </w:p>
    <w:p>
      <w:pPr>
        <w:pStyle w:val="865"/>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第五章定标原则与评标标准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一、定标原则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 综合评分 </w:t>
      </w:r>
      <w:r>
        <w:rPr>
          <w:rFonts w:ascii="SimSun" w:hAnsi="SimSun" w:eastAsia="SimSun" w:cs="SimSun"/>
          <w:color w:val="000000"/>
          <w:sz w:val="21"/>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前四名的投标人为中标候选人，本项目选取4名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（1）本项目对小型和微型企业产品给予20%的扣除价格，用扣除后的价格参与评审。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（4）在货物采购项目中，供应商提供的货物既有中小企业制造货物，也有大型企业制造货物的，不享受本办法规定的中小企业扶持政策。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二、评标标准</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83"/>
        <w:gridCol w:w="2183"/>
        <w:gridCol w:w="2183"/>
        <w:gridCol w:w="2183"/>
      </w:tblGrid>
      <w:tr>
        <w:trPr>
          <w:trHeight w:val="6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评分类目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满分分值</w:t>
            </w:r>
            <w:r/>
          </w:p>
        </w:tc>
      </w:tr>
      <w:tr>
        <w:trPr>
          <w:trHeight w:val="76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以有效投标文件的最低投标价为评标基准价，投标价等于评标基准价的得满分；偏离评标基准价的，得分＝（评标基准价/投标价格）×10（保留两位小数）</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说明：上述方法的评标基准价不因评标后招投标当事人质疑、投诉、复议以及其它任何情形而改变（计算错误除外）。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1、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157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人员（19分）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具有与食品安全监督抽检和风险监测工作相匹配的专职抽样人员和检验人员</w:t>
            </w:r>
            <w:r>
              <w:rPr>
                <w:rFonts w:ascii="SimSun" w:hAnsi="SimSun" w:eastAsia="SimSun" w:cs="SimSun"/>
                <w:b/>
                <w:color w:val="000000"/>
                <w:sz w:val="24"/>
              </w:rPr>
              <w:t xml:space="preserve">（以提供的人员岗位证明、学历、职称原件、社保证明等能证明在该单位供职的证明及清单为准，抽样人员和检验人员不能同时申报）</w:t>
            </w:r>
            <w:r>
              <w:rPr>
                <w:rFonts w:ascii="SimSun" w:hAnsi="SimSun" w:eastAsia="SimSun" w:cs="SimSun"/>
                <w:color w:val="000000"/>
                <w:sz w:val="24"/>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①专职抽样人员有一人得0.5分，最高得5分；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②具有食品或食用农产品相关检测职称的检验人员有一人得0.25分，最高得4分；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③检验人员编配其中有正高职称的 1 人得 1分；高工或博士 1 人得 0.5分；检验人员中有硕士或中级职称的，每有10人得1分，没有不得分，最高得 4分。</w:t>
            </w:r>
            <w:r>
              <w:rPr>
                <w:rFonts w:ascii="SimSun" w:hAnsi="SimSun" w:eastAsia="SimSun" w:cs="SimSun"/>
                <w:b/>
                <w:color w:val="000000"/>
                <w:sz w:val="24"/>
              </w:rPr>
              <w:t xml:space="preserve">（职称和学历分数就高计算，不重复计算）</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检验人员中获得食品检验检测类奖的省级以上加3分，市级加2分,县级得1分；或检验人员中在省级食品检验检测类的比赛（评比）中获奖的加3分，在市级食品检验检测类的比赛（评比）中获奖的加2分，在县级食品检验检测类的比赛（评比）中获奖的加1分，没有不加分</w:t>
            </w:r>
            <w:r>
              <w:rPr>
                <w:rFonts w:ascii="SimSun" w:hAnsi="SimSun" w:eastAsia="SimSun" w:cs="SimSun"/>
                <w:b/>
                <w:color w:val="000000"/>
                <w:sz w:val="24"/>
              </w:rPr>
              <w:t xml:space="preserve">（应提供相关证明材料原件）</w:t>
            </w:r>
            <w:r>
              <w:rPr>
                <w:rFonts w:ascii="SimSun" w:hAnsi="SimSun" w:eastAsia="SimSun" w:cs="SimSun"/>
                <w:color w:val="000000"/>
                <w:sz w:val="24"/>
              </w:rPr>
              <w:t xml:space="preserve">，最高得3分。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⑤检验人员中有国家级中国合格评审国家认可委员会（CNAS）评审员或国家级资质认定（CMA）评审员资质资质的加3分；具有省级资质认定（CMA）评审员资质的加2分。本项最高得3分</w:t>
            </w:r>
            <w:r>
              <w:rPr>
                <w:rFonts w:ascii="SimSun" w:hAnsi="SimSun" w:eastAsia="SimSun" w:cs="SimSun"/>
                <w:b/>
                <w:color w:val="000000"/>
                <w:sz w:val="24"/>
              </w:rPr>
              <w:t xml:space="preserve">（应提供相关证明材料原件）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注:投标时需提供相关人员岗位证明、学历、职称原件及复印件加盖投标单位公章，所有材料应当清晰可识别。（以上人员必须是本单位在职人员，投标时提供开标前6个月内在本单位缴纳保险清单作</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为证明，注明缴费起止时间且加盖社保部门有效印章，应提供官方二维码查询。）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上述事项一旦发现造假情形，一律不得分。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r>
      <w:tr>
        <w:trPr>
          <w:trHeight w:val="465"/>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21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21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实验室设备及车辆（30分）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与食品安全监督抽检和风险监测工作相适应的检验检测仪器设备进行评价：具有满足食品安全检测的液质联用仪、气质联用仪、气相色谱、液相色谱、原子吸收分光光度计、原子荧光分光光度计、离子色谱仪、电感耦合等离子体质谱仪（ICP-MS）、固相萃取仪、全自动凝胶净化及浓缩定量系统(凝胶色谱仪)、紫外分光光度计等常用必备设备，得6分，每少一台扣1分，直至扣完。投标人在满足以上仪器基础上，每多一台大型设备加0.5分，最多加8分（大型仪器指：液质联用仪、气质联用仪、气相色谱、液相色谱、离子色谱仪、电感耦合等离子体质谱仪（IC</w:t>
            </w:r>
            <w:r>
              <w:rPr>
                <w:rFonts w:ascii="SimSun" w:hAnsi="SimSun" w:eastAsia="SimSun" w:cs="SimSun"/>
                <w:color w:val="000000"/>
                <w:sz w:val="24"/>
              </w:rPr>
              <w:t xml:space="preserve">P-MS）这6种仪器）。本项满分14分。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需提供仪器设备清单、仪器设备在投标人实验室的摆放位置照片及仪器设备的维护保养记录，购买设备票据或租赁协议发票，计量证书和计量确认证明复印件加盖投标单位公章。（证明资料提供不全的，少一台扣0.5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r>
      <w:tr>
        <w:trPr>
          <w:trHeight w:val="12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具备满足食品安全监督抽检和风险监测工作要求的抽样工具、车辆和特殊贮存条件要求的运输设备。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①实验室拥有专业抽样工具（必须具备：车载冰箱、无菌采样箱、粮油等采样器、食用农产品及餐饮食品专业采样袋等）的，得 9分；（</w:t>
            </w:r>
            <w:r>
              <w:rPr>
                <w:rFonts w:ascii="SimSun" w:hAnsi="SimSun" w:eastAsia="SimSun" w:cs="SimSun"/>
                <w:b/>
                <w:color w:val="000000"/>
                <w:sz w:val="24"/>
              </w:rPr>
              <w:t xml:space="preserve">以提供的设备清单及图片为准，提供不全的本项不得分）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②有2辆抽样车辆的得2分，每多提供1辆抽样车辆加1分，最多得5分；有冷藏车的，加 2 分，本项最多的7分。</w:t>
            </w:r>
            <w:r>
              <w:rPr>
                <w:rFonts w:ascii="SimSun" w:hAnsi="SimSun" w:eastAsia="SimSun" w:cs="SimSun"/>
                <w:b/>
                <w:color w:val="000000"/>
                <w:sz w:val="24"/>
              </w:rPr>
              <w:t xml:space="preserve">（车辆如是自有，以提供的行驶证正副本复印件加盖投标人公章为准；如是租赁，需提供租赁协议。）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17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专业及研究(18分)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1.投标人在职人员在国家级中文核心专业刊物上发表食品检验类相关论文的，得3分；在省级专业刊物上发表食品检验类相关论文的，得1分。本项最高得3分。</w:t>
            </w:r>
            <w:r>
              <w:rPr>
                <w:rFonts w:ascii="SimSun" w:hAnsi="SimSun" w:eastAsia="SimSun" w:cs="SimSun"/>
                <w:b/>
                <w:color w:val="000000"/>
                <w:sz w:val="24"/>
              </w:rPr>
              <w:t xml:space="preserve">（提供相关证明材料，只需提供一份，以最高级别为准，否则不得分）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2023年1月1日以来，承担食品、食用农产品检验类等相关的科研情况进行评审：承担课题为省部级以上课题的，得6分；承担课题为市厅级的，得5分；承担课题为县级的，得4分；其他不得分，以最高奖项（得分项）计分，不重复计分</w:t>
            </w:r>
            <w:r>
              <w:rPr>
                <w:rFonts w:ascii="SimSun" w:hAnsi="SimSun" w:eastAsia="SimSun" w:cs="SimSun"/>
                <w:b/>
                <w:color w:val="000000"/>
                <w:sz w:val="24"/>
              </w:rPr>
              <w:t xml:space="preserve">【投标人投标时需同时提供承担课题的合同书原件或协议原件及相关证明，否则不得分】</w:t>
            </w:r>
            <w:r>
              <w:rPr>
                <w:rFonts w:ascii="SimSun" w:hAnsi="SimSun" w:eastAsia="SimSun" w:cs="SimSun"/>
                <w:color w:val="000000"/>
                <w:sz w:val="24"/>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专业及研究。 根据投标人2023年1月1日以来参加省级或以上食品主管部门、CNAS及CNAS的能力验证提供者的能力验证情况，农药残留、兽药残留、重金属、真菌毒素、食品添加剂、非法添加、微生物、动物源性等8个领域全部覆盖1次，并且结果满意的得7分，每缺少1个领域扣1分，扣完为止。满分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4.投标人或其集团内公司有复检能力得2分。</w:t>
            </w:r>
            <w:r>
              <w:rPr>
                <w:rFonts w:ascii="SimSun" w:hAnsi="SimSun" w:eastAsia="SimSun" w:cs="SimSun"/>
                <w:b/>
                <w:color w:val="000000"/>
                <w:sz w:val="24"/>
              </w:rPr>
              <w:t xml:space="preserve">（需在国家认证认可监督管理委员、卫生健康委和农业农村部联合发布的食品复检机构名录中，并提供在名录中的图片和查询网址）。</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（以上均需提供相关证明材料，否则不得分）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935"/>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业绩（4分）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投标人2023年1月1日以来承担过类似食品安全监督抽检或风险监测工作的有一个得0.5分，本项最高得4分。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需要提供合同或委托书或中标通知书原件</w:t>
            </w:r>
            <w:r>
              <w:rPr>
                <w:rFonts w:ascii="SimSun" w:hAnsi="SimSun" w:eastAsia="SimSun" w:cs="SimSun"/>
                <w:b/>
                <w:color w:val="000000"/>
                <w:sz w:val="24"/>
              </w:rPr>
              <w:t xml:space="preserve">（以提供合同或委托任务书复印件加盖投标单位公章为准）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935"/>
        </w:trPr>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21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21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实施方案（18分）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1.抽检工作(8分)：评委会从工作目标、工作内容、工作方法、工作进程安排、重点难点分析、质量管理控制等方面进行评价，满分8分。（未提供方案的本项不得分）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2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应急响应（</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分）：突发事件应急措施、其它活动配合措施。评委会从投标人实验室注册所在地、综合实力及承担抽检任务的响应程度（应急响应速度，车辆和人员的机动数量等）等方面进行评价，满分</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分。（未提供方案的本项不得分）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抽样时间（</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分）：投标人需具备配合采购人应急处置的能力。接到采购人的应急通知后，投标人立即派遣有资质的员工前往现场，按规范协助食品安全执法、采样及现场处置，投标人承诺完成应急响应的时间：（最高得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小时内抵达现场得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分（不含</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小时内抵达现场得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分（不含</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小时）；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小时的为不满足采购需求。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注：针对此项时效要求内容，投标人须提供承诺函并加盖电子公章，格式自拟，内容应完全响应招标文件要求，不提供不得分。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10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诚信投标（1分）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投标人提交签署并盖章《盐城市大丰区政府招标采购供应商承诺书》原件的得1分；没有提供的不得分。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1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招标人有权在中标公示期间、签约前后等任何环节对相关资料的真实性进行核验，如发现提供虚假资料招标人将依法取消其中标资格。</w:t>
      </w:r>
      <w:r/>
    </w:p>
    <w:p>
      <w:pPr>
        <w:numPr>
          <w:ilvl w:val="0"/>
          <w:numId w:val="1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评分分值计算保留小数点后两位，小数点后第三位“四舍五入”。</w:t>
      </w:r>
      <w:r/>
    </w:p>
    <w:p>
      <w:pPr>
        <w:pStyle w:val="865"/>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u w:val="none"/>
        </w:rPr>
        <w:t xml:space="preserve">第六章投标文件格式</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08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二、上一年度的财务状况报告（成立不满一年不需提供）。</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六、法人授权书（如有）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七、投标函</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八、小微企业声明函（如有）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九、属于监狱企业的证明文件（若属于监狱企业）</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十、残疾人福利性单位声明函（如有）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十二、商务要求响应及偏离表</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十三、服务需求响应及偏离表</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十五、技术方案、服务承诺、企业能力等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十六、盐城市大丰区政府招标采购供应商承诺书</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十七、招标文件规定的其他材料</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注：系统格式和招标文件提供格式不一致的，若实质性内容没有影响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的都认可，实质性内容有影响的，以招标文件为准。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（一）法人或者其他组织的营业执照等证明文件，自然人的身份证明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67"/>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（二）上一年度的财务状况报告（成立不满一年不需提供）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67"/>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（四）具备履行合同所必需的设备和专业技术能力的</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书面声明</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92"/>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 月 日</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（五）参加政府采购活动前 3 年内在经营活动中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 月 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（六）法定代表人身份证明书</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单位性质：</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成立时间：</w:t>
      </w:r>
      <w:r>
        <w:rPr>
          <w:rFonts w:ascii="SimSun" w:hAnsi="SimSun" w:eastAsia="SimSun" w:cs="SimSun"/>
          <w:color w:val="000000"/>
          <w:sz w:val="21"/>
          <w:u w:val="single"/>
        </w:rPr>
        <w:t xml:space="preserve">       年月日</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经营期限：</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 性别： 年龄： 职务：</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（投标人）</w:t>
      </w:r>
      <w:r>
        <w:rPr>
          <w:rFonts w:ascii="SimSun" w:hAnsi="SimSun" w:eastAsia="SimSun" w:cs="SimSun"/>
          <w:color w:val="000000"/>
          <w:sz w:val="21"/>
        </w:rPr>
        <w:t xml:space="preserve">的法定代表人。</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66975" cy="15716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436976" name=""/>
                        <pic:cNvPicPr>
                          <a:picLocks noChangeAspect="1"/>
                        </pic:cNvPicPr>
                        <pic:nvPr/>
                      </pic:nvPicPr>
                      <pic:blipFill>
                        <a:blip/>
                        <a:stretch/>
                      </pic:blipFill>
                      <pic:spPr bwMode="auto">
                        <a:xfrm>
                          <a:off x="0" y="0"/>
                          <a:ext cx="2466973" cy="157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4.2pt;height:123.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4819"/>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819"/>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年月日</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08"/>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投标人的法定代表人授权委托书</w:t>
      </w:r>
      <w:r/>
    </w:p>
    <w:p>
      <w:pPr>
        <w:ind w:left="0" w:right="0" w:firstLine="42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（姓名）</w:t>
      </w:r>
      <w:r>
        <w:rPr>
          <w:rFonts w:ascii="SimSun" w:hAnsi="SimSun" w:eastAsia="SimSun" w:cs="SimSun"/>
          <w:color w:val="000000"/>
          <w:sz w:val="21"/>
        </w:rPr>
        <w:t xml:space="preserve">系</w:t>
      </w:r>
      <w:r>
        <w:rPr>
          <w:rFonts w:ascii="SimSun" w:hAnsi="SimSun" w:eastAsia="SimSun" w:cs="SimSun"/>
          <w:color w:val="000000"/>
          <w:sz w:val="21"/>
          <w:u w:val="single"/>
        </w:rPr>
        <w:t xml:space="preserve">（投标人名称）</w:t>
      </w:r>
      <w:r>
        <w:rPr>
          <w:rFonts w:ascii="SimSun" w:hAnsi="SimSun" w:eastAsia="SimSun" w:cs="SimSun"/>
          <w:color w:val="000000"/>
          <w:sz w:val="21"/>
        </w:rPr>
        <w:t xml:space="preserve">的法定代表人，现授权委托</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（姓名）</w:t>
      </w:r>
      <w:r>
        <w:rPr>
          <w:rFonts w:ascii="SimSun" w:hAnsi="SimSun" w:eastAsia="SimSun" w:cs="SimSun"/>
          <w:color w:val="000000"/>
          <w:sz w:val="21"/>
        </w:rPr>
        <w:t xml:space="preserve">为我公司的代理人，以本公司的名义参加（</w:t>
      </w:r>
      <w:r>
        <w:rPr>
          <w:rFonts w:ascii="SimSun" w:hAnsi="SimSun" w:eastAsia="SimSun" w:cs="SimSun"/>
          <w:color w:val="000000"/>
          <w:sz w:val="21"/>
          <w:u w:val="single"/>
        </w:rPr>
        <w:t xml:space="preserve">招标项目名称）</w:t>
      </w:r>
      <w:r>
        <w:rPr>
          <w:rFonts w:ascii="SimSun" w:hAnsi="SimSun" w:eastAsia="SimSun" w:cs="SimSun"/>
          <w:color w:val="000000"/>
          <w:sz w:val="21"/>
        </w:rPr>
        <w:t xml:space="preserve">的投标活动。代理人在开标、评标、合同谈判过程中所签署的一切文件和处理与之有关的一切事务，我均予以承认。</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代理人：性别：年龄：</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单位：部门：职务：</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52625" cy="1104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64558" name=""/>
                        <pic:cNvPicPr>
                          <a:picLocks noChangeAspect="1"/>
                        </pic:cNvPicPr>
                        <pic:nvPr/>
                      </pic:nvPicPr>
                      <pic:blipFill>
                        <a:blip/>
                        <a:stretch/>
                      </pic:blipFill>
                      <pic:spPr bwMode="auto">
                        <a:xfrm>
                          <a:off x="0" y="0"/>
                          <a:ext cx="1952624" cy="1104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3.8pt;height:87.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年月日</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（七）投标函</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致：盐城市大丰区市场监督管理局</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根据贵方的号招标文件，正式授权下述签字人_________________(姓名)代表我方______________（投标人的名称），全权处理本次项目投标的有关事宜。</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1.按招标文件规定的各项要求，向买方提供所需货物与服务。</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5.如果在开标后规定的投标有效期内撤回投标或中标后拒绝签订合同，则按照国家相关法律法规受到相应处罚。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8.与本投标有关的正式通讯地址为：</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 </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 </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 </w:t>
      </w:r>
      <w:r/>
    </w:p>
    <w:p>
      <w:pPr>
        <w:ind w:left="42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（八）中小企业声明函（服务）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5"/>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其他未列明</w:t>
      </w:r>
      <w:r>
        <w:rPr>
          <w:rFonts w:ascii="SimSun" w:hAnsi="SimSun" w:eastAsia="SimSun" w:cs="SimSun"/>
          <w:color w:val="000000"/>
          <w:sz w:val="24"/>
        </w:rPr>
        <w:t xml:space="preserve">行业；承接（承接）企业为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5"/>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0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0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从业人员、营业收入、资产总额填报上一年度数据，无上一年度数据的新成立企业可不填报。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92"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（九）</w:t>
      </w:r>
      <w:r>
        <w:rPr>
          <w:rFonts w:ascii="SimSun" w:hAnsi="SimSun" w:eastAsia="SimSun" w:cs="SimSun"/>
          <w:b/>
          <w:color w:val="000000"/>
          <w:sz w:val="28"/>
        </w:rPr>
        <w:t xml:space="preserve">属于监狱企业的证明文件（若属于监狱企业）</w:t>
      </w:r>
      <w:r/>
    </w:p>
    <w:p>
      <w:pPr>
        <w:ind w:left="0" w:right="-92"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92" w:firstLine="42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监狱企业参加政府采购活动时，应当提供由省级以上监狱管理局、戒毒管理局（含新疆生产建设兵团）出具的属于监狱企业的证明文件。</w:t>
      </w:r>
      <w:r/>
    </w:p>
    <w:p>
      <w:pPr>
        <w:ind w:left="0" w:right="-92"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2"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92" w:firstLine="424"/>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二、在政府采购活动中，监狱企业视同小型、微型企业，享受预留份额、评审中价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格扣除等政府采购促进中小企业发展的政府采购政策。</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（十）残疾人福利性单位声明函（如有）</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b/>
          <w:color w:val="000000"/>
          <w:sz w:val="24"/>
          <w:u w:val="single"/>
        </w:rPr>
        <w:t xml:space="preserve">盐城市大丰区市场监督管理局</w:t>
      </w:r>
      <w:r>
        <w:rPr>
          <w:rFonts w:ascii="SimSun" w:hAnsi="SimSun" w:eastAsia="SimSun" w:cs="SimSun"/>
          <w:color w:val="000000"/>
          <w:spacing w:val="6"/>
          <w:sz w:val="24"/>
        </w:rPr>
        <w:t xml:space="preserve">的</w:t>
      </w:r>
      <w:r>
        <w:rPr>
          <w:rFonts w:ascii="Times New Roman" w:hAnsi="Times New Roman" w:eastAsia="Times New Roman" w:cs="Times New Roman"/>
          <w:b/>
          <w:color w:val="000000"/>
          <w:sz w:val="24"/>
          <w:u w:val="single"/>
        </w:rPr>
        <w:t xml:space="preserve">2026</w:t>
      </w:r>
      <w:r>
        <w:rPr>
          <w:rFonts w:ascii="SimSun" w:hAnsi="SimSun" w:eastAsia="SimSun" w:cs="SimSun"/>
          <w:b/>
          <w:color w:val="000000"/>
          <w:sz w:val="24"/>
          <w:u w:val="single"/>
        </w:rPr>
        <w:t xml:space="preserve">年食品监督抽检项目</w:t>
      </w:r>
      <w:r>
        <w:rPr>
          <w:rFonts w:ascii="SimSun" w:hAnsi="SimSun" w:eastAsia="SimSun" w:cs="SimSun"/>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本单位在本次政府采购活动中提供的残疾人福利单位产品报价合计为人民币（大写）</w:t>
      </w:r>
      <w:r>
        <w:rPr>
          <w:rFonts w:ascii="SimSun" w:hAnsi="SimSun" w:eastAsia="SimSun" w:cs="SimSun"/>
          <w:color w:val="000000"/>
          <w:spacing w:val="6"/>
          <w:sz w:val="24"/>
          <w:u w:val="single"/>
        </w:rPr>
        <w:t xml:space="preserve">      元整</w:t>
      </w:r>
      <w:r>
        <w:rPr>
          <w:rFonts w:ascii="SimSun" w:hAnsi="SimSun" w:eastAsia="SimSun" w:cs="SimSun"/>
          <w:color w:val="000000"/>
          <w:spacing w:val="6"/>
          <w:sz w:val="24"/>
        </w:rPr>
        <w:t xml:space="preserve">（￥</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（备注：1、投标人如不提供此声明函，价格将不做相应扣除。2、中标投标人为残疾人福利单位的，此声明函将随中标结果同时公告，接受社会监督）</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1560" w:firstLine="504"/>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授权代表亲笔签名：</w:t>
      </w:r>
      <w:r/>
    </w:p>
    <w:p>
      <w:pPr>
        <w:ind w:left="0" w:right="286" w:firstLine="504"/>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（十一）分项报价表（格式）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5"/>
        <w:gridCol w:w="2115"/>
        <w:gridCol w:w="1066"/>
        <w:gridCol w:w="208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20" w:after="12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（格式可自拟）</w:t>
      </w:r>
      <w:r/>
    </w:p>
    <w:p>
      <w:pPr>
        <w:ind w:left="0" w:right="0" w:firstLine="37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p>
    <w:p>
      <w:pPr>
        <w:ind w:left="0" w:right="0" w:firstLine="37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法定代表人（或者负责人）</w:t>
      </w:r>
      <w:r/>
    </w:p>
    <w:p>
      <w:pPr>
        <w:ind w:left="0" w:right="0" w:firstLine="37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或授权委托人（签字或盖章）：</w:t>
      </w:r>
      <w:r/>
    </w:p>
    <w:p>
      <w:pPr>
        <w:ind w:left="0" w:right="0" w:firstLine="3780"/>
        <w:spacing w:before="120" w:after="12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（十二）商务要求响应及偏离表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投标人（盖单位公章）：</w:t>
      </w:r>
      <w:r>
        <w:rPr>
          <w:rFonts w:ascii="SimSun" w:hAnsi="SimSun" w:eastAsia="SimSun" w:cs="SimSun"/>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（十三）</w:t>
      </w:r>
      <w:r>
        <w:rPr>
          <w:rFonts w:ascii="SimHei" w:hAnsi="SimHei" w:eastAsia="SimHei" w:cs="SimHei"/>
          <w:color w:val="000000"/>
          <w:sz w:val="32"/>
        </w:rPr>
        <w:t xml:space="preserve">服务需求响应及偏离表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044"/>
        <w:gridCol w:w="2500"/>
        <w:gridCol w:w="246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招标文件中采购需求内容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投标文件中响应采购需求的内容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rPr>
          <w:rFonts w:ascii="SimSun" w:hAnsi="SimSun" w:eastAsia="SimSun" w:cs="SimSun"/>
          <w:color w:val="000000"/>
          <w:sz w:val="24"/>
          <w:u w:val="single"/>
        </w:rPr>
        <w:t xml:space="preserve">              </w:t>
      </w:r>
      <w:r/>
    </w:p>
    <w:p>
      <w:pPr>
        <w:ind w:left="0" w:right="0" w:firstLine="16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投标人（盖单位公章）：</w:t>
      </w:r>
      <w:r>
        <w:rPr>
          <w:rFonts w:ascii="SimSun" w:hAnsi="SimSun" w:eastAsia="SimSun" w:cs="SimSun"/>
          <w:color w:val="000000"/>
          <w:sz w:val="24"/>
          <w:u w:val="single"/>
        </w:rPr>
        <w:t xml:space="preserve">               </w:t>
      </w:r>
      <w:r/>
    </w:p>
    <w:p>
      <w:pPr>
        <w:ind w:left="0" w:right="0" w:firstLine="12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（十四）开标一览表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6"/>
        <w:gridCol w:w="2806"/>
        <w:gridCol w:w="354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0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0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4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06"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42" w:type="dxa"/>
            <w:vAlign w:val="center"/>
            <w:textDirection w:val="lrTb"/>
            <w:noWrap w:val="false"/>
          </w:tcPr>
          <w:p>
            <w:pPr>
              <w:ind w:left="0" w:right="0" w:firstLine="96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元/批次</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0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34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（十五）技术方案、服务承诺、企业能力等内容</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（十六）盐城市大丰区政府招标采购供应商承诺书</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（六）自觉接受政府、行业组织、社会公众、新闻舆论的监督；</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（十七）招标文件规定的其他材料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5"/>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25"/>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1"/>
  </w:num>
  <w:num w:numId="5">
    <w:abstractNumId w:val="7"/>
  </w:num>
  <w:num w:numId="6">
    <w:abstractNumId w:val="0"/>
  </w:num>
  <w:num w:numId="7">
    <w:abstractNumId w:val="6"/>
  </w:num>
  <w:num w:numId="8">
    <w:abstractNumId w:val="4"/>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0"/>
    <w:link w:val="865"/>
    <w:uiPriority w:val="9"/>
    <w:rPr>
      <w:rFonts w:ascii="Arial" w:hAnsi="Arial" w:eastAsia="Arial" w:cs="Arial"/>
      <w:sz w:val="40"/>
      <w:szCs w:val="40"/>
    </w:rPr>
  </w:style>
  <w:style w:type="character" w:styleId="700">
    <w:name w:val="Heading 2 Char"/>
    <w:basedOn w:val="870"/>
    <w:link w:val="866"/>
    <w:uiPriority w:val="9"/>
    <w:rPr>
      <w:rFonts w:ascii="Arial" w:hAnsi="Arial" w:eastAsia="Arial" w:cs="Arial"/>
      <w:sz w:val="34"/>
    </w:rPr>
  </w:style>
  <w:style w:type="character" w:styleId="701">
    <w:name w:val="Heading 3 Char"/>
    <w:basedOn w:val="870"/>
    <w:link w:val="867"/>
    <w:uiPriority w:val="9"/>
    <w:rPr>
      <w:rFonts w:ascii="Arial" w:hAnsi="Arial" w:eastAsia="Arial" w:cs="Arial"/>
      <w:sz w:val="30"/>
      <w:szCs w:val="30"/>
    </w:rPr>
  </w:style>
  <w:style w:type="character" w:styleId="702">
    <w:name w:val="Heading 4 Char"/>
    <w:basedOn w:val="870"/>
    <w:link w:val="868"/>
    <w:uiPriority w:val="9"/>
    <w:rPr>
      <w:rFonts w:ascii="Arial" w:hAnsi="Arial" w:eastAsia="Arial" w:cs="Arial"/>
      <w:b/>
      <w:bCs/>
      <w:sz w:val="26"/>
      <w:szCs w:val="26"/>
    </w:rPr>
  </w:style>
  <w:style w:type="paragraph" w:styleId="703">
    <w:name w:val="Heading 5"/>
    <w:basedOn w:val="864"/>
    <w:next w:val="864"/>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0"/>
    <w:link w:val="703"/>
    <w:uiPriority w:val="9"/>
    <w:rPr>
      <w:rFonts w:ascii="Arial" w:hAnsi="Arial" w:eastAsia="Arial" w:cs="Arial"/>
      <w:b/>
      <w:bCs/>
      <w:sz w:val="24"/>
      <w:szCs w:val="24"/>
    </w:rPr>
  </w:style>
  <w:style w:type="paragraph" w:styleId="705">
    <w:name w:val="Heading 6"/>
    <w:basedOn w:val="864"/>
    <w:next w:val="864"/>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0"/>
    <w:link w:val="705"/>
    <w:uiPriority w:val="9"/>
    <w:rPr>
      <w:rFonts w:ascii="Arial" w:hAnsi="Arial" w:eastAsia="Arial" w:cs="Arial"/>
      <w:b/>
      <w:bCs/>
      <w:sz w:val="22"/>
      <w:szCs w:val="22"/>
    </w:rPr>
  </w:style>
  <w:style w:type="character" w:styleId="707">
    <w:name w:val="Heading 7 Char"/>
    <w:basedOn w:val="870"/>
    <w:link w:val="869"/>
    <w:uiPriority w:val="9"/>
    <w:rPr>
      <w:rFonts w:ascii="Arial" w:hAnsi="Arial" w:eastAsia="Arial" w:cs="Arial"/>
      <w:b/>
      <w:bCs/>
      <w:i/>
      <w:iCs/>
      <w:sz w:val="22"/>
      <w:szCs w:val="22"/>
    </w:rPr>
  </w:style>
  <w:style w:type="paragraph" w:styleId="708">
    <w:name w:val="Heading 8"/>
    <w:basedOn w:val="864"/>
    <w:next w:val="864"/>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70"/>
    <w:link w:val="708"/>
    <w:uiPriority w:val="9"/>
    <w:rPr>
      <w:rFonts w:ascii="Arial" w:hAnsi="Arial" w:eastAsia="Arial" w:cs="Arial"/>
      <w:i/>
      <w:iCs/>
      <w:sz w:val="22"/>
      <w:szCs w:val="22"/>
    </w:rPr>
  </w:style>
  <w:style w:type="paragraph" w:styleId="710">
    <w:name w:val="Heading 9"/>
    <w:basedOn w:val="864"/>
    <w:next w:val="864"/>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70"/>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4"/>
    <w:next w:val="864"/>
    <w:link w:val="714"/>
    <w:uiPriority w:val="10"/>
    <w:qFormat/>
    <w:pPr>
      <w:contextualSpacing/>
      <w:spacing w:before="300" w:after="200"/>
    </w:pPr>
    <w:rPr>
      <w:sz w:val="48"/>
      <w:szCs w:val="48"/>
    </w:rPr>
  </w:style>
  <w:style w:type="character" w:styleId="714">
    <w:name w:val="Title Char"/>
    <w:basedOn w:val="870"/>
    <w:link w:val="713"/>
    <w:uiPriority w:val="10"/>
    <w:rPr>
      <w:sz w:val="48"/>
      <w:szCs w:val="48"/>
    </w:rPr>
  </w:style>
  <w:style w:type="paragraph" w:styleId="715">
    <w:name w:val="Subtitle"/>
    <w:basedOn w:val="864"/>
    <w:next w:val="864"/>
    <w:link w:val="716"/>
    <w:uiPriority w:val="11"/>
    <w:qFormat/>
    <w:pPr>
      <w:spacing w:before="200" w:after="200"/>
    </w:pPr>
    <w:rPr>
      <w:sz w:val="24"/>
      <w:szCs w:val="24"/>
    </w:rPr>
  </w:style>
  <w:style w:type="character" w:styleId="716">
    <w:name w:val="Subtitle Char"/>
    <w:basedOn w:val="870"/>
    <w:link w:val="715"/>
    <w:uiPriority w:val="11"/>
    <w:rPr>
      <w:sz w:val="24"/>
      <w:szCs w:val="24"/>
    </w:rPr>
  </w:style>
  <w:style w:type="paragraph" w:styleId="717">
    <w:name w:val="Quote"/>
    <w:basedOn w:val="864"/>
    <w:next w:val="864"/>
    <w:link w:val="718"/>
    <w:uiPriority w:val="29"/>
    <w:qFormat/>
    <w:pPr>
      <w:ind w:left="720" w:right="720"/>
    </w:pPr>
    <w:rPr>
      <w:i/>
    </w:rPr>
  </w:style>
  <w:style w:type="character" w:styleId="718">
    <w:name w:val="Quote Char"/>
    <w:link w:val="717"/>
    <w:uiPriority w:val="29"/>
    <w:rPr>
      <w:i/>
    </w:rPr>
  </w:style>
  <w:style w:type="paragraph" w:styleId="719">
    <w:name w:val="Intense Quote"/>
    <w:basedOn w:val="864"/>
    <w:next w:val="86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0"/>
    <w:link w:val="883"/>
    <w:uiPriority w:val="99"/>
  </w:style>
  <w:style w:type="character" w:styleId="722">
    <w:name w:val="Footer Char"/>
    <w:basedOn w:val="870"/>
    <w:link w:val="882"/>
    <w:uiPriority w:val="99"/>
  </w:style>
  <w:style w:type="paragraph" w:styleId="723">
    <w:name w:val="Caption"/>
    <w:basedOn w:val="864"/>
    <w:next w:val="864"/>
    <w:uiPriority w:val="35"/>
    <w:semiHidden/>
    <w:unhideWhenUsed/>
    <w:qFormat/>
    <w:pPr>
      <w:spacing w:line="276" w:lineRule="auto"/>
    </w:pPr>
    <w:rPr>
      <w:b/>
      <w:bCs/>
      <w:color w:val="4f81bd" w:themeColor="accent1"/>
      <w:sz w:val="18"/>
      <w:szCs w:val="18"/>
    </w:rPr>
  </w:style>
  <w:style w:type="character" w:styleId="724">
    <w:name w:val="Caption Char"/>
    <w:basedOn w:val="723"/>
    <w:link w:val="882"/>
    <w:uiPriority w:val="99"/>
  </w:style>
  <w:style w:type="table" w:styleId="725">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1">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2">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3">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4">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5">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6">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6">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7">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8">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9">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0">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1">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3">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4">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5">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6">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7">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8">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7">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8">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9">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0">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1">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2">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4">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5">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6">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7">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8">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9">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1">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2">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3">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4">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5">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6">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8">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9">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0">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1">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2">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3">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4"/>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70"/>
    <w:uiPriority w:val="99"/>
    <w:unhideWhenUsed/>
    <w:rPr>
      <w:vertAlign w:val="superscript"/>
    </w:rPr>
  </w:style>
  <w:style w:type="paragraph" w:styleId="853">
    <w:name w:val="endnote text"/>
    <w:basedOn w:val="864"/>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0"/>
    <w:uiPriority w:val="99"/>
    <w:semiHidden/>
    <w:unhideWhenUsed/>
    <w:rPr>
      <w:vertAlign w:val="superscript"/>
    </w:rPr>
  </w:style>
  <w:style w:type="paragraph" w:styleId="856">
    <w:name w:val="toc 3"/>
    <w:basedOn w:val="864"/>
    <w:next w:val="864"/>
    <w:uiPriority w:val="39"/>
    <w:unhideWhenUsed/>
    <w:pPr>
      <w:ind w:left="567" w:right="0" w:firstLine="0"/>
      <w:spacing w:after="57"/>
    </w:pPr>
  </w:style>
  <w:style w:type="paragraph" w:styleId="857">
    <w:name w:val="toc 4"/>
    <w:basedOn w:val="864"/>
    <w:next w:val="864"/>
    <w:uiPriority w:val="39"/>
    <w:unhideWhenUsed/>
    <w:pPr>
      <w:ind w:left="850" w:right="0" w:firstLine="0"/>
      <w:spacing w:after="57"/>
    </w:pPr>
  </w:style>
  <w:style w:type="paragraph" w:styleId="858">
    <w:name w:val="toc 5"/>
    <w:basedOn w:val="864"/>
    <w:next w:val="864"/>
    <w:uiPriority w:val="39"/>
    <w:unhideWhenUsed/>
    <w:pPr>
      <w:ind w:left="1134"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2"/>
    <w:uiPriority w:val="0"/>
    <w:qFormat/>
    <w:pPr>
      <w:jc w:val="both"/>
      <w:widowControl w:val="off"/>
    </w:pPr>
    <w:rPr>
      <w:rFonts w:ascii="Times New Roman" w:hAnsi="Times New Roman" w:eastAsia="宋体" w:cs="Times New Roman"/>
      <w:sz w:val="21"/>
      <w:szCs w:val="21"/>
      <w:lang w:val="en-US" w:eastAsia="zh-CN" w:bidi="ar-SA"/>
    </w:rPr>
  </w:style>
  <w:style w:type="paragraph" w:styleId="865">
    <w:name w:val="Heading 1"/>
    <w:basedOn w:val="864"/>
    <w:next w:val="864"/>
    <w:uiPriority w:val="0"/>
    <w:qFormat/>
    <w:pPr>
      <w:jc w:val="center"/>
      <w:keepNext/>
      <w:outlineLvl w:val="0"/>
    </w:pPr>
    <w:rPr>
      <w:rFonts w:ascii="楷体_GB2312" w:eastAsia="楷体_GB2312"/>
      <w:sz w:val="28"/>
      <w:szCs w:val="28"/>
    </w:rPr>
  </w:style>
  <w:style w:type="paragraph" w:styleId="866">
    <w:name w:val="Heading 2"/>
    <w:basedOn w:val="864"/>
    <w:next w:val="8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7">
    <w:name w:val="Heading 3"/>
    <w:basedOn w:val="864"/>
    <w:next w:val="864"/>
    <w:uiPriority w:val="0"/>
    <w:qFormat/>
    <w:pPr>
      <w:keepLines/>
      <w:keepNext/>
      <w:spacing w:before="260" w:after="260" w:line="416" w:lineRule="auto"/>
      <w:outlineLvl w:val="2"/>
    </w:pPr>
    <w:rPr>
      <w:b/>
      <w:bCs/>
      <w:sz w:val="32"/>
      <w:szCs w:val="32"/>
    </w:rPr>
  </w:style>
  <w:style w:type="paragraph" w:styleId="868">
    <w:name w:val="Heading 4"/>
    <w:basedOn w:val="864"/>
    <w:next w:val="874"/>
    <w:uiPriority w:val="0"/>
    <w:qFormat/>
    <w:pPr>
      <w:keepLines/>
      <w:keepNext/>
      <w:spacing w:before="280" w:after="290" w:line="376" w:lineRule="auto"/>
      <w:outlineLvl w:val="3"/>
    </w:pPr>
    <w:rPr>
      <w:rFonts w:ascii="Arial" w:hAnsi="Arial" w:eastAsia="黑体" w:cs="Arial"/>
      <w:b/>
      <w:bCs/>
      <w:sz w:val="28"/>
      <w:szCs w:val="28"/>
    </w:rPr>
  </w:style>
  <w:style w:type="paragraph" w:styleId="869">
    <w:name w:val="Heading 7"/>
    <w:basedOn w:val="864"/>
    <w:next w:val="864"/>
    <w:uiPriority w:val="1"/>
    <w:qFormat/>
    <w:pPr>
      <w:ind w:left="581" w:firstLine="420"/>
      <w:outlineLvl w:val="6"/>
    </w:pPr>
    <w:rPr>
      <w:rFonts w:ascii="宋体" w:hAnsi="宋体" w:cs="宋体"/>
      <w:b/>
      <w:bCs/>
      <w:lang w:val="zh-CN" w:bidi="zh-CN"/>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Body Text First Indent"/>
    <w:basedOn w:val="873"/>
    <w:next w:val="864"/>
    <w:uiPriority w:val="0"/>
    <w:qFormat/>
    <w:pPr>
      <w:ind w:firstLine="200"/>
      <w:spacing w:line="360" w:lineRule="auto"/>
    </w:pPr>
    <w:rPr>
      <w:rFonts w:ascii="仿宋_GB2312" w:eastAsia="仿宋_GB2312"/>
      <w:sz w:val="30"/>
      <w:szCs w:val="30"/>
    </w:rPr>
  </w:style>
  <w:style w:type="paragraph" w:styleId="873">
    <w:name w:val="Body Text"/>
    <w:basedOn w:val="864"/>
    <w:next w:val="864"/>
    <w:uiPriority w:val="0"/>
    <w:qFormat/>
    <w:rPr>
      <w:rFonts w:ascii="楷体_GB2312" w:hAnsi="Arial" w:eastAsia="楷体_GB2312"/>
      <w:sz w:val="28"/>
      <w:szCs w:val="28"/>
    </w:rPr>
  </w:style>
  <w:style w:type="paragraph" w:styleId="874">
    <w:name w:val="Normal Indent"/>
    <w:basedOn w:val="864"/>
    <w:uiPriority w:val="0"/>
    <w:qFormat/>
    <w:pPr>
      <w:ind w:firstLine="420"/>
    </w:pPr>
  </w:style>
  <w:style w:type="paragraph" w:styleId="875">
    <w:name w:val="annotation text"/>
    <w:basedOn w:val="864"/>
    <w:uiPriority w:val="0"/>
    <w:qFormat/>
    <w:pPr>
      <w:jc w:val="left"/>
    </w:pPr>
  </w:style>
  <w:style w:type="paragraph" w:styleId="876">
    <w:name w:val="Body Text Indent"/>
    <w:basedOn w:val="864"/>
    <w:next w:val="877"/>
    <w:uiPriority w:val="0"/>
    <w:qFormat/>
    <w:pPr>
      <w:ind w:firstLine="645"/>
    </w:pPr>
    <w:rPr>
      <w:rFonts w:ascii="楷体_GB2312" w:eastAsia="楷体_GB2312"/>
      <w:sz w:val="32"/>
      <w:szCs w:val="32"/>
    </w:rPr>
  </w:style>
  <w:style w:type="paragraph" w:styleId="877">
    <w:name w:val="envelope return"/>
    <w:basedOn w:val="864"/>
    <w:uiPriority w:val="0"/>
    <w:qFormat/>
    <w:rPr>
      <w:rFonts w:ascii="Arial" w:hAnsi="Arial"/>
    </w:rPr>
  </w:style>
  <w:style w:type="paragraph" w:styleId="878">
    <w:name w:val="Block Text"/>
    <w:basedOn w:val="864"/>
    <w:uiPriority w:val="99"/>
    <w:unhideWhenUsed/>
    <w:qFormat/>
    <w:pPr>
      <w:ind w:left="1440" w:right="1440"/>
      <w:spacing w:after="120"/>
    </w:pPr>
  </w:style>
  <w:style w:type="paragraph" w:styleId="879">
    <w:name w:val="Plain Text"/>
    <w:basedOn w:val="864"/>
    <w:uiPriority w:val="99"/>
    <w:qFormat/>
    <w:rPr>
      <w:rFonts w:ascii="宋体" w:hAnsi="Courier New"/>
    </w:rPr>
  </w:style>
  <w:style w:type="paragraph" w:styleId="880">
    <w:name w:val="Body Text Indent 2"/>
    <w:basedOn w:val="864"/>
    <w:uiPriority w:val="0"/>
    <w:qFormat/>
    <w:pPr>
      <w:ind w:left="630" w:firstLine="645"/>
    </w:pPr>
    <w:rPr>
      <w:rFonts w:ascii="Arial" w:hAnsi="Arial" w:eastAsia="仿宋_GB2312" w:cs="Arial"/>
      <w:sz w:val="32"/>
      <w:szCs w:val="32"/>
    </w:rPr>
  </w:style>
  <w:style w:type="paragraph" w:styleId="881">
    <w:name w:val="Balloon Text"/>
    <w:basedOn w:val="864"/>
    <w:link w:val="903"/>
    <w:uiPriority w:val="0"/>
    <w:qFormat/>
    <w:rPr>
      <w:sz w:val="18"/>
      <w:szCs w:val="18"/>
    </w:rPr>
  </w:style>
  <w:style w:type="paragraph" w:styleId="882">
    <w:name w:val="Footer"/>
    <w:basedOn w:val="864"/>
    <w:uiPriority w:val="0"/>
    <w:qFormat/>
    <w:pPr>
      <w:jc w:val="left"/>
      <w:tabs>
        <w:tab w:val="center" w:pos="4153" w:leader="none"/>
        <w:tab w:val="right" w:pos="8306" w:leader="none"/>
      </w:tabs>
    </w:pPr>
    <w:rPr>
      <w:sz w:val="18"/>
      <w:szCs w:val="18"/>
    </w:rPr>
  </w:style>
  <w:style w:type="paragraph" w:styleId="883">
    <w:name w:val="Header"/>
    <w:basedOn w:val="864"/>
    <w:uiPriority w:val="0"/>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64"/>
    <w:next w:val="864"/>
    <w:uiPriority w:val="39"/>
    <w:qFormat/>
    <w:pPr>
      <w:jc w:val="left"/>
      <w:spacing w:before="120" w:after="120" w:line="400" w:lineRule="exact"/>
      <w:tabs>
        <w:tab w:val="right" w:pos="8720" w:leader="dot"/>
      </w:tabs>
    </w:pPr>
    <w:rPr>
      <w:rFonts w:ascii="宋体" w:hAnsi="宋体"/>
      <w:caps/>
      <w:sz w:val="24"/>
      <w:szCs w:val="24"/>
    </w:rPr>
  </w:style>
  <w:style w:type="paragraph" w:styleId="885">
    <w:name w:val="toc 6"/>
    <w:next w:val="864"/>
    <w:uiPriority w:val="0"/>
    <w:semiHidden/>
    <w:qFormat/>
    <w:pPr>
      <w:ind w:left="1050"/>
      <w:widowControl w:val="off"/>
    </w:pPr>
    <w:rPr>
      <w:rFonts w:ascii="Times New Roman" w:hAnsi="Times New Roman" w:eastAsia="宋体" w:cs="Times New Roman"/>
      <w:sz w:val="21"/>
      <w:szCs w:val="21"/>
      <w:lang w:val="en-US" w:eastAsia="zh-CN" w:bidi="ar-SA"/>
    </w:rPr>
  </w:style>
  <w:style w:type="paragraph" w:styleId="886">
    <w:name w:val="toc 2"/>
    <w:basedOn w:val="864"/>
    <w:next w:val="864"/>
    <w:uiPriority w:val="0"/>
    <w:semiHidden/>
    <w:qFormat/>
    <w:pPr>
      <w:ind w:left="420"/>
    </w:pPr>
  </w:style>
  <w:style w:type="paragraph" w:styleId="887">
    <w:name w:val="Normal (Web)"/>
    <w:basedOn w:val="864"/>
    <w:uiPriority w:val="0"/>
    <w:qFormat/>
    <w:pPr>
      <w:jc w:val="left"/>
      <w:spacing w:before="100" w:beforeAutospacing="1" w:after="100" w:afterAutospacing="1"/>
      <w:widowControl/>
    </w:pPr>
    <w:rPr>
      <w:rFonts w:ascii="宋体" w:hAnsi="宋体" w:cs="宋体"/>
      <w:sz w:val="24"/>
      <w:szCs w:val="24"/>
    </w:rPr>
  </w:style>
  <w:style w:type="paragraph" w:styleId="888">
    <w:name w:val="Body Text First Indent 2"/>
    <w:basedOn w:val="876"/>
    <w:uiPriority w:val="0"/>
    <w:qFormat/>
    <w:pPr>
      <w:ind w:firstLine="420"/>
      <w:spacing w:line="360" w:lineRule="auto"/>
    </w:pPr>
    <w:rPr>
      <w:rFonts w:ascii="宋体" w:hAnsi="宋体" w:eastAsia="宋体"/>
      <w:sz w:val="21"/>
      <w:szCs w:val="20"/>
    </w:rPr>
  </w:style>
  <w:style w:type="table" w:styleId="889">
    <w:name w:val="Table Grid"/>
    <w:basedOn w:val="871"/>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0">
    <w:name w:val="page number"/>
    <w:uiPriority w:val="0"/>
    <w:qFormat/>
  </w:style>
  <w:style w:type="character" w:styleId="891">
    <w:name w:val="Hyperlink"/>
    <w:basedOn w:val="870"/>
    <w:uiPriority w:val="99"/>
    <w:qFormat/>
    <w:rPr>
      <w:color w:val="333333"/>
      <w:u w:val="none"/>
    </w:rPr>
  </w:style>
  <w:style w:type="paragraph" w:styleId="892" w:customStyle="1">
    <w:name w:val="Default"/>
    <w:basedOn w:val="864"/>
    <w:uiPriority w:val="0"/>
    <w:qFormat/>
    <w:pPr>
      <w:jc w:val="left"/>
    </w:pPr>
    <w:rPr>
      <w:rFonts w:ascii="宋体" w:hAnsi="Calibri" w:cs="宋体"/>
      <w:color w:val="000000"/>
      <w:sz w:val="24"/>
    </w:rPr>
  </w:style>
  <w:style w:type="paragraph" w:styleId="893" w:customStyle="1">
    <w:name w:val="TOC 71"/>
    <w:next w:val="864"/>
    <w:uiPriority w:val="0"/>
    <w:qFormat/>
    <w:pPr>
      <w:ind w:left="2550"/>
      <w:jc w:val="both"/>
    </w:pPr>
    <w:rPr>
      <w:rFonts w:ascii="Times New Roman" w:hAnsi="Times New Roman" w:eastAsia="宋体" w:cs="Times New Roman"/>
      <w:sz w:val="21"/>
      <w:szCs w:val="22"/>
      <w:lang w:val="en-US" w:eastAsia="zh-CN" w:bidi="ar-SA"/>
    </w:rPr>
  </w:style>
  <w:style w:type="paragraph" w:styleId="894">
    <w:name w:val="List Paragraph"/>
    <w:basedOn w:val="864"/>
    <w:uiPriority w:val="34"/>
    <w:qFormat/>
    <w:pPr>
      <w:contextualSpacing/>
      <w:ind w:left="720"/>
      <w:jc w:val="left"/>
      <w:widowControl/>
    </w:pPr>
    <w:rPr>
      <w:rFonts w:ascii="Calibri" w:hAnsi="Calibri"/>
      <w:sz w:val="24"/>
      <w:szCs w:val="24"/>
      <w:lang w:eastAsia="en-US" w:bidi="en-US"/>
    </w:rPr>
  </w:style>
  <w:style w:type="paragraph" w:styleId="895" w:customStyle="1">
    <w:name w:val="列出段落1"/>
    <w:basedOn w:val="864"/>
    <w:uiPriority w:val="0"/>
    <w:qFormat/>
    <w:pPr>
      <w:contextualSpacing/>
      <w:ind w:left="720"/>
      <w:jc w:val="left"/>
      <w:widowControl/>
    </w:pPr>
    <w:rPr>
      <w:rFonts w:ascii="Calibri" w:hAnsi="Calibri"/>
      <w:sz w:val="24"/>
      <w:szCs w:val="24"/>
      <w:lang w:eastAsia="en-US" w:bidi="en-US"/>
    </w:rPr>
  </w:style>
  <w:style w:type="paragraph" w:styleId="896" w:customStyle="1">
    <w:name w:val="普通正文"/>
    <w:basedOn w:val="864"/>
    <w:uiPriority w:val="0"/>
    <w:qFormat/>
    <w:pPr>
      <w:ind w:firstLine="480"/>
      <w:jc w:val="left"/>
      <w:spacing w:before="120" w:after="120" w:line="360" w:lineRule="auto"/>
    </w:pPr>
    <w:rPr>
      <w:rFonts w:ascii="Arial" w:hAnsi="Arial"/>
      <w:sz w:val="24"/>
      <w:szCs w:val="24"/>
    </w:rPr>
  </w:style>
  <w:style w:type="paragraph" w:styleId="897" w:customStyle="1">
    <w:name w:val="标题 21"/>
    <w:basedOn w:val="864"/>
    <w:uiPriority w:val="1"/>
    <w:qFormat/>
    <w:pPr>
      <w:ind w:left="100" w:right="108"/>
      <w:outlineLvl w:val="2"/>
    </w:pPr>
    <w:rPr>
      <w:rFonts w:ascii="Microsoft JhengHei" w:hAnsi="Microsoft JhengHei" w:eastAsia="Microsoft JhengHei" w:cs="Microsoft JhengHei"/>
      <w:b/>
      <w:bCs/>
      <w:sz w:val="32"/>
      <w:szCs w:val="32"/>
    </w:rPr>
  </w:style>
  <w:style w:type="character" w:styleId="898" w:customStyle="1">
    <w:name w:val="font11"/>
    <w:basedOn w:val="870"/>
    <w:uiPriority w:val="0"/>
    <w:qFormat/>
    <w:rPr>
      <w:rFonts w:hint="eastAsia" w:ascii="宋体" w:hAnsi="宋体" w:eastAsia="宋体" w:cs="宋体"/>
      <w:color w:val="000000"/>
      <w:sz w:val="20"/>
      <w:szCs w:val="20"/>
      <w:u w:val="none"/>
    </w:rPr>
  </w:style>
  <w:style w:type="character" w:styleId="899" w:customStyle="1">
    <w:name w:val="font21"/>
    <w:basedOn w:val="870"/>
    <w:uiPriority w:val="0"/>
    <w:qFormat/>
    <w:rPr>
      <w:rFonts w:ascii="Arial" w:hAnsi="Arial" w:cs="Arial"/>
      <w:color w:val="000000"/>
      <w:sz w:val="20"/>
      <w:szCs w:val="20"/>
      <w:u w:val="none"/>
    </w:rPr>
  </w:style>
  <w:style w:type="character" w:styleId="900" w:customStyle="1">
    <w:name w:val="font31"/>
    <w:basedOn w:val="870"/>
    <w:uiPriority w:val="0"/>
    <w:qFormat/>
    <w:rPr>
      <w:rFonts w:hint="eastAsia" w:ascii="宋体" w:hAnsi="宋体" w:eastAsia="宋体" w:cs="宋体"/>
      <w:color w:val="000000"/>
      <w:sz w:val="20"/>
      <w:szCs w:val="20"/>
      <w:u w:val="none"/>
    </w:rPr>
  </w:style>
  <w:style w:type="character" w:styleId="901" w:customStyle="1">
    <w:name w:val="font41"/>
    <w:basedOn w:val="870"/>
    <w:uiPriority w:val="0"/>
    <w:qFormat/>
    <w:rPr>
      <w:rFonts w:hint="default" w:ascii="Arial" w:hAnsi="Arial" w:cs="Arial"/>
      <w:color w:val="000000"/>
      <w:sz w:val="20"/>
      <w:szCs w:val="20"/>
      <w:u w:val="none"/>
    </w:rPr>
  </w:style>
  <w:style w:type="character" w:styleId="902" w:customStyle="1">
    <w:name w:val="样式 仿宋"/>
    <w:basedOn w:val="870"/>
    <w:uiPriority w:val="0"/>
    <w:qFormat/>
    <w:rPr>
      <w:rFonts w:ascii="仿宋" w:hAnsi="仿宋" w:eastAsia="仿宋"/>
    </w:rPr>
  </w:style>
  <w:style w:type="character" w:styleId="903" w:customStyle="1">
    <w:name w:val="批注框文本 字符"/>
    <w:basedOn w:val="870"/>
    <w:link w:val="881"/>
    <w:uiPriority w:val="0"/>
    <w:qFormat/>
    <w:rPr>
      <w:sz w:val="18"/>
      <w:szCs w:val="18"/>
    </w:rPr>
  </w:style>
  <w:style w:type="paragraph" w:styleId="904" w:customStyle="1">
    <w:name w:val="WPSOffice手动目录 1"/>
    <w:uiPriority w:val="0"/>
    <w:qFormat/>
    <w:rPr>
      <w:rFonts w:ascii="Times New Roman" w:hAnsi="Times New Roman" w:eastAsia="宋体" w:cs="Times New Roman"/>
      <w:lang w:val="en-US" w:eastAsia="zh-CN" w:bidi="ar-SA"/>
    </w:rPr>
  </w:style>
  <w:style w:type="paragraph" w:styleId="905" w:customStyle="1">
    <w:name w:val="页脚1"/>
    <w:basedOn w:val="864"/>
    <w:uiPriority w:val="99"/>
    <w:unhideWhenUsed/>
    <w:qFormat/>
    <w:pPr>
      <w:jc w:val="left"/>
      <w:tabs>
        <w:tab w:val="center" w:pos="4153" w:leader="none"/>
        <w:tab w:val="right" w:pos="8306" w:leader="none"/>
      </w:tabs>
    </w:pPr>
    <w:rPr>
      <w:sz w:val="18"/>
      <w:szCs w:val="18"/>
    </w:rPr>
  </w:style>
  <w:style w:type="paragraph" w:styleId="906" w:customStyle="1">
    <w:name w:val="格式３"/>
    <w:uiPriority w:val="0"/>
    <w:qFormat/>
    <w:pPr>
      <w:ind w:left="600" w:hanging="600"/>
      <w:jc w:val="both"/>
      <w:spacing w:line="420" w:lineRule="exact"/>
      <w:widowControl w:val="off"/>
    </w:pPr>
    <w:rPr>
      <w:rFonts w:ascii="Calibri" w:hAnsi="Calibri" w:eastAsia="宋体" w:cs="Times New Roman"/>
      <w:color w:val="000000"/>
      <w:sz w:val="24"/>
      <w:lang w:val="en-US" w:eastAsia="zh-CN" w:bidi="ar-SA"/>
    </w:rPr>
  </w:style>
  <w:style w:type="paragraph" w:styleId="907" w:customStyle="1">
    <w:name w:val="正文11"/>
    <w:next w:val="864"/>
    <w:uiPriority w:val="0"/>
    <w:qFormat/>
    <w:pPr>
      <w:jc w:val="both"/>
      <w:widowControl w:val="off"/>
    </w:pPr>
    <w:rPr>
      <w:rFonts w:ascii="Times New Roman" w:hAnsi="Times New Roman" w:eastAsia="Arial" w:cs="Times New Roman"/>
      <w:lang w:val="en-US" w:eastAsia="zh-CN" w:bidi="ar-SA"/>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94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15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9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912"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3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34" TargetMode="External"/><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诗和远方</dc:creator>
  <cp:lastModifiedBy>朱亮峰</cp:lastModifiedBy>
  <cp:revision>17</cp:revision>
  <dcterms:created xsi:type="dcterms:W3CDTF">2024-10-31T01:40:00Z</dcterms:created>
  <dcterms:modified xsi:type="dcterms:W3CDTF">2026-04-14T07:27:31Z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19563DF4131C4340AABD37EEA44681A8_13</vt:lpwstr>
  </property>
  <property fmtid="{D5CDD505-2E9C-101B-9397-08002B2CF9AE}" pid="4" name="KSOTemplateDocerSaveRecord">
    <vt:lpwstr>eyJoZGlkIjoiMTg3MzU5NWMwZjE3NjA2OWU2OThmNTlkYmZmYWU2Y2MiLCJ1c2VySWQiOiIzMjgwNDM4MTQifQ==</vt:lpwstr>
  </property>
</Properties>
</file>