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6C4A82">
      <w:pPr>
        <w:pStyle w:val="30"/>
        <w:spacing w:before="120" w:beforeAutospacing="0" w:after="120" w:afterAutospacing="0" w:line="360" w:lineRule="auto"/>
      </w:pPr>
      <w:r>
        <w:t> </w:t>
      </w:r>
    </w:p>
    <w:p w14:paraId="6A0B25C7">
      <w:pPr>
        <w:pStyle w:val="30"/>
        <w:spacing w:before="120" w:beforeAutospacing="0" w:after="120" w:afterAutospacing="0" w:line="360" w:lineRule="auto"/>
        <w:jc w:val="center"/>
      </w:pPr>
      <w:r>
        <w:rPr>
          <w:rFonts w:ascii="Arial" w:hAnsi="Arial" w:cs="Arial"/>
          <w:b/>
          <w:color w:val="000000"/>
          <w:sz w:val="84"/>
          <w:szCs w:val="84"/>
        </w:rPr>
        <w:t>招 标 文 件</w:t>
      </w:r>
    </w:p>
    <w:p w14:paraId="4B864CBA">
      <w:pPr>
        <w:pStyle w:val="30"/>
        <w:spacing w:before="120" w:beforeAutospacing="0" w:after="120" w:afterAutospacing="0" w:line="360" w:lineRule="auto"/>
        <w:ind w:firstLine="2249"/>
        <w:rPr>
          <w:rFonts w:ascii="Arial" w:hAnsi="Arial" w:cs="Arial"/>
          <w:b/>
          <w:color w:val="000000"/>
          <w:sz w:val="32"/>
          <w:szCs w:val="32"/>
        </w:rPr>
      </w:pPr>
    </w:p>
    <w:p w14:paraId="1B30C01C">
      <w:pPr>
        <w:pStyle w:val="30"/>
        <w:spacing w:before="120" w:beforeAutospacing="0" w:after="120" w:afterAutospacing="0" w:line="360" w:lineRule="auto"/>
        <w:ind w:firstLine="2249"/>
        <w:rPr>
          <w:rFonts w:ascii="Arial" w:hAnsi="Arial" w:cs="Arial"/>
          <w:b/>
          <w:color w:val="000000"/>
          <w:sz w:val="32"/>
          <w:szCs w:val="32"/>
        </w:rPr>
      </w:pPr>
    </w:p>
    <w:p w14:paraId="4A7AE2FA">
      <w:pPr>
        <w:pStyle w:val="30"/>
        <w:spacing w:before="120" w:beforeAutospacing="0" w:after="120" w:afterAutospacing="0" w:line="360" w:lineRule="auto"/>
        <w:ind w:firstLine="2249"/>
        <w:rPr>
          <w:rFonts w:ascii="Arial" w:hAnsi="Arial" w:cs="Arial"/>
          <w:b/>
          <w:color w:val="000000"/>
          <w:sz w:val="32"/>
          <w:szCs w:val="32"/>
        </w:rPr>
      </w:pPr>
    </w:p>
    <w:p w14:paraId="6C172848">
      <w:pPr>
        <w:pStyle w:val="30"/>
        <w:spacing w:before="120" w:beforeAutospacing="0" w:after="120" w:afterAutospacing="0" w:line="360" w:lineRule="auto"/>
        <w:ind w:firstLine="2249"/>
        <w:rPr>
          <w:rFonts w:ascii="Arial" w:hAnsi="Arial" w:cs="Arial"/>
          <w:b/>
          <w:color w:val="000000"/>
          <w:sz w:val="32"/>
          <w:szCs w:val="32"/>
        </w:rPr>
      </w:pPr>
    </w:p>
    <w:p w14:paraId="693CE366">
      <w:pPr>
        <w:pStyle w:val="30"/>
        <w:spacing w:before="120" w:beforeAutospacing="0" w:after="120" w:afterAutospacing="0" w:line="360" w:lineRule="auto"/>
        <w:jc w:val="center"/>
        <w:rPr>
          <w:rFonts w:hint="eastAsia" w:eastAsia="宋体"/>
          <w:lang w:eastAsia="zh-CN"/>
        </w:rPr>
      </w:pPr>
      <w:r>
        <w:rPr>
          <w:rFonts w:ascii="Arial" w:hAnsi="Arial" w:cs="Arial"/>
          <w:b/>
          <w:color w:val="000000"/>
          <w:sz w:val="32"/>
          <w:szCs w:val="32"/>
        </w:rPr>
        <w:t>项目名称：</w:t>
      </w:r>
      <w:r>
        <w:rPr>
          <w:rFonts w:hint="eastAsia" w:ascii="宋体" w:hAnsi="宋体" w:eastAsia="宋体" w:cs="宋体"/>
          <w:b/>
          <w:sz w:val="28"/>
          <w:szCs w:val="28"/>
          <w:u w:val="none"/>
          <w:lang w:eastAsia="zh-CN"/>
        </w:rPr>
        <w:t>射阳县教育局校园周界防范报警系统改造提升项目（</w:t>
      </w:r>
      <w:r>
        <w:rPr>
          <w:rFonts w:hint="eastAsia" w:ascii="宋体" w:hAnsi="宋体" w:eastAsia="宋体" w:cs="宋体"/>
          <w:b/>
          <w:sz w:val="28"/>
          <w:szCs w:val="28"/>
          <w:u w:val="none"/>
          <w:lang w:val="en-US" w:eastAsia="zh-CN"/>
        </w:rPr>
        <w:t>三</w:t>
      </w:r>
      <w:r>
        <w:rPr>
          <w:rFonts w:hint="eastAsia" w:ascii="宋体" w:hAnsi="宋体" w:eastAsia="宋体" w:cs="宋体"/>
          <w:b/>
          <w:sz w:val="28"/>
          <w:szCs w:val="28"/>
          <w:u w:val="none"/>
          <w:lang w:eastAsia="zh-CN"/>
        </w:rPr>
        <w:t>次）</w:t>
      </w:r>
    </w:p>
    <w:p w14:paraId="7C711F46">
      <w:pPr>
        <w:pStyle w:val="30"/>
        <w:spacing w:beforeAutospacing="0" w:afterAutospacing="0"/>
        <w:jc w:val="center"/>
        <w:rPr>
          <w:rFonts w:hint="default" w:ascii="宋体" w:hAnsi="宋体" w:eastAsia="宋体" w:cs="宋体"/>
          <w:b/>
          <w:color w:val="000000"/>
          <w:sz w:val="32"/>
          <w:szCs w:val="32"/>
          <w:lang w:val="en-US" w:eastAsia="zh-CN"/>
        </w:rPr>
      </w:pPr>
      <w:r>
        <w:rPr>
          <w:rFonts w:hint="eastAsia" w:ascii="宋体" w:hAnsi="宋体" w:eastAsia="宋体" w:cs="宋体"/>
          <w:b/>
          <w:color w:val="000000"/>
          <w:sz w:val="32"/>
          <w:szCs w:val="32"/>
        </w:rPr>
        <w:t>项目编号：JSZC-320924-XYGS-G2026-0004</w:t>
      </w:r>
    </w:p>
    <w:p w14:paraId="3AC3F53B">
      <w:pPr>
        <w:pStyle w:val="30"/>
        <w:spacing w:beforeAutospacing="0" w:afterAutospacing="0" w:line="360" w:lineRule="auto"/>
      </w:pPr>
      <w:r>
        <w:t> </w:t>
      </w:r>
    </w:p>
    <w:p w14:paraId="1BCDEE1F">
      <w:pPr>
        <w:pStyle w:val="30"/>
        <w:spacing w:beforeAutospacing="0" w:afterAutospacing="0" w:line="360" w:lineRule="auto"/>
      </w:pPr>
      <w:r>
        <w:t> </w:t>
      </w:r>
    </w:p>
    <w:p w14:paraId="3C11D2A2">
      <w:pPr>
        <w:pStyle w:val="30"/>
        <w:spacing w:beforeAutospacing="0" w:afterAutospacing="0" w:line="360" w:lineRule="auto"/>
      </w:pPr>
      <w:r>
        <w:t> </w:t>
      </w:r>
    </w:p>
    <w:p w14:paraId="196145BF">
      <w:pPr>
        <w:pStyle w:val="30"/>
        <w:spacing w:beforeAutospacing="0" w:afterAutospacing="0" w:line="360" w:lineRule="auto"/>
      </w:pPr>
      <w:r>
        <w:t> </w:t>
      </w:r>
    </w:p>
    <w:p w14:paraId="3F310D4D">
      <w:pPr>
        <w:pStyle w:val="30"/>
        <w:spacing w:beforeAutospacing="0" w:afterAutospacing="0" w:line="360" w:lineRule="auto"/>
      </w:pPr>
      <w:r>
        <w:t> </w:t>
      </w:r>
    </w:p>
    <w:p w14:paraId="641BC8EE">
      <w:pPr>
        <w:pStyle w:val="30"/>
        <w:spacing w:beforeAutospacing="0" w:afterAutospacing="0" w:line="360" w:lineRule="auto"/>
      </w:pPr>
      <w:r>
        <w:t> </w:t>
      </w:r>
    </w:p>
    <w:p w14:paraId="26C25221">
      <w:pPr>
        <w:pStyle w:val="30"/>
        <w:spacing w:beforeAutospacing="0" w:afterAutospacing="0" w:line="360" w:lineRule="auto"/>
      </w:pPr>
    </w:p>
    <w:p w14:paraId="78A2AE13">
      <w:pPr>
        <w:pStyle w:val="30"/>
        <w:spacing w:beforeAutospacing="0" w:afterAutospacing="0" w:line="360" w:lineRule="auto"/>
      </w:pPr>
    </w:p>
    <w:p w14:paraId="6B7B5A3F">
      <w:pPr>
        <w:pStyle w:val="30"/>
        <w:spacing w:beforeAutospacing="0" w:afterAutospacing="0" w:line="360" w:lineRule="auto"/>
      </w:pPr>
      <w:r>
        <w:t> </w:t>
      </w:r>
    </w:p>
    <w:p w14:paraId="44375FBA">
      <w:pPr>
        <w:pStyle w:val="30"/>
        <w:spacing w:before="120" w:beforeAutospacing="0" w:after="120" w:afterAutospacing="0" w:line="560" w:lineRule="exact"/>
        <w:jc w:val="center"/>
        <w:rPr>
          <w:rFonts w:hint="eastAsia" w:ascii="宋体" w:hAnsi="宋体" w:eastAsia="宋体" w:cs="宋体"/>
          <w:b/>
          <w:sz w:val="36"/>
          <w:szCs w:val="36"/>
        </w:rPr>
      </w:pPr>
      <w:r>
        <w:rPr>
          <w:rFonts w:hint="eastAsia" w:ascii="宋体" w:hAnsi="宋体" w:eastAsia="宋体" w:cs="宋体"/>
          <w:b/>
          <w:sz w:val="36"/>
          <w:szCs w:val="36"/>
        </w:rPr>
        <w:t>射阳县教育局</w:t>
      </w:r>
    </w:p>
    <w:p w14:paraId="7B64D559">
      <w:pPr>
        <w:pStyle w:val="30"/>
        <w:spacing w:before="120" w:beforeAutospacing="0" w:after="120" w:afterAutospacing="0" w:line="360" w:lineRule="auto"/>
        <w:jc w:val="center"/>
        <w:rPr>
          <w:rFonts w:ascii="宋体" w:hAnsi="宋体" w:eastAsia="宋体" w:cs="宋体"/>
          <w:b/>
          <w:color w:val="000000"/>
          <w:sz w:val="36"/>
          <w:szCs w:val="36"/>
        </w:rPr>
      </w:pPr>
      <w:r>
        <w:rPr>
          <w:rFonts w:hint="eastAsia" w:ascii="宋体" w:hAnsi="宋体" w:eastAsia="宋体" w:cs="宋体"/>
          <w:b/>
          <w:color w:val="000000"/>
          <w:sz w:val="36"/>
          <w:szCs w:val="36"/>
          <w:lang w:val="en-US" w:eastAsia="zh-CN"/>
        </w:rPr>
        <w:t>江苏鑫缘</w:t>
      </w:r>
      <w:r>
        <w:rPr>
          <w:rFonts w:hint="eastAsia" w:ascii="宋体" w:hAnsi="宋体" w:eastAsia="宋体" w:cs="宋体"/>
          <w:b/>
          <w:color w:val="000000"/>
          <w:sz w:val="36"/>
          <w:szCs w:val="36"/>
        </w:rPr>
        <w:t>项目管理有限公司</w:t>
      </w:r>
    </w:p>
    <w:p w14:paraId="329477B8">
      <w:pPr>
        <w:pStyle w:val="30"/>
        <w:spacing w:before="120" w:beforeAutospacing="0" w:after="120" w:afterAutospacing="0" w:line="360" w:lineRule="auto"/>
        <w:jc w:val="center"/>
      </w:pPr>
      <w:r>
        <w:rPr>
          <w:rFonts w:hint="eastAsia" w:ascii="宋体" w:hAnsi="宋体" w:eastAsia="宋体" w:cs="宋体"/>
          <w:b/>
          <w:color w:val="000000"/>
          <w:sz w:val="36"/>
          <w:szCs w:val="36"/>
        </w:rPr>
        <w:t>202</w:t>
      </w:r>
      <w:r>
        <w:rPr>
          <w:rFonts w:hint="eastAsia" w:ascii="宋体" w:hAnsi="宋体" w:eastAsia="宋体" w:cs="宋体"/>
          <w:b/>
          <w:color w:val="000000"/>
          <w:sz w:val="36"/>
          <w:szCs w:val="36"/>
          <w:lang w:val="en-US" w:eastAsia="zh-CN"/>
        </w:rPr>
        <w:t>6</w:t>
      </w:r>
      <w:r>
        <w:rPr>
          <w:rFonts w:hint="eastAsia" w:ascii="宋体" w:hAnsi="宋体" w:eastAsia="宋体" w:cs="宋体"/>
          <w:b/>
          <w:color w:val="000000"/>
          <w:sz w:val="36"/>
          <w:szCs w:val="36"/>
        </w:rPr>
        <w:t>年</w:t>
      </w:r>
      <w:r>
        <w:rPr>
          <w:rFonts w:hint="eastAsia" w:ascii="宋体" w:hAnsi="宋体" w:eastAsia="宋体" w:cs="宋体"/>
          <w:b/>
          <w:color w:val="000000"/>
          <w:sz w:val="36"/>
          <w:szCs w:val="36"/>
          <w:lang w:val="en-US" w:eastAsia="zh-CN"/>
        </w:rPr>
        <w:t>9</w:t>
      </w:r>
      <w:r>
        <w:rPr>
          <w:rFonts w:hint="eastAsia" w:ascii="宋体" w:hAnsi="宋体" w:eastAsia="宋体" w:cs="宋体"/>
          <w:b/>
          <w:color w:val="000000"/>
          <w:sz w:val="36"/>
          <w:szCs w:val="36"/>
        </w:rPr>
        <w:t>月</w:t>
      </w:r>
    </w:p>
    <w:p w14:paraId="5ABCED18">
      <w:pPr>
        <w:pStyle w:val="30"/>
        <w:spacing w:before="120" w:beforeAutospacing="0" w:after="120" w:afterAutospacing="0" w:line="360" w:lineRule="auto"/>
        <w:jc w:val="center"/>
      </w:pPr>
      <w:r>
        <w:t> </w:t>
      </w:r>
    </w:p>
    <w:p w14:paraId="57BF6D4C">
      <w:pPr>
        <w:pStyle w:val="30"/>
        <w:spacing w:beforeAutospacing="0" w:afterAutospacing="0" w:line="480" w:lineRule="auto"/>
        <w:jc w:val="center"/>
      </w:pPr>
      <w:r>
        <w:rPr>
          <w:rFonts w:ascii="Times New Roman" w:hAnsi="Times New Roman"/>
          <w:color w:val="000000"/>
          <w:sz w:val="21"/>
          <w:szCs w:val="21"/>
        </w:rPr>
        <w:br w:type="page" w:clear="all"/>
      </w:r>
      <w:r>
        <w:rPr>
          <w:rFonts w:ascii="Times New Roman" w:hAnsi="Times New Roman"/>
          <w:color w:val="000000"/>
          <w:sz w:val="21"/>
          <w:szCs w:val="21"/>
        </w:rPr>
        <w:t> </w:t>
      </w:r>
      <w:bookmarkStart w:id="0" w:name="_Toc20823272"/>
      <w:bookmarkStart w:id="1" w:name="_Toc523127445"/>
      <w:bookmarkStart w:id="2" w:name="_Toc513029200"/>
      <w:bookmarkStart w:id="3" w:name="_Toc479757206"/>
      <w:bookmarkStart w:id="4" w:name="_Toc120614210"/>
      <w:bookmarkStart w:id="5" w:name="_Toc16938516"/>
      <w:r>
        <w:rPr>
          <w:rFonts w:ascii="Times New Roman" w:hAnsi="Times New Roman"/>
          <w:color w:val="000000"/>
          <w:sz w:val="21"/>
          <w:szCs w:val="21"/>
        </w:rPr>
        <w:t> </w:t>
      </w:r>
      <w:r>
        <w:rPr>
          <w:rFonts w:ascii="黑体" w:hAnsi="宋体" w:eastAsia="黑体" w:cs="黑体"/>
          <w:b/>
          <w:color w:val="000000"/>
          <w:sz w:val="44"/>
          <w:szCs w:val="44"/>
        </w:rPr>
        <w:t>总  目  录</w:t>
      </w:r>
      <w:bookmarkEnd w:id="0"/>
      <w:bookmarkEnd w:id="1"/>
      <w:bookmarkEnd w:id="2"/>
      <w:bookmarkEnd w:id="3"/>
      <w:bookmarkEnd w:id="4"/>
      <w:bookmarkEnd w:id="5"/>
    </w:p>
    <w:p w14:paraId="0499208F">
      <w:pPr>
        <w:pStyle w:val="30"/>
        <w:spacing w:beforeAutospacing="0" w:afterAutospacing="0" w:line="480" w:lineRule="auto"/>
        <w:jc w:val="both"/>
      </w:pPr>
      <w:r>
        <w:t> </w:t>
      </w:r>
    </w:p>
    <w:p w14:paraId="492A9DDC">
      <w:pPr>
        <w:pStyle w:val="30"/>
        <w:tabs>
          <w:tab w:val="left" w:pos="1441"/>
        </w:tabs>
        <w:spacing w:beforeAutospacing="0" w:afterAutospacing="0" w:line="480" w:lineRule="auto"/>
        <w:jc w:val="both"/>
        <w:rPr>
          <w:sz w:val="32"/>
          <w:szCs w:val="32"/>
        </w:rPr>
      </w:pPr>
      <w:r>
        <w:rPr>
          <w:rFonts w:hint="eastAsia" w:ascii="黑体" w:hAnsi="宋体" w:eastAsia="黑体" w:cs="黑体"/>
          <w:color w:val="000000"/>
          <w:sz w:val="32"/>
          <w:szCs w:val="32"/>
        </w:rPr>
        <w:t>招标公告…………………………………………………………1</w:t>
      </w:r>
    </w:p>
    <w:p w14:paraId="08FE3E06">
      <w:pPr>
        <w:pStyle w:val="30"/>
        <w:tabs>
          <w:tab w:val="left" w:pos="1441"/>
        </w:tabs>
        <w:spacing w:beforeAutospacing="0" w:afterAutospacing="0" w:line="480" w:lineRule="auto"/>
        <w:jc w:val="both"/>
        <w:rPr>
          <w:sz w:val="32"/>
          <w:szCs w:val="32"/>
        </w:rPr>
      </w:pPr>
      <w:r>
        <w:rPr>
          <w:rFonts w:hint="eastAsia" w:ascii="黑体" w:hAnsi="宋体" w:eastAsia="黑体" w:cs="黑体"/>
          <w:color w:val="000000"/>
          <w:sz w:val="32"/>
          <w:szCs w:val="32"/>
        </w:rPr>
        <w:t xml:space="preserve">供应商须知………………………………………………………5  </w:t>
      </w:r>
    </w:p>
    <w:p w14:paraId="0DC37FE5">
      <w:pPr>
        <w:pStyle w:val="30"/>
        <w:tabs>
          <w:tab w:val="left" w:pos="1441"/>
        </w:tabs>
        <w:spacing w:beforeAutospacing="0" w:afterAutospacing="0" w:line="480" w:lineRule="auto"/>
        <w:jc w:val="both"/>
        <w:rPr>
          <w:rFonts w:eastAsia="黑体"/>
          <w:sz w:val="32"/>
          <w:szCs w:val="32"/>
        </w:rPr>
      </w:pPr>
      <w:r>
        <w:rPr>
          <w:rFonts w:hint="eastAsia" w:ascii="黑体" w:hAnsi="宋体" w:eastAsia="黑体" w:cs="黑体"/>
          <w:color w:val="000000"/>
          <w:sz w:val="32"/>
          <w:szCs w:val="32"/>
        </w:rPr>
        <w:t>合同文本…………………………………………………………21</w:t>
      </w:r>
    </w:p>
    <w:p w14:paraId="7745A385">
      <w:pPr>
        <w:pStyle w:val="30"/>
        <w:tabs>
          <w:tab w:val="left" w:pos="1441"/>
        </w:tabs>
        <w:spacing w:beforeAutospacing="0" w:afterAutospacing="0" w:line="480" w:lineRule="auto"/>
        <w:jc w:val="both"/>
        <w:rPr>
          <w:rFonts w:eastAsia="黑体"/>
          <w:sz w:val="32"/>
          <w:szCs w:val="32"/>
        </w:rPr>
      </w:pPr>
      <w:r>
        <w:rPr>
          <w:rFonts w:hint="eastAsia" w:ascii="黑体" w:hAnsi="宋体" w:eastAsia="黑体" w:cs="黑体"/>
          <w:color w:val="000000"/>
          <w:sz w:val="32"/>
          <w:szCs w:val="32"/>
        </w:rPr>
        <w:t>采购需求…………………………………………………………27</w:t>
      </w:r>
    </w:p>
    <w:p w14:paraId="12F522E3">
      <w:pPr>
        <w:pStyle w:val="30"/>
        <w:tabs>
          <w:tab w:val="left" w:pos="1441"/>
        </w:tabs>
        <w:spacing w:beforeAutospacing="0" w:afterAutospacing="0" w:line="480" w:lineRule="auto"/>
        <w:jc w:val="both"/>
        <w:rPr>
          <w:rFonts w:eastAsia="黑体"/>
          <w:sz w:val="32"/>
          <w:szCs w:val="32"/>
        </w:rPr>
      </w:pPr>
      <w:r>
        <w:rPr>
          <w:rFonts w:hint="eastAsia" w:ascii="黑体" w:hAnsi="宋体" w:eastAsia="黑体" w:cs="黑体"/>
          <w:color w:val="000000"/>
          <w:sz w:val="32"/>
          <w:szCs w:val="32"/>
        </w:rPr>
        <w:t>评标方法与评标标准……………………………………………31</w:t>
      </w:r>
    </w:p>
    <w:p w14:paraId="701C4021">
      <w:pPr>
        <w:pStyle w:val="30"/>
        <w:tabs>
          <w:tab w:val="left" w:pos="1441"/>
        </w:tabs>
        <w:spacing w:beforeAutospacing="0" w:afterAutospacing="0" w:line="480" w:lineRule="auto"/>
        <w:jc w:val="both"/>
        <w:rPr>
          <w:rFonts w:eastAsia="黑体"/>
          <w:sz w:val="32"/>
          <w:szCs w:val="32"/>
        </w:rPr>
      </w:pPr>
      <w:r>
        <w:rPr>
          <w:rFonts w:hint="eastAsia" w:ascii="黑体" w:hAnsi="宋体" w:eastAsia="黑体" w:cs="黑体"/>
          <w:color w:val="000000"/>
          <w:sz w:val="32"/>
          <w:szCs w:val="32"/>
        </w:rPr>
        <w:t>投标文件格式……………………………………………………35</w:t>
      </w:r>
    </w:p>
    <w:p w14:paraId="22AEC5CB">
      <w:pPr>
        <w:pStyle w:val="30"/>
        <w:spacing w:beforeAutospacing="0" w:afterAutospacing="0"/>
        <w:jc w:val="both"/>
      </w:pPr>
      <w:r>
        <w:t> </w:t>
      </w:r>
    </w:p>
    <w:p w14:paraId="7A7CA813">
      <w:pPr>
        <w:pStyle w:val="30"/>
        <w:spacing w:beforeAutospacing="0" w:afterAutospacing="0"/>
        <w:jc w:val="both"/>
      </w:pPr>
      <w:r>
        <w:t> </w:t>
      </w:r>
    </w:p>
    <w:p w14:paraId="44C8802A">
      <w:pPr>
        <w:pStyle w:val="30"/>
        <w:spacing w:beforeAutospacing="0" w:afterAutospacing="0"/>
        <w:jc w:val="both"/>
      </w:pPr>
      <w:r>
        <w:t> </w:t>
      </w:r>
    </w:p>
    <w:p w14:paraId="151C9AB6">
      <w:pPr>
        <w:pStyle w:val="30"/>
        <w:spacing w:beforeAutospacing="0" w:afterAutospacing="0"/>
        <w:jc w:val="both"/>
      </w:pPr>
      <w:r>
        <w:t> </w:t>
      </w:r>
    </w:p>
    <w:p w14:paraId="2CE8C73F">
      <w:pPr>
        <w:pStyle w:val="30"/>
        <w:spacing w:beforeAutospacing="0" w:afterAutospacing="0"/>
        <w:jc w:val="both"/>
      </w:pPr>
      <w:r>
        <w:t> </w:t>
      </w:r>
    </w:p>
    <w:p w14:paraId="16F534FE">
      <w:pPr>
        <w:pStyle w:val="30"/>
        <w:spacing w:beforeAutospacing="0" w:afterAutospacing="0"/>
        <w:jc w:val="both"/>
      </w:pPr>
      <w:r>
        <w:t> </w:t>
      </w:r>
    </w:p>
    <w:p w14:paraId="242A34A6">
      <w:pPr>
        <w:pStyle w:val="30"/>
        <w:spacing w:beforeAutospacing="0" w:afterAutospacing="0"/>
        <w:jc w:val="both"/>
      </w:pPr>
      <w:r>
        <w:t> </w:t>
      </w:r>
    </w:p>
    <w:p w14:paraId="320C4ABE">
      <w:pPr>
        <w:pStyle w:val="30"/>
        <w:spacing w:beforeAutospacing="0" w:afterAutospacing="0"/>
        <w:jc w:val="both"/>
      </w:pPr>
      <w:r>
        <w:t> </w:t>
      </w:r>
    </w:p>
    <w:p w14:paraId="17F01130">
      <w:pPr>
        <w:pStyle w:val="30"/>
        <w:spacing w:beforeAutospacing="0" w:afterAutospacing="0"/>
        <w:jc w:val="both"/>
      </w:pPr>
      <w:r>
        <w:t> </w:t>
      </w:r>
    </w:p>
    <w:p w14:paraId="0BA1F811">
      <w:pPr>
        <w:pStyle w:val="30"/>
        <w:spacing w:beforeAutospacing="0" w:afterAutospacing="0"/>
        <w:jc w:val="both"/>
      </w:pPr>
      <w:r>
        <w:t> </w:t>
      </w:r>
    </w:p>
    <w:p w14:paraId="34444A1D">
      <w:pPr>
        <w:pStyle w:val="30"/>
        <w:spacing w:beforeAutospacing="0" w:afterAutospacing="0"/>
        <w:jc w:val="both"/>
      </w:pPr>
      <w:r>
        <w:t> </w:t>
      </w:r>
    </w:p>
    <w:p w14:paraId="42617B67">
      <w:pPr>
        <w:pStyle w:val="30"/>
        <w:spacing w:beforeAutospacing="0" w:afterAutospacing="0"/>
        <w:jc w:val="both"/>
      </w:pPr>
      <w:r>
        <w:t> </w:t>
      </w:r>
    </w:p>
    <w:p w14:paraId="736122E3">
      <w:pPr>
        <w:pStyle w:val="30"/>
        <w:spacing w:beforeAutospacing="0" w:afterAutospacing="0"/>
        <w:jc w:val="both"/>
      </w:pPr>
      <w:r>
        <w:t> </w:t>
      </w:r>
    </w:p>
    <w:p w14:paraId="68012AD8">
      <w:pPr>
        <w:pStyle w:val="30"/>
        <w:spacing w:beforeAutospacing="0" w:afterAutospacing="0"/>
        <w:jc w:val="both"/>
      </w:pPr>
      <w:r>
        <w:t> </w:t>
      </w:r>
    </w:p>
    <w:p w14:paraId="42F45894">
      <w:pPr>
        <w:pStyle w:val="30"/>
        <w:spacing w:beforeAutospacing="0" w:afterAutospacing="0"/>
        <w:jc w:val="both"/>
      </w:pPr>
      <w:r>
        <w:t> </w:t>
      </w:r>
    </w:p>
    <w:p w14:paraId="738CA34F">
      <w:pPr>
        <w:pStyle w:val="30"/>
        <w:spacing w:beforeAutospacing="0" w:afterAutospacing="0"/>
        <w:jc w:val="both"/>
      </w:pPr>
      <w:r>
        <w:t> </w:t>
      </w:r>
    </w:p>
    <w:p w14:paraId="022B082C">
      <w:pPr>
        <w:pStyle w:val="30"/>
        <w:spacing w:beforeAutospacing="0" w:afterAutospacing="0"/>
        <w:jc w:val="both"/>
      </w:pPr>
      <w:r>
        <w:t> </w:t>
      </w:r>
    </w:p>
    <w:p w14:paraId="2FF60F3B">
      <w:pPr>
        <w:pStyle w:val="30"/>
        <w:spacing w:beforeAutospacing="0" w:afterAutospacing="0"/>
        <w:jc w:val="both"/>
      </w:pPr>
      <w:r>
        <w:t> </w:t>
      </w:r>
    </w:p>
    <w:p w14:paraId="4E190C32">
      <w:pPr>
        <w:pStyle w:val="30"/>
        <w:spacing w:beforeAutospacing="0" w:afterAutospacing="0"/>
        <w:jc w:val="both"/>
      </w:pPr>
      <w:r>
        <w:t> </w:t>
      </w:r>
    </w:p>
    <w:p w14:paraId="2C9B8897">
      <w:pPr>
        <w:pStyle w:val="30"/>
        <w:spacing w:beforeAutospacing="0" w:afterAutospacing="0"/>
        <w:jc w:val="both"/>
      </w:pPr>
      <w:r>
        <w:t> </w:t>
      </w:r>
    </w:p>
    <w:p w14:paraId="04AEF02D">
      <w:pPr>
        <w:pStyle w:val="30"/>
        <w:spacing w:beforeAutospacing="0" w:afterAutospacing="0"/>
        <w:jc w:val="both"/>
      </w:pPr>
      <w:r>
        <w:t> </w:t>
      </w:r>
    </w:p>
    <w:p w14:paraId="0AB27C17">
      <w:pPr>
        <w:pStyle w:val="30"/>
        <w:spacing w:beforeAutospacing="0" w:afterAutospacing="0"/>
        <w:jc w:val="both"/>
      </w:pPr>
      <w:r>
        <w:t> </w:t>
      </w:r>
    </w:p>
    <w:p w14:paraId="5644DC14">
      <w:pPr>
        <w:pStyle w:val="30"/>
        <w:spacing w:beforeAutospacing="0" w:afterAutospacing="0"/>
        <w:jc w:val="both"/>
      </w:pPr>
      <w:r>
        <w:t> </w:t>
      </w:r>
    </w:p>
    <w:p w14:paraId="757C6BAC">
      <w:pPr>
        <w:pStyle w:val="30"/>
        <w:spacing w:beforeAutospacing="0" w:afterAutospacing="0"/>
        <w:jc w:val="center"/>
      </w:pPr>
      <w:r>
        <w:t xml:space="preserve">  </w:t>
      </w:r>
      <w:r>
        <w:rPr>
          <w:rFonts w:hint="eastAsia" w:ascii="黑体" w:hAnsi="宋体" w:eastAsia="黑体" w:cs="黑体"/>
          <w:color w:val="000000"/>
          <w:sz w:val="44"/>
          <w:szCs w:val="44"/>
        </w:rPr>
        <w:t>第一章 招标公告</w:t>
      </w:r>
    </w:p>
    <w:p w14:paraId="1366C4CC">
      <w:pPr>
        <w:pBdr>
          <w:top w:val="single" w:color="auto" w:sz="4" w:space="1"/>
          <w:left w:val="single" w:color="auto" w:sz="4" w:space="4"/>
          <w:bottom w:val="single" w:color="auto" w:sz="4" w:space="1"/>
          <w:right w:val="single" w:color="auto" w:sz="4" w:space="4"/>
        </w:pBdr>
        <w:spacing w:line="460" w:lineRule="exact"/>
        <w:ind w:firstLine="480"/>
        <w:rPr>
          <w:rFonts w:hint="eastAsia" w:ascii="宋体" w:hAnsi="宋体" w:eastAsia="宋体" w:cs="宋体"/>
          <w:sz w:val="24"/>
          <w:u w:val="none"/>
          <w:lang w:val="en-US" w:eastAsia="zh-CN"/>
        </w:rPr>
      </w:pPr>
      <w:bookmarkStart w:id="6" w:name="_Toc35393790"/>
      <w:bookmarkStart w:id="7" w:name="_Toc28359079"/>
      <w:bookmarkStart w:id="8" w:name="_Toc28359002"/>
      <w:bookmarkStart w:id="9" w:name="_Toc35393621"/>
      <w:bookmarkStart w:id="10" w:name="_Toc38985263"/>
      <w:bookmarkStart w:id="11" w:name="_Hlk24379207"/>
      <w:r>
        <w:rPr>
          <w:rFonts w:hint="eastAsia" w:ascii="宋体" w:hAnsi="宋体" w:eastAsia="宋体" w:cs="宋体"/>
          <w:sz w:val="24"/>
          <w:u w:val="none"/>
          <w:lang w:val="en-US" w:eastAsia="zh-CN"/>
        </w:rPr>
        <w:t>项目概况：</w:t>
      </w:r>
    </w:p>
    <w:p w14:paraId="6B0F6ADA">
      <w:pPr>
        <w:pBdr>
          <w:top w:val="single" w:color="auto" w:sz="4" w:space="1"/>
          <w:left w:val="single" w:color="auto" w:sz="4" w:space="4"/>
          <w:bottom w:val="single" w:color="auto" w:sz="4" w:space="1"/>
          <w:right w:val="single" w:color="auto" w:sz="4" w:space="4"/>
        </w:pBdr>
        <w:spacing w:line="460" w:lineRule="exact"/>
        <w:ind w:firstLine="480"/>
        <w:rPr>
          <w:rFonts w:ascii="宋体" w:hAnsi="宋体" w:eastAsia="宋体" w:cs="宋体"/>
          <w:sz w:val="24"/>
        </w:rPr>
      </w:pPr>
      <w:r>
        <w:rPr>
          <w:rFonts w:hint="eastAsia" w:ascii="宋体" w:hAnsi="宋体" w:eastAsia="宋体" w:cs="宋体"/>
          <w:sz w:val="24"/>
          <w:u w:val="single"/>
          <w:lang w:eastAsia="zh-CN"/>
        </w:rPr>
        <w:t>射阳县教育局校园周界防范报警系统改造提升项目（</w:t>
      </w:r>
      <w:r>
        <w:rPr>
          <w:rFonts w:hint="eastAsia" w:ascii="宋体" w:hAnsi="宋体" w:eastAsia="宋体" w:cs="宋体"/>
          <w:sz w:val="24"/>
          <w:u w:val="single"/>
          <w:lang w:val="en-US" w:eastAsia="zh-CN"/>
        </w:rPr>
        <w:t>三</w:t>
      </w:r>
      <w:r>
        <w:rPr>
          <w:rFonts w:hint="eastAsia" w:ascii="宋体" w:hAnsi="宋体" w:eastAsia="宋体" w:cs="宋体"/>
          <w:sz w:val="24"/>
          <w:u w:val="single"/>
          <w:lang w:eastAsia="zh-CN"/>
        </w:rPr>
        <w:t>次）</w:t>
      </w:r>
      <w:r>
        <w:rPr>
          <w:rFonts w:hint="eastAsia" w:ascii="宋体" w:hAnsi="宋体" w:eastAsia="宋体" w:cs="宋体"/>
          <w:sz w:val="24"/>
          <w:u w:val="single"/>
        </w:rPr>
        <w:t xml:space="preserve"> </w:t>
      </w:r>
      <w:r>
        <w:rPr>
          <w:rFonts w:hint="eastAsia" w:ascii="宋体" w:hAnsi="宋体" w:eastAsia="宋体" w:cs="宋体"/>
          <w:sz w:val="24"/>
        </w:rPr>
        <w:t>的潜在投标人应在</w:t>
      </w:r>
      <w:r>
        <w:rPr>
          <w:rFonts w:hint="eastAsia" w:ascii="宋体" w:hAnsi="宋体" w:eastAsia="宋体" w:cs="宋体"/>
          <w:sz w:val="24"/>
          <w:shd w:val="clear" w:color="auto" w:fill="FFFFFF"/>
        </w:rPr>
        <w:t>“苏采云”系统内免费下载（投标人必须在苏采云系统中获取采购文件，方能参与政府采购项目）</w:t>
      </w:r>
      <w:r>
        <w:rPr>
          <w:rFonts w:hint="eastAsia" w:ascii="宋体" w:hAnsi="宋体" w:eastAsia="宋体" w:cs="宋体"/>
          <w:sz w:val="24"/>
        </w:rPr>
        <w:t>，并于</w:t>
      </w:r>
      <w:r>
        <w:rPr>
          <w:rFonts w:hint="eastAsia" w:ascii="宋体" w:hAnsi="宋体" w:eastAsia="宋体" w:cs="宋体"/>
          <w:sz w:val="24"/>
          <w:u w:val="single"/>
        </w:rPr>
        <w:t>2026年</w:t>
      </w:r>
      <w:r>
        <w:rPr>
          <w:rFonts w:hint="eastAsia" w:ascii="宋体" w:hAnsi="宋体" w:eastAsia="宋体" w:cs="宋体"/>
          <w:sz w:val="24"/>
          <w:u w:val="single"/>
          <w:lang w:val="en-US" w:eastAsia="zh-CN"/>
        </w:rPr>
        <w:t xml:space="preserve"> 10 </w:t>
      </w:r>
      <w:r>
        <w:rPr>
          <w:rFonts w:hint="eastAsia" w:ascii="宋体" w:hAnsi="宋体" w:eastAsia="宋体" w:cs="宋体"/>
          <w:sz w:val="24"/>
          <w:u w:val="single"/>
        </w:rPr>
        <w:t>月</w:t>
      </w:r>
      <w:r>
        <w:rPr>
          <w:rFonts w:hint="eastAsia" w:ascii="宋体" w:hAnsi="宋体" w:eastAsia="宋体" w:cs="宋体"/>
          <w:sz w:val="24"/>
          <w:u w:val="single"/>
          <w:lang w:val="en-US" w:eastAsia="zh-CN"/>
        </w:rPr>
        <w:t>9</w:t>
      </w:r>
      <w:r>
        <w:rPr>
          <w:rFonts w:hint="eastAsia" w:ascii="宋体" w:hAnsi="宋体" w:eastAsia="宋体" w:cs="宋体"/>
          <w:sz w:val="24"/>
          <w:u w:val="single"/>
        </w:rPr>
        <w:t>日</w:t>
      </w:r>
      <w:r>
        <w:rPr>
          <w:rFonts w:hint="eastAsia" w:ascii="宋体" w:hAnsi="宋体" w:eastAsia="宋体" w:cs="宋体"/>
          <w:sz w:val="24"/>
          <w:u w:val="single"/>
          <w:lang w:val="en-US" w:eastAsia="zh-CN"/>
        </w:rPr>
        <w:t>上午</w:t>
      </w:r>
      <w:r>
        <w:rPr>
          <w:rFonts w:hint="eastAsia" w:ascii="宋体" w:hAnsi="宋体" w:eastAsia="宋体" w:cs="宋体"/>
          <w:sz w:val="24"/>
          <w:u w:val="single"/>
        </w:rPr>
        <w:t>9点00分（</w:t>
      </w:r>
      <w:r>
        <w:rPr>
          <w:rFonts w:hint="eastAsia" w:ascii="宋体" w:hAnsi="宋体" w:eastAsia="宋体" w:cs="宋体"/>
          <w:sz w:val="24"/>
        </w:rPr>
        <w:t>北京时间）前递交投标文件。</w:t>
      </w:r>
    </w:p>
    <w:p w14:paraId="30C80D55">
      <w:pPr>
        <w:pStyle w:val="30"/>
        <w:keepNext/>
        <w:keepLines/>
        <w:spacing w:beforeAutospacing="0" w:afterAutospacing="0" w:line="520" w:lineRule="exact"/>
        <w:ind w:firstLine="498"/>
        <w:jc w:val="both"/>
        <w:rPr>
          <w:rFonts w:ascii="宋体" w:hAnsi="宋体" w:eastAsia="宋体" w:cs="宋体"/>
        </w:rPr>
      </w:pPr>
      <w:r>
        <w:rPr>
          <w:rFonts w:hint="eastAsia" w:ascii="宋体" w:hAnsi="宋体" w:eastAsia="宋体" w:cs="宋体"/>
          <w:b/>
          <w:color w:val="000000"/>
        </w:rPr>
        <w:t>一、项目基本情况</w:t>
      </w:r>
      <w:bookmarkEnd w:id="6"/>
      <w:bookmarkEnd w:id="7"/>
      <w:bookmarkEnd w:id="8"/>
      <w:bookmarkEnd w:id="9"/>
      <w:bookmarkEnd w:id="10"/>
      <w:bookmarkEnd w:id="11"/>
    </w:p>
    <w:p w14:paraId="3099CDAB">
      <w:pPr>
        <w:pStyle w:val="30"/>
        <w:spacing w:beforeAutospacing="0" w:afterAutospacing="0" w:line="520" w:lineRule="exact"/>
        <w:ind w:firstLine="480"/>
        <w:jc w:val="both"/>
        <w:rPr>
          <w:rFonts w:ascii="宋体" w:hAnsi="宋体" w:eastAsia="宋体" w:cs="宋体"/>
          <w:color w:val="000000"/>
        </w:rPr>
      </w:pPr>
      <w:r>
        <w:rPr>
          <w:rFonts w:hint="eastAsia" w:ascii="宋体" w:hAnsi="宋体" w:eastAsia="宋体" w:cs="宋体"/>
          <w:color w:val="000000"/>
        </w:rPr>
        <w:t>1.项目编号：JSZC-320924-XYGS-G2026-0004</w:t>
      </w:r>
    </w:p>
    <w:p w14:paraId="1C725D74">
      <w:pPr>
        <w:pStyle w:val="30"/>
        <w:spacing w:beforeAutospacing="0" w:afterAutospacing="0" w:line="520" w:lineRule="exact"/>
        <w:ind w:firstLine="480"/>
        <w:jc w:val="both"/>
        <w:rPr>
          <w:rFonts w:hint="eastAsia" w:ascii="宋体" w:hAnsi="宋体" w:eastAsia="宋体" w:cs="宋体"/>
          <w:color w:val="000000"/>
          <w:lang w:eastAsia="zh-CN"/>
        </w:rPr>
      </w:pPr>
      <w:r>
        <w:rPr>
          <w:rFonts w:hint="eastAsia" w:ascii="宋体" w:hAnsi="宋体" w:eastAsia="宋体" w:cs="宋体"/>
          <w:color w:val="000000"/>
        </w:rPr>
        <w:t>2.项目名称：</w:t>
      </w:r>
      <w:r>
        <w:rPr>
          <w:rFonts w:hint="eastAsia" w:ascii="宋体" w:hAnsi="宋体" w:eastAsia="宋体" w:cs="宋体"/>
          <w:sz w:val="24"/>
          <w:u w:val="none"/>
          <w:lang w:eastAsia="zh-CN"/>
        </w:rPr>
        <w:t>射阳县教育局校园周界防范报警系统改造提升项目（</w:t>
      </w:r>
      <w:r>
        <w:rPr>
          <w:rFonts w:hint="eastAsia" w:ascii="宋体" w:hAnsi="宋体" w:eastAsia="宋体" w:cs="宋体"/>
          <w:sz w:val="24"/>
          <w:u w:val="none"/>
          <w:lang w:val="en-US" w:eastAsia="zh-CN"/>
        </w:rPr>
        <w:t>三</w:t>
      </w:r>
      <w:r>
        <w:rPr>
          <w:rFonts w:hint="eastAsia" w:ascii="宋体" w:hAnsi="宋体" w:eastAsia="宋体" w:cs="宋体"/>
          <w:sz w:val="24"/>
          <w:u w:val="none"/>
          <w:lang w:eastAsia="zh-CN"/>
        </w:rPr>
        <w:t>次）</w:t>
      </w:r>
    </w:p>
    <w:p w14:paraId="55F3BE3A">
      <w:pPr>
        <w:pStyle w:val="30"/>
        <w:spacing w:beforeAutospacing="0" w:afterAutospacing="0" w:line="520" w:lineRule="exact"/>
        <w:ind w:firstLine="480"/>
        <w:jc w:val="both"/>
        <w:rPr>
          <w:rFonts w:ascii="宋体" w:hAnsi="宋体" w:eastAsia="宋体" w:cs="宋体"/>
          <w:color w:val="000000"/>
        </w:rPr>
      </w:pPr>
      <w:r>
        <w:rPr>
          <w:rFonts w:hint="eastAsia" w:ascii="宋体" w:hAnsi="宋体" w:eastAsia="宋体" w:cs="宋体"/>
          <w:color w:val="333333"/>
          <w:shd w:val="clear" w:color="auto" w:fill="FFFFFF"/>
        </w:rPr>
        <w:t>3.采购方式：公开招标</w:t>
      </w:r>
    </w:p>
    <w:p w14:paraId="2173241B">
      <w:pPr>
        <w:pStyle w:val="30"/>
        <w:spacing w:beforeAutospacing="0" w:afterAutospacing="0" w:line="520" w:lineRule="exact"/>
        <w:ind w:firstLine="480"/>
        <w:jc w:val="both"/>
        <w:rPr>
          <w:rFonts w:ascii="宋体" w:hAnsi="宋体" w:eastAsia="宋体" w:cs="宋体"/>
          <w:color w:val="333333"/>
          <w:shd w:val="clear" w:color="auto" w:fill="FFFFFF"/>
        </w:rPr>
      </w:pPr>
      <w:r>
        <w:rPr>
          <w:rFonts w:hint="eastAsia" w:ascii="宋体" w:hAnsi="宋体" w:eastAsia="宋体" w:cs="宋体"/>
          <w:color w:val="000000"/>
        </w:rPr>
        <w:t>4.预算金额：</w:t>
      </w:r>
      <w:r>
        <w:rPr>
          <w:rFonts w:hint="eastAsia" w:ascii="宋体" w:hAnsi="宋体" w:eastAsia="宋体" w:cs="宋体"/>
          <w:color w:val="333333"/>
          <w:shd w:val="clear" w:color="auto" w:fill="FFFFFF"/>
          <w:lang w:val="en-US" w:eastAsia="zh-CN"/>
        </w:rPr>
        <w:t>140</w:t>
      </w:r>
      <w:r>
        <w:rPr>
          <w:rFonts w:hint="eastAsia" w:ascii="宋体" w:hAnsi="宋体" w:eastAsia="宋体" w:cs="宋体"/>
          <w:color w:val="333333"/>
          <w:shd w:val="clear" w:color="auto" w:fill="FFFFFF"/>
        </w:rPr>
        <w:t>.00万元；</w:t>
      </w:r>
    </w:p>
    <w:p w14:paraId="050ADE1A">
      <w:pPr>
        <w:pStyle w:val="30"/>
        <w:spacing w:beforeAutospacing="0" w:afterAutospacing="0" w:line="520" w:lineRule="exact"/>
        <w:ind w:firstLine="480"/>
        <w:jc w:val="both"/>
        <w:rPr>
          <w:rFonts w:ascii="宋体" w:hAnsi="宋体" w:eastAsia="宋体" w:cs="宋体"/>
          <w:color w:val="333333"/>
          <w:shd w:val="clear" w:color="auto" w:fill="FFFFFF"/>
        </w:rPr>
      </w:pPr>
      <w:r>
        <w:rPr>
          <w:rFonts w:hint="eastAsia" w:ascii="宋体" w:hAnsi="宋体" w:eastAsia="宋体" w:cs="宋体"/>
          <w:color w:val="333333"/>
          <w:shd w:val="clear" w:color="auto" w:fill="FFFFFF"/>
        </w:rPr>
        <w:t>5.最高限价：</w:t>
      </w:r>
      <w:r>
        <w:rPr>
          <w:rFonts w:hint="eastAsia" w:ascii="宋体" w:hAnsi="宋体" w:eastAsia="宋体" w:cs="宋体"/>
          <w:color w:val="333333"/>
          <w:shd w:val="clear" w:color="auto" w:fill="FFFFFF"/>
          <w:lang w:val="en-US" w:eastAsia="zh-CN"/>
        </w:rPr>
        <w:t>140</w:t>
      </w:r>
      <w:r>
        <w:rPr>
          <w:rFonts w:hint="eastAsia" w:ascii="宋体" w:hAnsi="宋体" w:eastAsia="宋体" w:cs="宋体"/>
          <w:color w:val="333333"/>
          <w:shd w:val="clear" w:color="auto" w:fill="FFFFFF"/>
        </w:rPr>
        <w:t>.00万元；投标报价高于最高限价的作无效标处理。</w:t>
      </w:r>
    </w:p>
    <w:p w14:paraId="442F7F43">
      <w:pPr>
        <w:pStyle w:val="30"/>
        <w:spacing w:beforeAutospacing="0" w:afterAutospacing="0" w:line="540" w:lineRule="exact"/>
        <w:ind w:firstLine="480"/>
        <w:jc w:val="both"/>
        <w:rPr>
          <w:rFonts w:ascii="宋体" w:hAnsi="宋体" w:eastAsia="宋体" w:cs="宋体"/>
        </w:rPr>
      </w:pPr>
      <w:r>
        <w:rPr>
          <w:rFonts w:hint="eastAsia" w:ascii="宋体" w:hAnsi="宋体" w:eastAsia="宋体" w:cs="宋体"/>
          <w:color w:val="000000"/>
        </w:rPr>
        <w:t>6.采购需求：</w:t>
      </w:r>
      <w:r>
        <w:rPr>
          <w:rFonts w:hint="eastAsia" w:ascii="宋体" w:hAnsi="宋体" w:eastAsia="宋体" w:cs="宋体"/>
          <w:color w:val="000000"/>
          <w:lang w:val="en-US" w:eastAsia="zh-CN"/>
        </w:rPr>
        <w:t>含</w:t>
      </w:r>
      <w:r>
        <w:rPr>
          <w:rFonts w:hint="eastAsia" w:ascii="宋体" w:hAnsi="宋体" w:eastAsia="宋体" w:cs="宋体"/>
        </w:rPr>
        <w:t>校园监控机房系统、综合安防系统、视频监控系统、入侵报警系统、一键报警系统等改造提升相关内容</w:t>
      </w:r>
      <w:r>
        <w:rPr>
          <w:rFonts w:hint="eastAsia" w:ascii="宋体" w:hAnsi="宋体" w:eastAsia="宋体" w:cs="宋体"/>
          <w:lang w:eastAsia="zh-CN"/>
        </w:rPr>
        <w:t>，</w:t>
      </w:r>
      <w:r>
        <w:rPr>
          <w:rFonts w:hint="eastAsia" w:ascii="宋体" w:hAnsi="宋体" w:eastAsia="宋体" w:cs="宋体"/>
          <w:lang w:val="en-US" w:eastAsia="zh-CN"/>
        </w:rPr>
        <w:t>采购内容</w:t>
      </w:r>
      <w:r>
        <w:rPr>
          <w:rFonts w:hint="eastAsia" w:ascii="宋体" w:hAnsi="宋体" w:eastAsia="宋体" w:cs="宋体"/>
          <w:highlight w:val="none"/>
          <w:lang w:val="en-US" w:eastAsia="zh-CN"/>
        </w:rPr>
        <w:t>具体包括采购需求和图纸范围内的全部内容</w:t>
      </w:r>
      <w:r>
        <w:rPr>
          <w:rFonts w:hint="eastAsia" w:ascii="宋体" w:hAnsi="宋体" w:eastAsia="宋体" w:cs="宋体"/>
          <w:highlight w:val="none"/>
        </w:rPr>
        <w:t>。</w:t>
      </w:r>
    </w:p>
    <w:p w14:paraId="559B4DA3">
      <w:pPr>
        <w:pStyle w:val="30"/>
        <w:spacing w:beforeAutospacing="0" w:afterAutospacing="0" w:line="520" w:lineRule="exact"/>
        <w:ind w:firstLine="480"/>
        <w:jc w:val="both"/>
        <w:rPr>
          <w:rFonts w:ascii="宋体" w:hAnsi="宋体" w:eastAsia="宋体" w:cs="宋体"/>
          <w:color w:val="000000"/>
        </w:rPr>
      </w:pPr>
      <w:r>
        <w:rPr>
          <w:rFonts w:hint="eastAsia" w:ascii="宋体" w:hAnsi="宋体" w:eastAsia="宋体" w:cs="宋体"/>
          <w:color w:val="000000"/>
        </w:rPr>
        <w:t>7.合同履行期限：</w:t>
      </w:r>
      <w:r>
        <w:rPr>
          <w:rFonts w:hint="eastAsia" w:ascii="宋体" w:hAnsi="宋体" w:eastAsia="宋体" w:cs="宋体"/>
          <w:highlight w:val="none"/>
        </w:rPr>
        <w:t>合同签订后</w:t>
      </w:r>
      <w:r>
        <w:rPr>
          <w:rFonts w:hint="eastAsia" w:ascii="宋体" w:hAnsi="宋体" w:eastAsia="宋体" w:cs="宋体"/>
          <w:highlight w:val="none"/>
          <w:lang w:val="en-US" w:eastAsia="zh-CN"/>
        </w:rPr>
        <w:t>60</w:t>
      </w:r>
      <w:r>
        <w:rPr>
          <w:rFonts w:hint="eastAsia" w:ascii="宋体" w:hAnsi="宋体" w:eastAsia="宋体" w:cs="宋体"/>
          <w:highlight w:val="none"/>
        </w:rPr>
        <w:t>日内完成全部</w:t>
      </w:r>
      <w:r>
        <w:rPr>
          <w:rFonts w:hint="eastAsia" w:ascii="宋体" w:hAnsi="宋体" w:eastAsia="宋体" w:cs="宋体"/>
          <w:highlight w:val="none"/>
          <w:lang w:val="en-US" w:eastAsia="zh-CN"/>
        </w:rPr>
        <w:t>供货、安装调试</w:t>
      </w:r>
      <w:r>
        <w:rPr>
          <w:rFonts w:hint="eastAsia" w:ascii="宋体" w:hAnsi="宋体" w:eastAsia="宋体" w:cs="宋体"/>
          <w:highlight w:val="none"/>
        </w:rPr>
        <w:t>并通过验收。</w:t>
      </w:r>
    </w:p>
    <w:p w14:paraId="273D13FB">
      <w:pPr>
        <w:pStyle w:val="30"/>
        <w:spacing w:beforeAutospacing="0" w:afterAutospacing="0" w:line="520" w:lineRule="exact"/>
        <w:ind w:firstLine="480"/>
        <w:jc w:val="both"/>
        <w:rPr>
          <w:rFonts w:ascii="宋体" w:hAnsi="宋体" w:eastAsia="宋体" w:cs="宋体"/>
          <w:color w:val="000000"/>
        </w:rPr>
      </w:pPr>
      <w:r>
        <w:rPr>
          <w:rFonts w:hint="eastAsia" w:ascii="宋体" w:hAnsi="宋体" w:eastAsia="宋体" w:cs="宋体"/>
          <w:color w:val="333333"/>
          <w:shd w:val="clear" w:color="auto" w:fill="FFFFFF"/>
        </w:rPr>
        <w:t>8.本项目不接受联合体</w:t>
      </w:r>
      <w:r>
        <w:rPr>
          <w:rFonts w:hint="eastAsia" w:ascii="宋体" w:hAnsi="宋体" w:eastAsia="宋体" w:cs="宋体"/>
          <w:color w:val="000000"/>
        </w:rPr>
        <w:t>参与招标。</w:t>
      </w:r>
    </w:p>
    <w:p w14:paraId="331B70D9">
      <w:pPr>
        <w:pStyle w:val="30"/>
        <w:keepNext/>
        <w:keepLines/>
        <w:spacing w:beforeAutospacing="0" w:afterAutospacing="0" w:line="520" w:lineRule="exact"/>
        <w:ind w:firstLine="498"/>
        <w:jc w:val="both"/>
        <w:rPr>
          <w:rFonts w:ascii="宋体" w:hAnsi="宋体" w:eastAsia="宋体" w:cs="宋体"/>
        </w:rPr>
      </w:pPr>
      <w:bookmarkStart w:id="12" w:name="_Toc28359080"/>
      <w:bookmarkStart w:id="13" w:name="_Toc35393791"/>
      <w:bookmarkStart w:id="14" w:name="_Toc35393622"/>
      <w:bookmarkStart w:id="15" w:name="_Toc38985264"/>
      <w:bookmarkStart w:id="16" w:name="_Toc28359003"/>
      <w:r>
        <w:rPr>
          <w:rFonts w:hint="eastAsia" w:ascii="宋体" w:hAnsi="宋体" w:eastAsia="宋体" w:cs="宋体"/>
          <w:b/>
          <w:color w:val="000000"/>
        </w:rPr>
        <w:t>二、申请人的资格要求：</w:t>
      </w:r>
      <w:bookmarkEnd w:id="12"/>
      <w:bookmarkEnd w:id="13"/>
      <w:bookmarkEnd w:id="14"/>
      <w:bookmarkEnd w:id="15"/>
      <w:bookmarkEnd w:id="16"/>
    </w:p>
    <w:p w14:paraId="0DCC1ADC">
      <w:pPr>
        <w:pStyle w:val="30"/>
        <w:spacing w:beforeAutospacing="0" w:afterAutospacing="0" w:line="520" w:lineRule="exact"/>
        <w:ind w:firstLine="480"/>
        <w:jc w:val="both"/>
        <w:rPr>
          <w:rFonts w:ascii="宋体" w:hAnsi="宋体" w:eastAsia="宋体" w:cs="宋体"/>
        </w:rPr>
      </w:pPr>
      <w:r>
        <w:rPr>
          <w:rFonts w:hint="eastAsia" w:ascii="宋体" w:hAnsi="宋体" w:eastAsia="宋体" w:cs="宋体"/>
          <w:color w:val="000000"/>
        </w:rPr>
        <w:t>1.满足《中华人民共和国政府采购法》第二十二条规定，并提供下列材料：</w:t>
      </w:r>
    </w:p>
    <w:p w14:paraId="4C96951F">
      <w:pPr>
        <w:pStyle w:val="30"/>
        <w:spacing w:beforeAutospacing="0" w:afterAutospacing="0" w:line="520" w:lineRule="exact"/>
        <w:ind w:firstLine="480"/>
        <w:jc w:val="both"/>
        <w:rPr>
          <w:rFonts w:ascii="宋体" w:hAnsi="宋体" w:eastAsia="宋体" w:cs="宋体"/>
        </w:rPr>
      </w:pPr>
      <w:r>
        <w:rPr>
          <w:rFonts w:hint="eastAsia" w:ascii="宋体" w:hAnsi="宋体" w:eastAsia="宋体" w:cs="宋体"/>
          <w:color w:val="000000"/>
        </w:rPr>
        <w:t>1.1 法人或者其他组织的营业执照等证明文件，自然人的身份证明；</w:t>
      </w:r>
    </w:p>
    <w:p w14:paraId="04FF0CB8">
      <w:pPr>
        <w:pStyle w:val="30"/>
        <w:spacing w:beforeAutospacing="0" w:afterAutospacing="0" w:line="520" w:lineRule="exact"/>
        <w:ind w:firstLine="480"/>
        <w:jc w:val="both"/>
        <w:rPr>
          <w:rFonts w:ascii="宋体" w:hAnsi="宋体" w:eastAsia="宋体" w:cs="宋体"/>
          <w:color w:val="000000"/>
        </w:rPr>
      </w:pPr>
      <w:r>
        <w:rPr>
          <w:rFonts w:hint="eastAsia" w:ascii="宋体" w:hAnsi="宋体" w:eastAsia="宋体" w:cs="宋体"/>
          <w:color w:val="000000"/>
        </w:rPr>
        <w:t>1.2上一年度的财务状况</w:t>
      </w:r>
      <w:r>
        <w:rPr>
          <w:rFonts w:hint="eastAsia" w:ascii="宋体" w:hAnsi="宋体" w:eastAsia="宋体" w:cs="宋体"/>
        </w:rPr>
        <w:t>报表（成</w:t>
      </w:r>
      <w:r>
        <w:rPr>
          <w:rFonts w:hint="eastAsia" w:ascii="宋体" w:hAnsi="宋体" w:eastAsia="宋体" w:cs="宋体"/>
          <w:color w:val="000000"/>
        </w:rPr>
        <w:t>立不满一年无需提供）；</w:t>
      </w:r>
    </w:p>
    <w:p w14:paraId="15DB4975">
      <w:pPr>
        <w:pStyle w:val="30"/>
        <w:spacing w:beforeAutospacing="0" w:afterAutospacing="0" w:line="520" w:lineRule="exact"/>
        <w:ind w:firstLine="480"/>
        <w:jc w:val="both"/>
        <w:rPr>
          <w:rFonts w:ascii="宋体" w:hAnsi="宋体" w:eastAsia="宋体" w:cs="宋体"/>
          <w:color w:val="000000"/>
        </w:rPr>
      </w:pPr>
      <w:r>
        <w:rPr>
          <w:rFonts w:hint="eastAsia" w:ascii="宋体" w:hAnsi="宋体" w:eastAsia="宋体" w:cs="宋体"/>
          <w:color w:val="000000"/>
        </w:rPr>
        <w:t>1.3具备履行合同所必需的设备和专业技术能力的书面声明；</w:t>
      </w:r>
    </w:p>
    <w:p w14:paraId="2AF49E63">
      <w:pPr>
        <w:pStyle w:val="30"/>
        <w:spacing w:beforeAutospacing="0" w:afterAutospacing="0" w:line="520" w:lineRule="exact"/>
        <w:ind w:firstLine="480"/>
        <w:jc w:val="both"/>
        <w:rPr>
          <w:rFonts w:ascii="宋体" w:hAnsi="宋体" w:eastAsia="宋体" w:cs="宋体"/>
        </w:rPr>
      </w:pPr>
      <w:r>
        <w:rPr>
          <w:rFonts w:hint="eastAsia" w:ascii="宋体" w:hAnsi="宋体" w:eastAsia="宋体" w:cs="宋体"/>
          <w:color w:val="000000"/>
        </w:rPr>
        <w:t>1.4依法缴纳税收和社会保障资金的相关材料（提供提交投标文件截止时间前一年内至少一个月依法缴纳税收及缴纳社会保障资金的证明材料。供应商依法享受缓缴、免缴税收、社会保障资金的提供证明材料。）；</w:t>
      </w:r>
    </w:p>
    <w:p w14:paraId="102C4F28">
      <w:pPr>
        <w:pStyle w:val="30"/>
        <w:spacing w:beforeAutospacing="0" w:afterAutospacing="0" w:line="520" w:lineRule="exact"/>
        <w:ind w:firstLine="480"/>
        <w:jc w:val="both"/>
        <w:rPr>
          <w:rFonts w:ascii="宋体" w:hAnsi="宋体" w:eastAsia="宋体" w:cs="宋体"/>
          <w:color w:val="000000"/>
        </w:rPr>
      </w:pPr>
      <w:r>
        <w:rPr>
          <w:rFonts w:hint="eastAsia" w:ascii="宋体" w:hAnsi="宋体" w:eastAsia="宋体" w:cs="宋体"/>
          <w:color w:val="000000"/>
        </w:rPr>
        <w:t>1.5参加政府采购活动前3年内在经营活动中没有重大违法记录的书面声明。</w:t>
      </w:r>
    </w:p>
    <w:p w14:paraId="3CD4E773">
      <w:pPr>
        <w:pStyle w:val="30"/>
        <w:spacing w:beforeAutospacing="0" w:afterAutospacing="0" w:line="520" w:lineRule="exact"/>
        <w:ind w:firstLine="480"/>
        <w:jc w:val="both"/>
        <w:rPr>
          <w:rFonts w:ascii="宋体" w:hAnsi="宋体" w:eastAsia="宋体" w:cs="宋体"/>
          <w:color w:val="000000"/>
        </w:rPr>
      </w:pPr>
      <w:r>
        <w:rPr>
          <w:rFonts w:hint="eastAsia" w:ascii="宋体" w:hAnsi="宋体" w:eastAsia="宋体" w:cs="宋体"/>
          <w:color w:val="000000"/>
        </w:rPr>
        <w:t>1.6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0F0DBA5D">
      <w:pPr>
        <w:pStyle w:val="30"/>
        <w:spacing w:beforeAutospacing="0" w:afterAutospacing="0" w:line="520" w:lineRule="exact"/>
        <w:ind w:firstLine="480"/>
        <w:jc w:val="both"/>
        <w:rPr>
          <w:rFonts w:ascii="宋体" w:hAnsi="宋体" w:eastAsia="宋体" w:cs="宋体"/>
          <w:color w:val="000000"/>
        </w:rPr>
      </w:pPr>
      <w:r>
        <w:rPr>
          <w:rFonts w:hint="eastAsia" w:ascii="宋体" w:hAnsi="宋体" w:eastAsia="宋体" w:cs="宋体"/>
          <w:color w:val="000000"/>
        </w:rPr>
        <w:t>1.7单位负责人为同一人或者存在直接控股、管理关系的不同供应商，不得参加同一合同项下的政府采购活动。</w:t>
      </w:r>
    </w:p>
    <w:p w14:paraId="7C07CB3E">
      <w:pPr>
        <w:pStyle w:val="30"/>
        <w:spacing w:beforeAutospacing="0" w:afterAutospacing="0" w:line="520" w:lineRule="exact"/>
        <w:ind w:firstLine="480"/>
        <w:jc w:val="both"/>
        <w:rPr>
          <w:rFonts w:ascii="宋体" w:hAnsi="宋体" w:eastAsia="宋体" w:cs="宋体"/>
          <w:color w:val="000000"/>
        </w:rPr>
      </w:pPr>
      <w:r>
        <w:rPr>
          <w:rFonts w:hint="eastAsia" w:ascii="宋体" w:hAnsi="宋体" w:eastAsia="宋体" w:cs="宋体"/>
          <w:color w:val="000000"/>
        </w:rPr>
        <w:t>1.8法律、行政法规规定的其他条件。</w:t>
      </w:r>
    </w:p>
    <w:p w14:paraId="76824B58">
      <w:pPr>
        <w:pStyle w:val="30"/>
        <w:spacing w:beforeAutospacing="0" w:afterAutospacing="0" w:line="520" w:lineRule="exact"/>
        <w:ind w:firstLine="480"/>
        <w:jc w:val="both"/>
        <w:rPr>
          <w:rFonts w:ascii="宋体" w:hAnsi="宋体" w:eastAsia="宋体" w:cs="宋体"/>
        </w:rPr>
      </w:pPr>
      <w:r>
        <w:rPr>
          <w:rFonts w:hint="eastAsia" w:ascii="宋体" w:hAnsi="宋体" w:eastAsia="宋体" w:cs="宋体"/>
          <w:color w:val="000000"/>
        </w:rPr>
        <w:t>2.落实政府采购政策需满足的资格要求：</w:t>
      </w:r>
      <w:r>
        <w:rPr>
          <w:rFonts w:hint="eastAsia" w:ascii="宋体" w:hAnsi="宋体" w:eastAsia="宋体" w:cs="宋体"/>
        </w:rPr>
        <w:t xml:space="preserve">本项目属于货物类采购项目，所属行业为: </w:t>
      </w:r>
      <w:r>
        <w:rPr>
          <w:rFonts w:hint="eastAsia" w:ascii="宋体" w:hAnsi="宋体" w:eastAsia="宋体" w:cs="宋体"/>
          <w:b/>
          <w:bCs/>
        </w:rPr>
        <w:t>制造业</w:t>
      </w:r>
      <w:r>
        <w:rPr>
          <w:rFonts w:hint="eastAsia" w:ascii="宋体" w:hAnsi="宋体" w:eastAsia="宋体" w:cs="宋体"/>
        </w:rPr>
        <w:t>。本项目为非预留份额的采购项目或采购包，执行价格扣除优惠政策，给予小微型企业、监狱企业或残疾人福利性单位报价给予20%的扣除，用扣除后的价格参加评审。</w:t>
      </w:r>
      <w:r>
        <w:rPr>
          <w:rFonts w:hint="eastAsia" w:ascii="宋体" w:hAnsi="宋体" w:eastAsia="宋体"/>
          <w:b/>
        </w:rPr>
        <w:t>供应商所投货物须为符合《关于印发中小企业划型标准规定的通知》（工信部联企业[2011]300号）文件的小微企业；</w:t>
      </w:r>
      <w:r>
        <w:rPr>
          <w:rFonts w:hint="eastAsia" w:ascii="宋体" w:hAnsi="宋体" w:eastAsia="宋体" w:cs="宋体"/>
        </w:rPr>
        <w:t>价格扣除比例对小型企业和微型企业同等对待，不作区分。监狱企业、残疾人福利单位属于小型、微型企业的，不重复享受政策。</w:t>
      </w:r>
    </w:p>
    <w:p w14:paraId="3944E6CA">
      <w:pPr>
        <w:spacing w:line="520" w:lineRule="exact"/>
        <w:ind w:firstLine="480"/>
        <w:rPr>
          <w:rFonts w:hint="eastAsia" w:ascii="宋体" w:hAnsi="宋体" w:eastAsia="宋体" w:cs="宋体"/>
          <w:color w:val="000000"/>
          <w:sz w:val="24"/>
          <w:lang w:val="en-US" w:eastAsia="zh-CN"/>
        </w:rPr>
      </w:pPr>
      <w:r>
        <w:rPr>
          <w:rFonts w:hint="eastAsia" w:ascii="宋体" w:hAnsi="宋体" w:eastAsia="宋体" w:cs="宋体"/>
          <w:color w:val="000000"/>
          <w:sz w:val="24"/>
        </w:rPr>
        <w:t>3.本项目的特定资格要求：</w:t>
      </w:r>
      <w:r>
        <w:rPr>
          <w:rFonts w:hint="eastAsia" w:ascii="宋体" w:hAnsi="宋体" w:eastAsia="宋体" w:cs="宋体"/>
          <w:color w:val="000000"/>
          <w:sz w:val="24"/>
          <w:lang w:val="en-US" w:eastAsia="zh-CN"/>
        </w:rPr>
        <w:t>无</w:t>
      </w:r>
    </w:p>
    <w:p w14:paraId="6FC31775">
      <w:pPr>
        <w:pStyle w:val="30"/>
        <w:keepNext/>
        <w:keepLines/>
        <w:spacing w:beforeAutospacing="0" w:afterAutospacing="0" w:line="520" w:lineRule="exact"/>
        <w:ind w:firstLine="498"/>
        <w:jc w:val="both"/>
        <w:rPr>
          <w:rFonts w:ascii="宋体" w:hAnsi="宋体" w:eastAsia="宋体" w:cs="宋体"/>
        </w:rPr>
      </w:pPr>
      <w:r>
        <w:rPr>
          <w:rFonts w:hint="eastAsia" w:ascii="宋体" w:hAnsi="宋体" w:eastAsia="宋体" w:cs="宋体"/>
          <w:b/>
          <w:color w:val="000000"/>
        </w:rPr>
        <w:t>三、获取招标文件</w:t>
      </w:r>
    </w:p>
    <w:p w14:paraId="597DA93B">
      <w:pPr>
        <w:widowControl/>
        <w:spacing w:line="520" w:lineRule="exact"/>
        <w:ind w:firstLine="480"/>
        <w:jc w:val="left"/>
        <w:rPr>
          <w:rFonts w:ascii="宋体" w:hAnsi="宋体" w:eastAsia="宋体" w:cs="宋体"/>
          <w:sz w:val="24"/>
        </w:rPr>
      </w:pPr>
      <w:bookmarkStart w:id="17" w:name="_Toc38985266"/>
      <w:r>
        <w:rPr>
          <w:rFonts w:hint="eastAsia" w:ascii="宋体" w:hAnsi="宋体" w:eastAsia="宋体" w:cs="宋体"/>
          <w:sz w:val="24"/>
        </w:rPr>
        <w:t>时间：</w:t>
      </w:r>
      <w:bookmarkEnd w:id="17"/>
      <w:r>
        <w:rPr>
          <w:rFonts w:hint="eastAsia" w:ascii="宋体" w:hAnsi="宋体" w:eastAsia="宋体" w:cs="宋体"/>
          <w:sz w:val="24"/>
        </w:rPr>
        <w:t>自招标文件公告发布之日起5个工作日；</w:t>
      </w:r>
    </w:p>
    <w:p w14:paraId="74F677F6">
      <w:pPr>
        <w:widowControl/>
        <w:spacing w:line="520" w:lineRule="exact"/>
        <w:ind w:firstLine="480"/>
        <w:jc w:val="left"/>
        <w:rPr>
          <w:rFonts w:ascii="宋体" w:hAnsi="宋体" w:eastAsia="宋体" w:cs="宋体"/>
          <w:sz w:val="24"/>
        </w:rPr>
      </w:pPr>
      <w:r>
        <w:rPr>
          <w:rFonts w:hint="eastAsia" w:ascii="宋体" w:hAnsi="宋体" w:eastAsia="宋体" w:cs="宋体"/>
          <w:sz w:val="24"/>
        </w:rPr>
        <w:t>地点：</w:t>
      </w:r>
      <w:r>
        <w:rPr>
          <w:rFonts w:hint="eastAsia" w:ascii="宋体" w:hAnsi="宋体" w:eastAsia="宋体" w:cs="宋体"/>
          <w:kern w:val="0"/>
          <w:sz w:val="24"/>
        </w:rPr>
        <w:t>“苏采云”系统内免费下载（投标人必须在苏采云系统中获取采购文件，方能参与政府采购项目）</w:t>
      </w:r>
      <w:r>
        <w:rPr>
          <w:rFonts w:hint="eastAsia" w:ascii="宋体" w:hAnsi="宋体" w:eastAsia="宋体" w:cs="宋体"/>
          <w:sz w:val="24"/>
        </w:rPr>
        <w:t>；</w:t>
      </w:r>
    </w:p>
    <w:p w14:paraId="52464B4C">
      <w:pPr>
        <w:widowControl/>
        <w:spacing w:line="520" w:lineRule="exact"/>
        <w:ind w:firstLine="480"/>
        <w:jc w:val="left"/>
        <w:rPr>
          <w:rFonts w:ascii="宋体" w:hAnsi="宋体" w:eastAsia="宋体" w:cs="宋体"/>
          <w:sz w:val="24"/>
        </w:rPr>
      </w:pPr>
      <w:r>
        <w:rPr>
          <w:rFonts w:hint="eastAsia" w:ascii="宋体" w:hAnsi="宋体" w:eastAsia="宋体" w:cs="宋体"/>
          <w:sz w:val="24"/>
        </w:rPr>
        <w:t>方式：网上注册登记成功后系统内免费下载；</w:t>
      </w:r>
    </w:p>
    <w:p w14:paraId="343BC6E9">
      <w:pPr>
        <w:widowControl/>
        <w:spacing w:line="520" w:lineRule="exact"/>
        <w:ind w:firstLine="480"/>
        <w:jc w:val="left"/>
        <w:rPr>
          <w:rFonts w:ascii="宋体" w:hAnsi="宋体" w:eastAsia="宋体" w:cs="宋体"/>
          <w:sz w:val="24"/>
        </w:rPr>
      </w:pPr>
      <w:r>
        <w:rPr>
          <w:rFonts w:hint="eastAsia" w:ascii="宋体" w:hAnsi="宋体" w:eastAsia="宋体" w:cs="宋体"/>
          <w:color w:val="000000"/>
          <w:sz w:val="24"/>
        </w:rPr>
        <w:t>售价：0元</w:t>
      </w:r>
    </w:p>
    <w:p w14:paraId="296196FD">
      <w:pPr>
        <w:pStyle w:val="30"/>
        <w:keepNext/>
        <w:keepLines/>
        <w:spacing w:beforeAutospacing="0" w:afterAutospacing="0" w:line="520" w:lineRule="exact"/>
        <w:ind w:firstLine="498"/>
        <w:jc w:val="both"/>
        <w:rPr>
          <w:rFonts w:ascii="宋体" w:hAnsi="宋体" w:eastAsia="宋体" w:cs="宋体"/>
        </w:rPr>
      </w:pPr>
      <w:r>
        <w:rPr>
          <w:rFonts w:hint="eastAsia" w:ascii="宋体" w:hAnsi="宋体" w:eastAsia="宋体" w:cs="宋体"/>
          <w:b/>
          <w:color w:val="000000"/>
        </w:rPr>
        <w:t>四、提交投标文件截止时间、开标时间和地点</w:t>
      </w:r>
    </w:p>
    <w:p w14:paraId="13AD3FD5">
      <w:pPr>
        <w:pStyle w:val="30"/>
        <w:widowControl/>
        <w:shd w:val="clear" w:color="auto" w:fill="FFFFFF"/>
        <w:spacing w:beforeAutospacing="0" w:afterAutospacing="0" w:line="520" w:lineRule="exact"/>
        <w:ind w:firstLine="480"/>
        <w:jc w:val="both"/>
        <w:rPr>
          <w:rFonts w:ascii="宋体" w:hAnsi="宋体" w:eastAsia="宋体" w:cs="宋体"/>
        </w:rPr>
      </w:pPr>
      <w:r>
        <w:rPr>
          <w:rFonts w:hint="eastAsia" w:ascii="宋体" w:hAnsi="宋体" w:eastAsia="宋体" w:cs="宋体"/>
          <w:color w:val="000000"/>
        </w:rPr>
        <w:t>1.时间：</w:t>
      </w:r>
      <w:r>
        <w:rPr>
          <w:rFonts w:hint="eastAsia" w:ascii="宋体" w:hAnsi="宋体" w:eastAsia="宋体" w:cs="宋体"/>
          <w:color w:val="000000"/>
          <w:u w:val="single"/>
        </w:rPr>
        <w:t>2026年</w:t>
      </w:r>
      <w:r>
        <w:rPr>
          <w:rFonts w:hint="eastAsia" w:ascii="宋体" w:hAnsi="宋体" w:eastAsia="宋体" w:cs="宋体"/>
          <w:color w:val="000000"/>
          <w:u w:val="single"/>
          <w:lang w:val="en-US" w:eastAsia="zh-CN"/>
        </w:rPr>
        <w:t xml:space="preserve">10 </w:t>
      </w:r>
      <w:r>
        <w:rPr>
          <w:rFonts w:hint="eastAsia" w:ascii="宋体" w:hAnsi="宋体" w:eastAsia="宋体" w:cs="宋体"/>
          <w:color w:val="000000"/>
          <w:u w:val="single"/>
        </w:rPr>
        <w:t>月</w:t>
      </w:r>
      <w:r>
        <w:rPr>
          <w:rFonts w:hint="eastAsia" w:ascii="宋体" w:hAnsi="宋体" w:eastAsia="宋体" w:cs="宋体"/>
          <w:color w:val="000000"/>
          <w:u w:val="single"/>
          <w:lang w:val="en-US" w:eastAsia="zh-CN"/>
        </w:rPr>
        <w:t>9</w:t>
      </w:r>
      <w:r>
        <w:rPr>
          <w:rFonts w:hint="eastAsia" w:ascii="宋体" w:hAnsi="宋体" w:eastAsia="宋体" w:cs="宋体"/>
          <w:color w:val="000000"/>
          <w:u w:val="single"/>
        </w:rPr>
        <w:t>日</w:t>
      </w:r>
      <w:r>
        <w:rPr>
          <w:rFonts w:hint="eastAsia" w:ascii="宋体" w:hAnsi="宋体" w:eastAsia="宋体" w:cs="宋体"/>
          <w:color w:val="000000"/>
          <w:u w:val="single"/>
          <w:lang w:val="en-US" w:eastAsia="zh-CN"/>
        </w:rPr>
        <w:t>上午9</w:t>
      </w:r>
      <w:r>
        <w:rPr>
          <w:rFonts w:hint="eastAsia" w:ascii="宋体" w:hAnsi="宋体" w:eastAsia="宋体" w:cs="宋体"/>
          <w:color w:val="000000"/>
          <w:u w:val="single"/>
        </w:rPr>
        <w:t>点00 分</w:t>
      </w:r>
      <w:r>
        <w:rPr>
          <w:rFonts w:hint="eastAsia" w:ascii="宋体" w:hAnsi="宋体" w:eastAsia="宋体" w:cs="宋体"/>
          <w:color w:val="000000"/>
        </w:rPr>
        <w:t>（北京时间）</w:t>
      </w:r>
    </w:p>
    <w:p w14:paraId="30CF83F8">
      <w:pPr>
        <w:pStyle w:val="30"/>
        <w:spacing w:beforeAutospacing="0" w:afterAutospacing="0" w:line="520" w:lineRule="exact"/>
        <w:ind w:firstLine="480"/>
        <w:jc w:val="both"/>
        <w:rPr>
          <w:rFonts w:ascii="宋体" w:hAnsi="宋体" w:eastAsia="宋体" w:cs="宋体"/>
        </w:rPr>
      </w:pPr>
      <w:r>
        <w:rPr>
          <w:rFonts w:hint="eastAsia" w:ascii="宋体" w:hAnsi="宋体" w:eastAsia="宋体" w:cs="宋体"/>
          <w:color w:val="000000"/>
        </w:rPr>
        <w:t>2.地点：</w:t>
      </w:r>
      <w:r>
        <w:rPr>
          <w:rFonts w:hint="eastAsia" w:ascii="宋体" w:hAnsi="宋体" w:eastAsia="宋体" w:cs="宋体"/>
          <w:sz w:val="24"/>
        </w:rPr>
        <w:t xml:space="preserve">苏采云“不见面”开标大厅 </w:t>
      </w:r>
      <w:r>
        <w:rPr>
          <w:rFonts w:hint="eastAsia" w:ascii="宋体" w:hAnsi="宋体" w:eastAsia="宋体" w:cs="宋体"/>
          <w:color w:val="FF0000"/>
        </w:rPr>
        <w:t>。</w:t>
      </w:r>
    </w:p>
    <w:p w14:paraId="01E74868">
      <w:pPr>
        <w:pStyle w:val="30"/>
        <w:keepNext/>
        <w:keepLines/>
        <w:spacing w:beforeAutospacing="0" w:afterAutospacing="0" w:line="520" w:lineRule="exact"/>
        <w:ind w:firstLine="498"/>
        <w:jc w:val="both"/>
        <w:rPr>
          <w:rFonts w:ascii="宋体" w:hAnsi="宋体" w:eastAsia="宋体" w:cs="宋体"/>
        </w:rPr>
      </w:pPr>
      <w:bookmarkStart w:id="18" w:name="_Toc38985267"/>
      <w:bookmarkStart w:id="19" w:name="_Toc28359084"/>
      <w:bookmarkStart w:id="20" w:name="_Toc35393794"/>
      <w:bookmarkStart w:id="21" w:name="_Toc35393625"/>
      <w:bookmarkStart w:id="22" w:name="_Toc28359007"/>
      <w:r>
        <w:rPr>
          <w:rFonts w:hint="eastAsia" w:ascii="宋体" w:hAnsi="宋体" w:eastAsia="宋体" w:cs="宋体"/>
          <w:b/>
          <w:color w:val="000000"/>
        </w:rPr>
        <w:t>五、公告期限</w:t>
      </w:r>
      <w:bookmarkEnd w:id="18"/>
      <w:bookmarkEnd w:id="19"/>
      <w:bookmarkEnd w:id="20"/>
      <w:bookmarkEnd w:id="21"/>
      <w:bookmarkEnd w:id="22"/>
    </w:p>
    <w:p w14:paraId="22DA6E9A">
      <w:pPr>
        <w:pStyle w:val="30"/>
        <w:widowControl/>
        <w:shd w:val="clear" w:color="auto" w:fill="FFFFFF"/>
        <w:spacing w:beforeAutospacing="0" w:afterAutospacing="0" w:line="520" w:lineRule="exact"/>
        <w:ind w:firstLine="560"/>
        <w:jc w:val="both"/>
        <w:rPr>
          <w:rFonts w:ascii="宋体" w:hAnsi="宋体" w:eastAsia="宋体" w:cs="宋体"/>
          <w:color w:val="333333"/>
          <w:shd w:val="clear" w:color="auto" w:fill="FFFFFF"/>
        </w:rPr>
      </w:pPr>
      <w:bookmarkStart w:id="23" w:name="_Toc35393626"/>
      <w:bookmarkStart w:id="24" w:name="_Toc35393795"/>
      <w:bookmarkStart w:id="25" w:name="_Toc38985268"/>
      <w:r>
        <w:rPr>
          <w:rFonts w:hint="eastAsia" w:ascii="宋体" w:hAnsi="宋体" w:eastAsia="宋体" w:cs="宋体"/>
          <w:color w:val="333333"/>
          <w:shd w:val="clear" w:color="auto" w:fill="FFFFFF"/>
        </w:rPr>
        <w:t>自本公告发布之日起5个工作日。</w:t>
      </w:r>
      <w:bookmarkEnd w:id="23"/>
      <w:bookmarkEnd w:id="24"/>
      <w:bookmarkEnd w:id="25"/>
    </w:p>
    <w:p w14:paraId="002FB8F3">
      <w:pPr>
        <w:pStyle w:val="30"/>
        <w:keepNext/>
        <w:keepLines/>
        <w:spacing w:beforeAutospacing="0" w:afterAutospacing="0" w:line="520" w:lineRule="exact"/>
        <w:ind w:firstLine="498"/>
        <w:jc w:val="both"/>
        <w:rPr>
          <w:rFonts w:ascii="宋体" w:hAnsi="宋体" w:eastAsia="宋体" w:cs="宋体"/>
        </w:rPr>
      </w:pPr>
      <w:r>
        <w:rPr>
          <w:rFonts w:hint="eastAsia" w:ascii="宋体" w:hAnsi="宋体" w:eastAsia="宋体" w:cs="宋体"/>
          <w:b/>
          <w:color w:val="000000"/>
        </w:rPr>
        <w:t>六、其他补充事宜</w:t>
      </w:r>
    </w:p>
    <w:p w14:paraId="788D013D">
      <w:pPr>
        <w:widowControl/>
        <w:spacing w:line="540" w:lineRule="exact"/>
        <w:ind w:firstLine="480" w:firstLineChars="200"/>
        <w:jc w:val="left"/>
        <w:rPr>
          <w:rFonts w:ascii="宋体" w:hAnsi="宋体" w:eastAsia="宋体" w:cs="宋体"/>
          <w:sz w:val="24"/>
          <w:shd w:val="clear" w:color="auto" w:fill="FFFFFF"/>
        </w:rPr>
      </w:pPr>
      <w:bookmarkStart w:id="26" w:name="_Toc28359018"/>
      <w:r>
        <w:rPr>
          <w:rFonts w:hint="eastAsia" w:ascii="宋体" w:hAnsi="宋体" w:eastAsia="宋体" w:cs="宋体"/>
          <w:sz w:val="24"/>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3650505">
      <w:pPr>
        <w:widowControl/>
        <w:spacing w:line="540" w:lineRule="exact"/>
        <w:ind w:firstLine="480" w:firstLineChars="200"/>
        <w:jc w:val="left"/>
        <w:rPr>
          <w:rFonts w:ascii="宋体" w:hAnsi="宋体" w:eastAsia="宋体" w:cs="宋体"/>
          <w:sz w:val="24"/>
          <w:shd w:val="clear" w:color="auto" w:fill="FFFFFF"/>
        </w:rPr>
      </w:pPr>
      <w:r>
        <w:rPr>
          <w:rFonts w:hint="eastAsia" w:ascii="宋体" w:hAnsi="宋体" w:cs="宋体"/>
          <w:color w:val="auto"/>
          <w:sz w:val="24"/>
          <w:szCs w:val="24"/>
          <w:shd w:val="clear" w:color="auto" w:fill="FFFFFF"/>
          <w:lang w:val="en-US" w:eastAsia="zh-CN" w:bidi="ar-SA"/>
          <w14:ligatures w14:val="none"/>
        </w:rPr>
        <w:t>领取CA和办理电子签章（请至盐城市盐都区府西路1号四楼盐城市公共资源交易中心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sz w:val="24"/>
          <w:shd w:val="clear" w:color="auto" w:fill="FFFFFF"/>
        </w:rPr>
        <w:t>。</w:t>
      </w:r>
    </w:p>
    <w:p w14:paraId="5C04DD9E">
      <w:pPr>
        <w:widowControl/>
        <w:spacing w:line="540" w:lineRule="exact"/>
        <w:ind w:firstLine="480" w:firstLineChars="200"/>
        <w:jc w:val="left"/>
        <w:rPr>
          <w:rFonts w:ascii="宋体" w:hAnsi="宋体" w:eastAsia="宋体" w:cs="宋体"/>
          <w:sz w:val="24"/>
        </w:rPr>
      </w:pPr>
      <w:r>
        <w:rPr>
          <w:rFonts w:hint="eastAsia" w:ascii="宋体" w:hAnsi="宋体" w:eastAsia="宋体" w:cs="宋体"/>
          <w:sz w:val="24"/>
        </w:rPr>
        <w:t xml:space="preserve">2.潜在供应商访问电子招标响应交易平台的网络地址和方法： </w:t>
      </w:r>
    </w:p>
    <w:p w14:paraId="636817EC">
      <w:pPr>
        <w:widowControl/>
        <w:spacing w:line="540" w:lineRule="exact"/>
        <w:ind w:firstLine="480" w:firstLineChars="200"/>
        <w:jc w:val="left"/>
        <w:rPr>
          <w:rFonts w:ascii="宋体" w:hAnsi="宋体" w:eastAsia="宋体" w:cs="宋体"/>
          <w:sz w:val="24"/>
        </w:rPr>
      </w:pPr>
      <w:r>
        <w:rPr>
          <w:rFonts w:hint="eastAsia" w:ascii="宋体" w:hAnsi="宋体" w:eastAsia="宋体" w:cs="宋体"/>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5A6F8EEB">
      <w:pPr>
        <w:widowControl/>
        <w:spacing w:line="540" w:lineRule="exact"/>
        <w:ind w:firstLine="480" w:firstLineChars="200"/>
        <w:jc w:val="left"/>
        <w:rPr>
          <w:rFonts w:ascii="宋体" w:hAnsi="宋体" w:eastAsia="宋体" w:cs="宋体"/>
          <w:sz w:val="24"/>
        </w:rPr>
      </w:pPr>
      <w:r>
        <w:rPr>
          <w:rFonts w:hint="eastAsia" w:ascii="宋体" w:hAnsi="宋体" w:eastAsia="宋体" w:cs="宋体"/>
          <w:sz w:val="24"/>
        </w:rPr>
        <w:t xml:space="preserve">2.2 潜在投标人访问“苏采云”系统方法：江苏省政府采购网首页-“苏采云”链接。 </w:t>
      </w:r>
    </w:p>
    <w:p w14:paraId="0F939ADC">
      <w:pPr>
        <w:widowControl/>
        <w:spacing w:line="540" w:lineRule="exact"/>
        <w:ind w:firstLine="480" w:firstLineChars="200"/>
        <w:jc w:val="left"/>
        <w:rPr>
          <w:rFonts w:ascii="宋体" w:hAnsi="宋体" w:eastAsia="宋体" w:cs="宋体"/>
          <w:sz w:val="24"/>
        </w:rPr>
      </w:pPr>
      <w:r>
        <w:rPr>
          <w:rFonts w:hint="eastAsia" w:ascii="宋体" w:hAnsi="宋体" w:eastAsia="宋体" w:cs="宋体"/>
          <w:sz w:val="24"/>
        </w:rPr>
        <w:t xml:space="preserve">2.3 采购文件（后缀名为“.kedt”）、供应商操作手册及政府采购客户端 工具可通过“苏采云”系统相应链接进行下载。 </w:t>
      </w:r>
    </w:p>
    <w:p w14:paraId="70759E2A">
      <w:pPr>
        <w:widowControl/>
        <w:spacing w:line="540" w:lineRule="exact"/>
        <w:ind w:firstLine="480" w:firstLineChars="200"/>
        <w:jc w:val="left"/>
        <w:rPr>
          <w:rFonts w:ascii="宋体" w:hAnsi="宋体" w:eastAsia="宋体" w:cs="宋体"/>
          <w:sz w:val="24"/>
        </w:rPr>
      </w:pPr>
      <w:r>
        <w:rPr>
          <w:rFonts w:hint="eastAsia" w:ascii="宋体" w:hAnsi="宋体" w:eastAsia="宋体" w:cs="宋体"/>
          <w:sz w:val="24"/>
        </w:rPr>
        <w:t xml:space="preserve">2.4 采购代理机构将数据电文形式的采购文件加载至“苏采云”系统，供潜在供应商下载或者查阅。 </w:t>
      </w:r>
    </w:p>
    <w:p w14:paraId="170CF67C">
      <w:pPr>
        <w:widowControl/>
        <w:spacing w:line="540" w:lineRule="exact"/>
        <w:ind w:firstLine="480" w:firstLineChars="200"/>
        <w:jc w:val="left"/>
        <w:rPr>
          <w:rFonts w:ascii="宋体" w:hAnsi="宋体" w:eastAsia="宋体" w:cs="宋体"/>
          <w:sz w:val="24"/>
        </w:rPr>
      </w:pPr>
      <w:r>
        <w:rPr>
          <w:rFonts w:hint="eastAsia" w:ascii="宋体" w:hAnsi="宋体" w:eastAsia="宋体" w:cs="宋体"/>
          <w:sz w:val="24"/>
        </w:rPr>
        <w:t xml:space="preserve">2.5 请潜在投标单位提前安装相应的控件（详见《“苏采云”系统供应商操作手册》）并使用谷歌浏览器登录“苏采云”系统参与不见面开评标。 </w:t>
      </w:r>
    </w:p>
    <w:p w14:paraId="03109DF8">
      <w:pPr>
        <w:widowControl/>
        <w:spacing w:line="540" w:lineRule="exact"/>
        <w:ind w:firstLine="480" w:firstLineChars="200"/>
        <w:jc w:val="left"/>
        <w:rPr>
          <w:rFonts w:ascii="宋体" w:hAnsi="宋体" w:eastAsia="宋体" w:cs="宋体"/>
          <w:kern w:val="0"/>
          <w:sz w:val="24"/>
        </w:rPr>
      </w:pPr>
      <w:r>
        <w:rPr>
          <w:rFonts w:hint="eastAsia" w:ascii="宋体" w:hAnsi="宋体" w:eastAsia="宋体" w:cs="宋体"/>
          <w:kern w:val="0"/>
          <w:sz w:val="24"/>
        </w:rPr>
        <w:t>如潜在投标人未按上述要求操作，将自行承担所产生的风险。</w:t>
      </w:r>
    </w:p>
    <w:p w14:paraId="2FA944ED">
      <w:pPr>
        <w:widowControl/>
        <w:spacing w:line="540" w:lineRule="exact"/>
        <w:ind w:firstLine="480" w:firstLineChars="200"/>
        <w:jc w:val="left"/>
        <w:rPr>
          <w:rFonts w:ascii="宋体" w:hAnsi="宋体" w:eastAsia="宋体" w:cs="宋体"/>
          <w:sz w:val="24"/>
          <w:shd w:val="clear" w:color="auto" w:fill="FFFFFF"/>
        </w:rPr>
      </w:pPr>
      <w:r>
        <w:rPr>
          <w:rFonts w:hint="eastAsia" w:ascii="宋体" w:hAnsi="宋体" w:eastAsia="宋体" w:cs="宋体"/>
          <w:sz w:val="24"/>
          <w:shd w:val="clear" w:color="auto" w:fill="FFFFFF"/>
        </w:rPr>
        <w:t>3.有关本次招标的事项若存在变动或修改，敬请及时关注在“</w:t>
      </w:r>
      <w:r>
        <w:rPr>
          <w:rFonts w:hint="eastAsia" w:ascii="宋体" w:hAnsi="宋体" w:eastAsia="宋体" w:cs="宋体"/>
          <w:kern w:val="0"/>
          <w:sz w:val="24"/>
        </w:rPr>
        <w:t>中国政府采购网”“</w:t>
      </w:r>
      <w:r>
        <w:rPr>
          <w:rFonts w:hint="eastAsia" w:ascii="宋体" w:hAnsi="宋体" w:eastAsia="宋体" w:cs="宋体"/>
          <w:sz w:val="24"/>
          <w:shd w:val="clear" w:color="auto" w:fill="FFFFFF"/>
        </w:rPr>
        <w:t>江苏政府采购网”“盐城市政府采购网”发布的更正公告。</w:t>
      </w:r>
    </w:p>
    <w:p w14:paraId="74EEC290">
      <w:pPr>
        <w:pStyle w:val="3"/>
        <w:widowControl/>
        <w:shd w:val="clear" w:color="auto" w:fill="FFFFFF"/>
        <w:spacing w:beforeAutospacing="0" w:afterAutospacing="0" w:line="520" w:lineRule="exact"/>
        <w:ind w:firstLine="482"/>
        <w:jc w:val="both"/>
        <w:rPr>
          <w:rFonts w:hint="eastAsia" w:ascii="宋体" w:hAnsi="宋体" w:eastAsia="宋体" w:cs="宋体"/>
          <w:sz w:val="24"/>
          <w:shd w:val="clear" w:color="auto" w:fill="FFFFFF"/>
        </w:rPr>
      </w:pPr>
      <w:r>
        <w:rPr>
          <w:rFonts w:hint="eastAsia" w:ascii="宋体" w:hAnsi="宋体" w:eastAsia="宋体" w:cs="宋体"/>
          <w:sz w:val="24"/>
          <w:shd w:val="clear" w:color="auto" w:fill="FFFFFF"/>
        </w:rPr>
        <w:t>4.本次招标不收取投标保证金，不收取质量保证金。</w:t>
      </w:r>
    </w:p>
    <w:p w14:paraId="50BB7994">
      <w:pPr>
        <w:pStyle w:val="3"/>
        <w:widowControl/>
        <w:shd w:val="clear" w:color="auto" w:fill="FFFFFF"/>
        <w:spacing w:beforeAutospacing="0" w:afterAutospacing="0" w:line="520" w:lineRule="exact"/>
        <w:ind w:firstLine="482"/>
        <w:jc w:val="both"/>
        <w:rPr>
          <w:rFonts w:hint="default" w:cs="宋体"/>
          <w:color w:val="333333"/>
          <w:sz w:val="24"/>
          <w:szCs w:val="24"/>
        </w:rPr>
      </w:pPr>
      <w:r>
        <w:rPr>
          <w:rFonts w:cs="宋体"/>
          <w:color w:val="333333"/>
          <w:sz w:val="24"/>
          <w:szCs w:val="24"/>
          <w:shd w:val="clear" w:color="auto" w:fill="FFFFFF"/>
        </w:rPr>
        <w:t>七、对本次招标提出询问，请按以下方式联系。</w:t>
      </w:r>
      <w:bookmarkEnd w:id="26"/>
    </w:p>
    <w:p w14:paraId="3F38297B">
      <w:pPr>
        <w:widowControl/>
        <w:spacing w:line="540" w:lineRule="exact"/>
        <w:ind w:firstLine="480" w:firstLineChars="200"/>
        <w:jc w:val="left"/>
        <w:rPr>
          <w:rFonts w:ascii="宋体" w:hAnsi="宋体" w:eastAsia="宋体" w:cs="宋体"/>
          <w:sz w:val="24"/>
          <w:shd w:val="clear" w:color="auto" w:fill="FFFFFF"/>
        </w:rPr>
      </w:pPr>
      <w:bookmarkStart w:id="27" w:name="_Toc28359097"/>
      <w:bookmarkStart w:id="28" w:name="_Toc35393807"/>
      <w:bookmarkStart w:id="29" w:name="_Toc35393638"/>
      <w:bookmarkStart w:id="30" w:name="_Toc28359020"/>
      <w:bookmarkStart w:id="31" w:name="_Toc28359009"/>
      <w:r>
        <w:rPr>
          <w:rFonts w:hint="eastAsia" w:ascii="宋体" w:hAnsi="宋体" w:eastAsia="宋体" w:cs="宋体"/>
          <w:sz w:val="24"/>
          <w:shd w:val="clear" w:color="auto" w:fill="FFFFFF"/>
        </w:rPr>
        <w:t>1.采购人信息</w:t>
      </w:r>
    </w:p>
    <w:p w14:paraId="0A8837C7">
      <w:pPr>
        <w:widowControl/>
        <w:spacing w:line="54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shd w:val="clear" w:color="auto" w:fill="FFFFFF"/>
        </w:rPr>
        <w:t>名 称：</w:t>
      </w:r>
      <w:r>
        <w:rPr>
          <w:rFonts w:hint="eastAsia" w:ascii="宋体" w:hAnsi="宋体" w:eastAsia="宋体" w:cs="宋体"/>
          <w:sz w:val="24"/>
          <w:lang w:val="en-US" w:eastAsia="zh-CN"/>
        </w:rPr>
        <w:t xml:space="preserve">射阳县教育局  </w:t>
      </w:r>
    </w:p>
    <w:p w14:paraId="0F3C21E0">
      <w:pPr>
        <w:widowControl/>
        <w:spacing w:line="54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shd w:val="clear" w:color="auto" w:fill="FFFFFF"/>
        </w:rPr>
        <w:t>地址</w:t>
      </w:r>
      <w:r>
        <w:rPr>
          <w:rFonts w:hint="eastAsia" w:ascii="宋体" w:hAnsi="宋体" w:eastAsia="宋体" w:cs="宋体"/>
          <w:sz w:val="24"/>
          <w:lang w:val="en-US" w:eastAsia="zh-CN"/>
        </w:rPr>
        <w:t xml:space="preserve">：射阳县滨湖大道10号  </w:t>
      </w:r>
    </w:p>
    <w:p w14:paraId="0E897FC9">
      <w:pPr>
        <w:widowControl/>
        <w:spacing w:line="540" w:lineRule="exact"/>
        <w:ind w:firstLine="480" w:firstLineChars="200"/>
        <w:jc w:val="left"/>
        <w:rPr>
          <w:rFonts w:ascii="宋体" w:hAnsi="宋体" w:eastAsia="宋体" w:cs="宋体"/>
          <w:sz w:val="24"/>
          <w:shd w:val="clear" w:color="auto" w:fill="FFFFFF"/>
        </w:rPr>
      </w:pPr>
      <w:r>
        <w:rPr>
          <w:rFonts w:hint="eastAsia" w:ascii="宋体" w:hAnsi="宋体" w:eastAsia="宋体" w:cs="宋体"/>
          <w:sz w:val="24"/>
          <w:shd w:val="clear" w:color="auto" w:fill="FFFFFF"/>
        </w:rPr>
        <w:t>联系人：</w:t>
      </w:r>
      <w:r>
        <w:rPr>
          <w:rFonts w:hint="eastAsia" w:ascii="宋体" w:hAnsi="宋体" w:eastAsia="宋体" w:cs="宋体"/>
          <w:sz w:val="24"/>
          <w:shd w:val="clear" w:color="auto" w:fill="FFFFFF"/>
          <w:lang w:val="en-US" w:eastAsia="zh-CN"/>
        </w:rPr>
        <w:t>梁科长</w:t>
      </w:r>
      <w:r>
        <w:rPr>
          <w:rFonts w:hint="eastAsia" w:ascii="宋体" w:hAnsi="宋体" w:eastAsia="宋体" w:cs="宋体"/>
          <w:sz w:val="24"/>
          <w:shd w:val="clear" w:color="auto" w:fill="FFFFFF"/>
        </w:rPr>
        <w:t xml:space="preserve">              </w:t>
      </w:r>
    </w:p>
    <w:p w14:paraId="22A81F95">
      <w:pPr>
        <w:widowControl/>
        <w:spacing w:line="540" w:lineRule="exact"/>
        <w:ind w:firstLine="480" w:firstLineChars="200"/>
        <w:jc w:val="left"/>
        <w:rPr>
          <w:rFonts w:ascii="宋体" w:hAnsi="宋体" w:eastAsia="宋体" w:cs="宋体"/>
          <w:sz w:val="24"/>
          <w:shd w:val="clear" w:color="auto" w:fill="FFFFFF"/>
        </w:rPr>
      </w:pPr>
      <w:r>
        <w:rPr>
          <w:rFonts w:hint="eastAsia" w:ascii="宋体" w:hAnsi="宋体" w:eastAsia="宋体" w:cs="宋体"/>
          <w:sz w:val="24"/>
          <w:shd w:val="clear" w:color="auto" w:fill="FFFFFF"/>
        </w:rPr>
        <w:t>联系方式：</w:t>
      </w:r>
      <w:r>
        <w:rPr>
          <w:rFonts w:hint="eastAsia" w:ascii="宋体" w:hAnsi="宋体" w:eastAsia="宋体" w:cs="宋体"/>
          <w:sz w:val="24"/>
          <w:shd w:val="clear" w:color="auto" w:fill="FFFFFF"/>
          <w:lang w:val="en-US" w:eastAsia="zh-CN"/>
        </w:rPr>
        <w:t>15061658038</w:t>
      </w:r>
      <w:r>
        <w:rPr>
          <w:rFonts w:hint="eastAsia" w:ascii="宋体" w:hAnsi="宋体" w:eastAsia="宋体" w:cs="宋体"/>
          <w:sz w:val="24"/>
          <w:shd w:val="clear" w:color="auto" w:fill="FFFFFF"/>
        </w:rPr>
        <w:t xml:space="preserve">            </w:t>
      </w:r>
    </w:p>
    <w:p w14:paraId="343295A3">
      <w:pPr>
        <w:widowControl/>
        <w:spacing w:line="540" w:lineRule="exact"/>
        <w:ind w:firstLine="480" w:firstLineChars="200"/>
        <w:jc w:val="left"/>
        <w:rPr>
          <w:rFonts w:ascii="宋体" w:hAnsi="宋体" w:eastAsia="宋体" w:cs="宋体"/>
          <w:sz w:val="24"/>
          <w:shd w:val="clear" w:color="auto" w:fill="FFFFFF"/>
        </w:rPr>
      </w:pPr>
    </w:p>
    <w:p w14:paraId="0C8F05CD">
      <w:pPr>
        <w:spacing w:line="520" w:lineRule="exact"/>
        <w:ind w:firstLine="480"/>
        <w:rPr>
          <w:rFonts w:ascii="宋体" w:hAnsi="宋体" w:eastAsia="宋体" w:cs="宋体"/>
          <w:sz w:val="24"/>
        </w:rPr>
      </w:pPr>
      <w:r>
        <w:rPr>
          <w:rFonts w:hint="eastAsia" w:ascii="宋体" w:hAnsi="宋体" w:eastAsia="宋体" w:cs="宋体"/>
          <w:sz w:val="24"/>
        </w:rPr>
        <w:t>2.采购代理机构信息</w:t>
      </w:r>
      <w:bookmarkEnd w:id="27"/>
      <w:bookmarkEnd w:id="28"/>
      <w:bookmarkEnd w:id="29"/>
      <w:bookmarkEnd w:id="30"/>
    </w:p>
    <w:p w14:paraId="78EA59F2">
      <w:pPr>
        <w:spacing w:line="520" w:lineRule="exact"/>
        <w:ind w:firstLine="480"/>
        <w:rPr>
          <w:rFonts w:ascii="宋体" w:hAnsi="宋体" w:eastAsia="宋体" w:cs="宋体"/>
          <w:sz w:val="24"/>
        </w:rPr>
      </w:pPr>
      <w:bookmarkStart w:id="32" w:name="_Toc35393808"/>
      <w:bookmarkStart w:id="33" w:name="_Toc35393639"/>
      <w:bookmarkStart w:id="34" w:name="_Toc28359021"/>
      <w:bookmarkStart w:id="35" w:name="_Toc28359098"/>
      <w:r>
        <w:rPr>
          <w:rFonts w:hint="eastAsia" w:ascii="宋体" w:hAnsi="宋体" w:eastAsia="宋体" w:cs="宋体"/>
          <w:sz w:val="24"/>
        </w:rPr>
        <w:t>名    称：</w:t>
      </w:r>
      <w:r>
        <w:rPr>
          <w:rFonts w:hint="eastAsia" w:ascii="宋体" w:hAnsi="宋体" w:eastAsia="宋体" w:cs="宋体"/>
          <w:sz w:val="24"/>
          <w:lang w:val="en-US" w:eastAsia="zh-CN"/>
        </w:rPr>
        <w:t>江苏鑫缘</w:t>
      </w:r>
      <w:r>
        <w:rPr>
          <w:rFonts w:hint="eastAsia" w:ascii="宋体" w:hAnsi="宋体" w:eastAsia="宋体" w:cs="宋体"/>
          <w:sz w:val="24"/>
        </w:rPr>
        <w:t xml:space="preserve">项目管理有限公司 </w:t>
      </w:r>
    </w:p>
    <w:p w14:paraId="526C9845">
      <w:pPr>
        <w:spacing w:line="520" w:lineRule="exact"/>
        <w:ind w:firstLine="480"/>
        <w:rPr>
          <w:rFonts w:ascii="宋体" w:hAnsi="宋体" w:eastAsia="宋体" w:cs="宋体"/>
          <w:sz w:val="24"/>
          <w:shd w:val="clear" w:color="auto" w:fill="FFFFFF"/>
        </w:rPr>
      </w:pPr>
      <w:r>
        <w:rPr>
          <w:rFonts w:hint="eastAsia" w:ascii="宋体" w:hAnsi="宋体" w:eastAsia="宋体" w:cs="宋体"/>
          <w:sz w:val="24"/>
        </w:rPr>
        <w:t>地　  址：</w:t>
      </w:r>
      <w:r>
        <w:rPr>
          <w:rFonts w:hint="eastAsia" w:ascii="宋体" w:hAnsi="宋体" w:eastAsia="宋体" w:cs="宋体"/>
          <w:sz w:val="24"/>
          <w:shd w:val="clear" w:color="auto" w:fill="FFFFFF"/>
        </w:rPr>
        <w:t>射阳县五洲国际广场B区5号楼</w:t>
      </w:r>
      <w:r>
        <w:rPr>
          <w:rFonts w:hint="eastAsia" w:ascii="宋体" w:hAnsi="宋体" w:eastAsia="宋体" w:cs="宋体"/>
          <w:sz w:val="24"/>
          <w:shd w:val="clear" w:color="auto" w:fill="FFFFFF"/>
          <w:lang w:val="en-US" w:eastAsia="zh-CN"/>
        </w:rPr>
        <w:t>17</w:t>
      </w:r>
      <w:r>
        <w:rPr>
          <w:rFonts w:hint="eastAsia" w:ascii="宋体" w:hAnsi="宋体" w:eastAsia="宋体" w:cs="宋体"/>
          <w:sz w:val="24"/>
          <w:shd w:val="clear" w:color="auto" w:fill="FFFFFF"/>
        </w:rPr>
        <w:t>层</w:t>
      </w:r>
    </w:p>
    <w:p w14:paraId="10CBDE87">
      <w:pPr>
        <w:spacing w:line="520" w:lineRule="exact"/>
        <w:ind w:firstLine="480"/>
        <w:rPr>
          <w:rFonts w:ascii="宋体" w:hAnsi="宋体" w:eastAsia="宋体" w:cs="宋体"/>
          <w:sz w:val="24"/>
        </w:rPr>
      </w:pPr>
      <w:r>
        <w:rPr>
          <w:rFonts w:hint="eastAsia" w:ascii="宋体" w:hAnsi="宋体" w:eastAsia="宋体" w:cs="宋体"/>
          <w:sz w:val="24"/>
        </w:rPr>
        <w:t>联 系 人：</w:t>
      </w:r>
      <w:r>
        <w:rPr>
          <w:rFonts w:hint="eastAsia" w:ascii="宋体" w:hAnsi="宋体" w:eastAsia="宋体" w:cs="宋体"/>
          <w:sz w:val="24"/>
          <w:lang w:val="en-US" w:eastAsia="zh-CN"/>
        </w:rPr>
        <w:t>黄</w:t>
      </w:r>
      <w:r>
        <w:rPr>
          <w:rFonts w:hint="eastAsia" w:ascii="宋体" w:hAnsi="宋体" w:eastAsia="宋体" w:cs="宋体"/>
          <w:sz w:val="24"/>
        </w:rPr>
        <w:t>工　</w:t>
      </w:r>
    </w:p>
    <w:p w14:paraId="31E2A722">
      <w:pPr>
        <w:spacing w:line="520" w:lineRule="exact"/>
        <w:ind w:firstLine="480"/>
        <w:rPr>
          <w:rFonts w:ascii="宋体" w:hAnsi="宋体" w:eastAsia="宋体" w:cs="宋体"/>
          <w:sz w:val="24"/>
        </w:rPr>
      </w:pPr>
      <w:r>
        <w:rPr>
          <w:rFonts w:hint="eastAsia" w:ascii="宋体" w:hAnsi="宋体" w:eastAsia="宋体" w:cs="宋体"/>
          <w:sz w:val="24"/>
        </w:rPr>
        <w:t>联系方式：</w:t>
      </w:r>
      <w:r>
        <w:rPr>
          <w:rFonts w:hint="eastAsia" w:ascii="宋体" w:hAnsi="宋体" w:eastAsia="宋体" w:cs="宋体"/>
          <w:color w:val="000000"/>
          <w:sz w:val="24"/>
        </w:rPr>
        <w:t>0515-</w:t>
      </w:r>
      <w:r>
        <w:rPr>
          <w:rFonts w:hint="eastAsia" w:ascii="宋体" w:hAnsi="宋体" w:eastAsia="宋体" w:cs="宋体"/>
          <w:color w:val="000000"/>
          <w:sz w:val="24"/>
          <w:lang w:val="en-US" w:eastAsia="zh-CN"/>
        </w:rPr>
        <w:t>82307666</w:t>
      </w:r>
      <w:r>
        <w:rPr>
          <w:rFonts w:hint="eastAsia" w:ascii="宋体" w:hAnsi="宋体" w:eastAsia="宋体" w:cs="宋体"/>
          <w:color w:val="000000"/>
          <w:sz w:val="24"/>
        </w:rPr>
        <w:t xml:space="preserve">   </w:t>
      </w:r>
      <w:r>
        <w:rPr>
          <w:rFonts w:hint="eastAsia" w:ascii="宋体" w:hAnsi="宋体" w:eastAsia="宋体" w:cs="宋体"/>
          <w:sz w:val="24"/>
        </w:rPr>
        <w:t xml:space="preserve"> 　</w:t>
      </w:r>
    </w:p>
    <w:p w14:paraId="12CE17C2">
      <w:pPr>
        <w:spacing w:line="520" w:lineRule="exact"/>
        <w:ind w:firstLine="480"/>
        <w:rPr>
          <w:rFonts w:ascii="宋体" w:hAnsi="宋体" w:eastAsia="宋体" w:cs="宋体"/>
          <w:sz w:val="24"/>
        </w:rPr>
      </w:pPr>
      <w:r>
        <w:rPr>
          <w:rFonts w:hint="eastAsia" w:ascii="宋体" w:hAnsi="宋体" w:eastAsia="宋体" w:cs="宋体"/>
          <w:sz w:val="24"/>
        </w:rPr>
        <w:t>3.项目联系方式</w:t>
      </w:r>
      <w:bookmarkEnd w:id="32"/>
      <w:bookmarkEnd w:id="33"/>
      <w:bookmarkEnd w:id="34"/>
      <w:bookmarkEnd w:id="35"/>
    </w:p>
    <w:p w14:paraId="090A2F12">
      <w:pPr>
        <w:spacing w:line="520" w:lineRule="exact"/>
        <w:ind w:firstLine="480"/>
        <w:rPr>
          <w:rFonts w:hint="default" w:ascii="宋体" w:hAnsi="宋体" w:eastAsia="宋体" w:cs="宋体"/>
          <w:sz w:val="24"/>
          <w:lang w:val="en-US"/>
        </w:rPr>
      </w:pPr>
      <w:r>
        <w:rPr>
          <w:rFonts w:hint="eastAsia" w:ascii="宋体" w:hAnsi="宋体" w:eastAsia="宋体" w:cs="宋体"/>
          <w:sz w:val="24"/>
        </w:rPr>
        <w:t>项目联系人：</w:t>
      </w:r>
      <w:r>
        <w:rPr>
          <w:rFonts w:hint="eastAsia" w:hAnsi="宋体" w:eastAsia="宋体" w:cs="宋体"/>
          <w:color w:val="000000"/>
          <w:sz w:val="24"/>
          <w:lang w:val="en-US" w:eastAsia="zh-CN"/>
        </w:rPr>
        <w:t>黄工</w:t>
      </w:r>
    </w:p>
    <w:p w14:paraId="787CBDF6">
      <w:pPr>
        <w:spacing w:line="520" w:lineRule="exact"/>
        <w:ind w:firstLine="480"/>
        <w:rPr>
          <w:rFonts w:hint="default" w:ascii="宋体" w:hAnsi="宋体" w:eastAsia="宋体"/>
          <w:sz w:val="24"/>
          <w:lang w:val="en-US" w:eastAsia="zh-CN"/>
        </w:rPr>
      </w:pPr>
      <w:r>
        <w:rPr>
          <w:rFonts w:hint="eastAsia" w:ascii="宋体" w:hAnsi="宋体" w:eastAsia="宋体" w:cs="宋体"/>
          <w:sz w:val="24"/>
        </w:rPr>
        <w:t>电　　 话：</w:t>
      </w:r>
      <w:bookmarkStart w:id="36" w:name="_Toc120614211"/>
      <w:r>
        <w:rPr>
          <w:rFonts w:hint="eastAsia" w:ascii="宋体" w:hAnsi="宋体" w:eastAsia="宋体"/>
          <w:sz w:val="24"/>
          <w:lang w:val="en-US" w:eastAsia="zh-CN"/>
        </w:rPr>
        <w:t>15396733999</w:t>
      </w:r>
    </w:p>
    <w:p w14:paraId="0E357CAE">
      <w:pPr>
        <w:spacing w:line="520" w:lineRule="exact"/>
        <w:ind w:firstLine="480"/>
        <w:rPr>
          <w:rFonts w:ascii="宋体" w:hAnsi="宋体"/>
          <w:sz w:val="24"/>
        </w:rPr>
      </w:pPr>
    </w:p>
    <w:p w14:paraId="48DBD6EE">
      <w:pPr>
        <w:spacing w:line="520" w:lineRule="exact"/>
        <w:ind w:firstLine="480"/>
        <w:rPr>
          <w:rFonts w:ascii="宋体" w:hAnsi="宋体"/>
          <w:sz w:val="24"/>
        </w:rPr>
      </w:pPr>
    </w:p>
    <w:p w14:paraId="62330D03">
      <w:pPr>
        <w:spacing w:line="520" w:lineRule="exact"/>
        <w:ind w:firstLine="480"/>
        <w:rPr>
          <w:rFonts w:ascii="宋体" w:hAnsi="宋体"/>
          <w:sz w:val="24"/>
        </w:rPr>
      </w:pPr>
    </w:p>
    <w:p w14:paraId="19E429DD">
      <w:pPr>
        <w:spacing w:line="520" w:lineRule="exact"/>
        <w:ind w:firstLine="480"/>
        <w:rPr>
          <w:rFonts w:ascii="宋体" w:hAnsi="宋体"/>
          <w:sz w:val="24"/>
        </w:rPr>
      </w:pPr>
    </w:p>
    <w:p w14:paraId="18FC1277">
      <w:pPr>
        <w:spacing w:line="520" w:lineRule="exact"/>
        <w:ind w:firstLine="480"/>
        <w:rPr>
          <w:rFonts w:ascii="宋体" w:hAnsi="宋体"/>
          <w:sz w:val="24"/>
        </w:rPr>
      </w:pPr>
    </w:p>
    <w:p w14:paraId="5923D86C">
      <w:pPr>
        <w:spacing w:line="520" w:lineRule="exact"/>
        <w:jc w:val="center"/>
      </w:pPr>
      <w:r>
        <w:rPr>
          <w:rFonts w:hint="eastAsia" w:ascii="黑体" w:hAnsi="宋体" w:eastAsia="黑体" w:cs="黑体"/>
          <w:b/>
          <w:color w:val="000000"/>
          <w:sz w:val="44"/>
          <w:szCs w:val="44"/>
        </w:rPr>
        <w:t xml:space="preserve">第二章  </w:t>
      </w:r>
      <w:bookmarkEnd w:id="36"/>
      <w:bookmarkStart w:id="37" w:name="_Toc20823274"/>
      <w:bookmarkStart w:id="38" w:name="_Toc513029202"/>
      <w:bookmarkStart w:id="39" w:name="_Toc120614213"/>
      <w:bookmarkStart w:id="40" w:name="_Toc16938518"/>
      <w:r>
        <w:rPr>
          <w:rFonts w:hint="eastAsia" w:ascii="黑体" w:hAnsi="宋体" w:eastAsia="黑体" w:cs="黑体"/>
          <w:b/>
          <w:color w:val="000000"/>
          <w:sz w:val="44"/>
          <w:szCs w:val="44"/>
        </w:rPr>
        <w:t>供应商须知</w:t>
      </w:r>
      <w:bookmarkEnd w:id="37"/>
      <w:bookmarkEnd w:id="38"/>
      <w:bookmarkEnd w:id="39"/>
      <w:bookmarkEnd w:id="40"/>
    </w:p>
    <w:p w14:paraId="495585E1">
      <w:pPr>
        <w:pStyle w:val="30"/>
        <w:keepNext/>
        <w:keepLines/>
        <w:spacing w:beforeAutospacing="0" w:afterAutospacing="0" w:line="500" w:lineRule="exact"/>
        <w:ind w:firstLine="498"/>
        <w:jc w:val="both"/>
        <w:rPr>
          <w:rFonts w:ascii="宋体" w:hAnsi="宋体" w:eastAsia="宋体" w:cs="宋体"/>
        </w:rPr>
      </w:pPr>
      <w:bookmarkStart w:id="41" w:name="_Toc20823275"/>
      <w:bookmarkStart w:id="42" w:name="_Toc16938519"/>
      <w:bookmarkStart w:id="43" w:name="_Toc120614214"/>
      <w:bookmarkStart w:id="44" w:name="_Toc513029203"/>
      <w:r>
        <w:rPr>
          <w:rFonts w:hint="eastAsia" w:ascii="宋体" w:hAnsi="宋体" w:eastAsia="宋体" w:cs="宋体"/>
          <w:b/>
          <w:color w:val="000000"/>
        </w:rPr>
        <w:t>一、总则</w:t>
      </w:r>
      <w:bookmarkEnd w:id="41"/>
      <w:bookmarkEnd w:id="42"/>
      <w:bookmarkEnd w:id="43"/>
      <w:bookmarkEnd w:id="44"/>
    </w:p>
    <w:p w14:paraId="5CCD621D">
      <w:pPr>
        <w:pStyle w:val="30"/>
        <w:keepNext/>
        <w:keepLines/>
        <w:spacing w:beforeAutospacing="0" w:afterAutospacing="0" w:line="500" w:lineRule="exact"/>
        <w:ind w:firstLine="480"/>
        <w:jc w:val="both"/>
        <w:rPr>
          <w:rFonts w:ascii="宋体" w:hAnsi="宋体" w:eastAsia="宋体" w:cs="宋体"/>
        </w:rPr>
      </w:pPr>
      <w:bookmarkStart w:id="45" w:name="_Toc16938520"/>
      <w:bookmarkStart w:id="46" w:name="_Toc513029204"/>
      <w:bookmarkStart w:id="47" w:name="_Toc20823276"/>
      <w:bookmarkStart w:id="48" w:name="_Toc458694821"/>
      <w:bookmarkStart w:id="49" w:name="_Hlt16619475"/>
      <w:r>
        <w:rPr>
          <w:rFonts w:hint="eastAsia" w:ascii="宋体" w:hAnsi="宋体" w:eastAsia="宋体" w:cs="宋体"/>
          <w:color w:val="000000"/>
        </w:rPr>
        <w:t>1</w:t>
      </w:r>
      <w:bookmarkEnd w:id="45"/>
      <w:r>
        <w:rPr>
          <w:rFonts w:hint="eastAsia" w:ascii="宋体" w:hAnsi="宋体" w:eastAsia="宋体" w:cs="宋体"/>
          <w:color w:val="000000"/>
        </w:rPr>
        <w:t>、招标方式</w:t>
      </w:r>
      <w:bookmarkEnd w:id="46"/>
      <w:bookmarkEnd w:id="47"/>
      <w:bookmarkEnd w:id="48"/>
    </w:p>
    <w:p w14:paraId="66131AF4">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1.1本次招标采取公开招标方式，本招标文件仅适用于招标公告中所述项目。</w:t>
      </w:r>
    </w:p>
    <w:p w14:paraId="76200ED8">
      <w:pPr>
        <w:pStyle w:val="30"/>
        <w:keepNext/>
        <w:keepLines/>
        <w:spacing w:beforeAutospacing="0" w:afterAutospacing="0" w:line="500" w:lineRule="exact"/>
        <w:ind w:firstLine="480"/>
        <w:jc w:val="both"/>
        <w:rPr>
          <w:rFonts w:ascii="宋体" w:hAnsi="宋体" w:eastAsia="宋体" w:cs="宋体"/>
        </w:rPr>
      </w:pPr>
      <w:bookmarkStart w:id="50" w:name="_Toc20823277"/>
      <w:bookmarkStart w:id="51" w:name="_Toc16938521"/>
      <w:bookmarkStart w:id="52" w:name="_Toc513029205"/>
      <w:r>
        <w:rPr>
          <w:rFonts w:hint="eastAsia" w:ascii="宋体" w:hAnsi="宋体" w:eastAsia="宋体" w:cs="宋体"/>
          <w:color w:val="000000"/>
        </w:rPr>
        <w:t>2、合格的</w:t>
      </w:r>
      <w:bookmarkEnd w:id="50"/>
      <w:bookmarkEnd w:id="51"/>
      <w:bookmarkEnd w:id="52"/>
      <w:r>
        <w:rPr>
          <w:rFonts w:hint="eastAsia" w:ascii="宋体" w:hAnsi="宋体" w:eastAsia="宋体" w:cs="宋体"/>
          <w:color w:val="000000"/>
        </w:rPr>
        <w:t>供应商</w:t>
      </w:r>
    </w:p>
    <w:p w14:paraId="6C82FD9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2.1满足招标公告中供应商的资格要求的规定。</w:t>
      </w:r>
    </w:p>
    <w:p w14:paraId="3D8ED221">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2.2满足本文件实质性要求和条件的规定。</w:t>
      </w:r>
    </w:p>
    <w:p w14:paraId="6B73D255">
      <w:pPr>
        <w:pStyle w:val="30"/>
        <w:keepNext/>
        <w:keepLines/>
        <w:spacing w:beforeAutospacing="0" w:afterAutospacing="0" w:line="500" w:lineRule="exact"/>
        <w:ind w:firstLine="480"/>
        <w:jc w:val="both"/>
        <w:rPr>
          <w:rFonts w:ascii="宋体" w:hAnsi="宋体" w:eastAsia="宋体" w:cs="宋体"/>
        </w:rPr>
      </w:pPr>
      <w:bookmarkStart w:id="53" w:name="_Toc16938522"/>
      <w:bookmarkStart w:id="54" w:name="_Toc20823278"/>
      <w:bookmarkStart w:id="55" w:name="_Toc513029206"/>
      <w:r>
        <w:rPr>
          <w:rFonts w:hint="eastAsia" w:ascii="宋体" w:hAnsi="宋体" w:eastAsia="宋体" w:cs="宋体"/>
          <w:color w:val="000000"/>
        </w:rPr>
        <w:t>3、适用法律</w:t>
      </w:r>
      <w:bookmarkEnd w:id="53"/>
      <w:bookmarkEnd w:id="54"/>
      <w:bookmarkEnd w:id="55"/>
    </w:p>
    <w:p w14:paraId="119F145F">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3.1本次招标及由此产生的合同受中华人民共和国有关的法律法规制约和保护。</w:t>
      </w:r>
    </w:p>
    <w:p w14:paraId="45D99797">
      <w:pPr>
        <w:pStyle w:val="30"/>
        <w:keepNext/>
        <w:keepLines/>
        <w:spacing w:beforeAutospacing="0" w:afterAutospacing="0" w:line="500" w:lineRule="exact"/>
        <w:ind w:firstLine="480"/>
        <w:jc w:val="both"/>
        <w:rPr>
          <w:rFonts w:ascii="宋体" w:hAnsi="宋体" w:eastAsia="宋体" w:cs="宋体"/>
        </w:rPr>
      </w:pPr>
      <w:bookmarkStart w:id="56" w:name="_Toc20823279"/>
      <w:bookmarkStart w:id="57" w:name="_Toc513029207"/>
      <w:bookmarkStart w:id="58" w:name="_Toc462564067"/>
      <w:bookmarkStart w:id="59" w:name="_Toc16938523"/>
      <w:r>
        <w:rPr>
          <w:rFonts w:hint="eastAsia" w:ascii="宋体" w:hAnsi="宋体" w:eastAsia="宋体" w:cs="宋体"/>
          <w:color w:val="000000"/>
        </w:rPr>
        <w:t>4、投标费用</w:t>
      </w:r>
      <w:bookmarkEnd w:id="56"/>
      <w:bookmarkEnd w:id="57"/>
      <w:bookmarkEnd w:id="58"/>
      <w:bookmarkEnd w:id="59"/>
    </w:p>
    <w:p w14:paraId="3C3E5162">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4.1供应商应自行承担所有与参加投标有关的费用，无论投标过程中的做法和结果如何，</w:t>
      </w:r>
      <w:r>
        <w:rPr>
          <w:rFonts w:hint="eastAsia" w:ascii="宋体" w:hAnsi="宋体" w:eastAsia="宋体" w:cs="宋体"/>
        </w:rPr>
        <w:t>采购人或采购代理机构</w:t>
      </w:r>
      <w:r>
        <w:rPr>
          <w:rFonts w:hint="eastAsia" w:ascii="宋体" w:hAnsi="宋体" w:eastAsia="宋体" w:cs="宋体"/>
          <w:color w:val="000000"/>
        </w:rPr>
        <w:t>在任何情况下均无义务和责任承担这些费用。</w:t>
      </w:r>
    </w:p>
    <w:p w14:paraId="7695B32C">
      <w:pPr>
        <w:pStyle w:val="30"/>
        <w:spacing w:beforeAutospacing="0" w:afterAutospacing="0" w:line="500" w:lineRule="exact"/>
        <w:ind w:firstLine="480"/>
        <w:jc w:val="both"/>
        <w:rPr>
          <w:rFonts w:ascii="宋体" w:hAnsi="宋体" w:eastAsia="宋体" w:cs="宋体"/>
          <w:b/>
          <w:bCs w:val="0"/>
        </w:rPr>
      </w:pPr>
      <w:bookmarkStart w:id="60" w:name="OLE_LINK3"/>
      <w:bookmarkStart w:id="61" w:name="OLE_LINK1"/>
      <w:r>
        <w:rPr>
          <w:rFonts w:hint="eastAsia" w:ascii="宋体" w:hAnsi="宋体" w:eastAsia="宋体" w:cs="宋体"/>
          <w:color w:val="000000"/>
        </w:rPr>
        <w:t>4.2</w:t>
      </w:r>
      <w:r>
        <w:rPr>
          <w:rFonts w:hint="eastAsia" w:ascii="宋体" w:hAnsi="宋体" w:eastAsia="宋体" w:cs="宋体"/>
          <w:bCs/>
        </w:rPr>
        <w:t>本次招标代理服务费：</w:t>
      </w:r>
      <w:r>
        <w:rPr>
          <w:rFonts w:hint="eastAsia" w:ascii="宋体" w:hAnsi="宋体" w:eastAsia="宋体" w:cs="宋体"/>
          <w:b/>
          <w:bCs w:val="0"/>
        </w:rPr>
        <w:t>按苏政采协[2024]20号文件取费标准。由中标人承担，不单独列项，供应商在报价时综合考虑。在中标公告发布后由中标人向采购代理机构缴纳。</w:t>
      </w:r>
      <w:bookmarkEnd w:id="60"/>
      <w:bookmarkEnd w:id="61"/>
    </w:p>
    <w:p w14:paraId="6E1A5603">
      <w:pPr>
        <w:pStyle w:val="30"/>
        <w:keepNext/>
        <w:keepLines/>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5、招标文件的约束力</w:t>
      </w:r>
    </w:p>
    <w:p w14:paraId="656DB984">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5.1供应商一旦参加本项目采购活动，即被认为接受了本招标文件的规定和约束。</w:t>
      </w:r>
    </w:p>
    <w:p w14:paraId="594AAE09">
      <w:pPr>
        <w:pStyle w:val="30"/>
        <w:keepNext/>
        <w:keepLines/>
        <w:spacing w:beforeAutospacing="0" w:afterAutospacing="0" w:line="500" w:lineRule="exact"/>
        <w:ind w:firstLine="321"/>
        <w:jc w:val="both"/>
        <w:rPr>
          <w:rFonts w:ascii="宋体" w:hAnsi="宋体" w:eastAsia="宋体" w:cs="宋体"/>
        </w:rPr>
      </w:pPr>
      <w:bookmarkStart w:id="62" w:name="_Toc20823281"/>
      <w:bookmarkStart w:id="63" w:name="_Toc513029209"/>
      <w:bookmarkStart w:id="64" w:name="_Toc16938525"/>
      <w:bookmarkStart w:id="65" w:name="_Toc120614215"/>
      <w:r>
        <w:rPr>
          <w:rFonts w:hint="eastAsia" w:ascii="宋体" w:hAnsi="宋体" w:eastAsia="宋体" w:cs="宋体"/>
          <w:b/>
          <w:color w:val="000000"/>
        </w:rPr>
        <w:t>二、招标文件</w:t>
      </w:r>
      <w:bookmarkEnd w:id="62"/>
      <w:bookmarkEnd w:id="63"/>
      <w:bookmarkEnd w:id="64"/>
      <w:bookmarkEnd w:id="65"/>
    </w:p>
    <w:p w14:paraId="7E41A744">
      <w:pPr>
        <w:pStyle w:val="30"/>
        <w:keepNext/>
        <w:keepLines/>
        <w:spacing w:beforeAutospacing="0" w:afterAutospacing="0" w:line="500" w:lineRule="exact"/>
        <w:ind w:firstLine="480"/>
        <w:jc w:val="both"/>
        <w:rPr>
          <w:rFonts w:ascii="宋体" w:hAnsi="宋体" w:eastAsia="宋体" w:cs="宋体"/>
        </w:rPr>
      </w:pPr>
      <w:bookmarkStart w:id="66" w:name="_Toc20823282"/>
      <w:bookmarkStart w:id="67" w:name="_Toc16938526"/>
      <w:bookmarkStart w:id="68" w:name="_Toc513029210"/>
      <w:r>
        <w:rPr>
          <w:rFonts w:hint="eastAsia" w:ascii="宋体" w:hAnsi="宋体" w:eastAsia="宋体" w:cs="宋体"/>
          <w:color w:val="000000"/>
        </w:rPr>
        <w:t>6、招标文件构成</w:t>
      </w:r>
      <w:bookmarkEnd w:id="66"/>
      <w:bookmarkEnd w:id="67"/>
      <w:bookmarkEnd w:id="68"/>
    </w:p>
    <w:p w14:paraId="397796E1">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6.1 招标文件由以下部分组成：</w:t>
      </w:r>
    </w:p>
    <w:p w14:paraId="04206479">
      <w:pPr>
        <w:pStyle w:val="30"/>
        <w:spacing w:beforeAutospacing="0" w:afterAutospacing="0" w:line="500" w:lineRule="exact"/>
        <w:ind w:firstLine="360"/>
        <w:jc w:val="both"/>
        <w:rPr>
          <w:rFonts w:ascii="宋体" w:hAnsi="宋体" w:eastAsia="宋体" w:cs="宋体"/>
        </w:rPr>
      </w:pPr>
      <w:r>
        <w:rPr>
          <w:rFonts w:hint="eastAsia" w:ascii="宋体" w:hAnsi="宋体" w:eastAsia="宋体" w:cs="宋体"/>
          <w:color w:val="000000"/>
        </w:rPr>
        <w:t>（1）招标公告</w:t>
      </w:r>
    </w:p>
    <w:p w14:paraId="670EFE37">
      <w:pPr>
        <w:pStyle w:val="30"/>
        <w:spacing w:beforeAutospacing="0" w:afterAutospacing="0" w:line="500" w:lineRule="exact"/>
        <w:ind w:firstLine="360"/>
        <w:jc w:val="both"/>
        <w:rPr>
          <w:rFonts w:ascii="宋体" w:hAnsi="宋体" w:eastAsia="宋体" w:cs="宋体"/>
        </w:rPr>
      </w:pPr>
      <w:r>
        <w:rPr>
          <w:rFonts w:hint="eastAsia" w:ascii="宋体" w:hAnsi="宋体" w:eastAsia="宋体" w:cs="宋体"/>
          <w:color w:val="000000"/>
        </w:rPr>
        <w:t>（2）供应商须知</w:t>
      </w:r>
    </w:p>
    <w:p w14:paraId="2E155F24">
      <w:pPr>
        <w:pStyle w:val="30"/>
        <w:spacing w:beforeAutospacing="0" w:afterAutospacing="0" w:line="500" w:lineRule="exact"/>
        <w:ind w:firstLine="360"/>
        <w:jc w:val="both"/>
        <w:rPr>
          <w:rFonts w:ascii="宋体" w:hAnsi="宋体" w:eastAsia="宋体" w:cs="宋体"/>
        </w:rPr>
      </w:pPr>
      <w:r>
        <w:rPr>
          <w:rFonts w:hint="eastAsia" w:ascii="宋体" w:hAnsi="宋体" w:eastAsia="宋体" w:cs="宋体"/>
          <w:color w:val="000000"/>
        </w:rPr>
        <w:t>（3）合同文本</w:t>
      </w:r>
    </w:p>
    <w:p w14:paraId="79DB4773">
      <w:pPr>
        <w:pStyle w:val="30"/>
        <w:spacing w:beforeAutospacing="0" w:afterAutospacing="0" w:line="500" w:lineRule="exact"/>
        <w:ind w:firstLine="360"/>
        <w:jc w:val="both"/>
        <w:rPr>
          <w:rFonts w:ascii="宋体" w:hAnsi="宋体" w:eastAsia="宋体" w:cs="宋体"/>
        </w:rPr>
      </w:pPr>
      <w:r>
        <w:rPr>
          <w:rFonts w:hint="eastAsia" w:ascii="宋体" w:hAnsi="宋体" w:eastAsia="宋体" w:cs="宋体"/>
          <w:color w:val="000000"/>
        </w:rPr>
        <w:t>（4）采购需求</w:t>
      </w:r>
    </w:p>
    <w:p w14:paraId="418F9E9C">
      <w:pPr>
        <w:pStyle w:val="30"/>
        <w:spacing w:beforeAutospacing="0" w:afterAutospacing="0" w:line="500" w:lineRule="exact"/>
        <w:ind w:firstLine="360"/>
        <w:jc w:val="both"/>
        <w:rPr>
          <w:rFonts w:ascii="宋体" w:hAnsi="宋体" w:eastAsia="宋体" w:cs="宋体"/>
        </w:rPr>
      </w:pPr>
      <w:r>
        <w:rPr>
          <w:rFonts w:hint="eastAsia" w:ascii="宋体" w:hAnsi="宋体" w:eastAsia="宋体" w:cs="宋体"/>
          <w:color w:val="000000"/>
        </w:rPr>
        <w:t>（5）评标方法与评标标准</w:t>
      </w:r>
    </w:p>
    <w:p w14:paraId="2D29986A">
      <w:pPr>
        <w:pStyle w:val="30"/>
        <w:spacing w:beforeAutospacing="0" w:afterAutospacing="0" w:line="500" w:lineRule="exact"/>
        <w:ind w:firstLine="360"/>
        <w:jc w:val="both"/>
        <w:rPr>
          <w:rFonts w:ascii="宋体" w:hAnsi="宋体" w:eastAsia="宋体" w:cs="宋体"/>
        </w:rPr>
      </w:pPr>
      <w:r>
        <w:rPr>
          <w:rFonts w:hint="eastAsia" w:ascii="宋体" w:hAnsi="宋体" w:eastAsia="宋体" w:cs="宋体"/>
          <w:color w:val="000000"/>
        </w:rPr>
        <w:t>（6）投标文件格式</w:t>
      </w:r>
    </w:p>
    <w:p w14:paraId="53217466">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请仔细检查招标文件是否齐全，如有缺漏请立即与采购代理机构联系解决。</w:t>
      </w:r>
    </w:p>
    <w:p w14:paraId="313E0263">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6.2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0D347993">
      <w:pPr>
        <w:pStyle w:val="30"/>
        <w:keepNext/>
        <w:keepLines/>
        <w:spacing w:beforeAutospacing="0" w:afterAutospacing="0" w:line="500" w:lineRule="exact"/>
        <w:ind w:firstLine="480"/>
        <w:jc w:val="both"/>
        <w:rPr>
          <w:rFonts w:ascii="宋体" w:hAnsi="宋体" w:eastAsia="宋体" w:cs="宋体"/>
        </w:rPr>
      </w:pPr>
      <w:bookmarkStart w:id="69" w:name="_Toc20823283"/>
      <w:bookmarkStart w:id="70" w:name="_Toc16938527"/>
      <w:bookmarkStart w:id="71" w:name="_Toc513029211"/>
      <w:bookmarkStart w:id="72" w:name="_Toc462564070"/>
      <w:r>
        <w:rPr>
          <w:rFonts w:hint="eastAsia" w:ascii="宋体" w:hAnsi="宋体" w:eastAsia="宋体" w:cs="宋体"/>
          <w:color w:val="000000"/>
        </w:rPr>
        <w:t>7、招标文件的澄清</w:t>
      </w:r>
      <w:bookmarkEnd w:id="69"/>
      <w:bookmarkEnd w:id="70"/>
      <w:bookmarkEnd w:id="71"/>
      <w:bookmarkEnd w:id="72"/>
    </w:p>
    <w:p w14:paraId="7778EBB0">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7.1任何要求对招标文件进行澄清的供应商，应在投标截止期</w:t>
      </w:r>
      <w:r>
        <w:rPr>
          <w:rFonts w:hint="eastAsia" w:ascii="宋体" w:hAnsi="宋体" w:eastAsia="宋体" w:cs="宋体"/>
          <w:b/>
          <w:color w:val="000000"/>
        </w:rPr>
        <w:t>十日</w:t>
      </w:r>
      <w:r>
        <w:rPr>
          <w:rFonts w:hint="eastAsia" w:ascii="宋体" w:hAnsi="宋体" w:eastAsia="宋体" w:cs="宋体"/>
          <w:color w:val="000000"/>
        </w:rPr>
        <w:t>前按招标公告中的通讯地址，以书面形式通知采购人或采购代理机构。</w:t>
      </w:r>
    </w:p>
    <w:p w14:paraId="17832080">
      <w:pPr>
        <w:pStyle w:val="30"/>
        <w:keepNext/>
        <w:keepLines/>
        <w:spacing w:beforeAutospacing="0" w:afterAutospacing="0" w:line="500" w:lineRule="exact"/>
        <w:ind w:firstLine="480"/>
        <w:jc w:val="both"/>
        <w:rPr>
          <w:rFonts w:ascii="宋体" w:hAnsi="宋体" w:eastAsia="宋体" w:cs="宋体"/>
        </w:rPr>
      </w:pPr>
      <w:bookmarkStart w:id="73" w:name="_Toc20823284"/>
      <w:bookmarkStart w:id="74" w:name="_Toc462564071"/>
      <w:bookmarkStart w:id="75" w:name="_Toc16938528"/>
      <w:bookmarkStart w:id="76" w:name="_Toc513029212"/>
      <w:r>
        <w:rPr>
          <w:rFonts w:hint="eastAsia" w:ascii="宋体" w:hAnsi="宋体" w:eastAsia="宋体" w:cs="宋体"/>
          <w:color w:val="000000"/>
        </w:rPr>
        <w:t>8、招标文件的修改</w:t>
      </w:r>
      <w:bookmarkEnd w:id="73"/>
      <w:bookmarkEnd w:id="74"/>
      <w:bookmarkEnd w:id="75"/>
      <w:bookmarkEnd w:id="76"/>
    </w:p>
    <w:p w14:paraId="7CE9F63B">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8.1在投标截止时间前，采购人可以对招标文件进行修改。</w:t>
      </w:r>
    </w:p>
    <w:p w14:paraId="4638E34D">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8.2采购人有权按照法定的要求推迟投标截止日期和开标日期。</w:t>
      </w:r>
    </w:p>
    <w:p w14:paraId="0F0D40FB">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8.3招标文件的修改将在中国政府采购网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江苏政府采购网、盐城市政府采购网公布，补充文件将作为招标文件的组成部分，并对供应商具有约束力。</w:t>
      </w:r>
    </w:p>
    <w:p w14:paraId="4ED51BB9">
      <w:pPr>
        <w:pStyle w:val="30"/>
        <w:keepNext/>
        <w:keepLines/>
        <w:spacing w:beforeAutospacing="0" w:afterAutospacing="0" w:line="500" w:lineRule="exact"/>
        <w:ind w:firstLine="482"/>
        <w:jc w:val="both"/>
        <w:rPr>
          <w:rFonts w:ascii="宋体" w:hAnsi="宋体" w:eastAsia="宋体" w:cs="宋体"/>
        </w:rPr>
      </w:pPr>
      <w:bookmarkStart w:id="77" w:name="_Toc513029213"/>
      <w:bookmarkStart w:id="78" w:name="_Toc16938529"/>
      <w:bookmarkStart w:id="79" w:name="_Toc120614216"/>
      <w:bookmarkStart w:id="80" w:name="_Toc462564072"/>
      <w:bookmarkStart w:id="81" w:name="_Toc20823285"/>
      <w:r>
        <w:rPr>
          <w:rFonts w:hint="eastAsia" w:ascii="宋体" w:hAnsi="宋体" w:eastAsia="宋体" w:cs="宋体"/>
          <w:b/>
          <w:color w:val="000000"/>
        </w:rPr>
        <w:t>三、投标文件的编制</w:t>
      </w:r>
      <w:bookmarkEnd w:id="77"/>
      <w:bookmarkEnd w:id="78"/>
      <w:bookmarkEnd w:id="79"/>
      <w:bookmarkEnd w:id="80"/>
      <w:bookmarkEnd w:id="81"/>
    </w:p>
    <w:p w14:paraId="3C288914">
      <w:pPr>
        <w:pStyle w:val="30"/>
        <w:keepNext/>
        <w:keepLines/>
        <w:spacing w:beforeAutospacing="0" w:afterAutospacing="0" w:line="500" w:lineRule="exact"/>
        <w:ind w:firstLine="480"/>
        <w:jc w:val="both"/>
        <w:rPr>
          <w:rFonts w:ascii="宋体" w:hAnsi="宋体" w:eastAsia="宋体" w:cs="宋体"/>
        </w:rPr>
      </w:pPr>
      <w:bookmarkStart w:id="82" w:name="_Toc513029214"/>
      <w:bookmarkStart w:id="83" w:name="_Toc462564073"/>
      <w:bookmarkStart w:id="84" w:name="_Toc16938530"/>
      <w:bookmarkStart w:id="85" w:name="_Toc20823286"/>
      <w:r>
        <w:rPr>
          <w:rFonts w:hint="eastAsia" w:ascii="宋体" w:hAnsi="宋体" w:eastAsia="宋体" w:cs="宋体"/>
          <w:color w:val="000000"/>
        </w:rPr>
        <w:t>9、投标文件的语言及度量衡单位</w:t>
      </w:r>
      <w:bookmarkEnd w:id="82"/>
      <w:bookmarkEnd w:id="83"/>
      <w:bookmarkEnd w:id="84"/>
      <w:bookmarkEnd w:id="85"/>
    </w:p>
    <w:p w14:paraId="7FF4C654">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9.1供应商提交的投标文件以及供应商与采购代理机构就有关投标的所有来往通知、函件和文件均应使用</w:t>
      </w:r>
      <w:r>
        <w:rPr>
          <w:rFonts w:hint="eastAsia" w:ascii="宋体" w:hAnsi="宋体" w:eastAsia="宋体" w:cs="宋体"/>
          <w:b/>
          <w:color w:val="000000"/>
        </w:rPr>
        <w:t>简体中文</w:t>
      </w:r>
      <w:r>
        <w:rPr>
          <w:rFonts w:hint="eastAsia" w:ascii="宋体" w:hAnsi="宋体" w:eastAsia="宋体" w:cs="宋体"/>
          <w:color w:val="000000"/>
        </w:rPr>
        <w:t>。</w:t>
      </w:r>
    </w:p>
    <w:p w14:paraId="756A30F3">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9.2除技术性能另有规定外，投标文件所使用的度量衡单位，均须采用国家法定计量单位。</w:t>
      </w:r>
    </w:p>
    <w:p w14:paraId="264F6A7F">
      <w:pPr>
        <w:pStyle w:val="30"/>
        <w:keepNext/>
        <w:keepLines/>
        <w:spacing w:beforeAutospacing="0" w:afterAutospacing="0" w:line="500" w:lineRule="exact"/>
        <w:ind w:firstLine="480"/>
        <w:jc w:val="both"/>
        <w:rPr>
          <w:rFonts w:ascii="宋体" w:hAnsi="宋体" w:eastAsia="宋体" w:cs="宋体"/>
        </w:rPr>
      </w:pPr>
      <w:bookmarkStart w:id="86" w:name="_Toc513029215"/>
      <w:bookmarkStart w:id="87" w:name="_Toc462564074"/>
      <w:bookmarkStart w:id="88" w:name="_Toc16938531"/>
      <w:bookmarkStart w:id="89" w:name="_Toc20823287"/>
      <w:r>
        <w:rPr>
          <w:rFonts w:hint="eastAsia" w:ascii="宋体" w:hAnsi="宋体" w:eastAsia="宋体" w:cs="宋体"/>
          <w:color w:val="000000"/>
        </w:rPr>
        <w:t>10、投标文件构成</w:t>
      </w:r>
      <w:bookmarkEnd w:id="86"/>
      <w:bookmarkEnd w:id="87"/>
      <w:bookmarkEnd w:id="88"/>
      <w:bookmarkEnd w:id="89"/>
    </w:p>
    <w:p w14:paraId="444F5A9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10.1供应商编写的投标文件应包括资格证明文件、符合性证明文件、投标分项报价表、技术要求响应及偏离表、商务要求响应及偏离表、其他证明文件、投标函、开标一览表等部分。</w:t>
      </w:r>
    </w:p>
    <w:p w14:paraId="40818172">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10.2如标书制作工具中格式和内容与</w:t>
      </w:r>
      <w:r>
        <w:rPr>
          <w:rFonts w:hint="eastAsia" w:ascii="宋体" w:hAnsi="宋体" w:eastAsia="宋体" w:cs="宋体"/>
          <w:color w:val="333333"/>
          <w:shd w:val="clear" w:color="auto" w:fill="FFFFFF"/>
        </w:rPr>
        <w:t>“</w:t>
      </w:r>
      <w:r>
        <w:rPr>
          <w:rFonts w:hint="eastAsia" w:ascii="宋体" w:hAnsi="宋体" w:eastAsia="宋体" w:cs="宋体"/>
          <w:color w:val="000000"/>
        </w:rPr>
        <w:t>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“江苏政府采购网”、“盐城市政府采购网”发布的招标文件不一致，请以</w:t>
      </w:r>
      <w:r>
        <w:rPr>
          <w:rFonts w:hint="eastAsia" w:ascii="宋体" w:hAnsi="宋体" w:eastAsia="宋体" w:cs="宋体"/>
          <w:color w:val="333333"/>
          <w:shd w:val="clear" w:color="auto" w:fill="FFFFFF"/>
        </w:rPr>
        <w:t>“</w:t>
      </w:r>
      <w:r>
        <w:rPr>
          <w:rFonts w:hint="eastAsia" w:ascii="宋体" w:hAnsi="宋体" w:eastAsia="宋体" w:cs="宋体"/>
          <w:color w:val="000000"/>
        </w:rPr>
        <w:t>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“江苏政府采购网”、“盐城市政府采购网”发布的招标文件为准。</w:t>
      </w:r>
    </w:p>
    <w:p w14:paraId="40C8A763">
      <w:pPr>
        <w:pStyle w:val="30"/>
        <w:keepNext/>
        <w:keepLines/>
        <w:spacing w:beforeAutospacing="0" w:afterAutospacing="0" w:line="500" w:lineRule="exact"/>
        <w:ind w:firstLine="480"/>
        <w:jc w:val="both"/>
        <w:rPr>
          <w:rFonts w:ascii="宋体" w:hAnsi="宋体" w:eastAsia="宋体" w:cs="宋体"/>
        </w:rPr>
      </w:pPr>
      <w:bookmarkStart w:id="90" w:name="_Toc49090507"/>
      <w:bookmarkStart w:id="91" w:name="_Toc49090509"/>
      <w:bookmarkStart w:id="92" w:name="_Toc14577354"/>
      <w:bookmarkStart w:id="93" w:name="_Toc513029216"/>
      <w:bookmarkStart w:id="94" w:name="_Toc14577357"/>
      <w:bookmarkStart w:id="95" w:name="_Toc513029219"/>
      <w:bookmarkStart w:id="96" w:name="_Hlt26670360"/>
      <w:bookmarkStart w:id="97" w:name="_Hlt26668975"/>
      <w:bookmarkStart w:id="98" w:name="_Hlt26954838"/>
      <w:r>
        <w:rPr>
          <w:rFonts w:hint="eastAsia" w:ascii="宋体" w:hAnsi="宋体" w:eastAsia="宋体" w:cs="宋体"/>
          <w:color w:val="000000"/>
        </w:rPr>
        <w:t>11、证明供应商及投标标的符合招标文件规定的文件</w:t>
      </w:r>
      <w:bookmarkEnd w:id="90"/>
      <w:bookmarkEnd w:id="91"/>
      <w:bookmarkEnd w:id="92"/>
      <w:bookmarkEnd w:id="93"/>
      <w:bookmarkEnd w:id="94"/>
      <w:bookmarkEnd w:id="95"/>
    </w:p>
    <w:p w14:paraId="2D00394A">
      <w:pPr>
        <w:pStyle w:val="30"/>
        <w:spacing w:beforeAutospacing="0" w:afterAutospacing="0" w:line="500" w:lineRule="exact"/>
        <w:jc w:val="both"/>
        <w:rPr>
          <w:rFonts w:ascii="宋体" w:hAnsi="宋体" w:eastAsia="宋体" w:cs="宋体"/>
        </w:rPr>
      </w:pPr>
      <w:bookmarkStart w:id="99" w:name="_Toc14577355"/>
      <w:bookmarkStart w:id="100" w:name="_Toc49090508"/>
      <w:r>
        <w:rPr>
          <w:rFonts w:hint="eastAsia" w:ascii="宋体" w:hAnsi="宋体" w:eastAsia="宋体" w:cs="宋体"/>
          <w:color w:val="000000"/>
        </w:rPr>
        <w:t> 11.1供应商应按照法律、法规、规章和规范性文件以及招标文件要求提交证明文件，证明其及投标标的符合招标文件规定。</w:t>
      </w:r>
      <w:bookmarkEnd w:id="99"/>
      <w:bookmarkEnd w:id="100"/>
    </w:p>
    <w:p w14:paraId="1C6A7FA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11.2招标文件对证明文件无明确形式要求的，证明文件可以以文字资料、图纸和数据等形式提交。</w:t>
      </w:r>
    </w:p>
    <w:p w14:paraId="3FE4E2E4">
      <w:pPr>
        <w:pStyle w:val="30"/>
        <w:keepNext/>
        <w:keepLines/>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12、投标分项报价</w:t>
      </w:r>
      <w:bookmarkStart w:id="101" w:name="_Hlt26670373"/>
      <w:r>
        <w:rPr>
          <w:rFonts w:hint="eastAsia" w:ascii="宋体" w:hAnsi="宋体" w:eastAsia="宋体" w:cs="宋体"/>
          <w:color w:val="000000"/>
        </w:rPr>
        <w:t>表</w:t>
      </w:r>
    </w:p>
    <w:p w14:paraId="24B3A51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12.1</w:t>
      </w:r>
      <w:bookmarkStart w:id="102" w:name="_Hlt26954840"/>
      <w:r>
        <w:rPr>
          <w:rFonts w:hint="eastAsia" w:ascii="宋体" w:hAnsi="宋体" w:eastAsia="宋体" w:cs="宋体"/>
          <w:color w:val="000000"/>
        </w:rPr>
        <w:t>供应商应按照招标文件规定格式填报投标分项报价表</w:t>
      </w:r>
      <w:bookmarkStart w:id="103" w:name="_Hlt26670399"/>
      <w:r>
        <w:rPr>
          <w:rFonts w:hint="eastAsia" w:ascii="宋体" w:hAnsi="宋体" w:eastAsia="宋体" w:cs="宋体"/>
          <w:color w:val="000000"/>
        </w:rPr>
        <w:t>。</w:t>
      </w:r>
    </w:p>
    <w:p w14:paraId="3E989FF0">
      <w:pPr>
        <w:pStyle w:val="30"/>
        <w:spacing w:beforeAutospacing="0" w:afterAutospacing="0" w:line="500" w:lineRule="exact"/>
        <w:ind w:firstLine="480"/>
        <w:jc w:val="both"/>
        <w:rPr>
          <w:rFonts w:ascii="宋体" w:hAnsi="宋体" w:eastAsia="宋体" w:cs="宋体"/>
          <w:i/>
          <w:iCs/>
          <w:color w:val="000000"/>
        </w:rPr>
      </w:pPr>
      <w:r>
        <w:rPr>
          <w:rFonts w:hint="eastAsia" w:ascii="宋体" w:hAnsi="宋体" w:eastAsia="宋体" w:cs="宋体"/>
          <w:color w:val="000000"/>
        </w:rPr>
        <w:t>12.2投标货币。投标文件中的单价和总价无特殊规定的采用人民币报价，以元为单位标注。招标文件中另有规定的按规定执行。</w:t>
      </w:r>
    </w:p>
    <w:p w14:paraId="06E182E9">
      <w:pPr>
        <w:pStyle w:val="30"/>
        <w:keepNext/>
        <w:keepLines/>
        <w:spacing w:beforeAutospacing="0" w:afterAutospacing="0" w:line="500" w:lineRule="exact"/>
        <w:ind w:firstLine="480"/>
        <w:jc w:val="both"/>
        <w:rPr>
          <w:rFonts w:ascii="宋体" w:hAnsi="宋体" w:eastAsia="宋体" w:cs="宋体"/>
        </w:rPr>
      </w:pPr>
      <w:bookmarkStart w:id="104" w:name="_Hlt26670403"/>
      <w:bookmarkStart w:id="105" w:name="_Hlt26670482"/>
      <w:bookmarkStart w:id="106" w:name="_Hlt26954846"/>
      <w:bookmarkStart w:id="107" w:name="_Hlt26668983"/>
      <w:bookmarkStart w:id="108" w:name="_Hlt26954842"/>
      <w:bookmarkStart w:id="109" w:name="_Hlt26670486"/>
      <w:bookmarkStart w:id="110" w:name="_Hlt26670425"/>
      <w:bookmarkStart w:id="111" w:name="_Hlt26954731"/>
      <w:bookmarkStart w:id="112" w:name="_Hlt26954844"/>
      <w:bookmarkStart w:id="113" w:name="_Hlt26954848"/>
      <w:r>
        <w:rPr>
          <w:rFonts w:hint="eastAsia" w:ascii="宋体" w:hAnsi="宋体" w:eastAsia="宋体" w:cs="宋体"/>
          <w:color w:val="000000"/>
        </w:rPr>
        <w:t>13、技术要求响应对照表、商务要求响应及偏离表</w:t>
      </w:r>
    </w:p>
    <w:p w14:paraId="11370BA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13.1供应商需对招标文件中的技术要求与商务要求逐项作出响应或偏离，并说明原因。</w:t>
      </w:r>
    </w:p>
    <w:p w14:paraId="7E0E8C51">
      <w:pPr>
        <w:pStyle w:val="30"/>
        <w:tabs>
          <w:tab w:val="left" w:pos="1036"/>
        </w:tabs>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13.2供应商可在投标文件中提供认为需要的其他技术文件或说明。</w:t>
      </w:r>
    </w:p>
    <w:p w14:paraId="278C6FD0">
      <w:pPr>
        <w:pStyle w:val="30"/>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14、服务承诺、培训计划、人员安排及其他</w:t>
      </w:r>
    </w:p>
    <w:p w14:paraId="3A67D8D6">
      <w:pPr>
        <w:pStyle w:val="30"/>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14.1 供应商需根据招标文件要求提供有关售后服务的管理制度，售后服务机构的分布情况，售后服务人员的数量、素质、技术水平及售后服务的反应能力等。</w:t>
      </w:r>
    </w:p>
    <w:p w14:paraId="051A31A5">
      <w:pPr>
        <w:pStyle w:val="30"/>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14.2 供应商需根据招标文件要求提供培训计划。</w:t>
      </w:r>
    </w:p>
    <w:p w14:paraId="5746C0BC">
      <w:pPr>
        <w:pStyle w:val="30"/>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14.3  供应商需根据招标文件要求提供所投标的的主要组成部分、功能设计、实现思路及关键技术等。</w:t>
      </w:r>
    </w:p>
    <w:p w14:paraId="6D9E72F2">
      <w:pPr>
        <w:pStyle w:val="30"/>
        <w:keepNext/>
        <w:keepLines/>
        <w:spacing w:beforeAutospacing="0" w:afterAutospacing="0" w:line="500" w:lineRule="exact"/>
        <w:ind w:firstLine="420"/>
        <w:jc w:val="both"/>
        <w:rPr>
          <w:rFonts w:ascii="宋体" w:hAnsi="宋体" w:eastAsia="宋体" w:cs="宋体"/>
        </w:rPr>
      </w:pPr>
      <w:bookmarkStart w:id="114" w:name="_Toc14577359"/>
      <w:bookmarkStart w:id="115" w:name="_Toc49090510"/>
      <w:r>
        <w:rPr>
          <w:rFonts w:hint="eastAsia" w:ascii="宋体" w:hAnsi="宋体" w:eastAsia="宋体" w:cs="宋体"/>
          <w:color w:val="000000"/>
        </w:rPr>
        <w:t>15、投标函和开标一览表</w:t>
      </w:r>
      <w:bookmarkEnd w:id="114"/>
      <w:bookmarkEnd w:id="115"/>
    </w:p>
    <w:p w14:paraId="29585102">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15.1供应商应按照招标文件中提供的格式完整、正确填写投标函、开标一览表。</w:t>
      </w:r>
    </w:p>
    <w:p w14:paraId="28107A92">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15.2对于采用货币报价的项目，开标一览表中的投标总报价应与投标分项报价表中的投标总报价一致，如不一致，不作为无效投标处理，但评标时按开标一览表中价格为准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w:t>
      </w:r>
    </w:p>
    <w:p w14:paraId="6515B68C">
      <w:pPr>
        <w:pStyle w:val="30"/>
        <w:keepNext/>
        <w:keepLines/>
        <w:spacing w:beforeAutospacing="0" w:afterAutospacing="0" w:line="500" w:lineRule="exact"/>
        <w:ind w:firstLine="480"/>
        <w:jc w:val="both"/>
        <w:rPr>
          <w:rFonts w:ascii="宋体" w:hAnsi="宋体" w:eastAsia="宋体" w:cs="宋体"/>
        </w:rPr>
      </w:pPr>
      <w:bookmarkStart w:id="116" w:name="_Toc49090511"/>
      <w:bookmarkStart w:id="117" w:name="_Toc14577360"/>
      <w:bookmarkStart w:id="118" w:name="_Hlt26954734"/>
      <w:bookmarkStart w:id="119" w:name="_Hlt26670489"/>
      <w:bookmarkStart w:id="120" w:name="_Hlt26954850"/>
      <w:r>
        <w:rPr>
          <w:rFonts w:hint="eastAsia" w:ascii="宋体" w:hAnsi="宋体" w:eastAsia="宋体" w:cs="宋体"/>
          <w:color w:val="000000"/>
        </w:rPr>
        <w:t>16、投标有效期</w:t>
      </w:r>
      <w:bookmarkEnd w:id="116"/>
      <w:bookmarkEnd w:id="117"/>
    </w:p>
    <w:p w14:paraId="2983FF3D">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16.1投标有效期为采购代理机构规定的开标之日后</w:t>
      </w:r>
      <w:r>
        <w:rPr>
          <w:rFonts w:hint="eastAsia" w:ascii="宋体" w:hAnsi="宋体" w:eastAsia="宋体" w:cs="宋体"/>
          <w:b/>
          <w:color w:val="000000"/>
          <w:u w:val="single"/>
        </w:rPr>
        <w:t>六十（60）天</w:t>
      </w:r>
      <w:r>
        <w:rPr>
          <w:rFonts w:hint="eastAsia" w:ascii="宋体" w:hAnsi="宋体" w:eastAsia="宋体" w:cs="宋体"/>
          <w:color w:val="000000"/>
        </w:rPr>
        <w:t>。投标有效期比规定短的将被视为未实质性响应招标文件而予以拒绝。</w:t>
      </w:r>
    </w:p>
    <w:p w14:paraId="3D46CE96">
      <w:pPr>
        <w:pStyle w:val="30"/>
        <w:keepNext/>
        <w:keepLines/>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17、投标有效期的延长</w:t>
      </w:r>
    </w:p>
    <w:p w14:paraId="4EE3ED3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17.1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同时受投标有效期约束的所有权利与义务均延长至新的有效期。</w:t>
      </w:r>
    </w:p>
    <w:p w14:paraId="5679883F">
      <w:pPr>
        <w:pStyle w:val="30"/>
        <w:keepNext/>
        <w:keepLines/>
        <w:spacing w:beforeAutospacing="0" w:afterAutospacing="0" w:line="500" w:lineRule="exact"/>
        <w:ind w:firstLine="482"/>
        <w:jc w:val="both"/>
        <w:rPr>
          <w:rFonts w:ascii="宋体" w:hAnsi="宋体" w:eastAsia="宋体" w:cs="宋体"/>
        </w:rPr>
      </w:pPr>
      <w:bookmarkStart w:id="121" w:name="_Toc16938540"/>
      <w:bookmarkStart w:id="122" w:name="_Toc513029224"/>
      <w:bookmarkStart w:id="123" w:name="_Toc20823296"/>
      <w:bookmarkStart w:id="124" w:name="_Toc120614217"/>
      <w:bookmarkStart w:id="125" w:name="_Hlt26954852"/>
      <w:bookmarkStart w:id="126" w:name="_Hlt26954739"/>
      <w:r>
        <w:rPr>
          <w:rFonts w:hint="eastAsia" w:ascii="宋体" w:hAnsi="宋体" w:eastAsia="宋体" w:cs="宋体"/>
          <w:b/>
          <w:color w:val="000000"/>
        </w:rPr>
        <w:t>四、投标文件的递交</w:t>
      </w:r>
      <w:bookmarkEnd w:id="121"/>
      <w:bookmarkEnd w:id="122"/>
      <w:bookmarkEnd w:id="123"/>
      <w:bookmarkEnd w:id="124"/>
    </w:p>
    <w:p w14:paraId="3FCE8399">
      <w:pPr>
        <w:pStyle w:val="30"/>
        <w:keepNext/>
        <w:keepLines/>
        <w:tabs>
          <w:tab w:val="left" w:pos="467"/>
        </w:tabs>
        <w:spacing w:beforeAutospacing="0" w:afterAutospacing="0" w:line="500" w:lineRule="exact"/>
        <w:ind w:firstLine="480"/>
        <w:jc w:val="both"/>
        <w:rPr>
          <w:rFonts w:ascii="宋体" w:hAnsi="宋体" w:eastAsia="宋体" w:cs="宋体"/>
        </w:rPr>
      </w:pPr>
      <w:bookmarkStart w:id="127" w:name="_Toc462564084"/>
      <w:bookmarkStart w:id="128" w:name="_Toc513029225"/>
      <w:bookmarkStart w:id="129" w:name="_Toc20823297"/>
      <w:bookmarkStart w:id="130" w:name="_Toc16938541"/>
      <w:r>
        <w:rPr>
          <w:rFonts w:hint="eastAsia" w:ascii="宋体" w:hAnsi="宋体" w:eastAsia="宋体" w:cs="宋体"/>
          <w:color w:val="000000"/>
        </w:rPr>
        <w:t>18、投标文件</w:t>
      </w:r>
      <w:bookmarkEnd w:id="127"/>
      <w:bookmarkEnd w:id="128"/>
      <w:bookmarkEnd w:id="129"/>
      <w:bookmarkEnd w:id="130"/>
      <w:r>
        <w:rPr>
          <w:rFonts w:hint="eastAsia" w:ascii="宋体" w:hAnsi="宋体" w:eastAsia="宋体" w:cs="宋体"/>
          <w:color w:val="000000"/>
        </w:rPr>
        <w:t>的递交</w:t>
      </w:r>
    </w:p>
    <w:p w14:paraId="75B4134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18.1 电子投标文件的递交</w:t>
      </w:r>
    </w:p>
    <w:p w14:paraId="7D4FC961">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供应商应当按照《操作手册》规定，在投标截止时间前制作并上传电子投标文件。</w:t>
      </w:r>
      <w:bookmarkStart w:id="131" w:name="_Toc16938542"/>
      <w:bookmarkEnd w:id="131"/>
      <w:bookmarkStart w:id="132" w:name="_Toc20823298"/>
      <w:bookmarkEnd w:id="132"/>
      <w:bookmarkStart w:id="133" w:name="_Toc513029226"/>
    </w:p>
    <w:p w14:paraId="54ACA9E6">
      <w:pPr>
        <w:pStyle w:val="30"/>
        <w:keepNext/>
        <w:keepLines/>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19、投标截止时间</w:t>
      </w:r>
    </w:p>
    <w:p w14:paraId="1011538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i/>
          <w:color w:val="000000"/>
          <w:u w:val="single"/>
        </w:rPr>
        <w:t>19.1供应商上传电子投标文件的时间不得迟于招标公告中规定的投标截止时间。</w:t>
      </w:r>
    </w:p>
    <w:p w14:paraId="4F17983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供应商应充分考虑到网络环境、网络带宽等风险因素，如因供应商自身原因造成的电子投标文件上传不成功的按照本招标文件第二章第26.1.2条规定做无效投标处理。</w:t>
      </w:r>
    </w:p>
    <w:p w14:paraId="1CDE3348">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19.2采购人可以按照规定，通过修改招标文件酌情延长投标截止时间，在此情况下，供应商的所有权利和义务以及供应商受制的截止时间均应以延长后新的截止时间为准。</w:t>
      </w:r>
    </w:p>
    <w:p w14:paraId="7B98B0A2">
      <w:pPr>
        <w:pStyle w:val="30"/>
        <w:keepNext/>
        <w:keepLines/>
        <w:spacing w:beforeAutospacing="0" w:afterAutospacing="0" w:line="500" w:lineRule="exact"/>
        <w:ind w:firstLine="480"/>
        <w:jc w:val="both"/>
        <w:rPr>
          <w:rFonts w:ascii="宋体" w:hAnsi="宋体" w:eastAsia="宋体" w:cs="宋体"/>
        </w:rPr>
      </w:pPr>
      <w:bookmarkStart w:id="134" w:name="_Toc513029227"/>
      <w:bookmarkStart w:id="135" w:name="_Toc16938543"/>
      <w:bookmarkStart w:id="136" w:name="_Toc20823299"/>
      <w:r>
        <w:rPr>
          <w:rFonts w:hint="eastAsia" w:ascii="宋体" w:hAnsi="宋体" w:eastAsia="宋体" w:cs="宋体"/>
          <w:color w:val="000000"/>
        </w:rPr>
        <w:t>20、投标文件</w:t>
      </w:r>
      <w:bookmarkEnd w:id="134"/>
      <w:bookmarkEnd w:id="135"/>
      <w:bookmarkEnd w:id="136"/>
      <w:r>
        <w:rPr>
          <w:rFonts w:hint="eastAsia" w:ascii="宋体" w:hAnsi="宋体" w:eastAsia="宋体" w:cs="宋体"/>
          <w:color w:val="000000"/>
        </w:rPr>
        <w:t>的拒收</w:t>
      </w:r>
    </w:p>
    <w:p w14:paraId="7E7FB086">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20.1采购代理机构拒绝接收在其规定的投标截止时间后上传的任何投标文件。</w:t>
      </w:r>
    </w:p>
    <w:p w14:paraId="6FF610F7">
      <w:pPr>
        <w:pStyle w:val="30"/>
        <w:keepNext/>
        <w:keepLines/>
        <w:spacing w:beforeAutospacing="0" w:afterAutospacing="0" w:line="500" w:lineRule="exact"/>
        <w:ind w:firstLine="480"/>
        <w:jc w:val="both"/>
        <w:rPr>
          <w:rFonts w:ascii="宋体" w:hAnsi="宋体" w:eastAsia="宋体" w:cs="宋体"/>
        </w:rPr>
      </w:pPr>
      <w:bookmarkStart w:id="137" w:name="_Toc16938544"/>
      <w:bookmarkStart w:id="138" w:name="_Toc20823300"/>
      <w:bookmarkStart w:id="139" w:name="_Toc513029228"/>
      <w:r>
        <w:rPr>
          <w:rFonts w:hint="eastAsia" w:ascii="宋体" w:hAnsi="宋体" w:eastAsia="宋体" w:cs="宋体"/>
          <w:color w:val="000000"/>
        </w:rPr>
        <w:t>21、投标文件的撤回和修改</w:t>
      </w:r>
      <w:bookmarkEnd w:id="137"/>
      <w:bookmarkEnd w:id="138"/>
      <w:bookmarkEnd w:id="139"/>
    </w:p>
    <w:p w14:paraId="538EE764">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21.1投标文件的撤回</w:t>
      </w:r>
    </w:p>
    <w:p w14:paraId="2086B1E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21.1.1电子投标文件的撤回</w:t>
      </w:r>
    </w:p>
    <w:p w14:paraId="2D967181">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供应商可在投标截止时间前，撤回其电子投标文件，具体操作方法见《操作手册》。</w:t>
      </w:r>
    </w:p>
    <w:p w14:paraId="382DE08F">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21.1.2供应商撤回电子投标文件，则认为其不再参与本项目投标活动。</w:t>
      </w:r>
    </w:p>
    <w:p w14:paraId="08658A9B">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21.2 投标文件的修改</w:t>
      </w:r>
    </w:p>
    <w:p w14:paraId="3DC50EC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21.2.1供应商可在投标截止时间前，对其电子投标文件进行修改，具体操作方法见《操作手册》。</w:t>
      </w:r>
    </w:p>
    <w:p w14:paraId="1E6E1D36">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21.2.2在投标截止时间之后，供应商不得对其电子投标文件作任何修改。</w:t>
      </w:r>
    </w:p>
    <w:p w14:paraId="02B84C17">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21.3在投标截止时间至招标文件中规定的投标有效期满之间的这段时间内，供应商不得撤回其投标。</w:t>
      </w:r>
    </w:p>
    <w:p w14:paraId="69055CCB">
      <w:pPr>
        <w:pStyle w:val="30"/>
        <w:keepNext/>
        <w:keepLines/>
        <w:spacing w:beforeAutospacing="0" w:afterAutospacing="0" w:line="500" w:lineRule="exact"/>
        <w:ind w:firstLine="482"/>
        <w:jc w:val="both"/>
        <w:rPr>
          <w:rFonts w:ascii="宋体" w:hAnsi="宋体" w:eastAsia="宋体" w:cs="宋体"/>
        </w:rPr>
      </w:pPr>
      <w:bookmarkStart w:id="140" w:name="_Toc16938545"/>
      <w:bookmarkStart w:id="141" w:name="_Toc120614218"/>
      <w:bookmarkStart w:id="142" w:name="_Toc513029229"/>
      <w:bookmarkStart w:id="143" w:name="_Toc20823301"/>
      <w:r>
        <w:rPr>
          <w:rFonts w:hint="eastAsia" w:ascii="宋体" w:hAnsi="宋体" w:eastAsia="宋体" w:cs="宋体"/>
          <w:b/>
          <w:color w:val="000000"/>
        </w:rPr>
        <w:t>五、开标与评标</w:t>
      </w:r>
      <w:bookmarkEnd w:id="140"/>
      <w:bookmarkEnd w:id="141"/>
      <w:bookmarkEnd w:id="142"/>
      <w:bookmarkEnd w:id="143"/>
    </w:p>
    <w:p w14:paraId="6F2FC09C">
      <w:pPr>
        <w:pStyle w:val="30"/>
        <w:keepNext/>
        <w:keepLines/>
        <w:spacing w:beforeAutospacing="0" w:afterAutospacing="0" w:line="500" w:lineRule="exact"/>
        <w:ind w:firstLine="480"/>
        <w:jc w:val="both"/>
        <w:rPr>
          <w:rFonts w:ascii="宋体" w:hAnsi="宋体" w:eastAsia="宋体" w:cs="宋体"/>
        </w:rPr>
      </w:pPr>
      <w:bookmarkStart w:id="144" w:name="_Toc20823302"/>
      <w:bookmarkStart w:id="145" w:name="_Toc16938546"/>
      <w:bookmarkStart w:id="146" w:name="_Toc513029230"/>
      <w:r>
        <w:rPr>
          <w:rFonts w:hint="eastAsia" w:ascii="宋体" w:hAnsi="宋体" w:eastAsia="宋体" w:cs="宋体"/>
          <w:color w:val="000000"/>
        </w:rPr>
        <w:t>22、开标</w:t>
      </w:r>
      <w:bookmarkEnd w:id="144"/>
      <w:bookmarkEnd w:id="145"/>
      <w:bookmarkEnd w:id="146"/>
    </w:p>
    <w:p w14:paraId="23D60575">
      <w:pPr>
        <w:pStyle w:val="30"/>
        <w:spacing w:beforeAutospacing="0" w:afterAutospacing="0" w:line="500" w:lineRule="exact"/>
        <w:ind w:firstLine="360"/>
        <w:jc w:val="both"/>
        <w:rPr>
          <w:rFonts w:ascii="宋体" w:hAnsi="宋体" w:eastAsia="宋体" w:cs="宋体"/>
        </w:rPr>
      </w:pPr>
      <w:r>
        <w:rPr>
          <w:rFonts w:hint="eastAsia" w:ascii="宋体" w:hAnsi="宋体" w:eastAsia="宋体" w:cs="宋体"/>
          <w:color w:val="000000"/>
        </w:rPr>
        <w:t>22.1采购人将在招标公告中规定的时间和地点组织公开开标。供应商应当按照《操作手册》规定，参加开标活动和在</w:t>
      </w:r>
      <w:r>
        <w:rPr>
          <w:rFonts w:hint="eastAsia" w:ascii="宋体" w:hAnsi="宋体" w:eastAsia="宋体" w:cs="宋体"/>
          <w:color w:val="FF0000"/>
        </w:rPr>
        <w:t>苏采云系统</w:t>
      </w:r>
      <w:r>
        <w:rPr>
          <w:rFonts w:hint="eastAsia" w:ascii="宋体" w:hAnsi="宋体" w:eastAsia="宋体" w:cs="宋体"/>
          <w:color w:val="000000"/>
        </w:rPr>
        <w:t>规定的时间内对投标文件进行解密。</w:t>
      </w:r>
    </w:p>
    <w:p w14:paraId="65EDEC0F">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22.2开标仪式由采购代理机构组织。</w:t>
      </w:r>
      <w:r>
        <w:rPr>
          <w:rFonts w:hint="eastAsia" w:ascii="宋体" w:hAnsi="宋体" w:eastAsia="宋体" w:cs="宋体"/>
          <w:color w:val="FF0000"/>
        </w:rPr>
        <w:t>苏采云系统</w:t>
      </w:r>
      <w:r>
        <w:rPr>
          <w:rFonts w:hint="eastAsia" w:ascii="宋体" w:hAnsi="宋体" w:eastAsia="宋体" w:cs="宋体"/>
          <w:color w:val="000000"/>
        </w:rPr>
        <w:t>将自动对项目进行开标，并宣布各供应商名称和投标价格。</w:t>
      </w:r>
    </w:p>
    <w:p w14:paraId="4CDB33D1">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22.3供应商在开标过程中涉及到的投标文件解密、开标结果确认等工作，应按照《操作手册》规定执行。</w:t>
      </w:r>
    </w:p>
    <w:p w14:paraId="47BF6891">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22.4供应商如果对开标过程和开标记录有疑义，应当根据《操作手册》规定提出，如</w:t>
      </w:r>
      <w:r>
        <w:rPr>
          <w:rFonts w:hint="eastAsia" w:ascii="宋体" w:hAnsi="宋体" w:eastAsia="宋体" w:cs="宋体"/>
          <w:color w:val="FF0000"/>
        </w:rPr>
        <w:t>苏采云系统</w:t>
      </w:r>
      <w:r>
        <w:rPr>
          <w:rFonts w:hint="eastAsia" w:ascii="宋体" w:hAnsi="宋体" w:eastAsia="宋体" w:cs="宋体"/>
          <w:color w:val="000000"/>
        </w:rPr>
        <w:t>中《开标记录表》宣布后5分钟内未提出的，视同认可开标结果。</w:t>
      </w:r>
    </w:p>
    <w:p w14:paraId="0B8C257B">
      <w:pPr>
        <w:pStyle w:val="30"/>
        <w:keepNext/>
        <w:keepLines/>
        <w:spacing w:beforeAutospacing="0" w:afterAutospacing="0" w:line="500" w:lineRule="exact"/>
        <w:ind w:firstLine="420"/>
        <w:jc w:val="both"/>
        <w:rPr>
          <w:rFonts w:ascii="宋体" w:hAnsi="宋体" w:eastAsia="宋体" w:cs="宋体"/>
        </w:rPr>
      </w:pPr>
      <w:bookmarkStart w:id="147" w:name="_Toc513029231"/>
      <w:bookmarkStart w:id="148" w:name="_Toc20823303"/>
      <w:bookmarkStart w:id="149" w:name="_Toc16938547"/>
      <w:r>
        <w:rPr>
          <w:rFonts w:hint="eastAsia" w:ascii="宋体" w:hAnsi="宋体" w:eastAsia="宋体" w:cs="宋体"/>
          <w:color w:val="000000"/>
        </w:rPr>
        <w:t>23、评标委员会</w:t>
      </w:r>
      <w:bookmarkEnd w:id="147"/>
      <w:bookmarkEnd w:id="148"/>
      <w:bookmarkEnd w:id="149"/>
    </w:p>
    <w:p w14:paraId="7C08D7A5">
      <w:pPr>
        <w:pStyle w:val="30"/>
        <w:spacing w:beforeAutospacing="0" w:afterAutospacing="0" w:line="500" w:lineRule="exact"/>
        <w:jc w:val="both"/>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23.1开标后，采购人将立即组织评标委员会（以下简称评委会）进行评标。</w:t>
      </w:r>
    </w:p>
    <w:p w14:paraId="520739D4">
      <w:pPr>
        <w:pStyle w:val="30"/>
        <w:spacing w:beforeAutospacing="0" w:afterAutospacing="0" w:line="500" w:lineRule="exact"/>
        <w:jc w:val="both"/>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23.2评委会由有关技术、经济等方面的专家组成，且人员构成符合政府采购有关规定。</w:t>
      </w:r>
    </w:p>
    <w:p w14:paraId="3E8570E6">
      <w:pPr>
        <w:pStyle w:val="30"/>
        <w:spacing w:beforeAutospacing="0" w:afterAutospacing="0" w:line="500" w:lineRule="exact"/>
        <w:jc w:val="both"/>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23.3评委会独立工作，负责评审所有投标文件并确定中标侯选人。</w:t>
      </w:r>
    </w:p>
    <w:p w14:paraId="63A42CB5">
      <w:pPr>
        <w:pStyle w:val="30"/>
        <w:keepNext/>
        <w:keepLines/>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24、评标过程的保密与公正</w:t>
      </w:r>
    </w:p>
    <w:p w14:paraId="724FA7AA">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24.1凡是与审查、澄清、评价和比较投标的有关资料以及授标建议等，采购人、评委、采购代理机构均不得向供应商或与评标无关的其他人员透露。</w:t>
      </w:r>
    </w:p>
    <w:p w14:paraId="5B0D4D48">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24.2在评标过程中，供应商不得以任何行为影响评标过程，否则其投标文件将被作为无效投标文件。</w:t>
      </w:r>
    </w:p>
    <w:p w14:paraId="28339AB3">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24.3采购代理机构和评标委员会不向未中标的供应商解释未中标原因，也不公布评标过程中的相关细节。</w:t>
      </w:r>
    </w:p>
    <w:p w14:paraId="05AC8EA1">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24.4采用综合评分法的项目，未中标的供应商可于中标结果公告期限届满之日起通过</w:t>
      </w:r>
      <w:r>
        <w:rPr>
          <w:rFonts w:hint="eastAsia" w:ascii="宋体" w:hAnsi="宋体" w:eastAsia="宋体" w:cs="宋体"/>
          <w:color w:val="FF0000"/>
        </w:rPr>
        <w:t>苏采云系统</w:t>
      </w:r>
      <w:r>
        <w:rPr>
          <w:rFonts w:hint="eastAsia" w:ascii="宋体" w:hAnsi="宋体" w:eastAsia="宋体" w:cs="宋体"/>
          <w:color w:val="000000"/>
        </w:rPr>
        <w:t>查看自己的评审得分及排序情况。</w:t>
      </w:r>
    </w:p>
    <w:p w14:paraId="1742B6F7">
      <w:pPr>
        <w:pStyle w:val="30"/>
        <w:keepNext/>
        <w:keepLines/>
        <w:spacing w:beforeAutospacing="0" w:afterAutospacing="0" w:line="500" w:lineRule="exact"/>
        <w:ind w:firstLine="480"/>
        <w:jc w:val="both"/>
        <w:rPr>
          <w:rFonts w:ascii="宋体" w:hAnsi="宋体" w:eastAsia="宋体" w:cs="宋体"/>
        </w:rPr>
      </w:pPr>
      <w:bookmarkStart w:id="150" w:name="_Toc513029232"/>
      <w:bookmarkStart w:id="151" w:name="_Toc16938548"/>
      <w:bookmarkStart w:id="152" w:name="_Toc20823304"/>
      <w:r>
        <w:rPr>
          <w:rFonts w:hint="eastAsia" w:ascii="宋体" w:hAnsi="宋体" w:eastAsia="宋体" w:cs="宋体"/>
          <w:color w:val="000000"/>
        </w:rPr>
        <w:t>25、投标文件的澄清</w:t>
      </w:r>
      <w:bookmarkEnd w:id="150"/>
      <w:bookmarkEnd w:id="151"/>
      <w:bookmarkEnd w:id="152"/>
    </w:p>
    <w:p w14:paraId="49B9918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25.1评标期间，评委会对投标文件中含义不明确、同类问题表述不一致或者有明显文字和计算错误的内容 ，有权要求供应商作出必要的澄清、说明或者补正。</w:t>
      </w:r>
    </w:p>
    <w:p w14:paraId="5DB6DEEA">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供应商的澄清、说明或者补正不得超出投标文件的范围或者改变投标文件的实质性内容。</w:t>
      </w:r>
    </w:p>
    <w:p w14:paraId="7697D610">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评标委员会并非对每个供应商都做澄清要求。</w:t>
      </w:r>
    </w:p>
    <w:p w14:paraId="6C64D87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25.2需要供应商进行澄清、说明和补正的，评委会将通过</w:t>
      </w:r>
      <w:r>
        <w:rPr>
          <w:rFonts w:hint="eastAsia" w:ascii="宋体" w:hAnsi="宋体" w:eastAsia="宋体" w:cs="宋体"/>
          <w:color w:val="FF0000"/>
        </w:rPr>
        <w:t>苏采云系统</w:t>
      </w:r>
      <w:r>
        <w:rPr>
          <w:rFonts w:hint="eastAsia" w:ascii="宋体" w:hAnsi="宋体" w:eastAsia="宋体" w:cs="宋体"/>
          <w:color w:val="000000"/>
        </w:rPr>
        <w:t>向供应商发出“澄清要求函”，接到“澄清要求函”的供应商应当按照要求在</w:t>
      </w:r>
      <w:r>
        <w:rPr>
          <w:rFonts w:hint="eastAsia" w:ascii="宋体" w:hAnsi="宋体" w:eastAsia="宋体" w:cs="宋体"/>
          <w:color w:val="FF0000"/>
        </w:rPr>
        <w:t>苏采云系统</w:t>
      </w:r>
      <w:r>
        <w:rPr>
          <w:rFonts w:hint="eastAsia" w:ascii="宋体" w:hAnsi="宋体" w:eastAsia="宋体" w:cs="宋体"/>
          <w:color w:val="000000"/>
        </w:rPr>
        <w:t>中提交“澄清响应函”并加盖CA电子公章。澄清、说明和补正的内容作为投标文件的补充部分，具体操作方式见《操作手册》。</w:t>
      </w:r>
    </w:p>
    <w:p w14:paraId="68AC0F80">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  25.3接到评委会澄清、说明和补正要求的供应商如未按规定做出澄清、说明和补正，其风险由供应商自行承担。</w:t>
      </w:r>
    </w:p>
    <w:p w14:paraId="5B6CAE37">
      <w:pPr>
        <w:pStyle w:val="30"/>
        <w:keepNext/>
        <w:keepLines/>
        <w:spacing w:beforeAutospacing="0" w:afterAutospacing="0" w:line="500" w:lineRule="exact"/>
        <w:ind w:firstLine="480"/>
        <w:jc w:val="both"/>
        <w:rPr>
          <w:rFonts w:ascii="宋体" w:hAnsi="宋体" w:eastAsia="宋体" w:cs="宋体"/>
        </w:rPr>
      </w:pPr>
      <w:bookmarkStart w:id="153" w:name="_Toc20823305"/>
      <w:bookmarkStart w:id="154" w:name="_Toc513029233"/>
      <w:bookmarkStart w:id="155" w:name="_Toc16938549"/>
      <w:r>
        <w:rPr>
          <w:rFonts w:hint="eastAsia" w:ascii="宋体" w:hAnsi="宋体" w:eastAsia="宋体" w:cs="宋体"/>
          <w:color w:val="000000"/>
        </w:rPr>
        <w:t>26、对投标文件的初审</w:t>
      </w:r>
      <w:bookmarkEnd w:id="153"/>
      <w:bookmarkEnd w:id="154"/>
      <w:bookmarkEnd w:id="155"/>
    </w:p>
    <w:p w14:paraId="24842FA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26.1投标文件初审分为资格审查和符合性审查。</w:t>
      </w:r>
    </w:p>
    <w:p w14:paraId="302B7301">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26.1.1资格审查：依据法律法规和招标文件的规定，由采购人对投标文件中的资格证明文件进行审查。资格审查的结论，采购人以书面形式向评委会进行反馈。</w:t>
      </w:r>
    </w:p>
    <w:p w14:paraId="794E471A">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采购人在进行资格性审查的同时，将在“信用中国”网站（www.creditchina.gov.cn）查询供应商的信用记录，以确定供应商是否具备投标资格,查询结果留存并归档。</w:t>
      </w:r>
    </w:p>
    <w:p w14:paraId="76B439D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接受联合体的项目，两个以上的自然人、法人或者其他组织组成一个联合体，以一个供应商的身份共同参加政府采购活动的,联合体成员存在不良信用记录的，视同联合体存在不良应用记录。</w:t>
      </w:r>
    </w:p>
    <w:p w14:paraId="6A7BDDA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26.1.2符合性审查：依据招标文件的规定，由评委会从投标文件的有效性、完整性和对招标文件的响应程度进行审查，以确定是否对招标文件的实质性要求作出响应。</w:t>
      </w:r>
    </w:p>
    <w:p w14:paraId="69DABCE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26.1.3未通过资格审查或符合性审查的供应商，采购代理机构将在</w:t>
      </w:r>
      <w:r>
        <w:rPr>
          <w:rFonts w:hint="eastAsia" w:ascii="宋体" w:hAnsi="宋体" w:eastAsia="宋体" w:cs="宋体"/>
          <w:color w:val="FF0000"/>
        </w:rPr>
        <w:t>苏采云系统</w:t>
      </w:r>
      <w:r>
        <w:rPr>
          <w:rFonts w:hint="eastAsia" w:ascii="宋体" w:hAnsi="宋体" w:eastAsia="宋体" w:cs="宋体"/>
          <w:color w:val="000000"/>
        </w:rPr>
        <w:t>中告知未通过资格审查或符合性审查的原因，评标结束后，采购代理机构将不再告知未通过资格审查和符合性审查的原因。</w:t>
      </w:r>
    </w:p>
    <w:p w14:paraId="3683A906">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26.2在详细评标之前，评委会将首先审查每份投标文件是否实质性响应了招标文件的要求。实质性响应的投标应该是与招标文件要求的全部条款、条件和规格相符，没有重大偏离或保留的投标。</w:t>
      </w:r>
    </w:p>
    <w:p w14:paraId="0FA1EB04">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p>
    <w:p w14:paraId="5205C50D">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26.3如果投标文件实质上没有响应招标文件的要求，评委会将予以拒绝，供应商不得通过修改或撤销不合要求的偏离或保留而使其投标成为实质性响应的投标。</w:t>
      </w:r>
    </w:p>
    <w:p w14:paraId="325EED1F">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26.4评委会将对确定为实质性响应的投标进行进一步审核，确定其是否有计算上或累加上的算术错误，修正错误的原则如下：</w:t>
      </w:r>
    </w:p>
    <w:p w14:paraId="6A96D95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（1）投标文件中开标一览表内容与投标文件中相应内容不一致的，以开标一览表为准。</w:t>
      </w:r>
    </w:p>
    <w:p w14:paraId="555DFD68">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（2）大写金额和小写金额不一致的，以大写金额为准。</w:t>
      </w:r>
    </w:p>
    <w:p w14:paraId="60EBA784">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（3）单价金额小数点或者百分比有明显错位的，以开标一览表的总价为准，并修改单价。</w:t>
      </w:r>
    </w:p>
    <w:p w14:paraId="055D0ED8">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（4）总价金额与按单价汇总金额不一致的，以单价金额计算结果为准。</w:t>
      </w:r>
    </w:p>
    <w:p w14:paraId="0B88E3F4">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同时出现两种以上错误的，按照前款规定的顺序修正。</w:t>
      </w:r>
    </w:p>
    <w:p w14:paraId="30FD58AF">
      <w:pPr>
        <w:pStyle w:val="30"/>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26.5评委会将按上述修正错误的方法调整投标文件中的投标报价，并通过苏采云系统告知供应商，调整后的价格应对供应商具有约束力。如果供应商不接受修正后的价格，则其投标将被拒绝。</w:t>
      </w:r>
    </w:p>
    <w:p w14:paraId="06B457CF">
      <w:pPr>
        <w:pStyle w:val="30"/>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26.6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p>
    <w:p w14:paraId="4C7F89EF">
      <w:pPr>
        <w:pStyle w:val="30"/>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使用综合评分法的采购项目，提供相同品牌产品且通过资格审查、符合性审查的不同供应商参加同一合同项下投标的，按一家供应商计算，评审后得分最高的同品牌供应商获得中标人推荐资格；评审得分相同的，由评标委员会根据招标文件规定的方式（招标文件未规定的采取随机抽取的方式）确定一个中标候选人，其他同品牌供应商不作为中标候选人。</w:t>
      </w:r>
    </w:p>
    <w:p w14:paraId="15946507">
      <w:pPr>
        <w:pStyle w:val="30"/>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非单一产品采购项目，招标文件中将载明其中的核心产品。多家供应商提供的核心产品品牌相同的，按前两款规定处理。</w:t>
      </w:r>
    </w:p>
    <w:p w14:paraId="649F066A">
      <w:pPr>
        <w:pStyle w:val="30"/>
        <w:spacing w:beforeAutospacing="0" w:afterAutospacing="0" w:line="500" w:lineRule="exact"/>
        <w:ind w:firstLine="480"/>
        <w:jc w:val="both"/>
        <w:rPr>
          <w:rFonts w:ascii="宋体" w:hAnsi="宋体" w:eastAsia="宋体" w:cs="宋体"/>
          <w:color w:val="000000"/>
        </w:rPr>
      </w:pPr>
      <w:bookmarkStart w:id="156" w:name="_Toc20823306"/>
      <w:bookmarkStart w:id="157" w:name="_Toc16938550"/>
      <w:bookmarkStart w:id="158" w:name="_Toc513029234"/>
      <w:r>
        <w:rPr>
          <w:rFonts w:hint="eastAsia" w:ascii="宋体" w:hAnsi="宋体" w:eastAsia="宋体" w:cs="宋体"/>
          <w:color w:val="000000"/>
        </w:rPr>
        <w:t>26.7供应商在开、评标全过程中应保持通讯畅通，及时登录苏采云系统查阅、答复相关信息，并安排专人与采购代理机构及评标委员会联系。</w:t>
      </w:r>
      <w:bookmarkEnd w:id="156"/>
      <w:bookmarkEnd w:id="157"/>
      <w:bookmarkEnd w:id="158"/>
    </w:p>
    <w:p w14:paraId="63EC232A">
      <w:pPr>
        <w:pStyle w:val="30"/>
        <w:keepNext/>
        <w:keepLines/>
        <w:spacing w:beforeAutospacing="0" w:afterAutospacing="0" w:line="500" w:lineRule="exact"/>
        <w:ind w:firstLine="420"/>
        <w:jc w:val="both"/>
        <w:rPr>
          <w:rFonts w:ascii="宋体" w:hAnsi="宋体" w:eastAsia="宋体" w:cs="宋体"/>
          <w:b/>
          <w:bCs/>
          <w:i/>
          <w:iCs/>
        </w:rPr>
      </w:pPr>
      <w:r>
        <w:rPr>
          <w:rFonts w:hint="eastAsia" w:ascii="宋体" w:hAnsi="宋体" w:eastAsia="宋体" w:cs="宋体"/>
          <w:b/>
          <w:bCs/>
          <w:i/>
          <w:iCs/>
          <w:color w:val="000000"/>
        </w:rPr>
        <w:t>27、无效投标条款和废标条款</w:t>
      </w:r>
    </w:p>
    <w:p w14:paraId="4E3CB3CE">
      <w:pPr>
        <w:pStyle w:val="30"/>
        <w:spacing w:beforeAutospacing="0" w:afterAutospacing="0" w:line="500" w:lineRule="exact"/>
        <w:ind w:firstLine="480"/>
        <w:jc w:val="both"/>
        <w:rPr>
          <w:rFonts w:ascii="宋体" w:hAnsi="宋体" w:eastAsia="宋体" w:cs="宋体"/>
        </w:rPr>
      </w:pPr>
      <w:bookmarkStart w:id="159" w:name="_Toc16938551"/>
      <w:bookmarkStart w:id="160" w:name="_Toc513029235"/>
      <w:bookmarkStart w:id="161" w:name="_Toc20823307"/>
      <w:r>
        <w:rPr>
          <w:rFonts w:hint="eastAsia" w:ascii="宋体" w:hAnsi="宋体" w:eastAsia="宋体" w:cs="宋体"/>
          <w:color w:val="000000"/>
        </w:rPr>
        <w:t>27.1无效投标条款</w:t>
      </w:r>
      <w:bookmarkEnd w:id="159"/>
      <w:bookmarkEnd w:id="160"/>
      <w:bookmarkEnd w:id="161"/>
    </w:p>
    <w:p w14:paraId="4E91286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27.1.1供应商在</w:t>
      </w:r>
      <w:r>
        <w:rPr>
          <w:rFonts w:hint="eastAsia" w:ascii="宋体" w:hAnsi="宋体" w:eastAsia="宋体" w:cs="宋体"/>
          <w:color w:val="FF0000"/>
        </w:rPr>
        <w:t>苏采云系统</w:t>
      </w:r>
      <w:r>
        <w:rPr>
          <w:rFonts w:hint="eastAsia" w:ascii="宋体" w:hAnsi="宋体" w:eastAsia="宋体" w:cs="宋体"/>
          <w:color w:val="000000"/>
        </w:rPr>
        <w:t>规定的时间内未成功解密电子投标文件的。</w:t>
      </w:r>
    </w:p>
    <w:p w14:paraId="78FEB8F3">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27.1.2供应商未按照招标文件要求上传电子投标文件的。</w:t>
      </w:r>
    </w:p>
    <w:p w14:paraId="147266F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27.1.3同一供应商提交两个（含两个）以上不同的投标报价的。</w:t>
      </w:r>
    </w:p>
    <w:p w14:paraId="5987355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27.1.4供应商不具备招标文件中规定资格要求的。</w:t>
      </w:r>
    </w:p>
    <w:p w14:paraId="52BECEB0">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27.1.5供应商的报价超过了采购预算或最高限价的。</w:t>
      </w:r>
    </w:p>
    <w:p w14:paraId="67FF79CD">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27.1.6未通过符合性审查的。</w:t>
      </w:r>
    </w:p>
    <w:p w14:paraId="5A3286ED">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27.1.7不符合招标文件中规定的实质性要求和条件的（</w:t>
      </w:r>
      <w:r>
        <w:rPr>
          <w:rFonts w:hint="eastAsia" w:ascii="宋体" w:hAnsi="宋体" w:eastAsia="宋体" w:cs="宋体"/>
          <w:i/>
          <w:color w:val="000000"/>
          <w:u w:val="single"/>
        </w:rPr>
        <w:t>本招标文件中斜体且有下划线部分为实质性要求和条件）。</w:t>
      </w:r>
    </w:p>
    <w:p w14:paraId="5B38747C">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C17412F">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27.1.9投标文件含有采购人不能接受的附加条件的。</w:t>
      </w:r>
    </w:p>
    <w:p w14:paraId="2E79A314">
      <w:pPr>
        <w:pStyle w:val="30"/>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27.1.10供应商不能证明其报价合理性的，评标委员会应当将其作为无效投标处理。</w:t>
      </w:r>
    </w:p>
    <w:p w14:paraId="5A65A109">
      <w:pPr>
        <w:pStyle w:val="30"/>
        <w:spacing w:beforeAutospacing="0" w:afterAutospacing="0" w:line="540" w:lineRule="exact"/>
        <w:ind w:firstLine="480"/>
        <w:jc w:val="both"/>
        <w:rPr>
          <w:rFonts w:hint="eastAsia" w:ascii="宋体" w:hAnsi="宋体" w:eastAsia="宋体" w:cs="宋体"/>
          <w:color w:val="FF0000"/>
          <w:lang w:val="en-US"/>
        </w:rPr>
      </w:pPr>
      <w:r>
        <w:rPr>
          <w:rFonts w:hint="eastAsia" w:ascii="宋体" w:hAnsi="宋体" w:eastAsia="宋体" w:cs="宋体"/>
          <w:color w:val="FF0000"/>
          <w:lang w:eastAsia="zh-CN"/>
        </w:rPr>
        <w:t>（一）评审过程中出现下列情形之一的，评标委员会应当启动异常低价投标审查程序：</w:t>
      </w:r>
    </w:p>
    <w:p w14:paraId="643BFF16">
      <w:pPr>
        <w:pStyle w:val="30"/>
        <w:spacing w:beforeAutospacing="0" w:afterAutospacing="0" w:line="540" w:lineRule="exact"/>
        <w:ind w:firstLine="480"/>
        <w:jc w:val="both"/>
        <w:rPr>
          <w:rFonts w:hint="eastAsia" w:ascii="宋体" w:hAnsi="宋体" w:eastAsia="宋体" w:cs="宋体"/>
          <w:color w:val="FF0000"/>
          <w:lang w:val="en-US"/>
        </w:rPr>
      </w:pPr>
      <w:r>
        <w:rPr>
          <w:rFonts w:hint="eastAsia" w:ascii="宋体" w:hAnsi="宋体" w:eastAsia="宋体" w:cs="宋体"/>
          <w:color w:val="FF0000"/>
          <w:lang w:val="en-US"/>
        </w:rPr>
        <w:t>1.</w:t>
      </w:r>
      <w:r>
        <w:rPr>
          <w:rFonts w:hint="eastAsia" w:ascii="宋体" w:hAnsi="宋体" w:eastAsia="宋体" w:cs="宋体"/>
          <w:color w:val="FF0000"/>
          <w:lang w:eastAsia="zh-CN"/>
        </w:rPr>
        <w:t>投标（响应）报价低于全部通过符合性审查供应商投标（响应）报价平均值</w:t>
      </w:r>
      <w:r>
        <w:rPr>
          <w:rFonts w:hint="eastAsia" w:ascii="宋体" w:hAnsi="宋体" w:eastAsia="宋体" w:cs="宋体"/>
          <w:color w:val="FF0000"/>
          <w:lang w:val="en-US"/>
        </w:rPr>
        <w:t>50%</w:t>
      </w:r>
      <w:r>
        <w:rPr>
          <w:rFonts w:hint="eastAsia" w:ascii="宋体" w:hAnsi="宋体" w:eastAsia="宋体" w:cs="宋体"/>
          <w:color w:val="FF0000"/>
          <w:lang w:eastAsia="zh-CN"/>
        </w:rPr>
        <w:t>的，即投标（响应）报价</w:t>
      </w:r>
      <w:r>
        <w:rPr>
          <w:rFonts w:hint="eastAsia" w:ascii="宋体" w:hAnsi="宋体" w:eastAsia="宋体" w:cs="宋体"/>
          <w:color w:val="FF0000"/>
          <w:lang w:val="en-US"/>
        </w:rPr>
        <w:t>&lt;</w:t>
      </w:r>
      <w:r>
        <w:rPr>
          <w:rFonts w:hint="eastAsia" w:ascii="宋体" w:hAnsi="宋体" w:eastAsia="宋体" w:cs="宋体"/>
          <w:color w:val="FF0000"/>
          <w:lang w:eastAsia="zh-CN"/>
        </w:rPr>
        <w:t>全部通过符合性审查供应商投标（响应）报价平均值×</w:t>
      </w:r>
      <w:r>
        <w:rPr>
          <w:rFonts w:hint="eastAsia" w:ascii="宋体" w:hAnsi="宋体" w:eastAsia="宋体" w:cs="宋体"/>
          <w:color w:val="FF0000"/>
          <w:lang w:val="en-US"/>
        </w:rPr>
        <w:t>50%</w:t>
      </w:r>
      <w:r>
        <w:rPr>
          <w:rFonts w:hint="eastAsia" w:ascii="宋体" w:hAnsi="宋体" w:eastAsia="宋体" w:cs="宋体"/>
          <w:color w:val="FF0000"/>
          <w:lang w:eastAsia="zh-CN"/>
        </w:rPr>
        <w:t>；</w:t>
      </w:r>
      <w:r>
        <w:rPr>
          <w:rFonts w:hint="eastAsia" w:ascii="宋体" w:hAnsi="宋体" w:eastAsia="宋体" w:cs="宋体"/>
          <w:color w:val="FF0000"/>
          <w:lang w:val="en-US"/>
        </w:rPr>
        <w:t> </w:t>
      </w:r>
    </w:p>
    <w:p w14:paraId="457D05CB">
      <w:pPr>
        <w:pStyle w:val="30"/>
        <w:spacing w:beforeAutospacing="0" w:afterAutospacing="0" w:line="540" w:lineRule="exact"/>
        <w:ind w:firstLine="480"/>
        <w:jc w:val="both"/>
        <w:rPr>
          <w:rFonts w:hint="eastAsia" w:ascii="宋体" w:hAnsi="宋体" w:eastAsia="宋体" w:cs="宋体"/>
          <w:color w:val="FF0000"/>
          <w:lang w:val="en-US"/>
        </w:rPr>
      </w:pPr>
      <w:r>
        <w:rPr>
          <w:rFonts w:hint="eastAsia" w:ascii="宋体" w:hAnsi="宋体" w:eastAsia="宋体" w:cs="宋体"/>
          <w:color w:val="FF0000"/>
          <w:lang w:val="en-US"/>
        </w:rPr>
        <w:t>2.</w:t>
      </w:r>
      <w:r>
        <w:rPr>
          <w:rFonts w:hint="eastAsia" w:ascii="宋体" w:hAnsi="宋体" w:eastAsia="宋体" w:cs="宋体"/>
          <w:color w:val="FF0000"/>
          <w:lang w:eastAsia="zh-CN"/>
        </w:rPr>
        <w:t>投标（响应）报价低于通过符合性审查的次低报价供应商投标（响应）报价</w:t>
      </w:r>
      <w:r>
        <w:rPr>
          <w:rFonts w:hint="eastAsia" w:ascii="宋体" w:hAnsi="宋体" w:eastAsia="宋体" w:cs="宋体"/>
          <w:color w:val="FF0000"/>
          <w:lang w:val="en-US"/>
        </w:rPr>
        <w:t>50%</w:t>
      </w:r>
      <w:r>
        <w:rPr>
          <w:rFonts w:hint="eastAsia" w:ascii="宋体" w:hAnsi="宋体" w:eastAsia="宋体" w:cs="宋体"/>
          <w:color w:val="FF0000"/>
          <w:lang w:eastAsia="zh-CN"/>
        </w:rPr>
        <w:t>的，即投标（响应）报价</w:t>
      </w:r>
      <w:r>
        <w:rPr>
          <w:rFonts w:hint="eastAsia" w:ascii="宋体" w:hAnsi="宋体" w:eastAsia="宋体" w:cs="宋体"/>
          <w:color w:val="FF0000"/>
          <w:lang w:val="en-US"/>
        </w:rPr>
        <w:t>&lt;</w:t>
      </w:r>
      <w:r>
        <w:rPr>
          <w:rFonts w:hint="eastAsia" w:ascii="宋体" w:hAnsi="宋体" w:eastAsia="宋体" w:cs="宋体"/>
          <w:color w:val="FF0000"/>
          <w:lang w:eastAsia="zh-CN"/>
        </w:rPr>
        <w:t>通过符合性审查的次低报价供应商投标（响应）报价×</w:t>
      </w:r>
      <w:r>
        <w:rPr>
          <w:rFonts w:hint="eastAsia" w:ascii="宋体" w:hAnsi="宋体" w:eastAsia="宋体" w:cs="宋体"/>
          <w:color w:val="FF0000"/>
          <w:lang w:val="en-US"/>
        </w:rPr>
        <w:t>50%</w:t>
      </w:r>
      <w:r>
        <w:rPr>
          <w:rFonts w:hint="eastAsia" w:ascii="宋体" w:hAnsi="宋体" w:eastAsia="宋体" w:cs="宋体"/>
          <w:color w:val="FF0000"/>
          <w:lang w:eastAsia="zh-CN"/>
        </w:rPr>
        <w:t>；</w:t>
      </w:r>
      <w:r>
        <w:rPr>
          <w:rFonts w:hint="eastAsia" w:ascii="宋体" w:hAnsi="宋体" w:eastAsia="宋体" w:cs="宋体"/>
          <w:color w:val="FF0000"/>
          <w:lang w:val="en-US"/>
        </w:rPr>
        <w:t> </w:t>
      </w:r>
    </w:p>
    <w:p w14:paraId="0D859956">
      <w:pPr>
        <w:pStyle w:val="30"/>
        <w:spacing w:beforeAutospacing="0" w:afterAutospacing="0" w:line="540" w:lineRule="exact"/>
        <w:ind w:firstLine="480"/>
        <w:jc w:val="both"/>
        <w:rPr>
          <w:rFonts w:hint="eastAsia" w:ascii="宋体" w:hAnsi="宋体" w:eastAsia="宋体" w:cs="宋体"/>
          <w:color w:val="FF0000"/>
          <w:lang w:val="en-US"/>
        </w:rPr>
      </w:pPr>
      <w:r>
        <w:rPr>
          <w:rFonts w:hint="eastAsia" w:ascii="宋体" w:hAnsi="宋体" w:eastAsia="宋体" w:cs="宋体"/>
          <w:color w:val="FF0000"/>
          <w:lang w:val="en-US"/>
        </w:rPr>
        <w:t>3.</w:t>
      </w:r>
      <w:r>
        <w:rPr>
          <w:rFonts w:hint="eastAsia" w:ascii="宋体" w:hAnsi="宋体" w:eastAsia="宋体" w:cs="宋体"/>
          <w:color w:val="FF0000"/>
          <w:lang w:eastAsia="zh-CN"/>
        </w:rPr>
        <w:t>投标（响应）报价低于采购项目最高限价</w:t>
      </w:r>
      <w:r>
        <w:rPr>
          <w:rFonts w:hint="eastAsia" w:ascii="宋体" w:hAnsi="宋体" w:eastAsia="宋体" w:cs="宋体"/>
          <w:color w:val="FF0000"/>
          <w:lang w:val="en-US"/>
        </w:rPr>
        <w:t>45%</w:t>
      </w:r>
      <w:r>
        <w:rPr>
          <w:rFonts w:hint="eastAsia" w:ascii="宋体" w:hAnsi="宋体" w:eastAsia="宋体" w:cs="宋体"/>
          <w:color w:val="FF0000"/>
          <w:lang w:eastAsia="zh-CN"/>
        </w:rPr>
        <w:t>的，即投标（响应）报价</w:t>
      </w:r>
      <w:r>
        <w:rPr>
          <w:rFonts w:hint="eastAsia" w:ascii="宋体" w:hAnsi="宋体" w:eastAsia="宋体" w:cs="宋体"/>
          <w:color w:val="FF0000"/>
          <w:lang w:val="en-US"/>
        </w:rPr>
        <w:t>&lt;</w:t>
      </w:r>
      <w:r>
        <w:rPr>
          <w:rFonts w:hint="eastAsia" w:ascii="宋体" w:hAnsi="宋体" w:eastAsia="宋体" w:cs="宋体"/>
          <w:color w:val="FF0000"/>
          <w:lang w:eastAsia="zh-CN"/>
        </w:rPr>
        <w:t>采购项目最高限价×</w:t>
      </w:r>
      <w:r>
        <w:rPr>
          <w:rFonts w:hint="eastAsia" w:ascii="宋体" w:hAnsi="宋体" w:eastAsia="宋体" w:cs="宋体"/>
          <w:color w:val="FF0000"/>
          <w:lang w:val="en-US"/>
        </w:rPr>
        <w:t>45%</w:t>
      </w:r>
      <w:r>
        <w:rPr>
          <w:rFonts w:hint="eastAsia" w:ascii="宋体" w:hAnsi="宋体" w:eastAsia="宋体" w:cs="宋体"/>
          <w:color w:val="FF0000"/>
          <w:lang w:eastAsia="zh-CN"/>
        </w:rPr>
        <w:t>；</w:t>
      </w:r>
      <w:r>
        <w:rPr>
          <w:rFonts w:hint="eastAsia" w:ascii="宋体" w:hAnsi="宋体" w:eastAsia="宋体" w:cs="宋体"/>
          <w:color w:val="FF0000"/>
          <w:lang w:val="en-US"/>
        </w:rPr>
        <w:t> </w:t>
      </w:r>
    </w:p>
    <w:p w14:paraId="473D9930">
      <w:pPr>
        <w:pStyle w:val="30"/>
        <w:spacing w:beforeAutospacing="0" w:afterAutospacing="0" w:line="540" w:lineRule="exact"/>
        <w:ind w:firstLine="480"/>
        <w:jc w:val="both"/>
        <w:rPr>
          <w:rFonts w:hint="eastAsia" w:ascii="宋体" w:hAnsi="宋体" w:eastAsia="宋体" w:cs="宋体"/>
          <w:color w:val="FF0000"/>
          <w:lang w:val="en-US"/>
        </w:rPr>
      </w:pPr>
      <w:r>
        <w:rPr>
          <w:rFonts w:hint="eastAsia" w:ascii="宋体" w:hAnsi="宋体" w:eastAsia="宋体" w:cs="宋体"/>
          <w:color w:val="FF0000"/>
          <w:lang w:val="en-US"/>
        </w:rPr>
        <w:t>4.</w:t>
      </w:r>
      <w:r>
        <w:rPr>
          <w:rFonts w:hint="eastAsia" w:ascii="宋体" w:hAnsi="宋体" w:eastAsia="宋体" w:cs="宋体"/>
          <w:color w:val="FF0000"/>
          <w:lang w:eastAsia="zh-CN"/>
        </w:rPr>
        <w:t>评审委员会基于专业判断，认为供应商报价过低，有可能影响产品质量或者不能诚信履约的其他情形。</w:t>
      </w:r>
      <w:r>
        <w:rPr>
          <w:rFonts w:hint="eastAsia" w:ascii="宋体" w:hAnsi="宋体" w:eastAsia="宋体" w:cs="宋体"/>
          <w:color w:val="FF0000"/>
          <w:lang w:val="en-US"/>
        </w:rPr>
        <w:t> </w:t>
      </w:r>
    </w:p>
    <w:p w14:paraId="1300ACE1">
      <w:pPr>
        <w:pStyle w:val="30"/>
        <w:spacing w:beforeAutospacing="0" w:afterAutospacing="0" w:line="540" w:lineRule="exact"/>
        <w:ind w:firstLine="480"/>
        <w:jc w:val="both"/>
        <w:rPr>
          <w:rFonts w:hint="eastAsia" w:ascii="宋体" w:hAnsi="宋体" w:eastAsia="宋体" w:cs="宋体"/>
          <w:color w:val="FF0000"/>
          <w:lang w:val="en-US"/>
        </w:rPr>
      </w:pPr>
      <w:r>
        <w:rPr>
          <w:rFonts w:hint="eastAsia" w:ascii="宋体" w:hAnsi="宋体" w:eastAsia="宋体" w:cs="宋体"/>
          <w:color w:val="FF0000"/>
          <w:lang w:eastAsia="zh-CN"/>
        </w:rPr>
        <w:t>（二）评审委员会启动异常低价投标（响应）审查后，属于前述第</w:t>
      </w:r>
      <w:r>
        <w:rPr>
          <w:rFonts w:hint="eastAsia" w:ascii="宋体" w:hAnsi="宋体" w:eastAsia="宋体" w:cs="宋体"/>
          <w:color w:val="FF0000"/>
          <w:lang w:val="en-US"/>
        </w:rPr>
        <w:t>1</w:t>
      </w:r>
      <w:r>
        <w:rPr>
          <w:rFonts w:hint="eastAsia" w:ascii="宋体" w:hAnsi="宋体" w:eastAsia="宋体" w:cs="宋体"/>
          <w:color w:val="FF0000"/>
          <w:lang w:eastAsia="zh-CN"/>
        </w:rPr>
        <w:t>项至第</w:t>
      </w:r>
      <w:r>
        <w:rPr>
          <w:rFonts w:hint="eastAsia" w:ascii="宋体" w:hAnsi="宋体" w:eastAsia="宋体" w:cs="宋体"/>
          <w:color w:val="FF0000"/>
          <w:lang w:val="en-US"/>
        </w:rPr>
        <w:t>4</w:t>
      </w:r>
      <w:r>
        <w:rPr>
          <w:rFonts w:hint="eastAsia" w:ascii="宋体" w:hAnsi="宋体" w:eastAsia="宋体" w:cs="宋体"/>
          <w:color w:val="FF0000"/>
          <w:lang w:eastAsia="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w:t>
      </w:r>
      <w:r>
        <w:rPr>
          <w:rFonts w:hint="eastAsia" w:ascii="宋体" w:hAnsi="宋体" w:eastAsia="宋体" w:cs="宋体"/>
          <w:color w:val="FF0000"/>
          <w:lang w:val="en-US"/>
        </w:rPr>
        <w:t>30</w:t>
      </w:r>
      <w:r>
        <w:rPr>
          <w:rFonts w:hint="eastAsia" w:ascii="宋体" w:hAnsi="宋体" w:eastAsia="宋体" w:cs="宋体"/>
          <w:color w:val="FF0000"/>
          <w:lang w:eastAsia="zh-CN"/>
        </w:rPr>
        <w:t>分钟。其中，属于第</w:t>
      </w:r>
      <w:r>
        <w:rPr>
          <w:rFonts w:hint="eastAsia" w:ascii="宋体" w:hAnsi="宋体" w:eastAsia="宋体" w:cs="宋体"/>
          <w:color w:val="FF0000"/>
          <w:lang w:val="en-US"/>
        </w:rPr>
        <w:t>3</w:t>
      </w:r>
      <w:r>
        <w:rPr>
          <w:rFonts w:hint="eastAsia" w:ascii="宋体" w:hAnsi="宋体" w:eastAsia="宋体" w:cs="宋体"/>
          <w:color w:val="FF0000"/>
          <w:lang w:eastAsia="zh-CN"/>
        </w:rPr>
        <w:t>项情形，供应商已随投标（响应）文件一并提交相关书面说明及必要的证明材料的，在评审现场可不再重复提交。</w:t>
      </w:r>
      <w:r>
        <w:rPr>
          <w:rFonts w:hint="eastAsia" w:ascii="宋体" w:hAnsi="宋体" w:eastAsia="宋体" w:cs="宋体"/>
          <w:color w:val="FF0000"/>
          <w:lang w:val="en-US"/>
        </w:rPr>
        <w:t> </w:t>
      </w:r>
    </w:p>
    <w:p w14:paraId="296F0B39">
      <w:pPr>
        <w:pStyle w:val="30"/>
        <w:spacing w:beforeAutospacing="0" w:afterAutospacing="0" w:line="540" w:lineRule="exact"/>
        <w:ind w:firstLine="480"/>
        <w:jc w:val="both"/>
        <w:rPr>
          <w:rFonts w:hint="eastAsia" w:ascii="宋体" w:hAnsi="宋体" w:eastAsia="宋体" w:cs="宋体"/>
          <w:color w:val="FF0000"/>
          <w:lang w:val="en-US"/>
        </w:rPr>
      </w:pPr>
      <w:r>
        <w:rPr>
          <w:rFonts w:hint="eastAsia" w:ascii="宋体" w:hAnsi="宋体" w:eastAsia="宋体" w:cs="宋体"/>
          <w:color w:val="FF0000"/>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FF0000"/>
          <w:lang w:val="en-US"/>
        </w:rPr>
        <w:t> </w:t>
      </w:r>
    </w:p>
    <w:p w14:paraId="76148B64">
      <w:pPr>
        <w:pStyle w:val="30"/>
        <w:spacing w:beforeAutospacing="0" w:afterAutospacing="0" w:line="540" w:lineRule="exact"/>
        <w:ind w:firstLine="480"/>
        <w:jc w:val="both"/>
        <w:rPr>
          <w:rFonts w:hint="eastAsia" w:ascii="宋体" w:hAnsi="宋体" w:eastAsia="宋体" w:cs="宋体"/>
          <w:lang w:val="en-US"/>
        </w:rPr>
      </w:pPr>
      <w:r>
        <w:rPr>
          <w:rFonts w:hint="eastAsia" w:ascii="宋体" w:hAnsi="宋体" w:eastAsia="宋体" w:cs="宋体"/>
          <w:color w:val="FF0000"/>
          <w:lang w:eastAsia="zh-CN"/>
        </w:rPr>
        <w:t>异常低价投标（响应）审查的启动原因、审查意见和审查结果应当在评审报告中记录，并随供应商提供的相关书面说明及证明材料，以及评审委员会有关互联网浏览、查询历史一并归档。</w:t>
      </w:r>
    </w:p>
    <w:p w14:paraId="303C3CB6">
      <w:pPr>
        <w:pStyle w:val="30"/>
        <w:spacing w:beforeAutospacing="0" w:afterAutospacing="0" w:line="500" w:lineRule="exact"/>
        <w:ind w:firstLine="480"/>
        <w:jc w:val="both"/>
        <w:rPr>
          <w:rFonts w:ascii="宋体" w:hAnsi="宋体" w:eastAsia="宋体" w:cs="宋体"/>
          <w:color w:val="000000"/>
          <w:highlight w:val="yellow"/>
        </w:rPr>
      </w:pPr>
      <w:r>
        <w:rPr>
          <w:rFonts w:hint="eastAsia" w:ascii="宋体" w:hAnsi="宋体" w:eastAsia="宋体" w:cs="宋体"/>
        </w:rPr>
        <w:t>27.1.11本项目采购产品被财政部、国家发展改革委、生态环境部等列入“节能产品品目清单”“环境标志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p>
    <w:p w14:paraId="1273C26F">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27.1.12投标文件未按照招标文件要求加盖CA电子公章的。</w:t>
      </w:r>
    </w:p>
    <w:p w14:paraId="3C8EB198">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27.1.13其他法律、法规及本招标文件规定的属于无效投标的情形。</w:t>
      </w:r>
    </w:p>
    <w:p w14:paraId="1C693B1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27.2废标条款</w:t>
      </w:r>
    </w:p>
    <w:p w14:paraId="58249131">
      <w:pPr>
        <w:pStyle w:val="30"/>
        <w:spacing w:beforeAutospacing="0" w:afterAutospacing="0" w:line="500" w:lineRule="exact"/>
        <w:ind w:left="479"/>
        <w:jc w:val="both"/>
        <w:rPr>
          <w:rFonts w:ascii="宋体" w:hAnsi="宋体" w:eastAsia="宋体" w:cs="宋体"/>
        </w:rPr>
      </w:pPr>
      <w:r>
        <w:rPr>
          <w:rFonts w:hint="eastAsia" w:ascii="宋体" w:hAnsi="宋体" w:eastAsia="宋体" w:cs="宋体"/>
          <w:color w:val="000000"/>
        </w:rPr>
        <w:t>27.2.1符合专业条件的供应商或者对招标文件作实质响应的供应商不足三家的。27.2.2出现影响采购公正的违法、违规行为的。</w:t>
      </w:r>
    </w:p>
    <w:p w14:paraId="275DA7E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27.2.3因重大变故，采购任务取消的。</w:t>
      </w:r>
    </w:p>
    <w:p w14:paraId="1CDEB04F">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27.2.4评标委员会认定招标文件存在歧义、重大缺陷导致评审工作无法进行。</w:t>
      </w:r>
    </w:p>
    <w:p w14:paraId="34A335A7">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27.2.5因</w:t>
      </w:r>
      <w:r>
        <w:rPr>
          <w:rFonts w:hint="eastAsia" w:ascii="宋体" w:hAnsi="宋体" w:eastAsia="宋体" w:cs="宋体"/>
          <w:color w:val="FF0000"/>
        </w:rPr>
        <w:t>苏采云系统</w:t>
      </w:r>
      <w:r>
        <w:rPr>
          <w:rFonts w:hint="eastAsia" w:ascii="宋体" w:hAnsi="宋体" w:eastAsia="宋体" w:cs="宋体"/>
          <w:color w:val="000000"/>
        </w:rPr>
        <w:t>系统故障原因造成开标不成功的。</w:t>
      </w:r>
    </w:p>
    <w:p w14:paraId="04347627">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27.3 投标截止时间结束后参加投标的供应商不足三家的处理：</w:t>
      </w:r>
    </w:p>
    <w:p w14:paraId="57C8F97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27.3.1如出现投标截止时间结束后参加投标的供应商或者在评标期间对招标文件做出实质响应的供应商不足三家情况，按政府采购相关规定执行。</w:t>
      </w:r>
    </w:p>
    <w:p w14:paraId="501CE268">
      <w:pPr>
        <w:pStyle w:val="30"/>
        <w:keepNext/>
        <w:keepLines/>
        <w:spacing w:beforeAutospacing="0" w:afterAutospacing="0" w:line="500" w:lineRule="exact"/>
        <w:ind w:firstLine="482"/>
        <w:jc w:val="both"/>
        <w:rPr>
          <w:rFonts w:ascii="宋体" w:hAnsi="宋体" w:eastAsia="宋体" w:cs="宋体"/>
        </w:rPr>
      </w:pPr>
      <w:bookmarkStart w:id="162" w:name="_Toc120614219"/>
      <w:r>
        <w:rPr>
          <w:rFonts w:hint="eastAsia" w:ascii="宋体" w:hAnsi="宋体" w:eastAsia="宋体" w:cs="宋体"/>
          <w:b/>
          <w:color w:val="000000"/>
        </w:rPr>
        <w:t>六、定标</w:t>
      </w:r>
      <w:bookmarkEnd w:id="162"/>
    </w:p>
    <w:p w14:paraId="3526987C">
      <w:pPr>
        <w:pStyle w:val="30"/>
        <w:keepNext/>
        <w:keepLines/>
        <w:spacing w:beforeAutospacing="0" w:afterAutospacing="0" w:line="500" w:lineRule="exact"/>
        <w:ind w:firstLine="480"/>
        <w:jc w:val="both"/>
        <w:rPr>
          <w:rFonts w:ascii="宋体" w:hAnsi="宋体" w:eastAsia="宋体" w:cs="宋体"/>
        </w:rPr>
      </w:pPr>
      <w:bookmarkStart w:id="163" w:name="_Toc20823310"/>
      <w:bookmarkStart w:id="164" w:name="_Toc16938554"/>
      <w:bookmarkStart w:id="165" w:name="_Toc513029238"/>
      <w:r>
        <w:rPr>
          <w:rFonts w:hint="eastAsia" w:ascii="宋体" w:hAnsi="宋体" w:eastAsia="宋体" w:cs="宋体"/>
          <w:color w:val="000000"/>
        </w:rPr>
        <w:t>28、</w:t>
      </w:r>
      <w:bookmarkEnd w:id="163"/>
      <w:r>
        <w:rPr>
          <w:rFonts w:hint="eastAsia" w:ascii="宋体" w:hAnsi="宋体" w:eastAsia="宋体" w:cs="宋体"/>
          <w:color w:val="000000"/>
        </w:rPr>
        <w:t>确定</w:t>
      </w:r>
      <w:bookmarkEnd w:id="164"/>
      <w:bookmarkEnd w:id="165"/>
      <w:r>
        <w:rPr>
          <w:rFonts w:hint="eastAsia" w:ascii="宋体" w:hAnsi="宋体" w:eastAsia="宋体" w:cs="宋体"/>
          <w:color w:val="000000"/>
        </w:rPr>
        <w:t>中标单位</w:t>
      </w:r>
    </w:p>
    <w:p w14:paraId="1F8648BD">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 xml:space="preserve">28.1中标候选人的选取原则和数量见招标文件第五章规定。 </w:t>
      </w:r>
    </w:p>
    <w:p w14:paraId="1454561D">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28.2采购人应根据评委会推荐的中标候选人确定中标人。</w:t>
      </w:r>
    </w:p>
    <w:p w14:paraId="1DB29AB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28.3采购代理机构将在“中国政府采购网”、“江苏政府采购网”、“盐城市政府采购网”发布中标公告，公告期限为1个工作日。</w:t>
      </w:r>
    </w:p>
    <w:p w14:paraId="206AD33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28.4若有充分证据证明，中标人出现下列情况之一的，一经查实，将被取消中标资格：</w:t>
      </w:r>
    </w:p>
    <w:p w14:paraId="717A4D2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28.4.1提供虚假材料谋取中标的。</w:t>
      </w:r>
    </w:p>
    <w:p w14:paraId="790CE641">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28.4.2向采购人、采购代理机构行贿或者提供其他不正当利益的。</w:t>
      </w:r>
    </w:p>
    <w:p w14:paraId="4533E24D">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28.4.3属于本文件规定的无效条件，但在评标过程中又未被评委会发现的。</w:t>
      </w:r>
    </w:p>
    <w:p w14:paraId="77C3E173">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28.4.4与采购人或者其他供应商恶意串通的。</w:t>
      </w:r>
    </w:p>
    <w:p w14:paraId="119A3128">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28.4.5采取不正当手段诋毁、排挤其他供应商的。</w:t>
      </w:r>
    </w:p>
    <w:p w14:paraId="4C92A7C7">
      <w:pPr>
        <w:pStyle w:val="30"/>
        <w:spacing w:beforeAutospacing="0" w:afterAutospacing="0" w:line="500" w:lineRule="exact"/>
        <w:ind w:firstLine="480"/>
        <w:jc w:val="both"/>
        <w:rPr>
          <w:rFonts w:ascii="宋体" w:hAnsi="宋体" w:eastAsia="宋体" w:cs="宋体"/>
        </w:rPr>
      </w:pPr>
      <w:bookmarkStart w:id="166" w:name="_Toc200451960"/>
      <w:r>
        <w:rPr>
          <w:rFonts w:hint="eastAsia" w:ascii="宋体" w:hAnsi="宋体" w:eastAsia="宋体" w:cs="宋体"/>
          <w:color w:val="000000"/>
        </w:rPr>
        <w:t>28.5 有下列情形之一的，视为供应商串通投标，投标无效：</w:t>
      </w:r>
      <w:bookmarkEnd w:id="166"/>
    </w:p>
    <w:p w14:paraId="2AE14572">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28.5.1不同供应商的投标文件由同一单位或者个人编制。</w:t>
      </w:r>
    </w:p>
    <w:p w14:paraId="15B933D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28.5.2不同供应商委托同一单位或者个人办理投标事宜。</w:t>
      </w:r>
    </w:p>
    <w:p w14:paraId="064FEA7B">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28.5.3不同供应商的投标文件载明的项目管理成员或者联系人员为同一人。</w:t>
      </w:r>
    </w:p>
    <w:p w14:paraId="7FA00F6B">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28.5.4不同供应商的投标文件异常一致或者投标报价呈规律性差异。</w:t>
      </w:r>
    </w:p>
    <w:p w14:paraId="7940744F">
      <w:pPr>
        <w:pStyle w:val="30"/>
        <w:keepNext/>
        <w:keepLines/>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29、质疑处理</w:t>
      </w:r>
    </w:p>
    <w:p w14:paraId="6CAD30E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29.1提出质疑的供应商应当是参与所质疑项目采购活动的供应商。潜在供应商依法获取其可质疑的采购文件的，可以对采购文件提出质疑。</w:t>
      </w:r>
    </w:p>
    <w:p w14:paraId="31DFD094">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266D692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29.2.1对可以质疑的采购文件提出质疑的，为收到采购文件之日或者采购文件公告期限届满之日；</w:t>
      </w:r>
    </w:p>
    <w:p w14:paraId="4456C8E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29.2.2对采购过程提出质疑的，为各采购程序环节结束之日；</w:t>
      </w:r>
    </w:p>
    <w:p w14:paraId="0599630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29.2.3对中标或者成交结果提出质疑的，为中标或者成交结果公告期限届满之日。</w:t>
      </w:r>
    </w:p>
    <w:p w14:paraId="063E87BC">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供应商应当在法定质疑期内一次性提出针对同一采购程序环节的质疑。供应商如在法定期限内对同一采购程序环节提出多次质疑的，采购代理机构、采购人将只对供应商第一次质疑作出答复。</w:t>
      </w:r>
    </w:p>
    <w:p w14:paraId="1A83BA7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29.3质疑函必须按照本招标文件中《质疑函范本》要求的格式和内容进行填写。供应商如组成联合体参加投标，则《质疑函范本》中要求签字、盖章、加盖公章之处，联合体各方均须按要求签字、盖章、加盖公章。</w:t>
      </w:r>
    </w:p>
    <w:p w14:paraId="4D26E01F">
      <w:pPr>
        <w:pStyle w:val="30"/>
        <w:spacing w:beforeAutospacing="0" w:afterAutospacing="0" w:line="500" w:lineRule="exact"/>
        <w:ind w:firstLine="482"/>
        <w:jc w:val="both"/>
        <w:rPr>
          <w:rFonts w:ascii="宋体" w:hAnsi="宋体" w:eastAsia="宋体" w:cs="宋体"/>
        </w:rPr>
      </w:pPr>
      <w:r>
        <w:rPr>
          <w:rFonts w:hint="eastAsia" w:ascii="宋体" w:hAnsi="宋体" w:eastAsia="宋体" w:cs="宋体"/>
          <w:color w:val="000000"/>
        </w:rPr>
        <w:t>29.4</w:t>
      </w:r>
      <w:r>
        <w:rPr>
          <w:rFonts w:hint="eastAsia" w:ascii="宋体" w:hAnsi="宋体" w:eastAsia="宋体" w:cs="宋体"/>
          <w:color w:val="000000" w:themeColor="text1"/>
          <w14:textFill>
            <w14:solidFill>
              <w14:schemeClr w14:val="tx1"/>
            </w14:solidFill>
          </w14:textFill>
        </w:rPr>
        <w:t>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供应商对除上述事项以外其他事项的询问、质疑请向采购代理机构提出，由采购代理机构负责答复。</w:t>
      </w:r>
    </w:p>
    <w:p w14:paraId="56BB2921">
      <w:pPr>
        <w:spacing w:line="560" w:lineRule="exact"/>
        <w:ind w:firstLine="480"/>
        <w:rPr>
          <w:rFonts w:ascii="宋体" w:hAnsi="宋体" w:eastAsia="宋体" w:cs="宋体"/>
          <w:color w:val="000000"/>
          <w:sz w:val="24"/>
        </w:rPr>
      </w:pPr>
      <w:r>
        <w:rPr>
          <w:rFonts w:hint="eastAsia" w:ascii="宋体" w:hAnsi="宋体" w:eastAsia="宋体" w:cs="宋体"/>
          <w:color w:val="000000"/>
          <w:sz w:val="24"/>
        </w:rPr>
        <w:t>采购代理机构及采购人只接收以纸质原件形式送达的质疑,采购人和采购代理机构不接受未填写快递运单的快件。</w:t>
      </w:r>
      <w:r>
        <w:rPr>
          <w:rFonts w:hint="eastAsia" w:ascii="宋体" w:hAnsi="宋体" w:eastAsia="宋体" w:cs="宋体"/>
          <w:sz w:val="24"/>
        </w:rPr>
        <w:t>采购人及采购代理机构质疑接收人及联系方式见本招标文件第一章。</w:t>
      </w:r>
    </w:p>
    <w:p w14:paraId="3E8F380A">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29.5 以下情形的质疑不予受理</w:t>
      </w:r>
    </w:p>
    <w:p w14:paraId="1FB21C2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29.5.1内容不符合《政府采购质疑和投诉办法》第十二条规定的质疑。</w:t>
      </w:r>
    </w:p>
    <w:p w14:paraId="1C381060">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29.5.2超出政府采购法定期限的质疑。</w:t>
      </w:r>
    </w:p>
    <w:p w14:paraId="718FD09C">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29.5.3以传真、电子邮件等方式递交的非原件形式的质疑。</w:t>
      </w:r>
    </w:p>
    <w:p w14:paraId="6E342BD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29.5.4未参加投标活动的供应商或在投标活动中自身权益未受到损害的供应商所提出的质疑。</w:t>
      </w:r>
    </w:p>
    <w:p w14:paraId="51424B18">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29.5.5供应商组成联合体参加投标，联合体中任何一方或多方未按要求签字、盖章、加盖公章的质疑。</w:t>
      </w:r>
    </w:p>
    <w:p w14:paraId="4EE91FE8">
      <w:pPr>
        <w:pStyle w:val="30"/>
        <w:spacing w:beforeAutospacing="0" w:afterAutospacing="0" w:line="500" w:lineRule="exact"/>
        <w:ind w:firstLine="468"/>
        <w:jc w:val="both"/>
        <w:rPr>
          <w:rFonts w:ascii="宋体" w:hAnsi="宋体" w:eastAsia="宋体" w:cs="宋体"/>
        </w:rPr>
      </w:pPr>
      <w:r>
        <w:rPr>
          <w:rFonts w:hint="eastAsia" w:ascii="宋体" w:hAnsi="宋体" w:eastAsia="宋体" w:cs="宋体"/>
          <w:color w:val="000000"/>
        </w:rPr>
        <w:t>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0CBF8DFF">
      <w:pPr>
        <w:pStyle w:val="30"/>
        <w:keepNext/>
        <w:keepLines/>
        <w:spacing w:beforeAutospacing="0" w:afterAutospacing="0" w:line="500" w:lineRule="exact"/>
        <w:ind w:firstLine="600"/>
        <w:jc w:val="both"/>
        <w:rPr>
          <w:rFonts w:ascii="宋体" w:hAnsi="宋体" w:eastAsia="宋体" w:cs="宋体"/>
        </w:rPr>
      </w:pPr>
      <w:r>
        <w:rPr>
          <w:rFonts w:hint="eastAsia" w:ascii="宋体" w:hAnsi="宋体" w:eastAsia="宋体" w:cs="宋体"/>
          <w:color w:val="000000"/>
        </w:rPr>
        <w:t>30、中标通知书</w:t>
      </w:r>
    </w:p>
    <w:p w14:paraId="2855AF02">
      <w:pPr>
        <w:pStyle w:val="30"/>
        <w:spacing w:beforeAutospacing="0" w:afterAutospacing="0" w:line="500" w:lineRule="exact"/>
        <w:ind w:firstLine="468"/>
        <w:jc w:val="both"/>
        <w:rPr>
          <w:rFonts w:hint="eastAsia" w:ascii="宋体" w:hAnsi="宋体" w:eastAsia="宋体" w:cs="宋体"/>
          <w:color w:val="000000"/>
        </w:rPr>
      </w:pPr>
      <w:r>
        <w:rPr>
          <w:rFonts w:hint="eastAsia" w:ascii="宋体" w:hAnsi="宋体" w:eastAsia="宋体" w:cs="宋体"/>
          <w:color w:val="000000"/>
        </w:rPr>
        <w:t>30.l中标结果确定后，采购人将向中标人发出中标通知书。请中标人在中标结果公告届满之日起30日内,使用CA数字证书登录</w:t>
      </w:r>
      <w:r>
        <w:rPr>
          <w:rFonts w:hint="eastAsia" w:ascii="宋体" w:hAnsi="宋体" w:eastAsia="宋体" w:cs="宋体"/>
          <w:color w:val="FF0000"/>
        </w:rPr>
        <w:t>苏采云系统</w:t>
      </w:r>
      <w:r>
        <w:rPr>
          <w:rFonts w:hint="eastAsia" w:ascii="宋体" w:hAnsi="宋体" w:eastAsia="宋体" w:cs="宋体"/>
          <w:color w:val="000000"/>
        </w:rPr>
        <w:t>及时下载中标通知书。因系统存储空间有限，自中标结果公告届满之日起30日后，苏采云系统不再保证提供下载中标通知书服务,因未及时下载而造成的不利后果由中标人自行承担。</w:t>
      </w:r>
    </w:p>
    <w:p w14:paraId="4962DEC2">
      <w:pPr>
        <w:pStyle w:val="30"/>
        <w:spacing w:beforeAutospacing="0" w:afterAutospacing="0" w:line="500" w:lineRule="exact"/>
        <w:ind w:firstLine="468"/>
        <w:jc w:val="both"/>
        <w:rPr>
          <w:rFonts w:hint="eastAsia" w:ascii="宋体" w:hAnsi="宋体" w:eastAsia="宋体" w:cs="宋体"/>
          <w:color w:val="000000"/>
          <w:lang w:val="en-US" w:eastAsia="zh-CN"/>
        </w:rPr>
      </w:pPr>
      <w:r>
        <w:rPr>
          <w:rFonts w:hint="eastAsia" w:ascii="宋体" w:hAnsi="宋体" w:eastAsia="宋体" w:cs="宋体"/>
          <w:color w:val="000000"/>
        </w:rPr>
        <w:t>30.2中标通知书将是合同的一个组成部分。对采购人和中标人均具有法律效力。中标通知书发出后，采购人改变中标结果的，或者中标人放弃中标项目的，应当依法承担法律责任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lang w:val="en-US" w:eastAsia="zh-CN"/>
        </w:rPr>
        <w:t>。</w:t>
      </w:r>
    </w:p>
    <w:p w14:paraId="59DD2778">
      <w:pPr>
        <w:pStyle w:val="30"/>
        <w:spacing w:beforeAutospacing="0" w:afterAutospacing="0" w:line="500" w:lineRule="exact"/>
        <w:ind w:firstLine="468"/>
        <w:jc w:val="both"/>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30.3</w:t>
      </w:r>
      <w:r>
        <w:rPr>
          <w:rFonts w:hint="eastAsia" w:ascii="宋体" w:hAnsi="宋体" w:eastAsia="宋体" w:cs="宋体"/>
          <w:color w:val="000000"/>
          <w:highlight w:val="none"/>
        </w:rPr>
        <w:t>成交供应商拒绝签订政府采购合同的，应当依法承担法律责任</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招标人依法</w:t>
      </w:r>
      <w:r>
        <w:rPr>
          <w:rFonts w:hint="eastAsia" w:ascii="宋体" w:hAnsi="宋体" w:eastAsia="宋体" w:cs="宋体"/>
          <w:color w:val="000000"/>
          <w:highlight w:val="none"/>
        </w:rPr>
        <w:t>重新开展采购活动。</w:t>
      </w:r>
    </w:p>
    <w:p w14:paraId="548A21BD">
      <w:pPr>
        <w:pStyle w:val="30"/>
        <w:keepNext/>
        <w:keepLines/>
        <w:spacing w:beforeAutospacing="0" w:afterAutospacing="0" w:line="500" w:lineRule="exact"/>
        <w:jc w:val="both"/>
        <w:rPr>
          <w:rFonts w:ascii="宋体" w:hAnsi="宋体" w:eastAsia="宋体" w:cs="宋体"/>
        </w:rPr>
      </w:pPr>
      <w:bookmarkStart w:id="167" w:name="_Toc120614220"/>
      <w:bookmarkStart w:id="168" w:name="_Toc513029236"/>
      <w:bookmarkStart w:id="169" w:name="_Toc16938552"/>
      <w:bookmarkStart w:id="170" w:name="_Toc20823308"/>
      <w:r>
        <w:rPr>
          <w:rFonts w:hint="eastAsia" w:ascii="宋体" w:hAnsi="宋体" w:eastAsia="宋体" w:cs="宋体"/>
          <w:b/>
          <w:color w:val="000000"/>
        </w:rPr>
        <w:t>七、授予合同</w:t>
      </w:r>
      <w:bookmarkEnd w:id="167"/>
      <w:bookmarkEnd w:id="168"/>
      <w:bookmarkEnd w:id="169"/>
      <w:bookmarkEnd w:id="170"/>
    </w:p>
    <w:p w14:paraId="3A8DCE5B">
      <w:pPr>
        <w:pStyle w:val="30"/>
        <w:keepNext/>
        <w:keepLines/>
        <w:spacing w:beforeAutospacing="0" w:afterAutospacing="0" w:line="500" w:lineRule="exact"/>
        <w:ind w:firstLine="600"/>
        <w:jc w:val="both"/>
        <w:rPr>
          <w:rFonts w:ascii="宋体" w:hAnsi="宋体" w:eastAsia="宋体" w:cs="宋体"/>
        </w:rPr>
      </w:pPr>
      <w:bookmarkStart w:id="171" w:name="_Toc16938553"/>
      <w:bookmarkStart w:id="172" w:name="_Toc20823309"/>
      <w:bookmarkStart w:id="173" w:name="_Toc513029237"/>
      <w:r>
        <w:rPr>
          <w:rFonts w:hint="eastAsia" w:ascii="宋体" w:hAnsi="宋体" w:eastAsia="宋体" w:cs="宋体"/>
          <w:color w:val="000000"/>
        </w:rPr>
        <w:t>31.签订合同</w:t>
      </w:r>
      <w:bookmarkEnd w:id="171"/>
      <w:bookmarkEnd w:id="172"/>
      <w:bookmarkEnd w:id="173"/>
    </w:p>
    <w:p w14:paraId="0C95EA99">
      <w:pPr>
        <w:pStyle w:val="30"/>
        <w:spacing w:beforeAutospacing="0" w:afterAutospacing="0" w:line="500" w:lineRule="exact"/>
        <w:ind w:firstLine="600"/>
        <w:jc w:val="both"/>
        <w:rPr>
          <w:rFonts w:ascii="宋体" w:hAnsi="宋体" w:cs="宋体"/>
        </w:rPr>
      </w:pPr>
      <w:r>
        <w:rPr>
          <w:rFonts w:hint="eastAsia" w:ascii="宋体" w:hAnsi="宋体" w:eastAsia="宋体" w:cs="宋体"/>
          <w:color w:val="000000"/>
        </w:rPr>
        <w:t>31.l中标人应当在中标通知书发出之日起三十日内（原则上应在15日），按照招标文件确定的事项与采购人签订政府采购合同。</w:t>
      </w:r>
      <w:r>
        <w:rPr>
          <w:rFonts w:hint="eastAsia" w:ascii="宋体" w:hAnsi="宋体"/>
        </w:rPr>
        <w:t>合同签订后2个工作日内合同公示。</w:t>
      </w:r>
    </w:p>
    <w:p w14:paraId="54C6A823">
      <w:pPr>
        <w:pStyle w:val="30"/>
        <w:spacing w:beforeAutospacing="0" w:afterAutospacing="0" w:line="500" w:lineRule="exact"/>
        <w:ind w:firstLine="600"/>
        <w:jc w:val="both"/>
        <w:rPr>
          <w:rFonts w:ascii="宋体" w:hAnsi="宋体" w:eastAsia="宋体" w:cs="宋体"/>
        </w:rPr>
      </w:pPr>
      <w:r>
        <w:rPr>
          <w:rFonts w:hint="eastAsia" w:ascii="宋体" w:hAnsi="宋体" w:eastAsia="宋体" w:cs="宋体"/>
          <w:color w:val="000000"/>
        </w:rPr>
        <w:t>31.2招标文件、中标人的投标文件及招标过程中有关澄清、承诺文件均应作为合同附件。</w:t>
      </w:r>
    </w:p>
    <w:p w14:paraId="499144DA">
      <w:pPr>
        <w:pStyle w:val="30"/>
        <w:spacing w:beforeAutospacing="0" w:afterAutospacing="0" w:line="500" w:lineRule="exact"/>
        <w:ind w:firstLine="600"/>
        <w:jc w:val="both"/>
        <w:rPr>
          <w:rFonts w:ascii="宋体" w:hAnsi="宋体" w:eastAsia="宋体" w:cs="宋体"/>
        </w:rPr>
      </w:pPr>
      <w:r>
        <w:rPr>
          <w:rFonts w:hint="eastAsia" w:ascii="宋体" w:hAnsi="宋体" w:eastAsia="宋体" w:cs="宋体"/>
          <w:color w:val="000000"/>
        </w:rPr>
        <w:t>31.3签订合同后，</w:t>
      </w:r>
      <w:r>
        <w:rPr>
          <w:rFonts w:hint="eastAsia" w:ascii="宋体" w:hAnsi="宋体" w:eastAsia="宋体" w:cs="宋体"/>
          <w:i/>
          <w:color w:val="000000"/>
          <w:u w:val="single"/>
        </w:rPr>
        <w:t>中标人不得将合同标的进行转包</w:t>
      </w:r>
      <w:r>
        <w:rPr>
          <w:rFonts w:hint="eastAsia" w:ascii="宋体" w:hAnsi="宋体" w:eastAsia="宋体" w:cs="宋体"/>
          <w:color w:val="000000"/>
        </w:rPr>
        <w:t>。未经采购人同意，中标人也不得采用分包的形式履行合同，否则采购人有权终止合同。转包或分包造成采购人损失的，中标人应承担相应赔偿责任。</w:t>
      </w:r>
    </w:p>
    <w:p w14:paraId="71ECEF9A">
      <w:pPr>
        <w:pStyle w:val="30"/>
        <w:keepNext/>
        <w:keepLines/>
        <w:spacing w:beforeAutospacing="0" w:afterAutospacing="0" w:line="560" w:lineRule="exact"/>
        <w:ind w:firstLine="480"/>
        <w:jc w:val="both"/>
        <w:rPr>
          <w:rFonts w:ascii="宋体" w:hAnsi="宋体" w:eastAsia="宋体" w:cs="宋体"/>
        </w:rPr>
      </w:pPr>
      <w:r>
        <w:rPr>
          <w:rFonts w:hint="eastAsia" w:ascii="宋体" w:hAnsi="宋体" w:eastAsia="宋体" w:cs="宋体"/>
          <w:color w:val="000000"/>
        </w:rPr>
        <w:t>32、货物（包含与货物相关的服务）的追加</w:t>
      </w:r>
    </w:p>
    <w:p w14:paraId="40E6A7A4">
      <w:pPr>
        <w:pStyle w:val="30"/>
        <w:spacing w:beforeAutospacing="0" w:afterAutospacing="0" w:line="560" w:lineRule="exact"/>
        <w:ind w:firstLine="480"/>
        <w:jc w:val="both"/>
        <w:rPr>
          <w:rFonts w:ascii="宋体" w:hAnsi="宋体" w:eastAsia="宋体" w:cs="宋体"/>
        </w:rPr>
      </w:pPr>
      <w:r>
        <w:rPr>
          <w:rFonts w:hint="eastAsia" w:ascii="宋体" w:hAnsi="宋体" w:eastAsia="宋体" w:cs="宋体"/>
          <w:color w:val="000000"/>
        </w:rPr>
        <w:t>32.1本项目无后期追加。</w:t>
      </w:r>
    </w:p>
    <w:p w14:paraId="7427E51F">
      <w:pPr>
        <w:pStyle w:val="30"/>
        <w:spacing w:beforeAutospacing="0" w:afterAutospacing="0" w:line="560" w:lineRule="exact"/>
        <w:ind w:firstLine="480"/>
        <w:jc w:val="both"/>
        <w:rPr>
          <w:rFonts w:ascii="宋体" w:hAnsi="宋体" w:eastAsia="宋体" w:cs="宋体"/>
          <w:color w:val="000000"/>
        </w:rPr>
      </w:pPr>
      <w:bookmarkStart w:id="174" w:name="_Toc479757207"/>
      <w:bookmarkStart w:id="175" w:name="_Toc16938558"/>
      <w:bookmarkStart w:id="176" w:name="_Toc513029242"/>
      <w:bookmarkStart w:id="177" w:name="_Toc20823314"/>
      <w:bookmarkStart w:id="178" w:name="_Toc120614221"/>
      <w:r>
        <w:rPr>
          <w:rFonts w:hint="eastAsia" w:ascii="宋体" w:hAnsi="宋体" w:eastAsia="宋体" w:cs="宋体"/>
          <w:color w:val="000000"/>
        </w:rPr>
        <w:t>33、</w:t>
      </w:r>
      <w:bookmarkEnd w:id="174"/>
      <w:bookmarkEnd w:id="175"/>
      <w:bookmarkEnd w:id="176"/>
      <w:bookmarkEnd w:id="177"/>
      <w:bookmarkEnd w:id="178"/>
      <w:r>
        <w:rPr>
          <w:rFonts w:hint="eastAsia" w:ascii="宋体" w:hAnsi="宋体" w:eastAsia="宋体" w:cs="宋体"/>
          <w:color w:val="000000"/>
        </w:rPr>
        <w:t>政府采购政策功能落实</w:t>
      </w:r>
    </w:p>
    <w:p w14:paraId="40D7EA44">
      <w:pPr>
        <w:pStyle w:val="30"/>
        <w:spacing w:beforeAutospacing="0" w:afterAutospacing="0" w:line="560" w:lineRule="exact"/>
        <w:ind w:firstLine="480"/>
        <w:jc w:val="both"/>
        <w:rPr>
          <w:rFonts w:ascii="宋体" w:hAnsi="宋体" w:eastAsia="宋体" w:cs="宋体"/>
          <w:color w:val="000000"/>
        </w:rPr>
      </w:pPr>
      <w:bookmarkStart w:id="179" w:name="_Toc22536"/>
      <w:bookmarkStart w:id="180" w:name="_Toc7364"/>
      <w:r>
        <w:rPr>
          <w:rFonts w:hint="eastAsia" w:ascii="宋体" w:hAnsi="宋体" w:eastAsia="宋体" w:cs="宋体"/>
          <w:color w:val="000000"/>
        </w:rPr>
        <w:t>33.1政府采购线上合同信用融资政策</w:t>
      </w:r>
    </w:p>
    <w:p w14:paraId="7E274042">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p>
    <w:p w14:paraId="6744ECC5">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33.2进口产品</w:t>
      </w:r>
    </w:p>
    <w:p w14:paraId="357CF323">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FCF2B82">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33.3中小企业、监狱企业及残疾人福利性单位</w:t>
      </w:r>
    </w:p>
    <w:p w14:paraId="307E9143">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33.3.1中小企业定义：</w:t>
      </w:r>
    </w:p>
    <w:p w14:paraId="18D96F79">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FA7CAFB">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33.3.2供应商提供的货物、工程或者服务符合下列情形的，享受中小企业扶持政策：</w:t>
      </w:r>
    </w:p>
    <w:p w14:paraId="23B32A92">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33.3.2.1在货物采购项目中，货物由中小企业制造，即货物由中小企业生产且使用该中小企业商号或者注册商标；</w:t>
      </w:r>
    </w:p>
    <w:p w14:paraId="0A10D253">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33.3.2.2在工程采购项目中，工程由中小企业承建，即工程施工单位为中小企业；</w:t>
      </w:r>
    </w:p>
    <w:p w14:paraId="6DCB204D">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33.3.2.3在服务采购项目中，服务由中小企业承接，即提供服务的人员为中小企业依照《中华人民共和国劳动合同法》订立劳动合同的从业人员。</w:t>
      </w:r>
    </w:p>
    <w:p w14:paraId="7DB44AC3">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33.3.3在货物采购项目中，供应商提供的货物既有中小企业制造货物，也有大型企业制造货物的，不享受中小企业扶持政策。</w:t>
      </w:r>
    </w:p>
    <w:p w14:paraId="11C09BD5">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33.3.4以联合体形式参加政府采购活动，联合体各方均为中小企业的，联合体视同中小企业。其中，联合体各方均为小微企业的，联合体视同小微企业。</w:t>
      </w:r>
    </w:p>
    <w:p w14:paraId="1B010662">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A8F3DF7">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33.3.6残疾人福利单位定义：享受政府采购支持政策的残疾人福利性单位应当同时满足以下条件：</w:t>
      </w:r>
    </w:p>
    <w:p w14:paraId="2EE0670F">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33.3.6.1安置的残疾人占本单位在职职工人数的比例不低于25%（含25%），并且安置的残疾人人数不少于10 人（含10 人）；</w:t>
      </w:r>
    </w:p>
    <w:p w14:paraId="1C6DC095">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33.3.6.2依法与安置的每位残疾人签订了一年以上（含一年）的劳动合同或服务协议；</w:t>
      </w:r>
    </w:p>
    <w:p w14:paraId="05574EB5">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33.3.6.3为安置的每位残疾人按月足额缴纳了基本养老保险、基本医疗保险、失业保险、工伤保险和生育保险等社会保险费；</w:t>
      </w:r>
    </w:p>
    <w:p w14:paraId="439EF5AB">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33.3.6.4通过银行等金融机构向安置的每位残疾人，按月支付了不低于单位所在区县适用的经省级人民政府批准的月最低工资标准的工资；</w:t>
      </w:r>
    </w:p>
    <w:p w14:paraId="31DE9EF4">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33.3.6.5提供本单位制造的货物、承担的工程或者服务（以下简称产品），或者提供其他残疾人福利性单位制造的货物（不包括使用非残疾人福利性单位注册商标的货物）；</w:t>
      </w:r>
    </w:p>
    <w:p w14:paraId="4E1FA0C2">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0B80B2A">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33.3.7本项目是否专门面向中小企业预留采购份额见第一章《招标公告》。</w:t>
      </w:r>
    </w:p>
    <w:p w14:paraId="235757EF">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33.3.8采购标的对应的中小企业划分标准所属行业见第四章《采购需求》。</w:t>
      </w:r>
    </w:p>
    <w:p w14:paraId="03D1C47B">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33.3.9小微企业价格评审优惠的政策：见第五章《评标方法和评标标准》。</w:t>
      </w:r>
    </w:p>
    <w:p w14:paraId="595D4FA3">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33.4政府采购节能产品、环境标志产品</w:t>
      </w:r>
    </w:p>
    <w:p w14:paraId="73D07D3F">
      <w:pPr>
        <w:pStyle w:val="30"/>
        <w:spacing w:beforeAutospacing="0" w:afterAutospacing="0" w:line="560" w:lineRule="exact"/>
        <w:ind w:firstLine="480"/>
        <w:jc w:val="both"/>
        <w:rPr>
          <w:rFonts w:ascii="宋体" w:hAnsi="宋体" w:eastAsia="宋体" w:cs="宋体"/>
          <w:color w:val="000000"/>
          <w:highlight w:val="yellow"/>
        </w:rPr>
      </w:pPr>
      <w:r>
        <w:rPr>
          <w:rFonts w:hint="eastAsia" w:ascii="宋体" w:hAnsi="宋体" w:eastAsia="宋体" w:cs="宋体"/>
          <w:color w:val="000000"/>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color w:val="000000"/>
          <w:highlight w:val="none"/>
        </w:rPr>
        <w:t>如属政府强制采购产品未提供认证证书的或认证证书提供不全的将视为未实质性响应采购要求。其他条件相同情况下，应当优先采购节能产品、环境标志产品。</w:t>
      </w:r>
    </w:p>
    <w:p w14:paraId="6880DB6C">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0DD87EB">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33.5绿色包装</w:t>
      </w:r>
    </w:p>
    <w:p w14:paraId="2A164C3A">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本项目中涉及商品的包装应按照“财办库〔2020〕123号《关于印发《商品包装政府采购需求标准（试行）》、《快递包装政府采购需求标准（试行）》的通知》”执行,在供货、安装过程中能做到低碳物流、环保节约、提高资源利用率。</w:t>
      </w:r>
    </w:p>
    <w:p w14:paraId="55165886">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33.6政府采购创新产品</w:t>
      </w:r>
    </w:p>
    <w:p w14:paraId="7B5887CB">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采购人优先采购各级政府部门公开发布的有效期内的创新产品、创新服务、首台套、首购首用等《目录》的创新产品。</w:t>
      </w:r>
    </w:p>
    <w:p w14:paraId="60DF841A">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 xml:space="preserve">33.7绿色数据中心政策 </w:t>
      </w:r>
    </w:p>
    <w:p w14:paraId="485EC7AB">
      <w:pPr>
        <w:pStyle w:val="30"/>
        <w:spacing w:beforeAutospacing="0" w:afterAutospacing="0" w:line="560" w:lineRule="exact"/>
        <w:ind w:firstLine="480"/>
        <w:jc w:val="both"/>
        <w:rPr>
          <w:rFonts w:hint="eastAsia" w:ascii="宋体" w:hAnsi="宋体" w:eastAsia="宋体" w:cs="宋体"/>
          <w:color w:val="000000"/>
        </w:rPr>
      </w:pPr>
      <w:r>
        <w:rPr>
          <w:rFonts w:hint="eastAsia" w:ascii="宋体" w:hAnsi="宋体" w:eastAsia="宋体" w:cs="宋体"/>
          <w:color w:val="000000"/>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A6507C9">
      <w:pPr>
        <w:pStyle w:val="30"/>
        <w:spacing w:beforeAutospacing="0" w:afterAutospacing="0" w:line="540" w:lineRule="exact"/>
        <w:ind w:firstLine="480"/>
        <w:jc w:val="both"/>
        <w:rPr>
          <w:rFonts w:ascii="宋体" w:hAnsi="宋体" w:eastAsia="宋体" w:cs="宋体"/>
          <w:b/>
          <w:bCs/>
        </w:rPr>
      </w:pPr>
      <w:r>
        <w:rPr>
          <w:rFonts w:hint="eastAsia" w:ascii="宋体" w:hAnsi="宋体" w:eastAsia="宋体" w:cs="宋体"/>
          <w:b/>
          <w:bCs/>
        </w:rPr>
        <w:t>33.8实施本国产品标准及相关政策</w:t>
      </w:r>
    </w:p>
    <w:p w14:paraId="7B4C191B">
      <w:pPr>
        <w:spacing w:line="540" w:lineRule="exact"/>
        <w:ind w:firstLine="480" w:firstLineChars="200"/>
        <w:rPr>
          <w:rFonts w:ascii="宋体" w:hAnsi="宋体" w:eastAsia="宋体" w:cs="宋体"/>
          <w:kern w:val="0"/>
          <w:sz w:val="24"/>
        </w:rPr>
      </w:pPr>
      <w:r>
        <w:rPr>
          <w:rFonts w:hint="eastAsia" w:ascii="宋体" w:hAnsi="宋体" w:eastAsia="宋体" w:cs="宋体"/>
          <w:kern w:val="0"/>
          <w:sz w:val="24"/>
        </w:rPr>
        <w:t>1.本项目对采购本国产品给予政策支持，具体内容见招标文件“第五章 评标方法与评标标准”。</w:t>
      </w:r>
    </w:p>
    <w:p w14:paraId="04114C16">
      <w:pPr>
        <w:spacing w:line="540" w:lineRule="exact"/>
        <w:ind w:firstLine="480" w:firstLineChars="200"/>
        <w:rPr>
          <w:rFonts w:ascii="宋体" w:hAnsi="宋体" w:eastAsia="宋体" w:cs="宋体"/>
          <w:kern w:val="0"/>
          <w:sz w:val="24"/>
        </w:rPr>
      </w:pPr>
      <w:r>
        <w:rPr>
          <w:rFonts w:hint="eastAsia" w:ascii="宋体" w:hAnsi="宋体" w:eastAsia="宋体" w:cs="宋体"/>
          <w:kern w:val="0"/>
          <w:sz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9072A48">
      <w:pPr>
        <w:spacing w:line="540" w:lineRule="exact"/>
        <w:ind w:firstLine="480" w:firstLineChars="200"/>
        <w:rPr>
          <w:rFonts w:ascii="宋体" w:hAnsi="宋体" w:eastAsia="宋体" w:cs="宋体"/>
          <w:kern w:val="0"/>
          <w:sz w:val="24"/>
        </w:rPr>
      </w:pPr>
      <w:r>
        <w:rPr>
          <w:rFonts w:hint="eastAsia" w:ascii="宋体" w:hAnsi="宋体" w:eastAsia="宋体" w:cs="宋体"/>
          <w:kern w:val="0"/>
          <w:sz w:val="24"/>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993801B">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34、履约保证金</w:t>
      </w:r>
      <w:bookmarkEnd w:id="179"/>
      <w:bookmarkEnd w:id="180"/>
      <w:r>
        <w:rPr>
          <w:rFonts w:hint="eastAsia" w:ascii="宋体" w:hAnsi="宋体" w:eastAsia="宋体" w:cs="宋体"/>
          <w:color w:val="000000"/>
        </w:rPr>
        <w:t>政策</w:t>
      </w:r>
    </w:p>
    <w:p w14:paraId="7462E29C">
      <w:pPr>
        <w:spacing w:line="560" w:lineRule="exact"/>
        <w:ind w:firstLine="480"/>
        <w:rPr>
          <w:rFonts w:ascii="宋体" w:hAnsi="宋体" w:eastAsia="宋体" w:cs="宋体"/>
          <w:sz w:val="24"/>
        </w:rPr>
      </w:pPr>
      <w:r>
        <w:rPr>
          <w:rFonts w:hint="eastAsia" w:ascii="宋体" w:hAnsi="宋体" w:eastAsia="宋体" w:cs="宋体"/>
          <w:sz w:val="24"/>
        </w:rPr>
        <w:t>签订合同前中标方须交纳</w:t>
      </w:r>
      <w:r>
        <w:rPr>
          <w:rFonts w:hint="eastAsia" w:ascii="宋体" w:hAnsi="宋体" w:eastAsia="宋体" w:cs="宋体"/>
          <w:b/>
          <w:bCs/>
          <w:sz w:val="24"/>
        </w:rPr>
        <w:t>中标额*</w:t>
      </w:r>
      <w:r>
        <w:rPr>
          <w:rFonts w:hint="eastAsia" w:ascii="宋体" w:hAnsi="宋体" w:eastAsia="宋体" w:cs="宋体"/>
          <w:b/>
          <w:bCs/>
          <w:sz w:val="24"/>
          <w:highlight w:val="none"/>
          <w:lang w:val="en-US" w:eastAsia="zh-CN"/>
        </w:rPr>
        <w:t>10</w:t>
      </w:r>
      <w:r>
        <w:rPr>
          <w:rFonts w:hint="eastAsia" w:ascii="宋体" w:hAnsi="宋体" w:eastAsia="宋体" w:cs="宋体"/>
          <w:b/>
          <w:bCs/>
          <w:sz w:val="24"/>
          <w:highlight w:val="none"/>
        </w:rPr>
        <w:t>%</w:t>
      </w:r>
      <w:r>
        <w:rPr>
          <w:rFonts w:hint="eastAsia" w:ascii="宋体" w:hAnsi="宋体" w:eastAsia="宋体" w:cs="宋体"/>
          <w:sz w:val="24"/>
        </w:rPr>
        <w:t>的履约保证金到采购人指定账户；供应商自主选择以支票、汇票、本票、保函、</w:t>
      </w:r>
      <w:r>
        <w:rPr>
          <w:rFonts w:ascii="宋体" w:hAnsi="宋体" w:eastAsia="宋体" w:cs="宋体"/>
          <w:color w:val="000000"/>
          <w:sz w:val="24"/>
        </w:rPr>
        <w:t>政府采购电子履约保函（保险）平台（www.jsdzbh.com）在线申请履约保函（保险）</w:t>
      </w:r>
      <w:r>
        <w:rPr>
          <w:rFonts w:hint="eastAsia" w:ascii="宋体" w:hAnsi="宋体" w:eastAsia="宋体" w:cs="宋体"/>
          <w:sz w:val="24"/>
        </w:rPr>
        <w:t>等非现金形式缴纳或提交</w:t>
      </w:r>
      <w:r>
        <w:rPr>
          <w:rFonts w:ascii="宋体" w:hAnsi="宋体" w:eastAsia="宋体" w:cs="宋体"/>
          <w:color w:val="000000"/>
          <w:sz w:val="24"/>
        </w:rPr>
        <w:t>。</w:t>
      </w:r>
      <w:r>
        <w:rPr>
          <w:rFonts w:hint="eastAsia" w:ascii="宋体" w:hAnsi="宋体" w:eastAsia="宋体" w:cs="宋体"/>
          <w:sz w:val="24"/>
        </w:rPr>
        <w:t>根据合同履行情况，中标单位在履约期内无违约行为的，采购人在验收合格后15日内全额退还履约保证金，不计利息。</w:t>
      </w:r>
    </w:p>
    <w:p w14:paraId="5F9DCAC1">
      <w:pPr>
        <w:spacing w:line="560" w:lineRule="exact"/>
        <w:ind w:firstLine="480"/>
        <w:rPr>
          <w:rFonts w:ascii="宋体" w:hAnsi="宋体" w:eastAsia="宋体" w:cs="宋体"/>
          <w:color w:val="000000"/>
          <w:sz w:val="24"/>
        </w:rPr>
      </w:pPr>
      <w:r>
        <w:rPr>
          <w:rFonts w:hint="eastAsia" w:ascii="宋体" w:hAnsi="宋体" w:eastAsia="宋体" w:cs="宋体"/>
          <w:sz w:val="24"/>
        </w:rPr>
        <w:t>采购人对第三方信用服务机构依据标准规范评定为AA级及以上的政府采购供应商（需在签订采购合同前提供信用管理部门备案的第三方信用报告，且信用报告通过“信用盐城网”可查实），</w:t>
      </w:r>
      <w:r>
        <w:rPr>
          <w:rFonts w:ascii="宋体" w:hAnsi="宋体" w:eastAsia="宋体" w:cs="宋体"/>
          <w:color w:val="000000"/>
          <w:sz w:val="24"/>
          <w:highlight w:val="none"/>
        </w:rPr>
        <w:t>免收履约保证金</w:t>
      </w:r>
      <w:r>
        <w:rPr>
          <w:rFonts w:ascii="宋体" w:hAnsi="宋体" w:eastAsia="宋体" w:cs="宋体"/>
          <w:color w:val="000000"/>
          <w:sz w:val="24"/>
        </w:rPr>
        <w:t>。具体操作流程请按射财库【2021】17号文和射财库【2021】20号文执行。</w:t>
      </w:r>
    </w:p>
    <w:p w14:paraId="4BEF7C83">
      <w:pPr>
        <w:spacing w:line="560" w:lineRule="exact"/>
        <w:ind w:firstLine="480"/>
        <w:rPr>
          <w:rFonts w:ascii="宋体" w:hAnsi="宋体" w:eastAsia="宋体" w:cs="宋体"/>
          <w:color w:val="000000"/>
        </w:rPr>
      </w:pPr>
      <w:r>
        <w:rPr>
          <w:rFonts w:hint="eastAsia" w:ascii="宋体" w:hAnsi="宋体" w:eastAsia="宋体" w:cs="宋体"/>
          <w:sz w:val="24"/>
        </w:rPr>
        <w:t>依据《关于在全省政府采购领域推行电子履约保函（保险）的通知》，鼓励供应商自愿使用履约保函（保险）代替缴纳履约保证金。</w:t>
      </w:r>
    </w:p>
    <w:p w14:paraId="4135611C">
      <w:pPr>
        <w:spacing w:line="560" w:lineRule="exact"/>
        <w:ind w:firstLine="480"/>
        <w:rPr>
          <w:rFonts w:ascii="宋体" w:hAnsi="宋体" w:eastAsia="宋体" w:cs="宋体"/>
          <w:sz w:val="24"/>
        </w:rPr>
      </w:pPr>
      <w:r>
        <w:rPr>
          <w:rFonts w:hint="eastAsia" w:ascii="宋体" w:hAnsi="宋体" w:eastAsia="宋体" w:cs="宋体"/>
          <w:sz w:val="24"/>
        </w:rPr>
        <w:t>35、预付款制度</w:t>
      </w:r>
    </w:p>
    <w:p w14:paraId="3E7CC607">
      <w:pPr>
        <w:spacing w:line="560" w:lineRule="exact"/>
        <w:ind w:firstLine="480"/>
        <w:rPr>
          <w:rFonts w:hint="eastAsia" w:ascii="宋体" w:hAnsi="宋体" w:eastAsia="宋体" w:cs="宋体"/>
          <w:sz w:val="24"/>
          <w:szCs w:val="24"/>
        </w:rPr>
      </w:pPr>
      <w:r>
        <w:rPr>
          <w:rFonts w:hint="eastAsia" w:ascii="宋体" w:hAnsi="宋体" w:eastAsia="宋体" w:cs="宋体"/>
          <w:sz w:val="24"/>
        </w:rPr>
        <w:t>本项目落实预付款制度，预付款比例为</w:t>
      </w:r>
      <w:r>
        <w:rPr>
          <w:rFonts w:hint="eastAsia" w:ascii="宋体" w:hAnsi="宋体" w:eastAsia="宋体" w:cs="宋体"/>
          <w:sz w:val="24"/>
          <w:u w:val="single"/>
        </w:rPr>
        <w:t>30%</w:t>
      </w:r>
      <w:r>
        <w:rPr>
          <w:rFonts w:hint="eastAsia" w:ascii="宋体" w:hAnsi="宋体" w:eastAsia="宋体" w:cs="宋体"/>
          <w:sz w:val="24"/>
        </w:rPr>
        <w:t>。在签订合同时，中标供应商明确书面表示无需预付款或者主动要求降低预付款比例的，采购人可就预付款比例作相应调整。</w:t>
      </w:r>
    </w:p>
    <w:p w14:paraId="154C20BF">
      <w:pPr>
        <w:spacing w:line="560" w:lineRule="exact"/>
        <w:ind w:firstLine="480"/>
        <w:jc w:val="center"/>
        <w:rPr>
          <w:rFonts w:hint="eastAsia" w:ascii="黑体" w:hAnsi="宋体" w:eastAsia="黑体" w:cs="黑体"/>
          <w:color w:val="000000"/>
          <w:sz w:val="44"/>
          <w:szCs w:val="44"/>
        </w:rPr>
      </w:pPr>
    </w:p>
    <w:p w14:paraId="655DBBF7">
      <w:pPr>
        <w:spacing w:line="560" w:lineRule="exact"/>
        <w:ind w:firstLine="480"/>
        <w:jc w:val="center"/>
        <w:rPr>
          <w:rFonts w:hint="eastAsia" w:ascii="黑体" w:hAnsi="宋体" w:eastAsia="黑体" w:cs="黑体"/>
          <w:color w:val="000000"/>
          <w:sz w:val="44"/>
          <w:szCs w:val="44"/>
        </w:rPr>
      </w:pPr>
    </w:p>
    <w:p w14:paraId="456ED93D">
      <w:pPr>
        <w:spacing w:line="560" w:lineRule="exact"/>
        <w:ind w:firstLine="480"/>
        <w:jc w:val="center"/>
        <w:rPr>
          <w:rFonts w:hint="eastAsia" w:ascii="黑体" w:hAnsi="宋体" w:eastAsia="黑体" w:cs="黑体"/>
          <w:color w:val="000000"/>
          <w:sz w:val="44"/>
          <w:szCs w:val="44"/>
        </w:rPr>
      </w:pPr>
    </w:p>
    <w:p w14:paraId="073E0E5B">
      <w:pPr>
        <w:spacing w:line="560" w:lineRule="exact"/>
        <w:ind w:firstLine="480"/>
        <w:jc w:val="center"/>
        <w:rPr>
          <w:rFonts w:hint="eastAsia" w:ascii="黑体" w:hAnsi="宋体" w:eastAsia="黑体" w:cs="黑体"/>
          <w:color w:val="000000"/>
          <w:sz w:val="44"/>
          <w:szCs w:val="44"/>
        </w:rPr>
      </w:pPr>
    </w:p>
    <w:p w14:paraId="2BBAE91D">
      <w:pPr>
        <w:spacing w:line="560" w:lineRule="exact"/>
        <w:ind w:firstLine="480"/>
        <w:jc w:val="center"/>
        <w:rPr>
          <w:rFonts w:hint="eastAsia" w:ascii="黑体" w:hAnsi="宋体" w:eastAsia="黑体" w:cs="黑体"/>
          <w:color w:val="000000"/>
          <w:sz w:val="44"/>
          <w:szCs w:val="44"/>
        </w:rPr>
      </w:pPr>
    </w:p>
    <w:p w14:paraId="518C94DA">
      <w:pPr>
        <w:spacing w:line="560" w:lineRule="exact"/>
        <w:ind w:firstLine="480"/>
        <w:jc w:val="center"/>
        <w:rPr>
          <w:rFonts w:hint="eastAsia" w:ascii="黑体" w:hAnsi="宋体" w:eastAsia="黑体" w:cs="黑体"/>
          <w:color w:val="000000"/>
          <w:sz w:val="44"/>
          <w:szCs w:val="44"/>
        </w:rPr>
      </w:pPr>
    </w:p>
    <w:p w14:paraId="72A38259">
      <w:pPr>
        <w:spacing w:line="560" w:lineRule="exact"/>
        <w:ind w:firstLine="480"/>
        <w:jc w:val="center"/>
        <w:rPr>
          <w:rFonts w:hint="eastAsia" w:ascii="黑体" w:hAnsi="宋体" w:eastAsia="黑体" w:cs="黑体"/>
          <w:color w:val="000000"/>
          <w:sz w:val="44"/>
          <w:szCs w:val="44"/>
        </w:rPr>
      </w:pPr>
    </w:p>
    <w:p w14:paraId="1E3AE62D">
      <w:pPr>
        <w:spacing w:line="560" w:lineRule="exact"/>
        <w:ind w:firstLine="480"/>
        <w:jc w:val="center"/>
        <w:rPr>
          <w:rFonts w:hint="eastAsia" w:ascii="黑体" w:hAnsi="宋体" w:eastAsia="黑体" w:cs="黑体"/>
          <w:color w:val="000000"/>
          <w:sz w:val="44"/>
          <w:szCs w:val="44"/>
        </w:rPr>
      </w:pPr>
    </w:p>
    <w:p w14:paraId="220B7E45">
      <w:pPr>
        <w:spacing w:line="560" w:lineRule="exact"/>
        <w:ind w:firstLine="480"/>
        <w:jc w:val="center"/>
        <w:rPr>
          <w:rFonts w:ascii="宋体" w:hAnsi="宋体" w:eastAsia="宋体" w:cs="宋体"/>
          <w:sz w:val="24"/>
          <w:szCs w:val="24"/>
        </w:rPr>
      </w:pPr>
      <w:r>
        <w:rPr>
          <w:rFonts w:hint="eastAsia" w:ascii="黑体" w:hAnsi="宋体" w:eastAsia="黑体" w:cs="黑体"/>
          <w:color w:val="000000"/>
          <w:sz w:val="44"/>
          <w:szCs w:val="44"/>
        </w:rPr>
        <w:t>第三章  合同文本</w:t>
      </w:r>
    </w:p>
    <w:p w14:paraId="02E16CE1">
      <w:pPr>
        <w:pBdr>
          <w:top w:val="none" w:color="000000" w:sz="0" w:space="0"/>
          <w:left w:val="none" w:color="000000" w:sz="0" w:space="0"/>
          <w:bottom w:val="none" w:color="000000" w:sz="0" w:space="0"/>
          <w:right w:val="none" w:color="000000" w:sz="0" w:space="0"/>
        </w:pBdr>
        <w:spacing w:line="479" w:lineRule="atLeast"/>
        <w:jc w:val="center"/>
        <w:rPr>
          <w:rFonts w:hAnsi="宋体" w:eastAsia="宋体" w:cs="宋体"/>
          <w:sz w:val="28"/>
          <w:szCs w:val="28"/>
        </w:rPr>
      </w:pPr>
      <w:bookmarkStart w:id="181" w:name="_Toc479757211"/>
      <w:bookmarkStart w:id="182" w:name="_Toc462564139"/>
      <w:bookmarkStart w:id="183" w:name="_Toc20823346"/>
      <w:bookmarkStart w:id="184" w:name="_Toc16938590"/>
      <w:bookmarkStart w:id="185" w:name="_Toc120614244"/>
      <w:bookmarkStart w:id="186" w:name="_Hlt16619350"/>
      <w:bookmarkStart w:id="187" w:name="_Hlt16619369"/>
      <w:r>
        <w:rPr>
          <w:rFonts w:hint="eastAsia" w:hAnsi="宋体" w:eastAsia="宋体" w:cs="宋体"/>
          <w:b/>
          <w:color w:val="000000"/>
          <w:sz w:val="28"/>
          <w:szCs w:val="28"/>
        </w:rPr>
        <w:t>政府采购合同（货物）</w:t>
      </w:r>
    </w:p>
    <w:p w14:paraId="5AC04358">
      <w:pPr>
        <w:pBdr>
          <w:top w:val="none" w:color="000000" w:sz="0" w:space="0"/>
          <w:left w:val="none" w:color="000000" w:sz="0" w:space="0"/>
          <w:bottom w:val="none" w:color="000000" w:sz="0" w:space="0"/>
          <w:right w:val="none" w:color="000000" w:sz="0" w:space="0"/>
        </w:pBdr>
        <w:spacing w:line="239" w:lineRule="atLeast"/>
        <w:ind w:firstLine="601"/>
        <w:rPr>
          <w:rFonts w:hAnsi="宋体" w:eastAsia="宋体" w:cs="宋体"/>
        </w:rPr>
      </w:pPr>
      <w:r>
        <w:rPr>
          <w:rFonts w:hint="eastAsia" w:hAnsi="宋体" w:eastAsia="宋体" w:cs="宋体"/>
          <w:color w:val="000000"/>
          <w:sz w:val="18"/>
        </w:rPr>
        <w:t> </w:t>
      </w:r>
    </w:p>
    <w:p w14:paraId="430C1249">
      <w:pPr>
        <w:pStyle w:val="30"/>
        <w:spacing w:beforeAutospacing="0" w:afterAutospacing="0" w:line="360" w:lineRule="auto"/>
        <w:jc w:val="center"/>
        <w:rPr>
          <w:rFonts w:ascii="宋体" w:hAnsi="宋体" w:eastAsia="宋体" w:cs="宋体"/>
          <w:b/>
          <w:sz w:val="30"/>
          <w:szCs w:val="30"/>
        </w:rPr>
      </w:pPr>
      <w:r>
        <w:rPr>
          <w:rFonts w:hint="eastAsia" w:ascii="宋体" w:hAnsi="宋体" w:eastAsia="宋体" w:cs="宋体"/>
          <w:b/>
          <w:sz w:val="30"/>
          <w:szCs w:val="30"/>
        </w:rPr>
        <w:t>政府采购合同（货物）（合同编号）</w:t>
      </w:r>
    </w:p>
    <w:p w14:paraId="056E08DF">
      <w:pPr>
        <w:pStyle w:val="30"/>
        <w:spacing w:beforeAutospacing="0" w:afterAutospacing="0" w:line="580" w:lineRule="exact"/>
        <w:jc w:val="both"/>
        <w:rPr>
          <w:rFonts w:ascii="宋体" w:hAnsi="宋体" w:eastAsia="宋体" w:cs="宋体"/>
        </w:rPr>
      </w:pPr>
      <w:r>
        <w:rPr>
          <w:rFonts w:hint="eastAsia" w:ascii="宋体" w:hAnsi="宋体" w:eastAsia="宋体" w:cs="宋体"/>
        </w:rPr>
        <w:t>项目名称：</w:t>
      </w:r>
      <w:r>
        <w:rPr>
          <w:rFonts w:hint="eastAsia" w:ascii="宋体" w:hAnsi="宋体" w:eastAsia="宋体" w:cs="宋体"/>
          <w:u w:val="single"/>
        </w:rPr>
        <w:t xml:space="preserve">                                                        </w:t>
      </w:r>
    </w:p>
    <w:p w14:paraId="03C13EB2">
      <w:pPr>
        <w:pStyle w:val="30"/>
        <w:spacing w:beforeAutospacing="0" w:afterAutospacing="0" w:line="580" w:lineRule="exact"/>
        <w:jc w:val="both"/>
        <w:rPr>
          <w:rFonts w:ascii="宋体" w:hAnsi="宋体" w:eastAsia="宋体" w:cs="宋体"/>
          <w:u w:val="single"/>
        </w:rPr>
      </w:pPr>
      <w:r>
        <w:rPr>
          <w:rFonts w:hint="eastAsia" w:ascii="宋体" w:hAnsi="宋体" w:eastAsia="宋体" w:cs="宋体"/>
        </w:rPr>
        <w:t>项目编号：</w:t>
      </w:r>
      <w:r>
        <w:rPr>
          <w:rFonts w:hint="eastAsia" w:ascii="宋体" w:hAnsi="宋体" w:eastAsia="宋体" w:cs="宋体"/>
          <w:u w:val="single"/>
        </w:rPr>
        <w:t xml:space="preserve">                                                          </w:t>
      </w:r>
    </w:p>
    <w:p w14:paraId="576CC931">
      <w:pPr>
        <w:pStyle w:val="30"/>
        <w:spacing w:beforeAutospacing="0" w:afterAutospacing="0" w:line="580" w:lineRule="exact"/>
        <w:jc w:val="both"/>
      </w:pPr>
      <w:r>
        <w:rPr>
          <w:rFonts w:hint="eastAsia" w:ascii="宋体" w:hAnsi="宋体" w:eastAsia="宋体" w:cs="宋体"/>
        </w:rPr>
        <w:t>甲方：（买方）</w:t>
      </w:r>
      <w:r>
        <w:rPr>
          <w:rFonts w:hint="eastAsia" w:ascii="宋体" w:hAnsi="宋体" w:eastAsia="宋体" w:cs="宋体"/>
          <w:u w:val="single"/>
        </w:rPr>
        <w:t xml:space="preserve">                                                      </w:t>
      </w:r>
      <w:r>
        <w:rPr>
          <w:rFonts w:hint="eastAsia" w:ascii="宋体" w:hAnsi="宋体" w:eastAsia="宋体" w:cs="宋体"/>
        </w:rPr>
        <w:t xml:space="preserve">    </w:t>
      </w:r>
    </w:p>
    <w:p w14:paraId="63E3A770">
      <w:pPr>
        <w:pStyle w:val="30"/>
        <w:spacing w:beforeAutospacing="0" w:afterAutospacing="0" w:line="580" w:lineRule="exact"/>
        <w:jc w:val="both"/>
        <w:rPr>
          <w:rFonts w:eastAsia="宋体"/>
        </w:rPr>
      </w:pPr>
      <w:r>
        <w:rPr>
          <w:rFonts w:hint="eastAsia" w:ascii="宋体" w:hAnsi="宋体" w:eastAsia="宋体" w:cs="宋体"/>
        </w:rPr>
        <w:t>乙方：（卖方）</w:t>
      </w:r>
      <w:r>
        <w:rPr>
          <w:rFonts w:hint="eastAsia" w:ascii="宋体" w:hAnsi="宋体" w:eastAsia="宋体" w:cs="宋体"/>
          <w:u w:val="single"/>
        </w:rPr>
        <w:t xml:space="preserve">                                                      </w:t>
      </w:r>
      <w:r>
        <w:rPr>
          <w:rFonts w:hint="eastAsia" w:ascii="宋体" w:hAnsi="宋体" w:eastAsia="宋体" w:cs="宋体"/>
        </w:rPr>
        <w:t xml:space="preserve">    </w:t>
      </w:r>
    </w:p>
    <w:p w14:paraId="118C657A">
      <w:pPr>
        <w:pStyle w:val="30"/>
        <w:snapToGrid w:val="0"/>
        <w:spacing w:beforeAutospacing="0" w:afterAutospacing="0" w:line="580" w:lineRule="exact"/>
        <w:ind w:firstLine="480" w:firstLineChars="200"/>
        <w:jc w:val="both"/>
      </w:pPr>
      <w:r>
        <w:rPr>
          <w:rFonts w:hint="eastAsia" w:ascii="宋体" w:hAnsi="宋体" w:eastAsia="宋体" w:cs="宋体"/>
        </w:rPr>
        <w:t>甲、乙双方根据</w:t>
      </w:r>
      <w:r>
        <w:rPr>
          <w:rFonts w:hint="eastAsia" w:ascii="宋体" w:hAnsi="宋体" w:eastAsia="宋体" w:cs="宋体"/>
          <w:u w:val="single"/>
        </w:rPr>
        <w:t xml:space="preserve">                           </w:t>
      </w:r>
      <w:r>
        <w:rPr>
          <w:rFonts w:hint="eastAsia" w:ascii="宋体" w:hAnsi="宋体" w:eastAsia="宋体" w:cs="宋体"/>
        </w:rPr>
        <w:t>招标的结果，签署本合同。</w:t>
      </w:r>
    </w:p>
    <w:p w14:paraId="65A0F015">
      <w:pPr>
        <w:spacing w:line="540" w:lineRule="exact"/>
        <w:outlineLvl w:val="0"/>
        <w:rPr>
          <w:sz w:val="24"/>
        </w:rPr>
      </w:pPr>
      <w:r>
        <w:rPr>
          <w:rFonts w:hint="eastAsia" w:ascii="宋体" w:hAnsi="宋体" w:eastAsia="宋体" w:cs="宋体"/>
          <w:b/>
          <w:sz w:val="24"/>
        </w:rPr>
        <w:t>一、合同内容</w:t>
      </w:r>
    </w:p>
    <w:p w14:paraId="55CD7268">
      <w:pPr>
        <w:pStyle w:val="30"/>
        <w:snapToGrid w:val="0"/>
        <w:spacing w:beforeAutospacing="0" w:afterAutospacing="0" w:line="580" w:lineRule="exact"/>
        <w:ind w:firstLine="480" w:firstLineChars="200"/>
        <w:jc w:val="both"/>
        <w:rPr>
          <w:rFonts w:eastAsia="宋体"/>
          <w:u w:val="single"/>
        </w:rPr>
      </w:pPr>
      <w:r>
        <w:rPr>
          <w:rFonts w:hint="eastAsia" w:ascii="宋体" w:hAnsi="宋体" w:eastAsia="宋体" w:cs="宋体"/>
        </w:rPr>
        <w:t>1.1 标的名称：</w:t>
      </w:r>
      <w:r>
        <w:rPr>
          <w:rFonts w:hint="eastAsia" w:ascii="宋体" w:hAnsi="宋体" w:eastAsia="宋体" w:cs="宋体"/>
          <w:u w:val="single"/>
        </w:rPr>
        <w:t xml:space="preserve">                                                           </w:t>
      </w:r>
    </w:p>
    <w:p w14:paraId="716B1252">
      <w:pPr>
        <w:pStyle w:val="30"/>
        <w:snapToGrid w:val="0"/>
        <w:spacing w:beforeAutospacing="0" w:afterAutospacing="0" w:line="580" w:lineRule="exact"/>
        <w:ind w:firstLine="480" w:firstLineChars="200"/>
        <w:jc w:val="both"/>
        <w:rPr>
          <w:rFonts w:eastAsia="宋体"/>
          <w:u w:val="single"/>
        </w:rPr>
      </w:pPr>
      <w:r>
        <w:rPr>
          <w:rFonts w:hint="eastAsia" w:ascii="宋体" w:hAnsi="宋体" w:eastAsia="宋体" w:cs="宋体"/>
        </w:rPr>
        <w:t>1.2 标的质量：</w:t>
      </w:r>
      <w:r>
        <w:rPr>
          <w:rFonts w:hint="eastAsia" w:ascii="宋体" w:hAnsi="宋体" w:cs="宋体"/>
          <w:u w:val="single"/>
        </w:rPr>
        <w:t xml:space="preserve">                                                                </w:t>
      </w:r>
    </w:p>
    <w:p w14:paraId="6D534FE9">
      <w:pPr>
        <w:pStyle w:val="30"/>
        <w:snapToGrid w:val="0"/>
        <w:spacing w:beforeAutospacing="0" w:afterAutospacing="0" w:line="580" w:lineRule="exact"/>
        <w:ind w:firstLine="480" w:firstLineChars="200"/>
        <w:jc w:val="both"/>
        <w:rPr>
          <w:rFonts w:ascii="宋体" w:hAnsi="宋体" w:eastAsia="宋体" w:cs="宋体"/>
        </w:rPr>
      </w:pPr>
      <w:r>
        <w:rPr>
          <w:rFonts w:hint="eastAsia" w:ascii="宋体" w:hAnsi="宋体" w:eastAsia="宋体" w:cs="宋体"/>
        </w:rPr>
        <w:t>1.3 标的数量（规模）：</w:t>
      </w:r>
    </w:p>
    <w:p w14:paraId="137AD5E4">
      <w:pPr>
        <w:pStyle w:val="30"/>
        <w:snapToGrid w:val="0"/>
        <w:spacing w:beforeAutospacing="0" w:afterAutospacing="0" w:line="580" w:lineRule="exact"/>
        <w:ind w:firstLine="480" w:firstLineChars="200"/>
        <w:jc w:val="both"/>
        <w:rPr>
          <w:rFonts w:eastAsia="宋体"/>
          <w:u w:val="single"/>
        </w:rPr>
      </w:pPr>
      <w:r>
        <w:rPr>
          <w:rFonts w:hint="eastAsia" w:ascii="宋体" w:hAnsi="宋体" w:eastAsia="宋体" w:cs="宋体"/>
        </w:rPr>
        <w:t>1.4 履行时间（期限）：</w:t>
      </w:r>
      <w:r>
        <w:rPr>
          <w:rFonts w:hint="eastAsia" w:ascii="宋体" w:hAnsi="宋体" w:eastAsia="宋体" w:cs="宋体"/>
          <w:u w:val="single"/>
        </w:rPr>
        <w:t xml:space="preserve">                                                          </w:t>
      </w:r>
    </w:p>
    <w:p w14:paraId="1E484A55">
      <w:pPr>
        <w:pStyle w:val="30"/>
        <w:snapToGrid w:val="0"/>
        <w:spacing w:beforeAutospacing="0" w:afterAutospacing="0" w:line="580" w:lineRule="exact"/>
        <w:ind w:firstLine="480" w:firstLineChars="200"/>
        <w:jc w:val="both"/>
        <w:rPr>
          <w:rFonts w:eastAsia="宋体"/>
          <w:u w:val="single"/>
        </w:rPr>
      </w:pPr>
      <w:r>
        <w:rPr>
          <w:rFonts w:hint="eastAsia" w:ascii="宋体" w:hAnsi="宋体" w:eastAsia="宋体" w:cs="宋体"/>
        </w:rPr>
        <w:t>1.5 履行地点：</w:t>
      </w:r>
      <w:r>
        <w:rPr>
          <w:rFonts w:hint="eastAsia" w:ascii="宋体" w:hAnsi="宋体" w:eastAsia="宋体" w:cs="宋体"/>
          <w:u w:val="single"/>
        </w:rPr>
        <w:t xml:space="preserve">                          </w:t>
      </w:r>
      <w:r>
        <w:rPr>
          <w:rFonts w:hint="eastAsia" w:ascii="宋体" w:hAnsi="宋体" w:cs="宋体"/>
          <w:u w:val="single"/>
        </w:rPr>
        <w:t xml:space="preserve">                              </w:t>
      </w:r>
    </w:p>
    <w:p w14:paraId="26F60537">
      <w:pPr>
        <w:pStyle w:val="30"/>
        <w:snapToGrid w:val="0"/>
        <w:spacing w:beforeAutospacing="0" w:afterAutospacing="0" w:line="580" w:lineRule="exact"/>
        <w:ind w:firstLine="480" w:firstLineChars="200"/>
        <w:jc w:val="both"/>
        <w:rPr>
          <w:rFonts w:eastAsia="宋体"/>
          <w:u w:val="single"/>
        </w:rPr>
      </w:pPr>
      <w:r>
        <w:rPr>
          <w:rFonts w:hint="eastAsia" w:ascii="宋体" w:hAnsi="宋体" w:eastAsia="宋体" w:cs="宋体"/>
        </w:rPr>
        <w:t>1.6 履行方式：</w:t>
      </w:r>
      <w:r>
        <w:rPr>
          <w:rFonts w:hint="eastAsia" w:ascii="宋体" w:hAnsi="宋体" w:eastAsia="宋体" w:cs="宋体"/>
          <w:u w:val="single"/>
        </w:rPr>
        <w:t xml:space="preserve">   </w:t>
      </w:r>
      <w:r>
        <w:rPr>
          <w:rFonts w:hint="eastAsia" w:ascii="宋体" w:hAnsi="宋体" w:cs="宋体"/>
          <w:u w:val="single"/>
        </w:rPr>
        <w:t xml:space="preserve">/                                                               </w:t>
      </w:r>
    </w:p>
    <w:p w14:paraId="210D4333">
      <w:pPr>
        <w:spacing w:line="540" w:lineRule="exact"/>
        <w:outlineLvl w:val="0"/>
        <w:rPr>
          <w:rFonts w:ascii="宋体" w:hAnsi="宋体" w:eastAsia="宋体" w:cs="宋体"/>
          <w:b/>
          <w:sz w:val="24"/>
        </w:rPr>
      </w:pPr>
      <w:r>
        <w:rPr>
          <w:rFonts w:hint="eastAsia" w:ascii="宋体" w:hAnsi="宋体" w:eastAsia="宋体" w:cs="宋体"/>
          <w:b/>
          <w:sz w:val="24"/>
        </w:rPr>
        <w:t>二、合同金额</w:t>
      </w:r>
    </w:p>
    <w:p w14:paraId="4F951B1D">
      <w:pPr>
        <w:pStyle w:val="30"/>
        <w:snapToGrid w:val="0"/>
        <w:spacing w:beforeAutospacing="0" w:afterAutospacing="0" w:line="580" w:lineRule="exact"/>
        <w:ind w:firstLine="480" w:firstLineChars="200"/>
        <w:jc w:val="both"/>
      </w:pPr>
      <w:r>
        <w:rPr>
          <w:rFonts w:hint="eastAsia" w:ascii="宋体" w:hAnsi="宋体" w:eastAsia="宋体" w:cs="宋体"/>
        </w:rPr>
        <w:t>2.1 本合同金额为（大写）：</w:t>
      </w:r>
      <w:r>
        <w:rPr>
          <w:rFonts w:hint="eastAsia" w:cs="宋体"/>
          <w:u w:val="single"/>
        </w:rPr>
        <w:t xml:space="preserve">             </w:t>
      </w:r>
      <w:r>
        <w:rPr>
          <w:rFonts w:hint="eastAsia" w:ascii="宋体" w:hAnsi="宋体" w:eastAsia="宋体" w:cs="宋体"/>
        </w:rPr>
        <w:t>元整（¥</w:t>
      </w:r>
      <w:r>
        <w:rPr>
          <w:rFonts w:hint="eastAsia" w:cs="宋体"/>
          <w:u w:val="single"/>
        </w:rPr>
        <w:t xml:space="preserve">           </w:t>
      </w:r>
      <w:r>
        <w:rPr>
          <w:rFonts w:hint="eastAsia" w:ascii="宋体" w:hAnsi="宋体" w:eastAsia="宋体" w:cs="宋体"/>
        </w:rPr>
        <w:t>元）人民币或其他币种。</w:t>
      </w:r>
    </w:p>
    <w:p w14:paraId="328B8222">
      <w:pPr>
        <w:spacing w:line="540" w:lineRule="exact"/>
        <w:outlineLvl w:val="0"/>
        <w:rPr>
          <w:rFonts w:ascii="宋体" w:hAnsi="宋体" w:eastAsia="宋体" w:cs="宋体"/>
          <w:b/>
          <w:sz w:val="24"/>
        </w:rPr>
      </w:pPr>
      <w:r>
        <w:rPr>
          <w:rFonts w:hint="eastAsia" w:ascii="宋体" w:hAnsi="宋体" w:eastAsia="宋体" w:cs="宋体"/>
          <w:b/>
          <w:sz w:val="24"/>
        </w:rPr>
        <w:t>三、技术资料</w:t>
      </w:r>
    </w:p>
    <w:p w14:paraId="6ED75801">
      <w:pPr>
        <w:pStyle w:val="30"/>
        <w:snapToGrid w:val="0"/>
        <w:spacing w:beforeAutospacing="0" w:afterAutospacing="0" w:line="580" w:lineRule="exact"/>
        <w:ind w:firstLine="480" w:firstLineChars="200"/>
        <w:jc w:val="both"/>
      </w:pPr>
      <w:r>
        <w:rPr>
          <w:rFonts w:hint="eastAsia" w:ascii="宋体" w:hAnsi="宋体" w:eastAsia="宋体" w:cs="宋体"/>
        </w:rPr>
        <w:t>3.1乙方应按招标文件规定的时间向甲方提供使用货物(包含与货物相关的服务)的有关技术资料。</w:t>
      </w:r>
    </w:p>
    <w:p w14:paraId="13BF89E7">
      <w:pPr>
        <w:pStyle w:val="30"/>
        <w:snapToGrid w:val="0"/>
        <w:spacing w:beforeAutospacing="0" w:afterAutospacing="0" w:line="580" w:lineRule="exact"/>
        <w:ind w:firstLine="480" w:firstLineChars="200"/>
        <w:jc w:val="both"/>
      </w:pPr>
      <w:r>
        <w:rPr>
          <w:rFonts w:hint="eastAsia" w:ascii="宋体" w:hAnsi="宋体" w:eastAsia="宋体" w:cs="宋体"/>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81DF306">
      <w:pPr>
        <w:spacing w:line="540" w:lineRule="exact"/>
        <w:outlineLvl w:val="0"/>
        <w:rPr>
          <w:rFonts w:ascii="宋体" w:hAnsi="宋体" w:eastAsia="宋体" w:cs="宋体"/>
          <w:b/>
          <w:sz w:val="24"/>
        </w:rPr>
      </w:pPr>
      <w:r>
        <w:rPr>
          <w:rFonts w:hint="eastAsia" w:ascii="宋体" w:hAnsi="宋体" w:eastAsia="宋体" w:cs="宋体"/>
          <w:b/>
          <w:sz w:val="24"/>
        </w:rPr>
        <w:t>四、知识产权</w:t>
      </w:r>
    </w:p>
    <w:p w14:paraId="3D16615A">
      <w:pPr>
        <w:pStyle w:val="30"/>
        <w:snapToGrid w:val="0"/>
        <w:spacing w:beforeAutospacing="0" w:afterAutospacing="0" w:line="580" w:lineRule="exact"/>
        <w:ind w:firstLine="480" w:firstLineChars="200"/>
        <w:jc w:val="both"/>
      </w:pPr>
      <w:r>
        <w:rPr>
          <w:rFonts w:ascii="Times New Roman" w:hAnsi="Times New Roman"/>
        </w:rPr>
        <w:t>4.1乙</w:t>
      </w:r>
      <w:r>
        <w:rPr>
          <w:rFonts w:hint="eastAsia" w:ascii="宋体" w:hAnsi="宋体" w:eastAsia="宋体" w:cs="宋体"/>
        </w:rPr>
        <w:t>方应保证甲方在使用、接受本合同货物</w:t>
      </w:r>
      <w:r>
        <w:rPr>
          <w:rFonts w:ascii="Times New Roman" w:hAnsi="Times New Roman"/>
        </w:rPr>
        <w:t>（包含与货物相关的服务）</w:t>
      </w:r>
      <w:r>
        <w:rPr>
          <w:rFonts w:hint="eastAsia" w:ascii="宋体" w:hAnsi="宋体" w:eastAsia="宋体" w:cs="宋体"/>
        </w:rPr>
        <w:t>或其任何一部分时不受第三方提出侵犯其专利权、版权、商标权和工业设计权等知识产权的起诉。一旦出现侵权，由乙方负全部责任。</w:t>
      </w:r>
    </w:p>
    <w:p w14:paraId="35009A26">
      <w:pPr>
        <w:spacing w:line="540" w:lineRule="exact"/>
        <w:outlineLvl w:val="0"/>
        <w:rPr>
          <w:rFonts w:ascii="宋体" w:hAnsi="宋体" w:eastAsia="宋体" w:cs="宋体"/>
          <w:b/>
          <w:sz w:val="24"/>
        </w:rPr>
      </w:pPr>
      <w:r>
        <w:rPr>
          <w:rFonts w:hint="eastAsia" w:ascii="宋体" w:hAnsi="宋体" w:eastAsia="宋体" w:cs="宋体"/>
          <w:b/>
          <w:sz w:val="24"/>
        </w:rPr>
        <w:t>五、产权担保</w:t>
      </w:r>
    </w:p>
    <w:p w14:paraId="1B4D283D">
      <w:pPr>
        <w:pStyle w:val="30"/>
        <w:snapToGrid w:val="0"/>
        <w:spacing w:beforeAutospacing="0" w:afterAutospacing="0" w:line="580" w:lineRule="exact"/>
        <w:ind w:firstLine="480" w:firstLineChars="200"/>
        <w:jc w:val="both"/>
        <w:rPr>
          <w:rFonts w:ascii="宋体" w:hAnsi="宋体" w:eastAsia="宋体" w:cs="宋体"/>
        </w:rPr>
      </w:pPr>
      <w:r>
        <w:rPr>
          <w:rFonts w:hint="eastAsia" w:ascii="宋体" w:hAnsi="宋体" w:eastAsia="宋体" w:cs="宋体"/>
        </w:rPr>
        <w:t>5.1 乙方保证所交付的货物（包含与货物相关的服务）的所有权完全属于乙方且无任何抵押、查封等产权瑕疵。</w:t>
      </w:r>
    </w:p>
    <w:p w14:paraId="7A3A54E8">
      <w:pPr>
        <w:spacing w:line="540" w:lineRule="exact"/>
        <w:outlineLvl w:val="0"/>
        <w:rPr>
          <w:rFonts w:ascii="宋体" w:hAnsi="宋体" w:eastAsia="宋体" w:cs="宋体"/>
          <w:b/>
          <w:sz w:val="24"/>
        </w:rPr>
      </w:pPr>
      <w:r>
        <w:rPr>
          <w:rFonts w:hint="eastAsia" w:ascii="宋体" w:hAnsi="宋体" w:eastAsia="宋体" w:cs="宋体"/>
          <w:b/>
          <w:sz w:val="24"/>
        </w:rPr>
        <w:t>六、履约保证金的缴纳形式：</w:t>
      </w:r>
    </w:p>
    <w:p w14:paraId="168DE47F">
      <w:pPr>
        <w:pStyle w:val="30"/>
        <w:snapToGrid w:val="0"/>
        <w:spacing w:beforeAutospacing="0" w:afterAutospacing="0" w:line="580" w:lineRule="exact"/>
        <w:ind w:firstLine="480" w:firstLineChars="200"/>
        <w:jc w:val="both"/>
        <w:rPr>
          <w:rFonts w:ascii="宋体" w:hAnsi="宋体" w:eastAsia="宋体" w:cs="宋体"/>
          <w:sz w:val="24"/>
        </w:rPr>
      </w:pPr>
      <w:r>
        <w:rPr>
          <w:rFonts w:hint="eastAsia" w:ascii="宋体" w:hAnsi="宋体" w:eastAsia="宋体" w:cs="宋体"/>
        </w:rPr>
        <w:t xml:space="preserve">6.1 </w:t>
      </w:r>
      <w:r>
        <w:rPr>
          <w:rFonts w:hint="eastAsia" w:ascii="宋体" w:hAnsi="宋体" w:eastAsia="宋体" w:cs="宋体"/>
          <w:sz w:val="24"/>
        </w:rPr>
        <w:t>签订合同前中标方须交纳</w:t>
      </w:r>
      <w:r>
        <w:rPr>
          <w:rFonts w:hint="eastAsia" w:ascii="宋体" w:hAnsi="宋体" w:eastAsia="宋体" w:cs="宋体"/>
          <w:b/>
          <w:bCs/>
          <w:sz w:val="24"/>
        </w:rPr>
        <w:t>中标额*</w:t>
      </w:r>
      <w:r>
        <w:rPr>
          <w:rFonts w:hint="eastAsia" w:ascii="宋体" w:hAnsi="宋体" w:eastAsia="宋体" w:cs="宋体"/>
          <w:b/>
          <w:bCs/>
          <w:sz w:val="24"/>
          <w:highlight w:val="none"/>
          <w:lang w:val="en-US" w:eastAsia="zh-CN"/>
        </w:rPr>
        <w:t>10</w:t>
      </w:r>
      <w:r>
        <w:rPr>
          <w:rFonts w:hint="eastAsia" w:ascii="宋体" w:hAnsi="宋体" w:eastAsia="宋体" w:cs="宋体"/>
          <w:b/>
          <w:bCs/>
          <w:sz w:val="24"/>
          <w:highlight w:val="none"/>
        </w:rPr>
        <w:t>%</w:t>
      </w:r>
      <w:r>
        <w:rPr>
          <w:rFonts w:hint="eastAsia" w:ascii="宋体" w:hAnsi="宋体" w:eastAsia="宋体" w:cs="宋体"/>
          <w:sz w:val="24"/>
        </w:rPr>
        <w:t>的履约保证金到采购人指定账户；供应商自主选择以支票、汇票、本票、保函、</w:t>
      </w:r>
      <w:r>
        <w:rPr>
          <w:rFonts w:ascii="宋体" w:hAnsi="宋体" w:eastAsia="宋体" w:cs="宋体"/>
          <w:color w:val="000000"/>
          <w:sz w:val="24"/>
        </w:rPr>
        <w:t>政府采购电子履约保函（保险）平台（www.jsdzbh.com）在线申请履约保函（保险）</w:t>
      </w:r>
      <w:r>
        <w:rPr>
          <w:rFonts w:hint="eastAsia" w:ascii="宋体" w:hAnsi="宋体" w:eastAsia="宋体" w:cs="宋体"/>
          <w:sz w:val="24"/>
        </w:rPr>
        <w:t>等非现金形式缴纳或提交</w:t>
      </w:r>
      <w:r>
        <w:rPr>
          <w:rFonts w:ascii="宋体" w:hAnsi="宋体" w:eastAsia="宋体" w:cs="宋体"/>
          <w:color w:val="000000"/>
          <w:sz w:val="24"/>
        </w:rPr>
        <w:t>。</w:t>
      </w:r>
      <w:r>
        <w:rPr>
          <w:rFonts w:hint="eastAsia" w:ascii="宋体" w:hAnsi="宋体" w:eastAsia="宋体" w:cs="宋体"/>
          <w:sz w:val="24"/>
        </w:rPr>
        <w:t>根据合同履行情况，中标单位在履约期内无违约行为的，采购人在验收合格后15日内全额退还履约保证金，不计利息。</w:t>
      </w:r>
    </w:p>
    <w:p w14:paraId="1FB24221">
      <w:pPr>
        <w:spacing w:line="560" w:lineRule="exact"/>
        <w:ind w:firstLine="480"/>
        <w:rPr>
          <w:rFonts w:ascii="宋体" w:hAnsi="宋体" w:eastAsia="宋体" w:cs="宋体"/>
          <w:color w:val="000000"/>
          <w:sz w:val="24"/>
        </w:rPr>
      </w:pPr>
      <w:r>
        <w:rPr>
          <w:rFonts w:hint="eastAsia" w:ascii="宋体" w:hAnsi="宋体" w:eastAsia="宋体" w:cs="宋体"/>
          <w:sz w:val="24"/>
          <w:lang w:val="en-US" w:eastAsia="zh-CN"/>
        </w:rPr>
        <w:t>6.2</w:t>
      </w:r>
      <w:r>
        <w:rPr>
          <w:rFonts w:hint="eastAsia" w:ascii="宋体" w:hAnsi="宋体" w:eastAsia="宋体" w:cs="宋体"/>
          <w:sz w:val="24"/>
        </w:rPr>
        <w:t>采购人对第三方信用服务机构依据标准规范评定为AA级及以上的政府采购供应商（需在签订采购合同前提供信用管理部门备案的第三方信用报告，且信用报告通过“信用盐城网”可查实），</w:t>
      </w:r>
      <w:r>
        <w:rPr>
          <w:rFonts w:ascii="宋体" w:hAnsi="宋体" w:eastAsia="宋体" w:cs="宋体"/>
          <w:color w:val="000000"/>
          <w:sz w:val="24"/>
          <w:highlight w:val="none"/>
        </w:rPr>
        <w:t>免收履约保证金</w:t>
      </w:r>
      <w:r>
        <w:rPr>
          <w:rFonts w:ascii="宋体" w:hAnsi="宋体" w:eastAsia="宋体" w:cs="宋体"/>
          <w:color w:val="000000"/>
          <w:sz w:val="24"/>
        </w:rPr>
        <w:t>。具体操作流程请按射财库【2021】17号文和射财库【2021】20号文执行。</w:t>
      </w:r>
    </w:p>
    <w:p w14:paraId="41392D43">
      <w:pPr>
        <w:spacing w:line="560" w:lineRule="exact"/>
        <w:ind w:firstLine="480"/>
        <w:rPr>
          <w:rFonts w:ascii="宋体" w:hAnsi="宋体" w:eastAsia="宋体" w:cs="宋体"/>
          <w:color w:val="000000"/>
        </w:rPr>
      </w:pPr>
      <w:r>
        <w:rPr>
          <w:rFonts w:hint="eastAsia" w:ascii="宋体" w:hAnsi="宋体" w:eastAsia="宋体" w:cs="宋体"/>
          <w:sz w:val="24"/>
          <w:lang w:val="en-US" w:eastAsia="zh-CN"/>
        </w:rPr>
        <w:t>6.3</w:t>
      </w:r>
      <w:r>
        <w:rPr>
          <w:rFonts w:hint="eastAsia" w:ascii="宋体" w:hAnsi="宋体" w:eastAsia="宋体" w:cs="宋体"/>
          <w:sz w:val="24"/>
        </w:rPr>
        <w:t>依据《关于在全省政府采购领域推行电子履约保函（保险）的通知》，鼓励供应商自愿使用履约保函（保险）代替缴纳履约保证金。</w:t>
      </w:r>
    </w:p>
    <w:p w14:paraId="6FB5B97D">
      <w:pPr>
        <w:pStyle w:val="30"/>
        <w:snapToGrid w:val="0"/>
        <w:spacing w:beforeAutospacing="0" w:afterAutospacing="0" w:line="580" w:lineRule="exact"/>
        <w:ind w:firstLine="480" w:firstLineChars="200"/>
        <w:jc w:val="both"/>
        <w:rPr>
          <w:rFonts w:ascii="宋体" w:hAnsi="宋体" w:cs="黑体"/>
          <w:bCs/>
        </w:rPr>
      </w:pPr>
      <w:r>
        <w:rPr>
          <w:rFonts w:hint="eastAsia" w:ascii="宋体" w:hAnsi="宋体" w:cs="黑体"/>
          <w:bCs/>
        </w:rPr>
        <w:t>6.4履约保证金的退还：</w:t>
      </w:r>
    </w:p>
    <w:p w14:paraId="2999EFA4">
      <w:pPr>
        <w:widowControl/>
        <w:spacing w:line="580" w:lineRule="exact"/>
        <w:ind w:firstLine="480" w:firstLineChars="200"/>
        <w:jc w:val="left"/>
        <w:rPr>
          <w:rFonts w:ascii="宋体" w:hAnsi="宋体" w:cs="黑体"/>
          <w:bCs/>
          <w:sz w:val="24"/>
        </w:rPr>
      </w:pPr>
      <w:r>
        <w:rPr>
          <w:rFonts w:hint="eastAsia" w:ascii="宋体" w:hAnsi="宋体" w:cs="黑体"/>
          <w:bCs/>
          <w:sz w:val="24"/>
        </w:rPr>
        <w:t>6.4.1方式：无息退还至投标人缴纳履约保证金的账户。如为保函，在到期时自行失效。</w:t>
      </w:r>
    </w:p>
    <w:p w14:paraId="118B2A8B">
      <w:pPr>
        <w:widowControl/>
        <w:spacing w:line="580" w:lineRule="exact"/>
        <w:ind w:firstLine="480" w:firstLineChars="200"/>
        <w:jc w:val="left"/>
        <w:rPr>
          <w:rFonts w:ascii="宋体" w:hAnsi="宋体" w:cs="黑体"/>
          <w:bCs/>
          <w:sz w:val="24"/>
        </w:rPr>
      </w:pPr>
      <w:r>
        <w:rPr>
          <w:rFonts w:hint="eastAsia" w:ascii="宋体" w:hAnsi="宋体" w:cs="黑体"/>
          <w:bCs/>
          <w:sz w:val="24"/>
        </w:rPr>
        <w:t>6.4.2时间：验收合格且招标人收到发票后30日内。</w:t>
      </w:r>
    </w:p>
    <w:p w14:paraId="22EBC04F">
      <w:pPr>
        <w:widowControl/>
        <w:spacing w:line="580" w:lineRule="exact"/>
        <w:ind w:firstLine="480" w:firstLineChars="200"/>
        <w:jc w:val="left"/>
        <w:rPr>
          <w:rFonts w:ascii="宋体" w:hAnsi="宋体" w:cs="黑体"/>
          <w:bCs/>
          <w:sz w:val="24"/>
        </w:rPr>
      </w:pPr>
      <w:r>
        <w:rPr>
          <w:rFonts w:hint="eastAsia" w:ascii="宋体" w:hAnsi="宋体" w:cs="黑体"/>
          <w:bCs/>
          <w:sz w:val="24"/>
        </w:rPr>
        <w:t>6.4.3条件：按合同要求全部履约完成并经招标人验收合格，且招标人收到中标人出具的发票。</w:t>
      </w:r>
    </w:p>
    <w:p w14:paraId="493D57D0">
      <w:pPr>
        <w:widowControl/>
        <w:spacing w:line="580" w:lineRule="exact"/>
        <w:ind w:firstLine="480" w:firstLineChars="200"/>
        <w:jc w:val="left"/>
        <w:rPr>
          <w:rFonts w:ascii="宋体" w:hAnsi="宋体" w:cs="黑体"/>
          <w:bCs/>
          <w:sz w:val="24"/>
        </w:rPr>
      </w:pPr>
      <w:r>
        <w:rPr>
          <w:rFonts w:hint="eastAsia" w:ascii="宋体" w:hAnsi="宋体" w:cs="黑体"/>
          <w:bCs/>
          <w:sz w:val="24"/>
        </w:rPr>
        <w:t>6.4.4不予退还情形：</w:t>
      </w:r>
    </w:p>
    <w:p w14:paraId="515E9A7B">
      <w:pPr>
        <w:widowControl/>
        <w:spacing w:line="580" w:lineRule="exact"/>
        <w:ind w:firstLine="480" w:firstLineChars="200"/>
        <w:jc w:val="left"/>
        <w:rPr>
          <w:rFonts w:ascii="宋体" w:hAnsi="宋体" w:cs="黑体"/>
          <w:bCs/>
          <w:sz w:val="24"/>
        </w:rPr>
      </w:pPr>
      <w:r>
        <w:rPr>
          <w:rFonts w:hint="eastAsia" w:ascii="宋体" w:hAnsi="宋体" w:cs="黑体"/>
          <w:bCs/>
          <w:sz w:val="24"/>
        </w:rPr>
        <w:t>除不可抗力情况外，投标人出现下列情形之一的，其履约保证金，招标人将视情节决定不予退还或部分不予退还。</w:t>
      </w:r>
    </w:p>
    <w:p w14:paraId="35594B4F">
      <w:pPr>
        <w:widowControl/>
        <w:spacing w:line="580" w:lineRule="exact"/>
        <w:ind w:firstLine="480" w:firstLineChars="200"/>
        <w:jc w:val="left"/>
        <w:rPr>
          <w:rFonts w:ascii="宋体" w:hAnsi="宋体" w:cs="黑体"/>
          <w:bCs/>
          <w:sz w:val="24"/>
        </w:rPr>
      </w:pPr>
      <w:r>
        <w:rPr>
          <w:rFonts w:hint="eastAsia" w:ascii="宋体" w:hAnsi="宋体" w:cs="黑体"/>
          <w:bCs/>
          <w:sz w:val="24"/>
        </w:rPr>
        <w:t>（1）中标人无正当理由拒绝签订合同的，或者在签订合同时向招标人提出附加条件或者更改合同实质性内容要求的；</w:t>
      </w:r>
    </w:p>
    <w:p w14:paraId="3DAADB62">
      <w:pPr>
        <w:widowControl/>
        <w:spacing w:line="580" w:lineRule="exact"/>
        <w:ind w:firstLine="480" w:firstLineChars="200"/>
        <w:jc w:val="left"/>
        <w:rPr>
          <w:rFonts w:ascii="宋体" w:hAnsi="宋体" w:cs="黑体"/>
          <w:bCs/>
          <w:sz w:val="24"/>
        </w:rPr>
      </w:pPr>
      <w:r>
        <w:rPr>
          <w:rFonts w:hint="eastAsia" w:ascii="宋体" w:hAnsi="宋体" w:cs="黑体"/>
          <w:bCs/>
          <w:sz w:val="24"/>
        </w:rPr>
        <w:t>（2）中标人不履行与招标人订立的合同的；</w:t>
      </w:r>
    </w:p>
    <w:p w14:paraId="5EAF1597">
      <w:pPr>
        <w:widowControl/>
        <w:spacing w:line="580" w:lineRule="exact"/>
        <w:ind w:firstLine="480" w:firstLineChars="200"/>
        <w:jc w:val="left"/>
        <w:rPr>
          <w:rFonts w:ascii="宋体" w:hAnsi="宋体" w:cs="黑体"/>
          <w:bCs/>
          <w:sz w:val="24"/>
        </w:rPr>
      </w:pPr>
      <w:r>
        <w:rPr>
          <w:rFonts w:hint="eastAsia" w:ascii="宋体" w:hAnsi="宋体" w:cs="黑体"/>
          <w:bCs/>
          <w:sz w:val="24"/>
        </w:rPr>
        <w:t>（3）中标人所供货物或服务不符合招标文件规定要求的；</w:t>
      </w:r>
    </w:p>
    <w:p w14:paraId="7DDC3DA2">
      <w:pPr>
        <w:widowControl/>
        <w:spacing w:line="580" w:lineRule="exact"/>
        <w:ind w:firstLine="480" w:firstLineChars="200"/>
        <w:jc w:val="left"/>
        <w:rPr>
          <w:rFonts w:ascii="宋体" w:hAnsi="宋体" w:cs="黑体"/>
          <w:bCs/>
          <w:sz w:val="24"/>
        </w:rPr>
      </w:pPr>
      <w:r>
        <w:rPr>
          <w:rFonts w:hint="eastAsia" w:ascii="宋体" w:hAnsi="宋体" w:cs="黑体"/>
          <w:bCs/>
          <w:sz w:val="24"/>
        </w:rPr>
        <w:t>（4）中标人采取欺骗、弄虚作假方式投标的或与其它投标人串通投标的；</w:t>
      </w:r>
    </w:p>
    <w:p w14:paraId="053572C1">
      <w:pPr>
        <w:widowControl/>
        <w:spacing w:line="580" w:lineRule="exact"/>
        <w:ind w:firstLine="480" w:firstLineChars="200"/>
        <w:jc w:val="left"/>
        <w:rPr>
          <w:rFonts w:ascii="宋体" w:hAnsi="宋体" w:cs="黑体"/>
          <w:bCs/>
          <w:sz w:val="24"/>
        </w:rPr>
      </w:pPr>
      <w:r>
        <w:rPr>
          <w:rFonts w:hint="eastAsia" w:ascii="宋体" w:hAnsi="宋体" w:cs="黑体"/>
          <w:bCs/>
          <w:sz w:val="24"/>
        </w:rPr>
        <w:t>（5）中标人将合同内容转包、违法分包的；</w:t>
      </w:r>
    </w:p>
    <w:p w14:paraId="6E80162D">
      <w:pPr>
        <w:widowControl/>
        <w:spacing w:line="580" w:lineRule="exact"/>
        <w:ind w:firstLine="480" w:firstLineChars="200"/>
        <w:jc w:val="left"/>
        <w:rPr>
          <w:rFonts w:ascii="宋体" w:hAnsi="宋体" w:cs="黑体"/>
          <w:bCs/>
          <w:sz w:val="24"/>
        </w:rPr>
      </w:pPr>
      <w:r>
        <w:rPr>
          <w:rFonts w:hint="eastAsia" w:ascii="宋体" w:hAnsi="宋体" w:cs="黑体"/>
          <w:bCs/>
          <w:sz w:val="24"/>
        </w:rPr>
        <w:t>（6）中标人故意捏造事实或伪造证明材料，进行虚假恶意投诉或反映的。</w:t>
      </w:r>
    </w:p>
    <w:p w14:paraId="42DFA1CD">
      <w:pPr>
        <w:widowControl/>
        <w:spacing w:line="580" w:lineRule="exact"/>
        <w:ind w:firstLine="480" w:firstLineChars="200"/>
        <w:jc w:val="left"/>
        <w:rPr>
          <w:rFonts w:ascii="宋体" w:hAnsi="宋体" w:cs="黑体"/>
          <w:bCs/>
          <w:sz w:val="24"/>
        </w:rPr>
      </w:pPr>
      <w:r>
        <w:rPr>
          <w:rFonts w:hint="eastAsia" w:ascii="宋体" w:hAnsi="宋体" w:cs="黑体"/>
          <w:bCs/>
          <w:sz w:val="24"/>
        </w:rPr>
        <w:t>6.4.5逾期退还的违约责任：招标人逾期无故未退还履约保证金的，按中国人民银行同期贷款基准利率上浮20%后的利率支付超期资金占用费，但因供应商自身原因导致无法及时退还的除外。</w:t>
      </w:r>
    </w:p>
    <w:p w14:paraId="125183C9">
      <w:pPr>
        <w:spacing w:line="540" w:lineRule="exact"/>
        <w:outlineLvl w:val="0"/>
        <w:rPr>
          <w:rFonts w:ascii="宋体" w:hAnsi="宋体" w:eastAsia="宋体" w:cs="宋体"/>
          <w:b/>
          <w:sz w:val="24"/>
        </w:rPr>
      </w:pPr>
      <w:r>
        <w:rPr>
          <w:rFonts w:hint="eastAsia" w:ascii="宋体" w:hAnsi="宋体" w:eastAsia="宋体" w:cs="宋体"/>
          <w:b/>
          <w:sz w:val="24"/>
        </w:rPr>
        <w:t>七、合同转包或分包</w:t>
      </w:r>
    </w:p>
    <w:p w14:paraId="4DB3B934">
      <w:pPr>
        <w:pStyle w:val="30"/>
        <w:snapToGrid w:val="0"/>
        <w:spacing w:beforeAutospacing="0" w:afterAutospacing="0" w:line="580" w:lineRule="exact"/>
        <w:ind w:firstLine="480" w:firstLineChars="200"/>
        <w:jc w:val="both"/>
      </w:pPr>
      <w:r>
        <w:rPr>
          <w:rFonts w:hint="eastAsia" w:ascii="宋体" w:hAnsi="宋体" w:eastAsia="宋体" w:cs="宋体"/>
        </w:rPr>
        <w:t>7.1乙方不得将合同标的转包给他人履行。</w:t>
      </w:r>
    </w:p>
    <w:p w14:paraId="76630C1B">
      <w:pPr>
        <w:pStyle w:val="30"/>
        <w:snapToGrid w:val="0"/>
        <w:spacing w:beforeAutospacing="0" w:afterAutospacing="0" w:line="580" w:lineRule="exact"/>
        <w:ind w:firstLine="480" w:firstLineChars="200"/>
        <w:jc w:val="both"/>
      </w:pPr>
      <w:r>
        <w:rPr>
          <w:rFonts w:hint="eastAsia" w:ascii="宋体" w:hAnsi="宋体" w:eastAsia="宋体" w:cs="宋体"/>
        </w:rPr>
        <w:t>7.2乙方不得将合同标的分包给他人履行。</w:t>
      </w:r>
    </w:p>
    <w:p w14:paraId="097911F8">
      <w:pPr>
        <w:pStyle w:val="30"/>
        <w:snapToGrid w:val="0"/>
        <w:spacing w:beforeAutospacing="0" w:afterAutospacing="0" w:line="580" w:lineRule="exact"/>
        <w:ind w:firstLine="480" w:firstLineChars="200"/>
        <w:jc w:val="both"/>
      </w:pPr>
      <w:r>
        <w:rPr>
          <w:rFonts w:hint="eastAsia" w:ascii="宋体" w:hAnsi="宋体" w:eastAsia="宋体" w:cs="宋体"/>
        </w:rPr>
        <w:t>7.3乙方如有转包或未经甲方同意的分包行为，甲方有权给予终止合同。</w:t>
      </w:r>
    </w:p>
    <w:p w14:paraId="741F24E7">
      <w:pPr>
        <w:spacing w:line="540" w:lineRule="exact"/>
        <w:outlineLvl w:val="0"/>
        <w:rPr>
          <w:rFonts w:ascii="宋体" w:hAnsi="宋体" w:eastAsia="宋体" w:cs="宋体"/>
          <w:b/>
          <w:sz w:val="24"/>
        </w:rPr>
      </w:pPr>
      <w:r>
        <w:rPr>
          <w:rFonts w:hint="eastAsia" w:ascii="宋体" w:hAnsi="宋体" w:eastAsia="宋体" w:cs="宋体"/>
          <w:b/>
          <w:sz w:val="24"/>
        </w:rPr>
        <w:t>八、合同款项支付</w:t>
      </w:r>
    </w:p>
    <w:p w14:paraId="0BE5943B">
      <w:pPr>
        <w:pStyle w:val="30"/>
        <w:snapToGrid w:val="0"/>
        <w:spacing w:beforeAutospacing="0" w:afterAutospacing="0" w:line="580" w:lineRule="exact"/>
        <w:ind w:firstLine="480" w:firstLineChars="200"/>
        <w:jc w:val="both"/>
        <w:rPr>
          <w:rFonts w:ascii="宋体" w:hAnsi="宋体" w:eastAsia="宋体" w:cs="宋体"/>
          <w:highlight w:val="none"/>
          <w:u w:val="none"/>
        </w:rPr>
      </w:pPr>
      <w:r>
        <w:rPr>
          <w:rFonts w:hint="eastAsia" w:ascii="宋体" w:hAnsi="宋体" w:eastAsia="宋体" w:cs="宋体"/>
          <w:highlight w:val="none"/>
          <w:u w:val="none"/>
        </w:rPr>
        <w:t xml:space="preserve">1）合同签订后7日内，招标人向中标人支付合同价的30%预付款；供应商明确表示无需预付款或者主动要求降低预付款比例的由双方另行商定并出具书面材料。                                                                     </w:t>
      </w:r>
    </w:p>
    <w:p w14:paraId="78F12BC4">
      <w:pPr>
        <w:pStyle w:val="30"/>
        <w:snapToGrid w:val="0"/>
        <w:spacing w:beforeAutospacing="0" w:afterAutospacing="0" w:line="580" w:lineRule="exact"/>
        <w:ind w:firstLine="480" w:firstLineChars="200"/>
        <w:jc w:val="both"/>
        <w:rPr>
          <w:rFonts w:ascii="宋体" w:hAnsi="宋体" w:eastAsia="宋体" w:cs="宋体"/>
          <w:highlight w:val="none"/>
          <w:u w:val="none"/>
        </w:rPr>
      </w:pPr>
      <w:r>
        <w:rPr>
          <w:rFonts w:hint="eastAsia" w:ascii="宋体" w:hAnsi="宋体" w:eastAsia="宋体" w:cs="宋体"/>
          <w:highlight w:val="none"/>
          <w:u w:val="none"/>
        </w:rPr>
        <w:t>2）项目竣工验收合格后，付至合同价的</w:t>
      </w:r>
      <w:r>
        <w:rPr>
          <w:rFonts w:hint="eastAsia" w:ascii="宋体" w:hAnsi="宋体" w:eastAsia="宋体" w:cs="宋体"/>
          <w:highlight w:val="none"/>
          <w:u w:val="none"/>
          <w:lang w:val="en-US" w:eastAsia="zh-CN"/>
        </w:rPr>
        <w:t>7</w:t>
      </w:r>
      <w:r>
        <w:rPr>
          <w:rFonts w:hint="eastAsia" w:ascii="宋体" w:hAnsi="宋体" w:eastAsia="宋体" w:cs="宋体"/>
          <w:highlight w:val="none"/>
          <w:u w:val="none"/>
        </w:rPr>
        <w:t xml:space="preserve">0%（包括以前支付的预付款）；                                                                          </w:t>
      </w:r>
    </w:p>
    <w:p w14:paraId="4198B0E5">
      <w:pPr>
        <w:pStyle w:val="30"/>
        <w:snapToGrid w:val="0"/>
        <w:spacing w:beforeAutospacing="0" w:afterAutospacing="0" w:line="580" w:lineRule="exact"/>
        <w:ind w:firstLine="480" w:firstLineChars="200"/>
        <w:jc w:val="both"/>
        <w:rPr>
          <w:rFonts w:ascii="宋体" w:hAnsi="宋体" w:eastAsia="宋体" w:cs="宋体"/>
          <w:highlight w:val="none"/>
          <w:u w:val="none"/>
        </w:rPr>
      </w:pPr>
      <w:r>
        <w:rPr>
          <w:rFonts w:hint="eastAsia" w:ascii="宋体" w:hAnsi="宋体" w:eastAsia="宋体" w:cs="宋体"/>
          <w:highlight w:val="none"/>
          <w:u w:val="none"/>
        </w:rPr>
        <w:t>3）项目竣工验收合格满一年（自竣工验收合格之日起第一年</w:t>
      </w:r>
      <w:r>
        <w:rPr>
          <w:rFonts w:hint="eastAsia" w:ascii="宋体" w:hAnsi="宋体" w:eastAsia="宋体" w:cs="宋体"/>
          <w:highlight w:val="none"/>
          <w:u w:val="none"/>
          <w:lang w:val="en-US" w:eastAsia="zh-CN"/>
        </w:rPr>
        <w:t>后</w:t>
      </w:r>
      <w:r>
        <w:rPr>
          <w:rFonts w:hint="eastAsia" w:ascii="宋体" w:hAnsi="宋体" w:eastAsia="宋体" w:cs="宋体"/>
          <w:highlight w:val="none"/>
          <w:u w:val="none"/>
        </w:rPr>
        <w:t>），</w:t>
      </w:r>
      <w:r>
        <w:rPr>
          <w:rFonts w:hint="eastAsia" w:ascii="宋体" w:hAnsi="宋体" w:eastAsia="宋体" w:cs="宋体"/>
          <w:highlight w:val="none"/>
          <w:u w:val="none"/>
          <w:lang w:val="en-US" w:eastAsia="zh-CN"/>
        </w:rPr>
        <w:t>按审计结论，</w:t>
      </w:r>
      <w:r>
        <w:rPr>
          <w:rFonts w:hint="eastAsia" w:ascii="宋体" w:hAnsi="宋体" w:eastAsia="宋体" w:cs="宋体"/>
          <w:highlight w:val="none"/>
          <w:u w:val="none"/>
        </w:rPr>
        <w:t>付至</w:t>
      </w:r>
      <w:r>
        <w:rPr>
          <w:rFonts w:hint="eastAsia" w:ascii="宋体" w:hAnsi="宋体" w:eastAsia="宋体" w:cs="宋体"/>
          <w:highlight w:val="none"/>
          <w:u w:val="none"/>
          <w:lang w:val="en-US" w:eastAsia="zh-CN"/>
        </w:rPr>
        <w:t>审计价</w:t>
      </w:r>
      <w:r>
        <w:rPr>
          <w:rFonts w:hint="eastAsia" w:ascii="宋体" w:hAnsi="宋体" w:eastAsia="宋体" w:cs="宋体"/>
          <w:highlight w:val="none"/>
          <w:u w:val="none"/>
        </w:rPr>
        <w:t xml:space="preserve">的 </w:t>
      </w:r>
      <w:r>
        <w:rPr>
          <w:rFonts w:hint="eastAsia" w:ascii="宋体" w:hAnsi="宋体" w:eastAsia="宋体" w:cs="宋体"/>
          <w:highlight w:val="none"/>
          <w:u w:val="none"/>
          <w:lang w:val="en-US" w:eastAsia="zh-CN"/>
        </w:rPr>
        <w:t>9</w:t>
      </w:r>
      <w:r>
        <w:rPr>
          <w:rFonts w:hint="eastAsia" w:ascii="宋体" w:hAnsi="宋体" w:eastAsia="宋体" w:cs="宋体"/>
          <w:highlight w:val="none"/>
          <w:u w:val="none"/>
        </w:rPr>
        <w:t xml:space="preserve">0%（包括以前已支付的预付款、进度款）；                                                                       </w:t>
      </w:r>
    </w:p>
    <w:p w14:paraId="76A57185">
      <w:pPr>
        <w:pStyle w:val="30"/>
        <w:snapToGrid w:val="0"/>
        <w:spacing w:beforeAutospacing="0" w:afterAutospacing="0" w:line="580" w:lineRule="exact"/>
        <w:ind w:firstLine="480" w:firstLineChars="200"/>
        <w:jc w:val="both"/>
        <w:rPr>
          <w:rFonts w:ascii="宋体" w:hAnsi="宋体" w:eastAsia="宋体" w:cs="宋体"/>
          <w:highlight w:val="none"/>
          <w:u w:val="none"/>
        </w:rPr>
      </w:pPr>
      <w:r>
        <w:rPr>
          <w:rFonts w:hint="eastAsia" w:ascii="宋体" w:hAnsi="宋体" w:eastAsia="宋体" w:cs="宋体"/>
          <w:highlight w:val="none"/>
          <w:u w:val="none"/>
        </w:rPr>
        <w:t>4）自竣工验收合格之日起，中标人完成三年质保服务工作，</w:t>
      </w:r>
      <w:r>
        <w:rPr>
          <w:rFonts w:hint="eastAsia" w:ascii="宋体" w:hAnsi="宋体" w:eastAsia="宋体" w:cs="宋体"/>
          <w:highlight w:val="none"/>
          <w:u w:val="none"/>
          <w:lang w:val="en-US" w:eastAsia="zh-CN"/>
        </w:rPr>
        <w:t>按审计结论</w:t>
      </w:r>
      <w:r>
        <w:rPr>
          <w:rFonts w:hint="eastAsia" w:ascii="宋体" w:hAnsi="宋体" w:eastAsia="宋体" w:cs="宋体"/>
          <w:highlight w:val="none"/>
          <w:u w:val="none"/>
        </w:rPr>
        <w:t xml:space="preserve">结清剩余款项；                                                                  </w:t>
      </w:r>
    </w:p>
    <w:p w14:paraId="592CB08F">
      <w:pPr>
        <w:pStyle w:val="30"/>
        <w:snapToGrid w:val="0"/>
        <w:spacing w:beforeAutospacing="0" w:afterAutospacing="0" w:line="580" w:lineRule="exact"/>
        <w:ind w:firstLine="480" w:firstLineChars="200"/>
        <w:jc w:val="both"/>
        <w:rPr>
          <w:rFonts w:hint="eastAsia" w:ascii="宋体" w:hAnsi="宋体" w:eastAsia="宋体" w:cs="宋体"/>
          <w:highlight w:val="none"/>
          <w:u w:val="none"/>
        </w:rPr>
      </w:pPr>
      <w:r>
        <w:rPr>
          <w:rFonts w:hint="eastAsia" w:ascii="宋体" w:hAnsi="宋体" w:eastAsia="宋体" w:cs="宋体"/>
          <w:highlight w:val="none"/>
          <w:u w:val="none"/>
        </w:rPr>
        <w:t>5）按上述进度付款，无利息补偿；质保期内需要返工、更换、维修、调试等所产生的各项费用由中标人承担，给招标人造成的各项损失在合同款中扣除。</w:t>
      </w:r>
    </w:p>
    <w:p w14:paraId="2F56BFE9">
      <w:pPr>
        <w:pStyle w:val="30"/>
        <w:snapToGrid w:val="0"/>
        <w:spacing w:beforeAutospacing="0" w:afterAutospacing="0" w:line="580" w:lineRule="exact"/>
        <w:ind w:firstLine="480" w:firstLineChars="200"/>
        <w:jc w:val="both"/>
        <w:rPr>
          <w:rFonts w:hint="eastAsia" w:ascii="宋体" w:hAnsi="宋体" w:eastAsia="宋体" w:cs="宋体"/>
          <w:color w:val="FF0000"/>
          <w:highlight w:val="yellow"/>
          <w:u w:val="none"/>
        </w:rPr>
      </w:pPr>
      <w:r>
        <w:rPr>
          <w:rFonts w:hint="eastAsia" w:asciiTheme="minorEastAsia" w:hAnsiTheme="minorEastAsia"/>
          <w:b/>
          <w:bCs/>
          <w:color w:val="FF0000"/>
          <w:sz w:val="24"/>
          <w:szCs w:val="24"/>
          <w:highlight w:val="none"/>
          <w:lang w:val="en-US" w:eastAsia="zh-CN"/>
        </w:rPr>
        <w:t>注：审计期为工程竣工验收合格后一年内出具审计报告。</w:t>
      </w:r>
    </w:p>
    <w:p w14:paraId="165F8649">
      <w:pPr>
        <w:spacing w:line="540" w:lineRule="exact"/>
        <w:outlineLvl w:val="0"/>
        <w:rPr>
          <w:rFonts w:ascii="宋体" w:hAnsi="宋体" w:eastAsia="宋体" w:cs="宋体"/>
          <w:b/>
          <w:sz w:val="24"/>
        </w:rPr>
      </w:pPr>
      <w:r>
        <w:rPr>
          <w:rFonts w:hint="eastAsia" w:ascii="宋体" w:hAnsi="宋体" w:eastAsia="宋体" w:cs="宋体"/>
          <w:b/>
          <w:sz w:val="24"/>
        </w:rPr>
        <w:t>九、税费</w:t>
      </w:r>
    </w:p>
    <w:p w14:paraId="131412E0">
      <w:pPr>
        <w:pStyle w:val="30"/>
        <w:snapToGrid w:val="0"/>
        <w:spacing w:beforeAutospacing="0" w:afterAutospacing="0" w:line="580" w:lineRule="exact"/>
        <w:ind w:firstLine="480" w:firstLineChars="200"/>
        <w:jc w:val="both"/>
      </w:pPr>
      <w:r>
        <w:rPr>
          <w:rFonts w:hint="eastAsia" w:ascii="宋体" w:hAnsi="宋体" w:eastAsia="宋体" w:cs="宋体"/>
        </w:rPr>
        <w:t>9.1本合同执行中相关的一切税费均由乙方负担。</w:t>
      </w:r>
    </w:p>
    <w:p w14:paraId="60957BC0">
      <w:pPr>
        <w:spacing w:line="540" w:lineRule="exact"/>
        <w:outlineLvl w:val="0"/>
        <w:rPr>
          <w:rFonts w:ascii="宋体" w:hAnsi="宋体" w:eastAsia="宋体" w:cs="宋体"/>
          <w:b/>
          <w:sz w:val="24"/>
        </w:rPr>
      </w:pPr>
      <w:r>
        <w:rPr>
          <w:rFonts w:hint="eastAsia" w:ascii="宋体" w:hAnsi="宋体" w:eastAsia="宋体" w:cs="宋体"/>
          <w:b/>
          <w:sz w:val="24"/>
        </w:rPr>
        <w:t>十、质量保修范围和保修期及售后服务</w:t>
      </w:r>
    </w:p>
    <w:p w14:paraId="7813A154">
      <w:pPr>
        <w:pStyle w:val="30"/>
        <w:snapToGrid w:val="0"/>
        <w:spacing w:beforeAutospacing="0" w:afterAutospacing="0" w:line="580" w:lineRule="exact"/>
        <w:ind w:firstLine="480" w:firstLineChars="200"/>
        <w:jc w:val="both"/>
      </w:pPr>
      <w:r>
        <w:rPr>
          <w:rFonts w:hint="eastAsia" w:ascii="宋体" w:hAnsi="宋体" w:eastAsia="宋体" w:cs="宋体"/>
        </w:rPr>
        <w:t>10.1 乙方应按招标文件规定的货物性能、技术要求、质量标准向甲方提供未经使用的全新产品。</w:t>
      </w:r>
    </w:p>
    <w:p w14:paraId="272B26B2">
      <w:pPr>
        <w:pStyle w:val="30"/>
        <w:snapToGrid w:val="0"/>
        <w:spacing w:beforeAutospacing="0" w:afterAutospacing="0" w:line="580" w:lineRule="exact"/>
        <w:ind w:firstLine="480" w:firstLineChars="200"/>
        <w:jc w:val="both"/>
      </w:pPr>
      <w:r>
        <w:rPr>
          <w:rFonts w:hint="eastAsia" w:ascii="宋体" w:hAnsi="宋体" w:eastAsia="宋体" w:cs="宋体"/>
        </w:rPr>
        <w:t>10.2 乙方提供的货物在质量期内因货物本身的质量问题发生故障，乙方应负责免费更换。对达不到技术要求者，根据实际情况，经双方协商，可按以下办法处理：</w:t>
      </w:r>
    </w:p>
    <w:p w14:paraId="44A7FCC0">
      <w:pPr>
        <w:spacing w:line="540" w:lineRule="exact"/>
        <w:ind w:firstLine="360" w:firstLineChars="150"/>
        <w:rPr>
          <w:sz w:val="24"/>
        </w:rPr>
      </w:pPr>
      <w:r>
        <w:rPr>
          <w:rFonts w:cs="Times New Roman"/>
          <w:kern w:val="0"/>
          <w:sz w:val="24"/>
        </w:rPr>
        <w:t>（1）</w:t>
      </w:r>
      <w:r>
        <w:rPr>
          <w:rFonts w:hint="eastAsia" w:ascii="宋体" w:hAnsi="宋体" w:eastAsia="宋体" w:cs="宋体"/>
          <w:sz w:val="24"/>
        </w:rPr>
        <w:t>更换：由乙方承担所发生的全部费用。</w:t>
      </w:r>
    </w:p>
    <w:p w14:paraId="202AD189">
      <w:pPr>
        <w:spacing w:line="540" w:lineRule="exact"/>
        <w:ind w:firstLine="360" w:firstLineChars="150"/>
        <w:rPr>
          <w:sz w:val="24"/>
        </w:rPr>
      </w:pPr>
      <w:r>
        <w:rPr>
          <w:rFonts w:cs="Times New Roman"/>
          <w:kern w:val="0"/>
          <w:sz w:val="24"/>
        </w:rPr>
        <w:t>（2）</w:t>
      </w:r>
      <w:r>
        <w:rPr>
          <w:rFonts w:hint="eastAsia" w:ascii="宋体" w:hAnsi="宋体" w:eastAsia="宋体" w:cs="宋体"/>
          <w:sz w:val="24"/>
        </w:rPr>
        <w:t>贬值处理：由甲乙双方合议定价。</w:t>
      </w:r>
    </w:p>
    <w:p w14:paraId="28EBFE4E">
      <w:pPr>
        <w:pStyle w:val="30"/>
        <w:snapToGrid w:val="0"/>
        <w:spacing w:beforeAutospacing="0" w:afterAutospacing="0" w:line="580" w:lineRule="exact"/>
        <w:ind w:firstLine="480" w:firstLineChars="200"/>
        <w:jc w:val="both"/>
        <w:rPr>
          <w:rFonts w:hint="eastAsia" w:ascii="宋体" w:hAnsi="宋体" w:eastAsia="宋体" w:cs="宋体"/>
        </w:rPr>
      </w:pPr>
      <w:r>
        <w:rPr>
          <w:rFonts w:cs="Times New Roman"/>
          <w:kern w:val="0"/>
          <w:sz w:val="24"/>
        </w:rPr>
        <w:t>（3）</w:t>
      </w:r>
      <w:r>
        <w:rPr>
          <w:rFonts w:hint="eastAsia" w:ascii="宋体" w:hAnsi="宋体" w:eastAsia="宋体" w:cs="宋体"/>
          <w:sz w:val="24"/>
        </w:rPr>
        <w:t>退货处理：乙方应退还甲方支付的合同款，同时应承担该货物的直接费用</w:t>
      </w:r>
      <w:r>
        <w:rPr>
          <w:rFonts w:hint="eastAsia" w:ascii="宋体" w:hAnsi="宋体" w:eastAsia="宋体" w:cs="宋体"/>
        </w:rPr>
        <w:t>（运输、保险、检验、货款利息及银行手续费等）。</w:t>
      </w:r>
    </w:p>
    <w:p w14:paraId="561C5B7A">
      <w:pPr>
        <w:pStyle w:val="30"/>
        <w:snapToGrid w:val="0"/>
        <w:spacing w:beforeAutospacing="0" w:afterAutospacing="0" w:line="580" w:lineRule="exact"/>
        <w:ind w:firstLine="480" w:firstLineChars="200"/>
        <w:jc w:val="both"/>
        <w:rPr>
          <w:rFonts w:hint="eastAsia" w:ascii="宋体" w:hAnsi="宋体" w:eastAsia="宋体" w:cs="宋体"/>
        </w:rPr>
      </w:pPr>
      <w:r>
        <w:rPr>
          <w:rFonts w:hint="eastAsia" w:ascii="宋体" w:hAnsi="宋体" w:eastAsia="宋体" w:cs="宋体"/>
        </w:rPr>
        <w:t>10.3 在维保期内，提供365×7×24小时技术支持服务，设立专属服务热线，接到故障报修后，30 分钟内响应，4 小时内到达现场，</w:t>
      </w:r>
      <w:r>
        <w:rPr>
          <w:rFonts w:hint="eastAsia" w:ascii="宋体" w:hAnsi="宋体" w:eastAsia="宋体" w:cs="宋体"/>
          <w:lang w:val="en-US" w:eastAsia="zh-CN"/>
        </w:rPr>
        <w:t>48</w:t>
      </w:r>
      <w:r>
        <w:rPr>
          <w:rFonts w:hint="eastAsia" w:ascii="宋体" w:hAnsi="宋体" w:eastAsia="宋体" w:cs="宋体"/>
        </w:rPr>
        <w:t>小时内解决故障；无法现场解决的，需</w:t>
      </w:r>
      <w:r>
        <w:rPr>
          <w:rFonts w:hint="eastAsia" w:ascii="宋体" w:hAnsi="宋体" w:eastAsia="宋体" w:cs="宋体"/>
          <w:lang w:val="en-US" w:eastAsia="zh-CN"/>
        </w:rPr>
        <w:t>自行与学校协调</w:t>
      </w:r>
      <w:r>
        <w:rPr>
          <w:rFonts w:hint="eastAsia" w:ascii="宋体" w:hAnsi="宋体" w:eastAsia="宋体" w:cs="宋体"/>
        </w:rPr>
        <w:t>，保障系统正常运行。</w:t>
      </w:r>
    </w:p>
    <w:p w14:paraId="0EF9F2F0">
      <w:pPr>
        <w:pStyle w:val="30"/>
        <w:snapToGrid w:val="0"/>
        <w:spacing w:beforeAutospacing="0" w:afterAutospacing="0" w:line="580" w:lineRule="exact"/>
        <w:ind w:firstLine="480" w:firstLineChars="200"/>
        <w:jc w:val="both"/>
        <w:rPr>
          <w:rFonts w:ascii="宋体" w:hAnsi="宋体" w:eastAsia="宋体" w:cs="宋体"/>
        </w:rPr>
      </w:pPr>
      <w:r>
        <w:rPr>
          <w:rFonts w:hint="eastAsia" w:ascii="宋体" w:hAnsi="宋体" w:eastAsia="宋体" w:cs="宋体"/>
        </w:rPr>
        <w:t>10.4 在质保期内，乙方应对货物出现的质量及安全问题负责处理解决并承担一切费用。</w:t>
      </w:r>
    </w:p>
    <w:p w14:paraId="6F110F47">
      <w:pPr>
        <w:pStyle w:val="30"/>
        <w:snapToGrid w:val="0"/>
        <w:spacing w:beforeAutospacing="0" w:afterAutospacing="0" w:line="580" w:lineRule="exact"/>
        <w:ind w:firstLine="480" w:firstLineChars="200"/>
        <w:jc w:val="both"/>
        <w:rPr>
          <w:highlight w:val="none"/>
        </w:rPr>
      </w:pPr>
      <w:r>
        <w:rPr>
          <w:rFonts w:hint="eastAsia" w:ascii="宋体" w:hAnsi="宋体" w:eastAsia="宋体" w:cs="宋体"/>
        </w:rPr>
        <w:t>10.5上述的货物免费</w:t>
      </w:r>
      <w:r>
        <w:rPr>
          <w:rFonts w:hint="eastAsia" w:ascii="宋体" w:hAnsi="宋体" w:eastAsia="宋体" w:cs="宋体"/>
          <w:highlight w:val="none"/>
        </w:rPr>
        <w:t>保修期为</w:t>
      </w:r>
      <w:r>
        <w:rPr>
          <w:rFonts w:hint="eastAsia" w:ascii="宋体" w:hAnsi="宋体" w:cs="宋体"/>
          <w:highlight w:val="none"/>
          <w:u w:val="single"/>
        </w:rPr>
        <w:t>3</w:t>
      </w:r>
      <w:r>
        <w:rPr>
          <w:rFonts w:hint="eastAsia" w:ascii="宋体" w:hAnsi="宋体" w:eastAsia="宋体" w:cs="宋体"/>
          <w:highlight w:val="none"/>
        </w:rPr>
        <w:t>年（自交货验收合格之日起计），因人为因素出现的故障不在免费保修范围内。</w:t>
      </w:r>
    </w:p>
    <w:p w14:paraId="213071EB">
      <w:pPr>
        <w:spacing w:line="540" w:lineRule="exact"/>
        <w:outlineLvl w:val="0"/>
        <w:rPr>
          <w:rFonts w:ascii="宋体" w:hAnsi="宋体" w:eastAsia="宋体" w:cs="宋体"/>
          <w:b/>
          <w:sz w:val="24"/>
          <w:highlight w:val="none"/>
        </w:rPr>
      </w:pPr>
      <w:r>
        <w:rPr>
          <w:rFonts w:hint="eastAsia" w:ascii="宋体" w:hAnsi="宋体" w:eastAsia="宋体" w:cs="宋体"/>
          <w:b/>
          <w:sz w:val="24"/>
          <w:highlight w:val="none"/>
        </w:rPr>
        <w:t>十一、项目验收</w:t>
      </w:r>
    </w:p>
    <w:p w14:paraId="0B9BD23F">
      <w:pPr>
        <w:pStyle w:val="30"/>
        <w:snapToGrid w:val="0"/>
        <w:spacing w:beforeAutospacing="0" w:afterAutospacing="0" w:line="580" w:lineRule="exact"/>
        <w:ind w:firstLine="480" w:firstLineChars="200"/>
        <w:jc w:val="both"/>
        <w:rPr>
          <w:rFonts w:hint="eastAsia" w:ascii="宋体" w:hAnsi="宋体" w:eastAsia="宋体" w:cs="宋体"/>
          <w:highlight w:val="none"/>
        </w:rPr>
      </w:pPr>
    </w:p>
    <w:p w14:paraId="11765C17">
      <w:pPr>
        <w:pStyle w:val="30"/>
        <w:snapToGrid w:val="0"/>
        <w:spacing w:beforeAutospacing="0" w:afterAutospacing="0" w:line="580" w:lineRule="exact"/>
        <w:ind w:firstLine="480" w:firstLineChars="200"/>
        <w:jc w:val="both"/>
        <w:rPr>
          <w:rFonts w:hint="eastAsia" w:ascii="宋体" w:hAnsi="宋体" w:eastAsia="宋体" w:cs="宋体"/>
          <w:highlight w:val="none"/>
          <w:lang w:eastAsia="zh-CN"/>
        </w:rPr>
      </w:pPr>
      <w:r>
        <w:rPr>
          <w:rFonts w:hint="eastAsia" w:ascii="宋体" w:hAnsi="宋体" w:eastAsia="宋体" w:cs="宋体"/>
          <w:highlight w:val="none"/>
        </w:rPr>
        <w:t>11.1 所有设备及配套材料进场后，由采购方组织相关人员依据招标文件、合同约定的技术参数要求开展</w:t>
      </w:r>
      <w:r>
        <w:rPr>
          <w:rFonts w:hint="eastAsia" w:ascii="宋体" w:hAnsi="宋体" w:eastAsia="宋体" w:cs="宋体"/>
          <w:highlight w:val="none"/>
          <w:lang w:val="en-US" w:eastAsia="zh-CN"/>
        </w:rPr>
        <w:t>货物</w:t>
      </w:r>
      <w:r>
        <w:rPr>
          <w:rFonts w:hint="eastAsia" w:ascii="宋体" w:hAnsi="宋体" w:eastAsia="宋体" w:cs="宋体"/>
          <w:highlight w:val="none"/>
        </w:rPr>
        <w:t>进场验收，对货</w:t>
      </w:r>
      <w:r>
        <w:rPr>
          <w:rFonts w:hint="eastAsia" w:ascii="宋体" w:hAnsi="宋体" w:eastAsia="宋体" w:cs="宋体"/>
          <w:highlight w:val="none"/>
          <w:lang w:val="en-US" w:eastAsia="zh-CN"/>
        </w:rPr>
        <w:t>物</w:t>
      </w:r>
      <w:r>
        <w:rPr>
          <w:rFonts w:hint="eastAsia" w:ascii="宋体" w:hAnsi="宋体" w:eastAsia="宋体" w:cs="宋体"/>
          <w:highlight w:val="none"/>
        </w:rPr>
        <w:t>品牌、规格型号逐项验收</w:t>
      </w:r>
      <w:r>
        <w:rPr>
          <w:rFonts w:hint="eastAsia" w:ascii="宋体" w:hAnsi="宋体" w:eastAsia="宋体" w:cs="宋体"/>
          <w:highlight w:val="none"/>
          <w:lang w:eastAsia="zh-CN"/>
        </w:rPr>
        <w:t>。</w:t>
      </w:r>
    </w:p>
    <w:p w14:paraId="1211E4F1">
      <w:pPr>
        <w:pStyle w:val="30"/>
        <w:snapToGrid w:val="0"/>
        <w:spacing w:beforeAutospacing="0" w:afterAutospacing="0" w:line="580" w:lineRule="exact"/>
        <w:ind w:firstLine="480" w:firstLineChars="200"/>
        <w:jc w:val="both"/>
      </w:pPr>
      <w:r>
        <w:rPr>
          <w:rFonts w:hint="eastAsia" w:ascii="宋体" w:hAnsi="宋体" w:eastAsia="宋体" w:cs="宋体"/>
          <w:highlight w:val="none"/>
        </w:rPr>
        <w:t>11.2项目全部安装、调试工作完</w:t>
      </w:r>
      <w:r>
        <w:rPr>
          <w:rFonts w:hint="eastAsia" w:ascii="宋体" w:hAnsi="宋体" w:eastAsia="宋体" w:cs="宋体"/>
          <w:highlight w:val="none"/>
          <w:lang w:val="en-US" w:eastAsia="zh-CN"/>
        </w:rPr>
        <w:t>成</w:t>
      </w:r>
      <w:r>
        <w:rPr>
          <w:rFonts w:hint="eastAsia" w:ascii="宋体" w:hAnsi="宋体" w:eastAsia="宋体" w:cs="宋体"/>
          <w:highlight w:val="none"/>
        </w:rPr>
        <w:t>后</w:t>
      </w:r>
      <w:r>
        <w:rPr>
          <w:rFonts w:hint="eastAsia" w:ascii="宋体" w:hAnsi="宋体" w:eastAsia="宋体" w:cs="宋体"/>
          <w:highlight w:val="none"/>
          <w:lang w:eastAsia="zh-CN"/>
        </w:rPr>
        <w:t>，</w:t>
      </w:r>
      <w:r>
        <w:rPr>
          <w:rFonts w:hint="eastAsia" w:ascii="宋体" w:hAnsi="宋体" w:eastAsia="宋体" w:cs="宋体"/>
          <w:highlight w:val="none"/>
        </w:rPr>
        <w:t>将根据项目特</w:t>
      </w:r>
      <w:r>
        <w:rPr>
          <w:rFonts w:hint="eastAsia" w:ascii="宋体" w:hAnsi="宋体" w:eastAsia="宋体" w:cs="宋体"/>
        </w:rPr>
        <w:t>点制定验收方案，明确履约验收的时间、方式、程序等内容，并可根据项目特点对服务期内的服务情况进行分期考核，综合考核情况和服务效果进行验收。乙方应根据验收方案内容做好相应配合工作。</w:t>
      </w:r>
    </w:p>
    <w:p w14:paraId="10507A11">
      <w:pPr>
        <w:pStyle w:val="30"/>
        <w:snapToGrid w:val="0"/>
        <w:spacing w:beforeAutospacing="0" w:afterAutospacing="0" w:line="580" w:lineRule="exact"/>
        <w:ind w:firstLine="480" w:firstLineChars="200"/>
        <w:jc w:val="both"/>
      </w:pPr>
      <w:r>
        <w:rPr>
          <w:rFonts w:hint="eastAsia" w:ascii="宋体" w:hAnsi="宋体" w:eastAsia="宋体" w:cs="宋体"/>
        </w:rPr>
        <w:t>11.3 对于实际使用人和甲方分离的项目，甲方邀请实际使用人参与验收。</w:t>
      </w:r>
    </w:p>
    <w:p w14:paraId="7E030702">
      <w:pPr>
        <w:pStyle w:val="30"/>
        <w:snapToGrid w:val="0"/>
        <w:spacing w:beforeAutospacing="0" w:afterAutospacing="0" w:line="580" w:lineRule="exact"/>
        <w:ind w:firstLine="480" w:firstLineChars="200"/>
        <w:jc w:val="both"/>
      </w:pPr>
      <w:r>
        <w:rPr>
          <w:rFonts w:hint="eastAsia" w:ascii="宋体" w:hAnsi="宋体" w:eastAsia="宋体" w:cs="宋体"/>
        </w:rPr>
        <w:t>11.4 如有必要，甲方邀请参加本项目的其他供应商或第三方专业机构及专家参与验收，相关意见将作为验收书的参考资料。</w:t>
      </w:r>
    </w:p>
    <w:p w14:paraId="79FF2209">
      <w:pPr>
        <w:pStyle w:val="30"/>
        <w:snapToGrid w:val="0"/>
        <w:spacing w:beforeAutospacing="0" w:afterAutospacing="0" w:line="580" w:lineRule="exact"/>
        <w:ind w:firstLine="480" w:firstLineChars="200"/>
        <w:jc w:val="both"/>
      </w:pPr>
      <w:r>
        <w:rPr>
          <w:rFonts w:hint="eastAsia" w:ascii="宋体" w:hAnsi="宋体" w:eastAsia="宋体" w:cs="宋体"/>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A09C9A5">
      <w:pPr>
        <w:pStyle w:val="30"/>
        <w:snapToGrid w:val="0"/>
        <w:spacing w:beforeAutospacing="0" w:afterAutospacing="0" w:line="580" w:lineRule="exact"/>
        <w:ind w:firstLine="480" w:firstLineChars="200"/>
        <w:jc w:val="both"/>
      </w:pPr>
      <w:r>
        <w:rPr>
          <w:rFonts w:hint="eastAsia" w:ascii="宋体" w:hAnsi="宋体" w:eastAsia="宋体" w:cs="宋体"/>
        </w:rPr>
        <w:t>11.6 验收合格的项目,甲方根据采购合同的约定及时向乙方支付合同款项、退还履约保证金。验收不合格的项目，</w:t>
      </w:r>
      <w:r>
        <w:rPr>
          <w:rFonts w:hint="eastAsia" w:ascii="宋体" w:hAnsi="宋体" w:eastAsia="宋体" w:cs="宋体"/>
          <w:lang w:val="en-US" w:eastAsia="zh-CN"/>
        </w:rPr>
        <w:t>乙方</w:t>
      </w:r>
      <w:r>
        <w:rPr>
          <w:rFonts w:hint="eastAsia" w:ascii="宋体" w:hAnsi="宋体" w:eastAsia="宋体" w:cs="宋体"/>
        </w:rPr>
        <w:t>及时处理。采购合同的履行、违约责任和解决争议的方式等适用《民法典》。乙方在履约过程中有政府采购法律法规规定的违法违规情形的,甲方将及时报告本级财政部门。</w:t>
      </w:r>
    </w:p>
    <w:p w14:paraId="634BA3B1">
      <w:pPr>
        <w:spacing w:line="540" w:lineRule="exact"/>
        <w:outlineLvl w:val="0"/>
        <w:rPr>
          <w:rFonts w:ascii="宋体" w:hAnsi="宋体" w:eastAsia="宋体" w:cs="宋体"/>
          <w:b/>
          <w:sz w:val="24"/>
        </w:rPr>
      </w:pPr>
      <w:r>
        <w:rPr>
          <w:rFonts w:hint="eastAsia" w:ascii="宋体" w:hAnsi="宋体" w:eastAsia="宋体" w:cs="宋体"/>
          <w:b/>
          <w:sz w:val="24"/>
        </w:rPr>
        <w:t>十二、货物的包装、发运及运输</w:t>
      </w:r>
    </w:p>
    <w:p w14:paraId="357D2AD2">
      <w:pPr>
        <w:pStyle w:val="30"/>
        <w:snapToGrid w:val="0"/>
        <w:spacing w:beforeAutospacing="0" w:afterAutospacing="0" w:line="580" w:lineRule="exact"/>
        <w:ind w:firstLine="480" w:firstLineChars="200"/>
        <w:jc w:val="both"/>
      </w:pPr>
      <w:r>
        <w:rPr>
          <w:rFonts w:hint="eastAsia" w:ascii="宋体" w:hAnsi="宋体" w:eastAsia="宋体" w:cs="宋体"/>
        </w:rPr>
        <w:t>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6F80DFBE">
      <w:pPr>
        <w:pStyle w:val="30"/>
        <w:snapToGrid w:val="0"/>
        <w:spacing w:beforeAutospacing="0" w:afterAutospacing="0" w:line="580" w:lineRule="exact"/>
        <w:ind w:firstLine="480" w:firstLineChars="200"/>
        <w:jc w:val="both"/>
      </w:pPr>
      <w:r>
        <w:rPr>
          <w:rFonts w:hint="eastAsia" w:ascii="宋体" w:hAnsi="宋体" w:eastAsia="宋体" w:cs="宋体"/>
        </w:rPr>
        <w:t>12.2 使用说明书、质量检验证明书、随配附件和工具以及清单一并附于货物内。</w:t>
      </w:r>
    </w:p>
    <w:p w14:paraId="46496A81">
      <w:pPr>
        <w:pStyle w:val="30"/>
        <w:snapToGrid w:val="0"/>
        <w:spacing w:beforeAutospacing="0" w:afterAutospacing="0" w:line="580" w:lineRule="exact"/>
        <w:ind w:firstLine="480" w:firstLineChars="200"/>
        <w:jc w:val="both"/>
      </w:pPr>
      <w:r>
        <w:rPr>
          <w:rFonts w:hint="eastAsia" w:ascii="宋体" w:hAnsi="宋体" w:eastAsia="宋体" w:cs="宋体"/>
        </w:rPr>
        <w:t>12.3 乙方在货物发运手续办理完毕后24小时内或货到甲方48小时前通知甲方，以准备接货。</w:t>
      </w:r>
    </w:p>
    <w:p w14:paraId="30D881F2">
      <w:pPr>
        <w:pStyle w:val="30"/>
        <w:snapToGrid w:val="0"/>
        <w:spacing w:beforeAutospacing="0" w:afterAutospacing="0" w:line="580" w:lineRule="exact"/>
        <w:ind w:firstLine="480" w:firstLineChars="200"/>
        <w:jc w:val="both"/>
      </w:pPr>
      <w:r>
        <w:rPr>
          <w:rFonts w:hint="eastAsia" w:ascii="宋体" w:hAnsi="宋体" w:eastAsia="宋体" w:cs="宋体"/>
        </w:rPr>
        <w:t>12.4 货物在交付甲方前发生的风险均由乙方负责。</w:t>
      </w:r>
    </w:p>
    <w:p w14:paraId="615AF341">
      <w:pPr>
        <w:pStyle w:val="30"/>
        <w:snapToGrid w:val="0"/>
        <w:spacing w:beforeAutospacing="0" w:afterAutospacing="0" w:line="580" w:lineRule="exact"/>
        <w:ind w:firstLine="480" w:firstLineChars="200"/>
        <w:jc w:val="both"/>
      </w:pPr>
      <w:r>
        <w:rPr>
          <w:rFonts w:hint="eastAsia" w:ascii="宋体" w:hAnsi="宋体" w:eastAsia="宋体" w:cs="宋体"/>
        </w:rPr>
        <w:t>12.5 货物在规定的交付期限内由乙方送达甲方指定的地点视为交付，乙方同时需通知甲方货物已送达。</w:t>
      </w:r>
    </w:p>
    <w:p w14:paraId="762E0347">
      <w:pPr>
        <w:spacing w:line="540" w:lineRule="exact"/>
        <w:outlineLvl w:val="0"/>
        <w:rPr>
          <w:rFonts w:ascii="宋体" w:hAnsi="宋体" w:eastAsia="宋体" w:cs="宋体"/>
          <w:b/>
          <w:sz w:val="24"/>
        </w:rPr>
      </w:pPr>
      <w:r>
        <w:rPr>
          <w:rFonts w:hint="eastAsia" w:ascii="宋体" w:hAnsi="宋体" w:eastAsia="宋体" w:cs="宋体"/>
          <w:b/>
          <w:sz w:val="24"/>
        </w:rPr>
        <w:t>十三、违约责任</w:t>
      </w:r>
    </w:p>
    <w:p w14:paraId="2BA6715C">
      <w:pPr>
        <w:pStyle w:val="30"/>
        <w:snapToGrid w:val="0"/>
        <w:spacing w:beforeAutospacing="0" w:afterAutospacing="0" w:line="580" w:lineRule="exact"/>
        <w:ind w:firstLine="480" w:firstLineChars="200"/>
        <w:jc w:val="both"/>
      </w:pPr>
      <w:r>
        <w:rPr>
          <w:rFonts w:hint="eastAsia" w:ascii="宋体" w:hAnsi="宋体" w:eastAsia="宋体" w:cs="宋体"/>
        </w:rPr>
        <w:t>13.1 甲方无正当理由拒收货物的，甲方向乙方偿付拒收货款总值</w:t>
      </w:r>
      <w:r>
        <w:rPr>
          <w:rFonts w:hint="eastAsia" w:ascii="宋体" w:hAnsi="宋体" w:eastAsia="宋体" w:cs="宋体"/>
          <w:u w:val="single"/>
        </w:rPr>
        <w:t> </w:t>
      </w:r>
      <w:r>
        <w:rPr>
          <w:rFonts w:hint="eastAsia" w:ascii="宋体" w:hAnsi="宋体" w:cs="宋体"/>
          <w:u w:val="single"/>
        </w:rPr>
        <w:t>/</w:t>
      </w:r>
      <w:r>
        <w:rPr>
          <w:rFonts w:hint="eastAsia" w:ascii="宋体" w:hAnsi="宋体" w:eastAsia="宋体" w:cs="宋体"/>
          <w:u w:val="single"/>
        </w:rPr>
        <w:t xml:space="preserve">   </w:t>
      </w:r>
      <w:r>
        <w:rPr>
          <w:rFonts w:hint="eastAsia" w:ascii="宋体" w:hAnsi="宋体" w:eastAsia="宋体" w:cs="宋体"/>
        </w:rPr>
        <w:t>的违约金。</w:t>
      </w:r>
    </w:p>
    <w:p w14:paraId="1513A4F5">
      <w:pPr>
        <w:pStyle w:val="30"/>
        <w:snapToGrid w:val="0"/>
        <w:spacing w:beforeAutospacing="0" w:afterAutospacing="0" w:line="580" w:lineRule="exact"/>
        <w:ind w:firstLine="480" w:firstLineChars="200"/>
        <w:jc w:val="both"/>
      </w:pPr>
      <w:r>
        <w:rPr>
          <w:rFonts w:hint="eastAsia" w:ascii="宋体" w:hAnsi="宋体" w:eastAsia="宋体" w:cs="宋体"/>
        </w:rPr>
        <w:t>13.2 甲方无故逾期验收和办理货款支付手续的,甲方应按逾期付款总额每日</w:t>
      </w:r>
      <w:r>
        <w:rPr>
          <w:rFonts w:hint="eastAsia" w:ascii="宋体" w:hAnsi="宋体" w:eastAsia="宋体" w:cs="宋体"/>
          <w:u w:val="single"/>
        </w:rPr>
        <w:t>  </w:t>
      </w:r>
      <w:r>
        <w:rPr>
          <w:rFonts w:hint="eastAsia" w:ascii="宋体" w:hAnsi="宋体" w:cs="宋体"/>
          <w:u w:val="single"/>
        </w:rPr>
        <w:t>/</w:t>
      </w:r>
      <w:r>
        <w:rPr>
          <w:rFonts w:hint="eastAsia" w:ascii="宋体" w:hAnsi="宋体" w:eastAsia="宋体" w:cs="宋体"/>
          <w:u w:val="single"/>
        </w:rPr>
        <w:t xml:space="preserve">  </w:t>
      </w:r>
      <w:r>
        <w:rPr>
          <w:rFonts w:hint="eastAsia" w:ascii="宋体" w:hAnsi="宋体" w:eastAsia="宋体" w:cs="宋体"/>
        </w:rPr>
        <w:t>向乙方支付违约金。</w:t>
      </w:r>
    </w:p>
    <w:p w14:paraId="331F14EE">
      <w:pPr>
        <w:pStyle w:val="30"/>
        <w:snapToGrid w:val="0"/>
        <w:spacing w:beforeAutospacing="0" w:afterAutospacing="0" w:line="580" w:lineRule="exact"/>
        <w:ind w:firstLine="480" w:firstLineChars="200"/>
        <w:jc w:val="both"/>
      </w:pPr>
      <w:r>
        <w:rPr>
          <w:rFonts w:hint="eastAsia" w:ascii="宋体" w:hAnsi="宋体" w:eastAsia="宋体" w:cs="宋体"/>
        </w:rPr>
        <w:t>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w:t>
      </w:r>
      <w:r>
        <w:rPr>
          <w:rFonts w:hint="eastAsia" w:ascii="宋体" w:hAnsi="宋体" w:eastAsia="宋体" w:cs="宋体"/>
          <w:highlight w:val="none"/>
        </w:rPr>
        <w:t>总值</w:t>
      </w:r>
      <w:r>
        <w:rPr>
          <w:rFonts w:hint="eastAsia" w:ascii="宋体" w:hAnsi="宋体" w:eastAsia="宋体" w:cs="宋体"/>
          <w:highlight w:val="none"/>
          <w:u w:val="single"/>
        </w:rPr>
        <w:t xml:space="preserve"> 20%  </w:t>
      </w:r>
      <w:r>
        <w:rPr>
          <w:rFonts w:hint="eastAsia" w:ascii="宋体" w:hAnsi="宋体" w:eastAsia="宋体" w:cs="宋体"/>
          <w:highlight w:val="none"/>
        </w:rPr>
        <w:t>的违</w:t>
      </w:r>
      <w:r>
        <w:rPr>
          <w:rFonts w:hint="eastAsia" w:ascii="宋体" w:hAnsi="宋体" w:eastAsia="宋体" w:cs="宋体"/>
        </w:rPr>
        <w:t xml:space="preserve">约金，如造成甲方损失超过违约金的，超出部分由乙方继续承担赔偿责任。 </w:t>
      </w:r>
    </w:p>
    <w:p w14:paraId="2DD42B6F">
      <w:pPr>
        <w:pStyle w:val="30"/>
        <w:snapToGrid w:val="0"/>
        <w:spacing w:beforeAutospacing="0" w:afterAutospacing="0" w:line="580" w:lineRule="exact"/>
        <w:ind w:firstLine="480" w:firstLineChars="200"/>
        <w:jc w:val="both"/>
      </w:pPr>
      <w:r>
        <w:rPr>
          <w:rFonts w:hint="eastAsia" w:ascii="宋体" w:hAnsi="宋体" w:eastAsia="宋体" w:cs="宋体"/>
        </w:rPr>
        <w:t>13.4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4E91AB02">
      <w:pPr>
        <w:spacing w:line="540" w:lineRule="exact"/>
        <w:outlineLvl w:val="0"/>
        <w:rPr>
          <w:rFonts w:ascii="宋体" w:hAnsi="宋体" w:eastAsia="宋体" w:cs="宋体"/>
          <w:b/>
          <w:sz w:val="24"/>
        </w:rPr>
      </w:pPr>
      <w:r>
        <w:rPr>
          <w:rFonts w:hint="eastAsia" w:ascii="宋体" w:hAnsi="宋体" w:eastAsia="宋体" w:cs="宋体"/>
          <w:b/>
          <w:sz w:val="24"/>
        </w:rPr>
        <w:t>十四、不可抗力事件处理</w:t>
      </w:r>
    </w:p>
    <w:p w14:paraId="2368B741">
      <w:pPr>
        <w:pStyle w:val="30"/>
        <w:snapToGrid w:val="0"/>
        <w:spacing w:beforeAutospacing="0" w:afterAutospacing="0" w:line="580" w:lineRule="exact"/>
        <w:ind w:firstLine="480" w:firstLineChars="200"/>
        <w:jc w:val="both"/>
      </w:pPr>
      <w:r>
        <w:rPr>
          <w:rFonts w:hint="eastAsia" w:ascii="宋体" w:hAnsi="宋体" w:eastAsia="宋体" w:cs="宋体"/>
        </w:rPr>
        <w:t>14.1 在合同有效期内，任何一方因不可抗力事件导致不能履行合同，则合同履行期可延长，其延长期与不可抗力影响期相同。</w:t>
      </w:r>
    </w:p>
    <w:p w14:paraId="3B378AC3">
      <w:pPr>
        <w:pStyle w:val="30"/>
        <w:snapToGrid w:val="0"/>
        <w:spacing w:beforeAutospacing="0" w:afterAutospacing="0" w:line="580" w:lineRule="exact"/>
        <w:ind w:firstLine="480" w:firstLineChars="200"/>
        <w:jc w:val="both"/>
      </w:pPr>
      <w:r>
        <w:rPr>
          <w:rFonts w:hint="eastAsia" w:ascii="宋体" w:hAnsi="宋体" w:eastAsia="宋体" w:cs="宋体"/>
        </w:rPr>
        <w:t>14.2 不可抗力事件发生后，应立即通知对方，并寄送有关权威机构出具的证明。</w:t>
      </w:r>
    </w:p>
    <w:p w14:paraId="6F3DD6B3">
      <w:pPr>
        <w:pStyle w:val="30"/>
        <w:snapToGrid w:val="0"/>
        <w:spacing w:beforeAutospacing="0" w:afterAutospacing="0" w:line="580" w:lineRule="exact"/>
        <w:ind w:firstLine="480" w:firstLineChars="200"/>
        <w:jc w:val="both"/>
      </w:pPr>
      <w:r>
        <w:rPr>
          <w:rFonts w:hint="eastAsia" w:ascii="宋体" w:hAnsi="宋体" w:eastAsia="宋体" w:cs="宋体"/>
        </w:rPr>
        <w:t>14.3 不可抗力事件延续120天以上，双方应通过友好协商，确定是否继续履行合同。</w:t>
      </w:r>
    </w:p>
    <w:p w14:paraId="6AC48C3B">
      <w:pPr>
        <w:spacing w:line="540" w:lineRule="exact"/>
        <w:outlineLvl w:val="0"/>
        <w:rPr>
          <w:rFonts w:ascii="宋体" w:hAnsi="宋体" w:eastAsia="宋体" w:cs="宋体"/>
          <w:b/>
          <w:sz w:val="24"/>
        </w:rPr>
      </w:pPr>
      <w:r>
        <w:rPr>
          <w:rFonts w:hint="eastAsia" w:ascii="宋体" w:hAnsi="宋体" w:eastAsia="宋体" w:cs="宋体"/>
          <w:b/>
          <w:sz w:val="24"/>
        </w:rPr>
        <w:t>十五、解决争议的方法</w:t>
      </w:r>
    </w:p>
    <w:p w14:paraId="53B8AB93">
      <w:pPr>
        <w:pStyle w:val="30"/>
        <w:snapToGrid w:val="0"/>
        <w:spacing w:beforeAutospacing="0" w:afterAutospacing="0" w:line="580" w:lineRule="exact"/>
        <w:ind w:firstLine="480" w:firstLineChars="200"/>
        <w:jc w:val="both"/>
      </w:pPr>
      <w:r>
        <w:rPr>
          <w:rFonts w:hint="eastAsia" w:ascii="宋体" w:hAnsi="宋体" w:eastAsia="宋体" w:cs="宋体"/>
        </w:rPr>
        <w:t>15.1甲乙双方因合同签订、履行而发生的一切争议，应通过友好协商解决。如协商不成由甲方住所地人民法院管辖。</w:t>
      </w:r>
    </w:p>
    <w:p w14:paraId="5B9D08F3">
      <w:pPr>
        <w:spacing w:line="540" w:lineRule="exact"/>
        <w:outlineLvl w:val="0"/>
        <w:rPr>
          <w:rFonts w:ascii="宋体" w:hAnsi="宋体" w:eastAsia="宋体" w:cs="宋体"/>
          <w:b/>
          <w:sz w:val="24"/>
        </w:rPr>
      </w:pPr>
      <w:r>
        <w:rPr>
          <w:rFonts w:hint="eastAsia" w:ascii="宋体" w:hAnsi="宋体" w:eastAsia="宋体" w:cs="宋体"/>
          <w:b/>
          <w:sz w:val="24"/>
        </w:rPr>
        <w:t>十六、合同生效及其它</w:t>
      </w:r>
    </w:p>
    <w:p w14:paraId="6660C4F8">
      <w:pPr>
        <w:pStyle w:val="30"/>
        <w:snapToGrid w:val="0"/>
        <w:spacing w:beforeAutospacing="0" w:afterAutospacing="0" w:line="580" w:lineRule="exact"/>
        <w:ind w:firstLine="480" w:firstLineChars="200"/>
        <w:jc w:val="both"/>
      </w:pPr>
      <w:r>
        <w:rPr>
          <w:rFonts w:hint="eastAsia" w:ascii="宋体" w:hAnsi="宋体" w:eastAsia="宋体" w:cs="宋体"/>
        </w:rPr>
        <w:t>16.1 合同经双方法定代表人或授权委托代表人签字并加盖单位公章后生效。</w:t>
      </w:r>
    </w:p>
    <w:p w14:paraId="1BC98E6C">
      <w:pPr>
        <w:pStyle w:val="30"/>
        <w:snapToGrid w:val="0"/>
        <w:spacing w:beforeAutospacing="0" w:afterAutospacing="0" w:line="580" w:lineRule="exact"/>
        <w:ind w:firstLine="480" w:firstLineChars="200"/>
        <w:jc w:val="both"/>
      </w:pPr>
      <w:r>
        <w:rPr>
          <w:rFonts w:hint="eastAsia" w:ascii="宋体" w:hAnsi="宋体" w:eastAsia="宋体" w:cs="宋体"/>
        </w:rPr>
        <w:t>16.2本合同未尽事宜，遵照《民法典》、《政府采购法》有关条文执行。</w:t>
      </w:r>
    </w:p>
    <w:p w14:paraId="78A9F590">
      <w:pPr>
        <w:pStyle w:val="30"/>
        <w:snapToGrid w:val="0"/>
        <w:spacing w:beforeAutospacing="0" w:afterAutospacing="0" w:line="580" w:lineRule="exact"/>
        <w:ind w:firstLine="480" w:firstLineChars="200"/>
        <w:jc w:val="both"/>
      </w:pPr>
      <w:r>
        <w:rPr>
          <w:rFonts w:hint="eastAsia" w:ascii="宋体" w:hAnsi="宋体" w:eastAsia="宋体" w:cs="宋体"/>
        </w:rPr>
        <w:t>16.3 本合同正本一式</w:t>
      </w:r>
      <w:r>
        <w:rPr>
          <w:rFonts w:hint="eastAsia" w:ascii="宋体" w:hAnsi="宋体" w:eastAsia="宋体" w:cs="宋体"/>
          <w:u w:val="single"/>
        </w:rPr>
        <w:t xml:space="preserve">  肆 </w:t>
      </w:r>
      <w:r>
        <w:rPr>
          <w:rFonts w:hint="eastAsia" w:ascii="宋体" w:hAnsi="宋体" w:eastAsia="宋体" w:cs="宋体"/>
        </w:rPr>
        <w:t>份，具有同等法律效力，甲方、乙方各执</w:t>
      </w:r>
      <w:r>
        <w:rPr>
          <w:rFonts w:hint="eastAsia" w:ascii="宋体" w:hAnsi="宋体" w:eastAsia="宋体" w:cs="宋体"/>
          <w:u w:val="single"/>
        </w:rPr>
        <w:t xml:space="preserve">  俩 </w:t>
      </w:r>
      <w:r>
        <w:rPr>
          <w:rFonts w:hint="eastAsia" w:ascii="宋体" w:hAnsi="宋体" w:eastAsia="宋体" w:cs="宋体"/>
        </w:rPr>
        <w:t>份。</w:t>
      </w:r>
    </w:p>
    <w:p w14:paraId="12A6D3DD">
      <w:pPr>
        <w:pStyle w:val="30"/>
        <w:snapToGrid w:val="0"/>
        <w:spacing w:beforeAutospacing="0" w:afterAutospacing="0" w:line="580" w:lineRule="exact"/>
        <w:jc w:val="both"/>
      </w:pPr>
      <w:r>
        <w:rPr>
          <w:rFonts w:hint="eastAsia" w:ascii="宋体" w:hAnsi="宋体" w:eastAsia="宋体" w:cs="宋体"/>
        </w:rPr>
        <w:t>甲方：           </w:t>
      </w:r>
      <w:r>
        <w:rPr>
          <w:rFonts w:hint="eastAsia" w:ascii="宋体" w:hAnsi="宋体" w:cs="宋体"/>
        </w:rPr>
        <w:t xml:space="preserve">    </w:t>
      </w:r>
      <w:r>
        <w:rPr>
          <w:rFonts w:hint="eastAsia" w:ascii="宋体" w:hAnsi="宋体" w:eastAsia="宋体" w:cs="宋体"/>
        </w:rPr>
        <w:t xml:space="preserve">    乙方： </w:t>
      </w:r>
    </w:p>
    <w:p w14:paraId="26A21579">
      <w:pPr>
        <w:pStyle w:val="30"/>
        <w:snapToGrid w:val="0"/>
        <w:spacing w:beforeAutospacing="0" w:afterAutospacing="0" w:line="580" w:lineRule="exact"/>
        <w:jc w:val="both"/>
      </w:pPr>
      <w:r>
        <w:rPr>
          <w:rFonts w:hint="eastAsia" w:ascii="宋体" w:hAnsi="宋体" w:eastAsia="宋体" w:cs="宋体"/>
        </w:rPr>
        <w:t>地址：           </w:t>
      </w:r>
      <w:r>
        <w:rPr>
          <w:rFonts w:hint="eastAsia" w:ascii="宋体" w:hAnsi="宋体" w:cs="宋体"/>
        </w:rPr>
        <w:t xml:space="preserve">    </w:t>
      </w:r>
      <w:r>
        <w:rPr>
          <w:rFonts w:hint="eastAsia" w:ascii="宋体" w:hAnsi="宋体" w:eastAsia="宋体" w:cs="宋体"/>
        </w:rPr>
        <w:t> </w:t>
      </w:r>
      <w:r>
        <w:rPr>
          <w:rFonts w:hint="eastAsia" w:ascii="宋体" w:hAnsi="宋体" w:cs="宋体"/>
        </w:rPr>
        <w:t xml:space="preserve"> </w:t>
      </w:r>
      <w:r>
        <w:rPr>
          <w:rFonts w:hint="eastAsia" w:ascii="宋体" w:hAnsi="宋体" w:eastAsia="宋体" w:cs="宋体"/>
        </w:rPr>
        <w:t xml:space="preserve">  地址： </w:t>
      </w:r>
    </w:p>
    <w:p w14:paraId="57D24CD2">
      <w:pPr>
        <w:pStyle w:val="30"/>
        <w:snapToGrid w:val="0"/>
        <w:spacing w:beforeAutospacing="0" w:afterAutospacing="0" w:line="580" w:lineRule="exact"/>
        <w:jc w:val="both"/>
      </w:pPr>
      <w:r>
        <w:rPr>
          <w:rFonts w:hint="eastAsia" w:ascii="宋体" w:hAnsi="宋体" w:eastAsia="宋体" w:cs="宋体"/>
        </w:rPr>
        <w:t>法定代表人或授权代表：   </w:t>
      </w:r>
      <w:r>
        <w:rPr>
          <w:rFonts w:hint="eastAsia" w:ascii="宋体" w:hAnsi="宋体" w:cs="宋体"/>
        </w:rPr>
        <w:t xml:space="preserve">  </w:t>
      </w:r>
      <w:r>
        <w:rPr>
          <w:rFonts w:hint="eastAsia" w:ascii="宋体" w:hAnsi="宋体" w:eastAsia="宋体" w:cs="宋体"/>
        </w:rPr>
        <w:t> </w:t>
      </w:r>
      <w:r>
        <w:rPr>
          <w:rFonts w:hint="eastAsia" w:ascii="宋体" w:hAnsi="宋体" w:cs="宋体"/>
        </w:rPr>
        <w:t xml:space="preserve">   </w:t>
      </w:r>
      <w:r>
        <w:rPr>
          <w:rFonts w:hint="eastAsia" w:ascii="宋体" w:hAnsi="宋体" w:eastAsia="宋体" w:cs="宋体"/>
        </w:rPr>
        <w:t>  法定代表人或授权代表：</w:t>
      </w:r>
    </w:p>
    <w:p w14:paraId="633E1BD2">
      <w:pPr>
        <w:pStyle w:val="30"/>
        <w:snapToGrid w:val="0"/>
        <w:spacing w:beforeAutospacing="0" w:afterAutospacing="0" w:line="580" w:lineRule="exact"/>
        <w:jc w:val="both"/>
      </w:pPr>
      <w:r>
        <w:rPr>
          <w:rFonts w:hint="eastAsia" w:ascii="宋体" w:hAnsi="宋体" w:eastAsia="宋体" w:cs="宋体"/>
        </w:rPr>
        <w:t>联系电话：         </w:t>
      </w:r>
      <w:r>
        <w:rPr>
          <w:rFonts w:hint="eastAsia" w:ascii="宋体" w:hAnsi="宋体" w:cs="宋体"/>
        </w:rPr>
        <w:t xml:space="preserve">  </w:t>
      </w:r>
      <w:r>
        <w:rPr>
          <w:rFonts w:hint="eastAsia" w:ascii="宋体" w:hAnsi="宋体" w:eastAsia="宋体" w:cs="宋体"/>
        </w:rPr>
        <w:t> </w:t>
      </w:r>
      <w:r>
        <w:rPr>
          <w:rFonts w:hint="eastAsia" w:ascii="宋体" w:hAnsi="宋体" w:cs="宋体"/>
        </w:rPr>
        <w:t xml:space="preserve">   </w:t>
      </w:r>
      <w:r>
        <w:rPr>
          <w:rFonts w:hint="eastAsia" w:ascii="宋体" w:hAnsi="宋体" w:eastAsia="宋体" w:cs="宋体"/>
        </w:rPr>
        <w:t xml:space="preserve">  联系电话：          </w:t>
      </w:r>
    </w:p>
    <w:p w14:paraId="08A36384">
      <w:pPr>
        <w:snapToGrid w:val="0"/>
        <w:spacing w:line="580" w:lineRule="exact"/>
        <w:rPr>
          <w:rFonts w:ascii="宋体" w:hAnsi="宋体" w:eastAsia="宋体" w:cs="宋体"/>
          <w:szCs w:val="21"/>
        </w:rPr>
      </w:pPr>
      <w:r>
        <w:rPr>
          <w:rFonts w:hint="eastAsia" w:ascii="宋体" w:hAnsi="宋体" w:eastAsia="宋体" w:cs="宋体"/>
          <w:szCs w:val="21"/>
        </w:rPr>
        <w:t>             </w:t>
      </w:r>
    </w:p>
    <w:p w14:paraId="4BB9BDCC">
      <w:pPr>
        <w:pStyle w:val="30"/>
        <w:snapToGrid w:val="0"/>
        <w:spacing w:beforeAutospacing="0" w:afterAutospacing="0" w:line="580" w:lineRule="exact"/>
        <w:jc w:val="both"/>
        <w:rPr>
          <w:rFonts w:ascii="宋体" w:hAnsi="宋体" w:eastAsia="宋体" w:cs="宋体"/>
        </w:rPr>
      </w:pPr>
      <w:r>
        <w:rPr>
          <w:rFonts w:hint="eastAsia" w:ascii="宋体" w:hAnsi="宋体" w:eastAsia="宋体" w:cs="宋体"/>
        </w:rPr>
        <w:t>签订日期：      年    月   日</w:t>
      </w:r>
    </w:p>
    <w:p w14:paraId="2AD42523">
      <w:pPr>
        <w:pStyle w:val="20"/>
        <w:rPr>
          <w:rFonts w:ascii="宋体" w:hAnsi="宋体" w:cs="宋体"/>
          <w:b/>
          <w:bCs/>
          <w:spacing w:val="-20"/>
          <w:sz w:val="48"/>
          <w:szCs w:val="48"/>
        </w:rPr>
      </w:pPr>
    </w:p>
    <w:p w14:paraId="078FA4E4">
      <w:pPr>
        <w:pStyle w:val="20"/>
        <w:rPr>
          <w:rFonts w:ascii="宋体" w:hAnsi="宋体" w:cs="宋体"/>
          <w:b/>
          <w:bCs/>
          <w:spacing w:val="-20"/>
          <w:sz w:val="48"/>
          <w:szCs w:val="48"/>
        </w:rPr>
      </w:pPr>
    </w:p>
    <w:p w14:paraId="02ABFB10">
      <w:pPr>
        <w:pStyle w:val="188"/>
        <w:jc w:val="right"/>
        <w:rPr>
          <w:rFonts w:ascii="黑体" w:hAnsi="宋体" w:eastAsia="黑体" w:cs="黑体"/>
          <w:color w:val="000000"/>
          <w:sz w:val="44"/>
          <w:szCs w:val="44"/>
        </w:rPr>
      </w:pPr>
      <w:r>
        <w:rPr>
          <w:rFonts w:hint="eastAsia" w:ascii="黑体" w:hAnsi="宋体" w:eastAsia="黑体" w:cs="黑体"/>
          <w:color w:val="000000"/>
          <w:sz w:val="24"/>
        </w:rPr>
        <w:br w:type="page" w:clear="all"/>
      </w:r>
      <w:bookmarkEnd w:id="181"/>
    </w:p>
    <w:p w14:paraId="18E99187">
      <w:pPr>
        <w:pStyle w:val="30"/>
        <w:numPr>
          <w:ilvl w:val="0"/>
          <w:numId w:val="2"/>
        </w:numPr>
        <w:spacing w:before="120" w:beforeAutospacing="0" w:after="120" w:afterAutospacing="0" w:line="0" w:lineRule="atLeast"/>
        <w:jc w:val="center"/>
        <w:rPr>
          <w:rFonts w:ascii="黑体" w:hAnsi="宋体" w:eastAsia="黑体" w:cs="黑体"/>
          <w:color w:val="000000"/>
          <w:sz w:val="44"/>
          <w:szCs w:val="44"/>
        </w:rPr>
      </w:pPr>
      <w:r>
        <w:rPr>
          <w:rFonts w:hint="eastAsia" w:ascii="黑体" w:hAnsi="宋体" w:eastAsia="黑体" w:cs="黑体"/>
          <w:color w:val="000000"/>
          <w:sz w:val="44"/>
          <w:szCs w:val="44"/>
        </w:rPr>
        <w:t>采购需求</w:t>
      </w:r>
      <w:bookmarkEnd w:id="182"/>
      <w:bookmarkEnd w:id="183"/>
      <w:bookmarkEnd w:id="184"/>
      <w:bookmarkEnd w:id="185"/>
      <w:bookmarkEnd w:id="186"/>
    </w:p>
    <w:p w14:paraId="2F53E52D">
      <w:pPr>
        <w:pStyle w:val="30"/>
        <w:spacing w:before="120" w:beforeAutospacing="0" w:after="120" w:afterAutospacing="0" w:line="0" w:lineRule="atLeast"/>
        <w:jc w:val="left"/>
        <w:rPr>
          <w:rFonts w:ascii="宋体" w:hAnsi="宋体" w:cs="宋体"/>
          <w:b/>
          <w:color w:val="000000"/>
          <w:sz w:val="28"/>
          <w:szCs w:val="28"/>
        </w:rPr>
      </w:pPr>
      <w:bookmarkStart w:id="188" w:name="_Toc26554093"/>
      <w:bookmarkStart w:id="189" w:name="_Toc49090575"/>
      <w:r>
        <w:rPr>
          <w:rFonts w:hint="eastAsia" w:ascii="宋体" w:hAnsi="宋体" w:cs="宋体"/>
          <w:b/>
          <w:color w:val="000000"/>
          <w:sz w:val="28"/>
          <w:szCs w:val="28"/>
        </w:rPr>
        <w:t>项目属性:货物类项目</w:t>
      </w:r>
      <w:bookmarkEnd w:id="188"/>
      <w:bookmarkEnd w:id="189"/>
    </w:p>
    <w:p w14:paraId="7AE59605">
      <w:pPr>
        <w:pStyle w:val="3"/>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color w:val="0000FF"/>
          <w:sz w:val="24"/>
          <w:szCs w:val="24"/>
          <w:lang w:val="en-US" w:eastAsia="zh-CN"/>
        </w:rPr>
      </w:pPr>
      <w:r>
        <w:rPr>
          <w:rFonts w:hint="eastAsia"/>
          <w:color w:val="0000FF"/>
          <w:sz w:val="24"/>
          <w:szCs w:val="24"/>
          <w:lang w:val="en-US" w:eastAsia="zh-CN"/>
        </w:rPr>
        <w:t>项目需求</w:t>
      </w:r>
    </w:p>
    <w:p w14:paraId="6DF2822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ascii="宋体" w:hAnsi="宋体" w:eastAsia="宋体" w:cs="宋体"/>
          <w:color w:val="000000"/>
          <w:kern w:val="0"/>
          <w:sz w:val="24"/>
          <w:szCs w:val="24"/>
          <w:highlight w:val="none"/>
          <w:lang w:val="en-US" w:eastAsia="zh-CN" w:bidi="ar"/>
        </w:rPr>
      </w:pPr>
      <w:r>
        <w:rPr>
          <w:rFonts w:ascii="宋体" w:hAnsi="宋体" w:eastAsia="宋体" w:cs="宋体"/>
          <w:color w:val="000000"/>
          <w:kern w:val="0"/>
          <w:sz w:val="24"/>
          <w:szCs w:val="24"/>
          <w:lang w:val="en-US" w:eastAsia="zh-CN" w:bidi="ar"/>
        </w:rPr>
        <w:t>为全面落实</w:t>
      </w:r>
      <w:r>
        <w:rPr>
          <w:rFonts w:hint="eastAsia" w:ascii="宋体" w:hAnsi="宋体" w:eastAsia="宋体" w:cs="宋体"/>
          <w:color w:val="000000"/>
          <w:kern w:val="0"/>
          <w:sz w:val="24"/>
          <w:szCs w:val="24"/>
          <w:highlight w:val="none"/>
          <w:lang w:val="en-US" w:eastAsia="zh-CN" w:bidi="ar"/>
        </w:rPr>
        <w:t>GB/T29315-2022</w:t>
      </w:r>
      <w:r>
        <w:rPr>
          <w:rFonts w:ascii="宋体" w:hAnsi="宋体" w:eastAsia="宋体" w:cs="宋体"/>
          <w:color w:val="000000"/>
          <w:kern w:val="0"/>
          <w:sz w:val="24"/>
          <w:szCs w:val="24"/>
          <w:highlight w:val="none"/>
          <w:lang w:val="en-US" w:eastAsia="zh-CN" w:bidi="ar"/>
        </w:rPr>
        <w:t>《中小学幼儿园安全防范</w:t>
      </w:r>
      <w:r>
        <w:rPr>
          <w:rFonts w:hint="eastAsia" w:ascii="宋体" w:hAnsi="宋体" w:eastAsia="宋体" w:cs="宋体"/>
          <w:color w:val="000000"/>
          <w:kern w:val="0"/>
          <w:sz w:val="24"/>
          <w:szCs w:val="24"/>
          <w:highlight w:val="none"/>
          <w:lang w:val="en-US" w:eastAsia="zh-CN" w:bidi="ar"/>
        </w:rPr>
        <w:t>要求</w:t>
      </w:r>
      <w:r>
        <w:rPr>
          <w:rFonts w:ascii="宋体" w:hAnsi="宋体" w:eastAsia="宋体" w:cs="宋体"/>
          <w:color w:val="000000"/>
          <w:kern w:val="0"/>
          <w:sz w:val="24"/>
          <w:szCs w:val="24"/>
          <w:highlight w:val="none"/>
          <w:lang w:val="en-US" w:eastAsia="zh-CN" w:bidi="ar"/>
        </w:rPr>
        <w:t>》等政策要求，切实筑牢射阳县教育系统校园安全第一道防线，有效防范非法入侵、校外人员违规闯入等安全事件，保障全县在校师生生命财产安全，维护校园正常教学秩序，射阳县教育局针对下属</w:t>
      </w:r>
      <w:r>
        <w:rPr>
          <w:rFonts w:hint="eastAsia" w:ascii="宋体" w:hAnsi="宋体" w:eastAsia="宋体" w:cs="宋体"/>
          <w:color w:val="000000"/>
          <w:kern w:val="0"/>
          <w:sz w:val="24"/>
          <w:szCs w:val="24"/>
          <w:highlight w:val="none"/>
          <w:lang w:val="en-US" w:eastAsia="zh-CN" w:bidi="ar"/>
        </w:rPr>
        <w:t>部分</w:t>
      </w:r>
      <w:r>
        <w:rPr>
          <w:rFonts w:ascii="宋体" w:hAnsi="宋体" w:eastAsia="宋体" w:cs="宋体"/>
          <w:color w:val="000000"/>
          <w:kern w:val="0"/>
          <w:sz w:val="24"/>
          <w:szCs w:val="24"/>
          <w:highlight w:val="none"/>
          <w:lang w:val="en-US" w:eastAsia="zh-CN" w:bidi="ar"/>
        </w:rPr>
        <w:t>中小学、幼儿园现有周界安全防护体系的短板与不足，启动本次校园周界报警系统升级改造项目。</w:t>
      </w:r>
    </w:p>
    <w:p w14:paraId="0C14B425">
      <w:pPr>
        <w:pStyle w:val="3"/>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color w:val="0000FF"/>
          <w:sz w:val="24"/>
          <w:szCs w:val="24"/>
          <w:highlight w:val="none"/>
          <w:lang w:val="en-US" w:eastAsia="zh-CN"/>
        </w:rPr>
      </w:pPr>
      <w:r>
        <w:rPr>
          <w:rFonts w:hint="eastAsia"/>
          <w:color w:val="0000FF"/>
          <w:sz w:val="24"/>
          <w:szCs w:val="24"/>
          <w:highlight w:val="none"/>
          <w:lang w:val="en-US" w:eastAsia="zh-CN"/>
        </w:rPr>
        <w:t>整体建设内容</w:t>
      </w:r>
    </w:p>
    <w:p w14:paraId="5AEA6C6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ascii="宋体" w:hAnsi="宋体" w:eastAsia="宋体" w:cs="宋体"/>
          <w:color w:val="000000"/>
          <w:kern w:val="0"/>
          <w:sz w:val="24"/>
          <w:szCs w:val="24"/>
          <w:highlight w:val="none"/>
          <w:lang w:val="en-US" w:eastAsia="zh-CN" w:bidi="ar"/>
        </w:rPr>
      </w:pPr>
      <w:r>
        <w:rPr>
          <w:rFonts w:ascii="宋体" w:hAnsi="宋体" w:eastAsia="宋体" w:cs="宋体"/>
          <w:color w:val="000000"/>
          <w:kern w:val="0"/>
          <w:sz w:val="24"/>
          <w:szCs w:val="24"/>
          <w:highlight w:val="none"/>
          <w:lang w:val="en-US" w:eastAsia="zh-CN" w:bidi="ar"/>
        </w:rPr>
        <w:t>本次项目建设内容围绕射阳县教育局下属</w:t>
      </w:r>
      <w:r>
        <w:rPr>
          <w:rFonts w:hint="eastAsia" w:ascii="宋体" w:hAnsi="宋体" w:eastAsia="宋体" w:cs="宋体"/>
          <w:color w:val="000000"/>
          <w:kern w:val="0"/>
          <w:sz w:val="24"/>
          <w:szCs w:val="24"/>
          <w:highlight w:val="none"/>
          <w:lang w:val="en-US" w:eastAsia="zh-CN" w:bidi="ar"/>
        </w:rPr>
        <w:t>部分</w:t>
      </w:r>
      <w:r>
        <w:rPr>
          <w:rFonts w:ascii="宋体" w:hAnsi="宋体" w:eastAsia="宋体" w:cs="宋体"/>
          <w:color w:val="000000"/>
          <w:kern w:val="0"/>
          <w:sz w:val="24"/>
          <w:szCs w:val="24"/>
          <w:highlight w:val="none"/>
          <w:lang w:val="en-US" w:eastAsia="zh-CN" w:bidi="ar"/>
        </w:rPr>
        <w:t>学校的实际需求，分为前端感知层建设、智能联动建设、利旧设备</w:t>
      </w:r>
      <w:r>
        <w:rPr>
          <w:rFonts w:hint="eastAsia" w:ascii="宋体" w:hAnsi="宋体" w:eastAsia="宋体" w:cs="宋体"/>
          <w:color w:val="000000"/>
          <w:kern w:val="0"/>
          <w:sz w:val="24"/>
          <w:szCs w:val="24"/>
          <w:highlight w:val="none"/>
          <w:lang w:val="en-US" w:eastAsia="zh-CN" w:bidi="ar"/>
        </w:rPr>
        <w:t>整合适配</w:t>
      </w:r>
      <w:r>
        <w:rPr>
          <w:rFonts w:ascii="宋体" w:hAnsi="宋体" w:eastAsia="宋体" w:cs="宋体"/>
          <w:color w:val="000000"/>
          <w:kern w:val="0"/>
          <w:sz w:val="24"/>
          <w:szCs w:val="24"/>
          <w:highlight w:val="none"/>
          <w:lang w:val="en-US" w:eastAsia="zh-CN" w:bidi="ar"/>
        </w:rPr>
        <w:t>，具体内容如下：</w:t>
      </w:r>
    </w:p>
    <w:p w14:paraId="65C6FE0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color w:val="000000"/>
          <w:sz w:val="24"/>
          <w:szCs w:val="24"/>
          <w:highlight w:val="none"/>
        </w:rPr>
      </w:pPr>
      <w:r>
        <w:rPr>
          <w:color w:val="000000"/>
          <w:sz w:val="24"/>
          <w:szCs w:val="24"/>
          <w:highlight w:val="none"/>
        </w:rPr>
        <w:t>（一）前端感知层建设</w:t>
      </w:r>
    </w:p>
    <w:p w14:paraId="68C2277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color w:val="000000"/>
          <w:sz w:val="24"/>
          <w:szCs w:val="24"/>
          <w:highlight w:val="none"/>
        </w:rPr>
      </w:pPr>
      <w:r>
        <w:rPr>
          <w:rFonts w:ascii="宋体" w:hAnsi="宋体" w:eastAsia="宋体" w:cs="宋体"/>
          <w:color w:val="000000"/>
          <w:kern w:val="0"/>
          <w:sz w:val="24"/>
          <w:szCs w:val="24"/>
          <w:highlight w:val="none"/>
          <w:lang w:val="en-US" w:eastAsia="zh-CN" w:bidi="ar"/>
        </w:rPr>
        <w:t>前端感知层为校园周界安全防护的核心，本次项目采用行业成熟的张力式周界报警技术，为</w:t>
      </w:r>
      <w:r>
        <w:rPr>
          <w:rFonts w:hint="eastAsia" w:ascii="宋体" w:hAnsi="宋体" w:eastAsia="宋体" w:cs="宋体"/>
          <w:color w:val="000000"/>
          <w:kern w:val="0"/>
          <w:sz w:val="24"/>
          <w:szCs w:val="24"/>
          <w:highlight w:val="none"/>
          <w:lang w:val="en-US" w:eastAsia="zh-CN" w:bidi="ar"/>
        </w:rPr>
        <w:t>本次项目</w:t>
      </w:r>
      <w:r>
        <w:rPr>
          <w:rFonts w:ascii="宋体" w:hAnsi="宋体" w:eastAsia="宋体" w:cs="宋体"/>
          <w:color w:val="000000"/>
          <w:kern w:val="0"/>
          <w:sz w:val="24"/>
          <w:szCs w:val="24"/>
          <w:highlight w:val="none"/>
          <w:lang w:val="en-US" w:eastAsia="zh-CN" w:bidi="ar"/>
        </w:rPr>
        <w:t>所需改造的学校建设标准化的前端感知设备建设内容包括：</w:t>
      </w:r>
    </w:p>
    <w:p w14:paraId="48461C7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69" w:leftChars="33" w:right="0" w:rightChars="0" w:firstLine="480" w:firstLineChars="200"/>
        <w:jc w:val="left"/>
        <w:textAlignment w:val="auto"/>
        <w:rPr>
          <w:color w:val="000000"/>
          <w:sz w:val="24"/>
          <w:szCs w:val="24"/>
          <w:highlight w:val="none"/>
        </w:rPr>
      </w:pPr>
      <w:r>
        <w:rPr>
          <w:rFonts w:asciiTheme="minorHAnsi" w:hAnsiTheme="minorHAnsi" w:eastAsiaTheme="minorEastAsia" w:cstheme="minorBidi"/>
          <w:color w:val="000000"/>
          <w:kern w:val="2"/>
          <w:sz w:val="24"/>
          <w:szCs w:val="24"/>
          <w:highlight w:val="none"/>
          <w:lang w:val="en-US" w:eastAsia="zh-CN" w:bidi="ar-SA"/>
        </w:rPr>
        <w:t>1.</w:t>
      </w:r>
      <w:r>
        <w:rPr>
          <w:rStyle w:val="36"/>
          <w:b/>
          <w:bCs/>
          <w:color w:val="000000"/>
          <w:sz w:val="24"/>
          <w:szCs w:val="24"/>
          <w:highlight w:val="none"/>
        </w:rPr>
        <w:t>张力式报警控制设备</w:t>
      </w:r>
      <w:r>
        <w:rPr>
          <w:color w:val="000000"/>
          <w:sz w:val="24"/>
          <w:szCs w:val="24"/>
          <w:highlight w:val="none"/>
        </w:rPr>
        <w:t>：根据各学校周界长度与防区划分需求，配置张力四道双防区控制器 、张力四道单防区控制器 ，设备需具备网络通讯接口、精准定位功能、警戒张力值在线调整功能，可实时监测钢丝绳的张力变化，精准识别非法攀爬、剪断等入侵行为，同时具备现场故障、报警蜂鸣提示功能，适配校园户外复杂环境。</w:t>
      </w:r>
    </w:p>
    <w:p w14:paraId="658A63F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549" w:firstLineChars="0"/>
        <w:jc w:val="left"/>
        <w:textAlignment w:val="auto"/>
        <w:rPr>
          <w:color w:val="000000"/>
          <w:sz w:val="24"/>
          <w:szCs w:val="24"/>
          <w:highlight w:val="none"/>
        </w:rPr>
      </w:pPr>
      <w:r>
        <w:rPr>
          <w:rFonts w:asciiTheme="minorHAnsi" w:hAnsiTheme="minorHAnsi" w:eastAsiaTheme="minorEastAsia" w:cstheme="minorBidi"/>
          <w:color w:val="000000"/>
          <w:kern w:val="2"/>
          <w:sz w:val="24"/>
          <w:szCs w:val="24"/>
          <w:highlight w:val="none"/>
          <w:lang w:val="en-US" w:eastAsia="zh-CN" w:bidi="ar-SA"/>
        </w:rPr>
        <w:t>2.</w:t>
      </w:r>
      <w:r>
        <w:rPr>
          <w:rStyle w:val="36"/>
          <w:b/>
          <w:bCs/>
          <w:color w:val="000000"/>
          <w:sz w:val="24"/>
          <w:szCs w:val="24"/>
          <w:highlight w:val="none"/>
        </w:rPr>
        <w:t>周界围栏配套设备</w:t>
      </w:r>
      <w:r>
        <w:rPr>
          <w:color w:val="000000"/>
          <w:sz w:val="24"/>
          <w:szCs w:val="24"/>
          <w:highlight w:val="none"/>
        </w:rPr>
        <w:t>：根据各学校周界实际长度，配置四道受力杆、四道支撑杆，配置万向底座，实现安装角度、高度可调节，适配不同地形的周界安装需求；配置转向滑轮 、紧线器 、不锈钢弹簧 ，均采用不锈钢材质，保障钢丝绳的平稳运行与张力稳定；配置压接铝套 ，用于钢丝绳的固定安装；配置不锈钢钢丝绳，作为周界报警的核心感知介质；配置围栏警示牌，实现周界警示功能。</w:t>
      </w:r>
    </w:p>
    <w:p w14:paraId="5A7683E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549" w:firstLineChars="0"/>
        <w:jc w:val="left"/>
        <w:textAlignment w:val="auto"/>
        <w:rPr>
          <w:color w:val="000000"/>
          <w:sz w:val="24"/>
          <w:szCs w:val="24"/>
          <w:highlight w:val="none"/>
        </w:rPr>
      </w:pPr>
      <w:r>
        <w:rPr>
          <w:rFonts w:asciiTheme="minorHAnsi" w:hAnsiTheme="minorHAnsi" w:eastAsiaTheme="minorEastAsia" w:cstheme="minorBidi"/>
          <w:color w:val="000000"/>
          <w:kern w:val="2"/>
          <w:sz w:val="24"/>
          <w:szCs w:val="24"/>
          <w:highlight w:val="none"/>
          <w:lang w:val="en-US" w:eastAsia="zh-CN" w:bidi="ar-SA"/>
        </w:rPr>
        <w:t>3.</w:t>
      </w:r>
      <w:r>
        <w:rPr>
          <w:rStyle w:val="36"/>
          <w:b/>
          <w:bCs/>
          <w:color w:val="000000"/>
          <w:sz w:val="24"/>
          <w:szCs w:val="24"/>
          <w:highlight w:val="none"/>
        </w:rPr>
        <w:t>现场预警与防护设备</w:t>
      </w:r>
      <w:r>
        <w:rPr>
          <w:color w:val="000000"/>
          <w:sz w:val="24"/>
          <w:szCs w:val="24"/>
          <w:highlight w:val="none"/>
        </w:rPr>
        <w:t>：为各学校周界防区配置</w:t>
      </w:r>
      <w:r>
        <w:rPr>
          <w:rFonts w:hint="eastAsia"/>
          <w:color w:val="000000"/>
          <w:sz w:val="24"/>
          <w:szCs w:val="24"/>
          <w:highlight w:val="none"/>
          <w:lang w:val="en-US" w:eastAsia="zh-CN"/>
        </w:rPr>
        <w:t>全新</w:t>
      </w:r>
      <w:r>
        <w:rPr>
          <w:color w:val="000000"/>
          <w:sz w:val="24"/>
          <w:szCs w:val="24"/>
          <w:highlight w:val="none"/>
        </w:rPr>
        <w:t>声光警号 ，采用旋转声光红色警示灯，警笛音不低于</w:t>
      </w:r>
      <w:r>
        <w:rPr>
          <w:rFonts w:hint="eastAsia" w:eastAsia="宋体"/>
          <w:color w:val="000000"/>
          <w:sz w:val="24"/>
          <w:szCs w:val="24"/>
          <w:highlight w:val="none"/>
          <w:lang w:val="en-US" w:eastAsia="zh-CN"/>
        </w:rPr>
        <w:t>8</w:t>
      </w:r>
      <w:r>
        <w:rPr>
          <w:color w:val="000000"/>
          <w:sz w:val="24"/>
          <w:szCs w:val="24"/>
          <w:highlight w:val="none"/>
        </w:rPr>
        <w:t>0 分贝，配套不锈钢安装支架；配置专用电源，为前端张力探测器提供稳定供电；配置专用防雨箱，采用不锈钢材质，为户外设备提供防水、防尘防护；配置氧化锌避雷器，为系统提供防雷保护，适配户外雷雨环境。</w:t>
      </w:r>
    </w:p>
    <w:p w14:paraId="78C9A86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color w:val="000000"/>
          <w:sz w:val="24"/>
          <w:szCs w:val="24"/>
          <w:highlight w:val="none"/>
        </w:rPr>
      </w:pPr>
      <w:r>
        <w:rPr>
          <w:color w:val="000000"/>
          <w:sz w:val="24"/>
          <w:szCs w:val="24"/>
          <w:highlight w:val="none"/>
        </w:rPr>
        <w:t>（</w:t>
      </w:r>
      <w:r>
        <w:rPr>
          <w:rFonts w:hint="eastAsia"/>
          <w:color w:val="000000"/>
          <w:sz w:val="24"/>
          <w:szCs w:val="24"/>
          <w:highlight w:val="none"/>
          <w:lang w:val="en-US" w:eastAsia="zh-CN"/>
        </w:rPr>
        <w:t>二</w:t>
      </w:r>
      <w:r>
        <w:rPr>
          <w:color w:val="000000"/>
          <w:sz w:val="24"/>
          <w:szCs w:val="24"/>
          <w:highlight w:val="none"/>
        </w:rPr>
        <w:t>）智能联动建设</w:t>
      </w:r>
    </w:p>
    <w:p w14:paraId="25FBEE6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left"/>
        <w:textAlignment w:val="auto"/>
        <w:rPr>
          <w:color w:val="000000"/>
          <w:sz w:val="24"/>
          <w:szCs w:val="24"/>
          <w:highlight w:val="none"/>
        </w:rPr>
      </w:pPr>
      <w:r>
        <w:rPr>
          <w:color w:val="000000"/>
          <w:sz w:val="24"/>
          <w:szCs w:val="24"/>
          <w:highlight w:val="none"/>
        </w:rPr>
        <w:t>当周界报警系统触发报警时，可自动联动对应防区的声光警号，触发高分贝声光警示，威慑非法入侵人员，同时</w:t>
      </w:r>
      <w:r>
        <w:rPr>
          <w:rFonts w:hint="eastAsia"/>
          <w:color w:val="000000"/>
          <w:sz w:val="24"/>
          <w:szCs w:val="24"/>
          <w:highlight w:val="none"/>
          <w:lang w:val="en-US" w:eastAsia="zh-CN"/>
        </w:rPr>
        <w:t>可</w:t>
      </w:r>
      <w:r>
        <w:rPr>
          <w:color w:val="000000"/>
          <w:sz w:val="24"/>
          <w:szCs w:val="24"/>
          <w:highlight w:val="none"/>
        </w:rPr>
        <w:t>提醒校园安保人员快速前往现场处置；针对学校</w:t>
      </w:r>
      <w:r>
        <w:rPr>
          <w:rFonts w:hint="eastAsia" w:eastAsia="宋体"/>
          <w:color w:val="000000"/>
          <w:sz w:val="24"/>
          <w:szCs w:val="24"/>
          <w:highlight w:val="none"/>
          <w:lang w:val="en-US" w:eastAsia="zh-CN"/>
        </w:rPr>
        <w:t>内不利于安装围栏设备的部分区域</w:t>
      </w:r>
      <w:r>
        <w:rPr>
          <w:color w:val="000000"/>
          <w:sz w:val="24"/>
          <w:szCs w:val="24"/>
          <w:highlight w:val="none"/>
        </w:rPr>
        <w:t>，可配置</w:t>
      </w:r>
      <w:r>
        <w:rPr>
          <w:rFonts w:hint="eastAsia"/>
          <w:color w:val="000000"/>
          <w:sz w:val="24"/>
          <w:szCs w:val="24"/>
          <w:highlight w:val="none"/>
        </w:rPr>
        <w:t>摄像机</w:t>
      </w:r>
      <w:r>
        <w:rPr>
          <w:color w:val="000000"/>
          <w:sz w:val="24"/>
          <w:szCs w:val="24"/>
          <w:highlight w:val="none"/>
        </w:rPr>
        <w:t>，实现报警后的语音喊话劝阻。</w:t>
      </w:r>
    </w:p>
    <w:p w14:paraId="65A93E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color w:val="000000"/>
          <w:sz w:val="24"/>
          <w:szCs w:val="24"/>
          <w:highlight w:val="none"/>
        </w:rPr>
      </w:pPr>
      <w:r>
        <w:rPr>
          <w:color w:val="000000"/>
          <w:sz w:val="24"/>
          <w:szCs w:val="24"/>
          <w:highlight w:val="none"/>
        </w:rPr>
        <w:t>（</w:t>
      </w:r>
      <w:r>
        <w:rPr>
          <w:rFonts w:hint="eastAsia"/>
          <w:color w:val="000000"/>
          <w:sz w:val="24"/>
          <w:szCs w:val="24"/>
          <w:highlight w:val="none"/>
          <w:lang w:val="en-US" w:eastAsia="zh-CN"/>
        </w:rPr>
        <w:t>三</w:t>
      </w:r>
      <w:r>
        <w:rPr>
          <w:color w:val="000000"/>
          <w:sz w:val="24"/>
          <w:szCs w:val="24"/>
          <w:highlight w:val="none"/>
        </w:rPr>
        <w:t>）利旧设备整合适配</w:t>
      </w:r>
    </w:p>
    <w:p w14:paraId="620F7B2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highlight w:val="none"/>
          <w:lang w:val="en-US" w:eastAsia="zh-CN" w:bidi="ar"/>
        </w:rPr>
        <w:t>各学校前期盘点的可利旧设备</w:t>
      </w:r>
      <w:r>
        <w:rPr>
          <w:rFonts w:hint="eastAsia"/>
          <w:color w:val="000000"/>
          <w:sz w:val="24"/>
          <w:szCs w:val="24"/>
          <w:highlight w:val="none"/>
          <w:lang w:val="en-US" w:eastAsia="zh-CN"/>
        </w:rPr>
        <w:t>包括避雷器、警号、电源、防雨箱、中心报警控制主机，需对利旧设备进行规范安装，确保利旧设备与新建设备协同运行，系统整体性能达标，无运行故障。</w:t>
      </w:r>
      <w:r>
        <w:rPr>
          <w:rFonts w:hint="eastAsia" w:ascii="宋体" w:hAnsi="宋体" w:eastAsia="宋体" w:cs="宋体"/>
          <w:color w:val="000000"/>
          <w:kern w:val="0"/>
          <w:sz w:val="24"/>
          <w:szCs w:val="24"/>
          <w:highlight w:val="none"/>
          <w:lang w:val="en-US" w:eastAsia="zh-CN" w:bidi="ar"/>
        </w:rPr>
        <w:t>完成适配改造</w:t>
      </w:r>
      <w:r>
        <w:rPr>
          <w:rFonts w:hint="eastAsia" w:ascii="宋体" w:hAnsi="宋体" w:eastAsia="宋体" w:cs="宋体"/>
          <w:color w:val="000000"/>
          <w:kern w:val="0"/>
          <w:sz w:val="24"/>
          <w:szCs w:val="24"/>
          <w:lang w:val="en-US" w:eastAsia="zh-CN" w:bidi="ar"/>
        </w:rPr>
        <w:t>与系统整合，最大化实现资源复用，降低项目建设成本。</w:t>
      </w:r>
    </w:p>
    <w:tbl>
      <w:tblPr>
        <w:tblStyle w:val="33"/>
        <w:tblW w:w="81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92"/>
        <w:gridCol w:w="6907"/>
      </w:tblGrid>
      <w:tr w14:paraId="4846E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12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A3508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69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B56B1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学校名称</w:t>
            </w:r>
          </w:p>
        </w:tc>
      </w:tr>
      <w:tr w14:paraId="22285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12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C70786">
            <w:pPr>
              <w:jc w:val="center"/>
              <w:rPr>
                <w:rFonts w:hint="eastAsia" w:ascii="宋体" w:hAnsi="宋体" w:eastAsia="宋体" w:cs="宋体"/>
                <w:b/>
                <w:bCs/>
                <w:i w:val="0"/>
                <w:iCs w:val="0"/>
                <w:color w:val="000000"/>
                <w:sz w:val="24"/>
                <w:szCs w:val="24"/>
                <w:u w:val="none"/>
              </w:rPr>
            </w:pPr>
          </w:p>
        </w:tc>
        <w:tc>
          <w:tcPr>
            <w:tcW w:w="69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06D846">
            <w:pPr>
              <w:jc w:val="center"/>
              <w:rPr>
                <w:rFonts w:hint="eastAsia" w:ascii="宋体" w:hAnsi="宋体" w:eastAsia="宋体" w:cs="宋体"/>
                <w:b/>
                <w:bCs/>
                <w:i w:val="0"/>
                <w:iCs w:val="0"/>
                <w:color w:val="000000"/>
                <w:sz w:val="24"/>
                <w:szCs w:val="24"/>
                <w:u w:val="none"/>
              </w:rPr>
            </w:pPr>
          </w:p>
        </w:tc>
      </w:tr>
      <w:tr w14:paraId="0282E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FFF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725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江苏射阳中学</w:t>
            </w:r>
          </w:p>
        </w:tc>
      </w:tr>
      <w:tr w14:paraId="17180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CC0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00A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江苏省射阳中等专业学校</w:t>
            </w:r>
          </w:p>
        </w:tc>
      </w:tr>
      <w:tr w14:paraId="06B10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F96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C64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射阳县高级中学</w:t>
            </w:r>
          </w:p>
        </w:tc>
      </w:tr>
      <w:tr w14:paraId="59857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7EA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E55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射阳县初级中学</w:t>
            </w:r>
          </w:p>
        </w:tc>
      </w:tr>
      <w:tr w14:paraId="75DEE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D21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130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射阳县第六中学</w:t>
            </w:r>
          </w:p>
        </w:tc>
      </w:tr>
      <w:tr w14:paraId="15F90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3A9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5D2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射阳县第三中学（北校区）</w:t>
            </w:r>
          </w:p>
        </w:tc>
      </w:tr>
      <w:tr w14:paraId="3CEDF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AB4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B53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射阳县小学</w:t>
            </w:r>
          </w:p>
        </w:tc>
      </w:tr>
      <w:tr w14:paraId="296F2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0E0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515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射阳县解放路小学</w:t>
            </w:r>
          </w:p>
        </w:tc>
      </w:tr>
      <w:tr w14:paraId="4970E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F9B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002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射阳县港城实验小学</w:t>
            </w:r>
          </w:p>
        </w:tc>
      </w:tr>
      <w:tr w14:paraId="7EA89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003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4F9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射阳县实验小学（德发路校区）</w:t>
            </w:r>
          </w:p>
        </w:tc>
      </w:tr>
      <w:tr w14:paraId="462B0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60B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CB4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射阳县同心小学</w:t>
            </w:r>
          </w:p>
        </w:tc>
      </w:tr>
      <w:tr w14:paraId="099DB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4A3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C10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射阳县港城实验幼儿园</w:t>
            </w:r>
          </w:p>
        </w:tc>
      </w:tr>
      <w:tr w14:paraId="1C949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1B9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198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射阳县双拥路幼儿园</w:t>
            </w:r>
          </w:p>
        </w:tc>
      </w:tr>
      <w:tr w14:paraId="6110C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D85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21D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射阳县幸福幼儿园</w:t>
            </w:r>
          </w:p>
        </w:tc>
      </w:tr>
      <w:tr w14:paraId="05BBC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B3A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023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射阳县合德镇实验幼儿园</w:t>
            </w:r>
          </w:p>
        </w:tc>
      </w:tr>
      <w:tr w14:paraId="21B63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9DC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AF8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射阳县晨光幼儿园</w:t>
            </w:r>
          </w:p>
        </w:tc>
      </w:tr>
      <w:tr w14:paraId="3FE2B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5B9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515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射阳县特殊学校</w:t>
            </w:r>
          </w:p>
        </w:tc>
      </w:tr>
      <w:tr w14:paraId="4CFB1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825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193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射阳县陈洋学校</w:t>
            </w:r>
          </w:p>
        </w:tc>
      </w:tr>
      <w:tr w14:paraId="25374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762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9AA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射阳县盘湾中学（南校区）</w:t>
            </w:r>
          </w:p>
        </w:tc>
      </w:tr>
      <w:tr w14:paraId="24BD4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1"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2BB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655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射阳县盘湾中学（北校区）</w:t>
            </w:r>
          </w:p>
        </w:tc>
      </w:tr>
    </w:tbl>
    <w:p w14:paraId="6534FB1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color w:val="000000"/>
          <w:kern w:val="0"/>
          <w:sz w:val="24"/>
          <w:szCs w:val="24"/>
          <w:lang w:val="en-US" w:eastAsia="zh-CN" w:bidi="ar"/>
        </w:rPr>
      </w:pPr>
    </w:p>
    <w:p w14:paraId="3FFB5DBC">
      <w:pPr>
        <w:numPr>
          <w:ilvl w:val="0"/>
          <w:numId w:val="0"/>
        </w:numPr>
        <w:rPr>
          <w:rFonts w:hint="default"/>
          <w:lang w:val="en-US" w:eastAsia="zh-CN"/>
        </w:rPr>
      </w:pPr>
    </w:p>
    <w:p w14:paraId="6983806D">
      <w:pPr>
        <w:numPr>
          <w:ilvl w:val="0"/>
          <w:numId w:val="0"/>
        </w:numPr>
        <w:rPr>
          <w:rFonts w:hint="default"/>
          <w:lang w:val="en-US" w:eastAsia="zh-CN"/>
        </w:rPr>
      </w:pPr>
    </w:p>
    <w:p w14:paraId="1D7BCBE9">
      <w:pPr>
        <w:numPr>
          <w:ilvl w:val="0"/>
          <w:numId w:val="0"/>
        </w:numPr>
        <w:rPr>
          <w:rFonts w:hint="default"/>
          <w:lang w:val="en-US" w:eastAsia="zh-CN"/>
        </w:rPr>
      </w:pPr>
    </w:p>
    <w:p w14:paraId="2F5C66F2">
      <w:pPr>
        <w:pStyle w:val="3"/>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color w:val="0000FF"/>
          <w:sz w:val="24"/>
          <w:szCs w:val="24"/>
          <w:lang w:val="en-US" w:eastAsia="zh-CN"/>
        </w:rPr>
      </w:pPr>
      <w:r>
        <w:rPr>
          <w:rFonts w:hint="eastAsia"/>
          <w:color w:val="0000FF"/>
          <w:sz w:val="24"/>
          <w:szCs w:val="24"/>
          <w:lang w:val="en-US" w:eastAsia="zh-CN"/>
        </w:rPr>
        <w:t>项目参数</w:t>
      </w:r>
    </w:p>
    <w:tbl>
      <w:tblPr>
        <w:tblStyle w:val="33"/>
        <w:tblW w:w="9535" w:type="dxa"/>
        <w:jc w:val="center"/>
        <w:tblLayout w:type="fixed"/>
        <w:tblCellMar>
          <w:top w:w="0" w:type="dxa"/>
          <w:left w:w="108" w:type="dxa"/>
          <w:bottom w:w="0" w:type="dxa"/>
          <w:right w:w="108" w:type="dxa"/>
        </w:tblCellMar>
      </w:tblPr>
      <w:tblGrid>
        <w:gridCol w:w="898"/>
        <w:gridCol w:w="861"/>
        <w:gridCol w:w="5559"/>
        <w:gridCol w:w="750"/>
        <w:gridCol w:w="840"/>
        <w:gridCol w:w="627"/>
      </w:tblGrid>
      <w:tr w14:paraId="42962B8E">
        <w:tblPrEx>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vAlign w:val="center"/>
          </w:tcPr>
          <w:p w14:paraId="02C57BDB">
            <w:pPr>
              <w:widowControl/>
              <w:spacing w:line="300" w:lineRule="exact"/>
              <w:jc w:val="center"/>
              <w:textAlignment w:val="center"/>
              <w:rPr>
                <w:rFonts w:ascii="微软雅黑" w:hAnsi="微软雅黑" w:eastAsia="微软雅黑" w:cs="微软雅黑"/>
                <w:b/>
                <w:bCs/>
                <w:color w:val="auto"/>
                <w:szCs w:val="21"/>
              </w:rPr>
            </w:pPr>
            <w:r>
              <w:rPr>
                <w:rFonts w:ascii="微软雅黑" w:hAnsi="微软雅黑" w:eastAsia="微软雅黑" w:cs="微软雅黑"/>
                <w:b/>
                <w:bCs/>
                <w:color w:val="auto"/>
                <w:szCs w:val="21"/>
              </w:rPr>
              <w:t>序号</w:t>
            </w:r>
          </w:p>
        </w:tc>
        <w:tc>
          <w:tcPr>
            <w:tcW w:w="861" w:type="dxa"/>
            <w:tcBorders>
              <w:top w:val="single" w:color="000000" w:sz="4" w:space="0"/>
              <w:left w:val="single" w:color="000000" w:sz="4" w:space="0"/>
              <w:bottom w:val="single" w:color="000000" w:sz="4" w:space="0"/>
              <w:right w:val="single" w:color="000000" w:sz="4" w:space="0"/>
            </w:tcBorders>
            <w:vAlign w:val="center"/>
          </w:tcPr>
          <w:p w14:paraId="5885C7F2">
            <w:pPr>
              <w:widowControl/>
              <w:spacing w:line="300" w:lineRule="exact"/>
              <w:jc w:val="center"/>
              <w:textAlignment w:val="center"/>
              <w:rPr>
                <w:rFonts w:ascii="微软雅黑" w:hAnsi="微软雅黑" w:eastAsia="微软雅黑" w:cs="微软雅黑"/>
                <w:b/>
                <w:bCs/>
                <w:color w:val="auto"/>
                <w:szCs w:val="21"/>
              </w:rPr>
            </w:pPr>
            <w:r>
              <w:rPr>
                <w:rFonts w:ascii="微软雅黑" w:hAnsi="微软雅黑" w:eastAsia="微软雅黑" w:cs="微软雅黑"/>
                <w:b/>
                <w:bCs/>
                <w:color w:val="auto"/>
                <w:szCs w:val="21"/>
              </w:rPr>
              <w:t>产品名称</w:t>
            </w:r>
          </w:p>
        </w:tc>
        <w:tc>
          <w:tcPr>
            <w:tcW w:w="5559" w:type="dxa"/>
            <w:tcBorders>
              <w:top w:val="single" w:color="000000" w:sz="4" w:space="0"/>
              <w:left w:val="single" w:color="000000" w:sz="4" w:space="0"/>
              <w:bottom w:val="single" w:color="000000" w:sz="4" w:space="0"/>
              <w:right w:val="single" w:color="000000" w:sz="4" w:space="0"/>
            </w:tcBorders>
            <w:vAlign w:val="center"/>
          </w:tcPr>
          <w:p w14:paraId="65DE964C">
            <w:pPr>
              <w:widowControl/>
              <w:spacing w:line="300" w:lineRule="exact"/>
              <w:jc w:val="center"/>
              <w:textAlignment w:val="center"/>
              <w:rPr>
                <w:rFonts w:ascii="微软雅黑" w:hAnsi="微软雅黑" w:eastAsia="微软雅黑" w:cs="微软雅黑"/>
                <w:b/>
                <w:bCs/>
                <w:color w:val="auto"/>
                <w:szCs w:val="21"/>
              </w:rPr>
            </w:pPr>
            <w:r>
              <w:rPr>
                <w:rFonts w:ascii="微软雅黑" w:hAnsi="微软雅黑" w:eastAsia="微软雅黑" w:cs="微软雅黑"/>
                <w:b/>
                <w:bCs/>
                <w:color w:val="auto"/>
                <w:szCs w:val="21"/>
              </w:rPr>
              <w:t>参数</w:t>
            </w:r>
          </w:p>
        </w:tc>
        <w:tc>
          <w:tcPr>
            <w:tcW w:w="750" w:type="dxa"/>
            <w:tcBorders>
              <w:top w:val="single" w:color="000000" w:sz="4" w:space="0"/>
              <w:left w:val="single" w:color="000000" w:sz="4" w:space="0"/>
              <w:bottom w:val="single" w:color="000000" w:sz="4" w:space="0"/>
              <w:right w:val="single" w:color="000000" w:sz="4" w:space="0"/>
            </w:tcBorders>
            <w:vAlign w:val="center"/>
          </w:tcPr>
          <w:p w14:paraId="6E813CB9">
            <w:pPr>
              <w:widowControl/>
              <w:spacing w:line="300" w:lineRule="exact"/>
              <w:jc w:val="center"/>
              <w:textAlignment w:val="center"/>
              <w:rPr>
                <w:rFonts w:ascii="微软雅黑" w:hAnsi="微软雅黑" w:eastAsia="微软雅黑" w:cs="微软雅黑"/>
                <w:b/>
                <w:bCs/>
                <w:color w:val="auto"/>
                <w:szCs w:val="21"/>
              </w:rPr>
            </w:pPr>
            <w:r>
              <w:rPr>
                <w:rFonts w:ascii="微软雅黑" w:hAnsi="微软雅黑" w:eastAsia="微软雅黑" w:cs="微软雅黑"/>
                <w:b/>
                <w:bCs/>
                <w:color w:val="auto"/>
                <w:szCs w:val="21"/>
              </w:rPr>
              <w:t>单位</w:t>
            </w:r>
          </w:p>
        </w:tc>
        <w:tc>
          <w:tcPr>
            <w:tcW w:w="840" w:type="dxa"/>
            <w:tcBorders>
              <w:top w:val="single" w:color="000000" w:sz="4" w:space="0"/>
              <w:left w:val="single" w:color="000000" w:sz="4" w:space="0"/>
              <w:bottom w:val="single" w:color="000000" w:sz="4" w:space="0"/>
              <w:right w:val="single" w:color="000000" w:sz="4" w:space="0"/>
            </w:tcBorders>
            <w:vAlign w:val="center"/>
          </w:tcPr>
          <w:p w14:paraId="3286EEB1">
            <w:pPr>
              <w:widowControl/>
              <w:spacing w:line="300" w:lineRule="exact"/>
              <w:jc w:val="center"/>
              <w:textAlignment w:val="center"/>
              <w:rPr>
                <w:rFonts w:ascii="微软雅黑" w:hAnsi="微软雅黑" w:eastAsia="微软雅黑" w:cs="微软雅黑"/>
                <w:b/>
                <w:bCs/>
                <w:color w:val="auto"/>
                <w:szCs w:val="21"/>
              </w:rPr>
            </w:pPr>
            <w:r>
              <w:rPr>
                <w:rFonts w:ascii="微软雅黑" w:hAnsi="微软雅黑" w:eastAsia="微软雅黑" w:cs="微软雅黑"/>
                <w:b/>
                <w:bCs/>
                <w:color w:val="auto"/>
                <w:szCs w:val="21"/>
              </w:rPr>
              <w:t>数量</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387A315A">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利旧数量</w:t>
            </w:r>
          </w:p>
        </w:tc>
      </w:tr>
      <w:tr w14:paraId="744EE00D">
        <w:tblPrEx>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vAlign w:val="center"/>
          </w:tcPr>
          <w:p w14:paraId="3350F627">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1</w:t>
            </w:r>
          </w:p>
        </w:tc>
        <w:tc>
          <w:tcPr>
            <w:tcW w:w="861" w:type="dxa"/>
            <w:tcBorders>
              <w:top w:val="single" w:color="000000" w:sz="4" w:space="0"/>
              <w:left w:val="single" w:color="000000" w:sz="4" w:space="0"/>
              <w:bottom w:val="single" w:color="000000" w:sz="4" w:space="0"/>
              <w:right w:val="single" w:color="000000" w:sz="4" w:space="0"/>
            </w:tcBorders>
            <w:vAlign w:val="center"/>
          </w:tcPr>
          <w:p w14:paraId="1089700C">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张力四道双防区控制器</w:t>
            </w:r>
            <w:r>
              <w:rPr>
                <w:rFonts w:hint="eastAsia" w:ascii="微软雅黑" w:hAnsi="微软雅黑" w:eastAsia="微软雅黑" w:cs="微软雅黑"/>
                <w:b/>
                <w:bCs/>
                <w:color w:val="auto"/>
                <w:szCs w:val="21"/>
              </w:rPr>
              <w:t>（核心产品）</w:t>
            </w:r>
          </w:p>
        </w:tc>
        <w:tc>
          <w:tcPr>
            <w:tcW w:w="5559" w:type="dxa"/>
            <w:tcBorders>
              <w:top w:val="single" w:color="000000" w:sz="4" w:space="0"/>
              <w:left w:val="single" w:color="000000" w:sz="4" w:space="0"/>
              <w:bottom w:val="single" w:color="000000" w:sz="4" w:space="0"/>
              <w:right w:val="single" w:color="000000" w:sz="4" w:space="0"/>
            </w:tcBorders>
            <w:vAlign w:val="center"/>
          </w:tcPr>
          <w:p w14:paraId="13666DD5">
            <w:pPr>
              <w:widowControl/>
              <w:numPr>
                <w:ilvl w:val="0"/>
                <w:numId w:val="4"/>
              </w:numPr>
              <w:spacing w:line="300" w:lineRule="exact"/>
              <w:jc w:val="left"/>
              <w:textAlignment w:val="center"/>
              <w:rPr>
                <w:rFonts w:hint="default" w:ascii="微软雅黑" w:hAnsi="微软雅黑" w:eastAsia="微软雅黑" w:cs="微软雅黑"/>
                <w:i w:val="0"/>
                <w:iCs w:val="0"/>
                <w:color w:val="auto"/>
                <w:kern w:val="0"/>
                <w:sz w:val="21"/>
                <w:szCs w:val="21"/>
                <w:u w:val="none"/>
                <w:lang w:val="en-US" w:eastAsia="zh-CN" w:bidi="ar"/>
              </w:rPr>
            </w:pPr>
            <w:r>
              <w:rPr>
                <w:rFonts w:ascii="微软雅黑" w:hAnsi="微软雅黑" w:eastAsia="微软雅黑" w:cs="微软雅黑"/>
                <w:color w:val="auto"/>
                <w:szCs w:val="21"/>
              </w:rPr>
              <w:t>材质：控制杆体采用铝制材料+抗氧化处理，所有配件螺丝采用SUS304不锈钢材质</w:t>
            </w:r>
            <w:r>
              <w:rPr>
                <w:rFonts w:hint="eastAsia" w:ascii="微软雅黑" w:hAnsi="微软雅黑" w:eastAsia="微软雅黑" w:cs="微软雅黑"/>
                <w:color w:val="auto"/>
                <w:szCs w:val="21"/>
                <w:lang w:eastAsia="zh-CN"/>
              </w:rPr>
              <w:t>，具备优良的耐腐蚀防锈性能</w:t>
            </w:r>
            <w:r>
              <w:rPr>
                <w:rFonts w:hint="eastAsia" w:ascii="微软雅黑" w:hAnsi="微软雅黑" w:eastAsia="微软雅黑" w:cs="微软雅黑"/>
                <w:color w:val="auto"/>
                <w:szCs w:val="21"/>
              </w:rPr>
              <w:t>，适合室外环境使用</w:t>
            </w:r>
            <w:r>
              <w:rPr>
                <w:rFonts w:ascii="微软雅黑" w:hAnsi="微软雅黑" w:eastAsia="微软雅黑" w:cs="微软雅黑"/>
                <w:color w:val="auto"/>
                <w:szCs w:val="21"/>
              </w:rPr>
              <w:t>。</w:t>
            </w:r>
            <w:r>
              <w:rPr>
                <w:rFonts w:ascii="微软雅黑" w:hAnsi="微软雅黑" w:eastAsia="微软雅黑" w:cs="微软雅黑"/>
                <w:color w:val="auto"/>
                <w:szCs w:val="21"/>
              </w:rPr>
              <w:br w:type="textWrapping"/>
            </w:r>
            <w:r>
              <w:rPr>
                <w:rFonts w:ascii="微软雅黑" w:hAnsi="微软雅黑" w:eastAsia="微软雅黑" w:cs="微软雅黑"/>
                <w:color w:val="auto"/>
                <w:szCs w:val="21"/>
              </w:rPr>
              <w:t>2.外壳防护等级：不低于IP55。工作电压</w:t>
            </w:r>
            <w:r>
              <w:rPr>
                <w:rFonts w:hint="eastAsia" w:ascii="微软雅黑" w:hAnsi="微软雅黑" w:eastAsia="微软雅黑" w:cs="微软雅黑"/>
                <w:color w:val="auto"/>
                <w:szCs w:val="21"/>
                <w:lang w:val="en-US" w:eastAsia="zh-CN"/>
              </w:rPr>
              <w:t>可采用</w:t>
            </w:r>
            <w:r>
              <w:rPr>
                <w:rFonts w:ascii="微软雅黑" w:hAnsi="微软雅黑" w:eastAsia="微软雅黑" w:cs="微软雅黑"/>
                <w:color w:val="auto"/>
                <w:szCs w:val="21"/>
              </w:rPr>
              <w:t>：</w:t>
            </w:r>
            <w:r>
              <w:rPr>
                <w:rFonts w:hint="eastAsia" w:ascii="微软雅黑" w:hAnsi="微软雅黑" w:eastAsia="微软雅黑" w:cs="微软雅黑"/>
                <w:color w:val="auto"/>
                <w:szCs w:val="21"/>
              </w:rPr>
              <w:t>AC220V或D</w:t>
            </w:r>
            <w:r>
              <w:rPr>
                <w:rFonts w:ascii="微软雅黑" w:hAnsi="微软雅黑" w:eastAsia="微软雅黑" w:cs="微软雅黑"/>
                <w:color w:val="auto"/>
                <w:szCs w:val="21"/>
              </w:rPr>
              <w:t>C12V</w:t>
            </w:r>
            <w:r>
              <w:rPr>
                <w:rFonts w:hint="eastAsia" w:ascii="微软雅黑" w:hAnsi="微软雅黑" w:eastAsia="微软雅黑" w:cs="微软雅黑"/>
                <w:color w:val="auto"/>
                <w:szCs w:val="21"/>
              </w:rPr>
              <w:t>、</w:t>
            </w:r>
            <w:r>
              <w:rPr>
                <w:rFonts w:ascii="微软雅黑" w:hAnsi="微软雅黑" w:eastAsia="微软雅黑" w:cs="微软雅黑"/>
                <w:color w:val="auto"/>
                <w:szCs w:val="21"/>
              </w:rPr>
              <w:t>2</w:t>
            </w:r>
            <w:r>
              <w:rPr>
                <w:rFonts w:hint="eastAsia" w:ascii="微软雅黑" w:hAnsi="微软雅黑" w:eastAsia="微软雅黑" w:cs="微软雅黑"/>
                <w:color w:val="auto"/>
                <w:szCs w:val="21"/>
              </w:rPr>
              <w:t>4</w:t>
            </w:r>
            <w:r>
              <w:rPr>
                <w:rFonts w:ascii="微软雅黑" w:hAnsi="微软雅黑" w:eastAsia="微软雅黑" w:cs="微软雅黑"/>
                <w:color w:val="auto"/>
                <w:szCs w:val="21"/>
              </w:rPr>
              <w:t>V。张力模块与外壳完全与钢丝绳隔离。</w:t>
            </w:r>
            <w:r>
              <w:rPr>
                <w:rFonts w:ascii="微软雅黑" w:hAnsi="微软雅黑" w:eastAsia="微软雅黑" w:cs="微软雅黑"/>
                <w:color w:val="auto"/>
                <w:szCs w:val="21"/>
              </w:rPr>
              <w:br w:type="textWrapping"/>
            </w:r>
            <w:r>
              <w:rPr>
                <w:rFonts w:hint="eastAsia" w:ascii="微软雅黑" w:hAnsi="微软雅黑" w:eastAsia="微软雅黑" w:cs="微软雅黑"/>
                <w:color w:val="auto"/>
                <w:szCs w:val="21"/>
              </w:rPr>
              <w:t>3</w:t>
            </w:r>
            <w:r>
              <w:rPr>
                <w:rFonts w:ascii="微软雅黑" w:hAnsi="微软雅黑" w:eastAsia="微软雅黑" w:cs="微软雅黑"/>
                <w:color w:val="auto"/>
                <w:szCs w:val="21"/>
              </w:rPr>
              <w:t>.</w:t>
            </w:r>
            <w:r>
              <w:rPr>
                <w:rFonts w:hint="eastAsia" w:ascii="微软雅黑" w:hAnsi="微软雅黑" w:eastAsia="微软雅黑" w:cs="微软雅黑"/>
                <w:color w:val="auto"/>
                <w:szCs w:val="21"/>
              </w:rPr>
              <w:t>状态指示功能</w:t>
            </w:r>
            <w:r>
              <w:rPr>
                <w:rFonts w:ascii="微软雅黑" w:hAnsi="微软雅黑" w:eastAsia="微软雅黑" w:cs="微软雅黑"/>
                <w:color w:val="auto"/>
                <w:szCs w:val="21"/>
              </w:rPr>
              <w:t>：对</w:t>
            </w:r>
            <w:r>
              <w:rPr>
                <w:rFonts w:hint="eastAsia" w:ascii="微软雅黑" w:hAnsi="微软雅黑" w:eastAsia="微软雅黑" w:cs="微软雅黑"/>
                <w:color w:val="auto"/>
                <w:szCs w:val="21"/>
              </w:rPr>
              <w:t>张力围栏的各种</w:t>
            </w:r>
            <w:r>
              <w:rPr>
                <w:rFonts w:ascii="微软雅黑" w:hAnsi="微软雅黑" w:eastAsia="微软雅黑" w:cs="微软雅黑"/>
                <w:color w:val="auto"/>
                <w:szCs w:val="21"/>
              </w:rPr>
              <w:t>状态进行</w:t>
            </w:r>
            <w:r>
              <w:rPr>
                <w:rFonts w:hint="eastAsia" w:ascii="微软雅黑" w:hAnsi="微软雅黑" w:eastAsia="微软雅黑" w:cs="微软雅黑"/>
                <w:color w:val="auto"/>
                <w:szCs w:val="21"/>
              </w:rPr>
              <w:t>准确指示</w:t>
            </w:r>
            <w:r>
              <w:rPr>
                <w:rFonts w:ascii="微软雅黑" w:hAnsi="微软雅黑" w:eastAsia="微软雅黑" w:cs="微软雅黑"/>
                <w:color w:val="auto"/>
                <w:szCs w:val="21"/>
              </w:rPr>
              <w:t>。</w:t>
            </w:r>
            <w:r>
              <w:rPr>
                <w:rFonts w:hint="eastAsia" w:ascii="微软雅黑" w:hAnsi="微软雅黑" w:eastAsia="微软雅黑" w:cs="微软雅黑"/>
                <w:color w:val="auto"/>
                <w:szCs w:val="21"/>
              </w:rPr>
              <w:t>如运行状态、报警状态、通信状态等。</w:t>
            </w:r>
            <w:r>
              <w:rPr>
                <w:rFonts w:ascii="微软雅黑" w:hAnsi="微软雅黑" w:eastAsia="微软雅黑" w:cs="微软雅黑"/>
                <w:color w:val="auto"/>
                <w:szCs w:val="21"/>
              </w:rPr>
              <w:br w:type="textWrapping"/>
            </w:r>
            <w:r>
              <w:rPr>
                <w:rFonts w:hint="eastAsia" w:ascii="微软雅黑" w:hAnsi="微软雅黑" w:eastAsia="微软雅黑" w:cs="微软雅黑"/>
                <w:color w:val="auto"/>
                <w:szCs w:val="21"/>
              </w:rPr>
              <w:t>4</w:t>
            </w:r>
            <w:r>
              <w:rPr>
                <w:rFonts w:ascii="微软雅黑" w:hAnsi="微软雅黑" w:eastAsia="微软雅黑" w:cs="微软雅黑"/>
                <w:color w:val="auto"/>
                <w:szCs w:val="21"/>
              </w:rPr>
              <w:t>.张力</w:t>
            </w:r>
            <w:r>
              <w:rPr>
                <w:rFonts w:hint="eastAsia" w:ascii="微软雅黑" w:hAnsi="微软雅黑" w:eastAsia="微软雅黑" w:cs="微软雅黑"/>
                <w:color w:val="auto"/>
                <w:szCs w:val="21"/>
              </w:rPr>
              <w:t>索警戒张力值</w:t>
            </w:r>
            <w:r>
              <w:rPr>
                <w:rFonts w:ascii="微软雅黑" w:hAnsi="微软雅黑" w:eastAsia="微软雅黑" w:cs="微软雅黑"/>
                <w:color w:val="auto"/>
                <w:szCs w:val="21"/>
              </w:rPr>
              <w:t>：1</w:t>
            </w:r>
            <w:r>
              <w:rPr>
                <w:rFonts w:hint="eastAsia" w:ascii="微软雅黑" w:hAnsi="微软雅黑" w:eastAsia="微软雅黑" w:cs="微软雅黑"/>
                <w:color w:val="auto"/>
                <w:szCs w:val="21"/>
              </w:rPr>
              <w:t>00</w:t>
            </w:r>
            <w:r>
              <w:rPr>
                <w:rFonts w:ascii="微软雅黑" w:hAnsi="微软雅黑" w:eastAsia="微软雅黑" w:cs="微软雅黑"/>
                <w:color w:val="auto"/>
                <w:szCs w:val="21"/>
              </w:rPr>
              <w:t>N-</w:t>
            </w:r>
            <w:r>
              <w:rPr>
                <w:rFonts w:hint="eastAsia" w:ascii="微软雅黑" w:hAnsi="微软雅黑" w:eastAsia="微软雅黑" w:cs="微软雅黑"/>
                <w:color w:val="auto"/>
                <w:szCs w:val="21"/>
              </w:rPr>
              <w:t>450</w:t>
            </w:r>
            <w:r>
              <w:rPr>
                <w:rFonts w:ascii="微软雅黑" w:hAnsi="微软雅黑" w:eastAsia="微软雅黑" w:cs="微软雅黑"/>
                <w:color w:val="auto"/>
                <w:szCs w:val="21"/>
              </w:rPr>
              <w:t>N。张力</w:t>
            </w:r>
            <w:r>
              <w:rPr>
                <w:rFonts w:hint="eastAsia" w:ascii="微软雅黑" w:hAnsi="微软雅黑" w:eastAsia="微软雅黑" w:cs="微软雅黑"/>
                <w:color w:val="auto"/>
                <w:szCs w:val="21"/>
              </w:rPr>
              <w:t>索松驰报警</w:t>
            </w:r>
            <w:r>
              <w:rPr>
                <w:rFonts w:ascii="宋体" w:hAnsi="宋体" w:eastAsia="宋体" w:cs="宋体"/>
                <w:color w:val="auto"/>
                <w:sz w:val="24"/>
                <w:szCs w:val="24"/>
              </w:rPr>
              <w:t>阈值</w:t>
            </w:r>
            <w:r>
              <w:rPr>
                <w:rFonts w:hint="eastAsia" w:ascii="微软雅黑" w:hAnsi="微软雅黑" w:eastAsia="微软雅黑" w:cs="微软雅黑"/>
                <w:color w:val="auto"/>
                <w:szCs w:val="21"/>
              </w:rPr>
              <w:t>小于正常运行时张力警戒值的1/3</w:t>
            </w:r>
            <w:r>
              <w:rPr>
                <w:rFonts w:ascii="微软雅黑" w:hAnsi="微软雅黑" w:eastAsia="微软雅黑" w:cs="微软雅黑"/>
                <w:color w:val="auto"/>
                <w:szCs w:val="21"/>
              </w:rPr>
              <w:t>。</w:t>
            </w:r>
            <w:r>
              <w:rPr>
                <w:rFonts w:hint="eastAsia" w:ascii="微软雅黑" w:hAnsi="微软雅黑" w:eastAsia="微软雅黑" w:cs="微软雅黑"/>
                <w:color w:val="auto"/>
                <w:szCs w:val="21"/>
              </w:rPr>
              <w:t>抗拉断力：</w:t>
            </w:r>
            <w:r>
              <w:rPr>
                <w:rFonts w:hint="eastAsia" w:ascii="微软雅黑" w:hAnsi="微软雅黑" w:eastAsia="微软雅黑" w:cs="微软雅黑"/>
                <w:color w:val="auto"/>
                <w:szCs w:val="21"/>
                <w:lang w:val="en-US" w:eastAsia="zh-CN"/>
              </w:rPr>
              <w:t>应不小于600N且不大于1000N</w:t>
            </w:r>
            <w:r>
              <w:rPr>
                <w:rFonts w:hint="eastAsia" w:ascii="微软雅黑" w:hAnsi="微软雅黑" w:eastAsia="微软雅黑" w:cs="微软雅黑"/>
                <w:color w:val="auto"/>
                <w:szCs w:val="21"/>
              </w:rPr>
              <w:t>。张力模块承受的最大张力</w:t>
            </w:r>
            <w:r>
              <w:rPr>
                <w:rFonts w:ascii="微软雅黑" w:hAnsi="微软雅黑" w:eastAsia="微软雅黑" w:cs="微软雅黑"/>
                <w:color w:val="auto"/>
                <w:szCs w:val="21"/>
              </w:rPr>
              <w:t>：不</w:t>
            </w:r>
            <w:r>
              <w:rPr>
                <w:rFonts w:hint="eastAsia" w:ascii="微软雅黑" w:hAnsi="微软雅黑" w:eastAsia="微软雅黑" w:cs="微软雅黑"/>
                <w:color w:val="auto"/>
                <w:szCs w:val="21"/>
              </w:rPr>
              <w:t>小</w:t>
            </w:r>
            <w:r>
              <w:rPr>
                <w:rFonts w:ascii="微软雅黑" w:hAnsi="微软雅黑" w:eastAsia="微软雅黑" w:cs="微软雅黑"/>
                <w:color w:val="auto"/>
                <w:szCs w:val="21"/>
              </w:rPr>
              <w:t>于1000N。</w:t>
            </w:r>
            <w:r>
              <w:rPr>
                <w:rFonts w:ascii="微软雅黑" w:hAnsi="微软雅黑" w:eastAsia="微软雅黑" w:cs="微软雅黑"/>
                <w:color w:val="auto"/>
                <w:szCs w:val="21"/>
              </w:rPr>
              <w:br w:type="textWrapping"/>
            </w:r>
            <w:r>
              <w:rPr>
                <w:rFonts w:hint="eastAsia" w:ascii="微软雅黑" w:hAnsi="微软雅黑" w:eastAsia="微软雅黑" w:cs="微软雅黑"/>
                <w:color w:val="auto"/>
                <w:szCs w:val="21"/>
              </w:rPr>
              <w:t>5</w:t>
            </w:r>
            <w:r>
              <w:rPr>
                <w:rFonts w:ascii="微软雅黑" w:hAnsi="微软雅黑" w:eastAsia="微软雅黑" w:cs="微软雅黑"/>
                <w:color w:val="auto"/>
                <w:szCs w:val="21"/>
              </w:rPr>
              <w:t>.</w:t>
            </w:r>
            <w:r>
              <w:rPr>
                <w:rFonts w:hint="eastAsia" w:ascii="微软雅黑" w:hAnsi="微软雅黑" w:eastAsia="微软雅黑" w:cs="微软雅黑"/>
                <w:color w:val="auto"/>
                <w:sz w:val="28"/>
                <w:szCs w:val="28"/>
              </w:rPr>
              <w:t>★</w:t>
            </w:r>
            <w:r>
              <w:rPr>
                <w:rFonts w:hint="eastAsia" w:ascii="微软雅黑" w:hAnsi="微软雅黑" w:eastAsia="微软雅黑" w:cs="微软雅黑"/>
                <w:color w:val="auto"/>
                <w:szCs w:val="21"/>
              </w:rPr>
              <w:t>控制器具有网络通讯接口，能与上位机进行直接通讯。</w:t>
            </w:r>
            <w:r>
              <w:rPr>
                <w:rFonts w:hint="eastAsia" w:ascii="微软雅黑" w:hAnsi="微软雅黑" w:eastAsia="微软雅黑" w:cs="微软雅黑"/>
                <w:color w:val="auto"/>
                <w:szCs w:val="21"/>
              </w:rPr>
              <w:br w:type="textWrapping"/>
            </w:r>
            <w:r>
              <w:rPr>
                <w:rFonts w:hint="eastAsia" w:ascii="微软雅黑" w:hAnsi="微软雅黑" w:eastAsia="微软雅黑" w:cs="微软雅黑"/>
                <w:b w:val="0"/>
                <w:bCs w:val="0"/>
                <w:color w:val="auto"/>
                <w:szCs w:val="21"/>
                <w:highlight w:val="none"/>
              </w:rPr>
              <w:t>6.</w:t>
            </w:r>
            <w:r>
              <w:rPr>
                <w:rFonts w:hint="eastAsia" w:ascii="微软雅黑" w:hAnsi="微软雅黑" w:eastAsia="微软雅黑" w:cs="微软雅黑"/>
                <w:color w:val="auto"/>
                <w:sz w:val="28"/>
                <w:szCs w:val="28"/>
                <w:highlight w:val="none"/>
              </w:rPr>
              <w:t>★</w:t>
            </w:r>
            <w:r>
              <w:rPr>
                <w:rFonts w:hint="default" w:ascii="微软雅黑" w:hAnsi="微软雅黑" w:eastAsia="微软雅黑" w:cs="微软雅黑"/>
                <w:i w:val="0"/>
                <w:iCs w:val="0"/>
                <w:color w:val="auto"/>
                <w:kern w:val="0"/>
                <w:sz w:val="21"/>
                <w:szCs w:val="21"/>
                <w:highlight w:val="none"/>
                <w:u w:val="none"/>
                <w:lang w:val="en-US" w:eastAsia="zh-CN" w:bidi="ar"/>
              </w:rPr>
              <w:t>终端具有</w:t>
            </w:r>
            <w:r>
              <w:rPr>
                <w:rFonts w:hint="eastAsia" w:ascii="微软雅黑" w:hAnsi="微软雅黑" w:eastAsia="微软雅黑" w:cs="微软雅黑"/>
                <w:i w:val="0"/>
                <w:iCs w:val="0"/>
                <w:color w:val="auto"/>
                <w:kern w:val="0"/>
                <w:sz w:val="21"/>
                <w:szCs w:val="21"/>
                <w:highlight w:val="none"/>
                <w:u w:val="none"/>
                <w:lang w:val="en-US" w:eastAsia="zh-CN" w:bidi="ar"/>
              </w:rPr>
              <w:t>报警位置</w:t>
            </w:r>
            <w:r>
              <w:rPr>
                <w:rFonts w:hint="default" w:ascii="微软雅黑" w:hAnsi="微软雅黑" w:eastAsia="微软雅黑" w:cs="微软雅黑"/>
                <w:i w:val="0"/>
                <w:iCs w:val="0"/>
                <w:color w:val="auto"/>
                <w:kern w:val="0"/>
                <w:sz w:val="21"/>
                <w:szCs w:val="21"/>
                <w:highlight w:val="none"/>
                <w:u w:val="none"/>
                <w:lang w:val="en-US" w:eastAsia="zh-CN" w:bidi="ar"/>
              </w:rPr>
              <w:t>功能，能实时显示防区报警的位置，实时判断报警发生位置，支持报警发生位置定位，</w:t>
            </w:r>
            <w:r>
              <w:rPr>
                <w:rFonts w:hint="eastAsia" w:ascii="微软雅黑" w:hAnsi="微软雅黑" w:eastAsia="微软雅黑" w:cs="微软雅黑"/>
                <w:i w:val="0"/>
                <w:iCs w:val="0"/>
                <w:color w:val="auto"/>
                <w:kern w:val="0"/>
                <w:sz w:val="21"/>
                <w:szCs w:val="21"/>
                <w:highlight w:val="none"/>
                <w:u w:val="none"/>
                <w:lang w:val="en-US" w:eastAsia="zh-CN" w:bidi="ar"/>
              </w:rPr>
              <w:t>报警位置</w:t>
            </w:r>
            <w:r>
              <w:rPr>
                <w:rFonts w:hint="default" w:ascii="微软雅黑" w:hAnsi="微软雅黑" w:eastAsia="微软雅黑" w:cs="微软雅黑"/>
                <w:i w:val="0"/>
                <w:iCs w:val="0"/>
                <w:color w:val="auto"/>
                <w:kern w:val="0"/>
                <w:sz w:val="21"/>
                <w:szCs w:val="21"/>
                <w:highlight w:val="none"/>
                <w:u w:val="none"/>
                <w:lang w:val="en-US" w:eastAsia="zh-CN" w:bidi="ar"/>
              </w:rPr>
              <w:t>≤</w:t>
            </w:r>
            <w:r>
              <w:rPr>
                <w:rFonts w:hint="eastAsia" w:ascii="微软雅黑" w:hAnsi="微软雅黑" w:eastAsia="微软雅黑" w:cs="微软雅黑"/>
                <w:i w:val="0"/>
                <w:iCs w:val="0"/>
                <w:color w:val="auto"/>
                <w:kern w:val="0"/>
                <w:sz w:val="21"/>
                <w:szCs w:val="21"/>
                <w:highlight w:val="none"/>
                <w:u w:val="none"/>
                <w:lang w:val="en-US" w:eastAsia="zh-CN" w:bidi="ar"/>
              </w:rPr>
              <w:t>40米</w:t>
            </w:r>
            <w:r>
              <w:rPr>
                <w:rFonts w:hint="default" w:ascii="微软雅黑" w:hAnsi="微软雅黑" w:eastAsia="微软雅黑" w:cs="微软雅黑"/>
                <w:i w:val="0"/>
                <w:iCs w:val="0"/>
                <w:color w:val="auto"/>
                <w:kern w:val="0"/>
                <w:sz w:val="21"/>
                <w:szCs w:val="21"/>
                <w:highlight w:val="none"/>
                <w:u w:val="none"/>
                <w:lang w:val="en-US" w:eastAsia="zh-CN" w:bidi="ar"/>
              </w:rPr>
              <w:t>；若设备支持连续位置定位，则</w:t>
            </w:r>
            <w:r>
              <w:rPr>
                <w:rFonts w:hint="eastAsia" w:ascii="微软雅黑" w:hAnsi="微软雅黑" w:eastAsia="微软雅黑" w:cs="微软雅黑"/>
                <w:i w:val="0"/>
                <w:iCs w:val="0"/>
                <w:color w:val="auto"/>
                <w:kern w:val="0"/>
                <w:sz w:val="21"/>
                <w:szCs w:val="21"/>
                <w:highlight w:val="none"/>
                <w:u w:val="none"/>
                <w:lang w:val="en-US" w:eastAsia="zh-CN" w:bidi="ar"/>
              </w:rPr>
              <w:t>报警位置</w:t>
            </w:r>
            <w:r>
              <w:rPr>
                <w:rFonts w:hint="default" w:ascii="微软雅黑" w:hAnsi="微软雅黑" w:eastAsia="微软雅黑" w:cs="微软雅黑"/>
                <w:i w:val="0"/>
                <w:iCs w:val="0"/>
                <w:color w:val="auto"/>
                <w:kern w:val="0"/>
                <w:sz w:val="21"/>
                <w:szCs w:val="21"/>
                <w:highlight w:val="none"/>
                <w:u w:val="none"/>
                <w:lang w:val="en-US" w:eastAsia="zh-CN" w:bidi="ar"/>
              </w:rPr>
              <w:t>≤5 米。</w:t>
            </w:r>
          </w:p>
          <w:p w14:paraId="7FC2356A">
            <w:pPr>
              <w:widowControl/>
              <w:numPr>
                <w:ilvl w:val="0"/>
                <w:numId w:val="0"/>
              </w:numPr>
              <w:spacing w:line="300" w:lineRule="exact"/>
              <w:jc w:val="left"/>
              <w:textAlignment w:val="center"/>
              <w:rPr>
                <w:rFonts w:ascii="微软雅黑" w:hAnsi="微软雅黑" w:eastAsia="微软雅黑" w:cs="微软雅黑"/>
                <w:color w:val="auto"/>
                <w:szCs w:val="21"/>
              </w:rPr>
            </w:pPr>
            <w:r>
              <w:rPr>
                <w:rFonts w:hint="eastAsia" w:ascii="微软雅黑" w:hAnsi="微软雅黑" w:eastAsia="微软雅黑" w:cs="微软雅黑"/>
                <w:b w:val="0"/>
                <w:bCs w:val="0"/>
                <w:color w:val="auto"/>
                <w:szCs w:val="21"/>
              </w:rPr>
              <w:t>7</w:t>
            </w:r>
            <w:r>
              <w:rPr>
                <w:rFonts w:ascii="微软雅黑" w:hAnsi="微软雅黑" w:eastAsia="微软雅黑" w:cs="微软雅黑"/>
                <w:b w:val="0"/>
                <w:bCs w:val="0"/>
                <w:color w:val="auto"/>
                <w:szCs w:val="21"/>
              </w:rPr>
              <w:t>.</w:t>
            </w:r>
            <w:r>
              <w:rPr>
                <w:rFonts w:hint="eastAsia" w:ascii="微软雅黑" w:hAnsi="微软雅黑" w:eastAsia="微软雅黑" w:cs="微软雅黑"/>
                <w:color w:val="auto"/>
                <w:sz w:val="28"/>
                <w:szCs w:val="28"/>
              </w:rPr>
              <w:t>★</w:t>
            </w:r>
            <w:r>
              <w:rPr>
                <w:rFonts w:hint="eastAsia" w:ascii="微软雅黑" w:hAnsi="微软雅黑" w:eastAsia="微软雅黑" w:cs="微软雅黑"/>
                <w:b w:val="0"/>
                <w:bCs w:val="0"/>
                <w:color w:val="auto"/>
                <w:szCs w:val="21"/>
              </w:rPr>
              <w:t>控制器应能根据外界环境、气候等变化自动调整警戒张力值</w:t>
            </w:r>
            <w:r>
              <w:rPr>
                <w:rFonts w:ascii="微软雅黑" w:hAnsi="微软雅黑" w:eastAsia="微软雅黑" w:cs="微软雅黑"/>
                <w:b w:val="0"/>
                <w:bCs w:val="0"/>
                <w:color w:val="auto"/>
                <w:szCs w:val="21"/>
              </w:rPr>
              <w:t>，调整间隔时间在1S-28800S内可设置。</w:t>
            </w:r>
          </w:p>
        </w:tc>
        <w:tc>
          <w:tcPr>
            <w:tcW w:w="750" w:type="dxa"/>
            <w:tcBorders>
              <w:top w:val="single" w:color="000000" w:sz="4" w:space="0"/>
              <w:left w:val="single" w:color="000000" w:sz="4" w:space="0"/>
              <w:bottom w:val="single" w:color="000000" w:sz="4" w:space="0"/>
              <w:right w:val="single" w:color="000000" w:sz="4" w:space="0"/>
            </w:tcBorders>
            <w:vAlign w:val="center"/>
          </w:tcPr>
          <w:p w14:paraId="7CB35DFC">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台</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2583736B">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96</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365D0285">
            <w:pPr>
              <w:spacing w:line="300" w:lineRule="exact"/>
              <w:jc w:val="center"/>
              <w:rPr>
                <w:rFonts w:ascii="微软雅黑" w:hAnsi="微软雅黑" w:eastAsia="微软雅黑" w:cs="微软雅黑"/>
                <w:color w:val="auto"/>
                <w:szCs w:val="21"/>
              </w:rPr>
            </w:pPr>
          </w:p>
        </w:tc>
      </w:tr>
      <w:tr w14:paraId="52A7E9CE">
        <w:tblPrEx>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vAlign w:val="center"/>
          </w:tcPr>
          <w:p w14:paraId="74A81451">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2</w:t>
            </w:r>
          </w:p>
        </w:tc>
        <w:tc>
          <w:tcPr>
            <w:tcW w:w="861" w:type="dxa"/>
            <w:tcBorders>
              <w:top w:val="single" w:color="000000" w:sz="4" w:space="0"/>
              <w:left w:val="single" w:color="000000" w:sz="4" w:space="0"/>
              <w:bottom w:val="single" w:color="000000" w:sz="4" w:space="0"/>
              <w:right w:val="single" w:color="000000" w:sz="4" w:space="0"/>
            </w:tcBorders>
            <w:vAlign w:val="center"/>
          </w:tcPr>
          <w:p w14:paraId="56781F6E">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张力四道单防区控制器</w:t>
            </w:r>
          </w:p>
        </w:tc>
        <w:tc>
          <w:tcPr>
            <w:tcW w:w="5559" w:type="dxa"/>
            <w:tcBorders>
              <w:top w:val="single" w:color="000000" w:sz="4" w:space="0"/>
              <w:left w:val="single" w:color="000000" w:sz="4" w:space="0"/>
              <w:bottom w:val="single" w:color="000000" w:sz="4" w:space="0"/>
              <w:right w:val="single" w:color="000000" w:sz="4" w:space="0"/>
            </w:tcBorders>
            <w:vAlign w:val="center"/>
          </w:tcPr>
          <w:p w14:paraId="7CF8AA12">
            <w:pPr>
              <w:widowControl/>
              <w:numPr>
                <w:ilvl w:val="0"/>
                <w:numId w:val="5"/>
              </w:numPr>
              <w:spacing w:line="300" w:lineRule="exact"/>
              <w:jc w:val="left"/>
              <w:textAlignment w:val="center"/>
              <w:rPr>
                <w:rFonts w:hint="eastAsia" w:ascii="微软雅黑" w:hAnsi="微软雅黑" w:eastAsia="微软雅黑" w:cs="微软雅黑"/>
                <w:b w:val="0"/>
                <w:bCs w:val="0"/>
                <w:color w:val="auto"/>
                <w:szCs w:val="21"/>
              </w:rPr>
            </w:pPr>
            <w:r>
              <w:rPr>
                <w:rFonts w:ascii="微软雅黑" w:hAnsi="微软雅黑" w:eastAsia="微软雅黑" w:cs="微软雅黑"/>
                <w:color w:val="auto"/>
                <w:szCs w:val="21"/>
              </w:rPr>
              <w:t>材质：控制杆体采用铝制材料+抗氧化处理，所有配件螺丝采用SUS304不锈钢材质</w:t>
            </w:r>
            <w:r>
              <w:rPr>
                <w:rFonts w:hint="eastAsia" w:ascii="微软雅黑" w:hAnsi="微软雅黑" w:eastAsia="微软雅黑" w:cs="微软雅黑"/>
                <w:color w:val="auto"/>
                <w:szCs w:val="21"/>
                <w:lang w:eastAsia="zh-CN"/>
              </w:rPr>
              <w:t>，具备优良的耐腐蚀防锈性能</w:t>
            </w:r>
            <w:r>
              <w:rPr>
                <w:rFonts w:hint="eastAsia" w:ascii="微软雅黑" w:hAnsi="微软雅黑" w:eastAsia="微软雅黑" w:cs="微软雅黑"/>
                <w:color w:val="auto"/>
                <w:szCs w:val="21"/>
              </w:rPr>
              <w:t>，适合室外环境使用</w:t>
            </w:r>
            <w:r>
              <w:rPr>
                <w:rFonts w:ascii="微软雅黑" w:hAnsi="微软雅黑" w:eastAsia="微软雅黑" w:cs="微软雅黑"/>
                <w:color w:val="auto"/>
                <w:szCs w:val="21"/>
              </w:rPr>
              <w:t>。</w:t>
            </w:r>
            <w:r>
              <w:rPr>
                <w:rFonts w:ascii="微软雅黑" w:hAnsi="微软雅黑" w:eastAsia="微软雅黑" w:cs="微软雅黑"/>
                <w:color w:val="auto"/>
                <w:szCs w:val="21"/>
              </w:rPr>
              <w:br w:type="textWrapping"/>
            </w:r>
            <w:r>
              <w:rPr>
                <w:rFonts w:ascii="微软雅黑" w:hAnsi="微软雅黑" w:eastAsia="微软雅黑" w:cs="微软雅黑"/>
                <w:color w:val="auto"/>
                <w:szCs w:val="21"/>
              </w:rPr>
              <w:t>2.外壳防护等级：不低于IP55。工作电压</w:t>
            </w:r>
            <w:r>
              <w:rPr>
                <w:rFonts w:hint="eastAsia" w:ascii="微软雅黑" w:hAnsi="微软雅黑" w:eastAsia="微软雅黑" w:cs="微软雅黑"/>
                <w:color w:val="auto"/>
                <w:szCs w:val="21"/>
                <w:lang w:val="en-US" w:eastAsia="zh-CN"/>
              </w:rPr>
              <w:t>可采用</w:t>
            </w:r>
            <w:r>
              <w:rPr>
                <w:rFonts w:ascii="微软雅黑" w:hAnsi="微软雅黑" w:eastAsia="微软雅黑" w:cs="微软雅黑"/>
                <w:color w:val="auto"/>
                <w:szCs w:val="21"/>
              </w:rPr>
              <w:t>：</w:t>
            </w:r>
            <w:r>
              <w:rPr>
                <w:rFonts w:hint="eastAsia" w:ascii="微软雅黑" w:hAnsi="微软雅黑" w:eastAsia="微软雅黑" w:cs="微软雅黑"/>
                <w:color w:val="auto"/>
                <w:szCs w:val="21"/>
              </w:rPr>
              <w:t>AC220V或D</w:t>
            </w:r>
            <w:r>
              <w:rPr>
                <w:rFonts w:ascii="微软雅黑" w:hAnsi="微软雅黑" w:eastAsia="微软雅黑" w:cs="微软雅黑"/>
                <w:color w:val="auto"/>
                <w:szCs w:val="21"/>
              </w:rPr>
              <w:t>C12V</w:t>
            </w:r>
            <w:r>
              <w:rPr>
                <w:rFonts w:hint="eastAsia" w:ascii="微软雅黑" w:hAnsi="微软雅黑" w:eastAsia="微软雅黑" w:cs="微软雅黑"/>
                <w:color w:val="auto"/>
                <w:szCs w:val="21"/>
              </w:rPr>
              <w:t>、</w:t>
            </w:r>
            <w:r>
              <w:rPr>
                <w:rFonts w:ascii="微软雅黑" w:hAnsi="微软雅黑" w:eastAsia="微软雅黑" w:cs="微软雅黑"/>
                <w:color w:val="auto"/>
                <w:szCs w:val="21"/>
              </w:rPr>
              <w:t>2</w:t>
            </w:r>
            <w:r>
              <w:rPr>
                <w:rFonts w:hint="eastAsia" w:ascii="微软雅黑" w:hAnsi="微软雅黑" w:eastAsia="微软雅黑" w:cs="微软雅黑"/>
                <w:color w:val="auto"/>
                <w:szCs w:val="21"/>
              </w:rPr>
              <w:t>4</w:t>
            </w:r>
            <w:r>
              <w:rPr>
                <w:rFonts w:ascii="微软雅黑" w:hAnsi="微软雅黑" w:eastAsia="微软雅黑" w:cs="微软雅黑"/>
                <w:color w:val="auto"/>
                <w:szCs w:val="21"/>
              </w:rPr>
              <w:t>V。张力模块与外壳完全与钢丝绳隔离。</w:t>
            </w:r>
            <w:r>
              <w:rPr>
                <w:rFonts w:ascii="微软雅黑" w:hAnsi="微软雅黑" w:eastAsia="微软雅黑" w:cs="微软雅黑"/>
                <w:color w:val="auto"/>
                <w:szCs w:val="21"/>
              </w:rPr>
              <w:br w:type="textWrapping"/>
            </w:r>
            <w:r>
              <w:rPr>
                <w:rFonts w:hint="eastAsia" w:ascii="微软雅黑" w:hAnsi="微软雅黑" w:eastAsia="微软雅黑" w:cs="微软雅黑"/>
                <w:color w:val="auto"/>
                <w:szCs w:val="21"/>
              </w:rPr>
              <w:t>3</w:t>
            </w:r>
            <w:r>
              <w:rPr>
                <w:rFonts w:ascii="微软雅黑" w:hAnsi="微软雅黑" w:eastAsia="微软雅黑" w:cs="微软雅黑"/>
                <w:color w:val="auto"/>
                <w:szCs w:val="21"/>
              </w:rPr>
              <w:t>.</w:t>
            </w:r>
            <w:r>
              <w:rPr>
                <w:rFonts w:hint="eastAsia" w:ascii="微软雅黑" w:hAnsi="微软雅黑" w:eastAsia="微软雅黑" w:cs="微软雅黑"/>
                <w:color w:val="auto"/>
                <w:szCs w:val="21"/>
              </w:rPr>
              <w:t>状态指示功能</w:t>
            </w:r>
            <w:r>
              <w:rPr>
                <w:rFonts w:ascii="微软雅黑" w:hAnsi="微软雅黑" w:eastAsia="微软雅黑" w:cs="微软雅黑"/>
                <w:color w:val="auto"/>
                <w:szCs w:val="21"/>
              </w:rPr>
              <w:t>：对</w:t>
            </w:r>
            <w:r>
              <w:rPr>
                <w:rFonts w:hint="eastAsia" w:ascii="微软雅黑" w:hAnsi="微软雅黑" w:eastAsia="微软雅黑" w:cs="微软雅黑"/>
                <w:color w:val="auto"/>
                <w:szCs w:val="21"/>
              </w:rPr>
              <w:t>张力围栏的各种</w:t>
            </w:r>
            <w:r>
              <w:rPr>
                <w:rFonts w:ascii="微软雅黑" w:hAnsi="微软雅黑" w:eastAsia="微软雅黑" w:cs="微软雅黑"/>
                <w:color w:val="auto"/>
                <w:szCs w:val="21"/>
              </w:rPr>
              <w:t>状态进行</w:t>
            </w:r>
            <w:r>
              <w:rPr>
                <w:rFonts w:hint="eastAsia" w:ascii="微软雅黑" w:hAnsi="微软雅黑" w:eastAsia="微软雅黑" w:cs="微软雅黑"/>
                <w:color w:val="auto"/>
                <w:szCs w:val="21"/>
              </w:rPr>
              <w:t>准确指示</w:t>
            </w:r>
            <w:r>
              <w:rPr>
                <w:rFonts w:ascii="微软雅黑" w:hAnsi="微软雅黑" w:eastAsia="微软雅黑" w:cs="微软雅黑"/>
                <w:color w:val="auto"/>
                <w:szCs w:val="21"/>
              </w:rPr>
              <w:t>。</w:t>
            </w:r>
            <w:r>
              <w:rPr>
                <w:rFonts w:hint="eastAsia" w:ascii="微软雅黑" w:hAnsi="微软雅黑" w:eastAsia="微软雅黑" w:cs="微软雅黑"/>
                <w:color w:val="auto"/>
                <w:szCs w:val="21"/>
              </w:rPr>
              <w:t>如运行状态、报警状态、通信状态等。</w:t>
            </w:r>
            <w:r>
              <w:rPr>
                <w:rFonts w:ascii="微软雅黑" w:hAnsi="微软雅黑" w:eastAsia="微软雅黑" w:cs="微软雅黑"/>
                <w:color w:val="auto"/>
                <w:szCs w:val="21"/>
              </w:rPr>
              <w:br w:type="textWrapping"/>
            </w:r>
            <w:r>
              <w:rPr>
                <w:rFonts w:hint="eastAsia" w:ascii="微软雅黑" w:hAnsi="微软雅黑" w:eastAsia="微软雅黑" w:cs="微软雅黑"/>
                <w:color w:val="auto"/>
                <w:szCs w:val="21"/>
              </w:rPr>
              <w:t>4</w:t>
            </w:r>
            <w:r>
              <w:rPr>
                <w:rFonts w:ascii="微软雅黑" w:hAnsi="微软雅黑" w:eastAsia="微软雅黑" w:cs="微软雅黑"/>
                <w:color w:val="auto"/>
                <w:szCs w:val="21"/>
              </w:rPr>
              <w:t>.张力</w:t>
            </w:r>
            <w:r>
              <w:rPr>
                <w:rFonts w:hint="eastAsia" w:ascii="微软雅黑" w:hAnsi="微软雅黑" w:eastAsia="微软雅黑" w:cs="微软雅黑"/>
                <w:color w:val="auto"/>
                <w:szCs w:val="21"/>
              </w:rPr>
              <w:t>索警戒张力值</w:t>
            </w:r>
            <w:r>
              <w:rPr>
                <w:rFonts w:ascii="微软雅黑" w:hAnsi="微软雅黑" w:eastAsia="微软雅黑" w:cs="微软雅黑"/>
                <w:color w:val="auto"/>
                <w:szCs w:val="21"/>
              </w:rPr>
              <w:t>：1</w:t>
            </w:r>
            <w:r>
              <w:rPr>
                <w:rFonts w:hint="eastAsia" w:ascii="微软雅黑" w:hAnsi="微软雅黑" w:eastAsia="微软雅黑" w:cs="微软雅黑"/>
                <w:color w:val="auto"/>
                <w:szCs w:val="21"/>
              </w:rPr>
              <w:t>00</w:t>
            </w:r>
            <w:r>
              <w:rPr>
                <w:rFonts w:ascii="微软雅黑" w:hAnsi="微软雅黑" w:eastAsia="微软雅黑" w:cs="微软雅黑"/>
                <w:color w:val="auto"/>
                <w:szCs w:val="21"/>
              </w:rPr>
              <w:t>N-</w:t>
            </w:r>
            <w:r>
              <w:rPr>
                <w:rFonts w:hint="eastAsia" w:ascii="微软雅黑" w:hAnsi="微软雅黑" w:eastAsia="微软雅黑" w:cs="微软雅黑"/>
                <w:color w:val="auto"/>
                <w:szCs w:val="21"/>
              </w:rPr>
              <w:t>450</w:t>
            </w:r>
            <w:r>
              <w:rPr>
                <w:rFonts w:ascii="微软雅黑" w:hAnsi="微软雅黑" w:eastAsia="微软雅黑" w:cs="微软雅黑"/>
                <w:color w:val="auto"/>
                <w:szCs w:val="21"/>
              </w:rPr>
              <w:t>N。张力</w:t>
            </w:r>
            <w:r>
              <w:rPr>
                <w:rFonts w:hint="eastAsia" w:ascii="微软雅黑" w:hAnsi="微软雅黑" w:eastAsia="微软雅黑" w:cs="微软雅黑"/>
                <w:color w:val="auto"/>
                <w:szCs w:val="21"/>
              </w:rPr>
              <w:t>索松驰报警</w:t>
            </w:r>
            <w:r>
              <w:rPr>
                <w:rFonts w:hint="eastAsia" w:ascii="微软雅黑" w:hAnsi="微软雅黑" w:eastAsia="微软雅黑" w:cs="微软雅黑"/>
                <w:color w:val="auto"/>
                <w:szCs w:val="21"/>
                <w:lang w:eastAsia="zh-CN"/>
              </w:rPr>
              <w:t>阈值</w:t>
            </w:r>
            <w:r>
              <w:rPr>
                <w:rFonts w:hint="eastAsia" w:ascii="微软雅黑" w:hAnsi="微软雅黑" w:eastAsia="微软雅黑" w:cs="微软雅黑"/>
                <w:color w:val="auto"/>
                <w:szCs w:val="21"/>
              </w:rPr>
              <w:t>小于正常运行时张力警戒值的1/3</w:t>
            </w:r>
            <w:r>
              <w:rPr>
                <w:rFonts w:ascii="微软雅黑" w:hAnsi="微软雅黑" w:eastAsia="微软雅黑" w:cs="微软雅黑"/>
                <w:color w:val="auto"/>
                <w:szCs w:val="21"/>
              </w:rPr>
              <w:t>。</w:t>
            </w:r>
            <w:r>
              <w:rPr>
                <w:rFonts w:hint="eastAsia" w:ascii="微软雅黑" w:hAnsi="微软雅黑" w:eastAsia="微软雅黑" w:cs="微软雅黑"/>
                <w:color w:val="auto"/>
                <w:szCs w:val="21"/>
              </w:rPr>
              <w:t>抗拉断力：</w:t>
            </w:r>
            <w:r>
              <w:rPr>
                <w:rFonts w:hint="eastAsia" w:ascii="微软雅黑" w:hAnsi="微软雅黑" w:eastAsia="微软雅黑" w:cs="微软雅黑"/>
                <w:color w:val="auto"/>
                <w:szCs w:val="21"/>
                <w:lang w:val="en-US" w:eastAsia="zh-CN"/>
              </w:rPr>
              <w:t>应不小于600N且不大于1000N</w:t>
            </w:r>
            <w:r>
              <w:rPr>
                <w:rFonts w:hint="eastAsia" w:ascii="微软雅黑" w:hAnsi="微软雅黑" w:eastAsia="微软雅黑" w:cs="微软雅黑"/>
                <w:color w:val="auto"/>
                <w:szCs w:val="21"/>
              </w:rPr>
              <w:t>。张力模块承受的最大张力</w:t>
            </w:r>
            <w:r>
              <w:rPr>
                <w:rFonts w:ascii="微软雅黑" w:hAnsi="微软雅黑" w:eastAsia="微软雅黑" w:cs="微软雅黑"/>
                <w:color w:val="auto"/>
                <w:szCs w:val="21"/>
              </w:rPr>
              <w:t>：不</w:t>
            </w:r>
            <w:r>
              <w:rPr>
                <w:rFonts w:hint="eastAsia" w:ascii="微软雅黑" w:hAnsi="微软雅黑" w:eastAsia="微软雅黑" w:cs="微软雅黑"/>
                <w:color w:val="auto"/>
                <w:szCs w:val="21"/>
              </w:rPr>
              <w:t>小</w:t>
            </w:r>
            <w:r>
              <w:rPr>
                <w:rFonts w:ascii="微软雅黑" w:hAnsi="微软雅黑" w:eastAsia="微软雅黑" w:cs="微软雅黑"/>
                <w:color w:val="auto"/>
                <w:szCs w:val="21"/>
              </w:rPr>
              <w:t>于1000N。</w:t>
            </w:r>
            <w:r>
              <w:rPr>
                <w:rFonts w:ascii="微软雅黑" w:hAnsi="微软雅黑" w:eastAsia="微软雅黑" w:cs="微软雅黑"/>
                <w:color w:val="auto"/>
                <w:szCs w:val="21"/>
              </w:rPr>
              <w:br w:type="textWrapping"/>
            </w:r>
            <w:r>
              <w:rPr>
                <w:rFonts w:hint="eastAsia" w:ascii="微软雅黑" w:hAnsi="微软雅黑" w:eastAsia="微软雅黑" w:cs="微软雅黑"/>
                <w:b w:val="0"/>
                <w:bCs w:val="0"/>
                <w:color w:val="auto"/>
                <w:szCs w:val="21"/>
              </w:rPr>
              <w:t>5</w:t>
            </w:r>
            <w:r>
              <w:rPr>
                <w:rFonts w:ascii="微软雅黑" w:hAnsi="微软雅黑" w:eastAsia="微软雅黑" w:cs="微软雅黑"/>
                <w:b w:val="0"/>
                <w:bCs w:val="0"/>
                <w:color w:val="auto"/>
                <w:szCs w:val="21"/>
              </w:rPr>
              <w:t>.</w:t>
            </w:r>
            <w:r>
              <w:rPr>
                <w:rFonts w:hint="eastAsia" w:ascii="微软雅黑" w:hAnsi="微软雅黑" w:eastAsia="微软雅黑" w:cs="微软雅黑"/>
                <w:b w:val="0"/>
                <w:bCs w:val="0"/>
                <w:color w:val="auto"/>
                <w:sz w:val="28"/>
                <w:szCs w:val="28"/>
              </w:rPr>
              <w:t>★</w:t>
            </w:r>
            <w:r>
              <w:rPr>
                <w:rFonts w:hint="eastAsia" w:ascii="微软雅黑" w:hAnsi="微软雅黑" w:eastAsia="微软雅黑" w:cs="微软雅黑"/>
                <w:b w:val="0"/>
                <w:bCs w:val="0"/>
                <w:color w:val="auto"/>
                <w:szCs w:val="21"/>
              </w:rPr>
              <w:t>控制器</w:t>
            </w:r>
            <w:r>
              <w:rPr>
                <w:rFonts w:ascii="微软雅黑" w:hAnsi="微软雅黑" w:eastAsia="微软雅黑" w:cs="微软雅黑"/>
                <w:b w:val="0"/>
                <w:bCs w:val="0"/>
                <w:color w:val="auto"/>
                <w:szCs w:val="21"/>
              </w:rPr>
              <w:t>屏幕</w:t>
            </w:r>
            <w:r>
              <w:rPr>
                <w:rFonts w:hint="eastAsia" w:ascii="微软雅黑" w:hAnsi="微软雅黑" w:eastAsia="微软雅黑" w:cs="微软雅黑"/>
                <w:b w:val="0"/>
                <w:bCs w:val="0"/>
                <w:color w:val="auto"/>
                <w:szCs w:val="21"/>
              </w:rPr>
              <w:t>可直观</w:t>
            </w:r>
            <w:r>
              <w:rPr>
                <w:rFonts w:ascii="微软雅黑" w:hAnsi="微软雅黑" w:eastAsia="微软雅黑" w:cs="微软雅黑"/>
                <w:b w:val="0"/>
                <w:bCs w:val="0"/>
                <w:color w:val="auto"/>
                <w:szCs w:val="21"/>
              </w:rPr>
              <w:t>实时显示每根张力线的实时拉力值，通过上位机可设置每根线的张力报警</w:t>
            </w:r>
            <w:r>
              <w:rPr>
                <w:rFonts w:hint="eastAsia" w:ascii="微软雅黑" w:hAnsi="微软雅黑" w:eastAsia="微软雅黑" w:cs="微软雅黑"/>
                <w:b w:val="0"/>
                <w:bCs w:val="0"/>
                <w:color w:val="auto"/>
                <w:szCs w:val="21"/>
                <w:lang w:eastAsia="zh-CN"/>
              </w:rPr>
              <w:t>阈值</w:t>
            </w:r>
            <w:r>
              <w:rPr>
                <w:rFonts w:hint="eastAsia" w:ascii="微软雅黑" w:hAnsi="微软雅黑" w:eastAsia="微软雅黑" w:cs="微软雅黑"/>
                <w:b w:val="0"/>
                <w:bCs w:val="0"/>
                <w:color w:val="auto"/>
                <w:szCs w:val="21"/>
              </w:rPr>
              <w:t>。</w:t>
            </w:r>
          </w:p>
          <w:p w14:paraId="0F37E589">
            <w:pPr>
              <w:widowControl/>
              <w:numPr>
                <w:ilvl w:val="0"/>
                <w:numId w:val="0"/>
              </w:numPr>
              <w:spacing w:line="300" w:lineRule="exact"/>
              <w:jc w:val="left"/>
              <w:textAlignment w:val="center"/>
              <w:rPr>
                <w:rFonts w:ascii="微软雅黑" w:hAnsi="微软雅黑" w:eastAsia="微软雅黑" w:cs="微软雅黑"/>
                <w:color w:val="auto"/>
                <w:szCs w:val="21"/>
              </w:rPr>
            </w:pPr>
            <w:r>
              <w:rPr>
                <w:rFonts w:hint="eastAsia" w:ascii="微软雅黑" w:hAnsi="微软雅黑" w:eastAsia="微软雅黑" w:cs="微软雅黑"/>
                <w:b w:val="0"/>
                <w:bCs w:val="0"/>
                <w:color w:val="auto"/>
                <w:szCs w:val="21"/>
              </w:rPr>
              <w:t>6</w:t>
            </w:r>
            <w:r>
              <w:rPr>
                <w:rFonts w:ascii="微软雅黑" w:hAnsi="微软雅黑" w:eastAsia="微软雅黑" w:cs="微软雅黑"/>
                <w:b w:val="0"/>
                <w:bCs w:val="0"/>
                <w:color w:val="auto"/>
                <w:szCs w:val="21"/>
              </w:rPr>
              <w:t>.</w:t>
            </w:r>
            <w:r>
              <w:rPr>
                <w:rFonts w:hint="eastAsia" w:ascii="微软雅黑" w:hAnsi="微软雅黑" w:eastAsia="微软雅黑" w:cs="微软雅黑"/>
                <w:b w:val="0"/>
                <w:bCs w:val="0"/>
                <w:color w:val="auto"/>
                <w:sz w:val="28"/>
                <w:szCs w:val="28"/>
              </w:rPr>
              <w:t>★</w:t>
            </w:r>
            <w:r>
              <w:rPr>
                <w:rFonts w:ascii="微软雅黑" w:hAnsi="微软雅黑" w:eastAsia="微软雅黑" w:cs="微软雅黑"/>
                <w:b w:val="0"/>
                <w:bCs w:val="0"/>
                <w:color w:val="auto"/>
                <w:szCs w:val="21"/>
              </w:rPr>
              <w:t>通过上位机可单独设置每台控制器的触发响应时间</w:t>
            </w:r>
            <w:r>
              <w:rPr>
                <w:rFonts w:hint="eastAsia" w:ascii="微软雅黑" w:hAnsi="微软雅黑" w:eastAsia="微软雅黑" w:cs="微软雅黑"/>
                <w:b w:val="0"/>
                <w:bCs w:val="0"/>
                <w:color w:val="auto"/>
                <w:szCs w:val="21"/>
                <w:lang w:eastAsia="zh-CN"/>
              </w:rPr>
              <w:t>阈值</w:t>
            </w:r>
            <w:r>
              <w:rPr>
                <w:rFonts w:hint="eastAsia" w:ascii="微软雅黑" w:hAnsi="微软雅黑" w:eastAsia="微软雅黑" w:cs="微软雅黑"/>
                <w:b w:val="0"/>
                <w:bCs w:val="0"/>
                <w:color w:val="auto"/>
                <w:szCs w:val="21"/>
              </w:rPr>
              <w:t>，响应时间不大于3S</w:t>
            </w:r>
            <w:r>
              <w:rPr>
                <w:rFonts w:ascii="微软雅黑" w:hAnsi="微软雅黑" w:eastAsia="微软雅黑" w:cs="微软雅黑"/>
                <w:b w:val="0"/>
                <w:bCs w:val="0"/>
                <w:color w:val="auto"/>
                <w:szCs w:val="21"/>
              </w:rPr>
              <w:t>。</w:t>
            </w:r>
            <w:r>
              <w:rPr>
                <w:rFonts w:ascii="微软雅黑" w:hAnsi="微软雅黑" w:eastAsia="微软雅黑" w:cs="微软雅黑"/>
                <w:b w:val="0"/>
                <w:bCs w:val="0"/>
                <w:color w:val="auto"/>
                <w:szCs w:val="21"/>
              </w:rPr>
              <w:br w:type="textWrapping"/>
            </w:r>
            <w:r>
              <w:rPr>
                <w:rFonts w:hint="eastAsia" w:ascii="微软雅黑" w:hAnsi="微软雅黑" w:eastAsia="微软雅黑" w:cs="微软雅黑"/>
                <w:b w:val="0"/>
                <w:bCs w:val="0"/>
                <w:color w:val="auto"/>
                <w:szCs w:val="21"/>
              </w:rPr>
              <w:t>7</w:t>
            </w:r>
            <w:r>
              <w:rPr>
                <w:rFonts w:ascii="微软雅黑" w:hAnsi="微软雅黑" w:eastAsia="微软雅黑" w:cs="微软雅黑"/>
                <w:b w:val="0"/>
                <w:bCs w:val="0"/>
                <w:color w:val="auto"/>
                <w:szCs w:val="21"/>
              </w:rPr>
              <w:t>.</w:t>
            </w:r>
            <w:r>
              <w:rPr>
                <w:rFonts w:hint="eastAsia" w:ascii="微软雅黑" w:hAnsi="微软雅黑" w:eastAsia="微软雅黑" w:cs="微软雅黑"/>
                <w:b w:val="0"/>
                <w:bCs w:val="0"/>
                <w:color w:val="auto"/>
                <w:sz w:val="28"/>
                <w:szCs w:val="28"/>
              </w:rPr>
              <w:t>★</w:t>
            </w:r>
            <w:r>
              <w:rPr>
                <w:rFonts w:ascii="微软雅黑" w:hAnsi="微软雅黑" w:eastAsia="微软雅黑" w:cs="微软雅黑"/>
                <w:b w:val="0"/>
                <w:bCs w:val="0"/>
                <w:color w:val="auto"/>
                <w:szCs w:val="21"/>
              </w:rPr>
              <w:t>通过上位机可设置警号报警时长，</w:t>
            </w:r>
            <w:r>
              <w:rPr>
                <w:rFonts w:hint="eastAsia" w:ascii="微软雅黑" w:hAnsi="微软雅黑" w:eastAsia="微软雅黑" w:cs="微软雅黑"/>
                <w:b w:val="0"/>
                <w:bCs w:val="0"/>
                <w:color w:val="auto"/>
                <w:szCs w:val="21"/>
              </w:rPr>
              <w:t>报警状态持续时间应大于1S，调整范围</w:t>
            </w:r>
            <w:r>
              <w:rPr>
                <w:rFonts w:ascii="微软雅黑" w:hAnsi="微软雅黑" w:eastAsia="微软雅黑" w:cs="微软雅黑"/>
                <w:b w:val="0"/>
                <w:bCs w:val="0"/>
                <w:color w:val="auto"/>
                <w:szCs w:val="21"/>
              </w:rPr>
              <w:t>为</w:t>
            </w:r>
            <w:r>
              <w:rPr>
                <w:rFonts w:hint="eastAsia" w:ascii="微软雅黑" w:hAnsi="微软雅黑" w:eastAsia="微软雅黑" w:cs="微软雅黑"/>
                <w:b w:val="0"/>
                <w:bCs w:val="0"/>
                <w:color w:val="auto"/>
                <w:szCs w:val="21"/>
              </w:rPr>
              <w:t>2</w:t>
            </w:r>
            <w:r>
              <w:rPr>
                <w:rFonts w:ascii="微软雅黑" w:hAnsi="微软雅黑" w:eastAsia="微软雅黑" w:cs="微软雅黑"/>
                <w:b w:val="0"/>
                <w:bCs w:val="0"/>
                <w:color w:val="auto"/>
                <w:szCs w:val="21"/>
              </w:rPr>
              <w:t>S-3000S内可设置。</w:t>
            </w:r>
          </w:p>
        </w:tc>
        <w:tc>
          <w:tcPr>
            <w:tcW w:w="750" w:type="dxa"/>
            <w:tcBorders>
              <w:top w:val="single" w:color="000000" w:sz="4" w:space="0"/>
              <w:left w:val="single" w:color="000000" w:sz="4" w:space="0"/>
              <w:bottom w:val="single" w:color="000000" w:sz="4" w:space="0"/>
              <w:right w:val="single" w:color="000000" w:sz="4" w:space="0"/>
            </w:tcBorders>
            <w:vAlign w:val="center"/>
          </w:tcPr>
          <w:p w14:paraId="4D857540">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台</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77A9F20A">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47</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78847F76">
            <w:pPr>
              <w:spacing w:line="300" w:lineRule="exact"/>
              <w:jc w:val="center"/>
              <w:rPr>
                <w:rFonts w:ascii="微软雅黑" w:hAnsi="微软雅黑" w:eastAsia="微软雅黑" w:cs="微软雅黑"/>
                <w:color w:val="auto"/>
                <w:szCs w:val="21"/>
              </w:rPr>
            </w:pPr>
          </w:p>
        </w:tc>
      </w:tr>
      <w:tr w14:paraId="71E9B55B">
        <w:tblPrEx>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vAlign w:val="center"/>
          </w:tcPr>
          <w:p w14:paraId="0D953CA7">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3</w:t>
            </w:r>
          </w:p>
        </w:tc>
        <w:tc>
          <w:tcPr>
            <w:tcW w:w="861" w:type="dxa"/>
            <w:tcBorders>
              <w:top w:val="single" w:color="000000" w:sz="4" w:space="0"/>
              <w:left w:val="single" w:color="000000" w:sz="4" w:space="0"/>
              <w:bottom w:val="single" w:color="000000" w:sz="4" w:space="0"/>
              <w:right w:val="single" w:color="000000" w:sz="4" w:space="0"/>
            </w:tcBorders>
            <w:vAlign w:val="center"/>
          </w:tcPr>
          <w:p w14:paraId="7E559081">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控制杆万向底座</w:t>
            </w:r>
          </w:p>
        </w:tc>
        <w:tc>
          <w:tcPr>
            <w:tcW w:w="5559" w:type="dxa"/>
            <w:tcBorders>
              <w:top w:val="single" w:color="000000" w:sz="4" w:space="0"/>
              <w:left w:val="single" w:color="000000" w:sz="4" w:space="0"/>
              <w:bottom w:val="single" w:color="000000" w:sz="4" w:space="0"/>
              <w:right w:val="single" w:color="000000" w:sz="4" w:space="0"/>
            </w:tcBorders>
            <w:vAlign w:val="center"/>
          </w:tcPr>
          <w:p w14:paraId="515F3FAB">
            <w:pPr>
              <w:widowControl/>
              <w:numPr>
                <w:ilvl w:val="0"/>
                <w:numId w:val="0"/>
              </w:numPr>
              <w:spacing w:line="300" w:lineRule="exact"/>
              <w:jc w:val="left"/>
              <w:textAlignment w:val="center"/>
              <w:rPr>
                <w:rFonts w:ascii="微软雅黑" w:hAnsi="微软雅黑" w:eastAsia="微软雅黑" w:cs="微软雅黑"/>
                <w:color w:val="auto"/>
                <w:szCs w:val="21"/>
              </w:rPr>
            </w:pPr>
            <w:r>
              <w:rPr>
                <w:rFonts w:hint="eastAsia" w:ascii="微软雅黑" w:hAnsi="微软雅黑" w:eastAsia="微软雅黑" w:cs="微软雅黑"/>
                <w:color w:val="auto"/>
                <w:szCs w:val="21"/>
                <w:lang w:val="en-US" w:eastAsia="zh-CN"/>
              </w:rPr>
              <w:t>1.</w:t>
            </w:r>
            <w:r>
              <w:rPr>
                <w:rFonts w:ascii="微软雅黑" w:hAnsi="微软雅黑" w:eastAsia="微软雅黑" w:cs="微软雅黑"/>
                <w:color w:val="auto"/>
                <w:szCs w:val="21"/>
              </w:rPr>
              <w:t>采用铝合金材质，表面抗氧化防护处理</w:t>
            </w:r>
            <w:r>
              <w:rPr>
                <w:rFonts w:hint="eastAsia" w:ascii="微软雅黑" w:hAnsi="微软雅黑" w:eastAsia="微软雅黑" w:cs="微软雅黑"/>
                <w:color w:val="auto"/>
                <w:szCs w:val="21"/>
                <w:lang w:eastAsia="zh-CN"/>
              </w:rPr>
              <w:t>，</w:t>
            </w:r>
            <w:r>
              <w:rPr>
                <w:rFonts w:ascii="微软雅黑" w:hAnsi="微软雅黑" w:eastAsia="微软雅黑" w:cs="微软雅黑"/>
                <w:color w:val="auto"/>
                <w:szCs w:val="21"/>
              </w:rPr>
              <w:t>配件螺丝均采用 SUS304 不锈钢，满足室外环境使用</w:t>
            </w:r>
            <w:r>
              <w:rPr>
                <w:rFonts w:hint="eastAsia" w:ascii="微软雅黑" w:hAnsi="微软雅黑" w:eastAsia="微软雅黑" w:cs="微软雅黑"/>
                <w:color w:val="auto"/>
                <w:szCs w:val="21"/>
                <w:lang w:eastAsia="zh-CN"/>
              </w:rPr>
              <w:t>，</w:t>
            </w:r>
            <w:r>
              <w:rPr>
                <w:rFonts w:ascii="微软雅黑" w:hAnsi="微软雅黑" w:eastAsia="微软雅黑" w:cs="微软雅黑"/>
                <w:color w:val="auto"/>
                <w:szCs w:val="21"/>
              </w:rPr>
              <w:t>可与四道控制杆配套装配</w:t>
            </w:r>
            <w:r>
              <w:rPr>
                <w:rFonts w:hint="eastAsia" w:ascii="微软雅黑" w:hAnsi="微软雅黑" w:eastAsia="微软雅黑" w:cs="微软雅黑"/>
                <w:color w:val="auto"/>
                <w:szCs w:val="21"/>
                <w:lang w:eastAsia="zh-CN"/>
              </w:rPr>
              <w:t>，</w:t>
            </w:r>
            <w:r>
              <w:rPr>
                <w:rFonts w:ascii="微软雅黑" w:hAnsi="微软雅黑" w:eastAsia="微软雅黑" w:cs="微软雅黑"/>
                <w:color w:val="auto"/>
                <w:szCs w:val="21"/>
              </w:rPr>
              <w:t>支持安装角度</w:t>
            </w:r>
            <w:r>
              <w:rPr>
                <w:rFonts w:hint="eastAsia" w:ascii="微软雅黑" w:hAnsi="微软雅黑" w:eastAsia="微软雅黑" w:cs="微软雅黑"/>
                <w:color w:val="auto"/>
                <w:szCs w:val="21"/>
                <w:lang w:eastAsia="zh-CN"/>
              </w:rPr>
              <w:t>、</w:t>
            </w:r>
            <w:r>
              <w:rPr>
                <w:rFonts w:hint="eastAsia" w:ascii="微软雅黑" w:hAnsi="微软雅黑" w:eastAsia="微软雅黑" w:cs="微软雅黑"/>
                <w:color w:val="auto"/>
                <w:szCs w:val="21"/>
                <w:lang w:val="en-US" w:eastAsia="zh-CN"/>
              </w:rPr>
              <w:t>高度</w:t>
            </w:r>
            <w:r>
              <w:rPr>
                <w:rFonts w:ascii="微软雅黑" w:hAnsi="微软雅黑" w:eastAsia="微软雅黑" w:cs="微软雅黑"/>
                <w:color w:val="auto"/>
                <w:szCs w:val="21"/>
              </w:rPr>
              <w:t>调节。</w:t>
            </w:r>
          </w:p>
        </w:tc>
        <w:tc>
          <w:tcPr>
            <w:tcW w:w="750" w:type="dxa"/>
            <w:tcBorders>
              <w:top w:val="single" w:color="000000" w:sz="4" w:space="0"/>
              <w:left w:val="single" w:color="000000" w:sz="4" w:space="0"/>
              <w:bottom w:val="single" w:color="000000" w:sz="4" w:space="0"/>
              <w:right w:val="single" w:color="000000" w:sz="4" w:space="0"/>
            </w:tcBorders>
            <w:vAlign w:val="center"/>
          </w:tcPr>
          <w:p w14:paraId="72B27D47">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1B961ADC">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143</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77D4371F">
            <w:pPr>
              <w:spacing w:line="300" w:lineRule="exact"/>
              <w:jc w:val="center"/>
              <w:rPr>
                <w:rFonts w:ascii="微软雅黑" w:hAnsi="微软雅黑" w:eastAsia="微软雅黑" w:cs="微软雅黑"/>
                <w:color w:val="auto"/>
                <w:szCs w:val="21"/>
              </w:rPr>
            </w:pPr>
          </w:p>
        </w:tc>
      </w:tr>
      <w:tr w14:paraId="50E62BFA">
        <w:tblPrEx>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vAlign w:val="center"/>
          </w:tcPr>
          <w:p w14:paraId="7D3FC6AA">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4</w:t>
            </w:r>
          </w:p>
        </w:tc>
        <w:tc>
          <w:tcPr>
            <w:tcW w:w="861" w:type="dxa"/>
            <w:tcBorders>
              <w:top w:val="single" w:color="000000" w:sz="4" w:space="0"/>
              <w:left w:val="single" w:color="000000" w:sz="4" w:space="0"/>
              <w:bottom w:val="single" w:color="000000" w:sz="4" w:space="0"/>
              <w:right w:val="single" w:color="000000" w:sz="4" w:space="0"/>
            </w:tcBorders>
            <w:vAlign w:val="center"/>
          </w:tcPr>
          <w:p w14:paraId="1874146B">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避雷器</w:t>
            </w:r>
          </w:p>
        </w:tc>
        <w:tc>
          <w:tcPr>
            <w:tcW w:w="5559" w:type="dxa"/>
            <w:tcBorders>
              <w:top w:val="single" w:color="000000" w:sz="4" w:space="0"/>
              <w:left w:val="single" w:color="000000" w:sz="4" w:space="0"/>
              <w:bottom w:val="single" w:color="000000" w:sz="4" w:space="0"/>
              <w:right w:val="single" w:color="000000" w:sz="4" w:space="0"/>
            </w:tcBorders>
            <w:vAlign w:val="center"/>
          </w:tcPr>
          <w:p w14:paraId="22DC9E94">
            <w:pPr>
              <w:widowControl/>
              <w:numPr>
                <w:ilvl w:val="0"/>
                <w:numId w:val="0"/>
              </w:numPr>
              <w:spacing w:line="300" w:lineRule="exact"/>
              <w:jc w:val="left"/>
              <w:textAlignment w:val="center"/>
              <w:rPr>
                <w:rFonts w:hint="eastAsia" w:ascii="微软雅黑" w:hAnsi="微软雅黑" w:eastAsia="微软雅黑" w:cs="微软雅黑"/>
                <w:color w:val="auto"/>
                <w:szCs w:val="21"/>
                <w:highlight w:val="none"/>
                <w:lang w:eastAsia="zh-CN"/>
              </w:rPr>
            </w:pPr>
            <w:r>
              <w:rPr>
                <w:rFonts w:hint="eastAsia" w:ascii="微软雅黑" w:hAnsi="微软雅黑" w:eastAsia="微软雅黑" w:cs="微软雅黑"/>
                <w:color w:val="auto"/>
                <w:szCs w:val="21"/>
                <w:highlight w:val="none"/>
                <w:lang w:val="en-US" w:eastAsia="zh-CN"/>
              </w:rPr>
              <w:t>1.</w:t>
            </w:r>
            <w:r>
              <w:rPr>
                <w:rFonts w:ascii="微软雅黑" w:hAnsi="微软雅黑" w:eastAsia="微软雅黑" w:cs="微软雅黑"/>
                <w:color w:val="auto"/>
                <w:szCs w:val="21"/>
                <w:highlight w:val="none"/>
              </w:rPr>
              <w:t>氧化锌避雷器，</w:t>
            </w:r>
            <w:r>
              <w:rPr>
                <w:rFonts w:hint="eastAsia" w:ascii="微软雅黑" w:hAnsi="微软雅黑" w:eastAsia="微软雅黑" w:cs="微软雅黑"/>
                <w:color w:val="auto"/>
                <w:szCs w:val="21"/>
                <w:highlight w:val="none"/>
              </w:rPr>
              <w:t>额定电压：不低于10KV</w:t>
            </w:r>
            <w:r>
              <w:rPr>
                <w:rFonts w:hint="eastAsia" w:ascii="微软雅黑" w:hAnsi="微软雅黑" w:eastAsia="微软雅黑" w:cs="微软雅黑"/>
                <w:color w:val="auto"/>
                <w:szCs w:val="21"/>
                <w:highlight w:val="none"/>
                <w:lang w:eastAsia="zh-CN"/>
              </w:rPr>
              <w:t>。</w:t>
            </w:r>
          </w:p>
          <w:p w14:paraId="2239DDC5">
            <w:pPr>
              <w:widowControl/>
              <w:numPr>
                <w:ilvl w:val="0"/>
                <w:numId w:val="0"/>
              </w:numPr>
              <w:spacing w:line="300" w:lineRule="exact"/>
              <w:jc w:val="left"/>
              <w:textAlignment w:val="center"/>
              <w:rPr>
                <w:rFonts w:ascii="微软雅黑" w:hAnsi="微软雅黑" w:eastAsia="微软雅黑" w:cs="微软雅黑"/>
                <w:color w:val="auto"/>
                <w:szCs w:val="21"/>
              </w:rPr>
            </w:pPr>
            <w:r>
              <w:rPr>
                <w:rFonts w:hint="eastAsia" w:ascii="微软雅黑" w:hAnsi="微软雅黑" w:eastAsia="微软雅黑" w:cs="微软雅黑"/>
                <w:color w:val="auto"/>
                <w:szCs w:val="21"/>
                <w:lang w:val="en-US" w:eastAsia="zh-CN"/>
              </w:rPr>
              <w:t>2.</w:t>
            </w:r>
            <w:r>
              <w:rPr>
                <w:rFonts w:ascii="微软雅黑" w:hAnsi="微软雅黑" w:eastAsia="微软雅黑" w:cs="微软雅黑"/>
                <w:color w:val="auto"/>
                <w:szCs w:val="21"/>
              </w:rPr>
              <w:t>配置不锈钢安装支架。</w:t>
            </w:r>
          </w:p>
        </w:tc>
        <w:tc>
          <w:tcPr>
            <w:tcW w:w="750" w:type="dxa"/>
            <w:tcBorders>
              <w:top w:val="single" w:color="000000" w:sz="4" w:space="0"/>
              <w:left w:val="single" w:color="000000" w:sz="4" w:space="0"/>
              <w:bottom w:val="single" w:color="000000" w:sz="4" w:space="0"/>
              <w:right w:val="single" w:color="000000" w:sz="4" w:space="0"/>
            </w:tcBorders>
            <w:vAlign w:val="center"/>
          </w:tcPr>
          <w:p w14:paraId="6C22738E">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5EA523E4">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160</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72377FD1">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79</w:t>
            </w:r>
          </w:p>
        </w:tc>
      </w:tr>
      <w:tr w14:paraId="6355F9DF">
        <w:tblPrEx>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vAlign w:val="center"/>
          </w:tcPr>
          <w:p w14:paraId="4814B380">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5</w:t>
            </w:r>
          </w:p>
        </w:tc>
        <w:tc>
          <w:tcPr>
            <w:tcW w:w="861" w:type="dxa"/>
            <w:tcBorders>
              <w:top w:val="single" w:color="000000" w:sz="4" w:space="0"/>
              <w:left w:val="single" w:color="000000" w:sz="4" w:space="0"/>
              <w:bottom w:val="single" w:color="000000" w:sz="4" w:space="0"/>
              <w:right w:val="single" w:color="000000" w:sz="4" w:space="0"/>
            </w:tcBorders>
            <w:vAlign w:val="center"/>
          </w:tcPr>
          <w:p w14:paraId="43FB4E33">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不锈钢弹簧</w:t>
            </w:r>
          </w:p>
        </w:tc>
        <w:tc>
          <w:tcPr>
            <w:tcW w:w="5559" w:type="dxa"/>
            <w:tcBorders>
              <w:top w:val="single" w:color="000000" w:sz="4" w:space="0"/>
              <w:left w:val="single" w:color="000000" w:sz="4" w:space="0"/>
              <w:bottom w:val="single" w:color="000000" w:sz="4" w:space="0"/>
              <w:right w:val="single" w:color="000000" w:sz="4" w:space="0"/>
            </w:tcBorders>
            <w:vAlign w:val="center"/>
          </w:tcPr>
          <w:p w14:paraId="7B685C93">
            <w:pPr>
              <w:widowControl/>
              <w:numPr>
                <w:ilvl w:val="0"/>
                <w:numId w:val="0"/>
              </w:numPr>
              <w:spacing w:line="300" w:lineRule="exact"/>
              <w:jc w:val="left"/>
              <w:textAlignment w:val="center"/>
              <w:rPr>
                <w:rFonts w:ascii="微软雅黑" w:hAnsi="微软雅黑" w:eastAsia="微软雅黑" w:cs="微软雅黑"/>
                <w:color w:val="auto"/>
                <w:szCs w:val="21"/>
              </w:rPr>
            </w:pPr>
            <w:r>
              <w:rPr>
                <w:rFonts w:hint="eastAsia" w:ascii="微软雅黑" w:hAnsi="微软雅黑" w:eastAsia="微软雅黑" w:cs="微软雅黑"/>
                <w:color w:val="auto"/>
                <w:szCs w:val="21"/>
                <w:lang w:val="en-US" w:eastAsia="zh-CN"/>
              </w:rPr>
              <w:t>1.</w:t>
            </w:r>
            <w:r>
              <w:rPr>
                <w:rFonts w:ascii="微软雅黑" w:hAnsi="微软雅黑" w:eastAsia="微软雅黑" w:cs="微软雅黑"/>
                <w:color w:val="auto"/>
                <w:szCs w:val="21"/>
              </w:rPr>
              <w:t>材质为 SUS304 不锈钢，适用于室外环境，具备优良的耐腐蚀防锈性能；额定拉力不小于 80kgf</w:t>
            </w:r>
          </w:p>
        </w:tc>
        <w:tc>
          <w:tcPr>
            <w:tcW w:w="750" w:type="dxa"/>
            <w:tcBorders>
              <w:top w:val="single" w:color="000000" w:sz="4" w:space="0"/>
              <w:left w:val="single" w:color="000000" w:sz="4" w:space="0"/>
              <w:bottom w:val="single" w:color="000000" w:sz="4" w:space="0"/>
              <w:right w:val="single" w:color="000000" w:sz="4" w:space="0"/>
            </w:tcBorders>
            <w:vAlign w:val="center"/>
          </w:tcPr>
          <w:p w14:paraId="4530BF11">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17055F1A">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956</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0702841B">
            <w:pPr>
              <w:spacing w:line="300" w:lineRule="exact"/>
              <w:jc w:val="center"/>
              <w:rPr>
                <w:rFonts w:ascii="微软雅黑" w:hAnsi="微软雅黑" w:eastAsia="微软雅黑" w:cs="微软雅黑"/>
                <w:color w:val="auto"/>
                <w:szCs w:val="21"/>
              </w:rPr>
            </w:pPr>
          </w:p>
        </w:tc>
      </w:tr>
      <w:tr w14:paraId="5ACB324A">
        <w:tblPrEx>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vAlign w:val="center"/>
          </w:tcPr>
          <w:p w14:paraId="7A244E5C">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6</w:t>
            </w:r>
          </w:p>
        </w:tc>
        <w:tc>
          <w:tcPr>
            <w:tcW w:w="861" w:type="dxa"/>
            <w:tcBorders>
              <w:top w:val="single" w:color="000000" w:sz="4" w:space="0"/>
              <w:left w:val="single" w:color="000000" w:sz="4" w:space="0"/>
              <w:bottom w:val="single" w:color="000000" w:sz="4" w:space="0"/>
              <w:right w:val="single" w:color="000000" w:sz="4" w:space="0"/>
            </w:tcBorders>
            <w:vAlign w:val="center"/>
          </w:tcPr>
          <w:p w14:paraId="7B706D36">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四道受力杆</w:t>
            </w:r>
          </w:p>
        </w:tc>
        <w:tc>
          <w:tcPr>
            <w:tcW w:w="5559" w:type="dxa"/>
            <w:tcBorders>
              <w:top w:val="single" w:color="000000" w:sz="4" w:space="0"/>
              <w:left w:val="single" w:color="000000" w:sz="4" w:space="0"/>
              <w:bottom w:val="single" w:color="000000" w:sz="4" w:space="0"/>
              <w:right w:val="single" w:color="000000" w:sz="4" w:space="0"/>
            </w:tcBorders>
            <w:vAlign w:val="center"/>
          </w:tcPr>
          <w:p w14:paraId="69663236">
            <w:pPr>
              <w:widowControl/>
              <w:numPr>
                <w:ilvl w:val="0"/>
                <w:numId w:val="6"/>
              </w:numPr>
              <w:spacing w:line="300" w:lineRule="exact"/>
              <w:jc w:val="left"/>
              <w:textAlignment w:val="center"/>
              <w:rPr>
                <w:rFonts w:hint="eastAsia" w:ascii="微软雅黑" w:hAnsi="微软雅黑" w:eastAsia="微软雅黑" w:cs="微软雅黑"/>
                <w:color w:val="auto"/>
                <w:szCs w:val="21"/>
                <w:lang w:eastAsia="zh-CN"/>
              </w:rPr>
            </w:pPr>
            <w:r>
              <w:rPr>
                <w:rFonts w:ascii="微软雅黑" w:hAnsi="微软雅黑" w:eastAsia="微软雅黑" w:cs="微软雅黑"/>
                <w:color w:val="auto"/>
                <w:szCs w:val="21"/>
              </w:rPr>
              <w:t>采用铝合金材质，表面进行抗氧化防护处理</w:t>
            </w:r>
            <w:r>
              <w:rPr>
                <w:rFonts w:hint="eastAsia" w:ascii="微软雅黑" w:hAnsi="微软雅黑" w:eastAsia="微软雅黑" w:cs="微软雅黑"/>
                <w:color w:val="auto"/>
                <w:szCs w:val="21"/>
                <w:lang w:eastAsia="zh-CN"/>
              </w:rPr>
              <w:t>。</w:t>
            </w:r>
          </w:p>
          <w:p w14:paraId="13F87818">
            <w:pPr>
              <w:widowControl/>
              <w:numPr>
                <w:ilvl w:val="0"/>
                <w:numId w:val="6"/>
              </w:numPr>
              <w:spacing w:line="300" w:lineRule="exact"/>
              <w:jc w:val="left"/>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安装配件及紧固螺丝均采用 SUS304 不锈钢，满足室外环境使用，具备优良的耐腐蚀防锈性能</w:t>
            </w:r>
            <w:r>
              <w:rPr>
                <w:rFonts w:hint="eastAsia" w:ascii="微软雅黑" w:hAnsi="微软雅黑" w:eastAsia="微软雅黑" w:cs="微软雅黑"/>
                <w:color w:val="auto"/>
                <w:szCs w:val="21"/>
                <w:lang w:eastAsia="zh-CN"/>
              </w:rPr>
              <w:t>，</w:t>
            </w:r>
            <w:r>
              <w:rPr>
                <w:rFonts w:ascii="微软雅黑" w:hAnsi="微软雅黑" w:eastAsia="微软雅黑" w:cs="微软雅黑"/>
                <w:color w:val="auto"/>
                <w:szCs w:val="21"/>
              </w:rPr>
              <w:t>支持安装角度调节。</w:t>
            </w:r>
          </w:p>
        </w:tc>
        <w:tc>
          <w:tcPr>
            <w:tcW w:w="750" w:type="dxa"/>
            <w:tcBorders>
              <w:top w:val="single" w:color="000000" w:sz="4" w:space="0"/>
              <w:left w:val="single" w:color="000000" w:sz="4" w:space="0"/>
              <w:bottom w:val="single" w:color="000000" w:sz="4" w:space="0"/>
              <w:right w:val="single" w:color="000000" w:sz="4" w:space="0"/>
            </w:tcBorders>
            <w:vAlign w:val="center"/>
          </w:tcPr>
          <w:p w14:paraId="23209182">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根</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2C199451">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429</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20CCE8B7">
            <w:pPr>
              <w:spacing w:line="300" w:lineRule="exact"/>
              <w:jc w:val="center"/>
              <w:rPr>
                <w:rFonts w:ascii="微软雅黑" w:hAnsi="微软雅黑" w:eastAsia="微软雅黑" w:cs="微软雅黑"/>
                <w:color w:val="auto"/>
                <w:szCs w:val="21"/>
              </w:rPr>
            </w:pPr>
          </w:p>
        </w:tc>
      </w:tr>
      <w:tr w14:paraId="59A995EE">
        <w:tblPrEx>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vAlign w:val="center"/>
          </w:tcPr>
          <w:p w14:paraId="36236DA2">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7</w:t>
            </w:r>
          </w:p>
        </w:tc>
        <w:tc>
          <w:tcPr>
            <w:tcW w:w="861" w:type="dxa"/>
            <w:tcBorders>
              <w:top w:val="single" w:color="000000" w:sz="4" w:space="0"/>
              <w:left w:val="single" w:color="000000" w:sz="4" w:space="0"/>
              <w:bottom w:val="single" w:color="000000" w:sz="4" w:space="0"/>
              <w:right w:val="single" w:color="000000" w:sz="4" w:space="0"/>
            </w:tcBorders>
            <w:noWrap/>
            <w:vAlign w:val="center"/>
          </w:tcPr>
          <w:p w14:paraId="50E7EF30">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转向滑轮</w:t>
            </w:r>
          </w:p>
        </w:tc>
        <w:tc>
          <w:tcPr>
            <w:tcW w:w="5559" w:type="dxa"/>
            <w:tcBorders>
              <w:top w:val="single" w:color="000000" w:sz="4" w:space="0"/>
              <w:left w:val="single" w:color="000000" w:sz="4" w:space="0"/>
              <w:bottom w:val="single" w:color="000000" w:sz="4" w:space="0"/>
              <w:right w:val="single" w:color="000000" w:sz="4" w:space="0"/>
            </w:tcBorders>
            <w:vAlign w:val="center"/>
          </w:tcPr>
          <w:p w14:paraId="30D7C534">
            <w:pPr>
              <w:widowControl/>
              <w:numPr>
                <w:ilvl w:val="0"/>
                <w:numId w:val="0"/>
              </w:numPr>
              <w:spacing w:line="300" w:lineRule="exact"/>
              <w:jc w:val="left"/>
              <w:textAlignment w:val="center"/>
              <w:rPr>
                <w:rFonts w:ascii="微软雅黑" w:hAnsi="微软雅黑" w:eastAsia="微软雅黑" w:cs="微软雅黑"/>
                <w:color w:val="auto"/>
                <w:szCs w:val="21"/>
              </w:rPr>
            </w:pPr>
            <w:r>
              <w:rPr>
                <w:rFonts w:hint="eastAsia" w:ascii="微软雅黑" w:hAnsi="微软雅黑" w:eastAsia="微软雅黑" w:cs="微软雅黑"/>
                <w:color w:val="auto"/>
                <w:szCs w:val="21"/>
                <w:lang w:val="en-US" w:eastAsia="zh-CN"/>
              </w:rPr>
              <w:t>1.</w:t>
            </w:r>
            <w:r>
              <w:rPr>
                <w:rFonts w:ascii="微软雅黑" w:hAnsi="微软雅黑" w:eastAsia="微软雅黑" w:cs="微软雅黑"/>
                <w:color w:val="auto"/>
                <w:szCs w:val="21"/>
              </w:rPr>
              <w:t>采用 SUS304 不锈钢，满足室外环境使用，具备优良的耐腐蚀防锈性能，支持方向调节。</w:t>
            </w:r>
          </w:p>
        </w:tc>
        <w:tc>
          <w:tcPr>
            <w:tcW w:w="750" w:type="dxa"/>
            <w:tcBorders>
              <w:top w:val="single" w:color="000000" w:sz="4" w:space="0"/>
              <w:left w:val="single" w:color="000000" w:sz="4" w:space="0"/>
              <w:bottom w:val="single" w:color="000000" w:sz="4" w:space="0"/>
              <w:right w:val="single" w:color="000000" w:sz="4" w:space="0"/>
            </w:tcBorders>
            <w:vAlign w:val="center"/>
          </w:tcPr>
          <w:p w14:paraId="54F61E7A">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1268FA36">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692</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74B02F9E">
            <w:pPr>
              <w:spacing w:line="300" w:lineRule="exact"/>
              <w:jc w:val="center"/>
              <w:rPr>
                <w:rFonts w:ascii="微软雅黑" w:hAnsi="微软雅黑" w:eastAsia="微软雅黑" w:cs="微软雅黑"/>
                <w:color w:val="auto"/>
                <w:szCs w:val="21"/>
              </w:rPr>
            </w:pPr>
          </w:p>
        </w:tc>
      </w:tr>
      <w:tr w14:paraId="30F5F655">
        <w:tblPrEx>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vAlign w:val="center"/>
          </w:tcPr>
          <w:p w14:paraId="53C8FFCC">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8</w:t>
            </w:r>
          </w:p>
        </w:tc>
        <w:tc>
          <w:tcPr>
            <w:tcW w:w="861" w:type="dxa"/>
            <w:tcBorders>
              <w:top w:val="single" w:color="000000" w:sz="4" w:space="0"/>
              <w:left w:val="single" w:color="000000" w:sz="4" w:space="0"/>
              <w:bottom w:val="single" w:color="000000" w:sz="4" w:space="0"/>
              <w:right w:val="single" w:color="000000" w:sz="4" w:space="0"/>
            </w:tcBorders>
            <w:vAlign w:val="center"/>
          </w:tcPr>
          <w:p w14:paraId="7A60CB10">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四道支撑杆</w:t>
            </w:r>
          </w:p>
        </w:tc>
        <w:tc>
          <w:tcPr>
            <w:tcW w:w="5559" w:type="dxa"/>
            <w:tcBorders>
              <w:top w:val="single" w:color="000000" w:sz="4" w:space="0"/>
              <w:left w:val="single" w:color="000000" w:sz="4" w:space="0"/>
              <w:bottom w:val="single" w:color="000000" w:sz="4" w:space="0"/>
              <w:right w:val="single" w:color="000000" w:sz="4" w:space="0"/>
            </w:tcBorders>
            <w:vAlign w:val="center"/>
          </w:tcPr>
          <w:p w14:paraId="2606706D">
            <w:pPr>
              <w:widowControl/>
              <w:spacing w:line="300" w:lineRule="exact"/>
              <w:jc w:val="left"/>
              <w:textAlignment w:val="center"/>
              <w:rPr>
                <w:rFonts w:ascii="微软雅黑" w:hAnsi="微软雅黑" w:eastAsia="微软雅黑" w:cs="微软雅黑"/>
                <w:color w:val="auto"/>
                <w:szCs w:val="21"/>
              </w:rPr>
            </w:pPr>
            <w:r>
              <w:rPr>
                <w:rFonts w:hint="eastAsia" w:ascii="微软雅黑" w:hAnsi="微软雅黑" w:eastAsia="微软雅黑" w:cs="微软雅黑"/>
                <w:color w:val="auto"/>
                <w:szCs w:val="21"/>
                <w:lang w:val="en-US" w:eastAsia="zh-CN"/>
              </w:rPr>
              <w:t>1.</w:t>
            </w:r>
            <w:r>
              <w:rPr>
                <w:rFonts w:ascii="微软雅黑" w:hAnsi="微软雅黑" w:eastAsia="微软雅黑" w:cs="微软雅黑"/>
                <w:color w:val="auto"/>
                <w:szCs w:val="21"/>
              </w:rPr>
              <w:t>采用铝合金材质，表面进行抗氧化防护处理</w:t>
            </w:r>
            <w:r>
              <w:rPr>
                <w:rFonts w:hint="eastAsia" w:ascii="微软雅黑" w:hAnsi="微软雅黑" w:eastAsia="微软雅黑" w:cs="微软雅黑"/>
                <w:color w:val="auto"/>
                <w:szCs w:val="21"/>
                <w:lang w:eastAsia="zh-CN"/>
              </w:rPr>
              <w:t>。</w:t>
            </w:r>
            <w:r>
              <w:rPr>
                <w:rFonts w:ascii="微软雅黑" w:hAnsi="微软雅黑" w:eastAsia="微软雅黑" w:cs="微软雅黑"/>
                <w:color w:val="auto"/>
                <w:szCs w:val="21"/>
              </w:rPr>
              <w:t>所有安装配件及紧固螺丝均采用 SUS304 不锈钢，满足室外环境使用，具备优良的耐腐蚀防锈性能</w:t>
            </w:r>
            <w:r>
              <w:rPr>
                <w:rFonts w:hint="eastAsia" w:ascii="微软雅黑" w:hAnsi="微软雅黑" w:eastAsia="微软雅黑" w:cs="微软雅黑"/>
                <w:color w:val="auto"/>
                <w:szCs w:val="21"/>
                <w:lang w:eastAsia="zh-CN"/>
              </w:rPr>
              <w:t>。</w:t>
            </w:r>
            <w:r>
              <w:rPr>
                <w:rFonts w:ascii="微软雅黑" w:hAnsi="微软雅黑" w:eastAsia="微软雅黑" w:cs="微软雅黑"/>
                <w:color w:val="auto"/>
                <w:szCs w:val="21"/>
              </w:rPr>
              <w:t>支持安装角度</w:t>
            </w:r>
            <w:r>
              <w:rPr>
                <w:rFonts w:hint="eastAsia" w:ascii="微软雅黑" w:hAnsi="微软雅黑" w:eastAsia="微软雅黑" w:cs="微软雅黑"/>
                <w:color w:val="auto"/>
                <w:szCs w:val="21"/>
                <w:lang w:eastAsia="zh-CN"/>
              </w:rPr>
              <w:t>、</w:t>
            </w:r>
            <w:r>
              <w:rPr>
                <w:rFonts w:hint="eastAsia" w:ascii="微软雅黑" w:hAnsi="微软雅黑" w:eastAsia="微软雅黑" w:cs="微软雅黑"/>
                <w:color w:val="auto"/>
                <w:szCs w:val="21"/>
                <w:lang w:val="en-US" w:eastAsia="zh-CN"/>
              </w:rPr>
              <w:t>高度</w:t>
            </w:r>
            <w:r>
              <w:rPr>
                <w:rFonts w:ascii="微软雅黑" w:hAnsi="微软雅黑" w:eastAsia="微软雅黑" w:cs="微软雅黑"/>
                <w:color w:val="auto"/>
                <w:szCs w:val="21"/>
              </w:rPr>
              <w:t>调节。</w:t>
            </w:r>
          </w:p>
        </w:tc>
        <w:tc>
          <w:tcPr>
            <w:tcW w:w="750" w:type="dxa"/>
            <w:tcBorders>
              <w:top w:val="single" w:color="000000" w:sz="4" w:space="0"/>
              <w:left w:val="single" w:color="000000" w:sz="4" w:space="0"/>
              <w:bottom w:val="single" w:color="000000" w:sz="4" w:space="0"/>
              <w:right w:val="single" w:color="000000" w:sz="4" w:space="0"/>
            </w:tcBorders>
            <w:vAlign w:val="center"/>
          </w:tcPr>
          <w:p w14:paraId="4FB546C5">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根</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4813CAF0">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2152</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015592EC">
            <w:pPr>
              <w:spacing w:line="300" w:lineRule="exact"/>
              <w:jc w:val="center"/>
              <w:rPr>
                <w:rFonts w:ascii="微软雅黑" w:hAnsi="微软雅黑" w:eastAsia="微软雅黑" w:cs="微软雅黑"/>
                <w:color w:val="auto"/>
                <w:szCs w:val="21"/>
              </w:rPr>
            </w:pPr>
          </w:p>
        </w:tc>
      </w:tr>
      <w:tr w14:paraId="24A5204E">
        <w:tblPrEx>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vAlign w:val="center"/>
          </w:tcPr>
          <w:p w14:paraId="43EF2F3B">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9</w:t>
            </w:r>
          </w:p>
        </w:tc>
        <w:tc>
          <w:tcPr>
            <w:tcW w:w="861" w:type="dxa"/>
            <w:tcBorders>
              <w:top w:val="single" w:color="000000" w:sz="4" w:space="0"/>
              <w:left w:val="single" w:color="000000" w:sz="4" w:space="0"/>
              <w:bottom w:val="single" w:color="000000" w:sz="4" w:space="0"/>
              <w:right w:val="single" w:color="000000" w:sz="4" w:space="0"/>
            </w:tcBorders>
            <w:vAlign w:val="center"/>
          </w:tcPr>
          <w:p w14:paraId="3DFE17DB">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万向底座</w:t>
            </w:r>
          </w:p>
        </w:tc>
        <w:tc>
          <w:tcPr>
            <w:tcW w:w="5559" w:type="dxa"/>
            <w:tcBorders>
              <w:top w:val="single" w:color="000000" w:sz="4" w:space="0"/>
              <w:left w:val="single" w:color="000000" w:sz="4" w:space="0"/>
              <w:bottom w:val="single" w:color="000000" w:sz="4" w:space="0"/>
              <w:right w:val="single" w:color="000000" w:sz="4" w:space="0"/>
            </w:tcBorders>
            <w:vAlign w:val="center"/>
          </w:tcPr>
          <w:p w14:paraId="7B38C2E6">
            <w:pPr>
              <w:widowControl/>
              <w:spacing w:line="300" w:lineRule="exact"/>
              <w:jc w:val="left"/>
              <w:textAlignment w:val="center"/>
              <w:rPr>
                <w:rFonts w:ascii="微软雅黑" w:hAnsi="微软雅黑" w:eastAsia="微软雅黑" w:cs="微软雅黑"/>
                <w:color w:val="auto"/>
                <w:szCs w:val="21"/>
              </w:rPr>
            </w:pPr>
            <w:r>
              <w:rPr>
                <w:rFonts w:hint="eastAsia" w:ascii="微软雅黑" w:hAnsi="微软雅黑" w:eastAsia="微软雅黑" w:cs="微软雅黑"/>
                <w:color w:val="auto"/>
                <w:szCs w:val="21"/>
                <w:lang w:val="en-US" w:eastAsia="zh-CN"/>
              </w:rPr>
              <w:t>1.采用</w:t>
            </w:r>
            <w:r>
              <w:rPr>
                <w:rFonts w:ascii="微软雅黑" w:hAnsi="微软雅黑" w:eastAsia="微软雅黑" w:cs="微软雅黑"/>
                <w:color w:val="auto"/>
                <w:szCs w:val="21"/>
              </w:rPr>
              <w:t>铝合金材质，壁厚不小于3mm，T字型底座。</w:t>
            </w:r>
          </w:p>
        </w:tc>
        <w:tc>
          <w:tcPr>
            <w:tcW w:w="750" w:type="dxa"/>
            <w:tcBorders>
              <w:top w:val="single" w:color="000000" w:sz="4" w:space="0"/>
              <w:left w:val="single" w:color="000000" w:sz="4" w:space="0"/>
              <w:bottom w:val="single" w:color="000000" w:sz="4" w:space="0"/>
              <w:right w:val="single" w:color="000000" w:sz="4" w:space="0"/>
            </w:tcBorders>
            <w:vAlign w:val="center"/>
          </w:tcPr>
          <w:p w14:paraId="528A8976">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1B8DA307">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3192</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4CB0B52F">
            <w:pPr>
              <w:spacing w:line="300" w:lineRule="exact"/>
              <w:jc w:val="center"/>
              <w:rPr>
                <w:rFonts w:ascii="微软雅黑" w:hAnsi="微软雅黑" w:eastAsia="微软雅黑" w:cs="微软雅黑"/>
                <w:color w:val="auto"/>
                <w:szCs w:val="21"/>
              </w:rPr>
            </w:pPr>
          </w:p>
        </w:tc>
      </w:tr>
      <w:tr w14:paraId="0E4B21B9">
        <w:tblPrEx>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vAlign w:val="center"/>
          </w:tcPr>
          <w:p w14:paraId="743BF878">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10</w:t>
            </w:r>
          </w:p>
        </w:tc>
        <w:tc>
          <w:tcPr>
            <w:tcW w:w="861" w:type="dxa"/>
            <w:tcBorders>
              <w:top w:val="single" w:color="000000" w:sz="4" w:space="0"/>
              <w:left w:val="single" w:color="000000" w:sz="4" w:space="0"/>
              <w:bottom w:val="single" w:color="000000" w:sz="4" w:space="0"/>
              <w:right w:val="single" w:color="000000" w:sz="4" w:space="0"/>
            </w:tcBorders>
            <w:vAlign w:val="center"/>
          </w:tcPr>
          <w:p w14:paraId="4DB5F713">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紧线器</w:t>
            </w:r>
          </w:p>
        </w:tc>
        <w:tc>
          <w:tcPr>
            <w:tcW w:w="5559" w:type="dxa"/>
            <w:tcBorders>
              <w:top w:val="single" w:color="000000" w:sz="4" w:space="0"/>
              <w:left w:val="single" w:color="000000" w:sz="4" w:space="0"/>
              <w:bottom w:val="single" w:color="000000" w:sz="4" w:space="0"/>
              <w:right w:val="single" w:color="000000" w:sz="4" w:space="0"/>
            </w:tcBorders>
            <w:vAlign w:val="center"/>
          </w:tcPr>
          <w:p w14:paraId="46713618">
            <w:pPr>
              <w:widowControl/>
              <w:spacing w:line="300" w:lineRule="exact"/>
              <w:jc w:val="left"/>
              <w:textAlignment w:val="center"/>
              <w:rPr>
                <w:rFonts w:ascii="微软雅黑" w:hAnsi="微软雅黑" w:eastAsia="微软雅黑" w:cs="微软雅黑"/>
                <w:color w:val="auto"/>
                <w:szCs w:val="21"/>
              </w:rPr>
            </w:pPr>
            <w:r>
              <w:rPr>
                <w:rFonts w:hint="eastAsia" w:ascii="微软雅黑" w:hAnsi="微软雅黑" w:eastAsia="微软雅黑" w:cs="微软雅黑"/>
                <w:color w:val="auto"/>
                <w:szCs w:val="21"/>
                <w:lang w:val="en-US" w:eastAsia="zh-CN"/>
              </w:rPr>
              <w:t>1.</w:t>
            </w:r>
            <w:r>
              <w:rPr>
                <w:rFonts w:ascii="微软雅黑" w:hAnsi="微软雅黑" w:eastAsia="微软雅黑" w:cs="微软雅黑"/>
                <w:color w:val="auto"/>
                <w:szCs w:val="21"/>
              </w:rPr>
              <w:t>主体采用 SUS304 不锈钢，满足室外环境使用</w:t>
            </w:r>
            <w:r>
              <w:rPr>
                <w:rFonts w:hint="eastAsia" w:ascii="微软雅黑" w:hAnsi="微软雅黑" w:eastAsia="微软雅黑" w:cs="微软雅黑"/>
                <w:color w:val="auto"/>
                <w:szCs w:val="21"/>
                <w:lang w:eastAsia="zh-CN"/>
              </w:rPr>
              <w:t>。</w:t>
            </w:r>
            <w:r>
              <w:rPr>
                <w:rFonts w:ascii="微软雅黑" w:hAnsi="微软雅黑" w:eastAsia="微软雅黑" w:cs="微软雅黑"/>
                <w:color w:val="auto"/>
                <w:szCs w:val="21"/>
              </w:rPr>
              <w:t>配置钢丝绳收紧自锁机构，方向可调节</w:t>
            </w:r>
          </w:p>
        </w:tc>
        <w:tc>
          <w:tcPr>
            <w:tcW w:w="750" w:type="dxa"/>
            <w:tcBorders>
              <w:top w:val="single" w:color="000000" w:sz="4" w:space="0"/>
              <w:left w:val="single" w:color="000000" w:sz="4" w:space="0"/>
              <w:bottom w:val="single" w:color="000000" w:sz="4" w:space="0"/>
              <w:right w:val="single" w:color="000000" w:sz="4" w:space="0"/>
            </w:tcBorders>
            <w:vAlign w:val="center"/>
          </w:tcPr>
          <w:p w14:paraId="4CDCA200">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7BDD4790">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956</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667687B5">
            <w:pPr>
              <w:spacing w:line="300" w:lineRule="exact"/>
              <w:jc w:val="center"/>
              <w:rPr>
                <w:rFonts w:ascii="微软雅黑" w:hAnsi="微软雅黑" w:eastAsia="微软雅黑" w:cs="微软雅黑"/>
                <w:color w:val="auto"/>
                <w:szCs w:val="21"/>
              </w:rPr>
            </w:pPr>
          </w:p>
        </w:tc>
      </w:tr>
      <w:tr w14:paraId="23BEABDD">
        <w:tblPrEx>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vAlign w:val="center"/>
          </w:tcPr>
          <w:p w14:paraId="6DD1B880">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11</w:t>
            </w:r>
          </w:p>
        </w:tc>
        <w:tc>
          <w:tcPr>
            <w:tcW w:w="861" w:type="dxa"/>
            <w:tcBorders>
              <w:top w:val="single" w:color="000000" w:sz="4" w:space="0"/>
              <w:left w:val="single" w:color="000000" w:sz="4" w:space="0"/>
              <w:bottom w:val="single" w:color="000000" w:sz="4" w:space="0"/>
              <w:right w:val="single" w:color="000000" w:sz="4" w:space="0"/>
            </w:tcBorders>
            <w:vAlign w:val="center"/>
          </w:tcPr>
          <w:p w14:paraId="41819EEF">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压接铝套</w:t>
            </w:r>
          </w:p>
        </w:tc>
        <w:tc>
          <w:tcPr>
            <w:tcW w:w="5559" w:type="dxa"/>
            <w:tcBorders>
              <w:top w:val="single" w:color="000000" w:sz="4" w:space="0"/>
              <w:left w:val="single" w:color="000000" w:sz="4" w:space="0"/>
              <w:bottom w:val="single" w:color="000000" w:sz="4" w:space="0"/>
              <w:right w:val="single" w:color="000000" w:sz="4" w:space="0"/>
            </w:tcBorders>
            <w:vAlign w:val="center"/>
          </w:tcPr>
          <w:p w14:paraId="25B6DBB5">
            <w:pPr>
              <w:widowControl/>
              <w:spacing w:line="300" w:lineRule="exact"/>
              <w:jc w:val="left"/>
              <w:textAlignment w:val="center"/>
              <w:rPr>
                <w:rFonts w:ascii="微软雅黑" w:hAnsi="微软雅黑" w:eastAsia="微软雅黑" w:cs="微软雅黑"/>
                <w:color w:val="auto"/>
                <w:szCs w:val="21"/>
              </w:rPr>
            </w:pPr>
            <w:r>
              <w:rPr>
                <w:rFonts w:hint="eastAsia" w:ascii="微软雅黑" w:hAnsi="微软雅黑" w:eastAsia="微软雅黑" w:cs="微软雅黑"/>
                <w:color w:val="auto"/>
                <w:szCs w:val="21"/>
                <w:lang w:val="en-US" w:eastAsia="zh-CN"/>
              </w:rPr>
              <w:t>1.</w:t>
            </w:r>
            <w:r>
              <w:rPr>
                <w:rFonts w:ascii="微软雅黑" w:hAnsi="微软雅黑" w:eastAsia="微软雅黑" w:cs="微软雅黑"/>
                <w:color w:val="auto"/>
                <w:szCs w:val="21"/>
              </w:rPr>
              <w:t>钢丝绳的每一端配置固定锁扣不少于 2 只，保证连接牢靠。</w:t>
            </w:r>
          </w:p>
        </w:tc>
        <w:tc>
          <w:tcPr>
            <w:tcW w:w="750" w:type="dxa"/>
            <w:tcBorders>
              <w:top w:val="single" w:color="000000" w:sz="4" w:space="0"/>
              <w:left w:val="single" w:color="000000" w:sz="4" w:space="0"/>
              <w:bottom w:val="single" w:color="000000" w:sz="4" w:space="0"/>
              <w:right w:val="single" w:color="000000" w:sz="4" w:space="0"/>
            </w:tcBorders>
            <w:vAlign w:val="center"/>
          </w:tcPr>
          <w:p w14:paraId="2606CC7A">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0E6D8977">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3824</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17E85E51">
            <w:pPr>
              <w:spacing w:line="300" w:lineRule="exact"/>
              <w:jc w:val="center"/>
              <w:rPr>
                <w:rFonts w:ascii="微软雅黑" w:hAnsi="微软雅黑" w:eastAsia="微软雅黑" w:cs="微软雅黑"/>
                <w:color w:val="auto"/>
                <w:szCs w:val="21"/>
              </w:rPr>
            </w:pPr>
          </w:p>
        </w:tc>
      </w:tr>
      <w:tr w14:paraId="3C5C2C1B">
        <w:tblPrEx>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vAlign w:val="center"/>
          </w:tcPr>
          <w:p w14:paraId="1F9D52CE">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12</w:t>
            </w:r>
          </w:p>
        </w:tc>
        <w:tc>
          <w:tcPr>
            <w:tcW w:w="861" w:type="dxa"/>
            <w:tcBorders>
              <w:top w:val="single" w:color="000000" w:sz="4" w:space="0"/>
              <w:left w:val="single" w:color="000000" w:sz="4" w:space="0"/>
              <w:bottom w:val="single" w:color="000000" w:sz="4" w:space="0"/>
              <w:right w:val="single" w:color="000000" w:sz="4" w:space="0"/>
            </w:tcBorders>
            <w:vAlign w:val="center"/>
          </w:tcPr>
          <w:p w14:paraId="1B9A0289">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不锈钢钢丝绳</w:t>
            </w:r>
          </w:p>
        </w:tc>
        <w:tc>
          <w:tcPr>
            <w:tcW w:w="5559" w:type="dxa"/>
            <w:tcBorders>
              <w:top w:val="single" w:color="000000" w:sz="4" w:space="0"/>
              <w:left w:val="single" w:color="000000" w:sz="4" w:space="0"/>
              <w:bottom w:val="single" w:color="000000" w:sz="4" w:space="0"/>
              <w:right w:val="single" w:color="000000" w:sz="4" w:space="0"/>
            </w:tcBorders>
            <w:vAlign w:val="center"/>
          </w:tcPr>
          <w:p w14:paraId="29704C90">
            <w:pPr>
              <w:widowControl/>
              <w:spacing w:line="300" w:lineRule="exact"/>
              <w:jc w:val="left"/>
              <w:textAlignment w:val="center"/>
              <w:rPr>
                <w:rFonts w:ascii="微软雅黑" w:hAnsi="微软雅黑" w:eastAsia="微软雅黑" w:cs="微软雅黑"/>
                <w:color w:val="auto"/>
                <w:szCs w:val="21"/>
              </w:rPr>
            </w:pPr>
            <w:r>
              <w:rPr>
                <w:rFonts w:hint="eastAsia" w:ascii="微软雅黑" w:hAnsi="微软雅黑" w:eastAsia="微软雅黑" w:cs="微软雅黑"/>
                <w:color w:val="auto"/>
                <w:szCs w:val="21"/>
                <w:lang w:val="en-US" w:eastAsia="zh-CN"/>
              </w:rPr>
              <w:t>1.</w:t>
            </w:r>
            <w:r>
              <w:rPr>
                <w:rFonts w:ascii="微软雅黑" w:hAnsi="微软雅黑" w:eastAsia="微软雅黑" w:cs="微软雅黑"/>
                <w:color w:val="auto"/>
                <w:szCs w:val="21"/>
              </w:rPr>
              <w:t>钢</w:t>
            </w:r>
            <w:r>
              <w:rPr>
                <w:rFonts w:hint="eastAsia" w:ascii="微软雅黑" w:hAnsi="微软雅黑" w:eastAsia="微软雅黑" w:cs="微软雅黑"/>
                <w:color w:val="auto"/>
                <w:szCs w:val="21"/>
                <w:lang w:val="en-US" w:eastAsia="zh-CN"/>
              </w:rPr>
              <w:t>丝绳主体材质为 SUS304 不锈钢，为</w:t>
            </w:r>
            <w:r>
              <w:rPr>
                <w:rFonts w:ascii="微软雅黑" w:hAnsi="微软雅黑" w:eastAsia="微软雅黑" w:cs="微软雅黑"/>
                <w:color w:val="auto"/>
                <w:szCs w:val="21"/>
              </w:rPr>
              <w:t>多股结构，绳体直径不小于 1.2mm，满足室外环境使用要求</w:t>
            </w:r>
          </w:p>
        </w:tc>
        <w:tc>
          <w:tcPr>
            <w:tcW w:w="750" w:type="dxa"/>
            <w:tcBorders>
              <w:top w:val="single" w:color="000000" w:sz="4" w:space="0"/>
              <w:left w:val="single" w:color="000000" w:sz="4" w:space="0"/>
              <w:bottom w:val="single" w:color="000000" w:sz="4" w:space="0"/>
              <w:right w:val="single" w:color="000000" w:sz="4" w:space="0"/>
            </w:tcBorders>
            <w:vAlign w:val="center"/>
          </w:tcPr>
          <w:p w14:paraId="133523BD">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米</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75DA0D79">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39600</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4BC81601">
            <w:pPr>
              <w:spacing w:line="300" w:lineRule="exact"/>
              <w:jc w:val="center"/>
              <w:rPr>
                <w:rFonts w:ascii="微软雅黑" w:hAnsi="微软雅黑" w:eastAsia="微软雅黑" w:cs="微软雅黑"/>
                <w:color w:val="auto"/>
                <w:szCs w:val="21"/>
              </w:rPr>
            </w:pPr>
          </w:p>
        </w:tc>
      </w:tr>
      <w:tr w14:paraId="75AC67EF">
        <w:tblPrEx>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vAlign w:val="center"/>
          </w:tcPr>
          <w:p w14:paraId="44E7A079">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13</w:t>
            </w:r>
          </w:p>
        </w:tc>
        <w:tc>
          <w:tcPr>
            <w:tcW w:w="861" w:type="dxa"/>
            <w:tcBorders>
              <w:top w:val="single" w:color="000000" w:sz="4" w:space="0"/>
              <w:left w:val="single" w:color="000000" w:sz="4" w:space="0"/>
              <w:bottom w:val="single" w:color="000000" w:sz="4" w:space="0"/>
              <w:right w:val="single" w:color="000000" w:sz="4" w:space="0"/>
            </w:tcBorders>
            <w:vAlign w:val="center"/>
          </w:tcPr>
          <w:p w14:paraId="10D4FA13">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围栏警示牌</w:t>
            </w:r>
          </w:p>
        </w:tc>
        <w:tc>
          <w:tcPr>
            <w:tcW w:w="5559" w:type="dxa"/>
            <w:tcBorders>
              <w:top w:val="single" w:color="000000" w:sz="4" w:space="0"/>
              <w:left w:val="single" w:color="000000" w:sz="4" w:space="0"/>
              <w:bottom w:val="single" w:color="000000" w:sz="4" w:space="0"/>
              <w:right w:val="single" w:color="000000" w:sz="4" w:space="0"/>
            </w:tcBorders>
            <w:vAlign w:val="center"/>
          </w:tcPr>
          <w:p w14:paraId="36C888DB">
            <w:pPr>
              <w:widowControl/>
              <w:spacing w:line="300" w:lineRule="exact"/>
              <w:jc w:val="left"/>
              <w:textAlignment w:val="center"/>
              <w:rPr>
                <w:rFonts w:ascii="微软雅黑" w:hAnsi="微软雅黑" w:eastAsia="微软雅黑" w:cs="微软雅黑"/>
                <w:color w:val="auto"/>
                <w:szCs w:val="21"/>
              </w:rPr>
            </w:pPr>
            <w:r>
              <w:rPr>
                <w:rFonts w:hint="eastAsia" w:ascii="微软雅黑" w:hAnsi="微软雅黑" w:eastAsia="微软雅黑" w:cs="微软雅黑"/>
                <w:color w:val="auto"/>
                <w:szCs w:val="21"/>
                <w:lang w:val="en-US" w:eastAsia="zh-CN"/>
              </w:rPr>
              <w:t>1.外壳采用 ABS，夜光型；采用三扣式结构，外形尺寸不小于 15cm×25cm。</w:t>
            </w:r>
          </w:p>
        </w:tc>
        <w:tc>
          <w:tcPr>
            <w:tcW w:w="750" w:type="dxa"/>
            <w:tcBorders>
              <w:top w:val="single" w:color="000000" w:sz="4" w:space="0"/>
              <w:left w:val="single" w:color="000000" w:sz="4" w:space="0"/>
              <w:bottom w:val="single" w:color="000000" w:sz="4" w:space="0"/>
              <w:right w:val="single" w:color="000000" w:sz="4" w:space="0"/>
            </w:tcBorders>
            <w:vAlign w:val="center"/>
          </w:tcPr>
          <w:p w14:paraId="5B715F5D">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块</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1C588F39">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968</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58AA8BBD">
            <w:pPr>
              <w:spacing w:line="300" w:lineRule="exact"/>
              <w:jc w:val="center"/>
              <w:rPr>
                <w:rFonts w:ascii="微软雅黑" w:hAnsi="微软雅黑" w:eastAsia="微软雅黑" w:cs="微软雅黑"/>
                <w:color w:val="auto"/>
                <w:szCs w:val="21"/>
              </w:rPr>
            </w:pPr>
          </w:p>
        </w:tc>
      </w:tr>
      <w:tr w14:paraId="64D22E3B">
        <w:tblPrEx>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vAlign w:val="center"/>
          </w:tcPr>
          <w:p w14:paraId="0DBC7AB5">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14</w:t>
            </w:r>
          </w:p>
        </w:tc>
        <w:tc>
          <w:tcPr>
            <w:tcW w:w="861" w:type="dxa"/>
            <w:tcBorders>
              <w:top w:val="single" w:color="000000" w:sz="4" w:space="0"/>
              <w:left w:val="single" w:color="000000" w:sz="4" w:space="0"/>
              <w:bottom w:val="single" w:color="000000" w:sz="4" w:space="0"/>
              <w:right w:val="single" w:color="000000" w:sz="4" w:space="0"/>
            </w:tcBorders>
            <w:vAlign w:val="center"/>
          </w:tcPr>
          <w:p w14:paraId="6A7AFF2C">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警号</w:t>
            </w:r>
          </w:p>
        </w:tc>
        <w:tc>
          <w:tcPr>
            <w:tcW w:w="5559" w:type="dxa"/>
            <w:tcBorders>
              <w:top w:val="single" w:color="000000" w:sz="4" w:space="0"/>
              <w:left w:val="single" w:color="000000" w:sz="4" w:space="0"/>
              <w:bottom w:val="single" w:color="000000" w:sz="4" w:space="0"/>
              <w:right w:val="single" w:color="000000" w:sz="4" w:space="0"/>
            </w:tcBorders>
            <w:vAlign w:val="center"/>
          </w:tcPr>
          <w:p w14:paraId="73FC7521">
            <w:pPr>
              <w:widowControl/>
              <w:spacing w:line="300" w:lineRule="exact"/>
              <w:jc w:val="left"/>
              <w:textAlignment w:val="center"/>
              <w:rPr>
                <w:rFonts w:ascii="微软雅黑" w:hAnsi="微软雅黑" w:eastAsia="微软雅黑" w:cs="微软雅黑"/>
                <w:color w:val="auto"/>
                <w:szCs w:val="21"/>
              </w:rPr>
            </w:pPr>
            <w:r>
              <w:rPr>
                <w:rFonts w:hint="eastAsia" w:ascii="微软雅黑" w:hAnsi="微软雅黑" w:eastAsia="微软雅黑" w:cs="微软雅黑"/>
                <w:color w:val="auto"/>
                <w:szCs w:val="21"/>
                <w:lang w:val="en-US" w:eastAsia="zh-CN"/>
              </w:rPr>
              <w:t>1.</w:t>
            </w:r>
            <w:r>
              <w:rPr>
                <w:rFonts w:ascii="微软雅黑" w:hAnsi="微软雅黑" w:eastAsia="微软雅黑" w:cs="微软雅黑"/>
                <w:color w:val="auto"/>
                <w:szCs w:val="21"/>
              </w:rPr>
              <w:t>配置旋转式红色声光警示灯，警笛报警声响不低于 80dB；发光光源采用 LED 灯珠；配套 L 型不锈钢安装支架，支架板材厚度不小于 2mm。</w:t>
            </w:r>
          </w:p>
        </w:tc>
        <w:tc>
          <w:tcPr>
            <w:tcW w:w="750" w:type="dxa"/>
            <w:tcBorders>
              <w:top w:val="single" w:color="000000" w:sz="4" w:space="0"/>
              <w:left w:val="single" w:color="000000" w:sz="4" w:space="0"/>
              <w:bottom w:val="single" w:color="000000" w:sz="4" w:space="0"/>
              <w:right w:val="single" w:color="000000" w:sz="4" w:space="0"/>
            </w:tcBorders>
            <w:vAlign w:val="center"/>
          </w:tcPr>
          <w:p w14:paraId="590B15D1">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494B4EED">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182</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11036F72">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65</w:t>
            </w:r>
          </w:p>
        </w:tc>
      </w:tr>
      <w:tr w14:paraId="390D5BD5">
        <w:tblPrEx>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vAlign w:val="center"/>
          </w:tcPr>
          <w:p w14:paraId="5E11CD9C">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15</w:t>
            </w:r>
          </w:p>
        </w:tc>
        <w:tc>
          <w:tcPr>
            <w:tcW w:w="861" w:type="dxa"/>
            <w:tcBorders>
              <w:top w:val="single" w:color="000000" w:sz="4" w:space="0"/>
              <w:left w:val="single" w:color="000000" w:sz="4" w:space="0"/>
              <w:bottom w:val="single" w:color="000000" w:sz="4" w:space="0"/>
              <w:right w:val="single" w:color="000000" w:sz="4" w:space="0"/>
            </w:tcBorders>
            <w:vAlign w:val="center"/>
          </w:tcPr>
          <w:p w14:paraId="1C2228FE">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电源</w:t>
            </w:r>
          </w:p>
        </w:tc>
        <w:tc>
          <w:tcPr>
            <w:tcW w:w="5559" w:type="dxa"/>
            <w:tcBorders>
              <w:top w:val="single" w:color="000000" w:sz="4" w:space="0"/>
              <w:left w:val="single" w:color="000000" w:sz="4" w:space="0"/>
              <w:bottom w:val="single" w:color="000000" w:sz="4" w:space="0"/>
              <w:right w:val="single" w:color="000000" w:sz="4" w:space="0"/>
            </w:tcBorders>
            <w:vAlign w:val="center"/>
          </w:tcPr>
          <w:p w14:paraId="461F30BC">
            <w:pPr>
              <w:widowControl/>
              <w:spacing w:line="300" w:lineRule="exact"/>
              <w:jc w:val="left"/>
              <w:textAlignment w:val="center"/>
              <w:rPr>
                <w:rFonts w:ascii="微软雅黑" w:hAnsi="微软雅黑" w:eastAsia="微软雅黑" w:cs="微软雅黑"/>
                <w:color w:val="auto"/>
                <w:szCs w:val="21"/>
              </w:rPr>
            </w:pPr>
            <w:r>
              <w:rPr>
                <w:rFonts w:hint="eastAsia" w:ascii="微软雅黑" w:hAnsi="微软雅黑" w:eastAsia="微软雅黑" w:cs="微软雅黑"/>
                <w:color w:val="auto"/>
                <w:szCs w:val="21"/>
                <w:lang w:val="en-US" w:eastAsia="zh-CN"/>
              </w:rPr>
              <w:t>1.</w:t>
            </w:r>
            <w:r>
              <w:rPr>
                <w:rFonts w:ascii="微软雅黑" w:hAnsi="微软雅黑" w:eastAsia="微软雅黑" w:cs="微软雅黑"/>
                <w:color w:val="auto"/>
                <w:szCs w:val="21"/>
              </w:rPr>
              <w:t>张力探测器专用电源。</w:t>
            </w:r>
          </w:p>
        </w:tc>
        <w:tc>
          <w:tcPr>
            <w:tcW w:w="750" w:type="dxa"/>
            <w:tcBorders>
              <w:top w:val="single" w:color="000000" w:sz="4" w:space="0"/>
              <w:left w:val="single" w:color="000000" w:sz="4" w:space="0"/>
              <w:bottom w:val="single" w:color="000000" w:sz="4" w:space="0"/>
              <w:right w:val="single" w:color="000000" w:sz="4" w:space="0"/>
            </w:tcBorders>
            <w:vAlign w:val="center"/>
          </w:tcPr>
          <w:p w14:paraId="2EEFA349">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66BBD934">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1</w:t>
            </w:r>
            <w:r>
              <w:rPr>
                <w:rFonts w:hint="eastAsia" w:ascii="微软雅黑" w:hAnsi="微软雅黑" w:eastAsia="微软雅黑" w:cs="微软雅黑"/>
                <w:color w:val="auto"/>
                <w:szCs w:val="21"/>
                <w:lang w:val="en-US" w:eastAsia="zh-CN"/>
              </w:rPr>
              <w:t>4</w:t>
            </w:r>
            <w:r>
              <w:rPr>
                <w:rFonts w:ascii="微软雅黑" w:hAnsi="微软雅黑" w:eastAsia="微软雅黑" w:cs="微软雅黑"/>
                <w:color w:val="auto"/>
                <w:szCs w:val="21"/>
              </w:rPr>
              <w:t>3</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4EB9ED8B">
            <w:pPr>
              <w:widowControl/>
              <w:spacing w:line="300" w:lineRule="exact"/>
              <w:jc w:val="center"/>
              <w:textAlignment w:val="center"/>
              <w:rPr>
                <w:rFonts w:ascii="微软雅黑" w:hAnsi="微软雅黑" w:eastAsia="微软雅黑" w:cs="微软雅黑"/>
                <w:color w:val="auto"/>
                <w:szCs w:val="21"/>
              </w:rPr>
            </w:pPr>
          </w:p>
        </w:tc>
      </w:tr>
      <w:tr w14:paraId="4E08C6F1">
        <w:tblPrEx>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vAlign w:val="center"/>
          </w:tcPr>
          <w:p w14:paraId="5614BA83">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16</w:t>
            </w:r>
          </w:p>
        </w:tc>
        <w:tc>
          <w:tcPr>
            <w:tcW w:w="861" w:type="dxa"/>
            <w:tcBorders>
              <w:top w:val="single" w:color="000000" w:sz="4" w:space="0"/>
              <w:left w:val="single" w:color="000000" w:sz="4" w:space="0"/>
              <w:bottom w:val="single" w:color="000000" w:sz="4" w:space="0"/>
              <w:right w:val="single" w:color="000000" w:sz="4" w:space="0"/>
            </w:tcBorders>
            <w:vAlign w:val="center"/>
          </w:tcPr>
          <w:p w14:paraId="6BF786B3">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防雨箱</w:t>
            </w:r>
          </w:p>
        </w:tc>
        <w:tc>
          <w:tcPr>
            <w:tcW w:w="5559" w:type="dxa"/>
            <w:tcBorders>
              <w:top w:val="single" w:color="000000" w:sz="4" w:space="0"/>
              <w:left w:val="single" w:color="000000" w:sz="4" w:space="0"/>
              <w:bottom w:val="single" w:color="000000" w:sz="4" w:space="0"/>
              <w:right w:val="single" w:color="000000" w:sz="4" w:space="0"/>
            </w:tcBorders>
            <w:vAlign w:val="center"/>
          </w:tcPr>
          <w:p w14:paraId="2DD6B480">
            <w:pPr>
              <w:widowControl/>
              <w:spacing w:line="300" w:lineRule="exact"/>
              <w:jc w:val="left"/>
              <w:textAlignment w:val="center"/>
              <w:rPr>
                <w:rFonts w:hint="default" w:ascii="微软雅黑" w:hAnsi="微软雅黑" w:eastAsia="微软雅黑" w:cs="微软雅黑"/>
                <w:color w:val="auto"/>
                <w:szCs w:val="21"/>
                <w:lang w:val="en-US" w:eastAsia="zh-CN"/>
              </w:rPr>
            </w:pPr>
            <w:r>
              <w:rPr>
                <w:rFonts w:hint="eastAsia" w:ascii="微软雅黑" w:hAnsi="微软雅黑" w:eastAsia="微软雅黑" w:cs="微软雅黑"/>
                <w:color w:val="auto"/>
                <w:szCs w:val="21"/>
              </w:rPr>
              <w:t>1.配置专用设备防护箱，箱体为不锈钢材质，具备防水、耐腐蚀能力，满足室外长期使用，箱体外形尺寸不低于 400</w:t>
            </w:r>
            <w:r>
              <w:rPr>
                <w:rFonts w:hint="eastAsia" w:ascii="微软雅黑" w:hAnsi="微软雅黑" w:eastAsia="微软雅黑" w:cs="微软雅黑"/>
                <w:color w:val="auto"/>
                <w:szCs w:val="21"/>
                <w:lang w:val="en-US" w:eastAsia="zh-CN"/>
              </w:rPr>
              <w:t>mm</w:t>
            </w:r>
            <w:r>
              <w:rPr>
                <w:rFonts w:hint="eastAsia" w:ascii="微软雅黑" w:hAnsi="微软雅黑" w:eastAsia="微软雅黑" w:cs="微软雅黑"/>
                <w:color w:val="auto"/>
                <w:szCs w:val="21"/>
              </w:rPr>
              <w:t>×500</w:t>
            </w:r>
            <w:r>
              <w:rPr>
                <w:rFonts w:hint="eastAsia" w:ascii="微软雅黑" w:hAnsi="微软雅黑" w:eastAsia="微软雅黑" w:cs="微软雅黑"/>
                <w:color w:val="auto"/>
                <w:szCs w:val="21"/>
                <w:lang w:val="en-US" w:eastAsia="zh-CN"/>
              </w:rPr>
              <w:t>mm</w:t>
            </w:r>
            <w:r>
              <w:rPr>
                <w:rFonts w:hint="eastAsia" w:ascii="微软雅黑" w:hAnsi="微软雅黑" w:eastAsia="微软雅黑" w:cs="微软雅黑"/>
                <w:color w:val="auto"/>
                <w:szCs w:val="21"/>
              </w:rPr>
              <w:t>×180</w:t>
            </w:r>
            <w:r>
              <w:rPr>
                <w:rFonts w:hint="eastAsia" w:ascii="微软雅黑" w:hAnsi="微软雅黑" w:eastAsia="微软雅黑" w:cs="微软雅黑"/>
                <w:color w:val="auto"/>
                <w:szCs w:val="21"/>
                <w:lang w:val="en-US" w:eastAsia="zh-CN"/>
              </w:rPr>
              <w:t>mm</w:t>
            </w:r>
          </w:p>
        </w:tc>
        <w:tc>
          <w:tcPr>
            <w:tcW w:w="750" w:type="dxa"/>
            <w:tcBorders>
              <w:top w:val="single" w:color="000000" w:sz="4" w:space="0"/>
              <w:left w:val="single" w:color="000000" w:sz="4" w:space="0"/>
              <w:bottom w:val="single" w:color="000000" w:sz="4" w:space="0"/>
              <w:right w:val="single" w:color="000000" w:sz="4" w:space="0"/>
            </w:tcBorders>
            <w:vAlign w:val="center"/>
          </w:tcPr>
          <w:p w14:paraId="7656DC98">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64ADFE01">
            <w:pPr>
              <w:widowControl/>
              <w:spacing w:line="300" w:lineRule="exact"/>
              <w:jc w:val="center"/>
              <w:textAlignment w:val="center"/>
              <w:rPr>
                <w:rFonts w:hint="default" w:ascii="微软雅黑" w:hAnsi="微软雅黑" w:eastAsia="微软雅黑" w:cs="微软雅黑"/>
                <w:color w:val="auto"/>
                <w:szCs w:val="21"/>
                <w:lang w:val="en-US" w:eastAsia="zh-CN"/>
              </w:rPr>
            </w:pPr>
            <w:r>
              <w:rPr>
                <w:rFonts w:hint="eastAsia" w:ascii="微软雅黑" w:hAnsi="微软雅黑" w:eastAsia="微软雅黑" w:cs="微软雅黑"/>
                <w:color w:val="auto"/>
                <w:szCs w:val="21"/>
                <w:lang w:val="en-US" w:eastAsia="zh-CN"/>
              </w:rPr>
              <w:t>96</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28040C0A">
            <w:pPr>
              <w:widowControl/>
              <w:spacing w:line="300" w:lineRule="exact"/>
              <w:jc w:val="center"/>
              <w:textAlignment w:val="center"/>
              <w:rPr>
                <w:rFonts w:ascii="微软雅黑" w:hAnsi="微软雅黑" w:eastAsia="微软雅黑" w:cs="微软雅黑"/>
                <w:color w:val="auto"/>
                <w:szCs w:val="21"/>
              </w:rPr>
            </w:pPr>
            <w:r>
              <w:rPr>
                <w:rFonts w:hint="eastAsia" w:ascii="微软雅黑" w:hAnsi="微软雅黑" w:eastAsia="微软雅黑" w:cs="微软雅黑"/>
                <w:color w:val="auto"/>
                <w:szCs w:val="21"/>
                <w:lang w:val="en-US" w:eastAsia="zh-CN"/>
              </w:rPr>
              <w:t>4</w:t>
            </w:r>
            <w:r>
              <w:rPr>
                <w:rFonts w:ascii="微软雅黑" w:hAnsi="微软雅黑" w:eastAsia="微软雅黑" w:cs="微软雅黑"/>
                <w:color w:val="auto"/>
                <w:szCs w:val="21"/>
              </w:rPr>
              <w:t>7</w:t>
            </w:r>
          </w:p>
        </w:tc>
      </w:tr>
      <w:tr w14:paraId="7E87109D">
        <w:tblPrEx>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vAlign w:val="center"/>
          </w:tcPr>
          <w:p w14:paraId="5FEB8370">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17</w:t>
            </w:r>
          </w:p>
        </w:tc>
        <w:tc>
          <w:tcPr>
            <w:tcW w:w="861" w:type="dxa"/>
            <w:tcBorders>
              <w:top w:val="single" w:color="000000" w:sz="4" w:space="0"/>
              <w:left w:val="single" w:color="000000" w:sz="4" w:space="0"/>
              <w:bottom w:val="single" w:color="000000" w:sz="4" w:space="0"/>
              <w:right w:val="single" w:color="000000" w:sz="4" w:space="0"/>
            </w:tcBorders>
            <w:vAlign w:val="center"/>
          </w:tcPr>
          <w:p w14:paraId="3A3AED39">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中心报警控制主机</w:t>
            </w:r>
          </w:p>
        </w:tc>
        <w:tc>
          <w:tcPr>
            <w:tcW w:w="5559" w:type="dxa"/>
            <w:tcBorders>
              <w:top w:val="single" w:color="000000" w:sz="4" w:space="0"/>
              <w:left w:val="single" w:color="000000" w:sz="4" w:space="0"/>
              <w:bottom w:val="single" w:color="000000" w:sz="4" w:space="0"/>
              <w:right w:val="single" w:color="000000" w:sz="4" w:space="0"/>
            </w:tcBorders>
            <w:vAlign w:val="center"/>
          </w:tcPr>
          <w:p w14:paraId="38AA073C">
            <w:pPr>
              <w:widowControl/>
              <w:spacing w:line="300" w:lineRule="exact"/>
              <w:jc w:val="left"/>
              <w:textAlignment w:val="center"/>
              <w:rPr>
                <w:rFonts w:ascii="微软雅黑" w:hAnsi="微软雅黑" w:eastAsia="微软雅黑" w:cs="微软雅黑"/>
                <w:color w:val="auto"/>
                <w:szCs w:val="21"/>
              </w:rPr>
            </w:pPr>
            <w:r>
              <w:rPr>
                <w:rFonts w:hint="eastAsia" w:ascii="微软雅黑" w:hAnsi="微软雅黑" w:eastAsia="微软雅黑" w:cs="微软雅黑"/>
                <w:color w:val="auto"/>
                <w:szCs w:val="21"/>
              </w:rPr>
              <w:t>1.报警中心主机，自带网络接口，支持网络接入。人性化操作界面，报警事件可即时响应。支持外接扩展模块可接入防区。配套中心操作管理平台，具备远程管理能力。</w:t>
            </w:r>
          </w:p>
        </w:tc>
        <w:tc>
          <w:tcPr>
            <w:tcW w:w="750" w:type="dxa"/>
            <w:tcBorders>
              <w:top w:val="single" w:color="000000" w:sz="4" w:space="0"/>
              <w:left w:val="single" w:color="000000" w:sz="4" w:space="0"/>
              <w:bottom w:val="single" w:color="000000" w:sz="4" w:space="0"/>
              <w:right w:val="single" w:color="000000" w:sz="4" w:space="0"/>
            </w:tcBorders>
            <w:vAlign w:val="center"/>
          </w:tcPr>
          <w:p w14:paraId="23B63671">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台</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269218A1">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20</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0E46E575">
            <w:pPr>
              <w:spacing w:line="300" w:lineRule="exact"/>
              <w:jc w:val="center"/>
              <w:rPr>
                <w:rFonts w:ascii="微软雅黑" w:hAnsi="微软雅黑" w:eastAsia="微软雅黑" w:cs="微软雅黑"/>
                <w:color w:val="auto"/>
                <w:szCs w:val="21"/>
              </w:rPr>
            </w:pPr>
          </w:p>
        </w:tc>
      </w:tr>
      <w:tr w14:paraId="2792A7D0">
        <w:tblPrEx>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vAlign w:val="center"/>
          </w:tcPr>
          <w:p w14:paraId="671D41B5">
            <w:pPr>
              <w:widowControl/>
              <w:spacing w:line="300" w:lineRule="exact"/>
              <w:jc w:val="center"/>
              <w:textAlignment w:val="center"/>
              <w:rPr>
                <w:rFonts w:ascii="微软雅黑" w:hAnsi="微软雅黑" w:eastAsia="微软雅黑" w:cs="微软雅黑"/>
                <w:color w:val="auto"/>
                <w:szCs w:val="21"/>
              </w:rPr>
            </w:pPr>
            <w:r>
              <w:rPr>
                <w:rFonts w:hint="eastAsia" w:ascii="微软雅黑" w:hAnsi="微软雅黑" w:eastAsia="微软雅黑" w:cs="微软雅黑"/>
                <w:color w:val="auto"/>
                <w:szCs w:val="21"/>
              </w:rPr>
              <w:t>18</w:t>
            </w:r>
          </w:p>
        </w:tc>
        <w:tc>
          <w:tcPr>
            <w:tcW w:w="861" w:type="dxa"/>
            <w:tcBorders>
              <w:top w:val="single" w:color="000000" w:sz="4" w:space="0"/>
              <w:left w:val="single" w:color="000000" w:sz="4" w:space="0"/>
              <w:bottom w:val="single" w:color="000000" w:sz="4" w:space="0"/>
              <w:right w:val="single" w:color="000000" w:sz="4" w:space="0"/>
            </w:tcBorders>
            <w:vAlign w:val="center"/>
          </w:tcPr>
          <w:p w14:paraId="7A95E20F">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轻智能警戒网络摄像机</w:t>
            </w:r>
          </w:p>
        </w:tc>
        <w:tc>
          <w:tcPr>
            <w:tcW w:w="5559" w:type="dxa"/>
            <w:tcBorders>
              <w:top w:val="single" w:color="000000" w:sz="4" w:space="0"/>
              <w:left w:val="single" w:color="000000" w:sz="4" w:space="0"/>
              <w:bottom w:val="single" w:color="000000" w:sz="4" w:space="0"/>
              <w:right w:val="single" w:color="000000" w:sz="4" w:space="0"/>
            </w:tcBorders>
            <w:vAlign w:val="center"/>
          </w:tcPr>
          <w:p w14:paraId="3970A7CB">
            <w:pPr>
              <w:widowControl/>
              <w:numPr>
                <w:ilvl w:val="0"/>
                <w:numId w:val="7"/>
              </w:numPr>
              <w:spacing w:line="300" w:lineRule="exact"/>
              <w:ind w:left="0" w:leftChars="0" w:firstLine="0" w:firstLineChars="0"/>
              <w:jc w:val="left"/>
              <w:textAlignment w:val="center"/>
              <w:rPr>
                <w:rFonts w:ascii="微软雅黑" w:hAnsi="微软雅黑" w:eastAsia="微软雅黑" w:cs="微软雅黑"/>
                <w:b w:val="0"/>
                <w:bCs w:val="0"/>
                <w:color w:val="auto"/>
                <w:szCs w:val="21"/>
              </w:rPr>
            </w:pPr>
            <w:r>
              <w:rPr>
                <w:rFonts w:ascii="微软雅黑" w:hAnsi="微软雅黑" w:eastAsia="微软雅黑" w:cs="微软雅黑"/>
                <w:color w:val="auto"/>
                <w:szCs w:val="21"/>
                <w:lang w:val="en-US" w:eastAsia="zh-CN"/>
              </w:rPr>
              <w:t>有效像素不低于400万，支持白光、红外双补光模式，适配全天候监控场景</w:t>
            </w:r>
            <w:r>
              <w:rPr>
                <w:rFonts w:ascii="微软雅黑" w:hAnsi="微软雅黑" w:eastAsia="微软雅黑" w:cs="微软雅黑"/>
                <w:color w:val="auto"/>
                <w:szCs w:val="21"/>
              </w:rPr>
              <w:br w:type="textWrapping"/>
            </w:r>
            <w:r>
              <w:rPr>
                <w:rFonts w:hint="eastAsia" w:ascii="微软雅黑" w:hAnsi="微软雅黑" w:eastAsia="微软雅黑" w:cs="微软雅黑"/>
                <w:b w:val="0"/>
                <w:bCs w:val="0"/>
                <w:color w:val="auto"/>
                <w:szCs w:val="21"/>
              </w:rPr>
              <w:t>2</w:t>
            </w:r>
            <w:r>
              <w:rPr>
                <w:rFonts w:ascii="微软雅黑" w:hAnsi="微软雅黑" w:eastAsia="微软雅黑" w:cs="微软雅黑"/>
                <w:b w:val="0"/>
                <w:bCs w:val="0"/>
                <w:color w:val="auto"/>
                <w:szCs w:val="21"/>
              </w:rPr>
              <w:t>.</w:t>
            </w:r>
            <w:r>
              <w:rPr>
                <w:rFonts w:hint="eastAsia" w:ascii="微软雅黑" w:hAnsi="微软雅黑" w:eastAsia="微软雅黑" w:cs="微软雅黑"/>
                <w:b w:val="0"/>
                <w:bCs w:val="0"/>
                <w:color w:val="auto"/>
                <w:sz w:val="28"/>
                <w:szCs w:val="28"/>
              </w:rPr>
              <w:t>★</w:t>
            </w:r>
            <w:r>
              <w:rPr>
                <w:rFonts w:ascii="微软雅黑" w:hAnsi="微软雅黑" w:eastAsia="微软雅黑" w:cs="微软雅黑"/>
                <w:b w:val="0"/>
                <w:bCs w:val="0"/>
                <w:color w:val="auto"/>
                <w:szCs w:val="21"/>
              </w:rPr>
              <w:t>内置不少于1个智能处理芯片，麦克风，扬声器。</w:t>
            </w:r>
          </w:p>
          <w:p w14:paraId="52D33893">
            <w:pPr>
              <w:widowControl/>
              <w:numPr>
                <w:ilvl w:val="0"/>
                <w:numId w:val="0"/>
              </w:numPr>
              <w:spacing w:line="300" w:lineRule="exact"/>
              <w:ind w:leftChars="0"/>
              <w:jc w:val="left"/>
              <w:textAlignment w:val="center"/>
              <w:rPr>
                <w:rFonts w:hint="eastAsia" w:ascii="微软雅黑" w:hAnsi="微软雅黑" w:eastAsia="微软雅黑" w:cs="微软雅黑"/>
                <w:b w:val="0"/>
                <w:bCs w:val="0"/>
                <w:color w:val="auto"/>
                <w:szCs w:val="21"/>
              </w:rPr>
            </w:pPr>
            <w:r>
              <w:rPr>
                <w:rFonts w:hint="eastAsia" w:ascii="微软雅黑" w:hAnsi="微软雅黑" w:eastAsia="微软雅黑" w:cs="微软雅黑"/>
                <w:b w:val="0"/>
                <w:bCs w:val="0"/>
                <w:color w:val="auto"/>
                <w:szCs w:val="21"/>
                <w:lang w:val="en-US" w:eastAsia="zh-CN"/>
              </w:rPr>
              <w:t>3.支持DC12V直流供电、POE网络供电两种供电方式，适配现场多种安装供电场景</w:t>
            </w:r>
            <w:r>
              <w:rPr>
                <w:rFonts w:ascii="微软雅黑" w:hAnsi="微软雅黑" w:eastAsia="微软雅黑" w:cs="微软雅黑"/>
                <w:b w:val="0"/>
                <w:bCs w:val="0"/>
                <w:color w:val="auto"/>
                <w:szCs w:val="21"/>
              </w:rPr>
              <w:br w:type="textWrapping"/>
            </w:r>
            <w:r>
              <w:rPr>
                <w:rFonts w:hint="eastAsia" w:ascii="微软雅黑" w:hAnsi="微软雅黑" w:eastAsia="微软雅黑" w:cs="微软雅黑"/>
                <w:b w:val="0"/>
                <w:bCs w:val="0"/>
                <w:color w:val="auto"/>
                <w:szCs w:val="21"/>
                <w:highlight w:val="none"/>
              </w:rPr>
              <w:t>4</w:t>
            </w:r>
            <w:r>
              <w:rPr>
                <w:rFonts w:ascii="微软雅黑" w:hAnsi="微软雅黑" w:eastAsia="微软雅黑" w:cs="微软雅黑"/>
                <w:b w:val="0"/>
                <w:bCs w:val="0"/>
                <w:color w:val="auto"/>
                <w:szCs w:val="21"/>
                <w:highlight w:val="none"/>
              </w:rPr>
              <w:t>.</w:t>
            </w:r>
            <w:r>
              <w:rPr>
                <w:rFonts w:hint="eastAsia" w:ascii="微软雅黑" w:hAnsi="微软雅黑" w:eastAsia="微软雅黑" w:cs="微软雅黑"/>
                <w:b w:val="0"/>
                <w:bCs w:val="0"/>
                <w:color w:val="auto"/>
                <w:sz w:val="28"/>
                <w:szCs w:val="28"/>
                <w:highlight w:val="none"/>
              </w:rPr>
              <w:t>★</w:t>
            </w:r>
            <w:r>
              <w:rPr>
                <w:rFonts w:ascii="微软雅黑" w:hAnsi="微软雅黑" w:eastAsia="微软雅黑" w:cs="微软雅黑"/>
                <w:b w:val="0"/>
                <w:bCs w:val="0"/>
                <w:color w:val="auto"/>
                <w:szCs w:val="21"/>
                <w:highlight w:val="none"/>
              </w:rPr>
              <w:t>同一静止场景相同图像质量下，</w:t>
            </w:r>
            <w:r>
              <w:rPr>
                <w:rFonts w:hint="eastAsia" w:ascii="微软雅黑" w:hAnsi="微软雅黑" w:eastAsia="微软雅黑" w:cs="微软雅黑"/>
                <w:b w:val="0"/>
                <w:bCs w:val="0"/>
                <w:color w:val="auto"/>
                <w:szCs w:val="21"/>
                <w:highlight w:val="none"/>
              </w:rPr>
              <w:t>设备</w:t>
            </w:r>
            <w:r>
              <w:rPr>
                <w:rFonts w:hint="eastAsia" w:ascii="微软雅黑" w:hAnsi="微软雅黑" w:eastAsia="微软雅黑" w:cs="微软雅黑"/>
                <w:b w:val="0"/>
                <w:bCs w:val="0"/>
                <w:color w:val="auto"/>
                <w:szCs w:val="21"/>
                <w:highlight w:val="none"/>
                <w:lang w:val="en-US" w:eastAsia="zh-CN"/>
              </w:rPr>
              <w:t>支持</w:t>
            </w:r>
            <w:r>
              <w:rPr>
                <w:rFonts w:hint="eastAsia" w:ascii="微软雅黑" w:hAnsi="微软雅黑" w:eastAsia="微软雅黑" w:cs="微软雅黑"/>
                <w:b w:val="0"/>
                <w:bCs w:val="0"/>
                <w:color w:val="auto"/>
                <w:szCs w:val="21"/>
                <w:highlight w:val="none"/>
              </w:rPr>
              <w:t>H.265</w:t>
            </w:r>
            <w:r>
              <w:rPr>
                <w:rFonts w:hint="eastAsia" w:ascii="微软雅黑" w:hAnsi="微软雅黑" w:eastAsia="微软雅黑" w:cs="微软雅黑"/>
                <w:b w:val="0"/>
                <w:bCs w:val="0"/>
                <w:color w:val="auto"/>
                <w:szCs w:val="21"/>
                <w:highlight w:val="none"/>
                <w:lang w:val="en-US" w:eastAsia="zh-CN"/>
              </w:rPr>
              <w:t>等</w:t>
            </w:r>
            <w:r>
              <w:rPr>
                <w:rFonts w:hint="eastAsia" w:ascii="微软雅黑" w:hAnsi="微软雅黑" w:eastAsia="微软雅黑" w:cs="微软雅黑"/>
                <w:b w:val="0"/>
                <w:bCs w:val="0"/>
                <w:color w:val="auto"/>
                <w:szCs w:val="21"/>
                <w:highlight w:val="none"/>
              </w:rPr>
              <w:t>编码方式。</w:t>
            </w:r>
            <w:r>
              <w:rPr>
                <w:rFonts w:ascii="微软雅黑" w:hAnsi="微软雅黑" w:eastAsia="微软雅黑" w:cs="微软雅黑"/>
                <w:b w:val="0"/>
                <w:bCs w:val="0"/>
                <w:color w:val="auto"/>
                <w:szCs w:val="21"/>
              </w:rPr>
              <w:br w:type="textWrapping"/>
            </w:r>
            <w:r>
              <w:rPr>
                <w:rFonts w:hint="eastAsia" w:ascii="微软雅黑" w:hAnsi="微软雅黑" w:eastAsia="微软雅黑" w:cs="微软雅黑"/>
                <w:b w:val="0"/>
                <w:bCs w:val="0"/>
                <w:color w:val="auto"/>
                <w:szCs w:val="21"/>
              </w:rPr>
              <w:t>5</w:t>
            </w:r>
            <w:r>
              <w:rPr>
                <w:rFonts w:ascii="微软雅黑" w:hAnsi="微软雅黑" w:eastAsia="微软雅黑" w:cs="微软雅黑"/>
                <w:b w:val="0"/>
                <w:bCs w:val="0"/>
                <w:color w:val="auto"/>
                <w:szCs w:val="21"/>
              </w:rPr>
              <w:t>.</w:t>
            </w:r>
            <w:r>
              <w:rPr>
                <w:rFonts w:hint="eastAsia" w:ascii="微软雅黑" w:hAnsi="微软雅黑" w:eastAsia="微软雅黑" w:cs="微软雅黑"/>
                <w:b w:val="0"/>
                <w:bCs w:val="0"/>
                <w:color w:val="auto"/>
                <w:sz w:val="28"/>
                <w:szCs w:val="28"/>
              </w:rPr>
              <w:t>★</w:t>
            </w:r>
            <w:r>
              <w:rPr>
                <w:rFonts w:hint="eastAsia" w:ascii="微软雅黑" w:hAnsi="微软雅黑" w:eastAsia="微软雅黑" w:cs="微软雅黑"/>
                <w:b w:val="0"/>
                <w:bCs w:val="0"/>
                <w:color w:val="auto"/>
                <w:szCs w:val="21"/>
              </w:rPr>
              <w:t>能报警防干扰功能；智能分析行为类型包含区域入侵、越界入侵、进入区域、离开区域；报警检测目标可设置为人体或车辆，可过滤树木晃动等非目标干扰，减少误报警。</w:t>
            </w:r>
          </w:p>
          <w:p w14:paraId="47E6B3F3">
            <w:pPr>
              <w:widowControl/>
              <w:numPr>
                <w:ilvl w:val="0"/>
                <w:numId w:val="0"/>
              </w:numPr>
              <w:spacing w:line="300" w:lineRule="exact"/>
              <w:ind w:leftChars="0"/>
              <w:jc w:val="left"/>
              <w:textAlignment w:val="center"/>
              <w:rPr>
                <w:rFonts w:hint="eastAsia" w:ascii="微软雅黑" w:hAnsi="微软雅黑" w:eastAsia="微软雅黑" w:cs="微软雅黑"/>
                <w:color w:val="auto"/>
                <w:szCs w:val="21"/>
              </w:rPr>
            </w:pPr>
            <w:r>
              <w:rPr>
                <w:rFonts w:hint="eastAsia" w:ascii="微软雅黑" w:hAnsi="微软雅黑" w:eastAsia="微软雅黑" w:cs="微软雅黑"/>
                <w:b w:val="0"/>
                <w:bCs w:val="0"/>
                <w:color w:val="auto"/>
                <w:szCs w:val="21"/>
              </w:rPr>
              <w:t>6</w:t>
            </w:r>
            <w:r>
              <w:rPr>
                <w:rFonts w:ascii="微软雅黑" w:hAnsi="微软雅黑" w:eastAsia="微软雅黑" w:cs="微软雅黑"/>
                <w:b w:val="0"/>
                <w:bCs w:val="0"/>
                <w:color w:val="auto"/>
                <w:szCs w:val="21"/>
              </w:rPr>
              <w:t>.</w:t>
            </w:r>
            <w:r>
              <w:rPr>
                <w:rFonts w:hint="eastAsia" w:ascii="微软雅黑" w:hAnsi="微软雅黑" w:eastAsia="微软雅黑" w:cs="微软雅黑"/>
                <w:b w:val="0"/>
                <w:bCs w:val="0"/>
                <w:color w:val="auto"/>
                <w:sz w:val="28"/>
                <w:szCs w:val="28"/>
              </w:rPr>
              <w:t>★</w:t>
            </w:r>
            <w:r>
              <w:rPr>
                <w:rFonts w:ascii="微软雅黑" w:hAnsi="微软雅黑" w:eastAsia="微软雅黑" w:cs="微软雅黑"/>
                <w:b w:val="0"/>
                <w:bCs w:val="0"/>
                <w:color w:val="auto"/>
                <w:szCs w:val="21"/>
              </w:rPr>
              <w:t>当报警产生时，可触发联动声音报警。报警声音</w:t>
            </w:r>
            <w:r>
              <w:rPr>
                <w:rFonts w:hint="eastAsia" w:ascii="微软雅黑" w:hAnsi="微软雅黑" w:eastAsia="微软雅黑" w:cs="微软雅黑"/>
                <w:b w:val="0"/>
                <w:bCs w:val="0"/>
                <w:color w:val="auto"/>
                <w:szCs w:val="21"/>
              </w:rPr>
              <w:t>多种</w:t>
            </w:r>
            <w:r>
              <w:rPr>
                <w:rFonts w:ascii="微软雅黑" w:hAnsi="微软雅黑" w:eastAsia="微软雅黑" w:cs="微软雅黑"/>
                <w:b w:val="0"/>
                <w:bCs w:val="0"/>
                <w:color w:val="auto"/>
                <w:szCs w:val="21"/>
              </w:rPr>
              <w:t>类型，报警音量和重复次数可设置。</w:t>
            </w:r>
            <w:r>
              <w:rPr>
                <w:rFonts w:ascii="微软雅黑" w:hAnsi="微软雅黑" w:eastAsia="微软雅黑" w:cs="微软雅黑"/>
                <w:b w:val="0"/>
                <w:bCs w:val="0"/>
                <w:color w:val="auto"/>
                <w:szCs w:val="21"/>
              </w:rPr>
              <w:br w:type="textWrapping"/>
            </w:r>
            <w:r>
              <w:rPr>
                <w:rFonts w:hint="eastAsia" w:ascii="微软雅黑" w:hAnsi="微软雅黑" w:eastAsia="微软雅黑" w:cs="微软雅黑"/>
                <w:b w:val="0"/>
                <w:bCs w:val="0"/>
                <w:color w:val="auto"/>
                <w:szCs w:val="21"/>
                <w:lang w:val="en-US" w:eastAsia="zh-CN"/>
              </w:rPr>
              <w:t>7</w:t>
            </w:r>
            <w:r>
              <w:rPr>
                <w:rFonts w:ascii="微软雅黑" w:hAnsi="微软雅黑" w:eastAsia="微软雅黑" w:cs="微软雅黑"/>
                <w:b w:val="0"/>
                <w:bCs w:val="0"/>
                <w:color w:val="auto"/>
                <w:szCs w:val="21"/>
              </w:rPr>
              <w:t>.</w:t>
            </w:r>
            <w:r>
              <w:rPr>
                <w:rFonts w:hint="eastAsia" w:ascii="微软雅黑" w:hAnsi="微软雅黑" w:eastAsia="微软雅黑" w:cs="微软雅黑"/>
                <w:b w:val="0"/>
                <w:bCs w:val="0"/>
                <w:color w:val="auto"/>
                <w:szCs w:val="21"/>
              </w:rPr>
              <w:t>设备接口配置：支持不少于1路报警</w:t>
            </w:r>
            <w:r>
              <w:rPr>
                <w:rFonts w:hint="eastAsia" w:ascii="微软雅黑" w:hAnsi="微软雅黑" w:eastAsia="微软雅黑" w:cs="微软雅黑"/>
                <w:color w:val="auto"/>
                <w:szCs w:val="21"/>
              </w:rPr>
              <w:t>输入、不少于1路报警输出、不少于1路音频输入、不少于1路音频输出，配备不少于1个DC12V电压输出接口</w:t>
            </w:r>
          </w:p>
          <w:p w14:paraId="7B1C5AA2">
            <w:pPr>
              <w:widowControl/>
              <w:numPr>
                <w:ilvl w:val="0"/>
                <w:numId w:val="0"/>
              </w:numPr>
              <w:spacing w:line="300" w:lineRule="exact"/>
              <w:ind w:leftChars="0"/>
              <w:jc w:val="left"/>
              <w:textAlignment w:val="center"/>
              <w:rPr>
                <w:rFonts w:ascii="微软雅黑" w:hAnsi="微软雅黑" w:eastAsia="微软雅黑" w:cs="微软雅黑"/>
                <w:color w:val="auto"/>
                <w:szCs w:val="21"/>
              </w:rPr>
            </w:pPr>
            <w:r>
              <w:rPr>
                <w:rFonts w:hint="eastAsia" w:ascii="微软雅黑" w:hAnsi="微软雅黑" w:eastAsia="微软雅黑" w:cs="微软雅黑"/>
                <w:color w:val="auto"/>
                <w:szCs w:val="21"/>
                <w:lang w:val="en-US" w:eastAsia="zh-CN"/>
              </w:rPr>
              <w:t>8</w:t>
            </w:r>
            <w:r>
              <w:rPr>
                <w:rFonts w:ascii="微软雅黑" w:hAnsi="微软雅黑" w:eastAsia="微软雅黑" w:cs="微软雅黑"/>
                <w:color w:val="auto"/>
                <w:szCs w:val="21"/>
              </w:rPr>
              <w:t>.</w:t>
            </w:r>
            <w:r>
              <w:rPr>
                <w:rFonts w:hint="eastAsia" w:ascii="微软雅黑" w:hAnsi="微软雅黑" w:eastAsia="微软雅黑" w:cs="微软雅黑"/>
                <w:color w:val="auto"/>
                <w:szCs w:val="21"/>
              </w:rPr>
              <w:t>防护等级不低于IP67，可适应室外露天、多尘、淋雨等复杂工况环境</w:t>
            </w:r>
            <w:r>
              <w:rPr>
                <w:rFonts w:ascii="微软雅黑" w:hAnsi="微软雅黑" w:eastAsia="微软雅黑" w:cs="微软雅黑"/>
                <w:color w:val="auto"/>
                <w:szCs w:val="21"/>
              </w:rPr>
              <w:t>。</w:t>
            </w:r>
            <w:r>
              <w:rPr>
                <w:rFonts w:ascii="微软雅黑" w:hAnsi="微软雅黑" w:eastAsia="微软雅黑" w:cs="微软雅黑"/>
                <w:color w:val="auto"/>
                <w:szCs w:val="21"/>
              </w:rPr>
              <w:br w:type="textWrapping"/>
            </w:r>
            <w:r>
              <w:rPr>
                <w:rFonts w:hint="eastAsia" w:ascii="微软雅黑" w:hAnsi="微软雅黑" w:eastAsia="微软雅黑" w:cs="微软雅黑"/>
                <w:color w:val="auto"/>
                <w:szCs w:val="21"/>
                <w:lang w:val="en-US" w:eastAsia="zh-CN"/>
              </w:rPr>
              <w:t>9</w:t>
            </w:r>
            <w:r>
              <w:rPr>
                <w:rFonts w:ascii="微软雅黑" w:hAnsi="微软雅黑" w:eastAsia="微软雅黑" w:cs="微软雅黑"/>
                <w:color w:val="auto"/>
                <w:szCs w:val="21"/>
              </w:rPr>
              <w:t>.</w:t>
            </w:r>
            <w:r>
              <w:rPr>
                <w:rFonts w:hint="eastAsia" w:ascii="微软雅黑" w:hAnsi="微软雅黑" w:eastAsia="微软雅黑" w:cs="微软雅黑"/>
                <w:color w:val="auto"/>
                <w:szCs w:val="21"/>
              </w:rPr>
              <w:t>设备含全套专用安装配套支架，满足现场安装固定要求</w:t>
            </w:r>
            <w:r>
              <w:rPr>
                <w:rFonts w:ascii="微软雅黑" w:hAnsi="微软雅黑" w:eastAsia="微软雅黑" w:cs="微软雅黑"/>
                <w:color w:val="auto"/>
                <w:szCs w:val="21"/>
              </w:rPr>
              <w:t>。</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6FDC301A">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17C160CB">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20</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53F0656E">
            <w:pPr>
              <w:spacing w:line="300" w:lineRule="exact"/>
              <w:jc w:val="center"/>
              <w:rPr>
                <w:rFonts w:ascii="微软雅黑" w:hAnsi="微软雅黑" w:eastAsia="微软雅黑" w:cs="微软雅黑"/>
                <w:color w:val="auto"/>
                <w:szCs w:val="21"/>
              </w:rPr>
            </w:pPr>
          </w:p>
        </w:tc>
      </w:tr>
      <w:tr w14:paraId="3655D471">
        <w:tblPrEx>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vAlign w:val="center"/>
          </w:tcPr>
          <w:p w14:paraId="19EA896C">
            <w:pPr>
              <w:widowControl/>
              <w:spacing w:line="300" w:lineRule="exact"/>
              <w:jc w:val="center"/>
              <w:textAlignment w:val="center"/>
              <w:rPr>
                <w:rFonts w:ascii="微软雅黑" w:hAnsi="微软雅黑" w:eastAsia="微软雅黑" w:cs="微软雅黑"/>
                <w:color w:val="auto"/>
                <w:szCs w:val="21"/>
              </w:rPr>
            </w:pPr>
            <w:r>
              <w:rPr>
                <w:rFonts w:hint="eastAsia" w:ascii="微软雅黑" w:hAnsi="微软雅黑" w:eastAsia="微软雅黑" w:cs="微软雅黑"/>
                <w:color w:val="auto"/>
                <w:szCs w:val="21"/>
              </w:rPr>
              <w:t>19</w:t>
            </w:r>
          </w:p>
        </w:tc>
        <w:tc>
          <w:tcPr>
            <w:tcW w:w="861" w:type="dxa"/>
            <w:tcBorders>
              <w:top w:val="single" w:color="000000" w:sz="4" w:space="0"/>
              <w:left w:val="single" w:color="000000" w:sz="4" w:space="0"/>
              <w:bottom w:val="single" w:color="000000" w:sz="4" w:space="0"/>
              <w:right w:val="single" w:color="000000" w:sz="4" w:space="0"/>
            </w:tcBorders>
            <w:vAlign w:val="center"/>
          </w:tcPr>
          <w:p w14:paraId="0641F598">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交换机</w:t>
            </w:r>
          </w:p>
        </w:tc>
        <w:tc>
          <w:tcPr>
            <w:tcW w:w="5559" w:type="dxa"/>
            <w:tcBorders>
              <w:top w:val="single" w:color="000000" w:sz="4" w:space="0"/>
              <w:left w:val="single" w:color="000000" w:sz="4" w:space="0"/>
              <w:bottom w:val="single" w:color="000000" w:sz="4" w:space="0"/>
              <w:right w:val="single" w:color="000000" w:sz="4" w:space="0"/>
            </w:tcBorders>
            <w:vAlign w:val="center"/>
          </w:tcPr>
          <w:p w14:paraId="1798DA0C">
            <w:pPr>
              <w:widowControl/>
              <w:spacing w:line="300" w:lineRule="exact"/>
              <w:jc w:val="left"/>
              <w:textAlignment w:val="center"/>
              <w:rPr>
                <w:rFonts w:ascii="微软雅黑" w:hAnsi="微软雅黑" w:eastAsia="微软雅黑" w:cs="微软雅黑"/>
                <w:color w:val="auto"/>
                <w:szCs w:val="21"/>
              </w:rPr>
            </w:pPr>
            <w:r>
              <w:rPr>
                <w:rFonts w:hint="eastAsia" w:ascii="微软雅黑" w:hAnsi="微软雅黑" w:eastAsia="微软雅黑" w:cs="微软雅黑"/>
                <w:color w:val="auto"/>
                <w:szCs w:val="21"/>
                <w:lang w:val="en-US" w:eastAsia="zh-CN"/>
              </w:rPr>
              <w:t>1.配置不少于 5 口 POE 交换机，支持 POE 供电及网络数据传输。</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31B42C2F">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7B205D83">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7</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31D315F7">
            <w:pPr>
              <w:spacing w:line="300" w:lineRule="exact"/>
              <w:jc w:val="center"/>
              <w:rPr>
                <w:rFonts w:ascii="微软雅黑" w:hAnsi="微软雅黑" w:eastAsia="微软雅黑" w:cs="微软雅黑"/>
                <w:color w:val="auto"/>
                <w:szCs w:val="21"/>
              </w:rPr>
            </w:pPr>
          </w:p>
        </w:tc>
      </w:tr>
      <w:tr w14:paraId="60FA83F1">
        <w:tblPrEx>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vAlign w:val="center"/>
          </w:tcPr>
          <w:p w14:paraId="49C78BA3">
            <w:pPr>
              <w:widowControl/>
              <w:spacing w:line="300" w:lineRule="exact"/>
              <w:jc w:val="center"/>
              <w:textAlignment w:val="center"/>
              <w:rPr>
                <w:rFonts w:ascii="微软雅黑" w:hAnsi="微软雅黑" w:eastAsia="微软雅黑" w:cs="微软雅黑"/>
                <w:color w:val="auto"/>
                <w:szCs w:val="21"/>
              </w:rPr>
            </w:pPr>
            <w:r>
              <w:rPr>
                <w:rFonts w:hint="eastAsia" w:ascii="微软雅黑" w:hAnsi="微软雅黑" w:eastAsia="微软雅黑" w:cs="微软雅黑"/>
                <w:color w:val="auto"/>
                <w:szCs w:val="21"/>
              </w:rPr>
              <w:t>20</w:t>
            </w:r>
          </w:p>
        </w:tc>
        <w:tc>
          <w:tcPr>
            <w:tcW w:w="861" w:type="dxa"/>
            <w:tcBorders>
              <w:top w:val="single" w:color="000000" w:sz="4" w:space="0"/>
              <w:left w:val="single" w:color="000000" w:sz="4" w:space="0"/>
              <w:bottom w:val="single" w:color="000000" w:sz="4" w:space="0"/>
              <w:right w:val="single" w:color="000000" w:sz="4" w:space="0"/>
            </w:tcBorders>
            <w:noWrap/>
            <w:vAlign w:val="center"/>
          </w:tcPr>
          <w:p w14:paraId="32561EC6">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信号线</w:t>
            </w:r>
          </w:p>
        </w:tc>
        <w:tc>
          <w:tcPr>
            <w:tcW w:w="5559" w:type="dxa"/>
            <w:tcBorders>
              <w:top w:val="single" w:color="000000" w:sz="4" w:space="0"/>
              <w:left w:val="single" w:color="000000" w:sz="4" w:space="0"/>
              <w:bottom w:val="single" w:color="000000" w:sz="4" w:space="0"/>
              <w:right w:val="single" w:color="000000" w:sz="4" w:space="0"/>
            </w:tcBorders>
            <w:vAlign w:val="center"/>
          </w:tcPr>
          <w:p w14:paraId="6ED40100">
            <w:pPr>
              <w:widowControl/>
              <w:spacing w:line="300" w:lineRule="exact"/>
              <w:jc w:val="left"/>
              <w:textAlignment w:val="center"/>
              <w:rPr>
                <w:rFonts w:ascii="微软雅黑" w:hAnsi="微软雅黑" w:eastAsia="微软雅黑" w:cs="微软雅黑"/>
                <w:color w:val="auto"/>
                <w:szCs w:val="21"/>
              </w:rPr>
            </w:pPr>
            <w:r>
              <w:rPr>
                <w:rFonts w:hint="eastAsia" w:ascii="微软雅黑" w:hAnsi="微软雅黑" w:eastAsia="微软雅黑" w:cs="微软雅黑"/>
                <w:color w:val="auto"/>
                <w:szCs w:val="21"/>
                <w:lang w:val="en-US" w:eastAsia="zh-CN"/>
              </w:rPr>
              <w:t>1.采用 RVVP软电缆，规格 2×1.0mm²，适用于信号控制信号传输。</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5A04559D">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米</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75FAE1B0">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10730</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02810764">
            <w:pPr>
              <w:spacing w:line="300" w:lineRule="exact"/>
              <w:jc w:val="center"/>
              <w:rPr>
                <w:rFonts w:ascii="微软雅黑" w:hAnsi="微软雅黑" w:eastAsia="微软雅黑" w:cs="微软雅黑"/>
                <w:color w:val="auto"/>
                <w:szCs w:val="21"/>
              </w:rPr>
            </w:pPr>
          </w:p>
        </w:tc>
      </w:tr>
      <w:tr w14:paraId="296E469A">
        <w:tblPrEx>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vAlign w:val="center"/>
          </w:tcPr>
          <w:p w14:paraId="67CAFFED">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2</w:t>
            </w:r>
            <w:r>
              <w:rPr>
                <w:rFonts w:hint="eastAsia" w:ascii="微软雅黑" w:hAnsi="微软雅黑" w:eastAsia="微软雅黑" w:cs="微软雅黑"/>
                <w:color w:val="auto"/>
                <w:szCs w:val="21"/>
              </w:rPr>
              <w:t>1</w:t>
            </w:r>
          </w:p>
        </w:tc>
        <w:tc>
          <w:tcPr>
            <w:tcW w:w="861" w:type="dxa"/>
            <w:tcBorders>
              <w:top w:val="single" w:color="000000" w:sz="4" w:space="0"/>
              <w:left w:val="single" w:color="000000" w:sz="4" w:space="0"/>
              <w:bottom w:val="single" w:color="000000" w:sz="4" w:space="0"/>
              <w:right w:val="single" w:color="000000" w:sz="4" w:space="0"/>
            </w:tcBorders>
            <w:noWrap/>
            <w:vAlign w:val="center"/>
          </w:tcPr>
          <w:p w14:paraId="036280AA">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电源线</w:t>
            </w:r>
          </w:p>
        </w:tc>
        <w:tc>
          <w:tcPr>
            <w:tcW w:w="5559" w:type="dxa"/>
            <w:tcBorders>
              <w:top w:val="single" w:color="000000" w:sz="4" w:space="0"/>
              <w:left w:val="single" w:color="000000" w:sz="4" w:space="0"/>
              <w:bottom w:val="single" w:color="000000" w:sz="4" w:space="0"/>
              <w:right w:val="single" w:color="000000" w:sz="4" w:space="0"/>
            </w:tcBorders>
            <w:vAlign w:val="center"/>
          </w:tcPr>
          <w:p w14:paraId="31C1E090">
            <w:pPr>
              <w:widowControl/>
              <w:spacing w:line="300" w:lineRule="exact"/>
              <w:jc w:val="left"/>
              <w:textAlignment w:val="center"/>
              <w:rPr>
                <w:rFonts w:ascii="微软雅黑" w:hAnsi="微软雅黑" w:eastAsia="微软雅黑" w:cs="微软雅黑"/>
                <w:color w:val="auto"/>
                <w:szCs w:val="21"/>
              </w:rPr>
            </w:pPr>
            <w:r>
              <w:rPr>
                <w:rFonts w:hint="eastAsia" w:ascii="微软雅黑" w:hAnsi="微软雅黑" w:eastAsia="微软雅黑" w:cs="微软雅黑"/>
                <w:color w:val="auto"/>
                <w:szCs w:val="21"/>
                <w:lang w:val="en-US" w:eastAsia="zh-CN"/>
              </w:rPr>
              <w:t>1.采用 RVV 护套软电缆，规格 2×1.0mm²，用于电源或控制信号传输。</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48C06075">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米</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251E8365">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10730</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4DEAFA1E">
            <w:pPr>
              <w:spacing w:line="300" w:lineRule="exact"/>
              <w:jc w:val="center"/>
              <w:rPr>
                <w:rFonts w:ascii="微软雅黑" w:hAnsi="微软雅黑" w:eastAsia="微软雅黑" w:cs="微软雅黑"/>
                <w:color w:val="auto"/>
                <w:szCs w:val="21"/>
              </w:rPr>
            </w:pPr>
          </w:p>
        </w:tc>
      </w:tr>
      <w:tr w14:paraId="0404E211">
        <w:tblPrEx>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vAlign w:val="center"/>
          </w:tcPr>
          <w:p w14:paraId="23120EB0">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2</w:t>
            </w:r>
            <w:r>
              <w:rPr>
                <w:rFonts w:hint="eastAsia" w:ascii="微软雅黑" w:hAnsi="微软雅黑" w:eastAsia="微软雅黑" w:cs="微软雅黑"/>
                <w:color w:val="auto"/>
                <w:szCs w:val="21"/>
              </w:rPr>
              <w:t>2</w:t>
            </w:r>
          </w:p>
        </w:tc>
        <w:tc>
          <w:tcPr>
            <w:tcW w:w="861" w:type="dxa"/>
            <w:tcBorders>
              <w:top w:val="single" w:color="000000" w:sz="4" w:space="0"/>
              <w:left w:val="single" w:color="000000" w:sz="4" w:space="0"/>
              <w:bottom w:val="single" w:color="000000" w:sz="4" w:space="0"/>
              <w:right w:val="single" w:color="000000" w:sz="4" w:space="0"/>
            </w:tcBorders>
            <w:noWrap/>
            <w:vAlign w:val="center"/>
          </w:tcPr>
          <w:p w14:paraId="36EC24D3">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管道　</w:t>
            </w:r>
          </w:p>
        </w:tc>
        <w:tc>
          <w:tcPr>
            <w:tcW w:w="5559" w:type="dxa"/>
            <w:tcBorders>
              <w:top w:val="single" w:color="000000" w:sz="4" w:space="0"/>
              <w:left w:val="single" w:color="000000" w:sz="4" w:space="0"/>
              <w:bottom w:val="single" w:color="000000" w:sz="4" w:space="0"/>
              <w:right w:val="single" w:color="000000" w:sz="4" w:space="0"/>
            </w:tcBorders>
            <w:vAlign w:val="center"/>
          </w:tcPr>
          <w:p w14:paraId="7E2BBB22">
            <w:pPr>
              <w:widowControl/>
              <w:spacing w:line="300" w:lineRule="exact"/>
              <w:jc w:val="left"/>
              <w:textAlignment w:val="center"/>
              <w:rPr>
                <w:rFonts w:ascii="微软雅黑" w:hAnsi="微软雅黑" w:eastAsia="微软雅黑" w:cs="微软雅黑"/>
                <w:color w:val="auto"/>
                <w:szCs w:val="21"/>
              </w:rPr>
            </w:pPr>
            <w:r>
              <w:rPr>
                <w:rFonts w:hint="eastAsia" w:ascii="微软雅黑" w:hAnsi="微软雅黑" w:eastAsia="微软雅黑" w:cs="微软雅黑"/>
                <w:color w:val="auto"/>
                <w:szCs w:val="21"/>
                <w:lang w:val="en-US" w:eastAsia="zh-CN"/>
              </w:rPr>
              <w:t>1.采用 PVC 穿线管，外径20mm，用于线缆防护敷设</w:t>
            </w:r>
            <w:r>
              <w:rPr>
                <w:rFonts w:ascii="宋体" w:hAnsi="宋体" w:eastAsia="宋体" w:cs="宋体"/>
                <w:color w:val="auto"/>
                <w:sz w:val="24"/>
                <w:szCs w:val="24"/>
              </w:rPr>
              <w:t>。</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2E1D752D">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米</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5EDDA820">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10730</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61D21AF0">
            <w:pPr>
              <w:spacing w:line="300" w:lineRule="exact"/>
              <w:jc w:val="center"/>
              <w:rPr>
                <w:rFonts w:ascii="微软雅黑" w:hAnsi="微软雅黑" w:eastAsia="微软雅黑" w:cs="微软雅黑"/>
                <w:color w:val="auto"/>
                <w:szCs w:val="21"/>
              </w:rPr>
            </w:pPr>
          </w:p>
        </w:tc>
      </w:tr>
      <w:tr w14:paraId="53E123FD">
        <w:tblPrEx>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vAlign w:val="center"/>
          </w:tcPr>
          <w:p w14:paraId="17020C88">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2</w:t>
            </w:r>
            <w:r>
              <w:rPr>
                <w:rFonts w:hint="eastAsia" w:ascii="微软雅黑" w:hAnsi="微软雅黑" w:eastAsia="微软雅黑" w:cs="微软雅黑"/>
                <w:color w:val="auto"/>
                <w:szCs w:val="21"/>
              </w:rPr>
              <w:t>3</w:t>
            </w:r>
          </w:p>
        </w:tc>
        <w:tc>
          <w:tcPr>
            <w:tcW w:w="861" w:type="dxa"/>
            <w:tcBorders>
              <w:top w:val="single" w:color="000000" w:sz="4" w:space="0"/>
              <w:left w:val="single" w:color="000000" w:sz="4" w:space="0"/>
              <w:bottom w:val="single" w:color="000000" w:sz="4" w:space="0"/>
              <w:right w:val="single" w:color="000000" w:sz="4" w:space="0"/>
            </w:tcBorders>
            <w:noWrap/>
            <w:vAlign w:val="center"/>
          </w:tcPr>
          <w:p w14:paraId="5A508057">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辅材</w:t>
            </w:r>
          </w:p>
        </w:tc>
        <w:tc>
          <w:tcPr>
            <w:tcW w:w="5559" w:type="dxa"/>
            <w:tcBorders>
              <w:top w:val="single" w:color="000000" w:sz="4" w:space="0"/>
              <w:left w:val="single" w:color="000000" w:sz="4" w:space="0"/>
              <w:bottom w:val="single" w:color="000000" w:sz="4" w:space="0"/>
              <w:right w:val="single" w:color="000000" w:sz="4" w:space="0"/>
            </w:tcBorders>
            <w:vAlign w:val="center"/>
          </w:tcPr>
          <w:p w14:paraId="3710F3FE">
            <w:pPr>
              <w:widowControl/>
              <w:spacing w:line="300" w:lineRule="exact"/>
              <w:jc w:val="left"/>
              <w:textAlignment w:val="center"/>
              <w:rPr>
                <w:rFonts w:ascii="微软雅黑" w:hAnsi="微软雅黑" w:eastAsia="微软雅黑" w:cs="微软雅黑"/>
                <w:color w:val="auto"/>
                <w:szCs w:val="21"/>
              </w:rPr>
            </w:pPr>
            <w:r>
              <w:rPr>
                <w:rFonts w:hint="eastAsia" w:ascii="微软雅黑" w:hAnsi="微软雅黑" w:eastAsia="微软雅黑" w:cs="微软雅黑"/>
                <w:color w:val="auto"/>
                <w:szCs w:val="21"/>
                <w:lang w:val="en-US" w:eastAsia="zh-CN"/>
              </w:rPr>
              <w:t>1.</w:t>
            </w:r>
            <w:r>
              <w:rPr>
                <w:rFonts w:ascii="微软雅黑" w:hAnsi="微软雅黑" w:eastAsia="微软雅黑" w:cs="微软雅黑"/>
                <w:color w:val="auto"/>
                <w:szCs w:val="21"/>
              </w:rPr>
              <w:t>网络传输类辅材：非屏蔽双绞线，符合国标标准，用于摄像机网络信号传输；配套水晶头为三叉镀金触点RJ45水晶头</w:t>
            </w:r>
            <w:r>
              <w:rPr>
                <w:rFonts w:ascii="微软雅黑" w:hAnsi="微软雅黑" w:eastAsia="微软雅黑" w:cs="微软雅黑"/>
                <w:color w:val="auto"/>
                <w:szCs w:val="21"/>
              </w:rPr>
              <w:br w:type="textWrapping"/>
            </w:r>
            <w:r>
              <w:rPr>
                <w:rFonts w:hint="eastAsia" w:ascii="微软雅黑" w:hAnsi="微软雅黑" w:eastAsia="微软雅黑" w:cs="微软雅黑"/>
                <w:color w:val="auto"/>
                <w:szCs w:val="21"/>
                <w:lang w:val="en-US" w:eastAsia="zh-CN"/>
              </w:rPr>
              <w:t>2.</w:t>
            </w:r>
            <w:r>
              <w:rPr>
                <w:rFonts w:ascii="微软雅黑" w:hAnsi="微软雅黑" w:eastAsia="微软雅黑" w:cs="微软雅黑"/>
                <w:color w:val="auto"/>
                <w:szCs w:val="21"/>
              </w:rPr>
              <w:t>管路防护类辅材：国标穿线管，用于室外线路防护；配套直接头、弯接头、管卡等配件，与管材同规格同材质，确保管路连接牢固、密封良好。</w:t>
            </w:r>
            <w:r>
              <w:rPr>
                <w:rFonts w:ascii="微软雅黑" w:hAnsi="微软雅黑" w:eastAsia="微软雅黑" w:cs="微软雅黑"/>
                <w:color w:val="auto"/>
                <w:szCs w:val="21"/>
              </w:rPr>
              <w:br w:type="textWrapping"/>
            </w:r>
            <w:r>
              <w:rPr>
                <w:rFonts w:hint="eastAsia" w:ascii="微软雅黑" w:hAnsi="微软雅黑" w:eastAsia="微软雅黑" w:cs="微软雅黑"/>
                <w:color w:val="auto"/>
                <w:szCs w:val="21"/>
                <w:lang w:val="en-US" w:eastAsia="zh-CN"/>
              </w:rPr>
              <w:t>3.</w:t>
            </w:r>
            <w:r>
              <w:rPr>
                <w:rFonts w:ascii="微软雅黑" w:hAnsi="微软雅黑" w:eastAsia="微软雅黑" w:cs="微软雅黑"/>
                <w:color w:val="auto"/>
                <w:szCs w:val="21"/>
              </w:rPr>
              <w:t>固定安装类辅材：膨胀螺丝，适配不同安装场景，用于设备、支架、管路的墙面/地面固定；配套膨胀管、垫片、螺母等配件，确保安装牢固可靠。</w:t>
            </w:r>
            <w:r>
              <w:rPr>
                <w:rFonts w:ascii="微软雅黑" w:hAnsi="微软雅黑" w:eastAsia="微软雅黑" w:cs="微软雅黑"/>
                <w:color w:val="auto"/>
                <w:szCs w:val="21"/>
              </w:rPr>
              <w:br w:type="textWrapping"/>
            </w:r>
            <w:r>
              <w:rPr>
                <w:rFonts w:hint="eastAsia" w:ascii="微软雅黑" w:hAnsi="微软雅黑" w:eastAsia="微软雅黑" w:cs="微软雅黑"/>
                <w:color w:val="auto"/>
                <w:szCs w:val="21"/>
                <w:lang w:val="en-US" w:eastAsia="zh-CN"/>
              </w:rPr>
              <w:t>4.</w:t>
            </w:r>
            <w:r>
              <w:rPr>
                <w:rFonts w:ascii="微软雅黑" w:hAnsi="微软雅黑" w:eastAsia="微软雅黑" w:cs="微软雅黑"/>
                <w:color w:val="auto"/>
                <w:szCs w:val="21"/>
              </w:rPr>
              <w:t xml:space="preserve">设备配套辅材：包括设备专用设备箱、网桥等。同时配备设备配套固定支架等配件，以保障设备安装符合规范且接地状况良好。 </w:t>
            </w:r>
            <w:r>
              <w:rPr>
                <w:rFonts w:ascii="微软雅黑" w:hAnsi="微软雅黑" w:eastAsia="微软雅黑" w:cs="微软雅黑"/>
                <w:color w:val="auto"/>
                <w:szCs w:val="21"/>
              </w:rPr>
              <w:br w:type="textWrapping"/>
            </w:r>
            <w:r>
              <w:rPr>
                <w:rFonts w:hint="eastAsia" w:ascii="微软雅黑" w:hAnsi="微软雅黑" w:eastAsia="微软雅黑" w:cs="微软雅黑"/>
                <w:color w:val="auto"/>
                <w:szCs w:val="21"/>
                <w:lang w:val="en-US" w:eastAsia="zh-CN"/>
              </w:rPr>
              <w:t>5.</w:t>
            </w:r>
            <w:r>
              <w:rPr>
                <w:rFonts w:ascii="微软雅黑" w:hAnsi="微软雅黑" w:eastAsia="微软雅黑" w:cs="微软雅黑"/>
                <w:color w:val="auto"/>
                <w:szCs w:val="21"/>
              </w:rPr>
              <w:t>零星配套辅材：包含绝缘胶带、扎带、接线端子等安装所需零星配件，所有辅材均符合国家相关标准，适配本项目所有设备的安装、接线、防护需求。</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7D0B799C">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项</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11595708">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1</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08054A2F">
            <w:pPr>
              <w:spacing w:line="300" w:lineRule="exact"/>
              <w:jc w:val="center"/>
              <w:rPr>
                <w:rFonts w:ascii="微软雅黑" w:hAnsi="微软雅黑" w:eastAsia="微软雅黑" w:cs="微软雅黑"/>
                <w:color w:val="auto"/>
                <w:szCs w:val="21"/>
              </w:rPr>
            </w:pPr>
          </w:p>
        </w:tc>
      </w:tr>
      <w:tr w14:paraId="33BC24FF">
        <w:tblPrEx>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vAlign w:val="center"/>
          </w:tcPr>
          <w:p w14:paraId="6ADA0437">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2</w:t>
            </w:r>
            <w:r>
              <w:rPr>
                <w:rFonts w:hint="eastAsia" w:ascii="微软雅黑" w:hAnsi="微软雅黑" w:eastAsia="微软雅黑" w:cs="微软雅黑"/>
                <w:color w:val="auto"/>
                <w:szCs w:val="21"/>
              </w:rPr>
              <w:t>4</w:t>
            </w:r>
          </w:p>
        </w:tc>
        <w:tc>
          <w:tcPr>
            <w:tcW w:w="861" w:type="dxa"/>
            <w:tcBorders>
              <w:top w:val="single" w:color="000000" w:sz="4" w:space="0"/>
              <w:left w:val="single" w:color="000000" w:sz="4" w:space="0"/>
              <w:bottom w:val="single" w:color="000000" w:sz="4" w:space="0"/>
              <w:right w:val="single" w:color="000000" w:sz="4" w:space="0"/>
            </w:tcBorders>
            <w:noWrap/>
            <w:vAlign w:val="center"/>
          </w:tcPr>
          <w:p w14:paraId="145DF0E6">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安装及调试</w:t>
            </w:r>
          </w:p>
        </w:tc>
        <w:tc>
          <w:tcPr>
            <w:tcW w:w="5559" w:type="dxa"/>
            <w:tcBorders>
              <w:top w:val="single" w:color="000000" w:sz="4" w:space="0"/>
              <w:left w:val="single" w:color="000000" w:sz="4" w:space="0"/>
              <w:bottom w:val="single" w:color="000000" w:sz="4" w:space="0"/>
              <w:right w:val="single" w:color="000000" w:sz="4" w:space="0"/>
            </w:tcBorders>
            <w:vAlign w:val="center"/>
          </w:tcPr>
          <w:p w14:paraId="0E560CC7">
            <w:pPr>
              <w:widowControl/>
              <w:spacing w:line="300" w:lineRule="exact"/>
              <w:jc w:val="left"/>
              <w:textAlignment w:val="center"/>
              <w:rPr>
                <w:rFonts w:ascii="微软雅黑" w:hAnsi="微软雅黑" w:eastAsia="微软雅黑" w:cs="微软雅黑"/>
                <w:color w:val="auto"/>
                <w:szCs w:val="21"/>
              </w:rPr>
            </w:pPr>
            <w:r>
              <w:rPr>
                <w:rFonts w:hint="eastAsia" w:ascii="微软雅黑" w:hAnsi="微软雅黑" w:eastAsia="微软雅黑" w:cs="微软雅黑"/>
                <w:color w:val="auto"/>
                <w:szCs w:val="21"/>
                <w:lang w:val="en-US" w:eastAsia="zh-CN"/>
              </w:rPr>
              <w:t>1.</w:t>
            </w:r>
            <w:r>
              <w:rPr>
                <w:rFonts w:ascii="微软雅黑" w:hAnsi="微软雅黑" w:eastAsia="微软雅黑" w:cs="微软雅黑"/>
                <w:color w:val="auto"/>
                <w:szCs w:val="21"/>
              </w:rPr>
              <w:t>前期施工准备：负责本项目20所学校的现场踏勘、点位复核，对接学校完成施工区域确认、施工时间规划，确保施工不影响学校正常秩序；负责施工所需设备、材料的进场检验、仓储管理、二次转运，确保所有设备材料符合清单要求，无破损。</w:t>
            </w:r>
            <w:r>
              <w:rPr>
                <w:rFonts w:ascii="微软雅黑" w:hAnsi="微软雅黑" w:eastAsia="微软雅黑" w:cs="微软雅黑"/>
                <w:color w:val="auto"/>
                <w:szCs w:val="21"/>
              </w:rPr>
              <w:br w:type="textWrapping"/>
            </w:r>
            <w:r>
              <w:rPr>
                <w:rFonts w:hint="eastAsia" w:ascii="微软雅黑" w:hAnsi="微软雅黑" w:eastAsia="微软雅黑" w:cs="微软雅黑"/>
                <w:color w:val="auto"/>
                <w:szCs w:val="21"/>
                <w:lang w:val="en-US" w:eastAsia="zh-CN"/>
              </w:rPr>
              <w:t>2.</w:t>
            </w:r>
            <w:r>
              <w:rPr>
                <w:rFonts w:ascii="微软雅黑" w:hAnsi="微软雅黑" w:eastAsia="微软雅黑" w:cs="微软雅黑"/>
                <w:color w:val="auto"/>
                <w:szCs w:val="21"/>
              </w:rPr>
              <w:t>原有设施拆除与利旧：负责学校原有电子围栏的规范拆除，拆除过程中避免造成原有设施损坏；对清单中明确可利旧的设备、</w:t>
            </w:r>
            <w:r>
              <w:rPr>
                <w:rFonts w:hint="eastAsia" w:ascii="微软雅黑" w:hAnsi="微软雅黑" w:eastAsia="微软雅黑" w:cs="微软雅黑"/>
                <w:color w:val="auto"/>
                <w:szCs w:val="21"/>
                <w:lang w:val="en-US" w:eastAsia="zh-CN"/>
              </w:rPr>
              <w:t>部分线材</w:t>
            </w:r>
            <w:r>
              <w:rPr>
                <w:rFonts w:ascii="微软雅黑" w:hAnsi="微软雅黑" w:eastAsia="微软雅黑" w:cs="微软雅黑"/>
                <w:color w:val="auto"/>
                <w:szCs w:val="21"/>
              </w:rPr>
              <w:t>进行全面检测、清洁，确保利旧设备性能完好、功能正常，可无缝接入新建系统，利旧设备安装位置需符合学校安全管理要求。</w:t>
            </w:r>
            <w:r>
              <w:rPr>
                <w:rFonts w:ascii="微软雅黑" w:hAnsi="微软雅黑" w:eastAsia="微软雅黑" w:cs="微软雅黑"/>
                <w:color w:val="auto"/>
                <w:szCs w:val="21"/>
              </w:rPr>
              <w:br w:type="textWrapping"/>
            </w:r>
            <w:r>
              <w:rPr>
                <w:rFonts w:hint="eastAsia" w:ascii="微软雅黑" w:hAnsi="微软雅黑" w:eastAsia="微软雅黑" w:cs="微软雅黑"/>
                <w:color w:val="auto"/>
                <w:szCs w:val="21"/>
                <w:lang w:val="en-US" w:eastAsia="zh-CN"/>
              </w:rPr>
              <w:t>3.</w:t>
            </w:r>
            <w:r>
              <w:rPr>
                <w:rFonts w:ascii="微软雅黑" w:hAnsi="微软雅黑" w:eastAsia="微软雅黑" w:cs="微软雅黑"/>
                <w:color w:val="auto"/>
                <w:szCs w:val="21"/>
              </w:rPr>
              <w:t>电子围栏系统安装施工：完成电子围栏所有设备的安装固定，安装位置、高度、角度符合要求，设备安装牢固；完成线路铺设、拉线穿管、线路固定，所有线路均需穿管防护，走向合理、整齐规范，无裸露、无破损；完成路面开挖、管线预埋、恢复回填，开挖深度、宽度符合学校要求，回填后路面平整。</w:t>
            </w:r>
            <w:r>
              <w:rPr>
                <w:rFonts w:ascii="微软雅黑" w:hAnsi="微软雅黑" w:eastAsia="微软雅黑" w:cs="微软雅黑"/>
                <w:color w:val="auto"/>
                <w:szCs w:val="21"/>
              </w:rPr>
              <w:br w:type="textWrapping"/>
            </w:r>
            <w:r>
              <w:rPr>
                <w:rFonts w:hint="eastAsia" w:ascii="微软雅黑" w:hAnsi="微软雅黑" w:eastAsia="微软雅黑" w:cs="微软雅黑"/>
                <w:color w:val="auto"/>
                <w:szCs w:val="21"/>
                <w:lang w:val="en-US" w:eastAsia="zh-CN"/>
              </w:rPr>
              <w:t>4.</w:t>
            </w:r>
            <w:r>
              <w:rPr>
                <w:rFonts w:ascii="微软雅黑" w:hAnsi="微软雅黑" w:eastAsia="微软雅黑" w:cs="微软雅黑"/>
                <w:color w:val="auto"/>
                <w:szCs w:val="21"/>
              </w:rPr>
              <w:t>视频监控系统安装施工：完成摄像机、交换机、网桥、设备箱等设备的安装固定，摄像机安装位置、角度、高度符合监控覆盖要求，安装牢固，完成网线、电源线的铺设、穿管、端接，线路端接规范、线序正确，无短路、无断路。</w:t>
            </w:r>
            <w:r>
              <w:rPr>
                <w:rFonts w:ascii="微软雅黑" w:hAnsi="微软雅黑" w:eastAsia="微软雅黑" w:cs="微软雅黑"/>
                <w:color w:val="auto"/>
                <w:szCs w:val="21"/>
              </w:rPr>
              <w:br w:type="textWrapping"/>
            </w:r>
            <w:r>
              <w:rPr>
                <w:rFonts w:hint="eastAsia" w:ascii="微软雅黑" w:hAnsi="微软雅黑" w:eastAsia="微软雅黑" w:cs="微软雅黑"/>
                <w:color w:val="auto"/>
                <w:szCs w:val="21"/>
                <w:lang w:val="en-US" w:eastAsia="zh-CN"/>
              </w:rPr>
              <w:t>5.</w:t>
            </w:r>
            <w:r>
              <w:rPr>
                <w:rFonts w:ascii="微软雅黑" w:hAnsi="微软雅黑" w:eastAsia="微软雅黑" w:cs="微软雅黑"/>
                <w:color w:val="auto"/>
                <w:szCs w:val="21"/>
              </w:rPr>
              <w:t>系统接线与连通调试：完成所有设备的接线、连通调试，确保电子围栏系统、视频监控的所有设备网络连通、信号正常；</w:t>
            </w:r>
            <w:r>
              <w:rPr>
                <w:rFonts w:ascii="微软雅黑" w:hAnsi="微软雅黑" w:eastAsia="微软雅黑" w:cs="微软雅黑"/>
                <w:color w:val="auto"/>
                <w:szCs w:val="21"/>
              </w:rPr>
              <w:br w:type="textWrapping"/>
            </w:r>
            <w:r>
              <w:rPr>
                <w:rFonts w:hint="eastAsia" w:ascii="微软雅黑" w:hAnsi="微软雅黑" w:eastAsia="微软雅黑" w:cs="微软雅黑"/>
                <w:color w:val="auto"/>
                <w:szCs w:val="21"/>
                <w:lang w:val="en-US" w:eastAsia="zh-CN"/>
              </w:rPr>
              <w:t>6.</w:t>
            </w:r>
            <w:r>
              <w:rPr>
                <w:rFonts w:ascii="微软雅黑" w:hAnsi="微软雅黑" w:eastAsia="微软雅黑" w:cs="微软雅黑"/>
                <w:color w:val="auto"/>
                <w:szCs w:val="21"/>
              </w:rPr>
              <w:t>系统整体联调与功能验证：完成中心报警控制主机与所有前端设备的联调，确保中心主机可实时接收所有防区的报警信息、设备状态信息，完成电子围栏系统的功能调试，确保报警发生时，对应区域自动声光报警，完成系统所有功能的全面验证。监控区域应确保在报警发生时，视频监控系统能够触发联动声音报警。</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48DFE350">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项</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4DDA5823">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1</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7DA22453">
            <w:pPr>
              <w:spacing w:line="300" w:lineRule="exact"/>
              <w:jc w:val="center"/>
              <w:rPr>
                <w:rFonts w:ascii="微软雅黑" w:hAnsi="微软雅黑" w:eastAsia="微软雅黑" w:cs="微软雅黑"/>
                <w:color w:val="auto"/>
                <w:szCs w:val="21"/>
              </w:rPr>
            </w:pPr>
          </w:p>
        </w:tc>
      </w:tr>
      <w:tr w14:paraId="27E50684">
        <w:tblPrEx>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vAlign w:val="center"/>
          </w:tcPr>
          <w:p w14:paraId="06DED416">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2</w:t>
            </w:r>
            <w:r>
              <w:rPr>
                <w:rFonts w:hint="eastAsia" w:ascii="微软雅黑" w:hAnsi="微软雅黑" w:eastAsia="微软雅黑" w:cs="微软雅黑"/>
                <w:color w:val="auto"/>
                <w:szCs w:val="21"/>
              </w:rPr>
              <w:t>5</w:t>
            </w:r>
          </w:p>
        </w:tc>
        <w:tc>
          <w:tcPr>
            <w:tcW w:w="861" w:type="dxa"/>
            <w:tcBorders>
              <w:top w:val="single" w:color="000000" w:sz="4" w:space="0"/>
              <w:left w:val="single" w:color="000000" w:sz="4" w:space="0"/>
              <w:bottom w:val="single" w:color="000000" w:sz="4" w:space="0"/>
              <w:right w:val="single" w:color="000000" w:sz="4" w:space="0"/>
            </w:tcBorders>
            <w:noWrap/>
            <w:vAlign w:val="center"/>
          </w:tcPr>
          <w:p w14:paraId="083ED806">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运维服务</w:t>
            </w:r>
          </w:p>
        </w:tc>
        <w:tc>
          <w:tcPr>
            <w:tcW w:w="5559" w:type="dxa"/>
            <w:tcBorders>
              <w:top w:val="single" w:color="000000" w:sz="4" w:space="0"/>
              <w:left w:val="single" w:color="000000" w:sz="4" w:space="0"/>
              <w:bottom w:val="single" w:color="000000" w:sz="4" w:space="0"/>
              <w:right w:val="single" w:color="000000" w:sz="4" w:space="0"/>
            </w:tcBorders>
            <w:vAlign w:val="center"/>
          </w:tcPr>
          <w:p w14:paraId="225AEBEE">
            <w:pPr>
              <w:widowControl/>
              <w:spacing w:line="300" w:lineRule="exact"/>
              <w:jc w:val="left"/>
              <w:textAlignment w:val="center"/>
              <w:rPr>
                <w:rFonts w:ascii="微软雅黑" w:hAnsi="微软雅黑" w:eastAsia="微软雅黑" w:cs="微软雅黑"/>
                <w:color w:val="auto"/>
                <w:szCs w:val="21"/>
              </w:rPr>
            </w:pPr>
            <w:r>
              <w:rPr>
                <w:rFonts w:hint="eastAsia" w:ascii="微软雅黑" w:hAnsi="微软雅黑" w:eastAsia="微软雅黑" w:cs="微软雅黑"/>
                <w:color w:val="auto"/>
                <w:szCs w:val="21"/>
                <w:lang w:val="en-US" w:eastAsia="zh-CN"/>
              </w:rPr>
              <w:t>1.</w:t>
            </w:r>
            <w:r>
              <w:rPr>
                <w:rFonts w:ascii="微软雅黑" w:hAnsi="微软雅黑" w:eastAsia="微软雅黑" w:cs="微软雅黑"/>
                <w:color w:val="auto"/>
                <w:szCs w:val="21"/>
              </w:rPr>
              <w:t>服务覆盖范围：负责本项目20所学校电子围栏、视频监控</w:t>
            </w:r>
            <w:r>
              <w:rPr>
                <w:rFonts w:hint="eastAsia" w:ascii="微软雅黑" w:hAnsi="微软雅黑" w:eastAsia="微软雅黑" w:cs="微软雅黑"/>
                <w:color w:val="auto"/>
                <w:szCs w:val="21"/>
                <w:lang w:val="en-US" w:eastAsia="zh-CN"/>
              </w:rPr>
              <w:t>的现场</w:t>
            </w:r>
            <w:r>
              <w:rPr>
                <w:rFonts w:ascii="微软雅黑" w:hAnsi="微软雅黑" w:eastAsia="微软雅黑" w:cs="微软雅黑"/>
                <w:color w:val="auto"/>
                <w:szCs w:val="21"/>
              </w:rPr>
              <w:t>运维服务，服务内容包含系统日常巡检、设备维护服务、故障应急处理、技术支持等，确保系统全年365天稳定运行。</w:t>
            </w:r>
            <w:r>
              <w:rPr>
                <w:rFonts w:ascii="微软雅黑" w:hAnsi="微软雅黑" w:eastAsia="微软雅黑" w:cs="微软雅黑"/>
                <w:color w:val="auto"/>
                <w:szCs w:val="21"/>
              </w:rPr>
              <w:br w:type="textWrapping"/>
            </w:r>
            <w:r>
              <w:rPr>
                <w:rFonts w:hint="eastAsia" w:ascii="微软雅黑" w:hAnsi="微软雅黑" w:eastAsia="微软雅黑" w:cs="微软雅黑"/>
                <w:color w:val="auto"/>
                <w:szCs w:val="21"/>
                <w:lang w:val="en-US" w:eastAsia="zh-CN"/>
              </w:rPr>
              <w:t>2.</w:t>
            </w:r>
            <w:r>
              <w:rPr>
                <w:rFonts w:ascii="微软雅黑" w:hAnsi="微软雅黑" w:eastAsia="微软雅黑" w:cs="微软雅黑"/>
                <w:color w:val="auto"/>
                <w:szCs w:val="21"/>
              </w:rPr>
              <w:t>日常巡检服务：对20所学校的系统设备进行定期巡检，重点巡检内容包含：电子围栏控制杆、支撑杆、钢丝绳、紧线器、弹簧、避雷器等设备的安装牢固度、运行状态；摄像机、等设备的运行状态、中心报警控制主机的运行状态、报警功能、联动功能。</w:t>
            </w:r>
            <w:r>
              <w:rPr>
                <w:rFonts w:ascii="微软雅黑" w:hAnsi="微软雅黑" w:eastAsia="微软雅黑" w:cs="微软雅黑"/>
                <w:color w:val="auto"/>
                <w:szCs w:val="21"/>
              </w:rPr>
              <w:br w:type="textWrapping"/>
            </w:r>
            <w:r>
              <w:rPr>
                <w:rFonts w:hint="eastAsia" w:ascii="微软雅黑" w:hAnsi="微软雅黑" w:eastAsia="微软雅黑" w:cs="微软雅黑"/>
                <w:color w:val="auto"/>
                <w:szCs w:val="21"/>
                <w:lang w:val="en-US" w:eastAsia="zh-CN"/>
              </w:rPr>
              <w:t>3.</w:t>
            </w:r>
            <w:r>
              <w:rPr>
                <w:rFonts w:ascii="微软雅黑" w:hAnsi="微软雅黑" w:eastAsia="微软雅黑" w:cs="微软雅黑"/>
                <w:color w:val="auto"/>
                <w:szCs w:val="21"/>
              </w:rPr>
              <w:t>设备维护服务：每季度对系统设备进行一次全面的维护，维护内容包含：设备线路端接检查；确保设备性能完好、系统运行稳定。</w:t>
            </w:r>
            <w:r>
              <w:rPr>
                <w:rFonts w:ascii="微软雅黑" w:hAnsi="微软雅黑" w:eastAsia="微软雅黑" w:cs="微软雅黑"/>
                <w:color w:val="auto"/>
                <w:szCs w:val="21"/>
              </w:rPr>
              <w:br w:type="textWrapping"/>
            </w:r>
            <w:r>
              <w:rPr>
                <w:rFonts w:hint="eastAsia" w:ascii="微软雅黑" w:hAnsi="微软雅黑" w:eastAsia="微软雅黑" w:cs="微软雅黑"/>
                <w:color w:val="auto"/>
                <w:szCs w:val="21"/>
                <w:lang w:val="en-US" w:eastAsia="zh-CN"/>
              </w:rPr>
              <w:t>4.</w:t>
            </w:r>
            <w:r>
              <w:rPr>
                <w:rFonts w:ascii="微软雅黑" w:hAnsi="微软雅黑" w:eastAsia="微软雅黑" w:cs="微软雅黑"/>
                <w:color w:val="auto"/>
                <w:szCs w:val="21"/>
              </w:rPr>
              <w:t xml:space="preserve">故障应急处理服务：提供7×24小时应急响应服务，设立专属服务热线。接到学校故障报修后，依照响应时间和要求处理故障。 </w:t>
            </w:r>
            <w:r>
              <w:rPr>
                <w:rFonts w:ascii="微软雅黑" w:hAnsi="微软雅黑" w:eastAsia="微软雅黑" w:cs="微软雅黑"/>
                <w:color w:val="auto"/>
                <w:szCs w:val="21"/>
              </w:rPr>
              <w:br w:type="textWrapping"/>
            </w:r>
            <w:r>
              <w:rPr>
                <w:rFonts w:hint="eastAsia" w:ascii="微软雅黑" w:hAnsi="微软雅黑" w:eastAsia="微软雅黑" w:cs="微软雅黑"/>
                <w:color w:val="auto"/>
                <w:szCs w:val="21"/>
                <w:lang w:val="en-US" w:eastAsia="zh-CN"/>
              </w:rPr>
              <w:t>5.</w:t>
            </w:r>
            <w:r>
              <w:rPr>
                <w:rFonts w:ascii="微软雅黑" w:hAnsi="微软雅黑" w:eastAsia="微软雅黑" w:cs="微软雅黑"/>
                <w:color w:val="auto"/>
                <w:szCs w:val="21"/>
              </w:rPr>
              <w:t>技术支持与培训服务：提供7×24小时远程技术支持服务，解答学校的系统使用、操作、设置等相关问题，指导学校操作人员完成日常操作、简单故障排查；确保学校相关人员可熟练使用、管理系统。</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3DB7568B">
            <w:pPr>
              <w:widowControl/>
              <w:spacing w:line="300" w:lineRule="exact"/>
              <w:jc w:val="center"/>
              <w:textAlignment w:val="center"/>
              <w:rPr>
                <w:rFonts w:ascii="微软雅黑" w:hAnsi="微软雅黑" w:eastAsia="微软雅黑" w:cs="微软雅黑"/>
                <w:color w:val="auto"/>
                <w:szCs w:val="21"/>
              </w:rPr>
            </w:pPr>
            <w:r>
              <w:rPr>
                <w:rFonts w:ascii="微软雅黑" w:hAnsi="微软雅黑" w:eastAsia="微软雅黑" w:cs="微软雅黑"/>
                <w:color w:val="auto"/>
                <w:szCs w:val="21"/>
              </w:rPr>
              <w:t>年</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134E1B14">
            <w:pPr>
              <w:widowControl/>
              <w:spacing w:line="300" w:lineRule="exact"/>
              <w:jc w:val="center"/>
              <w:textAlignment w:val="center"/>
              <w:rPr>
                <w:rFonts w:ascii="微软雅黑" w:hAnsi="微软雅黑" w:eastAsia="微软雅黑" w:cs="微软雅黑"/>
                <w:color w:val="auto"/>
                <w:szCs w:val="21"/>
                <w:highlight w:val="yellow"/>
              </w:rPr>
            </w:pPr>
            <w:r>
              <w:rPr>
                <w:rFonts w:ascii="微软雅黑" w:hAnsi="微软雅黑" w:eastAsia="微软雅黑" w:cs="微软雅黑"/>
                <w:color w:val="auto"/>
                <w:szCs w:val="21"/>
              </w:rPr>
              <w:t>3</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2A1B397D">
            <w:pPr>
              <w:spacing w:line="300" w:lineRule="exact"/>
              <w:jc w:val="center"/>
              <w:rPr>
                <w:rFonts w:ascii="微软雅黑" w:hAnsi="微软雅黑" w:eastAsia="微软雅黑" w:cs="微软雅黑"/>
                <w:color w:val="auto"/>
                <w:szCs w:val="21"/>
              </w:rPr>
            </w:pPr>
          </w:p>
        </w:tc>
      </w:tr>
    </w:tbl>
    <w:p w14:paraId="5280D0D2">
      <w:pPr>
        <w:rPr>
          <w:rFonts w:hint="eastAsia"/>
          <w:color w:val="0000FF"/>
          <w:sz w:val="24"/>
          <w:szCs w:val="24"/>
          <w:lang w:val="en-US" w:eastAsia="zh-CN"/>
        </w:rPr>
      </w:pPr>
    </w:p>
    <w:p w14:paraId="4CB91D74">
      <w:pPr>
        <w:rPr>
          <w:rFonts w:hint="eastAsia"/>
          <w:color w:val="0000FF"/>
          <w:sz w:val="24"/>
          <w:szCs w:val="24"/>
          <w:lang w:val="en-US" w:eastAsia="zh-CN"/>
        </w:rPr>
      </w:pPr>
    </w:p>
    <w:p w14:paraId="62C4A6AD">
      <w:pPr>
        <w:pStyle w:val="3"/>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color w:val="0000FF"/>
          <w:sz w:val="24"/>
          <w:szCs w:val="24"/>
          <w:lang w:val="en-US" w:eastAsia="zh-CN"/>
        </w:rPr>
      </w:pPr>
      <w:r>
        <w:rPr>
          <w:rFonts w:hint="eastAsia"/>
          <w:color w:val="0000FF"/>
          <w:sz w:val="24"/>
          <w:szCs w:val="24"/>
          <w:lang w:val="en-US" w:eastAsia="zh-CN"/>
        </w:rPr>
        <w:t>质量要求</w:t>
      </w:r>
    </w:p>
    <w:p w14:paraId="636673B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375"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1.</w:t>
      </w:r>
      <w:r>
        <w:rPr>
          <w:rFonts w:hint="eastAsia"/>
          <w:color w:val="000000"/>
          <w:sz w:val="24"/>
          <w:szCs w:val="24"/>
        </w:rPr>
        <w:t>投标人不能简单照搬招标文件提供的需求，必须按招标文件技术规格逐项作出实质性应答，如照搬照抄项目需求中的技术的，中标后中标人在同采购人签订合同和履约环节中不得提出异议，一切后果和损失由中标人承担。</w:t>
      </w:r>
    </w:p>
    <w:p w14:paraId="23A4021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735" w:leftChars="0" w:right="0" w:rightChars="0" w:hanging="360"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2.</w:t>
      </w:r>
      <w:r>
        <w:rPr>
          <w:rFonts w:hint="eastAsia"/>
          <w:color w:val="000000"/>
          <w:sz w:val="24"/>
          <w:szCs w:val="24"/>
          <w:lang w:val="en-US" w:eastAsia="zh-CN"/>
        </w:rPr>
        <w:t>投标</w:t>
      </w:r>
      <w:r>
        <w:rPr>
          <w:rFonts w:hint="eastAsia"/>
          <w:color w:val="000000"/>
          <w:sz w:val="24"/>
          <w:szCs w:val="24"/>
        </w:rPr>
        <w:t>人须明确所投设备的生产厂家、品牌、型号、规格等。</w:t>
      </w:r>
    </w:p>
    <w:p w14:paraId="29D0B88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375"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3.</w:t>
      </w:r>
      <w:r>
        <w:rPr>
          <w:rFonts w:hint="eastAsia"/>
          <w:color w:val="000000"/>
          <w:sz w:val="24"/>
          <w:szCs w:val="24"/>
          <w:lang w:val="en-US" w:eastAsia="zh-CN"/>
        </w:rPr>
        <w:t>投标人</w:t>
      </w:r>
      <w:r>
        <w:rPr>
          <w:rFonts w:hint="eastAsia"/>
          <w:color w:val="000000"/>
          <w:sz w:val="24"/>
          <w:szCs w:val="24"/>
        </w:rPr>
        <w:t>应保证货物是全新、未使用过的原厂合格产品，并完全符合招标文件规定的质量、规格和参数的要求。验收过程中发现产品不符合上述要求的，将视作不合格产品，使用方有权要求更换，或有权终止合同。由此造成的直接和间接损失由中标人承担。</w:t>
      </w:r>
    </w:p>
    <w:p w14:paraId="14975FB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285"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4.</w:t>
      </w:r>
      <w:r>
        <w:rPr>
          <w:rFonts w:hint="eastAsia"/>
          <w:color w:val="000000"/>
          <w:sz w:val="24"/>
          <w:szCs w:val="24"/>
          <w:lang w:val="en-US" w:eastAsia="zh-CN"/>
        </w:rPr>
        <w:t>投</w:t>
      </w:r>
      <w:r>
        <w:rPr>
          <w:rFonts w:hint="eastAsia"/>
          <w:color w:val="000000"/>
          <w:sz w:val="24"/>
          <w:szCs w:val="24"/>
        </w:rPr>
        <w:t>标人应保证提供的产品不得侵犯第三方专利权、商标权和设计权、版权等。否则，中标人应负全部责任，并承担由此引起的一切后果。</w:t>
      </w:r>
    </w:p>
    <w:p w14:paraId="3B95958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330"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5.</w:t>
      </w:r>
      <w:r>
        <w:rPr>
          <w:rFonts w:hint="eastAsia"/>
          <w:color w:val="000000"/>
          <w:sz w:val="24"/>
          <w:szCs w:val="24"/>
          <w:lang w:val="en-US" w:eastAsia="zh-CN"/>
        </w:rPr>
        <w:t>投</w:t>
      </w:r>
      <w:r>
        <w:rPr>
          <w:rFonts w:hint="eastAsia"/>
          <w:color w:val="000000"/>
          <w:sz w:val="24"/>
          <w:szCs w:val="24"/>
        </w:rPr>
        <w:t>标人应保证其货物在正确安装、正常使用下，在其使用寿命期内应具有满意的性能。</w:t>
      </w:r>
    </w:p>
    <w:p w14:paraId="484E561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285"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6.</w:t>
      </w:r>
      <w:r>
        <w:rPr>
          <w:rFonts w:hint="eastAsia"/>
          <w:color w:val="000000"/>
          <w:sz w:val="24"/>
          <w:szCs w:val="24"/>
          <w:lang w:val="en-US" w:eastAsia="zh-CN"/>
        </w:rPr>
        <w:t>投标人</w:t>
      </w:r>
      <w:r>
        <w:rPr>
          <w:rFonts w:hint="eastAsia"/>
          <w:color w:val="000000"/>
          <w:sz w:val="24"/>
          <w:szCs w:val="24"/>
        </w:rPr>
        <w:t>应采取必要的安全措施保证货物的运输及安装的安全，并承担货物的运输及安装过程中产生的风险。</w:t>
      </w:r>
    </w:p>
    <w:p w14:paraId="4F3C38D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330"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7.</w:t>
      </w:r>
      <w:r>
        <w:rPr>
          <w:rFonts w:hint="eastAsia"/>
          <w:color w:val="000000"/>
          <w:sz w:val="24"/>
          <w:szCs w:val="24"/>
        </w:rPr>
        <w:t>所有报价的产品的各项技术标准应当符合现行相关生产标准和规范及招标文件的要求。</w:t>
      </w:r>
    </w:p>
    <w:p w14:paraId="519B2C5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285"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8.</w:t>
      </w:r>
      <w:r>
        <w:rPr>
          <w:rFonts w:hint="eastAsia"/>
          <w:color w:val="000000"/>
          <w:sz w:val="24"/>
          <w:szCs w:val="24"/>
        </w:rPr>
        <w:t>交货时必须随产品提供出厂材料，包括但不限于检验报告（复印件）、产品合格证（原件）。</w:t>
      </w:r>
    </w:p>
    <w:p w14:paraId="4EB6FCC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355" w:firstLineChars="148"/>
        <w:jc w:val="left"/>
        <w:textAlignment w:val="auto"/>
        <w:rPr>
          <w:rFonts w:hint="eastAsia"/>
          <w:color w:val="000000"/>
          <w:sz w:val="24"/>
          <w:szCs w:val="24"/>
          <w:highlight w:val="none"/>
        </w:rPr>
      </w:pPr>
      <w:r>
        <w:rPr>
          <w:rFonts w:hint="eastAsia" w:asciiTheme="minorHAnsi" w:hAnsiTheme="minorHAnsi" w:eastAsiaTheme="minorEastAsia" w:cstheme="minorBidi"/>
          <w:color w:val="000000"/>
          <w:kern w:val="2"/>
          <w:sz w:val="24"/>
          <w:szCs w:val="24"/>
          <w:lang w:val="en-US" w:eastAsia="zh-CN" w:bidi="ar-SA"/>
        </w:rPr>
        <w:t>9.</w:t>
      </w:r>
      <w:r>
        <w:rPr>
          <w:rFonts w:hint="eastAsia" w:cstheme="minorBidi"/>
          <w:color w:val="000000"/>
          <w:kern w:val="2"/>
          <w:sz w:val="24"/>
          <w:szCs w:val="24"/>
          <w:highlight w:val="none"/>
          <w:lang w:val="en-US" w:eastAsia="zh-CN" w:bidi="ar-SA"/>
        </w:rPr>
        <w:t>采购</w:t>
      </w:r>
      <w:r>
        <w:rPr>
          <w:rFonts w:hint="eastAsia"/>
          <w:color w:val="000000"/>
          <w:sz w:val="24"/>
          <w:szCs w:val="24"/>
          <w:highlight w:val="none"/>
        </w:rPr>
        <w:t>人将委托专业人员，对安装到位的设备进行全面检查</w:t>
      </w:r>
      <w:r>
        <w:rPr>
          <w:rFonts w:hint="eastAsia" w:eastAsia="宋体"/>
          <w:color w:val="000000"/>
          <w:sz w:val="24"/>
          <w:szCs w:val="24"/>
          <w:highlight w:val="none"/>
          <w:lang w:eastAsia="zh-CN"/>
        </w:rPr>
        <w:t>、</w:t>
      </w:r>
      <w:r>
        <w:rPr>
          <w:rFonts w:hint="eastAsia" w:eastAsia="宋体"/>
          <w:color w:val="000000"/>
          <w:sz w:val="24"/>
          <w:szCs w:val="24"/>
          <w:highlight w:val="none"/>
          <w:lang w:val="en-US" w:eastAsia="zh-CN"/>
        </w:rPr>
        <w:t>验收</w:t>
      </w:r>
      <w:r>
        <w:rPr>
          <w:rFonts w:hint="eastAsia"/>
          <w:color w:val="000000"/>
          <w:sz w:val="24"/>
          <w:szCs w:val="24"/>
          <w:highlight w:val="none"/>
        </w:rPr>
        <w:t>，发现使用不符合要求的产品，无条件更换，</w:t>
      </w:r>
      <w:r>
        <w:rPr>
          <w:rFonts w:hint="eastAsia" w:eastAsia="宋体"/>
          <w:color w:val="000000"/>
          <w:sz w:val="24"/>
          <w:szCs w:val="24"/>
          <w:highlight w:val="none"/>
          <w:lang w:val="en-US" w:eastAsia="zh-CN"/>
        </w:rPr>
        <w:t>如未按要求及时整改、更换，按合同约定承担违约责任</w:t>
      </w:r>
      <w:r>
        <w:rPr>
          <w:rFonts w:hint="eastAsia"/>
          <w:color w:val="000000"/>
          <w:sz w:val="24"/>
          <w:szCs w:val="24"/>
          <w:highlight w:val="none"/>
        </w:rPr>
        <w:t>。</w:t>
      </w:r>
    </w:p>
    <w:p w14:paraId="4D496A3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Times New Roman"/>
          <w:b/>
          <w:bCs/>
          <w:color w:val="0000FF"/>
          <w:sz w:val="24"/>
          <w:szCs w:val="24"/>
          <w:lang w:val="en-US" w:eastAsia="zh-CN" w:bidi="ar-SA"/>
        </w:rPr>
      </w:pPr>
      <w:r>
        <w:rPr>
          <w:rFonts w:hint="eastAsia" w:ascii="宋体" w:hAnsi="宋体" w:eastAsia="宋体" w:cs="Times New Roman"/>
          <w:b/>
          <w:bCs/>
          <w:color w:val="0000FF"/>
          <w:sz w:val="24"/>
          <w:szCs w:val="24"/>
          <w:lang w:val="en-US" w:eastAsia="zh-CN" w:bidi="ar-SA"/>
        </w:rPr>
        <w:t>五、项目实施人员要求</w:t>
      </w:r>
    </w:p>
    <w:p w14:paraId="261F757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330" w:firstLineChars="0"/>
        <w:jc w:val="left"/>
        <w:textAlignment w:val="auto"/>
        <w:rPr>
          <w:rFonts w:hint="eastAsia" w:asciiTheme="minorHAnsi" w:hAnsiTheme="minorHAnsi" w:eastAsiaTheme="minorEastAsia" w:cstheme="minorBidi"/>
          <w:color w:val="000000"/>
          <w:kern w:val="2"/>
          <w:sz w:val="24"/>
          <w:szCs w:val="24"/>
          <w:lang w:val="en-US" w:eastAsia="zh-CN" w:bidi="ar-SA"/>
        </w:rPr>
      </w:pPr>
      <w:r>
        <w:rPr>
          <w:rFonts w:hint="eastAsia" w:asciiTheme="minorHAnsi" w:hAnsiTheme="minorHAnsi" w:eastAsiaTheme="minorEastAsia" w:cstheme="minorBidi"/>
          <w:color w:val="000000"/>
          <w:kern w:val="2"/>
          <w:sz w:val="24"/>
          <w:szCs w:val="24"/>
          <w:lang w:val="en-US" w:eastAsia="zh-CN" w:bidi="ar-SA"/>
        </w:rPr>
        <w:t>本项目为射阳县教育局20所学校校园周界电子围栏及部分区域视频安防集成工程，涉及张力式电子围栏、报警主机、智能警戒摄像、管线敷设、系统联调及三年运维等全流程实施内容，项目点位多、弱电与安防系统集成复杂度高、校园安全管控标准严苛，为保障项目统筹管理、技术实施、系统调试及后期运维全过程规范落地，故人员保障应到位：</w:t>
      </w:r>
      <w:r>
        <w:rPr>
          <w:rFonts w:hint="eastAsia" w:asciiTheme="minorHAnsi" w:hAnsiTheme="minorHAnsi" w:eastAsiaTheme="minorEastAsia" w:cstheme="minorBidi"/>
          <w:b/>
          <w:bCs/>
          <w:color w:val="FF0000"/>
          <w:kern w:val="2"/>
          <w:sz w:val="24"/>
          <w:szCs w:val="24"/>
          <w:lang w:val="en-US" w:eastAsia="zh-CN" w:bidi="ar-SA"/>
        </w:rPr>
        <w:t>中标人拟派出的项目负责人、技术负责人等项目组人员必须为投标单位正式在职员工，</w:t>
      </w:r>
      <w:r>
        <w:rPr>
          <w:rFonts w:hint="eastAsia" w:asciiTheme="minorHAnsi" w:hAnsiTheme="minorHAnsi" w:eastAsiaTheme="minorEastAsia" w:cstheme="minorBidi"/>
          <w:b/>
          <w:bCs/>
          <w:color w:val="FF0000"/>
          <w:kern w:val="2"/>
          <w:sz w:val="24"/>
          <w:szCs w:val="24"/>
          <w:highlight w:val="none"/>
          <w:lang w:val="en-US" w:eastAsia="zh-CN" w:bidi="ar-SA"/>
        </w:rPr>
        <w:t>中标后签订合同前提供近</w:t>
      </w:r>
      <w:r>
        <w:rPr>
          <w:rFonts w:hint="eastAsia" w:cstheme="minorBidi"/>
          <w:b/>
          <w:bCs/>
          <w:color w:val="FF0000"/>
          <w:kern w:val="2"/>
          <w:sz w:val="24"/>
          <w:szCs w:val="24"/>
          <w:highlight w:val="none"/>
          <w:lang w:val="en-US" w:eastAsia="zh-CN" w:bidi="ar-SA"/>
        </w:rPr>
        <w:t>1</w:t>
      </w:r>
      <w:r>
        <w:rPr>
          <w:rFonts w:hint="eastAsia" w:asciiTheme="minorHAnsi" w:hAnsiTheme="minorHAnsi" w:eastAsiaTheme="minorEastAsia" w:cstheme="minorBidi"/>
          <w:b/>
          <w:bCs/>
          <w:color w:val="FF0000"/>
          <w:kern w:val="2"/>
          <w:sz w:val="24"/>
          <w:szCs w:val="24"/>
          <w:highlight w:val="none"/>
          <w:lang w:val="en-US" w:eastAsia="zh-CN" w:bidi="ar-SA"/>
        </w:rPr>
        <w:t>个月的社保证明</w:t>
      </w:r>
      <w:r>
        <w:rPr>
          <w:rFonts w:hint="eastAsia" w:cstheme="minorBidi"/>
          <w:b/>
          <w:bCs/>
          <w:color w:val="FF0000"/>
          <w:kern w:val="2"/>
          <w:sz w:val="24"/>
          <w:szCs w:val="24"/>
          <w:highlight w:val="none"/>
          <w:lang w:val="en-US" w:eastAsia="zh-CN" w:bidi="ar-SA"/>
        </w:rPr>
        <w:t>，如是退休人员，需提供退休证明材料和聘用合同。</w:t>
      </w:r>
      <w:r>
        <w:rPr>
          <w:rFonts w:hint="eastAsia" w:asciiTheme="minorHAnsi" w:hAnsiTheme="minorHAnsi" w:eastAsiaTheme="minorEastAsia" w:cstheme="minorBidi"/>
          <w:b/>
          <w:bCs/>
          <w:color w:val="FF0000"/>
          <w:kern w:val="2"/>
          <w:sz w:val="24"/>
          <w:szCs w:val="24"/>
          <w:lang w:val="en-US" w:eastAsia="zh-CN" w:bidi="ar-SA"/>
        </w:rPr>
        <w:t>拟派出的项目负责人、技术负责人具有相关证书的优先</w:t>
      </w:r>
      <w:r>
        <w:rPr>
          <w:rFonts w:hint="eastAsia" w:cstheme="minorBidi"/>
          <w:b/>
          <w:bCs/>
          <w:color w:val="FF0000"/>
          <w:kern w:val="2"/>
          <w:sz w:val="24"/>
          <w:szCs w:val="24"/>
          <w:lang w:val="en-US" w:eastAsia="zh-CN" w:bidi="ar-SA"/>
        </w:rPr>
        <w:t>，</w:t>
      </w:r>
      <w:r>
        <w:rPr>
          <w:rFonts w:hint="eastAsia" w:asciiTheme="minorHAnsi" w:hAnsiTheme="minorHAnsi" w:eastAsiaTheme="minorEastAsia" w:cstheme="minorBidi"/>
          <w:b/>
          <w:bCs/>
          <w:color w:val="FF0000"/>
          <w:kern w:val="2"/>
          <w:sz w:val="24"/>
          <w:szCs w:val="24"/>
          <w:lang w:val="en-US" w:eastAsia="zh-CN" w:bidi="ar-SA"/>
        </w:rPr>
        <w:t>项目实施时，核心团队必须专职在岗，未经招标人同意不得更换或兼任其他项目职务。</w:t>
      </w:r>
      <w:r>
        <w:rPr>
          <w:rFonts w:hint="eastAsia" w:asciiTheme="minorHAnsi" w:hAnsiTheme="minorHAnsi" w:eastAsiaTheme="minorEastAsia" w:cstheme="minorBidi"/>
          <w:color w:val="000000"/>
          <w:kern w:val="2"/>
          <w:sz w:val="24"/>
          <w:szCs w:val="24"/>
          <w:lang w:val="en-US" w:eastAsia="zh-CN" w:bidi="ar-SA"/>
        </w:rPr>
        <w:t>因特殊情况确需变更的，须经采购人同意。变更后的人员须符合招标文件规定的条件。</w:t>
      </w:r>
    </w:p>
    <w:p w14:paraId="6E659A8C">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textAlignment w:val="auto"/>
        <w:rPr>
          <w:rFonts w:hint="eastAsia" w:ascii="宋体" w:hAnsi="宋体" w:eastAsia="宋体" w:cs="Times New Roman"/>
          <w:b/>
          <w:bCs/>
          <w:color w:val="0000FF"/>
          <w:sz w:val="24"/>
          <w:szCs w:val="24"/>
          <w:lang w:val="en-US" w:eastAsia="zh-CN" w:bidi="ar-SA"/>
        </w:rPr>
      </w:pPr>
      <w:r>
        <w:rPr>
          <w:rFonts w:hint="eastAsia" w:ascii="宋体" w:hAnsi="宋体" w:eastAsia="宋体" w:cs="Times New Roman"/>
          <w:b/>
          <w:bCs/>
          <w:color w:val="0000FF"/>
          <w:sz w:val="24"/>
          <w:szCs w:val="24"/>
          <w:lang w:val="en-US" w:eastAsia="zh-CN" w:bidi="ar-SA"/>
        </w:rPr>
        <w:t>六、项目方案要求</w:t>
      </w:r>
    </w:p>
    <w:p w14:paraId="6E98B7C1">
      <w:pPr>
        <w:spacing w:line="560" w:lineRule="exact"/>
        <w:ind w:firstLine="480" w:firstLineChars="200"/>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（一）技术方案要求包括但不限于：（1）业务需求分析；（2）原有设备的兼容性；（3）产品架构方案及架构图。</w:t>
      </w:r>
    </w:p>
    <w:p w14:paraId="7BF6A69F">
      <w:pPr>
        <w:spacing w:line="560" w:lineRule="exact"/>
        <w:ind w:firstLine="480" w:firstLineChars="200"/>
        <w:rPr>
          <w:rFonts w:hint="eastAsia" w:ascii="宋体" w:hAnsi="宋体" w:eastAsia="宋体" w:cs="宋体"/>
          <w:kern w:val="0"/>
          <w:sz w:val="24"/>
          <w:highlight w:val="yellow"/>
          <w:lang w:val="en-US" w:eastAsia="zh-CN"/>
        </w:rPr>
      </w:pPr>
      <w:r>
        <w:rPr>
          <w:rFonts w:hint="eastAsia" w:ascii="宋体" w:hAnsi="宋体" w:eastAsia="宋体" w:cs="宋体"/>
          <w:kern w:val="0"/>
          <w:sz w:val="24"/>
          <w:highlight w:val="none"/>
          <w:lang w:val="en-US" w:eastAsia="zh-CN"/>
        </w:rPr>
        <w:t>（二）项目实施方案包括但不限于：（1）项目整体实施方案（包括项目实施总体规划、项目组织架构与实施流程等）；（2)技术人员配备（包括供货、安装人员配备、售后维护人员配备等）；(3)施工进度计划与进度保证措施；(4)质量保证措施方案（包括前期质量管控、到货质量验收等）；(5)安全措施方案（包括包装防护、运输、装卸现场安全、应急安全保障等）；(6)供货方案（包括供货周期、货源保障方案、包装、运输、装卸方案等）。</w:t>
      </w:r>
    </w:p>
    <w:p w14:paraId="65FA097E">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left"/>
        <w:textAlignment w:val="auto"/>
        <w:rPr>
          <w:rFonts w:hint="default"/>
          <w:color w:val="0000FF"/>
          <w:sz w:val="24"/>
          <w:szCs w:val="24"/>
          <w:lang w:val="en-US" w:eastAsia="zh-CN"/>
        </w:rPr>
      </w:pPr>
      <w:r>
        <w:rPr>
          <w:rFonts w:hint="eastAsia"/>
          <w:color w:val="0000FF"/>
          <w:sz w:val="24"/>
          <w:szCs w:val="24"/>
          <w:lang w:val="en-US" w:eastAsia="zh-CN"/>
        </w:rPr>
        <w:t>七、实施时间及地点</w:t>
      </w:r>
    </w:p>
    <w:p w14:paraId="196525A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324" w:firstLineChars="135"/>
        <w:jc w:val="left"/>
        <w:textAlignment w:val="auto"/>
        <w:rPr>
          <w:rFonts w:hint="eastAsia" w:ascii="宋体" w:hAnsi="宋体" w:eastAsia="宋体" w:cs="宋体"/>
          <w:sz w:val="24"/>
          <w:szCs w:val="24"/>
        </w:rPr>
      </w:pPr>
      <w:r>
        <w:rPr>
          <w:rFonts w:hint="eastAsia" w:ascii="宋体" w:hAnsi="宋体" w:eastAsia="宋体" w:cs="宋体"/>
          <w:kern w:val="2"/>
          <w:sz w:val="24"/>
          <w:szCs w:val="24"/>
          <w:lang w:val="en-US" w:eastAsia="zh-CN" w:bidi="ar-SA"/>
        </w:rPr>
        <w:t>1.</w:t>
      </w:r>
      <w:r>
        <w:rPr>
          <w:rFonts w:hint="eastAsia" w:ascii="宋体" w:hAnsi="宋体" w:eastAsia="宋体" w:cs="宋体"/>
          <w:sz w:val="24"/>
          <w:szCs w:val="24"/>
        </w:rPr>
        <w:t>合同履行期限：合同签订后</w:t>
      </w:r>
      <w:r>
        <w:rPr>
          <w:rFonts w:hint="eastAsia" w:ascii="宋体" w:hAnsi="宋体" w:eastAsia="宋体" w:cs="宋体"/>
          <w:sz w:val="24"/>
          <w:szCs w:val="24"/>
          <w:lang w:val="en-US" w:eastAsia="zh-CN"/>
        </w:rPr>
        <w:t>60</w:t>
      </w:r>
      <w:r>
        <w:rPr>
          <w:rFonts w:hint="eastAsia" w:ascii="宋体" w:hAnsi="宋体" w:eastAsia="宋体" w:cs="宋体"/>
          <w:sz w:val="24"/>
          <w:szCs w:val="24"/>
        </w:rPr>
        <w:t>日内完成全部</w:t>
      </w:r>
      <w:r>
        <w:rPr>
          <w:rFonts w:hint="eastAsia" w:ascii="宋体" w:hAnsi="宋体" w:eastAsia="宋体" w:cs="宋体"/>
          <w:sz w:val="24"/>
          <w:szCs w:val="24"/>
          <w:lang w:val="en-US" w:eastAsia="zh-CN"/>
        </w:rPr>
        <w:t>供货、安装调试</w:t>
      </w:r>
      <w:r>
        <w:rPr>
          <w:rFonts w:hint="eastAsia" w:ascii="宋体" w:hAnsi="宋体" w:eastAsia="宋体" w:cs="宋体"/>
          <w:sz w:val="24"/>
          <w:szCs w:val="24"/>
        </w:rPr>
        <w:t>并通过验收。合同</w:t>
      </w:r>
    </w:p>
    <w:p w14:paraId="12172C5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324" w:firstLineChars="135"/>
        <w:jc w:val="left"/>
        <w:textAlignment w:val="auto"/>
        <w:rPr>
          <w:rFonts w:hint="eastAsia" w:ascii="宋体" w:hAnsi="宋体" w:eastAsia="宋体" w:cs="宋体"/>
          <w:sz w:val="24"/>
          <w:szCs w:val="24"/>
        </w:rPr>
      </w:pPr>
      <w:r>
        <w:rPr>
          <w:rFonts w:hint="eastAsia" w:ascii="宋体" w:hAnsi="宋体" w:eastAsia="宋体" w:cs="宋体"/>
          <w:kern w:val="2"/>
          <w:sz w:val="24"/>
          <w:szCs w:val="24"/>
          <w:lang w:val="en-US" w:eastAsia="zh-CN" w:bidi="ar-SA"/>
        </w:rPr>
        <w:t>2.</w:t>
      </w:r>
      <w:r>
        <w:rPr>
          <w:rFonts w:hint="eastAsia" w:ascii="宋体" w:hAnsi="宋体" w:eastAsia="宋体" w:cs="宋体"/>
          <w:sz w:val="24"/>
          <w:szCs w:val="24"/>
        </w:rPr>
        <w:t>履行地点：</w:t>
      </w:r>
      <w:r>
        <w:rPr>
          <w:rFonts w:hint="eastAsia" w:ascii="宋体" w:hAnsi="宋体" w:eastAsia="宋体" w:cs="宋体"/>
          <w:sz w:val="24"/>
          <w:szCs w:val="24"/>
          <w:lang w:val="en-US" w:eastAsia="zh-CN"/>
        </w:rPr>
        <w:t>采购人</w:t>
      </w:r>
      <w:r>
        <w:rPr>
          <w:rFonts w:hint="eastAsia" w:ascii="宋体" w:hAnsi="宋体" w:eastAsia="宋体" w:cs="宋体"/>
          <w:sz w:val="24"/>
          <w:szCs w:val="24"/>
        </w:rPr>
        <w:t>指定地点。</w:t>
      </w:r>
    </w:p>
    <w:p w14:paraId="343B24F1">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left"/>
        <w:textAlignment w:val="auto"/>
        <w:rPr>
          <w:rFonts w:hint="default"/>
          <w:color w:val="0000FF"/>
          <w:sz w:val="24"/>
          <w:szCs w:val="24"/>
          <w:lang w:val="en-US" w:eastAsia="zh-CN"/>
        </w:rPr>
      </w:pPr>
      <w:r>
        <w:rPr>
          <w:rFonts w:hint="eastAsia"/>
          <w:color w:val="0000FF"/>
          <w:sz w:val="24"/>
          <w:szCs w:val="24"/>
          <w:lang w:val="en-US" w:eastAsia="zh-CN"/>
        </w:rPr>
        <w:t>八、付款方式</w:t>
      </w:r>
    </w:p>
    <w:p w14:paraId="724ADAEA">
      <w:pPr>
        <w:pStyle w:val="30"/>
        <w:snapToGrid w:val="0"/>
        <w:spacing w:beforeAutospacing="0" w:afterAutospacing="0" w:line="580" w:lineRule="exact"/>
        <w:ind w:firstLine="480" w:firstLineChars="200"/>
        <w:jc w:val="both"/>
        <w:rPr>
          <w:rFonts w:ascii="宋体" w:hAnsi="宋体" w:eastAsia="宋体" w:cs="宋体"/>
          <w:highlight w:val="none"/>
          <w:u w:val="none"/>
        </w:rPr>
      </w:pPr>
      <w:r>
        <w:rPr>
          <w:rFonts w:hint="eastAsia" w:ascii="宋体" w:hAnsi="宋体" w:eastAsia="宋体" w:cs="宋体"/>
          <w:highlight w:val="none"/>
          <w:u w:val="none"/>
        </w:rPr>
        <w:t xml:space="preserve">1）合同签订后7日内，招标人向中标人支付合同价的30%预付款；供应商明确表示无需预付款或者主动要求降低预付款比例的由双方另行商定并出具书面材料。                                                                     </w:t>
      </w:r>
    </w:p>
    <w:p w14:paraId="49C7FA79">
      <w:pPr>
        <w:pStyle w:val="30"/>
        <w:snapToGrid w:val="0"/>
        <w:spacing w:beforeAutospacing="0" w:afterAutospacing="0" w:line="580" w:lineRule="exact"/>
        <w:ind w:firstLine="480" w:firstLineChars="200"/>
        <w:jc w:val="both"/>
        <w:rPr>
          <w:rFonts w:ascii="宋体" w:hAnsi="宋体" w:eastAsia="宋体" w:cs="宋体"/>
          <w:highlight w:val="none"/>
          <w:u w:val="none"/>
        </w:rPr>
      </w:pPr>
      <w:r>
        <w:rPr>
          <w:rFonts w:hint="eastAsia" w:ascii="宋体" w:hAnsi="宋体" w:eastAsia="宋体" w:cs="宋体"/>
          <w:highlight w:val="none"/>
          <w:u w:val="none"/>
        </w:rPr>
        <w:t>2）项目竣工验收合格后，付至合同价的</w:t>
      </w:r>
      <w:r>
        <w:rPr>
          <w:rFonts w:hint="eastAsia" w:ascii="宋体" w:hAnsi="宋体" w:eastAsia="宋体" w:cs="宋体"/>
          <w:highlight w:val="none"/>
          <w:u w:val="none"/>
          <w:lang w:val="en-US" w:eastAsia="zh-CN"/>
        </w:rPr>
        <w:t>7</w:t>
      </w:r>
      <w:r>
        <w:rPr>
          <w:rFonts w:hint="eastAsia" w:ascii="宋体" w:hAnsi="宋体" w:eastAsia="宋体" w:cs="宋体"/>
          <w:highlight w:val="none"/>
          <w:u w:val="none"/>
        </w:rPr>
        <w:t xml:space="preserve">0%（包括以前支付的预付款）；                                                                          </w:t>
      </w:r>
    </w:p>
    <w:p w14:paraId="52B2D91D">
      <w:pPr>
        <w:pStyle w:val="30"/>
        <w:snapToGrid w:val="0"/>
        <w:spacing w:beforeAutospacing="0" w:afterAutospacing="0" w:line="580" w:lineRule="exact"/>
        <w:ind w:firstLine="480" w:firstLineChars="200"/>
        <w:jc w:val="both"/>
        <w:rPr>
          <w:rFonts w:ascii="宋体" w:hAnsi="宋体" w:eastAsia="宋体" w:cs="宋体"/>
          <w:highlight w:val="none"/>
          <w:u w:val="none"/>
        </w:rPr>
      </w:pPr>
      <w:r>
        <w:rPr>
          <w:rFonts w:hint="eastAsia" w:ascii="宋体" w:hAnsi="宋体" w:eastAsia="宋体" w:cs="宋体"/>
          <w:highlight w:val="none"/>
          <w:u w:val="none"/>
        </w:rPr>
        <w:t>3）项目竣工验收合格满一年（自竣工验收合格之日起第一年</w:t>
      </w:r>
      <w:r>
        <w:rPr>
          <w:rFonts w:hint="eastAsia" w:ascii="宋体" w:hAnsi="宋体" w:eastAsia="宋体" w:cs="宋体"/>
          <w:highlight w:val="none"/>
          <w:u w:val="none"/>
          <w:lang w:val="en-US" w:eastAsia="zh-CN"/>
        </w:rPr>
        <w:t>后</w:t>
      </w:r>
      <w:r>
        <w:rPr>
          <w:rFonts w:hint="eastAsia" w:ascii="宋体" w:hAnsi="宋体" w:eastAsia="宋体" w:cs="宋体"/>
          <w:highlight w:val="none"/>
          <w:u w:val="none"/>
        </w:rPr>
        <w:t>），</w:t>
      </w:r>
      <w:r>
        <w:rPr>
          <w:rFonts w:hint="eastAsia" w:ascii="宋体" w:hAnsi="宋体" w:eastAsia="宋体" w:cs="宋体"/>
          <w:highlight w:val="none"/>
          <w:u w:val="none"/>
          <w:lang w:val="en-US" w:eastAsia="zh-CN"/>
        </w:rPr>
        <w:t>按审计结论，</w:t>
      </w:r>
      <w:r>
        <w:rPr>
          <w:rFonts w:hint="eastAsia" w:ascii="宋体" w:hAnsi="宋体" w:eastAsia="宋体" w:cs="宋体"/>
          <w:highlight w:val="none"/>
          <w:u w:val="none"/>
        </w:rPr>
        <w:t>付至</w:t>
      </w:r>
      <w:r>
        <w:rPr>
          <w:rFonts w:hint="eastAsia" w:ascii="宋体" w:hAnsi="宋体" w:eastAsia="宋体" w:cs="宋体"/>
          <w:highlight w:val="none"/>
          <w:u w:val="none"/>
          <w:lang w:val="en-US" w:eastAsia="zh-CN"/>
        </w:rPr>
        <w:t>审计价</w:t>
      </w:r>
      <w:r>
        <w:rPr>
          <w:rFonts w:hint="eastAsia" w:ascii="宋体" w:hAnsi="宋体" w:eastAsia="宋体" w:cs="宋体"/>
          <w:highlight w:val="none"/>
          <w:u w:val="none"/>
        </w:rPr>
        <w:t xml:space="preserve">的 </w:t>
      </w:r>
      <w:r>
        <w:rPr>
          <w:rFonts w:hint="eastAsia" w:ascii="宋体" w:hAnsi="宋体" w:eastAsia="宋体" w:cs="宋体"/>
          <w:highlight w:val="none"/>
          <w:u w:val="none"/>
          <w:lang w:val="en-US" w:eastAsia="zh-CN"/>
        </w:rPr>
        <w:t>9</w:t>
      </w:r>
      <w:r>
        <w:rPr>
          <w:rFonts w:hint="eastAsia" w:ascii="宋体" w:hAnsi="宋体" w:eastAsia="宋体" w:cs="宋体"/>
          <w:highlight w:val="none"/>
          <w:u w:val="none"/>
        </w:rPr>
        <w:t xml:space="preserve">0%（包括以前已支付的预付款、进度款）；                                                                       </w:t>
      </w:r>
    </w:p>
    <w:p w14:paraId="3778E09A">
      <w:pPr>
        <w:pStyle w:val="30"/>
        <w:snapToGrid w:val="0"/>
        <w:spacing w:beforeAutospacing="0" w:afterAutospacing="0" w:line="580" w:lineRule="exact"/>
        <w:ind w:firstLine="480" w:firstLineChars="200"/>
        <w:jc w:val="both"/>
        <w:rPr>
          <w:rFonts w:ascii="宋体" w:hAnsi="宋体" w:eastAsia="宋体" w:cs="宋体"/>
          <w:highlight w:val="none"/>
          <w:u w:val="none"/>
        </w:rPr>
      </w:pPr>
      <w:r>
        <w:rPr>
          <w:rFonts w:hint="eastAsia" w:ascii="宋体" w:hAnsi="宋体" w:eastAsia="宋体" w:cs="宋体"/>
          <w:highlight w:val="none"/>
          <w:u w:val="none"/>
        </w:rPr>
        <w:t>4）自竣工验收合格之日起，中标人完成三年质保服务工作，</w:t>
      </w:r>
      <w:r>
        <w:rPr>
          <w:rFonts w:hint="eastAsia" w:ascii="宋体" w:hAnsi="宋体" w:eastAsia="宋体" w:cs="宋体"/>
          <w:highlight w:val="none"/>
          <w:u w:val="none"/>
          <w:lang w:val="en-US" w:eastAsia="zh-CN"/>
        </w:rPr>
        <w:t>按审计结论</w:t>
      </w:r>
      <w:r>
        <w:rPr>
          <w:rFonts w:hint="eastAsia" w:ascii="宋体" w:hAnsi="宋体" w:eastAsia="宋体" w:cs="宋体"/>
          <w:highlight w:val="none"/>
          <w:u w:val="none"/>
        </w:rPr>
        <w:t xml:space="preserve">结清剩余款项；                                                                  </w:t>
      </w:r>
    </w:p>
    <w:p w14:paraId="5B13B7DB">
      <w:pPr>
        <w:pStyle w:val="30"/>
        <w:snapToGrid w:val="0"/>
        <w:spacing w:beforeAutospacing="0" w:afterAutospacing="0" w:line="580" w:lineRule="exact"/>
        <w:ind w:firstLine="480" w:firstLineChars="200"/>
        <w:jc w:val="both"/>
        <w:rPr>
          <w:rFonts w:hint="eastAsia" w:ascii="宋体" w:hAnsi="宋体" w:eastAsia="宋体" w:cs="宋体"/>
          <w:highlight w:val="none"/>
          <w:u w:val="none"/>
        </w:rPr>
      </w:pPr>
      <w:r>
        <w:rPr>
          <w:rFonts w:hint="eastAsia" w:ascii="宋体" w:hAnsi="宋体" w:eastAsia="宋体" w:cs="宋体"/>
          <w:highlight w:val="none"/>
          <w:u w:val="none"/>
        </w:rPr>
        <w:t>5）按上述进度付款，无利息补偿；质保期内需要返工、更换、维修、调试等所产生的各项费用由中标人承担，给招标人造成的各项损失在合同款中扣除。</w:t>
      </w:r>
    </w:p>
    <w:p w14:paraId="4CD9FA6D">
      <w:pPr>
        <w:pStyle w:val="30"/>
        <w:snapToGrid w:val="0"/>
        <w:spacing w:beforeAutospacing="0" w:afterAutospacing="0" w:line="580" w:lineRule="exact"/>
        <w:ind w:firstLine="480" w:firstLineChars="200"/>
        <w:jc w:val="both"/>
        <w:rPr>
          <w:rFonts w:hint="eastAsia" w:ascii="宋体" w:hAnsi="宋体" w:eastAsia="宋体" w:cs="宋体"/>
          <w:color w:val="FF0000"/>
          <w:highlight w:val="none"/>
          <w:u w:val="none"/>
        </w:rPr>
      </w:pPr>
      <w:r>
        <w:rPr>
          <w:rFonts w:hint="eastAsia" w:asciiTheme="minorEastAsia" w:hAnsiTheme="minorEastAsia"/>
          <w:b/>
          <w:bCs/>
          <w:color w:val="FF0000"/>
          <w:sz w:val="24"/>
          <w:szCs w:val="24"/>
          <w:highlight w:val="none"/>
          <w:lang w:val="en-US" w:eastAsia="zh-CN"/>
        </w:rPr>
        <w:t>注：审计期为工程竣工验收合格后一年内出具审计报告。</w:t>
      </w:r>
    </w:p>
    <w:p w14:paraId="65200D47">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2" w:firstLineChars="200"/>
        <w:jc w:val="left"/>
        <w:textAlignment w:val="auto"/>
        <w:rPr>
          <w:rFonts w:hint="default"/>
          <w:color w:val="0000FF"/>
          <w:sz w:val="24"/>
          <w:szCs w:val="24"/>
          <w:highlight w:val="none"/>
          <w:lang w:val="en-US" w:eastAsia="zh-CN"/>
        </w:rPr>
      </w:pPr>
      <w:r>
        <w:rPr>
          <w:rFonts w:hint="eastAsia"/>
          <w:color w:val="0000FF"/>
          <w:sz w:val="24"/>
          <w:szCs w:val="24"/>
          <w:highlight w:val="none"/>
          <w:lang w:val="en-US" w:eastAsia="zh-CN"/>
        </w:rPr>
        <w:t>九、项目验收</w:t>
      </w:r>
    </w:p>
    <w:p w14:paraId="2E62F85A">
      <w:pPr>
        <w:pStyle w:val="30"/>
        <w:snapToGrid w:val="0"/>
        <w:spacing w:beforeAutospacing="0" w:afterAutospacing="0" w:line="580" w:lineRule="exact"/>
        <w:ind w:firstLine="480" w:firstLineChars="200"/>
        <w:jc w:val="both"/>
        <w:rPr>
          <w:rFonts w:hint="eastAsia" w:ascii="宋体" w:hAnsi="宋体" w:eastAsia="宋体" w:cs="宋体"/>
          <w:highlight w:val="none"/>
          <w:u w:val="none"/>
        </w:rPr>
      </w:pPr>
      <w:r>
        <w:rPr>
          <w:rFonts w:hint="eastAsia" w:ascii="宋体" w:hAnsi="宋体" w:eastAsia="宋体" w:cs="宋体"/>
          <w:highlight w:val="none"/>
          <w:u w:val="none"/>
          <w:lang w:val="en-US" w:eastAsia="zh-CN"/>
        </w:rPr>
        <w:t>1、验收的实施主体：</w:t>
      </w:r>
      <w:r>
        <w:rPr>
          <w:rFonts w:hint="eastAsia" w:ascii="宋体" w:hAnsi="宋体" w:eastAsia="宋体" w:cs="宋体"/>
          <w:highlight w:val="none"/>
          <w:u w:val="none"/>
          <w:lang w:val="zh-TW" w:eastAsia="zh-CN"/>
        </w:rPr>
        <w:t>采购单位</w:t>
      </w:r>
      <w:r>
        <w:rPr>
          <w:rFonts w:hint="eastAsia" w:ascii="宋体" w:hAnsi="宋体" w:eastAsia="宋体" w:cs="宋体"/>
          <w:highlight w:val="none"/>
          <w:u w:val="none"/>
          <w:lang w:val="en-US" w:eastAsia="zh-CN"/>
        </w:rPr>
        <w:t>组织验收</w:t>
      </w:r>
      <w:r>
        <w:rPr>
          <w:rFonts w:hint="eastAsia" w:ascii="宋体" w:hAnsi="宋体" w:eastAsia="宋体" w:cs="宋体"/>
          <w:highlight w:val="none"/>
          <w:u w:val="none"/>
          <w:lang w:val="zh-TW" w:eastAsia="zh-CN"/>
        </w:rPr>
        <w:t>。</w:t>
      </w:r>
    </w:p>
    <w:p w14:paraId="0E76E498">
      <w:pPr>
        <w:pStyle w:val="30"/>
        <w:snapToGrid w:val="0"/>
        <w:spacing w:beforeAutospacing="0" w:afterAutospacing="0" w:line="580" w:lineRule="exact"/>
        <w:ind w:firstLine="480" w:firstLineChars="200"/>
        <w:jc w:val="both"/>
        <w:rPr>
          <w:rFonts w:hint="eastAsia" w:ascii="宋体" w:hAnsi="宋体" w:eastAsia="宋体" w:cs="宋体"/>
          <w:highlight w:val="none"/>
          <w:u w:val="none"/>
          <w:lang w:val="zh-TW" w:eastAsia="zh-TW"/>
        </w:rPr>
      </w:pPr>
      <w:r>
        <w:rPr>
          <w:rFonts w:hint="eastAsia" w:ascii="宋体" w:hAnsi="宋体" w:eastAsia="宋体" w:cs="宋体"/>
          <w:highlight w:val="none"/>
          <w:u w:val="none"/>
          <w:lang w:val="en-US" w:eastAsia="zh-CN"/>
        </w:rPr>
        <w:t>2、</w:t>
      </w:r>
      <w:r>
        <w:rPr>
          <w:rFonts w:hint="eastAsia" w:ascii="宋体" w:hAnsi="宋体" w:eastAsia="宋体" w:cs="宋体"/>
          <w:highlight w:val="none"/>
          <w:u w:val="none"/>
          <w:lang w:val="zh-TW" w:eastAsia="zh-CN"/>
        </w:rPr>
        <w:t>验收标准：</w:t>
      </w:r>
      <w:r>
        <w:rPr>
          <w:rFonts w:hint="eastAsia" w:ascii="宋体" w:hAnsi="宋体" w:eastAsia="宋体" w:cs="宋体"/>
          <w:highlight w:val="none"/>
          <w:u w:val="none"/>
          <w:lang w:val="en-US" w:eastAsia="zh-CN"/>
        </w:rPr>
        <w:t>以清单中的产品要求与图纸中的点位要求为标准。</w:t>
      </w:r>
    </w:p>
    <w:p w14:paraId="19C18F19">
      <w:pPr>
        <w:pStyle w:val="30"/>
        <w:snapToGrid w:val="0"/>
        <w:spacing w:beforeAutospacing="0" w:afterAutospacing="0" w:line="580" w:lineRule="exact"/>
        <w:ind w:firstLine="480" w:firstLineChars="200"/>
        <w:jc w:val="both"/>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3、验收内容：</w:t>
      </w:r>
    </w:p>
    <w:p w14:paraId="3C4FCA11">
      <w:pPr>
        <w:pStyle w:val="30"/>
        <w:snapToGrid w:val="0"/>
        <w:spacing w:beforeAutospacing="0" w:afterAutospacing="0" w:line="580" w:lineRule="exact"/>
        <w:ind w:firstLine="480" w:firstLineChars="200"/>
        <w:jc w:val="both"/>
        <w:rPr>
          <w:rFonts w:hint="eastAsia" w:ascii="宋体" w:hAnsi="宋体" w:eastAsia="宋体" w:cs="宋体"/>
          <w:highlight w:val="none"/>
          <w:u w:val="none"/>
          <w:lang w:eastAsia="zh-CN"/>
        </w:rPr>
      </w:pP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1）</w:t>
      </w:r>
      <w:r>
        <w:rPr>
          <w:rFonts w:hint="eastAsia" w:ascii="宋体" w:hAnsi="宋体" w:eastAsia="宋体" w:cs="宋体"/>
          <w:highlight w:val="none"/>
          <w:u w:val="none"/>
        </w:rPr>
        <w:t>所有设备及配套材料进场后，由采购</w:t>
      </w:r>
      <w:r>
        <w:rPr>
          <w:rFonts w:hint="eastAsia" w:ascii="宋体" w:hAnsi="宋体" w:eastAsia="宋体" w:cs="宋体"/>
          <w:highlight w:val="none"/>
          <w:u w:val="none"/>
          <w:lang w:val="en-US" w:eastAsia="zh-CN"/>
        </w:rPr>
        <w:t>单位</w:t>
      </w:r>
      <w:r>
        <w:rPr>
          <w:rFonts w:hint="eastAsia" w:ascii="宋体" w:hAnsi="宋体" w:eastAsia="宋体" w:cs="宋体"/>
          <w:highlight w:val="none"/>
          <w:u w:val="none"/>
        </w:rPr>
        <w:t>组织相关人员依据招标文件、合同约定的技术参数要求开展</w:t>
      </w:r>
      <w:r>
        <w:rPr>
          <w:rFonts w:hint="eastAsia" w:ascii="宋体" w:hAnsi="宋体" w:eastAsia="宋体" w:cs="宋体"/>
          <w:highlight w:val="none"/>
          <w:u w:val="none"/>
          <w:lang w:val="en-US" w:eastAsia="zh-CN"/>
        </w:rPr>
        <w:t>货物</w:t>
      </w:r>
      <w:r>
        <w:rPr>
          <w:rFonts w:hint="eastAsia" w:ascii="宋体" w:hAnsi="宋体" w:eastAsia="宋体" w:cs="宋体"/>
          <w:highlight w:val="none"/>
          <w:u w:val="none"/>
        </w:rPr>
        <w:t>进场验收，对货</w:t>
      </w:r>
      <w:r>
        <w:rPr>
          <w:rFonts w:hint="eastAsia" w:ascii="宋体" w:hAnsi="宋体" w:eastAsia="宋体" w:cs="宋体"/>
          <w:highlight w:val="none"/>
          <w:u w:val="none"/>
          <w:lang w:val="en-US" w:eastAsia="zh-CN"/>
        </w:rPr>
        <w:t>物</w:t>
      </w:r>
      <w:r>
        <w:rPr>
          <w:rFonts w:hint="eastAsia" w:ascii="宋体" w:hAnsi="宋体" w:eastAsia="宋体" w:cs="宋体"/>
          <w:highlight w:val="none"/>
          <w:u w:val="none"/>
        </w:rPr>
        <w:t>品牌、规格型号逐项验收</w:t>
      </w:r>
      <w:r>
        <w:rPr>
          <w:rFonts w:hint="eastAsia" w:ascii="宋体" w:hAnsi="宋体" w:eastAsia="宋体" w:cs="宋体"/>
          <w:highlight w:val="none"/>
          <w:u w:val="none"/>
          <w:lang w:eastAsia="zh-CN"/>
        </w:rPr>
        <w:t>。</w:t>
      </w:r>
    </w:p>
    <w:p w14:paraId="42C78AE5">
      <w:pPr>
        <w:pStyle w:val="30"/>
        <w:snapToGrid w:val="0"/>
        <w:spacing w:beforeAutospacing="0" w:afterAutospacing="0" w:line="580" w:lineRule="exact"/>
        <w:ind w:firstLine="480" w:firstLineChars="200"/>
        <w:jc w:val="both"/>
        <w:rPr>
          <w:rFonts w:hint="eastAsia" w:ascii="宋体" w:hAnsi="宋体" w:eastAsia="宋体" w:cs="宋体"/>
          <w:highlight w:val="none"/>
          <w:u w:val="none"/>
        </w:rPr>
      </w:pP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2）</w:t>
      </w:r>
      <w:r>
        <w:rPr>
          <w:rFonts w:hint="eastAsia" w:ascii="宋体" w:hAnsi="宋体" w:eastAsia="宋体" w:cs="宋体"/>
          <w:highlight w:val="none"/>
          <w:u w:val="none"/>
        </w:rPr>
        <w:t>项目全部安装、调试工作完</w:t>
      </w:r>
      <w:r>
        <w:rPr>
          <w:rFonts w:hint="eastAsia" w:ascii="宋体" w:hAnsi="宋体" w:eastAsia="宋体" w:cs="宋体"/>
          <w:highlight w:val="none"/>
          <w:u w:val="none"/>
          <w:lang w:val="en-US" w:eastAsia="zh-CN"/>
        </w:rPr>
        <w:t>成</w:t>
      </w:r>
      <w:r>
        <w:rPr>
          <w:rFonts w:hint="eastAsia" w:ascii="宋体" w:hAnsi="宋体" w:eastAsia="宋体" w:cs="宋体"/>
          <w:highlight w:val="none"/>
          <w:u w:val="none"/>
        </w:rPr>
        <w:t>后</w:t>
      </w:r>
      <w:r>
        <w:rPr>
          <w:rFonts w:hint="eastAsia" w:ascii="宋体" w:hAnsi="宋体" w:eastAsia="宋体" w:cs="宋体"/>
          <w:highlight w:val="none"/>
          <w:u w:val="none"/>
          <w:lang w:eastAsia="zh-CN"/>
        </w:rPr>
        <w:t>，</w:t>
      </w:r>
      <w:r>
        <w:rPr>
          <w:rFonts w:hint="eastAsia" w:ascii="宋体" w:hAnsi="宋体" w:eastAsia="宋体" w:cs="宋体"/>
          <w:highlight w:val="none"/>
          <w:u w:val="none"/>
        </w:rPr>
        <w:t>将根据项目特点制定验收方案，明确履约验收的时间、方式、程序等内容，并可根据项目特点对服务期内的服务情况进行分期考核，综合考核情况和服务效果进行验收。</w:t>
      </w:r>
      <w:r>
        <w:rPr>
          <w:rFonts w:hint="eastAsia" w:ascii="宋体" w:hAnsi="宋体" w:eastAsia="宋体" w:cs="宋体"/>
          <w:highlight w:val="none"/>
          <w:u w:val="none"/>
          <w:lang w:val="en-US" w:eastAsia="zh-CN"/>
        </w:rPr>
        <w:t>中标单位</w:t>
      </w:r>
      <w:r>
        <w:rPr>
          <w:rFonts w:hint="eastAsia" w:ascii="宋体" w:hAnsi="宋体" w:eastAsia="宋体" w:cs="宋体"/>
          <w:highlight w:val="none"/>
          <w:u w:val="none"/>
        </w:rPr>
        <w:t>应根据验收方案内容做好相应配合工作。</w:t>
      </w:r>
    </w:p>
    <w:p w14:paraId="36C0DA17">
      <w:pPr>
        <w:pStyle w:val="30"/>
        <w:snapToGrid w:val="0"/>
        <w:spacing w:beforeAutospacing="0" w:afterAutospacing="0" w:line="580" w:lineRule="exact"/>
        <w:ind w:firstLine="480" w:firstLineChars="200"/>
        <w:jc w:val="both"/>
        <w:rPr>
          <w:rFonts w:hint="eastAsia" w:ascii="宋体" w:hAnsi="宋体" w:eastAsia="宋体" w:cs="宋体"/>
          <w:highlight w:val="none"/>
          <w:u w:val="none"/>
        </w:rPr>
      </w:pP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3）</w:t>
      </w:r>
      <w:r>
        <w:rPr>
          <w:rFonts w:hint="eastAsia" w:ascii="宋体" w:hAnsi="宋体" w:eastAsia="宋体" w:cs="宋体"/>
          <w:highlight w:val="none"/>
          <w:u w:val="none"/>
        </w:rPr>
        <w:t xml:space="preserve"> 对于实际使用人和</w:t>
      </w:r>
      <w:r>
        <w:rPr>
          <w:rFonts w:hint="eastAsia" w:ascii="宋体" w:hAnsi="宋体" w:eastAsia="宋体" w:cs="宋体"/>
          <w:highlight w:val="none"/>
          <w:u w:val="none"/>
          <w:lang w:val="en-US" w:eastAsia="zh-CN"/>
        </w:rPr>
        <w:t>采购人</w:t>
      </w:r>
      <w:r>
        <w:rPr>
          <w:rFonts w:hint="eastAsia" w:ascii="宋体" w:hAnsi="宋体" w:eastAsia="宋体" w:cs="宋体"/>
          <w:highlight w:val="none"/>
          <w:u w:val="none"/>
        </w:rPr>
        <w:t>分离的项目，</w:t>
      </w:r>
      <w:r>
        <w:rPr>
          <w:rFonts w:hint="eastAsia" w:ascii="宋体" w:hAnsi="宋体" w:eastAsia="宋体" w:cs="宋体"/>
          <w:highlight w:val="none"/>
          <w:u w:val="none"/>
          <w:lang w:val="en-US" w:eastAsia="zh-CN"/>
        </w:rPr>
        <w:t>采购人</w:t>
      </w:r>
      <w:r>
        <w:rPr>
          <w:rFonts w:hint="eastAsia" w:ascii="宋体" w:hAnsi="宋体" w:eastAsia="宋体" w:cs="宋体"/>
          <w:highlight w:val="none"/>
          <w:u w:val="none"/>
        </w:rPr>
        <w:t>邀请实际使用人参与验收。</w:t>
      </w:r>
    </w:p>
    <w:p w14:paraId="7DB20E49">
      <w:pPr>
        <w:pStyle w:val="30"/>
        <w:snapToGrid w:val="0"/>
        <w:spacing w:beforeAutospacing="0" w:afterAutospacing="0" w:line="580" w:lineRule="exact"/>
        <w:ind w:firstLine="480" w:firstLineChars="200"/>
        <w:jc w:val="both"/>
        <w:rPr>
          <w:rFonts w:hint="eastAsia" w:ascii="宋体" w:hAnsi="宋体" w:eastAsia="宋体" w:cs="宋体"/>
          <w:highlight w:val="none"/>
          <w:u w:val="none"/>
        </w:rPr>
      </w:pP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4）</w:t>
      </w:r>
      <w:r>
        <w:rPr>
          <w:rFonts w:hint="eastAsia" w:ascii="宋体" w:hAnsi="宋体" w:eastAsia="宋体" w:cs="宋体"/>
          <w:highlight w:val="none"/>
          <w:u w:val="none"/>
        </w:rPr>
        <w:t xml:space="preserve"> </w:t>
      </w:r>
      <w:r>
        <w:rPr>
          <w:rFonts w:hint="eastAsia" w:ascii="宋体" w:hAnsi="宋体" w:eastAsia="宋体" w:cs="宋体"/>
          <w:highlight w:val="none"/>
          <w:u w:val="none"/>
          <w:lang w:val="en-US" w:eastAsia="zh-CN"/>
        </w:rPr>
        <w:t>采购人组织使用单位、第三方检测机构或专家进行验收</w:t>
      </w:r>
      <w:r>
        <w:rPr>
          <w:rFonts w:hint="eastAsia" w:ascii="宋体" w:hAnsi="宋体" w:eastAsia="宋体" w:cs="宋体"/>
          <w:highlight w:val="none"/>
          <w:u w:val="none"/>
        </w:rPr>
        <w:t>，相关意见将作为验收书的参考资料。</w:t>
      </w:r>
    </w:p>
    <w:p w14:paraId="6135F978">
      <w:pPr>
        <w:pStyle w:val="30"/>
        <w:snapToGrid w:val="0"/>
        <w:spacing w:beforeAutospacing="0" w:afterAutospacing="0" w:line="580" w:lineRule="exact"/>
        <w:ind w:firstLine="480" w:firstLineChars="200"/>
        <w:jc w:val="both"/>
        <w:rPr>
          <w:rFonts w:hint="eastAsia" w:ascii="宋体" w:hAnsi="宋体" w:eastAsia="宋体" w:cs="宋体"/>
          <w:highlight w:val="none"/>
          <w:u w:val="none"/>
        </w:rPr>
      </w:pP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5）采购人</w:t>
      </w:r>
      <w:r>
        <w:rPr>
          <w:rFonts w:hint="eastAsia" w:ascii="宋体" w:hAnsi="宋体" w:eastAsia="宋体" w:cs="宋体"/>
          <w:highlight w:val="none"/>
          <w:u w:val="none"/>
        </w:rPr>
        <w:t>成立验收小组，按照采购合同的约定对</w:t>
      </w:r>
      <w:r>
        <w:rPr>
          <w:rFonts w:hint="eastAsia" w:ascii="宋体" w:hAnsi="宋体" w:eastAsia="宋体" w:cs="宋体"/>
          <w:highlight w:val="none"/>
          <w:u w:val="none"/>
          <w:lang w:val="en-US" w:eastAsia="zh-CN"/>
        </w:rPr>
        <w:t>中标单位</w:t>
      </w:r>
      <w:r>
        <w:rPr>
          <w:rFonts w:hint="eastAsia" w:ascii="宋体" w:hAnsi="宋体" w:eastAsia="宋体" w:cs="宋体"/>
          <w:highlight w:val="none"/>
          <w:u w:val="none"/>
        </w:rPr>
        <w:t>的履约情况进行验收。验收时间、验收标准见招标文件验收内容。验收时,</w:t>
      </w:r>
      <w:r>
        <w:rPr>
          <w:rFonts w:hint="eastAsia" w:ascii="宋体" w:hAnsi="宋体" w:eastAsia="宋体" w:cs="宋体"/>
          <w:highlight w:val="none"/>
          <w:u w:val="none"/>
          <w:lang w:val="en-US" w:eastAsia="zh-CN"/>
        </w:rPr>
        <w:t>采购人</w:t>
      </w:r>
      <w:r>
        <w:rPr>
          <w:rFonts w:hint="eastAsia" w:ascii="宋体" w:hAnsi="宋体" w:eastAsia="宋体" w:cs="宋体"/>
          <w:highlight w:val="none"/>
          <w:u w:val="none"/>
        </w:rPr>
        <w:t>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5C5EAEC">
      <w:pPr>
        <w:pStyle w:val="30"/>
        <w:snapToGrid w:val="0"/>
        <w:spacing w:beforeAutospacing="0" w:afterAutospacing="0" w:line="580" w:lineRule="exact"/>
        <w:ind w:firstLine="480" w:firstLineChars="200"/>
        <w:jc w:val="both"/>
        <w:rPr>
          <w:rFonts w:hint="eastAsia" w:ascii="宋体" w:hAnsi="宋体" w:eastAsia="宋体" w:cs="宋体"/>
          <w:highlight w:val="cyan"/>
          <w:u w:val="none"/>
        </w:rPr>
      </w:pP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6）</w:t>
      </w:r>
      <w:r>
        <w:rPr>
          <w:rFonts w:hint="eastAsia" w:ascii="宋体" w:hAnsi="宋体" w:eastAsia="宋体" w:cs="宋体"/>
          <w:highlight w:val="none"/>
          <w:u w:val="none"/>
        </w:rPr>
        <w:t xml:space="preserve"> 验收合格的项目,</w:t>
      </w:r>
      <w:r>
        <w:rPr>
          <w:rFonts w:hint="eastAsia" w:ascii="宋体" w:hAnsi="宋体" w:eastAsia="宋体" w:cs="宋体"/>
          <w:highlight w:val="none"/>
          <w:u w:val="none"/>
          <w:lang w:val="en-US" w:eastAsia="zh-CN"/>
        </w:rPr>
        <w:t>采购人</w:t>
      </w:r>
      <w:r>
        <w:rPr>
          <w:rFonts w:hint="eastAsia" w:ascii="宋体" w:hAnsi="宋体" w:eastAsia="宋体" w:cs="宋体"/>
          <w:highlight w:val="none"/>
          <w:u w:val="none"/>
        </w:rPr>
        <w:t>根据采购合同的约定及时向</w:t>
      </w:r>
      <w:r>
        <w:rPr>
          <w:rFonts w:hint="eastAsia" w:ascii="宋体" w:hAnsi="宋体" w:eastAsia="宋体" w:cs="宋体"/>
          <w:highlight w:val="none"/>
          <w:u w:val="none"/>
          <w:lang w:val="en-US" w:eastAsia="zh-CN"/>
        </w:rPr>
        <w:t>中标单位</w:t>
      </w:r>
      <w:r>
        <w:rPr>
          <w:rFonts w:hint="eastAsia" w:ascii="宋体" w:hAnsi="宋体" w:eastAsia="宋体" w:cs="宋体"/>
          <w:highlight w:val="none"/>
          <w:u w:val="none"/>
        </w:rPr>
        <w:t>支付合同款项、退还履约保证金。验收不合格的项目，</w:t>
      </w:r>
      <w:r>
        <w:rPr>
          <w:rFonts w:hint="eastAsia" w:ascii="宋体" w:hAnsi="宋体" w:eastAsia="宋体" w:cs="宋体"/>
          <w:highlight w:val="none"/>
          <w:u w:val="none"/>
          <w:lang w:val="en-US" w:eastAsia="zh-CN"/>
        </w:rPr>
        <w:t>中标单位</w:t>
      </w:r>
      <w:r>
        <w:rPr>
          <w:rFonts w:hint="eastAsia" w:ascii="宋体" w:hAnsi="宋体" w:eastAsia="宋体" w:cs="宋体"/>
          <w:highlight w:val="none"/>
          <w:u w:val="none"/>
        </w:rPr>
        <w:t>及时处理。采购合同的履行、违约责任和解决争议的方式等适用《民法典》。</w:t>
      </w:r>
      <w:r>
        <w:rPr>
          <w:rFonts w:hint="eastAsia" w:ascii="宋体" w:hAnsi="宋体" w:eastAsia="宋体" w:cs="宋体"/>
          <w:highlight w:val="none"/>
          <w:u w:val="none"/>
          <w:lang w:val="en-US" w:eastAsia="zh-CN"/>
        </w:rPr>
        <w:t>中标单位</w:t>
      </w:r>
      <w:r>
        <w:rPr>
          <w:rFonts w:hint="eastAsia" w:ascii="宋体" w:hAnsi="宋体" w:eastAsia="宋体" w:cs="宋体"/>
          <w:highlight w:val="none"/>
          <w:u w:val="none"/>
        </w:rPr>
        <w:t>在履约过程中有政府采购法律法规规定的违法违规情形的,</w:t>
      </w:r>
      <w:r>
        <w:rPr>
          <w:rFonts w:hint="eastAsia" w:ascii="宋体" w:hAnsi="宋体" w:eastAsia="宋体" w:cs="宋体"/>
          <w:highlight w:val="none"/>
          <w:u w:val="none"/>
          <w:lang w:val="en-US" w:eastAsia="zh-CN"/>
        </w:rPr>
        <w:t>采购人</w:t>
      </w:r>
      <w:r>
        <w:rPr>
          <w:rFonts w:hint="eastAsia" w:ascii="宋体" w:hAnsi="宋体" w:eastAsia="宋体" w:cs="宋体"/>
          <w:highlight w:val="none"/>
          <w:u w:val="none"/>
        </w:rPr>
        <w:t>将及时报告本级财政部门。</w:t>
      </w:r>
    </w:p>
    <w:p w14:paraId="6988F95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525" w:leftChars="0" w:right="0" w:rightChars="0" w:hanging="360" w:firstLineChars="0"/>
        <w:jc w:val="left"/>
        <w:textAlignment w:val="auto"/>
        <w:rPr>
          <w:rFonts w:hint="eastAsia" w:ascii="宋体" w:hAnsi="宋体" w:cs="宋体"/>
          <w:b/>
          <w:sz w:val="24"/>
          <w:highlight w:val="none"/>
          <w:lang w:val="en-US" w:eastAsia="zh-CN"/>
        </w:rPr>
      </w:pPr>
      <w:r>
        <w:rPr>
          <w:rFonts w:hint="eastAsia" w:ascii="宋体" w:hAnsi="宋体" w:cs="宋体"/>
          <w:b/>
          <w:sz w:val="24"/>
          <w:highlight w:val="none"/>
          <w:lang w:val="en-US" w:eastAsia="zh-CN"/>
        </w:rPr>
        <w:t>十、售后服务要求</w:t>
      </w:r>
    </w:p>
    <w:p w14:paraId="1827230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300"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1.</w:t>
      </w:r>
      <w:r>
        <w:rPr>
          <w:color w:val="000000"/>
          <w:sz w:val="24"/>
          <w:szCs w:val="24"/>
        </w:rPr>
        <w:t>本项目所有设备、系统提供三年原厂质保，质保期自项目终验合格之日起计算；质保期内，提供</w:t>
      </w:r>
      <w:r>
        <w:rPr>
          <w:rFonts w:hint="eastAsia" w:ascii="宋体" w:hAnsi="宋体" w:eastAsia="宋体" w:cs="宋体"/>
          <w:kern w:val="0"/>
          <w:sz w:val="24"/>
          <w:highlight w:val="none"/>
        </w:rPr>
        <w:t>365×7×24</w:t>
      </w:r>
      <w:r>
        <w:rPr>
          <w:color w:val="000000"/>
          <w:sz w:val="24"/>
          <w:szCs w:val="24"/>
        </w:rPr>
        <w:t>小时技术支持服务，设立专属服务热线，接到故障报修后，30 分钟内响应，4 小时内到达现场，</w:t>
      </w:r>
      <w:r>
        <w:rPr>
          <w:rFonts w:hint="eastAsia"/>
          <w:color w:val="000000"/>
          <w:sz w:val="24"/>
          <w:szCs w:val="24"/>
          <w:lang w:val="en-US" w:eastAsia="zh-CN"/>
        </w:rPr>
        <w:t>48</w:t>
      </w:r>
      <w:r>
        <w:rPr>
          <w:color w:val="000000"/>
          <w:sz w:val="24"/>
          <w:szCs w:val="24"/>
        </w:rPr>
        <w:t>小时内解决故障；无法现场解决的，需</w:t>
      </w:r>
      <w:r>
        <w:rPr>
          <w:rFonts w:hint="eastAsia"/>
          <w:color w:val="000000"/>
          <w:sz w:val="24"/>
          <w:szCs w:val="24"/>
          <w:lang w:val="en-US" w:eastAsia="zh-CN"/>
        </w:rPr>
        <w:t>自行与学校协调</w:t>
      </w:r>
      <w:r>
        <w:rPr>
          <w:color w:val="000000"/>
          <w:sz w:val="24"/>
          <w:szCs w:val="24"/>
        </w:rPr>
        <w:t>，保障系统正常运行。</w:t>
      </w:r>
    </w:p>
    <w:p w14:paraId="3DEB61D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180"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2.</w:t>
      </w:r>
      <w:r>
        <w:rPr>
          <w:color w:val="000000"/>
          <w:sz w:val="24"/>
          <w:szCs w:val="24"/>
        </w:rPr>
        <w:t>质保期内，</w:t>
      </w:r>
      <w:r>
        <w:rPr>
          <w:rFonts w:hint="eastAsia"/>
          <w:color w:val="000000"/>
          <w:sz w:val="24"/>
          <w:szCs w:val="24"/>
          <w:lang w:eastAsia="zh-CN"/>
        </w:rPr>
        <w:t>投标人</w:t>
      </w:r>
      <w:r>
        <w:rPr>
          <w:color w:val="000000"/>
          <w:sz w:val="24"/>
          <w:szCs w:val="24"/>
        </w:rPr>
        <w:t>需每季度提供一次免费的系统巡检、设备维护、性能优化服务，出具巡检报告，及时排查系统隐患，确保系统长期稳定运行。</w:t>
      </w:r>
    </w:p>
    <w:p w14:paraId="11C1CD7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120"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3.</w:t>
      </w:r>
      <w:r>
        <w:rPr>
          <w:color w:val="000000"/>
          <w:sz w:val="24"/>
          <w:szCs w:val="24"/>
        </w:rPr>
        <w:t>质保期满后，</w:t>
      </w:r>
      <w:r>
        <w:rPr>
          <w:rFonts w:hint="eastAsia"/>
          <w:color w:val="000000"/>
          <w:sz w:val="24"/>
          <w:szCs w:val="24"/>
          <w:lang w:eastAsia="zh-CN"/>
        </w:rPr>
        <w:t>投标人</w:t>
      </w:r>
      <w:r>
        <w:rPr>
          <w:color w:val="000000"/>
          <w:sz w:val="24"/>
          <w:szCs w:val="24"/>
        </w:rPr>
        <w:t>需提供终身的技术支持，</w:t>
      </w:r>
      <w:r>
        <w:rPr>
          <w:rFonts w:hint="eastAsia"/>
          <w:color w:val="000000"/>
          <w:sz w:val="24"/>
          <w:szCs w:val="24"/>
          <w:lang w:val="en-US" w:eastAsia="zh-CN"/>
        </w:rPr>
        <w:t>按照市场行情</w:t>
      </w:r>
      <w:r>
        <w:rPr>
          <w:color w:val="000000"/>
          <w:sz w:val="24"/>
          <w:szCs w:val="24"/>
        </w:rPr>
        <w:t>收取合理的成本费用</w:t>
      </w:r>
      <w:r>
        <w:rPr>
          <w:rFonts w:hint="eastAsia"/>
          <w:color w:val="000000"/>
          <w:sz w:val="24"/>
          <w:szCs w:val="24"/>
          <w:lang w:eastAsia="zh-CN"/>
        </w:rPr>
        <w:t>，</w:t>
      </w:r>
      <w:r>
        <w:rPr>
          <w:color w:val="000000"/>
          <w:sz w:val="24"/>
          <w:szCs w:val="24"/>
        </w:rPr>
        <w:t>保障系统的长期可用性。</w:t>
      </w:r>
    </w:p>
    <w:p w14:paraId="6367064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525" w:leftChars="0" w:right="0" w:rightChars="0" w:hanging="360" w:firstLineChars="0"/>
        <w:jc w:val="left"/>
        <w:textAlignment w:val="auto"/>
        <w:rPr>
          <w:rFonts w:hint="eastAsia" w:ascii="宋体" w:hAnsi="宋体" w:cs="宋体"/>
          <w:b/>
          <w:sz w:val="24"/>
          <w:highlight w:val="yellow"/>
        </w:rPr>
      </w:pPr>
      <w:r>
        <w:rPr>
          <w:rFonts w:hint="eastAsia" w:ascii="宋体" w:hAnsi="宋体" w:cs="宋体"/>
          <w:b/>
          <w:sz w:val="24"/>
          <w:highlight w:val="none"/>
          <w:lang w:val="en-US" w:eastAsia="zh-CN"/>
        </w:rPr>
        <w:t>十一、</w:t>
      </w:r>
      <w:r>
        <w:rPr>
          <w:rFonts w:hint="eastAsia" w:ascii="宋体" w:hAnsi="宋体" w:eastAsia="宋体" w:cs="宋体"/>
          <w:b/>
          <w:bCs/>
          <w:kern w:val="0"/>
          <w:sz w:val="24"/>
          <w:highlight w:val="none"/>
        </w:rPr>
        <w:t>免费</w:t>
      </w:r>
      <w:r>
        <w:rPr>
          <w:rFonts w:hint="eastAsia" w:ascii="宋体" w:hAnsi="宋体" w:eastAsia="宋体" w:cs="宋体"/>
          <w:b/>
          <w:bCs/>
          <w:kern w:val="0"/>
          <w:sz w:val="24"/>
          <w:highlight w:val="none"/>
          <w:lang w:val="en-US" w:eastAsia="zh-CN"/>
        </w:rPr>
        <w:t>质保期</w:t>
      </w:r>
      <w:r>
        <w:rPr>
          <w:rFonts w:hint="eastAsia" w:ascii="宋体" w:hAnsi="宋体" w:cs="宋体"/>
          <w:b/>
          <w:sz w:val="24"/>
          <w:highlight w:val="none"/>
        </w:rPr>
        <w:t>、人员培训及其他要求</w:t>
      </w:r>
    </w:p>
    <w:p w14:paraId="5319934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120" w:firstLineChars="0"/>
        <w:jc w:val="left"/>
        <w:textAlignment w:val="auto"/>
        <w:rPr>
          <w:rFonts w:hint="eastAsia"/>
          <w:color w:val="000000"/>
          <w:sz w:val="24"/>
          <w:szCs w:val="24"/>
        </w:rPr>
      </w:pPr>
      <w:r>
        <w:rPr>
          <w:rFonts w:hint="eastAsia"/>
          <w:b/>
          <w:bCs/>
          <w:color w:val="000000"/>
          <w:sz w:val="24"/>
          <w:szCs w:val="24"/>
        </w:rPr>
        <w:t>免费</w:t>
      </w:r>
      <w:r>
        <w:rPr>
          <w:rFonts w:hint="eastAsia"/>
          <w:b/>
          <w:bCs/>
          <w:color w:val="000000"/>
          <w:sz w:val="24"/>
          <w:szCs w:val="24"/>
          <w:lang w:val="en-US" w:eastAsia="zh-CN"/>
        </w:rPr>
        <w:t>质保期</w:t>
      </w:r>
      <w:r>
        <w:rPr>
          <w:rFonts w:hint="eastAsia"/>
          <w:b/>
          <w:bCs/>
          <w:color w:val="000000"/>
          <w:sz w:val="24"/>
          <w:szCs w:val="24"/>
        </w:rPr>
        <w:t>：3年</w:t>
      </w:r>
      <w:r>
        <w:rPr>
          <w:rFonts w:hint="eastAsia"/>
          <w:b/>
          <w:bCs/>
          <w:color w:val="000000"/>
          <w:sz w:val="24"/>
          <w:szCs w:val="24"/>
          <w:lang w:eastAsia="zh-CN"/>
        </w:rPr>
        <w:t>。</w:t>
      </w:r>
      <w:r>
        <w:rPr>
          <w:rFonts w:hint="eastAsia" w:eastAsia="宋体"/>
          <w:color w:val="000000"/>
          <w:sz w:val="24"/>
          <w:szCs w:val="24"/>
          <w:lang w:val="en-US" w:eastAsia="zh-CN"/>
        </w:rPr>
        <w:t>供应商</w:t>
      </w:r>
      <w:r>
        <w:rPr>
          <w:rFonts w:hint="eastAsia"/>
          <w:color w:val="000000"/>
          <w:sz w:val="24"/>
          <w:szCs w:val="24"/>
        </w:rPr>
        <w:t>负责对</w:t>
      </w:r>
      <w:r>
        <w:rPr>
          <w:rFonts w:hint="eastAsia" w:eastAsia="宋体"/>
          <w:color w:val="000000"/>
          <w:sz w:val="24"/>
          <w:szCs w:val="24"/>
          <w:lang w:val="en-US" w:eastAsia="zh-CN"/>
        </w:rPr>
        <w:t>甲方</w:t>
      </w:r>
      <w:r>
        <w:rPr>
          <w:rFonts w:hint="eastAsia"/>
          <w:color w:val="000000"/>
          <w:sz w:val="24"/>
          <w:szCs w:val="24"/>
        </w:rPr>
        <w:t>工作人员提供应用操作培训，直至能够熟练操作为止。</w:t>
      </w:r>
    </w:p>
    <w:p w14:paraId="19F7B8B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180" w:firstLineChars="0"/>
        <w:jc w:val="left"/>
        <w:textAlignment w:val="auto"/>
        <w:rPr>
          <w:rFonts w:asciiTheme="minorHAnsi" w:hAnsiTheme="minorHAnsi" w:eastAsiaTheme="minorEastAsia" w:cstheme="minorBidi"/>
          <w:color w:val="000000"/>
          <w:kern w:val="2"/>
          <w:sz w:val="24"/>
          <w:szCs w:val="24"/>
          <w:lang w:val="en-US" w:eastAsia="zh-CN" w:bidi="ar-SA"/>
        </w:rPr>
      </w:pPr>
      <w:r>
        <w:rPr>
          <w:rFonts w:hint="eastAsia" w:cstheme="minorBidi"/>
          <w:color w:val="000000"/>
          <w:kern w:val="2"/>
          <w:sz w:val="24"/>
          <w:szCs w:val="24"/>
          <w:lang w:val="en-US" w:eastAsia="zh-CN" w:bidi="ar-SA"/>
        </w:rPr>
        <w:t>1.中标人</w:t>
      </w:r>
      <w:r>
        <w:rPr>
          <w:rFonts w:asciiTheme="minorHAnsi" w:hAnsiTheme="minorHAnsi" w:eastAsiaTheme="minorEastAsia" w:cstheme="minorBidi"/>
          <w:color w:val="000000"/>
          <w:kern w:val="2"/>
          <w:sz w:val="24"/>
          <w:szCs w:val="24"/>
          <w:lang w:val="en-US" w:eastAsia="zh-CN" w:bidi="ar-SA"/>
        </w:rPr>
        <w:t>需为射阳县教育局、各学校提供全面的系统操作、使用、维护培训，确保教育局管理员、学校安保人员、系统维护人员可熟练掌握系统的操作使用、日常维护、简单故障排查与处置。</w:t>
      </w:r>
    </w:p>
    <w:p w14:paraId="4EAC5E6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180" w:firstLineChars="0"/>
        <w:jc w:val="left"/>
        <w:textAlignment w:val="auto"/>
        <w:rPr>
          <w:rFonts w:asciiTheme="minorHAnsi" w:hAnsiTheme="minorHAnsi" w:eastAsiaTheme="minorEastAsia" w:cstheme="minorBidi"/>
          <w:color w:val="000000"/>
          <w:kern w:val="2"/>
          <w:sz w:val="24"/>
          <w:szCs w:val="24"/>
          <w:lang w:val="en-US" w:eastAsia="zh-CN" w:bidi="ar-SA"/>
        </w:rPr>
      </w:pPr>
      <w:r>
        <w:rPr>
          <w:rFonts w:hint="eastAsia" w:cstheme="minorBidi"/>
          <w:color w:val="000000"/>
          <w:kern w:val="2"/>
          <w:sz w:val="24"/>
          <w:szCs w:val="24"/>
          <w:lang w:val="en-US" w:eastAsia="zh-CN" w:bidi="ar-SA"/>
        </w:rPr>
        <w:t>2.</w:t>
      </w:r>
      <w:r>
        <w:rPr>
          <w:rFonts w:asciiTheme="minorHAnsi" w:hAnsiTheme="minorHAnsi" w:eastAsiaTheme="minorEastAsia" w:cstheme="minorBidi"/>
          <w:color w:val="000000"/>
          <w:kern w:val="2"/>
          <w:sz w:val="24"/>
          <w:szCs w:val="24"/>
          <w:lang w:val="en-US" w:eastAsia="zh-CN" w:bidi="ar-SA"/>
        </w:rPr>
        <w:t>培训需制定详细的培训计划，包括实操培训、现场答疑等环节，培训完成后需进行考核，确保参训人员具备独立操作、维护系统的能力。</w:t>
      </w:r>
    </w:p>
    <w:p w14:paraId="76A24A2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180" w:firstLineChars="0"/>
        <w:jc w:val="left"/>
        <w:textAlignment w:val="auto"/>
        <w:rPr>
          <w:rFonts w:asciiTheme="minorHAnsi" w:hAnsiTheme="minorHAnsi" w:eastAsiaTheme="minorEastAsia" w:cstheme="minorBidi"/>
          <w:color w:val="000000"/>
          <w:kern w:val="2"/>
          <w:sz w:val="24"/>
          <w:szCs w:val="24"/>
          <w:lang w:val="en-US" w:eastAsia="zh-CN" w:bidi="ar-SA"/>
        </w:rPr>
      </w:pPr>
      <w:r>
        <w:rPr>
          <w:rFonts w:hint="eastAsia" w:cstheme="minorBidi"/>
          <w:color w:val="000000"/>
          <w:kern w:val="2"/>
          <w:sz w:val="24"/>
          <w:szCs w:val="24"/>
          <w:lang w:val="en-US" w:eastAsia="zh-CN" w:bidi="ar-SA"/>
        </w:rPr>
        <w:t>3.</w:t>
      </w:r>
      <w:r>
        <w:rPr>
          <w:rFonts w:asciiTheme="minorHAnsi" w:hAnsiTheme="minorHAnsi" w:eastAsiaTheme="minorEastAsia" w:cstheme="minorBidi"/>
          <w:color w:val="000000"/>
          <w:kern w:val="2"/>
          <w:sz w:val="24"/>
          <w:szCs w:val="24"/>
          <w:lang w:val="en-US" w:eastAsia="zh-CN" w:bidi="ar-SA"/>
        </w:rPr>
        <w:t>质保期内，</w:t>
      </w:r>
      <w:r>
        <w:rPr>
          <w:rFonts w:hint="eastAsia" w:cstheme="minorBidi"/>
          <w:color w:val="000000"/>
          <w:kern w:val="2"/>
          <w:sz w:val="24"/>
          <w:szCs w:val="24"/>
          <w:lang w:val="en-US" w:eastAsia="zh-CN" w:bidi="ar-SA"/>
        </w:rPr>
        <w:t>中标人</w:t>
      </w:r>
      <w:r>
        <w:rPr>
          <w:rFonts w:asciiTheme="minorHAnsi" w:hAnsiTheme="minorHAnsi" w:eastAsiaTheme="minorEastAsia" w:cstheme="minorBidi"/>
          <w:color w:val="000000"/>
          <w:kern w:val="2"/>
          <w:sz w:val="24"/>
          <w:szCs w:val="24"/>
          <w:lang w:val="en-US" w:eastAsia="zh-CN" w:bidi="ar-SA"/>
        </w:rPr>
        <w:t>需提供免费的技术咨询服务，针对系统升级、人员变动等情况，及时提供对应的培训支持。</w:t>
      </w:r>
    </w:p>
    <w:p w14:paraId="4FC8C8B5">
      <w:pPr>
        <w:spacing w:line="560" w:lineRule="exact"/>
        <w:ind w:firstLine="482" w:firstLineChars="200"/>
        <w:outlineLvl w:val="0"/>
        <w:rPr>
          <w:rFonts w:hint="eastAsia" w:ascii="仿宋" w:hAnsi="仿宋" w:eastAsia="仿宋" w:cs="仿宋"/>
          <w:color w:val="000000"/>
          <w:sz w:val="24"/>
          <w:szCs w:val="24"/>
          <w:highlight w:val="none"/>
          <w:lang w:val="en-US" w:eastAsia="zh-CN" w:bidi="ar"/>
        </w:rPr>
      </w:pPr>
      <w:r>
        <w:rPr>
          <w:rFonts w:hint="eastAsia" w:ascii="宋体" w:hAnsi="宋体" w:eastAsia="宋体" w:cs="宋体"/>
          <w:b/>
          <w:bCs/>
          <w:kern w:val="0"/>
          <w:sz w:val="24"/>
          <w:highlight w:val="none"/>
          <w:lang w:val="en-US" w:eastAsia="zh-CN"/>
        </w:rPr>
        <w:t>十二、现场踏勘</w:t>
      </w:r>
      <w:r>
        <w:rPr>
          <w:rFonts w:hint="eastAsia" w:ascii="宋体" w:hAnsi="宋体" w:eastAsia="宋体" w:cs="宋体"/>
          <w:kern w:val="0"/>
          <w:sz w:val="24"/>
          <w:highlight w:val="none"/>
          <w:lang w:val="en-US" w:eastAsia="zh-CN"/>
        </w:rPr>
        <w:t>：根据自身投标需要，投标人可自行对项目现场和周围环境进行踏勘，以获取编制投标文件和签署合同所需的信息，所发生的费用由投标人自己承担。</w:t>
      </w:r>
    </w:p>
    <w:p w14:paraId="4DB713E3">
      <w:pPr>
        <w:spacing w:line="440" w:lineRule="exact"/>
        <w:ind w:firstLine="480" w:firstLineChars="200"/>
        <w:rPr>
          <w:rFonts w:ascii="宋体" w:hAnsi="宋体" w:cs="宋体"/>
          <w:b/>
          <w:color w:val="000000"/>
          <w:sz w:val="24"/>
          <w:highlight w:val="none"/>
        </w:rPr>
      </w:pPr>
      <w:r>
        <w:rPr>
          <w:rFonts w:hint="eastAsia" w:ascii="宋体" w:hAnsi="宋体" w:cs="宋体"/>
          <w:b/>
          <w:color w:val="000000"/>
          <w:sz w:val="24"/>
          <w:highlight w:val="none"/>
        </w:rPr>
        <w:t>特别说明：</w:t>
      </w:r>
    </w:p>
    <w:p w14:paraId="2CF33205">
      <w:pPr>
        <w:spacing w:line="440" w:lineRule="exact"/>
        <w:ind w:firstLine="480"/>
        <w:outlineLvl w:val="2"/>
        <w:rPr>
          <w:rFonts w:ascii="宋体" w:hAnsi="宋体"/>
          <w:b/>
          <w:bCs/>
          <w:color w:val="000000"/>
          <w:sz w:val="24"/>
          <w:highlight w:val="none"/>
        </w:rPr>
      </w:pPr>
      <w:r>
        <w:rPr>
          <w:rFonts w:hint="eastAsia" w:ascii="宋体" w:hAnsi="宋体"/>
          <w:color w:val="000000"/>
          <w:sz w:val="24"/>
          <w:highlight w:val="none"/>
        </w:rPr>
        <w:t>1、报价含交付使用前一切费用。不接受选择性报价。</w:t>
      </w:r>
    </w:p>
    <w:p w14:paraId="7A62634A">
      <w:pPr>
        <w:spacing w:line="440" w:lineRule="exact"/>
        <w:ind w:firstLine="480"/>
        <w:rPr>
          <w:rFonts w:ascii="宋体" w:hAnsi="宋体"/>
          <w:color w:val="000000"/>
          <w:sz w:val="24"/>
          <w:highlight w:val="none"/>
        </w:rPr>
      </w:pPr>
      <w:r>
        <w:rPr>
          <w:rFonts w:hint="eastAsia" w:ascii="宋体" w:hAnsi="宋体"/>
          <w:color w:val="000000"/>
          <w:position w:val="2"/>
          <w:sz w:val="24"/>
          <w:highlight w:val="none"/>
        </w:rPr>
        <w:t>2、资格后审：招标采购项目开标结束后，采购人或采购代理机构应当依法对供应商的资格进行审查。资格审查材料的扫描件须在响应文件中提供。</w:t>
      </w:r>
    </w:p>
    <w:p w14:paraId="5492C354">
      <w:pPr>
        <w:pStyle w:val="30"/>
        <w:spacing w:beforeAutospacing="0" w:afterAutospacing="0" w:line="440" w:lineRule="exact"/>
        <w:ind w:firstLine="480"/>
        <w:jc w:val="both"/>
        <w:rPr>
          <w:highlight w:val="none"/>
        </w:rPr>
      </w:pPr>
      <w:r>
        <w:rPr>
          <w:rFonts w:hint="eastAsia" w:ascii="宋体" w:hAnsi="宋体" w:eastAsia="宋体" w:cs="宋体"/>
          <w:color w:val="000000"/>
          <w:highlight w:val="none"/>
        </w:rPr>
        <w:t>3、质量及验收：采购人根据国家有关规定、招标文件、中标方的投标文件以及合同约定的内容和验收标准进行验收。</w:t>
      </w:r>
      <w:r>
        <w:rPr>
          <w:highlight w:val="none"/>
        </w:rPr>
        <w:t> </w:t>
      </w:r>
    </w:p>
    <w:p w14:paraId="76AF339E">
      <w:pPr>
        <w:pStyle w:val="30"/>
        <w:spacing w:beforeAutospacing="0" w:afterAutospacing="0" w:line="440" w:lineRule="exact"/>
        <w:ind w:firstLine="480"/>
        <w:jc w:val="both"/>
        <w:rPr>
          <w:highlight w:val="none"/>
        </w:rPr>
      </w:pPr>
      <w:r>
        <w:rPr>
          <w:rFonts w:hint="eastAsia" w:ascii="宋体" w:hAnsi="宋体" w:eastAsia="宋体" w:cs="宋体"/>
          <w:kern w:val="0"/>
          <w:sz w:val="24"/>
          <w:highlight w:val="none"/>
          <w:lang w:val="en-US" w:eastAsia="zh-CN"/>
        </w:rPr>
        <w:t>4、</w:t>
      </w:r>
      <w:r>
        <w:rPr>
          <w:rFonts w:hint="eastAsia" w:ascii="宋体" w:hAnsi="宋体" w:eastAsia="宋体" w:cs="宋体"/>
          <w:kern w:val="0"/>
          <w:sz w:val="24"/>
          <w:highlight w:val="none"/>
        </w:rPr>
        <w:t>本项目不接受进口产品投标。</w:t>
      </w:r>
    </w:p>
    <w:p w14:paraId="0D08AA53">
      <w:pPr>
        <w:pStyle w:val="200"/>
        <w:spacing w:line="500" w:lineRule="exact"/>
        <w:ind w:firstLine="420"/>
        <w:rPr>
          <w:rFonts w:hAnsi="宋体" w:eastAsia="宋体"/>
          <w:sz w:val="24"/>
          <w:highlight w:val="none"/>
        </w:rPr>
      </w:pPr>
      <w:r>
        <w:rPr>
          <w:highlight w:val="none"/>
        </w:rPr>
        <w:t> </w:t>
      </w:r>
      <w:r>
        <w:rPr>
          <w:rFonts w:hint="eastAsia"/>
          <w:highlight w:val="none"/>
          <w:lang w:val="en-US" w:eastAsia="zh-CN"/>
        </w:rPr>
        <w:t>5、</w:t>
      </w:r>
      <w:r>
        <w:rPr>
          <w:rFonts w:hint="eastAsia" w:hAnsi="宋体" w:eastAsia="宋体"/>
          <w:sz w:val="24"/>
          <w:highlight w:val="none"/>
        </w:rPr>
        <w:t>采购标的对应的中小企业划分标准所属行业一览表</w:t>
      </w:r>
    </w:p>
    <w:tbl>
      <w:tblPr>
        <w:tblStyle w:val="33"/>
        <w:tblW w:w="783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3697"/>
        <w:gridCol w:w="3069"/>
      </w:tblGrid>
      <w:tr w14:paraId="78CDC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blCellSpacing w:w="0" w:type="dxa"/>
          <w:jc w:val="center"/>
        </w:trPr>
        <w:tc>
          <w:tcPr>
            <w:tcW w:w="1073" w:type="dxa"/>
            <w:shd w:val="clear" w:color="auto" w:fill="auto"/>
            <w:noWrap/>
            <w:vAlign w:val="center"/>
          </w:tcPr>
          <w:p w14:paraId="3B040C2D">
            <w:pPr>
              <w:pStyle w:val="200"/>
              <w:spacing w:line="240" w:lineRule="auto"/>
              <w:ind w:firstLine="0"/>
              <w:jc w:val="center"/>
              <w:rPr>
                <w:rFonts w:hAnsi="宋体" w:eastAsia="宋体" w:cs="Times New Roman"/>
                <w:sz w:val="24"/>
              </w:rPr>
            </w:pPr>
            <w:r>
              <w:rPr>
                <w:rFonts w:hint="eastAsia" w:hAnsi="宋体" w:eastAsia="宋体" w:cs="Times New Roman"/>
                <w:sz w:val="24"/>
              </w:rPr>
              <w:t>序号</w:t>
            </w:r>
          </w:p>
        </w:tc>
        <w:tc>
          <w:tcPr>
            <w:tcW w:w="3697" w:type="dxa"/>
            <w:shd w:val="clear" w:color="auto" w:fill="auto"/>
            <w:noWrap/>
            <w:vAlign w:val="center"/>
          </w:tcPr>
          <w:p w14:paraId="41F02C52">
            <w:pPr>
              <w:pStyle w:val="200"/>
              <w:spacing w:line="240" w:lineRule="auto"/>
              <w:ind w:firstLine="0"/>
              <w:jc w:val="center"/>
              <w:rPr>
                <w:rFonts w:hAnsi="宋体" w:eastAsia="宋体" w:cs="Times New Roman"/>
                <w:sz w:val="24"/>
              </w:rPr>
            </w:pPr>
            <w:r>
              <w:rPr>
                <w:rFonts w:hint="eastAsia" w:hAnsi="宋体" w:eastAsia="宋体" w:cs="Times New Roman"/>
                <w:sz w:val="24"/>
              </w:rPr>
              <w:t>采购标的</w:t>
            </w:r>
          </w:p>
        </w:tc>
        <w:tc>
          <w:tcPr>
            <w:tcW w:w="3069" w:type="dxa"/>
            <w:shd w:val="clear" w:color="auto" w:fill="auto"/>
            <w:noWrap/>
            <w:vAlign w:val="center"/>
          </w:tcPr>
          <w:p w14:paraId="4B436F3D">
            <w:pPr>
              <w:pStyle w:val="200"/>
              <w:spacing w:line="240" w:lineRule="auto"/>
              <w:ind w:firstLine="0"/>
              <w:jc w:val="center"/>
              <w:rPr>
                <w:rFonts w:hAnsi="宋体" w:eastAsia="宋体" w:cs="Times New Roman"/>
                <w:sz w:val="24"/>
              </w:rPr>
            </w:pPr>
            <w:r>
              <w:rPr>
                <w:rFonts w:hint="eastAsia" w:hAnsi="宋体" w:eastAsia="宋体" w:cs="Times New Roman"/>
                <w:sz w:val="24"/>
              </w:rPr>
              <w:t>对应中小企业划分标准所属行业</w:t>
            </w:r>
          </w:p>
        </w:tc>
      </w:tr>
      <w:tr w14:paraId="1C6D8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blCellSpacing w:w="0" w:type="dxa"/>
          <w:jc w:val="center"/>
        </w:trPr>
        <w:tc>
          <w:tcPr>
            <w:tcW w:w="1073" w:type="dxa"/>
            <w:shd w:val="clear" w:color="auto" w:fill="auto"/>
            <w:noWrap/>
            <w:vAlign w:val="center"/>
          </w:tcPr>
          <w:p w14:paraId="7F9C1A6F">
            <w:pPr>
              <w:pStyle w:val="200"/>
              <w:spacing w:line="240" w:lineRule="auto"/>
              <w:ind w:firstLine="0"/>
              <w:jc w:val="center"/>
              <w:rPr>
                <w:rFonts w:hAnsi="宋体" w:eastAsia="宋体" w:cs="Times New Roman"/>
                <w:sz w:val="24"/>
              </w:rPr>
            </w:pPr>
            <w:r>
              <w:rPr>
                <w:rFonts w:hint="eastAsia" w:hAnsi="宋体" w:eastAsia="宋体" w:cs="Times New Roman"/>
                <w:sz w:val="24"/>
              </w:rPr>
              <w:t>1</w:t>
            </w:r>
          </w:p>
        </w:tc>
        <w:tc>
          <w:tcPr>
            <w:tcW w:w="3697" w:type="dxa"/>
            <w:shd w:val="clear" w:color="auto" w:fill="auto"/>
            <w:noWrap/>
            <w:vAlign w:val="center"/>
          </w:tcPr>
          <w:p w14:paraId="14B0E78D">
            <w:pPr>
              <w:pStyle w:val="200"/>
              <w:spacing w:line="240" w:lineRule="auto"/>
              <w:ind w:firstLine="0"/>
              <w:jc w:val="center"/>
              <w:rPr>
                <w:rFonts w:hint="eastAsia" w:hAnsi="宋体" w:eastAsia="宋体" w:cs="Times New Roman"/>
                <w:sz w:val="24"/>
                <w:lang w:eastAsia="zh-CN"/>
              </w:rPr>
            </w:pPr>
            <w:r>
              <w:rPr>
                <w:rFonts w:hint="eastAsia" w:hAnsi="宋体" w:eastAsia="宋体" w:cs="宋体"/>
                <w:sz w:val="24"/>
                <w:u w:val="none"/>
                <w:lang w:eastAsia="zh-CN"/>
              </w:rPr>
              <w:t>射阳县教育局校园周界防范报警系统改造提升项目（</w:t>
            </w:r>
            <w:r>
              <w:rPr>
                <w:rFonts w:hint="eastAsia" w:hAnsi="宋体" w:eastAsia="宋体" w:cs="宋体"/>
                <w:sz w:val="24"/>
                <w:u w:val="none"/>
                <w:lang w:val="en-US" w:eastAsia="zh-CN"/>
              </w:rPr>
              <w:t>三</w:t>
            </w:r>
            <w:r>
              <w:rPr>
                <w:rFonts w:hint="eastAsia" w:hAnsi="宋体" w:eastAsia="宋体" w:cs="宋体"/>
                <w:sz w:val="24"/>
                <w:u w:val="none"/>
                <w:lang w:eastAsia="zh-CN"/>
              </w:rPr>
              <w:t>次）</w:t>
            </w:r>
          </w:p>
        </w:tc>
        <w:tc>
          <w:tcPr>
            <w:tcW w:w="3069" w:type="dxa"/>
            <w:shd w:val="clear" w:color="auto" w:fill="auto"/>
            <w:noWrap/>
            <w:vAlign w:val="center"/>
          </w:tcPr>
          <w:p w14:paraId="588DE667">
            <w:pPr>
              <w:pStyle w:val="200"/>
              <w:spacing w:line="240" w:lineRule="auto"/>
              <w:ind w:firstLine="0"/>
              <w:jc w:val="center"/>
              <w:rPr>
                <w:rFonts w:hAnsi="宋体" w:eastAsia="宋体" w:cs="Times New Roman"/>
                <w:sz w:val="24"/>
              </w:rPr>
            </w:pPr>
            <w:r>
              <w:rPr>
                <w:rFonts w:hint="eastAsia" w:hAnsi="宋体" w:eastAsia="宋体" w:cs="Times New Roman"/>
                <w:sz w:val="24"/>
              </w:rPr>
              <w:t>制造业</w:t>
            </w:r>
          </w:p>
        </w:tc>
      </w:tr>
    </w:tbl>
    <w:p w14:paraId="07102D0C">
      <w:pPr>
        <w:pStyle w:val="30"/>
        <w:spacing w:beforeAutospacing="0" w:afterAutospacing="0" w:line="0" w:lineRule="atLeast"/>
        <w:ind w:firstLine="480"/>
        <w:jc w:val="both"/>
      </w:pPr>
    </w:p>
    <w:p w14:paraId="2C21A8D1">
      <w:pPr>
        <w:pStyle w:val="30"/>
        <w:spacing w:beforeAutospacing="0" w:afterAutospacing="0"/>
        <w:ind w:firstLine="602"/>
        <w:jc w:val="both"/>
      </w:pPr>
      <w:r>
        <w:t> </w:t>
      </w:r>
    </w:p>
    <w:p w14:paraId="04517C2A">
      <w:pPr>
        <w:pStyle w:val="30"/>
        <w:spacing w:beforeAutospacing="0" w:afterAutospacing="0"/>
        <w:ind w:firstLine="602"/>
        <w:jc w:val="both"/>
      </w:pPr>
    </w:p>
    <w:p w14:paraId="2F0C42B9">
      <w:pPr>
        <w:pStyle w:val="30"/>
        <w:spacing w:beforeAutospacing="0" w:afterAutospacing="0"/>
        <w:ind w:firstLine="602"/>
        <w:jc w:val="both"/>
      </w:pPr>
    </w:p>
    <w:p w14:paraId="6D568D67">
      <w:pPr>
        <w:pStyle w:val="30"/>
        <w:spacing w:beforeAutospacing="0" w:afterAutospacing="0"/>
        <w:ind w:firstLine="602"/>
        <w:jc w:val="both"/>
      </w:pPr>
    </w:p>
    <w:p w14:paraId="42B849CB">
      <w:pPr>
        <w:pStyle w:val="30"/>
        <w:spacing w:beforeAutospacing="0" w:afterAutospacing="0"/>
        <w:ind w:firstLine="602"/>
        <w:jc w:val="both"/>
      </w:pPr>
    </w:p>
    <w:p w14:paraId="694D2111">
      <w:pPr>
        <w:pStyle w:val="30"/>
        <w:spacing w:beforeAutospacing="0" w:afterAutospacing="0"/>
        <w:ind w:firstLine="602"/>
        <w:jc w:val="both"/>
      </w:pPr>
    </w:p>
    <w:p w14:paraId="2BC16976">
      <w:pPr>
        <w:pStyle w:val="30"/>
        <w:spacing w:beforeAutospacing="0" w:afterAutospacing="0"/>
        <w:ind w:firstLine="602"/>
        <w:jc w:val="both"/>
      </w:pPr>
    </w:p>
    <w:p w14:paraId="60278F50">
      <w:pPr>
        <w:pStyle w:val="30"/>
        <w:spacing w:beforeAutospacing="0" w:afterAutospacing="0"/>
        <w:jc w:val="both"/>
      </w:pPr>
      <w:r>
        <w:t> </w:t>
      </w:r>
    </w:p>
    <w:p w14:paraId="28461D4E">
      <w:pPr>
        <w:pStyle w:val="30"/>
        <w:tabs>
          <w:tab w:val="left" w:pos="6205"/>
        </w:tabs>
        <w:spacing w:beforeAutospacing="0" w:afterAutospacing="0"/>
        <w:jc w:val="both"/>
      </w:pPr>
    </w:p>
    <w:p w14:paraId="1A5F9ECD">
      <w:pPr>
        <w:pStyle w:val="30"/>
        <w:spacing w:beforeAutospacing="0" w:afterAutospacing="0" w:line="500" w:lineRule="exact"/>
        <w:ind w:firstLine="439"/>
        <w:jc w:val="center"/>
        <w:rPr>
          <w:rFonts w:ascii="黑体" w:hAnsi="黑体" w:eastAsia="黑体" w:cs="黑体"/>
          <w:color w:val="000000"/>
          <w:sz w:val="44"/>
          <w:szCs w:val="44"/>
        </w:rPr>
      </w:pPr>
      <w:bookmarkStart w:id="190" w:name="_Toc120614281"/>
      <w:r>
        <w:rPr>
          <w:rFonts w:hint="eastAsia" w:ascii="黑体" w:hAnsi="黑体" w:eastAsia="黑体" w:cs="黑体"/>
          <w:color w:val="000000"/>
          <w:sz w:val="44"/>
          <w:szCs w:val="44"/>
        </w:rPr>
        <w:t>第五章  评标方法与评标标准</w:t>
      </w:r>
    </w:p>
    <w:p w14:paraId="2B9CC910">
      <w:pPr>
        <w:pStyle w:val="30"/>
        <w:spacing w:beforeAutospacing="0" w:afterAutospacing="0"/>
        <w:jc w:val="both"/>
      </w:pPr>
      <w:r>
        <w:t> </w:t>
      </w:r>
    </w:p>
    <w:p w14:paraId="28D408E6">
      <w:pPr>
        <w:pStyle w:val="30"/>
        <w:spacing w:beforeAutospacing="0" w:afterAutospacing="0" w:line="500" w:lineRule="exact"/>
        <w:ind w:firstLine="439"/>
        <w:rPr>
          <w:rFonts w:ascii="宋体" w:hAnsi="宋体" w:eastAsia="宋体" w:cs="宋体"/>
        </w:rPr>
      </w:pPr>
      <w:r>
        <w:rPr>
          <w:rFonts w:hint="eastAsia" w:ascii="宋体" w:hAnsi="宋体" w:eastAsia="宋体" w:cs="宋体"/>
          <w:color w:val="000000"/>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选取1名中标候选人。</w:t>
      </w:r>
    </w:p>
    <w:p w14:paraId="37731EB7">
      <w:pPr>
        <w:pStyle w:val="30"/>
        <w:spacing w:beforeAutospacing="0" w:afterAutospacing="0" w:line="500" w:lineRule="exact"/>
        <w:ind w:firstLine="441"/>
        <w:rPr>
          <w:rFonts w:ascii="宋体" w:hAnsi="宋体" w:eastAsia="宋体" w:cs="宋体"/>
        </w:rPr>
      </w:pPr>
      <w:r>
        <w:rPr>
          <w:rFonts w:hint="eastAsia" w:ascii="宋体" w:hAnsi="宋体" w:eastAsia="宋体" w:cs="宋体"/>
          <w:b/>
          <w:color w:val="000000"/>
        </w:rPr>
        <w:t>政府采购政策功能落实</w:t>
      </w:r>
    </w:p>
    <w:p w14:paraId="20C43971">
      <w:pPr>
        <w:pStyle w:val="30"/>
        <w:spacing w:beforeAutospacing="0" w:afterAutospacing="0" w:line="500" w:lineRule="exact"/>
        <w:ind w:firstLine="480"/>
        <w:rPr>
          <w:rFonts w:ascii="宋体" w:hAnsi="宋体" w:eastAsia="宋体" w:cs="宋体"/>
        </w:rPr>
      </w:pPr>
      <w:r>
        <w:rPr>
          <w:rFonts w:hint="eastAsia" w:ascii="宋体" w:hAnsi="宋体" w:eastAsia="宋体" w:cs="宋体"/>
          <w:color w:val="000000"/>
        </w:rPr>
        <w:t>1、小微型企业价格扣除</w:t>
      </w:r>
    </w:p>
    <w:p w14:paraId="7D2BF95D">
      <w:pPr>
        <w:pStyle w:val="30"/>
        <w:spacing w:beforeAutospacing="0" w:afterAutospacing="0" w:line="500" w:lineRule="exact"/>
        <w:ind w:firstLine="360"/>
        <w:rPr>
          <w:rFonts w:ascii="宋体" w:hAnsi="宋体" w:eastAsia="宋体" w:cs="宋体"/>
          <w:color w:val="000000"/>
        </w:rPr>
      </w:pPr>
      <w:r>
        <w:rPr>
          <w:rFonts w:hint="eastAsia" w:ascii="宋体" w:hAnsi="宋体" w:eastAsia="宋体" w:cs="宋体"/>
          <w:color w:val="000000"/>
        </w:rPr>
        <w:t>（1）本项目对小型和微型企业提供的货物给予</w:t>
      </w:r>
      <w:r>
        <w:rPr>
          <w:rFonts w:hint="eastAsia" w:ascii="宋体" w:hAnsi="宋体" w:eastAsia="宋体" w:cs="宋体"/>
          <w:color w:val="000000"/>
          <w:u w:val="single"/>
        </w:rPr>
        <w:t>20%</w:t>
      </w:r>
      <w:r>
        <w:rPr>
          <w:rFonts w:hint="eastAsia" w:ascii="宋体" w:hAnsi="宋体" w:eastAsia="宋体" w:cs="宋体"/>
          <w:color w:val="000000"/>
        </w:rPr>
        <w:t>的扣除价格，用扣除后的价格参与评审。</w:t>
      </w:r>
    </w:p>
    <w:p w14:paraId="6E7908DF">
      <w:pPr>
        <w:pStyle w:val="30"/>
        <w:spacing w:beforeAutospacing="0" w:afterAutospacing="0" w:line="500" w:lineRule="exact"/>
        <w:ind w:firstLine="360"/>
        <w:rPr>
          <w:rFonts w:ascii="宋体" w:hAnsi="宋体" w:eastAsia="宋体" w:cs="宋体"/>
        </w:rPr>
      </w:pPr>
      <w:r>
        <w:rPr>
          <w:rFonts w:hint="eastAsia" w:ascii="宋体" w:hAnsi="宋体" w:eastAsia="宋体" w:cs="宋体"/>
          <w:color w:val="000000"/>
        </w:rPr>
        <w:t>（2）供应商需按照采购文件的要求提供相应的《小微企业声明函》。</w:t>
      </w:r>
      <w:r>
        <w:rPr>
          <w:rFonts w:hint="eastAsia" w:ascii="宋体" w:hAnsi="宋体" w:eastAsia="宋体"/>
          <w:color w:val="000000"/>
        </w:rPr>
        <w:t>所投货物须全部为小微企业所制造（即货物由小微企业生产且使用该小微企业商号或者注册商标）。须将本次标的物逐一列明，如有遗漏则价格不作响应扣除。</w:t>
      </w:r>
    </w:p>
    <w:p w14:paraId="1AD34424">
      <w:pPr>
        <w:pStyle w:val="30"/>
        <w:spacing w:beforeAutospacing="0" w:afterAutospacing="0" w:line="500" w:lineRule="exact"/>
        <w:ind w:firstLine="360"/>
        <w:rPr>
          <w:rFonts w:ascii="宋体" w:hAnsi="宋体" w:eastAsia="宋体" w:cs="宋体"/>
        </w:rPr>
      </w:pPr>
      <w:r>
        <w:rPr>
          <w:rFonts w:hint="eastAsia" w:ascii="宋体" w:hAnsi="宋体" w:eastAsia="宋体" w:cs="宋体"/>
          <w:color w:val="000000"/>
        </w:rPr>
        <w:t>（3）企业标准请参照《关于印发中小企业划型标准规定的通知》（工信部联企业[2011]300号）文件规定自行填写。</w:t>
      </w:r>
    </w:p>
    <w:p w14:paraId="3C541B5C">
      <w:pPr>
        <w:pStyle w:val="30"/>
        <w:spacing w:beforeAutospacing="0" w:afterAutospacing="0" w:line="500" w:lineRule="exact"/>
        <w:ind w:firstLine="480"/>
        <w:rPr>
          <w:rFonts w:ascii="宋体" w:hAnsi="宋体" w:eastAsia="宋体" w:cs="宋体"/>
        </w:rPr>
      </w:pPr>
      <w:r>
        <w:rPr>
          <w:rFonts w:hint="eastAsia" w:ascii="宋体" w:hAnsi="宋体" w:eastAsia="宋体" w:cs="宋体"/>
          <w:color w:val="000000"/>
        </w:rPr>
        <w:t>2、残疾人福利单位价格扣除</w:t>
      </w:r>
    </w:p>
    <w:p w14:paraId="2D6017B4">
      <w:pPr>
        <w:pStyle w:val="30"/>
        <w:spacing w:beforeAutospacing="0" w:afterAutospacing="0" w:line="500" w:lineRule="exact"/>
        <w:ind w:firstLine="360"/>
        <w:rPr>
          <w:rFonts w:ascii="宋体" w:hAnsi="宋体" w:eastAsia="宋体" w:cs="宋体"/>
          <w:color w:val="000000"/>
          <w:u w:val="single"/>
        </w:rPr>
      </w:pPr>
      <w:r>
        <w:rPr>
          <w:rFonts w:hint="eastAsia" w:ascii="宋体" w:hAnsi="宋体" w:eastAsia="宋体" w:cs="宋体"/>
          <w:color w:val="000000"/>
        </w:rPr>
        <w:t>（1）本项目对残疾人福利性单位视同小型、微型企业，给予</w:t>
      </w:r>
      <w:r>
        <w:rPr>
          <w:rFonts w:hint="eastAsia" w:ascii="宋体" w:hAnsi="宋体" w:eastAsia="宋体" w:cs="宋体"/>
          <w:color w:val="000000"/>
          <w:u w:val="single"/>
        </w:rPr>
        <w:t>20%</w:t>
      </w:r>
      <w:r>
        <w:rPr>
          <w:rFonts w:hint="eastAsia" w:ascii="宋体" w:hAnsi="宋体" w:eastAsia="宋体" w:cs="宋体"/>
          <w:color w:val="000000"/>
        </w:rPr>
        <w:t>的扣除价格，用扣除后的价格参与评审。</w:t>
      </w:r>
    </w:p>
    <w:p w14:paraId="218965D2">
      <w:pPr>
        <w:pStyle w:val="30"/>
        <w:spacing w:beforeAutospacing="0" w:afterAutospacing="0" w:line="500" w:lineRule="exact"/>
        <w:ind w:firstLine="360"/>
        <w:rPr>
          <w:rFonts w:ascii="宋体" w:hAnsi="宋体" w:eastAsia="宋体" w:cs="宋体"/>
        </w:rPr>
      </w:pPr>
      <w:r>
        <w:rPr>
          <w:rFonts w:hint="eastAsia" w:ascii="宋体" w:hAnsi="宋体" w:eastAsia="宋体" w:cs="宋体"/>
          <w:color w:val="000000"/>
        </w:rPr>
        <w:t>（2）残疾人福利单位需按照采购文件的要求提供《残疾人福利性单位声明函》。</w:t>
      </w:r>
    </w:p>
    <w:p w14:paraId="70EC0662">
      <w:pPr>
        <w:pStyle w:val="30"/>
        <w:spacing w:beforeAutospacing="0" w:afterAutospacing="0" w:line="500" w:lineRule="exact"/>
        <w:ind w:firstLine="360"/>
        <w:rPr>
          <w:rFonts w:ascii="宋体" w:hAnsi="宋体" w:eastAsia="宋体" w:cs="宋体"/>
        </w:rPr>
      </w:pPr>
      <w:r>
        <w:rPr>
          <w:rFonts w:hint="eastAsia" w:ascii="宋体" w:hAnsi="宋体" w:eastAsia="宋体" w:cs="宋体"/>
          <w:color w:val="000000"/>
        </w:rPr>
        <w:t>（3）残疾人福利单位标准请参照《关于促进残疾人就业政府采购政策的通知》（财库〔2017〕141号）。</w:t>
      </w:r>
    </w:p>
    <w:p w14:paraId="1F8A6F55">
      <w:pPr>
        <w:pStyle w:val="30"/>
        <w:spacing w:beforeAutospacing="0" w:afterAutospacing="0" w:line="500" w:lineRule="exact"/>
        <w:ind w:firstLine="480"/>
        <w:rPr>
          <w:rFonts w:ascii="宋体" w:hAnsi="宋体" w:eastAsia="宋体" w:cs="宋体"/>
        </w:rPr>
      </w:pPr>
      <w:r>
        <w:rPr>
          <w:rFonts w:hint="eastAsia" w:ascii="宋体" w:hAnsi="宋体" w:eastAsia="宋体" w:cs="宋体"/>
          <w:color w:val="000000"/>
        </w:rPr>
        <w:t>3、监狱和戒毒企业价格扣除</w:t>
      </w:r>
    </w:p>
    <w:p w14:paraId="751315EA">
      <w:pPr>
        <w:pStyle w:val="30"/>
        <w:spacing w:beforeAutospacing="0" w:afterAutospacing="0" w:line="500" w:lineRule="exact"/>
        <w:ind w:firstLine="360"/>
        <w:rPr>
          <w:rFonts w:ascii="宋体" w:hAnsi="宋体" w:eastAsia="宋体" w:cs="宋体"/>
          <w:color w:val="000000"/>
        </w:rPr>
      </w:pPr>
      <w:r>
        <w:rPr>
          <w:rFonts w:hint="eastAsia" w:ascii="宋体" w:hAnsi="宋体" w:eastAsia="宋体" w:cs="宋体"/>
          <w:color w:val="000000"/>
        </w:rPr>
        <w:t>（1）本项目对监狱和戒毒企业（简称监狱企业）视同小型、微型企业，给予</w:t>
      </w:r>
      <w:r>
        <w:rPr>
          <w:rFonts w:hint="eastAsia" w:ascii="宋体" w:hAnsi="宋体" w:eastAsia="宋体" w:cs="宋体"/>
          <w:color w:val="000000"/>
          <w:u w:val="single"/>
        </w:rPr>
        <w:t>20%</w:t>
      </w:r>
      <w:r>
        <w:rPr>
          <w:rFonts w:hint="eastAsia" w:ascii="宋体" w:hAnsi="宋体" w:eastAsia="宋体" w:cs="宋体"/>
          <w:color w:val="000000"/>
        </w:rPr>
        <w:t>的扣除价格，用扣除后的价格参与评审。</w:t>
      </w:r>
    </w:p>
    <w:p w14:paraId="1AD0FCA2">
      <w:pPr>
        <w:pStyle w:val="30"/>
        <w:spacing w:beforeAutospacing="0" w:afterAutospacing="0" w:line="500" w:lineRule="exact"/>
        <w:ind w:firstLine="360"/>
        <w:rPr>
          <w:rFonts w:ascii="宋体" w:hAnsi="宋体" w:eastAsia="宋体" w:cs="宋体"/>
        </w:rPr>
      </w:pPr>
      <w:r>
        <w:rPr>
          <w:rFonts w:hint="eastAsia" w:ascii="宋体" w:hAnsi="宋体" w:eastAsia="宋体" w:cs="宋体"/>
          <w:color w:val="000000"/>
        </w:rPr>
        <w:t>（2）监狱企业参加政府采购活动时，需提供由省级以上监狱管理局、戒毒管理局(含新疆生产建设兵团)出具的属于监狱企业的证明文件。供应商如不提供上述证明文件，价格将不做相应扣除。</w:t>
      </w:r>
    </w:p>
    <w:p w14:paraId="6059C552">
      <w:pPr>
        <w:pStyle w:val="30"/>
        <w:spacing w:beforeAutospacing="0" w:afterAutospacing="0" w:line="500" w:lineRule="exact"/>
        <w:ind w:firstLine="480"/>
        <w:rPr>
          <w:rFonts w:ascii="宋体" w:hAnsi="宋体" w:eastAsia="宋体" w:cs="宋体"/>
        </w:rPr>
      </w:pPr>
      <w:r>
        <w:rPr>
          <w:rFonts w:hint="eastAsia" w:ascii="宋体" w:hAnsi="宋体" w:eastAsia="宋体" w:cs="宋体"/>
          <w:color w:val="000000"/>
        </w:rPr>
        <w:t>（3）监狱企业标准请参照《关于政府采购支持监狱企业发展有关问题的通知》（财库[2014]68号）。</w:t>
      </w:r>
    </w:p>
    <w:p w14:paraId="78B3DE7B">
      <w:pPr>
        <w:pStyle w:val="30"/>
        <w:spacing w:beforeAutospacing="0" w:afterAutospacing="0" w:line="500" w:lineRule="exact"/>
        <w:ind w:firstLine="480"/>
        <w:rPr>
          <w:rFonts w:ascii="宋体" w:hAnsi="宋体" w:eastAsia="宋体" w:cs="宋体"/>
        </w:rPr>
      </w:pPr>
      <w:r>
        <w:rPr>
          <w:rFonts w:hint="eastAsia" w:ascii="宋体" w:hAnsi="宋体" w:eastAsia="宋体" w:cs="宋体"/>
        </w:rPr>
        <w:t>4、残疾人福利单位、监狱企业属于小型、微型企业的，不重复享受政策。</w:t>
      </w:r>
    </w:p>
    <w:p w14:paraId="72862874">
      <w:pPr>
        <w:spacing w:line="500" w:lineRule="exact"/>
        <w:ind w:firstLine="480"/>
        <w:rPr>
          <w:rFonts w:ascii="宋体" w:hAnsi="宋体" w:eastAsia="宋体" w:cs="宋体"/>
          <w:sz w:val="24"/>
        </w:rPr>
      </w:pPr>
      <w:r>
        <w:rPr>
          <w:rFonts w:hint="eastAsia" w:ascii="宋体" w:hAnsi="宋体" w:eastAsia="宋体" w:cs="宋体"/>
          <w:sz w:val="24"/>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Cs/>
          <w:iCs/>
          <w:sz w:val="24"/>
        </w:rPr>
        <w:t>如属政府强制采购产品未提供认证证书的或认证证书提供不全的将视为未实质性响应采购要求。</w:t>
      </w:r>
      <w:r>
        <w:rPr>
          <w:rFonts w:hint="eastAsia" w:ascii="宋体" w:hAnsi="宋体" w:eastAsia="宋体" w:cs="宋体"/>
          <w:sz w:val="24"/>
        </w:rPr>
        <w:t>其他条件相同情况下，应当优先采购节能产品、环境标志产品。</w:t>
      </w:r>
    </w:p>
    <w:p w14:paraId="68422D69">
      <w:pPr>
        <w:spacing w:line="500" w:lineRule="exact"/>
        <w:ind w:firstLine="480"/>
        <w:rPr>
          <w:rFonts w:ascii="宋体" w:hAnsi="宋体" w:eastAsia="宋体" w:cs="宋体"/>
          <w:sz w:val="24"/>
        </w:rPr>
      </w:pPr>
      <w:r>
        <w:rPr>
          <w:rFonts w:hint="eastAsia" w:ascii="宋体" w:hAnsi="宋体" w:eastAsia="宋体" w:cs="宋体"/>
          <w:sz w:val="24"/>
        </w:rPr>
        <w:t>6、供应商对于投标产品的商品包装、快递包装应按照《关于印发《商品包装政府采购需求标准（试行）》、《快递包装政府采购需求标准（试行）》的通知》（财办库〔2020〕123号）执行。</w:t>
      </w:r>
    </w:p>
    <w:p w14:paraId="3B2F642E">
      <w:pPr>
        <w:spacing w:line="500" w:lineRule="exact"/>
        <w:ind w:firstLine="480"/>
        <w:rPr>
          <w:rFonts w:hint="eastAsia" w:ascii="宋体" w:hAnsi="宋体" w:eastAsia="宋体" w:cs="宋体"/>
          <w:sz w:val="24"/>
        </w:rPr>
      </w:pPr>
      <w:r>
        <w:rPr>
          <w:rFonts w:hint="eastAsia" w:ascii="宋体" w:hAnsi="宋体" w:eastAsia="宋体" w:cs="宋体"/>
          <w:sz w:val="24"/>
        </w:rPr>
        <w:t>7、本文件中若涉及到数据中心采购，应按照《&lt;绿色数据中心政府采购需求标准（试行）&gt;的通知》（财库〔2023〕7号）执行。</w:t>
      </w:r>
    </w:p>
    <w:p w14:paraId="28F003F6">
      <w:pPr>
        <w:adjustRightInd w:val="0"/>
        <w:spacing w:line="560" w:lineRule="exact"/>
        <w:ind w:firstLine="480" w:firstLineChars="200"/>
        <w:jc w:val="left"/>
        <w:textAlignment w:val="baseline"/>
        <w:rPr>
          <w:rFonts w:asciiTheme="minorEastAsia" w:hAnsiTheme="minorEastAsia" w:cstheme="minorEastAsia"/>
          <w:b/>
          <w:bCs/>
          <w:sz w:val="24"/>
        </w:rPr>
      </w:pPr>
      <w:r>
        <w:rPr>
          <w:rFonts w:hint="eastAsia" w:asciiTheme="minorEastAsia" w:hAnsiTheme="minorEastAsia" w:cstheme="minorEastAsia"/>
          <w:b/>
          <w:bCs/>
          <w:sz w:val="24"/>
          <w:lang w:val="en-US" w:eastAsia="zh-CN"/>
        </w:rPr>
        <w:t>8</w:t>
      </w:r>
      <w:r>
        <w:rPr>
          <w:rFonts w:hint="eastAsia" w:asciiTheme="minorEastAsia" w:hAnsiTheme="minorEastAsia" w:cstheme="minorEastAsia"/>
          <w:b/>
          <w:bCs/>
          <w:sz w:val="24"/>
        </w:rPr>
        <w:t>、采购本国产品的支持政策</w:t>
      </w:r>
    </w:p>
    <w:p w14:paraId="7ED836E6">
      <w:pPr>
        <w:adjustRightInd w:val="0"/>
        <w:spacing w:line="560" w:lineRule="exact"/>
        <w:ind w:firstLine="480" w:firstLineChars="200"/>
        <w:jc w:val="left"/>
        <w:textAlignment w:val="baseline"/>
        <w:rPr>
          <w:rFonts w:asciiTheme="minorEastAsia" w:hAnsiTheme="minorEastAsia" w:cstheme="minorEastAsia"/>
          <w:sz w:val="24"/>
        </w:rPr>
      </w:pPr>
      <w:r>
        <w:rPr>
          <w:rFonts w:hint="eastAsia" w:asciiTheme="minorEastAsia" w:hAnsiTheme="minorEastAsia" w:cstheme="minorEastAsia"/>
          <w:sz w:val="24"/>
          <w:lang w:val="en-US" w:eastAsia="zh-CN"/>
        </w:rPr>
        <w:t>8</w:t>
      </w:r>
      <w:r>
        <w:rPr>
          <w:rFonts w:hint="eastAsia" w:asciiTheme="minorEastAsia" w:hAnsiTheme="minorEastAsia" w:cstheme="minorEastAsia"/>
          <w:sz w:val="24"/>
        </w:rPr>
        <w:t xml:space="preserve">.1 本项目政府采购活动中既有本国产品又有非本国产品参与竞争的，依法对本国产品给予价格评审优惠，对本国产品的报价给予 </w:t>
      </w:r>
      <w:r>
        <w:rPr>
          <w:rFonts w:hint="eastAsia" w:asciiTheme="minorEastAsia" w:hAnsiTheme="minorEastAsia" w:cstheme="minorEastAsia"/>
          <w:sz w:val="24"/>
          <w:u w:val="single"/>
        </w:rPr>
        <w:t>20%</w:t>
      </w:r>
      <w:r>
        <w:rPr>
          <w:rFonts w:hint="eastAsia" w:asciiTheme="minorEastAsia" w:hAnsiTheme="minorEastAsia" w:cstheme="minorEastAsia"/>
          <w:sz w:val="24"/>
        </w:rPr>
        <w:t>的价格扣除，用扣除后的价格参与评审。若因其它因素已享受20%的优惠政策，不再享受本条优惠。</w:t>
      </w:r>
    </w:p>
    <w:p w14:paraId="3F4F60AA">
      <w:pPr>
        <w:adjustRightInd w:val="0"/>
        <w:spacing w:line="560" w:lineRule="exact"/>
        <w:ind w:firstLine="480" w:firstLineChars="200"/>
        <w:jc w:val="left"/>
        <w:textAlignment w:val="baseline"/>
        <w:rPr>
          <w:rFonts w:asciiTheme="minorEastAsia" w:hAnsiTheme="minorEastAsia" w:cstheme="minorEastAsia"/>
          <w:sz w:val="24"/>
        </w:rPr>
      </w:pPr>
      <w:r>
        <w:rPr>
          <w:rFonts w:hint="eastAsia" w:asciiTheme="minorEastAsia" w:hAnsiTheme="minorEastAsia" w:cstheme="minorEastAsia"/>
          <w:sz w:val="24"/>
          <w:lang w:val="en-US" w:eastAsia="zh-CN"/>
        </w:rPr>
        <w:t>8</w:t>
      </w:r>
      <w:r>
        <w:rPr>
          <w:rFonts w:hint="eastAsia" w:asciiTheme="minorEastAsia" w:hAnsiTheme="minorEastAsia" w:cstheme="minorEastAsia"/>
          <w:sz w:val="24"/>
        </w:rPr>
        <w:t>.2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cstheme="minorEastAsia"/>
          <w:sz w:val="24"/>
          <w:u w:val="single"/>
        </w:rPr>
        <w:t>80%</w:t>
      </w:r>
      <w:r>
        <w:rPr>
          <w:rFonts w:hint="eastAsia" w:asciiTheme="minorEastAsia" w:hAnsiTheme="minorEastAsia" w:cstheme="minorEastAsia"/>
          <w:sz w:val="24"/>
        </w:rPr>
        <w:t>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cstheme="minorEastAsia"/>
          <w:sz w:val="24"/>
          <w:u w:val="single"/>
        </w:rPr>
        <w:t>20%</w:t>
      </w:r>
      <w:r>
        <w:rPr>
          <w:rFonts w:hint="eastAsia" w:asciiTheme="minorEastAsia" w:hAnsiTheme="minorEastAsia" w:cstheme="minorEastAsia"/>
          <w:sz w:val="24"/>
        </w:rPr>
        <w:t>的价格扣除，用扣除后的价格参与评审。供应商未填写比例数值，或比例数值未达到80%的，将不享受本国产品价格评审优惠。</w:t>
      </w:r>
    </w:p>
    <w:p w14:paraId="7A74A732">
      <w:pPr>
        <w:adjustRightInd w:val="0"/>
        <w:spacing w:line="560" w:lineRule="exact"/>
        <w:ind w:firstLine="480" w:firstLineChars="200"/>
        <w:jc w:val="left"/>
        <w:textAlignment w:val="baseline"/>
        <w:rPr>
          <w:rFonts w:asciiTheme="minorEastAsia" w:hAnsiTheme="minorEastAsia" w:cstheme="minorEastAsia"/>
          <w:sz w:val="24"/>
        </w:rPr>
      </w:pPr>
      <w:r>
        <w:rPr>
          <w:rFonts w:hint="eastAsia" w:asciiTheme="minorEastAsia" w:hAnsiTheme="minorEastAsia" w:cstheme="minorEastAsia"/>
          <w:sz w:val="24"/>
          <w:lang w:val="en-US" w:eastAsia="zh-CN"/>
        </w:rPr>
        <w:t>8</w:t>
      </w:r>
      <w:r>
        <w:rPr>
          <w:rFonts w:hint="eastAsia" w:asciiTheme="minorEastAsia" w:hAnsiTheme="minorEastAsia" w:cstheme="minorEastAsia"/>
          <w:sz w:val="24"/>
        </w:rPr>
        <w:t>.3 供应商需按照招标文件的要求提供《关于符合本国产品标准的声明函》（以下简称《声明函》），如不提供将不享受本国产品价格评审优惠。</w:t>
      </w:r>
    </w:p>
    <w:p w14:paraId="3CCAA339">
      <w:pPr>
        <w:adjustRightInd w:val="0"/>
        <w:spacing w:line="560" w:lineRule="exact"/>
        <w:ind w:firstLine="480" w:firstLineChars="200"/>
        <w:jc w:val="left"/>
        <w:textAlignment w:val="baseline"/>
        <w:rPr>
          <w:rFonts w:asciiTheme="minorEastAsia" w:hAnsiTheme="minorEastAsia" w:cstheme="minorEastAsia"/>
          <w:sz w:val="24"/>
        </w:rPr>
      </w:pPr>
      <w:r>
        <w:rPr>
          <w:rFonts w:hint="eastAsia" w:asciiTheme="minorEastAsia" w:hAnsiTheme="minorEastAsia" w:cstheme="minorEastAsia"/>
          <w:sz w:val="24"/>
          <w:lang w:val="en-US" w:eastAsia="zh-CN"/>
        </w:rPr>
        <w:t>8</w:t>
      </w:r>
      <w:r>
        <w:rPr>
          <w:rFonts w:hint="eastAsia" w:asciiTheme="minorEastAsia" w:hAnsiTheme="minorEastAsia" w:cstheme="minorEastAsia"/>
          <w:sz w:val="24"/>
        </w:rPr>
        <w:t>.4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5621DD79">
      <w:pPr>
        <w:adjustRightInd w:val="0"/>
        <w:spacing w:line="560" w:lineRule="exact"/>
        <w:ind w:firstLine="480" w:firstLineChars="200"/>
        <w:jc w:val="left"/>
        <w:textAlignment w:val="baseline"/>
        <w:rPr>
          <w:rFonts w:ascii="宋体" w:hAnsi="宋体" w:eastAsia="宋体" w:cs="宋体"/>
          <w:sz w:val="24"/>
        </w:rPr>
      </w:pPr>
      <w:r>
        <w:rPr>
          <w:rFonts w:hint="eastAsia" w:asciiTheme="minorEastAsia" w:hAnsiTheme="minorEastAsia" w:cstheme="minorEastAsia"/>
          <w:sz w:val="24"/>
          <w:lang w:val="en-US" w:eastAsia="zh-CN"/>
        </w:rPr>
        <w:t>8</w:t>
      </w:r>
      <w:r>
        <w:rPr>
          <w:rFonts w:hint="eastAsia" w:asciiTheme="minorEastAsia" w:hAnsiTheme="minorEastAsia" w:cstheme="minorEastAsia"/>
          <w:sz w:val="24"/>
        </w:rPr>
        <w:t>.5 评标过程中，如发现供应商在《声明函》内容含义不明确、同类事项与投标（响应）文件表述不一致或者有明显文字错误等情况的，评标委员会应当</w:t>
      </w:r>
      <w:r>
        <w:rPr>
          <w:rFonts w:hint="eastAsia" w:ascii="宋体" w:hAnsi="宋体" w:eastAsia="宋体" w:cs="宋体"/>
          <w:sz w:val="24"/>
        </w:rPr>
        <w:t>在苏采云系统要求</w:t>
      </w:r>
      <w:r>
        <w:rPr>
          <w:rFonts w:hint="eastAsia" w:asciiTheme="minorEastAsia" w:hAnsiTheme="minorEastAsia" w:cstheme="minorEastAsia"/>
          <w:sz w:val="24"/>
        </w:rPr>
        <w:t>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14F6523">
      <w:pPr>
        <w:pStyle w:val="30"/>
        <w:spacing w:before="120" w:beforeAutospacing="0" w:after="120" w:afterAutospacing="0" w:line="0" w:lineRule="atLeast"/>
        <w:ind w:firstLine="482"/>
        <w:rPr>
          <w:rFonts w:hint="eastAsia" w:ascii="宋体" w:hAnsi="宋体" w:eastAsia="宋体" w:cs="宋体"/>
          <w:b/>
          <w:color w:val="000000"/>
        </w:rPr>
      </w:pPr>
      <w:r>
        <w:rPr>
          <w:rFonts w:hint="eastAsia" w:ascii="宋体" w:hAnsi="宋体" w:eastAsia="宋体" w:cs="宋体"/>
          <w:b/>
          <w:color w:val="000000"/>
        </w:rPr>
        <w:t>评标方法与评标标准</w:t>
      </w:r>
    </w:p>
    <w:tbl>
      <w:tblPr>
        <w:tblStyle w:val="33"/>
        <w:tblW w:w="5135" w:type="pct"/>
        <w:tblInd w:w="0" w:type="dxa"/>
        <w:tblLayout w:type="fixed"/>
        <w:tblCellMar>
          <w:top w:w="0" w:type="dxa"/>
          <w:left w:w="108" w:type="dxa"/>
          <w:bottom w:w="0" w:type="dxa"/>
          <w:right w:w="108" w:type="dxa"/>
        </w:tblCellMar>
      </w:tblPr>
      <w:tblGrid>
        <w:gridCol w:w="1888"/>
        <w:gridCol w:w="7651"/>
      </w:tblGrid>
      <w:tr w14:paraId="127FA52D">
        <w:tblPrEx>
          <w:tblCellMar>
            <w:top w:w="0" w:type="dxa"/>
            <w:left w:w="108" w:type="dxa"/>
            <w:bottom w:w="0" w:type="dxa"/>
            <w:right w:w="108" w:type="dxa"/>
          </w:tblCellMar>
        </w:tblPrEx>
        <w:trPr>
          <w:trHeight w:val="1716" w:hRule="atLeast"/>
        </w:trPr>
        <w:tc>
          <w:tcPr>
            <w:tcW w:w="989" w:type="pct"/>
            <w:tcBorders>
              <w:top w:val="single" w:color="000000" w:sz="4" w:space="0"/>
              <w:left w:val="single" w:color="000000" w:sz="4" w:space="0"/>
              <w:bottom w:val="single" w:color="000000" w:sz="4" w:space="0"/>
              <w:right w:val="single" w:color="000000" w:sz="4" w:space="0"/>
            </w:tcBorders>
            <w:noWrap/>
            <w:vAlign w:val="center"/>
          </w:tcPr>
          <w:p w14:paraId="545C54D4">
            <w:pPr>
              <w:widowControl/>
              <w:jc w:val="center"/>
              <w:textAlignment w:val="center"/>
              <w:rPr>
                <w:rFonts w:hint="eastAsia" w:asciiTheme="majorEastAsia" w:hAnsiTheme="majorEastAsia" w:eastAsiaTheme="majorEastAsia" w:cstheme="majorEastAsia"/>
                <w:color w:val="auto"/>
                <w:sz w:val="22"/>
                <w:szCs w:val="22"/>
                <w:lang w:bidi="ar"/>
              </w:rPr>
            </w:pPr>
            <w:r>
              <w:rPr>
                <w:rFonts w:hint="eastAsia" w:asciiTheme="majorEastAsia" w:hAnsiTheme="majorEastAsia" w:eastAsiaTheme="majorEastAsia" w:cstheme="majorEastAsia"/>
                <w:color w:val="auto"/>
                <w:sz w:val="22"/>
                <w:szCs w:val="22"/>
                <w:lang w:bidi="ar"/>
              </w:rPr>
              <w:t>投标报价</w:t>
            </w:r>
          </w:p>
          <w:p w14:paraId="7C93DF1D">
            <w:pPr>
              <w:widowControl/>
              <w:jc w:val="center"/>
              <w:textAlignment w:val="center"/>
              <w:rPr>
                <w:rFonts w:hint="eastAsia" w:asciiTheme="majorEastAsia" w:hAnsiTheme="majorEastAsia" w:eastAsiaTheme="majorEastAsia" w:cstheme="majorEastAsia"/>
                <w:color w:val="auto"/>
                <w:sz w:val="22"/>
                <w:szCs w:val="22"/>
              </w:rPr>
            </w:pPr>
            <w:r>
              <w:rPr>
                <w:rFonts w:hint="eastAsia" w:asciiTheme="majorEastAsia" w:hAnsiTheme="majorEastAsia" w:eastAsiaTheme="majorEastAsia" w:cstheme="majorEastAsia"/>
                <w:color w:val="auto"/>
                <w:sz w:val="22"/>
                <w:szCs w:val="22"/>
                <w:lang w:bidi="ar"/>
              </w:rPr>
              <w:t>（30分）</w:t>
            </w:r>
          </w:p>
        </w:tc>
        <w:tc>
          <w:tcPr>
            <w:tcW w:w="4010" w:type="pct"/>
            <w:tcBorders>
              <w:top w:val="single" w:color="000000" w:sz="4" w:space="0"/>
              <w:left w:val="single" w:color="000000" w:sz="4" w:space="0"/>
              <w:bottom w:val="single" w:color="000000" w:sz="4" w:space="0"/>
              <w:right w:val="single" w:color="000000" w:sz="4" w:space="0"/>
            </w:tcBorders>
            <w:vAlign w:val="center"/>
          </w:tcPr>
          <w:p w14:paraId="7CB4BC32">
            <w:pPr>
              <w:pStyle w:val="30"/>
              <w:spacing w:before="120" w:beforeAutospacing="0" w:after="120" w:afterAutospacing="0" w:line="360" w:lineRule="auto"/>
              <w:ind w:firstLine="440" w:firstLineChars="200"/>
              <w:rPr>
                <w:rFonts w:hint="eastAsia" w:asciiTheme="majorEastAsia" w:hAnsiTheme="majorEastAsia" w:eastAsiaTheme="majorEastAsia" w:cstheme="majorEastAsia"/>
                <w:color w:val="auto"/>
                <w:sz w:val="22"/>
                <w:szCs w:val="22"/>
                <w:lang w:bidi="ar"/>
              </w:rPr>
            </w:pPr>
            <w:r>
              <w:rPr>
                <w:rFonts w:hint="eastAsia" w:asciiTheme="majorEastAsia" w:hAnsiTheme="majorEastAsia" w:eastAsiaTheme="majorEastAsia" w:cstheme="majorEastAsia"/>
                <w:color w:val="auto"/>
                <w:sz w:val="22"/>
                <w:szCs w:val="22"/>
                <w:lang w:bidi="ar"/>
              </w:rPr>
              <w:t>采用低价优先法计算，即满足招标文件要求且投标价格低的投标报价为评标基准价，其价格分为满分</w:t>
            </w:r>
            <w:r>
              <w:rPr>
                <w:rFonts w:hint="eastAsia" w:eastAsia="宋体" w:asciiTheme="majorEastAsia" w:hAnsiTheme="majorEastAsia" w:cstheme="majorEastAsia"/>
                <w:color w:val="auto"/>
                <w:sz w:val="22"/>
                <w:szCs w:val="22"/>
                <w:lang w:val="en-US" w:eastAsia="zh-CN" w:bidi="ar"/>
              </w:rPr>
              <w:t>30分</w:t>
            </w:r>
            <w:r>
              <w:rPr>
                <w:rFonts w:hint="eastAsia" w:asciiTheme="majorEastAsia" w:hAnsiTheme="majorEastAsia" w:eastAsiaTheme="majorEastAsia" w:cstheme="majorEastAsia"/>
                <w:color w:val="auto"/>
                <w:sz w:val="22"/>
                <w:szCs w:val="22"/>
                <w:lang w:bidi="ar"/>
              </w:rPr>
              <w:t>。其他投标人的价格分按照下列公式计算（小数点保留两位，第三位无论大小一概不计）：投标报价得分=(评标基准价／投标报价)×30。</w:t>
            </w:r>
          </w:p>
        </w:tc>
      </w:tr>
      <w:tr w14:paraId="26CEAAF3">
        <w:tblPrEx>
          <w:tblCellMar>
            <w:top w:w="0" w:type="dxa"/>
            <w:left w:w="108" w:type="dxa"/>
            <w:bottom w:w="0" w:type="dxa"/>
            <w:right w:w="108" w:type="dxa"/>
          </w:tblCellMar>
        </w:tblPrEx>
        <w:trPr>
          <w:trHeight w:val="90" w:hRule="atLeast"/>
        </w:trPr>
        <w:tc>
          <w:tcPr>
            <w:tcW w:w="989" w:type="pct"/>
            <w:tcBorders>
              <w:top w:val="single" w:color="000000" w:sz="4" w:space="0"/>
              <w:left w:val="single" w:color="000000" w:sz="4" w:space="0"/>
              <w:bottom w:val="single" w:color="000000" w:sz="4" w:space="0"/>
              <w:right w:val="single" w:color="000000" w:sz="4" w:space="0"/>
            </w:tcBorders>
            <w:vAlign w:val="center"/>
          </w:tcPr>
          <w:p w14:paraId="0456FC6E">
            <w:pPr>
              <w:widowControl/>
              <w:jc w:val="center"/>
              <w:textAlignment w:val="center"/>
              <w:rPr>
                <w:rFonts w:hint="eastAsia" w:asciiTheme="majorEastAsia" w:hAnsiTheme="majorEastAsia" w:eastAsiaTheme="majorEastAsia" w:cstheme="majorEastAsia"/>
                <w:color w:val="auto"/>
                <w:sz w:val="22"/>
                <w:szCs w:val="22"/>
                <w:highlight w:val="none"/>
                <w:lang w:bidi="ar"/>
              </w:rPr>
            </w:pPr>
            <w:r>
              <w:rPr>
                <w:rFonts w:hint="eastAsia" w:asciiTheme="majorEastAsia" w:hAnsiTheme="majorEastAsia" w:eastAsiaTheme="majorEastAsia" w:cstheme="majorEastAsia"/>
                <w:color w:val="auto"/>
                <w:sz w:val="22"/>
                <w:szCs w:val="22"/>
                <w:highlight w:val="none"/>
                <w:lang w:bidi="ar"/>
              </w:rPr>
              <w:t>技术参数响应</w:t>
            </w:r>
          </w:p>
          <w:p w14:paraId="7FB5EC55">
            <w:pPr>
              <w:widowControl/>
              <w:jc w:val="center"/>
              <w:textAlignment w:val="center"/>
              <w:rPr>
                <w:rFonts w:hint="eastAsia" w:asciiTheme="majorEastAsia" w:hAnsiTheme="majorEastAsia" w:eastAsiaTheme="majorEastAsia" w:cstheme="majorEastAsia"/>
                <w:color w:val="auto"/>
                <w:sz w:val="22"/>
                <w:szCs w:val="22"/>
                <w:highlight w:val="none"/>
              </w:rPr>
            </w:pPr>
            <w:r>
              <w:rPr>
                <w:rFonts w:hint="eastAsia" w:asciiTheme="majorEastAsia" w:hAnsiTheme="majorEastAsia" w:eastAsiaTheme="majorEastAsia" w:cstheme="majorEastAsia"/>
                <w:color w:val="auto"/>
                <w:sz w:val="22"/>
                <w:szCs w:val="22"/>
                <w:highlight w:val="none"/>
                <w:lang w:bidi="ar"/>
              </w:rPr>
              <w:t>（</w:t>
            </w:r>
            <w:r>
              <w:rPr>
                <w:rFonts w:hint="eastAsia" w:eastAsia="宋体" w:asciiTheme="majorEastAsia" w:hAnsiTheme="majorEastAsia" w:cstheme="majorEastAsia"/>
                <w:color w:val="auto"/>
                <w:sz w:val="22"/>
                <w:szCs w:val="22"/>
                <w:highlight w:val="none"/>
                <w:lang w:val="en-US" w:eastAsia="zh-CN" w:bidi="ar"/>
              </w:rPr>
              <w:t>20</w:t>
            </w:r>
            <w:r>
              <w:rPr>
                <w:rFonts w:hint="eastAsia" w:asciiTheme="majorEastAsia" w:hAnsiTheme="majorEastAsia" w:eastAsiaTheme="majorEastAsia" w:cstheme="majorEastAsia"/>
                <w:color w:val="auto"/>
                <w:sz w:val="22"/>
                <w:szCs w:val="22"/>
                <w:highlight w:val="none"/>
                <w:lang w:bidi="ar"/>
              </w:rPr>
              <w:t>分）</w:t>
            </w:r>
          </w:p>
        </w:tc>
        <w:tc>
          <w:tcPr>
            <w:tcW w:w="4010" w:type="pct"/>
            <w:tcBorders>
              <w:top w:val="single" w:color="000000" w:sz="4" w:space="0"/>
              <w:left w:val="single" w:color="000000" w:sz="4" w:space="0"/>
              <w:bottom w:val="single" w:color="000000" w:sz="4" w:space="0"/>
              <w:right w:val="single" w:color="000000" w:sz="4" w:space="0"/>
            </w:tcBorders>
            <w:vAlign w:val="center"/>
          </w:tcPr>
          <w:p w14:paraId="703D65A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220" w:firstLineChars="100"/>
              <w:textAlignment w:val="auto"/>
              <w:rPr>
                <w:rFonts w:hint="eastAsia" w:ascii="宋体" w:hAnsi="宋体" w:eastAsia="宋体" w:cs="宋体"/>
                <w:b/>
                <w:bCs/>
                <w:color w:val="auto"/>
                <w:kern w:val="2"/>
                <w:sz w:val="22"/>
                <w:szCs w:val="22"/>
                <w:highlight w:val="none"/>
              </w:rPr>
            </w:pPr>
            <w:r>
              <w:rPr>
                <w:rFonts w:hint="eastAsia" w:ascii="宋体" w:hAnsi="宋体" w:eastAsia="宋体" w:cs="宋体"/>
                <w:color w:val="auto"/>
                <w:kern w:val="2"/>
                <w:sz w:val="22"/>
                <w:szCs w:val="22"/>
                <w:highlight w:val="none"/>
                <w:lang w:val="en-US" w:eastAsia="zh-CN" w:bidi="ar-SA"/>
              </w:rPr>
              <w:t>根据投标人提供货物的技术参数对招标文件的响应程度评定，</w:t>
            </w:r>
            <w:r>
              <w:rPr>
                <w:rFonts w:hint="eastAsia" w:ascii="宋体" w:hAnsi="宋体" w:eastAsia="宋体" w:cs="宋体"/>
                <w:b/>
                <w:bCs/>
                <w:color w:val="auto"/>
                <w:kern w:val="2"/>
                <w:sz w:val="22"/>
                <w:szCs w:val="22"/>
                <w:highlight w:val="none"/>
              </w:rPr>
              <w:t>带★的参数每</w:t>
            </w:r>
            <w:r>
              <w:rPr>
                <w:rFonts w:hint="eastAsia" w:ascii="宋体" w:hAnsi="宋体" w:eastAsia="宋体" w:cs="宋体"/>
                <w:b/>
                <w:bCs/>
                <w:color w:val="auto"/>
                <w:kern w:val="2"/>
                <w:sz w:val="22"/>
                <w:szCs w:val="22"/>
                <w:highlight w:val="none"/>
                <w:lang w:val="en-US" w:eastAsia="zh-CN"/>
              </w:rPr>
              <w:t>满足</w:t>
            </w:r>
            <w:r>
              <w:rPr>
                <w:rFonts w:hint="eastAsia" w:ascii="宋体" w:hAnsi="宋体" w:eastAsia="宋体" w:cs="宋体"/>
                <w:b/>
                <w:bCs/>
                <w:color w:val="auto"/>
                <w:kern w:val="2"/>
                <w:sz w:val="22"/>
                <w:szCs w:val="22"/>
                <w:highlight w:val="none"/>
              </w:rPr>
              <w:t>一项</w:t>
            </w:r>
            <w:r>
              <w:rPr>
                <w:rFonts w:hint="eastAsia" w:ascii="宋体" w:hAnsi="宋体" w:eastAsia="宋体" w:cs="宋体"/>
                <w:b/>
                <w:bCs/>
                <w:color w:val="auto"/>
                <w:kern w:val="2"/>
                <w:sz w:val="22"/>
                <w:szCs w:val="22"/>
                <w:highlight w:val="none"/>
                <w:lang w:val="en-US" w:eastAsia="zh-CN"/>
              </w:rPr>
              <w:t>加0.5</w:t>
            </w:r>
            <w:r>
              <w:rPr>
                <w:rFonts w:hint="eastAsia" w:ascii="宋体" w:hAnsi="宋体" w:eastAsia="宋体" w:cs="宋体"/>
                <w:b/>
                <w:bCs/>
                <w:color w:val="auto"/>
                <w:kern w:val="2"/>
                <w:sz w:val="22"/>
                <w:szCs w:val="22"/>
                <w:highlight w:val="none"/>
              </w:rPr>
              <w:t>分</w:t>
            </w:r>
            <w:r>
              <w:rPr>
                <w:rFonts w:hint="eastAsia" w:ascii="宋体" w:hAnsi="宋体" w:eastAsia="宋体" w:cs="宋体"/>
                <w:b/>
                <w:bCs/>
                <w:color w:val="auto"/>
                <w:kern w:val="2"/>
                <w:sz w:val="22"/>
                <w:szCs w:val="22"/>
                <w:highlight w:val="none"/>
                <w:lang w:eastAsia="zh-CN"/>
              </w:rPr>
              <w:t>，</w:t>
            </w:r>
            <w:r>
              <w:rPr>
                <w:rFonts w:hint="eastAsia" w:ascii="宋体" w:hAnsi="宋体" w:eastAsia="宋体" w:cs="宋体"/>
                <w:b/>
                <w:bCs/>
                <w:color w:val="auto"/>
                <w:kern w:val="2"/>
                <w:sz w:val="22"/>
                <w:szCs w:val="22"/>
                <w:highlight w:val="none"/>
              </w:rPr>
              <w:t>带★的参数</w:t>
            </w:r>
            <w:r>
              <w:rPr>
                <w:rFonts w:hint="eastAsia" w:ascii="宋体" w:hAnsi="宋体" w:eastAsia="宋体" w:cs="宋体"/>
                <w:b/>
                <w:bCs/>
                <w:color w:val="auto"/>
                <w:kern w:val="2"/>
                <w:sz w:val="22"/>
                <w:szCs w:val="22"/>
                <w:highlight w:val="none"/>
                <w:lang w:val="en-US" w:eastAsia="zh-CN"/>
              </w:rPr>
              <w:t>每提供一份有效检测报告的另加0.5分</w:t>
            </w:r>
            <w:r>
              <w:rPr>
                <w:rFonts w:hint="eastAsia" w:ascii="宋体" w:hAnsi="宋体" w:eastAsia="宋体" w:cs="宋体"/>
                <w:b/>
                <w:bCs/>
                <w:color w:val="auto"/>
                <w:kern w:val="2"/>
                <w:sz w:val="22"/>
                <w:szCs w:val="22"/>
                <w:highlight w:val="none"/>
              </w:rPr>
              <w:t>，</w:t>
            </w:r>
            <w:r>
              <w:rPr>
                <w:rFonts w:hint="eastAsia" w:ascii="宋体" w:hAnsi="宋体" w:eastAsia="宋体" w:cs="宋体"/>
                <w:b/>
                <w:bCs/>
                <w:color w:val="auto"/>
                <w:kern w:val="2"/>
                <w:sz w:val="22"/>
                <w:szCs w:val="22"/>
                <w:highlight w:val="none"/>
                <w:lang w:val="en-US" w:eastAsia="zh-CN"/>
              </w:rPr>
              <w:t>共计10分；</w:t>
            </w:r>
            <w:r>
              <w:rPr>
                <w:rFonts w:hint="eastAsia" w:ascii="宋体" w:hAnsi="宋体" w:eastAsia="宋体" w:cs="宋体"/>
                <w:b/>
                <w:bCs/>
                <w:color w:val="auto"/>
                <w:kern w:val="2"/>
                <w:sz w:val="22"/>
                <w:szCs w:val="22"/>
                <w:highlight w:val="none"/>
              </w:rPr>
              <w:t>未带★的参数</w:t>
            </w:r>
            <w:r>
              <w:rPr>
                <w:rFonts w:hint="eastAsia" w:ascii="宋体" w:hAnsi="宋体" w:eastAsia="宋体" w:cs="宋体"/>
                <w:b/>
                <w:bCs/>
                <w:color w:val="auto"/>
                <w:kern w:val="2"/>
                <w:sz w:val="22"/>
                <w:szCs w:val="22"/>
                <w:highlight w:val="none"/>
                <w:lang w:val="en-US" w:eastAsia="zh-CN"/>
              </w:rPr>
              <w:t>每满足一项加0.2分，</w:t>
            </w:r>
            <w:r>
              <w:rPr>
                <w:rFonts w:hint="eastAsia" w:ascii="宋体" w:hAnsi="宋体" w:eastAsia="宋体" w:cs="宋体"/>
                <w:b/>
                <w:bCs/>
                <w:color w:val="auto"/>
                <w:kern w:val="2"/>
                <w:sz w:val="22"/>
                <w:szCs w:val="22"/>
                <w:highlight w:val="none"/>
                <w:lang w:eastAsia="zh-CN"/>
              </w:rPr>
              <w:t>共</w:t>
            </w:r>
            <w:r>
              <w:rPr>
                <w:rFonts w:hint="eastAsia" w:ascii="宋体" w:hAnsi="宋体" w:eastAsia="宋体" w:cs="宋体"/>
                <w:b/>
                <w:bCs/>
                <w:color w:val="auto"/>
                <w:kern w:val="2"/>
                <w:sz w:val="22"/>
                <w:szCs w:val="22"/>
                <w:highlight w:val="none"/>
                <w:lang w:val="en-US" w:eastAsia="zh-CN"/>
              </w:rPr>
              <w:t>50项，计10 分，本项最高得20分</w:t>
            </w:r>
            <w:r>
              <w:rPr>
                <w:rFonts w:hint="eastAsia" w:ascii="宋体" w:hAnsi="宋体" w:eastAsia="宋体" w:cs="宋体"/>
                <w:b/>
                <w:bCs/>
                <w:color w:val="auto"/>
                <w:kern w:val="2"/>
                <w:sz w:val="22"/>
                <w:szCs w:val="22"/>
                <w:highlight w:val="none"/>
              </w:rPr>
              <w:t>。</w:t>
            </w:r>
          </w:p>
          <w:p w14:paraId="41BE9C4B">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221" w:firstLineChars="100"/>
              <w:textAlignment w:val="auto"/>
              <w:rPr>
                <w:rFonts w:hint="eastAsia" w:ascii="宋体" w:hAnsi="宋体" w:eastAsia="宋体" w:cs="宋体"/>
                <w:b/>
                <w:bCs/>
                <w:color w:val="auto"/>
                <w:kern w:val="2"/>
                <w:sz w:val="22"/>
                <w:szCs w:val="22"/>
                <w:highlight w:val="none"/>
              </w:rPr>
            </w:pPr>
            <w:r>
              <w:rPr>
                <w:rFonts w:hint="eastAsia" w:ascii="宋体" w:hAnsi="宋体" w:eastAsia="宋体" w:cs="宋体"/>
                <w:b/>
                <w:bCs/>
                <w:color w:val="auto"/>
                <w:kern w:val="2"/>
                <w:sz w:val="22"/>
                <w:szCs w:val="22"/>
                <w:highlight w:val="none"/>
              </w:rPr>
              <w:t>注：1、</w:t>
            </w:r>
            <w:r>
              <w:rPr>
                <w:rFonts w:hint="eastAsia" w:ascii="宋体" w:hAnsi="宋体" w:eastAsia="宋体" w:cs="宋体"/>
                <w:b/>
                <w:bCs/>
                <w:color w:val="auto"/>
                <w:kern w:val="2"/>
                <w:sz w:val="22"/>
                <w:szCs w:val="22"/>
                <w:highlight w:val="none"/>
                <w:lang w:val="en-US" w:eastAsia="zh-CN"/>
              </w:rPr>
              <w:t>加</w:t>
            </w:r>
            <w:r>
              <w:rPr>
                <w:rFonts w:hint="eastAsia" w:ascii="宋体" w:hAnsi="宋体" w:eastAsia="宋体" w:cs="宋体"/>
                <w:b/>
                <w:bCs/>
                <w:color w:val="auto"/>
                <w:kern w:val="2"/>
                <w:sz w:val="22"/>
                <w:szCs w:val="22"/>
                <w:highlight w:val="none"/>
              </w:rPr>
              <w:t>“★”项参数投标供应商具有</w:t>
            </w:r>
            <w:r>
              <w:rPr>
                <w:rFonts w:hint="eastAsia" w:ascii="宋体" w:hAnsi="宋体" w:eastAsia="宋体" w:cs="宋体"/>
                <w:b/>
                <w:bCs/>
                <w:color w:val="auto"/>
                <w:kern w:val="2"/>
                <w:sz w:val="22"/>
                <w:szCs w:val="22"/>
                <w:highlight w:val="none"/>
                <w:lang w:val="en-US" w:eastAsia="zh-CN"/>
              </w:rPr>
              <w:t>有</w:t>
            </w:r>
            <w:r>
              <w:rPr>
                <w:rFonts w:hint="eastAsia" w:ascii="宋体" w:hAnsi="宋体" w:eastAsia="宋体" w:cs="宋体"/>
                <w:b/>
                <w:bCs/>
                <w:color w:val="auto"/>
                <w:kern w:val="2"/>
                <w:sz w:val="22"/>
                <w:szCs w:val="22"/>
                <w:highlight w:val="none"/>
              </w:rPr>
              <w:t>资质的第三方检测机构出具的有效检测报告（提供的检测报告需满足招标文件的参数要求）</w:t>
            </w:r>
            <w:r>
              <w:rPr>
                <w:rFonts w:hint="eastAsia" w:ascii="宋体" w:hAnsi="宋体" w:eastAsia="宋体" w:cs="宋体"/>
                <w:b/>
                <w:bCs/>
                <w:color w:val="auto"/>
                <w:kern w:val="2"/>
                <w:sz w:val="22"/>
                <w:szCs w:val="22"/>
                <w:highlight w:val="none"/>
                <w:lang w:eastAsia="zh-CN"/>
              </w:rPr>
              <w:t>，</w:t>
            </w:r>
            <w:r>
              <w:rPr>
                <w:rFonts w:hint="eastAsia" w:ascii="宋体" w:hAnsi="宋体" w:eastAsia="宋体" w:cs="宋体"/>
                <w:b/>
                <w:bCs/>
                <w:color w:val="auto"/>
                <w:kern w:val="2"/>
                <w:sz w:val="22"/>
                <w:szCs w:val="22"/>
                <w:highlight w:val="none"/>
              </w:rPr>
              <w:t>评标委员会必须根据投标人提供的检测报告进行核对</w:t>
            </w:r>
            <w:r>
              <w:rPr>
                <w:rFonts w:hint="eastAsia" w:ascii="宋体" w:hAnsi="宋体" w:eastAsia="宋体" w:cs="宋体"/>
                <w:b/>
                <w:bCs/>
                <w:color w:val="auto"/>
                <w:kern w:val="2"/>
                <w:sz w:val="22"/>
                <w:szCs w:val="22"/>
                <w:highlight w:val="none"/>
                <w:lang w:val="en-US" w:eastAsia="zh-CN"/>
              </w:rPr>
              <w:t>得</w:t>
            </w:r>
            <w:r>
              <w:rPr>
                <w:rFonts w:hint="eastAsia" w:ascii="宋体" w:hAnsi="宋体" w:eastAsia="宋体" w:cs="宋体"/>
                <w:b/>
                <w:bCs/>
                <w:color w:val="auto"/>
                <w:kern w:val="2"/>
                <w:sz w:val="22"/>
                <w:szCs w:val="22"/>
                <w:highlight w:val="none"/>
              </w:rPr>
              <w:t>分。</w:t>
            </w:r>
          </w:p>
          <w:p w14:paraId="1717674A">
            <w:pPr>
              <w:pStyle w:val="30"/>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40" w:firstLineChars="200"/>
              <w:textAlignment w:val="auto"/>
              <w:rPr>
                <w:color w:val="auto"/>
                <w:highlight w:val="none"/>
              </w:rPr>
            </w:pPr>
            <w:r>
              <w:rPr>
                <w:rFonts w:hint="eastAsia" w:ascii="宋体" w:hAnsi="宋体" w:eastAsia="宋体" w:cs="宋体"/>
                <w:color w:val="auto"/>
                <w:sz w:val="22"/>
                <w:szCs w:val="22"/>
                <w:highlight w:val="none"/>
                <w:lang w:val="en-US" w:eastAsia="zh-CN" w:bidi="ar"/>
              </w:rPr>
              <w:t>2、</w:t>
            </w:r>
            <w:r>
              <w:rPr>
                <w:rFonts w:hint="eastAsia" w:ascii="宋体" w:hAnsi="宋体" w:eastAsia="宋体" w:cs="宋体"/>
                <w:color w:val="auto"/>
                <w:sz w:val="22"/>
                <w:szCs w:val="22"/>
                <w:highlight w:val="none"/>
                <w:lang w:bidi="ar"/>
              </w:rPr>
              <w:t>项目参数、技术指标和相关要求不得虚假响应，如经查实，将予以取消中标资格。</w:t>
            </w:r>
          </w:p>
        </w:tc>
      </w:tr>
      <w:tr w14:paraId="4E8500DE">
        <w:tblPrEx>
          <w:tblCellMar>
            <w:top w:w="0" w:type="dxa"/>
            <w:left w:w="108" w:type="dxa"/>
            <w:bottom w:w="0" w:type="dxa"/>
            <w:right w:w="108" w:type="dxa"/>
          </w:tblCellMar>
        </w:tblPrEx>
        <w:trPr>
          <w:trHeight w:val="521" w:hRule="atLeast"/>
        </w:trPr>
        <w:tc>
          <w:tcPr>
            <w:tcW w:w="989" w:type="pct"/>
            <w:tcBorders>
              <w:top w:val="single" w:color="000000" w:sz="4" w:space="0"/>
              <w:left w:val="single" w:color="000000" w:sz="4" w:space="0"/>
              <w:bottom w:val="single" w:color="000000" w:sz="4" w:space="0"/>
              <w:right w:val="single" w:color="000000" w:sz="4" w:space="0"/>
            </w:tcBorders>
            <w:vAlign w:val="center"/>
          </w:tcPr>
          <w:p w14:paraId="76C807AF">
            <w:pPr>
              <w:widowControl/>
              <w:jc w:val="center"/>
              <w:textAlignment w:val="center"/>
              <w:rPr>
                <w:rFonts w:hint="eastAsia" w:asciiTheme="majorEastAsia" w:hAnsiTheme="majorEastAsia" w:eastAsiaTheme="majorEastAsia" w:cstheme="majorEastAsia"/>
                <w:color w:val="auto"/>
                <w:sz w:val="22"/>
                <w:szCs w:val="22"/>
                <w:highlight w:val="none"/>
                <w:lang w:bidi="ar"/>
              </w:rPr>
            </w:pPr>
            <w:r>
              <w:rPr>
                <w:rFonts w:hint="eastAsia" w:asciiTheme="majorEastAsia" w:hAnsiTheme="majorEastAsia" w:eastAsiaTheme="majorEastAsia" w:cstheme="majorEastAsia"/>
                <w:color w:val="auto"/>
                <w:sz w:val="22"/>
                <w:szCs w:val="22"/>
                <w:highlight w:val="none"/>
                <w:lang w:bidi="ar"/>
              </w:rPr>
              <w:t>投标人综合实力</w:t>
            </w:r>
          </w:p>
          <w:p w14:paraId="70C434DE">
            <w:pPr>
              <w:widowControl/>
              <w:jc w:val="center"/>
              <w:textAlignment w:val="center"/>
              <w:rPr>
                <w:rFonts w:hint="eastAsia" w:asciiTheme="majorEastAsia" w:hAnsiTheme="majorEastAsia" w:eastAsiaTheme="majorEastAsia" w:cstheme="majorEastAsia"/>
                <w:color w:val="auto"/>
                <w:sz w:val="22"/>
                <w:szCs w:val="22"/>
                <w:highlight w:val="none"/>
                <w:lang w:bidi="ar"/>
              </w:rPr>
            </w:pPr>
            <w:r>
              <w:rPr>
                <w:rFonts w:hint="eastAsia" w:asciiTheme="majorEastAsia" w:hAnsiTheme="majorEastAsia" w:eastAsiaTheme="majorEastAsia" w:cstheme="majorEastAsia"/>
                <w:color w:val="auto"/>
                <w:sz w:val="22"/>
                <w:szCs w:val="22"/>
                <w:highlight w:val="none"/>
                <w:lang w:bidi="ar"/>
              </w:rPr>
              <w:t>（</w:t>
            </w:r>
            <w:r>
              <w:rPr>
                <w:rFonts w:hint="eastAsia" w:eastAsia="宋体" w:asciiTheme="majorEastAsia" w:hAnsiTheme="majorEastAsia" w:cstheme="majorEastAsia"/>
                <w:color w:val="auto"/>
                <w:sz w:val="22"/>
                <w:szCs w:val="22"/>
                <w:highlight w:val="none"/>
                <w:lang w:val="en-US" w:eastAsia="zh-CN" w:bidi="ar"/>
              </w:rPr>
              <w:t>6</w:t>
            </w:r>
            <w:r>
              <w:rPr>
                <w:rFonts w:hint="eastAsia" w:asciiTheme="majorEastAsia" w:hAnsiTheme="majorEastAsia" w:eastAsiaTheme="majorEastAsia" w:cstheme="majorEastAsia"/>
                <w:color w:val="auto"/>
                <w:sz w:val="22"/>
                <w:szCs w:val="22"/>
                <w:highlight w:val="none"/>
                <w:lang w:bidi="ar"/>
              </w:rPr>
              <w:t>分）</w:t>
            </w:r>
          </w:p>
        </w:tc>
        <w:tc>
          <w:tcPr>
            <w:tcW w:w="4010" w:type="pct"/>
            <w:tcBorders>
              <w:top w:val="single" w:color="000000" w:sz="4" w:space="0"/>
              <w:left w:val="single" w:color="000000" w:sz="4" w:space="0"/>
              <w:bottom w:val="single" w:color="000000" w:sz="4" w:space="0"/>
              <w:right w:val="single" w:color="000000" w:sz="4" w:space="0"/>
            </w:tcBorders>
            <w:vAlign w:val="center"/>
          </w:tcPr>
          <w:p w14:paraId="7895CE2B">
            <w:pPr>
              <w:pStyle w:val="30"/>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440" w:firstLineChars="200"/>
              <w:textAlignment w:val="auto"/>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1、投标人拟投入的项目负责人具有</w:t>
            </w:r>
            <w:r>
              <w:rPr>
                <w:rFonts w:hint="eastAsia" w:ascii="宋体" w:hAnsi="宋体" w:eastAsia="宋体" w:cs="宋体"/>
                <w:color w:val="auto"/>
                <w:sz w:val="22"/>
                <w:szCs w:val="22"/>
                <w:highlight w:val="none"/>
                <w:lang w:eastAsia="zh-CN" w:bidi="ar"/>
              </w:rPr>
              <w:t>电子信息</w:t>
            </w:r>
            <w:r>
              <w:rPr>
                <w:rFonts w:hint="eastAsia" w:ascii="宋体" w:hAnsi="宋体" w:eastAsia="宋体" w:cs="宋体"/>
                <w:color w:val="auto"/>
                <w:sz w:val="22"/>
                <w:szCs w:val="22"/>
                <w:highlight w:val="none"/>
                <w:lang w:val="en-US" w:eastAsia="zh-CN" w:bidi="ar"/>
              </w:rPr>
              <w:t>类</w:t>
            </w:r>
            <w:r>
              <w:rPr>
                <w:rFonts w:hint="eastAsia" w:ascii="宋体" w:hAnsi="宋体" w:eastAsia="宋体" w:cs="宋体"/>
                <w:color w:val="auto"/>
                <w:sz w:val="22"/>
                <w:szCs w:val="22"/>
                <w:highlight w:val="none"/>
                <w:lang w:eastAsia="zh-CN" w:bidi="ar"/>
              </w:rPr>
              <w:t>工程师</w:t>
            </w:r>
            <w:r>
              <w:rPr>
                <w:rFonts w:hint="eastAsia" w:ascii="宋体" w:hAnsi="宋体" w:eastAsia="宋体" w:cs="宋体"/>
                <w:color w:val="auto"/>
                <w:sz w:val="22"/>
                <w:szCs w:val="22"/>
                <w:highlight w:val="none"/>
                <w:lang w:val="en-US" w:eastAsia="zh-CN" w:bidi="ar"/>
              </w:rPr>
              <w:t>中级及以上职称证书或机电工程专业二级及以上建造师证书的，提供一份证书得3分，本项最高得3分，未提供不得分；</w:t>
            </w:r>
          </w:p>
          <w:p w14:paraId="5216626C">
            <w:pPr>
              <w:pStyle w:val="30"/>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440" w:firstLineChars="200"/>
              <w:textAlignment w:val="auto"/>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2、投标人拟投入的项目技术负责人具有：电子信息类工程师中级及以上职称证书，得3分，本项最高得3分，未提供不得分；</w:t>
            </w:r>
          </w:p>
          <w:p w14:paraId="63F52B7D">
            <w:pPr>
              <w:pStyle w:val="30"/>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440" w:firstLineChars="200"/>
              <w:textAlignment w:val="auto"/>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注：1、项目负责人、技术负责人不得为同一人。</w:t>
            </w:r>
          </w:p>
          <w:p w14:paraId="737D4170">
            <w:pPr>
              <w:pStyle w:val="30"/>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440" w:firstLineChars="200"/>
              <w:textAlignment w:val="auto"/>
              <w:rPr>
                <w:rFonts w:hint="eastAsia" w:asciiTheme="majorEastAsia" w:hAnsiTheme="majorEastAsia" w:eastAsiaTheme="majorEastAsia" w:cstheme="majorEastAsia"/>
                <w:color w:val="auto"/>
                <w:sz w:val="22"/>
                <w:szCs w:val="22"/>
                <w:highlight w:val="none"/>
              </w:rPr>
            </w:pPr>
            <w:r>
              <w:rPr>
                <w:rFonts w:hint="eastAsia" w:ascii="宋体" w:hAnsi="宋体" w:eastAsia="宋体" w:cs="宋体"/>
                <w:color w:val="auto"/>
                <w:sz w:val="22"/>
                <w:szCs w:val="22"/>
                <w:highlight w:val="none"/>
                <w:lang w:val="en-US" w:eastAsia="zh-CN" w:bidi="ar"/>
              </w:rPr>
              <w:t>2、</w:t>
            </w:r>
            <w:r>
              <w:rPr>
                <w:rFonts w:hint="eastAsia" w:ascii="宋体" w:hAnsi="宋体" w:eastAsia="宋体" w:cs="宋体"/>
                <w:b/>
                <w:bCs/>
                <w:color w:val="FF0000"/>
                <w:sz w:val="22"/>
                <w:szCs w:val="22"/>
                <w:highlight w:val="none"/>
                <w:lang w:val="en-US" w:eastAsia="zh-CN" w:bidi="ar"/>
              </w:rPr>
              <w:t>以上人员为本单位正式在职员工（须提供相关证明材料），并提供上述人员相关证书原件彩色扫描件加盖投标人公章，否则不得分。</w:t>
            </w:r>
          </w:p>
        </w:tc>
      </w:tr>
      <w:tr w14:paraId="2DFB146D">
        <w:tblPrEx>
          <w:tblCellMar>
            <w:top w:w="0" w:type="dxa"/>
            <w:left w:w="108" w:type="dxa"/>
            <w:bottom w:w="0" w:type="dxa"/>
            <w:right w:w="108" w:type="dxa"/>
          </w:tblCellMar>
        </w:tblPrEx>
        <w:trPr>
          <w:trHeight w:val="1471" w:hRule="atLeast"/>
        </w:trPr>
        <w:tc>
          <w:tcPr>
            <w:tcW w:w="989" w:type="pct"/>
            <w:tcBorders>
              <w:top w:val="single" w:color="000000" w:sz="4" w:space="0"/>
              <w:left w:val="single" w:color="000000" w:sz="4" w:space="0"/>
              <w:bottom w:val="single" w:color="000000" w:sz="4" w:space="0"/>
              <w:right w:val="single" w:color="000000" w:sz="4" w:space="0"/>
            </w:tcBorders>
            <w:vAlign w:val="center"/>
          </w:tcPr>
          <w:p w14:paraId="67DB70F5">
            <w:pPr>
              <w:widowControl/>
              <w:jc w:val="center"/>
              <w:textAlignment w:val="center"/>
              <w:rPr>
                <w:rFonts w:hint="eastAsia" w:asciiTheme="majorEastAsia" w:hAnsiTheme="majorEastAsia" w:eastAsiaTheme="majorEastAsia" w:cstheme="majorEastAsia"/>
                <w:color w:val="auto"/>
                <w:sz w:val="22"/>
                <w:szCs w:val="22"/>
                <w:highlight w:val="none"/>
                <w:lang w:bidi="ar"/>
              </w:rPr>
            </w:pPr>
            <w:r>
              <w:rPr>
                <w:rFonts w:hint="eastAsia" w:asciiTheme="majorEastAsia" w:hAnsiTheme="majorEastAsia" w:eastAsiaTheme="majorEastAsia" w:cstheme="majorEastAsia"/>
                <w:color w:val="auto"/>
                <w:sz w:val="22"/>
                <w:szCs w:val="22"/>
                <w:highlight w:val="none"/>
                <w:lang w:bidi="ar"/>
              </w:rPr>
              <w:t>技术方案（</w:t>
            </w:r>
            <w:r>
              <w:rPr>
                <w:rFonts w:hint="eastAsia" w:eastAsia="宋体" w:asciiTheme="majorEastAsia" w:hAnsiTheme="majorEastAsia" w:cstheme="majorEastAsia"/>
                <w:color w:val="auto"/>
                <w:sz w:val="22"/>
                <w:szCs w:val="22"/>
                <w:highlight w:val="none"/>
                <w:lang w:val="en-US" w:eastAsia="zh-CN" w:bidi="ar"/>
              </w:rPr>
              <w:t>9</w:t>
            </w:r>
            <w:r>
              <w:rPr>
                <w:rFonts w:hint="eastAsia" w:asciiTheme="majorEastAsia" w:hAnsiTheme="majorEastAsia" w:eastAsiaTheme="majorEastAsia" w:cstheme="majorEastAsia"/>
                <w:color w:val="auto"/>
                <w:sz w:val="22"/>
                <w:szCs w:val="22"/>
                <w:highlight w:val="none"/>
                <w:lang w:bidi="ar"/>
              </w:rPr>
              <w:t>分）</w:t>
            </w:r>
          </w:p>
        </w:tc>
        <w:tc>
          <w:tcPr>
            <w:tcW w:w="4010" w:type="pct"/>
            <w:tcBorders>
              <w:top w:val="single" w:color="000000" w:sz="4" w:space="0"/>
              <w:left w:val="single" w:color="000000" w:sz="4" w:space="0"/>
              <w:bottom w:val="single" w:color="000000" w:sz="4" w:space="0"/>
              <w:right w:val="single" w:color="000000" w:sz="4" w:space="0"/>
            </w:tcBorders>
            <w:vAlign w:val="center"/>
          </w:tcPr>
          <w:p w14:paraId="62C012F5">
            <w:pPr>
              <w:pStyle w:val="4"/>
              <w:keepNext/>
              <w:keepLines/>
              <w:pageBreakBefore w:val="0"/>
              <w:widowControl w:val="0"/>
              <w:kinsoku/>
              <w:wordWrap/>
              <w:overflowPunct/>
              <w:topLinePunct w:val="0"/>
              <w:autoSpaceDE/>
              <w:autoSpaceDN/>
              <w:bidi w:val="0"/>
              <w:adjustRightInd/>
              <w:snapToGrid/>
              <w:spacing w:before="0" w:after="0" w:line="400" w:lineRule="exact"/>
              <w:ind w:firstLine="440" w:firstLineChars="200"/>
              <w:textAlignment w:val="auto"/>
              <w:rPr>
                <w:rFonts w:hint="eastAsia" w:cs="宋体" w:asciiTheme="minorEastAsia" w:hAnsiTheme="minorEastAsia" w:eastAsiaTheme="minorEastAsia"/>
                <w:b w:val="0"/>
                <w:bCs w:val="0"/>
                <w:color w:val="auto"/>
                <w:sz w:val="22"/>
                <w:szCs w:val="22"/>
                <w:highlight w:val="none"/>
                <w:lang w:eastAsia="zh-CN"/>
              </w:rPr>
            </w:pPr>
            <w:r>
              <w:rPr>
                <w:rFonts w:hint="eastAsia" w:cs="宋体" w:asciiTheme="minorEastAsia" w:hAnsiTheme="minorEastAsia"/>
                <w:b w:val="0"/>
                <w:bCs w:val="0"/>
                <w:color w:val="auto"/>
                <w:sz w:val="22"/>
                <w:szCs w:val="22"/>
                <w:highlight w:val="none"/>
                <w:lang w:val="en-US" w:eastAsia="zh-CN"/>
              </w:rPr>
              <w:t>评标针对投标人提供的方案进行评审，</w:t>
            </w:r>
            <w:bookmarkStart w:id="214" w:name="_GoBack"/>
            <w:bookmarkEnd w:id="214"/>
            <w:r>
              <w:rPr>
                <w:rFonts w:hint="eastAsia" w:cs="宋体" w:asciiTheme="minorEastAsia" w:hAnsiTheme="minorEastAsia"/>
                <w:b w:val="0"/>
                <w:bCs w:val="0"/>
                <w:color w:val="auto"/>
                <w:sz w:val="22"/>
                <w:szCs w:val="22"/>
                <w:highlight w:val="none"/>
                <w:lang w:val="en-US" w:eastAsia="zh-CN"/>
              </w:rPr>
              <w:t>方案需包含以下内容：（1）业务需求分析；（2）原有设备的兼容性；（3）产品架构方案及架构图。评审将依据方案是否细致完整、措施有力，能否满足本项目各项要求打分：方案内容描述全面、满足采购需求的得9分，每缺失一项内容扣3分，每有一处内容存在缺陷或不满足要求扣0.5分，分数扣完为止。（缺陷或不满足指存在以下任意一种情形：内容不全面、与实际需求不符、内容不清晰或交叉混乱、套用其他项目方案、存在规范性或常识性错误、存在逻辑漏洞、包含无关事项、凭空编造、存在不可能实现的夸大情形、</w:t>
            </w:r>
            <w:r>
              <w:rPr>
                <w:rFonts w:hint="eastAsia" w:cs="宋体" w:asciiTheme="minorEastAsia" w:hAnsiTheme="minorEastAsia"/>
                <w:b w:val="0"/>
                <w:bCs w:val="0"/>
                <w:color w:val="auto"/>
                <w:sz w:val="22"/>
                <w:szCs w:val="22"/>
                <w:highlight w:val="none"/>
                <w:lang w:val="zh-CN" w:eastAsia="zh-CN"/>
              </w:rPr>
              <w:t>表述前后不一致或内容矛盾，语句有歧义，仅有框架或标题等任意一种情形</w:t>
            </w:r>
            <w:r>
              <w:rPr>
                <w:rFonts w:hint="eastAsia" w:cs="宋体" w:asciiTheme="minorEastAsia" w:hAnsiTheme="minorEastAsia"/>
                <w:b w:val="0"/>
                <w:bCs w:val="0"/>
                <w:color w:val="auto"/>
                <w:sz w:val="22"/>
                <w:szCs w:val="22"/>
                <w:highlight w:val="none"/>
                <w:lang w:val="en-US" w:eastAsia="zh-CN"/>
              </w:rPr>
              <w:t>等），未提供方案不得分。</w:t>
            </w:r>
          </w:p>
        </w:tc>
      </w:tr>
      <w:tr w14:paraId="1BC6A3C4">
        <w:tblPrEx>
          <w:tblCellMar>
            <w:top w:w="0" w:type="dxa"/>
            <w:left w:w="108" w:type="dxa"/>
            <w:bottom w:w="0" w:type="dxa"/>
            <w:right w:w="108" w:type="dxa"/>
          </w:tblCellMar>
        </w:tblPrEx>
        <w:trPr>
          <w:trHeight w:val="710" w:hRule="atLeast"/>
        </w:trPr>
        <w:tc>
          <w:tcPr>
            <w:tcW w:w="989" w:type="pct"/>
            <w:tcBorders>
              <w:top w:val="single" w:color="000000" w:sz="4" w:space="0"/>
              <w:left w:val="single" w:color="000000" w:sz="4" w:space="0"/>
              <w:bottom w:val="single" w:color="000000" w:sz="4" w:space="0"/>
              <w:right w:val="single" w:color="000000" w:sz="4" w:space="0"/>
            </w:tcBorders>
            <w:noWrap/>
            <w:vAlign w:val="center"/>
          </w:tcPr>
          <w:p w14:paraId="0EC09DB0">
            <w:pPr>
              <w:widowControl/>
              <w:jc w:val="center"/>
              <w:textAlignment w:val="center"/>
              <w:rPr>
                <w:rFonts w:hint="eastAsia" w:asciiTheme="majorEastAsia" w:hAnsiTheme="majorEastAsia" w:eastAsiaTheme="majorEastAsia" w:cstheme="majorEastAsia"/>
                <w:color w:val="auto"/>
                <w:sz w:val="22"/>
                <w:szCs w:val="22"/>
                <w:lang w:bidi="ar"/>
              </w:rPr>
            </w:pPr>
            <w:r>
              <w:rPr>
                <w:rFonts w:hint="eastAsia" w:asciiTheme="majorEastAsia" w:hAnsiTheme="majorEastAsia" w:eastAsiaTheme="majorEastAsia" w:cstheme="majorEastAsia"/>
                <w:color w:val="auto"/>
                <w:sz w:val="22"/>
                <w:szCs w:val="22"/>
                <w:lang w:bidi="ar"/>
              </w:rPr>
              <w:t>项目实施方案（</w:t>
            </w:r>
            <w:r>
              <w:rPr>
                <w:rFonts w:hint="eastAsia" w:eastAsia="宋体" w:asciiTheme="majorEastAsia" w:hAnsiTheme="majorEastAsia" w:cstheme="majorEastAsia"/>
                <w:color w:val="auto"/>
                <w:sz w:val="22"/>
                <w:szCs w:val="22"/>
                <w:lang w:val="en-US" w:eastAsia="zh-CN" w:bidi="ar"/>
              </w:rPr>
              <w:t>15</w:t>
            </w:r>
            <w:r>
              <w:rPr>
                <w:rFonts w:hint="eastAsia" w:asciiTheme="majorEastAsia" w:hAnsiTheme="majorEastAsia" w:eastAsiaTheme="majorEastAsia" w:cstheme="majorEastAsia"/>
                <w:color w:val="auto"/>
                <w:sz w:val="22"/>
                <w:szCs w:val="22"/>
                <w:lang w:bidi="ar"/>
              </w:rPr>
              <w:t>分）</w:t>
            </w:r>
          </w:p>
        </w:tc>
        <w:tc>
          <w:tcPr>
            <w:tcW w:w="4010" w:type="pct"/>
            <w:tcBorders>
              <w:top w:val="single" w:color="000000" w:sz="4" w:space="0"/>
              <w:left w:val="single" w:color="000000" w:sz="4" w:space="0"/>
              <w:bottom w:val="single" w:color="000000" w:sz="4" w:space="0"/>
              <w:right w:val="single" w:color="000000" w:sz="4" w:space="0"/>
            </w:tcBorders>
            <w:vAlign w:val="center"/>
          </w:tcPr>
          <w:p w14:paraId="68CE8B82">
            <w:pPr>
              <w:pStyle w:val="4"/>
              <w:keepNext/>
              <w:keepLines/>
              <w:pageBreakBefore w:val="0"/>
              <w:widowControl w:val="0"/>
              <w:kinsoku/>
              <w:wordWrap/>
              <w:overflowPunct/>
              <w:topLinePunct w:val="0"/>
              <w:autoSpaceDE/>
              <w:autoSpaceDN/>
              <w:bidi w:val="0"/>
              <w:adjustRightInd/>
              <w:snapToGrid/>
              <w:spacing w:before="0" w:after="0" w:line="400" w:lineRule="exact"/>
              <w:textAlignment w:val="auto"/>
              <w:rPr>
                <w:rFonts w:hint="eastAsia" w:eastAsia="宋体" w:cs="宋体" w:asciiTheme="minorEastAsia" w:hAnsiTheme="minorEastAsia"/>
                <w:b w:val="0"/>
                <w:bCs w:val="0"/>
                <w:color w:val="auto"/>
                <w:sz w:val="22"/>
                <w:szCs w:val="22"/>
                <w:lang w:val="en-US" w:eastAsia="zh-CN"/>
              </w:rPr>
            </w:pPr>
            <w:r>
              <w:rPr>
                <w:rFonts w:hint="eastAsia" w:cs="宋体" w:asciiTheme="minorEastAsia" w:hAnsiTheme="minorEastAsia"/>
                <w:b w:val="0"/>
                <w:bCs w:val="0"/>
                <w:color w:val="auto"/>
                <w:sz w:val="22"/>
                <w:szCs w:val="22"/>
                <w:lang w:val="en-US" w:eastAsia="zh-CN"/>
              </w:rPr>
              <w:t>项目实施方案包括但不限于：（1）</w:t>
            </w:r>
            <w:r>
              <w:rPr>
                <w:rFonts w:hint="eastAsia" w:cs="宋体" w:asciiTheme="minorEastAsia" w:hAnsiTheme="minorEastAsia"/>
                <w:b w:val="0"/>
                <w:bCs w:val="0"/>
                <w:color w:val="auto"/>
                <w:sz w:val="22"/>
                <w:szCs w:val="22"/>
              </w:rPr>
              <w:t>项目整体实施方案</w:t>
            </w:r>
            <w:r>
              <w:rPr>
                <w:rFonts w:hint="eastAsia" w:cs="宋体" w:asciiTheme="minorEastAsia" w:hAnsiTheme="minorEastAsia"/>
                <w:b w:val="0"/>
                <w:bCs w:val="0"/>
                <w:color w:val="auto"/>
                <w:sz w:val="22"/>
                <w:szCs w:val="22"/>
                <w:lang w:eastAsia="zh-CN"/>
              </w:rPr>
              <w:t>（</w:t>
            </w:r>
            <w:r>
              <w:rPr>
                <w:rFonts w:hint="eastAsia" w:cs="宋体" w:asciiTheme="minorEastAsia" w:hAnsiTheme="minorEastAsia"/>
                <w:b w:val="0"/>
                <w:bCs w:val="0"/>
                <w:color w:val="auto"/>
                <w:sz w:val="22"/>
                <w:szCs w:val="22"/>
                <w:lang w:val="en-US" w:eastAsia="zh-CN"/>
              </w:rPr>
              <w:t>包括项目实施总体规划、项目组织架构与实施流程等）</w:t>
            </w:r>
            <w:r>
              <w:rPr>
                <w:rFonts w:hint="eastAsia" w:cs="宋体" w:asciiTheme="minorEastAsia" w:hAnsiTheme="minorEastAsia"/>
                <w:b w:val="0"/>
                <w:bCs w:val="0"/>
                <w:color w:val="auto"/>
                <w:sz w:val="22"/>
                <w:szCs w:val="22"/>
                <w:lang w:eastAsia="zh-CN"/>
              </w:rPr>
              <w:t>；（</w:t>
            </w:r>
            <w:r>
              <w:rPr>
                <w:rFonts w:hint="eastAsia" w:cs="宋体" w:asciiTheme="minorEastAsia" w:hAnsiTheme="minorEastAsia"/>
                <w:b w:val="0"/>
                <w:bCs w:val="0"/>
                <w:color w:val="auto"/>
                <w:sz w:val="22"/>
                <w:szCs w:val="22"/>
                <w:lang w:val="en-US" w:eastAsia="zh-CN"/>
              </w:rPr>
              <w:t>2)</w:t>
            </w:r>
            <w:r>
              <w:rPr>
                <w:rFonts w:hint="eastAsia" w:cs="宋体" w:asciiTheme="minorEastAsia" w:hAnsiTheme="minorEastAsia"/>
                <w:b w:val="0"/>
                <w:bCs w:val="0"/>
                <w:color w:val="auto"/>
                <w:sz w:val="22"/>
                <w:szCs w:val="22"/>
              </w:rPr>
              <w:t>技术人员配备</w:t>
            </w:r>
            <w:r>
              <w:rPr>
                <w:rFonts w:hint="eastAsia" w:cs="宋体" w:asciiTheme="minorEastAsia" w:hAnsiTheme="minorEastAsia"/>
                <w:b w:val="0"/>
                <w:bCs w:val="0"/>
                <w:color w:val="auto"/>
                <w:sz w:val="22"/>
                <w:szCs w:val="22"/>
                <w:lang w:eastAsia="zh-CN"/>
              </w:rPr>
              <w:t>（</w:t>
            </w:r>
            <w:r>
              <w:rPr>
                <w:rFonts w:hint="eastAsia" w:cs="宋体" w:asciiTheme="minorEastAsia" w:hAnsiTheme="minorEastAsia"/>
                <w:b w:val="0"/>
                <w:bCs w:val="0"/>
                <w:color w:val="auto"/>
                <w:sz w:val="22"/>
                <w:szCs w:val="22"/>
                <w:lang w:val="en-US" w:eastAsia="zh-CN"/>
              </w:rPr>
              <w:t>包括供货、安装人员配备、售后维护人员配备等）</w:t>
            </w:r>
            <w:r>
              <w:rPr>
                <w:rFonts w:hint="eastAsia" w:cs="宋体" w:asciiTheme="minorEastAsia" w:hAnsiTheme="minorEastAsia"/>
                <w:b w:val="0"/>
                <w:bCs w:val="0"/>
                <w:color w:val="auto"/>
                <w:sz w:val="22"/>
                <w:szCs w:val="22"/>
                <w:lang w:eastAsia="zh-CN"/>
              </w:rPr>
              <w:t>；</w:t>
            </w:r>
            <w:r>
              <w:rPr>
                <w:rFonts w:hint="eastAsia" w:cs="宋体" w:asciiTheme="minorEastAsia" w:hAnsiTheme="minorEastAsia"/>
                <w:b w:val="0"/>
                <w:bCs w:val="0"/>
                <w:color w:val="auto"/>
                <w:sz w:val="22"/>
                <w:szCs w:val="22"/>
                <w:lang w:val="en-US" w:eastAsia="zh-CN"/>
              </w:rPr>
              <w:t>(3)施工进度计划与进度保证措施；(4)</w:t>
            </w:r>
            <w:r>
              <w:rPr>
                <w:rFonts w:hint="eastAsia" w:cs="宋体" w:asciiTheme="minorEastAsia" w:hAnsiTheme="minorEastAsia"/>
                <w:b w:val="0"/>
                <w:bCs w:val="0"/>
                <w:color w:val="auto"/>
                <w:sz w:val="22"/>
                <w:szCs w:val="22"/>
              </w:rPr>
              <w:t>质量保证</w:t>
            </w:r>
            <w:r>
              <w:rPr>
                <w:rFonts w:hint="eastAsia" w:cs="宋体" w:asciiTheme="minorEastAsia" w:hAnsiTheme="minorEastAsia"/>
                <w:b w:val="0"/>
                <w:bCs w:val="0"/>
                <w:color w:val="auto"/>
                <w:sz w:val="22"/>
                <w:szCs w:val="22"/>
                <w:lang w:val="en-US" w:eastAsia="zh-CN"/>
              </w:rPr>
              <w:t>措施方案（包括前期质量管控、到货质量验收等）；(5)</w:t>
            </w:r>
            <w:r>
              <w:rPr>
                <w:rFonts w:hint="eastAsia" w:cs="宋体" w:asciiTheme="minorEastAsia" w:hAnsiTheme="minorEastAsia"/>
                <w:b w:val="0"/>
                <w:bCs w:val="0"/>
                <w:color w:val="auto"/>
                <w:sz w:val="22"/>
                <w:szCs w:val="22"/>
              </w:rPr>
              <w:t>安全措</w:t>
            </w:r>
            <w:r>
              <w:rPr>
                <w:rFonts w:hint="eastAsia" w:eastAsia="宋体" w:cs="宋体" w:asciiTheme="minorEastAsia" w:hAnsiTheme="minorEastAsia"/>
                <w:b w:val="0"/>
                <w:bCs w:val="0"/>
                <w:color w:val="auto"/>
                <w:sz w:val="22"/>
                <w:szCs w:val="22"/>
                <w:lang w:val="en-US" w:eastAsia="zh-CN"/>
              </w:rPr>
              <w:t>施方案（包括包装防护、运输、装卸现场安全、应急安全保障等）；(6)供货方案（包括供货周期、货源保障方案、包装、运输、装卸方案等）。</w:t>
            </w:r>
          </w:p>
          <w:p w14:paraId="568E4FF7">
            <w:pPr>
              <w:pStyle w:val="4"/>
              <w:keepNext/>
              <w:keepLines/>
              <w:pageBreakBefore w:val="0"/>
              <w:widowControl w:val="0"/>
              <w:kinsoku/>
              <w:wordWrap/>
              <w:overflowPunct/>
              <w:topLinePunct w:val="0"/>
              <w:autoSpaceDE/>
              <w:autoSpaceDN/>
              <w:bidi w:val="0"/>
              <w:adjustRightInd/>
              <w:snapToGrid/>
              <w:spacing w:before="0" w:after="0" w:line="400" w:lineRule="exact"/>
              <w:textAlignment w:val="auto"/>
              <w:rPr>
                <w:rFonts w:hint="eastAsia"/>
                <w:color w:val="auto"/>
                <w:lang w:val="en-US" w:eastAsia="zh-CN"/>
              </w:rPr>
            </w:pPr>
            <w:r>
              <w:rPr>
                <w:rFonts w:hint="eastAsia" w:cs="宋体" w:asciiTheme="minorEastAsia" w:hAnsiTheme="minorEastAsia"/>
                <w:b w:val="0"/>
                <w:bCs w:val="0"/>
                <w:color w:val="auto"/>
                <w:sz w:val="22"/>
                <w:szCs w:val="22"/>
              </w:rPr>
              <w:t>对投标人提供的</w:t>
            </w:r>
            <w:r>
              <w:rPr>
                <w:rFonts w:hint="eastAsia" w:cs="宋体" w:asciiTheme="minorEastAsia" w:hAnsiTheme="minorEastAsia"/>
                <w:b w:val="0"/>
                <w:bCs w:val="0"/>
                <w:color w:val="auto"/>
                <w:sz w:val="22"/>
                <w:szCs w:val="22"/>
                <w:lang w:val="en-US" w:eastAsia="zh-CN"/>
              </w:rPr>
              <w:t>方案</w:t>
            </w:r>
            <w:r>
              <w:rPr>
                <w:rFonts w:hint="eastAsia" w:cs="宋体" w:asciiTheme="minorEastAsia" w:hAnsiTheme="minorEastAsia"/>
                <w:b w:val="0"/>
                <w:bCs w:val="0"/>
                <w:color w:val="auto"/>
                <w:sz w:val="22"/>
                <w:szCs w:val="22"/>
              </w:rPr>
              <w:t>是否</w:t>
            </w:r>
            <w:r>
              <w:rPr>
                <w:rFonts w:hint="eastAsia" w:cs="宋体" w:asciiTheme="minorEastAsia" w:hAnsiTheme="minorEastAsia"/>
                <w:b w:val="0"/>
                <w:bCs w:val="0"/>
                <w:color w:val="auto"/>
                <w:sz w:val="22"/>
                <w:szCs w:val="22"/>
                <w:lang w:val="en-US" w:eastAsia="zh"/>
              </w:rPr>
              <w:t>细致完整、措施有力，方案的贯彻应能满</w:t>
            </w:r>
            <w:r>
              <w:rPr>
                <w:rFonts w:hint="eastAsia" w:asciiTheme="majorEastAsia" w:hAnsiTheme="majorEastAsia" w:eastAsiaTheme="majorEastAsia" w:cstheme="majorEastAsia"/>
                <w:b w:val="0"/>
                <w:bCs w:val="0"/>
                <w:color w:val="auto"/>
                <w:kern w:val="0"/>
                <w:sz w:val="22"/>
                <w:szCs w:val="22"/>
                <w:lang w:val="en-US" w:eastAsia="zh" w:bidi="ar-SA"/>
              </w:rPr>
              <w:t>足本项目各项要求。方案内容描述全面</w:t>
            </w:r>
            <w:r>
              <w:rPr>
                <w:rFonts w:hint="eastAsia" w:eastAsia="宋体" w:asciiTheme="majorEastAsia" w:hAnsiTheme="majorEastAsia" w:cstheme="majorEastAsia"/>
                <w:b w:val="0"/>
                <w:bCs w:val="0"/>
                <w:color w:val="auto"/>
                <w:kern w:val="0"/>
                <w:sz w:val="22"/>
                <w:szCs w:val="22"/>
                <w:lang w:val="en-US" w:eastAsia="zh-CN" w:bidi="ar-SA"/>
              </w:rPr>
              <w:t>、满足</w:t>
            </w:r>
            <w:r>
              <w:rPr>
                <w:rFonts w:hint="eastAsia" w:asciiTheme="majorEastAsia" w:hAnsiTheme="majorEastAsia" w:eastAsiaTheme="majorEastAsia" w:cstheme="majorEastAsia"/>
                <w:b w:val="0"/>
                <w:bCs w:val="0"/>
                <w:color w:val="auto"/>
                <w:kern w:val="0"/>
                <w:sz w:val="22"/>
                <w:szCs w:val="22"/>
                <w:lang w:val="en-US" w:eastAsia="zh" w:bidi="ar-SA"/>
              </w:rPr>
              <w:t>采购需求的得</w:t>
            </w:r>
            <w:r>
              <w:rPr>
                <w:rFonts w:hint="eastAsia" w:asciiTheme="majorEastAsia" w:hAnsiTheme="majorEastAsia" w:eastAsiaTheme="majorEastAsia" w:cstheme="majorEastAsia"/>
                <w:b w:val="0"/>
                <w:bCs w:val="0"/>
                <w:color w:val="auto"/>
                <w:kern w:val="0"/>
                <w:sz w:val="22"/>
                <w:szCs w:val="22"/>
                <w:lang w:val="en-US" w:eastAsia="zh-CN" w:bidi="ar-SA"/>
              </w:rPr>
              <w:t>15</w:t>
            </w:r>
            <w:r>
              <w:rPr>
                <w:rFonts w:hint="eastAsia" w:asciiTheme="majorEastAsia" w:hAnsiTheme="majorEastAsia" w:eastAsiaTheme="majorEastAsia" w:cstheme="majorEastAsia"/>
                <w:b w:val="0"/>
                <w:bCs w:val="0"/>
                <w:color w:val="auto"/>
                <w:kern w:val="0"/>
                <w:sz w:val="22"/>
                <w:szCs w:val="22"/>
                <w:lang w:val="en-US" w:eastAsia="zh" w:bidi="ar-SA"/>
              </w:rPr>
              <w:t>分，每有一项内容缺失的扣</w:t>
            </w:r>
            <w:r>
              <w:rPr>
                <w:rFonts w:hint="eastAsia" w:asciiTheme="majorEastAsia" w:hAnsiTheme="majorEastAsia" w:eastAsiaTheme="majorEastAsia" w:cstheme="majorEastAsia"/>
                <w:b w:val="0"/>
                <w:bCs w:val="0"/>
                <w:color w:val="auto"/>
                <w:kern w:val="0"/>
                <w:sz w:val="22"/>
                <w:szCs w:val="22"/>
                <w:lang w:val="en-US" w:eastAsia="zh-CN" w:bidi="ar-SA"/>
              </w:rPr>
              <w:t>2.5</w:t>
            </w:r>
            <w:r>
              <w:rPr>
                <w:rFonts w:hint="eastAsia" w:asciiTheme="majorEastAsia" w:hAnsiTheme="majorEastAsia" w:eastAsiaTheme="majorEastAsia" w:cstheme="majorEastAsia"/>
                <w:b w:val="0"/>
                <w:bCs w:val="0"/>
                <w:color w:val="auto"/>
                <w:kern w:val="0"/>
                <w:sz w:val="22"/>
                <w:szCs w:val="22"/>
                <w:lang w:val="en-US" w:eastAsia="zh" w:bidi="ar-SA"/>
              </w:rPr>
              <w:t>分;每有一处内容存在缺陷或不满足要求的扣</w:t>
            </w:r>
            <w:r>
              <w:rPr>
                <w:rFonts w:hint="eastAsia" w:asciiTheme="majorEastAsia" w:hAnsiTheme="majorEastAsia" w:eastAsiaTheme="majorEastAsia" w:cstheme="majorEastAsia"/>
                <w:b w:val="0"/>
                <w:bCs w:val="0"/>
                <w:color w:val="auto"/>
                <w:kern w:val="0"/>
                <w:sz w:val="22"/>
                <w:szCs w:val="22"/>
                <w:lang w:val="en-US" w:eastAsia="zh-CN" w:bidi="ar-SA"/>
              </w:rPr>
              <w:t>0.5</w:t>
            </w:r>
            <w:r>
              <w:rPr>
                <w:rFonts w:hint="eastAsia" w:asciiTheme="majorEastAsia" w:hAnsiTheme="majorEastAsia" w:eastAsiaTheme="majorEastAsia" w:cstheme="majorEastAsia"/>
                <w:b w:val="0"/>
                <w:bCs w:val="0"/>
                <w:color w:val="auto"/>
                <w:kern w:val="0"/>
                <w:sz w:val="22"/>
                <w:szCs w:val="22"/>
                <w:lang w:val="en-US" w:eastAsia="zh" w:bidi="ar-SA"/>
              </w:rPr>
              <w:t>分，扣完为止。(</w:t>
            </w:r>
            <w:r>
              <w:rPr>
                <w:rFonts w:hint="eastAsia" w:cs="宋体" w:asciiTheme="minorEastAsia" w:hAnsiTheme="minorEastAsia"/>
                <w:b w:val="0"/>
                <w:bCs w:val="0"/>
                <w:color w:val="auto"/>
                <w:sz w:val="22"/>
                <w:szCs w:val="22"/>
                <w:highlight w:val="none"/>
                <w:lang w:val="en-US" w:eastAsia="zh-CN"/>
              </w:rPr>
              <w:t>缺陷或不满足指存在以下任意一种情形：内容不全面、与实际需求不符、内容不清晰或交叉混乱、套用其他项目方案、存在规范性或常识性错误、存在逻辑漏洞、包含无关事项、凭空编造、存在不可能实现的夸大情形、</w:t>
            </w:r>
            <w:r>
              <w:rPr>
                <w:rFonts w:hint="eastAsia" w:cs="宋体" w:asciiTheme="minorEastAsia" w:hAnsiTheme="minorEastAsia"/>
                <w:b w:val="0"/>
                <w:bCs w:val="0"/>
                <w:color w:val="auto"/>
                <w:sz w:val="22"/>
                <w:szCs w:val="22"/>
                <w:highlight w:val="none"/>
                <w:lang w:val="zh-CN" w:eastAsia="zh-CN"/>
              </w:rPr>
              <w:t>表述前后不一致或内容矛盾，语句有歧义，仅有框架或标题等任意一种情形</w:t>
            </w:r>
            <w:r>
              <w:rPr>
                <w:rFonts w:hint="eastAsia" w:cs="宋体" w:asciiTheme="minorEastAsia" w:hAnsiTheme="minorEastAsia"/>
                <w:b w:val="0"/>
                <w:bCs w:val="0"/>
                <w:color w:val="auto"/>
                <w:sz w:val="22"/>
                <w:szCs w:val="22"/>
                <w:highlight w:val="none"/>
                <w:lang w:val="en-US" w:eastAsia="zh-CN"/>
              </w:rPr>
              <w:t>等</w:t>
            </w:r>
            <w:r>
              <w:rPr>
                <w:rFonts w:hint="eastAsia" w:asciiTheme="majorEastAsia" w:hAnsiTheme="majorEastAsia" w:eastAsiaTheme="majorEastAsia" w:cstheme="majorEastAsia"/>
                <w:b w:val="0"/>
                <w:bCs w:val="0"/>
                <w:color w:val="auto"/>
                <w:kern w:val="0"/>
                <w:sz w:val="22"/>
                <w:szCs w:val="22"/>
                <w:lang w:val="en-US" w:eastAsia="zh" w:bidi="ar-SA"/>
              </w:rPr>
              <w:t>)</w:t>
            </w:r>
            <w:r>
              <w:rPr>
                <w:rFonts w:hint="eastAsia" w:eastAsia="宋体" w:asciiTheme="majorEastAsia" w:hAnsiTheme="majorEastAsia" w:cstheme="majorEastAsia"/>
                <w:b w:val="0"/>
                <w:bCs w:val="0"/>
                <w:color w:val="auto"/>
                <w:kern w:val="0"/>
                <w:sz w:val="22"/>
                <w:szCs w:val="22"/>
                <w:lang w:val="en-US" w:eastAsia="zh-CN" w:bidi="ar-SA"/>
              </w:rPr>
              <w:t>，</w:t>
            </w:r>
            <w:r>
              <w:rPr>
                <w:rFonts w:hint="eastAsia" w:asciiTheme="majorEastAsia" w:hAnsiTheme="majorEastAsia" w:eastAsiaTheme="majorEastAsia" w:cstheme="majorEastAsia"/>
                <w:b w:val="0"/>
                <w:bCs w:val="0"/>
                <w:color w:val="auto"/>
                <w:kern w:val="0"/>
                <w:sz w:val="22"/>
                <w:szCs w:val="22"/>
                <w:lang w:val="en-US" w:eastAsia="zh" w:bidi="ar-SA"/>
              </w:rPr>
              <w:t>未提供方案不得分。</w:t>
            </w:r>
          </w:p>
        </w:tc>
      </w:tr>
      <w:tr w14:paraId="1CB0802F">
        <w:tblPrEx>
          <w:tblCellMar>
            <w:top w:w="0" w:type="dxa"/>
            <w:left w:w="108" w:type="dxa"/>
            <w:bottom w:w="0" w:type="dxa"/>
            <w:right w:w="108" w:type="dxa"/>
          </w:tblCellMar>
        </w:tblPrEx>
        <w:trPr>
          <w:trHeight w:val="542" w:hRule="atLeast"/>
        </w:trPr>
        <w:tc>
          <w:tcPr>
            <w:tcW w:w="989" w:type="pct"/>
            <w:tcBorders>
              <w:top w:val="single" w:color="000000" w:sz="4" w:space="0"/>
              <w:left w:val="single" w:color="000000" w:sz="4" w:space="0"/>
              <w:bottom w:val="single" w:color="000000" w:sz="4" w:space="0"/>
              <w:right w:val="single" w:color="000000" w:sz="4" w:space="0"/>
            </w:tcBorders>
            <w:noWrap/>
            <w:vAlign w:val="center"/>
          </w:tcPr>
          <w:p w14:paraId="59778DA8">
            <w:pPr>
              <w:widowControl/>
              <w:jc w:val="center"/>
              <w:textAlignment w:val="center"/>
              <w:rPr>
                <w:rFonts w:hint="eastAsia" w:asciiTheme="majorEastAsia" w:hAnsiTheme="majorEastAsia" w:eastAsiaTheme="majorEastAsia" w:cstheme="majorEastAsia"/>
                <w:color w:val="auto"/>
                <w:sz w:val="22"/>
                <w:szCs w:val="22"/>
                <w:lang w:bidi="ar"/>
              </w:rPr>
            </w:pPr>
            <w:r>
              <w:rPr>
                <w:rFonts w:hint="eastAsia" w:asciiTheme="majorEastAsia" w:hAnsiTheme="majorEastAsia" w:eastAsiaTheme="majorEastAsia" w:cstheme="majorEastAsia"/>
                <w:color w:val="auto"/>
                <w:sz w:val="22"/>
                <w:szCs w:val="22"/>
                <w:lang w:bidi="ar"/>
              </w:rPr>
              <w:t>售后服务方案</w:t>
            </w:r>
          </w:p>
          <w:p w14:paraId="666C4615">
            <w:pPr>
              <w:widowControl/>
              <w:jc w:val="center"/>
              <w:textAlignment w:val="center"/>
              <w:rPr>
                <w:rFonts w:hint="eastAsia" w:asciiTheme="majorEastAsia" w:hAnsiTheme="majorEastAsia" w:eastAsiaTheme="majorEastAsia" w:cstheme="majorEastAsia"/>
                <w:color w:val="auto"/>
                <w:sz w:val="22"/>
                <w:szCs w:val="22"/>
              </w:rPr>
            </w:pPr>
            <w:r>
              <w:rPr>
                <w:rFonts w:hint="eastAsia" w:asciiTheme="majorEastAsia" w:hAnsiTheme="majorEastAsia" w:eastAsiaTheme="majorEastAsia" w:cstheme="majorEastAsia"/>
                <w:color w:val="auto"/>
                <w:sz w:val="22"/>
                <w:szCs w:val="22"/>
                <w:lang w:bidi="ar"/>
              </w:rPr>
              <w:t>（</w:t>
            </w:r>
            <w:r>
              <w:rPr>
                <w:rFonts w:hint="eastAsia" w:eastAsia="宋体" w:asciiTheme="majorEastAsia" w:hAnsiTheme="majorEastAsia" w:cstheme="majorEastAsia"/>
                <w:color w:val="auto"/>
                <w:sz w:val="22"/>
                <w:szCs w:val="22"/>
                <w:lang w:val="en-US" w:eastAsia="zh-CN" w:bidi="ar"/>
              </w:rPr>
              <w:t>9</w:t>
            </w:r>
            <w:r>
              <w:rPr>
                <w:rFonts w:hint="eastAsia" w:asciiTheme="majorEastAsia" w:hAnsiTheme="majorEastAsia" w:eastAsiaTheme="majorEastAsia" w:cstheme="majorEastAsia"/>
                <w:color w:val="auto"/>
                <w:sz w:val="22"/>
                <w:szCs w:val="22"/>
                <w:lang w:bidi="ar"/>
              </w:rPr>
              <w:t>分）</w:t>
            </w:r>
          </w:p>
        </w:tc>
        <w:tc>
          <w:tcPr>
            <w:tcW w:w="4010" w:type="pct"/>
            <w:tcBorders>
              <w:top w:val="single" w:color="000000" w:sz="4" w:space="0"/>
              <w:left w:val="single" w:color="000000" w:sz="4" w:space="0"/>
              <w:bottom w:val="single" w:color="000000" w:sz="4" w:space="0"/>
              <w:right w:val="single" w:color="000000" w:sz="4" w:space="0"/>
            </w:tcBorders>
            <w:vAlign w:val="center"/>
          </w:tcPr>
          <w:p w14:paraId="40144DE1">
            <w:pPr>
              <w:pStyle w:val="4"/>
              <w:keepNext/>
              <w:keepLines/>
              <w:pageBreakBefore w:val="0"/>
              <w:widowControl w:val="0"/>
              <w:kinsoku/>
              <w:wordWrap/>
              <w:overflowPunct/>
              <w:topLinePunct w:val="0"/>
              <w:autoSpaceDE/>
              <w:autoSpaceDN/>
              <w:bidi w:val="0"/>
              <w:adjustRightInd/>
              <w:snapToGrid/>
              <w:spacing w:before="0" w:after="0" w:line="400" w:lineRule="exact"/>
              <w:textAlignment w:val="auto"/>
              <w:rPr>
                <w:rFonts w:hint="eastAsia" w:cs="宋体" w:asciiTheme="minorEastAsia" w:hAnsiTheme="minorEastAsia"/>
                <w:b w:val="0"/>
                <w:bCs w:val="0"/>
                <w:color w:val="auto"/>
                <w:sz w:val="22"/>
                <w:szCs w:val="22"/>
                <w:lang w:val="en-US" w:eastAsia="zh-CN"/>
              </w:rPr>
            </w:pPr>
            <w:r>
              <w:rPr>
                <w:rFonts w:hint="eastAsia" w:cs="宋体" w:asciiTheme="minorEastAsia" w:hAnsiTheme="minorEastAsia"/>
                <w:b w:val="0"/>
                <w:bCs w:val="0"/>
                <w:color w:val="auto"/>
                <w:sz w:val="22"/>
                <w:szCs w:val="22"/>
                <w:lang w:val="en-US" w:eastAsia="zh-CN"/>
              </w:rPr>
              <w:t>售后服务方案</w:t>
            </w:r>
            <w:r>
              <w:rPr>
                <w:rFonts w:hint="eastAsia" w:cs="宋体" w:asciiTheme="minorEastAsia" w:hAnsiTheme="minorEastAsia"/>
                <w:b w:val="0"/>
                <w:bCs w:val="0"/>
                <w:color w:val="auto"/>
                <w:sz w:val="22"/>
                <w:szCs w:val="22"/>
                <w:lang w:val="en-US" w:eastAsia="zh"/>
              </w:rPr>
              <w:t>：</w:t>
            </w:r>
            <w:r>
              <w:rPr>
                <w:rFonts w:hint="eastAsia" w:cs="宋体" w:asciiTheme="minorEastAsia" w:hAnsiTheme="minorEastAsia"/>
                <w:b w:val="0"/>
                <w:bCs w:val="0"/>
                <w:color w:val="auto"/>
                <w:sz w:val="22"/>
                <w:szCs w:val="22"/>
                <w:lang w:val="en-US" w:eastAsia="zh-CN"/>
              </w:rPr>
              <w:t>（1）服务期</w:t>
            </w:r>
            <w:r>
              <w:rPr>
                <w:rFonts w:hint="eastAsia" w:cs="宋体" w:asciiTheme="minorEastAsia" w:hAnsiTheme="minorEastAsia"/>
                <w:b w:val="0"/>
                <w:bCs w:val="0"/>
                <w:color w:val="auto"/>
                <w:sz w:val="22"/>
                <w:szCs w:val="22"/>
                <w:lang w:val="en-US" w:eastAsia="zh"/>
              </w:rPr>
              <w:t>出现产品质量问题有快速的故障跟踪受理机制、处理机制（可提供故障受理方案）</w:t>
            </w:r>
            <w:r>
              <w:rPr>
                <w:rFonts w:hint="eastAsia" w:cs="宋体" w:asciiTheme="minorEastAsia" w:hAnsiTheme="minorEastAsia"/>
                <w:b w:val="0"/>
                <w:bCs w:val="0"/>
                <w:color w:val="auto"/>
                <w:sz w:val="22"/>
                <w:szCs w:val="22"/>
                <w:lang w:val="en-US" w:eastAsia="zh-CN"/>
              </w:rPr>
              <w:t>；（2）</w:t>
            </w:r>
            <w:r>
              <w:rPr>
                <w:rFonts w:hint="eastAsia" w:cs="宋体" w:asciiTheme="minorEastAsia" w:hAnsiTheme="minorEastAsia"/>
                <w:b w:val="0"/>
                <w:bCs w:val="0"/>
                <w:color w:val="auto"/>
                <w:sz w:val="22"/>
                <w:szCs w:val="22"/>
                <w:lang w:val="en-US" w:eastAsia="zh"/>
              </w:rPr>
              <w:t>售后服务响应时效等服务方案。要求方案细致完整、针对性强、措施有力，方案的贯彻应能满足本项目各项服务要求</w:t>
            </w:r>
            <w:r>
              <w:rPr>
                <w:rFonts w:hint="eastAsia" w:cs="宋体" w:asciiTheme="minorEastAsia" w:hAnsiTheme="minorEastAsia"/>
                <w:b w:val="0"/>
                <w:bCs w:val="0"/>
                <w:color w:val="auto"/>
                <w:sz w:val="22"/>
                <w:szCs w:val="22"/>
                <w:lang w:val="en-US" w:eastAsia="zh-CN"/>
              </w:rPr>
              <w:t>。</w:t>
            </w:r>
            <w:r>
              <w:rPr>
                <w:rFonts w:hint="eastAsia" w:cs="宋体" w:asciiTheme="minorEastAsia" w:hAnsiTheme="minorEastAsia"/>
                <w:b w:val="0"/>
                <w:bCs w:val="0"/>
                <w:color w:val="auto"/>
                <w:sz w:val="22"/>
                <w:szCs w:val="22"/>
                <w:lang w:val="en-US" w:eastAsia="zh"/>
              </w:rPr>
              <w:t>方案内容描述全面</w:t>
            </w:r>
            <w:r>
              <w:rPr>
                <w:rFonts w:hint="eastAsia" w:asciiTheme="majorEastAsia" w:hAnsiTheme="majorEastAsia" w:eastAsiaTheme="majorEastAsia" w:cstheme="majorEastAsia"/>
                <w:b w:val="0"/>
                <w:bCs w:val="0"/>
                <w:color w:val="auto"/>
                <w:kern w:val="0"/>
                <w:sz w:val="22"/>
                <w:szCs w:val="22"/>
                <w:lang w:val="en-US" w:eastAsia="zh" w:bidi="ar-SA"/>
              </w:rPr>
              <w:t>全面</w:t>
            </w:r>
            <w:r>
              <w:rPr>
                <w:rFonts w:hint="eastAsia" w:eastAsia="宋体" w:asciiTheme="majorEastAsia" w:hAnsiTheme="majorEastAsia" w:cstheme="majorEastAsia"/>
                <w:b w:val="0"/>
                <w:bCs w:val="0"/>
                <w:color w:val="auto"/>
                <w:kern w:val="0"/>
                <w:sz w:val="22"/>
                <w:szCs w:val="22"/>
                <w:lang w:val="en-US" w:eastAsia="zh-CN" w:bidi="ar-SA"/>
              </w:rPr>
              <w:t>、满足</w:t>
            </w:r>
            <w:r>
              <w:rPr>
                <w:rFonts w:hint="eastAsia" w:cs="宋体" w:asciiTheme="minorEastAsia" w:hAnsiTheme="minorEastAsia"/>
                <w:b w:val="0"/>
                <w:bCs w:val="0"/>
                <w:color w:val="auto"/>
                <w:sz w:val="22"/>
                <w:szCs w:val="22"/>
                <w:lang w:val="en-US" w:eastAsia="zh"/>
              </w:rPr>
              <w:t>采购需求的得</w:t>
            </w:r>
            <w:r>
              <w:rPr>
                <w:rFonts w:hint="eastAsia" w:cs="宋体" w:asciiTheme="minorEastAsia" w:hAnsiTheme="minorEastAsia"/>
                <w:b w:val="0"/>
                <w:bCs w:val="0"/>
                <w:color w:val="auto"/>
                <w:sz w:val="22"/>
                <w:szCs w:val="22"/>
                <w:lang w:val="en-US" w:eastAsia="zh-CN"/>
              </w:rPr>
              <w:t>9</w:t>
            </w:r>
            <w:r>
              <w:rPr>
                <w:rFonts w:hint="eastAsia" w:cs="宋体" w:asciiTheme="minorEastAsia" w:hAnsiTheme="minorEastAsia"/>
                <w:b w:val="0"/>
                <w:bCs w:val="0"/>
                <w:color w:val="auto"/>
                <w:sz w:val="22"/>
                <w:szCs w:val="22"/>
                <w:lang w:val="en-US" w:eastAsia="zh"/>
              </w:rPr>
              <w:t>分，每有一项内容缺失的扣</w:t>
            </w:r>
            <w:r>
              <w:rPr>
                <w:rFonts w:hint="eastAsia" w:cs="宋体" w:asciiTheme="minorEastAsia" w:hAnsiTheme="minorEastAsia"/>
                <w:b w:val="0"/>
                <w:bCs w:val="0"/>
                <w:color w:val="auto"/>
                <w:sz w:val="22"/>
                <w:szCs w:val="22"/>
                <w:lang w:val="en-US" w:eastAsia="zh-CN"/>
              </w:rPr>
              <w:t>4.5</w:t>
            </w:r>
            <w:r>
              <w:rPr>
                <w:rFonts w:hint="eastAsia" w:cs="宋体" w:asciiTheme="minorEastAsia" w:hAnsiTheme="minorEastAsia"/>
                <w:b w:val="0"/>
                <w:bCs w:val="0"/>
                <w:color w:val="auto"/>
                <w:sz w:val="22"/>
                <w:szCs w:val="22"/>
                <w:lang w:val="en-US" w:eastAsia="zh"/>
              </w:rPr>
              <w:t>分;每有一处内容存在缺陷或不满足要求的扣</w:t>
            </w:r>
            <w:r>
              <w:rPr>
                <w:rFonts w:hint="eastAsia" w:cs="宋体" w:asciiTheme="minorEastAsia" w:hAnsiTheme="minorEastAsia"/>
                <w:b w:val="0"/>
                <w:bCs w:val="0"/>
                <w:color w:val="auto"/>
                <w:sz w:val="22"/>
                <w:szCs w:val="22"/>
                <w:lang w:val="en-US" w:eastAsia="zh-CN"/>
              </w:rPr>
              <w:t>0.5</w:t>
            </w:r>
            <w:r>
              <w:rPr>
                <w:rFonts w:hint="eastAsia" w:cs="宋体" w:asciiTheme="minorEastAsia" w:hAnsiTheme="minorEastAsia"/>
                <w:b w:val="0"/>
                <w:bCs w:val="0"/>
                <w:color w:val="auto"/>
                <w:sz w:val="22"/>
                <w:szCs w:val="22"/>
                <w:lang w:val="en-US" w:eastAsia="zh"/>
              </w:rPr>
              <w:t>分，扣完为止。(</w:t>
            </w:r>
            <w:r>
              <w:rPr>
                <w:rFonts w:hint="eastAsia" w:cs="宋体" w:asciiTheme="minorEastAsia" w:hAnsiTheme="minorEastAsia"/>
                <w:b w:val="0"/>
                <w:bCs w:val="0"/>
                <w:color w:val="auto"/>
                <w:sz w:val="22"/>
                <w:szCs w:val="22"/>
                <w:highlight w:val="none"/>
                <w:lang w:val="en-US" w:eastAsia="zh-CN"/>
              </w:rPr>
              <w:t>缺陷或不满足指存在以下任意一种情形：内容不全面、与实际需求不符、内容不清晰或交叉混乱、套用其他项目方案、存在规范性或常识性错误、存在逻辑漏洞、包含无关事项、凭空编造、存在不可能实现的夸大情形、</w:t>
            </w:r>
            <w:r>
              <w:rPr>
                <w:rFonts w:hint="eastAsia" w:cs="宋体" w:asciiTheme="minorEastAsia" w:hAnsiTheme="minorEastAsia"/>
                <w:b w:val="0"/>
                <w:bCs w:val="0"/>
                <w:color w:val="auto"/>
                <w:sz w:val="22"/>
                <w:szCs w:val="22"/>
                <w:highlight w:val="none"/>
                <w:lang w:val="zh-CN" w:eastAsia="zh-CN"/>
              </w:rPr>
              <w:t>表述前后不一致或内容矛盾，语句有歧义，仅有框架或标题等任意一种情形</w:t>
            </w:r>
            <w:r>
              <w:rPr>
                <w:rFonts w:hint="eastAsia" w:cs="宋体" w:asciiTheme="minorEastAsia" w:hAnsiTheme="minorEastAsia"/>
                <w:b w:val="0"/>
                <w:bCs w:val="0"/>
                <w:color w:val="auto"/>
                <w:sz w:val="22"/>
                <w:szCs w:val="22"/>
                <w:highlight w:val="none"/>
                <w:lang w:val="en-US" w:eastAsia="zh-CN"/>
              </w:rPr>
              <w:t>等</w:t>
            </w:r>
            <w:r>
              <w:rPr>
                <w:rFonts w:hint="eastAsia" w:cs="宋体" w:asciiTheme="minorEastAsia" w:hAnsiTheme="minorEastAsia"/>
                <w:b w:val="0"/>
                <w:bCs w:val="0"/>
                <w:color w:val="auto"/>
                <w:sz w:val="22"/>
                <w:szCs w:val="22"/>
                <w:lang w:val="en-US" w:eastAsia="zh"/>
              </w:rPr>
              <w:t>)</w:t>
            </w:r>
            <w:r>
              <w:rPr>
                <w:rFonts w:hint="eastAsia" w:cs="宋体" w:asciiTheme="minorEastAsia" w:hAnsiTheme="minorEastAsia"/>
                <w:b w:val="0"/>
                <w:bCs w:val="0"/>
                <w:color w:val="auto"/>
                <w:sz w:val="22"/>
                <w:szCs w:val="22"/>
                <w:lang w:val="en-US" w:eastAsia="zh-CN"/>
              </w:rPr>
              <w:t>，</w:t>
            </w:r>
            <w:r>
              <w:rPr>
                <w:rFonts w:hint="eastAsia" w:cs="宋体" w:asciiTheme="minorEastAsia" w:hAnsiTheme="minorEastAsia"/>
                <w:b w:val="0"/>
                <w:bCs w:val="0"/>
                <w:color w:val="auto"/>
                <w:sz w:val="22"/>
                <w:szCs w:val="22"/>
                <w:lang w:val="en-US" w:eastAsia="zh"/>
              </w:rPr>
              <w:t>未提供方案不得分。</w:t>
            </w:r>
          </w:p>
        </w:tc>
      </w:tr>
      <w:tr w14:paraId="06282D13">
        <w:tblPrEx>
          <w:tblCellMar>
            <w:top w:w="0" w:type="dxa"/>
            <w:left w:w="108" w:type="dxa"/>
            <w:bottom w:w="0" w:type="dxa"/>
            <w:right w:w="108" w:type="dxa"/>
          </w:tblCellMar>
        </w:tblPrEx>
        <w:trPr>
          <w:trHeight w:val="989" w:hRule="atLeast"/>
        </w:trPr>
        <w:tc>
          <w:tcPr>
            <w:tcW w:w="989" w:type="pct"/>
            <w:tcBorders>
              <w:top w:val="single" w:color="000000" w:sz="4" w:space="0"/>
              <w:left w:val="single" w:color="000000" w:sz="4" w:space="0"/>
              <w:bottom w:val="single" w:color="000000" w:sz="4" w:space="0"/>
              <w:right w:val="single" w:color="000000" w:sz="4" w:space="0"/>
            </w:tcBorders>
            <w:noWrap/>
            <w:vAlign w:val="center"/>
          </w:tcPr>
          <w:p w14:paraId="29699224">
            <w:pPr>
              <w:widowControl/>
              <w:jc w:val="center"/>
              <w:textAlignment w:val="center"/>
              <w:rPr>
                <w:rFonts w:hint="eastAsia" w:asciiTheme="majorEastAsia" w:hAnsiTheme="majorEastAsia" w:eastAsiaTheme="majorEastAsia" w:cstheme="majorEastAsia"/>
                <w:color w:val="auto"/>
                <w:sz w:val="22"/>
                <w:szCs w:val="22"/>
                <w:lang w:bidi="ar"/>
              </w:rPr>
            </w:pPr>
            <w:r>
              <w:rPr>
                <w:rFonts w:hint="eastAsia" w:asciiTheme="majorEastAsia" w:hAnsiTheme="majorEastAsia" w:eastAsiaTheme="majorEastAsia" w:cstheme="majorEastAsia"/>
                <w:color w:val="auto"/>
                <w:sz w:val="22"/>
                <w:szCs w:val="22"/>
                <w:lang w:bidi="ar"/>
              </w:rPr>
              <w:t>培训服务方案（</w:t>
            </w:r>
            <w:r>
              <w:rPr>
                <w:rFonts w:hint="eastAsia" w:eastAsia="宋体" w:asciiTheme="majorEastAsia" w:hAnsiTheme="majorEastAsia" w:cstheme="majorEastAsia"/>
                <w:color w:val="auto"/>
                <w:sz w:val="22"/>
                <w:szCs w:val="22"/>
                <w:lang w:val="en-US" w:eastAsia="zh-CN" w:bidi="ar"/>
              </w:rPr>
              <w:t>6</w:t>
            </w:r>
            <w:r>
              <w:rPr>
                <w:rFonts w:hint="eastAsia" w:asciiTheme="majorEastAsia" w:hAnsiTheme="majorEastAsia" w:eastAsiaTheme="majorEastAsia" w:cstheme="majorEastAsia"/>
                <w:color w:val="auto"/>
                <w:sz w:val="22"/>
                <w:szCs w:val="22"/>
                <w:lang w:bidi="ar"/>
              </w:rPr>
              <w:t>分）</w:t>
            </w:r>
          </w:p>
        </w:tc>
        <w:tc>
          <w:tcPr>
            <w:tcW w:w="4010" w:type="pct"/>
            <w:tcBorders>
              <w:top w:val="single" w:color="000000" w:sz="4" w:space="0"/>
              <w:left w:val="single" w:color="000000" w:sz="4" w:space="0"/>
              <w:bottom w:val="single" w:color="000000" w:sz="4" w:space="0"/>
              <w:right w:val="single" w:color="000000" w:sz="4" w:space="0"/>
            </w:tcBorders>
            <w:vAlign w:val="center"/>
          </w:tcPr>
          <w:p w14:paraId="7073215E">
            <w:pPr>
              <w:pStyle w:val="4"/>
              <w:keepNext/>
              <w:keepLines/>
              <w:pageBreakBefore w:val="0"/>
              <w:widowControl w:val="0"/>
              <w:kinsoku/>
              <w:wordWrap/>
              <w:overflowPunct/>
              <w:topLinePunct w:val="0"/>
              <w:autoSpaceDE/>
              <w:autoSpaceDN/>
              <w:bidi w:val="0"/>
              <w:adjustRightInd/>
              <w:snapToGrid/>
              <w:spacing w:before="0" w:after="0" w:line="400" w:lineRule="exact"/>
              <w:textAlignment w:val="auto"/>
              <w:rPr>
                <w:rFonts w:hint="eastAsia" w:cs="宋体" w:asciiTheme="minorEastAsia" w:hAnsiTheme="minorEastAsia"/>
                <w:b w:val="0"/>
                <w:bCs w:val="0"/>
                <w:color w:val="auto"/>
                <w:sz w:val="22"/>
                <w:szCs w:val="22"/>
                <w:lang w:val="en-US" w:eastAsia="zh"/>
              </w:rPr>
            </w:pPr>
            <w:r>
              <w:rPr>
                <w:rFonts w:hint="eastAsia" w:cs="宋体" w:asciiTheme="minorEastAsia" w:hAnsiTheme="minorEastAsia"/>
                <w:b w:val="0"/>
                <w:bCs w:val="0"/>
                <w:color w:val="auto"/>
                <w:sz w:val="22"/>
                <w:szCs w:val="22"/>
                <w:lang w:val="en-US" w:eastAsia="zh"/>
              </w:rPr>
              <w:t>投标人提供的培训服务包括但不限于（1）培训内容</w:t>
            </w:r>
            <w:r>
              <w:rPr>
                <w:rFonts w:hint="eastAsia" w:cs="宋体" w:asciiTheme="minorEastAsia" w:hAnsiTheme="minorEastAsia"/>
                <w:b w:val="0"/>
                <w:bCs w:val="0"/>
                <w:color w:val="auto"/>
                <w:sz w:val="22"/>
                <w:szCs w:val="22"/>
                <w:lang w:val="en-US" w:eastAsia="zh-CN"/>
              </w:rPr>
              <w:t>（包括理论、实操培训、现场答疑等）</w:t>
            </w:r>
            <w:r>
              <w:rPr>
                <w:rFonts w:hint="eastAsia" w:cs="宋体" w:asciiTheme="minorEastAsia" w:hAnsiTheme="minorEastAsia"/>
                <w:b w:val="0"/>
                <w:bCs w:val="0"/>
                <w:color w:val="auto"/>
                <w:sz w:val="22"/>
                <w:szCs w:val="22"/>
                <w:lang w:val="en-US" w:eastAsia="zh"/>
              </w:rPr>
              <w:t>；（2）</w:t>
            </w:r>
            <w:r>
              <w:rPr>
                <w:rFonts w:hint="eastAsia" w:cs="宋体" w:asciiTheme="minorEastAsia" w:hAnsiTheme="minorEastAsia"/>
                <w:b w:val="0"/>
                <w:bCs w:val="0"/>
                <w:color w:val="auto"/>
                <w:sz w:val="22"/>
                <w:szCs w:val="22"/>
                <w:lang w:val="en-US" w:eastAsia="zh-CN"/>
              </w:rPr>
              <w:t>技术咨询服务，针对系统升级、人员变动等情况，及时提供对应的培训支持</w:t>
            </w:r>
            <w:r>
              <w:rPr>
                <w:rFonts w:hint="eastAsia" w:cs="宋体" w:asciiTheme="minorEastAsia" w:hAnsiTheme="minorEastAsia"/>
                <w:b w:val="0"/>
                <w:bCs w:val="0"/>
                <w:color w:val="auto"/>
                <w:sz w:val="22"/>
                <w:szCs w:val="22"/>
                <w:lang w:val="en-US" w:eastAsia="zh"/>
              </w:rPr>
              <w:t>；（3）培训师资</w:t>
            </w:r>
            <w:r>
              <w:rPr>
                <w:rFonts w:hint="eastAsia" w:cs="宋体" w:asciiTheme="minorEastAsia" w:hAnsiTheme="minorEastAsia"/>
                <w:b w:val="0"/>
                <w:bCs w:val="0"/>
                <w:color w:val="auto"/>
                <w:sz w:val="22"/>
                <w:szCs w:val="22"/>
                <w:lang w:val="en-US" w:eastAsia="zh-CN"/>
              </w:rPr>
              <w:t>配置、</w:t>
            </w:r>
            <w:r>
              <w:rPr>
                <w:rFonts w:hint="eastAsia" w:cs="宋体" w:asciiTheme="minorEastAsia" w:hAnsiTheme="minorEastAsia"/>
                <w:b w:val="0"/>
                <w:bCs w:val="0"/>
                <w:color w:val="auto"/>
                <w:sz w:val="22"/>
                <w:szCs w:val="22"/>
                <w:lang w:val="en-US" w:eastAsia="zh"/>
              </w:rPr>
              <w:t>时间</w:t>
            </w:r>
            <w:r>
              <w:rPr>
                <w:rFonts w:hint="eastAsia" w:cs="宋体" w:asciiTheme="minorEastAsia" w:hAnsiTheme="minorEastAsia"/>
                <w:b w:val="0"/>
                <w:bCs w:val="0"/>
                <w:color w:val="auto"/>
                <w:sz w:val="22"/>
                <w:szCs w:val="22"/>
                <w:lang w:val="en-US" w:eastAsia="zh-CN"/>
              </w:rPr>
              <w:t>（包括讲师配置、授课形式、培训天数、培训日程等）</w:t>
            </w:r>
            <w:r>
              <w:rPr>
                <w:rFonts w:hint="eastAsia" w:cs="宋体" w:asciiTheme="minorEastAsia" w:hAnsiTheme="minorEastAsia"/>
                <w:b w:val="0"/>
                <w:bCs w:val="0"/>
                <w:color w:val="auto"/>
                <w:sz w:val="22"/>
                <w:szCs w:val="22"/>
                <w:lang w:val="en-US" w:eastAsia="zh"/>
              </w:rPr>
              <w:t>。对投标人提供的</w:t>
            </w:r>
            <w:r>
              <w:rPr>
                <w:rFonts w:hint="eastAsia" w:cs="宋体" w:asciiTheme="minorEastAsia" w:hAnsiTheme="minorEastAsia"/>
                <w:b w:val="0"/>
                <w:bCs w:val="0"/>
                <w:color w:val="auto"/>
                <w:sz w:val="22"/>
                <w:szCs w:val="22"/>
                <w:lang w:val="en-US" w:eastAsia="zh-CN"/>
              </w:rPr>
              <w:t>方案</w:t>
            </w:r>
            <w:r>
              <w:rPr>
                <w:rFonts w:hint="eastAsia" w:cs="宋体" w:asciiTheme="minorEastAsia" w:hAnsiTheme="minorEastAsia"/>
                <w:b w:val="0"/>
                <w:bCs w:val="0"/>
                <w:color w:val="auto"/>
                <w:sz w:val="22"/>
                <w:szCs w:val="22"/>
                <w:lang w:val="en-US" w:eastAsia="zh"/>
              </w:rPr>
              <w:t>是否细致完整、措施有力，方案的贯彻应能满足本项目各项要求。方案内容描述全面</w:t>
            </w:r>
            <w:r>
              <w:rPr>
                <w:rFonts w:hint="eastAsia" w:eastAsia="宋体" w:asciiTheme="majorEastAsia" w:hAnsiTheme="majorEastAsia" w:cstheme="majorEastAsia"/>
                <w:b w:val="0"/>
                <w:bCs w:val="0"/>
                <w:color w:val="auto"/>
                <w:kern w:val="0"/>
                <w:sz w:val="22"/>
                <w:szCs w:val="22"/>
                <w:lang w:val="en-US" w:eastAsia="zh-CN" w:bidi="ar-SA"/>
              </w:rPr>
              <w:t>、满足</w:t>
            </w:r>
            <w:r>
              <w:rPr>
                <w:rFonts w:hint="eastAsia" w:cs="宋体" w:asciiTheme="minorEastAsia" w:hAnsiTheme="minorEastAsia"/>
                <w:b w:val="0"/>
                <w:bCs w:val="0"/>
                <w:color w:val="auto"/>
                <w:sz w:val="22"/>
                <w:szCs w:val="22"/>
                <w:lang w:val="en-US" w:eastAsia="zh"/>
              </w:rPr>
              <w:t>采购需求的得</w:t>
            </w:r>
            <w:r>
              <w:rPr>
                <w:rFonts w:hint="eastAsia" w:cs="宋体" w:asciiTheme="minorEastAsia" w:hAnsiTheme="minorEastAsia"/>
                <w:b w:val="0"/>
                <w:bCs w:val="0"/>
                <w:color w:val="auto"/>
                <w:sz w:val="22"/>
                <w:szCs w:val="22"/>
                <w:lang w:val="en-US" w:eastAsia="zh-CN"/>
              </w:rPr>
              <w:t>6</w:t>
            </w:r>
            <w:r>
              <w:rPr>
                <w:rFonts w:hint="eastAsia" w:cs="宋体" w:asciiTheme="minorEastAsia" w:hAnsiTheme="minorEastAsia"/>
                <w:b w:val="0"/>
                <w:bCs w:val="0"/>
                <w:color w:val="auto"/>
                <w:sz w:val="22"/>
                <w:szCs w:val="22"/>
                <w:lang w:val="en-US" w:eastAsia="zh"/>
              </w:rPr>
              <w:t>分，每有一项内容缺失的扣</w:t>
            </w:r>
            <w:r>
              <w:rPr>
                <w:rFonts w:hint="eastAsia" w:cs="宋体" w:asciiTheme="minorEastAsia" w:hAnsiTheme="minorEastAsia"/>
                <w:b w:val="0"/>
                <w:bCs w:val="0"/>
                <w:color w:val="auto"/>
                <w:sz w:val="22"/>
                <w:szCs w:val="22"/>
                <w:lang w:val="en-US" w:eastAsia="zh-CN"/>
              </w:rPr>
              <w:t>2</w:t>
            </w:r>
            <w:r>
              <w:rPr>
                <w:rFonts w:hint="eastAsia" w:cs="宋体" w:asciiTheme="minorEastAsia" w:hAnsiTheme="minorEastAsia"/>
                <w:b w:val="0"/>
                <w:bCs w:val="0"/>
                <w:color w:val="auto"/>
                <w:sz w:val="22"/>
                <w:szCs w:val="22"/>
                <w:lang w:val="en-US" w:eastAsia="zh"/>
              </w:rPr>
              <w:t>分;每有一处内容存在缺陷或不满足要求的扣</w:t>
            </w:r>
            <w:r>
              <w:rPr>
                <w:rFonts w:hint="eastAsia" w:cs="宋体" w:asciiTheme="minorEastAsia" w:hAnsiTheme="minorEastAsia"/>
                <w:b w:val="0"/>
                <w:bCs w:val="0"/>
                <w:color w:val="auto"/>
                <w:sz w:val="22"/>
                <w:szCs w:val="22"/>
                <w:lang w:val="en-US" w:eastAsia="zh-CN"/>
              </w:rPr>
              <w:t>0.5</w:t>
            </w:r>
            <w:r>
              <w:rPr>
                <w:rFonts w:hint="eastAsia" w:cs="宋体" w:asciiTheme="minorEastAsia" w:hAnsiTheme="minorEastAsia"/>
                <w:b w:val="0"/>
                <w:bCs w:val="0"/>
                <w:color w:val="auto"/>
                <w:sz w:val="22"/>
                <w:szCs w:val="22"/>
                <w:lang w:val="en-US" w:eastAsia="zh"/>
              </w:rPr>
              <w:t>分，扣完为止。(</w:t>
            </w:r>
            <w:r>
              <w:rPr>
                <w:rFonts w:hint="eastAsia" w:cs="宋体" w:asciiTheme="minorEastAsia" w:hAnsiTheme="minorEastAsia"/>
                <w:b w:val="0"/>
                <w:bCs w:val="0"/>
                <w:color w:val="auto"/>
                <w:sz w:val="22"/>
                <w:szCs w:val="22"/>
                <w:highlight w:val="none"/>
                <w:lang w:val="en-US" w:eastAsia="zh-CN"/>
              </w:rPr>
              <w:t>缺陷或不满足指存在以下任意一种情形：内容不全面、与实际需求不符、内容不清晰或交叉混乱、套用其他项目方案、存在规范性或常识性错误、存在逻辑漏洞、包含无关事项、凭空编造、存在不可能实现的夸大情形、</w:t>
            </w:r>
            <w:r>
              <w:rPr>
                <w:rFonts w:hint="eastAsia" w:cs="宋体" w:asciiTheme="minorEastAsia" w:hAnsiTheme="minorEastAsia"/>
                <w:b w:val="0"/>
                <w:bCs w:val="0"/>
                <w:color w:val="auto"/>
                <w:sz w:val="22"/>
                <w:szCs w:val="22"/>
                <w:highlight w:val="none"/>
                <w:lang w:val="zh-CN" w:eastAsia="zh-CN"/>
              </w:rPr>
              <w:t>表述前后不一致或内容矛盾，语句有歧义，仅有框架或标题等任意一种情形</w:t>
            </w:r>
            <w:r>
              <w:rPr>
                <w:rFonts w:hint="eastAsia" w:cs="宋体" w:asciiTheme="minorEastAsia" w:hAnsiTheme="minorEastAsia"/>
                <w:b w:val="0"/>
                <w:bCs w:val="0"/>
                <w:color w:val="auto"/>
                <w:sz w:val="22"/>
                <w:szCs w:val="22"/>
                <w:highlight w:val="none"/>
                <w:lang w:val="en-US" w:eastAsia="zh-CN"/>
              </w:rPr>
              <w:t>等</w:t>
            </w:r>
            <w:r>
              <w:rPr>
                <w:rFonts w:hint="eastAsia" w:cs="宋体" w:asciiTheme="minorEastAsia" w:hAnsiTheme="minorEastAsia"/>
                <w:b w:val="0"/>
                <w:bCs w:val="0"/>
                <w:color w:val="auto"/>
                <w:sz w:val="22"/>
                <w:szCs w:val="22"/>
                <w:lang w:val="en-US" w:eastAsia="zh"/>
              </w:rPr>
              <w:t>)</w:t>
            </w:r>
            <w:r>
              <w:rPr>
                <w:rFonts w:hint="eastAsia" w:cs="宋体" w:asciiTheme="minorEastAsia" w:hAnsiTheme="minorEastAsia"/>
                <w:b w:val="0"/>
                <w:bCs w:val="0"/>
                <w:color w:val="auto"/>
                <w:sz w:val="22"/>
                <w:szCs w:val="22"/>
                <w:lang w:val="en-US" w:eastAsia="zh-CN"/>
              </w:rPr>
              <w:t>，</w:t>
            </w:r>
            <w:r>
              <w:rPr>
                <w:rFonts w:hint="eastAsia" w:cs="宋体" w:asciiTheme="minorEastAsia" w:hAnsiTheme="minorEastAsia"/>
                <w:b w:val="0"/>
                <w:bCs w:val="0"/>
                <w:color w:val="auto"/>
                <w:sz w:val="22"/>
                <w:szCs w:val="22"/>
                <w:lang w:val="en-US" w:eastAsia="zh"/>
              </w:rPr>
              <w:t>未提供方案不得分。</w:t>
            </w:r>
          </w:p>
        </w:tc>
      </w:tr>
      <w:tr w14:paraId="703E1F21">
        <w:tblPrEx>
          <w:tblCellMar>
            <w:top w:w="0" w:type="dxa"/>
            <w:left w:w="108" w:type="dxa"/>
            <w:bottom w:w="0" w:type="dxa"/>
            <w:right w:w="108" w:type="dxa"/>
          </w:tblCellMar>
        </w:tblPrEx>
        <w:trPr>
          <w:trHeight w:val="1577" w:hRule="atLeast"/>
        </w:trPr>
        <w:tc>
          <w:tcPr>
            <w:tcW w:w="989" w:type="pct"/>
            <w:tcBorders>
              <w:top w:val="single" w:color="000000" w:sz="4" w:space="0"/>
              <w:left w:val="single" w:color="000000" w:sz="4" w:space="0"/>
              <w:bottom w:val="single" w:color="000000" w:sz="4" w:space="0"/>
              <w:right w:val="single" w:color="000000" w:sz="4" w:space="0"/>
            </w:tcBorders>
            <w:noWrap/>
            <w:vAlign w:val="center"/>
          </w:tcPr>
          <w:p w14:paraId="2CFFC24F">
            <w:pPr>
              <w:pStyle w:val="203"/>
              <w:widowControl/>
              <w:spacing w:line="380" w:lineRule="exact"/>
              <w:ind w:firstLine="0"/>
              <w:jc w:val="center"/>
              <w:rPr>
                <w:rFonts w:hint="eastAsia" w:asciiTheme="majorEastAsia" w:hAnsiTheme="majorEastAsia" w:eastAsiaTheme="majorEastAsia" w:cstheme="majorEastAsia"/>
                <w:color w:val="auto"/>
                <w:sz w:val="22"/>
                <w:szCs w:val="22"/>
                <w:lang w:bidi="ar"/>
              </w:rPr>
            </w:pPr>
            <w:r>
              <w:rPr>
                <w:rFonts w:hint="eastAsia" w:asciiTheme="majorEastAsia" w:hAnsiTheme="majorEastAsia" w:eastAsiaTheme="majorEastAsia" w:cstheme="majorEastAsia"/>
                <w:color w:val="auto"/>
                <w:sz w:val="22"/>
                <w:szCs w:val="22"/>
                <w:lang w:bidi="ar"/>
              </w:rPr>
              <w:t>案例业绩</w:t>
            </w:r>
          </w:p>
          <w:p w14:paraId="158B7016">
            <w:pPr>
              <w:pStyle w:val="203"/>
              <w:widowControl/>
              <w:spacing w:line="380" w:lineRule="exact"/>
              <w:ind w:firstLine="0"/>
              <w:jc w:val="center"/>
              <w:rPr>
                <w:rFonts w:hint="eastAsia" w:asciiTheme="majorEastAsia" w:hAnsiTheme="majorEastAsia" w:eastAsiaTheme="majorEastAsia" w:cstheme="majorEastAsia"/>
                <w:color w:val="auto"/>
                <w:sz w:val="22"/>
                <w:szCs w:val="22"/>
                <w:lang w:bidi="ar"/>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分）</w:t>
            </w:r>
          </w:p>
        </w:tc>
        <w:tc>
          <w:tcPr>
            <w:tcW w:w="4010" w:type="pct"/>
            <w:tcBorders>
              <w:top w:val="single" w:color="000000" w:sz="4" w:space="0"/>
              <w:left w:val="single" w:color="000000" w:sz="4" w:space="0"/>
              <w:bottom w:val="single" w:color="000000" w:sz="4" w:space="0"/>
              <w:right w:val="single" w:color="000000" w:sz="4" w:space="0"/>
            </w:tcBorders>
            <w:vAlign w:val="center"/>
          </w:tcPr>
          <w:p w14:paraId="2FD6619D">
            <w:pPr>
              <w:pStyle w:val="30"/>
              <w:spacing w:before="120" w:beforeAutospacing="0" w:after="120" w:afterAutospacing="0" w:line="360" w:lineRule="auto"/>
              <w:ind w:firstLine="440" w:firstLineChars="200"/>
              <w:rPr>
                <w:rFonts w:hint="eastAsia" w:asciiTheme="majorEastAsia" w:hAnsiTheme="majorEastAsia" w:eastAsiaTheme="majorEastAsia" w:cstheme="majorEastAsia"/>
                <w:color w:val="auto"/>
                <w:sz w:val="22"/>
                <w:szCs w:val="22"/>
                <w:lang w:val="en-US" w:eastAsia="zh" w:bidi="ar"/>
              </w:rPr>
            </w:pPr>
            <w:r>
              <w:rPr>
                <w:rFonts w:hint="eastAsia" w:asciiTheme="majorEastAsia" w:hAnsiTheme="majorEastAsia" w:eastAsiaTheme="majorEastAsia" w:cstheme="majorEastAsia"/>
                <w:color w:val="auto"/>
                <w:sz w:val="22"/>
                <w:szCs w:val="22"/>
                <w:lang w:val="en-US" w:eastAsia="zh" w:bidi="ar"/>
              </w:rPr>
              <w:t>投标人具有自2023年1月1日以来（以签订合同时间为准）</w:t>
            </w:r>
            <w:r>
              <w:rPr>
                <w:rFonts w:hint="eastAsia" w:asciiTheme="majorEastAsia" w:hAnsiTheme="majorEastAsia" w:eastAsiaTheme="majorEastAsia" w:cstheme="majorEastAsia"/>
                <w:color w:val="auto"/>
                <w:sz w:val="22"/>
                <w:szCs w:val="22"/>
                <w:lang w:val="en-US" w:eastAsia="zh-CN" w:bidi="ar"/>
              </w:rPr>
              <w:t>承担过</w:t>
            </w:r>
            <w:r>
              <w:rPr>
                <w:rFonts w:hint="eastAsia" w:asciiTheme="majorEastAsia" w:hAnsiTheme="majorEastAsia" w:eastAsiaTheme="majorEastAsia" w:cstheme="majorEastAsia"/>
                <w:color w:val="auto"/>
                <w:sz w:val="22"/>
                <w:szCs w:val="22"/>
                <w:highlight w:val="none"/>
                <w:lang w:val="en-US" w:eastAsia="zh" w:bidi="ar"/>
              </w:rPr>
              <w:t>周界防范报警系统</w:t>
            </w:r>
            <w:r>
              <w:rPr>
                <w:rFonts w:hint="eastAsia" w:asciiTheme="majorEastAsia" w:hAnsiTheme="majorEastAsia" w:eastAsiaTheme="majorEastAsia" w:cstheme="majorEastAsia"/>
                <w:color w:val="auto"/>
                <w:sz w:val="22"/>
                <w:szCs w:val="22"/>
                <w:highlight w:val="none"/>
                <w:lang w:val="en-US" w:eastAsia="zh-CN" w:bidi="ar"/>
              </w:rPr>
              <w:t>项目的</w:t>
            </w:r>
            <w:r>
              <w:rPr>
                <w:rFonts w:hint="eastAsia" w:asciiTheme="majorEastAsia" w:hAnsiTheme="majorEastAsia" w:eastAsiaTheme="majorEastAsia" w:cstheme="majorEastAsia"/>
                <w:color w:val="auto"/>
                <w:sz w:val="22"/>
                <w:szCs w:val="22"/>
                <w:highlight w:val="none"/>
                <w:lang w:val="en-US" w:eastAsia="zh" w:bidi="ar"/>
              </w:rPr>
              <w:t>类</w:t>
            </w:r>
            <w:r>
              <w:rPr>
                <w:rFonts w:hint="eastAsia" w:asciiTheme="majorEastAsia" w:hAnsiTheme="majorEastAsia" w:eastAsiaTheme="majorEastAsia" w:cstheme="majorEastAsia"/>
                <w:color w:val="auto"/>
                <w:sz w:val="22"/>
                <w:szCs w:val="22"/>
                <w:lang w:val="en-US" w:eastAsia="zh" w:bidi="ar"/>
              </w:rPr>
              <w:t>似业绩的，每提供一例得2</w:t>
            </w:r>
            <w:r>
              <w:rPr>
                <w:rFonts w:hint="eastAsia" w:eastAsia="宋体" w:asciiTheme="majorEastAsia" w:hAnsiTheme="majorEastAsia" w:cstheme="majorEastAsia"/>
                <w:color w:val="auto"/>
                <w:sz w:val="22"/>
                <w:szCs w:val="22"/>
                <w:lang w:val="en-US" w:eastAsia="zh-CN" w:bidi="ar"/>
              </w:rPr>
              <w:t>.5</w:t>
            </w:r>
            <w:r>
              <w:rPr>
                <w:rFonts w:hint="eastAsia" w:asciiTheme="majorEastAsia" w:hAnsiTheme="majorEastAsia" w:eastAsiaTheme="majorEastAsia" w:cstheme="majorEastAsia"/>
                <w:color w:val="auto"/>
                <w:sz w:val="22"/>
                <w:szCs w:val="22"/>
                <w:lang w:val="en-US" w:eastAsia="zh" w:bidi="ar"/>
              </w:rPr>
              <w:t>分，最高得</w:t>
            </w:r>
            <w:r>
              <w:rPr>
                <w:rFonts w:hint="eastAsia" w:eastAsia="宋体" w:asciiTheme="majorEastAsia" w:hAnsiTheme="majorEastAsia" w:cstheme="majorEastAsia"/>
                <w:color w:val="auto"/>
                <w:sz w:val="22"/>
                <w:szCs w:val="22"/>
                <w:lang w:val="en-US" w:eastAsia="zh-CN" w:bidi="ar"/>
              </w:rPr>
              <w:t>5</w:t>
            </w:r>
            <w:r>
              <w:rPr>
                <w:rFonts w:hint="eastAsia" w:asciiTheme="majorEastAsia" w:hAnsiTheme="majorEastAsia" w:eastAsiaTheme="majorEastAsia" w:cstheme="majorEastAsia"/>
                <w:color w:val="auto"/>
                <w:sz w:val="22"/>
                <w:szCs w:val="22"/>
                <w:lang w:val="en-US" w:eastAsia="zh" w:bidi="ar"/>
              </w:rPr>
              <w:t>分。</w:t>
            </w:r>
          </w:p>
          <w:p w14:paraId="4C33CC60">
            <w:pPr>
              <w:pStyle w:val="30"/>
              <w:spacing w:before="120" w:beforeAutospacing="0" w:after="120" w:afterAutospacing="0" w:line="360" w:lineRule="auto"/>
              <w:ind w:firstLine="440" w:firstLineChars="200"/>
              <w:rPr>
                <w:rFonts w:hint="eastAsia" w:asciiTheme="majorEastAsia" w:hAnsiTheme="majorEastAsia" w:eastAsiaTheme="majorEastAsia" w:cstheme="majorEastAsia"/>
                <w:color w:val="auto"/>
                <w:sz w:val="22"/>
                <w:szCs w:val="22"/>
                <w:lang w:bidi="ar"/>
              </w:rPr>
            </w:pPr>
            <w:r>
              <w:rPr>
                <w:rFonts w:hint="eastAsia" w:asciiTheme="majorEastAsia" w:hAnsiTheme="majorEastAsia" w:eastAsiaTheme="majorEastAsia" w:cstheme="majorEastAsia"/>
                <w:color w:val="auto"/>
                <w:sz w:val="22"/>
                <w:szCs w:val="22"/>
                <w:lang w:val="en-US" w:eastAsia="zh" w:bidi="ar"/>
              </w:rPr>
              <w:t xml:space="preserve">注：业绩材料须包含合同彩色扫描件、验收证明彩色扫描件，加盖投标人公章，提供不全或未加盖投标人公章的不得分。  </w:t>
            </w:r>
          </w:p>
        </w:tc>
      </w:tr>
    </w:tbl>
    <w:p w14:paraId="1AE68416">
      <w:pPr>
        <w:keepNext w:val="0"/>
        <w:keepLines w:val="0"/>
        <w:pageBreakBefore w:val="0"/>
        <w:widowControl/>
        <w:kinsoku/>
        <w:wordWrap/>
        <w:overflowPunct/>
        <w:topLinePunct w:val="0"/>
        <w:autoSpaceDE/>
        <w:autoSpaceDN/>
        <w:bidi w:val="0"/>
        <w:adjustRightInd/>
        <w:snapToGrid/>
        <w:spacing w:line="340" w:lineRule="exact"/>
        <w:ind w:firstLine="422" w:firstLineChars="200"/>
        <w:textAlignment w:val="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注：投标文件评分标准材料要求：投标人提供</w:t>
      </w:r>
      <w:r>
        <w:rPr>
          <w:rFonts w:hint="eastAsia" w:ascii="宋体" w:hAnsi="宋体" w:eastAsia="宋体" w:cs="宋体"/>
          <w:b/>
          <w:bCs/>
          <w:color w:val="FF0000"/>
          <w:sz w:val="21"/>
          <w:szCs w:val="21"/>
          <w:highlight w:val="none"/>
          <w:lang w:val="en-US" w:eastAsia="zh-CN"/>
        </w:rPr>
        <w:t>的</w:t>
      </w:r>
      <w:r>
        <w:rPr>
          <w:rFonts w:hint="eastAsia" w:ascii="宋体" w:hAnsi="宋体" w:eastAsia="宋体" w:cs="宋体"/>
          <w:b/>
          <w:bCs/>
          <w:color w:val="FF0000"/>
          <w:sz w:val="21"/>
          <w:szCs w:val="21"/>
          <w:highlight w:val="none"/>
        </w:rPr>
        <w:t>证明材料需彩色扫描件加盖投标人红色公章（如原件是彩色件，则扫描件须是彩色）相应所要求的红章可为电子章。否则不能得分。招标人有权在中标公示期间内（中标公示或质疑期间及其他采购人明确要求的时间内）对中标人提供的与本评分办法相关的材料或</w:t>
      </w:r>
      <w:r>
        <w:rPr>
          <w:rFonts w:hint="eastAsia" w:ascii="宋体" w:hAnsi="宋体" w:eastAsia="宋体" w:cs="宋体"/>
          <w:b/>
          <w:bCs/>
          <w:color w:val="FF0000"/>
          <w:sz w:val="21"/>
          <w:szCs w:val="21"/>
          <w:highlight w:val="none"/>
          <w:lang w:val="en-US" w:eastAsia="zh-CN"/>
        </w:rPr>
        <w:t>采购需求</w:t>
      </w:r>
      <w:r>
        <w:rPr>
          <w:rFonts w:hint="eastAsia" w:ascii="宋体" w:hAnsi="宋体" w:eastAsia="宋体" w:cs="宋体"/>
          <w:b/>
          <w:bCs/>
          <w:color w:val="FF0000"/>
          <w:sz w:val="21"/>
          <w:szCs w:val="21"/>
          <w:highlight w:val="none"/>
        </w:rPr>
        <w:t>响应等评分依据（原件）的真实性进行复查，如未在采购人规定的时间内提交，采购人有权根据政府采购法律法规处理。如发现有通过提供虚假证明材料或响应获得分值，将取消中标资格。</w:t>
      </w:r>
    </w:p>
    <w:p w14:paraId="78BED8C4">
      <w:pPr>
        <w:keepNext w:val="0"/>
        <w:keepLines w:val="0"/>
        <w:pageBreakBefore w:val="0"/>
        <w:widowControl/>
        <w:kinsoku/>
        <w:wordWrap/>
        <w:overflowPunct/>
        <w:topLinePunct w:val="0"/>
        <w:autoSpaceDE/>
        <w:autoSpaceDN/>
        <w:bidi w:val="0"/>
        <w:adjustRightInd/>
        <w:snapToGrid/>
        <w:spacing w:line="340" w:lineRule="exact"/>
        <w:ind w:left="0" w:leftChars="0"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rPr>
        <w:t>特别说明：</w:t>
      </w:r>
    </w:p>
    <w:p w14:paraId="6241F796">
      <w:pPr>
        <w:keepNext w:val="0"/>
        <w:keepLines w:val="0"/>
        <w:pageBreakBefore w:val="0"/>
        <w:widowControl/>
        <w:kinsoku/>
        <w:wordWrap/>
        <w:overflowPunct/>
        <w:topLinePunct w:val="0"/>
        <w:autoSpaceDE/>
        <w:autoSpaceDN/>
        <w:bidi w:val="0"/>
        <w:adjustRightInd/>
        <w:snapToGrid/>
        <w:spacing w:line="340" w:lineRule="exact"/>
        <w:ind w:left="0"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rPr>
        <w:t>、证书正在进行年检无法提供证明材料的，应提供相关行政主管部门的受理意见证明、相应官方网站查询结果等相关的有效证明材料。</w:t>
      </w:r>
    </w:p>
    <w:p w14:paraId="137EC114">
      <w:pPr>
        <w:keepNext w:val="0"/>
        <w:keepLines w:val="0"/>
        <w:pageBreakBefore w:val="0"/>
        <w:widowControl/>
        <w:kinsoku/>
        <w:wordWrap/>
        <w:overflowPunct/>
        <w:topLinePunct w:val="0"/>
        <w:autoSpaceDE/>
        <w:autoSpaceDN/>
        <w:bidi w:val="0"/>
        <w:adjustRightInd/>
        <w:snapToGrid/>
        <w:spacing w:line="340" w:lineRule="exact"/>
        <w:ind w:left="0"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w:t>
      </w:r>
      <w:r>
        <w:rPr>
          <w:rFonts w:hint="eastAsia" w:ascii="宋体" w:hAnsi="宋体" w:eastAsia="宋体" w:cs="宋体"/>
          <w:b w:val="0"/>
          <w:bCs w:val="0"/>
          <w:sz w:val="21"/>
          <w:szCs w:val="21"/>
        </w:rPr>
        <w:t>、评分标准中涉及的证书等证明材料应在有效期内，且在招标文件上网前取得。</w:t>
      </w:r>
    </w:p>
    <w:p w14:paraId="0F4F9DE7">
      <w:pPr>
        <w:pStyle w:val="30"/>
        <w:spacing w:before="120" w:beforeAutospacing="0" w:after="120" w:afterAutospacing="0" w:line="0" w:lineRule="atLeast"/>
        <w:ind w:firstLine="482"/>
        <w:rPr>
          <w:rFonts w:hint="eastAsia" w:ascii="宋体" w:hAnsi="宋体" w:eastAsia="宋体" w:cs="宋体"/>
          <w:b/>
          <w:color w:val="000000"/>
        </w:rPr>
      </w:pPr>
    </w:p>
    <w:p w14:paraId="29C81F64">
      <w:pPr>
        <w:pStyle w:val="30"/>
        <w:spacing w:before="120" w:beforeAutospacing="0" w:after="120" w:afterAutospacing="0" w:line="0" w:lineRule="atLeast"/>
        <w:ind w:firstLine="482"/>
        <w:rPr>
          <w:rFonts w:hint="eastAsia" w:ascii="宋体" w:hAnsi="宋体" w:eastAsia="宋体" w:cs="宋体"/>
          <w:b/>
          <w:color w:val="000000"/>
        </w:rPr>
      </w:pPr>
    </w:p>
    <w:p w14:paraId="32AFA09C">
      <w:pPr>
        <w:pStyle w:val="30"/>
        <w:spacing w:before="120" w:beforeAutospacing="0" w:after="120" w:afterAutospacing="0" w:line="0" w:lineRule="atLeast"/>
        <w:ind w:firstLine="482"/>
        <w:rPr>
          <w:rFonts w:hint="eastAsia" w:ascii="宋体" w:hAnsi="宋体" w:eastAsia="宋体" w:cs="宋体"/>
          <w:b/>
          <w:color w:val="000000"/>
        </w:rPr>
      </w:pPr>
    </w:p>
    <w:p w14:paraId="6FA32F09">
      <w:pPr>
        <w:pStyle w:val="30"/>
        <w:spacing w:before="120" w:beforeAutospacing="0" w:after="120" w:afterAutospacing="0" w:line="0" w:lineRule="atLeast"/>
        <w:ind w:firstLine="482"/>
        <w:rPr>
          <w:rFonts w:hint="eastAsia" w:ascii="宋体" w:hAnsi="宋体" w:eastAsia="宋体" w:cs="宋体"/>
          <w:b/>
          <w:color w:val="000000"/>
        </w:rPr>
      </w:pPr>
    </w:p>
    <w:p w14:paraId="2D83402F">
      <w:pPr>
        <w:pStyle w:val="30"/>
        <w:spacing w:before="120" w:beforeAutospacing="0" w:after="120" w:afterAutospacing="0" w:line="0" w:lineRule="atLeast"/>
        <w:jc w:val="center"/>
        <w:rPr>
          <w:rFonts w:ascii="黑体" w:hAnsi="宋体" w:eastAsia="黑体" w:cs="黑体"/>
          <w:color w:val="000000"/>
          <w:sz w:val="44"/>
          <w:szCs w:val="44"/>
        </w:rPr>
      </w:pPr>
    </w:p>
    <w:p w14:paraId="3892D50E">
      <w:pPr>
        <w:pStyle w:val="30"/>
        <w:spacing w:before="120" w:beforeAutospacing="0" w:after="120" w:afterAutospacing="0" w:line="0" w:lineRule="atLeast"/>
        <w:jc w:val="center"/>
        <w:rPr>
          <w:rFonts w:hint="eastAsia" w:ascii="黑体" w:hAnsi="宋体" w:eastAsia="黑体" w:cs="黑体"/>
          <w:color w:val="000000"/>
          <w:sz w:val="44"/>
          <w:szCs w:val="44"/>
        </w:rPr>
      </w:pPr>
    </w:p>
    <w:p w14:paraId="6FBC003D">
      <w:pPr>
        <w:pStyle w:val="30"/>
        <w:spacing w:before="120" w:beforeAutospacing="0" w:after="120" w:afterAutospacing="0" w:line="0" w:lineRule="atLeast"/>
        <w:jc w:val="center"/>
        <w:rPr>
          <w:rFonts w:ascii="宋体" w:hAnsi="宋体" w:eastAsia="宋体" w:cs="宋体"/>
          <w:b/>
          <w:color w:val="000000"/>
          <w:sz w:val="72"/>
          <w:szCs w:val="72"/>
        </w:rPr>
      </w:pPr>
      <w:r>
        <w:rPr>
          <w:rFonts w:hint="eastAsia" w:ascii="黑体" w:hAnsi="宋体" w:eastAsia="黑体" w:cs="黑体"/>
          <w:color w:val="000000"/>
          <w:sz w:val="44"/>
          <w:szCs w:val="44"/>
        </w:rPr>
        <w:t>第六章  投标文件格式</w:t>
      </w:r>
      <w:bookmarkStart w:id="191" w:name="_Hlt26955039"/>
      <w:bookmarkEnd w:id="191"/>
      <w:bookmarkStart w:id="192" w:name="_Hlt26671244"/>
      <w:bookmarkEnd w:id="192"/>
      <w:bookmarkStart w:id="193" w:name="_Toc26554094"/>
      <w:bookmarkEnd w:id="193"/>
      <w:bookmarkStart w:id="194" w:name="_Toc49090576"/>
      <w:bookmarkStart w:id="195" w:name="_Toc120614282"/>
    </w:p>
    <w:p w14:paraId="14DB07B2">
      <w:pPr>
        <w:pStyle w:val="30"/>
        <w:spacing w:beforeAutospacing="0" w:afterAutospacing="0"/>
        <w:jc w:val="center"/>
        <w:rPr>
          <w:rFonts w:ascii="宋体" w:hAnsi="宋体" w:eastAsia="宋体" w:cs="宋体"/>
          <w:b/>
          <w:color w:val="000000"/>
          <w:sz w:val="72"/>
          <w:szCs w:val="72"/>
        </w:rPr>
      </w:pPr>
    </w:p>
    <w:p w14:paraId="1314BD73">
      <w:pPr>
        <w:pStyle w:val="30"/>
        <w:spacing w:beforeAutospacing="0" w:afterAutospacing="0"/>
        <w:jc w:val="center"/>
        <w:rPr>
          <w:rFonts w:ascii="宋体" w:hAnsi="宋体" w:eastAsia="宋体" w:cs="宋体"/>
          <w:b/>
          <w:color w:val="000000"/>
          <w:sz w:val="72"/>
          <w:szCs w:val="72"/>
        </w:rPr>
      </w:pPr>
    </w:p>
    <w:p w14:paraId="43270548">
      <w:pPr>
        <w:pStyle w:val="30"/>
        <w:spacing w:beforeAutospacing="0" w:afterAutospacing="0"/>
        <w:jc w:val="center"/>
        <w:rPr>
          <w:rFonts w:ascii="宋体" w:hAnsi="宋体" w:eastAsia="宋体" w:cs="宋体"/>
          <w:b/>
          <w:color w:val="000000"/>
          <w:sz w:val="72"/>
          <w:szCs w:val="72"/>
        </w:rPr>
      </w:pPr>
    </w:p>
    <w:p w14:paraId="194EE1CD">
      <w:pPr>
        <w:pStyle w:val="30"/>
        <w:spacing w:beforeAutospacing="0" w:afterAutospacing="0"/>
        <w:jc w:val="center"/>
        <w:rPr>
          <w:rFonts w:ascii="宋体" w:hAnsi="宋体" w:eastAsia="宋体" w:cs="宋体"/>
          <w:b/>
          <w:color w:val="000000"/>
          <w:sz w:val="72"/>
          <w:szCs w:val="72"/>
        </w:rPr>
      </w:pPr>
    </w:p>
    <w:p w14:paraId="0F842142">
      <w:pPr>
        <w:pStyle w:val="30"/>
        <w:spacing w:beforeAutospacing="0" w:afterAutospacing="0"/>
        <w:jc w:val="center"/>
      </w:pPr>
      <w:r>
        <w:rPr>
          <w:rFonts w:hint="eastAsia" w:ascii="宋体" w:hAnsi="宋体" w:eastAsia="宋体" w:cs="宋体"/>
          <w:b/>
          <w:color w:val="000000"/>
          <w:sz w:val="72"/>
          <w:szCs w:val="72"/>
        </w:rPr>
        <w:t>投  标  文  件</w:t>
      </w:r>
    </w:p>
    <w:p w14:paraId="64C41EB7">
      <w:pPr>
        <w:pStyle w:val="30"/>
        <w:spacing w:beforeAutospacing="0" w:afterAutospacing="0"/>
        <w:jc w:val="center"/>
      </w:pPr>
      <w:r>
        <w:t> </w:t>
      </w:r>
    </w:p>
    <w:p w14:paraId="28F16790">
      <w:pPr>
        <w:pStyle w:val="30"/>
        <w:spacing w:beforeAutospacing="0" w:afterAutospacing="0"/>
        <w:jc w:val="center"/>
      </w:pPr>
      <w:r>
        <w:t> </w:t>
      </w:r>
    </w:p>
    <w:p w14:paraId="562577F7">
      <w:pPr>
        <w:pStyle w:val="30"/>
        <w:spacing w:beforeAutospacing="0" w:afterAutospacing="0"/>
        <w:jc w:val="center"/>
      </w:pPr>
    </w:p>
    <w:p w14:paraId="38450E76">
      <w:pPr>
        <w:pStyle w:val="30"/>
        <w:spacing w:beforeAutospacing="0" w:afterAutospacing="0"/>
        <w:jc w:val="center"/>
      </w:pPr>
    </w:p>
    <w:p w14:paraId="0D0BFC5B">
      <w:pPr>
        <w:pStyle w:val="30"/>
        <w:spacing w:beforeAutospacing="0" w:afterAutospacing="0"/>
        <w:jc w:val="center"/>
      </w:pPr>
    </w:p>
    <w:p w14:paraId="5431A8E7">
      <w:pPr>
        <w:pStyle w:val="30"/>
        <w:spacing w:beforeAutospacing="0" w:afterAutospacing="0"/>
        <w:jc w:val="center"/>
      </w:pPr>
    </w:p>
    <w:p w14:paraId="4CFA870B">
      <w:pPr>
        <w:pStyle w:val="30"/>
        <w:spacing w:beforeAutospacing="0" w:afterAutospacing="0"/>
        <w:jc w:val="center"/>
      </w:pPr>
    </w:p>
    <w:p w14:paraId="512CDFA2">
      <w:pPr>
        <w:pStyle w:val="30"/>
        <w:spacing w:beforeAutospacing="0" w:afterAutospacing="0"/>
        <w:jc w:val="center"/>
      </w:pPr>
    </w:p>
    <w:p w14:paraId="09A7AD11">
      <w:pPr>
        <w:pStyle w:val="30"/>
        <w:spacing w:beforeAutospacing="0" w:afterAutospacing="0"/>
        <w:jc w:val="center"/>
      </w:pPr>
    </w:p>
    <w:p w14:paraId="7C200D94">
      <w:pPr>
        <w:pStyle w:val="30"/>
        <w:spacing w:beforeAutospacing="0" w:afterAutospacing="0"/>
        <w:jc w:val="center"/>
      </w:pPr>
    </w:p>
    <w:p w14:paraId="52122649">
      <w:pPr>
        <w:pStyle w:val="30"/>
        <w:spacing w:beforeAutospacing="0" w:afterAutospacing="0"/>
        <w:jc w:val="center"/>
      </w:pPr>
    </w:p>
    <w:p w14:paraId="36ACC7B5">
      <w:pPr>
        <w:pStyle w:val="30"/>
        <w:spacing w:beforeAutospacing="0" w:afterAutospacing="0"/>
        <w:jc w:val="center"/>
      </w:pPr>
    </w:p>
    <w:p w14:paraId="49790D64">
      <w:pPr>
        <w:pStyle w:val="30"/>
        <w:spacing w:beforeAutospacing="0" w:afterAutospacing="0"/>
        <w:jc w:val="center"/>
      </w:pPr>
      <w:r>
        <w:t> </w:t>
      </w:r>
    </w:p>
    <w:p w14:paraId="7F8DD301">
      <w:pPr>
        <w:pStyle w:val="30"/>
        <w:spacing w:beforeAutospacing="0" w:afterAutospacing="0"/>
        <w:jc w:val="center"/>
      </w:pPr>
      <w:r>
        <w:t> </w:t>
      </w:r>
    </w:p>
    <w:p w14:paraId="35701B19">
      <w:pPr>
        <w:pStyle w:val="30"/>
        <w:spacing w:beforeAutospacing="0" w:afterAutospacing="0"/>
        <w:jc w:val="center"/>
      </w:pPr>
      <w:r>
        <w:t> </w:t>
      </w:r>
    </w:p>
    <w:p w14:paraId="048EF8D4">
      <w:pPr>
        <w:pStyle w:val="30"/>
        <w:spacing w:beforeAutospacing="0" w:afterAutospacing="0"/>
        <w:ind w:firstLine="1084"/>
        <w:jc w:val="both"/>
        <w:rPr>
          <w:rFonts w:ascii="宋体" w:hAnsi="宋体" w:eastAsia="宋体" w:cs="宋体"/>
          <w:b/>
          <w:color w:val="000000"/>
          <w:sz w:val="36"/>
          <w:szCs w:val="36"/>
          <w:u w:val="single"/>
        </w:rPr>
      </w:pPr>
      <w:r>
        <w:rPr>
          <w:rFonts w:hint="eastAsia" w:ascii="宋体" w:hAnsi="宋体" w:eastAsia="宋体" w:cs="宋体"/>
          <w:b/>
          <w:color w:val="000000"/>
          <w:sz w:val="36"/>
          <w:szCs w:val="36"/>
        </w:rPr>
        <w:t>项 目 名 称：</w:t>
      </w:r>
      <w:r>
        <w:rPr>
          <w:rFonts w:hint="eastAsia" w:ascii="宋体" w:hAnsi="宋体" w:eastAsia="宋体" w:cs="宋体"/>
          <w:b/>
          <w:color w:val="000000"/>
          <w:sz w:val="36"/>
          <w:szCs w:val="36"/>
          <w:u w:val="single"/>
        </w:rPr>
        <w:t xml:space="preserve">                  </w:t>
      </w:r>
    </w:p>
    <w:p w14:paraId="1A27B972">
      <w:pPr>
        <w:pStyle w:val="30"/>
        <w:spacing w:beforeAutospacing="0" w:afterAutospacing="0"/>
        <w:ind w:firstLine="1084"/>
        <w:jc w:val="both"/>
      </w:pPr>
      <w:r>
        <w:rPr>
          <w:rFonts w:hint="eastAsia" w:ascii="宋体" w:hAnsi="宋体" w:eastAsia="宋体" w:cs="宋体"/>
          <w:b/>
          <w:color w:val="000000"/>
          <w:sz w:val="36"/>
          <w:szCs w:val="36"/>
        </w:rPr>
        <w:t>项 目 编 号：</w:t>
      </w:r>
      <w:r>
        <w:rPr>
          <w:rFonts w:hint="eastAsia" w:ascii="宋体" w:hAnsi="宋体" w:eastAsia="宋体" w:cs="宋体"/>
          <w:b/>
          <w:color w:val="000000"/>
          <w:sz w:val="36"/>
          <w:szCs w:val="36"/>
          <w:u w:val="single"/>
        </w:rPr>
        <w:t xml:space="preserve">                  </w:t>
      </w:r>
    </w:p>
    <w:p w14:paraId="14EB23CC">
      <w:pPr>
        <w:pStyle w:val="30"/>
        <w:spacing w:beforeAutospacing="0" w:afterAutospacing="0"/>
        <w:jc w:val="both"/>
      </w:pPr>
      <w:r>
        <w:rPr>
          <w:rFonts w:hint="eastAsia" w:ascii="宋体" w:hAnsi="宋体" w:eastAsia="宋体" w:cs="宋体"/>
          <w:b/>
          <w:color w:val="000000"/>
          <w:sz w:val="36"/>
          <w:szCs w:val="36"/>
        </w:rPr>
        <w:t>      供应商名称 ：</w:t>
      </w:r>
      <w:r>
        <w:rPr>
          <w:rFonts w:hint="eastAsia" w:ascii="宋体" w:hAnsi="宋体" w:eastAsia="宋体" w:cs="宋体"/>
          <w:b/>
          <w:color w:val="000000"/>
          <w:sz w:val="36"/>
          <w:szCs w:val="36"/>
          <w:u w:val="single"/>
        </w:rPr>
        <w:t>（加盖CA电子公章）</w:t>
      </w:r>
    </w:p>
    <w:p w14:paraId="33AE8199">
      <w:pPr>
        <w:pStyle w:val="30"/>
        <w:spacing w:beforeAutospacing="0" w:afterAutospacing="0"/>
        <w:jc w:val="both"/>
        <w:rPr>
          <w:rFonts w:eastAsia="宋体"/>
        </w:rPr>
      </w:pPr>
      <w:r>
        <w:rPr>
          <w:rFonts w:hint="eastAsia" w:ascii="宋体" w:hAnsi="宋体" w:eastAsia="宋体" w:cs="宋体"/>
          <w:b/>
          <w:color w:val="000000"/>
          <w:sz w:val="36"/>
          <w:szCs w:val="36"/>
        </w:rPr>
        <w:t>      日      期 ：</w:t>
      </w:r>
      <w:r>
        <w:rPr>
          <w:rFonts w:hint="eastAsia" w:ascii="宋体" w:hAnsi="宋体" w:eastAsia="宋体" w:cs="宋体"/>
          <w:b/>
          <w:color w:val="000000"/>
          <w:sz w:val="36"/>
          <w:szCs w:val="36"/>
          <w:u w:val="single"/>
        </w:rPr>
        <w:t xml:space="preserve">                  </w:t>
      </w:r>
    </w:p>
    <w:p w14:paraId="3184D87D">
      <w:pPr>
        <w:pStyle w:val="30"/>
        <w:spacing w:beforeAutospacing="0" w:afterAutospacing="0" w:line="0" w:lineRule="atLeast"/>
        <w:jc w:val="center"/>
      </w:pPr>
      <w:r>
        <w:t> </w:t>
      </w:r>
    </w:p>
    <w:p w14:paraId="3AA28CBE">
      <w:pPr>
        <w:pStyle w:val="30"/>
        <w:spacing w:beforeAutospacing="0" w:afterAutospacing="0" w:line="0" w:lineRule="atLeast"/>
        <w:jc w:val="both"/>
        <w:rPr>
          <w:highlight w:val="none"/>
        </w:rPr>
      </w:pPr>
      <w:r>
        <w:t> </w:t>
      </w:r>
    </w:p>
    <w:p w14:paraId="18302204">
      <w:pPr>
        <w:pStyle w:val="30"/>
        <w:spacing w:beforeAutospacing="0" w:afterAutospacing="0" w:line="0" w:lineRule="atLeast"/>
        <w:jc w:val="both"/>
      </w:pPr>
    </w:p>
    <w:p w14:paraId="64D2586B">
      <w:pPr>
        <w:pStyle w:val="30"/>
        <w:spacing w:beforeAutospacing="0" w:afterAutospacing="0" w:line="0" w:lineRule="atLeast"/>
        <w:jc w:val="both"/>
      </w:pPr>
    </w:p>
    <w:p w14:paraId="4BB26B14">
      <w:pPr>
        <w:pStyle w:val="30"/>
        <w:spacing w:beforeAutospacing="0" w:afterAutospacing="0" w:line="0" w:lineRule="atLeast"/>
        <w:jc w:val="both"/>
      </w:pPr>
    </w:p>
    <w:p w14:paraId="7BAA9B31">
      <w:pPr>
        <w:pStyle w:val="30"/>
        <w:spacing w:beforeAutospacing="0" w:afterAutospacing="0" w:line="0" w:lineRule="atLeast"/>
        <w:jc w:val="both"/>
      </w:pPr>
    </w:p>
    <w:p w14:paraId="3213D671">
      <w:pPr>
        <w:pStyle w:val="30"/>
        <w:spacing w:beforeAutospacing="0" w:afterAutospacing="0" w:line="0" w:lineRule="atLeast"/>
        <w:jc w:val="both"/>
        <w:rPr>
          <w:rFonts w:ascii="宋体" w:hAnsi="宋体" w:eastAsia="宋体" w:cs="宋体"/>
          <w:b/>
          <w:color w:val="000000"/>
          <w:sz w:val="32"/>
          <w:szCs w:val="32"/>
        </w:rPr>
      </w:pPr>
    </w:p>
    <w:p w14:paraId="2AF86154">
      <w:pPr>
        <w:pStyle w:val="30"/>
        <w:spacing w:beforeAutospacing="0" w:afterAutospacing="0" w:line="0" w:lineRule="atLeast"/>
        <w:jc w:val="center"/>
      </w:pPr>
      <w:r>
        <w:rPr>
          <w:rFonts w:hint="eastAsia" w:ascii="宋体" w:hAnsi="宋体" w:eastAsia="宋体" w:cs="宋体"/>
          <w:b/>
          <w:color w:val="000000"/>
          <w:sz w:val="32"/>
          <w:szCs w:val="32"/>
        </w:rPr>
        <w:t>投标文件目录</w:t>
      </w:r>
    </w:p>
    <w:p w14:paraId="07C84B59">
      <w:pPr>
        <w:pStyle w:val="30"/>
        <w:spacing w:beforeAutospacing="0" w:afterAutospacing="0" w:line="0" w:lineRule="atLeast"/>
        <w:jc w:val="center"/>
      </w:pPr>
      <w:r>
        <w:t> </w:t>
      </w:r>
    </w:p>
    <w:p w14:paraId="5C35A4C2">
      <w:pPr>
        <w:pStyle w:val="30"/>
        <w:spacing w:beforeAutospacing="0" w:afterAutospacing="0" w:line="400" w:lineRule="exact"/>
        <w:jc w:val="both"/>
        <w:rPr>
          <w:rFonts w:ascii="宋体" w:hAnsi="宋体" w:eastAsia="宋体" w:cs="宋体"/>
          <w:i/>
          <w:color w:val="000000"/>
          <w:u w:val="single"/>
        </w:rPr>
      </w:pPr>
      <w:r>
        <w:rPr>
          <w:rFonts w:hint="eastAsia" w:ascii="宋体" w:hAnsi="宋体" w:eastAsia="宋体" w:cs="宋体"/>
          <w:i/>
          <w:color w:val="000000"/>
          <w:u w:val="single"/>
        </w:rPr>
        <w:t>一、法人或者其他组织的营业执照等证明文件，自然人的身份证明</w:t>
      </w:r>
    </w:p>
    <w:p w14:paraId="5B6BE69A">
      <w:pPr>
        <w:tabs>
          <w:tab w:val="left" w:pos="1331"/>
        </w:tabs>
        <w:spacing w:line="400" w:lineRule="exact"/>
        <w:jc w:val="left"/>
        <w:rPr>
          <w:rFonts w:ascii="宋体" w:hAnsi="宋体" w:eastAsia="宋体" w:cs="宋体"/>
          <w:i/>
          <w:color w:val="000000"/>
          <w:sz w:val="24"/>
          <w:u w:val="single"/>
        </w:rPr>
      </w:pPr>
      <w:r>
        <w:rPr>
          <w:rFonts w:hint="eastAsia" w:ascii="宋体" w:hAnsi="宋体" w:eastAsia="宋体" w:cs="宋体"/>
          <w:i/>
          <w:color w:val="000000"/>
          <w:sz w:val="24"/>
          <w:u w:val="single"/>
        </w:rPr>
        <w:t>二、上一年度的财务状况报表（供应商成立不满一年无需提供）</w:t>
      </w:r>
    </w:p>
    <w:p w14:paraId="33A595EB">
      <w:pPr>
        <w:pStyle w:val="30"/>
        <w:spacing w:beforeAutospacing="0" w:afterAutospacing="0" w:line="400" w:lineRule="exact"/>
        <w:jc w:val="both"/>
        <w:rPr>
          <w:rFonts w:ascii="宋体" w:hAnsi="宋体" w:eastAsia="宋体" w:cs="宋体"/>
          <w:i/>
          <w:color w:val="000000"/>
          <w:u w:val="single"/>
        </w:rPr>
      </w:pPr>
      <w:r>
        <w:rPr>
          <w:rFonts w:hint="eastAsia" w:ascii="宋体" w:hAnsi="宋体" w:eastAsia="宋体" w:cs="宋体"/>
          <w:i/>
          <w:color w:val="000000"/>
          <w:u w:val="single"/>
        </w:rPr>
        <w:t>三、具备履行合同所必需的设备和专业技术能力的书面声明</w:t>
      </w:r>
    </w:p>
    <w:p w14:paraId="5AF4CBA8">
      <w:pPr>
        <w:pStyle w:val="30"/>
        <w:spacing w:beforeAutospacing="0" w:afterAutospacing="0" w:line="400" w:lineRule="exact"/>
        <w:jc w:val="both"/>
        <w:rPr>
          <w:rFonts w:ascii="宋体" w:hAnsi="宋体" w:eastAsia="宋体" w:cs="宋体"/>
          <w:i/>
          <w:color w:val="000000"/>
          <w:u w:val="single"/>
        </w:rPr>
      </w:pPr>
      <w:r>
        <w:rPr>
          <w:rFonts w:hint="eastAsia" w:ascii="宋体" w:hAnsi="宋体" w:eastAsia="宋体" w:cs="宋体"/>
          <w:i/>
          <w:color w:val="000000"/>
          <w:u w:val="single"/>
        </w:rPr>
        <w:t>四、依法缴纳税收和社会保障资金的相关材料（提供提交投标文件截止时间前一年内至少一个月依法缴纳税收及缴纳社会保障资金的证明材料。供应商依法享受缓缴、免缴税收、社会保障资金的提供证明材料）</w:t>
      </w:r>
    </w:p>
    <w:p w14:paraId="798828BD">
      <w:pPr>
        <w:pStyle w:val="30"/>
        <w:spacing w:beforeAutospacing="0" w:afterAutospacing="0" w:line="400" w:lineRule="exact"/>
        <w:jc w:val="both"/>
        <w:rPr>
          <w:rFonts w:hint="eastAsia" w:ascii="宋体" w:hAnsi="宋体" w:eastAsia="宋体" w:cs="宋体"/>
          <w:i/>
          <w:color w:val="000000"/>
          <w:u w:val="single"/>
        </w:rPr>
      </w:pPr>
      <w:r>
        <w:rPr>
          <w:rFonts w:hint="eastAsia" w:ascii="宋体" w:hAnsi="宋体" w:eastAsia="宋体" w:cs="宋体"/>
          <w:i/>
          <w:color w:val="000000"/>
          <w:u w:val="single"/>
        </w:rPr>
        <w:t>五、参加政府采购活动前 3 年内在经营活动中没有重大违法记录的书面声明</w:t>
      </w:r>
    </w:p>
    <w:p w14:paraId="150626BE">
      <w:pPr>
        <w:pStyle w:val="30"/>
        <w:spacing w:beforeAutospacing="0" w:afterAutospacing="0" w:line="360" w:lineRule="auto"/>
        <w:jc w:val="both"/>
        <w:rPr>
          <w:rFonts w:hint="eastAsia" w:ascii="宋体" w:hAnsi="宋体" w:cs="宋体"/>
          <w:i/>
          <w:u w:val="single"/>
        </w:rPr>
      </w:pPr>
      <w:r>
        <w:rPr>
          <w:rFonts w:hint="eastAsia" w:ascii="宋体" w:hAnsi="宋体" w:cs="宋体"/>
          <w:i/>
          <w:u w:val="single"/>
          <w:lang w:val="en-US" w:eastAsia="zh-CN"/>
        </w:rPr>
        <w:t>六</w:t>
      </w:r>
      <w:r>
        <w:rPr>
          <w:rFonts w:hint="eastAsia" w:ascii="宋体" w:hAnsi="宋体" w:cs="宋体"/>
          <w:i/>
          <w:u w:val="single"/>
        </w:rPr>
        <w:t>、单位负责人为同一人或者存在直接控股、管理关系的不同供应商，不得参加同一合同项下的政府采购活动。</w:t>
      </w:r>
    </w:p>
    <w:p w14:paraId="4866A691">
      <w:pPr>
        <w:pStyle w:val="30"/>
        <w:spacing w:beforeAutospacing="0" w:afterAutospacing="0" w:line="400" w:lineRule="exact"/>
        <w:jc w:val="both"/>
        <w:rPr>
          <w:rFonts w:ascii="宋体" w:hAnsi="宋体" w:eastAsia="宋体" w:cs="宋体"/>
          <w:i/>
          <w:color w:val="000000"/>
          <w:u w:val="single"/>
        </w:rPr>
      </w:pPr>
      <w:r>
        <w:rPr>
          <w:rFonts w:hint="eastAsia" w:ascii="宋体" w:hAnsi="宋体" w:eastAsia="宋体" w:cs="宋体"/>
          <w:i/>
          <w:color w:val="000000"/>
          <w:u w:val="single"/>
          <w:lang w:val="en-US" w:eastAsia="zh-CN"/>
        </w:rPr>
        <w:t>七</w:t>
      </w:r>
      <w:r>
        <w:rPr>
          <w:rFonts w:hint="eastAsia" w:ascii="宋体" w:hAnsi="宋体" w:eastAsia="宋体" w:cs="宋体"/>
          <w:i/>
          <w:color w:val="000000"/>
          <w:u w:val="single"/>
        </w:rPr>
        <w:t>、特定资格要求的证明文件（如果本项目设置特定资格要求，则需要提供）</w:t>
      </w:r>
    </w:p>
    <w:p w14:paraId="10F0099C">
      <w:pPr>
        <w:pStyle w:val="30"/>
        <w:spacing w:beforeAutospacing="0" w:afterAutospacing="0" w:line="400" w:lineRule="exact"/>
        <w:jc w:val="both"/>
        <w:rPr>
          <w:rFonts w:ascii="宋体" w:hAnsi="宋体" w:eastAsia="宋体" w:cs="宋体"/>
          <w:i/>
          <w:color w:val="000000"/>
          <w:u w:val="single"/>
        </w:rPr>
      </w:pPr>
      <w:r>
        <w:rPr>
          <w:rFonts w:hint="eastAsia" w:ascii="宋体" w:hAnsi="宋体" w:eastAsia="宋体" w:cs="宋体"/>
          <w:i/>
          <w:color w:val="000000"/>
          <w:u w:val="single"/>
          <w:lang w:val="en-US" w:eastAsia="zh-CN"/>
        </w:rPr>
        <w:t>八</w:t>
      </w:r>
      <w:r>
        <w:rPr>
          <w:rFonts w:hint="eastAsia" w:ascii="宋体" w:hAnsi="宋体" w:eastAsia="宋体" w:cs="宋体"/>
          <w:i/>
          <w:color w:val="000000"/>
          <w:u w:val="single"/>
        </w:rPr>
        <w:t>、法人授权书</w:t>
      </w:r>
    </w:p>
    <w:p w14:paraId="40B8CB09">
      <w:pPr>
        <w:pStyle w:val="30"/>
        <w:spacing w:beforeAutospacing="0" w:afterAutospacing="0" w:line="400" w:lineRule="exact"/>
        <w:jc w:val="both"/>
        <w:rPr>
          <w:rFonts w:ascii="宋体" w:hAnsi="宋体" w:eastAsia="宋体" w:cs="宋体"/>
          <w:i/>
          <w:color w:val="000000"/>
          <w:u w:val="single"/>
        </w:rPr>
      </w:pPr>
      <w:r>
        <w:rPr>
          <w:rFonts w:hint="eastAsia" w:ascii="宋体" w:hAnsi="宋体" w:eastAsia="宋体" w:cs="宋体"/>
          <w:i/>
          <w:color w:val="000000"/>
          <w:u w:val="single"/>
          <w:lang w:val="en-US" w:eastAsia="zh-CN"/>
        </w:rPr>
        <w:t>九</w:t>
      </w:r>
      <w:r>
        <w:rPr>
          <w:rFonts w:hint="eastAsia" w:ascii="宋体" w:hAnsi="宋体" w:eastAsia="宋体" w:cs="宋体"/>
          <w:i/>
          <w:color w:val="000000"/>
          <w:u w:val="single"/>
        </w:rPr>
        <w:t>、投标函</w:t>
      </w:r>
    </w:p>
    <w:p w14:paraId="7167A260">
      <w:pPr>
        <w:pStyle w:val="30"/>
        <w:spacing w:beforeAutospacing="0" w:afterAutospacing="0" w:line="400" w:lineRule="exact"/>
        <w:jc w:val="both"/>
        <w:rPr>
          <w:rFonts w:ascii="宋体" w:hAnsi="宋体" w:eastAsia="宋体" w:cs="宋体"/>
          <w:color w:val="000000"/>
        </w:rPr>
      </w:pPr>
      <w:r>
        <w:rPr>
          <w:rFonts w:hint="eastAsia" w:ascii="宋体" w:hAnsi="宋体" w:eastAsia="宋体" w:cs="宋体"/>
          <w:color w:val="000000"/>
          <w:lang w:val="en-US" w:eastAsia="zh-CN"/>
        </w:rPr>
        <w:t>十</w:t>
      </w:r>
      <w:r>
        <w:rPr>
          <w:rFonts w:hint="eastAsia" w:ascii="宋体" w:hAnsi="宋体" w:eastAsia="宋体" w:cs="宋体"/>
          <w:color w:val="000000"/>
        </w:rPr>
        <w:t>、小微企业声明函</w:t>
      </w:r>
    </w:p>
    <w:p w14:paraId="454B50B2">
      <w:pPr>
        <w:pStyle w:val="30"/>
        <w:spacing w:beforeAutospacing="0" w:afterAutospacing="0" w:line="400" w:lineRule="exact"/>
        <w:jc w:val="both"/>
        <w:rPr>
          <w:rFonts w:hint="eastAsia" w:ascii="宋体" w:hAnsi="宋体" w:eastAsia="宋体" w:cs="宋体"/>
          <w:color w:val="000000"/>
        </w:rPr>
      </w:pPr>
      <w:r>
        <w:rPr>
          <w:rFonts w:hint="eastAsia" w:ascii="宋体" w:hAnsi="宋体" w:eastAsia="宋体" w:cs="宋体"/>
          <w:color w:val="000000"/>
        </w:rPr>
        <w:t>十</w:t>
      </w:r>
      <w:r>
        <w:rPr>
          <w:rFonts w:hint="eastAsia" w:ascii="宋体" w:hAnsi="宋体" w:eastAsia="宋体" w:cs="宋体"/>
          <w:color w:val="000000"/>
          <w:lang w:val="en-US" w:eastAsia="zh-CN"/>
        </w:rPr>
        <w:t>一</w:t>
      </w:r>
      <w:r>
        <w:rPr>
          <w:rFonts w:hint="eastAsia" w:ascii="宋体" w:hAnsi="宋体" w:eastAsia="宋体" w:cs="宋体"/>
          <w:color w:val="000000"/>
        </w:rPr>
        <w:t>、残疾人福利性单位声明函</w:t>
      </w:r>
    </w:p>
    <w:p w14:paraId="20576B9E">
      <w:pPr>
        <w:pStyle w:val="30"/>
        <w:spacing w:beforeAutospacing="0" w:afterAutospacing="0" w:line="400" w:lineRule="exact"/>
        <w:jc w:val="both"/>
        <w:rPr>
          <w:rFonts w:hint="eastAsia" w:ascii="宋体" w:hAnsi="宋体" w:eastAsia="宋体" w:cs="宋体"/>
          <w:color w:val="000000"/>
        </w:rPr>
      </w:pPr>
      <w:r>
        <w:rPr>
          <w:rFonts w:hint="eastAsia" w:ascii="宋体" w:hAnsi="宋体" w:eastAsia="宋体" w:cs="宋体"/>
          <w:iCs/>
          <w:lang w:val="en-US" w:eastAsia="zh-CN"/>
        </w:rPr>
        <w:t>十二、</w:t>
      </w:r>
      <w:r>
        <w:rPr>
          <w:rFonts w:hint="eastAsia" w:ascii="宋体" w:hAnsi="宋体" w:eastAsia="宋体" w:cs="宋体"/>
          <w:iCs/>
        </w:rPr>
        <w:t>关于符合本国产品标准的声明函</w:t>
      </w:r>
    </w:p>
    <w:p w14:paraId="505019B1">
      <w:pPr>
        <w:pStyle w:val="30"/>
        <w:spacing w:beforeAutospacing="0" w:afterAutospacing="0" w:line="400" w:lineRule="exact"/>
        <w:jc w:val="both"/>
        <w:rPr>
          <w:rFonts w:ascii="宋体" w:hAnsi="宋体" w:eastAsia="宋体" w:cs="宋体"/>
          <w:color w:val="000000"/>
        </w:rPr>
      </w:pPr>
      <w:r>
        <w:rPr>
          <w:rFonts w:hint="eastAsia" w:ascii="宋体" w:hAnsi="宋体" w:eastAsia="宋体" w:cs="宋体"/>
          <w:color w:val="000000"/>
        </w:rPr>
        <w:t>十</w:t>
      </w:r>
      <w:r>
        <w:rPr>
          <w:rFonts w:hint="eastAsia" w:ascii="宋体" w:hAnsi="宋体" w:eastAsia="宋体" w:cs="宋体"/>
          <w:color w:val="000000"/>
          <w:lang w:val="en-US" w:eastAsia="zh-CN"/>
        </w:rPr>
        <w:t>三</w:t>
      </w:r>
      <w:r>
        <w:rPr>
          <w:rFonts w:hint="eastAsia" w:ascii="宋体" w:hAnsi="宋体" w:eastAsia="宋体" w:cs="宋体"/>
          <w:color w:val="000000"/>
        </w:rPr>
        <w:t>、投标分项报价表</w:t>
      </w:r>
    </w:p>
    <w:p w14:paraId="0C0DFE04">
      <w:pPr>
        <w:pStyle w:val="30"/>
        <w:spacing w:beforeAutospacing="0" w:afterAutospacing="0" w:line="400" w:lineRule="exact"/>
        <w:jc w:val="both"/>
        <w:rPr>
          <w:rFonts w:ascii="宋体" w:hAnsi="宋体" w:eastAsia="宋体" w:cs="宋体"/>
          <w:color w:val="000000"/>
        </w:rPr>
      </w:pPr>
      <w:r>
        <w:rPr>
          <w:rFonts w:hint="eastAsia" w:ascii="宋体" w:hAnsi="宋体" w:eastAsia="宋体" w:cs="宋体"/>
          <w:color w:val="000000"/>
        </w:rPr>
        <w:t>十</w:t>
      </w:r>
      <w:r>
        <w:rPr>
          <w:rFonts w:hint="eastAsia" w:ascii="宋体" w:hAnsi="宋体" w:eastAsia="宋体" w:cs="宋体"/>
          <w:color w:val="000000"/>
          <w:lang w:val="en-US" w:eastAsia="zh-CN"/>
        </w:rPr>
        <w:t>四</w:t>
      </w:r>
      <w:r>
        <w:rPr>
          <w:rFonts w:hint="eastAsia" w:ascii="宋体" w:hAnsi="宋体" w:eastAsia="宋体" w:cs="宋体"/>
          <w:color w:val="000000"/>
        </w:rPr>
        <w:t>、商务要求响应及偏离表</w:t>
      </w:r>
    </w:p>
    <w:p w14:paraId="74D97D63">
      <w:pPr>
        <w:pStyle w:val="30"/>
        <w:spacing w:beforeAutospacing="0" w:afterAutospacing="0" w:line="400" w:lineRule="exact"/>
        <w:jc w:val="both"/>
        <w:rPr>
          <w:rFonts w:ascii="宋体" w:hAnsi="宋体" w:eastAsia="宋体" w:cs="宋体"/>
          <w:color w:val="000000"/>
        </w:rPr>
      </w:pPr>
      <w:r>
        <w:rPr>
          <w:rFonts w:hint="eastAsia" w:ascii="宋体" w:hAnsi="宋体" w:eastAsia="宋体" w:cs="宋体"/>
          <w:color w:val="000000"/>
        </w:rPr>
        <w:t>十</w:t>
      </w:r>
      <w:r>
        <w:rPr>
          <w:rFonts w:hint="eastAsia" w:ascii="宋体" w:hAnsi="宋体" w:eastAsia="宋体" w:cs="宋体"/>
          <w:color w:val="000000"/>
          <w:lang w:val="en-US" w:eastAsia="zh-CN"/>
        </w:rPr>
        <w:t>五</w:t>
      </w:r>
      <w:r>
        <w:rPr>
          <w:rFonts w:hint="eastAsia" w:ascii="宋体" w:hAnsi="宋体" w:eastAsia="宋体" w:cs="宋体"/>
          <w:color w:val="000000"/>
        </w:rPr>
        <w:t>、技术要求响应对照表</w:t>
      </w:r>
    </w:p>
    <w:p w14:paraId="71776E4A">
      <w:pPr>
        <w:pStyle w:val="30"/>
        <w:spacing w:beforeAutospacing="0" w:afterAutospacing="0" w:line="400" w:lineRule="exact"/>
        <w:jc w:val="both"/>
        <w:rPr>
          <w:rFonts w:ascii="宋体" w:hAnsi="宋体" w:eastAsia="宋体" w:cs="宋体"/>
          <w:i/>
          <w:color w:val="000000"/>
          <w:u w:val="single"/>
        </w:rPr>
      </w:pPr>
      <w:r>
        <w:rPr>
          <w:rFonts w:hint="eastAsia" w:ascii="宋体" w:hAnsi="宋体" w:eastAsia="宋体" w:cs="宋体"/>
          <w:i/>
          <w:color w:val="000000"/>
          <w:u w:val="single"/>
        </w:rPr>
        <w:t>十</w:t>
      </w:r>
      <w:r>
        <w:rPr>
          <w:rFonts w:hint="eastAsia" w:ascii="宋体" w:hAnsi="宋体" w:eastAsia="宋体" w:cs="宋体"/>
          <w:i/>
          <w:color w:val="000000"/>
          <w:u w:val="single"/>
          <w:lang w:val="en-US" w:eastAsia="zh-CN"/>
        </w:rPr>
        <w:t>六</w:t>
      </w:r>
      <w:r>
        <w:rPr>
          <w:rFonts w:hint="eastAsia" w:ascii="宋体" w:hAnsi="宋体" w:eastAsia="宋体" w:cs="宋体"/>
          <w:i/>
          <w:color w:val="000000"/>
          <w:u w:val="single"/>
        </w:rPr>
        <w:t>、开标一览表</w:t>
      </w:r>
    </w:p>
    <w:p w14:paraId="4544DE8F">
      <w:pPr>
        <w:widowControl/>
        <w:spacing w:line="400" w:lineRule="exact"/>
        <w:rPr>
          <w:rFonts w:ascii="宋体" w:hAnsi="宋体" w:eastAsia="宋体" w:cs="宋体"/>
          <w:color w:val="000000"/>
          <w:sz w:val="24"/>
        </w:rPr>
      </w:pPr>
      <w:r>
        <w:rPr>
          <w:rFonts w:hint="eastAsia" w:ascii="宋体" w:hAnsi="宋体" w:eastAsia="宋体" w:cs="宋体"/>
          <w:color w:val="000000"/>
          <w:sz w:val="24"/>
        </w:rPr>
        <w:t>十</w:t>
      </w:r>
      <w:r>
        <w:rPr>
          <w:rFonts w:hint="eastAsia" w:ascii="宋体" w:hAnsi="宋体" w:eastAsia="宋体" w:cs="宋体"/>
          <w:color w:val="000000"/>
          <w:sz w:val="24"/>
          <w:lang w:val="en-US" w:eastAsia="zh-CN"/>
        </w:rPr>
        <w:t>七</w:t>
      </w:r>
      <w:r>
        <w:rPr>
          <w:rFonts w:hint="eastAsia" w:ascii="宋体" w:hAnsi="宋体" w:eastAsia="宋体" w:cs="宋体"/>
          <w:color w:val="000000"/>
          <w:sz w:val="24"/>
        </w:rPr>
        <w:t>、其他材料</w:t>
      </w:r>
    </w:p>
    <w:p w14:paraId="2E43BF33">
      <w:pPr>
        <w:pStyle w:val="30"/>
        <w:spacing w:beforeAutospacing="0" w:afterAutospacing="0" w:line="400" w:lineRule="exact"/>
        <w:jc w:val="both"/>
        <w:rPr>
          <w:rFonts w:ascii="宋体" w:hAnsi="宋体" w:eastAsia="宋体" w:cs="宋体"/>
          <w:color w:val="000000"/>
        </w:rPr>
      </w:pPr>
      <w:r>
        <w:rPr>
          <w:rFonts w:hint="eastAsia" w:ascii="宋体" w:hAnsi="宋体" w:eastAsia="宋体" w:cs="宋体"/>
          <w:color w:val="000000"/>
        </w:rPr>
        <w:t>十</w:t>
      </w:r>
      <w:r>
        <w:rPr>
          <w:rFonts w:hint="eastAsia" w:ascii="宋体" w:hAnsi="宋体" w:eastAsia="宋体" w:cs="宋体"/>
          <w:color w:val="000000"/>
          <w:lang w:val="en-US" w:eastAsia="zh-CN"/>
        </w:rPr>
        <w:t>八</w:t>
      </w:r>
      <w:r>
        <w:rPr>
          <w:rFonts w:hint="eastAsia" w:ascii="宋体" w:hAnsi="宋体" w:eastAsia="宋体" w:cs="宋体"/>
          <w:color w:val="000000"/>
        </w:rPr>
        <w:t>、盐城市政府采购事前信用承诺书</w:t>
      </w:r>
    </w:p>
    <w:p w14:paraId="7E543A36">
      <w:pPr>
        <w:pStyle w:val="30"/>
        <w:spacing w:beforeAutospacing="0" w:afterAutospacing="0" w:line="0" w:lineRule="atLeast"/>
        <w:ind w:firstLine="480"/>
        <w:jc w:val="both"/>
        <w:rPr>
          <w:rFonts w:ascii="宋体" w:hAnsi="宋体" w:eastAsia="宋体" w:cs="宋体"/>
          <w:color w:val="000000"/>
        </w:rPr>
      </w:pPr>
    </w:p>
    <w:p w14:paraId="2DBDF175">
      <w:pPr>
        <w:pStyle w:val="30"/>
        <w:spacing w:beforeAutospacing="0" w:afterAutospacing="0" w:line="0" w:lineRule="atLeast"/>
        <w:ind w:firstLine="480"/>
        <w:jc w:val="both"/>
        <w:rPr>
          <w:rFonts w:ascii="宋体" w:hAnsi="宋体" w:eastAsia="宋体" w:cs="宋体"/>
          <w:color w:val="000000"/>
        </w:rPr>
      </w:pPr>
    </w:p>
    <w:p w14:paraId="74C04984">
      <w:pPr>
        <w:pStyle w:val="30"/>
        <w:spacing w:beforeAutospacing="0" w:afterAutospacing="0" w:line="0" w:lineRule="atLeast"/>
        <w:ind w:firstLine="480"/>
        <w:jc w:val="both"/>
      </w:pPr>
      <w:r>
        <w:t> </w:t>
      </w:r>
    </w:p>
    <w:p w14:paraId="1481BB48">
      <w:pPr>
        <w:pStyle w:val="30"/>
        <w:spacing w:beforeAutospacing="0" w:afterAutospacing="0" w:line="0" w:lineRule="atLeast"/>
        <w:ind w:firstLine="480"/>
        <w:jc w:val="both"/>
      </w:pPr>
      <w:r>
        <w:t> </w:t>
      </w:r>
    </w:p>
    <w:p w14:paraId="679F0BF4">
      <w:pPr>
        <w:pStyle w:val="30"/>
        <w:spacing w:beforeAutospacing="0" w:afterAutospacing="0" w:line="0" w:lineRule="atLeast"/>
        <w:ind w:firstLine="480"/>
        <w:jc w:val="both"/>
      </w:pPr>
      <w:r>
        <w:t> </w:t>
      </w:r>
    </w:p>
    <w:p w14:paraId="4F9DE642">
      <w:pPr>
        <w:pStyle w:val="30"/>
        <w:spacing w:beforeAutospacing="0" w:afterAutospacing="0" w:line="0" w:lineRule="atLeast"/>
        <w:ind w:firstLine="480"/>
        <w:jc w:val="both"/>
      </w:pPr>
      <w:r>
        <w:t> </w:t>
      </w:r>
    </w:p>
    <w:p w14:paraId="2F94CCE7">
      <w:pPr>
        <w:pStyle w:val="30"/>
        <w:spacing w:beforeAutospacing="0" w:afterAutospacing="0" w:line="0" w:lineRule="atLeast"/>
        <w:ind w:firstLine="480"/>
        <w:jc w:val="both"/>
      </w:pPr>
    </w:p>
    <w:p w14:paraId="6FB4881A">
      <w:pPr>
        <w:pStyle w:val="30"/>
        <w:spacing w:beforeAutospacing="0" w:afterAutospacing="0" w:line="0" w:lineRule="atLeast"/>
        <w:ind w:firstLine="480"/>
        <w:jc w:val="both"/>
      </w:pPr>
    </w:p>
    <w:p w14:paraId="1BC11B35">
      <w:pPr>
        <w:pStyle w:val="30"/>
        <w:spacing w:beforeAutospacing="0" w:afterAutospacing="0" w:line="0" w:lineRule="atLeast"/>
        <w:ind w:firstLine="480"/>
        <w:jc w:val="both"/>
      </w:pPr>
    </w:p>
    <w:p w14:paraId="7C568815">
      <w:pPr>
        <w:pStyle w:val="30"/>
        <w:spacing w:beforeAutospacing="0" w:afterAutospacing="0" w:line="0" w:lineRule="atLeast"/>
        <w:ind w:firstLine="480"/>
        <w:jc w:val="both"/>
      </w:pPr>
    </w:p>
    <w:p w14:paraId="319509C1">
      <w:pPr>
        <w:pStyle w:val="30"/>
        <w:spacing w:beforeAutospacing="0" w:afterAutospacing="0" w:line="0" w:lineRule="atLeast"/>
        <w:ind w:firstLine="480"/>
        <w:jc w:val="both"/>
      </w:pPr>
    </w:p>
    <w:p w14:paraId="0CCD26B1">
      <w:pPr>
        <w:pStyle w:val="30"/>
        <w:spacing w:beforeAutospacing="0" w:afterAutospacing="0" w:line="0" w:lineRule="atLeast"/>
        <w:ind w:firstLine="480"/>
        <w:jc w:val="both"/>
      </w:pPr>
    </w:p>
    <w:p w14:paraId="4B9A2D73">
      <w:pPr>
        <w:pStyle w:val="30"/>
        <w:spacing w:beforeAutospacing="0" w:afterAutospacing="0" w:line="0" w:lineRule="atLeast"/>
        <w:ind w:firstLine="480"/>
        <w:jc w:val="both"/>
      </w:pPr>
    </w:p>
    <w:p w14:paraId="67AEEB85">
      <w:pPr>
        <w:pStyle w:val="30"/>
        <w:spacing w:beforeAutospacing="0" w:afterAutospacing="0" w:line="0" w:lineRule="atLeast"/>
        <w:ind w:firstLine="480"/>
        <w:jc w:val="both"/>
      </w:pPr>
    </w:p>
    <w:p w14:paraId="2E00DC6C">
      <w:pPr>
        <w:pStyle w:val="30"/>
        <w:spacing w:beforeAutospacing="0" w:afterAutospacing="0"/>
        <w:jc w:val="center"/>
        <w:rPr>
          <w:rFonts w:hAnsi="宋体" w:eastAsia="宋体" w:cs="宋体"/>
          <w:b/>
          <w:bCs/>
          <w:sz w:val="30"/>
          <w:szCs w:val="30"/>
        </w:rPr>
      </w:pPr>
    </w:p>
    <w:p w14:paraId="53B1B2E9">
      <w:pPr>
        <w:pStyle w:val="30"/>
        <w:spacing w:beforeAutospacing="0" w:afterAutospacing="0"/>
        <w:jc w:val="both"/>
      </w:pPr>
      <w:r>
        <w:rPr>
          <w:rFonts w:hint="eastAsia" w:ascii="黑体" w:hAnsi="宋体" w:eastAsia="黑体" w:cs="黑体"/>
          <w:i/>
          <w:color w:val="000000"/>
          <w:sz w:val="32"/>
          <w:szCs w:val="32"/>
          <w:u w:val="single"/>
        </w:rPr>
        <w:t>一、法人或者其他组织的营业执照等证明文件，自然人的身份证明</w:t>
      </w:r>
    </w:p>
    <w:p w14:paraId="4CD861F6">
      <w:pPr>
        <w:pStyle w:val="30"/>
        <w:spacing w:beforeAutospacing="0" w:afterAutospacing="0" w:line="0" w:lineRule="atLeast"/>
        <w:ind w:firstLine="480"/>
        <w:jc w:val="both"/>
      </w:pPr>
      <w:r>
        <w:t> </w:t>
      </w:r>
    </w:p>
    <w:p w14:paraId="08D1DF45">
      <w:pPr>
        <w:pStyle w:val="30"/>
        <w:spacing w:beforeAutospacing="0" w:afterAutospacing="0"/>
        <w:jc w:val="both"/>
        <w:rPr>
          <w:rFonts w:eastAsia="黑体"/>
          <w:highlight w:val="red"/>
        </w:rPr>
      </w:pPr>
      <w:r>
        <w:rPr>
          <w:rFonts w:hint="eastAsia" w:ascii="黑体" w:hAnsi="宋体" w:eastAsia="黑体" w:cs="黑体"/>
          <w:i/>
          <w:color w:val="000000"/>
          <w:sz w:val="32"/>
          <w:szCs w:val="32"/>
          <w:u w:val="single"/>
        </w:rPr>
        <w:t>二、上一年度的财务状况报表</w:t>
      </w:r>
    </w:p>
    <w:p w14:paraId="76717769">
      <w:pPr>
        <w:tabs>
          <w:tab w:val="left" w:pos="1331"/>
        </w:tabs>
        <w:spacing w:line="400" w:lineRule="exact"/>
        <w:jc w:val="left"/>
        <w:rPr>
          <w:iCs/>
        </w:rPr>
      </w:pPr>
      <w:r>
        <w:rPr>
          <w:rFonts w:hint="eastAsia" w:ascii="宋体" w:hAnsi="宋体" w:eastAsia="宋体" w:cs="宋体"/>
          <w:iCs/>
          <w:color w:val="000000"/>
          <w:sz w:val="24"/>
        </w:rPr>
        <w:t>（供应商成立不满一年无需提供）</w:t>
      </w:r>
      <w:r>
        <w:rPr>
          <w:iCs/>
        </w:rPr>
        <w:t> </w:t>
      </w:r>
    </w:p>
    <w:p w14:paraId="651EFB7B">
      <w:pPr>
        <w:pStyle w:val="30"/>
        <w:spacing w:beforeAutospacing="0" w:afterAutospacing="0"/>
        <w:jc w:val="both"/>
      </w:pPr>
      <w:r>
        <w:t> </w:t>
      </w:r>
    </w:p>
    <w:p w14:paraId="2C2603FB">
      <w:pPr>
        <w:pStyle w:val="30"/>
        <w:spacing w:beforeAutospacing="0" w:afterAutospacing="0"/>
        <w:jc w:val="both"/>
      </w:pPr>
      <w:r>
        <w:rPr>
          <w:rFonts w:hint="eastAsia" w:ascii="黑体" w:hAnsi="宋体" w:eastAsia="黑体" w:cs="黑体"/>
          <w:i/>
          <w:color w:val="000000"/>
          <w:sz w:val="32"/>
          <w:szCs w:val="32"/>
          <w:u w:val="single"/>
        </w:rPr>
        <w:t>三、具备履行合同所必需的设备和专业技术能力的书面声明</w:t>
      </w:r>
    </w:p>
    <w:p w14:paraId="3B01C80C">
      <w:pPr>
        <w:pStyle w:val="30"/>
        <w:spacing w:beforeAutospacing="0" w:afterAutospacing="0" w:line="0" w:lineRule="atLeast"/>
        <w:ind w:firstLine="492"/>
        <w:jc w:val="both"/>
      </w:pPr>
      <w:r>
        <w:rPr>
          <w:rFonts w:hint="eastAsia" w:ascii="宋体" w:hAnsi="宋体" w:eastAsia="宋体" w:cs="宋体"/>
          <w:color w:val="000000"/>
        </w:rPr>
        <w:t>我单位郑重声明：我单位具备履行本项采购合同所必需的设备和专业技术能力，为履行本项采购合同我公司具备如下主要设备和主要专业技术能力：</w:t>
      </w:r>
    </w:p>
    <w:p w14:paraId="7C9A8C1F">
      <w:pPr>
        <w:pStyle w:val="30"/>
        <w:spacing w:beforeAutospacing="0" w:afterAutospacing="0" w:line="0" w:lineRule="atLeast"/>
        <w:ind w:firstLine="492"/>
        <w:jc w:val="both"/>
      </w:pPr>
      <w:r>
        <w:rPr>
          <w:rFonts w:hint="eastAsia" w:ascii="宋体" w:hAnsi="宋体" w:eastAsia="宋体" w:cs="宋体"/>
          <w:color w:val="000000"/>
        </w:rPr>
        <w:t>主要设备有：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0216C99D">
      <w:pPr>
        <w:pStyle w:val="30"/>
        <w:spacing w:beforeAutospacing="0" w:afterAutospacing="0"/>
        <w:jc w:val="both"/>
        <w:rPr>
          <w:rFonts w:ascii="宋体" w:hAnsi="宋体" w:eastAsia="宋体" w:cs="宋体"/>
          <w:color w:val="000000"/>
        </w:rPr>
      </w:pPr>
      <w:r>
        <w:rPr>
          <w:rFonts w:hint="eastAsia" w:ascii="宋体" w:hAnsi="宋体" w:eastAsia="宋体" w:cs="宋体"/>
          <w:color w:val="000000"/>
        </w:rPr>
        <w:t>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5D5C8971">
      <w:pPr>
        <w:pStyle w:val="30"/>
        <w:spacing w:beforeAutospacing="0" w:afterAutospacing="0"/>
        <w:jc w:val="both"/>
        <w:rPr>
          <w:rFonts w:ascii="宋体" w:hAnsi="宋体" w:eastAsia="宋体" w:cs="宋体"/>
          <w:color w:val="000000"/>
        </w:rPr>
      </w:pPr>
    </w:p>
    <w:p w14:paraId="65A1B223">
      <w:pPr>
        <w:pStyle w:val="30"/>
        <w:spacing w:beforeAutospacing="0" w:afterAutospacing="0"/>
        <w:jc w:val="both"/>
        <w:rPr>
          <w:rFonts w:ascii="宋体" w:hAnsi="宋体" w:eastAsia="宋体" w:cs="宋体"/>
          <w:color w:val="000000"/>
        </w:rPr>
      </w:pPr>
    </w:p>
    <w:p w14:paraId="23D5A334">
      <w:pPr>
        <w:pStyle w:val="30"/>
        <w:spacing w:beforeAutospacing="0" w:afterAutospacing="0"/>
        <w:jc w:val="both"/>
      </w:pPr>
      <w:r>
        <w:rPr>
          <w:rFonts w:hint="eastAsia" w:ascii="黑体" w:hAnsi="宋体" w:eastAsia="黑体" w:cs="黑体"/>
          <w:i/>
          <w:color w:val="000000"/>
          <w:sz w:val="32"/>
          <w:szCs w:val="32"/>
          <w:u w:val="single"/>
        </w:rPr>
        <w:t>四、依法缴纳税收和社会保障资金的相关材料</w:t>
      </w:r>
    </w:p>
    <w:p w14:paraId="0CF03583">
      <w:pPr>
        <w:pStyle w:val="30"/>
        <w:spacing w:beforeAutospacing="0" w:afterAutospacing="0"/>
        <w:ind w:firstLine="480"/>
        <w:jc w:val="both"/>
        <w:rPr>
          <w:rFonts w:ascii="宋体" w:hAnsi="宋体" w:eastAsia="宋体" w:cs="宋体"/>
          <w:color w:val="000000"/>
        </w:rPr>
      </w:pPr>
      <w:bookmarkStart w:id="196" w:name="_Toc120614284"/>
      <w:r>
        <w:rPr>
          <w:rFonts w:hint="eastAsia" w:ascii="宋体" w:hAnsi="宋体" w:eastAsia="宋体" w:cs="宋体"/>
          <w:color w:val="000000"/>
        </w:rPr>
        <w:t>提供提交投标文件截止时间前一年内至少一个月依法缴纳税收及缴纳社会保障资金的证明材料。供应商依法享受缓缴、免缴税收、社会保障资金的提供证明材料。</w:t>
      </w:r>
      <w:bookmarkEnd w:id="196"/>
    </w:p>
    <w:p w14:paraId="65C70AAA">
      <w:pPr>
        <w:pStyle w:val="30"/>
        <w:spacing w:beforeAutospacing="0" w:afterAutospacing="0"/>
        <w:ind w:firstLine="480"/>
        <w:jc w:val="both"/>
        <w:rPr>
          <w:rFonts w:ascii="宋体" w:hAnsi="宋体" w:eastAsia="宋体" w:cs="宋体"/>
          <w:color w:val="000000"/>
        </w:rPr>
      </w:pPr>
    </w:p>
    <w:p w14:paraId="25911EA7">
      <w:pPr>
        <w:pStyle w:val="30"/>
        <w:spacing w:beforeAutospacing="0" w:afterAutospacing="0"/>
        <w:ind w:firstLine="480"/>
        <w:jc w:val="both"/>
        <w:rPr>
          <w:rFonts w:ascii="宋体" w:hAnsi="宋体" w:eastAsia="宋体" w:cs="宋体"/>
          <w:color w:val="000000"/>
        </w:rPr>
      </w:pPr>
    </w:p>
    <w:p w14:paraId="64CD388C">
      <w:pPr>
        <w:pStyle w:val="30"/>
        <w:spacing w:beforeAutospacing="0" w:afterAutospacing="0"/>
        <w:jc w:val="both"/>
      </w:pPr>
      <w:r>
        <w:rPr>
          <w:rFonts w:hint="eastAsia" w:ascii="黑体" w:hAnsi="宋体" w:eastAsia="黑体" w:cs="黑体"/>
          <w:i/>
          <w:color w:val="000000"/>
          <w:sz w:val="32"/>
          <w:szCs w:val="32"/>
          <w:u w:val="single"/>
        </w:rPr>
        <w:t>五、参加政府采购活动前 3 年内在经营活动中没有重大违法记录的书面声明</w:t>
      </w:r>
    </w:p>
    <w:p w14:paraId="0EF04FC1">
      <w:pPr>
        <w:pStyle w:val="30"/>
        <w:spacing w:beforeAutospacing="0" w:afterAutospacing="0" w:line="0" w:lineRule="atLeast"/>
        <w:jc w:val="both"/>
      </w:pPr>
      <w:r>
        <w:rPr>
          <w:rFonts w:hint="eastAsia" w:ascii="宋体" w:hAnsi="宋体" w:eastAsia="宋体" w:cs="宋体"/>
          <w:b/>
          <w:color w:val="000000"/>
          <w:sz w:val="44"/>
          <w:szCs w:val="44"/>
        </w:rPr>
        <w:t>       声  明</w:t>
      </w:r>
    </w:p>
    <w:p w14:paraId="63C02EA1">
      <w:pPr>
        <w:pStyle w:val="30"/>
        <w:spacing w:beforeAutospacing="0" w:afterAutospacing="0" w:line="0" w:lineRule="atLeast"/>
        <w:jc w:val="both"/>
      </w:pPr>
      <w:r>
        <w:rPr>
          <w:rFonts w:hint="eastAsia" w:ascii="宋体" w:hAnsi="宋体" w:eastAsia="宋体" w:cs="宋体"/>
          <w:b/>
          <w:color w:val="000000"/>
        </w:rPr>
        <w:t xml:space="preserve">    </w:t>
      </w:r>
      <w:r>
        <w:rPr>
          <w:rFonts w:hint="eastAsia" w:ascii="宋体" w:hAnsi="宋体" w:eastAsia="宋体" w:cs="宋体"/>
          <w:color w:val="000000"/>
        </w:rPr>
        <w:t>我单位郑重声明：参加本次政府采购活动前 3 年内，我单位在经营活动中没有因违法经营受到刑事处罚或者责令停产停业、吊销许可证或者执照、较大数额罚款等行政处罚。</w:t>
      </w:r>
    </w:p>
    <w:p w14:paraId="5DB65BBB">
      <w:pPr>
        <w:pStyle w:val="30"/>
        <w:spacing w:beforeAutospacing="0" w:afterAutospacing="0"/>
        <w:jc w:val="both"/>
      </w:pPr>
      <w:r>
        <w:t> </w:t>
      </w:r>
    </w:p>
    <w:p w14:paraId="48A653A8">
      <w:pPr>
        <w:pStyle w:val="30"/>
        <w:spacing w:beforeAutospacing="0" w:afterAutospacing="0"/>
        <w:rPr>
          <w:rFonts w:ascii="宋体" w:hAnsi="宋体" w:cs="黑体"/>
          <w:i/>
          <w:sz w:val="32"/>
          <w:szCs w:val="32"/>
          <w:u w:val="single"/>
        </w:rPr>
      </w:pPr>
      <w:r>
        <w:rPr>
          <w:rFonts w:hint="eastAsia" w:ascii="宋体" w:hAnsi="宋体" w:cs="黑体"/>
          <w:i/>
          <w:sz w:val="32"/>
          <w:szCs w:val="32"/>
          <w:u w:val="single"/>
          <w:lang w:val="en-US" w:eastAsia="zh-CN"/>
        </w:rPr>
        <w:t>六</w:t>
      </w:r>
      <w:r>
        <w:rPr>
          <w:rFonts w:hint="eastAsia" w:ascii="宋体" w:hAnsi="宋体" w:cs="黑体"/>
          <w:i/>
          <w:sz w:val="32"/>
          <w:szCs w:val="32"/>
          <w:u w:val="single"/>
        </w:rPr>
        <w:t>、单位负责人为同一人或者存在直接控股、管理关系的不同供应商，不得参加同一合同项下的政府采购活动。</w:t>
      </w:r>
    </w:p>
    <w:p w14:paraId="2FE42E19">
      <w:pPr>
        <w:pStyle w:val="30"/>
        <w:spacing w:beforeAutospacing="0" w:afterAutospacing="0" w:line="0" w:lineRule="atLeast"/>
        <w:ind w:firstLine="3092"/>
        <w:jc w:val="both"/>
        <w:rPr>
          <w:rFonts w:ascii="宋体" w:hAnsi="宋体"/>
        </w:rPr>
      </w:pPr>
      <w:r>
        <w:rPr>
          <w:rFonts w:hint="eastAsia" w:ascii="宋体" w:hAnsi="宋体" w:cs="宋体"/>
          <w:b/>
          <w:sz w:val="44"/>
          <w:szCs w:val="44"/>
        </w:rPr>
        <w:t>声  明</w:t>
      </w:r>
    </w:p>
    <w:p w14:paraId="5FC9354B">
      <w:pPr>
        <w:pStyle w:val="30"/>
        <w:spacing w:beforeAutospacing="0" w:afterAutospacing="0" w:line="0" w:lineRule="atLeast"/>
        <w:ind w:firstLine="854"/>
        <w:jc w:val="both"/>
        <w:rPr>
          <w:rFonts w:hint="eastAsia" w:ascii="宋体" w:hAnsi="宋体" w:cs="宋体"/>
        </w:rPr>
      </w:pPr>
      <w:r>
        <w:rPr>
          <w:rFonts w:hint="eastAsia" w:ascii="宋体" w:hAnsi="宋体" w:cs="宋体"/>
        </w:rPr>
        <w:t>我单位不存在：单位负责人为同一人或者存在直接控股、管理关系的不同供应商同时参加同一合同项下的政府采购活动。</w:t>
      </w:r>
    </w:p>
    <w:p w14:paraId="7C77DF87">
      <w:pPr>
        <w:pStyle w:val="30"/>
        <w:spacing w:beforeAutospacing="0" w:afterAutospacing="0"/>
        <w:jc w:val="both"/>
      </w:pPr>
    </w:p>
    <w:p w14:paraId="62F35BD5">
      <w:pPr>
        <w:pStyle w:val="30"/>
        <w:spacing w:beforeAutospacing="0" w:afterAutospacing="0"/>
        <w:jc w:val="both"/>
      </w:pPr>
    </w:p>
    <w:p w14:paraId="76355C10">
      <w:pPr>
        <w:pStyle w:val="30"/>
        <w:spacing w:beforeAutospacing="0" w:afterAutospacing="0"/>
        <w:jc w:val="both"/>
      </w:pPr>
      <w:r>
        <w:rPr>
          <w:rFonts w:hint="eastAsia" w:ascii="黑体" w:hAnsi="宋体" w:eastAsia="黑体" w:cs="黑体"/>
          <w:i/>
          <w:color w:val="000000"/>
          <w:sz w:val="32"/>
          <w:szCs w:val="32"/>
          <w:u w:val="single"/>
          <w:lang w:val="en-US" w:eastAsia="zh-CN"/>
        </w:rPr>
        <w:t>七</w:t>
      </w:r>
      <w:r>
        <w:rPr>
          <w:rFonts w:hint="eastAsia" w:ascii="黑体" w:hAnsi="宋体" w:eastAsia="黑体" w:cs="黑体"/>
          <w:i/>
          <w:color w:val="000000"/>
          <w:sz w:val="32"/>
          <w:szCs w:val="32"/>
          <w:u w:val="single"/>
        </w:rPr>
        <w:t>、特定资格要求的证明文件</w:t>
      </w:r>
    </w:p>
    <w:p w14:paraId="3E504245">
      <w:pPr>
        <w:pStyle w:val="30"/>
        <w:spacing w:beforeAutospacing="0" w:afterAutospacing="0" w:line="0" w:lineRule="atLeast"/>
        <w:jc w:val="both"/>
      </w:pPr>
      <w:r>
        <w:rPr>
          <w:rFonts w:hint="eastAsia" w:ascii="宋体" w:hAnsi="宋体" w:eastAsia="宋体" w:cs="宋体"/>
          <w:color w:val="000000"/>
        </w:rPr>
        <w:t>    如果本项目申请人的特定资格要求中要求提供的，必须提供。</w:t>
      </w:r>
    </w:p>
    <w:p w14:paraId="7DC137C2">
      <w:pPr>
        <w:pStyle w:val="30"/>
        <w:spacing w:beforeAutospacing="0" w:afterAutospacing="0" w:line="0" w:lineRule="atLeast"/>
        <w:jc w:val="both"/>
        <w:rPr>
          <w:rFonts w:ascii="黑体" w:hAnsi="宋体" w:eastAsia="黑体" w:cs="黑体"/>
          <w:i/>
          <w:color w:val="000000"/>
          <w:sz w:val="32"/>
          <w:szCs w:val="32"/>
          <w:u w:val="single"/>
        </w:rPr>
      </w:pPr>
      <w:r>
        <w:t> </w:t>
      </w:r>
    </w:p>
    <w:p w14:paraId="18F12285">
      <w:pPr>
        <w:pStyle w:val="30"/>
        <w:spacing w:beforeAutospacing="0" w:afterAutospacing="0"/>
        <w:jc w:val="center"/>
        <w:rPr>
          <w:rFonts w:hint="eastAsia" w:ascii="黑体" w:hAnsi="宋体" w:eastAsia="黑体" w:cs="黑体"/>
          <w:i/>
          <w:color w:val="000000"/>
          <w:sz w:val="32"/>
          <w:szCs w:val="32"/>
          <w:u w:val="single"/>
          <w:lang w:val="en-US" w:eastAsia="zh-CN"/>
        </w:rPr>
      </w:pPr>
    </w:p>
    <w:p w14:paraId="4DA3BC95">
      <w:pPr>
        <w:pStyle w:val="30"/>
        <w:spacing w:beforeAutospacing="0" w:afterAutospacing="0"/>
        <w:jc w:val="center"/>
        <w:rPr>
          <w:rFonts w:hint="eastAsia" w:ascii="黑体" w:hAnsi="宋体" w:eastAsia="黑体" w:cs="黑体"/>
          <w:i/>
          <w:color w:val="000000"/>
          <w:sz w:val="32"/>
          <w:szCs w:val="32"/>
          <w:u w:val="single"/>
          <w:lang w:val="en-US" w:eastAsia="zh-CN"/>
        </w:rPr>
      </w:pPr>
    </w:p>
    <w:p w14:paraId="35927321">
      <w:pPr>
        <w:pStyle w:val="30"/>
        <w:spacing w:beforeAutospacing="0" w:afterAutospacing="0"/>
        <w:jc w:val="center"/>
        <w:rPr>
          <w:rFonts w:hint="eastAsia" w:ascii="黑体" w:hAnsi="宋体" w:eastAsia="黑体" w:cs="黑体"/>
          <w:i/>
          <w:color w:val="000000"/>
          <w:sz w:val="32"/>
          <w:szCs w:val="32"/>
          <w:u w:val="single"/>
          <w:lang w:val="en-US" w:eastAsia="zh-CN"/>
        </w:rPr>
      </w:pPr>
    </w:p>
    <w:p w14:paraId="3D16B744">
      <w:pPr>
        <w:pStyle w:val="30"/>
        <w:spacing w:beforeAutospacing="0" w:afterAutospacing="0"/>
        <w:jc w:val="center"/>
      </w:pPr>
      <w:r>
        <w:rPr>
          <w:rFonts w:hint="eastAsia" w:ascii="黑体" w:hAnsi="宋体" w:eastAsia="黑体" w:cs="黑体"/>
          <w:i/>
          <w:color w:val="000000"/>
          <w:sz w:val="32"/>
          <w:szCs w:val="32"/>
          <w:u w:val="single"/>
          <w:lang w:val="en-US" w:eastAsia="zh-CN"/>
        </w:rPr>
        <w:t>八</w:t>
      </w:r>
      <w:r>
        <w:rPr>
          <w:rFonts w:hint="eastAsia" w:ascii="黑体" w:hAnsi="宋体" w:eastAsia="黑体" w:cs="黑体"/>
          <w:i/>
          <w:color w:val="000000"/>
          <w:sz w:val="32"/>
          <w:szCs w:val="32"/>
          <w:u w:val="single"/>
        </w:rPr>
        <w:t>、法人授权书</w:t>
      </w:r>
    </w:p>
    <w:p w14:paraId="7D17DD5C">
      <w:pPr>
        <w:pStyle w:val="30"/>
        <w:tabs>
          <w:tab w:val="left" w:pos="360"/>
        </w:tabs>
        <w:spacing w:beforeAutospacing="0" w:afterAutospacing="0" w:line="500" w:lineRule="exact"/>
        <w:ind w:firstLine="480"/>
        <w:jc w:val="both"/>
        <w:rPr>
          <w:rFonts w:ascii="Times New Roman" w:hAnsi="Times New Roman"/>
          <w:color w:val="000000"/>
        </w:rPr>
      </w:pPr>
    </w:p>
    <w:p w14:paraId="58713CE4">
      <w:pPr>
        <w:pStyle w:val="30"/>
        <w:tabs>
          <w:tab w:val="left" w:pos="360"/>
        </w:tabs>
        <w:spacing w:beforeAutospacing="0" w:afterAutospacing="0" w:line="500" w:lineRule="exact"/>
        <w:ind w:firstLine="480"/>
        <w:jc w:val="both"/>
      </w:pPr>
      <w:r>
        <w:rPr>
          <w:rFonts w:ascii="Times New Roman" w:hAnsi="Times New Roman"/>
          <w:color w:val="000000"/>
        </w:rPr>
        <w:t>本授权书声明：____________（</w:t>
      </w:r>
      <w:r>
        <w:rPr>
          <w:rFonts w:hint="eastAsia" w:ascii="Times New Roman" w:hAnsi="Times New Roman"/>
          <w:color w:val="000000"/>
        </w:rPr>
        <w:t>供应商</w:t>
      </w:r>
      <w:r>
        <w:rPr>
          <w:rFonts w:ascii="Times New Roman" w:hAnsi="Times New Roman"/>
          <w:color w:val="000000"/>
        </w:rPr>
        <w:t>名称）授权________________（被授权人的姓名）为我方就JSZC-</w:t>
      </w:r>
      <w:r>
        <w:rPr>
          <w:rFonts w:ascii="Times New Roman" w:hAnsi="Times New Roman"/>
          <w:color w:val="000000"/>
          <w:u w:val="single"/>
        </w:rPr>
        <w:t>       </w:t>
      </w:r>
      <w:r>
        <w:rPr>
          <w:rFonts w:ascii="Times New Roman" w:hAnsi="Times New Roman"/>
          <w:color w:val="000000"/>
        </w:rPr>
        <w:t>号项目采购活动的合法代理人，以本单位名义全权处理一切与该项目采购有关的事务。</w:t>
      </w:r>
    </w:p>
    <w:p w14:paraId="23B512AD">
      <w:pPr>
        <w:pStyle w:val="30"/>
        <w:tabs>
          <w:tab w:val="left" w:pos="360"/>
        </w:tabs>
        <w:spacing w:beforeAutospacing="0" w:afterAutospacing="0" w:line="500" w:lineRule="exact"/>
        <w:ind w:firstLine="480"/>
        <w:jc w:val="both"/>
      </w:pPr>
      <w:r>
        <w:rPr>
          <w:rFonts w:ascii="Times New Roman" w:hAnsi="Times New Roman"/>
          <w:color w:val="000000"/>
        </w:rPr>
        <w:t>本授权书于______年____月____日起生效，特此声明。</w:t>
      </w:r>
    </w:p>
    <w:p w14:paraId="1CC45798">
      <w:pPr>
        <w:pStyle w:val="30"/>
        <w:tabs>
          <w:tab w:val="left" w:pos="360"/>
        </w:tabs>
        <w:spacing w:beforeAutospacing="0" w:afterAutospacing="0" w:line="500" w:lineRule="exact"/>
        <w:jc w:val="both"/>
      </w:pPr>
      <w:r>
        <w:rPr>
          <w:rFonts w:ascii="Times New Roman" w:hAnsi="Times New Roman"/>
          <w:color w:val="000000"/>
        </w:rPr>
        <w:t>          被授权人身份证号码：</w:t>
      </w:r>
      <w:r>
        <w:rPr>
          <w:rFonts w:ascii="Times New Roman" w:hAnsi="Times New Roman"/>
          <w:color w:val="000000"/>
          <w:u w:val="single"/>
        </w:rPr>
        <w:t xml:space="preserve">                              </w:t>
      </w:r>
    </w:p>
    <w:p w14:paraId="2369B18C">
      <w:pPr>
        <w:pStyle w:val="30"/>
        <w:tabs>
          <w:tab w:val="left" w:pos="360"/>
        </w:tabs>
        <w:spacing w:beforeAutospacing="0" w:afterAutospacing="0" w:line="500" w:lineRule="exact"/>
        <w:jc w:val="both"/>
      </w:pPr>
      <w:r>
        <w:rPr>
          <w:rFonts w:ascii="Times New Roman" w:hAnsi="Times New Roman"/>
          <w:color w:val="000000"/>
        </w:rPr>
        <w:t>          被授权人联系电话：（手机）</w:t>
      </w:r>
      <w:r>
        <w:rPr>
          <w:rFonts w:ascii="Times New Roman" w:hAnsi="Times New Roman"/>
          <w:color w:val="000000"/>
          <w:u w:val="single"/>
        </w:rPr>
        <w:t xml:space="preserve">                          </w:t>
      </w:r>
    </w:p>
    <w:p w14:paraId="71BF68BD">
      <w:pPr>
        <w:pStyle w:val="30"/>
        <w:tabs>
          <w:tab w:val="left" w:pos="360"/>
        </w:tabs>
        <w:spacing w:beforeAutospacing="0" w:afterAutospacing="0" w:line="500" w:lineRule="exact"/>
        <w:ind w:firstLine="720"/>
        <w:jc w:val="both"/>
      </w:pPr>
      <w:r>
        <w:rPr>
          <w:rFonts w:ascii="Times New Roman" w:hAnsi="Times New Roman"/>
          <w:color w:val="000000"/>
        </w:rPr>
        <w:t>授权单位名称：</w:t>
      </w:r>
      <w:r>
        <w:rPr>
          <w:rFonts w:ascii="Times New Roman" w:hAnsi="Times New Roman"/>
          <w:color w:val="000000"/>
          <w:u w:val="single"/>
        </w:rPr>
        <w:t>（加盖CA电子公章）</w:t>
      </w:r>
    </w:p>
    <w:p w14:paraId="3EC84B24">
      <w:pPr>
        <w:pStyle w:val="30"/>
        <w:tabs>
          <w:tab w:val="left" w:pos="360"/>
        </w:tabs>
        <w:spacing w:beforeAutospacing="0" w:afterAutospacing="0" w:line="500" w:lineRule="exact"/>
        <w:ind w:firstLine="480"/>
        <w:jc w:val="both"/>
      </w:pPr>
      <w:r>
        <w:rPr>
          <w:rFonts w:ascii="Times New Roman" w:hAnsi="Times New Roman"/>
          <w:color w:val="000000"/>
        </w:rPr>
        <w:t>    单位地址：</w:t>
      </w:r>
      <w:r>
        <w:rPr>
          <w:rFonts w:ascii="Times New Roman" w:hAnsi="Times New Roman"/>
          <w:color w:val="000000"/>
          <w:u w:val="single"/>
        </w:rPr>
        <w:t xml:space="preserve">                                         </w:t>
      </w:r>
    </w:p>
    <w:p w14:paraId="79ED000E">
      <w:pPr>
        <w:pStyle w:val="30"/>
        <w:tabs>
          <w:tab w:val="left" w:pos="360"/>
        </w:tabs>
        <w:spacing w:beforeAutospacing="0" w:afterAutospacing="0" w:line="500" w:lineRule="exact"/>
        <w:ind w:firstLine="480"/>
        <w:jc w:val="both"/>
      </w:pPr>
      <w:r>
        <w:rPr>
          <w:rFonts w:ascii="Times New Roman" w:hAnsi="Times New Roman"/>
          <w:color w:val="000000"/>
        </w:rPr>
        <w:t>    日期：</w:t>
      </w:r>
      <w:bookmarkStart w:id="197" w:name="_Hlt26955070"/>
      <w:bookmarkStart w:id="198" w:name="_格式3__银行出具的资信证明"/>
      <w:bookmarkStart w:id="199" w:name="_Hlt26671380"/>
      <w:r>
        <w:rPr>
          <w:rFonts w:ascii="Times New Roman" w:hAnsi="Times New Roman"/>
          <w:color w:val="000000"/>
          <w:u w:val="single"/>
        </w:rPr>
        <w:t xml:space="preserve">                                             </w:t>
      </w:r>
    </w:p>
    <w:p w14:paraId="2C3B749C">
      <w:pPr>
        <w:pStyle w:val="30"/>
        <w:spacing w:beforeAutospacing="0" w:afterAutospacing="0"/>
        <w:ind w:firstLine="420"/>
        <w:jc w:val="both"/>
      </w:pPr>
      <w:r>
        <w:t> </w:t>
      </w:r>
    </w:p>
    <w:p w14:paraId="2ADE92B7">
      <w:pPr>
        <w:pStyle w:val="30"/>
        <w:spacing w:beforeAutospacing="0" w:afterAutospacing="0"/>
        <w:jc w:val="both"/>
      </w:pPr>
      <w:r>
        <w:t> </w:t>
      </w:r>
    </w:p>
    <w:p w14:paraId="3B9BDF9D">
      <w:pPr>
        <w:pStyle w:val="30"/>
        <w:spacing w:beforeAutospacing="0" w:afterAutospacing="0" w:line="0" w:lineRule="atLeast"/>
        <w:jc w:val="both"/>
      </w:pPr>
      <w:r>
        <w:t> </w:t>
      </w:r>
    </w:p>
    <w:p w14:paraId="2B3021B6">
      <w:pPr>
        <w:pStyle w:val="30"/>
        <w:spacing w:beforeAutospacing="0" w:afterAutospacing="0" w:line="0" w:lineRule="atLeast"/>
        <w:jc w:val="both"/>
      </w:pPr>
      <w:r>
        <w:t> </w:t>
      </w:r>
    </w:p>
    <w:p w14:paraId="76041A0B">
      <w:pPr>
        <w:pStyle w:val="30"/>
        <w:spacing w:beforeAutospacing="0" w:afterAutospacing="0"/>
        <w:jc w:val="both"/>
        <w:rPr>
          <w:rFonts w:ascii="黑体" w:hAnsi="宋体" w:eastAsia="黑体" w:cs="黑体"/>
          <w:i/>
          <w:color w:val="000000"/>
          <w:sz w:val="32"/>
          <w:szCs w:val="32"/>
          <w:u w:val="single"/>
        </w:rPr>
      </w:pPr>
      <w:r>
        <w:rPr>
          <w:rFonts w:hint="eastAsia" w:ascii="宋体" w:hAnsi="宋体" w:eastAsia="宋体" w:cs="宋体"/>
          <w:b/>
          <w:color w:val="000000"/>
        </w:rPr>
        <w:t> </w:t>
      </w:r>
    </w:p>
    <w:p w14:paraId="205130D4">
      <w:pPr>
        <w:pStyle w:val="30"/>
        <w:spacing w:beforeAutospacing="0" w:afterAutospacing="0"/>
        <w:jc w:val="center"/>
        <w:rPr>
          <w:rFonts w:ascii="黑体" w:hAnsi="宋体" w:eastAsia="黑体" w:cs="黑体"/>
          <w:i/>
          <w:color w:val="000000"/>
          <w:sz w:val="32"/>
          <w:szCs w:val="32"/>
          <w:u w:val="single"/>
        </w:rPr>
      </w:pPr>
    </w:p>
    <w:p w14:paraId="576863E1">
      <w:pPr>
        <w:pStyle w:val="30"/>
        <w:spacing w:beforeAutospacing="0" w:afterAutospacing="0"/>
        <w:jc w:val="center"/>
        <w:rPr>
          <w:rFonts w:ascii="黑体" w:hAnsi="宋体" w:eastAsia="黑体" w:cs="黑体"/>
          <w:i/>
          <w:color w:val="000000"/>
          <w:sz w:val="32"/>
          <w:szCs w:val="32"/>
          <w:u w:val="single"/>
        </w:rPr>
      </w:pPr>
    </w:p>
    <w:p w14:paraId="380F6423">
      <w:pPr>
        <w:pStyle w:val="30"/>
        <w:spacing w:beforeAutospacing="0" w:afterAutospacing="0"/>
        <w:jc w:val="center"/>
        <w:rPr>
          <w:rFonts w:ascii="黑体" w:hAnsi="宋体" w:eastAsia="黑体" w:cs="黑体"/>
          <w:i/>
          <w:color w:val="000000"/>
          <w:sz w:val="32"/>
          <w:szCs w:val="32"/>
          <w:u w:val="single"/>
        </w:rPr>
      </w:pPr>
    </w:p>
    <w:p w14:paraId="4541279F">
      <w:pPr>
        <w:pStyle w:val="30"/>
        <w:spacing w:beforeAutospacing="0" w:afterAutospacing="0"/>
        <w:jc w:val="center"/>
        <w:rPr>
          <w:rFonts w:ascii="黑体" w:hAnsi="宋体" w:eastAsia="黑体" w:cs="黑体"/>
          <w:i/>
          <w:color w:val="000000"/>
          <w:sz w:val="32"/>
          <w:szCs w:val="32"/>
          <w:u w:val="single"/>
        </w:rPr>
      </w:pPr>
    </w:p>
    <w:p w14:paraId="5C5E039E">
      <w:pPr>
        <w:pStyle w:val="30"/>
        <w:spacing w:beforeAutospacing="0" w:afterAutospacing="0"/>
        <w:jc w:val="center"/>
        <w:rPr>
          <w:rFonts w:ascii="黑体" w:hAnsi="宋体" w:eastAsia="黑体" w:cs="黑体"/>
          <w:bCs/>
          <w:i/>
          <w:color w:val="000000"/>
          <w:sz w:val="32"/>
          <w:szCs w:val="32"/>
          <w:u w:val="single"/>
        </w:rPr>
      </w:pPr>
    </w:p>
    <w:p w14:paraId="57C8243B">
      <w:pPr>
        <w:pStyle w:val="30"/>
        <w:spacing w:beforeAutospacing="0" w:afterAutospacing="0"/>
        <w:jc w:val="center"/>
        <w:rPr>
          <w:rFonts w:ascii="黑体" w:hAnsi="宋体" w:eastAsia="黑体" w:cs="黑体"/>
          <w:bCs/>
          <w:i/>
          <w:color w:val="000000"/>
          <w:sz w:val="32"/>
          <w:szCs w:val="32"/>
          <w:u w:val="single"/>
        </w:rPr>
      </w:pPr>
    </w:p>
    <w:p w14:paraId="55D39391">
      <w:pPr>
        <w:pStyle w:val="30"/>
        <w:spacing w:beforeAutospacing="0" w:afterAutospacing="0"/>
        <w:jc w:val="center"/>
        <w:rPr>
          <w:rFonts w:ascii="黑体" w:hAnsi="宋体" w:eastAsia="黑体" w:cs="黑体"/>
          <w:bCs/>
          <w:i/>
          <w:color w:val="000000"/>
          <w:sz w:val="32"/>
          <w:szCs w:val="32"/>
          <w:u w:val="single"/>
        </w:rPr>
      </w:pPr>
    </w:p>
    <w:p w14:paraId="7195E104">
      <w:pPr>
        <w:pStyle w:val="30"/>
        <w:spacing w:beforeAutospacing="0" w:afterAutospacing="0"/>
        <w:jc w:val="center"/>
        <w:rPr>
          <w:rFonts w:ascii="黑体" w:hAnsi="宋体" w:eastAsia="黑体" w:cs="黑体"/>
          <w:bCs/>
          <w:i/>
          <w:color w:val="000000"/>
          <w:sz w:val="32"/>
          <w:szCs w:val="32"/>
          <w:u w:val="single"/>
        </w:rPr>
      </w:pPr>
    </w:p>
    <w:p w14:paraId="12B7529A">
      <w:pPr>
        <w:pStyle w:val="30"/>
        <w:spacing w:beforeAutospacing="0" w:afterAutospacing="0"/>
        <w:jc w:val="center"/>
        <w:rPr>
          <w:rFonts w:ascii="黑体" w:hAnsi="宋体" w:eastAsia="黑体" w:cs="黑体"/>
          <w:bCs/>
          <w:i/>
          <w:color w:val="000000"/>
          <w:sz w:val="32"/>
          <w:szCs w:val="32"/>
          <w:u w:val="single"/>
        </w:rPr>
      </w:pPr>
    </w:p>
    <w:p w14:paraId="60994278">
      <w:pPr>
        <w:pStyle w:val="30"/>
        <w:spacing w:beforeAutospacing="0" w:afterAutospacing="0"/>
        <w:jc w:val="center"/>
        <w:rPr>
          <w:rFonts w:ascii="黑体" w:hAnsi="宋体" w:eastAsia="黑体" w:cs="黑体"/>
          <w:bCs/>
          <w:i/>
          <w:color w:val="000000"/>
          <w:sz w:val="32"/>
          <w:szCs w:val="32"/>
          <w:u w:val="single"/>
        </w:rPr>
      </w:pPr>
    </w:p>
    <w:p w14:paraId="6C708157">
      <w:pPr>
        <w:pStyle w:val="30"/>
        <w:spacing w:beforeAutospacing="0" w:afterAutospacing="0"/>
        <w:jc w:val="center"/>
        <w:rPr>
          <w:rFonts w:ascii="黑体" w:hAnsi="宋体" w:eastAsia="黑体" w:cs="黑体"/>
          <w:bCs/>
          <w:i/>
          <w:color w:val="000000"/>
          <w:sz w:val="32"/>
          <w:szCs w:val="32"/>
          <w:u w:val="single"/>
        </w:rPr>
      </w:pPr>
    </w:p>
    <w:p w14:paraId="4C0388B2">
      <w:pPr>
        <w:pStyle w:val="30"/>
        <w:spacing w:beforeAutospacing="0" w:afterAutospacing="0"/>
        <w:jc w:val="center"/>
        <w:rPr>
          <w:rFonts w:ascii="黑体" w:hAnsi="宋体" w:eastAsia="黑体" w:cs="黑体"/>
          <w:i/>
          <w:color w:val="000000"/>
          <w:sz w:val="32"/>
          <w:szCs w:val="32"/>
          <w:u w:val="single"/>
        </w:rPr>
      </w:pPr>
    </w:p>
    <w:p w14:paraId="29CD2F4C">
      <w:pPr>
        <w:pStyle w:val="30"/>
        <w:spacing w:beforeAutospacing="0" w:afterAutospacing="0"/>
        <w:jc w:val="center"/>
        <w:rPr>
          <w:rFonts w:ascii="黑体" w:hAnsi="宋体" w:eastAsia="黑体" w:cs="黑体"/>
          <w:i/>
          <w:color w:val="000000"/>
          <w:sz w:val="32"/>
          <w:szCs w:val="32"/>
          <w:u w:val="single"/>
        </w:rPr>
      </w:pPr>
    </w:p>
    <w:p w14:paraId="6DB7AB25">
      <w:pPr>
        <w:pStyle w:val="30"/>
        <w:spacing w:beforeAutospacing="0" w:afterAutospacing="0"/>
        <w:jc w:val="both"/>
        <w:rPr>
          <w:rFonts w:ascii="黑体" w:hAnsi="宋体" w:eastAsia="黑体" w:cs="黑体"/>
          <w:i/>
          <w:color w:val="000000"/>
          <w:sz w:val="32"/>
          <w:szCs w:val="32"/>
          <w:u w:val="single"/>
        </w:rPr>
      </w:pPr>
    </w:p>
    <w:p w14:paraId="278C7A3F">
      <w:pPr>
        <w:pStyle w:val="30"/>
        <w:spacing w:beforeAutospacing="0" w:afterAutospacing="0"/>
        <w:jc w:val="center"/>
        <w:rPr>
          <w:rFonts w:ascii="黑体" w:hAnsi="宋体" w:eastAsia="黑体" w:cs="黑体"/>
          <w:i/>
          <w:color w:val="000000"/>
          <w:sz w:val="32"/>
          <w:szCs w:val="32"/>
          <w:u w:val="single"/>
        </w:rPr>
      </w:pPr>
    </w:p>
    <w:p w14:paraId="0F0FF6FF">
      <w:pPr>
        <w:pStyle w:val="30"/>
        <w:spacing w:beforeAutospacing="0" w:afterAutospacing="0"/>
        <w:jc w:val="both"/>
        <w:rPr>
          <w:rFonts w:ascii="黑体" w:hAnsi="宋体" w:eastAsia="黑体" w:cs="黑体"/>
          <w:i/>
          <w:color w:val="000000"/>
          <w:sz w:val="32"/>
          <w:szCs w:val="32"/>
          <w:u w:val="single"/>
        </w:rPr>
      </w:pPr>
    </w:p>
    <w:p w14:paraId="2F17FC52">
      <w:pPr>
        <w:pStyle w:val="30"/>
        <w:spacing w:beforeAutospacing="0" w:afterAutospacing="0"/>
        <w:jc w:val="both"/>
        <w:rPr>
          <w:rFonts w:ascii="黑体" w:hAnsi="宋体" w:eastAsia="黑体" w:cs="黑体"/>
          <w:i/>
          <w:color w:val="000000"/>
          <w:sz w:val="32"/>
          <w:szCs w:val="32"/>
          <w:u w:val="single"/>
        </w:rPr>
      </w:pPr>
    </w:p>
    <w:p w14:paraId="75D6317F">
      <w:pPr>
        <w:pStyle w:val="30"/>
        <w:spacing w:beforeAutospacing="0" w:afterAutospacing="0"/>
        <w:jc w:val="center"/>
        <w:rPr>
          <w:rFonts w:ascii="黑体" w:hAnsi="宋体" w:eastAsia="黑体" w:cs="黑体"/>
          <w:i/>
          <w:color w:val="000000"/>
          <w:sz w:val="32"/>
          <w:szCs w:val="32"/>
          <w:u w:val="single"/>
        </w:rPr>
      </w:pPr>
      <w:r>
        <w:rPr>
          <w:rFonts w:hint="eastAsia" w:ascii="黑体" w:hAnsi="宋体" w:eastAsia="黑体" w:cs="黑体"/>
          <w:i/>
          <w:color w:val="000000"/>
          <w:sz w:val="32"/>
          <w:szCs w:val="32"/>
          <w:u w:val="single"/>
          <w:lang w:val="en-US" w:eastAsia="zh-CN"/>
        </w:rPr>
        <w:t>九</w:t>
      </w:r>
      <w:r>
        <w:rPr>
          <w:rFonts w:hint="eastAsia" w:ascii="黑体" w:hAnsi="宋体" w:eastAsia="黑体" w:cs="黑体"/>
          <w:i/>
          <w:color w:val="000000"/>
          <w:sz w:val="32"/>
          <w:szCs w:val="32"/>
          <w:u w:val="single"/>
        </w:rPr>
        <w:t>、投标函</w:t>
      </w:r>
    </w:p>
    <w:p w14:paraId="1FF1F4FE">
      <w:pPr>
        <w:pStyle w:val="30"/>
        <w:spacing w:beforeAutospacing="0" w:afterAutospacing="0" w:line="500" w:lineRule="exact"/>
        <w:rPr>
          <w:rFonts w:eastAsia="宋体"/>
        </w:rPr>
      </w:pPr>
      <w:r>
        <w:rPr>
          <w:rFonts w:hint="eastAsia" w:ascii="宋体" w:hAnsi="宋体" w:eastAsia="宋体" w:cs="宋体"/>
          <w:color w:val="000000"/>
        </w:rPr>
        <w:t>致：</w:t>
      </w:r>
      <w:r>
        <w:rPr>
          <w:rFonts w:hint="eastAsia" w:ascii="宋体" w:hAnsi="宋体" w:eastAsia="宋体" w:cs="宋体"/>
          <w:color w:val="000000"/>
          <w:lang w:val="en-US" w:eastAsia="zh-CN"/>
        </w:rPr>
        <w:t>江苏鑫缘</w:t>
      </w:r>
      <w:r>
        <w:rPr>
          <w:rFonts w:hint="eastAsia" w:ascii="宋体" w:hAnsi="宋体" w:eastAsia="宋体" w:cs="宋体"/>
          <w:color w:val="000000"/>
        </w:rPr>
        <w:t>项目管理有限公司</w:t>
      </w:r>
    </w:p>
    <w:p w14:paraId="0DC43B8E">
      <w:pPr>
        <w:pStyle w:val="30"/>
        <w:spacing w:beforeAutospacing="0" w:afterAutospacing="0" w:line="500" w:lineRule="exact"/>
        <w:ind w:firstLine="480"/>
      </w:pPr>
      <w:r>
        <w:rPr>
          <w:rFonts w:hint="eastAsia" w:ascii="宋体" w:hAnsi="宋体" w:eastAsia="宋体" w:cs="宋体"/>
          <w:color w:val="000000"/>
        </w:rPr>
        <w:t>根据贵方的JSZC-320924-XYGS-G2026-0004号招标文件，正式授权下述签字人______(姓名)代表我方_____________（供应商的名称），全权处理本次项目投标的有关事宜。</w:t>
      </w:r>
    </w:p>
    <w:p w14:paraId="29B8B533">
      <w:pPr>
        <w:pStyle w:val="30"/>
        <w:spacing w:beforeAutospacing="0" w:afterAutospacing="0" w:line="500" w:lineRule="exact"/>
        <w:ind w:firstLine="480"/>
      </w:pPr>
      <w:r>
        <w:rPr>
          <w:rFonts w:hint="eastAsia" w:ascii="宋体" w:hAnsi="宋体" w:eastAsia="宋体" w:cs="宋体"/>
          <w:color w:val="000000"/>
        </w:rPr>
        <w:t>据此函，__________签字人兹宣布同意如下：</w:t>
      </w:r>
    </w:p>
    <w:p w14:paraId="293F3F8C">
      <w:pPr>
        <w:pStyle w:val="30"/>
        <w:spacing w:beforeAutospacing="0" w:afterAutospacing="0" w:line="500" w:lineRule="exact"/>
        <w:ind w:firstLine="480"/>
      </w:pPr>
      <w:r>
        <w:rPr>
          <w:rFonts w:hint="eastAsia" w:ascii="宋体" w:hAnsi="宋体" w:eastAsia="宋体" w:cs="宋体"/>
          <w:color w:val="000000"/>
        </w:rPr>
        <w:t>1.按招标文件规定的各项要求，向买方提供所需货物（包含与货物相关的服务）。</w:t>
      </w:r>
    </w:p>
    <w:p w14:paraId="08645F0F">
      <w:pPr>
        <w:pStyle w:val="30"/>
        <w:spacing w:beforeAutospacing="0" w:afterAutospacing="0" w:line="500" w:lineRule="exact"/>
        <w:ind w:firstLine="480"/>
      </w:pPr>
      <w:r>
        <w:rPr>
          <w:rFonts w:hint="eastAsia" w:ascii="宋体" w:hAnsi="宋体" w:eastAsia="宋体" w:cs="宋体"/>
          <w:color w:val="000000"/>
        </w:rPr>
        <w:t>2.我们完全理解贵方不一定将合同授予最低报价的供应商。</w:t>
      </w:r>
    </w:p>
    <w:p w14:paraId="7F873DBD">
      <w:pPr>
        <w:pStyle w:val="30"/>
        <w:spacing w:beforeAutospacing="0" w:afterAutospacing="0" w:line="500" w:lineRule="exact"/>
        <w:ind w:firstLine="480"/>
      </w:pPr>
      <w:r>
        <w:rPr>
          <w:rFonts w:hint="eastAsia" w:ascii="宋体" w:hAnsi="宋体" w:eastAsia="宋体" w:cs="宋体"/>
          <w:color w:val="000000"/>
        </w:rPr>
        <w:t>3.我们已详细审核全部招标文件及其有效补充文件，我们知道必须放弃提出含糊不清或误解问题的权利。</w:t>
      </w:r>
    </w:p>
    <w:p w14:paraId="408DA3FE">
      <w:pPr>
        <w:pStyle w:val="30"/>
        <w:spacing w:beforeAutospacing="0" w:afterAutospacing="0" w:line="500" w:lineRule="exact"/>
        <w:ind w:firstLine="480"/>
      </w:pPr>
      <w:r>
        <w:rPr>
          <w:rFonts w:hint="eastAsia" w:ascii="宋体" w:hAnsi="宋体" w:eastAsia="宋体" w:cs="宋体"/>
          <w:color w:val="000000"/>
        </w:rPr>
        <w:t>4.我们同意从规定的开标日期起遵循本投标文件，并在规定的投标有效期期满之前均具有约束力。</w:t>
      </w:r>
    </w:p>
    <w:p w14:paraId="7A3ED6C4">
      <w:pPr>
        <w:pStyle w:val="30"/>
        <w:spacing w:beforeAutospacing="0" w:afterAutospacing="0" w:line="500" w:lineRule="exact"/>
        <w:ind w:firstLine="480"/>
      </w:pPr>
      <w:r>
        <w:rPr>
          <w:rFonts w:hint="eastAsia" w:ascii="宋体" w:hAnsi="宋体" w:eastAsia="宋体" w:cs="宋体"/>
          <w:color w:val="000000"/>
        </w:rPr>
        <w:t>5.同意向贵方提供贵方可能另外要求的与投标有关的任何证据或资料，并保证我方已提供和将要提供的文件是真实的、准确的。</w:t>
      </w:r>
    </w:p>
    <w:p w14:paraId="3B051DA7">
      <w:pPr>
        <w:pStyle w:val="30"/>
        <w:spacing w:beforeAutospacing="0" w:afterAutospacing="0" w:line="500" w:lineRule="exact"/>
        <w:ind w:firstLine="480"/>
      </w:pPr>
      <w:r>
        <w:rPr>
          <w:rFonts w:hint="eastAsia" w:ascii="宋体" w:hAnsi="宋体" w:eastAsia="宋体" w:cs="宋体"/>
          <w:color w:val="000000"/>
        </w:rPr>
        <w:t>6.一旦我方中标,我方将根据招标文件的规定，严格履行合同的责任和义务,并保证在招标文件规定的时间完成项目，交付买方验收、使用。</w:t>
      </w:r>
    </w:p>
    <w:p w14:paraId="4528ADB4">
      <w:pPr>
        <w:pStyle w:val="30"/>
        <w:spacing w:beforeAutospacing="0" w:afterAutospacing="0" w:line="500" w:lineRule="exact"/>
        <w:ind w:firstLine="480"/>
      </w:pPr>
      <w:r>
        <w:rPr>
          <w:rFonts w:hint="eastAsia" w:ascii="宋体" w:hAnsi="宋体" w:eastAsia="宋体" w:cs="宋体"/>
          <w:color w:val="000000"/>
        </w:rPr>
        <w:t>7.与本投标有关的正式通讯地址为：</w:t>
      </w:r>
    </w:p>
    <w:p w14:paraId="1E7EC7B5">
      <w:pPr>
        <w:pStyle w:val="30"/>
        <w:spacing w:beforeAutospacing="0" w:afterAutospacing="0" w:line="500" w:lineRule="exact"/>
        <w:ind w:firstLine="480"/>
      </w:pPr>
      <w:r>
        <w:rPr>
          <w:rFonts w:hint="eastAsia" w:ascii="宋体" w:hAnsi="宋体" w:eastAsia="宋体" w:cs="宋体"/>
          <w:color w:val="000000"/>
        </w:rPr>
        <w:t>地          址：</w:t>
      </w:r>
    </w:p>
    <w:p w14:paraId="60E0A087">
      <w:pPr>
        <w:pStyle w:val="30"/>
        <w:spacing w:beforeAutospacing="0" w:afterAutospacing="0" w:line="500" w:lineRule="exact"/>
        <w:ind w:firstLine="480"/>
      </w:pPr>
      <w:r>
        <w:rPr>
          <w:rFonts w:hint="eastAsia" w:ascii="宋体" w:hAnsi="宋体" w:eastAsia="宋体" w:cs="宋体"/>
          <w:color w:val="000000"/>
        </w:rPr>
        <w:t>邮          编：</w:t>
      </w:r>
    </w:p>
    <w:p w14:paraId="4EC3424F">
      <w:pPr>
        <w:pStyle w:val="30"/>
        <w:spacing w:beforeAutospacing="0" w:afterAutospacing="0" w:line="500" w:lineRule="exact"/>
        <w:ind w:firstLine="480"/>
      </w:pPr>
      <w:r>
        <w:rPr>
          <w:rFonts w:hint="eastAsia" w:ascii="宋体" w:hAnsi="宋体" w:eastAsia="宋体" w:cs="宋体"/>
          <w:color w:val="000000"/>
        </w:rPr>
        <w:t>电          话：</w:t>
      </w:r>
    </w:p>
    <w:p w14:paraId="2A670F5A">
      <w:pPr>
        <w:pStyle w:val="30"/>
        <w:spacing w:beforeAutospacing="0" w:afterAutospacing="0" w:line="500" w:lineRule="exact"/>
        <w:ind w:firstLine="480"/>
      </w:pPr>
      <w:r>
        <w:rPr>
          <w:rFonts w:hint="eastAsia" w:ascii="宋体" w:hAnsi="宋体" w:eastAsia="宋体" w:cs="宋体"/>
          <w:color w:val="000000"/>
        </w:rPr>
        <w:t>传          真：</w:t>
      </w:r>
    </w:p>
    <w:p w14:paraId="01F29D15">
      <w:pPr>
        <w:pStyle w:val="30"/>
        <w:spacing w:beforeAutospacing="0" w:afterAutospacing="0" w:line="500" w:lineRule="exact"/>
        <w:ind w:firstLine="480"/>
      </w:pPr>
      <w:r>
        <w:rPr>
          <w:rFonts w:hint="eastAsia" w:ascii="宋体" w:hAnsi="宋体" w:eastAsia="宋体" w:cs="宋体"/>
          <w:color w:val="000000"/>
        </w:rPr>
        <w:t>供应商开户行：</w:t>
      </w:r>
    </w:p>
    <w:p w14:paraId="5C27C01D">
      <w:pPr>
        <w:pStyle w:val="30"/>
        <w:spacing w:beforeAutospacing="0" w:afterAutospacing="0" w:line="500" w:lineRule="exact"/>
        <w:ind w:firstLine="480"/>
      </w:pPr>
      <w:r>
        <w:rPr>
          <w:rFonts w:hint="eastAsia" w:ascii="宋体" w:hAnsi="宋体" w:eastAsia="宋体" w:cs="宋体"/>
          <w:color w:val="000000"/>
        </w:rPr>
        <w:t xml:space="preserve">账          号： </w:t>
      </w:r>
    </w:p>
    <w:p w14:paraId="4A125DC0">
      <w:pPr>
        <w:pStyle w:val="30"/>
        <w:tabs>
          <w:tab w:val="left" w:pos="4864"/>
        </w:tabs>
        <w:spacing w:beforeAutospacing="0" w:afterAutospacing="0" w:line="360" w:lineRule="auto"/>
        <w:ind w:right="1560" w:firstLine="480"/>
        <w:jc w:val="both"/>
        <w:rPr>
          <w:rFonts w:ascii="宋体" w:hAnsi="宋体" w:eastAsia="宋体" w:cs="宋体"/>
          <w:color w:val="000000"/>
        </w:rPr>
      </w:pPr>
      <w:r>
        <w:rPr>
          <w:rFonts w:hint="eastAsia" w:ascii="宋体" w:hAnsi="宋体" w:eastAsia="宋体" w:cs="宋体"/>
          <w:color w:val="000000"/>
        </w:rPr>
        <w:t>供应商全称（加盖CA电子公章）：</w:t>
      </w:r>
    </w:p>
    <w:p w14:paraId="60AB0E61">
      <w:pPr>
        <w:pStyle w:val="30"/>
        <w:tabs>
          <w:tab w:val="left" w:pos="4864"/>
        </w:tabs>
        <w:spacing w:beforeAutospacing="0" w:afterAutospacing="0" w:line="360" w:lineRule="auto"/>
        <w:ind w:right="1560" w:firstLine="480"/>
        <w:jc w:val="both"/>
        <w:rPr>
          <w:rFonts w:ascii="宋体" w:hAnsi="宋体" w:eastAsia="宋体" w:cs="宋体"/>
          <w:color w:val="000000"/>
        </w:rPr>
      </w:pPr>
      <w:r>
        <w:rPr>
          <w:rFonts w:hint="eastAsia" w:ascii="宋体" w:hAnsi="宋体" w:eastAsia="宋体" w:cs="宋体"/>
        </w:rPr>
        <w:t>法定代表人或授权代表（签字）：</w:t>
      </w:r>
    </w:p>
    <w:p w14:paraId="08537B23">
      <w:pPr>
        <w:pStyle w:val="30"/>
        <w:spacing w:beforeAutospacing="0" w:afterAutospacing="0" w:line="360" w:lineRule="auto"/>
        <w:ind w:firstLine="480"/>
      </w:pPr>
      <w:r>
        <w:rPr>
          <w:rFonts w:hint="eastAsia" w:ascii="宋体" w:hAnsi="宋体" w:eastAsia="宋体" w:cs="宋体"/>
          <w:color w:val="000000"/>
        </w:rPr>
        <w:t>日   期：________年____月____日</w:t>
      </w:r>
      <w:r>
        <w:t> </w:t>
      </w:r>
    </w:p>
    <w:p w14:paraId="56BA4122">
      <w:pPr>
        <w:pStyle w:val="30"/>
        <w:spacing w:beforeAutospacing="0" w:afterAutospacing="0" w:line="0" w:lineRule="atLeast"/>
        <w:jc w:val="center"/>
        <w:rPr>
          <w:rFonts w:hint="eastAsia" w:ascii="黑体" w:hAnsi="宋体" w:eastAsia="黑体" w:cs="黑体"/>
          <w:bCs/>
          <w:color w:val="000000"/>
          <w:sz w:val="32"/>
          <w:szCs w:val="32"/>
          <w:lang w:val="en-US" w:eastAsia="zh-CN"/>
        </w:rPr>
      </w:pPr>
    </w:p>
    <w:p w14:paraId="5BFB30AA">
      <w:pPr>
        <w:pStyle w:val="30"/>
        <w:spacing w:beforeAutospacing="0" w:afterAutospacing="0" w:line="0" w:lineRule="atLeast"/>
        <w:jc w:val="center"/>
        <w:rPr>
          <w:bCs/>
        </w:rPr>
      </w:pPr>
      <w:r>
        <w:rPr>
          <w:rFonts w:hint="eastAsia" w:ascii="黑体" w:hAnsi="宋体" w:eastAsia="黑体" w:cs="黑体"/>
          <w:bCs/>
          <w:color w:val="000000"/>
          <w:sz w:val="32"/>
          <w:szCs w:val="32"/>
          <w:lang w:val="en-US" w:eastAsia="zh-CN"/>
        </w:rPr>
        <w:t>十</w:t>
      </w:r>
      <w:r>
        <w:rPr>
          <w:rFonts w:hint="eastAsia" w:ascii="黑体" w:hAnsi="宋体" w:eastAsia="黑体" w:cs="黑体"/>
          <w:bCs/>
          <w:color w:val="000000"/>
          <w:sz w:val="32"/>
          <w:szCs w:val="32"/>
        </w:rPr>
        <w:t>、小微企业声明函（货物）</w:t>
      </w:r>
    </w:p>
    <w:p w14:paraId="141F0378">
      <w:pPr>
        <w:pStyle w:val="30"/>
        <w:spacing w:beforeAutospacing="0" w:afterAutospacing="0" w:line="500" w:lineRule="exact"/>
        <w:ind w:firstLine="363"/>
        <w:jc w:val="both"/>
        <w:rPr>
          <w:rFonts w:ascii="宋体" w:hAnsi="宋体" w:eastAsia="宋体" w:cs="宋体"/>
          <w:color w:val="000000"/>
        </w:rPr>
      </w:pPr>
    </w:p>
    <w:p w14:paraId="1461EEB8">
      <w:pPr>
        <w:pStyle w:val="30"/>
        <w:spacing w:beforeAutospacing="0" w:afterAutospacing="0" w:line="540" w:lineRule="exact"/>
        <w:ind w:firstLine="360"/>
        <w:jc w:val="both"/>
        <w:rPr>
          <w:rFonts w:ascii="宋体" w:hAnsi="宋体" w:eastAsia="宋体" w:cs="宋体"/>
        </w:rPr>
      </w:pPr>
      <w:r>
        <w:rPr>
          <w:rFonts w:hint="eastAsia" w:ascii="宋体" w:hAnsi="宋体" w:eastAsia="宋体" w:cs="宋体"/>
          <w:color w:val="000000"/>
        </w:rPr>
        <w:t>本公司（联合体）郑重声明，根据《政府采购促进中小企业发展管理办法》(财库[2020]46号)的规定，本公司（联合体）参加</w:t>
      </w:r>
      <w:r>
        <w:rPr>
          <w:rFonts w:hint="eastAsia" w:ascii="宋体" w:hAnsi="宋体" w:eastAsia="宋体" w:cs="宋体"/>
          <w:color w:val="000000"/>
          <w:lang w:val="en-US" w:eastAsia="zh-CN"/>
        </w:rPr>
        <w:t>江苏鑫缘</w:t>
      </w:r>
      <w:r>
        <w:rPr>
          <w:rFonts w:hint="eastAsia" w:ascii="宋体" w:hAnsi="宋体" w:eastAsia="宋体" w:cs="宋体"/>
          <w:color w:val="000000"/>
        </w:rPr>
        <w:t>项目管理有限公司组织的</w:t>
      </w:r>
      <w:r>
        <w:rPr>
          <w:rFonts w:hint="eastAsia" w:eastAsia="宋体"/>
          <w:color w:val="auto"/>
          <w:sz w:val="24"/>
          <w:highlight w:val="none"/>
          <w:u w:val="single"/>
          <w:lang w:eastAsia="zh-CN"/>
        </w:rPr>
        <w:t>射阳县教育局</w:t>
      </w:r>
      <w:r>
        <w:rPr>
          <w:rFonts w:hint="eastAsia" w:ascii="宋体" w:hAnsi="宋体" w:eastAsia="宋体" w:cs="宋体"/>
          <w:color w:val="000000"/>
        </w:rPr>
        <w:t>采购编号为JSZC-320924-XYGS-G2026-0004</w:t>
      </w:r>
      <w:r>
        <w:rPr>
          <w:rFonts w:hint="eastAsia" w:ascii="宋体" w:hAnsi="宋体" w:eastAsia="宋体" w:cs="宋体"/>
          <w:color w:val="000000"/>
          <w:lang w:val="en-US" w:eastAsia="zh-CN"/>
        </w:rPr>
        <w:t xml:space="preserve"> </w:t>
      </w:r>
      <w:r>
        <w:rPr>
          <w:rFonts w:hint="eastAsia" w:ascii="宋体" w:hAnsi="宋体" w:eastAsia="宋体" w:cs="宋体"/>
          <w:color w:val="000000"/>
        </w:rPr>
        <w:t>，</w:t>
      </w:r>
      <w:r>
        <w:rPr>
          <w:rFonts w:hint="eastAsia" w:ascii="宋体" w:hAnsi="宋体" w:eastAsia="宋体" w:cs="宋体"/>
          <w:sz w:val="24"/>
          <w:u w:val="single"/>
          <w:lang w:eastAsia="zh-CN"/>
        </w:rPr>
        <w:t>射阳县教育局校园周界防范报警系统改造提升项目（</w:t>
      </w:r>
      <w:r>
        <w:rPr>
          <w:rFonts w:hint="eastAsia" w:ascii="宋体" w:hAnsi="宋体" w:eastAsia="宋体" w:cs="宋体"/>
          <w:sz w:val="24"/>
          <w:u w:val="single"/>
          <w:lang w:val="en-US" w:eastAsia="zh-CN"/>
        </w:rPr>
        <w:t>三</w:t>
      </w:r>
      <w:r>
        <w:rPr>
          <w:rFonts w:hint="eastAsia" w:ascii="宋体" w:hAnsi="宋体" w:eastAsia="宋体" w:cs="宋体"/>
          <w:sz w:val="24"/>
          <w:u w:val="single"/>
          <w:lang w:eastAsia="zh-CN"/>
        </w:rPr>
        <w:t>次）</w:t>
      </w:r>
      <w:r>
        <w:rPr>
          <w:rFonts w:hint="eastAsia" w:ascii="宋体" w:hAnsi="宋体" w:eastAsia="宋体" w:cs="宋体"/>
          <w:color w:val="000000"/>
        </w:rPr>
        <w:t>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7A51CBD0">
      <w:pPr>
        <w:pStyle w:val="30"/>
        <w:spacing w:beforeAutospacing="0" w:afterAutospacing="0" w:line="540" w:lineRule="exact"/>
        <w:ind w:firstLine="360"/>
        <w:jc w:val="both"/>
        <w:rPr>
          <w:rFonts w:ascii="宋体" w:hAnsi="宋体" w:eastAsia="宋体" w:cs="宋体"/>
        </w:rPr>
      </w:pPr>
      <w:r>
        <w:rPr>
          <w:rFonts w:hint="eastAsia" w:ascii="宋体" w:hAnsi="宋体" w:eastAsia="宋体" w:cs="宋体"/>
          <w:color w:val="000000"/>
        </w:rPr>
        <w:t>1.</w:t>
      </w:r>
      <w:r>
        <w:rPr>
          <w:rFonts w:hint="eastAsia" w:ascii="宋体" w:hAnsi="宋体" w:eastAsia="宋体" w:cs="宋体"/>
          <w:color w:val="000000"/>
          <w:u w:val="single"/>
        </w:rPr>
        <w:t>（标的名称）</w:t>
      </w:r>
      <w:r>
        <w:rPr>
          <w:rFonts w:hint="eastAsia" w:ascii="宋体" w:hAnsi="宋体" w:eastAsia="宋体" w:cs="宋体"/>
          <w:i/>
          <w:color w:val="000000"/>
        </w:rPr>
        <w:t>，</w:t>
      </w:r>
      <w:r>
        <w:rPr>
          <w:rFonts w:hint="eastAsia" w:ascii="宋体" w:hAnsi="宋体" w:eastAsia="宋体" w:cs="宋体"/>
          <w:color w:val="000000"/>
        </w:rPr>
        <w:t>属于</w:t>
      </w:r>
      <w:r>
        <w:rPr>
          <w:rFonts w:hint="eastAsia" w:ascii="宋体" w:hAnsi="宋体" w:eastAsia="宋体" w:cs="宋体"/>
          <w:color w:val="000000"/>
          <w:u w:val="single"/>
        </w:rPr>
        <w:t xml:space="preserve">       </w:t>
      </w:r>
      <w:r>
        <w:rPr>
          <w:rFonts w:hint="eastAsia" w:ascii="宋体" w:hAnsi="宋体" w:eastAsia="宋体" w:cs="宋体"/>
          <w:color w:val="000000"/>
        </w:rPr>
        <w:t>行业；制造商为</w:t>
      </w:r>
      <w:r>
        <w:rPr>
          <w:rFonts w:hint="eastAsia" w:ascii="宋体" w:hAnsi="宋体" w:eastAsia="宋体" w:cs="宋体"/>
          <w:color w:val="000000"/>
          <w:u w:val="single"/>
        </w:rPr>
        <w:t>（企业名称）</w:t>
      </w:r>
      <w:r>
        <w:rPr>
          <w:rFonts w:hint="eastAsia" w:ascii="宋体" w:hAnsi="宋体" w:eastAsia="宋体" w:cs="宋体"/>
          <w:color w:val="000000"/>
        </w:rPr>
        <w:t>，从业人员</w:t>
      </w:r>
      <w:r>
        <w:rPr>
          <w:rFonts w:hint="eastAsia" w:ascii="宋体" w:hAnsi="宋体" w:eastAsia="宋体" w:cs="宋体"/>
          <w:color w:val="000000"/>
          <w:u w:val="single"/>
        </w:rPr>
        <w:t xml:space="preserve">      </w:t>
      </w:r>
      <w:r>
        <w:rPr>
          <w:rFonts w:hint="eastAsia" w:ascii="宋体" w:hAnsi="宋体" w:eastAsia="宋体" w:cs="宋体"/>
          <w:color w:val="000000"/>
        </w:rPr>
        <w:t>人，营业收入为</w:t>
      </w:r>
      <w:r>
        <w:rPr>
          <w:rFonts w:hint="eastAsia" w:ascii="宋体" w:hAnsi="宋体" w:eastAsia="宋体" w:cs="宋体"/>
          <w:color w:val="000000"/>
          <w:u w:val="single"/>
        </w:rPr>
        <w:t xml:space="preserve">     </w:t>
      </w:r>
      <w:r>
        <w:rPr>
          <w:rFonts w:hint="eastAsia" w:ascii="宋体" w:hAnsi="宋体" w:eastAsia="宋体" w:cs="宋体"/>
          <w:color w:val="000000"/>
        </w:rPr>
        <w:t>万元，资产总额为</w:t>
      </w:r>
      <w:r>
        <w:rPr>
          <w:rFonts w:hint="eastAsia" w:ascii="宋体" w:hAnsi="宋体" w:eastAsia="宋体" w:cs="宋体"/>
          <w:color w:val="000000"/>
          <w:u w:val="single"/>
        </w:rPr>
        <w:t xml:space="preserve">      </w:t>
      </w:r>
      <w:r>
        <w:rPr>
          <w:rFonts w:hint="eastAsia" w:ascii="宋体" w:hAnsi="宋体" w:eastAsia="宋体" w:cs="宋体"/>
          <w:color w:val="000000"/>
        </w:rPr>
        <w:t>万元，属于</w:t>
      </w:r>
      <w:r>
        <w:rPr>
          <w:rFonts w:hint="eastAsia" w:ascii="宋体" w:hAnsi="宋体" w:eastAsia="宋体" w:cs="宋体"/>
          <w:color w:val="000000"/>
          <w:u w:val="single"/>
        </w:rPr>
        <w:t>（小型企业、微型企业）；</w:t>
      </w:r>
    </w:p>
    <w:p w14:paraId="3596B505">
      <w:pPr>
        <w:pStyle w:val="30"/>
        <w:spacing w:beforeAutospacing="0" w:afterAutospacing="0" w:line="540" w:lineRule="exact"/>
        <w:ind w:firstLine="360"/>
        <w:jc w:val="both"/>
        <w:rPr>
          <w:rFonts w:ascii="宋体" w:hAnsi="宋体" w:eastAsia="宋体" w:cs="宋体"/>
        </w:rPr>
      </w:pPr>
      <w:r>
        <w:rPr>
          <w:rFonts w:hint="eastAsia" w:ascii="宋体" w:hAnsi="宋体" w:eastAsia="宋体" w:cs="宋体"/>
          <w:color w:val="000000"/>
        </w:rPr>
        <w:t>2.</w:t>
      </w:r>
      <w:r>
        <w:rPr>
          <w:rFonts w:hint="eastAsia" w:ascii="宋体" w:hAnsi="宋体" w:eastAsia="宋体" w:cs="宋体"/>
          <w:color w:val="000000"/>
          <w:u w:val="single"/>
        </w:rPr>
        <w:t>（标的名称）</w:t>
      </w:r>
      <w:r>
        <w:rPr>
          <w:rFonts w:hint="eastAsia" w:ascii="宋体" w:hAnsi="宋体" w:eastAsia="宋体" w:cs="宋体"/>
          <w:i/>
          <w:color w:val="000000"/>
        </w:rPr>
        <w:t>，</w:t>
      </w:r>
      <w:r>
        <w:rPr>
          <w:rFonts w:hint="eastAsia" w:ascii="宋体" w:hAnsi="宋体" w:eastAsia="宋体" w:cs="宋体"/>
          <w:color w:val="000000"/>
        </w:rPr>
        <w:t>属于</w:t>
      </w:r>
      <w:r>
        <w:rPr>
          <w:rFonts w:hint="eastAsia" w:ascii="宋体" w:hAnsi="宋体" w:eastAsia="宋体" w:cs="宋体"/>
          <w:color w:val="000000"/>
          <w:u w:val="single"/>
        </w:rPr>
        <w:t xml:space="preserve">       </w:t>
      </w:r>
      <w:r>
        <w:rPr>
          <w:rFonts w:hint="eastAsia" w:ascii="宋体" w:hAnsi="宋体" w:eastAsia="宋体" w:cs="宋体"/>
          <w:color w:val="000000"/>
        </w:rPr>
        <w:t>行业；制造商为</w:t>
      </w:r>
      <w:r>
        <w:rPr>
          <w:rFonts w:hint="eastAsia" w:ascii="宋体" w:hAnsi="宋体" w:eastAsia="宋体" w:cs="宋体"/>
          <w:color w:val="000000"/>
          <w:u w:val="single"/>
        </w:rPr>
        <w:t>（企业名称）</w:t>
      </w:r>
      <w:r>
        <w:rPr>
          <w:rFonts w:hint="eastAsia" w:ascii="宋体" w:hAnsi="宋体" w:eastAsia="宋体" w:cs="宋体"/>
          <w:color w:val="000000"/>
        </w:rPr>
        <w:t>，从业人员</w:t>
      </w:r>
      <w:r>
        <w:rPr>
          <w:rFonts w:hint="eastAsia" w:ascii="宋体" w:hAnsi="宋体" w:eastAsia="宋体" w:cs="宋体"/>
          <w:color w:val="000000"/>
          <w:u w:val="single"/>
        </w:rPr>
        <w:t xml:space="preserve">      </w:t>
      </w:r>
      <w:r>
        <w:rPr>
          <w:rFonts w:hint="eastAsia" w:ascii="宋体" w:hAnsi="宋体" w:eastAsia="宋体" w:cs="宋体"/>
          <w:color w:val="000000"/>
        </w:rPr>
        <w:t>人，营业收入为</w:t>
      </w:r>
      <w:r>
        <w:rPr>
          <w:rFonts w:hint="eastAsia" w:ascii="宋体" w:hAnsi="宋体" w:eastAsia="宋体" w:cs="宋体"/>
          <w:color w:val="000000"/>
          <w:u w:val="single"/>
        </w:rPr>
        <w:t xml:space="preserve">     </w:t>
      </w:r>
      <w:r>
        <w:rPr>
          <w:rFonts w:hint="eastAsia" w:ascii="宋体" w:hAnsi="宋体" w:eastAsia="宋体" w:cs="宋体"/>
          <w:color w:val="000000"/>
        </w:rPr>
        <w:t>万元，资产总额为</w:t>
      </w:r>
      <w:r>
        <w:rPr>
          <w:rFonts w:hint="eastAsia" w:ascii="宋体" w:hAnsi="宋体" w:eastAsia="宋体" w:cs="宋体"/>
          <w:color w:val="000000"/>
          <w:u w:val="single"/>
        </w:rPr>
        <w:t xml:space="preserve">      </w:t>
      </w:r>
      <w:r>
        <w:rPr>
          <w:rFonts w:hint="eastAsia" w:ascii="宋体" w:hAnsi="宋体" w:eastAsia="宋体" w:cs="宋体"/>
          <w:color w:val="000000"/>
        </w:rPr>
        <w:t>万元，属于</w:t>
      </w:r>
      <w:r>
        <w:rPr>
          <w:rFonts w:hint="eastAsia" w:ascii="宋体" w:hAnsi="宋体" w:eastAsia="宋体" w:cs="宋体"/>
          <w:color w:val="000000"/>
          <w:u w:val="single"/>
        </w:rPr>
        <w:t>（小型企业、微型企业）；</w:t>
      </w:r>
    </w:p>
    <w:p w14:paraId="28A0D114">
      <w:pPr>
        <w:pStyle w:val="30"/>
        <w:spacing w:beforeAutospacing="0" w:afterAutospacing="0" w:line="540" w:lineRule="exact"/>
        <w:ind w:firstLine="360"/>
        <w:jc w:val="both"/>
        <w:rPr>
          <w:rFonts w:ascii="宋体" w:hAnsi="宋体" w:eastAsia="宋体" w:cs="宋体"/>
        </w:rPr>
      </w:pPr>
      <w:r>
        <w:rPr>
          <w:rFonts w:hint="eastAsia" w:ascii="宋体" w:hAnsi="宋体" w:eastAsia="宋体" w:cs="宋体"/>
          <w:color w:val="000000"/>
        </w:rPr>
        <w:t>……</w:t>
      </w:r>
    </w:p>
    <w:p w14:paraId="7BE346FC">
      <w:pPr>
        <w:pStyle w:val="30"/>
        <w:spacing w:beforeAutospacing="0" w:afterAutospacing="0" w:line="540" w:lineRule="exact"/>
        <w:ind w:firstLine="360"/>
        <w:jc w:val="both"/>
        <w:rPr>
          <w:rFonts w:ascii="宋体" w:hAnsi="宋体" w:eastAsia="宋体" w:cs="宋体"/>
        </w:rPr>
      </w:pPr>
      <w:r>
        <w:rPr>
          <w:rFonts w:hint="eastAsia" w:ascii="宋体" w:hAnsi="宋体" w:eastAsia="宋体" w:cs="宋体"/>
          <w:color w:val="000000"/>
        </w:rPr>
        <w:t>以上企业，不属于大企业的分支机构，不存在控股股东为大企业的情形，也不存在与大企业的负责人为同一人的情形。</w:t>
      </w:r>
    </w:p>
    <w:p w14:paraId="07F33925">
      <w:pPr>
        <w:pStyle w:val="30"/>
        <w:spacing w:beforeAutospacing="0" w:afterAutospacing="0" w:line="540" w:lineRule="exact"/>
        <w:ind w:firstLine="360"/>
        <w:jc w:val="both"/>
        <w:rPr>
          <w:rFonts w:ascii="宋体" w:hAnsi="宋体" w:eastAsia="宋体" w:cs="宋体"/>
        </w:rPr>
      </w:pPr>
      <w:r>
        <w:rPr>
          <w:rFonts w:hint="eastAsia" w:ascii="宋体" w:hAnsi="宋体" w:eastAsia="宋体" w:cs="宋体"/>
          <w:color w:val="000000"/>
        </w:rPr>
        <w:t>本企业对上述声明内容的真实性负责。如有虚假，将依法承担相应责任</w:t>
      </w:r>
    </w:p>
    <w:p w14:paraId="481FA559">
      <w:pPr>
        <w:pStyle w:val="30"/>
        <w:spacing w:beforeAutospacing="0" w:afterAutospacing="0" w:line="540" w:lineRule="exact"/>
        <w:ind w:right="720"/>
        <w:jc w:val="both"/>
        <w:rPr>
          <w:rFonts w:ascii="宋体" w:hAnsi="宋体" w:eastAsia="宋体" w:cs="宋体"/>
        </w:rPr>
      </w:pPr>
      <w:r>
        <w:rPr>
          <w:rFonts w:hint="eastAsia" w:ascii="宋体" w:hAnsi="宋体" w:eastAsia="宋体" w:cs="宋体"/>
        </w:rPr>
        <w:t> </w:t>
      </w:r>
    </w:p>
    <w:p w14:paraId="50CC5B3C">
      <w:pPr>
        <w:pStyle w:val="30"/>
        <w:spacing w:beforeAutospacing="0" w:afterAutospacing="0" w:line="540" w:lineRule="exact"/>
        <w:ind w:right="180" w:firstLine="360"/>
        <w:jc w:val="right"/>
        <w:rPr>
          <w:rFonts w:ascii="宋体" w:hAnsi="宋体" w:eastAsia="宋体" w:cs="宋体"/>
        </w:rPr>
      </w:pPr>
      <w:r>
        <w:rPr>
          <w:rFonts w:hint="eastAsia" w:ascii="宋体" w:hAnsi="宋体" w:eastAsia="宋体" w:cs="宋体"/>
          <w:color w:val="000000"/>
        </w:rPr>
        <w:t>企业名称（加盖CA电子公章）：</w:t>
      </w:r>
    </w:p>
    <w:p w14:paraId="56B9791B">
      <w:pPr>
        <w:pStyle w:val="30"/>
        <w:spacing w:beforeAutospacing="0" w:afterAutospacing="0" w:line="540" w:lineRule="exact"/>
        <w:ind w:right="480" w:firstLine="5400"/>
        <w:jc w:val="both"/>
        <w:rPr>
          <w:rFonts w:ascii="宋体" w:hAnsi="宋体" w:eastAsia="宋体" w:cs="宋体"/>
        </w:rPr>
      </w:pPr>
      <w:r>
        <w:rPr>
          <w:rFonts w:hint="eastAsia" w:ascii="宋体" w:hAnsi="宋体" w:eastAsia="宋体" w:cs="宋体"/>
          <w:color w:val="000000"/>
        </w:rPr>
        <w:t>日  期：</w:t>
      </w:r>
    </w:p>
    <w:p w14:paraId="12756D91">
      <w:pPr>
        <w:pStyle w:val="30"/>
        <w:spacing w:beforeAutospacing="0" w:afterAutospacing="0" w:line="540" w:lineRule="exact"/>
        <w:ind w:firstLine="480"/>
        <w:jc w:val="both"/>
        <w:rPr>
          <w:rFonts w:ascii="宋体" w:hAnsi="宋体" w:eastAsia="宋体" w:cs="宋体"/>
        </w:rPr>
      </w:pPr>
      <w:r>
        <w:rPr>
          <w:rFonts w:hint="eastAsia" w:ascii="宋体" w:hAnsi="宋体" w:eastAsia="宋体" w:cs="宋体"/>
          <w:color w:val="000000"/>
        </w:rPr>
        <w:t>备注1：从业人员、营业收入、资产总额填报上一年度数据，无上一年度数据的新成立企业可不填报。</w:t>
      </w:r>
    </w:p>
    <w:p w14:paraId="29CE8010">
      <w:pPr>
        <w:pStyle w:val="30"/>
        <w:spacing w:beforeAutospacing="0" w:afterAutospacing="0" w:line="540" w:lineRule="exact"/>
        <w:ind w:firstLine="480"/>
        <w:jc w:val="both"/>
        <w:rPr>
          <w:rFonts w:ascii="宋体" w:hAnsi="宋体" w:eastAsia="宋体" w:cs="宋体"/>
        </w:rPr>
      </w:pPr>
      <w:r>
        <w:rPr>
          <w:rFonts w:hint="eastAsia" w:ascii="宋体" w:hAnsi="宋体" w:eastAsia="宋体" w:cs="宋体"/>
          <w:color w:val="000000"/>
        </w:rPr>
        <w:t>备注2：供应商如不提供此声明函，价格将不做相应扣除。</w:t>
      </w:r>
    </w:p>
    <w:p w14:paraId="157FBE9F">
      <w:pPr>
        <w:pStyle w:val="30"/>
        <w:spacing w:beforeAutospacing="0" w:afterAutospacing="0" w:line="0" w:lineRule="atLeast"/>
        <w:jc w:val="center"/>
        <w:rPr>
          <w:rFonts w:ascii="黑体" w:hAnsi="宋体" w:eastAsia="黑体" w:cs="黑体"/>
          <w:bCs/>
          <w:color w:val="000000"/>
          <w:sz w:val="32"/>
          <w:szCs w:val="32"/>
        </w:rPr>
      </w:pPr>
      <w:r>
        <w:rPr>
          <w:rFonts w:hint="eastAsia" w:ascii="黑体" w:hAnsi="宋体" w:eastAsia="黑体" w:cs="黑体"/>
          <w:b/>
          <w:color w:val="000000"/>
          <w:sz w:val="32"/>
          <w:szCs w:val="32"/>
        </w:rPr>
        <w:br w:type="page" w:clear="all"/>
      </w:r>
      <w:r>
        <w:rPr>
          <w:rFonts w:hint="eastAsia" w:ascii="黑体" w:hAnsi="宋体" w:eastAsia="黑体" w:cs="黑体"/>
          <w:bCs/>
          <w:color w:val="000000"/>
          <w:sz w:val="32"/>
          <w:szCs w:val="32"/>
        </w:rPr>
        <w:t>十</w:t>
      </w:r>
      <w:r>
        <w:rPr>
          <w:rFonts w:hint="eastAsia" w:ascii="黑体" w:hAnsi="宋体" w:eastAsia="黑体" w:cs="黑体"/>
          <w:bCs/>
          <w:color w:val="000000"/>
          <w:sz w:val="32"/>
          <w:szCs w:val="32"/>
          <w:lang w:val="en-US" w:eastAsia="zh-CN"/>
        </w:rPr>
        <w:t>一</w:t>
      </w:r>
      <w:r>
        <w:rPr>
          <w:rFonts w:hint="eastAsia" w:ascii="黑体" w:hAnsi="宋体" w:eastAsia="黑体" w:cs="黑体"/>
          <w:bCs/>
          <w:color w:val="000000"/>
          <w:sz w:val="32"/>
          <w:szCs w:val="32"/>
        </w:rPr>
        <w:t>、残疾人福利性单位声明函</w:t>
      </w:r>
    </w:p>
    <w:p w14:paraId="0368679E">
      <w:pPr>
        <w:pStyle w:val="30"/>
        <w:spacing w:beforeAutospacing="0" w:afterAutospacing="0" w:line="0" w:lineRule="atLeast"/>
        <w:jc w:val="both"/>
        <w:rPr>
          <w:rFonts w:ascii="黑体" w:hAnsi="宋体" w:eastAsia="黑体" w:cs="黑体"/>
          <w:bCs/>
          <w:color w:val="000000"/>
          <w:sz w:val="32"/>
          <w:szCs w:val="32"/>
        </w:rPr>
      </w:pPr>
    </w:p>
    <w:p w14:paraId="7ADBC516">
      <w:pPr>
        <w:pStyle w:val="30"/>
        <w:spacing w:beforeAutospacing="0" w:afterAutospacing="0" w:line="540" w:lineRule="exact"/>
        <w:ind w:firstLine="480"/>
        <w:jc w:val="both"/>
        <w:rPr>
          <w:rFonts w:ascii="宋体" w:hAnsi="宋体" w:eastAsia="宋体" w:cs="宋体"/>
        </w:rPr>
      </w:pPr>
      <w:r>
        <w:rPr>
          <w:rFonts w:hint="eastAsia" w:ascii="宋体" w:hAnsi="宋体" w:eastAsia="宋体" w:cs="宋体"/>
          <w:color w:val="000000"/>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项目采购活动提供本单位制造的货物，或者提供其他残疾人福利性单位制造的货物（不包括使用非残疾人福利性单位注册商标的货物）。</w:t>
      </w:r>
    </w:p>
    <w:p w14:paraId="509A0C34">
      <w:pPr>
        <w:pStyle w:val="30"/>
        <w:spacing w:beforeAutospacing="0" w:afterAutospacing="0" w:line="500" w:lineRule="exact"/>
        <w:ind w:firstLine="480"/>
        <w:jc w:val="both"/>
      </w:pPr>
      <w:r>
        <w:rPr>
          <w:rFonts w:hint="eastAsia" w:ascii="宋体" w:hAnsi="宋体" w:eastAsia="宋体" w:cs="宋体"/>
          <w:color w:val="000000"/>
        </w:rPr>
        <w:t>本单位对上述声明的真实性负责。如有虚假，将依法承担相应责任。</w:t>
      </w:r>
    </w:p>
    <w:p w14:paraId="11B0506F">
      <w:pPr>
        <w:pStyle w:val="30"/>
        <w:spacing w:beforeAutospacing="0" w:afterAutospacing="0" w:line="500" w:lineRule="exact"/>
        <w:ind w:firstLine="480"/>
        <w:jc w:val="both"/>
      </w:pPr>
      <w:r>
        <w:t> </w:t>
      </w:r>
    </w:p>
    <w:p w14:paraId="7363BF01">
      <w:pPr>
        <w:pStyle w:val="30"/>
        <w:spacing w:beforeAutospacing="0" w:afterAutospacing="0" w:line="500" w:lineRule="exact"/>
        <w:ind w:firstLine="480"/>
        <w:jc w:val="both"/>
        <w:rPr>
          <w:rFonts w:eastAsia="宋体"/>
        </w:rPr>
      </w:pPr>
      <w:r>
        <w:rPr>
          <w:rFonts w:hint="eastAsia" w:ascii="宋体" w:hAnsi="宋体" w:eastAsia="宋体" w:cs="宋体"/>
          <w:color w:val="000000"/>
        </w:rPr>
        <w:t>备注：1、供应商如不提供此声明函，价格将不做相应扣除（如项目全面面向中小企业，则资格审查不通过）。</w:t>
      </w:r>
    </w:p>
    <w:p w14:paraId="533C1FD0">
      <w:pPr>
        <w:pStyle w:val="30"/>
        <w:spacing w:beforeAutospacing="0" w:afterAutospacing="0" w:line="500" w:lineRule="exact"/>
        <w:ind w:firstLine="480"/>
        <w:jc w:val="both"/>
        <w:rPr>
          <w:rFonts w:eastAsia="宋体"/>
        </w:rPr>
      </w:pPr>
      <w:r>
        <w:rPr>
          <w:rFonts w:hint="eastAsia" w:ascii="宋体" w:hAnsi="宋体" w:eastAsia="宋体" w:cs="宋体"/>
          <w:color w:val="000000"/>
        </w:rPr>
        <w:t>2、中标人为残疾人福利单位的，此声明函将随中标结果同时公告，接受社会监督。</w:t>
      </w:r>
    </w:p>
    <w:p w14:paraId="2831E70F">
      <w:pPr>
        <w:pStyle w:val="30"/>
        <w:spacing w:beforeAutospacing="0" w:afterAutospacing="0" w:line="500" w:lineRule="exact"/>
        <w:ind w:firstLine="624"/>
        <w:jc w:val="both"/>
      </w:pPr>
      <w:r>
        <w:t> </w:t>
      </w:r>
    </w:p>
    <w:p w14:paraId="3B24389B">
      <w:pPr>
        <w:pStyle w:val="30"/>
        <w:tabs>
          <w:tab w:val="left" w:pos="4864"/>
        </w:tabs>
        <w:spacing w:beforeAutospacing="0" w:afterAutospacing="0" w:line="500" w:lineRule="exact"/>
        <w:ind w:firstLine="624"/>
        <w:jc w:val="center"/>
      </w:pPr>
      <w:r>
        <w:rPr>
          <w:rFonts w:ascii="仿宋_GB2312" w:eastAsia="仿宋_GB2312" w:cs="仿宋_GB2312"/>
          <w:color w:val="000000"/>
          <w:sz w:val="30"/>
          <w:szCs w:val="30"/>
        </w:rPr>
        <w:t xml:space="preserve">             </w:t>
      </w:r>
      <w:r>
        <w:rPr>
          <w:rFonts w:hint="eastAsia" w:ascii="宋体" w:hAnsi="宋体" w:eastAsia="宋体" w:cs="宋体"/>
          <w:color w:val="000000"/>
        </w:rPr>
        <w:t>          供应商全称（加盖CA电子公章）：</w:t>
      </w:r>
    </w:p>
    <w:p w14:paraId="58D58223">
      <w:pPr>
        <w:pStyle w:val="30"/>
        <w:tabs>
          <w:tab w:val="left" w:pos="4864"/>
        </w:tabs>
        <w:spacing w:beforeAutospacing="0" w:afterAutospacing="0" w:line="500" w:lineRule="exact"/>
        <w:ind w:firstLine="480"/>
        <w:jc w:val="center"/>
      </w:pPr>
      <w:r>
        <w:rPr>
          <w:rFonts w:hint="eastAsia" w:ascii="宋体" w:hAnsi="宋体" w:eastAsia="宋体" w:cs="宋体"/>
          <w:color w:val="000000"/>
        </w:rPr>
        <w:t>        日  期：</w:t>
      </w:r>
    </w:p>
    <w:p w14:paraId="1EF20B2F">
      <w:pPr>
        <w:pStyle w:val="30"/>
        <w:spacing w:beforeAutospacing="0" w:afterAutospacing="0" w:line="0" w:lineRule="atLeast"/>
        <w:jc w:val="center"/>
      </w:pPr>
      <w:r>
        <w:t> </w:t>
      </w:r>
    </w:p>
    <w:p w14:paraId="5CB09EC3">
      <w:pPr>
        <w:pStyle w:val="30"/>
        <w:spacing w:beforeAutospacing="0" w:afterAutospacing="0" w:line="0" w:lineRule="atLeast"/>
        <w:jc w:val="center"/>
      </w:pPr>
      <w:r>
        <w:t> </w:t>
      </w:r>
    </w:p>
    <w:p w14:paraId="2C6DC408">
      <w:pPr>
        <w:pStyle w:val="30"/>
        <w:spacing w:beforeAutospacing="0" w:afterAutospacing="0" w:line="0" w:lineRule="atLeast"/>
        <w:jc w:val="center"/>
      </w:pPr>
      <w:r>
        <w:t> </w:t>
      </w:r>
    </w:p>
    <w:p w14:paraId="1D5A0D6A">
      <w:pPr>
        <w:pStyle w:val="30"/>
        <w:spacing w:beforeAutospacing="0" w:afterAutospacing="0" w:line="0" w:lineRule="atLeast"/>
        <w:jc w:val="center"/>
      </w:pPr>
      <w:r>
        <w:t> </w:t>
      </w:r>
    </w:p>
    <w:p w14:paraId="1564163F">
      <w:pPr>
        <w:pStyle w:val="30"/>
        <w:spacing w:beforeAutospacing="0" w:afterAutospacing="0" w:line="0" w:lineRule="atLeast"/>
        <w:jc w:val="center"/>
      </w:pPr>
      <w:r>
        <w:t> </w:t>
      </w:r>
    </w:p>
    <w:p w14:paraId="50DFBC6D">
      <w:pPr>
        <w:pStyle w:val="30"/>
        <w:spacing w:beforeAutospacing="0" w:afterAutospacing="0" w:line="0" w:lineRule="atLeast"/>
        <w:jc w:val="center"/>
      </w:pPr>
      <w:r>
        <w:t> </w:t>
      </w:r>
    </w:p>
    <w:p w14:paraId="221A51D4">
      <w:pPr>
        <w:pStyle w:val="30"/>
        <w:spacing w:beforeAutospacing="0" w:afterAutospacing="0" w:line="0" w:lineRule="atLeast"/>
        <w:jc w:val="center"/>
      </w:pPr>
      <w:r>
        <w:t> </w:t>
      </w:r>
    </w:p>
    <w:p w14:paraId="198E1163">
      <w:pPr>
        <w:pStyle w:val="30"/>
        <w:spacing w:beforeAutospacing="0" w:afterAutospacing="0" w:line="0" w:lineRule="atLeast"/>
        <w:jc w:val="center"/>
      </w:pPr>
      <w:r>
        <w:t> </w:t>
      </w:r>
    </w:p>
    <w:p w14:paraId="2151B5C0">
      <w:pPr>
        <w:pStyle w:val="30"/>
        <w:spacing w:beforeAutospacing="0" w:afterAutospacing="0" w:line="0" w:lineRule="atLeast"/>
        <w:jc w:val="center"/>
      </w:pPr>
    </w:p>
    <w:p w14:paraId="1135F4AA">
      <w:pPr>
        <w:pStyle w:val="30"/>
        <w:spacing w:beforeAutospacing="0" w:afterAutospacing="0" w:line="0" w:lineRule="atLeast"/>
        <w:jc w:val="center"/>
      </w:pPr>
    </w:p>
    <w:p w14:paraId="138AC927">
      <w:pPr>
        <w:pStyle w:val="30"/>
        <w:spacing w:beforeAutospacing="0" w:afterAutospacing="0" w:line="0" w:lineRule="atLeast"/>
        <w:jc w:val="center"/>
      </w:pPr>
    </w:p>
    <w:p w14:paraId="6ADE2061">
      <w:pPr>
        <w:pStyle w:val="30"/>
        <w:spacing w:beforeAutospacing="0" w:afterAutospacing="0" w:line="0" w:lineRule="atLeast"/>
        <w:jc w:val="center"/>
      </w:pPr>
    </w:p>
    <w:p w14:paraId="5B0D2807">
      <w:pPr>
        <w:pStyle w:val="30"/>
        <w:spacing w:beforeAutospacing="0" w:afterAutospacing="0" w:line="0" w:lineRule="atLeast"/>
        <w:jc w:val="center"/>
      </w:pPr>
    </w:p>
    <w:p w14:paraId="77FA8147">
      <w:pPr>
        <w:pStyle w:val="30"/>
        <w:spacing w:beforeAutospacing="0" w:afterAutospacing="0" w:line="0" w:lineRule="atLeast"/>
        <w:jc w:val="center"/>
      </w:pPr>
    </w:p>
    <w:p w14:paraId="1D68FE59">
      <w:pPr>
        <w:pStyle w:val="30"/>
        <w:spacing w:beforeAutospacing="0" w:afterAutospacing="0" w:line="0" w:lineRule="atLeast"/>
        <w:jc w:val="center"/>
      </w:pPr>
    </w:p>
    <w:p w14:paraId="1C1749F5">
      <w:pPr>
        <w:pStyle w:val="30"/>
        <w:spacing w:beforeAutospacing="0" w:afterAutospacing="0" w:line="0" w:lineRule="atLeast"/>
        <w:jc w:val="center"/>
      </w:pPr>
    </w:p>
    <w:p w14:paraId="6C83BF8B">
      <w:pPr>
        <w:pStyle w:val="30"/>
        <w:spacing w:beforeAutospacing="0" w:afterAutospacing="0" w:line="0" w:lineRule="atLeast"/>
        <w:jc w:val="center"/>
      </w:pPr>
    </w:p>
    <w:p w14:paraId="0121E207">
      <w:pPr>
        <w:pStyle w:val="30"/>
        <w:spacing w:beforeAutospacing="0" w:afterAutospacing="0" w:line="0" w:lineRule="atLeast"/>
        <w:jc w:val="center"/>
      </w:pPr>
    </w:p>
    <w:p w14:paraId="097BB99C">
      <w:pPr>
        <w:pStyle w:val="30"/>
        <w:spacing w:beforeAutospacing="0" w:afterAutospacing="0" w:line="0" w:lineRule="atLeast"/>
        <w:jc w:val="center"/>
      </w:pPr>
    </w:p>
    <w:p w14:paraId="776905E6">
      <w:pPr>
        <w:pStyle w:val="4"/>
        <w:ind w:firstLine="216"/>
        <w:jc w:val="center"/>
      </w:pPr>
      <w:r>
        <w:rPr>
          <w:rFonts w:ascii="黑体" w:hAnsi="宋体" w:eastAsia="黑体" w:cs="黑体"/>
        </w:rPr>
        <w:t>十</w:t>
      </w:r>
      <w:r>
        <w:rPr>
          <w:rFonts w:hint="eastAsia" w:ascii="黑体" w:hAnsi="宋体" w:eastAsia="黑体" w:cs="黑体"/>
          <w:lang w:val="en-US" w:eastAsia="zh-CN"/>
        </w:rPr>
        <w:t>二</w:t>
      </w:r>
      <w:r>
        <w:rPr>
          <w:rFonts w:ascii="黑体" w:hAnsi="宋体" w:eastAsia="黑体" w:cs="黑体"/>
        </w:rPr>
        <w:t>、 关于符合本国产品标准的声明函</w:t>
      </w:r>
    </w:p>
    <w:p w14:paraId="3D48EB6C">
      <w:pPr>
        <w:pStyle w:val="30"/>
        <w:spacing w:beforeAutospacing="0" w:afterAutospacing="0"/>
        <w:ind w:firstLine="420"/>
        <w:jc w:val="both"/>
      </w:pPr>
      <w:r>
        <w:rPr>
          <w:rFonts w:ascii="Arial" w:hAnsi="Arial" w:cs="Arial"/>
        </w:rPr>
        <w:t> </w:t>
      </w:r>
    </w:p>
    <w:p w14:paraId="311B4E85">
      <w:pPr>
        <w:pStyle w:val="30"/>
        <w:spacing w:beforeAutospacing="0" w:afterAutospacing="0" w:line="560" w:lineRule="exact"/>
        <w:ind w:firstLine="420"/>
        <w:jc w:val="both"/>
      </w:pPr>
      <w:r>
        <w:rPr>
          <w:rFonts w:ascii="宋体" w:hAnsi="宋体" w:eastAsia="宋体" w:cs="宋体"/>
        </w:rPr>
        <w:t>本公司（单位）郑重声明，根据《国务院办公厅关于在政府采购中实施本国产品标准及相关政策的通知》（国办发〔2025〕34号）的规定，本公司（单位）提供的以下产品属于本国产品。具体情况如下：</w:t>
      </w:r>
    </w:p>
    <w:p w14:paraId="5A8AFE73">
      <w:pPr>
        <w:pStyle w:val="30"/>
        <w:spacing w:before="30" w:beforeAutospacing="0" w:after="30" w:afterAutospacing="0" w:line="560" w:lineRule="exact"/>
        <w:ind w:firstLine="420"/>
        <w:jc w:val="both"/>
      </w:pPr>
      <w:r>
        <w:rPr>
          <w:rFonts w:ascii="宋体" w:hAnsi="宋体" w:eastAsia="宋体" w:cs="宋体"/>
          <w:shd w:val="clear" w:color="auto" w:fill="FFFFFF"/>
        </w:rPr>
        <w:t>1.</w:t>
      </w:r>
      <w:r>
        <w:rPr>
          <w:rFonts w:ascii="宋体" w:hAnsi="宋体" w:eastAsia="宋体" w:cs="宋体"/>
          <w:u w:val="single"/>
          <w:shd w:val="clear" w:color="auto" w:fill="FFFFFF"/>
        </w:rPr>
        <w:t>（产品名称1）</w:t>
      </w:r>
      <w:r>
        <w:rPr>
          <w:rFonts w:ascii="宋体" w:hAnsi="宋体" w:eastAsia="宋体" w:cs="宋体"/>
          <w:shd w:val="clear" w:color="auto" w:fill="FFFFFF"/>
          <w:vertAlign w:val="superscript"/>
        </w:rPr>
        <w:t>1</w:t>
      </w:r>
      <w:r>
        <w:rPr>
          <w:rFonts w:ascii="宋体" w:hAnsi="宋体" w:eastAsia="宋体" w:cs="宋体"/>
          <w:shd w:val="clear" w:color="auto" w:fill="FFFFFF"/>
        </w:rPr>
        <w:t>，生产厂为</w:t>
      </w:r>
      <w:r>
        <w:rPr>
          <w:rFonts w:ascii="宋体" w:hAnsi="宋体" w:eastAsia="宋体" w:cs="宋体"/>
          <w:u w:val="single"/>
          <w:shd w:val="clear" w:color="auto" w:fill="FFFFFF"/>
        </w:rPr>
        <w:t>（厂名）</w:t>
      </w:r>
      <w:r>
        <w:rPr>
          <w:rFonts w:ascii="宋体" w:hAnsi="宋体" w:eastAsia="宋体" w:cs="宋体"/>
          <w:shd w:val="clear" w:color="auto" w:fill="FFFFFF"/>
          <w:vertAlign w:val="superscript"/>
        </w:rPr>
        <w:t>2</w:t>
      </w:r>
      <w:r>
        <w:rPr>
          <w:rFonts w:ascii="宋体" w:hAnsi="宋体" w:eastAsia="宋体" w:cs="宋体"/>
          <w:shd w:val="clear" w:color="auto" w:fill="FFFFFF"/>
        </w:rPr>
        <w:t>，厂址为</w:t>
      </w:r>
      <w:r>
        <w:rPr>
          <w:rFonts w:ascii="宋体" w:hAnsi="宋体" w:eastAsia="宋体" w:cs="宋体"/>
          <w:u w:val="single"/>
          <w:shd w:val="clear" w:color="auto" w:fill="FFFFFF"/>
        </w:rPr>
        <w:t>（生产厂址）</w:t>
      </w:r>
      <w:r>
        <w:rPr>
          <w:rFonts w:ascii="宋体" w:hAnsi="宋体" w:eastAsia="宋体" w:cs="宋体"/>
          <w:shd w:val="clear" w:color="auto" w:fill="FFFFFF"/>
        </w:rPr>
        <w:t>。</w:t>
      </w:r>
      <w:r>
        <w:rPr>
          <w:rFonts w:ascii="宋体" w:hAnsi="宋体" w:eastAsia="宋体" w:cs="宋体"/>
          <w:strike/>
          <w:u w:val="single"/>
          <w:shd w:val="clear" w:color="auto" w:fill="FFFFFF"/>
        </w:rPr>
        <w:t> （产品名称1）</w:t>
      </w:r>
      <w:r>
        <w:rPr>
          <w:rFonts w:ascii="宋体" w:hAnsi="宋体" w:eastAsia="宋体" w:cs="宋体"/>
          <w:u w:val="single"/>
          <w:shd w:val="clear" w:color="auto" w:fill="FFFFFF"/>
        </w:rPr>
        <w:t> </w:t>
      </w:r>
      <w:r>
        <w:rPr>
          <w:rFonts w:ascii="宋体" w:hAnsi="宋体" w:eastAsia="宋体" w:cs="宋体"/>
          <w:shd w:val="clear" w:color="auto" w:fill="FFFFFF"/>
        </w:rPr>
        <w:t>的中国境内生产的组件成本占比≥</w:t>
      </w:r>
      <w:r>
        <w:rPr>
          <w:rFonts w:ascii="宋体" w:hAnsi="宋体" w:eastAsia="宋体" w:cs="宋体"/>
          <w:strike/>
          <w:u w:val="single"/>
          <w:shd w:val="clear" w:color="auto" w:fill="FFFFFF"/>
        </w:rPr>
        <w:t>（规定比例）</w:t>
      </w:r>
      <w:r>
        <w:rPr>
          <w:rFonts w:ascii="宋体" w:hAnsi="宋体" w:eastAsia="宋体" w:cs="宋体"/>
          <w:strike/>
          <w:shd w:val="clear" w:color="auto" w:fill="FFFFFF"/>
          <w:vertAlign w:val="superscript"/>
        </w:rPr>
        <w:t>3</w:t>
      </w:r>
      <w:r>
        <w:rPr>
          <w:rFonts w:ascii="宋体" w:hAnsi="宋体" w:eastAsia="宋体" w:cs="宋体"/>
          <w:shd w:val="clear" w:color="auto" w:fill="FFFFFF"/>
        </w:rPr>
        <w:t>。</w:t>
      </w:r>
      <w:r>
        <w:rPr>
          <w:rFonts w:ascii="宋体" w:hAnsi="宋体" w:eastAsia="宋体" w:cs="宋体"/>
          <w:strike/>
          <w:u w:val="single"/>
          <w:shd w:val="clear" w:color="auto" w:fill="FFFFFF"/>
        </w:rPr>
        <w:t>（产品名称1）</w:t>
      </w:r>
      <w:r>
        <w:rPr>
          <w:rFonts w:ascii="宋体" w:hAnsi="宋体" w:eastAsia="宋体" w:cs="宋体"/>
          <w:shd w:val="clear" w:color="auto" w:fill="FFFFFF"/>
        </w:rPr>
        <w:t>的</w:t>
      </w:r>
      <w:r>
        <w:rPr>
          <w:rFonts w:ascii="宋体" w:hAnsi="宋体" w:eastAsia="宋体" w:cs="宋体"/>
          <w:strike/>
          <w:u w:val="single"/>
          <w:shd w:val="clear" w:color="auto" w:fill="FFFFFF"/>
        </w:rPr>
        <w:t>（关键组件）</w:t>
      </w:r>
      <w:r>
        <w:rPr>
          <w:rFonts w:ascii="宋体" w:hAnsi="宋体" w:eastAsia="宋体" w:cs="宋体"/>
          <w:strike/>
          <w:shd w:val="clear" w:color="auto" w:fill="FFFFFF"/>
          <w:vertAlign w:val="superscript"/>
        </w:rPr>
        <w:t>4</w:t>
      </w:r>
      <w:r>
        <w:rPr>
          <w:rFonts w:ascii="宋体" w:hAnsi="宋体" w:eastAsia="宋体" w:cs="宋体"/>
          <w:shd w:val="clear" w:color="auto" w:fill="FFFFFF"/>
        </w:rPr>
        <w:t>在中国境内生产。</w:t>
      </w:r>
      <w:r>
        <w:rPr>
          <w:rFonts w:ascii="宋体" w:hAnsi="宋体" w:eastAsia="宋体" w:cs="宋体"/>
          <w:strike/>
          <w:u w:val="single"/>
          <w:shd w:val="clear" w:color="auto" w:fill="FFFFFF"/>
        </w:rPr>
        <w:t>（产品名称1）</w:t>
      </w:r>
      <w:r>
        <w:rPr>
          <w:rFonts w:ascii="宋体" w:hAnsi="宋体" w:eastAsia="宋体" w:cs="宋体"/>
          <w:shd w:val="clear" w:color="auto" w:fill="FFFFFF"/>
        </w:rPr>
        <w:t>的</w:t>
      </w:r>
      <w:r>
        <w:rPr>
          <w:rFonts w:ascii="宋体" w:hAnsi="宋体" w:eastAsia="宋体" w:cs="宋体"/>
          <w:strike/>
          <w:u w:val="single"/>
          <w:shd w:val="clear" w:color="auto" w:fill="FFFFFF"/>
        </w:rPr>
        <w:t>（关键工序）</w:t>
      </w:r>
      <w:r>
        <w:rPr>
          <w:rFonts w:ascii="宋体" w:hAnsi="宋体" w:eastAsia="宋体" w:cs="宋体"/>
          <w:strike/>
          <w:shd w:val="clear" w:color="auto" w:fill="FFFFFF"/>
          <w:vertAlign w:val="superscript"/>
        </w:rPr>
        <w:t>5</w:t>
      </w:r>
      <w:r>
        <w:rPr>
          <w:rFonts w:ascii="宋体" w:hAnsi="宋体" w:eastAsia="宋体" w:cs="宋体"/>
          <w:shd w:val="clear" w:color="auto" w:fill="FFFFFF"/>
        </w:rPr>
        <w:t>在中国境内完成。</w:t>
      </w:r>
    </w:p>
    <w:p w14:paraId="20758D95">
      <w:pPr>
        <w:pStyle w:val="30"/>
        <w:spacing w:before="30" w:beforeAutospacing="0" w:after="30" w:afterAutospacing="0" w:line="560" w:lineRule="exact"/>
        <w:ind w:firstLine="420"/>
        <w:jc w:val="both"/>
      </w:pPr>
      <w:r>
        <w:rPr>
          <w:rFonts w:ascii="宋体" w:hAnsi="宋体" w:eastAsia="宋体" w:cs="宋体"/>
          <w:shd w:val="clear" w:color="auto" w:fill="FFFFFF"/>
        </w:rPr>
        <w:t>2.</w:t>
      </w:r>
      <w:r>
        <w:rPr>
          <w:rFonts w:ascii="宋体" w:hAnsi="宋体" w:eastAsia="宋体" w:cs="宋体"/>
          <w:u w:val="single"/>
          <w:shd w:val="clear" w:color="auto" w:fill="FFFFFF"/>
        </w:rPr>
        <w:t>（产品名称2）</w:t>
      </w:r>
      <w:r>
        <w:rPr>
          <w:rFonts w:ascii="宋体" w:hAnsi="宋体" w:eastAsia="宋体" w:cs="宋体"/>
          <w:shd w:val="clear" w:color="auto" w:fill="FFFFFF"/>
        </w:rPr>
        <w:t>，生产厂为</w:t>
      </w:r>
      <w:r>
        <w:rPr>
          <w:rFonts w:ascii="宋体" w:hAnsi="宋体" w:eastAsia="宋体" w:cs="宋体"/>
          <w:u w:val="single"/>
          <w:shd w:val="clear" w:color="auto" w:fill="FFFFFF"/>
        </w:rPr>
        <w:t>（厂名）</w:t>
      </w:r>
      <w:r>
        <w:rPr>
          <w:rFonts w:ascii="宋体" w:hAnsi="宋体" w:eastAsia="宋体" w:cs="宋体"/>
          <w:shd w:val="clear" w:color="auto" w:fill="FFFFFF"/>
        </w:rPr>
        <w:t>，厂址为</w:t>
      </w:r>
      <w:r>
        <w:rPr>
          <w:rFonts w:ascii="宋体" w:hAnsi="宋体" w:eastAsia="宋体" w:cs="宋体"/>
          <w:u w:val="single"/>
          <w:shd w:val="clear" w:color="auto" w:fill="FFFFFF"/>
        </w:rPr>
        <w:t>（生产厂址）</w:t>
      </w:r>
      <w:r>
        <w:rPr>
          <w:rFonts w:ascii="宋体" w:hAnsi="宋体" w:eastAsia="宋体" w:cs="宋体"/>
          <w:shd w:val="clear" w:color="auto" w:fill="FFFFFF"/>
        </w:rPr>
        <w:t>。</w:t>
      </w:r>
      <w:r>
        <w:rPr>
          <w:rFonts w:ascii="宋体" w:hAnsi="宋体" w:eastAsia="宋体" w:cs="宋体"/>
          <w:strike/>
          <w:u w:val="single"/>
          <w:shd w:val="clear" w:color="auto" w:fill="FFFFFF"/>
        </w:rPr>
        <w:t>（产品名称2）</w:t>
      </w:r>
      <w:r>
        <w:rPr>
          <w:rFonts w:ascii="宋体" w:hAnsi="宋体" w:eastAsia="宋体" w:cs="宋体"/>
          <w:shd w:val="clear" w:color="auto" w:fill="FFFFFF"/>
        </w:rPr>
        <w:t>的中国境内生产的组件成本占比≥</w:t>
      </w:r>
      <w:r>
        <w:rPr>
          <w:rFonts w:ascii="宋体" w:hAnsi="宋体" w:eastAsia="宋体" w:cs="宋体"/>
          <w:strike/>
          <w:u w:val="single"/>
          <w:shd w:val="clear" w:color="auto" w:fill="FFFFFF"/>
        </w:rPr>
        <w:t>（规定比例）</w:t>
      </w:r>
      <w:r>
        <w:rPr>
          <w:rFonts w:ascii="宋体" w:hAnsi="宋体" w:eastAsia="宋体" w:cs="宋体"/>
          <w:shd w:val="clear" w:color="auto" w:fill="FFFFFF"/>
        </w:rPr>
        <w:t>。</w:t>
      </w:r>
      <w:r>
        <w:rPr>
          <w:rFonts w:ascii="宋体" w:hAnsi="宋体" w:eastAsia="宋体" w:cs="宋体"/>
          <w:strike/>
          <w:u w:val="single"/>
          <w:shd w:val="clear" w:color="auto" w:fill="FFFFFF"/>
        </w:rPr>
        <w:t>（产品名称2）</w:t>
      </w:r>
      <w:r>
        <w:rPr>
          <w:rFonts w:ascii="宋体" w:hAnsi="宋体" w:eastAsia="宋体" w:cs="宋体"/>
          <w:shd w:val="clear" w:color="auto" w:fill="FFFFFF"/>
        </w:rPr>
        <w:t>的</w:t>
      </w:r>
      <w:r>
        <w:rPr>
          <w:rFonts w:ascii="宋体" w:hAnsi="宋体" w:eastAsia="宋体" w:cs="宋体"/>
          <w:strike/>
          <w:u w:val="single"/>
          <w:shd w:val="clear" w:color="auto" w:fill="FFFFFF"/>
        </w:rPr>
        <w:t>（关键组件）</w:t>
      </w:r>
      <w:r>
        <w:rPr>
          <w:rFonts w:ascii="宋体" w:hAnsi="宋体" w:eastAsia="宋体" w:cs="宋体"/>
          <w:shd w:val="clear" w:color="auto" w:fill="FFFFFF"/>
        </w:rPr>
        <w:t>在中国境内生产</w:t>
      </w:r>
      <w:r>
        <w:rPr>
          <w:rFonts w:ascii="宋体" w:hAnsi="宋体" w:eastAsia="宋体" w:cs="宋体"/>
          <w:highlight w:val="none"/>
          <w:shd w:val="clear" w:color="auto" w:fill="FFFFFF"/>
        </w:rPr>
        <w:t>。</w:t>
      </w:r>
      <w:r>
        <w:rPr>
          <w:rFonts w:ascii="宋体" w:hAnsi="宋体" w:eastAsia="宋体" w:cs="宋体"/>
          <w:strike/>
          <w:highlight w:val="none"/>
          <w:u w:val="single"/>
          <w:shd w:val="clear" w:color="auto" w:fill="FFFFFF"/>
        </w:rPr>
        <w:t>（产品名称1）</w:t>
      </w:r>
      <w:r>
        <w:rPr>
          <w:rFonts w:ascii="宋体" w:hAnsi="宋体" w:eastAsia="宋体" w:cs="宋体"/>
          <w:highlight w:val="none"/>
          <w:shd w:val="clear" w:color="auto" w:fill="FFFFFF"/>
        </w:rPr>
        <w:t>的</w:t>
      </w:r>
      <w:r>
        <w:rPr>
          <w:rFonts w:ascii="宋体" w:hAnsi="宋体" w:eastAsia="宋体" w:cs="宋体"/>
          <w:strike/>
          <w:highlight w:val="none"/>
          <w:u w:val="single"/>
          <w:shd w:val="clear" w:color="auto" w:fill="FFFFFF"/>
        </w:rPr>
        <w:t>（关</w:t>
      </w:r>
      <w:r>
        <w:rPr>
          <w:rFonts w:ascii="宋体" w:hAnsi="宋体" w:eastAsia="宋体" w:cs="宋体"/>
          <w:strike/>
          <w:u w:val="single"/>
          <w:shd w:val="clear" w:color="auto" w:fill="FFFFFF"/>
        </w:rPr>
        <w:t>键工序）</w:t>
      </w:r>
      <w:r>
        <w:rPr>
          <w:rFonts w:ascii="宋体" w:hAnsi="宋体" w:eastAsia="宋体" w:cs="宋体"/>
          <w:shd w:val="clear" w:color="auto" w:fill="FFFFFF"/>
        </w:rPr>
        <w:t>在中国境内完成。</w:t>
      </w:r>
    </w:p>
    <w:p w14:paraId="519DADE7">
      <w:pPr>
        <w:pStyle w:val="30"/>
        <w:spacing w:before="30" w:beforeAutospacing="0" w:after="30" w:afterAutospacing="0" w:line="560" w:lineRule="exact"/>
        <w:ind w:firstLine="420"/>
        <w:jc w:val="both"/>
      </w:pPr>
      <w:r>
        <w:rPr>
          <w:rFonts w:ascii="宋体" w:hAnsi="宋体" w:eastAsia="宋体" w:cs="宋体"/>
          <w:shd w:val="clear" w:color="auto" w:fill="FFFFFF"/>
        </w:rPr>
        <w:t>……</w:t>
      </w:r>
    </w:p>
    <w:p w14:paraId="2898E24F">
      <w:pPr>
        <w:pStyle w:val="30"/>
        <w:spacing w:before="30" w:beforeAutospacing="0" w:after="30" w:afterAutospacing="0" w:line="560" w:lineRule="exact"/>
        <w:ind w:firstLine="420"/>
        <w:jc w:val="both"/>
      </w:pPr>
      <w:r>
        <w:rPr>
          <w:rFonts w:ascii="宋体" w:hAnsi="宋体" w:eastAsia="宋体" w:cs="宋体"/>
          <w:shd w:val="clear" w:color="auto" w:fill="FFFFFF"/>
        </w:rPr>
        <w:t>本公司（单位）对上述声明内容的真实性负责。如有虚假，愿承担相应法律责任。</w:t>
      </w:r>
    </w:p>
    <w:p w14:paraId="1CAC866F">
      <w:pPr>
        <w:pStyle w:val="30"/>
        <w:spacing w:before="30" w:beforeAutospacing="0" w:after="30" w:afterAutospacing="0"/>
        <w:jc w:val="both"/>
      </w:pPr>
      <w:r>
        <w:rPr>
          <w:rFonts w:ascii="宋体" w:hAnsi="宋体" w:eastAsia="宋体" w:cs="宋体"/>
        </w:rPr>
        <w:t> </w:t>
      </w:r>
    </w:p>
    <w:p w14:paraId="4B7D6087">
      <w:pPr>
        <w:pStyle w:val="30"/>
        <w:spacing w:before="30" w:beforeAutospacing="0" w:after="30" w:afterAutospacing="0" w:line="460" w:lineRule="exact"/>
        <w:ind w:right="480" w:firstLine="3720"/>
        <w:jc w:val="both"/>
      </w:pPr>
      <w:r>
        <w:rPr>
          <w:rFonts w:ascii="宋体" w:hAnsi="宋体" w:eastAsia="宋体" w:cs="宋体"/>
          <w:shd w:val="clear" w:color="auto" w:fill="FFFFFF"/>
        </w:rPr>
        <w:t>公司（单位）名称（盖章）：　</w:t>
      </w:r>
    </w:p>
    <w:p w14:paraId="4B86CD8E">
      <w:pPr>
        <w:pStyle w:val="30"/>
        <w:spacing w:before="30" w:beforeAutospacing="0" w:after="30" w:afterAutospacing="0" w:line="460" w:lineRule="exact"/>
        <w:jc w:val="center"/>
      </w:pPr>
      <w:r>
        <w:rPr>
          <w:rFonts w:ascii="宋体" w:hAnsi="宋体" w:eastAsia="宋体" w:cs="宋体"/>
          <w:shd w:val="clear" w:color="auto" w:fill="FFFFFF"/>
        </w:rPr>
        <w:t>             日期：　   年　  月　  日         </w:t>
      </w:r>
    </w:p>
    <w:p w14:paraId="4FB4ABF3">
      <w:pPr>
        <w:pStyle w:val="30"/>
        <w:spacing w:before="30" w:beforeAutospacing="0" w:after="30" w:afterAutospacing="0" w:line="460" w:lineRule="exact"/>
        <w:jc w:val="both"/>
        <w:rPr>
          <w:rFonts w:ascii="宋体" w:hAnsi="宋体" w:eastAsia="宋体" w:cs="宋体"/>
          <w:shd w:val="clear" w:color="auto" w:fill="FFFFFF"/>
        </w:rPr>
      </w:pPr>
    </w:p>
    <w:p w14:paraId="563751CB">
      <w:pPr>
        <w:pStyle w:val="30"/>
        <w:spacing w:before="30" w:beforeAutospacing="0" w:after="30" w:afterAutospacing="0" w:line="460" w:lineRule="exact"/>
        <w:jc w:val="both"/>
      </w:pPr>
      <w:r>
        <w:rPr>
          <w:rFonts w:ascii="宋体" w:hAnsi="宋体" w:eastAsia="宋体" w:cs="宋体"/>
          <w:shd w:val="clear" w:color="auto" w:fill="FFFFFF"/>
        </w:rPr>
        <w:t>__________________</w:t>
      </w:r>
    </w:p>
    <w:p w14:paraId="0D130BF1">
      <w:pPr>
        <w:pStyle w:val="30"/>
        <w:spacing w:before="30" w:beforeAutospacing="0" w:after="30" w:afterAutospacing="0" w:line="460" w:lineRule="exact"/>
        <w:jc w:val="both"/>
      </w:pPr>
      <w:r>
        <w:rPr>
          <w:rFonts w:ascii="宋体" w:hAnsi="宋体" w:eastAsia="宋体" w:cs="宋体"/>
          <w:shd w:val="clear" w:color="auto" w:fill="FFFFFF"/>
        </w:rPr>
        <w:t>1.产品如有型号，请在“产品名称”栏一并填写。</w:t>
      </w:r>
    </w:p>
    <w:p w14:paraId="3BE63DDD">
      <w:pPr>
        <w:pStyle w:val="30"/>
        <w:spacing w:before="30" w:beforeAutospacing="0" w:after="30" w:afterAutospacing="0" w:line="460" w:lineRule="exact"/>
        <w:jc w:val="both"/>
      </w:pPr>
      <w:r>
        <w:rPr>
          <w:rFonts w:ascii="宋体" w:hAnsi="宋体" w:eastAsia="宋体" w:cs="宋体"/>
          <w:shd w:val="clear" w:color="auto" w:fill="FFFFFF"/>
        </w:rPr>
        <w:t>2.生产厂名与厂址应与生产厂营业执照载明的相关信息保持一致。</w:t>
      </w:r>
    </w:p>
    <w:p w14:paraId="187E10C6">
      <w:pPr>
        <w:pStyle w:val="30"/>
        <w:spacing w:before="30" w:beforeAutospacing="0" w:after="30" w:afterAutospacing="0" w:line="460" w:lineRule="exact"/>
        <w:jc w:val="both"/>
      </w:pPr>
      <w:r>
        <w:rPr>
          <w:rFonts w:ascii="宋体" w:hAnsi="宋体" w:eastAsia="宋体" w:cs="宋体"/>
          <w:shd w:val="clear" w:color="auto" w:fill="FFFFFF"/>
        </w:rPr>
        <w:t>3.该产品的中国境内生产的组件成本占比相关要求实施前，“规定比例”栏可不填，下同。</w:t>
      </w:r>
    </w:p>
    <w:p w14:paraId="3267BE6A">
      <w:pPr>
        <w:pStyle w:val="30"/>
        <w:spacing w:before="30" w:beforeAutospacing="0" w:after="30" w:afterAutospacing="0" w:line="460" w:lineRule="exact"/>
        <w:jc w:val="both"/>
      </w:pPr>
      <w:r>
        <w:rPr>
          <w:rFonts w:ascii="宋体" w:hAnsi="宋体" w:eastAsia="宋体" w:cs="宋体"/>
          <w:shd w:val="clear" w:color="auto" w:fill="FFFFFF"/>
        </w:rPr>
        <w:t>4.该产品的关键组件要求实施前，“关键组件”栏可不填，下同。</w:t>
      </w:r>
    </w:p>
    <w:p w14:paraId="4E6C0834">
      <w:pPr>
        <w:pStyle w:val="30"/>
        <w:spacing w:before="30" w:beforeAutospacing="0" w:after="30" w:afterAutospacing="0" w:line="460" w:lineRule="exact"/>
        <w:jc w:val="both"/>
      </w:pPr>
      <w:r>
        <w:rPr>
          <w:rFonts w:ascii="宋体" w:hAnsi="宋体" w:eastAsia="宋体" w:cs="宋体"/>
          <w:shd w:val="clear" w:color="auto" w:fill="FFFFFF"/>
        </w:rPr>
        <w:t>5.该产品的关键工序要求实施前，“关键工序”栏可不填，下同。</w:t>
      </w:r>
    </w:p>
    <w:p w14:paraId="2039D937">
      <w:pPr>
        <w:pStyle w:val="30"/>
        <w:spacing w:before="30" w:beforeAutospacing="0" w:after="30" w:afterAutospacing="0" w:line="460" w:lineRule="exact"/>
        <w:jc w:val="both"/>
      </w:pPr>
      <w:r>
        <w:rPr>
          <w:rFonts w:ascii="宋体" w:hAnsi="宋体" w:eastAsia="宋体" w:cs="宋体"/>
          <w:shd w:val="clear" w:color="auto" w:fill="FFFFFF"/>
        </w:rPr>
        <w:t>6.用</w:t>
      </w:r>
      <w:r>
        <w:rPr>
          <w:rFonts w:hint="eastAsia" w:ascii="宋体" w:hAnsi="宋体" w:eastAsia="宋体" w:cs="宋体"/>
          <w:shd w:val="clear" w:color="auto" w:fill="FFFFFF"/>
        </w:rPr>
        <w:t>横</w:t>
      </w:r>
      <w:r>
        <w:rPr>
          <w:rFonts w:ascii="宋体" w:hAnsi="宋体" w:eastAsia="宋体" w:cs="宋体"/>
          <w:shd w:val="clear" w:color="auto" w:fill="FFFFFF"/>
        </w:rPr>
        <w:t>线划除的地方无需填写。</w:t>
      </w:r>
    </w:p>
    <w:p w14:paraId="426D5A38">
      <w:pPr>
        <w:pStyle w:val="30"/>
        <w:spacing w:beforeAutospacing="0" w:afterAutospacing="0" w:line="0" w:lineRule="atLeast"/>
        <w:jc w:val="center"/>
      </w:pPr>
    </w:p>
    <w:p w14:paraId="6D19F8E5">
      <w:pPr>
        <w:pStyle w:val="30"/>
        <w:spacing w:beforeAutospacing="0" w:afterAutospacing="0" w:line="0" w:lineRule="atLeast"/>
        <w:jc w:val="both"/>
      </w:pPr>
    </w:p>
    <w:p w14:paraId="11BC64E8">
      <w:pPr>
        <w:pStyle w:val="4"/>
        <w:ind w:firstLine="216"/>
        <w:jc w:val="center"/>
        <w:rPr>
          <w:rFonts w:ascii="黑体" w:hAnsi="宋体" w:eastAsia="黑体" w:cs="黑体"/>
        </w:rPr>
      </w:pPr>
      <w:r>
        <w:rPr>
          <w:rFonts w:hint="eastAsia" w:ascii="黑体" w:hAnsi="宋体" w:eastAsia="黑体" w:cs="黑体"/>
          <w:bCs/>
          <w:color w:val="000000"/>
          <w:sz w:val="32"/>
          <w:szCs w:val="32"/>
        </w:rPr>
        <w:t>十</w:t>
      </w:r>
      <w:r>
        <w:rPr>
          <w:rFonts w:hint="eastAsia" w:ascii="黑体" w:hAnsi="宋体" w:eastAsia="黑体" w:cs="黑体"/>
          <w:bCs/>
          <w:color w:val="000000"/>
          <w:sz w:val="32"/>
          <w:szCs w:val="32"/>
          <w:lang w:val="en-US" w:eastAsia="zh-CN"/>
        </w:rPr>
        <w:t>三</w:t>
      </w:r>
      <w:r>
        <w:rPr>
          <w:rFonts w:hint="eastAsia" w:ascii="黑体" w:hAnsi="宋体" w:eastAsia="黑体" w:cs="黑体"/>
          <w:bCs/>
          <w:color w:val="000000"/>
          <w:sz w:val="32"/>
          <w:szCs w:val="32"/>
        </w:rPr>
        <w:t>、</w:t>
      </w:r>
      <w:r>
        <w:rPr>
          <w:rFonts w:hint="eastAsia" w:ascii="黑体" w:hAnsi="宋体" w:eastAsia="黑体" w:cs="黑体"/>
        </w:rPr>
        <w:t>投标分项报价表</w:t>
      </w:r>
    </w:p>
    <w:tbl>
      <w:tblPr>
        <w:tblStyle w:val="33"/>
        <w:tblW w:w="8517" w:type="dxa"/>
        <w:tblCellSpacing w:w="0" w:type="dxa"/>
        <w:tblInd w:w="10" w:type="dxa"/>
        <w:tblLayout w:type="fixed"/>
        <w:tblCellMar>
          <w:top w:w="0" w:type="dxa"/>
          <w:left w:w="108" w:type="dxa"/>
          <w:bottom w:w="0" w:type="dxa"/>
          <w:right w:w="108" w:type="dxa"/>
        </w:tblCellMar>
      </w:tblPr>
      <w:tblGrid>
        <w:gridCol w:w="546"/>
        <w:gridCol w:w="996"/>
        <w:gridCol w:w="905"/>
        <w:gridCol w:w="1298"/>
        <w:gridCol w:w="746"/>
        <w:gridCol w:w="918"/>
        <w:gridCol w:w="696"/>
        <w:gridCol w:w="1261"/>
        <w:gridCol w:w="1151"/>
      </w:tblGrid>
      <w:tr w14:paraId="6335F1FD">
        <w:tblPrEx>
          <w:tblCellMar>
            <w:top w:w="0" w:type="dxa"/>
            <w:left w:w="108" w:type="dxa"/>
            <w:bottom w:w="0" w:type="dxa"/>
            <w:right w:w="108" w:type="dxa"/>
          </w:tblCellMar>
        </w:tblPrEx>
        <w:trPr>
          <w:trHeight w:val="54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BDB9F">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序号</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9A323">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1</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AF510">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2</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3E9BD">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3</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70327">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4</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9F75F">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5</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17E50">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6</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7249E">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7</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48B49">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8</w:t>
            </w:r>
          </w:p>
        </w:tc>
      </w:tr>
      <w:tr w14:paraId="3F81C484">
        <w:tblPrEx>
          <w:tblCellMar>
            <w:top w:w="0" w:type="dxa"/>
            <w:left w:w="108" w:type="dxa"/>
            <w:bottom w:w="0" w:type="dxa"/>
            <w:right w:w="108" w:type="dxa"/>
          </w:tblCellMar>
        </w:tblPrEx>
        <w:trPr>
          <w:trHeight w:val="29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D8554">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1</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04D63">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产品</w:t>
            </w:r>
          </w:p>
          <w:p w14:paraId="67D4302B">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名称</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AA78B">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品牌</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685F0">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规格</w:t>
            </w:r>
          </w:p>
          <w:p w14:paraId="585F4A44">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型号</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CA215">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产地</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6582D">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交付期</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28529">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数量</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E4481">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分项单价</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234AC">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分项总价</w:t>
            </w:r>
          </w:p>
        </w:tc>
      </w:tr>
      <w:tr w14:paraId="1F69D92A">
        <w:tblPrEx>
          <w:tblCellMar>
            <w:top w:w="0" w:type="dxa"/>
            <w:left w:w="108" w:type="dxa"/>
            <w:bottom w:w="0" w:type="dxa"/>
            <w:right w:w="108" w:type="dxa"/>
          </w:tblCellMar>
        </w:tblPrEx>
        <w:trPr>
          <w:trHeight w:val="696"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3CC3C">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2</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A0421">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20EFB">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5E506">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97083">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FDCA6">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4B83B">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C5E86">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2DC48">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r>
      <w:tr w14:paraId="0992823C">
        <w:tblPrEx>
          <w:tblCellMar>
            <w:top w:w="0" w:type="dxa"/>
            <w:left w:w="108" w:type="dxa"/>
            <w:bottom w:w="0" w:type="dxa"/>
            <w:right w:w="108" w:type="dxa"/>
          </w:tblCellMar>
        </w:tblPrEx>
        <w:trPr>
          <w:trHeight w:val="72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CA85D">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3</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AA351">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4A1FC">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2E750">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F14C9">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E2A9E">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AA0B5">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1712A">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AB3A0">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r>
      <w:tr w14:paraId="1F49CC3D">
        <w:tblPrEx>
          <w:tblCellMar>
            <w:top w:w="0" w:type="dxa"/>
            <w:left w:w="108" w:type="dxa"/>
            <w:bottom w:w="0" w:type="dxa"/>
            <w:right w:w="108" w:type="dxa"/>
          </w:tblCellMar>
        </w:tblPrEx>
        <w:trPr>
          <w:trHeight w:val="64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60693">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4</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0C025">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A79EC">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CA121">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E7743">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64B11">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BA73A">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DECA9">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3DD0E">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r>
      <w:tr w14:paraId="6F9AC2BD">
        <w:tblPrEx>
          <w:tblCellMar>
            <w:top w:w="0" w:type="dxa"/>
            <w:left w:w="108" w:type="dxa"/>
            <w:bottom w:w="0" w:type="dxa"/>
            <w:right w:w="108" w:type="dxa"/>
          </w:tblCellMar>
        </w:tblPrEx>
        <w:trPr>
          <w:trHeight w:val="58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FF6AB">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306FA">
            <w:pPr>
              <w:pStyle w:val="30"/>
              <w:keepNext w:val="0"/>
              <w:keepLines w:val="0"/>
              <w:suppressLineNumbers w:val="0"/>
              <w:spacing w:before="0" w:beforeAutospacing="0" w:after="0" w:afterAutospacing="0" w:line="0" w:lineRule="atLeast"/>
              <w:ind w:left="0" w:right="0"/>
              <w:jc w:val="both"/>
              <w:rPr>
                <w:rFonts w:hint="default"/>
              </w:rPr>
            </w:pPr>
            <w:r>
              <w:rPr>
                <w:rFonts w:hint="eastAsia" w:ascii="宋体" w:hAnsi="宋体" w:eastAsia="宋体" w:cs="宋体"/>
              </w:rPr>
              <w:t>……</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704C0">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2F997">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863AF">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00621">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822F7">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63638">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AB0B2">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r>
      <w:tr w14:paraId="6C9A7673">
        <w:tblPrEx>
          <w:tblCellMar>
            <w:top w:w="0" w:type="dxa"/>
            <w:left w:w="108" w:type="dxa"/>
            <w:bottom w:w="0" w:type="dxa"/>
            <w:right w:w="108" w:type="dxa"/>
          </w:tblCellMar>
        </w:tblPrEx>
        <w:trPr>
          <w:trHeight w:val="1030" w:hRule="atLeast"/>
          <w:tblCellSpacing w:w="0" w:type="dxa"/>
        </w:trPr>
        <w:tc>
          <w:tcPr>
            <w:tcW w:w="7366"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FDD9207">
            <w:pPr>
              <w:pStyle w:val="30"/>
              <w:keepNext w:val="0"/>
              <w:keepLines w:val="0"/>
              <w:suppressLineNumbers w:val="0"/>
              <w:spacing w:before="0" w:beforeAutospacing="0" w:after="0" w:afterAutospacing="0"/>
              <w:ind w:left="0" w:right="0"/>
              <w:jc w:val="center"/>
              <w:rPr>
                <w:rFonts w:hint="default"/>
              </w:rPr>
            </w:pPr>
            <w:r>
              <w:rPr>
                <w:rFonts w:hint="eastAsia" w:ascii="宋体" w:hAnsi="宋体" w:eastAsia="宋体" w:cs="宋体"/>
              </w:rPr>
              <w:t>投标总报价（人民币：元）</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E2FC5">
            <w:pPr>
              <w:pStyle w:val="30"/>
              <w:keepNext w:val="0"/>
              <w:keepLines w:val="0"/>
              <w:suppressLineNumbers w:val="0"/>
              <w:spacing w:before="0" w:beforeAutospacing="0" w:after="0" w:afterAutospacing="0"/>
              <w:ind w:left="0" w:right="0"/>
              <w:jc w:val="both"/>
              <w:rPr>
                <w:rFonts w:hint="default"/>
              </w:rPr>
            </w:pPr>
            <w:r>
              <w:rPr>
                <w:rFonts w:hint="default"/>
              </w:rPr>
              <w:t> </w:t>
            </w:r>
          </w:p>
        </w:tc>
      </w:tr>
      <w:tr w14:paraId="2B944591">
        <w:tblPrEx>
          <w:tblCellMar>
            <w:top w:w="0" w:type="dxa"/>
            <w:left w:w="108" w:type="dxa"/>
            <w:bottom w:w="0" w:type="dxa"/>
            <w:right w:w="108" w:type="dxa"/>
          </w:tblCellMar>
        </w:tblPrEx>
        <w:trPr>
          <w:trHeight w:val="1030" w:hRule="atLeast"/>
          <w:tblCellSpacing w:w="0" w:type="dxa"/>
        </w:trPr>
        <w:tc>
          <w:tcPr>
            <w:tcW w:w="851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1000A22">
            <w:pPr>
              <w:pStyle w:val="30"/>
              <w:keepNext w:val="0"/>
              <w:keepLines w:val="0"/>
              <w:suppressLineNumbers w:val="0"/>
              <w:spacing w:before="0" w:beforeAutospacing="0" w:after="0" w:afterAutospacing="0"/>
              <w:ind w:left="0" w:right="0"/>
              <w:jc w:val="both"/>
              <w:rPr>
                <w:rFonts w:hint="default"/>
              </w:rPr>
            </w:pPr>
            <w:r>
              <w:rPr>
                <w:rFonts w:hint="eastAsia" w:asciiTheme="minorEastAsia" w:hAnsiTheme="minorEastAsia" w:cstheme="minorEastAsia"/>
              </w:rPr>
              <w:t>本采购包中提供的符合本国产品标准的产品成本之和占该采购包提供的全部产品成本之和的比例为</w:t>
            </w:r>
            <w:r>
              <w:rPr>
                <w:rFonts w:hint="eastAsia" w:asciiTheme="minorEastAsia" w:hAnsiTheme="minorEastAsia" w:cstheme="minorEastAsia"/>
                <w:u w:val="single"/>
              </w:rPr>
              <w:t>***</w:t>
            </w:r>
            <w:r>
              <w:rPr>
                <w:rFonts w:hint="eastAsia" w:asciiTheme="minorEastAsia" w:hAnsiTheme="minorEastAsia" w:cstheme="minorEastAsia"/>
              </w:rPr>
              <w:t>%。</w:t>
            </w:r>
          </w:p>
        </w:tc>
      </w:tr>
    </w:tbl>
    <w:p w14:paraId="442238A9">
      <w:pPr>
        <w:pStyle w:val="30"/>
        <w:spacing w:beforeAutospacing="0" w:afterAutospacing="0" w:line="560" w:lineRule="exact"/>
        <w:jc w:val="both"/>
        <w:rPr>
          <w:rFonts w:ascii="宋体" w:hAnsi="宋体" w:eastAsia="宋体" w:cs="宋体"/>
        </w:rPr>
      </w:pPr>
      <w:r>
        <w:rPr>
          <w:rFonts w:hint="eastAsia" w:ascii="宋体" w:hAnsi="宋体" w:eastAsia="宋体" w:cs="宋体"/>
        </w:rPr>
        <w:t>备注：</w:t>
      </w:r>
    </w:p>
    <w:p w14:paraId="2CD060BB">
      <w:pPr>
        <w:pStyle w:val="30"/>
        <w:spacing w:beforeAutospacing="0" w:afterAutospacing="0" w:line="560" w:lineRule="exact"/>
        <w:jc w:val="both"/>
        <w:rPr>
          <w:rFonts w:ascii="宋体" w:hAnsi="宋体" w:eastAsia="宋体" w:cs="宋体"/>
        </w:rPr>
      </w:pPr>
      <w:r>
        <w:rPr>
          <w:rFonts w:hint="eastAsia" w:ascii="宋体" w:hAnsi="宋体" w:eastAsia="宋体" w:cs="宋体"/>
        </w:rPr>
        <w:t>1.投标报价采用总承包方式，“投标总报价”应包括</w:t>
      </w:r>
      <w:r>
        <w:rPr>
          <w:rFonts w:hint="eastAsia" w:ascii="宋体" w:hAnsi="宋体" w:eastAsia="宋体" w:cs="宋体"/>
          <w:kern w:val="0"/>
          <w:sz w:val="24"/>
          <w:szCs w:val="24"/>
          <w:lang w:val="en-US" w:eastAsia="zh-CN" w:bidi="ar-SA"/>
        </w:rPr>
        <w:t>不限于全部设备、配套耗材、人工、机械、运输、仓储、安装、调试、培训、保险、各种税费、专利技术、质保期间等一切费用及其他费用</w:t>
      </w:r>
      <w:r>
        <w:rPr>
          <w:rFonts w:hint="eastAsia" w:ascii="宋体" w:hAnsi="宋体" w:eastAsia="宋体" w:cs="宋体"/>
        </w:rPr>
        <w:t>，招标文件中另有规定的除外。</w:t>
      </w:r>
    </w:p>
    <w:p w14:paraId="5CBF482E">
      <w:pPr>
        <w:pStyle w:val="30"/>
        <w:spacing w:beforeAutospacing="0" w:afterAutospacing="0" w:line="560" w:lineRule="exact"/>
        <w:jc w:val="both"/>
        <w:rPr>
          <w:rFonts w:hint="eastAsia" w:ascii="宋体" w:hAnsi="宋体" w:eastAsia="宋体" w:cs="宋体"/>
        </w:rPr>
      </w:pPr>
      <w:r>
        <w:rPr>
          <w:rFonts w:hint="eastAsia" w:ascii="宋体" w:hAnsi="宋体" w:eastAsia="宋体" w:cs="宋体"/>
        </w:rPr>
        <w:t>2.</w:t>
      </w:r>
      <w:r>
        <w:rPr>
          <w:rFonts w:ascii="Times New Roman" w:hAnsi="Times New Roman"/>
          <w:sz w:val="21"/>
          <w:szCs w:val="21"/>
        </w:rPr>
        <w:t xml:space="preserve"> “</w:t>
      </w:r>
      <w:r>
        <w:rPr>
          <w:rFonts w:hint="eastAsia" w:ascii="宋体" w:hAnsi="宋体" w:eastAsia="宋体" w:cs="宋体"/>
        </w:rPr>
        <w:t>投标分项报价表</w:t>
      </w:r>
      <w:r>
        <w:rPr>
          <w:rFonts w:ascii="Times New Roman" w:hAnsi="Times New Roman"/>
          <w:sz w:val="21"/>
          <w:szCs w:val="21"/>
        </w:rPr>
        <w:t>”</w:t>
      </w:r>
      <w:r>
        <w:rPr>
          <w:rFonts w:hint="eastAsia" w:ascii="宋体" w:hAnsi="宋体" w:eastAsia="宋体" w:cs="宋体"/>
        </w:rPr>
        <w:t>中“投标总报价”数额应当与“开标一览表”中“投标总报价”数额一致。</w:t>
      </w:r>
    </w:p>
    <w:p w14:paraId="642C3961">
      <w:pPr>
        <w:pStyle w:val="30"/>
        <w:spacing w:beforeAutospacing="0" w:afterAutospacing="0" w:line="560" w:lineRule="exact"/>
        <w:jc w:val="both"/>
        <w:rPr>
          <w:rFonts w:hint="eastAsia" w:ascii="宋体" w:hAnsi="宋体" w:eastAsia="宋体" w:cs="宋体"/>
          <w:lang w:val="en-US"/>
        </w:rPr>
      </w:pPr>
      <w:r>
        <w:rPr>
          <w:rFonts w:hint="eastAsia" w:ascii="宋体" w:hAnsi="宋体" w:eastAsia="宋体" w:cs="宋体"/>
          <w:lang w:val="en-US" w:eastAsia="zh-CN"/>
        </w:rPr>
        <w:t>3.</w:t>
      </w:r>
      <w:r>
        <w:rPr>
          <w:rFonts w:hint="eastAsia" w:ascii="宋体" w:hAnsi="宋体" w:eastAsia="宋体" w:cs="宋体"/>
          <w:lang w:eastAsia="zh-CN"/>
        </w:rPr>
        <w:t>投标数量×投标分项单价</w:t>
      </w:r>
      <w:r>
        <w:rPr>
          <w:rFonts w:hint="eastAsia" w:ascii="宋体" w:hAnsi="宋体" w:eastAsia="宋体" w:cs="宋体"/>
          <w:lang w:val="en-US"/>
        </w:rPr>
        <w:t>=</w:t>
      </w:r>
      <w:r>
        <w:rPr>
          <w:rFonts w:hint="eastAsia" w:ascii="宋体" w:hAnsi="宋体" w:eastAsia="宋体" w:cs="宋体"/>
          <w:lang w:eastAsia="zh-CN"/>
        </w:rPr>
        <w:t>投标总报价，否则做无效标处理。</w:t>
      </w:r>
    </w:p>
    <w:p w14:paraId="50EB4DBB">
      <w:pPr>
        <w:spacing w:line="560" w:lineRule="exact"/>
        <w:rPr>
          <w:rFonts w:ascii="宋体" w:hAnsi="宋体" w:eastAsia="宋体" w:cs="宋体"/>
        </w:rPr>
      </w:pPr>
      <w:r>
        <w:rPr>
          <w:rFonts w:hint="eastAsia" w:asciiTheme="minorEastAsia" w:hAnsiTheme="minorEastAsia" w:cstheme="minorEastAsia"/>
          <w:sz w:val="24"/>
          <w:lang w:val="en-US" w:eastAsia="zh-CN"/>
        </w:rPr>
        <w:t>4</w:t>
      </w:r>
      <w:r>
        <w:rPr>
          <w:rFonts w:hint="eastAsia" w:asciiTheme="minorEastAsia" w:hAnsiTheme="minorEastAsia" w:cstheme="minorEastAsia"/>
          <w:sz w:val="24"/>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7FF3E6CC">
      <w:pPr>
        <w:pStyle w:val="30"/>
        <w:spacing w:beforeAutospacing="0" w:afterAutospacing="0" w:line="500" w:lineRule="exact"/>
        <w:jc w:val="both"/>
      </w:pPr>
    </w:p>
    <w:p w14:paraId="098FF7D8">
      <w:pPr>
        <w:pStyle w:val="30"/>
        <w:spacing w:beforeAutospacing="0" w:afterAutospacing="0"/>
        <w:jc w:val="both"/>
      </w:pPr>
      <w:r>
        <w:t> </w:t>
      </w:r>
    </w:p>
    <w:p w14:paraId="6B6F7C6D">
      <w:pPr>
        <w:pStyle w:val="30"/>
        <w:spacing w:beforeAutospacing="0" w:afterAutospacing="0"/>
        <w:jc w:val="center"/>
        <w:rPr>
          <w:rFonts w:ascii="黑体" w:hAnsi="宋体" w:eastAsia="黑体" w:cs="黑体"/>
          <w:bCs/>
          <w:color w:val="000000"/>
          <w:sz w:val="32"/>
          <w:szCs w:val="32"/>
        </w:rPr>
      </w:pPr>
      <w:bookmarkStart w:id="200" w:name="_Hlt26955054"/>
    </w:p>
    <w:p w14:paraId="673CAF79">
      <w:pPr>
        <w:pStyle w:val="30"/>
        <w:spacing w:beforeAutospacing="0" w:afterAutospacing="0"/>
        <w:jc w:val="center"/>
        <w:rPr>
          <w:bCs/>
        </w:rPr>
      </w:pPr>
      <w:r>
        <w:rPr>
          <w:rFonts w:hint="eastAsia" w:ascii="黑体" w:hAnsi="宋体" w:eastAsia="黑体" w:cs="黑体"/>
          <w:bCs/>
          <w:color w:val="000000"/>
          <w:sz w:val="32"/>
          <w:szCs w:val="32"/>
        </w:rPr>
        <w:t>十</w:t>
      </w:r>
      <w:r>
        <w:rPr>
          <w:rFonts w:hint="eastAsia" w:ascii="黑体" w:hAnsi="宋体" w:eastAsia="黑体" w:cs="黑体"/>
          <w:bCs/>
          <w:color w:val="000000"/>
          <w:sz w:val="32"/>
          <w:szCs w:val="32"/>
          <w:lang w:val="en-US" w:eastAsia="zh-CN"/>
        </w:rPr>
        <w:t>四</w:t>
      </w:r>
      <w:r>
        <w:rPr>
          <w:rFonts w:hint="eastAsia" w:ascii="黑体" w:hAnsi="宋体" w:eastAsia="黑体" w:cs="黑体"/>
          <w:bCs/>
          <w:color w:val="000000"/>
          <w:sz w:val="32"/>
          <w:szCs w:val="32"/>
        </w:rPr>
        <w:t>、商务要求响应及偏离表</w:t>
      </w:r>
    </w:p>
    <w:tbl>
      <w:tblPr>
        <w:tblStyle w:val="33"/>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0ACC1705">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5CDD37">
            <w:pPr>
              <w:pStyle w:val="30"/>
              <w:spacing w:beforeAutospacing="0" w:afterAutospacing="0"/>
              <w:jc w:val="center"/>
            </w:pPr>
            <w:bookmarkStart w:id="201" w:name="_Hlt26782999"/>
            <w:bookmarkStart w:id="202" w:name="_Hlt26671343"/>
            <w:bookmarkStart w:id="203" w:name="_Hlt24879081"/>
            <w:bookmarkStart w:id="204" w:name="_Hlt26671372"/>
            <w:bookmarkStart w:id="205" w:name="_Hlt26955056"/>
            <w:bookmarkStart w:id="206" w:name="_Hlt26955064"/>
            <w:bookmarkStart w:id="207" w:name="_Hlt26609391"/>
            <w:bookmarkStart w:id="208" w:name="_Hlt26580838"/>
            <w:r>
              <w:rPr>
                <w:rFonts w:hint="eastAsia" w:ascii="宋体" w:hAnsi="宋体" w:eastAsia="宋体" w:cs="宋体"/>
                <w:color w:val="000000"/>
              </w:rPr>
              <w:t>序号</w:t>
            </w:r>
            <w:bookmarkEnd w:id="201"/>
            <w:bookmarkEnd w:id="202"/>
            <w:bookmarkEnd w:id="203"/>
            <w:bookmarkEnd w:id="204"/>
            <w:bookmarkEnd w:id="205"/>
            <w:bookmarkEnd w:id="206"/>
            <w:bookmarkEnd w:id="207"/>
            <w:bookmarkEnd w:id="208"/>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844474">
            <w:pPr>
              <w:pStyle w:val="30"/>
              <w:spacing w:beforeAutospacing="0" w:afterAutospacing="0"/>
              <w:jc w:val="center"/>
            </w:pPr>
            <w:r>
              <w:rPr>
                <w:rFonts w:hint="eastAsia" w:ascii="宋体" w:hAnsi="宋体" w:eastAsia="宋体" w:cs="宋体"/>
                <w:color w:val="000000"/>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4A5E36">
            <w:pPr>
              <w:pStyle w:val="30"/>
              <w:spacing w:beforeAutospacing="0" w:afterAutospacing="0"/>
              <w:jc w:val="center"/>
            </w:pPr>
            <w:r>
              <w:rPr>
                <w:rFonts w:hint="eastAsia" w:ascii="宋体" w:hAnsi="宋体" w:eastAsia="宋体" w:cs="宋体"/>
                <w:color w:val="000000"/>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018A18">
            <w:pPr>
              <w:pStyle w:val="30"/>
              <w:spacing w:beforeAutospacing="0" w:afterAutospacing="0"/>
              <w:jc w:val="center"/>
            </w:pPr>
            <w:r>
              <w:rPr>
                <w:rFonts w:hint="eastAsia" w:ascii="宋体" w:hAnsi="宋体" w:eastAsia="宋体" w:cs="宋体"/>
                <w:color w:val="000000"/>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7987DC">
            <w:pPr>
              <w:pStyle w:val="30"/>
              <w:spacing w:beforeAutospacing="0" w:afterAutospacing="0"/>
              <w:jc w:val="center"/>
            </w:pPr>
            <w:r>
              <w:rPr>
                <w:rFonts w:hint="eastAsia" w:ascii="宋体" w:hAnsi="宋体" w:eastAsia="宋体" w:cs="宋体"/>
                <w:color w:val="000000"/>
              </w:rPr>
              <w:t>证明</w:t>
            </w:r>
          </w:p>
          <w:p w14:paraId="66AC6F94">
            <w:pPr>
              <w:pStyle w:val="30"/>
              <w:spacing w:beforeAutospacing="0" w:afterAutospacing="0"/>
              <w:jc w:val="center"/>
            </w:pPr>
            <w:r>
              <w:rPr>
                <w:rFonts w:hint="eastAsia" w:ascii="宋体" w:hAnsi="宋体" w:eastAsia="宋体" w:cs="宋体"/>
                <w:color w:val="000000"/>
              </w:rPr>
              <w:t>材料</w:t>
            </w:r>
          </w:p>
        </w:tc>
      </w:tr>
      <w:tr w14:paraId="60CC6C8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A5A01D">
            <w:pPr>
              <w:pStyle w:val="30"/>
              <w:spacing w:beforeAutospacing="0" w:afterAutospacing="0"/>
              <w:jc w:val="center"/>
            </w:pPr>
            <w:r>
              <w:rPr>
                <w:rFonts w:hint="eastAsia" w:eastAsia="宋体"/>
                <w:lang w:val="en-US" w:eastAsia="zh-CN"/>
              </w:rPr>
              <w:t>1</w:t>
            </w: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35B150">
            <w:pPr>
              <w:pStyle w:val="30"/>
              <w:keepNext w:val="0"/>
              <w:keepLines w:val="0"/>
              <w:suppressLineNumbers w:val="0"/>
              <w:spacing w:before="0" w:beforeAutospacing="0" w:after="0" w:afterAutospacing="0"/>
              <w:ind w:left="0" w:leftChars="0" w:right="0" w:rightChars="0"/>
              <w:jc w:val="center"/>
              <w:rPr>
                <w:rFonts w:hint="default" w:cs="Times New Roman" w:asciiTheme="minorHAnsi" w:hAnsiTheme="minorHAnsi" w:eastAsiaTheme="minorEastAsia"/>
                <w:color w:val="auto"/>
                <w:sz w:val="24"/>
                <w:szCs w:val="24"/>
                <w:highlight w:val="none"/>
                <w:lang w:val="en-US" w:eastAsia="zh-CN" w:bidi="ar-SA"/>
              </w:rPr>
            </w:pPr>
            <w:r>
              <w:rPr>
                <w:rFonts w:hint="eastAsia" w:hAnsi="宋体" w:eastAsia="宋体" w:cs="宋体"/>
                <w:sz w:val="24"/>
              </w:rPr>
              <w:t>投标报价不得高于最高限价</w:t>
            </w:r>
            <w:r>
              <w:rPr>
                <w:rFonts w:hint="default"/>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12EB9A">
            <w:pPr>
              <w:pStyle w:val="30"/>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7A878F">
            <w:pPr>
              <w:pStyle w:val="30"/>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E31E23">
            <w:pPr>
              <w:pStyle w:val="30"/>
              <w:spacing w:beforeAutospacing="0" w:afterAutospacing="0"/>
              <w:jc w:val="center"/>
            </w:pPr>
            <w:r>
              <w:t> </w:t>
            </w:r>
          </w:p>
        </w:tc>
      </w:tr>
      <w:tr w14:paraId="60D426F8">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92B640">
            <w:pPr>
              <w:pStyle w:val="30"/>
              <w:spacing w:beforeAutospacing="0" w:afterAutospacing="0"/>
              <w:jc w:val="center"/>
              <w:rPr>
                <w:rFonts w:hint="eastAsia" w:eastAsia="宋体"/>
                <w:lang w:val="en-US" w:eastAsia="zh-CN"/>
              </w:rPr>
            </w:pPr>
            <w:r>
              <w:t> </w:t>
            </w:r>
            <w:r>
              <w:rPr>
                <w:rFonts w:hint="eastAsia" w:eastAsia="宋体"/>
                <w:lang w:val="en-US" w:eastAsia="zh-CN"/>
              </w:rPr>
              <w:t>2</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6885C6">
            <w:pPr>
              <w:pStyle w:val="30"/>
              <w:keepNext w:val="0"/>
              <w:keepLines w:val="0"/>
              <w:suppressLineNumbers w:val="0"/>
              <w:spacing w:before="0" w:beforeAutospacing="0" w:after="0" w:afterAutospacing="0"/>
              <w:ind w:left="0" w:leftChars="0" w:right="0" w:rightChars="0"/>
              <w:jc w:val="center"/>
              <w:rPr>
                <w:rFonts w:hint="default" w:cs="Times New Roman" w:asciiTheme="minorHAnsi" w:hAnsiTheme="minorHAnsi" w:eastAsiaTheme="minorEastAsia"/>
                <w:color w:val="auto"/>
                <w:sz w:val="24"/>
                <w:szCs w:val="24"/>
                <w:highlight w:val="none"/>
                <w:lang w:val="en-US" w:eastAsia="zh-CN" w:bidi="ar-SA"/>
              </w:rPr>
            </w:pPr>
            <w:r>
              <w:rPr>
                <w:rFonts w:hint="eastAsia" w:hAnsi="宋体" w:eastAsia="宋体" w:cs="宋体"/>
                <w:sz w:val="24"/>
              </w:rPr>
              <w:t>合同履行期限</w:t>
            </w:r>
            <w:r>
              <w:rPr>
                <w:rFonts w:hint="default"/>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A13AA5">
            <w:pPr>
              <w:pStyle w:val="30"/>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0F69B7">
            <w:pPr>
              <w:pStyle w:val="30"/>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35FE21">
            <w:pPr>
              <w:pStyle w:val="30"/>
              <w:spacing w:beforeAutospacing="0" w:afterAutospacing="0"/>
              <w:jc w:val="center"/>
            </w:pPr>
            <w:r>
              <w:t> </w:t>
            </w:r>
          </w:p>
        </w:tc>
      </w:tr>
      <w:tr w14:paraId="1EEC86D4">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31CF60">
            <w:pPr>
              <w:pStyle w:val="30"/>
              <w:spacing w:beforeAutospacing="0" w:afterAutospacing="0"/>
              <w:jc w:val="center"/>
              <w:rPr>
                <w:rFonts w:hint="eastAsia" w:eastAsia="宋体"/>
                <w:lang w:val="en-US" w:eastAsia="zh-CN"/>
              </w:rPr>
            </w:pPr>
            <w:r>
              <w:t> </w:t>
            </w:r>
            <w:r>
              <w:rPr>
                <w:rFonts w:hint="eastAsia" w:eastAsia="宋体"/>
                <w:lang w:val="en-US" w:eastAsia="zh-CN"/>
              </w:rPr>
              <w:t>3</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0615CC">
            <w:pPr>
              <w:pStyle w:val="30"/>
              <w:keepNext w:val="0"/>
              <w:keepLines w:val="0"/>
              <w:suppressLineNumbers w:val="0"/>
              <w:spacing w:before="0" w:beforeAutospacing="0" w:after="0" w:afterAutospacing="0"/>
              <w:ind w:left="0" w:leftChars="0" w:right="0" w:rightChars="0"/>
              <w:jc w:val="center"/>
              <w:rPr>
                <w:rFonts w:hint="default" w:cs="Times New Roman" w:asciiTheme="minorHAnsi" w:hAnsiTheme="minorHAnsi" w:eastAsiaTheme="minorEastAsia"/>
                <w:color w:val="auto"/>
                <w:sz w:val="24"/>
                <w:szCs w:val="24"/>
                <w:highlight w:val="none"/>
                <w:lang w:val="en-US" w:eastAsia="zh-CN" w:bidi="ar-SA"/>
              </w:rPr>
            </w:pPr>
            <w:r>
              <w:rPr>
                <w:rFonts w:hint="eastAsia"/>
                <w:color w:val="000000"/>
                <w:sz w:val="24"/>
                <w:szCs w:val="24"/>
              </w:rPr>
              <w:t>免费</w:t>
            </w:r>
            <w:r>
              <w:rPr>
                <w:rFonts w:hint="eastAsia"/>
                <w:color w:val="000000"/>
                <w:sz w:val="24"/>
                <w:szCs w:val="24"/>
                <w:lang w:val="en-US" w:eastAsia="zh-CN"/>
              </w:rPr>
              <w:t>质保期</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5F5F01">
            <w:pPr>
              <w:pStyle w:val="30"/>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AB310C">
            <w:pPr>
              <w:pStyle w:val="30"/>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C95F62">
            <w:pPr>
              <w:pStyle w:val="30"/>
              <w:spacing w:beforeAutospacing="0" w:afterAutospacing="0"/>
              <w:jc w:val="center"/>
            </w:pPr>
            <w:r>
              <w:t> </w:t>
            </w:r>
          </w:p>
        </w:tc>
      </w:tr>
      <w:tr w14:paraId="6E33783D">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4D3877">
            <w:pPr>
              <w:pStyle w:val="30"/>
              <w:spacing w:beforeAutospacing="0" w:afterAutospacing="0"/>
              <w:jc w:val="center"/>
              <w:rPr>
                <w:rFonts w:hint="eastAsia" w:eastAsia="宋体"/>
                <w:lang w:val="en-US" w:eastAsia="zh-CN"/>
              </w:rPr>
            </w:pPr>
            <w:r>
              <w:t> </w:t>
            </w:r>
            <w:r>
              <w:rPr>
                <w:rFonts w:hint="eastAsia" w:eastAsia="宋体"/>
                <w:lang w:val="en-US" w:eastAsia="zh-CN"/>
              </w:rPr>
              <w:t>4</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CA1C3A">
            <w:pPr>
              <w:pStyle w:val="30"/>
              <w:keepNext w:val="0"/>
              <w:keepLines w:val="0"/>
              <w:suppressLineNumbers w:val="0"/>
              <w:spacing w:before="0" w:beforeAutospacing="0" w:after="0" w:afterAutospacing="0"/>
              <w:ind w:left="0" w:leftChars="0" w:right="0" w:rightChars="0"/>
              <w:jc w:val="center"/>
              <w:rPr>
                <w:rFonts w:hint="default" w:cs="Times New Roman" w:asciiTheme="minorHAnsi" w:hAnsiTheme="minorHAnsi" w:eastAsiaTheme="minorEastAsia"/>
                <w:color w:val="auto"/>
                <w:sz w:val="24"/>
                <w:szCs w:val="24"/>
                <w:highlight w:val="none"/>
                <w:lang w:val="en-US" w:eastAsia="zh-CN" w:bidi="ar-SA"/>
              </w:rPr>
            </w:pPr>
            <w:r>
              <w:rPr>
                <w:rFonts w:hint="eastAsia" w:hAnsi="宋体"/>
                <w:iCs/>
                <w:sz w:val="24"/>
              </w:rPr>
              <w:t>法人授权书</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8609E0">
            <w:pPr>
              <w:pStyle w:val="30"/>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810CE2">
            <w:pPr>
              <w:pStyle w:val="30"/>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C733F8">
            <w:pPr>
              <w:pStyle w:val="30"/>
              <w:spacing w:beforeAutospacing="0" w:afterAutospacing="0"/>
              <w:jc w:val="center"/>
            </w:pPr>
            <w:r>
              <w:t> </w:t>
            </w:r>
          </w:p>
        </w:tc>
      </w:tr>
      <w:tr w14:paraId="760734F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477F62">
            <w:pPr>
              <w:pStyle w:val="30"/>
              <w:spacing w:beforeAutospacing="0" w:afterAutospacing="0"/>
              <w:jc w:val="center"/>
              <w:rPr>
                <w:rFonts w:hint="eastAsia" w:eastAsia="宋体"/>
                <w:lang w:val="en-US" w:eastAsia="zh-CN"/>
              </w:rPr>
            </w:pPr>
            <w:r>
              <w:t> </w:t>
            </w:r>
            <w:r>
              <w:rPr>
                <w:rFonts w:hint="eastAsia" w:eastAsia="宋体"/>
                <w:lang w:val="en-US" w:eastAsia="zh-CN"/>
              </w:rPr>
              <w:t>5</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D27C77">
            <w:pPr>
              <w:pStyle w:val="30"/>
              <w:spacing w:beforeAutospacing="0" w:afterAutospacing="0"/>
              <w:jc w:val="center"/>
              <w:rPr>
                <w:rFonts w:hint="default" w:cs="Times New Roman" w:asciiTheme="minorHAnsi" w:hAnsiTheme="minorHAnsi" w:eastAsiaTheme="minorEastAsia"/>
                <w:color w:val="auto"/>
                <w:sz w:val="24"/>
                <w:szCs w:val="24"/>
                <w:highlight w:val="none"/>
                <w:lang w:val="en-US" w:eastAsia="zh-CN" w:bidi="ar-SA"/>
              </w:rPr>
            </w:pPr>
            <w:r>
              <w:rPr>
                <w:color w:val="auto"/>
                <w:highlight w:val="none"/>
              </w:rPr>
              <w:t> </w:t>
            </w:r>
            <w:r>
              <w:rPr>
                <w:rFonts w:hint="eastAsia" w:hAnsi="宋体"/>
                <w:iCs/>
                <w:sz w:val="24"/>
              </w:rPr>
              <w:t>投标函</w:t>
            </w:r>
            <w:r>
              <w:rPr>
                <w:rFonts w:hint="default" w:hAnsi="宋体"/>
                <w:iCs/>
                <w:sz w:val="24"/>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F22C2E">
            <w:pPr>
              <w:pStyle w:val="30"/>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45C567">
            <w:pPr>
              <w:pStyle w:val="30"/>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22C27A">
            <w:pPr>
              <w:pStyle w:val="30"/>
              <w:spacing w:beforeAutospacing="0" w:afterAutospacing="0"/>
              <w:jc w:val="center"/>
            </w:pPr>
            <w:r>
              <w:t> </w:t>
            </w:r>
          </w:p>
        </w:tc>
      </w:tr>
      <w:tr w14:paraId="05D625F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445289">
            <w:pPr>
              <w:pStyle w:val="30"/>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9B0340">
            <w:pPr>
              <w:pStyle w:val="30"/>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5D35C1">
            <w:pPr>
              <w:pStyle w:val="30"/>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EDCC90">
            <w:pPr>
              <w:pStyle w:val="30"/>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E7099E">
            <w:pPr>
              <w:pStyle w:val="30"/>
              <w:spacing w:beforeAutospacing="0" w:afterAutospacing="0"/>
              <w:jc w:val="center"/>
            </w:pPr>
            <w:r>
              <w:t> </w:t>
            </w:r>
          </w:p>
        </w:tc>
      </w:tr>
      <w:tr w14:paraId="01B9BF5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1256C2">
            <w:pPr>
              <w:pStyle w:val="30"/>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6F2114">
            <w:pPr>
              <w:pStyle w:val="30"/>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C66508">
            <w:pPr>
              <w:pStyle w:val="30"/>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9F0C22">
            <w:pPr>
              <w:pStyle w:val="30"/>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59C7F8">
            <w:pPr>
              <w:pStyle w:val="30"/>
              <w:spacing w:beforeAutospacing="0" w:afterAutospacing="0"/>
              <w:jc w:val="center"/>
            </w:pPr>
            <w:r>
              <w:t> </w:t>
            </w:r>
          </w:p>
        </w:tc>
      </w:tr>
    </w:tbl>
    <w:p w14:paraId="09B49BB0">
      <w:pPr>
        <w:pStyle w:val="30"/>
        <w:spacing w:beforeAutospacing="0" w:afterAutospacing="0"/>
        <w:jc w:val="both"/>
      </w:pPr>
      <w:r>
        <w:rPr>
          <w:rFonts w:hint="eastAsia" w:ascii="宋体" w:hAnsi="宋体" w:eastAsia="宋体" w:cs="宋体"/>
          <w:color w:val="000000"/>
        </w:rPr>
        <w:t>注： 根据采购需求中商务部分进行响应；行数不够，可自行添加。</w:t>
      </w:r>
    </w:p>
    <w:p w14:paraId="0D37EBBB">
      <w:pPr>
        <w:pStyle w:val="30"/>
        <w:spacing w:beforeAutospacing="0" w:afterAutospacing="0" w:line="480" w:lineRule="auto"/>
        <w:jc w:val="both"/>
      </w:pPr>
      <w:r>
        <w:t> </w:t>
      </w:r>
    </w:p>
    <w:p w14:paraId="7D965C82">
      <w:pPr>
        <w:pStyle w:val="30"/>
        <w:spacing w:beforeAutospacing="0" w:afterAutospacing="0" w:line="480" w:lineRule="auto"/>
        <w:jc w:val="both"/>
      </w:pPr>
      <w:r>
        <w:t> </w:t>
      </w:r>
    </w:p>
    <w:p w14:paraId="3C4CA1C2">
      <w:pPr>
        <w:pStyle w:val="30"/>
        <w:spacing w:beforeAutospacing="0" w:afterAutospacing="0"/>
        <w:jc w:val="center"/>
      </w:pPr>
      <w:bookmarkStart w:id="209" w:name="_Hlt26609389"/>
      <w:bookmarkStart w:id="210" w:name="_Hlt26955066"/>
      <w:bookmarkStart w:id="211" w:name="_格式2__法定代表人授权书"/>
      <w:bookmarkStart w:id="212" w:name="_Toc462564146"/>
      <w:bookmarkStart w:id="213" w:name="_Hlt26671374"/>
      <w:r>
        <w:t> </w:t>
      </w:r>
    </w:p>
    <w:p w14:paraId="27DA3880">
      <w:pPr>
        <w:pStyle w:val="30"/>
        <w:spacing w:beforeAutospacing="0" w:afterAutospacing="0"/>
        <w:jc w:val="both"/>
      </w:pPr>
      <w:r>
        <w:t> </w:t>
      </w:r>
    </w:p>
    <w:p w14:paraId="1C3E7CB7">
      <w:pPr>
        <w:pStyle w:val="30"/>
        <w:spacing w:beforeAutospacing="0" w:afterAutospacing="0"/>
        <w:jc w:val="both"/>
      </w:pPr>
      <w:r>
        <w:t> </w:t>
      </w:r>
    </w:p>
    <w:p w14:paraId="6465CF8B">
      <w:pPr>
        <w:pStyle w:val="30"/>
        <w:spacing w:beforeAutospacing="0" w:afterAutospacing="0"/>
        <w:jc w:val="both"/>
      </w:pPr>
    </w:p>
    <w:p w14:paraId="704F086E">
      <w:pPr>
        <w:pStyle w:val="30"/>
        <w:spacing w:beforeAutospacing="0" w:afterAutospacing="0"/>
        <w:jc w:val="both"/>
      </w:pPr>
    </w:p>
    <w:p w14:paraId="1DDE7A4E">
      <w:pPr>
        <w:pStyle w:val="30"/>
        <w:spacing w:beforeAutospacing="0" w:afterAutospacing="0"/>
        <w:jc w:val="both"/>
      </w:pPr>
    </w:p>
    <w:p w14:paraId="639C2713">
      <w:pPr>
        <w:pStyle w:val="30"/>
        <w:spacing w:beforeAutospacing="0" w:afterAutospacing="0"/>
        <w:jc w:val="both"/>
      </w:pPr>
    </w:p>
    <w:p w14:paraId="0A503983">
      <w:pPr>
        <w:pStyle w:val="30"/>
        <w:spacing w:beforeAutospacing="0" w:afterAutospacing="0"/>
        <w:jc w:val="both"/>
      </w:pPr>
    </w:p>
    <w:p w14:paraId="7FE2A869">
      <w:pPr>
        <w:pStyle w:val="30"/>
        <w:spacing w:beforeAutospacing="0" w:afterAutospacing="0"/>
        <w:jc w:val="both"/>
      </w:pPr>
    </w:p>
    <w:p w14:paraId="1263DF7D">
      <w:pPr>
        <w:pStyle w:val="30"/>
        <w:spacing w:beforeAutospacing="0" w:afterAutospacing="0"/>
        <w:jc w:val="both"/>
      </w:pPr>
    </w:p>
    <w:p w14:paraId="1C247FE1">
      <w:pPr>
        <w:pStyle w:val="30"/>
        <w:spacing w:beforeAutospacing="0" w:afterAutospacing="0"/>
        <w:jc w:val="both"/>
      </w:pPr>
    </w:p>
    <w:p w14:paraId="167A97B9">
      <w:pPr>
        <w:pStyle w:val="30"/>
        <w:spacing w:beforeAutospacing="0" w:afterAutospacing="0"/>
        <w:jc w:val="both"/>
      </w:pPr>
    </w:p>
    <w:p w14:paraId="31087A6B">
      <w:pPr>
        <w:pStyle w:val="30"/>
        <w:spacing w:beforeAutospacing="0" w:afterAutospacing="0"/>
        <w:jc w:val="both"/>
      </w:pPr>
    </w:p>
    <w:p w14:paraId="36F5DD0D">
      <w:pPr>
        <w:pStyle w:val="30"/>
        <w:spacing w:beforeAutospacing="0" w:afterAutospacing="0"/>
        <w:jc w:val="both"/>
      </w:pPr>
    </w:p>
    <w:p w14:paraId="3F7C36B0">
      <w:pPr>
        <w:pStyle w:val="30"/>
        <w:spacing w:beforeAutospacing="0" w:afterAutospacing="0"/>
        <w:jc w:val="both"/>
      </w:pPr>
    </w:p>
    <w:p w14:paraId="639AACF2">
      <w:pPr>
        <w:pStyle w:val="30"/>
        <w:spacing w:beforeAutospacing="0" w:afterAutospacing="0"/>
        <w:jc w:val="both"/>
      </w:pPr>
    </w:p>
    <w:p w14:paraId="7F2262FD">
      <w:pPr>
        <w:pStyle w:val="30"/>
        <w:spacing w:beforeAutospacing="0" w:afterAutospacing="0"/>
        <w:jc w:val="both"/>
      </w:pPr>
    </w:p>
    <w:p w14:paraId="04E6A200">
      <w:pPr>
        <w:pStyle w:val="30"/>
        <w:spacing w:beforeAutospacing="0" w:afterAutospacing="0"/>
        <w:jc w:val="both"/>
      </w:pPr>
    </w:p>
    <w:p w14:paraId="301D6D92">
      <w:pPr>
        <w:pStyle w:val="30"/>
        <w:spacing w:beforeAutospacing="0" w:afterAutospacing="0"/>
        <w:jc w:val="both"/>
      </w:pPr>
    </w:p>
    <w:p w14:paraId="5B62315B">
      <w:pPr>
        <w:pStyle w:val="30"/>
        <w:spacing w:beforeAutospacing="0" w:afterAutospacing="0"/>
        <w:jc w:val="both"/>
      </w:pPr>
    </w:p>
    <w:p w14:paraId="1BBB162F">
      <w:pPr>
        <w:pStyle w:val="30"/>
        <w:spacing w:beforeAutospacing="0" w:afterAutospacing="0"/>
        <w:jc w:val="both"/>
      </w:pPr>
    </w:p>
    <w:p w14:paraId="02B9F9D1">
      <w:pPr>
        <w:pStyle w:val="30"/>
        <w:spacing w:beforeAutospacing="0" w:afterAutospacing="0"/>
        <w:jc w:val="both"/>
      </w:pPr>
    </w:p>
    <w:p w14:paraId="64C948E5">
      <w:pPr>
        <w:pStyle w:val="30"/>
        <w:numPr>
          <w:ilvl w:val="0"/>
          <w:numId w:val="0"/>
        </w:numPr>
        <w:spacing w:beforeAutospacing="0" w:afterAutospacing="0"/>
        <w:jc w:val="center"/>
        <w:rPr>
          <w:rFonts w:ascii="黑体" w:hAnsi="宋体" w:eastAsia="黑体" w:cs="黑体"/>
          <w:bCs/>
          <w:color w:val="000000"/>
          <w:sz w:val="32"/>
          <w:szCs w:val="32"/>
        </w:rPr>
      </w:pPr>
      <w:r>
        <w:rPr>
          <w:rFonts w:hint="eastAsia" w:ascii="黑体" w:hAnsi="宋体" w:eastAsia="黑体" w:cs="黑体"/>
          <w:bCs/>
          <w:color w:val="000000"/>
          <w:sz w:val="32"/>
          <w:szCs w:val="32"/>
          <w:lang w:val="en-US" w:eastAsia="zh-CN"/>
        </w:rPr>
        <w:t>十五、</w:t>
      </w:r>
      <w:r>
        <w:rPr>
          <w:rFonts w:hint="eastAsia" w:ascii="黑体" w:hAnsi="宋体" w:eastAsia="黑体" w:cs="黑体"/>
          <w:bCs/>
          <w:color w:val="000000"/>
          <w:sz w:val="32"/>
          <w:szCs w:val="32"/>
        </w:rPr>
        <w:t>技术要求响应对照表</w:t>
      </w:r>
    </w:p>
    <w:tbl>
      <w:tblPr>
        <w:tblStyle w:val="33"/>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6"/>
        <w:gridCol w:w="1035"/>
        <w:gridCol w:w="1725"/>
        <w:gridCol w:w="1920"/>
        <w:gridCol w:w="2295"/>
        <w:gridCol w:w="1320"/>
      </w:tblGrid>
      <w:tr w14:paraId="530A9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1" w:hRule="atLeast"/>
        </w:trPr>
        <w:tc>
          <w:tcPr>
            <w:tcW w:w="696" w:type="dxa"/>
            <w:noWrap/>
            <w:vAlign w:val="center"/>
          </w:tcPr>
          <w:p w14:paraId="33983FCC">
            <w:pPr>
              <w:spacing w:line="420" w:lineRule="exact"/>
              <w:jc w:val="center"/>
              <w:rPr>
                <w:rFonts w:hAnsi="宋体"/>
                <w:sz w:val="24"/>
              </w:rPr>
            </w:pPr>
            <w:r>
              <w:rPr>
                <w:rFonts w:hint="eastAsia" w:hAnsi="宋体"/>
                <w:sz w:val="24"/>
              </w:rPr>
              <w:t>序号</w:t>
            </w:r>
          </w:p>
        </w:tc>
        <w:tc>
          <w:tcPr>
            <w:tcW w:w="1035" w:type="dxa"/>
            <w:noWrap/>
            <w:vAlign w:val="center"/>
          </w:tcPr>
          <w:p w14:paraId="78BA5712">
            <w:pPr>
              <w:spacing w:line="420" w:lineRule="exact"/>
              <w:jc w:val="center"/>
              <w:rPr>
                <w:rFonts w:hAnsi="宋体"/>
                <w:sz w:val="24"/>
              </w:rPr>
            </w:pPr>
            <w:r>
              <w:rPr>
                <w:rFonts w:hint="eastAsia" w:hAnsi="宋体"/>
                <w:sz w:val="24"/>
              </w:rPr>
              <w:t>产品名称</w:t>
            </w:r>
          </w:p>
        </w:tc>
        <w:tc>
          <w:tcPr>
            <w:tcW w:w="1725" w:type="dxa"/>
            <w:noWrap/>
            <w:vAlign w:val="center"/>
          </w:tcPr>
          <w:p w14:paraId="2F9475C7">
            <w:pPr>
              <w:spacing w:line="420" w:lineRule="exact"/>
              <w:jc w:val="center"/>
              <w:rPr>
                <w:rFonts w:hAnsi="宋体"/>
                <w:sz w:val="24"/>
              </w:rPr>
            </w:pPr>
            <w:r>
              <w:rPr>
                <w:rFonts w:hint="eastAsia" w:hAnsi="宋体"/>
                <w:sz w:val="24"/>
              </w:rPr>
              <w:t>招标</w:t>
            </w:r>
            <w:r>
              <w:rPr>
                <w:rFonts w:ascii="宋体" w:hAnsi="宋体" w:cs="宋体"/>
                <w:color w:val="000000"/>
                <w:sz w:val="24"/>
              </w:rPr>
              <w:t>技术</w:t>
            </w:r>
            <w:r>
              <w:rPr>
                <w:rFonts w:hint="eastAsia" w:ascii="宋体" w:hAnsi="宋体" w:cs="宋体"/>
                <w:color w:val="000000"/>
                <w:sz w:val="24"/>
              </w:rPr>
              <w:t>要求</w:t>
            </w:r>
          </w:p>
        </w:tc>
        <w:tc>
          <w:tcPr>
            <w:tcW w:w="1920" w:type="dxa"/>
            <w:noWrap/>
            <w:vAlign w:val="center"/>
          </w:tcPr>
          <w:p w14:paraId="39B7773E">
            <w:pPr>
              <w:spacing w:line="420" w:lineRule="exact"/>
              <w:jc w:val="center"/>
              <w:rPr>
                <w:rFonts w:hAnsi="宋体"/>
                <w:sz w:val="24"/>
              </w:rPr>
            </w:pPr>
            <w:r>
              <w:rPr>
                <w:rFonts w:hint="eastAsia" w:hAnsi="宋体"/>
                <w:sz w:val="24"/>
              </w:rPr>
              <w:t>投标</w:t>
            </w:r>
            <w:r>
              <w:rPr>
                <w:rFonts w:ascii="宋体" w:hAnsi="宋体" w:cs="宋体"/>
                <w:color w:val="000000"/>
                <w:sz w:val="24"/>
              </w:rPr>
              <w:t>技术</w:t>
            </w:r>
            <w:r>
              <w:rPr>
                <w:rFonts w:hint="eastAsia" w:ascii="宋体" w:hAnsi="宋体" w:cs="宋体"/>
                <w:color w:val="000000"/>
                <w:sz w:val="24"/>
              </w:rPr>
              <w:t>要求</w:t>
            </w:r>
          </w:p>
        </w:tc>
        <w:tc>
          <w:tcPr>
            <w:tcW w:w="2295" w:type="dxa"/>
            <w:noWrap/>
            <w:vAlign w:val="center"/>
          </w:tcPr>
          <w:p w14:paraId="282A0E43">
            <w:pPr>
              <w:spacing w:line="420" w:lineRule="exact"/>
              <w:jc w:val="center"/>
              <w:rPr>
                <w:rFonts w:hAnsi="宋体" w:eastAsia="仿宋"/>
                <w:sz w:val="24"/>
              </w:rPr>
            </w:pPr>
            <w:r>
              <w:rPr>
                <w:rFonts w:hint="eastAsia" w:hAnsi="宋体"/>
                <w:sz w:val="24"/>
              </w:rPr>
              <w:t>响应/正偏离/负偏离</w:t>
            </w:r>
          </w:p>
        </w:tc>
        <w:tc>
          <w:tcPr>
            <w:tcW w:w="1320" w:type="dxa"/>
            <w:noWrap/>
            <w:vAlign w:val="center"/>
          </w:tcPr>
          <w:p w14:paraId="76E2A75E">
            <w:pPr>
              <w:spacing w:line="420" w:lineRule="exact"/>
              <w:jc w:val="center"/>
              <w:rPr>
                <w:rFonts w:hAnsi="宋体"/>
                <w:sz w:val="24"/>
              </w:rPr>
            </w:pPr>
            <w:r>
              <w:rPr>
                <w:rFonts w:hint="eastAsia" w:hAnsi="宋体"/>
                <w:sz w:val="24"/>
              </w:rPr>
              <w:t>备注（如有）</w:t>
            </w:r>
          </w:p>
        </w:tc>
      </w:tr>
      <w:tr w14:paraId="73E2D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trPr>
        <w:tc>
          <w:tcPr>
            <w:tcW w:w="696" w:type="dxa"/>
            <w:noWrap/>
          </w:tcPr>
          <w:p w14:paraId="3674EB8A">
            <w:pPr>
              <w:spacing w:line="800" w:lineRule="exact"/>
              <w:rPr>
                <w:rFonts w:hAnsi="宋体"/>
              </w:rPr>
            </w:pPr>
          </w:p>
        </w:tc>
        <w:tc>
          <w:tcPr>
            <w:tcW w:w="1035" w:type="dxa"/>
            <w:noWrap/>
          </w:tcPr>
          <w:p w14:paraId="3D679E58">
            <w:pPr>
              <w:spacing w:line="800" w:lineRule="exact"/>
              <w:rPr>
                <w:rFonts w:hAnsi="宋体"/>
              </w:rPr>
            </w:pPr>
          </w:p>
        </w:tc>
        <w:tc>
          <w:tcPr>
            <w:tcW w:w="1725" w:type="dxa"/>
            <w:noWrap/>
          </w:tcPr>
          <w:p w14:paraId="68F988BE">
            <w:pPr>
              <w:spacing w:line="800" w:lineRule="exact"/>
              <w:rPr>
                <w:rFonts w:hAnsi="宋体"/>
              </w:rPr>
            </w:pPr>
          </w:p>
        </w:tc>
        <w:tc>
          <w:tcPr>
            <w:tcW w:w="1920" w:type="dxa"/>
            <w:noWrap/>
          </w:tcPr>
          <w:p w14:paraId="55142B62">
            <w:pPr>
              <w:spacing w:line="800" w:lineRule="exact"/>
              <w:rPr>
                <w:rFonts w:hAnsi="宋体"/>
              </w:rPr>
            </w:pPr>
          </w:p>
        </w:tc>
        <w:tc>
          <w:tcPr>
            <w:tcW w:w="2295" w:type="dxa"/>
            <w:noWrap/>
          </w:tcPr>
          <w:p w14:paraId="7A5CA863">
            <w:pPr>
              <w:spacing w:line="800" w:lineRule="exact"/>
              <w:rPr>
                <w:rFonts w:hAnsi="宋体"/>
              </w:rPr>
            </w:pPr>
          </w:p>
        </w:tc>
        <w:tc>
          <w:tcPr>
            <w:tcW w:w="1320" w:type="dxa"/>
            <w:noWrap/>
          </w:tcPr>
          <w:p w14:paraId="1E675249">
            <w:pPr>
              <w:spacing w:line="800" w:lineRule="exact"/>
              <w:rPr>
                <w:rFonts w:hAnsi="宋体"/>
              </w:rPr>
            </w:pPr>
          </w:p>
        </w:tc>
      </w:tr>
      <w:tr w14:paraId="3B9C4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8" w:hRule="atLeast"/>
        </w:trPr>
        <w:tc>
          <w:tcPr>
            <w:tcW w:w="696" w:type="dxa"/>
            <w:noWrap/>
          </w:tcPr>
          <w:p w14:paraId="075A0709">
            <w:pPr>
              <w:spacing w:line="800" w:lineRule="exact"/>
              <w:rPr>
                <w:rFonts w:hAnsi="宋体"/>
              </w:rPr>
            </w:pPr>
          </w:p>
        </w:tc>
        <w:tc>
          <w:tcPr>
            <w:tcW w:w="1035" w:type="dxa"/>
            <w:noWrap/>
          </w:tcPr>
          <w:p w14:paraId="4ABD005B">
            <w:pPr>
              <w:spacing w:line="800" w:lineRule="exact"/>
              <w:rPr>
                <w:rFonts w:hAnsi="宋体"/>
              </w:rPr>
            </w:pPr>
          </w:p>
        </w:tc>
        <w:tc>
          <w:tcPr>
            <w:tcW w:w="1725" w:type="dxa"/>
            <w:noWrap/>
          </w:tcPr>
          <w:p w14:paraId="58621C8C">
            <w:pPr>
              <w:spacing w:line="800" w:lineRule="exact"/>
              <w:rPr>
                <w:rFonts w:hAnsi="宋体"/>
              </w:rPr>
            </w:pPr>
          </w:p>
        </w:tc>
        <w:tc>
          <w:tcPr>
            <w:tcW w:w="1920" w:type="dxa"/>
            <w:noWrap/>
          </w:tcPr>
          <w:p w14:paraId="365F9655">
            <w:pPr>
              <w:spacing w:line="800" w:lineRule="exact"/>
              <w:rPr>
                <w:rFonts w:hAnsi="宋体"/>
              </w:rPr>
            </w:pPr>
          </w:p>
        </w:tc>
        <w:tc>
          <w:tcPr>
            <w:tcW w:w="2295" w:type="dxa"/>
            <w:noWrap/>
          </w:tcPr>
          <w:p w14:paraId="605828E9">
            <w:pPr>
              <w:spacing w:line="800" w:lineRule="exact"/>
              <w:rPr>
                <w:rFonts w:hAnsi="宋体"/>
              </w:rPr>
            </w:pPr>
          </w:p>
        </w:tc>
        <w:tc>
          <w:tcPr>
            <w:tcW w:w="1320" w:type="dxa"/>
            <w:noWrap/>
          </w:tcPr>
          <w:p w14:paraId="415F2919">
            <w:pPr>
              <w:spacing w:line="800" w:lineRule="exact"/>
              <w:rPr>
                <w:rFonts w:hAnsi="宋体"/>
              </w:rPr>
            </w:pPr>
          </w:p>
        </w:tc>
      </w:tr>
      <w:tr w14:paraId="5BBFB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trPr>
        <w:tc>
          <w:tcPr>
            <w:tcW w:w="696" w:type="dxa"/>
            <w:noWrap/>
          </w:tcPr>
          <w:p w14:paraId="3BC1BDE8">
            <w:pPr>
              <w:spacing w:line="800" w:lineRule="exact"/>
              <w:rPr>
                <w:rFonts w:hAnsi="宋体"/>
              </w:rPr>
            </w:pPr>
          </w:p>
        </w:tc>
        <w:tc>
          <w:tcPr>
            <w:tcW w:w="1035" w:type="dxa"/>
            <w:noWrap/>
          </w:tcPr>
          <w:p w14:paraId="03BC10BB">
            <w:pPr>
              <w:spacing w:line="800" w:lineRule="exact"/>
              <w:rPr>
                <w:rFonts w:hAnsi="宋体"/>
              </w:rPr>
            </w:pPr>
          </w:p>
        </w:tc>
        <w:tc>
          <w:tcPr>
            <w:tcW w:w="1725" w:type="dxa"/>
            <w:noWrap/>
          </w:tcPr>
          <w:p w14:paraId="482555D8">
            <w:pPr>
              <w:spacing w:line="800" w:lineRule="exact"/>
              <w:rPr>
                <w:rFonts w:hAnsi="宋体"/>
              </w:rPr>
            </w:pPr>
          </w:p>
        </w:tc>
        <w:tc>
          <w:tcPr>
            <w:tcW w:w="1920" w:type="dxa"/>
            <w:noWrap/>
          </w:tcPr>
          <w:p w14:paraId="4E7062E6">
            <w:pPr>
              <w:spacing w:line="800" w:lineRule="exact"/>
              <w:rPr>
                <w:rFonts w:hAnsi="宋体"/>
              </w:rPr>
            </w:pPr>
          </w:p>
        </w:tc>
        <w:tc>
          <w:tcPr>
            <w:tcW w:w="2295" w:type="dxa"/>
            <w:noWrap/>
          </w:tcPr>
          <w:p w14:paraId="1C2C54FB">
            <w:pPr>
              <w:spacing w:line="800" w:lineRule="exact"/>
              <w:rPr>
                <w:rFonts w:hAnsi="宋体"/>
              </w:rPr>
            </w:pPr>
          </w:p>
        </w:tc>
        <w:tc>
          <w:tcPr>
            <w:tcW w:w="1320" w:type="dxa"/>
            <w:noWrap/>
          </w:tcPr>
          <w:p w14:paraId="39A47C7A">
            <w:pPr>
              <w:spacing w:line="800" w:lineRule="exact"/>
              <w:rPr>
                <w:rFonts w:hAnsi="宋体"/>
              </w:rPr>
            </w:pPr>
          </w:p>
        </w:tc>
      </w:tr>
      <w:tr w14:paraId="15FFE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8" w:hRule="atLeast"/>
        </w:trPr>
        <w:tc>
          <w:tcPr>
            <w:tcW w:w="696" w:type="dxa"/>
            <w:noWrap/>
          </w:tcPr>
          <w:p w14:paraId="3BBF5783">
            <w:pPr>
              <w:spacing w:line="800" w:lineRule="exact"/>
              <w:rPr>
                <w:rFonts w:hAnsi="宋体"/>
              </w:rPr>
            </w:pPr>
          </w:p>
        </w:tc>
        <w:tc>
          <w:tcPr>
            <w:tcW w:w="1035" w:type="dxa"/>
            <w:noWrap/>
          </w:tcPr>
          <w:p w14:paraId="0EEC80F2">
            <w:pPr>
              <w:spacing w:line="800" w:lineRule="exact"/>
              <w:rPr>
                <w:rFonts w:hAnsi="宋体"/>
              </w:rPr>
            </w:pPr>
          </w:p>
        </w:tc>
        <w:tc>
          <w:tcPr>
            <w:tcW w:w="1725" w:type="dxa"/>
            <w:noWrap/>
          </w:tcPr>
          <w:p w14:paraId="753707D5">
            <w:pPr>
              <w:spacing w:line="800" w:lineRule="exact"/>
              <w:rPr>
                <w:rFonts w:hAnsi="宋体"/>
              </w:rPr>
            </w:pPr>
          </w:p>
        </w:tc>
        <w:tc>
          <w:tcPr>
            <w:tcW w:w="1920" w:type="dxa"/>
            <w:noWrap/>
          </w:tcPr>
          <w:p w14:paraId="332F6F17">
            <w:pPr>
              <w:spacing w:line="800" w:lineRule="exact"/>
              <w:rPr>
                <w:rFonts w:hAnsi="宋体"/>
              </w:rPr>
            </w:pPr>
          </w:p>
        </w:tc>
        <w:tc>
          <w:tcPr>
            <w:tcW w:w="2295" w:type="dxa"/>
            <w:noWrap/>
          </w:tcPr>
          <w:p w14:paraId="011D1AC7">
            <w:pPr>
              <w:spacing w:line="800" w:lineRule="exact"/>
              <w:rPr>
                <w:rFonts w:hAnsi="宋体"/>
              </w:rPr>
            </w:pPr>
          </w:p>
        </w:tc>
        <w:tc>
          <w:tcPr>
            <w:tcW w:w="1320" w:type="dxa"/>
            <w:noWrap/>
          </w:tcPr>
          <w:p w14:paraId="7DC4B242">
            <w:pPr>
              <w:spacing w:line="800" w:lineRule="exact"/>
              <w:rPr>
                <w:rFonts w:hAnsi="宋体"/>
              </w:rPr>
            </w:pPr>
          </w:p>
        </w:tc>
      </w:tr>
      <w:tr w14:paraId="787E0E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trPr>
        <w:tc>
          <w:tcPr>
            <w:tcW w:w="696" w:type="dxa"/>
            <w:noWrap/>
          </w:tcPr>
          <w:p w14:paraId="4D81B0E8">
            <w:pPr>
              <w:spacing w:line="800" w:lineRule="exact"/>
              <w:rPr>
                <w:rFonts w:hAnsi="宋体"/>
              </w:rPr>
            </w:pPr>
          </w:p>
        </w:tc>
        <w:tc>
          <w:tcPr>
            <w:tcW w:w="1035" w:type="dxa"/>
            <w:noWrap/>
          </w:tcPr>
          <w:p w14:paraId="632D35C0">
            <w:pPr>
              <w:spacing w:line="800" w:lineRule="exact"/>
              <w:rPr>
                <w:rFonts w:hAnsi="宋体"/>
              </w:rPr>
            </w:pPr>
          </w:p>
        </w:tc>
        <w:tc>
          <w:tcPr>
            <w:tcW w:w="1725" w:type="dxa"/>
            <w:noWrap/>
          </w:tcPr>
          <w:p w14:paraId="6BA6400C">
            <w:pPr>
              <w:spacing w:line="800" w:lineRule="exact"/>
              <w:rPr>
                <w:rFonts w:hAnsi="宋体"/>
              </w:rPr>
            </w:pPr>
          </w:p>
        </w:tc>
        <w:tc>
          <w:tcPr>
            <w:tcW w:w="1920" w:type="dxa"/>
            <w:noWrap/>
          </w:tcPr>
          <w:p w14:paraId="7D82F62B">
            <w:pPr>
              <w:spacing w:line="800" w:lineRule="exact"/>
              <w:rPr>
                <w:rFonts w:hAnsi="宋体"/>
              </w:rPr>
            </w:pPr>
          </w:p>
        </w:tc>
        <w:tc>
          <w:tcPr>
            <w:tcW w:w="2295" w:type="dxa"/>
            <w:noWrap/>
          </w:tcPr>
          <w:p w14:paraId="6B466F91">
            <w:pPr>
              <w:spacing w:line="800" w:lineRule="exact"/>
              <w:rPr>
                <w:rFonts w:hAnsi="宋体"/>
              </w:rPr>
            </w:pPr>
          </w:p>
        </w:tc>
        <w:tc>
          <w:tcPr>
            <w:tcW w:w="1320" w:type="dxa"/>
            <w:noWrap/>
          </w:tcPr>
          <w:p w14:paraId="7E82117D">
            <w:pPr>
              <w:spacing w:line="800" w:lineRule="exact"/>
              <w:rPr>
                <w:rFonts w:hAnsi="宋体"/>
              </w:rPr>
            </w:pPr>
          </w:p>
        </w:tc>
      </w:tr>
      <w:tr w14:paraId="77C41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8" w:hRule="atLeast"/>
        </w:trPr>
        <w:tc>
          <w:tcPr>
            <w:tcW w:w="696" w:type="dxa"/>
            <w:noWrap/>
          </w:tcPr>
          <w:p w14:paraId="1F41F02C">
            <w:pPr>
              <w:spacing w:line="800" w:lineRule="exact"/>
              <w:rPr>
                <w:rFonts w:hAnsi="宋体"/>
              </w:rPr>
            </w:pPr>
          </w:p>
        </w:tc>
        <w:tc>
          <w:tcPr>
            <w:tcW w:w="1035" w:type="dxa"/>
            <w:noWrap/>
          </w:tcPr>
          <w:p w14:paraId="329E7DBE">
            <w:pPr>
              <w:spacing w:line="800" w:lineRule="exact"/>
              <w:rPr>
                <w:rFonts w:hAnsi="宋体"/>
              </w:rPr>
            </w:pPr>
          </w:p>
        </w:tc>
        <w:tc>
          <w:tcPr>
            <w:tcW w:w="1725" w:type="dxa"/>
            <w:noWrap/>
          </w:tcPr>
          <w:p w14:paraId="497BC5B6">
            <w:pPr>
              <w:spacing w:line="800" w:lineRule="exact"/>
              <w:rPr>
                <w:rFonts w:hAnsi="宋体"/>
              </w:rPr>
            </w:pPr>
          </w:p>
        </w:tc>
        <w:tc>
          <w:tcPr>
            <w:tcW w:w="1920" w:type="dxa"/>
            <w:noWrap/>
          </w:tcPr>
          <w:p w14:paraId="24126F71">
            <w:pPr>
              <w:spacing w:line="800" w:lineRule="exact"/>
              <w:rPr>
                <w:rFonts w:hAnsi="宋体"/>
              </w:rPr>
            </w:pPr>
          </w:p>
        </w:tc>
        <w:tc>
          <w:tcPr>
            <w:tcW w:w="2295" w:type="dxa"/>
            <w:noWrap/>
          </w:tcPr>
          <w:p w14:paraId="365B25C3">
            <w:pPr>
              <w:spacing w:line="800" w:lineRule="exact"/>
              <w:rPr>
                <w:rFonts w:hAnsi="宋体"/>
              </w:rPr>
            </w:pPr>
          </w:p>
        </w:tc>
        <w:tc>
          <w:tcPr>
            <w:tcW w:w="1320" w:type="dxa"/>
            <w:noWrap/>
          </w:tcPr>
          <w:p w14:paraId="32DA251D">
            <w:pPr>
              <w:spacing w:line="800" w:lineRule="exact"/>
              <w:rPr>
                <w:rFonts w:hAnsi="宋体"/>
              </w:rPr>
            </w:pPr>
          </w:p>
        </w:tc>
      </w:tr>
      <w:tr w14:paraId="7DF5A3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trPr>
        <w:tc>
          <w:tcPr>
            <w:tcW w:w="696" w:type="dxa"/>
            <w:noWrap/>
          </w:tcPr>
          <w:p w14:paraId="2C8856A5">
            <w:pPr>
              <w:spacing w:line="800" w:lineRule="exact"/>
              <w:rPr>
                <w:rFonts w:hAnsi="宋体"/>
              </w:rPr>
            </w:pPr>
          </w:p>
        </w:tc>
        <w:tc>
          <w:tcPr>
            <w:tcW w:w="1035" w:type="dxa"/>
            <w:noWrap/>
          </w:tcPr>
          <w:p w14:paraId="23BE5988">
            <w:pPr>
              <w:spacing w:line="800" w:lineRule="exact"/>
              <w:rPr>
                <w:rFonts w:hAnsi="宋体"/>
              </w:rPr>
            </w:pPr>
          </w:p>
        </w:tc>
        <w:tc>
          <w:tcPr>
            <w:tcW w:w="1725" w:type="dxa"/>
            <w:noWrap/>
          </w:tcPr>
          <w:p w14:paraId="22493230">
            <w:pPr>
              <w:spacing w:line="800" w:lineRule="exact"/>
              <w:rPr>
                <w:rFonts w:hAnsi="宋体"/>
              </w:rPr>
            </w:pPr>
          </w:p>
        </w:tc>
        <w:tc>
          <w:tcPr>
            <w:tcW w:w="1920" w:type="dxa"/>
            <w:noWrap/>
          </w:tcPr>
          <w:p w14:paraId="0462E824">
            <w:pPr>
              <w:spacing w:line="800" w:lineRule="exact"/>
              <w:rPr>
                <w:rFonts w:hAnsi="宋体"/>
              </w:rPr>
            </w:pPr>
          </w:p>
        </w:tc>
        <w:tc>
          <w:tcPr>
            <w:tcW w:w="2295" w:type="dxa"/>
            <w:noWrap/>
          </w:tcPr>
          <w:p w14:paraId="448FC2C1">
            <w:pPr>
              <w:spacing w:line="800" w:lineRule="exact"/>
              <w:rPr>
                <w:rFonts w:hAnsi="宋体"/>
              </w:rPr>
            </w:pPr>
          </w:p>
        </w:tc>
        <w:tc>
          <w:tcPr>
            <w:tcW w:w="1320" w:type="dxa"/>
            <w:noWrap/>
          </w:tcPr>
          <w:p w14:paraId="5DDFA488">
            <w:pPr>
              <w:spacing w:line="800" w:lineRule="exact"/>
              <w:rPr>
                <w:rFonts w:hAnsi="宋体"/>
              </w:rPr>
            </w:pPr>
          </w:p>
        </w:tc>
      </w:tr>
    </w:tbl>
    <w:p w14:paraId="51A54E6F">
      <w:pPr>
        <w:spacing w:line="560" w:lineRule="exact"/>
        <w:ind w:firstLine="4095"/>
        <w:rPr>
          <w:rFonts w:hAnsi="宋体"/>
          <w:bCs/>
          <w:szCs w:val="28"/>
        </w:rPr>
      </w:pPr>
      <w:r>
        <w:rPr>
          <w:rFonts w:hint="eastAsia" w:hAnsi="宋体"/>
          <w:bCs/>
          <w:szCs w:val="28"/>
        </w:rPr>
        <w:t>供应商</w:t>
      </w:r>
      <w:r>
        <w:rPr>
          <w:rFonts w:hint="eastAsia" w:ascii="宋体" w:hAnsi="宋体"/>
          <w:color w:val="000000"/>
          <w:sz w:val="24"/>
        </w:rPr>
        <w:t>（加盖CA电子签章）</w:t>
      </w:r>
      <w:r>
        <w:rPr>
          <w:rFonts w:hint="eastAsia" w:hAnsi="宋体"/>
          <w:bCs/>
          <w:szCs w:val="28"/>
        </w:rPr>
        <w:t>：</w:t>
      </w:r>
    </w:p>
    <w:p w14:paraId="58948FA9">
      <w:pPr>
        <w:spacing w:line="560" w:lineRule="exact"/>
        <w:ind w:firstLine="4680"/>
        <w:rPr>
          <w:rFonts w:hAnsi="宋体"/>
          <w:bCs/>
          <w:sz w:val="28"/>
        </w:rPr>
      </w:pPr>
      <w:r>
        <w:rPr>
          <w:rFonts w:hint="eastAsia" w:ascii="宋体" w:hAnsi="宋体"/>
          <w:color w:val="000000"/>
          <w:sz w:val="24"/>
        </w:rPr>
        <w:t>日期：年月日</w:t>
      </w:r>
    </w:p>
    <w:p w14:paraId="1C35DFBD">
      <w:pPr>
        <w:spacing w:line="420" w:lineRule="auto"/>
        <w:rPr>
          <w:rFonts w:ascii="宋体" w:hAnsi="宋体"/>
          <w:szCs w:val="28"/>
        </w:rPr>
      </w:pPr>
    </w:p>
    <w:p w14:paraId="1FE433F9">
      <w:pPr>
        <w:pBdr>
          <w:top w:val="none" w:color="000000" w:sz="0" w:space="0"/>
          <w:left w:val="none" w:color="000000" w:sz="0" w:space="0"/>
          <w:bottom w:val="none" w:color="000000" w:sz="0" w:space="0"/>
          <w:right w:val="none" w:color="000000" w:sz="0" w:space="0"/>
        </w:pBdr>
        <w:spacing w:line="499" w:lineRule="atLeast"/>
        <w:jc w:val="left"/>
        <w:rPr>
          <w:rFonts w:hAnsi="宋体"/>
          <w:b/>
          <w:i/>
          <w:iCs/>
          <w:color w:val="FF0000"/>
          <w:sz w:val="24"/>
          <w:u w:val="single"/>
        </w:rPr>
      </w:pPr>
      <w:r>
        <w:rPr>
          <w:rFonts w:hint="eastAsia" w:hAnsi="宋体"/>
          <w:b/>
          <w:i/>
          <w:iCs/>
          <w:color w:val="FF0000"/>
          <w:sz w:val="24"/>
          <w:u w:val="single"/>
        </w:rPr>
        <w:t>注：根据采购需求中各项产品的技术参数要求在响应偏离中进行响应，如有漏项，将视为负偏离。</w:t>
      </w:r>
    </w:p>
    <w:p w14:paraId="5EFFC8F8">
      <w:pPr>
        <w:pStyle w:val="30"/>
        <w:spacing w:beforeAutospacing="0" w:afterAutospacing="0"/>
        <w:jc w:val="center"/>
        <w:rPr>
          <w:rFonts w:ascii="黑体" w:hAnsi="宋体" w:eastAsia="黑体" w:cs="黑体"/>
          <w:bCs/>
          <w:i/>
          <w:color w:val="000000"/>
          <w:sz w:val="32"/>
          <w:szCs w:val="32"/>
          <w:u w:val="single"/>
        </w:rPr>
      </w:pPr>
    </w:p>
    <w:p w14:paraId="0E31F02E">
      <w:pPr>
        <w:pStyle w:val="30"/>
        <w:spacing w:beforeAutospacing="0" w:afterAutospacing="0"/>
        <w:jc w:val="center"/>
        <w:rPr>
          <w:rFonts w:ascii="黑体" w:hAnsi="宋体" w:eastAsia="黑体" w:cs="黑体"/>
          <w:bCs/>
          <w:i/>
          <w:color w:val="000000"/>
          <w:sz w:val="32"/>
          <w:szCs w:val="32"/>
          <w:u w:val="single"/>
        </w:rPr>
      </w:pPr>
    </w:p>
    <w:p w14:paraId="5B14C862">
      <w:pPr>
        <w:pStyle w:val="30"/>
        <w:spacing w:beforeAutospacing="0" w:afterAutospacing="0"/>
        <w:jc w:val="center"/>
        <w:rPr>
          <w:rFonts w:ascii="黑体" w:hAnsi="宋体" w:eastAsia="黑体" w:cs="黑体"/>
          <w:bCs/>
          <w:i/>
          <w:color w:val="000000"/>
          <w:sz w:val="32"/>
          <w:szCs w:val="32"/>
          <w:u w:val="single"/>
        </w:rPr>
      </w:pPr>
    </w:p>
    <w:p w14:paraId="673A5B5C">
      <w:pPr>
        <w:pStyle w:val="30"/>
        <w:spacing w:beforeAutospacing="0" w:afterAutospacing="0"/>
        <w:jc w:val="both"/>
        <w:rPr>
          <w:rFonts w:ascii="黑体" w:hAnsi="宋体" w:eastAsia="黑体" w:cs="黑体"/>
          <w:bCs/>
          <w:i/>
          <w:color w:val="000000"/>
          <w:sz w:val="32"/>
          <w:szCs w:val="32"/>
          <w:u w:val="single"/>
        </w:rPr>
      </w:pPr>
    </w:p>
    <w:p w14:paraId="49B5B019">
      <w:pPr>
        <w:pStyle w:val="30"/>
        <w:spacing w:beforeAutospacing="0" w:afterAutospacing="0"/>
        <w:jc w:val="both"/>
        <w:rPr>
          <w:rFonts w:ascii="黑体" w:hAnsi="宋体" w:eastAsia="黑体" w:cs="黑体"/>
          <w:bCs/>
          <w:i/>
          <w:color w:val="000000"/>
          <w:sz w:val="32"/>
          <w:szCs w:val="32"/>
          <w:u w:val="single"/>
        </w:rPr>
      </w:pPr>
    </w:p>
    <w:p w14:paraId="51CF4501">
      <w:pPr>
        <w:pStyle w:val="30"/>
        <w:spacing w:beforeAutospacing="0" w:afterAutospacing="0"/>
        <w:jc w:val="both"/>
        <w:rPr>
          <w:rFonts w:ascii="黑体" w:hAnsi="宋体" w:eastAsia="黑体" w:cs="黑体"/>
          <w:bCs/>
          <w:i/>
          <w:color w:val="000000"/>
          <w:sz w:val="32"/>
          <w:szCs w:val="32"/>
          <w:u w:val="single"/>
        </w:rPr>
      </w:pPr>
    </w:p>
    <w:p w14:paraId="70C78DFE">
      <w:pPr>
        <w:pStyle w:val="30"/>
        <w:spacing w:beforeAutospacing="0" w:afterAutospacing="0"/>
        <w:jc w:val="both"/>
        <w:rPr>
          <w:rFonts w:ascii="黑体" w:hAnsi="宋体" w:eastAsia="黑体" w:cs="黑体"/>
          <w:bCs/>
          <w:i/>
          <w:color w:val="000000"/>
          <w:sz w:val="32"/>
          <w:szCs w:val="32"/>
          <w:u w:val="single"/>
        </w:rPr>
      </w:pPr>
    </w:p>
    <w:p w14:paraId="52700B4B">
      <w:pPr>
        <w:pStyle w:val="30"/>
        <w:spacing w:beforeAutospacing="0" w:afterAutospacing="0"/>
        <w:jc w:val="both"/>
        <w:rPr>
          <w:rFonts w:ascii="黑体" w:hAnsi="宋体" w:eastAsia="黑体" w:cs="黑体"/>
          <w:bCs/>
          <w:i/>
          <w:color w:val="000000"/>
          <w:sz w:val="32"/>
          <w:szCs w:val="32"/>
          <w:u w:val="single"/>
        </w:rPr>
      </w:pPr>
    </w:p>
    <w:p w14:paraId="1F751BD4">
      <w:pPr>
        <w:pStyle w:val="30"/>
        <w:spacing w:beforeAutospacing="0" w:afterAutospacing="0"/>
        <w:jc w:val="center"/>
        <w:rPr>
          <w:rFonts w:ascii="黑体" w:hAnsi="宋体" w:eastAsia="黑体" w:cs="黑体"/>
          <w:bCs/>
          <w:i/>
          <w:color w:val="000000"/>
          <w:sz w:val="32"/>
          <w:szCs w:val="32"/>
          <w:u w:val="single"/>
        </w:rPr>
      </w:pPr>
    </w:p>
    <w:p w14:paraId="1C5643C5">
      <w:pPr>
        <w:pStyle w:val="30"/>
        <w:spacing w:beforeAutospacing="0" w:afterAutospacing="0"/>
        <w:jc w:val="center"/>
        <w:rPr>
          <w:rFonts w:ascii="黑体" w:hAnsi="宋体" w:eastAsia="黑体" w:cs="黑体"/>
          <w:bCs/>
          <w:i/>
          <w:color w:val="000000"/>
          <w:sz w:val="32"/>
          <w:szCs w:val="32"/>
          <w:u w:val="single"/>
        </w:rPr>
      </w:pPr>
    </w:p>
    <w:p w14:paraId="71E5D83F">
      <w:pPr>
        <w:pStyle w:val="30"/>
        <w:spacing w:beforeAutospacing="0" w:afterAutospacing="0"/>
        <w:jc w:val="center"/>
        <w:rPr>
          <w:rFonts w:ascii="黑体" w:hAnsi="宋体" w:eastAsia="黑体" w:cs="黑体"/>
          <w:bCs/>
          <w:i/>
          <w:color w:val="000000"/>
          <w:sz w:val="32"/>
          <w:szCs w:val="32"/>
          <w:u w:val="single"/>
        </w:rPr>
      </w:pPr>
      <w:r>
        <w:rPr>
          <w:rFonts w:hint="eastAsia" w:ascii="黑体" w:hAnsi="宋体" w:eastAsia="黑体" w:cs="黑体"/>
          <w:bCs/>
          <w:i/>
          <w:color w:val="000000"/>
          <w:sz w:val="32"/>
          <w:szCs w:val="32"/>
          <w:u w:val="single"/>
        </w:rPr>
        <w:t>十</w:t>
      </w:r>
      <w:r>
        <w:rPr>
          <w:rFonts w:hint="eastAsia" w:ascii="黑体" w:hAnsi="宋体" w:eastAsia="黑体" w:cs="黑体"/>
          <w:bCs/>
          <w:i/>
          <w:color w:val="000000"/>
          <w:sz w:val="32"/>
          <w:szCs w:val="32"/>
          <w:u w:val="single"/>
          <w:lang w:val="en-US" w:eastAsia="zh-CN"/>
        </w:rPr>
        <w:t>六</w:t>
      </w:r>
      <w:r>
        <w:rPr>
          <w:rFonts w:hint="eastAsia" w:ascii="黑体" w:hAnsi="宋体" w:eastAsia="黑体" w:cs="黑体"/>
          <w:bCs/>
          <w:i/>
          <w:color w:val="000000"/>
          <w:sz w:val="32"/>
          <w:szCs w:val="32"/>
          <w:u w:val="single"/>
        </w:rPr>
        <w:t>、</w:t>
      </w:r>
      <w:r>
        <w:rPr>
          <w:rFonts w:hint="eastAsia" w:ascii="黑体" w:hAnsi="宋体" w:eastAsia="黑体" w:cs="黑体"/>
          <w:bCs/>
          <w:i/>
          <w:color w:val="000000"/>
          <w:sz w:val="32"/>
          <w:szCs w:val="32"/>
          <w:u w:val="single"/>
          <w:lang w:eastAsia="zh-CN"/>
        </w:rPr>
        <w:t>报价</w:t>
      </w:r>
      <w:r>
        <w:rPr>
          <w:rFonts w:hint="eastAsia" w:ascii="黑体" w:hAnsi="宋体" w:eastAsia="黑体" w:cs="黑体"/>
          <w:bCs/>
          <w:i/>
          <w:color w:val="000000"/>
          <w:sz w:val="32"/>
          <w:szCs w:val="32"/>
          <w:u w:val="single"/>
        </w:rPr>
        <w:t>表</w:t>
      </w:r>
    </w:p>
    <w:p w14:paraId="08851F5D">
      <w:pPr>
        <w:pStyle w:val="30"/>
        <w:spacing w:beforeAutospacing="0" w:afterAutospacing="0"/>
        <w:ind w:firstLine="480"/>
        <w:jc w:val="both"/>
        <w:rPr>
          <w:rFonts w:ascii="宋体" w:hAnsi="宋体" w:eastAsia="宋体" w:cs="宋体"/>
          <w:color w:val="000000"/>
        </w:rPr>
      </w:pPr>
    </w:p>
    <w:p w14:paraId="5DCD4621">
      <w:pPr>
        <w:pStyle w:val="30"/>
        <w:spacing w:beforeAutospacing="0" w:afterAutospacing="0"/>
        <w:ind w:firstLine="480"/>
        <w:jc w:val="both"/>
      </w:pPr>
      <w:r>
        <w:rPr>
          <w:rFonts w:hint="eastAsia" w:ascii="宋体" w:hAnsi="宋体" w:eastAsia="宋体" w:cs="宋体"/>
          <w:color w:val="000000"/>
        </w:rPr>
        <w:t>供应商全称（加盖CA电子签章）：</w:t>
      </w:r>
    </w:p>
    <w:p w14:paraId="5D6A0EB3">
      <w:pPr>
        <w:pStyle w:val="30"/>
        <w:spacing w:beforeAutospacing="0" w:afterAutospacing="0"/>
        <w:ind w:firstLine="480"/>
        <w:jc w:val="both"/>
      </w:pPr>
      <w:r>
        <w:rPr>
          <w:rFonts w:hint="eastAsia" w:ascii="宋体" w:hAnsi="宋体" w:eastAsia="宋体" w:cs="宋体"/>
          <w:color w:val="000000"/>
        </w:rPr>
        <w:t>项目名称：</w:t>
      </w:r>
    </w:p>
    <w:p w14:paraId="2E038AAA">
      <w:pPr>
        <w:pStyle w:val="30"/>
        <w:spacing w:beforeAutospacing="0" w:afterAutospacing="0"/>
        <w:ind w:firstLine="480"/>
        <w:jc w:val="both"/>
        <w:rPr>
          <w:rFonts w:hint="eastAsia" w:ascii="宋体" w:hAnsi="宋体" w:eastAsia="宋体" w:cs="宋体"/>
          <w:color w:val="000000"/>
        </w:rPr>
      </w:pPr>
      <w:r>
        <w:rPr>
          <w:rFonts w:hint="eastAsia" w:ascii="宋体" w:hAnsi="宋体" w:eastAsia="宋体" w:cs="宋体"/>
          <w:color w:val="000000"/>
        </w:rPr>
        <w:t>项目编号：JSZC-320924-XYGS-G2026-0004</w:t>
      </w:r>
    </w:p>
    <w:tbl>
      <w:tblPr>
        <w:tblStyle w:val="33"/>
        <w:tblW w:w="8413" w:type="dxa"/>
        <w:tblCellSpacing w:w="0" w:type="dxa"/>
        <w:tblInd w:w="118" w:type="dxa"/>
        <w:tblLayout w:type="fixed"/>
        <w:tblCellMar>
          <w:top w:w="0" w:type="dxa"/>
          <w:left w:w="108" w:type="dxa"/>
          <w:bottom w:w="0" w:type="dxa"/>
          <w:right w:w="108" w:type="dxa"/>
        </w:tblCellMar>
      </w:tblPr>
      <w:tblGrid>
        <w:gridCol w:w="2349"/>
        <w:gridCol w:w="6064"/>
      </w:tblGrid>
      <w:tr w14:paraId="20E1BFC1">
        <w:tblPrEx>
          <w:tblCellMar>
            <w:top w:w="0" w:type="dxa"/>
            <w:left w:w="108" w:type="dxa"/>
            <w:bottom w:w="0" w:type="dxa"/>
            <w:right w:w="108" w:type="dxa"/>
          </w:tblCellMar>
        </w:tblPrEx>
        <w:trPr>
          <w:trHeight w:val="725"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359F05">
            <w:pPr>
              <w:pStyle w:val="30"/>
              <w:spacing w:beforeAutospacing="0" w:afterAutospacing="0"/>
              <w:jc w:val="center"/>
            </w:pPr>
            <w:r>
              <w:rPr>
                <w:rFonts w:hint="eastAsia" w:ascii="宋体" w:hAnsi="宋体" w:eastAsia="宋体" w:cs="宋体"/>
                <w:color w:val="000000"/>
              </w:rPr>
              <w:t>投标总报价</w:t>
            </w:r>
          </w:p>
        </w:tc>
      </w:tr>
      <w:tr w14:paraId="12D6A62A">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580E65">
            <w:pPr>
              <w:pStyle w:val="30"/>
              <w:spacing w:beforeAutospacing="0" w:afterAutospacing="0" w:line="0" w:lineRule="atLeast"/>
              <w:rPr>
                <w:rFonts w:ascii="宋体" w:hAnsi="宋体" w:eastAsia="宋体" w:cs="宋体"/>
                <w:color w:val="000000"/>
              </w:rPr>
            </w:pPr>
            <w:r>
              <w:rPr>
                <w:rFonts w:hint="eastAsia" w:ascii="宋体" w:hAnsi="宋体" w:eastAsia="宋体" w:cs="宋体"/>
              </w:rPr>
              <w:t>大写：</w:t>
            </w:r>
          </w:p>
        </w:tc>
      </w:tr>
      <w:tr w14:paraId="25E76DDB">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D1E92D">
            <w:pPr>
              <w:pStyle w:val="30"/>
              <w:spacing w:beforeAutospacing="0" w:afterAutospacing="0" w:line="0" w:lineRule="atLeast"/>
            </w:pPr>
            <w:r>
              <w:rPr>
                <w:rFonts w:hint="eastAsia" w:ascii="宋体" w:hAnsi="宋体" w:eastAsia="宋体" w:cs="宋体"/>
                <w:color w:val="000000"/>
              </w:rPr>
              <w:t>小写：                        （人民币：元）</w:t>
            </w:r>
          </w:p>
        </w:tc>
      </w:tr>
      <w:tr w14:paraId="7076CA44">
        <w:tblPrEx>
          <w:tblCellMar>
            <w:top w:w="0" w:type="dxa"/>
            <w:left w:w="108" w:type="dxa"/>
            <w:bottom w:w="0" w:type="dxa"/>
            <w:right w:w="108" w:type="dxa"/>
          </w:tblCellMar>
        </w:tblPrEx>
        <w:trPr>
          <w:trHeight w:val="612" w:hRule="atLeast"/>
          <w:tblCellSpacing w:w="0" w:type="dxa"/>
        </w:trPr>
        <w:tc>
          <w:tcPr>
            <w:tcW w:w="23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E2107F">
            <w:pPr>
              <w:pStyle w:val="30"/>
              <w:spacing w:beforeAutospacing="0" w:afterAutospacing="0" w:line="300" w:lineRule="auto"/>
              <w:jc w:val="center"/>
            </w:pPr>
            <w:r>
              <w:rPr>
                <w:rFonts w:hint="eastAsia" w:hAnsi="宋体" w:eastAsia="宋体" w:cs="宋体"/>
                <w:sz w:val="24"/>
              </w:rPr>
              <w:t>合同履行期限</w:t>
            </w:r>
            <w:r>
              <w:rPr>
                <w:rFonts w:hint="eastAsia" w:hAnsi="宋体" w:eastAsia="宋体" w:cs="宋体"/>
                <w:sz w:val="24"/>
                <w:lang w:eastAsia="zh-CN"/>
              </w:rPr>
              <w:t>：</w:t>
            </w:r>
          </w:p>
        </w:tc>
        <w:tc>
          <w:tcPr>
            <w:tcW w:w="606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AEAF2C">
            <w:pPr>
              <w:pStyle w:val="30"/>
              <w:spacing w:beforeAutospacing="0" w:afterAutospacing="0" w:line="0" w:lineRule="atLeast"/>
            </w:pPr>
            <w:r>
              <w:t> </w:t>
            </w:r>
          </w:p>
        </w:tc>
      </w:tr>
      <w:tr w14:paraId="16504790">
        <w:tblPrEx>
          <w:tblCellMar>
            <w:top w:w="0" w:type="dxa"/>
            <w:left w:w="108" w:type="dxa"/>
            <w:bottom w:w="0" w:type="dxa"/>
            <w:right w:w="108" w:type="dxa"/>
          </w:tblCellMar>
        </w:tblPrEx>
        <w:trPr>
          <w:trHeight w:val="612" w:hRule="atLeast"/>
          <w:tblCellSpacing w:w="0" w:type="dxa"/>
        </w:trPr>
        <w:tc>
          <w:tcPr>
            <w:tcW w:w="23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F84303">
            <w:pPr>
              <w:pStyle w:val="30"/>
              <w:spacing w:beforeAutospacing="0" w:afterAutospacing="0" w:line="300" w:lineRule="auto"/>
              <w:jc w:val="center"/>
              <w:rPr>
                <w:rFonts w:hint="eastAsia" w:ascii="宋体" w:hAnsi="宋体" w:eastAsia="宋体" w:cs="宋体"/>
              </w:rPr>
            </w:pPr>
            <w:r>
              <w:rPr>
                <w:rFonts w:hint="eastAsia" w:ascii="宋体" w:hAnsi="宋体" w:eastAsia="宋体" w:cs="宋体"/>
                <w:kern w:val="0"/>
                <w:sz w:val="24"/>
                <w:highlight w:val="none"/>
              </w:rPr>
              <w:t>免费</w:t>
            </w:r>
            <w:r>
              <w:rPr>
                <w:rFonts w:hint="eastAsia" w:ascii="宋体" w:hAnsi="宋体" w:eastAsia="宋体" w:cs="宋体"/>
                <w:kern w:val="0"/>
                <w:sz w:val="24"/>
                <w:highlight w:val="none"/>
                <w:lang w:val="en-US" w:eastAsia="zh-CN"/>
              </w:rPr>
              <w:t>质保</w:t>
            </w:r>
            <w:r>
              <w:rPr>
                <w:rFonts w:hint="eastAsia" w:ascii="宋体" w:hAnsi="宋体" w:eastAsia="宋体" w:cs="宋体"/>
                <w:kern w:val="0"/>
                <w:sz w:val="24"/>
                <w:highlight w:val="none"/>
              </w:rPr>
              <w:t>期</w:t>
            </w:r>
            <w:r>
              <w:rPr>
                <w:rFonts w:hint="eastAsia" w:ascii="宋体" w:hAnsi="宋体" w:eastAsia="宋体" w:cs="宋体"/>
                <w:kern w:val="0"/>
                <w:sz w:val="24"/>
                <w:highlight w:val="none"/>
                <w:lang w:eastAsia="zh-CN"/>
              </w:rPr>
              <w:t>：</w:t>
            </w:r>
          </w:p>
        </w:tc>
        <w:tc>
          <w:tcPr>
            <w:tcW w:w="606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C66C64">
            <w:pPr>
              <w:pStyle w:val="30"/>
              <w:spacing w:beforeAutospacing="0" w:afterAutospacing="0" w:line="0" w:lineRule="atLeast"/>
            </w:pPr>
          </w:p>
        </w:tc>
      </w:tr>
      <w:tr w14:paraId="1652D63C">
        <w:tblPrEx>
          <w:tblCellMar>
            <w:top w:w="0" w:type="dxa"/>
            <w:left w:w="108" w:type="dxa"/>
            <w:bottom w:w="0" w:type="dxa"/>
            <w:right w:w="108" w:type="dxa"/>
          </w:tblCellMar>
        </w:tblPrEx>
        <w:trPr>
          <w:trHeight w:val="612" w:hRule="atLeast"/>
          <w:tblCellSpacing w:w="0" w:type="dxa"/>
        </w:trPr>
        <w:tc>
          <w:tcPr>
            <w:tcW w:w="23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6A2168">
            <w:pPr>
              <w:pStyle w:val="30"/>
              <w:spacing w:beforeAutospacing="0" w:afterAutospacing="0" w:line="300" w:lineRule="auto"/>
              <w:jc w:val="center"/>
              <w:rPr>
                <w:rFonts w:hint="eastAsia" w:ascii="宋体" w:hAnsi="宋体" w:eastAsia="宋体" w:cs="宋体"/>
              </w:rPr>
            </w:pPr>
            <w:r>
              <w:rPr>
                <w:rFonts w:hint="eastAsia" w:ascii="宋体" w:hAnsi="宋体" w:eastAsia="宋体" w:cs="宋体"/>
              </w:rPr>
              <w:t>核心产品品牌</w:t>
            </w:r>
          </w:p>
        </w:tc>
        <w:tc>
          <w:tcPr>
            <w:tcW w:w="606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97E511">
            <w:pPr>
              <w:pStyle w:val="30"/>
              <w:spacing w:beforeAutospacing="0" w:afterAutospacing="0" w:line="0" w:lineRule="atLeast"/>
            </w:pPr>
          </w:p>
        </w:tc>
      </w:tr>
    </w:tbl>
    <w:p w14:paraId="61BDDF9E">
      <w:pPr>
        <w:pStyle w:val="30"/>
        <w:spacing w:beforeAutospacing="0" w:afterAutospacing="0"/>
        <w:jc w:val="both"/>
      </w:pPr>
      <w:r>
        <w:t> </w:t>
      </w:r>
    </w:p>
    <w:p w14:paraId="69D2D022">
      <w:pPr>
        <w:pStyle w:val="30"/>
        <w:spacing w:beforeAutospacing="0" w:afterAutospacing="0"/>
        <w:ind w:firstLine="480"/>
        <w:jc w:val="both"/>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年</w:t>
      </w:r>
      <w:r>
        <w:rPr>
          <w:rFonts w:hint="eastAsia" w:ascii="宋体" w:hAnsi="宋体" w:eastAsia="宋体" w:cs="宋体"/>
          <w:color w:val="000000"/>
          <w:u w:val="single"/>
        </w:rPr>
        <w:t xml:space="preserve">   </w:t>
      </w:r>
      <w:r>
        <w:rPr>
          <w:rFonts w:hint="eastAsia" w:ascii="宋体" w:hAnsi="宋体" w:eastAsia="宋体" w:cs="宋体"/>
          <w:color w:val="000000"/>
        </w:rPr>
        <w:t>月</w:t>
      </w:r>
      <w:r>
        <w:rPr>
          <w:rFonts w:hint="eastAsia" w:ascii="宋体" w:hAnsi="宋体" w:eastAsia="宋体" w:cs="宋体"/>
          <w:color w:val="000000"/>
          <w:u w:val="single"/>
        </w:rPr>
        <w:t xml:space="preserve">   </w:t>
      </w:r>
      <w:r>
        <w:rPr>
          <w:rFonts w:hint="eastAsia" w:ascii="宋体" w:hAnsi="宋体" w:eastAsia="宋体" w:cs="宋体"/>
          <w:color w:val="000000"/>
        </w:rPr>
        <w:t>日</w:t>
      </w:r>
    </w:p>
    <w:p w14:paraId="18190FB7">
      <w:pPr>
        <w:pStyle w:val="30"/>
        <w:spacing w:beforeAutospacing="0" w:afterAutospacing="0"/>
        <w:ind w:firstLine="480"/>
        <w:jc w:val="both"/>
      </w:pPr>
      <w:r>
        <w:t> </w:t>
      </w:r>
    </w:p>
    <w:p w14:paraId="7607D9C6">
      <w:pPr>
        <w:pStyle w:val="30"/>
        <w:spacing w:beforeAutospacing="0" w:afterAutospacing="0"/>
        <w:jc w:val="center"/>
      </w:pPr>
    </w:p>
    <w:p w14:paraId="67ADF095">
      <w:pPr>
        <w:widowControl/>
        <w:spacing w:before="50" w:after="50"/>
        <w:jc w:val="center"/>
      </w:pPr>
      <w:r>
        <w:tab/>
      </w:r>
    </w:p>
    <w:p w14:paraId="066F99EC">
      <w:pPr>
        <w:widowControl/>
        <w:spacing w:before="50" w:after="50"/>
        <w:jc w:val="center"/>
      </w:pPr>
    </w:p>
    <w:p w14:paraId="5C95A204">
      <w:pPr>
        <w:pStyle w:val="30"/>
        <w:spacing w:beforeAutospacing="0" w:afterAutospacing="0"/>
        <w:jc w:val="both"/>
        <w:rPr>
          <w:color w:val="auto"/>
          <w:highlight w:val="none"/>
        </w:rPr>
      </w:pPr>
      <w:r>
        <w:rPr>
          <w:rFonts w:hint="eastAsia" w:ascii="宋体" w:hAnsi="宋体" w:eastAsia="宋体" w:cs="宋体"/>
          <w:color w:val="000000"/>
          <w:sz w:val="24"/>
          <w:szCs w:val="24"/>
          <w:highlight w:val="none"/>
          <w:lang w:val="en-US" w:eastAsia="zh-CN" w:bidi="ar-SA"/>
        </w:rPr>
        <w:t>注：此“报价表”应当与系统中“开标一览表”报价一致，如不一致以系统中“开标一览表”中的报价为准，供应商应对全部内容进行报价。</w:t>
      </w:r>
    </w:p>
    <w:p w14:paraId="7D82AF87">
      <w:pPr>
        <w:widowControl/>
        <w:spacing w:before="50" w:after="50"/>
        <w:jc w:val="center"/>
      </w:pPr>
    </w:p>
    <w:p w14:paraId="2D4DAFC4">
      <w:pPr>
        <w:widowControl/>
        <w:spacing w:before="50" w:after="50"/>
        <w:jc w:val="center"/>
      </w:pPr>
    </w:p>
    <w:p w14:paraId="49DAD1EC">
      <w:pPr>
        <w:widowControl/>
        <w:spacing w:before="50" w:after="50"/>
        <w:jc w:val="center"/>
      </w:pPr>
    </w:p>
    <w:p w14:paraId="53386BBC">
      <w:pPr>
        <w:widowControl/>
        <w:spacing w:before="50" w:after="50"/>
        <w:jc w:val="center"/>
      </w:pPr>
    </w:p>
    <w:p w14:paraId="06424BD6">
      <w:pPr>
        <w:widowControl/>
        <w:spacing w:before="50" w:after="50"/>
        <w:jc w:val="center"/>
      </w:pPr>
    </w:p>
    <w:p w14:paraId="5CE2017C">
      <w:pPr>
        <w:pStyle w:val="4"/>
      </w:pPr>
    </w:p>
    <w:p w14:paraId="661497AC"/>
    <w:p w14:paraId="77206F7B">
      <w:pPr>
        <w:pStyle w:val="4"/>
      </w:pPr>
    </w:p>
    <w:p w14:paraId="2185EFE4"/>
    <w:p w14:paraId="1FF364D2"/>
    <w:p w14:paraId="7BC0F0CA">
      <w:pPr>
        <w:pStyle w:val="30"/>
        <w:spacing w:beforeAutospacing="0" w:afterAutospacing="0"/>
        <w:jc w:val="both"/>
        <w:rPr>
          <w:rFonts w:ascii="宋体" w:hAnsi="宋体" w:eastAsia="宋体" w:cs="宋体"/>
          <w:color w:val="000000"/>
          <w:sz w:val="32"/>
          <w:szCs w:val="32"/>
        </w:rPr>
      </w:pPr>
    </w:p>
    <w:p w14:paraId="2ED17569">
      <w:pPr>
        <w:pStyle w:val="30"/>
        <w:spacing w:beforeAutospacing="0" w:afterAutospacing="0"/>
        <w:jc w:val="both"/>
        <w:rPr>
          <w:rFonts w:ascii="宋体" w:hAnsi="宋体" w:eastAsia="宋体" w:cs="宋体"/>
          <w:color w:val="000000"/>
          <w:sz w:val="32"/>
          <w:szCs w:val="32"/>
        </w:rPr>
      </w:pPr>
    </w:p>
    <w:p w14:paraId="0E6DA14E">
      <w:pPr>
        <w:pStyle w:val="30"/>
        <w:spacing w:beforeAutospacing="0" w:afterAutospacing="0"/>
        <w:jc w:val="both"/>
        <w:rPr>
          <w:rFonts w:ascii="宋体" w:hAnsi="宋体" w:eastAsia="宋体" w:cs="宋体"/>
          <w:color w:val="000000"/>
          <w:sz w:val="32"/>
          <w:szCs w:val="32"/>
        </w:rPr>
      </w:pPr>
    </w:p>
    <w:p w14:paraId="204FB6AF">
      <w:pPr>
        <w:pStyle w:val="30"/>
        <w:spacing w:beforeAutospacing="0" w:afterAutospacing="0"/>
        <w:jc w:val="both"/>
        <w:rPr>
          <w:rFonts w:ascii="宋体" w:hAnsi="宋体" w:eastAsia="宋体" w:cs="宋体"/>
          <w:color w:val="000000"/>
          <w:sz w:val="32"/>
          <w:szCs w:val="32"/>
        </w:rPr>
      </w:pPr>
    </w:p>
    <w:p w14:paraId="5C49F827">
      <w:pPr>
        <w:pStyle w:val="30"/>
        <w:spacing w:beforeAutospacing="0" w:afterAutospacing="0"/>
        <w:jc w:val="both"/>
        <w:rPr>
          <w:rFonts w:ascii="宋体" w:hAnsi="宋体" w:eastAsia="宋体" w:cs="宋体"/>
          <w:color w:val="000000"/>
          <w:sz w:val="32"/>
          <w:szCs w:val="32"/>
        </w:rPr>
      </w:pPr>
    </w:p>
    <w:p w14:paraId="0A194D70">
      <w:pPr>
        <w:pStyle w:val="30"/>
        <w:spacing w:beforeAutospacing="0" w:afterAutospacing="0"/>
        <w:jc w:val="center"/>
        <w:rPr>
          <w:rFonts w:ascii="黑体" w:hAnsi="黑体" w:eastAsia="黑体" w:cs="黑体"/>
          <w:color w:val="000000"/>
          <w:sz w:val="32"/>
          <w:szCs w:val="32"/>
        </w:rPr>
      </w:pPr>
      <w:r>
        <w:rPr>
          <w:rFonts w:hint="eastAsia" w:ascii="黑体" w:hAnsi="黑体" w:eastAsia="黑体" w:cs="黑体"/>
          <w:color w:val="000000"/>
          <w:sz w:val="32"/>
          <w:szCs w:val="32"/>
        </w:rPr>
        <w:t>十</w:t>
      </w:r>
      <w:r>
        <w:rPr>
          <w:rFonts w:hint="eastAsia" w:ascii="黑体" w:hAnsi="黑体" w:eastAsia="黑体" w:cs="黑体"/>
          <w:color w:val="000000"/>
          <w:sz w:val="32"/>
          <w:szCs w:val="32"/>
          <w:lang w:val="en-US" w:eastAsia="zh-CN"/>
        </w:rPr>
        <w:t>七</w:t>
      </w:r>
      <w:r>
        <w:rPr>
          <w:rFonts w:hint="eastAsia" w:ascii="黑体" w:hAnsi="黑体" w:eastAsia="黑体" w:cs="黑体"/>
          <w:color w:val="000000"/>
          <w:sz w:val="32"/>
          <w:szCs w:val="32"/>
        </w:rPr>
        <w:t>、其他材料</w:t>
      </w:r>
    </w:p>
    <w:p w14:paraId="45D9E4CA">
      <w:pPr>
        <w:rPr>
          <w:rFonts w:ascii="宋体" w:hAnsi="宋体" w:eastAsia="宋体" w:cs="宋体"/>
        </w:rPr>
      </w:pPr>
    </w:p>
    <w:p w14:paraId="27BC16D7">
      <w:pPr>
        <w:widowControl/>
        <w:spacing w:line="499" w:lineRule="atLeast"/>
        <w:ind w:firstLine="480"/>
        <w:jc w:val="left"/>
        <w:rPr>
          <w:rFonts w:ascii="宋体" w:hAnsi="宋体" w:eastAsia="宋体" w:cs="宋体"/>
          <w:color w:val="000000"/>
          <w:sz w:val="24"/>
        </w:rPr>
      </w:pPr>
      <w:r>
        <w:rPr>
          <w:rFonts w:hint="eastAsia" w:ascii="宋体" w:hAnsi="宋体" w:eastAsia="宋体" w:cs="宋体"/>
          <w:color w:val="000000"/>
          <w:sz w:val="24"/>
        </w:rPr>
        <w:t>供应商认为应提交的其他资料：实施方案、业绩等证明材料（供应商按招标文件的要求及评分标准要求分点表述，格式自拟）均应加盖单位公章。</w:t>
      </w:r>
    </w:p>
    <w:p w14:paraId="68D1FFD4">
      <w:pPr>
        <w:widowControl/>
        <w:spacing w:before="50" w:after="50"/>
        <w:jc w:val="center"/>
        <w:rPr>
          <w:rFonts w:ascii="宋体" w:hAnsi="宋体" w:eastAsia="宋体" w:cs="宋体"/>
          <w:sz w:val="24"/>
        </w:rPr>
      </w:pPr>
    </w:p>
    <w:p w14:paraId="7DC86090">
      <w:pPr>
        <w:pStyle w:val="30"/>
        <w:tabs>
          <w:tab w:val="left" w:pos="2160"/>
        </w:tabs>
        <w:spacing w:beforeAutospacing="0" w:afterAutospacing="0"/>
        <w:jc w:val="both"/>
      </w:pPr>
    </w:p>
    <w:p w14:paraId="57E5FC0F">
      <w:pPr>
        <w:widowControl/>
        <w:spacing w:line="499" w:lineRule="atLeast"/>
        <w:ind w:firstLine="1600"/>
        <w:rPr>
          <w:rFonts w:ascii="宋体" w:hAnsi="宋体" w:eastAsia="宋体" w:cs="宋体"/>
          <w:color w:val="000000"/>
          <w:sz w:val="32"/>
          <w:szCs w:val="32"/>
        </w:rPr>
      </w:pPr>
    </w:p>
    <w:p w14:paraId="2F94A32A">
      <w:pPr>
        <w:widowControl/>
        <w:spacing w:line="499" w:lineRule="atLeast"/>
        <w:ind w:firstLine="1600"/>
        <w:rPr>
          <w:rFonts w:ascii="宋体" w:hAnsi="宋体" w:eastAsia="宋体" w:cs="宋体"/>
          <w:color w:val="000000"/>
          <w:sz w:val="32"/>
          <w:szCs w:val="32"/>
        </w:rPr>
      </w:pPr>
    </w:p>
    <w:p w14:paraId="1DB8A2D8">
      <w:pPr>
        <w:widowControl/>
        <w:spacing w:line="499" w:lineRule="atLeast"/>
        <w:ind w:firstLine="1600"/>
        <w:rPr>
          <w:rFonts w:ascii="宋体" w:hAnsi="宋体" w:eastAsia="宋体" w:cs="宋体"/>
          <w:color w:val="000000"/>
          <w:sz w:val="32"/>
          <w:szCs w:val="32"/>
        </w:rPr>
      </w:pPr>
    </w:p>
    <w:p w14:paraId="542DCD96">
      <w:pPr>
        <w:widowControl/>
        <w:spacing w:line="499" w:lineRule="atLeast"/>
        <w:ind w:firstLine="1600"/>
        <w:rPr>
          <w:rFonts w:ascii="宋体" w:hAnsi="宋体" w:eastAsia="宋体" w:cs="宋体"/>
          <w:color w:val="000000"/>
          <w:sz w:val="32"/>
          <w:szCs w:val="32"/>
        </w:rPr>
      </w:pPr>
    </w:p>
    <w:p w14:paraId="6B4B77CB">
      <w:pPr>
        <w:widowControl/>
        <w:spacing w:line="499" w:lineRule="atLeast"/>
        <w:ind w:firstLine="1600"/>
        <w:rPr>
          <w:rFonts w:ascii="宋体" w:hAnsi="宋体" w:eastAsia="宋体" w:cs="宋体"/>
          <w:color w:val="000000"/>
          <w:sz w:val="32"/>
          <w:szCs w:val="32"/>
        </w:rPr>
      </w:pPr>
    </w:p>
    <w:p w14:paraId="189A8CC1">
      <w:pPr>
        <w:widowControl/>
        <w:spacing w:line="499" w:lineRule="atLeast"/>
        <w:ind w:firstLine="1600"/>
        <w:rPr>
          <w:rFonts w:ascii="宋体" w:hAnsi="宋体" w:eastAsia="宋体" w:cs="宋体"/>
          <w:color w:val="000000"/>
          <w:sz w:val="32"/>
          <w:szCs w:val="32"/>
        </w:rPr>
      </w:pPr>
    </w:p>
    <w:p w14:paraId="6169385B">
      <w:pPr>
        <w:widowControl/>
        <w:spacing w:line="499" w:lineRule="atLeast"/>
        <w:ind w:firstLine="1600"/>
        <w:rPr>
          <w:rFonts w:ascii="宋体" w:hAnsi="宋体" w:eastAsia="宋体" w:cs="宋体"/>
          <w:color w:val="000000"/>
          <w:sz w:val="32"/>
          <w:szCs w:val="32"/>
        </w:rPr>
      </w:pPr>
    </w:p>
    <w:p w14:paraId="51CFB248">
      <w:pPr>
        <w:widowControl/>
        <w:spacing w:line="499" w:lineRule="atLeast"/>
        <w:ind w:firstLine="1600"/>
        <w:rPr>
          <w:rFonts w:ascii="宋体" w:hAnsi="宋体" w:eastAsia="宋体" w:cs="宋体"/>
          <w:color w:val="000000"/>
          <w:sz w:val="32"/>
          <w:szCs w:val="32"/>
        </w:rPr>
      </w:pPr>
    </w:p>
    <w:p w14:paraId="7224D28D">
      <w:pPr>
        <w:widowControl/>
        <w:spacing w:line="499" w:lineRule="atLeast"/>
        <w:ind w:firstLine="1600"/>
        <w:rPr>
          <w:rFonts w:ascii="宋体" w:hAnsi="宋体" w:eastAsia="宋体" w:cs="宋体"/>
          <w:color w:val="000000"/>
          <w:sz w:val="32"/>
          <w:szCs w:val="32"/>
        </w:rPr>
      </w:pPr>
    </w:p>
    <w:p w14:paraId="0ED8B48A">
      <w:pPr>
        <w:widowControl/>
        <w:spacing w:line="499" w:lineRule="atLeast"/>
        <w:ind w:firstLine="1600"/>
        <w:rPr>
          <w:rFonts w:ascii="宋体" w:hAnsi="宋体" w:eastAsia="宋体" w:cs="宋体"/>
          <w:color w:val="000000"/>
          <w:sz w:val="32"/>
          <w:szCs w:val="32"/>
        </w:rPr>
      </w:pPr>
    </w:p>
    <w:p w14:paraId="39F6A2CD">
      <w:pPr>
        <w:widowControl/>
        <w:spacing w:line="499" w:lineRule="atLeast"/>
        <w:ind w:firstLine="1600"/>
        <w:rPr>
          <w:rFonts w:ascii="宋体" w:hAnsi="宋体" w:eastAsia="宋体" w:cs="宋体"/>
          <w:color w:val="000000"/>
          <w:sz w:val="32"/>
          <w:szCs w:val="32"/>
        </w:rPr>
      </w:pPr>
    </w:p>
    <w:p w14:paraId="6E3EA6A7">
      <w:pPr>
        <w:widowControl/>
        <w:spacing w:line="499" w:lineRule="atLeast"/>
        <w:ind w:firstLine="1600"/>
        <w:rPr>
          <w:rFonts w:ascii="宋体" w:hAnsi="宋体" w:eastAsia="宋体" w:cs="宋体"/>
          <w:color w:val="000000"/>
          <w:sz w:val="32"/>
          <w:szCs w:val="32"/>
        </w:rPr>
      </w:pPr>
    </w:p>
    <w:p w14:paraId="6CCF23C8">
      <w:pPr>
        <w:widowControl/>
        <w:spacing w:line="499" w:lineRule="atLeast"/>
        <w:ind w:firstLine="1600"/>
        <w:rPr>
          <w:rFonts w:ascii="宋体" w:hAnsi="宋体" w:eastAsia="宋体" w:cs="宋体"/>
          <w:color w:val="000000"/>
          <w:sz w:val="32"/>
          <w:szCs w:val="32"/>
        </w:rPr>
      </w:pPr>
    </w:p>
    <w:p w14:paraId="66F2BD18">
      <w:pPr>
        <w:widowControl/>
        <w:spacing w:line="499" w:lineRule="atLeast"/>
        <w:ind w:firstLine="1600"/>
        <w:rPr>
          <w:rFonts w:ascii="宋体" w:hAnsi="宋体" w:eastAsia="宋体" w:cs="宋体"/>
          <w:color w:val="000000"/>
          <w:sz w:val="32"/>
          <w:szCs w:val="32"/>
        </w:rPr>
      </w:pPr>
    </w:p>
    <w:p w14:paraId="2BD0BD06">
      <w:pPr>
        <w:widowControl/>
        <w:spacing w:line="499" w:lineRule="atLeast"/>
        <w:ind w:firstLine="1600"/>
        <w:rPr>
          <w:rFonts w:ascii="宋体" w:hAnsi="宋体" w:eastAsia="宋体" w:cs="宋体"/>
          <w:color w:val="000000"/>
          <w:sz w:val="32"/>
          <w:szCs w:val="32"/>
        </w:rPr>
      </w:pPr>
    </w:p>
    <w:p w14:paraId="6D1514E6">
      <w:pPr>
        <w:widowControl/>
        <w:spacing w:line="499" w:lineRule="atLeast"/>
        <w:ind w:firstLine="1600"/>
        <w:rPr>
          <w:rFonts w:ascii="宋体" w:hAnsi="宋体" w:eastAsia="宋体" w:cs="宋体"/>
          <w:color w:val="000000"/>
          <w:sz w:val="32"/>
          <w:szCs w:val="32"/>
        </w:rPr>
      </w:pPr>
    </w:p>
    <w:p w14:paraId="6C4E198D">
      <w:pPr>
        <w:widowControl/>
        <w:spacing w:line="499" w:lineRule="atLeast"/>
        <w:ind w:firstLine="1600"/>
        <w:rPr>
          <w:rFonts w:ascii="宋体" w:hAnsi="宋体" w:eastAsia="宋体" w:cs="宋体"/>
          <w:color w:val="000000"/>
          <w:sz w:val="32"/>
          <w:szCs w:val="32"/>
        </w:rPr>
      </w:pPr>
    </w:p>
    <w:p w14:paraId="493883D9">
      <w:pPr>
        <w:widowControl/>
        <w:spacing w:line="499" w:lineRule="atLeast"/>
        <w:ind w:firstLine="1600"/>
        <w:rPr>
          <w:rFonts w:ascii="宋体" w:hAnsi="宋体" w:eastAsia="宋体" w:cs="宋体"/>
          <w:color w:val="000000"/>
          <w:sz w:val="32"/>
          <w:szCs w:val="32"/>
        </w:rPr>
      </w:pPr>
    </w:p>
    <w:p w14:paraId="6F123E15">
      <w:pPr>
        <w:widowControl/>
        <w:spacing w:line="499" w:lineRule="atLeast"/>
        <w:ind w:firstLine="1600"/>
        <w:rPr>
          <w:rFonts w:ascii="宋体" w:hAnsi="宋体" w:eastAsia="宋体" w:cs="宋体"/>
          <w:color w:val="000000"/>
          <w:sz w:val="32"/>
          <w:szCs w:val="32"/>
        </w:rPr>
      </w:pPr>
    </w:p>
    <w:p w14:paraId="1065C1B8">
      <w:pPr>
        <w:widowControl/>
        <w:spacing w:line="499" w:lineRule="atLeast"/>
        <w:ind w:firstLine="1600"/>
        <w:rPr>
          <w:rFonts w:ascii="宋体" w:hAnsi="宋体" w:eastAsia="宋体" w:cs="宋体"/>
          <w:color w:val="000000"/>
          <w:sz w:val="32"/>
          <w:szCs w:val="32"/>
        </w:rPr>
      </w:pPr>
    </w:p>
    <w:p w14:paraId="7A728DF1">
      <w:pPr>
        <w:widowControl/>
        <w:spacing w:line="499" w:lineRule="atLeast"/>
        <w:ind w:firstLine="1600"/>
        <w:rPr>
          <w:rFonts w:ascii="宋体" w:hAnsi="宋体" w:eastAsia="宋体" w:cs="宋体"/>
          <w:sz w:val="24"/>
        </w:rPr>
      </w:pPr>
      <w:r>
        <w:rPr>
          <w:rFonts w:hint="eastAsia" w:ascii="宋体" w:hAnsi="宋体" w:eastAsia="宋体" w:cs="宋体"/>
          <w:color w:val="000000"/>
          <w:sz w:val="32"/>
          <w:szCs w:val="32"/>
        </w:rPr>
        <w:t>十</w:t>
      </w:r>
      <w:r>
        <w:rPr>
          <w:rFonts w:hint="eastAsia" w:ascii="宋体" w:hAnsi="宋体" w:eastAsia="宋体" w:cs="宋体"/>
          <w:color w:val="000000"/>
          <w:sz w:val="32"/>
          <w:szCs w:val="32"/>
          <w:lang w:val="en-US" w:eastAsia="zh-CN"/>
        </w:rPr>
        <w:t>八</w:t>
      </w:r>
      <w:r>
        <w:rPr>
          <w:rFonts w:hint="eastAsia" w:ascii="宋体" w:hAnsi="宋体" w:eastAsia="宋体" w:cs="宋体"/>
          <w:color w:val="000000"/>
          <w:sz w:val="32"/>
          <w:szCs w:val="32"/>
        </w:rPr>
        <w:t>、盐城市政府采购事前信用承诺书</w:t>
      </w:r>
    </w:p>
    <w:p w14:paraId="40884604">
      <w:pPr>
        <w:widowControl/>
        <w:spacing w:line="499" w:lineRule="atLeast"/>
        <w:ind w:firstLine="640"/>
        <w:jc w:val="left"/>
        <w:rPr>
          <w:rFonts w:ascii="宋体" w:hAnsi="宋体" w:eastAsia="宋体" w:cs="宋体"/>
          <w:sz w:val="24"/>
        </w:rPr>
      </w:pPr>
      <w:r>
        <w:rPr>
          <w:rFonts w:hint="eastAsia" w:ascii="宋体" w:hAnsi="宋体" w:eastAsia="宋体" w:cs="宋体"/>
          <w:color w:val="000000"/>
          <w:sz w:val="32"/>
          <w:szCs w:val="32"/>
        </w:rPr>
        <w:t> </w:t>
      </w:r>
    </w:p>
    <w:p w14:paraId="31EB3CB8">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为营造我市公开、公平、公正、诚实守信的政府采购交易环境，树立诚信守法的供应商形象，本人代表本单位作出以下承诺：</w:t>
      </w:r>
    </w:p>
    <w:p w14:paraId="50CADA54">
      <w:pPr>
        <w:widowControl/>
        <w:spacing w:line="499" w:lineRule="atLeast"/>
        <w:jc w:val="left"/>
        <w:rPr>
          <w:rFonts w:ascii="宋体" w:hAnsi="宋体" w:eastAsia="宋体" w:cs="宋体"/>
          <w:sz w:val="24"/>
        </w:rPr>
      </w:pPr>
      <w:r>
        <w:rPr>
          <w:rFonts w:hint="eastAsia" w:ascii="宋体" w:hAnsi="宋体" w:eastAsia="宋体" w:cs="宋体"/>
          <w:color w:val="000000"/>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203DEABC">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E68C193">
      <w:pPr>
        <w:widowControl/>
        <w:spacing w:line="499" w:lineRule="atLeast"/>
        <w:jc w:val="left"/>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p>
    <w:p w14:paraId="360B6637">
      <w:pPr>
        <w:widowControl/>
        <w:spacing w:line="499" w:lineRule="atLeast"/>
        <w:jc w:val="left"/>
        <w:rPr>
          <w:rFonts w:ascii="宋体" w:hAnsi="宋体" w:eastAsia="宋体" w:cs="宋体"/>
          <w:sz w:val="24"/>
        </w:rPr>
      </w:pPr>
      <w:r>
        <w:rPr>
          <w:rFonts w:hint="eastAsia" w:ascii="宋体" w:hAnsi="宋体" w:eastAsia="宋体" w:cs="宋体"/>
          <w:color w:val="000000"/>
          <w:sz w:val="24"/>
        </w:rPr>
        <w:t>  （四）严格遵守即时信息公示规定，及时维护和更新维护和更新盐城市政府采购网中与本单位相关的信息；</w:t>
      </w:r>
    </w:p>
    <w:p w14:paraId="405D9690">
      <w:pPr>
        <w:widowControl/>
        <w:spacing w:line="499" w:lineRule="atLeast"/>
        <w:jc w:val="left"/>
        <w:rPr>
          <w:rFonts w:ascii="宋体" w:hAnsi="宋体" w:eastAsia="宋体" w:cs="宋体"/>
          <w:sz w:val="24"/>
        </w:rPr>
      </w:pPr>
      <w:r>
        <w:rPr>
          <w:rFonts w:hint="eastAsia" w:ascii="宋体" w:hAnsi="宋体" w:eastAsia="宋体" w:cs="宋体"/>
          <w:color w:val="000000"/>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678DE1C8">
      <w:pPr>
        <w:widowControl/>
        <w:spacing w:line="499" w:lineRule="atLeast"/>
        <w:jc w:val="left"/>
        <w:rPr>
          <w:rFonts w:ascii="宋体" w:hAnsi="宋体" w:eastAsia="宋体" w:cs="宋体"/>
          <w:sz w:val="24"/>
        </w:rPr>
      </w:pPr>
      <w:r>
        <w:rPr>
          <w:rFonts w:hint="eastAsia" w:ascii="宋体" w:hAnsi="宋体" w:eastAsia="宋体" w:cs="宋体"/>
          <w:color w:val="000000"/>
          <w:sz w:val="24"/>
        </w:rPr>
        <w:t>  （六）自觉接受政府、行业组织、社会公众、新闻舆论的监督；</w:t>
      </w:r>
    </w:p>
    <w:p w14:paraId="55339B93">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4BB6368">
      <w:pPr>
        <w:widowControl/>
        <w:spacing w:line="499" w:lineRule="atLeast"/>
        <w:jc w:val="left"/>
        <w:rPr>
          <w:rFonts w:ascii="宋体" w:hAnsi="宋体" w:eastAsia="宋体" w:cs="宋体"/>
          <w:sz w:val="24"/>
        </w:rPr>
      </w:pPr>
      <w:r>
        <w:rPr>
          <w:rFonts w:hint="eastAsia" w:ascii="宋体" w:hAnsi="宋体" w:eastAsia="宋体" w:cs="宋体"/>
          <w:color w:val="000000"/>
          <w:sz w:val="24"/>
        </w:rPr>
        <w:t>  （八）本人已认真阅读了上述承诺，并向本单位员工作了宣传教育。</w:t>
      </w:r>
    </w:p>
    <w:p w14:paraId="462F4357">
      <w:pPr>
        <w:widowControl/>
        <w:spacing w:line="499" w:lineRule="atLeast"/>
        <w:jc w:val="left"/>
        <w:rPr>
          <w:rFonts w:ascii="宋体" w:hAnsi="宋体" w:eastAsia="宋体" w:cs="宋体"/>
          <w:color w:val="000000"/>
          <w:sz w:val="24"/>
        </w:rPr>
      </w:pPr>
      <w:r>
        <w:rPr>
          <w:rFonts w:hint="eastAsia" w:ascii="宋体" w:hAnsi="宋体" w:eastAsia="宋体" w:cs="宋体"/>
          <w:color w:val="000000"/>
          <w:sz w:val="24"/>
        </w:rPr>
        <w:t>                  </w:t>
      </w:r>
    </w:p>
    <w:p w14:paraId="6EC6DE5B">
      <w:pPr>
        <w:widowControl/>
        <w:spacing w:line="499" w:lineRule="atLeast"/>
        <w:ind w:firstLine="4560"/>
        <w:jc w:val="left"/>
        <w:rPr>
          <w:rFonts w:ascii="宋体" w:hAnsi="宋体" w:eastAsia="宋体" w:cs="宋体"/>
          <w:sz w:val="24"/>
        </w:rPr>
      </w:pPr>
      <w:r>
        <w:rPr>
          <w:rFonts w:hint="eastAsia" w:ascii="宋体" w:hAnsi="宋体" w:eastAsia="宋体" w:cs="宋体"/>
          <w:color w:val="000000"/>
          <w:sz w:val="24"/>
        </w:rPr>
        <w:t>法定代表人签名：</w:t>
      </w:r>
    </w:p>
    <w:p w14:paraId="0EEF8407">
      <w:pPr>
        <w:widowControl/>
        <w:spacing w:line="499" w:lineRule="atLeast"/>
        <w:jc w:val="center"/>
        <w:rPr>
          <w:rFonts w:ascii="宋体" w:hAnsi="宋体" w:eastAsia="宋体" w:cs="宋体"/>
          <w:sz w:val="24"/>
        </w:rPr>
      </w:pPr>
      <w:r>
        <w:rPr>
          <w:rFonts w:hint="eastAsia" w:ascii="宋体" w:hAnsi="宋体" w:eastAsia="宋体" w:cs="宋体"/>
          <w:color w:val="000000"/>
          <w:sz w:val="24"/>
        </w:rPr>
        <w:t>              单位名称（盖章）：</w:t>
      </w:r>
    </w:p>
    <w:p w14:paraId="4799CFDA">
      <w:pPr>
        <w:widowControl/>
        <w:spacing w:line="499" w:lineRule="atLeast"/>
        <w:jc w:val="center"/>
        <w:rPr>
          <w:rFonts w:ascii="宋体" w:hAnsi="宋体" w:eastAsia="宋体" w:cs="宋体"/>
          <w:sz w:val="24"/>
        </w:rPr>
      </w:pPr>
      <w:r>
        <w:rPr>
          <w:rFonts w:hint="eastAsia" w:ascii="宋体" w:hAnsi="宋体" w:eastAsia="宋体" w:cs="宋体"/>
          <w:color w:val="000000"/>
          <w:sz w:val="24"/>
        </w:rPr>
        <w:t>                                                 年  月  日</w:t>
      </w:r>
    </w:p>
    <w:bookmarkEnd w:id="31"/>
    <w:bookmarkEnd w:id="49"/>
    <w:bookmarkEnd w:id="96"/>
    <w:bookmarkEnd w:id="97"/>
    <w:bookmarkEnd w:id="98"/>
    <w:bookmarkEnd w:id="101"/>
    <w:bookmarkEnd w:id="102"/>
    <w:bookmarkEnd w:id="103"/>
    <w:bookmarkEnd w:id="104"/>
    <w:bookmarkEnd w:id="105"/>
    <w:bookmarkEnd w:id="106"/>
    <w:bookmarkEnd w:id="107"/>
    <w:bookmarkEnd w:id="108"/>
    <w:bookmarkEnd w:id="109"/>
    <w:bookmarkEnd w:id="110"/>
    <w:bookmarkEnd w:id="111"/>
    <w:bookmarkEnd w:id="112"/>
    <w:bookmarkEnd w:id="113"/>
    <w:bookmarkEnd w:id="118"/>
    <w:bookmarkEnd w:id="119"/>
    <w:bookmarkEnd w:id="120"/>
    <w:bookmarkEnd w:id="125"/>
    <w:bookmarkEnd w:id="126"/>
    <w:bookmarkEnd w:id="133"/>
    <w:bookmarkEnd w:id="187"/>
    <w:bookmarkEnd w:id="190"/>
    <w:bookmarkEnd w:id="194"/>
    <w:bookmarkEnd w:id="195"/>
    <w:bookmarkEnd w:id="197"/>
    <w:bookmarkEnd w:id="198"/>
    <w:bookmarkEnd w:id="199"/>
    <w:bookmarkEnd w:id="200"/>
    <w:bookmarkEnd w:id="209"/>
    <w:bookmarkEnd w:id="210"/>
    <w:bookmarkEnd w:id="211"/>
    <w:bookmarkEnd w:id="212"/>
    <w:bookmarkEnd w:id="213"/>
    <w:p w14:paraId="43DD33C8">
      <w:pPr>
        <w:pStyle w:val="30"/>
        <w:spacing w:beforeAutospacing="0" w:afterAutospacing="0"/>
        <w:jc w:val="center"/>
      </w:pPr>
    </w:p>
    <w:p w14:paraId="507991AE"/>
    <w:p w14:paraId="674175E1">
      <w:pPr>
        <w:pStyle w:val="30"/>
        <w:spacing w:beforeAutospacing="0" w:afterAutospacing="0" w:line="500" w:lineRule="exact"/>
        <w:jc w:val="center"/>
        <w:rPr>
          <w:rFonts w:ascii="宋体" w:hAnsi="宋体" w:eastAsia="宋体" w:cs="宋体"/>
          <w:b/>
          <w:color w:val="000000"/>
          <w:sz w:val="32"/>
          <w:szCs w:val="32"/>
        </w:rPr>
      </w:pPr>
      <w:r>
        <w:rPr>
          <w:rFonts w:hint="eastAsia" w:ascii="宋体" w:hAnsi="宋体" w:eastAsia="宋体" w:cs="宋体"/>
          <w:b/>
          <w:color w:val="000000"/>
          <w:sz w:val="32"/>
          <w:szCs w:val="32"/>
        </w:rPr>
        <w:t>质疑函范本</w:t>
      </w:r>
    </w:p>
    <w:p w14:paraId="1630669C">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一、质疑供应商基本信息</w:t>
      </w:r>
    </w:p>
    <w:p w14:paraId="072B65C3">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质疑供应商：</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61947350">
      <w:pPr>
        <w:pStyle w:val="30"/>
        <w:spacing w:beforeAutospacing="0" w:afterAutospacing="0" w:line="500" w:lineRule="exact"/>
        <w:jc w:val="both"/>
        <w:rPr>
          <w:rFonts w:ascii="宋体" w:hAnsi="宋体" w:eastAsia="宋体" w:cs="宋体"/>
          <w:color w:val="000000"/>
          <w:u w:val="single"/>
        </w:rPr>
      </w:pPr>
      <w:r>
        <w:rPr>
          <w:rFonts w:hint="eastAsia" w:ascii="宋体" w:hAnsi="宋体" w:eastAsia="宋体" w:cs="宋体"/>
          <w:color w:val="000000"/>
        </w:rPr>
        <w:t>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19A17C7D">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3B9E2959">
      <w:pPr>
        <w:pStyle w:val="30"/>
        <w:spacing w:beforeAutospacing="0" w:afterAutospacing="0" w:line="500" w:lineRule="exact"/>
        <w:jc w:val="both"/>
        <w:rPr>
          <w:rFonts w:ascii="宋体" w:hAnsi="宋体" w:eastAsia="宋体" w:cs="宋体"/>
          <w:color w:val="000000"/>
          <w:u w:val="single"/>
        </w:rPr>
      </w:pPr>
      <w:r>
        <w:rPr>
          <w:rFonts w:hint="eastAsia" w:ascii="宋体" w:hAnsi="宋体" w:eastAsia="宋体" w:cs="宋体"/>
          <w:color w:val="000000"/>
        </w:rPr>
        <w:t>联系人：</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7451577A">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xml:space="preserve">                                     </w:t>
      </w:r>
    </w:p>
    <w:p w14:paraId="76D48425">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授权代表：</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7359FFB7">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00CEE1A8">
      <w:pPr>
        <w:pStyle w:val="30"/>
        <w:spacing w:beforeAutospacing="0" w:afterAutospacing="0" w:line="500" w:lineRule="exact"/>
        <w:jc w:val="both"/>
        <w:rPr>
          <w:rFonts w:ascii="宋体" w:hAnsi="宋体" w:eastAsia="宋体" w:cs="宋体"/>
          <w:color w:val="000000"/>
          <w:u w:val="single"/>
        </w:rPr>
      </w:pPr>
      <w:r>
        <w:rPr>
          <w:rFonts w:hint="eastAsia" w:ascii="宋体" w:hAnsi="宋体" w:eastAsia="宋体" w:cs="宋体"/>
          <w:color w:val="000000"/>
        </w:rPr>
        <w:t>地址： </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296D2F11">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xml:space="preserve">                                        </w:t>
      </w:r>
    </w:p>
    <w:p w14:paraId="204DB389">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二、质疑项目基本情况</w:t>
      </w:r>
    </w:p>
    <w:p w14:paraId="0FD1C11A">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质疑项目的名称：</w:t>
      </w:r>
      <w:r>
        <w:rPr>
          <w:rFonts w:hint="eastAsia" w:ascii="宋体" w:hAnsi="宋体" w:eastAsia="宋体" w:cs="宋体"/>
          <w:color w:val="000000"/>
          <w:u w:val="single"/>
        </w:rPr>
        <w:t xml:space="preserve">                            </w:t>
      </w:r>
    </w:p>
    <w:p w14:paraId="1723729F">
      <w:pPr>
        <w:pStyle w:val="30"/>
        <w:spacing w:beforeAutospacing="0" w:afterAutospacing="0" w:line="500" w:lineRule="exact"/>
        <w:jc w:val="both"/>
        <w:rPr>
          <w:rFonts w:ascii="宋体" w:hAnsi="宋体" w:eastAsia="宋体" w:cs="宋体"/>
          <w:color w:val="000000"/>
          <w:u w:val="single"/>
        </w:rPr>
      </w:pPr>
      <w:r>
        <w:rPr>
          <w:rFonts w:hint="eastAsia" w:ascii="宋体" w:hAnsi="宋体" w:eastAsia="宋体" w:cs="宋体"/>
          <w:color w:val="000000"/>
        </w:rPr>
        <w:t>质疑项目的编号：</w:t>
      </w:r>
      <w:r>
        <w:rPr>
          <w:rFonts w:hint="eastAsia" w:ascii="宋体" w:hAnsi="宋体" w:eastAsia="宋体" w:cs="宋体"/>
          <w:color w:val="000000"/>
          <w:u w:val="single"/>
        </w:rPr>
        <w:t xml:space="preserve">                            </w:t>
      </w:r>
    </w:p>
    <w:p w14:paraId="01D47EAF">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182BA181">
      <w:pPr>
        <w:pStyle w:val="30"/>
        <w:spacing w:beforeAutospacing="0" w:afterAutospacing="0" w:line="500" w:lineRule="exact"/>
        <w:jc w:val="both"/>
        <w:rPr>
          <w:rFonts w:hint="eastAsia" w:ascii="宋体" w:hAnsi="宋体" w:eastAsia="宋体" w:cs="宋体"/>
          <w:color w:val="000000"/>
          <w:u w:val="single"/>
        </w:rPr>
      </w:pPr>
      <w:r>
        <w:rPr>
          <w:rFonts w:hint="eastAsia" w:ascii="宋体" w:hAnsi="宋体" w:eastAsia="宋体" w:cs="宋体"/>
          <w:color w:val="000000"/>
        </w:rPr>
        <w:t>采购人名称：</w:t>
      </w:r>
      <w:r>
        <w:rPr>
          <w:rFonts w:hint="eastAsia" w:ascii="宋体" w:hAnsi="宋体" w:eastAsia="宋体" w:cs="宋体"/>
          <w:color w:val="000000"/>
          <w:u w:val="single"/>
        </w:rPr>
        <w:t xml:space="preserve">                                 </w:t>
      </w:r>
    </w:p>
    <w:p w14:paraId="546C63C3">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采购文件获取日期：</w:t>
      </w:r>
      <w:r>
        <w:rPr>
          <w:rFonts w:hint="eastAsia" w:ascii="宋体" w:hAnsi="宋体" w:eastAsia="宋体" w:cs="宋体"/>
          <w:color w:val="000000"/>
          <w:u w:val="single"/>
        </w:rPr>
        <w:t>                          </w:t>
      </w:r>
    </w:p>
    <w:p w14:paraId="729F02EC">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三、质疑事项具体内容</w:t>
      </w:r>
    </w:p>
    <w:p w14:paraId="2DB7C243">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质疑事项1：</w:t>
      </w:r>
      <w:r>
        <w:rPr>
          <w:rFonts w:hint="eastAsia" w:ascii="宋体" w:hAnsi="宋体" w:eastAsia="宋体" w:cs="宋体"/>
          <w:color w:val="000000"/>
          <w:u w:val="single"/>
        </w:rPr>
        <w:t xml:space="preserve">                             </w:t>
      </w:r>
    </w:p>
    <w:p w14:paraId="516E5BC6">
      <w:pPr>
        <w:pStyle w:val="30"/>
        <w:spacing w:beforeAutospacing="0" w:afterAutospacing="0" w:line="500" w:lineRule="exact"/>
        <w:rPr>
          <w:rFonts w:ascii="宋体" w:hAnsi="宋体" w:eastAsia="宋体" w:cs="宋体"/>
        </w:rPr>
      </w:pPr>
      <w:r>
        <w:rPr>
          <w:rFonts w:hint="eastAsia" w:ascii="宋体" w:hAnsi="宋体" w:eastAsia="宋体" w:cs="宋体"/>
          <w:color w:val="000000"/>
        </w:rPr>
        <w:t>事实依据：</w:t>
      </w:r>
      <w:r>
        <w:rPr>
          <w:rFonts w:hint="eastAsia" w:ascii="宋体" w:hAnsi="宋体" w:eastAsia="宋体" w:cs="宋体"/>
          <w:color w:val="000000"/>
          <w:u w:val="single"/>
        </w:rPr>
        <w:t xml:space="preserve">                                                   </w:t>
      </w:r>
    </w:p>
    <w:p w14:paraId="043787A9">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法律依据：</w:t>
      </w:r>
      <w:r>
        <w:rPr>
          <w:rFonts w:hint="eastAsia" w:ascii="宋体" w:hAnsi="宋体" w:eastAsia="宋体" w:cs="宋体"/>
          <w:color w:val="000000"/>
          <w:u w:val="single"/>
        </w:rPr>
        <w:t xml:space="preserve">                                                    </w:t>
      </w:r>
    </w:p>
    <w:p w14:paraId="694865A0">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质疑事项2</w:t>
      </w:r>
    </w:p>
    <w:p w14:paraId="757FA427">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w:t>
      </w:r>
    </w:p>
    <w:p w14:paraId="62B65CB8">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四、与质疑事项相关的质疑请求</w:t>
      </w:r>
    </w:p>
    <w:p w14:paraId="555FA7AF">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请求：</w:t>
      </w:r>
      <w:r>
        <w:rPr>
          <w:rFonts w:hint="eastAsia" w:ascii="宋体" w:hAnsi="宋体" w:eastAsia="宋体" w:cs="宋体"/>
          <w:color w:val="000000"/>
          <w:u w:val="single"/>
        </w:rPr>
        <w:t xml:space="preserve">                                                          </w:t>
      </w:r>
    </w:p>
    <w:p w14:paraId="4310F982">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 xml:space="preserve">签字(签章)：                 公章：               日期：    </w:t>
      </w:r>
    </w:p>
    <w:p w14:paraId="42C84477">
      <w:pPr>
        <w:pStyle w:val="30"/>
        <w:spacing w:beforeAutospacing="0" w:afterAutospacing="0" w:line="500" w:lineRule="exact"/>
        <w:jc w:val="both"/>
        <w:rPr>
          <w:rFonts w:ascii="宋体" w:hAnsi="宋体" w:eastAsia="宋体" w:cs="宋体"/>
          <w:b/>
          <w:color w:val="000000"/>
        </w:rPr>
      </w:pPr>
    </w:p>
    <w:p w14:paraId="131A3493">
      <w:pPr>
        <w:pStyle w:val="30"/>
        <w:spacing w:beforeAutospacing="0" w:afterAutospacing="0" w:line="500" w:lineRule="exact"/>
        <w:jc w:val="both"/>
        <w:rPr>
          <w:rFonts w:ascii="宋体" w:hAnsi="宋体" w:eastAsia="宋体" w:cs="宋体"/>
        </w:rPr>
      </w:pPr>
      <w:r>
        <w:rPr>
          <w:rFonts w:hint="eastAsia" w:ascii="宋体" w:hAnsi="宋体" w:eastAsia="宋体" w:cs="宋体"/>
          <w:b/>
          <w:color w:val="000000"/>
        </w:rPr>
        <w:t>质疑函制作说明：</w:t>
      </w:r>
    </w:p>
    <w:p w14:paraId="3E9CA250">
      <w:pPr>
        <w:pStyle w:val="30"/>
        <w:widowControl/>
        <w:spacing w:beforeAutospacing="0" w:afterAutospacing="0" w:line="500" w:lineRule="exact"/>
        <w:ind w:firstLine="480"/>
        <w:rPr>
          <w:rFonts w:ascii="宋体" w:hAnsi="宋体" w:eastAsia="宋体" w:cs="宋体"/>
        </w:rPr>
      </w:pPr>
      <w:r>
        <w:rPr>
          <w:rFonts w:hint="eastAsia" w:ascii="宋体" w:hAnsi="宋体" w:eastAsia="宋体" w:cs="宋体"/>
          <w:color w:val="000000"/>
        </w:rPr>
        <w:t>1.供应商提出质疑时，应提交质疑函和必要的证明材料。</w:t>
      </w:r>
    </w:p>
    <w:p w14:paraId="62DAF5B2">
      <w:pPr>
        <w:pStyle w:val="30"/>
        <w:widowControl/>
        <w:spacing w:beforeAutospacing="0" w:afterAutospacing="0" w:line="500" w:lineRule="exact"/>
        <w:ind w:firstLine="480"/>
        <w:rPr>
          <w:rFonts w:ascii="宋体" w:hAnsi="宋体" w:eastAsia="宋体" w:cs="宋体"/>
        </w:rPr>
      </w:pPr>
      <w:r>
        <w:rPr>
          <w:rFonts w:hint="eastAsia" w:ascii="宋体" w:hAnsi="宋体" w:eastAsia="宋体"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901294F">
      <w:pPr>
        <w:pStyle w:val="30"/>
        <w:widowControl/>
        <w:spacing w:beforeAutospacing="0" w:afterAutospacing="0" w:line="500" w:lineRule="exact"/>
        <w:ind w:firstLine="480"/>
        <w:rPr>
          <w:rFonts w:ascii="宋体" w:hAnsi="宋体" w:eastAsia="宋体" w:cs="宋体"/>
        </w:rPr>
      </w:pPr>
      <w:r>
        <w:rPr>
          <w:rFonts w:hint="eastAsia" w:ascii="宋体" w:hAnsi="宋体" w:eastAsia="宋体" w:cs="宋体"/>
          <w:color w:val="000000"/>
        </w:rPr>
        <w:t>3.质疑供应商若对项目的某一分包进行质疑，质疑函中应列明具体分包号。</w:t>
      </w:r>
    </w:p>
    <w:p w14:paraId="4D15E5B3">
      <w:pPr>
        <w:pStyle w:val="30"/>
        <w:widowControl/>
        <w:spacing w:beforeAutospacing="0" w:afterAutospacing="0" w:line="500" w:lineRule="exact"/>
        <w:ind w:firstLine="480"/>
        <w:rPr>
          <w:rFonts w:ascii="宋体" w:hAnsi="宋体" w:eastAsia="宋体" w:cs="宋体"/>
        </w:rPr>
      </w:pPr>
      <w:r>
        <w:rPr>
          <w:rFonts w:hint="eastAsia" w:ascii="宋体" w:hAnsi="宋体" w:eastAsia="宋体" w:cs="宋体"/>
          <w:color w:val="000000"/>
        </w:rPr>
        <w:t>4.质疑函的质疑事项应具体、明确，并有必要的事实依据和法律依据。</w:t>
      </w:r>
    </w:p>
    <w:p w14:paraId="33030A4C">
      <w:pPr>
        <w:pStyle w:val="30"/>
        <w:widowControl/>
        <w:spacing w:beforeAutospacing="0" w:afterAutospacing="0" w:line="500" w:lineRule="exact"/>
        <w:ind w:firstLine="480"/>
        <w:rPr>
          <w:rFonts w:ascii="宋体" w:hAnsi="宋体" w:eastAsia="宋体" w:cs="宋体"/>
        </w:rPr>
      </w:pPr>
      <w:r>
        <w:rPr>
          <w:rFonts w:hint="eastAsia" w:ascii="宋体" w:hAnsi="宋体" w:eastAsia="宋体" w:cs="宋体"/>
          <w:color w:val="000000"/>
        </w:rPr>
        <w:t>5.质疑函的质疑请求应与质疑事项相关。</w:t>
      </w:r>
    </w:p>
    <w:p w14:paraId="3B995807">
      <w:pPr>
        <w:pStyle w:val="30"/>
        <w:widowControl/>
        <w:spacing w:beforeAutospacing="0" w:afterAutospacing="0" w:line="500" w:lineRule="exact"/>
        <w:ind w:firstLine="480"/>
        <w:rPr>
          <w:rFonts w:ascii="宋体" w:hAnsi="宋体" w:eastAsia="宋体" w:cs="宋体"/>
        </w:rPr>
      </w:pPr>
      <w:r>
        <w:rPr>
          <w:rFonts w:hint="eastAsia" w:ascii="宋体" w:hAnsi="宋体" w:eastAsia="宋体" w:cs="宋体"/>
          <w:color w:val="000000"/>
        </w:rPr>
        <w:t>6.质疑供应商为自然人的，质疑函应由本人签字；质疑供应商为法人或者其他组织的，质疑函应由法定代表人、主要负责人，或者其授权代表签字或者盖章，并加盖公章。</w:t>
      </w:r>
    </w:p>
    <w:p w14:paraId="1C33C719"/>
    <w:sectPr>
      <w:footerReference r:id="rId3" w:type="default"/>
      <w:pgSz w:w="11906" w:h="16838"/>
      <w:pgMar w:top="1440" w:right="1417" w:bottom="1440" w:left="1417"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47719">
    <w:pPr>
      <w:pStyle w:val="1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7B4B1E08">
                          <w:pPr>
                            <w:pStyle w:val="19"/>
                          </w:pPr>
                          <w:r>
                            <w:fldChar w:fldCharType="begin"/>
                          </w:r>
                          <w:r>
                            <w:instrText xml:space="preserve"> PAGE  \* MERGEFORMAT </w:instrText>
                          </w:r>
                          <w:r>
                            <w:fldChar w:fldCharType="separate"/>
                          </w:r>
                          <w:r>
                            <w:t>27</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&#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WRAu+1QEAALEDAAAOAAAAAAAAAAEAIAAAAB4B&#10;AABkcnMvZTJvRG9jLnhtbFBLBQYAAAAABgAGAFkBAABlBQAAAAA=&#10;">
              <v:fill on="f" focussize="0,0"/>
              <v:stroke on="f" joinstyle="miter"/>
              <v:imagedata o:title=""/>
              <o:lock v:ext="edit" aspectratio="f"/>
              <v:textbox inset="0mm,0mm,0mm,0mm" style="mso-fit-shape-to-text:t;">
                <w:txbxContent>
                  <w:p w14:paraId="7B4B1E08">
                    <w:pPr>
                      <w:pStyle w:val="19"/>
                    </w:pPr>
                    <w:r>
                      <w:fldChar w:fldCharType="begin"/>
                    </w:r>
                    <w:r>
                      <w:instrText xml:space="preserve"> PAGE  \* MERGEFORMAT </w:instrText>
                    </w:r>
                    <w:r>
                      <w:fldChar w:fldCharType="separate"/>
                    </w:r>
                    <w:r>
                      <w:t>27</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CD5DBB"/>
    <w:multiLevelType w:val="singleLevel"/>
    <w:tmpl w:val="8ACD5DBB"/>
    <w:lvl w:ilvl="0" w:tentative="0">
      <w:start w:val="1"/>
      <w:numFmt w:val="chineseCounting"/>
      <w:suff w:val="nothing"/>
      <w:lvlText w:val="%1、"/>
      <w:lvlJc w:val="left"/>
      <w:rPr>
        <w:rFonts w:hint="eastAsia"/>
      </w:rPr>
    </w:lvl>
  </w:abstractNum>
  <w:abstractNum w:abstractNumId="1">
    <w:nsid w:val="97B98534"/>
    <w:multiLevelType w:val="singleLevel"/>
    <w:tmpl w:val="97B98534"/>
    <w:lvl w:ilvl="0" w:tentative="0">
      <w:start w:val="1"/>
      <w:numFmt w:val="decimal"/>
      <w:lvlText w:val="%1."/>
      <w:lvlJc w:val="left"/>
      <w:pPr>
        <w:tabs>
          <w:tab w:val="left" w:pos="312"/>
        </w:tabs>
      </w:pPr>
    </w:lvl>
  </w:abstractNum>
  <w:abstractNum w:abstractNumId="2">
    <w:nsid w:val="CF092B84"/>
    <w:multiLevelType w:val="multilevel"/>
    <w:tmpl w:val="CF092B84"/>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japaneseCounting"/>
      <w:lvlText w:val="第%1章"/>
      <w:lvlJc w:val="left"/>
      <w:pPr>
        <w:ind w:left="3114" w:hanging="420"/>
      </w:pPr>
      <w:rPr>
        <w:rFonts w:hint="eastAsia" w:ascii="黑体" w:eastAsia="黑体"/>
        <w:b w:val="0"/>
        <w:sz w:val="36"/>
        <w:lang w:val="en-US"/>
      </w:rPr>
    </w:lvl>
    <w:lvl w:ilvl="1" w:tentative="0">
      <w:start w:val="1"/>
      <w:numFmt w:val="decimal"/>
      <w:lvlText w:val="%1.%2"/>
      <w:lvlJc w:val="left"/>
      <w:pPr>
        <w:tabs>
          <w:tab w:val="left" w:pos="851"/>
        </w:tabs>
        <w:ind w:left="0" w:firstLine="0"/>
      </w:pPr>
      <w:rPr>
        <w:rFonts w:cs="Times New Roman"/>
        <w:b w:val="0"/>
        <w:bCs w:val="0"/>
        <w:i w:val="0"/>
        <w:iCs w:val="0"/>
        <w:caps w:val="0"/>
        <w:smallCaps w:val="0"/>
        <w:strike w:val="0"/>
        <w:vanish w:val="0"/>
        <w:spacing w:val="0"/>
        <w:position w:val="0"/>
        <w:u w:val="none"/>
        <w:vertAlign w:val="baseline"/>
      </w:rPr>
    </w:lvl>
    <w:lvl w:ilvl="2" w:tentative="0">
      <w:start w:val="1"/>
      <w:numFmt w:val="decimal"/>
      <w:pStyle w:val="194"/>
      <w:lvlText w:val="%1.%2.%3"/>
      <w:lvlJc w:val="left"/>
      <w:pPr>
        <w:tabs>
          <w:tab w:val="left" w:pos="993"/>
        </w:tabs>
        <w:ind w:left="142" w:firstLine="0"/>
      </w:pPr>
      <w:rPr>
        <w:rFonts w:cs="Times New Roman"/>
        <w:b w:val="0"/>
        <w:bCs w:val="0"/>
        <w:i w:val="0"/>
        <w:iCs w:val="0"/>
        <w:caps w:val="0"/>
        <w:smallCaps w:val="0"/>
        <w:strike w:val="0"/>
        <w:vanish w:val="0"/>
        <w:color w:val="000000"/>
        <w:spacing w:val="0"/>
        <w:position w:val="0"/>
        <w:u w:val="none"/>
        <w:vertAlign w:val="baseline"/>
      </w:rPr>
    </w:lvl>
    <w:lvl w:ilvl="3" w:tentative="0">
      <w:start w:val="1"/>
      <w:numFmt w:val="decima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4">
    <w:nsid w:val="531C9455"/>
    <w:multiLevelType w:val="singleLevel"/>
    <w:tmpl w:val="531C9455"/>
    <w:lvl w:ilvl="0" w:tentative="0">
      <w:start w:val="1"/>
      <w:numFmt w:val="decimal"/>
      <w:lvlText w:val="%1."/>
      <w:lvlJc w:val="left"/>
      <w:pPr>
        <w:tabs>
          <w:tab w:val="left" w:pos="312"/>
        </w:tabs>
      </w:pPr>
    </w:lvl>
  </w:abstractNum>
  <w:abstractNum w:abstractNumId="5">
    <w:nsid w:val="642BD851"/>
    <w:multiLevelType w:val="singleLevel"/>
    <w:tmpl w:val="642BD851"/>
    <w:lvl w:ilvl="0" w:tentative="0">
      <w:start w:val="1"/>
      <w:numFmt w:val="decimal"/>
      <w:lvlText w:val="%1."/>
      <w:lvlJc w:val="left"/>
      <w:pPr>
        <w:tabs>
          <w:tab w:val="left" w:pos="312"/>
        </w:tabs>
      </w:pPr>
    </w:lvl>
  </w:abstractNum>
  <w:abstractNum w:abstractNumId="6">
    <w:nsid w:val="66531F8E"/>
    <w:multiLevelType w:val="singleLevel"/>
    <w:tmpl w:val="66531F8E"/>
    <w:lvl w:ilvl="0" w:tentative="0">
      <w:start w:val="1"/>
      <w:numFmt w:val="decimal"/>
      <w:lvlText w:val="%1."/>
      <w:lvlJc w:val="left"/>
      <w:pPr>
        <w:tabs>
          <w:tab w:val="left" w:pos="312"/>
        </w:tabs>
      </w:pPr>
    </w:lvl>
  </w:abstractNum>
  <w:num w:numId="1">
    <w:abstractNumId w:val="3"/>
  </w:num>
  <w:num w:numId="2">
    <w:abstractNumId w:val="2"/>
  </w:num>
  <w:num w:numId="3">
    <w:abstractNumId w:val="0"/>
  </w:num>
  <w:num w:numId="4">
    <w:abstractNumId w:val="6"/>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66582"/>
    <w:rsid w:val="00E536C6"/>
    <w:rsid w:val="010234E1"/>
    <w:rsid w:val="01B73BF6"/>
    <w:rsid w:val="01C963F3"/>
    <w:rsid w:val="028D069F"/>
    <w:rsid w:val="035565DF"/>
    <w:rsid w:val="03E551B1"/>
    <w:rsid w:val="041901C7"/>
    <w:rsid w:val="051E6B86"/>
    <w:rsid w:val="06251D35"/>
    <w:rsid w:val="070C393C"/>
    <w:rsid w:val="077E1A2E"/>
    <w:rsid w:val="08572188"/>
    <w:rsid w:val="08663767"/>
    <w:rsid w:val="08F05D16"/>
    <w:rsid w:val="0A371065"/>
    <w:rsid w:val="0A3B0479"/>
    <w:rsid w:val="0AD4536C"/>
    <w:rsid w:val="0B564DE3"/>
    <w:rsid w:val="0B835865"/>
    <w:rsid w:val="0BE2687F"/>
    <w:rsid w:val="0CC86532"/>
    <w:rsid w:val="0D270DA4"/>
    <w:rsid w:val="0E2C2973"/>
    <w:rsid w:val="0E4E0472"/>
    <w:rsid w:val="0EF1013F"/>
    <w:rsid w:val="0EF61A7C"/>
    <w:rsid w:val="0F6516C0"/>
    <w:rsid w:val="0F7729A5"/>
    <w:rsid w:val="101831FE"/>
    <w:rsid w:val="104650B3"/>
    <w:rsid w:val="10BE3107"/>
    <w:rsid w:val="10BE35D6"/>
    <w:rsid w:val="112D091C"/>
    <w:rsid w:val="11472E91"/>
    <w:rsid w:val="125A2DC2"/>
    <w:rsid w:val="12615F79"/>
    <w:rsid w:val="128D655F"/>
    <w:rsid w:val="12BB08EF"/>
    <w:rsid w:val="133E0061"/>
    <w:rsid w:val="1351121B"/>
    <w:rsid w:val="13CB7DA9"/>
    <w:rsid w:val="14F24D87"/>
    <w:rsid w:val="158B2DDA"/>
    <w:rsid w:val="15AF10D3"/>
    <w:rsid w:val="16935C5B"/>
    <w:rsid w:val="170F370F"/>
    <w:rsid w:val="171E6FBD"/>
    <w:rsid w:val="172300FC"/>
    <w:rsid w:val="17417AEF"/>
    <w:rsid w:val="18FF72C5"/>
    <w:rsid w:val="19443752"/>
    <w:rsid w:val="1BCE1F5E"/>
    <w:rsid w:val="1C3C4628"/>
    <w:rsid w:val="1C6C450E"/>
    <w:rsid w:val="1C74338D"/>
    <w:rsid w:val="1C7D72E5"/>
    <w:rsid w:val="1D281ACC"/>
    <w:rsid w:val="1D8D3608"/>
    <w:rsid w:val="1DB878B6"/>
    <w:rsid w:val="1F935837"/>
    <w:rsid w:val="1FCC441A"/>
    <w:rsid w:val="20C80D97"/>
    <w:rsid w:val="20FD531A"/>
    <w:rsid w:val="21316D8A"/>
    <w:rsid w:val="217A2579"/>
    <w:rsid w:val="223903FC"/>
    <w:rsid w:val="223D404A"/>
    <w:rsid w:val="22720F54"/>
    <w:rsid w:val="232A43C0"/>
    <w:rsid w:val="23643669"/>
    <w:rsid w:val="236E38EB"/>
    <w:rsid w:val="236E735E"/>
    <w:rsid w:val="237F2917"/>
    <w:rsid w:val="238705A1"/>
    <w:rsid w:val="23A60E0B"/>
    <w:rsid w:val="23E427C1"/>
    <w:rsid w:val="242B73C9"/>
    <w:rsid w:val="24487D18"/>
    <w:rsid w:val="24FA15EA"/>
    <w:rsid w:val="25E30A00"/>
    <w:rsid w:val="26DB6625"/>
    <w:rsid w:val="28793E20"/>
    <w:rsid w:val="29F117B6"/>
    <w:rsid w:val="2A5F0DF4"/>
    <w:rsid w:val="2A727F33"/>
    <w:rsid w:val="2A8C77A4"/>
    <w:rsid w:val="2B09306B"/>
    <w:rsid w:val="2B473D61"/>
    <w:rsid w:val="2BAD2BE8"/>
    <w:rsid w:val="2C751480"/>
    <w:rsid w:val="2CB5038F"/>
    <w:rsid w:val="2CD21D51"/>
    <w:rsid w:val="2DBE51AD"/>
    <w:rsid w:val="2FD951A4"/>
    <w:rsid w:val="309923A3"/>
    <w:rsid w:val="31055B35"/>
    <w:rsid w:val="318067AF"/>
    <w:rsid w:val="31E83DC4"/>
    <w:rsid w:val="34356192"/>
    <w:rsid w:val="35515AEC"/>
    <w:rsid w:val="358944C3"/>
    <w:rsid w:val="372A4BCE"/>
    <w:rsid w:val="379D4EC7"/>
    <w:rsid w:val="37C678CE"/>
    <w:rsid w:val="37D66019"/>
    <w:rsid w:val="38430470"/>
    <w:rsid w:val="38466369"/>
    <w:rsid w:val="38AA2ADE"/>
    <w:rsid w:val="39887DE9"/>
    <w:rsid w:val="3A323E2F"/>
    <w:rsid w:val="3AA765CB"/>
    <w:rsid w:val="3AF62806"/>
    <w:rsid w:val="3B3442EE"/>
    <w:rsid w:val="3BB93A0B"/>
    <w:rsid w:val="3C4E6003"/>
    <w:rsid w:val="3E3F40D5"/>
    <w:rsid w:val="3F122481"/>
    <w:rsid w:val="3F764649"/>
    <w:rsid w:val="40104C12"/>
    <w:rsid w:val="40523956"/>
    <w:rsid w:val="40C7454F"/>
    <w:rsid w:val="4126103D"/>
    <w:rsid w:val="42AE62F4"/>
    <w:rsid w:val="42C54C93"/>
    <w:rsid w:val="42C83582"/>
    <w:rsid w:val="43B74319"/>
    <w:rsid w:val="43CF02A3"/>
    <w:rsid w:val="449A532C"/>
    <w:rsid w:val="44BB570B"/>
    <w:rsid w:val="44CE6128"/>
    <w:rsid w:val="452D0213"/>
    <w:rsid w:val="452F64A4"/>
    <w:rsid w:val="468B10D8"/>
    <w:rsid w:val="46D92D43"/>
    <w:rsid w:val="473176DF"/>
    <w:rsid w:val="475446B7"/>
    <w:rsid w:val="47D96E26"/>
    <w:rsid w:val="481E6794"/>
    <w:rsid w:val="48260A51"/>
    <w:rsid w:val="48F618EF"/>
    <w:rsid w:val="49CD507B"/>
    <w:rsid w:val="49FA5FEB"/>
    <w:rsid w:val="4A013348"/>
    <w:rsid w:val="4AF45F04"/>
    <w:rsid w:val="4C124959"/>
    <w:rsid w:val="4C274B6F"/>
    <w:rsid w:val="4C3F354D"/>
    <w:rsid w:val="4C694538"/>
    <w:rsid w:val="4C9E59C5"/>
    <w:rsid w:val="4CA138D5"/>
    <w:rsid w:val="4CD95B36"/>
    <w:rsid w:val="4E4D5283"/>
    <w:rsid w:val="4EAE256E"/>
    <w:rsid w:val="4EF75219"/>
    <w:rsid w:val="4F23614C"/>
    <w:rsid w:val="4F45166E"/>
    <w:rsid w:val="50617CC2"/>
    <w:rsid w:val="50FF2CB0"/>
    <w:rsid w:val="51076B31"/>
    <w:rsid w:val="51E6586D"/>
    <w:rsid w:val="520317EE"/>
    <w:rsid w:val="52072E31"/>
    <w:rsid w:val="52350508"/>
    <w:rsid w:val="52743453"/>
    <w:rsid w:val="528079D5"/>
    <w:rsid w:val="5303061C"/>
    <w:rsid w:val="536606C7"/>
    <w:rsid w:val="543C792C"/>
    <w:rsid w:val="55522F39"/>
    <w:rsid w:val="56621F5B"/>
    <w:rsid w:val="56DD0917"/>
    <w:rsid w:val="57473F16"/>
    <w:rsid w:val="578441F8"/>
    <w:rsid w:val="5AD93393"/>
    <w:rsid w:val="5B132840"/>
    <w:rsid w:val="5B345778"/>
    <w:rsid w:val="5B345801"/>
    <w:rsid w:val="5C1D674E"/>
    <w:rsid w:val="5C2B17B0"/>
    <w:rsid w:val="5C85362A"/>
    <w:rsid w:val="5C8E0E3D"/>
    <w:rsid w:val="5CAB5170"/>
    <w:rsid w:val="5D681792"/>
    <w:rsid w:val="5E0E058B"/>
    <w:rsid w:val="5E3D202C"/>
    <w:rsid w:val="5E6727C1"/>
    <w:rsid w:val="5F122698"/>
    <w:rsid w:val="60BC2FBB"/>
    <w:rsid w:val="60C34F31"/>
    <w:rsid w:val="61384047"/>
    <w:rsid w:val="615B03DB"/>
    <w:rsid w:val="61C21AE9"/>
    <w:rsid w:val="63035AB9"/>
    <w:rsid w:val="63307784"/>
    <w:rsid w:val="63606722"/>
    <w:rsid w:val="63810F69"/>
    <w:rsid w:val="63A252D2"/>
    <w:rsid w:val="643337B3"/>
    <w:rsid w:val="64465070"/>
    <w:rsid w:val="64C04524"/>
    <w:rsid w:val="650C7EF3"/>
    <w:rsid w:val="65506E33"/>
    <w:rsid w:val="664D3B44"/>
    <w:rsid w:val="665E3732"/>
    <w:rsid w:val="66B55494"/>
    <w:rsid w:val="66F75BE7"/>
    <w:rsid w:val="67056A92"/>
    <w:rsid w:val="67674868"/>
    <w:rsid w:val="679743EE"/>
    <w:rsid w:val="67C46D77"/>
    <w:rsid w:val="67CB03CD"/>
    <w:rsid w:val="681C1AF7"/>
    <w:rsid w:val="68751207"/>
    <w:rsid w:val="692528CB"/>
    <w:rsid w:val="6970487B"/>
    <w:rsid w:val="6B1335B5"/>
    <w:rsid w:val="6B197600"/>
    <w:rsid w:val="6B9C2FB2"/>
    <w:rsid w:val="6BED5AE6"/>
    <w:rsid w:val="6D1879A1"/>
    <w:rsid w:val="6D2D40BF"/>
    <w:rsid w:val="6E095701"/>
    <w:rsid w:val="6E1003CA"/>
    <w:rsid w:val="6F644194"/>
    <w:rsid w:val="6F8A1A3C"/>
    <w:rsid w:val="71DA0AFC"/>
    <w:rsid w:val="720954C8"/>
    <w:rsid w:val="725B5527"/>
    <w:rsid w:val="730F048D"/>
    <w:rsid w:val="735C597A"/>
    <w:rsid w:val="73B01E1C"/>
    <w:rsid w:val="74050ACF"/>
    <w:rsid w:val="75357D54"/>
    <w:rsid w:val="77C23965"/>
    <w:rsid w:val="789A4C11"/>
    <w:rsid w:val="7927654D"/>
    <w:rsid w:val="79462D23"/>
    <w:rsid w:val="79533A3E"/>
    <w:rsid w:val="798A4480"/>
    <w:rsid w:val="79B04BC9"/>
    <w:rsid w:val="7B3F404A"/>
    <w:rsid w:val="7BD30714"/>
    <w:rsid w:val="7BD57CCF"/>
    <w:rsid w:val="7C464F3C"/>
    <w:rsid w:val="7CC514A4"/>
    <w:rsid w:val="7E1040E4"/>
    <w:rsid w:val="7F9801FA"/>
    <w:rsid w:val="7FAC463F"/>
    <w:rsid w:val="7FE3411C"/>
    <w:rsid w:val="7FF263E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nhideWhenUsed="0" w:uiPriority="99" w:semiHidden="0" w:name="heading 3"/>
    <w:lsdException w:qFormat="1" w:unhideWhenUsed="0"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qFormat/>
    <w:uiPriority w:val="9"/>
    <w:pPr>
      <w:keepNext/>
      <w:jc w:val="center"/>
      <w:outlineLvl w:val="0"/>
    </w:pPr>
    <w:rPr>
      <w:rFonts w:ascii="楷体_GB2312" w:eastAsia="楷体_GB2312"/>
      <w:sz w:val="28"/>
      <w:szCs w:val="28"/>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4">
    <w:name w:val="heading 3"/>
    <w:basedOn w:val="1"/>
    <w:next w:val="1"/>
    <w:qFormat/>
    <w:uiPriority w:val="99"/>
    <w:pPr>
      <w:keepNext/>
      <w:keepLines/>
      <w:spacing w:before="260" w:after="260" w:line="416" w:lineRule="auto"/>
      <w:outlineLvl w:val="2"/>
    </w:pPr>
    <w:rPr>
      <w:rFonts w:ascii="Times New Roman" w:hAnsi="Times New Roman" w:eastAsia="宋体"/>
      <w:b/>
      <w:bCs/>
      <w:sz w:val="32"/>
      <w:szCs w:val="32"/>
    </w:rPr>
  </w:style>
  <w:style w:type="paragraph" w:styleId="5">
    <w:name w:val="heading 4"/>
    <w:basedOn w:val="1"/>
    <w:next w:val="1"/>
    <w:qFormat/>
    <w:uiPriority w:val="9"/>
    <w:pPr>
      <w:keepNext/>
      <w:keepLines/>
      <w:spacing w:line="376" w:lineRule="auto"/>
      <w:outlineLvl w:val="3"/>
    </w:pPr>
    <w:rPr>
      <w:rFonts w:ascii="Arial" w:hAnsi="Arial" w:eastAsia="黑体"/>
      <w:b/>
      <w:bCs/>
      <w:sz w:val="28"/>
      <w:szCs w:val="28"/>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Body Text"/>
    <w:basedOn w:val="1"/>
    <w:qFormat/>
    <w:uiPriority w:val="0"/>
    <w:pPr>
      <w:spacing w:after="120"/>
    </w:pPr>
  </w:style>
  <w:style w:type="paragraph" w:styleId="14">
    <w:name w:val="Block Text"/>
    <w:basedOn w:val="1"/>
    <w:unhideWhenUsed/>
    <w:qFormat/>
    <w:uiPriority w:val="99"/>
    <w:pPr>
      <w:spacing w:before="100" w:beforeAutospacing="1" w:after="100" w:afterAutospacing="1"/>
      <w:ind w:left="256" w:right="6" w:firstLine="624"/>
    </w:pPr>
    <w:rPr>
      <w:rFonts w:ascii="Times New Roman" w:hAnsi="Times New Roman" w:eastAsia="仿宋"/>
      <w:szCs w:val="28"/>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5"/>
    <w:semiHidden/>
    <w:unhideWhenUsed/>
    <w:qFormat/>
    <w:uiPriority w:val="99"/>
    <w:pPr>
      <w:spacing w:after="0" w:line="240" w:lineRule="auto"/>
    </w:pPr>
    <w:rPr>
      <w:sz w:val="20"/>
    </w:rPr>
  </w:style>
  <w:style w:type="paragraph" w:styleId="19">
    <w:name w:val="footer"/>
    <w:basedOn w:val="1"/>
    <w:link w:val="192"/>
    <w:qFormat/>
    <w:uiPriority w:val="0"/>
    <w:pPr>
      <w:tabs>
        <w:tab w:val="center" w:pos="4153"/>
        <w:tab w:val="right" w:pos="8306"/>
      </w:tabs>
      <w:jc w:val="left"/>
    </w:pPr>
    <w:rPr>
      <w:sz w:val="18"/>
      <w:szCs w:val="18"/>
    </w:rPr>
  </w:style>
  <w:style w:type="paragraph" w:styleId="20">
    <w:name w:val="envelope return"/>
    <w:basedOn w:val="1"/>
    <w:qFormat/>
    <w:uiPriority w:val="0"/>
    <w:rPr>
      <w:rFonts w:ascii="Arial" w:hAnsi="Arial"/>
    </w:rPr>
  </w:style>
  <w:style w:type="paragraph" w:styleId="21">
    <w:name w:val="header"/>
    <w:basedOn w:val="1"/>
    <w:link w:val="191"/>
    <w:qFormat/>
    <w:uiPriority w:val="0"/>
    <w:pPr>
      <w:pBdr>
        <w:bottom w:val="single" w:color="auto" w:sz="6" w:space="1"/>
      </w:pBdr>
      <w:tabs>
        <w:tab w:val="center" w:pos="4153"/>
        <w:tab w:val="right" w:pos="8306"/>
      </w:tabs>
      <w:jc w:val="center"/>
    </w:pPr>
    <w:rPr>
      <w:sz w:val="18"/>
      <w:szCs w:val="18"/>
    </w:r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1"/>
    <w:qFormat/>
    <w:uiPriority w:val="11"/>
    <w:pPr>
      <w:spacing w:before="200" w:after="200"/>
    </w:pPr>
    <w:rPr>
      <w:sz w:val="24"/>
      <w:szCs w:val="24"/>
    </w:rPr>
  </w:style>
  <w:style w:type="paragraph" w:styleId="25">
    <w:name w:val="footnote text"/>
    <w:basedOn w:val="1"/>
    <w:link w:val="184"/>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qFormat/>
    <w:uiPriority w:val="0"/>
    <w:pPr>
      <w:spacing w:beforeAutospacing="1" w:afterAutospacing="1"/>
      <w:jc w:val="left"/>
    </w:pPr>
    <w:rPr>
      <w:rFonts w:cs="Times New Roman"/>
      <w:sz w:val="24"/>
    </w:rPr>
  </w:style>
  <w:style w:type="paragraph" w:styleId="31">
    <w:name w:val="Title"/>
    <w:basedOn w:val="1"/>
    <w:next w:val="1"/>
    <w:link w:val="50"/>
    <w:qFormat/>
    <w:uiPriority w:val="10"/>
    <w:pPr>
      <w:spacing w:before="300" w:after="200"/>
      <w:contextualSpacing/>
    </w:pPr>
    <w:rPr>
      <w:sz w:val="48"/>
      <w:szCs w:val="48"/>
    </w:rPr>
  </w:style>
  <w:style w:type="paragraph" w:styleId="32">
    <w:name w:val="Body Text First Indent"/>
    <w:basedOn w:val="13"/>
    <w:semiHidden/>
    <w:unhideWhenUsed/>
    <w:qFormat/>
    <w:uiPriority w:val="99"/>
    <w:pPr>
      <w:ind w:firstLine="420"/>
    </w:pPr>
  </w:style>
  <w:style w:type="table" w:styleId="34">
    <w:name w:val="Table Grid"/>
    <w:basedOn w:val="3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Strong"/>
    <w:basedOn w:val="35"/>
    <w:qFormat/>
    <w:uiPriority w:val="0"/>
    <w:rPr>
      <w:b/>
    </w:rPr>
  </w:style>
  <w:style w:type="character" w:styleId="37">
    <w:name w:val="endnote reference"/>
    <w:basedOn w:val="35"/>
    <w:semiHidden/>
    <w:unhideWhenUsed/>
    <w:qFormat/>
    <w:uiPriority w:val="99"/>
    <w:rPr>
      <w:vertAlign w:val="superscript"/>
    </w:rPr>
  </w:style>
  <w:style w:type="character" w:styleId="38">
    <w:name w:val="Hyperlink"/>
    <w:unhideWhenUsed/>
    <w:qFormat/>
    <w:uiPriority w:val="99"/>
    <w:rPr>
      <w:color w:val="0563C1" w:themeColor="hyperlink"/>
      <w:u w:val="single"/>
      <w14:textFill>
        <w14:solidFill>
          <w14:schemeClr w14:val="hlink"/>
        </w14:solidFill>
      </w14:textFill>
    </w:rPr>
  </w:style>
  <w:style w:type="character" w:styleId="39">
    <w:name w:val="footnote reference"/>
    <w:basedOn w:val="35"/>
    <w:unhideWhenUsed/>
    <w:qFormat/>
    <w:uiPriority w:val="99"/>
    <w:rPr>
      <w:vertAlign w:val="superscript"/>
    </w:rPr>
  </w:style>
  <w:style w:type="paragraph" w:customStyle="1" w:styleId="40">
    <w:name w:val="正文1"/>
    <w:basedOn w:val="1"/>
    <w:autoRedefine/>
    <w:qFormat/>
    <w:uiPriority w:val="0"/>
    <w:pPr>
      <w:adjustRightInd/>
      <w:spacing w:before="156"/>
      <w:ind w:firstLine="510" w:firstLineChars="200"/>
      <w:textAlignment w:val="auto"/>
    </w:pPr>
    <w:rPr>
      <w:rFonts w:ascii="Times New Roman" w:eastAsia="宋体"/>
      <w:kern w:val="2"/>
      <w:szCs w:val="20"/>
    </w:rPr>
  </w:style>
  <w:style w:type="character" w:customStyle="1" w:styleId="41">
    <w:name w:val="Heading 1 Char"/>
    <w:basedOn w:val="35"/>
    <w:qFormat/>
    <w:uiPriority w:val="9"/>
    <w:rPr>
      <w:rFonts w:ascii="Arial" w:hAnsi="Arial" w:eastAsia="Arial" w:cs="Arial"/>
      <w:sz w:val="40"/>
      <w:szCs w:val="40"/>
    </w:rPr>
  </w:style>
  <w:style w:type="character" w:customStyle="1" w:styleId="42">
    <w:name w:val="Heading 2 Char"/>
    <w:basedOn w:val="35"/>
    <w:qFormat/>
    <w:uiPriority w:val="9"/>
    <w:rPr>
      <w:rFonts w:ascii="Arial" w:hAnsi="Arial" w:eastAsia="Arial" w:cs="Arial"/>
      <w:sz w:val="34"/>
    </w:rPr>
  </w:style>
  <w:style w:type="character" w:customStyle="1" w:styleId="43">
    <w:name w:val="Heading 3 Char"/>
    <w:basedOn w:val="35"/>
    <w:qFormat/>
    <w:uiPriority w:val="9"/>
    <w:rPr>
      <w:rFonts w:ascii="Arial" w:hAnsi="Arial" w:eastAsia="Arial" w:cs="Arial"/>
      <w:sz w:val="30"/>
      <w:szCs w:val="30"/>
    </w:rPr>
  </w:style>
  <w:style w:type="character" w:customStyle="1" w:styleId="44">
    <w:name w:val="Heading 4 Char"/>
    <w:basedOn w:val="35"/>
    <w:qFormat/>
    <w:uiPriority w:val="9"/>
    <w:rPr>
      <w:rFonts w:ascii="Arial" w:hAnsi="Arial" w:eastAsia="Arial" w:cs="Arial"/>
      <w:b/>
      <w:bCs/>
      <w:sz w:val="26"/>
      <w:szCs w:val="26"/>
    </w:rPr>
  </w:style>
  <w:style w:type="character" w:customStyle="1" w:styleId="45">
    <w:name w:val="Heading 5 Char"/>
    <w:basedOn w:val="35"/>
    <w:link w:val="6"/>
    <w:qFormat/>
    <w:uiPriority w:val="9"/>
    <w:rPr>
      <w:rFonts w:ascii="Arial" w:hAnsi="Arial" w:eastAsia="Arial" w:cs="Arial"/>
      <w:b/>
      <w:bCs/>
      <w:sz w:val="24"/>
      <w:szCs w:val="24"/>
    </w:rPr>
  </w:style>
  <w:style w:type="character" w:customStyle="1" w:styleId="46">
    <w:name w:val="Heading 6 Char"/>
    <w:basedOn w:val="35"/>
    <w:link w:val="7"/>
    <w:qFormat/>
    <w:uiPriority w:val="9"/>
    <w:rPr>
      <w:rFonts w:ascii="Arial" w:hAnsi="Arial" w:eastAsia="Arial" w:cs="Arial"/>
      <w:b/>
      <w:bCs/>
      <w:sz w:val="22"/>
      <w:szCs w:val="22"/>
    </w:rPr>
  </w:style>
  <w:style w:type="character" w:customStyle="1" w:styleId="47">
    <w:name w:val="Heading 7 Char"/>
    <w:basedOn w:val="35"/>
    <w:link w:val="8"/>
    <w:qFormat/>
    <w:uiPriority w:val="9"/>
    <w:rPr>
      <w:rFonts w:ascii="Arial" w:hAnsi="Arial" w:eastAsia="Arial" w:cs="Arial"/>
      <w:b/>
      <w:bCs/>
      <w:i/>
      <w:iCs/>
      <w:sz w:val="22"/>
      <w:szCs w:val="22"/>
    </w:rPr>
  </w:style>
  <w:style w:type="character" w:customStyle="1" w:styleId="48">
    <w:name w:val="Heading 8 Char"/>
    <w:basedOn w:val="35"/>
    <w:link w:val="9"/>
    <w:qFormat/>
    <w:uiPriority w:val="9"/>
    <w:rPr>
      <w:rFonts w:ascii="Arial" w:hAnsi="Arial" w:eastAsia="Arial" w:cs="Arial"/>
      <w:i/>
      <w:iCs/>
      <w:sz w:val="22"/>
      <w:szCs w:val="22"/>
    </w:rPr>
  </w:style>
  <w:style w:type="character" w:customStyle="1" w:styleId="49">
    <w:name w:val="Heading 9 Char"/>
    <w:basedOn w:val="35"/>
    <w:link w:val="10"/>
    <w:qFormat/>
    <w:uiPriority w:val="9"/>
    <w:rPr>
      <w:rFonts w:ascii="Arial" w:hAnsi="Arial" w:eastAsia="Arial" w:cs="Arial"/>
      <w:i/>
      <w:iCs/>
      <w:sz w:val="21"/>
      <w:szCs w:val="21"/>
    </w:rPr>
  </w:style>
  <w:style w:type="character" w:customStyle="1" w:styleId="50">
    <w:name w:val="Title Char"/>
    <w:basedOn w:val="35"/>
    <w:link w:val="31"/>
    <w:qFormat/>
    <w:uiPriority w:val="10"/>
    <w:rPr>
      <w:sz w:val="48"/>
      <w:szCs w:val="48"/>
    </w:rPr>
  </w:style>
  <w:style w:type="character" w:customStyle="1" w:styleId="51">
    <w:name w:val="Subtitle Char"/>
    <w:basedOn w:val="35"/>
    <w:link w:val="24"/>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Quote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5">
    <w:name w:val="Intense Quote Char"/>
    <w:link w:val="54"/>
    <w:qFormat/>
    <w:uiPriority w:val="30"/>
    <w:rPr>
      <w:i/>
    </w:rPr>
  </w:style>
  <w:style w:type="character" w:customStyle="1" w:styleId="56">
    <w:name w:val="Header Char"/>
    <w:basedOn w:val="35"/>
    <w:qFormat/>
    <w:uiPriority w:val="99"/>
  </w:style>
  <w:style w:type="character" w:customStyle="1" w:styleId="57">
    <w:name w:val="Footer Char"/>
    <w:basedOn w:val="35"/>
    <w:qFormat/>
    <w:uiPriority w:val="99"/>
  </w:style>
  <w:style w:type="character" w:customStyle="1" w:styleId="58">
    <w:name w:val="Caption Char"/>
    <w:qFormat/>
    <w:uiPriority w:val="99"/>
  </w:style>
  <w:style w:type="table" w:customStyle="1" w:styleId="59">
    <w:name w:val="Table Grid Light"/>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basedOn w:val="3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basedOn w:val="3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basedOn w:val="3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basedOn w:val="3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basedOn w:val="3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basedOn w:val="33"/>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7">
    <w:name w:val="Grid Table 1 Light - Accent 2"/>
    <w:basedOn w:val="33"/>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68">
    <w:name w:val="Grid Table 1 Light - Accent 3"/>
    <w:basedOn w:val="33"/>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69">
    <w:name w:val="Grid Table 1 Light - Accent 4"/>
    <w:basedOn w:val="33"/>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0">
    <w:name w:val="Grid Table 1 Light - Accent 5"/>
    <w:basedOn w:val="33"/>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1">
    <w:name w:val="Grid Table 1 Light - Accent 6"/>
    <w:basedOn w:val="33"/>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2">
    <w:name w:val="Grid Table 2"/>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basedOn w:val="33"/>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4">
    <w:name w:val="Grid Table 2 - Accent 2"/>
    <w:basedOn w:val="33"/>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5">
    <w:name w:val="Grid Table 2 - Accent 3"/>
    <w:basedOn w:val="33"/>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6">
    <w:name w:val="Grid Table 2 - Accent 4"/>
    <w:basedOn w:val="33"/>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7">
    <w:name w:val="Grid Table 2 - Accent 5"/>
    <w:basedOn w:val="33"/>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78">
    <w:name w:val="Grid Table 2 - Accent 6"/>
    <w:basedOn w:val="33"/>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79">
    <w:name w:val="Grid Table 3"/>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basedOn w:val="33"/>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1">
    <w:name w:val="Grid Table 3 - Accent 2"/>
    <w:basedOn w:val="33"/>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2">
    <w:name w:val="Grid Table 3 - Accent 3"/>
    <w:basedOn w:val="33"/>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3">
    <w:name w:val="Grid Table 3 - Accent 4"/>
    <w:basedOn w:val="33"/>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4">
    <w:name w:val="Grid Table 3 - Accent 5"/>
    <w:basedOn w:val="33"/>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5">
    <w:name w:val="Grid Table 3 - Accent 6"/>
    <w:basedOn w:val="33"/>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6">
    <w:name w:val="Grid Table 4"/>
    <w:basedOn w:val="3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basedOn w:val="33"/>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88">
    <w:name w:val="Grid Table 4 - Accent 2"/>
    <w:basedOn w:val="33"/>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9">
    <w:name w:val="Grid Table 4 - Accent 3"/>
    <w:basedOn w:val="33"/>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0">
    <w:name w:val="Grid Table 4 - Accent 4"/>
    <w:basedOn w:val="33"/>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1">
    <w:name w:val="Grid Table 4 - Accent 5"/>
    <w:basedOn w:val="33"/>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2">
    <w:name w:val="Grid Table 4 - Accent 6"/>
    <w:basedOn w:val="33"/>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3">
    <w:name w:val="Grid Table 5 Dark"/>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5">
    <w:name w:val="Grid Table 5 Dark - Accent 2"/>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6">
    <w:name w:val="Grid Table 5 Dark - Accent 3"/>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7">
    <w:name w:val="Grid Table 5 Dark- Accent 4"/>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98">
    <w:name w:val="Grid Table 5 Dark - Accent 5"/>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99">
    <w:name w:val="Grid Table 5 Dark - Accent 6"/>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0">
    <w:name w:val="Grid Table 6 Colorful"/>
    <w:basedOn w:val="3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basedOn w:val="33"/>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basedOn w:val="33"/>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basedOn w:val="33"/>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4">
    <w:name w:val="Grid Table 6 Colorful - Accent 4"/>
    <w:basedOn w:val="33"/>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basedOn w:val="33"/>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6">
    <w:name w:val="Grid Table 6 Colorful - Accent 6"/>
    <w:basedOn w:val="33"/>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07">
    <w:name w:val="Grid Table 7 Colorful"/>
    <w:basedOn w:val="3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basedOn w:val="33"/>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basedOn w:val="33"/>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basedOn w:val="33"/>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1">
    <w:name w:val="Grid Table 7 Colorful - Accent 4"/>
    <w:basedOn w:val="33"/>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basedOn w:val="33"/>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3">
    <w:name w:val="Grid Table 7 Colorful - Accent 6"/>
    <w:basedOn w:val="33"/>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4">
    <w:name w:val="List Table 1 Light"/>
    <w:basedOn w:val="3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basedOn w:val="33"/>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6">
    <w:name w:val="List Table 1 Light - Accent 2"/>
    <w:basedOn w:val="33"/>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7">
    <w:name w:val="List Table 1 Light - Accent 3"/>
    <w:basedOn w:val="33"/>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18">
    <w:name w:val="List Table 1 Light - Accent 4"/>
    <w:basedOn w:val="33"/>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19">
    <w:name w:val="List Table 1 Light - Accent 5"/>
    <w:basedOn w:val="33"/>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0">
    <w:name w:val="List Table 1 Light - Accent 6"/>
    <w:basedOn w:val="33"/>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1">
    <w:name w:val="List Table 2"/>
    <w:basedOn w:val="3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basedOn w:val="33"/>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3">
    <w:name w:val="List Table 2 - Accent 2"/>
    <w:basedOn w:val="33"/>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4">
    <w:name w:val="List Table 2 - Accent 3"/>
    <w:basedOn w:val="33"/>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5">
    <w:name w:val="List Table 2 - Accent 4"/>
    <w:basedOn w:val="33"/>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6">
    <w:name w:val="List Table 2 - Accent 5"/>
    <w:basedOn w:val="33"/>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7">
    <w:name w:val="List Table 2 - Accent 6"/>
    <w:basedOn w:val="33"/>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28">
    <w:name w:val="List Table 3"/>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basedOn w:val="33"/>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0">
    <w:name w:val="List Table 3 - Accent 2"/>
    <w:basedOn w:val="33"/>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1">
    <w:name w:val="List Table 3 - Accent 3"/>
    <w:basedOn w:val="33"/>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2">
    <w:name w:val="List Table 3 - Accent 4"/>
    <w:basedOn w:val="33"/>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3">
    <w:name w:val="List Table 3 - Accent 5"/>
    <w:basedOn w:val="33"/>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4">
    <w:name w:val="List Table 3 - Accent 6"/>
    <w:basedOn w:val="33"/>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5">
    <w:name w:val="List Table 4"/>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basedOn w:val="33"/>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7">
    <w:name w:val="List Table 4 - Accent 2"/>
    <w:basedOn w:val="33"/>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8">
    <w:name w:val="List Table 4 - Accent 3"/>
    <w:basedOn w:val="33"/>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9">
    <w:name w:val="List Table 4 - Accent 4"/>
    <w:basedOn w:val="33"/>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0">
    <w:name w:val="List Table 4 - Accent 5"/>
    <w:basedOn w:val="33"/>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1">
    <w:name w:val="List Table 4 - Accent 6"/>
    <w:basedOn w:val="33"/>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2">
    <w:name w:val="List Table 5 Dark"/>
    <w:basedOn w:val="3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basedOn w:val="33"/>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4">
    <w:name w:val="List Table 5 Dark - Accent 2"/>
    <w:basedOn w:val="33"/>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5">
    <w:name w:val="List Table 5 Dark - Accent 3"/>
    <w:basedOn w:val="33"/>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6">
    <w:name w:val="List Table 5 Dark - Accent 4"/>
    <w:basedOn w:val="33"/>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7">
    <w:name w:val="List Table 5 Dark - Accent 5"/>
    <w:basedOn w:val="33"/>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48">
    <w:name w:val="List Table 5 Dark - Accent 6"/>
    <w:basedOn w:val="33"/>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49">
    <w:name w:val="List Table 6 Colorful"/>
    <w:basedOn w:val="3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basedOn w:val="33"/>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1">
    <w:name w:val="List Table 6 Colorful - Accent 2"/>
    <w:basedOn w:val="33"/>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basedOn w:val="33"/>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basedOn w:val="33"/>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basedOn w:val="33"/>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basedOn w:val="33"/>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6">
    <w:name w:val="List Table 7 Colorful"/>
    <w:basedOn w:val="3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basedOn w:val="33"/>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8">
    <w:name w:val="List Table 7 Colorful - Accent 2"/>
    <w:basedOn w:val="33"/>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basedOn w:val="33"/>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basedOn w:val="33"/>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basedOn w:val="33"/>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basedOn w:val="33"/>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3">
    <w:name w:val="Lined - Accent"/>
    <w:basedOn w:val="33"/>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basedOn w:val="33"/>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5">
    <w:name w:val="Lined - Accent 2"/>
    <w:basedOn w:val="33"/>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6">
    <w:name w:val="Lined - Accent 3"/>
    <w:basedOn w:val="33"/>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7">
    <w:name w:val="Lined - Accent 4"/>
    <w:basedOn w:val="33"/>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68">
    <w:name w:val="Lined - Accent 5"/>
    <w:basedOn w:val="33"/>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69">
    <w:name w:val="Lined - Accent 6"/>
    <w:basedOn w:val="33"/>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0">
    <w:name w:val="Bordered &amp; Lined - Accent"/>
    <w:basedOn w:val="33"/>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basedOn w:val="33"/>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2">
    <w:name w:val="Bordered &amp; Lined - Accent 2"/>
    <w:basedOn w:val="33"/>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3">
    <w:name w:val="Bordered &amp; Lined - Accent 3"/>
    <w:basedOn w:val="33"/>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4">
    <w:name w:val="Bordered &amp; Lined - Accent 4"/>
    <w:basedOn w:val="33"/>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5">
    <w:name w:val="Bordered &amp; Lined - Accent 5"/>
    <w:basedOn w:val="33"/>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6">
    <w:name w:val="Bordered &amp; Lined - Accent 6"/>
    <w:basedOn w:val="33"/>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7">
    <w:name w:val="Bordered"/>
    <w:basedOn w:val="33"/>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basedOn w:val="33"/>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79">
    <w:name w:val="Bordered - Accent 2"/>
    <w:basedOn w:val="33"/>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0">
    <w:name w:val="Bordered - Accent 3"/>
    <w:basedOn w:val="33"/>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1">
    <w:name w:val="Bordered - Accent 4"/>
    <w:basedOn w:val="33"/>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2">
    <w:name w:val="Bordered - Accent 5"/>
    <w:basedOn w:val="33"/>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3">
    <w:name w:val="Bordered - Accent 6"/>
    <w:basedOn w:val="33"/>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4">
    <w:name w:val="Footnote Text Char"/>
    <w:link w:val="25"/>
    <w:qFormat/>
    <w:uiPriority w:val="99"/>
    <w:rPr>
      <w:sz w:val="18"/>
    </w:rPr>
  </w:style>
  <w:style w:type="character" w:customStyle="1" w:styleId="185">
    <w:name w:val="Endnote Text Char"/>
    <w:link w:val="18"/>
    <w:qFormat/>
    <w:uiPriority w:val="99"/>
    <w:rPr>
      <w:sz w:val="20"/>
    </w:rPr>
  </w:style>
  <w:style w:type="paragraph" w:customStyle="1" w:styleId="186">
    <w:name w:val="TOC Heading"/>
    <w:unhideWhenUsed/>
    <w:qFormat/>
    <w:uiPriority w:val="39"/>
    <w:rPr>
      <w:rFonts w:hint="default" w:ascii="Times New Roman" w:hAnsi="Times New Roman" w:eastAsia="宋体" w:cs="Times New Roman"/>
    </w:rPr>
  </w:style>
  <w:style w:type="paragraph" w:customStyle="1" w:styleId="187">
    <w:name w:val="Default"/>
    <w:basedOn w:val="1"/>
    <w:semiHidden/>
    <w:qFormat/>
    <w:uiPriority w:val="0"/>
    <w:pPr>
      <w:jc w:val="left"/>
    </w:pPr>
    <w:rPr>
      <w:rFonts w:ascii="宋体" w:hAnsi="Calibri" w:cs="宋体"/>
      <w:color w:val="000000"/>
      <w:sz w:val="24"/>
    </w:rPr>
  </w:style>
  <w:style w:type="paragraph" w:customStyle="1" w:styleId="188">
    <w:name w:val="正文首行缩进 21"/>
    <w:basedOn w:val="189"/>
    <w:next w:val="1"/>
    <w:qFormat/>
    <w:uiPriority w:val="0"/>
    <w:pPr>
      <w:spacing w:before="50" w:after="120"/>
      <w:ind w:left="420" w:firstLine="420"/>
    </w:pPr>
    <w:rPr>
      <w:rFonts w:ascii="Calibri" w:eastAsia="宋体"/>
    </w:rPr>
  </w:style>
  <w:style w:type="paragraph" w:customStyle="1" w:styleId="189">
    <w:name w:val="正文文本缩进1"/>
    <w:basedOn w:val="1"/>
    <w:next w:val="190"/>
    <w:qFormat/>
    <w:uiPriority w:val="0"/>
    <w:pPr>
      <w:spacing w:line="360" w:lineRule="auto"/>
      <w:ind w:firstLine="600"/>
    </w:pPr>
    <w:rPr>
      <w:rFonts w:ascii="仿宋_GB2312" w:eastAsia="仿宋_GB2312"/>
      <w:sz w:val="30"/>
    </w:rPr>
  </w:style>
  <w:style w:type="paragraph" w:customStyle="1" w:styleId="190">
    <w:name w:val="寄信人地址1"/>
    <w:basedOn w:val="1"/>
    <w:qFormat/>
    <w:uiPriority w:val="99"/>
    <w:rPr>
      <w:rFonts w:ascii="Arial" w:hAnsi="Arial" w:cs="Arial"/>
    </w:rPr>
  </w:style>
  <w:style w:type="character" w:customStyle="1" w:styleId="191">
    <w:name w:val="页眉 Char"/>
    <w:basedOn w:val="35"/>
    <w:link w:val="21"/>
    <w:qFormat/>
    <w:uiPriority w:val="0"/>
    <w:rPr>
      <w:rFonts w:asciiTheme="minorHAnsi" w:hAnsiTheme="minorHAnsi" w:eastAsiaTheme="minorEastAsia" w:cstheme="minorBidi"/>
      <w:sz w:val="18"/>
      <w:szCs w:val="18"/>
    </w:rPr>
  </w:style>
  <w:style w:type="character" w:customStyle="1" w:styleId="192">
    <w:name w:val="页脚 Char"/>
    <w:basedOn w:val="35"/>
    <w:link w:val="19"/>
    <w:qFormat/>
    <w:uiPriority w:val="0"/>
    <w:rPr>
      <w:rFonts w:asciiTheme="minorHAnsi" w:hAnsiTheme="minorHAnsi" w:eastAsiaTheme="minorEastAsia" w:cstheme="minorBidi"/>
      <w:sz w:val="18"/>
      <w:szCs w:val="18"/>
    </w:rPr>
  </w:style>
  <w:style w:type="paragraph" w:customStyle="1" w:styleId="193">
    <w:name w:val="纯文本11"/>
    <w:basedOn w:val="1"/>
    <w:qFormat/>
    <w:uiPriority w:val="0"/>
    <w:rPr>
      <w:rFonts w:hint="eastAsia" w:hAnsi="Courier New" w:eastAsia="宋体"/>
    </w:rPr>
  </w:style>
  <w:style w:type="paragraph" w:customStyle="1" w:styleId="194">
    <w:name w:val="正文 1.1.1"/>
    <w:basedOn w:val="1"/>
    <w:next w:val="1"/>
    <w:qFormat/>
    <w:uiPriority w:val="0"/>
    <w:pPr>
      <w:numPr>
        <w:ilvl w:val="2"/>
        <w:numId w:val="1"/>
      </w:numPr>
      <w:tabs>
        <w:tab w:val="left" w:pos="851"/>
      </w:tabs>
      <w:outlineLvl w:val="2"/>
    </w:pPr>
    <w:rPr>
      <w:rFonts w:hAnsi="宋体" w:eastAsia="宋体"/>
      <w:color w:val="000000"/>
    </w:rPr>
  </w:style>
  <w:style w:type="paragraph" w:customStyle="1" w:styleId="195">
    <w:name w:val="qowt-stl-正文"/>
    <w:basedOn w:val="1"/>
    <w:qFormat/>
    <w:uiPriority w:val="0"/>
    <w:pPr>
      <w:widowControl/>
      <w:spacing w:before="100" w:beforeAutospacing="1" w:after="100" w:afterAutospacing="1"/>
      <w:jc w:val="left"/>
    </w:pPr>
    <w:rPr>
      <w:rFonts w:hAnsi="宋体" w:eastAsia="宋体" w:cs="宋体"/>
      <w:sz w:val="24"/>
    </w:rPr>
  </w:style>
  <w:style w:type="paragraph" w:customStyle="1" w:styleId="196">
    <w:name w:val="列出段落1"/>
    <w:basedOn w:val="1"/>
    <w:qFormat/>
    <w:uiPriority w:val="34"/>
    <w:pPr>
      <w:ind w:firstLine="420"/>
    </w:pPr>
    <w:rPr>
      <w:rFonts w:cs="Times New Roman"/>
      <w:lang w:eastAsia="en-US"/>
    </w:rPr>
  </w:style>
  <w:style w:type="paragraph" w:styleId="197">
    <w:name w:val="No Spacing"/>
    <w:qFormat/>
    <w:uiPriority w:val="1"/>
    <w:pPr>
      <w:widowControl w:val="0"/>
      <w:jc w:val="both"/>
    </w:pPr>
    <w:rPr>
      <w:rFonts w:hint="default" w:ascii="Times New Roman" w:hAnsi="Times New Roman" w:eastAsia="宋体" w:cs="Times New Roman"/>
      <w:sz w:val="21"/>
      <w:szCs w:val="24"/>
      <w:lang w:val="en-US" w:eastAsia="zh-CN" w:bidi="ar-SA"/>
    </w:rPr>
  </w:style>
  <w:style w:type="paragraph" w:styleId="198">
    <w:name w:val="List Paragraph"/>
    <w:basedOn w:val="1"/>
    <w:qFormat/>
    <w:uiPriority w:val="99"/>
    <w:pPr>
      <w:ind w:left="720"/>
      <w:contextualSpacing/>
    </w:pPr>
  </w:style>
  <w:style w:type="paragraph" w:customStyle="1" w:styleId="199">
    <w:name w:val="纯文本1"/>
    <w:basedOn w:val="1"/>
    <w:qFormat/>
    <w:uiPriority w:val="0"/>
    <w:rPr>
      <w:rFonts w:hint="eastAsia" w:hAnsi="Courier New"/>
      <w:szCs w:val="20"/>
    </w:rPr>
  </w:style>
  <w:style w:type="paragraph" w:customStyle="1" w:styleId="200">
    <w:name w:val="正文空2格  1."/>
    <w:basedOn w:val="1"/>
    <w:qFormat/>
    <w:uiPriority w:val="0"/>
    <w:pPr>
      <w:spacing w:line="360" w:lineRule="auto"/>
      <w:ind w:firstLine="480"/>
    </w:pPr>
    <w:rPr>
      <w:rFonts w:ascii="宋体" w:eastAsia="仿宋" w:cs="宋体"/>
    </w:rPr>
  </w:style>
  <w:style w:type="paragraph" w:customStyle="1" w:styleId="201">
    <w:name w:val="表格文字"/>
    <w:basedOn w:val="202"/>
    <w:qFormat/>
    <w:uiPriority w:val="0"/>
    <w:pPr>
      <w:spacing w:before="25" w:after="25"/>
    </w:pPr>
    <w:rPr>
      <w:bCs/>
      <w:spacing w:val="10"/>
      <w:sz w:val="24"/>
      <w:szCs w:val="20"/>
    </w:rPr>
  </w:style>
  <w:style w:type="paragraph" w:customStyle="1" w:styleId="202">
    <w:name w:val="表格文字（两侧对齐）"/>
    <w:basedOn w:val="1"/>
    <w:qFormat/>
    <w:uiPriority w:val="0"/>
    <w:rPr>
      <w:rFonts w:ascii="Calibri" w:hAnsi="Calibri" w:cs="Times New Roman"/>
      <w:sz w:val="20"/>
    </w:rPr>
  </w:style>
  <w:style w:type="paragraph" w:customStyle="1" w:styleId="203">
    <w:name w:val="普通正文"/>
    <w:basedOn w:val="1"/>
    <w:qFormat/>
    <w:uiPriority w:val="0"/>
    <w:pPr>
      <w:spacing w:before="120" w:after="120" w:line="360" w:lineRule="auto"/>
      <w:ind w:firstLine="480"/>
      <w:jc w:val="left"/>
    </w:pPr>
    <w:rPr>
      <w:rFonts w:ascii="Arial" w:hAnsi="Arial" w:eastAsia="等线" w:cs="Arial"/>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61</Pages>
  <Words>18234</Words>
  <Characters>19426</Characters>
  <TotalTime>19</TotalTime>
  <ScaleCrop>false</ScaleCrop>
  <LinksUpToDate>false</LinksUpToDate>
  <CharactersWithSpaces>20619</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hj</cp:lastModifiedBy>
  <cp:lastPrinted>2026-07-01T03:19:00Z</cp:lastPrinted>
  <dcterms:modified xsi:type="dcterms:W3CDTF">2026-09-11T06:03:47Z</dcterms:modified>
  <cp:revision>309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959147CC5FAE4C3295CF1456EF44D519_13</vt:lpwstr>
  </property>
  <property fmtid="{D5CDD505-2E9C-101B-9397-08002B2CF9AE}" pid="4" name="KSOTemplateDocerSaveRecord">
    <vt:lpwstr>eyJoZGlkIjoiYWEzMjZlMjU2ZGY5MDFjYWZjNDIzMDU5ODJmZjgyMmQifQ==</vt:lpwstr>
  </property>
</Properties>
</file>