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olor w:val="auto"/>
          <w:sz w:val="48"/>
          <w:szCs w:val="52"/>
        </w:rPr>
      </w:pPr>
      <w:r>
        <w:rPr>
          <w:rFonts w:hint="eastAsia" w:ascii="宋体" w:hAnsi="宋体" w:eastAsia="宋体"/>
          <w:color w:val="auto"/>
          <w:sz w:val="48"/>
          <w:szCs w:val="52"/>
        </w:rPr>
      </w:r>
      <w:r/>
    </w:p>
    <w:p>
      <w:pPr>
        <w:jc w:val="center"/>
        <w:rPr>
          <w:rFonts w:hint="eastAsia" w:ascii="宋体" w:hAnsi="宋体" w:eastAsia="宋体"/>
          <w:b/>
          <w:bCs/>
          <w:color w:val="auto"/>
          <w:sz w:val="96"/>
          <w:szCs w:val="96"/>
        </w:rPr>
      </w:pPr>
      <w:r>
        <w:rPr>
          <w:rFonts w:hint="eastAsia" w:ascii="宋体" w:hAnsi="宋体" w:eastAsia="宋体"/>
          <w:b/>
          <w:bCs/>
          <w:color w:val="auto"/>
          <w:sz w:val="96"/>
          <w:szCs w:val="96"/>
        </w:rPr>
        <w:t xml:space="preserve">招标文件</w:t>
      </w:r>
      <w:r/>
    </w:p>
    <w:p>
      <w:pPr>
        <w:jc w:val="center"/>
        <w:rPr>
          <w:rFonts w:hint="eastAsia" w:ascii="宋体" w:hAnsi="宋体" w:eastAsia="宋体"/>
          <w:b/>
          <w:bCs/>
          <w:color w:val="auto"/>
          <w:sz w:val="56"/>
          <w:szCs w:val="72"/>
        </w:rPr>
      </w:pPr>
      <w:r>
        <w:rPr>
          <w:rFonts w:hint="eastAsia" w:ascii="宋体" w:hAnsi="宋体" w:eastAsia="宋体"/>
          <w:b/>
          <w:bCs/>
          <w:color w:val="auto"/>
          <w:sz w:val="56"/>
          <w:szCs w:val="72"/>
        </w:rPr>
      </w:r>
      <w:r/>
    </w:p>
    <w:p>
      <w:pPr>
        <w:jc w:val="center"/>
        <w:rPr>
          <w:rFonts w:hint="eastAsia" w:ascii="宋体" w:hAnsi="宋体" w:eastAsia="宋体"/>
          <w:b/>
          <w:bCs/>
          <w:color w:val="auto"/>
          <w:sz w:val="56"/>
          <w:szCs w:val="72"/>
        </w:rPr>
      </w:pPr>
      <w:r>
        <w:rPr>
          <w:rFonts w:hint="eastAsia" w:ascii="宋体" w:hAnsi="宋体" w:eastAsia="宋体"/>
          <w:b/>
          <w:bCs/>
          <w:color w:val="auto"/>
          <w:sz w:val="56"/>
          <w:szCs w:val="72"/>
        </w:rPr>
      </w:r>
      <w:r/>
    </w:p>
    <w:p>
      <w:pPr>
        <w:jc w:val="center"/>
        <w:rPr>
          <w:rFonts w:hint="eastAsia" w:ascii="宋体" w:hAnsi="宋体" w:eastAsia="宋体"/>
          <w:b/>
          <w:bCs/>
          <w:color w:val="auto"/>
          <w:sz w:val="56"/>
          <w:szCs w:val="72"/>
        </w:rPr>
      </w:pPr>
      <w:r>
        <w:rPr>
          <w:rFonts w:hint="eastAsia" w:ascii="宋体" w:hAnsi="宋体" w:eastAsia="宋体"/>
          <w:b/>
          <w:bCs/>
          <w:color w:val="auto"/>
          <w:sz w:val="56"/>
          <w:szCs w:val="72"/>
        </w:rPr>
      </w:r>
      <w:r/>
    </w:p>
    <w:p>
      <w:pPr>
        <w:jc w:val="center"/>
        <w:rPr>
          <w:rFonts w:hint="eastAsia" w:ascii="宋体" w:hAnsi="宋体" w:eastAsia="宋体"/>
          <w:b/>
          <w:bCs/>
          <w:color w:val="auto"/>
          <w:sz w:val="56"/>
          <w:szCs w:val="72"/>
        </w:rPr>
      </w:pPr>
      <w:r>
        <w:rPr>
          <w:rFonts w:hint="eastAsia" w:ascii="宋体" w:hAnsi="宋体" w:eastAsia="宋体"/>
          <w:b/>
          <w:bCs/>
          <w:color w:val="auto"/>
          <w:sz w:val="56"/>
          <w:szCs w:val="72"/>
        </w:rPr>
      </w:r>
      <w:r/>
    </w:p>
    <w:p>
      <w:pPr>
        <w:ind w:left="3470" w:hanging="3470"/>
        <w:jc w:val="left"/>
        <w:keepLines w:val="0"/>
        <w:keepNext w:val="0"/>
        <w:pageBreakBefore w:val="0"/>
        <w:spacing w:line="900" w:lineRule="exact"/>
        <w:widowControl w:val="off"/>
        <w:rPr>
          <w:rFonts w:hint="eastAsia" w:ascii="宋体" w:hAnsi="宋体" w:eastAsia="宋体"/>
          <w:color w:val="auto"/>
          <w:sz w:val="36"/>
          <w:szCs w:val="36"/>
          <w:lang w:eastAsia="zh-CN"/>
        </w:rPr>
        <w:outlineLvl w:val="0"/>
      </w:pPr>
      <w:r>
        <w:rPr>
          <w:rFonts w:hint="eastAsia" w:ascii="宋体" w:hAnsi="宋体" w:eastAsia="宋体"/>
          <w:b/>
          <w:color w:val="auto"/>
          <w:sz w:val="36"/>
          <w:szCs w:val="36"/>
        </w:rPr>
        <w:t xml:space="preserve">项目名称：</w:t>
      </w:r>
      <w:r>
        <w:rPr>
          <w:rFonts w:hint="eastAsia" w:ascii="宋体" w:hAnsi="宋体" w:eastAsia="宋体"/>
          <w:b/>
          <w:color w:val="auto"/>
          <w:sz w:val="36"/>
          <w:szCs w:val="36"/>
          <w:lang w:val="en-US" w:eastAsia="zh-CN"/>
        </w:rPr>
        <w:t xml:space="preserve">盐城市射阳生态环境局射阳县第二轮生物多样性本底调查</w:t>
      </w:r>
      <w:r>
        <w:rPr>
          <w:rFonts w:hint="eastAsia" w:ascii="宋体" w:hAnsi="宋体" w:eastAsia="宋体" w:cs="宋体"/>
          <w:b/>
          <w:color w:val="auto"/>
          <w:sz w:val="36"/>
          <w:szCs w:val="36"/>
          <w:lang w:val="en-US" w:eastAsia="zh-CN"/>
        </w:rPr>
        <w:t xml:space="preserve"> </w:t>
      </w:r>
      <w:r/>
    </w:p>
    <w:p>
      <w:pPr>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rPr>
      </w:pPr>
      <w:r>
        <w:rPr>
          <w:rFonts w:hint="eastAsia" w:ascii="宋体" w:hAnsi="宋体" w:eastAsia="宋体"/>
          <w:color w:val="auto"/>
        </w:rPr>
      </w:r>
      <w:r/>
    </w:p>
    <w:p>
      <w:pPr>
        <w:jc w:val="center"/>
        <w:keepLines w:val="0"/>
        <w:keepNext w:val="0"/>
        <w:pageBreakBefore w:val="0"/>
        <w:spacing w:line="900" w:lineRule="exact"/>
        <w:widowControl w:val="off"/>
        <w:rPr>
          <w:rFonts w:hint="eastAsia" w:ascii="宋体" w:hAnsi="宋体" w:eastAsia="宋体"/>
          <w:b/>
          <w:bCs/>
          <w:color w:val="auto"/>
          <w:sz w:val="36"/>
          <w:szCs w:val="40"/>
        </w:rPr>
        <w:outlineLvl w:val="0"/>
      </w:pPr>
      <w:r>
        <w:rPr>
          <w:rFonts w:hint="eastAsia" w:ascii="宋体" w:hAnsi="宋体" w:eastAsia="宋体"/>
          <w:b/>
          <w:bCs/>
          <w:color w:val="auto"/>
          <w:sz w:val="36"/>
          <w:szCs w:val="40"/>
          <w:lang w:val="en-US" w:eastAsia="zh-CN"/>
        </w:rPr>
        <w:t xml:space="preserve">盐城市射阳生态环境局</w:t>
      </w:r>
      <w:r/>
    </w:p>
    <w:p>
      <w:pPr>
        <w:jc w:val="center"/>
        <w:keepLines w:val="0"/>
        <w:keepNext w:val="0"/>
        <w:pageBreakBefore w:val="0"/>
        <w:spacing w:line="900" w:lineRule="exact"/>
        <w:widowControl w:val="off"/>
        <w:rPr>
          <w:rFonts w:hint="eastAsia" w:ascii="宋体" w:hAnsi="宋体" w:eastAsia="宋体"/>
          <w:b/>
          <w:bCs/>
          <w:color w:val="auto"/>
          <w:sz w:val="36"/>
          <w:szCs w:val="40"/>
          <w:lang w:eastAsia="zh-CN"/>
        </w:rPr>
        <w:outlineLvl w:val="0"/>
      </w:pPr>
      <w:r>
        <w:rPr>
          <w:rFonts w:hint="eastAsia" w:ascii="宋体" w:hAnsi="宋体" w:eastAsia="宋体"/>
          <w:b/>
          <w:bCs/>
          <w:color w:val="auto"/>
          <w:sz w:val="36"/>
          <w:szCs w:val="40"/>
          <w:lang w:eastAsia="zh-CN"/>
        </w:rPr>
        <w:t xml:space="preserve">江苏宏新工程管理咨询有限公司</w:t>
      </w:r>
      <w:r/>
    </w:p>
    <w:p>
      <w:pPr>
        <w:jc w:val="center"/>
        <w:keepLines w:val="0"/>
        <w:keepNext w:val="0"/>
        <w:pageBreakBefore w:val="0"/>
        <w:spacing w:line="900" w:lineRule="exact"/>
        <w:widowControl w:val="off"/>
        <w:rPr>
          <w:rFonts w:hint="eastAsia" w:ascii="宋体" w:hAnsi="宋体" w:eastAsia="宋体"/>
          <w:b/>
          <w:bCs/>
          <w:color w:val="auto"/>
          <w:sz w:val="36"/>
          <w:szCs w:val="40"/>
        </w:rPr>
      </w:pPr>
      <w:r>
        <w:rPr>
          <w:rFonts w:hint="eastAsia" w:ascii="宋体" w:hAnsi="宋体" w:eastAsia="宋体"/>
          <w:b/>
          <w:bCs/>
          <w:color w:val="auto"/>
          <w:sz w:val="36"/>
          <w:szCs w:val="40"/>
        </w:rPr>
        <w:t xml:space="preserve">202</w:t>
      </w:r>
      <w:r>
        <w:rPr>
          <w:rFonts w:hint="eastAsia" w:ascii="宋体" w:hAnsi="宋体" w:eastAsia="宋体"/>
          <w:b/>
          <w:bCs/>
          <w:color w:val="auto"/>
          <w:sz w:val="36"/>
          <w:szCs w:val="40"/>
          <w:lang w:val="en-US" w:eastAsia="zh-CN"/>
        </w:rPr>
        <w:t xml:space="preserve">6</w:t>
      </w:r>
      <w:r>
        <w:rPr>
          <w:rFonts w:hint="eastAsia" w:ascii="宋体" w:hAnsi="宋体" w:eastAsia="宋体"/>
          <w:b/>
          <w:bCs/>
          <w:color w:val="auto"/>
          <w:sz w:val="36"/>
          <w:szCs w:val="40"/>
        </w:rPr>
        <w:t xml:space="preserve">年</w:t>
      </w:r>
      <w:r>
        <w:rPr>
          <w:rFonts w:hint="eastAsia" w:ascii="宋体" w:hAnsi="宋体" w:eastAsia="宋体"/>
          <w:b/>
          <w:bCs/>
          <w:color w:val="auto"/>
          <w:sz w:val="36"/>
          <w:szCs w:val="40"/>
          <w:lang w:val="en-US" w:eastAsia="zh-CN"/>
        </w:rPr>
        <w:t xml:space="preserve">6</w:t>
      </w:r>
      <w:r>
        <w:rPr>
          <w:rFonts w:hint="eastAsia" w:ascii="宋体" w:hAnsi="宋体" w:eastAsia="宋体"/>
          <w:b/>
          <w:bCs/>
          <w:color w:val="auto"/>
          <w:sz w:val="36"/>
          <w:szCs w:val="40"/>
        </w:rPr>
        <w:t xml:space="preserve">月</w:t>
      </w:r>
      <w:r/>
    </w:p>
    <w:p>
      <w:pPr>
        <w:rPr>
          <w:rFonts w:hint="eastAsia" w:ascii="宋体" w:hAnsi="宋体" w:eastAsia="宋体"/>
          <w:color w:val="auto"/>
        </w:rPr>
      </w:pPr>
      <w:r>
        <w:rPr>
          <w:rFonts w:hint="eastAsia" w:ascii="宋体" w:hAnsi="宋体" w:eastAsia="宋体"/>
          <w:color w:val="auto"/>
        </w:rPr>
      </w:r>
      <w:r/>
    </w:p>
    <w:p>
      <w:pPr>
        <w:pStyle w:val="906"/>
        <w:jc w:val="center"/>
        <w:rPr>
          <w:rFonts w:ascii="宋体" w:hAnsi="宋体" w:eastAsia="宋体" w:cstheme="minorBidi"/>
          <w:color w:val="auto"/>
          <w:sz w:val="21"/>
          <w:szCs w:val="22"/>
          <w:lang w:val="zh-CN"/>
        </w:rPr>
        <w:sectPr>
          <w:footnotePr/>
          <w:endnotePr/>
          <w:type w:val="nextPage"/>
          <w:pgSz w:w="11906" w:h="16838" w:orient="portrait"/>
          <w:pgMar w:top="1417" w:right="1701" w:bottom="1417" w:left="1701" w:header="851" w:footer="680" w:gutter="0"/>
          <w:pgNumType w:start="1"/>
          <w:cols w:num="1" w:sep="0" w:space="0" w:equalWidth="1"/>
          <w:docGrid w:linePitch="360"/>
        </w:sectPr>
      </w:pPr>
      <w:r>
        <w:rPr>
          <w:rFonts w:ascii="宋体" w:hAnsi="宋体" w:eastAsia="宋体" w:cstheme="minorBidi"/>
          <w:color w:val="auto"/>
          <w:sz w:val="21"/>
          <w:szCs w:val="22"/>
          <w:lang w:val="zh-CN"/>
        </w:rPr>
      </w:r>
      <w:r/>
    </w:p>
    <w:sdt>
      <w:sdtPr>
        <w15:appearance w15:val="boundingBox"/>
        <w:id w:val="330504054"/>
        <w:docPartObj>
          <w:docPartGallery w:val="Table of Contents"/>
          <w:docPartUnique w:val="true"/>
        </w:docPartObj>
        <w:rPr>
          <w:rFonts w:ascii="宋体" w:hAnsi="宋体" w:eastAsia="宋体" w:cstheme="minorBidi"/>
          <w:color w:val="auto"/>
          <w:sz w:val="21"/>
          <w:szCs w:val="22"/>
          <w:lang w:val="zh-CN"/>
        </w:rPr>
      </w:sdtPr>
      <w:sdtContent>
        <w:p>
          <w:pPr>
            <w:pStyle w:val="906"/>
            <w:jc w:val="center"/>
            <w:rPr>
              <w:rFonts w:hint="eastAsia" w:ascii="宋体" w:hAnsi="宋体" w:eastAsia="宋体" w:cs="宋体"/>
              <w:b/>
              <w:bCs/>
              <w:color w:val="auto"/>
              <w:sz w:val="36"/>
              <w:szCs w:val="36"/>
            </w:rPr>
          </w:pPr>
          <w:r>
            <w:rPr>
              <w:rFonts w:hint="eastAsia" w:ascii="宋体" w:hAnsi="宋体" w:eastAsia="宋体" w:cs="宋体"/>
              <w:b/>
              <w:bCs/>
              <w:color w:val="auto"/>
              <w:sz w:val="36"/>
              <w:szCs w:val="36"/>
              <w:lang w:val="zh-CN"/>
            </w:rPr>
            <w:t xml:space="preserve">目  录</w:t>
          </w:r>
          <w:r/>
        </w:p>
        <w:p>
          <w:pPr>
            <w:pStyle w:val="730"/>
            <w:tabs>
              <w:tab w:val="left" w:pos="1320" w:leader="none"/>
              <w:tab w:val="right" w:pos="8296" w:leader="dot"/>
            </w:tabs>
            <w:rPr>
              <w:rFonts w:hint="eastAsia" w:ascii="宋体" w:hAnsi="宋体" w:eastAsia="宋体" w:cs="宋体"/>
              <w:color w:val="auto"/>
            </w:rPr>
          </w:pPr>
          <w:r>
            <w:rPr>
              <w:rFonts w:hint="eastAsia" w:ascii="宋体" w:hAnsi="宋体" w:eastAsia="宋体" w:cs="宋体"/>
              <w:color w:val="auto"/>
            </w:rPr>
          </w:r>
          <w:r/>
        </w:p>
        <w:p>
          <w:pPr>
            <w:pStyle w:val="730"/>
            <w:tabs>
              <w:tab w:val="left" w:pos="1320" w:leader="none"/>
              <w:tab w:val="right" w:pos="8296" w:leader="dot"/>
            </w:tabs>
            <w:rPr>
              <w:rFonts w:hint="eastAsia" w:ascii="宋体" w:hAnsi="宋体" w:eastAsia="宋体" w:cs="宋体"/>
              <w:color w:val="auto"/>
            </w:rPr>
          </w:pPr>
          <w:r>
            <w:rPr>
              <w:rFonts w:hint="eastAsia" w:ascii="宋体" w:hAnsi="宋体" w:eastAsia="宋体" w:cs="宋体"/>
              <w:color w:val="auto"/>
            </w:rPr>
          </w:r>
          <w:r/>
        </w:p>
        <w:p>
          <w:pPr>
            <w:pStyle w:val="730"/>
            <w:tabs>
              <w:tab w:val="left" w:pos="1320" w:leader="none"/>
              <w:tab w:val="right" w:pos="8296" w:leader="dot"/>
            </w:tabs>
            <w:rPr>
              <w:rFonts w:hint="eastAsia" w:ascii="宋体" w:hAnsi="宋体" w:eastAsia="宋体" w:cs="宋体"/>
              <w:b/>
              <w:bCs/>
              <w:color w:val="auto"/>
              <w:sz w:val="28"/>
              <w:szCs w:val="28"/>
            </w:rPr>
          </w:pPr>
          <w:r>
            <w:rPr>
              <w:rFonts w:hint="eastAsia" w:ascii="宋体" w:hAnsi="宋体" w:eastAsia="宋体" w:cs="宋体"/>
              <w:color w:val="auto"/>
            </w:rPr>
            <w:fldChar w:fldCharType="begin"/>
          </w:r>
          <w:r>
            <w:rPr>
              <w:rFonts w:hint="eastAsia" w:ascii="宋体" w:hAnsi="宋体" w:eastAsia="宋体" w:cs="宋体"/>
              <w:color w:val="auto"/>
            </w:rPr>
            <w:instrText xml:space="preserve"> TOC \o "1-4" \h \z \u </w:instrText>
          </w:r>
          <w:r>
            <w:rPr>
              <w:rFonts w:hint="eastAsia" w:ascii="宋体" w:hAnsi="宋体" w:eastAsia="宋体" w:cs="宋体"/>
              <w:color w:val="auto"/>
            </w:rPr>
            <w:fldChar w:fldCharType="separate"/>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"_Toc197644519" \o "#_Toc197644519" </w:instrText>
          </w:r>
          <w:r>
            <w:rPr>
              <w:rFonts w:hint="eastAsia" w:ascii="宋体" w:hAnsi="宋体" w:eastAsia="宋体" w:cs="宋体"/>
              <w:b/>
              <w:bCs/>
              <w:color w:val="auto"/>
              <w:sz w:val="28"/>
              <w:szCs w:val="28"/>
            </w:rPr>
            <w:fldChar w:fldCharType="separate"/>
          </w:r>
          <w:r>
            <w:rPr>
              <w:rStyle w:val="737"/>
              <w:rFonts w:hint="eastAsia" w:ascii="宋体" w:hAnsi="宋体" w:eastAsia="宋体" w:cs="宋体"/>
              <w:b/>
              <w:bCs/>
              <w:color w:val="auto"/>
              <w:sz w:val="28"/>
              <w:szCs w:val="28"/>
              <w14:ligatures w14:val="none"/>
            </w:rPr>
            <w:t xml:space="preserve">第一章</w:t>
          </w:r>
          <w:r>
            <w:rPr>
              <w:rFonts w:hint="eastAsia" w:ascii="宋体" w:hAnsi="宋体" w:eastAsia="宋体" w:cs="宋体"/>
              <w:b/>
              <w:bCs/>
              <w:color w:val="auto"/>
              <w:sz w:val="28"/>
              <w:szCs w:val="28"/>
            </w:rPr>
            <w:tab/>
          </w:r>
          <w:r>
            <w:rPr>
              <w:rStyle w:val="737"/>
              <w:rFonts w:hint="eastAsia" w:ascii="宋体" w:hAnsi="宋体" w:eastAsia="宋体" w:cs="宋体"/>
              <w:b/>
              <w:bCs/>
              <w:color w:val="auto"/>
              <w:sz w:val="28"/>
              <w:szCs w:val="28"/>
              <w14:ligatures w14:val="none"/>
            </w:rPr>
            <w:t xml:space="preserve">招标公告</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 xml:space="preserve">2</w:t>
          </w:r>
          <w:r>
            <w:rPr>
              <w:rFonts w:hint="eastAsia" w:ascii="宋体" w:hAnsi="宋体" w:eastAsia="宋体" w:cs="宋体"/>
              <w:b/>
              <w:bCs/>
              <w:color w:val="auto"/>
              <w:sz w:val="28"/>
              <w:szCs w:val="28"/>
            </w:rPr>
            <w:fldChar w:fldCharType="end"/>
          </w:r>
          <w:r/>
        </w:p>
        <w:p>
          <w:pPr>
            <w:pStyle w:val="718"/>
            <w:tabs>
              <w:tab w:val="right" w:pos="829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30"/>
            <w:tabs>
              <w:tab w:val="left" w:pos="1320" w:leader="none"/>
              <w:tab w:val="right" w:pos="829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"_Toc197644527" \o "#_Toc197644527" </w:instrText>
          </w:r>
          <w:r>
            <w:rPr>
              <w:rFonts w:hint="eastAsia" w:ascii="宋体" w:hAnsi="宋体" w:eastAsia="宋体" w:cs="宋体"/>
              <w:b/>
              <w:bCs/>
              <w:color w:val="auto"/>
              <w:sz w:val="28"/>
              <w:szCs w:val="28"/>
            </w:rPr>
            <w:fldChar w:fldCharType="separate"/>
          </w:r>
          <w:r>
            <w:rPr>
              <w:rStyle w:val="737"/>
              <w:rFonts w:hint="eastAsia" w:ascii="宋体" w:hAnsi="宋体" w:eastAsia="宋体" w:cs="宋体"/>
              <w:b/>
              <w:bCs/>
              <w:color w:val="auto"/>
              <w:sz w:val="28"/>
              <w:szCs w:val="28"/>
              <w14:ligatures w14:val="none"/>
            </w:rPr>
            <w:t xml:space="preserve">第二章</w:t>
          </w:r>
          <w:r>
            <w:rPr>
              <w:rFonts w:hint="eastAsia" w:ascii="宋体" w:hAnsi="宋体" w:eastAsia="宋体" w:cs="宋体"/>
              <w:b/>
              <w:bCs/>
              <w:color w:val="auto"/>
              <w:sz w:val="28"/>
              <w:szCs w:val="28"/>
            </w:rPr>
            <w:tab/>
          </w:r>
          <w:r>
            <w:rPr>
              <w:rStyle w:val="737"/>
              <w:rFonts w:hint="eastAsia" w:ascii="宋体" w:hAnsi="宋体" w:eastAsia="宋体" w:cs="宋体"/>
              <w:b/>
              <w:bCs/>
              <w:color w:val="auto"/>
              <w:sz w:val="28"/>
              <w:szCs w:val="28"/>
              <w14:ligatures w14:val="none"/>
            </w:rPr>
            <w:t xml:space="preserve">投标人须知</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_Toc197644527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6</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r/>
        </w:p>
        <w:p>
          <w:pPr>
            <w:pStyle w:val="725"/>
            <w:tabs>
              <w:tab w:val="right" w:pos="829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30"/>
            <w:tabs>
              <w:tab w:val="left" w:pos="1320" w:leader="none"/>
              <w:tab w:val="right" w:pos="829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"_Toc197644568" \o "#_Toc197644568" </w:instrText>
          </w:r>
          <w:r>
            <w:rPr>
              <w:rFonts w:hint="eastAsia" w:ascii="宋体" w:hAnsi="宋体" w:eastAsia="宋体" w:cs="宋体"/>
              <w:b/>
              <w:bCs/>
              <w:color w:val="auto"/>
              <w:sz w:val="28"/>
              <w:szCs w:val="28"/>
            </w:rPr>
            <w:fldChar w:fldCharType="separate"/>
          </w:r>
          <w:r>
            <w:rPr>
              <w:rStyle w:val="737"/>
              <w:rFonts w:hint="eastAsia" w:ascii="宋体" w:hAnsi="宋体" w:eastAsia="宋体" w:cs="宋体"/>
              <w:b/>
              <w:bCs/>
              <w:color w:val="auto"/>
              <w:sz w:val="28"/>
              <w:szCs w:val="28"/>
              <w14:ligatures w14:val="none"/>
            </w:rPr>
            <w:t xml:space="preserve">第三章</w:t>
          </w:r>
          <w:r>
            <w:rPr>
              <w:rFonts w:hint="eastAsia" w:ascii="宋体" w:hAnsi="宋体" w:eastAsia="宋体" w:cs="宋体"/>
              <w:b/>
              <w:bCs/>
              <w:color w:val="auto"/>
              <w:sz w:val="28"/>
              <w:szCs w:val="28"/>
            </w:rPr>
            <w:tab/>
          </w:r>
          <w:r>
            <w:rPr>
              <w:rStyle w:val="737"/>
              <w:rFonts w:hint="eastAsia" w:ascii="宋体" w:hAnsi="宋体" w:eastAsia="宋体" w:cs="宋体"/>
              <w:b/>
              <w:bCs/>
              <w:color w:val="auto"/>
              <w:sz w:val="28"/>
              <w:szCs w:val="28"/>
              <w14:ligatures w14:val="none"/>
            </w:rPr>
            <w:t xml:space="preserve">合同文本</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_Toc197644568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21</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r/>
        </w:p>
        <w:p>
          <w:pPr>
            <w:pStyle w:val="730"/>
            <w:tabs>
              <w:tab w:val="left" w:pos="1320" w:leader="none"/>
              <w:tab w:val="right" w:pos="829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30"/>
            <w:tabs>
              <w:tab w:val="left" w:pos="1320" w:leader="none"/>
              <w:tab w:val="right" w:pos="829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"_Toc197644569" \o "#_Toc197644569" </w:instrText>
          </w:r>
          <w:r>
            <w:rPr>
              <w:rFonts w:hint="eastAsia" w:ascii="宋体" w:hAnsi="宋体" w:eastAsia="宋体" w:cs="宋体"/>
              <w:b/>
              <w:bCs/>
              <w:color w:val="auto"/>
              <w:sz w:val="28"/>
              <w:szCs w:val="28"/>
            </w:rPr>
            <w:fldChar w:fldCharType="separate"/>
          </w:r>
          <w:r>
            <w:rPr>
              <w:rStyle w:val="737"/>
              <w:rFonts w:hint="eastAsia" w:ascii="宋体" w:hAnsi="宋体" w:eastAsia="宋体" w:cs="宋体"/>
              <w:b/>
              <w:bCs/>
              <w:color w:val="auto"/>
              <w:sz w:val="28"/>
              <w:szCs w:val="28"/>
              <w14:ligatures w14:val="none"/>
            </w:rPr>
            <w:t xml:space="preserve">第四章</w:t>
          </w:r>
          <w:r>
            <w:rPr>
              <w:rFonts w:hint="eastAsia" w:ascii="宋体" w:hAnsi="宋体" w:eastAsia="宋体" w:cs="宋体"/>
              <w:b/>
              <w:bCs/>
              <w:color w:val="auto"/>
              <w:sz w:val="28"/>
              <w:szCs w:val="28"/>
            </w:rPr>
            <w:tab/>
          </w:r>
          <w:r>
            <w:rPr>
              <w:rStyle w:val="737"/>
              <w:rFonts w:hint="eastAsia" w:ascii="宋体" w:hAnsi="宋体" w:eastAsia="宋体" w:cs="宋体"/>
              <w:b/>
              <w:bCs/>
              <w:color w:val="auto"/>
              <w:sz w:val="28"/>
              <w:szCs w:val="28"/>
              <w14:ligatures w14:val="none"/>
            </w:rPr>
            <w:t xml:space="preserve">采购需求</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PAGEREF _Toc197644569 \h </w:instrText>
          </w:r>
          <w:r>
            <w:rPr>
              <w:rFonts w:hint="eastAsia" w:ascii="宋体" w:hAnsi="宋体" w:eastAsia="宋体" w:cs="宋体"/>
              <w:b/>
              <w:bCs/>
              <w:color w:val="auto"/>
              <w:sz w:val="28"/>
              <w:szCs w:val="28"/>
            </w:rPr>
            <w:fldChar w:fldCharType="separate"/>
          </w:r>
          <w:r>
            <w:rPr>
              <w:rFonts w:hint="eastAsia" w:ascii="宋体" w:hAnsi="宋体" w:eastAsia="宋体" w:cs="宋体"/>
              <w:b/>
              <w:bCs/>
              <w:color w:val="auto"/>
              <w:sz w:val="28"/>
              <w:szCs w:val="28"/>
            </w:rPr>
            <w:t xml:space="preserve">27</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rPr>
            <w:fldChar w:fldCharType="end"/>
          </w:r>
          <w:r/>
        </w:p>
        <w:p>
          <w:pPr>
            <w:pStyle w:val="718"/>
            <w:tabs>
              <w:tab w:val="right" w:pos="829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30"/>
            <w:tabs>
              <w:tab w:val="left" w:pos="1320" w:leader="none"/>
              <w:tab w:val="right" w:pos="8296" w:leader="dot"/>
            </w:tabs>
            <w:rPr>
              <w:rFonts w:hint="eastAsia" w:ascii="宋体" w:hAnsi="宋体" w:eastAsia="宋体" w:cs="宋体"/>
              <w:b/>
              <w:bCs/>
              <w:color w:val="auto"/>
              <w:sz w:val="28"/>
              <w:szCs w:val="28"/>
              <w:lang w:val="en-US" w:eastAsia="zh-CN"/>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"_Toc197644575" \o "#_Toc197644575" </w:instrText>
          </w:r>
          <w:r>
            <w:rPr>
              <w:rFonts w:hint="eastAsia" w:ascii="宋体" w:hAnsi="宋体" w:eastAsia="宋体" w:cs="宋体"/>
              <w:b/>
              <w:bCs/>
              <w:color w:val="auto"/>
              <w:sz w:val="28"/>
              <w:szCs w:val="28"/>
            </w:rPr>
            <w:fldChar w:fldCharType="separate"/>
          </w:r>
          <w:r>
            <w:rPr>
              <w:rStyle w:val="737"/>
              <w:rFonts w:hint="eastAsia" w:ascii="宋体" w:hAnsi="宋体" w:eastAsia="宋体" w:cs="宋体"/>
              <w:b/>
              <w:bCs/>
              <w:color w:val="auto"/>
              <w:sz w:val="28"/>
              <w:szCs w:val="28"/>
              <w14:ligatures w14:val="none"/>
            </w:rPr>
            <w:t xml:space="preserve">第五章</w:t>
          </w:r>
          <w:r>
            <w:rPr>
              <w:rFonts w:hint="eastAsia" w:ascii="宋体" w:hAnsi="宋体" w:eastAsia="宋体" w:cs="宋体"/>
              <w:b/>
              <w:bCs/>
              <w:color w:val="auto"/>
              <w:sz w:val="28"/>
              <w:szCs w:val="28"/>
            </w:rPr>
            <w:tab/>
          </w:r>
          <w:r>
            <w:rPr>
              <w:rStyle w:val="737"/>
              <w:rFonts w:hint="eastAsia" w:ascii="宋体" w:hAnsi="宋体" w:eastAsia="宋体" w:cs="宋体"/>
              <w:b/>
              <w:bCs/>
              <w:color w:val="auto"/>
              <w:sz w:val="28"/>
              <w:szCs w:val="28"/>
              <w14:ligatures w14:val="none"/>
            </w:rPr>
            <w:t xml:space="preserve">评标方法与评标标准</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 xml:space="preserve">3</w:t>
          </w:r>
          <w:r>
            <w:rPr>
              <w:rFonts w:hint="eastAsia" w:ascii="宋体" w:hAnsi="宋体" w:eastAsia="宋体" w:cs="宋体"/>
              <w:b/>
              <w:bCs/>
              <w:color w:val="auto"/>
              <w:sz w:val="28"/>
              <w:szCs w:val="28"/>
            </w:rPr>
            <w:fldChar w:fldCharType="end"/>
          </w:r>
          <w:r>
            <w:rPr>
              <w:rFonts w:hint="eastAsia" w:ascii="宋体" w:hAnsi="宋体" w:eastAsia="宋体" w:cs="宋体"/>
              <w:b/>
              <w:bCs/>
              <w:color w:val="auto"/>
              <w:sz w:val="28"/>
              <w:szCs w:val="28"/>
              <w:lang w:val="en-US" w:eastAsia="zh-CN"/>
            </w:rPr>
            <w:t xml:space="preserve">6</w:t>
          </w:r>
          <w:r/>
        </w:p>
        <w:p>
          <w:pPr>
            <w:pStyle w:val="718"/>
            <w:tabs>
              <w:tab w:val="right" w:pos="8296" w:leader="dot"/>
            </w:tabs>
            <w:rPr>
              <w:rFonts w:hint="eastAsia" w:ascii="宋体" w:hAnsi="宋体" w:eastAsia="宋体" w:cs="宋体"/>
              <w:b/>
              <w:bCs/>
              <w:color w:val="auto"/>
              <w:sz w:val="28"/>
              <w:szCs w:val="28"/>
            </w:rPr>
          </w:pPr>
          <w:r>
            <w:rPr>
              <w:rFonts w:hint="eastAsia" w:ascii="宋体" w:hAnsi="宋体" w:eastAsia="宋体" w:cs="宋体"/>
              <w:b/>
              <w:bCs/>
              <w:color w:val="auto"/>
              <w:sz w:val="28"/>
              <w:szCs w:val="28"/>
            </w:rPr>
          </w:r>
          <w:r/>
        </w:p>
        <w:p>
          <w:pPr>
            <w:pStyle w:val="730"/>
            <w:tabs>
              <w:tab w:val="left" w:pos="1320" w:leader="none"/>
              <w:tab w:val="right" w:pos="8296" w:leader="dot"/>
            </w:tabs>
            <w:rPr>
              <w:rFonts w:hint="eastAsia" w:ascii="宋体" w:hAnsi="宋体" w:eastAsia="宋体" w:cs="宋体"/>
              <w:b/>
              <w:bCs/>
              <w:color w:val="auto"/>
              <w:sz w:val="22"/>
              <w:szCs w:val="24"/>
              <w:lang w:val="en-US" w:eastAsia="zh-CN"/>
            </w:rPr>
          </w:pPr>
          <w:r>
            <w:rPr>
              <w:rFonts w:hint="eastAsia" w:ascii="宋体" w:hAnsi="宋体" w:eastAsia="宋体" w:cs="宋体"/>
              <w:b/>
              <w:bCs/>
              <w:color w:val="auto"/>
              <w:sz w:val="28"/>
              <w:szCs w:val="28"/>
            </w:rPr>
            <w:fldChar w:fldCharType="begin"/>
          </w:r>
          <w:r>
            <w:rPr>
              <w:rFonts w:hint="eastAsia" w:ascii="宋体" w:hAnsi="宋体" w:eastAsia="宋体" w:cs="宋体"/>
              <w:b/>
              <w:bCs/>
              <w:color w:val="auto"/>
              <w:sz w:val="28"/>
              <w:szCs w:val="28"/>
            </w:rPr>
            <w:instrText xml:space="preserve"> HYPERLINK \l "_Toc197644579" \o "#_Toc197644579" </w:instrText>
          </w:r>
          <w:r>
            <w:rPr>
              <w:rFonts w:hint="eastAsia" w:ascii="宋体" w:hAnsi="宋体" w:eastAsia="宋体" w:cs="宋体"/>
              <w:b/>
              <w:bCs/>
              <w:color w:val="auto"/>
              <w:sz w:val="28"/>
              <w:szCs w:val="28"/>
            </w:rPr>
            <w:fldChar w:fldCharType="separate"/>
          </w:r>
          <w:r>
            <w:rPr>
              <w:rStyle w:val="737"/>
              <w:rFonts w:hint="eastAsia" w:ascii="宋体" w:hAnsi="宋体" w:eastAsia="宋体" w:cs="宋体"/>
              <w:b/>
              <w:bCs/>
              <w:color w:val="auto"/>
              <w:sz w:val="28"/>
              <w:szCs w:val="28"/>
              <w14:ligatures w14:val="none"/>
            </w:rPr>
            <w:t xml:space="preserve">第六章</w:t>
          </w:r>
          <w:r>
            <w:rPr>
              <w:rFonts w:hint="eastAsia" w:ascii="宋体" w:hAnsi="宋体" w:eastAsia="宋体" w:cs="宋体"/>
              <w:b/>
              <w:bCs/>
              <w:color w:val="auto"/>
              <w:sz w:val="28"/>
              <w:szCs w:val="28"/>
            </w:rPr>
            <w:tab/>
          </w:r>
          <w:r>
            <w:rPr>
              <w:rStyle w:val="737"/>
              <w:rFonts w:hint="eastAsia" w:ascii="宋体" w:hAnsi="宋体" w:eastAsia="宋体" w:cs="宋体"/>
              <w:b/>
              <w:bCs/>
              <w:color w:val="auto"/>
              <w:sz w:val="28"/>
              <w:szCs w:val="28"/>
              <w14:ligatures w14:val="none"/>
            </w:rPr>
            <w:t xml:space="preserve">投标文件格式</w:t>
          </w:r>
          <w:r>
            <w:rPr>
              <w:rFonts w:hint="eastAsia" w:ascii="宋体" w:hAnsi="宋体" w:eastAsia="宋体" w:cs="宋体"/>
              <w:b/>
              <w:bCs/>
              <w:color w:val="auto"/>
              <w:sz w:val="28"/>
              <w:szCs w:val="28"/>
            </w:rPr>
            <w:tab/>
          </w:r>
          <w:r>
            <w:rPr>
              <w:rFonts w:hint="eastAsia" w:ascii="宋体" w:hAnsi="宋体" w:eastAsia="宋体" w:cs="宋体"/>
              <w:b/>
              <w:bCs/>
              <w:color w:val="auto"/>
              <w:sz w:val="28"/>
              <w:szCs w:val="28"/>
              <w:lang w:val="en-US" w:eastAsia="zh-CN"/>
            </w:rPr>
            <w:t xml:space="preserve">42</w:t>
          </w:r>
          <w:r>
            <w:rPr>
              <w:rFonts w:hint="eastAsia" w:ascii="宋体" w:hAnsi="宋体" w:eastAsia="宋体" w:cs="宋体"/>
              <w:b/>
              <w:bCs/>
              <w:color w:val="auto"/>
              <w:sz w:val="28"/>
              <w:szCs w:val="28"/>
            </w:rPr>
            <w:fldChar w:fldCharType="end"/>
          </w:r>
          <w:r/>
        </w:p>
        <w:p>
          <w:pPr>
            <w:pStyle w:val="730"/>
            <w:tabs>
              <w:tab w:val="right" w:pos="8296" w:leader="dot"/>
            </w:tabs>
            <w:rPr>
              <w:rFonts w:hint="eastAsia" w:ascii="宋体" w:hAnsi="宋体" w:eastAsia="宋体" w:cs="宋体"/>
              <w:color w:val="auto"/>
              <w:sz w:val="22"/>
              <w:szCs w:val="24"/>
            </w:rPr>
          </w:pPr>
          <w:r>
            <w:rPr>
              <w:rFonts w:hint="eastAsia" w:ascii="宋体" w:hAnsi="宋体" w:eastAsia="宋体" w:cs="宋体"/>
              <w:color w:val="auto"/>
              <w:sz w:val="22"/>
              <w:szCs w:val="24"/>
            </w:rPr>
          </w:r>
          <w:r/>
        </w:p>
        <w:p>
          <w:pPr>
            <w:rPr>
              <w:rFonts w:hint="eastAsia" w:ascii="宋体" w:hAnsi="宋体" w:eastAsia="宋体"/>
              <w:color w:val="auto"/>
            </w:rPr>
          </w:pPr>
          <w:r>
            <w:rPr>
              <w:rFonts w:hint="eastAsia" w:ascii="宋体" w:hAnsi="宋体" w:eastAsia="宋体" w:cs="宋体"/>
              <w:color w:val="auto"/>
            </w:rPr>
            <w:fldChar w:fldCharType="end"/>
          </w:r>
          <w:r/>
        </w:p>
      </w:sdtContent>
    </w:sdt>
    <w:p>
      <w:pPr>
        <w:jc w:val="left"/>
        <w:widowControl/>
        <w:rPr>
          <w:rFonts w:hint="eastAsia" w:ascii="宋体" w:hAnsi="宋体" w:eastAsia="宋体"/>
          <w:color w:val="auto"/>
        </w:rPr>
      </w:pPr>
      <w:r>
        <w:rPr>
          <w:rFonts w:hint="eastAsia" w:ascii="宋体" w:hAnsi="宋体" w:eastAsia="宋体"/>
          <w:color w:val="auto"/>
        </w:rPr>
        <w:br w:type="page" w:clear="all"/>
      </w:r>
      <w:r/>
    </w:p>
    <w:p>
      <w:pPr>
        <w:pStyle w:val="699"/>
        <w:numPr>
          <w:ilvl w:val="0"/>
          <w:numId w:val="1"/>
        </w:numPr>
        <w:ind w:left="0" w:firstLine="0"/>
        <w:jc w:val="center"/>
        <w:keepLines w:val="0"/>
        <w:keepNext w:val="0"/>
        <w:spacing w:before="100" w:beforeAutospacing="1" w:after="100" w:afterAutospacing="1" w:line="360" w:lineRule="auto"/>
        <w:rPr>
          <w:rFonts w:hint="eastAsia" w:ascii="宋体" w:hAnsi="宋体" w:eastAsia="宋体" w:cs="Times New Roman"/>
          <w:b/>
          <w:bCs/>
          <w:color w:val="auto"/>
          <w:sz w:val="32"/>
          <w:szCs w:val="32"/>
          <w14:ligatures w14:val="none"/>
        </w:rPr>
        <w:outlineLvl w:val="0"/>
      </w:pPr>
      <w:r/>
      <w:bookmarkStart w:id="0" w:name="_Toc197644519"/>
      <w:r>
        <w:rPr>
          <w:rFonts w:hint="eastAsia" w:ascii="宋体" w:hAnsi="宋体" w:eastAsia="宋体" w:cs="Times New Roman"/>
          <w:b/>
          <w:bCs/>
          <w:color w:val="auto"/>
          <w:sz w:val="32"/>
          <w:szCs w:val="32"/>
          <w14:ligatures w14:val="none"/>
        </w:rPr>
        <w:t xml:space="preserve">招标公告</w:t>
      </w:r>
      <w:bookmarkEnd w:id="0"/>
      <w:r/>
      <w:r/>
    </w:p>
    <w:p>
      <w:pPr>
        <w:ind w:firstLine="422"/>
        <w:jc w:val="left"/>
        <w:keepLines w:val="0"/>
        <w:keepNext w:val="0"/>
        <w:pageBreakBefore w:val="0"/>
        <w:spacing w:line="500" w:lineRule="exact"/>
        <w:widowControl w:val="off"/>
        <w:rPr>
          <w:rFonts w:hint="eastAsia" w:ascii="宋体" w:hAnsi="宋体" w:eastAsia="宋体"/>
          <w:b/>
          <w:bCs/>
          <w:color w:val="auto"/>
          <w:sz w:val="24"/>
          <w:szCs w:val="28"/>
        </w:rPr>
        <w:pBdr>
          <w:top w:val="single" w:color="auto" w:sz="4" w:space="1"/>
          <w:left w:val="single" w:color="auto" w:sz="4" w:space="4"/>
          <w:bottom w:val="single" w:color="auto" w:sz="4" w:space="1"/>
          <w:right w:val="single" w:color="auto" w:sz="4" w:space="4"/>
        </w:pBdr>
      </w:pPr>
      <w:r>
        <w:rPr>
          <w:rFonts w:hint="eastAsia" w:ascii="宋体" w:hAnsi="宋体" w:eastAsia="宋体"/>
          <w:b/>
          <w:bCs/>
          <w:color w:val="auto"/>
          <w:sz w:val="24"/>
          <w:szCs w:val="28"/>
        </w:rPr>
        <w:t xml:space="preserve">项目概况</w:t>
      </w:r>
      <w:r/>
    </w:p>
    <w:p>
      <w:pPr>
        <w:ind w:firstLine="424"/>
        <w:keepLines w:val="0"/>
        <w:keepNext w:val="0"/>
        <w:pageBreakBefore w:val="0"/>
        <w:spacing w:line="500" w:lineRule="exact"/>
        <w:widowControl w:val="off"/>
        <w:rPr>
          <w:rFonts w:hint="eastAsia" w:ascii="宋体" w:hAnsi="宋体" w:eastAsia="宋体" w:cs="宋体"/>
          <w:color w:val="auto"/>
          <w:sz w:val="24"/>
          <w:szCs w:val="24"/>
        </w:rPr>
        <w:pBdr>
          <w:top w:val="single" w:color="auto" w:sz="4" w:space="1"/>
          <w:left w:val="single" w:color="auto" w:sz="4" w:space="4"/>
          <w:bottom w:val="single" w:color="auto" w:sz="4" w:space="1"/>
          <w:right w:val="single" w:color="auto" w:sz="4" w:space="4"/>
        </w:pBdr>
      </w:pPr>
      <w:r>
        <w:rPr>
          <w:rFonts w:hint="eastAsia" w:ascii="宋体" w:hAnsi="宋体" w:eastAsia="宋体" w:cs="宋体"/>
          <w:color w:val="auto"/>
          <w:sz w:val="24"/>
          <w:szCs w:val="24"/>
          <w:u w:val="single"/>
          <w:lang w:val="en-US" w:eastAsia="zh-CN"/>
        </w:rPr>
        <w:t xml:space="preserve">盐城市射阳生态环境局射阳县第二轮生物多样性本底调查</w:t>
      </w:r>
      <w:r>
        <w:rPr>
          <w:rFonts w:hint="eastAsia" w:ascii="宋体" w:hAnsi="宋体" w:eastAsia="宋体" w:cs="宋体"/>
          <w:color w:val="auto"/>
          <w:sz w:val="24"/>
          <w:szCs w:val="24"/>
        </w:rPr>
        <w:t xml:space="preserve">的潜在投标人可在</w:t>
      </w:r>
      <w:r>
        <w:rPr>
          <w:rFonts w:hint="eastAsia" w:ascii="宋体" w:hAnsi="宋体" w:eastAsia="宋体" w:cs="宋体"/>
          <w:color w:val="auto"/>
          <w:sz w:val="24"/>
          <w:szCs w:val="24"/>
          <w:shd w:val="clear" w:color="auto" w:fill="ffffff"/>
        </w:rPr>
        <w:t xml:space="preserve">“苏采云”系统内免费下载（投标人必须在苏采云系统中获取采购文件，方能参与政府采购项目）</w:t>
      </w:r>
      <w:r>
        <w:rPr>
          <w:rFonts w:hint="eastAsia" w:ascii="宋体" w:hAnsi="宋体" w:eastAsia="宋体" w:cs="宋体"/>
          <w:color w:val="auto"/>
          <w:sz w:val="24"/>
          <w:szCs w:val="24"/>
        </w:rPr>
        <w:t xml:space="preserve">，并于</w:t>
      </w:r>
      <w:r>
        <w:rPr>
          <w:rFonts w:hint="eastAsia" w:ascii="宋体" w:hAnsi="宋体" w:eastAsia="宋体" w:cs="宋体"/>
          <w:color w:val="auto"/>
          <w:sz w:val="24"/>
          <w:szCs w:val="24"/>
          <w:highlight w:val="yellow"/>
          <w:u w:val="single"/>
        </w:rPr>
        <w:t xml:space="preserve">202</w:t>
      </w:r>
      <w:r>
        <w:rPr>
          <w:rFonts w:hint="eastAsia" w:ascii="宋体" w:hAnsi="宋体" w:eastAsia="宋体" w:cs="宋体"/>
          <w:color w:val="auto"/>
          <w:sz w:val="24"/>
          <w:szCs w:val="24"/>
          <w:highlight w:val="yellow"/>
          <w:u w:val="single"/>
          <w:lang w:val="en-US" w:eastAsia="zh-CN"/>
        </w:rPr>
        <w:t xml:space="preserve">6</w:t>
      </w:r>
      <w:r>
        <w:rPr>
          <w:rFonts w:hint="eastAsia" w:ascii="宋体" w:hAnsi="宋体" w:eastAsia="宋体" w:cs="宋体"/>
          <w:color w:val="auto"/>
          <w:sz w:val="24"/>
          <w:szCs w:val="24"/>
          <w:highlight w:val="yellow"/>
          <w:u w:val="single"/>
        </w:rPr>
        <w:t xml:space="preserve">年</w:t>
      </w:r>
      <w:r>
        <w:rPr>
          <w:rFonts w:hint="eastAsia" w:ascii="宋体" w:hAnsi="宋体" w:eastAsia="宋体" w:cs="宋体"/>
          <w:color w:val="auto"/>
          <w:sz w:val="24"/>
          <w:szCs w:val="24"/>
          <w:highlight w:val="yellow"/>
          <w:u w:val="single"/>
          <w:lang w:val="en-US" w:eastAsia="zh-CN"/>
        </w:rPr>
        <w:t xml:space="preserve">7</w:t>
      </w:r>
      <w:r>
        <w:rPr>
          <w:rFonts w:hint="eastAsia" w:ascii="宋体" w:hAnsi="宋体" w:eastAsia="宋体" w:cs="宋体"/>
          <w:color w:val="auto"/>
          <w:sz w:val="24"/>
          <w:szCs w:val="24"/>
          <w:highlight w:val="yellow"/>
          <w:u w:val="single"/>
        </w:rPr>
        <w:t xml:space="preserve">月</w:t>
      </w:r>
      <w:r>
        <w:rPr>
          <w:rFonts w:hint="eastAsia" w:ascii="宋体" w:hAnsi="宋体" w:eastAsia="宋体" w:cs="宋体"/>
          <w:color w:val="auto"/>
          <w:sz w:val="24"/>
          <w:szCs w:val="24"/>
          <w:highlight w:val="yellow"/>
          <w:u w:val="single"/>
          <w:lang w:val="en-US" w:eastAsia="zh-CN"/>
        </w:rPr>
        <w:t xml:space="preserve">17</w:t>
      </w:r>
      <w:r>
        <w:rPr>
          <w:rFonts w:hint="eastAsia" w:ascii="宋体" w:hAnsi="宋体" w:eastAsia="宋体" w:cs="宋体"/>
          <w:color w:val="auto"/>
          <w:sz w:val="24"/>
          <w:szCs w:val="24"/>
          <w:highlight w:val="yellow"/>
          <w:u w:val="single"/>
        </w:rPr>
        <w:t xml:space="preserve">日</w:t>
      </w:r>
      <w:r>
        <w:rPr>
          <w:rFonts w:hint="eastAsia" w:ascii="宋体" w:hAnsi="宋体" w:eastAsia="宋体" w:cs="宋体"/>
          <w:color w:val="auto"/>
          <w:sz w:val="24"/>
          <w:szCs w:val="24"/>
          <w:highlight w:val="yellow"/>
          <w:u w:val="single"/>
          <w:lang w:val="en-US" w:eastAsia="zh-CN"/>
        </w:rPr>
        <w:t xml:space="preserve">9</w:t>
      </w:r>
      <w:r>
        <w:rPr>
          <w:rFonts w:hint="eastAsia" w:ascii="宋体" w:hAnsi="宋体" w:eastAsia="宋体" w:cs="宋体"/>
          <w:color w:val="auto"/>
          <w:sz w:val="24"/>
          <w:szCs w:val="24"/>
          <w:highlight w:val="yellow"/>
          <w:u w:val="single"/>
        </w:rPr>
        <w:t xml:space="preserve">点00分</w:t>
      </w:r>
      <w:r>
        <w:rPr>
          <w:rFonts w:hint="eastAsia" w:ascii="宋体" w:hAnsi="宋体" w:eastAsia="宋体" w:cs="宋体"/>
          <w:color w:val="auto"/>
          <w:sz w:val="24"/>
          <w:szCs w:val="24"/>
        </w:rPr>
        <w:t xml:space="preserve">（北京时间）前递交投标文件。</w:t>
      </w:r>
      <w:r/>
    </w:p>
    <w:p>
      <w:pPr>
        <w:pStyle w:val="897"/>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rPr>
        <w:outlineLvl w:val="1"/>
      </w:pPr>
      <w:r/>
      <w:bookmarkStart w:id="1" w:name="_Toc197644520"/>
      <w:r>
        <w:rPr>
          <w:rFonts w:hint="eastAsia" w:ascii="宋体" w:hAnsi="宋体" w:eastAsia="宋体" w:cs="宋体"/>
          <w:b/>
          <w:bCs/>
          <w:color w:val="auto"/>
          <w:sz w:val="24"/>
          <w:szCs w:val="24"/>
        </w:rPr>
        <w:t xml:space="preserve">项目基本情况</w:t>
      </w:r>
      <w:bookmarkEnd w:id="1"/>
      <w:r/>
      <w:r/>
    </w:p>
    <w:p>
      <w:pPr>
        <w:pStyle w:val="897"/>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rPr>
      </w:pPr>
      <w:r/>
      <w:bookmarkStart w:id="2" w:name="_Hlk195780407"/>
      <w:r>
        <w:rPr>
          <w:rFonts w:hint="eastAsia" w:ascii="宋体" w:hAnsi="宋体" w:eastAsia="宋体" w:cs="宋体"/>
          <w:color w:val="auto"/>
          <w:sz w:val="24"/>
          <w:szCs w:val="24"/>
        </w:rPr>
        <w:t xml:space="preserve">项目编号</w:t>
      </w:r>
      <w:bookmarkEnd w:id="2"/>
      <w:r>
        <w:rPr>
          <w:rFonts w:hint="eastAsia" w:ascii="宋体" w:hAnsi="宋体" w:eastAsia="宋体" w:cs="宋体"/>
          <w:color w:val="auto"/>
          <w:sz w:val="24"/>
          <w:szCs w:val="24"/>
        </w:rPr>
        <w:t xml:space="preserve">：JSZC-320924-HXIN-G2026-0007</w:t>
      </w:r>
      <w:r/>
    </w:p>
    <w:p>
      <w:pPr>
        <w:pStyle w:val="897"/>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项目名称：</w:t>
      </w:r>
      <w:r>
        <w:rPr>
          <w:rFonts w:hint="eastAsia" w:ascii="宋体" w:hAnsi="宋体" w:eastAsia="宋体" w:cs="宋体"/>
          <w:color w:val="auto"/>
          <w:sz w:val="24"/>
          <w:szCs w:val="24"/>
          <w:lang w:val="en-US" w:eastAsia="zh-CN"/>
        </w:rPr>
        <w:t xml:space="preserve">盐城市射阳生态环境局射阳县第二轮生物多样性本底调查</w:t>
      </w:r>
      <w:r/>
    </w:p>
    <w:p>
      <w:pPr>
        <w:pStyle w:val="897"/>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shd w:val="clear" w:color="auto" w:fill="ffffff"/>
        </w:rPr>
        <w:t xml:space="preserve">采购方式：公开招标</w:t>
      </w:r>
      <w:r/>
    </w:p>
    <w:p>
      <w:pPr>
        <w:pStyle w:val="897"/>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预算金额：</w:t>
      </w:r>
      <w:r>
        <w:rPr>
          <w:rFonts w:hint="eastAsia" w:ascii="宋体" w:hAnsi="宋体" w:eastAsia="宋体" w:cs="宋体"/>
          <w:color w:val="auto"/>
          <w:sz w:val="24"/>
          <w:szCs w:val="24"/>
          <w:lang w:val="en-US" w:eastAsia="zh-CN"/>
        </w:rPr>
        <w:t xml:space="preserve">180万元</w:t>
      </w:r>
      <w:r/>
    </w:p>
    <w:p>
      <w:pPr>
        <w:pStyle w:val="897"/>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rPr>
        <w:t xml:space="preserve">最高限价：</w:t>
      </w:r>
      <w:r>
        <w:rPr>
          <w:rFonts w:hint="eastAsia" w:ascii="宋体" w:hAnsi="宋体" w:eastAsia="宋体" w:cs="宋体"/>
          <w:color w:val="auto"/>
          <w:sz w:val="24"/>
          <w:szCs w:val="24"/>
          <w:lang w:val="en-US" w:eastAsia="zh-CN"/>
        </w:rPr>
        <w:t xml:space="preserve">180万元</w:t>
      </w:r>
      <w:r/>
    </w:p>
    <w:p>
      <w:pPr>
        <w:pStyle w:val="897"/>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通过新一轮调查，更新完善我县生物多样性本底数据，掌握生态系统多样性和物种多样性现状及变化情况，评估全市生物多样性水平，提出下一阶段生物多样性保护对策，推动重要生态系统、生物物种和生物遗传资源得到全面有效保护。调查内容包括但不限于生态系统类型、大型真菌、地衣和苔藓、陆生维管植物、陆生脊椎动物（两栖动物、爬行动物、鸟类、哺乳动物）、陆生昆虫、大中型土壤动物、淡水水生生物（鱼类、底栖动物、浮游动物、浮游植物、着生藻类、水生维管植物）类群的生物多样性现状及历史资料、数据收集整理等。</w:t>
      </w:r>
      <w:r>
        <w:rPr>
          <w:rFonts w:hint="eastAsia" w:ascii="宋体" w:hAnsi="宋体" w:eastAsia="宋体" w:cs="宋体"/>
          <w:color w:val="auto"/>
          <w:sz w:val="24"/>
          <w:szCs w:val="24"/>
          <w:lang w:eastAsia="zh-CN"/>
        </w:rPr>
        <w:t xml:space="preserve">具体详见招标文件第四章采购需求。</w:t>
      </w:r>
      <w:r/>
    </w:p>
    <w:p>
      <w:pPr>
        <w:pStyle w:val="897"/>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履行期限：合同签订之日起1个月内需完成实施方案编制；遵循各类群物种生长、繁殖及迁徙规律选择合适调查时间开展野外调查，并在自合同签订之日12个月内基本完成全部野外调查工作；自合同签订之日14个月内完成全部成果编制，并通过专家论证。</w:t>
      </w:r>
      <w:r/>
    </w:p>
    <w:p>
      <w:pPr>
        <w:pStyle w:val="897"/>
        <w:numPr>
          <w:ilvl w:val="0"/>
          <w:numId w:val="3"/>
        </w:numPr>
        <w:ind w:left="0" w:firstLine="426"/>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本项目不接受联合体参与</w:t>
      </w:r>
      <w:r>
        <w:rPr>
          <w:rFonts w:hint="eastAsia" w:ascii="宋体" w:hAnsi="宋体" w:eastAsia="宋体" w:cs="宋体"/>
          <w:color w:val="auto"/>
          <w:sz w:val="24"/>
          <w:szCs w:val="24"/>
          <w:lang w:val="en-US" w:eastAsia="zh-CN"/>
        </w:rPr>
        <w:t xml:space="preserve">投标</w:t>
      </w:r>
      <w:r/>
    </w:p>
    <w:p>
      <w:pPr>
        <w:pStyle w:val="897"/>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rPr>
        <w:outlineLvl w:val="1"/>
      </w:pPr>
      <w:r/>
      <w:bookmarkStart w:id="3" w:name="_Toc197644521"/>
      <w:r>
        <w:rPr>
          <w:rFonts w:hint="eastAsia" w:ascii="宋体" w:hAnsi="宋体" w:eastAsia="宋体" w:cs="宋体"/>
          <w:b/>
          <w:bCs/>
          <w:color w:val="auto"/>
          <w:sz w:val="24"/>
          <w:szCs w:val="24"/>
        </w:rPr>
        <w:t xml:space="preserve">申请人的资格要求</w:t>
      </w:r>
      <w:bookmarkEnd w:id="3"/>
      <w:r>
        <w:rPr>
          <w:rFonts w:hint="eastAsia" w:ascii="宋体" w:hAnsi="宋体" w:eastAsia="宋体" w:cs="宋体"/>
          <w:b/>
          <w:bCs/>
          <w:color w:val="auto"/>
          <w:sz w:val="24"/>
          <w:szCs w:val="24"/>
          <w:lang w:val="en-US" w:eastAsia="zh-CN"/>
        </w:rPr>
        <w:t xml:space="preserve">:</w:t>
      </w:r>
      <w:r/>
    </w:p>
    <w:p>
      <w:pPr>
        <w:pStyle w:val="897"/>
        <w:numPr>
          <w:ilvl w:val="0"/>
          <w:numId w:val="0"/>
        </w:numPr>
        <w:ind w:firstLine="240"/>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（一）满足《中华人民共和国政府采购法》第二十二条规定，并提供下列材料：</w:t>
      </w:r>
      <w:r/>
    </w:p>
    <w:p>
      <w:pPr>
        <w:pStyle w:val="897"/>
        <w:numPr>
          <w:ilvl w:val="0"/>
          <w:numId w:val="0"/>
        </w:numPr>
        <w:ind w:left="424"/>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法人或者其他组织的营业执照等证明文件，自然人的身份证明；</w:t>
      </w:r>
      <w:r/>
    </w:p>
    <w:p>
      <w:pPr>
        <w:pStyle w:val="897"/>
        <w:numPr>
          <w:ilvl w:val="0"/>
          <w:numId w:val="0"/>
        </w:numPr>
        <w:ind w:left="424"/>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上一年度的财务状况报表（成立不满一年无需提供）；</w:t>
      </w:r>
      <w:r/>
    </w:p>
    <w:p>
      <w:pPr>
        <w:pStyle w:val="897"/>
        <w:numPr>
          <w:ilvl w:val="0"/>
          <w:numId w:val="0"/>
        </w:numPr>
        <w:ind w:left="426"/>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依法缴纳税收和社会保障资金的相关材料（提供提交投标文件截止时间前一年内至少一个月依法缴纳税收及缴纳社会保障资金的证明材料。投标人依法享受缓缴、免缴税收、社会保障资金的提供证明材料。）；</w:t>
      </w:r>
      <w:r/>
    </w:p>
    <w:p>
      <w:pPr>
        <w:pStyle w:val="897"/>
        <w:numPr>
          <w:ilvl w:val="0"/>
          <w:numId w:val="0"/>
        </w:numPr>
        <w:ind w:left="424"/>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具备履行合同所必需的设备和专业技术能力的书面声明；</w:t>
      </w:r>
      <w:r/>
    </w:p>
    <w:p>
      <w:pPr>
        <w:pStyle w:val="897"/>
        <w:numPr>
          <w:ilvl w:val="0"/>
          <w:numId w:val="0"/>
        </w:numPr>
        <w:ind w:left="426"/>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参加政府采购活动前3年内在经营活动中没有重大违法记录的书面声明；</w:t>
      </w:r>
      <w:r/>
    </w:p>
    <w:p>
      <w:pPr>
        <w:pStyle w:val="897"/>
        <w:numPr>
          <w:ilvl w:val="0"/>
          <w:numId w:val="0"/>
        </w:numPr>
        <w:ind w:left="426"/>
        <w:keepLines w:val="0"/>
        <w:keepNext w:val="0"/>
        <w:pageBreakBefore w:val="0"/>
        <w:spacing w:line="500" w:lineRule="exact"/>
        <w:widowControl w:val="off"/>
        <w:rPr>
          <w:rFonts w:hint="eastAsia" w:ascii="宋体" w:hAnsi="宋体" w:eastAsia="宋体" w:cs="宋体"/>
          <w:color w:val="auto"/>
          <w:sz w:val="24"/>
          <w:szCs w:val="24"/>
        </w:rPr>
        <w:outlineLvl w:val="2"/>
      </w:pP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rPr>
        <w:t xml:space="preserve">法律、行政法规规定的其他条件。</w:t>
      </w:r>
      <w:r/>
    </w:p>
    <w:p>
      <w:pPr>
        <w:ind w:firstLine="420"/>
        <w:keepLines w:val="0"/>
        <w:keepNext w:val="0"/>
        <w:pageBreakBefore w:val="0"/>
        <w:spacing w:line="500" w:lineRule="exact"/>
        <w:rPr>
          <w:rFonts w:hint="eastAsia" w:ascii="宋体" w:hAnsi="宋体"/>
          <w:b/>
          <w:bCs/>
          <w:color w:val="auto"/>
          <w:sz w:val="24"/>
        </w:rPr>
      </w:pPr>
      <w:r>
        <w:rPr>
          <w:rFonts w:hint="eastAsia" w:ascii="宋体" w:hAnsi="宋体" w:eastAsia="宋体" w:cs="宋体"/>
          <w:color w:val="auto"/>
          <w:sz w:val="24"/>
          <w:szCs w:val="24"/>
        </w:rPr>
        <w:t xml:space="preserve">（二）落实政府采购政策需满足的资格要求：</w:t>
      </w:r>
      <w:r>
        <w:rPr>
          <w:rFonts w:hint="eastAsia" w:ascii="宋体" w:hAnsi="宋体"/>
          <w:b/>
          <w:bCs/>
          <w:color w:val="auto"/>
          <w:sz w:val="24"/>
        </w:rPr>
        <w:t xml:space="preserve">本项目为服务类。本项目为专门面向中小微企业采购的项目，供应商必须为中小微企业、监狱企业、残疾人福利性单位，不接受非中小企业参与本项目投标。响应文件中需提供《中小企业声明函》，否则按无效标处理。具体中小企业划分标准详见《关于印发中小企业划型标准规定的通知》工信部联企业【2011】300号文件。监狱企业、残疾人福利性单位视同小微企业。</w:t>
      </w:r>
      <w:r/>
    </w:p>
    <w:p>
      <w:pPr>
        <w:pStyle w:val="897"/>
        <w:numPr>
          <w:ilvl w:val="0"/>
          <w:numId w:val="0"/>
        </w:numPr>
        <w:ind w:left="426"/>
        <w:keepLines w:val="0"/>
        <w:keepNext w:val="0"/>
        <w:pageBreakBefore w:val="0"/>
        <w:spacing w:line="500" w:lineRule="exact"/>
        <w:widowControl w:val="off"/>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（三）本项目的特定资格要求：</w:t>
      </w:r>
      <w:r/>
    </w:p>
    <w:p>
      <w:pPr>
        <w:pStyle w:val="897"/>
        <w:numPr>
          <w:ilvl w:val="0"/>
          <w:numId w:val="0"/>
        </w:numPr>
        <w:ind w:left="424"/>
        <w:keepLines w:val="0"/>
        <w:keepNext w:val="0"/>
        <w:pageBreakBefore w:val="0"/>
        <w:spacing w:line="500" w:lineRule="exact"/>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bookmarkStart w:id="4" w:name="OLE_LINK43"/>
      <w:r>
        <w:rPr>
          <w:rFonts w:hint="eastAsia" w:ascii="宋体" w:hAnsi="宋体" w:eastAsia="宋体" w:cs="宋体"/>
          <w:color w:val="auto"/>
          <w:sz w:val="24"/>
          <w:szCs w:val="24"/>
          <w:lang w:val="en-US" w:eastAsia="zh-CN"/>
        </w:rPr>
        <w:t xml:space="preserve">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bookmarkEnd w:id="4"/>
      <w:r/>
      <w:r/>
    </w:p>
    <w:p>
      <w:pPr>
        <w:pStyle w:val="897"/>
        <w:numPr>
          <w:ilvl w:val="0"/>
          <w:numId w:val="0"/>
        </w:numPr>
        <w:ind w:left="424"/>
        <w:keepLines w:val="0"/>
        <w:keepNext w:val="0"/>
        <w:pageBreakBefore w:val="0"/>
        <w:spacing w:line="50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bookmarkStart w:id="5" w:name="OLE_LINK44"/>
      <w:r/>
      <w:bookmarkStart w:id="6" w:name="OLE_LINK45"/>
      <w:r>
        <w:rPr>
          <w:rFonts w:hint="eastAsia" w:ascii="宋体" w:hAnsi="宋体" w:eastAsia="宋体" w:cs="宋体"/>
          <w:color w:val="auto"/>
          <w:sz w:val="24"/>
          <w:szCs w:val="24"/>
          <w:lang w:val="en-US" w:eastAsia="zh-CN"/>
        </w:rPr>
        <w:t xml:space="preserve">单位负责人为同一人或者存在直接控股、管理关系的不同供应商，不得参加同一合同项下的政府采购活动。</w:t>
      </w:r>
      <w:bookmarkEnd w:id="5"/>
      <w:r/>
      <w:bookmarkEnd w:id="6"/>
      <w:r/>
      <w:r/>
    </w:p>
    <w:p>
      <w:pPr>
        <w:pStyle w:val="897"/>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rPr>
        <w:outlineLvl w:val="1"/>
      </w:pPr>
      <w:r/>
      <w:bookmarkStart w:id="7" w:name="_Toc197644522"/>
      <w:r>
        <w:rPr>
          <w:rFonts w:hint="eastAsia" w:ascii="宋体" w:hAnsi="宋体" w:eastAsia="宋体" w:cs="宋体"/>
          <w:b/>
          <w:bCs/>
          <w:color w:val="auto"/>
          <w:sz w:val="24"/>
          <w:szCs w:val="24"/>
        </w:rPr>
        <w:t xml:space="preserve">获取招标文件</w:t>
      </w:r>
      <w:bookmarkEnd w:id="7"/>
      <w:r/>
      <w:r/>
    </w:p>
    <w:p>
      <w:pPr>
        <w:pStyle w:val="897"/>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shd w:val="clear" w:color="auto" w:fill="ffffff"/>
          <w:lang w:val="en-US" w:eastAsia="zh-CN" w:bidi="ar-SA"/>
          <w14:ligatures w14:val="none"/>
        </w:rPr>
        <w:outlineLvl w:val="2"/>
      </w:pPr>
      <w:r>
        <w:rPr>
          <w:rFonts w:hint="eastAsia" w:ascii="宋体" w:hAnsi="宋体" w:eastAsia="宋体" w:cs="宋体"/>
          <w:color w:val="auto"/>
          <w:sz w:val="24"/>
          <w:szCs w:val="24"/>
          <w:shd w:val="clear" w:color="auto" w:fill="ffffff"/>
          <w:lang w:val="en-US" w:eastAsia="zh-CN" w:bidi="ar-SA"/>
          <w14:ligatures w14:val="none"/>
        </w:rPr>
        <w:t xml:space="preserve">时间：自招标公告发布之日起5个工作日</w:t>
      </w:r>
      <w:r/>
    </w:p>
    <w:p>
      <w:pPr>
        <w:pStyle w:val="897"/>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地点：“苏采云”系统内免费下载（投标人必须在“苏采云”系统中获取采购文件，方能参与政府采购项目）</w:t>
      </w:r>
      <w:r/>
    </w:p>
    <w:p>
      <w:pPr>
        <w:pStyle w:val="897"/>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方式：本项目采用网上注册登记方式</w:t>
      </w:r>
      <w:r/>
    </w:p>
    <w:p>
      <w:pPr>
        <w:pStyle w:val="897"/>
        <w:numPr>
          <w:ilvl w:val="0"/>
          <w:numId w:val="4"/>
        </w:numPr>
        <w:ind w:left="0" w:firstLine="426"/>
        <w:keepLines w:val="0"/>
        <w:keepNext w:val="0"/>
        <w:pageBreakBefore w:val="0"/>
        <w:spacing w:line="500" w:lineRule="exact"/>
        <w:widowControl w:val="off"/>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售价：0元</w:t>
      </w:r>
      <w:r/>
    </w:p>
    <w:p>
      <w:pPr>
        <w:pStyle w:val="897"/>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rPr>
        <w:outlineLvl w:val="1"/>
      </w:pPr>
      <w:r/>
      <w:bookmarkStart w:id="8" w:name="_Toc197644523"/>
      <w:r>
        <w:rPr>
          <w:rFonts w:hint="eastAsia" w:ascii="宋体" w:hAnsi="宋体" w:eastAsia="宋体" w:cs="宋体"/>
          <w:b/>
          <w:bCs/>
          <w:color w:val="auto"/>
          <w:sz w:val="24"/>
          <w:szCs w:val="24"/>
        </w:rPr>
        <w:t xml:space="preserve">提交投标文件截止时间、开标时间和地点</w:t>
      </w:r>
      <w:bookmarkEnd w:id="8"/>
      <w:r/>
      <w:r/>
    </w:p>
    <w:p>
      <w:pPr>
        <w:pStyle w:val="897"/>
        <w:numPr>
          <w:ilvl w:val="0"/>
          <w:numId w:val="5"/>
        </w:numPr>
        <w:ind w:left="0" w:firstLine="426"/>
        <w:keepLines w:val="0"/>
        <w:keepNext w:val="0"/>
        <w:pageBreakBefore w:val="0"/>
        <w:spacing w:line="500" w:lineRule="exact"/>
        <w:widowControl w:val="off"/>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时间：</w:t>
      </w:r>
      <w:r>
        <w:rPr>
          <w:rFonts w:hint="eastAsia" w:ascii="宋体" w:hAnsi="宋体" w:eastAsia="宋体" w:cs="宋体"/>
          <w:color w:val="auto"/>
          <w:sz w:val="24"/>
          <w:szCs w:val="24"/>
          <w:highlight w:val="yellow"/>
          <w:shd w:val="clear" w:color="auto" w:fill="ffffff"/>
          <w:lang w:val="en-US" w:eastAsia="zh-CN" w:bidi="ar-SA"/>
          <w14:ligatures w14:val="none"/>
        </w:rPr>
        <w:t xml:space="preserve">2026年7月17 日9点00分（北京时间）</w:t>
      </w:r>
      <w:r/>
    </w:p>
    <w:p>
      <w:pPr>
        <w:pStyle w:val="897"/>
        <w:numPr>
          <w:ilvl w:val="0"/>
          <w:numId w:val="5"/>
        </w:numPr>
        <w:ind w:left="0" w:firstLine="426"/>
        <w:keepLines w:val="0"/>
        <w:keepNext w:val="0"/>
        <w:pageBreakBefore w:val="0"/>
        <w:spacing w:line="500" w:lineRule="exact"/>
        <w:widowControl w:val="off"/>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地点：苏采云“不见面”开标大厅 </w:t>
      </w:r>
      <w:r/>
    </w:p>
    <w:p>
      <w:pPr>
        <w:pStyle w:val="897"/>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rPr>
        <w:outlineLvl w:val="1"/>
      </w:pPr>
      <w:r/>
      <w:bookmarkStart w:id="9" w:name="_Toc197644524"/>
      <w:r>
        <w:rPr>
          <w:rFonts w:hint="eastAsia" w:ascii="宋体" w:hAnsi="宋体" w:eastAsia="宋体" w:cs="宋体"/>
          <w:b/>
          <w:bCs/>
          <w:color w:val="auto"/>
          <w:sz w:val="24"/>
          <w:szCs w:val="24"/>
        </w:rPr>
        <w:t xml:space="preserve">公告期限</w:t>
      </w:r>
      <w:bookmarkEnd w:id="9"/>
      <w:r/>
      <w:r/>
    </w:p>
    <w:p>
      <w:pPr>
        <w:ind w:firstLine="424"/>
        <w:keepLines w:val="0"/>
        <w:keepNext w:val="0"/>
        <w:pageBreakBefore w:val="0"/>
        <w:spacing w:line="500" w:lineRule="exact"/>
        <w:widowControl w:val="off"/>
        <w:rPr>
          <w:rFonts w:hint="eastAsia" w:ascii="宋体" w:hAnsi="宋体" w:eastAsia="宋体" w:cs="宋体"/>
          <w:color w:val="auto"/>
          <w:sz w:val="24"/>
          <w:szCs w:val="24"/>
        </w:rPr>
      </w:pPr>
      <w:r/>
      <w:bookmarkStart w:id="10" w:name="_Toc35393795"/>
      <w:r/>
      <w:bookmarkStart w:id="11" w:name="_Toc35393626"/>
      <w:r/>
      <w:bookmarkStart w:id="12" w:name="_Toc38985268"/>
      <w:r>
        <w:rPr>
          <w:rFonts w:hint="eastAsia" w:ascii="宋体" w:hAnsi="宋体" w:eastAsia="宋体" w:cs="宋体"/>
          <w:color w:val="auto"/>
          <w:sz w:val="24"/>
          <w:szCs w:val="24"/>
          <w:shd w:val="clear" w:color="auto" w:fill="ffffff"/>
        </w:rPr>
        <w:t xml:space="preserve">自本公告发布之日起5个工作日。</w:t>
      </w:r>
      <w:bookmarkEnd w:id="10"/>
      <w:r/>
      <w:bookmarkEnd w:id="11"/>
      <w:r/>
      <w:bookmarkEnd w:id="12"/>
      <w:r/>
      <w:r/>
    </w:p>
    <w:p>
      <w:pPr>
        <w:pStyle w:val="897"/>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rPr>
        <w:outlineLvl w:val="1"/>
      </w:pPr>
      <w:r/>
      <w:bookmarkStart w:id="13" w:name="_Toc197644525"/>
      <w:r>
        <w:rPr>
          <w:rFonts w:hint="eastAsia" w:ascii="宋体" w:hAnsi="宋体" w:eastAsia="宋体" w:cs="宋体"/>
          <w:b/>
          <w:bCs/>
          <w:color w:val="auto"/>
          <w:sz w:val="24"/>
          <w:szCs w:val="24"/>
        </w:rPr>
        <w:t xml:space="preserve">其他补充事宜</w:t>
      </w:r>
      <w:bookmarkEnd w:id="13"/>
      <w:r/>
      <w:r/>
    </w:p>
    <w:p>
      <w:pPr>
        <w:pStyle w:val="732"/>
        <w:numPr>
          <w:ilvl w:val="0"/>
          <w:numId w:val="6"/>
        </w:numPr>
        <w:ind w:firstLine="560"/>
        <w:jc w:val="both"/>
        <w:keepLines w:val="0"/>
        <w:keepNext w:val="0"/>
        <w:pageBreakBefore w:val="0"/>
        <w:spacing w:line="500" w:lineRule="exact"/>
        <w:shd w:val="clear" w:color="auto" w:fill="ffffff"/>
        <w:widowControl/>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在盐城市政府采购网点击【办事指南】-【供应商参与政府采购活动相关资料】。</w:t>
      </w:r>
      <w:r/>
    </w:p>
    <w:p>
      <w:pPr>
        <w:pStyle w:val="732"/>
        <w:ind w:firstLine="560"/>
        <w:jc w:val="both"/>
        <w:keepLines w:val="0"/>
        <w:keepNext w:val="0"/>
        <w:pageBreakBefore w:val="0"/>
        <w:spacing w:line="500" w:lineRule="exact"/>
        <w:shd w:val="clear" w:color="auto" w:fill="ffffff"/>
        <w:widowControl/>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领取CA和办理电子签章（请至盐城市盐都区府西路1号四楼盐城市公共资源交易中心办理，联系电话：15051556883，办理邮箱：yancheng@ideabank.net.cn，具体联系方式见《苏采云系统供应商操作手册》（以下简称《操作手册》））、进行注册并按《操作手册》要求制作、上传电子投标文件,《苏采云系统供应商操作手册》：在盐城市政府采购网点击【办事指南】-【供应商参与政府采购活动相关资料】。</w:t>
      </w:r>
      <w:r/>
    </w:p>
    <w:p>
      <w:pPr>
        <w:pStyle w:val="732"/>
        <w:ind w:firstLine="560"/>
        <w:jc w:val="both"/>
        <w:keepLines w:val="0"/>
        <w:keepNext w:val="0"/>
        <w:pageBreakBefore w:val="0"/>
        <w:spacing w:line="500" w:lineRule="exact"/>
        <w:shd w:val="clear" w:color="auto" w:fill="ffffff"/>
        <w:widowControl/>
        <w:rPr>
          <w:rFonts w:hint="eastAsia" w:ascii="宋体" w:hAnsi="宋体" w:cs="宋体"/>
          <w:color w:val="auto"/>
          <w:sz w:val="24"/>
          <w:szCs w:val="24"/>
          <w:shd w:val="clear" w:color="auto" w:fill="ffffff"/>
          <w:lang w:val="en-US" w:eastAsia="zh-CN" w:bidi="ar-SA"/>
          <w14:ligatures w14:val="none"/>
        </w:rPr>
        <w:outlineLvl w:val="2"/>
      </w:pPr>
      <w:r>
        <w:rPr>
          <w:rFonts w:hint="eastAsia" w:ascii="宋体" w:hAnsi="宋体" w:cs="宋体"/>
          <w:color w:val="auto"/>
          <w:sz w:val="24"/>
          <w:szCs w:val="24"/>
          <w:shd w:val="clear" w:color="auto" w:fill="ffffff"/>
          <w:lang w:val="en-US" w:eastAsia="zh-CN" w:bidi="ar-SA"/>
          <w14:ligatures w14:val="none"/>
        </w:rPr>
        <w:t xml:space="preserve">2. 潜在供应商访问电子招标响应交易平台的网络地址和方法： </w:t>
      </w:r>
      <w:r/>
    </w:p>
    <w:p>
      <w:pPr>
        <w:pStyle w:val="732"/>
        <w:ind w:firstLine="560"/>
        <w:jc w:val="both"/>
        <w:keepLines w:val="0"/>
        <w:keepNext w:val="0"/>
        <w:pageBreakBefore w:val="0"/>
        <w:spacing w:line="500" w:lineRule="exact"/>
        <w:shd w:val="clear" w:color="auto" w:fill="ffffff"/>
        <w:widowControl/>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2.1“苏采云”系统用户注册--获取“CA 数字证书”--CA 绑定与登录--参与投 标--下载采购文件（后缀名为“.kedt”）--将后缀名为“.kedt”的采购文件导入政府采购客户端工具--制作响应文件--导出加密的响应文件（后缀名为 zip）--通过“苏采云”系统上传响应文件。具体见《“苏采云”系统供应商操作手册》 （手册下载地址：苏采云系统-右侧消息通知栏）。 </w:t>
      </w:r>
      <w:r/>
    </w:p>
    <w:p>
      <w:pPr>
        <w:ind w:firstLine="482"/>
        <w:jc w:val="both"/>
        <w:keepLines w:val="0"/>
        <w:keepNext w:val="0"/>
        <w:pageBreakBefore w:val="0"/>
        <w:spacing w:beforeAutospacing="0" w:afterAutospacing="0" w:line="540" w:lineRule="exact"/>
        <w:widowControl w:val="off"/>
        <w:rPr>
          <w:rFonts w:ascii="宋体" w:hAnsi="宋体"/>
          <w:sz w:val="24"/>
        </w:rPr>
      </w:pPr>
      <w:r/>
      <w:bookmarkStart w:id="14" w:name="_Toc197644526"/>
      <w:r>
        <w:rPr>
          <w:rFonts w:hint="eastAsia" w:ascii="宋体" w:hAnsi="宋体"/>
          <w:sz w:val="24"/>
        </w:rPr>
        <w:t xml:space="preserve">2.2 潜在投标人访问“苏采云”系统方法：江苏省政府采购网首页-“苏采云”链接。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2.3 采购文件（后缀名为“.kedt”）、供应商操作手册及政府采购客户端工具可通过“苏采云”系统相应链接进行下载。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2.4 采购代理机构将数据电文形式的采购文件加载至“苏采云”系统，供潜在供应商下载或者查阅。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2.5 请潜在投标单位提前安装相应的控件（详见《“苏采云”系统供应商操作手册》）并使用谷歌浏览器登录“苏采云”系统参与不见面开评标。 </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如潜在投标人未按上述要求操作，将自行承担所产生的风险。</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3.有关本次招标的事项若存在变动或修改，敬请及时关注</w:t>
      </w:r>
      <w:r>
        <w:rPr>
          <w:rFonts w:hint="eastAsia" w:ascii="宋体" w:hAnsi="宋体"/>
          <w:sz w:val="24"/>
          <w:lang w:eastAsia="zh-CN"/>
        </w:rPr>
        <w:t xml:space="preserve">江苏宏新工程管理咨询有限公司</w:t>
      </w:r>
      <w:r>
        <w:rPr>
          <w:rFonts w:hint="eastAsia" w:ascii="宋体" w:hAnsi="宋体"/>
          <w:sz w:val="24"/>
        </w:rPr>
        <w:t xml:space="preserve">在“中国政府采购网”“江苏政府采购网”“盐城市政府采购网”发布的更正公告。</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4.本次招标不收取投标保证金，不收取质量保证金。</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5.电子投标文件一份(通过系统提交)；纸质投标文件正本一份，副本四份（评审结束后由中标候选人提供，未中标单位不需要提供）。</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6.因投标人的系统环境、操作等原因导致的问题由投标人自行承担负责。</w:t>
      </w:r>
      <w:r/>
    </w:p>
    <w:p>
      <w:pPr>
        <w:ind w:firstLine="482"/>
        <w:jc w:val="both"/>
        <w:keepLines w:val="0"/>
        <w:keepNext w:val="0"/>
        <w:pageBreakBefore w:val="0"/>
        <w:spacing w:beforeAutospacing="0" w:afterAutospacing="0" w:line="540" w:lineRule="exact"/>
        <w:widowControl w:val="off"/>
        <w:rPr>
          <w:rFonts w:ascii="宋体" w:hAnsi="宋体"/>
          <w:sz w:val="24"/>
        </w:rPr>
      </w:pPr>
      <w:r>
        <w:rPr>
          <w:rFonts w:hint="eastAsia" w:ascii="宋体" w:hAnsi="宋体"/>
          <w:sz w:val="24"/>
        </w:rPr>
        <w:t xml:space="preserve">7.各投标人须在开标前使用“验证CA”功能验证本地计算机的控件环境是否正常（电脑需配备摄像头、麦克风和音响，用于保障不见面交易能够完成相关视频对话、演示），并且在开评标过程中不可随意更换电脑，必须使用验证成功的电脑进行操作，否则造成相应后果由投标人自行承担。</w:t>
      </w:r>
      <w:r/>
    </w:p>
    <w:p>
      <w:pPr>
        <w:pStyle w:val="897"/>
        <w:numPr>
          <w:ilvl w:val="0"/>
          <w:numId w:val="2"/>
        </w:numPr>
        <w:ind w:left="442" w:hanging="442"/>
        <w:keepLines w:val="0"/>
        <w:keepNext w:val="0"/>
        <w:pageBreakBefore w:val="0"/>
        <w:spacing w:line="500" w:lineRule="exact"/>
        <w:widowControl w:val="off"/>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rPr>
        <w:t xml:space="preserve">对本次招标提出询问，请按以下方式联系</w:t>
      </w:r>
      <w:bookmarkEnd w:id="14"/>
      <w:r/>
      <w:r/>
    </w:p>
    <w:p>
      <w:pPr>
        <w:pStyle w:val="732"/>
        <w:ind w:firstLine="560"/>
        <w:jc w:val="both"/>
        <w:keepLines w:val="0"/>
        <w:keepNext w:val="0"/>
        <w:pageBreakBefore w:val="0"/>
        <w:spacing w:line="500" w:lineRule="exact"/>
        <w:shd w:val="clear" w:color="auto" w:fill="ffffff"/>
        <w:widowControl/>
        <w:rPr>
          <w:rFonts w:hint="eastAsia" w:ascii="宋体" w:hAnsi="宋体" w:cs="宋体"/>
          <w:color w:val="auto"/>
          <w:sz w:val="24"/>
          <w:szCs w:val="24"/>
          <w:shd w:val="clear" w:color="auto" w:fill="ffffff"/>
          <w:lang w:val="en-US" w:eastAsia="zh-CN" w:bidi="ar-SA"/>
          <w14:ligatures w14:val="none"/>
        </w:rPr>
        <w:outlineLvl w:val="2"/>
      </w:pPr>
      <w:r>
        <w:rPr>
          <w:rFonts w:hint="eastAsia" w:ascii="宋体" w:hAnsi="宋体" w:cs="宋体"/>
          <w:color w:val="auto"/>
          <w:sz w:val="24"/>
          <w:szCs w:val="24"/>
          <w:shd w:val="clear" w:color="auto" w:fill="ffffff"/>
          <w:lang w:val="en-US" w:eastAsia="zh-CN" w:bidi="ar-SA"/>
          <w14:ligatures w14:val="none"/>
        </w:rPr>
        <w:t xml:space="preserve">1.采购人信息</w:t>
      </w:r>
      <w:r/>
    </w:p>
    <w:p>
      <w:pPr>
        <w:pStyle w:val="732"/>
        <w:ind w:firstLine="560"/>
        <w:jc w:val="both"/>
        <w:keepLines w:val="0"/>
        <w:keepNext w:val="0"/>
        <w:pageBreakBefore w:val="0"/>
        <w:spacing w:line="500" w:lineRule="exact"/>
        <w:shd w:val="clear" w:color="auto" w:fill="ffffff"/>
        <w:widowControl/>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名 称：</w:t>
      </w:r>
      <w:r>
        <w:rPr>
          <w:rFonts w:hint="eastAsia" w:cs="宋体"/>
          <w:color w:val="auto"/>
          <w:sz w:val="24"/>
          <w:szCs w:val="24"/>
          <w:shd w:val="clear" w:color="auto" w:fill="ffffff"/>
          <w:lang w:val="en-US" w:eastAsia="zh-CN" w:bidi="ar-SA"/>
          <w14:ligatures w14:val="none"/>
        </w:rPr>
        <w:t xml:space="preserve">盐城市射阳生态环境局</w:t>
      </w:r>
      <w:r>
        <w:rPr>
          <w:rFonts w:hint="eastAsia" w:ascii="宋体" w:hAnsi="宋体" w:cs="宋体"/>
          <w:color w:val="auto"/>
          <w:sz w:val="24"/>
          <w:szCs w:val="24"/>
          <w:shd w:val="clear" w:color="auto" w:fill="ffffff"/>
          <w:lang w:val="en-US" w:eastAsia="zh-CN" w:bidi="ar-SA"/>
          <w14:ligatures w14:val="none"/>
        </w:rPr>
        <w:t xml:space="preserve">  </w:t>
      </w:r>
      <w:r/>
    </w:p>
    <w:p>
      <w:pPr>
        <w:pStyle w:val="732"/>
        <w:ind w:firstLine="560"/>
        <w:jc w:val="both"/>
        <w:keepLines w:val="0"/>
        <w:keepNext w:val="0"/>
        <w:pageBreakBefore w:val="0"/>
        <w:spacing w:line="500" w:lineRule="exact"/>
        <w:shd w:val="clear" w:color="auto" w:fill="ffffff"/>
        <w:widowControl/>
        <w:rPr>
          <w:rFonts w:hint="default"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地 址：</w:t>
      </w:r>
      <w:r>
        <w:rPr>
          <w:rFonts w:hint="eastAsia" w:cs="宋体"/>
          <w:color w:val="auto"/>
          <w:sz w:val="24"/>
          <w:szCs w:val="24"/>
          <w:shd w:val="clear" w:color="auto" w:fill="ffffff"/>
          <w:lang w:val="en-US" w:eastAsia="zh-CN" w:bidi="ar-SA"/>
          <w14:ligatures w14:val="none"/>
        </w:rPr>
        <w:t xml:space="preserve">江苏省射阳县沿河路</w:t>
      </w:r>
      <w:r/>
    </w:p>
    <w:p>
      <w:pPr>
        <w:pStyle w:val="732"/>
        <w:ind w:firstLine="560"/>
        <w:jc w:val="both"/>
        <w:keepLines w:val="0"/>
        <w:keepNext w:val="0"/>
        <w:pageBreakBefore w:val="0"/>
        <w:spacing w:line="500" w:lineRule="exact"/>
        <w:shd w:val="clear" w:color="auto" w:fill="ffffff"/>
        <w:widowControl/>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联系人：</w:t>
      </w:r>
      <w:r>
        <w:rPr>
          <w:rFonts w:hint="eastAsia" w:cs="宋体"/>
          <w:color w:val="auto"/>
          <w:sz w:val="24"/>
          <w:szCs w:val="24"/>
          <w:shd w:val="clear" w:color="auto" w:fill="ffffff"/>
          <w:lang w:val="en-US" w:eastAsia="zh-CN" w:bidi="ar-SA"/>
          <w14:ligatures w14:val="none"/>
        </w:rPr>
        <w:t xml:space="preserve">周海玲</w:t>
      </w:r>
      <w:r>
        <w:rPr>
          <w:rFonts w:hint="eastAsia" w:ascii="宋体" w:hAnsi="宋体" w:cs="宋体"/>
          <w:color w:val="auto"/>
          <w:sz w:val="24"/>
          <w:szCs w:val="24"/>
          <w:shd w:val="clear" w:color="auto" w:fill="ffffff"/>
          <w:lang w:val="en-US" w:eastAsia="zh-CN" w:bidi="ar-SA"/>
          <w14:ligatures w14:val="none"/>
        </w:rPr>
        <w:t xml:space="preserve">              </w:t>
      </w:r>
      <w:r/>
    </w:p>
    <w:p>
      <w:pPr>
        <w:pStyle w:val="732"/>
        <w:ind w:firstLine="560"/>
        <w:jc w:val="both"/>
        <w:keepLines w:val="0"/>
        <w:keepNext w:val="0"/>
        <w:pageBreakBefore w:val="0"/>
        <w:spacing w:line="500" w:lineRule="exact"/>
        <w:shd w:val="clear" w:color="auto" w:fill="ffffff"/>
        <w:widowControl/>
        <w:rPr>
          <w:rFonts w:hint="eastAsia" w:ascii="宋体" w:hAnsi="宋体" w:cs="宋体"/>
          <w:color w:val="auto"/>
          <w:sz w:val="24"/>
          <w:szCs w:val="24"/>
          <w:shd w:val="clear" w:color="auto" w:fill="ffffff"/>
          <w:lang w:val="en-US" w:eastAsia="zh-CN" w:bidi="ar-SA"/>
          <w14:ligatures w14:val="none"/>
        </w:rPr>
      </w:pPr>
      <w:r>
        <w:rPr>
          <w:rFonts w:hint="eastAsia" w:ascii="宋体" w:hAnsi="宋体" w:cs="宋体"/>
          <w:color w:val="auto"/>
          <w:sz w:val="24"/>
          <w:szCs w:val="24"/>
          <w:shd w:val="clear" w:color="auto" w:fill="ffffff"/>
          <w:lang w:val="en-US" w:eastAsia="zh-CN" w:bidi="ar-SA"/>
          <w14:ligatures w14:val="none"/>
        </w:rPr>
        <w:t xml:space="preserve">联系方式：</w:t>
      </w:r>
      <w:r>
        <w:rPr>
          <w:rFonts w:hint="eastAsia" w:cs="宋体"/>
          <w:color w:val="auto"/>
          <w:sz w:val="24"/>
          <w:szCs w:val="24"/>
          <w:shd w:val="clear" w:color="auto" w:fill="ffffff"/>
          <w:lang w:val="en-US" w:eastAsia="zh-CN" w:bidi="ar-SA"/>
          <w14:ligatures w14:val="none"/>
        </w:rPr>
        <w:t xml:space="preserve">15962010341</w:t>
      </w:r>
      <w:r>
        <w:rPr>
          <w:rFonts w:hint="eastAsia" w:ascii="宋体" w:hAnsi="宋体" w:cs="宋体"/>
          <w:color w:val="auto"/>
          <w:sz w:val="24"/>
          <w:szCs w:val="24"/>
          <w:shd w:val="clear" w:color="auto" w:fill="ffffff"/>
          <w:lang w:val="en-US" w:eastAsia="zh-CN" w:bidi="ar-SA"/>
          <w14:ligatures w14:val="none"/>
        </w:rPr>
        <w:t xml:space="preserve">          </w:t>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2、采购代理机构信息（如有）</w:t>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单位名称：江苏宏新工程管理咨询有限公司</w:t>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单位地址：昆山开发区南浜路306号</w:t>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联系人：孙丹萍</w:t>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联系电话：18961965353</w:t>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3、项目联系方式</w:t>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项目联系人：孙丹萍  </w:t>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z w:val="24"/>
          <w:szCs w:val="24"/>
          <w:shd w:val="clear" w:color="auto" w:fill="ffffff"/>
          <w:lang w:val="en-US" w:eastAsia="zh-CN" w:bidi="ar-SA"/>
          <w14:ligatures w14:val="none"/>
        </w:rPr>
      </w:pPr>
      <w:r>
        <w:rPr>
          <w:rFonts w:hint="eastAsia" w:ascii="宋体" w:hAnsi="宋体" w:eastAsia="宋体" w:cs="宋体"/>
          <w:color w:val="auto"/>
          <w:sz w:val="24"/>
          <w:szCs w:val="24"/>
          <w:shd w:val="clear" w:color="auto" w:fill="ffffff"/>
          <w:lang w:val="en-US" w:eastAsia="zh-CN" w:bidi="ar-SA"/>
          <w14:ligatures w14:val="none"/>
        </w:rPr>
        <w:t xml:space="preserve">电      话：18961965353</w:t>
      </w:r>
      <w:r/>
    </w:p>
    <w:p>
      <w:pPr>
        <w:pStyle w:val="732"/>
        <w:ind w:firstLine="560"/>
        <w:jc w:val="both"/>
        <w:keepLines w:val="0"/>
        <w:keepNext w:val="0"/>
        <w:pageBreakBefore w:val="0"/>
        <w:spacing w:line="500" w:lineRule="exact"/>
        <w:shd w:val="clear" w:color="auto" w:fill="ffffff"/>
        <w:widowControl/>
        <w:rPr>
          <w:rFonts w:hint="eastAsia" w:ascii="宋体" w:hAnsi="宋体" w:eastAsia="宋体" w:cs="宋体"/>
          <w:color w:val="auto"/>
          <w:shd w:val="clear" w:color="auto" w:fill="ffffff"/>
        </w:rPr>
      </w:pPr>
      <w:r>
        <w:rPr>
          <w:rFonts w:hint="eastAsia" w:ascii="宋体" w:hAnsi="宋体" w:eastAsia="宋体" w:cs="宋体"/>
          <w:color w:val="auto"/>
          <w:shd w:val="clear" w:color="auto" w:fill="ffffff"/>
        </w:rPr>
        <w:br w:type="page" w:clear="all"/>
      </w:r>
      <w:r/>
    </w:p>
    <w:p>
      <w:pPr>
        <w:pStyle w:val="699"/>
        <w:numPr>
          <w:ilvl w:val="0"/>
          <w:numId w:val="1"/>
        </w:numPr>
        <w:ind w:left="0" w:firstLine="0"/>
        <w:jc w:val="center"/>
        <w:keepLines w:val="0"/>
        <w:keepNext w:val="0"/>
        <w:spacing w:before="0" w:beforeAutospacing="1" w:after="0" w:afterAutospacing="1" w:line="360" w:lineRule="auto"/>
        <w:rPr>
          <w:rFonts w:hint="eastAsia" w:ascii="宋体" w:hAnsi="宋体" w:eastAsia="宋体" w:cs="Times New Roman"/>
          <w:b/>
          <w:bCs/>
          <w:color w:val="auto"/>
          <w:sz w:val="32"/>
          <w:szCs w:val="32"/>
          <w14:ligatures w14:val="none"/>
        </w:rPr>
        <w:outlineLvl w:val="0"/>
      </w:pPr>
      <w:r/>
      <w:bookmarkStart w:id="15" w:name="_Toc20823274"/>
      <w:r/>
      <w:bookmarkStart w:id="16" w:name="_Toc16938518"/>
      <w:r/>
      <w:bookmarkStart w:id="17" w:name="_Toc513029202"/>
      <w:r/>
      <w:bookmarkStart w:id="18" w:name="_Toc197644527"/>
      <w:r/>
      <w:bookmarkStart w:id="19" w:name="_Toc120614213"/>
      <w:r>
        <w:rPr>
          <w:rFonts w:hint="eastAsia" w:ascii="宋体" w:hAnsi="宋体" w:eastAsia="宋体" w:cs="Times New Roman"/>
          <w:b/>
          <w:bCs/>
          <w:color w:val="auto"/>
          <w:sz w:val="32"/>
          <w:szCs w:val="32"/>
          <w14:ligatures w14:val="none"/>
        </w:rPr>
        <w:t xml:space="preserve">投标人须知</w:t>
      </w:r>
      <w:bookmarkEnd w:id="15"/>
      <w:r/>
      <w:bookmarkEnd w:id="16"/>
      <w:r/>
      <w:bookmarkEnd w:id="17"/>
      <w:r/>
      <w:bookmarkEnd w:id="18"/>
      <w:r/>
      <w:bookmarkEnd w:id="19"/>
      <w:r/>
      <w:r/>
    </w:p>
    <w:p>
      <w:pPr>
        <w:pStyle w:val="897"/>
        <w:numPr>
          <w:ilvl w:val="0"/>
          <w:numId w:val="7"/>
        </w:numPr>
        <w:jc w:val="left"/>
        <w:spacing w:line="480" w:lineRule="auto"/>
        <w:rPr>
          <w:rFonts w:hint="eastAsia" w:ascii="宋体" w:hAnsi="宋体" w:eastAsia="宋体"/>
          <w:b/>
          <w:bCs/>
          <w:color w:val="auto"/>
          <w:sz w:val="24"/>
          <w:szCs w:val="24"/>
        </w:rPr>
        <w:outlineLvl w:val="1"/>
      </w:pPr>
      <w:r/>
      <w:bookmarkStart w:id="20" w:name="_Toc197644528"/>
      <w:r/>
      <w:bookmarkStart w:id="21" w:name="OLE_LINK21"/>
      <w:r>
        <w:rPr>
          <w:rFonts w:hint="eastAsia" w:ascii="宋体" w:hAnsi="宋体" w:eastAsia="宋体"/>
          <w:b/>
          <w:bCs/>
          <w:color w:val="auto"/>
          <w:sz w:val="24"/>
          <w:szCs w:val="24"/>
        </w:rPr>
        <w:t xml:space="preserve">总则</w:t>
      </w:r>
      <w:bookmarkEnd w:id="20"/>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22" w:name="_Toc197644529"/>
      <w:r>
        <w:rPr>
          <w:rFonts w:hint="eastAsia" w:ascii="宋体" w:hAnsi="宋体" w:eastAsia="宋体" w:cs="宋体"/>
          <w:color w:val="auto"/>
          <w:sz w:val="24"/>
          <w:szCs w:val="24"/>
        </w:rPr>
        <w:t xml:space="preserve">招标方式</w:t>
      </w:r>
      <w:bookmarkEnd w:id="22"/>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本次招标采取公开招标方式，本招标文件仅适用于招标公告中所述项目。</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23" w:name="_Toc197644530"/>
      <w:r>
        <w:rPr>
          <w:rFonts w:hint="eastAsia" w:ascii="宋体" w:hAnsi="宋体" w:eastAsia="宋体" w:cs="宋体"/>
          <w:color w:val="auto"/>
          <w:sz w:val="24"/>
          <w:szCs w:val="24"/>
        </w:rPr>
        <w:t xml:space="preserve">合格的投标人</w:t>
      </w:r>
      <w:bookmarkEnd w:id="23"/>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满足招标公告中申请人的资格要求的规定。</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满足本文件实质性要求和条件的规定。</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24" w:name="_Toc197644531"/>
      <w:r>
        <w:rPr>
          <w:rFonts w:hint="eastAsia" w:ascii="宋体" w:hAnsi="宋体" w:eastAsia="宋体" w:cs="宋体"/>
          <w:color w:val="auto"/>
          <w:sz w:val="24"/>
          <w:szCs w:val="24"/>
        </w:rPr>
        <w:t xml:space="preserve">适用法律</w:t>
      </w:r>
      <w:bookmarkEnd w:id="24"/>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本次招标及由此产生的合同受中华人民共和国有关的法律法规制约和保护。</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25" w:name="_Toc197644532"/>
      <w:r>
        <w:rPr>
          <w:rFonts w:hint="eastAsia" w:ascii="宋体" w:hAnsi="宋体" w:eastAsia="宋体" w:cs="宋体"/>
          <w:color w:val="auto"/>
          <w:sz w:val="24"/>
          <w:szCs w:val="24"/>
        </w:rPr>
        <w:t xml:space="preserve">投标费用</w:t>
      </w:r>
      <w:bookmarkEnd w:id="25"/>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投标人应自行承担所有与参加投标有关的费用，无论投标过程中的做法和结果如何，</w:t>
      </w:r>
      <w:r>
        <w:rPr>
          <w:rFonts w:hint="eastAsia" w:ascii="宋体" w:hAnsi="宋体" w:eastAsia="宋体" w:cs="宋体"/>
          <w:color w:val="auto"/>
          <w:sz w:val="24"/>
          <w:szCs w:val="24"/>
          <w:lang w:eastAsia="zh-CN"/>
        </w:rPr>
        <w:t xml:space="preserve">江苏宏新工程管理咨询有限公司</w:t>
      </w:r>
      <w:r>
        <w:rPr>
          <w:rFonts w:hint="eastAsia" w:ascii="宋体" w:hAnsi="宋体" w:eastAsia="宋体" w:cs="宋体"/>
          <w:color w:val="auto"/>
          <w:sz w:val="24"/>
          <w:szCs w:val="24"/>
        </w:rPr>
        <w:t xml:space="preserve">（以下简称采购代理机构）和</w:t>
      </w:r>
      <w:r>
        <w:rPr>
          <w:rFonts w:hint="eastAsia" w:ascii="宋体" w:hAnsi="宋体" w:eastAsia="宋体" w:cs="宋体"/>
          <w:color w:val="auto"/>
          <w:sz w:val="24"/>
          <w:szCs w:val="24"/>
          <w:lang w:eastAsia="zh-CN"/>
        </w:rPr>
        <w:t xml:space="preserve">盐城市射阳生态环境局</w:t>
      </w:r>
      <w:r>
        <w:rPr>
          <w:rFonts w:hint="eastAsia" w:ascii="宋体" w:hAnsi="宋体" w:eastAsia="宋体" w:cs="宋体"/>
          <w:color w:val="auto"/>
          <w:sz w:val="24"/>
          <w:szCs w:val="24"/>
        </w:rPr>
        <w:t xml:space="preserve">（以下简称采购人）在任何情况下均无义务和责任承担这些费用。</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本次招标采购代理机构和采购人不收取标书工本费。</w:t>
      </w:r>
      <w:r/>
    </w:p>
    <w:p>
      <w:pPr>
        <w:pStyle w:val="897"/>
        <w:numPr>
          <w:ilvl w:val="0"/>
          <w:numId w:val="8"/>
        </w:numPr>
        <w:ind w:left="0" w:firstLine="425"/>
        <w:spacing w:line="360" w:lineRule="auto"/>
        <w:rPr>
          <w:rFonts w:hint="eastAsia" w:ascii="宋体" w:hAnsi="宋体" w:eastAsia="宋体" w:cs="宋体"/>
          <w:color w:val="auto"/>
          <w:sz w:val="24"/>
          <w:szCs w:val="24"/>
        </w:rPr>
        <w:outlineLvl w:val="3"/>
      </w:pPr>
      <w:r/>
      <w:bookmarkStart w:id="26" w:name="_Toc197644533"/>
      <w:r>
        <w:rPr>
          <w:rFonts w:hint="eastAsia" w:ascii="宋体" w:hAnsi="宋体" w:eastAsia="宋体" w:cs="宋体"/>
          <w:color w:val="auto"/>
          <w:sz w:val="24"/>
          <w:szCs w:val="24"/>
        </w:rPr>
        <w:t xml:space="preserve">本项目代理服务费按《江苏省政府采购代理服务收费指导意见》（苏政采协〔2024〕20号）向中标供应商收取。（本条不单独列表报价，自行综合考虑在投标报价中，中标后采购人不再另行支付）。</w:t>
      </w:r>
      <w:r/>
    </w:p>
    <w:p>
      <w:pPr>
        <w:pStyle w:val="897"/>
        <w:numPr>
          <w:ilvl w:val="0"/>
          <w:numId w:val="8"/>
        </w:numPr>
        <w:ind w:left="0" w:firstLine="425"/>
        <w:spacing w:line="360" w:lineRule="auto"/>
        <w:rPr>
          <w:rFonts w:hint="eastAsia" w:ascii="宋体" w:hAnsi="宋体" w:eastAsia="宋体" w:cs="宋体"/>
          <w:color w:val="auto"/>
          <w:sz w:val="24"/>
          <w:szCs w:val="24"/>
        </w:rPr>
        <w:outlineLvl w:val="3"/>
      </w:pPr>
      <w:r>
        <w:rPr>
          <w:rFonts w:hint="default" w:ascii="宋体" w:hAnsi="宋体" w:eastAsia="宋体" w:cs="宋体"/>
          <w:color w:val="auto"/>
          <w:sz w:val="24"/>
          <w:szCs w:val="24"/>
        </w:rPr>
        <w:t xml:space="preserve">成交单位如果未按规定缴纳成交服务费，按商业银行同期贷款利率上浮20%后的利率支付资金占用费（损害赔偿）。超过三个月的，采购代理机构有权保留诉讼的权利。</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rPr>
          <w:rFonts w:hint="eastAsia" w:ascii="宋体" w:hAnsi="宋体" w:eastAsia="宋体" w:cs="宋体"/>
          <w:color w:val="auto"/>
          <w:sz w:val="24"/>
          <w:szCs w:val="24"/>
        </w:rPr>
        <w:t xml:space="preserve">招标文件的约束力</w:t>
      </w:r>
      <w:bookmarkEnd w:id="26"/>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投标人一旦参加本项目采购活动，即被认为接受了本招标文件的规定和约束。</w:t>
      </w:r>
      <w:r/>
    </w:p>
    <w:p>
      <w:pPr>
        <w:pStyle w:val="897"/>
        <w:numPr>
          <w:ilvl w:val="0"/>
          <w:numId w:val="7"/>
        </w:numPr>
        <w:jc w:val="left"/>
        <w:spacing w:line="480" w:lineRule="auto"/>
        <w:rPr>
          <w:rFonts w:hint="eastAsia" w:ascii="宋体" w:hAnsi="宋体" w:eastAsia="宋体"/>
          <w:b/>
          <w:bCs/>
          <w:color w:val="auto"/>
          <w:sz w:val="24"/>
          <w:szCs w:val="24"/>
        </w:rPr>
        <w:outlineLvl w:val="1"/>
      </w:pPr>
      <w:r/>
      <w:bookmarkStart w:id="27" w:name="_Toc197644534"/>
      <w:r>
        <w:rPr>
          <w:rFonts w:hint="eastAsia" w:ascii="宋体" w:hAnsi="宋体" w:eastAsia="宋体"/>
          <w:b/>
          <w:bCs/>
          <w:color w:val="auto"/>
          <w:sz w:val="24"/>
          <w:szCs w:val="24"/>
        </w:rPr>
        <w:t xml:space="preserve">招标文件</w:t>
      </w:r>
      <w:bookmarkEnd w:id="27"/>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28" w:name="_Toc197644535"/>
      <w:r>
        <w:rPr>
          <w:rFonts w:hint="eastAsia" w:ascii="宋体" w:hAnsi="宋体" w:eastAsia="宋体" w:cs="宋体"/>
          <w:color w:val="auto"/>
          <w:sz w:val="24"/>
          <w:szCs w:val="24"/>
        </w:rPr>
        <w:t xml:space="preserve">招标文件构成</w:t>
      </w:r>
      <w:bookmarkEnd w:id="28"/>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招标文件由以下部分组成：</w:t>
      </w:r>
      <w:r/>
    </w:p>
    <w:p>
      <w:pPr>
        <w:pStyle w:val="897"/>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招标公告</w:t>
      </w:r>
      <w:r/>
    </w:p>
    <w:p>
      <w:pPr>
        <w:pStyle w:val="897"/>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投标人须知</w:t>
      </w:r>
      <w:r/>
    </w:p>
    <w:p>
      <w:pPr>
        <w:pStyle w:val="897"/>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合同文本</w:t>
      </w:r>
      <w:r/>
    </w:p>
    <w:p>
      <w:pPr>
        <w:pStyle w:val="897"/>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采购需求</w:t>
      </w:r>
      <w:r/>
    </w:p>
    <w:p>
      <w:pPr>
        <w:pStyle w:val="897"/>
        <w:numPr>
          <w:ilvl w:val="0"/>
          <w:numId w:val="9"/>
        </w:numPr>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评标方法与评标标准</w:t>
      </w:r>
      <w:r/>
    </w:p>
    <w:p>
      <w:pPr>
        <w:pStyle w:val="897"/>
        <w:numPr>
          <w:ilvl w:val="0"/>
          <w:numId w:val="9"/>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投标文件格式</w:t>
      </w:r>
      <w:r/>
    </w:p>
    <w:p>
      <w:pPr>
        <w:ind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请仔细检查招标文件是否齐全，如有缺漏请立即与采购代理机构联系解决。</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29" w:name="_Toc197644536"/>
      <w:r>
        <w:rPr>
          <w:rFonts w:hint="eastAsia" w:ascii="宋体" w:hAnsi="宋体" w:eastAsia="宋体" w:cs="宋体"/>
          <w:color w:val="auto"/>
          <w:sz w:val="24"/>
          <w:szCs w:val="24"/>
        </w:rPr>
        <w:t xml:space="preserve">招标文件的澄清</w:t>
      </w:r>
      <w:bookmarkEnd w:id="29"/>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任何要求对招标文件进行澄清的投标人，应在投标截止期十日前按招标公告中的通讯地址，以书面形式通知采购代理机构。</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30" w:name="_Toc197644537"/>
      <w:r>
        <w:rPr>
          <w:rFonts w:hint="eastAsia" w:ascii="宋体" w:hAnsi="宋体" w:eastAsia="宋体" w:cs="宋体"/>
          <w:color w:val="auto"/>
          <w:sz w:val="24"/>
          <w:szCs w:val="24"/>
        </w:rPr>
        <w:t xml:space="preserve">招标文件的修改</w:t>
      </w:r>
      <w:bookmarkEnd w:id="30"/>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在投标截止时间前，采购代理机构可以对招标文件进行修改。</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采购代理机构有权按照法定的要求推迟投标截止日期和开标日期。</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招标文件的修改将在中国政府采购网、江苏政府采购网、盐城市政府采购网公布，补充文件将作为招标文件的组成部分，并对投标人具有约束力。</w:t>
      </w:r>
      <w:r/>
    </w:p>
    <w:p>
      <w:pPr>
        <w:pStyle w:val="897"/>
        <w:numPr>
          <w:ilvl w:val="0"/>
          <w:numId w:val="7"/>
        </w:numPr>
        <w:jc w:val="left"/>
        <w:spacing w:line="480" w:lineRule="auto"/>
        <w:rPr>
          <w:rFonts w:hint="eastAsia" w:ascii="宋体" w:hAnsi="宋体" w:eastAsia="宋体"/>
          <w:b/>
          <w:bCs/>
          <w:color w:val="auto"/>
          <w:sz w:val="24"/>
          <w:szCs w:val="24"/>
        </w:rPr>
        <w:outlineLvl w:val="1"/>
      </w:pPr>
      <w:r/>
      <w:bookmarkStart w:id="31" w:name="_Toc197644538"/>
      <w:r>
        <w:rPr>
          <w:rFonts w:hint="eastAsia" w:ascii="宋体" w:hAnsi="宋体" w:eastAsia="宋体" w:cs="宋体"/>
          <w:b/>
          <w:color w:val="auto"/>
          <w:sz w:val="24"/>
          <w:szCs w:val="24"/>
        </w:rPr>
        <w:t xml:space="preserve">投标文件的编制</w:t>
      </w:r>
      <w:bookmarkEnd w:id="31"/>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32" w:name="_Toc197644539"/>
      <w:r>
        <w:rPr>
          <w:rFonts w:hint="eastAsia" w:ascii="宋体" w:hAnsi="宋体" w:eastAsia="宋体" w:cs="宋体"/>
          <w:color w:val="auto"/>
          <w:sz w:val="24"/>
          <w:szCs w:val="24"/>
        </w:rPr>
        <w:t xml:space="preserve">投标文件的语言及度量衡单位</w:t>
      </w:r>
      <w:bookmarkEnd w:id="32"/>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投标人提交的投标文件以及投标人与采购代理机构就有关投标的所有来往通知、函件和文件均应使用</w:t>
      </w:r>
      <w:r>
        <w:rPr>
          <w:rFonts w:hint="eastAsia" w:ascii="宋体" w:hAnsi="宋体" w:eastAsia="宋体" w:cs="宋体"/>
          <w:b/>
          <w:bCs/>
          <w:color w:val="auto"/>
          <w:sz w:val="24"/>
          <w:szCs w:val="24"/>
        </w:rPr>
        <w:t xml:space="preserve">简体中文</w:t>
      </w:r>
      <w:r>
        <w:rPr>
          <w:rFonts w:hint="eastAsia" w:ascii="宋体" w:hAnsi="宋体" w:eastAsia="宋体" w:cs="宋体"/>
          <w:color w:val="auto"/>
          <w:sz w:val="24"/>
          <w:szCs w:val="24"/>
        </w:rPr>
        <w:t xml:space="preserve">。</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除技术性能另有规定外，投标文件所使用的度量衡单位，均须采用国家法定计量单位。</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33" w:name="_Toc197644540"/>
      <w:r>
        <w:rPr>
          <w:rFonts w:hint="eastAsia" w:ascii="宋体" w:hAnsi="宋体" w:eastAsia="宋体" w:cs="宋体"/>
          <w:color w:val="auto"/>
          <w:sz w:val="24"/>
          <w:szCs w:val="24"/>
        </w:rPr>
        <w:t xml:space="preserve">投标文件构成</w:t>
      </w:r>
      <w:bookmarkEnd w:id="33"/>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投标人编写的投标文件应包括资格证明文件、符合性证明文件、投标分项报价表、技术要求响应及偏离表、商务要求响应及偏离表、其他证明文件、投标函、开标一览表等部分。</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标书制作工具中格式和内容与“中国政府采购网”、“江苏政府采购网”、“盐城市政府采购网”发布的招标文件不一致，请以“中国政府采购网”、“江苏政府采购网”、“盐城市政府采购网”发布的招标文件为准。</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34" w:name="_Toc197644541"/>
      <w:r>
        <w:rPr>
          <w:rFonts w:hint="eastAsia" w:ascii="宋体" w:hAnsi="宋体" w:eastAsia="宋体" w:cs="宋体"/>
          <w:color w:val="auto"/>
          <w:sz w:val="24"/>
          <w:szCs w:val="24"/>
        </w:rPr>
        <w:t xml:space="preserve">证明投标人及投标标的符合招标文件规定的文件</w:t>
      </w:r>
      <w:bookmarkEnd w:id="34"/>
      <w:r/>
      <w:r/>
    </w:p>
    <w:p>
      <w:pPr>
        <w:pStyle w:val="897"/>
        <w:numPr>
          <w:ilvl w:val="1"/>
          <w:numId w:val="8"/>
        </w:numPr>
        <w:ind w:left="0" w:firstLine="426"/>
        <w:spacing w:line="360" w:lineRule="auto"/>
        <w:rPr>
          <w:rFonts w:hint="eastAsia" w:ascii="宋体" w:hAnsi="宋体" w:eastAsia="宋体" w:cs="宋体"/>
          <w:color w:val="auto"/>
          <w:sz w:val="24"/>
          <w:szCs w:val="24"/>
        </w:rPr>
      </w:pPr>
      <w:r/>
      <w:bookmarkStart w:id="35" w:name="_Toc14577355"/>
      <w:r/>
      <w:bookmarkStart w:id="36" w:name="_Toc49090508"/>
      <w:r>
        <w:rPr>
          <w:rFonts w:hint="eastAsia" w:ascii="宋体" w:hAnsi="宋体" w:eastAsia="宋体" w:cs="宋体"/>
          <w:color w:val="auto"/>
          <w:sz w:val="24"/>
          <w:szCs w:val="24"/>
        </w:rPr>
        <w:t xml:space="preserve">投标人应按照法律、法规、规章和规范性文件以及招标文件要求提交证明文件，证明其及投标标的符合招标文件规定。</w:t>
      </w:r>
      <w:bookmarkEnd w:id="35"/>
      <w:r/>
      <w:bookmarkEnd w:id="36"/>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招标文件对证明文件无明确形式要求的，证明文件可以以文字资料、图纸和数据等形式提交。</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rPr>
          <w:rFonts w:hint="default" w:ascii="宋体" w:hAnsi="宋体" w:eastAsia="宋体" w:cs="宋体"/>
          <w:color w:val="auto"/>
          <w:sz w:val="24"/>
          <w:szCs w:val="24"/>
          <w:lang w:eastAsia="zh-CN"/>
        </w:rPr>
        <w:t xml:space="preserve">开标一览表</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投标人应按照招标文件规定格式填报</w:t>
      </w:r>
      <w:r>
        <w:rPr>
          <w:rFonts w:hint="eastAsia" w:ascii="宋体" w:hAnsi="宋体" w:eastAsia="宋体" w:cs="宋体"/>
          <w:color w:val="auto"/>
          <w:sz w:val="24"/>
          <w:szCs w:val="24"/>
          <w:lang w:eastAsia="zh-CN"/>
        </w:rPr>
        <w:t xml:space="preserve">开标一览表</w:t>
      </w:r>
      <w:r>
        <w:rPr>
          <w:rFonts w:hint="eastAsia" w:ascii="宋体" w:hAnsi="宋体" w:eastAsia="宋体" w:cs="宋体"/>
          <w:color w:val="auto"/>
          <w:sz w:val="24"/>
          <w:szCs w:val="24"/>
        </w:rPr>
        <w:t xml:space="preserve">。</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投标货币。投标文件中的单价和总价无特殊规定的采用人民币报价，以元为单位标注。招标文件中另有规定的按规定执行。</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37" w:name="_Toc197644543"/>
      <w:r>
        <w:rPr>
          <w:rFonts w:hint="eastAsia" w:ascii="宋体" w:hAnsi="宋体" w:eastAsia="宋体" w:cs="宋体"/>
          <w:color w:val="auto"/>
          <w:sz w:val="24"/>
          <w:szCs w:val="24"/>
        </w:rPr>
        <w:t xml:space="preserve">技术要求响应及偏离表、商务要求响应及偏离表</w:t>
      </w:r>
      <w:bookmarkEnd w:id="37"/>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投标人需对招标文件中的技术要求与商务要求逐项作出响应或偏离，并说明原因。</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投标人可在投标文件中提供认为需要的其他技术文件或说明。</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38" w:name="_Toc197644544"/>
      <w:r>
        <w:rPr>
          <w:rFonts w:hint="eastAsia" w:ascii="宋体" w:hAnsi="宋体" w:eastAsia="宋体" w:cs="宋体"/>
          <w:color w:val="auto"/>
          <w:sz w:val="24"/>
          <w:szCs w:val="24"/>
        </w:rPr>
        <w:t xml:space="preserve">投标函和开标一览表</w:t>
      </w:r>
      <w:bookmarkEnd w:id="38"/>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投标人应按照招标文件中提供的格式完整、正确填写投标函、开标一览表。</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对于采用货币报价的项目，开标一览表中的投标总报价应与投标分项报价表中的投标总报价一致，如不一致，不作为无效投标处理，但评标时按开标一览表中价格为准。</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39" w:name="_Toc197644545"/>
      <w:r>
        <w:rPr>
          <w:rFonts w:hint="eastAsia" w:ascii="宋体" w:hAnsi="宋体" w:eastAsia="宋体" w:cs="宋体"/>
          <w:color w:val="auto"/>
          <w:sz w:val="24"/>
          <w:szCs w:val="24"/>
        </w:rPr>
        <w:t xml:space="preserve">投标有效期</w:t>
      </w:r>
      <w:bookmarkEnd w:id="39"/>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投标有效期为采购代理机构规定的开标之日后</w:t>
      </w:r>
      <w:r>
        <w:rPr>
          <w:rFonts w:hint="eastAsia" w:ascii="Times New Roman" w:hAnsi="Times New Roman" w:eastAsia="宋体" w:cs="Times New Roman"/>
          <w:b/>
          <w:sz w:val="24"/>
          <w:szCs w:val="24"/>
          <w:u w:val="single"/>
          <w:lang w:val="en-US" w:eastAsia="zh-CN" w:bidi="ar-SA"/>
          <w14:ligatures w14:val="none"/>
        </w:rPr>
        <w:t xml:space="preserve">六十（60）天</w:t>
      </w:r>
      <w:r>
        <w:rPr>
          <w:rFonts w:hint="eastAsia" w:ascii="宋体" w:hAnsi="宋体" w:eastAsia="宋体" w:cs="宋体"/>
          <w:color w:val="auto"/>
          <w:sz w:val="24"/>
          <w:szCs w:val="24"/>
        </w:rPr>
        <w:t xml:space="preserve">。投标有效期比规定短的将被视为未实质性响应招标文件而予以拒绝。</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40" w:name="_Toc197644546"/>
      <w:r>
        <w:rPr>
          <w:rFonts w:hint="eastAsia" w:ascii="宋体" w:hAnsi="宋体" w:eastAsia="宋体" w:cs="宋体"/>
          <w:color w:val="auto"/>
          <w:sz w:val="24"/>
          <w:szCs w:val="24"/>
        </w:rPr>
        <w:t xml:space="preserve">投标有效期的延长</w:t>
      </w:r>
      <w:bookmarkEnd w:id="40"/>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同时受投标有效期约束的所有权利与义务均延长至新的有效期。</w:t>
      </w:r>
      <w:r/>
    </w:p>
    <w:p>
      <w:pPr>
        <w:pStyle w:val="897"/>
        <w:numPr>
          <w:ilvl w:val="0"/>
          <w:numId w:val="7"/>
        </w:numPr>
        <w:jc w:val="left"/>
        <w:spacing w:line="480" w:lineRule="auto"/>
        <w:rPr>
          <w:rFonts w:hint="eastAsia" w:ascii="宋体" w:hAnsi="宋体" w:eastAsia="宋体"/>
          <w:b/>
          <w:bCs/>
          <w:color w:val="auto"/>
          <w:sz w:val="24"/>
          <w:szCs w:val="24"/>
        </w:rPr>
        <w:outlineLvl w:val="1"/>
      </w:pPr>
      <w:r/>
      <w:bookmarkStart w:id="41" w:name="_Toc197644547"/>
      <w:r>
        <w:rPr>
          <w:rFonts w:hint="eastAsia" w:ascii="宋体" w:hAnsi="宋体" w:eastAsia="宋体" w:cs="宋体"/>
          <w:b/>
          <w:color w:val="auto"/>
          <w:sz w:val="24"/>
          <w:szCs w:val="24"/>
        </w:rPr>
        <w:t xml:space="preserve">投标文件的递交</w:t>
      </w:r>
      <w:bookmarkEnd w:id="41"/>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42" w:name="_Toc197644548"/>
      <w:r>
        <w:rPr>
          <w:rFonts w:hint="eastAsia" w:ascii="宋体" w:hAnsi="宋体" w:eastAsia="宋体" w:cs="宋体"/>
          <w:color w:val="auto"/>
          <w:sz w:val="24"/>
          <w:szCs w:val="24"/>
        </w:rPr>
        <w:t xml:space="preserve">投标文件的递交</w:t>
      </w:r>
      <w:bookmarkEnd w:id="42"/>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电子投标文件的递交</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投标人应当按照《操作手册》规定，在投标截止时间前制作并上传电子投标文件。</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43" w:name="_Toc197644549"/>
      <w:r>
        <w:rPr>
          <w:rFonts w:hint="eastAsia" w:ascii="宋体" w:hAnsi="宋体" w:eastAsia="宋体" w:cs="宋体"/>
          <w:color w:val="auto"/>
          <w:sz w:val="24"/>
          <w:szCs w:val="24"/>
        </w:rPr>
        <w:t xml:space="preserve">投标截止时间</w:t>
      </w:r>
      <w:bookmarkEnd w:id="43"/>
      <w:r/>
      <w:r/>
    </w:p>
    <w:p>
      <w:pPr>
        <w:pStyle w:val="897"/>
        <w:numPr>
          <w:ilvl w:val="1"/>
          <w:numId w:val="8"/>
        </w:numPr>
        <w:ind w:left="0" w:firstLine="426"/>
        <w:spacing w:line="360" w:lineRule="auto"/>
        <w:rPr>
          <w:rFonts w:hint="eastAsia" w:ascii="宋体" w:hAnsi="宋体" w:eastAsia="宋体" w:cs="宋体"/>
          <w:b/>
          <w:bCs/>
          <w:i/>
          <w:iCs/>
          <w:color w:val="auto"/>
          <w:sz w:val="24"/>
          <w:szCs w:val="24"/>
          <w:u w:val="single"/>
        </w:rPr>
      </w:pPr>
      <w:r>
        <w:rPr>
          <w:rFonts w:hint="eastAsia" w:ascii="宋体" w:hAnsi="宋体" w:eastAsia="宋体" w:cs="宋体"/>
          <w:b/>
          <w:bCs/>
          <w:i/>
          <w:iCs/>
          <w:color w:val="auto"/>
          <w:sz w:val="24"/>
          <w:szCs w:val="24"/>
          <w:u w:val="single"/>
        </w:rPr>
        <w:t xml:space="preserve">投标人上传电子投标文件的时间不得迟于招标公告中规定的投标截止时间。</w:t>
      </w:r>
      <w:r/>
    </w:p>
    <w:p>
      <w:pPr>
        <w:pStyle w:val="897"/>
        <w:ind w:left="0" w:firstLine="424"/>
        <w:spacing w:line="360" w:lineRule="auto"/>
        <w:rPr>
          <w:rFonts w:hint="eastAsia" w:ascii="宋体" w:hAnsi="宋体" w:eastAsia="宋体" w:cs="宋体"/>
          <w:i/>
          <w:iCs/>
          <w:color w:val="auto"/>
          <w:sz w:val="24"/>
          <w:szCs w:val="24"/>
          <w:u w:val="single"/>
        </w:rPr>
      </w:pPr>
      <w:r>
        <w:rPr>
          <w:rFonts w:hint="eastAsia" w:ascii="宋体" w:hAnsi="宋体" w:eastAsia="宋体" w:cs="宋体"/>
          <w:color w:val="auto"/>
          <w:sz w:val="24"/>
          <w:szCs w:val="24"/>
        </w:rPr>
        <w:t xml:space="preserve">投标人应充分考虑到网络环境、网络带宽等风险因素，如因投标人自身原因造成的电子投标文件上传不成功的按照本招标文件第二章第26.1.2条规定做无效投标处理。</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采购代理机构可以按照规定，通过修改招标文件酌情延长投标截止时间，在此情况下，投标人的所有权利和义务以及投标人受制的截止时间均应以延长后新的截止时间为准。</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44" w:name="_Toc16938543"/>
      <w:r/>
      <w:bookmarkStart w:id="45" w:name="_Toc513029227"/>
      <w:r/>
      <w:bookmarkStart w:id="46" w:name="_Toc20823299"/>
      <w:r/>
      <w:bookmarkStart w:id="47" w:name="_Toc197644550"/>
      <w:r>
        <w:rPr>
          <w:rFonts w:hint="eastAsia" w:ascii="宋体" w:hAnsi="宋体" w:eastAsia="宋体" w:cs="宋体"/>
          <w:color w:val="auto"/>
          <w:sz w:val="24"/>
          <w:szCs w:val="24"/>
        </w:rPr>
        <w:t xml:space="preserve">投标文件</w:t>
      </w:r>
      <w:bookmarkEnd w:id="44"/>
      <w:r/>
      <w:bookmarkEnd w:id="45"/>
      <w:r/>
      <w:bookmarkEnd w:id="46"/>
      <w:r>
        <w:rPr>
          <w:rFonts w:hint="eastAsia" w:ascii="宋体" w:hAnsi="宋体" w:eastAsia="宋体" w:cs="宋体"/>
          <w:color w:val="auto"/>
          <w:sz w:val="24"/>
          <w:szCs w:val="24"/>
        </w:rPr>
        <w:t xml:space="preserve">的拒收</w:t>
      </w:r>
      <w:bookmarkEnd w:id="47"/>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采购代理机构拒绝接收在其规定的投标截止时间后上传的任何投标文件。</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48" w:name="_Toc513029228"/>
      <w:r/>
      <w:bookmarkStart w:id="49" w:name="_Toc197644551"/>
      <w:r/>
      <w:bookmarkStart w:id="50" w:name="_Toc16938544"/>
      <w:r/>
      <w:bookmarkStart w:id="51" w:name="_Toc20823300"/>
      <w:r>
        <w:rPr>
          <w:rFonts w:hint="eastAsia" w:ascii="宋体" w:hAnsi="宋体" w:eastAsia="宋体" w:cs="宋体"/>
          <w:color w:val="auto"/>
          <w:sz w:val="24"/>
          <w:szCs w:val="24"/>
        </w:rPr>
        <w:t xml:space="preserve">投标文件的撤回和修改</w:t>
      </w:r>
      <w:bookmarkEnd w:id="48"/>
      <w:r/>
      <w:bookmarkEnd w:id="49"/>
      <w:r/>
      <w:bookmarkEnd w:id="50"/>
      <w:r/>
      <w:bookmarkEnd w:id="51"/>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投标文件的撤回</w:t>
      </w:r>
      <w:r/>
    </w:p>
    <w:p>
      <w:pPr>
        <w:pStyle w:val="897"/>
        <w:numPr>
          <w:ilvl w:val="2"/>
          <w:numId w:val="8"/>
        </w:numPr>
        <w:ind w:hanging="1142"/>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电子投标文件的撤回</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投标人可在投标截止时间前，撤回其电子投标文件，具体操作方法见《操作手册》。</w:t>
      </w:r>
      <w:r/>
    </w:p>
    <w:p>
      <w:pPr>
        <w:pStyle w:val="897"/>
        <w:numPr>
          <w:ilvl w:val="2"/>
          <w:numId w:val="8"/>
        </w:numPr>
        <w:ind w:hanging="114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投标人撤回电子投标文件，则认为其不再参与本项目投标活动。</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投标文件的修改</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投标人可在投标截止时间前，对其电子投标文件进行修改，具体操作方法见《操作手册》。</w:t>
      </w:r>
      <w:r/>
    </w:p>
    <w:p>
      <w:pPr>
        <w:pStyle w:val="897"/>
        <w:numPr>
          <w:ilvl w:val="2"/>
          <w:numId w:val="8"/>
        </w:numPr>
        <w:ind w:hanging="1142"/>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在投标截止时间之后，投标人不得对其电子投标文件作任何修改。</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在投标截止时间至招标文件中规定的投标有效期满之间的这段时间内，投标人不得撤回其投标。</w:t>
      </w:r>
      <w:r/>
    </w:p>
    <w:p>
      <w:pPr>
        <w:pStyle w:val="897"/>
        <w:numPr>
          <w:ilvl w:val="0"/>
          <w:numId w:val="7"/>
        </w:numPr>
        <w:jc w:val="left"/>
        <w:spacing w:line="480" w:lineRule="auto"/>
        <w:rPr>
          <w:rFonts w:hint="eastAsia" w:ascii="宋体" w:hAnsi="宋体" w:eastAsia="宋体"/>
          <w:b/>
          <w:bCs/>
          <w:color w:val="auto"/>
          <w:sz w:val="24"/>
          <w:szCs w:val="24"/>
        </w:rPr>
        <w:outlineLvl w:val="1"/>
      </w:pPr>
      <w:r/>
      <w:bookmarkStart w:id="52" w:name="_Toc197644552"/>
      <w:r>
        <w:rPr>
          <w:rFonts w:hint="eastAsia" w:ascii="宋体" w:hAnsi="宋体" w:eastAsia="宋体" w:cs="宋体"/>
          <w:b/>
          <w:color w:val="auto"/>
          <w:sz w:val="24"/>
          <w:szCs w:val="24"/>
        </w:rPr>
        <w:t xml:space="preserve">开标与评标</w:t>
      </w:r>
      <w:bookmarkEnd w:id="52"/>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53" w:name="_Toc197644553"/>
      <w:r/>
      <w:bookmarkStart w:id="54" w:name="_Toc16938546"/>
      <w:r/>
      <w:bookmarkStart w:id="55" w:name="_Toc513029230"/>
      <w:r/>
      <w:bookmarkStart w:id="56" w:name="_Toc20823302"/>
      <w:r>
        <w:rPr>
          <w:rFonts w:hint="eastAsia" w:ascii="宋体" w:hAnsi="宋体" w:eastAsia="宋体" w:cs="宋体"/>
          <w:color w:val="auto"/>
          <w:sz w:val="24"/>
          <w:szCs w:val="24"/>
        </w:rPr>
        <w:t xml:space="preserve">开标</w:t>
      </w:r>
      <w:bookmarkEnd w:id="53"/>
      <w:r/>
      <w:bookmarkEnd w:id="54"/>
      <w:r/>
      <w:bookmarkEnd w:id="55"/>
      <w:r/>
      <w:bookmarkEnd w:id="56"/>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采购代理机构将在招标公告中规定的时间和地点组织公开开标。投标人应当按照《操作手册》规定，参加开标活动和在“苏采云”系统规定的时间内对投标文件进行解密。</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开标仪式由采购代理机构组织。“苏采云”系统将自动对项目进行开标，并宣布各投标人名称和投标价格。</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投标人在开标过程中涉及到的投标文件解密、开标结果确认等工作，应按照《操作手册》规定执行。</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投标人如果对开标过程和开标记录有疑义，应当根据《操作手册》规定提出，如“苏采云”系统中《开标记录表》宣布后5分钟内未提出的，视同认可开标结果。</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57" w:name="_Toc20823303"/>
      <w:r/>
      <w:bookmarkStart w:id="58" w:name="_Toc197644554"/>
      <w:r/>
      <w:bookmarkStart w:id="59" w:name="_Toc513029231"/>
      <w:r/>
      <w:bookmarkStart w:id="60" w:name="_Toc16938547"/>
      <w:r>
        <w:rPr>
          <w:rFonts w:hint="eastAsia" w:ascii="宋体" w:hAnsi="宋体" w:eastAsia="宋体" w:cs="宋体"/>
          <w:color w:val="auto"/>
          <w:sz w:val="24"/>
          <w:szCs w:val="24"/>
        </w:rPr>
        <w:t xml:space="preserve">评标委员会</w:t>
      </w:r>
      <w:bookmarkEnd w:id="57"/>
      <w:r/>
      <w:bookmarkEnd w:id="58"/>
      <w:r/>
      <w:bookmarkEnd w:id="59"/>
      <w:r/>
      <w:bookmarkEnd w:id="60"/>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开标后，采购代理机构将立即组织评标委员会（以下简称评委会）进行评标。</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评委</w:t>
      </w:r>
      <w:r>
        <w:rPr>
          <w:rFonts w:hint="eastAsia" w:ascii="宋体" w:hAnsi="宋体" w:eastAsia="宋体" w:cs="宋体"/>
          <w:color w:val="auto"/>
          <w:sz w:val="24"/>
          <w:szCs w:val="24"/>
          <w:lang w:val="en-US" w:eastAsia="zh-CN"/>
        </w:rPr>
        <w:t xml:space="preserve">委员</w:t>
      </w:r>
      <w:r>
        <w:rPr>
          <w:rFonts w:hint="eastAsia" w:ascii="宋体" w:hAnsi="宋体" w:eastAsia="宋体" w:cs="宋体"/>
          <w:color w:val="auto"/>
          <w:sz w:val="24"/>
          <w:szCs w:val="24"/>
        </w:rPr>
        <w:t xml:space="preserve">会</w:t>
      </w:r>
      <w:r>
        <w:rPr>
          <w:rFonts w:hint="eastAsia" w:ascii="宋体" w:hAnsi="宋体" w:eastAsia="宋体" w:cs="宋体"/>
          <w:color w:val="auto"/>
          <w:sz w:val="24"/>
          <w:szCs w:val="24"/>
          <w:lang w:val="en-US" w:eastAsia="zh-CN"/>
        </w:rPr>
        <w:t xml:space="preserve">将按规定由技术、经济5人专家组成</w:t>
      </w:r>
      <w:r>
        <w:rPr>
          <w:rFonts w:hint="eastAsia" w:ascii="宋体" w:hAnsi="宋体" w:eastAsia="宋体" w:cs="宋体"/>
          <w:color w:val="auto"/>
          <w:sz w:val="24"/>
          <w:szCs w:val="24"/>
        </w:rPr>
        <w:t xml:space="preserve">。</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评委会独立工作，负责评审所有投标文件并确定中标候选人。</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61" w:name="_Toc197644555"/>
      <w:r>
        <w:rPr>
          <w:rFonts w:hint="eastAsia" w:ascii="宋体" w:hAnsi="宋体" w:eastAsia="宋体" w:cs="宋体"/>
          <w:color w:val="auto"/>
          <w:sz w:val="24"/>
          <w:szCs w:val="24"/>
        </w:rPr>
        <w:t xml:space="preserve">评标过程的保密与公正</w:t>
      </w:r>
      <w:bookmarkEnd w:id="61"/>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凡是与审查、澄清、评价和比较投标的有关资料以及授标建议等，采购人、评委、采购代理机构均不得向投标人或与评标无关的其他人员透露。</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在评标过程中，投标人不得以任何行为影响评标过程，否则其投标文件将被作为无效投标文件。</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采购代理机构和评标委员会不向未中标的投标人解释未中标原因，也不公布评标过程中的相关细节。</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采用综合评分法的项目，未中标的投标人可于中标结果公告期限届满之日起通过“苏采云”系统查看自己的评审得分及排序情况。</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62" w:name="_Toc513029232"/>
      <w:r/>
      <w:bookmarkStart w:id="63" w:name="_Toc16938548"/>
      <w:r/>
      <w:bookmarkStart w:id="64" w:name="_Toc197644556"/>
      <w:r/>
      <w:bookmarkStart w:id="65" w:name="_Toc20823304"/>
      <w:r>
        <w:rPr>
          <w:rFonts w:hint="eastAsia" w:ascii="宋体" w:hAnsi="宋体" w:eastAsia="宋体" w:cs="宋体"/>
          <w:color w:val="auto"/>
          <w:sz w:val="24"/>
          <w:szCs w:val="24"/>
        </w:rPr>
        <w:t xml:space="preserve">投标文件的澄清</w:t>
      </w:r>
      <w:bookmarkEnd w:id="62"/>
      <w:r/>
      <w:bookmarkEnd w:id="63"/>
      <w:r/>
      <w:bookmarkEnd w:id="64"/>
      <w:r/>
      <w:bookmarkEnd w:id="65"/>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评标期间，评委会对投标文件中含义不明确、同类问题表述不一致或者有明显文字和计算错误的内容，有权要求投标人作出必要的澄清、说明或者补正。</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投标人的澄清、说明或者补正不得超出投标文件的范围或者改变投标文件的实质性内容。</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评委会并非对每个投标人都做澄清要求。</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接到评委会澄清、说明和补正要求的投标人如未按规定做出澄清、说明和补正，其风险由投标人自行承担。</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66" w:name="_Toc197644557"/>
      <w:r/>
      <w:bookmarkStart w:id="67" w:name="_Toc20823305"/>
      <w:r/>
      <w:bookmarkStart w:id="68" w:name="_Toc513029233"/>
      <w:r/>
      <w:bookmarkStart w:id="69" w:name="_Toc16938549"/>
      <w:r>
        <w:rPr>
          <w:rFonts w:hint="eastAsia" w:ascii="宋体" w:hAnsi="宋体" w:eastAsia="宋体" w:cs="宋体"/>
          <w:color w:val="auto"/>
          <w:sz w:val="24"/>
          <w:szCs w:val="24"/>
        </w:rPr>
        <w:t xml:space="preserve">对投标文件的初审</w:t>
      </w:r>
      <w:bookmarkEnd w:id="66"/>
      <w:r/>
      <w:bookmarkEnd w:id="67"/>
      <w:r/>
      <w:bookmarkEnd w:id="68"/>
      <w:r/>
      <w:bookmarkEnd w:id="69"/>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投标文件初审分为资格审查和符合性审查。</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资格审查：依据法律法规和招标文件的规定，由采购人对投标文件中的资格证明文件进行审查。资格审查的结论，采购人以书面形式向评委会进行反馈。</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采购人在进行资格性审查的同时，将在“信用中国”网站（www.creditchina.gov.cn）查询投标人的信用记录，以确定投标人是否具备投标资格，查询结果留存并归档。</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符合性审查：依据招标文件的规定，由评委会从投标文件的有效性、完整性和对招标文件的响应程度进行审查，以确定是否对招标文件的实质性要求作出响应。</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未通过资格审查或符合性审查的投标人，采购代理机构将在“苏采云”系统中告知未通过资格审查或符合性审查的原因，评标结束后，采购代理机构将不再告知未通过资格审查和符合性审查的原因。</w:t>
      </w:r>
      <w:r/>
    </w:p>
    <w:p>
      <w:pPr>
        <w:pStyle w:val="897"/>
        <w:numPr>
          <w:ilvl w:val="1"/>
          <w:numId w:val="8"/>
        </w:numPr>
        <w:ind w:left="0" w:firstLine="426"/>
        <w:spacing w:line="360" w:lineRule="auto"/>
        <w:rPr>
          <w:rFonts w:hint="eastAsia" w:ascii="宋体" w:hAnsi="宋体" w:eastAsia="宋体" w:cs="宋体"/>
          <w:color w:val="auto"/>
          <w:sz w:val="24"/>
          <w:szCs w:val="24"/>
        </w:rPr>
      </w:pPr>
      <w:r/>
      <w:bookmarkStart w:id="70" w:name="OLE_LINK2"/>
      <w:r>
        <w:rPr>
          <w:rFonts w:hint="eastAsia" w:ascii="宋体" w:hAnsi="宋体" w:eastAsia="宋体" w:cs="宋体"/>
          <w:color w:val="auto"/>
          <w:sz w:val="24"/>
          <w:szCs w:val="24"/>
        </w:rPr>
        <w:t xml:space="preserve">在详细评标之前，评委会将首先审查每份投标文件是否实质性响应了招标文件的要求。实质性响应的投标应该是与招标文件要求的全部条款、条件和规格相符，没有重大偏离或保留的投标。</w:t>
      </w:r>
      <w:bookmarkEnd w:id="70"/>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如果投标文件实质上没有响应招标文件的要求，评委会将予以拒绝，投标人不得通过修改或撤销不合要求的偏离或保留而使其投标成为实质性响应的投标。</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评委会将对确定为实质性响应的投标进行进一步审核，确定其是否有计算上或累加上的算术错误，修正错误的原则如下：</w:t>
      </w:r>
      <w:r/>
    </w:p>
    <w:p>
      <w:pPr>
        <w:pStyle w:val="897"/>
        <w:numPr>
          <w:ilvl w:val="0"/>
          <w:numId w:val="10"/>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投标文件中开标一览表内容与投标文件中相应内容不一致的，以开标一览表为准。</w:t>
      </w:r>
      <w:r/>
    </w:p>
    <w:p>
      <w:pPr>
        <w:pStyle w:val="897"/>
        <w:numPr>
          <w:ilvl w:val="0"/>
          <w:numId w:val="10"/>
        </w:numPr>
        <w:ind w:left="0" w:firstLine="426"/>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大写金额和小写金额不一致的，以大写金额为准。</w:t>
      </w:r>
      <w:r/>
    </w:p>
    <w:p>
      <w:pPr>
        <w:pStyle w:val="897"/>
        <w:numPr>
          <w:ilvl w:val="0"/>
          <w:numId w:val="10"/>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单价金额小数点或者百分比有明显错位的，以开标一览表的总价为准，并修改单价。</w:t>
      </w:r>
      <w:r/>
    </w:p>
    <w:p>
      <w:pPr>
        <w:pStyle w:val="897"/>
        <w:numPr>
          <w:ilvl w:val="0"/>
          <w:numId w:val="10"/>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总价金额与按单价汇总金额不一致的，以单价金额计算结果为准。</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同时出现两种以上错误的，按照前款规定的顺序修正。</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评委会将按上述修正错误的方法调整投标文件中的投标报价，并通过“苏采云”系统告知投标人，调整后的价格应对投标人具有约束力。如果投标人不接受修正后的价格，则其投标将被拒绝。</w:t>
      </w:r>
      <w:r/>
    </w:p>
    <w:p>
      <w:pPr>
        <w:pStyle w:val="897"/>
        <w:numPr>
          <w:ilvl w:val="1"/>
          <w:numId w:val="8"/>
        </w:numPr>
        <w:ind w:left="0" w:firstLine="426"/>
        <w:spacing w:line="360" w:lineRule="auto"/>
        <w:rPr>
          <w:rFonts w:hint="eastAsia" w:ascii="宋体" w:hAnsi="宋体" w:eastAsia="宋体" w:cs="宋体"/>
          <w:color w:val="auto"/>
          <w:sz w:val="24"/>
          <w:szCs w:val="24"/>
        </w:rPr>
      </w:pPr>
      <w:r/>
      <w:bookmarkStart w:id="71" w:name="_Toc16938550"/>
      <w:r/>
      <w:bookmarkStart w:id="72" w:name="_Toc20823306"/>
      <w:r/>
      <w:bookmarkStart w:id="73" w:name="_Toc513029234"/>
      <w:r>
        <w:rPr>
          <w:rFonts w:hint="eastAsia" w:ascii="宋体" w:hAnsi="宋体" w:eastAsia="宋体" w:cs="宋体"/>
          <w:color w:val="auto"/>
          <w:sz w:val="24"/>
          <w:szCs w:val="24"/>
        </w:rPr>
        <w:t xml:space="preserve">投标人在开、评标全过程中应保持通讯畅通，及时登录“苏采云”系统查阅、答复相关信息，并安排专人与采购代理机构及评委会联系。</w:t>
      </w:r>
      <w:bookmarkEnd w:id="71"/>
      <w:r/>
      <w:bookmarkEnd w:id="72"/>
      <w:r/>
      <w:bookmarkEnd w:id="73"/>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74" w:name="_Toc197644558"/>
      <w:r>
        <w:rPr>
          <w:rFonts w:hint="eastAsia" w:ascii="宋体" w:hAnsi="宋体" w:eastAsia="宋体" w:cs="宋体"/>
          <w:color w:val="auto"/>
          <w:sz w:val="24"/>
          <w:szCs w:val="24"/>
        </w:rPr>
        <w:t xml:space="preserve">无效投标条款和废标条款</w:t>
      </w:r>
      <w:bookmarkEnd w:id="74"/>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bookmarkStart w:id="75" w:name="_Toc513029235"/>
      <w:r/>
      <w:bookmarkStart w:id="76" w:name="_Toc20823307"/>
      <w:r/>
      <w:bookmarkStart w:id="77" w:name="_Toc16938551"/>
      <w:r>
        <w:rPr>
          <w:rFonts w:hint="eastAsia" w:ascii="宋体" w:hAnsi="宋体" w:eastAsia="宋体" w:cs="宋体"/>
          <w:color w:val="auto"/>
          <w:sz w:val="24"/>
          <w:szCs w:val="24"/>
        </w:rPr>
        <w:t xml:space="preserve">无效投标条款</w:t>
      </w:r>
      <w:bookmarkEnd w:id="75"/>
      <w:r/>
      <w:bookmarkEnd w:id="76"/>
      <w:r/>
      <w:bookmarkEnd w:id="77"/>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投标人在“苏采云”系统规定的时间内未成功解密电子投标文件的。</w:t>
      </w:r>
      <w:r/>
    </w:p>
    <w:p>
      <w:pPr>
        <w:pStyle w:val="897"/>
        <w:numPr>
          <w:ilvl w:val="2"/>
          <w:numId w:val="8"/>
        </w:numPr>
        <w:ind w:left="0" w:firstLine="426"/>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投标人未按照招标文件要求上传电子投标文件的。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同一投标人提交两个（含两个）以上不同的投标报价的。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投标人不具备招标文件中规定资格要求的。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投标人的报价超过了采购预算或最高限价的。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未通过符合性审查的。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不符合招标文件中规定的实质性要求和条件的（</w:t>
      </w:r>
      <w:r>
        <w:rPr>
          <w:rFonts w:hint="eastAsia" w:ascii="宋体" w:hAnsi="宋体" w:eastAsia="宋体" w:cs="宋体"/>
          <w:b/>
          <w:bCs/>
          <w:i/>
          <w:iCs/>
          <w:color w:val="auto"/>
          <w:sz w:val="24"/>
          <w:szCs w:val="24"/>
          <w:u w:val="single"/>
        </w:rPr>
        <w:t xml:space="preserve">本招标文件中斜体且有下划线部分为实质性要求和条件</w:t>
      </w:r>
      <w:r>
        <w:rPr>
          <w:rFonts w:hint="eastAsia" w:ascii="宋体" w:hAnsi="宋体" w:eastAsia="宋体" w:cs="宋体"/>
          <w:color w:val="auto"/>
          <w:sz w:val="24"/>
          <w:szCs w:val="24"/>
        </w:rPr>
        <w:t xml:space="preserve">）。</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投标人被“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pStyle w:val="897"/>
        <w:numPr>
          <w:ilvl w:val="2"/>
          <w:numId w:val="8"/>
        </w:numPr>
        <w:ind w:left="0" w:firstLine="426"/>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投标文件含有采购人不能接受的附加条件的。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评标委员会认为投标人的报价明显低于其他通过符合性审查投标人的报价，有可能影响产品质量或者不能诚信履约的，将通过“苏采云”系统要求其在合理的时间内提供说明，必要时提交相关证明材料；</w:t>
      </w:r>
      <w:r>
        <w:rPr>
          <w:rFonts w:hint="eastAsia" w:ascii="宋体" w:hAnsi="宋体" w:eastAsia="宋体" w:cs="宋体"/>
          <w:b/>
          <w:bCs/>
          <w:i/>
          <w:iCs/>
          <w:color w:val="auto"/>
          <w:sz w:val="24"/>
          <w:szCs w:val="24"/>
          <w:u w:val="single"/>
        </w:rPr>
        <w:t xml:space="preserve">投标人不能证明其报价合理性的，评委会应当将其作为无效投标处理</w:t>
      </w:r>
      <w:r>
        <w:rPr>
          <w:rFonts w:hint="eastAsia" w:ascii="宋体" w:hAnsi="宋体" w:eastAsia="宋体" w:cs="宋体"/>
          <w:color w:val="auto"/>
          <w:sz w:val="24"/>
          <w:szCs w:val="24"/>
        </w:rPr>
        <w:t xml:space="preserve">。</w:t>
      </w:r>
      <w:r/>
    </w:p>
    <w:p>
      <w:pPr>
        <w:pStyle w:val="897"/>
        <w:numPr>
          <w:ilvl w:val="2"/>
          <w:numId w:val="8"/>
        </w:numPr>
        <w:ind w:left="0" w:firstLine="426"/>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投标文件未按照招标文件要求加盖CA电子公章的。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其他法律、法规及本招标文件规定的属无效投标的情形。</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关于供应商异常低价审查</w:t>
      </w:r>
      <w:r/>
    </w:p>
    <w:p>
      <w:pPr>
        <w:pStyle w:val="897"/>
        <w:numPr>
          <w:ilvl w:val="0"/>
          <w:numId w:val="0"/>
        </w:numPr>
        <w:ind w:left="426"/>
        <w:spacing w:line="360" w:lineRule="auto"/>
        <w:rPr>
          <w:rFonts w:hint="eastAsia" w:ascii="宋体" w:hAnsi="宋体" w:eastAsia="宋体" w:cs="宋体"/>
          <w:b/>
          <w:bCs/>
          <w:color w:val="auto"/>
          <w:sz w:val="24"/>
          <w:szCs w:val="24"/>
          <w:lang w:val="en-US" w:eastAsia="zh-CN"/>
        </w:rPr>
        <w:outlineLvl w:val="4"/>
      </w:pPr>
      <w:r>
        <w:rPr>
          <w:rFonts w:hint="eastAsia" w:ascii="宋体" w:hAnsi="宋体" w:eastAsia="宋体" w:cs="宋体"/>
          <w:b/>
          <w:bCs/>
          <w:color w:val="auto"/>
          <w:sz w:val="24"/>
          <w:szCs w:val="24"/>
          <w:lang w:val="en-US" w:eastAsia="zh-CN"/>
        </w:rPr>
        <w:t xml:space="preserve">26.2.1启动异常低价投标审查条件：</w:t>
      </w:r>
      <w:r/>
    </w:p>
    <w:p>
      <w:pPr>
        <w:ind w:left="0" w:firstLine="480"/>
        <w:jc w:val="both"/>
        <w:pageBreakBefore w:val="0"/>
        <w:spacing w:line="500" w:lineRule="exact"/>
        <w:widowControl w:val="off"/>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 xml:space="preserve">评审过程中出现下列情形之一的，评标委员会应当启动异常低价投标审查程序：</w:t>
      </w:r>
      <w:r/>
    </w:p>
    <w:p>
      <w:pPr>
        <w:numPr>
          <w:ilvl w:val="0"/>
          <w:numId w:val="11"/>
        </w:numPr>
        <w:ind w:left="0" w:firstLine="482"/>
        <w:jc w:val="both"/>
        <w:pageBreakBefore w:val="0"/>
        <w:spacing w:line="500" w:lineRule="exact"/>
        <w:widowControl w:val="off"/>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 xml:space="preserve">投标报价低于全部通过符合性审查供应商投标报价平均值50%的，即投标报价&lt;全部通过符合性审查供应商投标报价平均值×50%； </w:t>
      </w:r>
      <w:r/>
    </w:p>
    <w:p>
      <w:pPr>
        <w:numPr>
          <w:ilvl w:val="0"/>
          <w:numId w:val="11"/>
        </w:numPr>
        <w:ind w:left="0" w:firstLine="482"/>
        <w:jc w:val="both"/>
        <w:pageBreakBefore w:val="0"/>
        <w:spacing w:line="500" w:lineRule="exact"/>
        <w:widowControl w:val="off"/>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 xml:space="preserve">投标报价低于通过符合性审查的次低报价供应商投标报价50%的，即投标报价&lt;通过符合性审查的次低报价供应商投标报价×50%； </w:t>
      </w:r>
      <w:r/>
    </w:p>
    <w:p>
      <w:pPr>
        <w:numPr>
          <w:ilvl w:val="0"/>
          <w:numId w:val="11"/>
        </w:numPr>
        <w:ind w:left="0" w:firstLine="482"/>
        <w:jc w:val="both"/>
        <w:pageBreakBefore w:val="0"/>
        <w:spacing w:line="500" w:lineRule="exact"/>
        <w:widowControl w:val="off"/>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 xml:space="preserve">投标报价低于采购项目最高限价45%的，即投标报价&lt;采购项目最高限价×45%； </w:t>
      </w:r>
      <w:r/>
    </w:p>
    <w:p>
      <w:pPr>
        <w:numPr>
          <w:ilvl w:val="0"/>
          <w:numId w:val="11"/>
        </w:numPr>
        <w:ind w:left="0" w:firstLine="482"/>
        <w:jc w:val="both"/>
        <w:pageBreakBefore w:val="0"/>
        <w:spacing w:line="500" w:lineRule="exact"/>
        <w:widowControl w:val="off"/>
        <w:rPr>
          <w:rFonts w:hint="default" w:ascii="宋体" w:hAnsi="宋体" w:eastAsia="宋体" w:cs="宋体"/>
          <w:b/>
          <w:bCs/>
          <w:color w:val="auto"/>
          <w:sz w:val="24"/>
          <w:szCs w:val="24"/>
          <w:lang w:val="en-US" w:eastAsia="zh-CN"/>
          <w14:ligatures w14:val="standardContextual"/>
        </w:rPr>
      </w:pPr>
      <w:r>
        <w:rPr>
          <w:rFonts w:hint="default" w:ascii="宋体" w:hAnsi="宋体" w:eastAsia="宋体" w:cs="宋体"/>
          <w:b/>
          <w:bCs/>
          <w:color w:val="auto"/>
          <w:sz w:val="24"/>
          <w:szCs w:val="24"/>
          <w:lang w:val="en-US" w:eastAsia="zh-CN"/>
          <w14:ligatures w14:val="standardContextual"/>
        </w:rPr>
        <w:t xml:space="preserve">评审委员会基于专业判断，认为供应商报价过低，有可能影响产品质量或者不能诚信履约的其他情形。</w:t>
      </w:r>
      <w:r/>
    </w:p>
    <w:p>
      <w:pPr>
        <w:ind w:left="0" w:firstLine="480"/>
        <w:jc w:val="both"/>
        <w:pageBreakBefore w:val="0"/>
        <w:spacing w:line="500" w:lineRule="exact"/>
        <w:widowControl w:val="off"/>
        <w:rPr>
          <w:rFonts w:hint="default" w:ascii="宋体" w:hAnsi="宋体" w:eastAsia="宋体" w:cs="宋体"/>
          <w:b/>
          <w:bCs/>
          <w:color w:val="auto"/>
          <w:sz w:val="24"/>
          <w:szCs w:val="24"/>
          <w:lang w:val="en-US" w:eastAsia="zh-CN"/>
        </w:rPr>
      </w:pPr>
      <w:r>
        <w:rPr>
          <w:rFonts w:hint="eastAsia" w:ascii="宋体" w:hAnsi="宋体" w:eastAsia="宋体" w:cs="宋体"/>
          <w:b/>
          <w:bCs/>
          <w:color w:val="auto"/>
          <w:sz w:val="24"/>
          <w:szCs w:val="24"/>
          <w:lang w:val="en-US" w:eastAsia="zh-CN"/>
        </w:rPr>
        <w:t xml:space="preserve">26.2.2</w:t>
      </w:r>
      <w:r>
        <w:rPr>
          <w:rFonts w:hint="default" w:ascii="宋体" w:hAnsi="宋体" w:eastAsia="宋体" w:cs="宋体"/>
          <w:b/>
          <w:bCs/>
          <w:color w:val="auto"/>
          <w:sz w:val="24"/>
          <w:szCs w:val="24"/>
          <w:lang w:val="en-US" w:eastAsia="zh-CN"/>
          <w14:ligatures w14:val="standardContextual"/>
        </w:rPr>
        <w:t xml:space="preserve">启动异常低价响应审查后，评标委员会应当要求相关供应商在评审现场合理的时间内，提供项目具体成本测算等与报价合理性相关的书面说明及相关证明材料，对价格作出解释，提供项目具体成本测算等与报价合理性相关的书面说明及必要的证明材料，包括但不限于人工成本、相关费用等，依据专业经验对供应商报价合理性进行判断。投标供应商不提供书面说明、证明材料，或者提供的书面说明、证明材料不能证明其报价合理性的，评标委员会应当将其作为无效投标文件处理。审查相关情况应当在评审报告中进行记录。</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废标条款</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符合专业条件的供应商或者对招标文件作实质响应的供应商不足三家的。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出现影响采购公正的违法、违规行为的。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因重大变故，采购任务取消的。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评委会认定招标文件存在歧义、重大缺陷导致评审工作无法进行。</w:t>
      </w:r>
      <w:r/>
    </w:p>
    <w:p>
      <w:pPr>
        <w:pStyle w:val="897"/>
        <w:numPr>
          <w:ilvl w:val="2"/>
          <w:numId w:val="8"/>
        </w:numPr>
        <w:ind w:left="0" w:firstLine="426"/>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因“苏采云”系统故障原因造成开标不成功的。</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投标截止时间结束后参加投标的供应商不足三家的处理：</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如出现投标截止时间结束后参加投标的供应商或者在评标期间对招标文件做出实质响应的供应商不足三家情况，按政府采购相关规定执行。</w:t>
      </w:r>
      <w:r/>
    </w:p>
    <w:p>
      <w:pPr>
        <w:pStyle w:val="897"/>
        <w:numPr>
          <w:ilvl w:val="0"/>
          <w:numId w:val="7"/>
        </w:numPr>
        <w:jc w:val="left"/>
        <w:spacing w:line="480" w:lineRule="auto"/>
        <w:rPr>
          <w:rFonts w:hint="eastAsia" w:ascii="宋体" w:hAnsi="宋体" w:eastAsia="宋体"/>
          <w:b/>
          <w:bCs/>
          <w:color w:val="auto"/>
          <w:sz w:val="24"/>
          <w:szCs w:val="24"/>
        </w:rPr>
        <w:outlineLvl w:val="1"/>
      </w:pPr>
      <w:r/>
      <w:bookmarkStart w:id="78" w:name="_Toc197644559"/>
      <w:r>
        <w:rPr>
          <w:rFonts w:hint="eastAsia" w:ascii="宋体" w:hAnsi="宋体" w:eastAsia="宋体" w:cs="宋体"/>
          <w:b/>
          <w:color w:val="auto"/>
          <w:sz w:val="24"/>
          <w:szCs w:val="24"/>
        </w:rPr>
        <w:t xml:space="preserve">定标</w:t>
      </w:r>
      <w:bookmarkEnd w:id="78"/>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79" w:name="_Toc16938554"/>
      <w:r/>
      <w:bookmarkStart w:id="80" w:name="_Toc513029238"/>
      <w:r/>
      <w:bookmarkStart w:id="81" w:name="_Toc197644560"/>
      <w:r>
        <w:rPr>
          <w:rFonts w:hint="eastAsia" w:ascii="宋体" w:hAnsi="宋体" w:eastAsia="宋体" w:cs="宋体"/>
          <w:color w:val="auto"/>
          <w:sz w:val="24"/>
          <w:szCs w:val="24"/>
        </w:rPr>
        <w:t xml:space="preserve">确定</w:t>
      </w:r>
      <w:bookmarkEnd w:id="79"/>
      <w:r/>
      <w:bookmarkEnd w:id="80"/>
      <w:r>
        <w:rPr>
          <w:rFonts w:hint="eastAsia" w:ascii="宋体" w:hAnsi="宋体" w:eastAsia="宋体" w:cs="宋体"/>
          <w:color w:val="auto"/>
          <w:sz w:val="24"/>
          <w:szCs w:val="24"/>
        </w:rPr>
        <w:t xml:space="preserve">中标单位</w:t>
      </w:r>
      <w:bookmarkEnd w:id="81"/>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中标候选人的选取原则和数量见招标文件第五章规定。</w:t>
      </w:r>
      <w:r/>
    </w:p>
    <w:p>
      <w:pPr>
        <w:pStyle w:val="897"/>
        <w:numPr>
          <w:ilvl w:val="1"/>
          <w:numId w:val="8"/>
        </w:numPr>
        <w:ind w:left="0" w:firstLine="426"/>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采购人应当自收到评标报告之日起</w:t>
      </w:r>
      <w:r>
        <w:rPr>
          <w:rFonts w:hint="eastAsia" w:ascii="宋体" w:hAnsi="宋体" w:eastAsia="宋体" w:cs="宋体"/>
          <w:color w:val="auto"/>
          <w:sz w:val="24"/>
          <w:szCs w:val="24"/>
        </w:rPr>
        <w:t xml:space="preserve">5</w:t>
      </w:r>
      <w:r>
        <w:rPr>
          <w:rFonts w:ascii="宋体" w:hAnsi="宋体" w:eastAsia="宋体" w:cs="宋体"/>
          <w:color w:val="auto"/>
          <w:sz w:val="24"/>
          <w:szCs w:val="24"/>
        </w:rPr>
        <w:t xml:space="preserve">个工作日内，在评标报告确定的中标候选人名单中按顺序确定中标人。</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采购代理机构将在“中国政府采购网”、“江苏政府采购网”、“盐城市政府采购网”发布中标公告，公告期限为1个工作日。</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若有充分证据证明，中标人出现下列情况之一的，一经查实，将被取消中标资格：</w:t>
      </w:r>
      <w:r/>
    </w:p>
    <w:p>
      <w:pPr>
        <w:pStyle w:val="897"/>
        <w:numPr>
          <w:ilvl w:val="2"/>
          <w:numId w:val="8"/>
        </w:numPr>
        <w:ind w:left="0" w:firstLine="426"/>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提供虚假材料谋取中标的。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向采购人、采购代理机构行贿或者提供其他不正当利益的。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属于本文件规定的无效条件，但在评标过程中又未被评委会发现的。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与采购人或者其他供应商恶意串通的。</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采取不正当手段诋毁、排挤其他供应商的。</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bookmarkStart w:id="82" w:name="_Toc200451960"/>
      <w:r>
        <w:rPr>
          <w:rFonts w:hint="eastAsia" w:ascii="宋体" w:hAnsi="宋体" w:eastAsia="宋体" w:cs="宋体"/>
          <w:color w:val="auto"/>
          <w:sz w:val="24"/>
          <w:szCs w:val="24"/>
        </w:rPr>
        <w:t xml:space="preserve">有下列情形之一的，视为投标人串通投标，投标无效：</w:t>
      </w:r>
      <w:bookmarkEnd w:id="82"/>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不同投标人的投标文件由同一单位或者个人编制。</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不同投标人委托同一单位或者个人办理投标事宜。</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不同投标人的投标文件载明的项目管理成员或者联系人员为同一人。</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不同投标人的投标文件异常一致或者投标报价呈规律性差异。</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83" w:name="_Toc197644561"/>
      <w:r>
        <w:rPr>
          <w:rFonts w:hint="eastAsia" w:ascii="宋体" w:hAnsi="宋体" w:eastAsia="宋体" w:cs="宋体"/>
          <w:color w:val="auto"/>
          <w:sz w:val="24"/>
          <w:szCs w:val="24"/>
        </w:rPr>
        <w:t xml:space="preserve">质疑处理</w:t>
      </w:r>
      <w:bookmarkEnd w:id="83"/>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提出质疑的供应商应当是参与所质疑项目采购活动的供应商。潜在供应商依法获取其可质疑的采购文件的，可以对采购文件提出质疑。</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认为采购文件、采购过程和采购结果使自己的权益受到损害的，可以在知道或应知其权益受到损害之日起七个工作日内，以书面形式根据下述28.4条款的规定向采购代理机构或采购人提出质疑。上述应知其权益受到损害之日，是指：</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对可以质疑的采购文件提出质疑的，为收到采购文件之日或者采购文件公告期限届满之日；</w:t>
      </w:r>
      <w:r/>
    </w:p>
    <w:p>
      <w:pPr>
        <w:pStyle w:val="897"/>
        <w:numPr>
          <w:ilvl w:val="2"/>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对采购过程提出质疑的，为各采购程序环节结束之日；</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对中标或者成交结果提出质疑的，为中标或者成交结果公告期限届满之日。</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供应商应当在法定质疑期内一次性提出针对同一采购程序环节的质疑。供应商如在法定期限内对同一采购程序环节提出多次质疑的，采购代理机构、采购人将只对供应商第一次质疑作出答复。</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质疑函必须按照本招标文件中《质疑函范本》要求的格式和内容进行填写。</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供应商（含潜在供应商）对采购文件、采购过程、</w:t>
      </w:r>
      <w:r>
        <w:rPr>
          <w:rFonts w:ascii="宋体" w:hAnsi="宋体" w:eastAsia="宋体" w:cs="宋体"/>
          <w:color w:val="auto"/>
          <w:sz w:val="24"/>
          <w:szCs w:val="24"/>
        </w:rPr>
        <w:t xml:space="preserve">中标或者成交结果</w:t>
      </w:r>
      <w:r>
        <w:rPr>
          <w:rFonts w:hint="eastAsia" w:ascii="宋体" w:hAnsi="宋体" w:eastAsia="宋体" w:cs="宋体"/>
          <w:color w:val="auto"/>
          <w:sz w:val="24"/>
          <w:szCs w:val="24"/>
        </w:rPr>
        <w:t xml:space="preserve">的询问、质疑请向采购代理机构提出，由采购代理机构负责答复。</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采购代理机构只接收以纸质原件形式送达的质疑，采购代理机构不接受未填写快递运单的快件。</w:t>
      </w:r>
      <w:r/>
    </w:p>
    <w:p>
      <w:pPr>
        <w:pStyle w:val="897"/>
        <w:numPr>
          <w:ilvl w:val="1"/>
          <w:numId w:val="8"/>
        </w:numPr>
        <w:ind w:left="0" w:firstLine="426"/>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以下情形的质疑不予受理</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内容不符合《政府采购质疑和投诉办法》第十二条规定的质疑。</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超出政府采购法定期限的质疑。</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以传真、电子邮件等方式递交的非原件形式的质疑。</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未参加投标活动的供应商或在投标活动中自身权益未受到损害的供应商所提出的质疑。</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出书面质疑必须有理、有据，不得捏造事实、提供虚假材料进行恶意质疑。否则，一经查实，采购代理机构有权依据政府采购的有关规定，报请政府采购监管部门对该供应商进行相应的行政处罚和记录该供应商的失信信息。</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84" w:name="_Toc197644562"/>
      <w:r>
        <w:rPr>
          <w:rFonts w:hint="eastAsia" w:ascii="宋体" w:hAnsi="宋体" w:eastAsia="宋体" w:cs="宋体"/>
          <w:color w:val="auto"/>
          <w:sz w:val="24"/>
          <w:szCs w:val="24"/>
        </w:rPr>
        <w:t xml:space="preserve">中标通知书</w:t>
      </w:r>
      <w:bookmarkEnd w:id="84"/>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结果确定后，采购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中标通知书将是合同的一个组成部分。对采购人和中标人均具有法律效力。中标通知书发出后，采购人改变中标结果的，或者中标人放弃中标项目的，应当依法承担法律责任。</w:t>
      </w:r>
      <w:r/>
    </w:p>
    <w:p>
      <w:pPr>
        <w:pStyle w:val="897"/>
        <w:numPr>
          <w:ilvl w:val="0"/>
          <w:numId w:val="7"/>
        </w:numPr>
        <w:jc w:val="left"/>
        <w:spacing w:line="480" w:lineRule="auto"/>
        <w:rPr>
          <w:rFonts w:hint="eastAsia" w:ascii="宋体" w:hAnsi="宋体" w:eastAsia="宋体"/>
          <w:b/>
          <w:bCs/>
          <w:color w:val="auto"/>
          <w:sz w:val="24"/>
          <w:szCs w:val="24"/>
        </w:rPr>
        <w:outlineLvl w:val="1"/>
      </w:pPr>
      <w:r/>
      <w:bookmarkStart w:id="85" w:name="_Toc197644563"/>
      <w:r>
        <w:rPr>
          <w:rFonts w:hint="eastAsia" w:ascii="宋体" w:hAnsi="宋体" w:eastAsia="宋体" w:cs="宋体"/>
          <w:b/>
          <w:color w:val="auto"/>
          <w:sz w:val="24"/>
          <w:szCs w:val="24"/>
        </w:rPr>
        <w:t xml:space="preserve">授予合同</w:t>
      </w:r>
      <w:bookmarkEnd w:id="85"/>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86" w:name="_Toc20823309"/>
      <w:r/>
      <w:bookmarkStart w:id="87" w:name="_Toc197644564"/>
      <w:r/>
      <w:bookmarkStart w:id="88" w:name="_Toc16938553"/>
      <w:r/>
      <w:bookmarkStart w:id="89" w:name="_Toc513029237"/>
      <w:r>
        <w:rPr>
          <w:rFonts w:hint="eastAsia" w:ascii="宋体" w:hAnsi="宋体" w:eastAsia="宋体" w:cs="宋体"/>
          <w:color w:val="auto"/>
          <w:sz w:val="24"/>
          <w:szCs w:val="24"/>
        </w:rPr>
        <w:t xml:space="preserve">签订合同</w:t>
      </w:r>
      <w:bookmarkEnd w:id="86"/>
      <w:r/>
      <w:bookmarkEnd w:id="87"/>
      <w:r/>
      <w:bookmarkEnd w:id="88"/>
      <w:r/>
      <w:bookmarkEnd w:id="89"/>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中标人应当在中标通知书发出之日起三十日内（原则上应在15日内签订采购合同），按照招标文件确定的事项与采购人签订政府采购合同。</w:t>
      </w:r>
      <w:r/>
    </w:p>
    <w:p>
      <w:pPr>
        <w:pStyle w:val="897"/>
        <w:numPr>
          <w:ilvl w:val="1"/>
          <w:numId w:val="8"/>
        </w:numPr>
        <w:ind w:left="0" w:firstLine="426"/>
        <w:spacing w:line="360" w:lineRule="auto"/>
        <w:rPr>
          <w:rFonts w:hint="eastAsia" w:ascii="宋体" w:hAnsi="宋体" w:eastAsia="宋体" w:cs="宋体"/>
          <w:color w:val="auto"/>
          <w:sz w:val="24"/>
          <w:szCs w:val="24"/>
        </w:rPr>
      </w:pPr>
      <w:r>
        <w:rPr>
          <w:rFonts w:ascii="宋体" w:hAnsi="宋体" w:eastAsia="宋体" w:cs="宋体"/>
          <w:color w:val="auto"/>
          <w:sz w:val="24"/>
          <w:szCs w:val="24"/>
        </w:rPr>
        <w:t xml:space="preserve">采购人应当自政府采购合同签订之日起2个工作日内，将政府采购合同在省级以上人民政府财政部门指定的媒体上公告，但政府采购合同中涉及国家秘密、商业秘密的内容除外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auto"/>
          <w:sz w:val="24"/>
          <w:szCs w:val="24"/>
        </w:rPr>
        <w:t xml:space="preserve">。</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招标文件、中标人的投标文件及招标过程中有关澄清、承诺文件均应作为合同附件。</w:t>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签订合同后，</w:t>
      </w:r>
      <w:r>
        <w:rPr>
          <w:rFonts w:hint="eastAsia" w:ascii="宋体" w:hAnsi="宋体" w:eastAsia="宋体" w:cs="宋体"/>
          <w:b/>
          <w:bCs/>
          <w:i/>
          <w:iCs/>
          <w:color w:val="auto"/>
          <w:sz w:val="24"/>
          <w:szCs w:val="24"/>
          <w:u w:val="single"/>
        </w:rPr>
        <w:t xml:space="preserve">中标人不得将合同标的进行转包</w:t>
      </w:r>
      <w:r>
        <w:rPr>
          <w:rFonts w:hint="eastAsia" w:ascii="宋体" w:hAnsi="宋体" w:eastAsia="宋体" w:cs="宋体"/>
          <w:color w:val="auto"/>
          <w:sz w:val="24"/>
          <w:szCs w:val="24"/>
        </w:rPr>
        <w:t xml:space="preserve">。未经采购人同意，中标人也不得采用分包的形式履行合同，否则采购人有权终止合同。转包或分包造成采购人损失的，中标人应承担相应赔偿责任。</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90" w:name="_Toc197644565"/>
      <w:r>
        <w:rPr>
          <w:rFonts w:hint="eastAsia" w:ascii="宋体" w:hAnsi="宋体" w:eastAsia="宋体" w:cs="宋体"/>
          <w:color w:val="auto"/>
          <w:sz w:val="24"/>
          <w:szCs w:val="24"/>
        </w:rPr>
        <w:t xml:space="preserve">服务（包含与服务相关的货物）的追加</w:t>
      </w:r>
      <w:bookmarkEnd w:id="90"/>
      <w:r/>
      <w:r/>
    </w:p>
    <w:p>
      <w:pPr>
        <w:pStyle w:val="897"/>
        <w:numPr>
          <w:ilvl w:val="1"/>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政府采购合同履行中，采购人需追加与合同标的相同的服务（包含与服务相关的货物），在不改变合同其他条款的前提下，可以与中标人协商签订补充合同，但所有补充合同的采购金额不超过原合同金额10%。</w:t>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91" w:name="_Toc197644566"/>
      <w:r>
        <w:rPr>
          <w:rFonts w:hint="eastAsia" w:ascii="宋体" w:hAnsi="宋体" w:eastAsia="宋体" w:cs="宋体"/>
          <w:color w:val="auto"/>
          <w:sz w:val="24"/>
          <w:szCs w:val="24"/>
        </w:rPr>
        <w:t xml:space="preserve">政府采购政策功能落实</w:t>
      </w:r>
      <w:bookmarkEnd w:id="91"/>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政府采购线上合同信用融资政策</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根据《转发江苏省财政厅 中国人民银行南京分行&lt;关于深入推进政府采购线上合同信用融资工作的通知&gt;的通知》（盐财购〔2021〕20号）规定，中标供应商如有融资需求，可持政府采购合同在线向相关金融机构（具体信息详见江苏政府采购网“政采贷”栏目）申请贷款，相关金融机构按照双方自愿的原则提供便捷、优惠的贷款服务；具体操作流程请参考“苏采云”系统中操作手册。</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进口产品</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进口产品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中小企业、监狱企业及残疾人福利性单位</w:t>
      </w:r>
      <w:r/>
    </w:p>
    <w:p>
      <w:pPr>
        <w:pStyle w:val="897"/>
        <w:numPr>
          <w:ilvl w:val="2"/>
          <w:numId w:val="8"/>
        </w:numPr>
        <w:ind w:left="0" w:firstLine="426"/>
        <w:spacing w:line="360" w:lineRule="auto"/>
        <w:rPr>
          <w:rFonts w:hint="eastAsia" w:ascii="宋体" w:hAnsi="宋体" w:eastAsia="宋体" w:cs="宋体"/>
          <w:color w:val="auto"/>
          <w:sz w:val="24"/>
          <w:szCs w:val="24"/>
        </w:rPr>
        <w:outlineLvl w:val="4"/>
      </w:pPr>
      <w:r>
        <w:rPr>
          <w:rFonts w:hint="eastAsia" w:ascii="宋体" w:hAnsi="宋体" w:eastAsia="宋体" w:cs="宋体"/>
          <w:color w:val="auto"/>
          <w:sz w:val="24"/>
          <w:szCs w:val="24"/>
        </w:rPr>
        <w:t xml:space="preserve">中小企业定义：</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中小企业是</w:t>
      </w:r>
      <w:r>
        <w:rPr>
          <w:rFonts w:hint="eastAsia" w:ascii="宋体" w:hAnsi="宋体" w:eastAsia="宋体" w:cs="宋体"/>
          <w:color w:val="auto"/>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供应商提供的货物、工程或者服务符合下列情形的，享受中小企业扶持政策：</w:t>
      </w:r>
      <w:r/>
    </w:p>
    <w:p>
      <w:pPr>
        <w:pStyle w:val="897"/>
        <w:numPr>
          <w:ilvl w:val="3"/>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在货物采购项目中，货物由中小企业制造，即货物由中小企业生产且使用该中小企业商号或者注册商标；</w:t>
      </w:r>
      <w:r/>
    </w:p>
    <w:p>
      <w:pPr>
        <w:pStyle w:val="897"/>
        <w:numPr>
          <w:ilvl w:val="3"/>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在工程采购项目中，工程由中小企业承建，即工程施工单位为中小企业；</w:t>
      </w:r>
      <w:r/>
    </w:p>
    <w:p>
      <w:pPr>
        <w:pStyle w:val="897"/>
        <w:numPr>
          <w:ilvl w:val="3"/>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在服务采购项目中，服务由中小企业承接，即提供服务的人员为中小企业依照《中华人民共和国劳动合同法》订立劳动合同的从业人员。</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在货物采购项目中，供应商提供的货物既有中小企业制造货物，也有大型企业制造货物的，不享受中小企业扶持政策。</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残疾人福利单位定义：享受政府采购支持政策的残疾人福利性单位应当同时满足以下条件：</w:t>
      </w:r>
      <w:r/>
    </w:p>
    <w:p>
      <w:pPr>
        <w:pStyle w:val="897"/>
        <w:numPr>
          <w:ilvl w:val="3"/>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安置的残疾人占本单位在职职工人数的比例不低于25%（含25%），并且安置的残疾人人数不少于10 人（含10 人）；</w:t>
      </w:r>
      <w:r/>
    </w:p>
    <w:p>
      <w:pPr>
        <w:pStyle w:val="897"/>
        <w:numPr>
          <w:ilvl w:val="3"/>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依法与安置的每位残疾人签订了一年以上（含一年）的劳动合同或服务协议；</w:t>
      </w:r>
      <w:r/>
    </w:p>
    <w:p>
      <w:pPr>
        <w:pStyle w:val="897"/>
        <w:numPr>
          <w:ilvl w:val="3"/>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为安置的每位残疾人按月足额缴纳了基本养老保险、基本医疗保险、失业保险、工伤保险和生育保险等社会保险费；</w:t>
      </w:r>
      <w:r/>
    </w:p>
    <w:p>
      <w:pPr>
        <w:pStyle w:val="897"/>
        <w:numPr>
          <w:ilvl w:val="3"/>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通过银行等金融机构向安置的每位残疾人，按月支付了不低于单位所在区县适用的经省级人民政府批准的月最低工资标准的工资；</w:t>
      </w:r>
      <w:r/>
    </w:p>
    <w:p>
      <w:pPr>
        <w:pStyle w:val="897"/>
        <w:numPr>
          <w:ilvl w:val="3"/>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提供本单位制造的货物、承担的工程或者服务（以下简称产品），或者提供其他残疾人福利性单位制造的货物（不包括使用非残疾人福利性单位注册商标的货物）；</w:t>
      </w:r>
      <w:r/>
    </w:p>
    <w:p>
      <w:pPr>
        <w:pStyle w:val="897"/>
        <w:numPr>
          <w:ilvl w:val="3"/>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本项目是否专门面向中小企业预留采购份额见第一章《招标公告》。</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采购标的对应的中小企业划分标准所属行业见第四章《采购需求》。</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小微企业价格评审优惠的政策：见第五章《评标方法和评标标准》。</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政府采购节能产品、环境标志产品</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严格执行政府采购关于支持</w:t>
      </w:r>
      <w:r>
        <w:rPr>
          <w:rFonts w:hint="eastAsia" w:ascii="宋体" w:hAnsi="宋体" w:eastAsia="宋体" w:cs="宋体"/>
          <w:color w:val="auto"/>
          <w:sz w:val="24"/>
          <w:szCs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投标文件中提供所投产品的相关证书(由国家确定的认证机构出具的、处于有效期之内的节能产品、环境标志产品认证证书)。节能产品、环境标志产品品目清单以提交投标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7"/>
        <w:numPr>
          <w:ilvl w:val="2"/>
          <w:numId w:val="8"/>
        </w:numPr>
        <w:ind w:left="0" w:firstLine="426"/>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节能、环保产品的品目清单按照《关于印发环境标志产品政府采购品目清单的通知》（财库〔2019〕18号）、《关于印发节能产品政府采购品目清单的通知》（财库〔2019〕19号）执行。国家对品目清单进行调整的，按照最新调整的品目清单执行。</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绿色包装</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项目中涉及商品的包装应按照“财办库〔2020〕123号《关于印发《商品包装政府采购需求标准（试行）》、《快递包装政府采购需求标准（试行）》的通知》”执行,在供货、安装过程中能做到低碳物流、环保节约、提高资源利用率。</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政府采购创新产品</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采购人优先采购各级政府部门公开发布的有效期内的创新产品、创新服务、首台套、首购首用等《目录》的创新产品。</w:t>
      </w:r>
      <w:r/>
    </w:p>
    <w:p>
      <w:pPr>
        <w:pStyle w:val="897"/>
        <w:numPr>
          <w:ilvl w:val="1"/>
          <w:numId w:val="8"/>
        </w:numPr>
        <w:ind w:left="0" w:firstLine="426"/>
        <w:spacing w:line="360" w:lineRule="auto"/>
        <w:rPr>
          <w:rFonts w:hint="eastAsia" w:ascii="宋体" w:hAnsi="宋体" w:eastAsia="宋体" w:cs="宋体"/>
          <w:color w:val="auto"/>
          <w:sz w:val="24"/>
          <w:szCs w:val="24"/>
        </w:rPr>
        <w:outlineLvl w:val="3"/>
      </w:pPr>
      <w:r>
        <w:rPr>
          <w:rFonts w:hint="eastAsia" w:ascii="宋体" w:hAnsi="宋体" w:eastAsia="宋体" w:cs="宋体"/>
          <w:color w:val="auto"/>
          <w:sz w:val="24"/>
          <w:szCs w:val="24"/>
        </w:rPr>
        <w:t xml:space="preserve">绿色数据中心政策 </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本文件中若涉及到数据中心采购，采购人应依据《绿色数据中心政府采购需求标准（试行）》（财办库〔2023〕7号）文件精神</w:t>
      </w:r>
      <w:r>
        <w:rPr>
          <w:rFonts w:hint="eastAsia" w:ascii="宋体" w:hAnsi="宋体" w:eastAsia="宋体" w:cs="宋体"/>
          <w:color w:val="auto"/>
          <w:sz w:val="24"/>
          <w:szCs w:val="24"/>
        </w:rPr>
        <w:t xml:space="preserve">，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pStyle w:val="897"/>
        <w:numPr>
          <w:ilvl w:val="1"/>
          <w:numId w:val="8"/>
        </w:numPr>
        <w:ind w:left="0" w:firstLine="426"/>
        <w:spacing w:line="360" w:lineRule="auto"/>
        <w:rPr>
          <w:rFonts w:hint="default" w:ascii="Times New Roman" w:hAnsi="Times New Roman" w:cs="Times New Roman"/>
          <w:sz w:val="24"/>
        </w:rPr>
        <w:outlineLvl w:val="3"/>
      </w:pPr>
      <w:r/>
      <w:bookmarkStart w:id="92" w:name="OLE_LINK20"/>
      <w:r>
        <w:rPr>
          <w:rFonts w:hint="default" w:ascii="Times New Roman" w:hAnsi="Times New Roman" w:cs="Times New Roman"/>
          <w:sz w:val="24"/>
        </w:rPr>
        <w:t xml:space="preserve">实施本国产品标准及相关政策</w:t>
      </w:r>
      <w:bookmarkEnd w:id="92"/>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1.本项目对采购本国产品给予政策支持，具体内容见招标文件“第五章 评标方法与评标标准”。</w:t>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left="0" w:firstLine="482"/>
        <w:jc w:val="both"/>
        <w:pageBreakBefore w:val="0"/>
        <w:spacing w:line="500" w:lineRule="exact"/>
        <w:widowControl w:val="off"/>
        <w:tabs>
          <w:tab w:val="left" w:pos="1381" w:leader="none"/>
        </w:tabs>
        <w:rPr>
          <w:rFonts w:hint="default" w:ascii="Times New Roman" w:hAnsi="Times New Roman" w:cs="Times New Roman"/>
          <w:sz w:val="24"/>
        </w:rPr>
      </w:pPr>
      <w:r>
        <w:rPr>
          <w:rFonts w:hint="default" w:ascii="Times New Roman" w:hAnsi="Times New Roman" w:cs="Times New Roman"/>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p>
    <w:p>
      <w:pPr>
        <w:pStyle w:val="897"/>
        <w:numPr>
          <w:ilvl w:val="0"/>
          <w:numId w:val="8"/>
        </w:numPr>
        <w:ind w:left="0" w:firstLine="425"/>
        <w:spacing w:line="360" w:lineRule="auto"/>
        <w:rPr>
          <w:rFonts w:hint="eastAsia" w:ascii="宋体" w:hAnsi="宋体" w:eastAsia="宋体" w:cs="宋体"/>
          <w:color w:val="auto"/>
          <w:sz w:val="24"/>
          <w:szCs w:val="24"/>
        </w:rPr>
        <w:outlineLvl w:val="2"/>
      </w:pPr>
      <w:r/>
      <w:bookmarkStart w:id="93" w:name="_Toc197644567"/>
      <w:r>
        <w:rPr>
          <w:rFonts w:hint="eastAsia" w:ascii="宋体" w:hAnsi="宋体" w:eastAsia="宋体" w:cs="宋体"/>
          <w:color w:val="auto"/>
          <w:sz w:val="24"/>
          <w:szCs w:val="24"/>
        </w:rPr>
        <w:t xml:space="preserve">预付款制度</w:t>
      </w:r>
      <w:bookmarkEnd w:id="93"/>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yellow"/>
        </w:rPr>
        <w:t xml:space="preserve">本项目落实预付款制度，预付款比例为</w:t>
      </w:r>
      <w:r>
        <w:rPr>
          <w:rFonts w:hint="eastAsia" w:ascii="宋体" w:hAnsi="宋体" w:eastAsia="宋体" w:cs="宋体"/>
          <w:color w:val="auto"/>
          <w:sz w:val="24"/>
          <w:szCs w:val="24"/>
          <w:highlight w:val="yellow"/>
          <w:u w:val="single"/>
        </w:rPr>
        <w:t xml:space="preserve"> 30 </w:t>
      </w:r>
      <w:r>
        <w:rPr>
          <w:rFonts w:hint="eastAsia" w:ascii="宋体" w:hAnsi="宋体" w:eastAsia="宋体" w:cs="宋体"/>
          <w:color w:val="auto"/>
          <w:sz w:val="24"/>
          <w:szCs w:val="24"/>
          <w:highlight w:val="yellow"/>
        </w:rPr>
        <w:t xml:space="preserve">%。</w:t>
      </w:r>
      <w:r>
        <w:rPr>
          <w:rFonts w:hint="eastAsia" w:ascii="宋体" w:hAnsi="宋体" w:eastAsia="宋体" w:cs="宋体"/>
          <w:color w:val="auto"/>
          <w:sz w:val="24"/>
          <w:szCs w:val="24"/>
        </w:rPr>
        <w:t xml:space="preserve">在签订合同时，中标人明确书面表示无需预付款或者主动要求降低预付款比例的，采购人可就预付款比例作相应调整。</w:t>
      </w:r>
      <w:bookmarkEnd w:id="21"/>
      <w:r/>
      <w:r/>
    </w:p>
    <w:p>
      <w:pPr>
        <w:pStyle w:val="897"/>
        <w:ind w:left="0"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3</w:t>
      </w:r>
      <w:r>
        <w:rPr>
          <w:rFonts w:hint="eastAsia" w:ascii="宋体" w:hAnsi="宋体" w:eastAsia="宋体" w:cs="宋体"/>
          <w:color w:val="auto"/>
          <w:sz w:val="24"/>
          <w:szCs w:val="24"/>
          <w:lang w:val="en-US" w:eastAsia="zh-CN"/>
        </w:rPr>
        <w:t xml:space="preserve">6</w:t>
      </w:r>
      <w:bookmarkStart w:id="94" w:name="OLE_LINK27"/>
      <w:r/>
      <w:bookmarkStart w:id="95" w:name="OLE_LINK26"/>
      <w:r>
        <w:rPr>
          <w:rFonts w:hint="eastAsia" w:ascii="宋体" w:hAnsi="宋体" w:eastAsia="宋体" w:cs="宋体"/>
          <w:color w:val="auto"/>
          <w:sz w:val="24"/>
          <w:szCs w:val="24"/>
          <w:lang w:val="en-US" w:eastAsia="zh-CN"/>
        </w:rPr>
        <w:t xml:space="preserve">、</w:t>
      </w:r>
      <w:r>
        <w:rPr>
          <w:rFonts w:hint="eastAsia" w:ascii="宋体" w:hAnsi="宋体" w:eastAsia="宋体" w:cs="宋体"/>
          <w:color w:val="auto"/>
          <w:sz w:val="24"/>
          <w:szCs w:val="24"/>
        </w:rPr>
        <w:t xml:space="preserve">其他政策</w:t>
      </w:r>
      <w:bookmarkEnd w:id="94"/>
      <w:r/>
      <w:bookmarkEnd w:id="95"/>
      <w:r/>
      <w:r/>
    </w:p>
    <w:p>
      <w:pPr>
        <w:pStyle w:val="897"/>
        <w:ind w:left="0" w:firstLine="424"/>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zh-CN"/>
        </w:rPr>
        <w:t xml:space="preserve">.1政府采购落实信审查、信用承诺、信用报告政策，依据《财政部关于在政府采购活动中查询及使用信用记录有关问题的通知》（财库﹝2016﹞125号）、《关于在全市政府采购和招标投标领域使用信用记录、信用报告和落实信用承诺制度的通知》（盐公管办﹝2020﹞3号）、《关于在政府采购活动中应用第三方信用报告落实“信易购”应用场景的通知》（盐财购﹝2021﹞19号）。 </w:t>
      </w:r>
      <w:r/>
    </w:p>
    <w:p>
      <w:pPr>
        <w:pStyle w:val="897"/>
        <w:ind w:left="0" w:firstLine="424"/>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zh-CN"/>
        </w:rPr>
        <w:t xml:space="preserve">.2政府采购落实“政采贷”政策，依据《关于深入推进政府采购线上合同信用融资工作的通知》（苏财购﹝2021﹞82号）。</w:t>
      </w:r>
      <w:r/>
    </w:p>
    <w:p>
      <w:pPr>
        <w:pStyle w:val="897"/>
        <w:ind w:left="0" w:firstLine="424"/>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zh-CN"/>
        </w:rPr>
        <w:t xml:space="preserve">.3政府采购落实《关于进一步加强政府采购需求和履约验收管理的指导意见》（财库﹝2016﹞205号）、《关于印发&lt;商品包装政府采购需求标准（试行）&gt;、&lt;快递包装政府采购需求标准（试行）&gt;的通知》（财办库﹝2020﹞123号）、《关于做好政府采购支持企业发展有关事项的通知》（苏财购﹝2020﹞52号）。</w:t>
      </w:r>
      <w:r/>
    </w:p>
    <w:p>
      <w:pPr>
        <w:pStyle w:val="897"/>
        <w:ind w:left="0" w:firstLine="424"/>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zh-CN"/>
        </w:rPr>
        <w:t xml:space="preserve">.4政府采购落实（苏财购﹝2022﹞51号）。</w:t>
      </w:r>
      <w:r/>
    </w:p>
    <w:p>
      <w:pPr>
        <w:pStyle w:val="897"/>
        <w:ind w:left="0" w:firstLine="424"/>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3</w:t>
      </w:r>
      <w:r>
        <w:rPr>
          <w:rFonts w:hint="eastAsia" w:ascii="宋体" w:hAnsi="宋体" w:eastAsia="宋体" w:cs="宋体"/>
          <w:color w:val="auto"/>
          <w:sz w:val="24"/>
          <w:szCs w:val="24"/>
          <w:lang w:val="en-US" w:eastAsia="zh-CN"/>
        </w:rPr>
        <w:t xml:space="preserve">6</w:t>
      </w:r>
      <w:r>
        <w:rPr>
          <w:rFonts w:hint="eastAsia" w:ascii="宋体" w:hAnsi="宋体" w:eastAsia="宋体" w:cs="宋体"/>
          <w:color w:val="auto"/>
          <w:sz w:val="24"/>
          <w:szCs w:val="24"/>
          <w:lang w:val="zh-CN"/>
        </w:rPr>
        <w:t xml:space="preserve">.5政府采购落实《关于进一步优化政府采购营商环境的通知》（射财库﹝2023﹞23号）。</w:t>
      </w:r>
      <w:r/>
    </w:p>
    <w:p>
      <w:pPr>
        <w:pStyle w:val="732"/>
        <w:keepLines/>
        <w:keepNext/>
        <w:spacing w:before="145" w:after="145" w:line="460" w:lineRule="exact"/>
        <w:rPr>
          <w:rFonts w:hint="eastAsia" w:ascii="宋体" w:hAnsi="宋体" w:cs="宋体"/>
          <w:b/>
          <w:color w:val="auto"/>
          <w:sz w:val="24"/>
        </w:rPr>
        <w:outlineLvl w:val="1"/>
      </w:pPr>
      <w:r>
        <w:rPr>
          <w:rFonts w:hint="eastAsia" w:ascii="宋体" w:hAnsi="宋体" w:cs="宋体"/>
          <w:b/>
          <w:color w:val="auto"/>
          <w:sz w:val="24"/>
        </w:rPr>
        <w:t xml:space="preserve">八、踏勘</w:t>
      </w:r>
      <w:r/>
    </w:p>
    <w:p>
      <w:pPr>
        <w:pStyle w:val="897"/>
        <w:ind w:left="0" w:firstLine="424"/>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自行到项目现场进行踏勘，充分了解位置、情况、规模及任何其它足以影响投标报价的情况，并将本项目可预见的相关费用考虑到投标报价中，中标后采购人可认为本项目可预见费用已包括在投标报价中。任何因忽视或误解项目情况而导致的索赔将不予认可。</w:t>
      </w:r>
      <w:r/>
    </w:p>
    <w:p>
      <w:pPr>
        <w:pStyle w:val="897"/>
        <w:ind w:left="0" w:firstLine="424"/>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采购人在踏勘现场中介绍的项目情况，供应商在编制响应文件时参考，采购人不对供应商据此作出的判断和决策负责。</w:t>
      </w:r>
      <w:r/>
    </w:p>
    <w:p>
      <w:pPr>
        <w:pStyle w:val="897"/>
        <w:ind w:left="0" w:firstLine="424"/>
        <w:spacing w:line="360" w:lineRule="auto"/>
        <w:rPr>
          <w:rFonts w:hint="eastAsia" w:ascii="宋体" w:hAnsi="宋体" w:eastAsia="宋体" w:cs="宋体"/>
          <w:color w:val="auto"/>
          <w:sz w:val="24"/>
          <w:szCs w:val="24"/>
          <w:lang w:val="zh-CN"/>
        </w:rPr>
      </w:pPr>
      <w:r>
        <w:rPr>
          <w:rFonts w:hint="eastAsia" w:ascii="宋体" w:hAnsi="宋体" w:eastAsia="宋体" w:cs="宋体"/>
          <w:color w:val="auto"/>
          <w:sz w:val="24"/>
          <w:szCs w:val="24"/>
          <w:lang w:val="zh-CN"/>
        </w:rPr>
        <w:t xml:space="preserve">供应商承担踏勘现场所发生的自身费用。</w:t>
      </w:r>
      <w:r/>
    </w:p>
    <w:p>
      <w:pPr>
        <w:pStyle w:val="897"/>
        <w:ind w:left="0" w:firstLine="424"/>
        <w:spacing w:line="360" w:lineRule="auto"/>
        <w:rPr>
          <w:rFonts w:hint="eastAsia" w:ascii="宋体" w:hAnsi="宋体" w:eastAsia="宋体" w:cs="宋体"/>
          <w:color w:val="auto"/>
          <w:sz w:val="24"/>
          <w:szCs w:val="24"/>
          <w14:ligatures w14:val="standardContextual"/>
        </w:rPr>
      </w:pPr>
      <w:r>
        <w:rPr>
          <w:rFonts w:hint="eastAsia" w:ascii="宋体" w:hAnsi="宋体" w:eastAsia="宋体" w:cs="宋体"/>
          <w:color w:val="auto"/>
          <w:sz w:val="24"/>
          <w:szCs w:val="24"/>
          <w14:ligatures w14:val="standardContextual"/>
        </w:rPr>
      </w:r>
      <w:r/>
    </w:p>
    <w:p>
      <w:pPr>
        <w:rPr>
          <w:rFonts w:hint="eastAsia" w:ascii="宋体" w:hAnsi="宋体" w:eastAsia="宋体"/>
          <w:color w:val="auto"/>
        </w:rPr>
      </w:pPr>
      <w:r>
        <w:rPr>
          <w:rFonts w:hint="eastAsia" w:ascii="宋体" w:hAnsi="宋体" w:eastAsia="宋体"/>
          <w:color w:val="auto"/>
        </w:rPr>
      </w:r>
      <w:r/>
    </w:p>
    <w:p>
      <w:pPr>
        <w:jc w:val="left"/>
        <w:widowControl/>
        <w:rPr>
          <w:rFonts w:hint="eastAsia" w:ascii="宋体" w:hAnsi="宋体" w:eastAsia="宋体"/>
          <w:color w:val="auto"/>
        </w:rPr>
      </w:pPr>
      <w:r>
        <w:rPr>
          <w:rFonts w:hint="eastAsia" w:ascii="宋体" w:hAnsi="宋体" w:eastAsia="宋体"/>
          <w:color w:val="auto"/>
        </w:rPr>
        <w:br w:type="page" w:clear="all"/>
      </w:r>
      <w:r/>
    </w:p>
    <w:p>
      <w:pPr>
        <w:pStyle w:val="699"/>
        <w:numPr>
          <w:ilvl w:val="0"/>
          <w:numId w:val="1"/>
        </w:numPr>
        <w:ind w:left="0" w:firstLine="0"/>
        <w:jc w:val="center"/>
        <w:keepLines w:val="0"/>
        <w:keepNext w:val="0"/>
        <w:pageBreakBefore w:val="0"/>
        <w:spacing w:before="0" w:beforeAutospacing="0" w:after="0" w:afterAutospacing="0" w:line="520" w:lineRule="exact"/>
        <w:widowControl w:val="off"/>
        <w:rPr>
          <w:rFonts w:hint="eastAsia" w:ascii="宋体" w:hAnsi="宋体" w:eastAsia="宋体" w:cs="Times New Roman"/>
          <w:b/>
          <w:bCs/>
          <w:color w:val="auto"/>
          <w:sz w:val="32"/>
          <w:szCs w:val="32"/>
          <w14:ligatures w14:val="none"/>
        </w:rPr>
        <w:outlineLvl w:val="0"/>
      </w:pPr>
      <w:r/>
      <w:bookmarkStart w:id="96" w:name="_Toc197644568"/>
      <w:r>
        <w:rPr>
          <w:rFonts w:hint="eastAsia" w:ascii="宋体" w:hAnsi="宋体" w:eastAsia="宋体" w:cs="Times New Roman"/>
          <w:b/>
          <w:bCs/>
          <w:color w:val="auto"/>
          <w:sz w:val="32"/>
          <w:szCs w:val="32"/>
          <w14:ligatures w14:val="none"/>
        </w:rPr>
        <w:t xml:space="preserve">合同文本</w:t>
      </w:r>
      <w:bookmarkEnd w:id="96"/>
      <w:r/>
      <w:r/>
    </w:p>
    <w:p>
      <w:pPr>
        <w:pStyle w:val="732"/>
        <w:ind w:firstLine="482"/>
        <w:jc w:val="both"/>
        <w:keepLines w:val="0"/>
        <w:keepNext w:val="0"/>
        <w:pageBreakBefore w:val="0"/>
        <w:spacing w:before="312" w:beforeAutospacing="0" w:afterAutospacing="0" w:line="400" w:lineRule="exact"/>
        <w:widowControl w:val="off"/>
        <w:rPr>
          <w:rFonts w:ascii="宋体" w:hAnsi="宋体"/>
        </w:rPr>
      </w:pPr>
      <w:r/>
      <w:bookmarkStart w:id="97" w:name="_Toc513029243"/>
      <w:r/>
      <w:bookmarkStart w:id="98" w:name="_Toc16938559"/>
      <w:r/>
      <w:bookmarkStart w:id="99" w:name="_Toc20823315"/>
      <w:r>
        <w:rPr>
          <w:rFonts w:hint="eastAsia" w:ascii="宋体" w:hAnsi="宋体" w:cs="宋体"/>
        </w:rPr>
        <w:t xml:space="preserve">以下为中标后签定本项目合同的通用条款，中标人不得提出实质性的修改。</w:t>
      </w:r>
      <w:bookmarkEnd w:id="97"/>
      <w:r/>
      <w:bookmarkEnd w:id="98"/>
      <w:r/>
      <w:bookmarkEnd w:id="99"/>
      <w:r/>
      <w:r/>
    </w:p>
    <w:p>
      <w:pPr>
        <w:pStyle w:val="732"/>
        <w:jc w:val="center"/>
        <w:keepLines w:val="0"/>
        <w:keepNext w:val="0"/>
        <w:pageBreakBefore w:val="0"/>
        <w:spacing w:before="145" w:beforeAutospacing="0" w:after="145" w:afterAutospacing="0" w:line="400" w:lineRule="exact"/>
        <w:widowControl w:val="off"/>
        <w:rPr>
          <w:rFonts w:ascii="宋体" w:hAnsi="宋体" w:cs="宋体"/>
          <w:b/>
          <w:sz w:val="30"/>
          <w:szCs w:val="30"/>
        </w:rPr>
      </w:pPr>
      <w:r>
        <w:rPr>
          <w:rFonts w:ascii="宋体" w:hAnsi="宋体" w:cs="宋体"/>
          <w:b/>
          <w:sz w:val="30"/>
          <w:szCs w:val="30"/>
        </w:rPr>
      </w:r>
      <w:r/>
    </w:p>
    <w:p>
      <w:pPr>
        <w:ind w:firstLine="640"/>
        <w:jc w:val="center"/>
        <w:keepLines w:val="0"/>
        <w:keepNext w:val="0"/>
        <w:pageBreakBefore w:val="0"/>
        <w:spacing w:line="400" w:lineRule="exact"/>
        <w:widowControl w:val="off"/>
        <w:rPr>
          <w:rFonts w:ascii="宋体" w:hAnsi="宋体"/>
          <w:sz w:val="32"/>
          <w:szCs w:val="32"/>
        </w:rPr>
      </w:pPr>
      <w:r>
        <w:rPr>
          <w:rFonts w:hint="eastAsia" w:ascii="宋体" w:hAnsi="宋体"/>
          <w:sz w:val="32"/>
          <w:szCs w:val="32"/>
        </w:rPr>
        <w:t xml:space="preserve">合同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项目名称：</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rPr>
          <w:rFonts w:hint="eastAsia" w:ascii="宋体" w:hAnsi="宋体"/>
          <w:sz w:val="24"/>
          <w:u w:val="single"/>
        </w:rPr>
        <w:t xml:space="preserve">  </w:t>
      </w:r>
      <w:r/>
    </w:p>
    <w:p>
      <w:pPr>
        <w:ind w:firstLine="480"/>
        <w:keepLines w:val="0"/>
        <w:keepNext w:val="0"/>
        <w:pageBreakBefore w:val="0"/>
        <w:spacing w:line="400" w:lineRule="exact"/>
        <w:widowControl w:val="off"/>
        <w:rPr>
          <w:rFonts w:hint="eastAsia" w:ascii="宋体" w:hAnsi="宋体" w:eastAsia="宋体"/>
          <w:sz w:val="24"/>
          <w:lang w:eastAsia="zh-CN"/>
        </w:rPr>
      </w:pPr>
      <w:r>
        <w:rPr>
          <w:rFonts w:ascii="宋体" w:hAnsi="宋体"/>
          <w:sz w:val="24"/>
        </w:rPr>
        <w:t xml:space="preserve">甲方：（买方）</w:t>
      </w:r>
      <w:r>
        <w:rPr>
          <w:rFonts w:hint="eastAsia" w:ascii="宋体" w:hAnsi="宋体"/>
          <w:sz w:val="24"/>
        </w:rPr>
        <w:t xml:space="preserve"> </w:t>
      </w:r>
      <w:r>
        <w:rPr>
          <w:rFonts w:hint="eastAsia" w:ascii="宋体" w:hAnsi="宋体"/>
          <w:sz w:val="24"/>
          <w:lang w:eastAsia="zh-CN"/>
        </w:rPr>
        <w:t xml:space="preserve">盐城市射阳生态环境局</w:t>
      </w:r>
      <w:r/>
    </w:p>
    <w:p>
      <w:pPr>
        <w:ind w:firstLine="480"/>
        <w:keepLines w:val="0"/>
        <w:keepNext w:val="0"/>
        <w:pageBreakBefore w:val="0"/>
        <w:spacing w:line="400" w:lineRule="exact"/>
        <w:widowControl w:val="off"/>
        <w:rPr>
          <w:rFonts w:ascii="宋体" w:hAnsi="宋体"/>
          <w:sz w:val="24"/>
          <w:u w:val="single"/>
        </w:rPr>
      </w:pPr>
      <w:r>
        <w:rPr>
          <w:rFonts w:ascii="宋体" w:hAnsi="宋体"/>
          <w:sz w:val="24"/>
        </w:rPr>
        <w:t xml:space="preserve">乙方：（卖方）</w:t>
      </w:r>
      <w:r>
        <w:rPr>
          <w:rFonts w:hint="eastAsia" w:ascii="宋体" w:hAnsi="宋体"/>
          <w:sz w:val="24"/>
          <w:u w:val="single"/>
        </w:rPr>
        <w:t xml:space="preserve">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   甲、乙双方根据</w:t>
      </w:r>
      <w:r>
        <w:rPr>
          <w:rFonts w:hint="eastAsia" w:ascii="宋体" w:hAnsi="宋体"/>
          <w:sz w:val="24"/>
          <w:u w:val="single"/>
        </w:rPr>
        <w:t xml:space="preserve">           </w:t>
      </w:r>
      <w:r>
        <w:rPr>
          <w:rFonts w:ascii="宋体" w:hAnsi="宋体"/>
          <w:sz w:val="24"/>
        </w:rPr>
        <w:t xml:space="preserve">项目【</w:t>
      </w:r>
      <w:r>
        <w:rPr>
          <w:rFonts w:hint="eastAsia" w:ascii="宋体" w:hAnsi="宋体"/>
          <w:sz w:val="24"/>
        </w:rPr>
        <w:t xml:space="preserve">项目编号：</w:t>
      </w:r>
      <w:r>
        <w:rPr>
          <w:rFonts w:hint="eastAsia" w:ascii="宋体" w:hAnsi="宋体"/>
          <w:sz w:val="24"/>
          <w:u w:val="single"/>
        </w:rPr>
        <w:t xml:space="preserve"> </w:t>
      </w:r>
      <w:r>
        <w:rPr>
          <w:rFonts w:ascii="宋体" w:hAnsi="宋体"/>
          <w:sz w:val="24"/>
          <w:u w:val="single"/>
        </w:rPr>
        <w:t xml:space="preserve">                   </w:t>
      </w:r>
      <w:r>
        <w:rPr>
          <w:rFonts w:ascii="宋体" w:hAnsi="宋体"/>
          <w:sz w:val="24"/>
        </w:rPr>
        <w:t xml:space="preserve">】</w:t>
      </w:r>
      <w:r>
        <w:rPr>
          <w:rFonts w:hint="eastAsia" w:ascii="宋体" w:hAnsi="宋体"/>
          <w:sz w:val="24"/>
        </w:rPr>
        <w:t xml:space="preserve">公</w:t>
      </w:r>
      <w:r>
        <w:rPr>
          <w:rFonts w:ascii="宋体" w:hAnsi="宋体"/>
          <w:sz w:val="24"/>
        </w:rPr>
        <w:t xml:space="preserve">开招标的结果，签署本合同。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一、采购标的</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1.1</w:t>
      </w:r>
      <w:r>
        <w:rPr>
          <w:rFonts w:hint="eastAsia" w:ascii="宋体" w:hAnsi="宋体"/>
          <w:sz w:val="24"/>
        </w:rPr>
        <w:t xml:space="preserve">服务内容： </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1.2 服务期限： </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1.3 服务要求： </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1.4其他要求：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二、合同金额（见分项报价表）</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2.1本</w:t>
      </w:r>
      <w:r>
        <w:rPr>
          <w:rFonts w:hint="eastAsia" w:ascii="宋体" w:hAnsi="宋体"/>
          <w:sz w:val="24"/>
        </w:rPr>
        <w:t xml:space="preserve">项目</w:t>
      </w:r>
      <w:r>
        <w:rPr>
          <w:rFonts w:ascii="宋体" w:hAnsi="宋体"/>
          <w:sz w:val="24"/>
        </w:rPr>
        <w:t xml:space="preserve">合同金额为</w:t>
      </w:r>
      <w:bookmarkStart w:id="100" w:name="_Hlk220593126"/>
      <w:r>
        <w:rPr>
          <w:rFonts w:ascii="宋体" w:hAnsi="宋体"/>
          <w:sz w:val="24"/>
        </w:rPr>
        <w:t xml:space="preserve">（大写）：_________________</w:t>
      </w:r>
      <w:r>
        <w:rPr>
          <w:rFonts w:hint="eastAsia" w:ascii="宋体" w:hAnsi="宋体"/>
          <w:sz w:val="24"/>
        </w:rPr>
        <w:t xml:space="preserve">元</w:t>
      </w:r>
      <w:r>
        <w:rPr>
          <w:rFonts w:ascii="宋体" w:hAnsi="宋体"/>
          <w:sz w:val="24"/>
        </w:rPr>
        <w:t xml:space="preserve">整（￥__________元）</w:t>
      </w:r>
      <w:bookmarkEnd w:id="100"/>
      <w:r>
        <w:rPr>
          <w:rFonts w:ascii="宋体" w:hAnsi="宋体"/>
          <w:sz w:val="24"/>
        </w:rPr>
        <w:t xml:space="preserve">人民币。</w:t>
      </w:r>
      <w:r/>
    </w:p>
    <w:p>
      <w:pPr>
        <w:pStyle w:val="715"/>
        <w:ind w:firstLine="480"/>
        <w:keepLines w:val="0"/>
        <w:keepNext w:val="0"/>
        <w:pageBreakBefore w:val="0"/>
        <w:spacing w:line="400" w:lineRule="exact"/>
        <w:widowControl w:val="off"/>
        <w:rPr>
          <w:rFonts w:ascii="宋体" w:hAnsi="宋体"/>
          <w:sz w:val="24"/>
        </w:rPr>
      </w:pPr>
      <w:r>
        <w:rPr>
          <w:rFonts w:hint="eastAsia" w:ascii="宋体" w:hAnsi="宋体" w:eastAsiaTheme="minorEastAsia" w:cstheme="minorBidi"/>
          <w:sz w:val="24"/>
          <w:szCs w:val="22"/>
          <w14:ligatures w14:val="standardContextual"/>
        </w:rPr>
        <w:t xml:space="preserve">2.2</w:t>
      </w:r>
      <w:r>
        <w:rPr>
          <w:rFonts w:hint="default" w:ascii="宋体" w:hAnsi="宋体" w:eastAsiaTheme="minorEastAsia" w:cstheme="minorBidi"/>
          <w:sz w:val="24"/>
          <w:szCs w:val="22"/>
          <w14:ligatures w14:val="standardContextual"/>
        </w:rPr>
        <w:t xml:space="preserve">本合同价款包含所有乙方提供合同约定服务的报酬及乙方提供合同中服务所支出的必要费用，甲方在上述合同价款之外不再向乙方支付其他任何费用。</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三、技术资料</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3.1</w:t>
      </w:r>
      <w:r>
        <w:rPr>
          <w:rFonts w:hint="eastAsia" w:ascii="宋体" w:hAnsi="宋体"/>
          <w:sz w:val="24"/>
        </w:rPr>
        <w:t xml:space="preserve">乙</w:t>
      </w:r>
      <w:r>
        <w:rPr>
          <w:rFonts w:ascii="宋体" w:hAnsi="宋体"/>
          <w:sz w:val="24"/>
        </w:rPr>
        <w:t xml:space="preserve">方应按</w:t>
      </w:r>
      <w:r>
        <w:rPr>
          <w:rFonts w:hint="eastAsia" w:ascii="宋体" w:hAnsi="宋体"/>
          <w:sz w:val="24"/>
        </w:rPr>
        <w:t xml:space="preserve">投</w:t>
      </w:r>
      <w:r>
        <w:rPr>
          <w:rFonts w:ascii="宋体" w:hAnsi="宋体"/>
          <w:sz w:val="24"/>
        </w:rPr>
        <w:t xml:space="preserve">标文件规定的时间向甲方提供有关技术资料。</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四、知识产权</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五、产权担保</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乙方保证所交付的服务（包含与服务相关的货物）的所有权完全属于乙方且无任何抵押、查封等产权瑕疵。</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eastAsia="zh-CN"/>
        </w:rPr>
        <w:t xml:space="preserve">六</w:t>
      </w:r>
      <w:r>
        <w:rPr>
          <w:rFonts w:ascii="宋体" w:hAnsi="宋体"/>
          <w:sz w:val="24"/>
        </w:rPr>
        <w:t xml:space="preserve">、转包或分包</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6</w:t>
      </w:r>
      <w:r>
        <w:rPr>
          <w:rFonts w:hint="eastAsia" w:ascii="宋体" w:hAnsi="宋体"/>
          <w:sz w:val="24"/>
        </w:rPr>
        <w:t xml:space="preserve">.1乙方不得将合同标的转包给他人履行。</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6</w:t>
      </w:r>
      <w:r>
        <w:rPr>
          <w:rFonts w:hint="eastAsia" w:ascii="宋体" w:hAnsi="宋体"/>
          <w:sz w:val="24"/>
        </w:rPr>
        <w:t xml:space="preserve">.2乙方不得将合同标的分包给他人履行。</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6</w:t>
      </w:r>
      <w:r>
        <w:rPr>
          <w:rFonts w:hint="eastAsia" w:ascii="宋体" w:hAnsi="宋体"/>
          <w:sz w:val="24"/>
        </w:rPr>
        <w:t xml:space="preserve">.3乙方如有转包或未经甲方同意的分包行为，甲方有权给予终止合同。</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eastAsia="zh-CN"/>
        </w:rPr>
        <w:t xml:space="preserve">七</w:t>
      </w:r>
      <w:r>
        <w:rPr>
          <w:rFonts w:ascii="宋体" w:hAnsi="宋体"/>
          <w:sz w:val="24"/>
        </w:rPr>
        <w:t xml:space="preserve">、合同款支付：</w:t>
      </w:r>
      <w:r/>
    </w:p>
    <w:p>
      <w:pPr>
        <w:ind w:firstLine="480"/>
        <w:keepLines w:val="0"/>
        <w:keepNext w:val="0"/>
        <w:pageBreakBefore w:val="0"/>
        <w:spacing w:line="400" w:lineRule="exact"/>
        <w:widowControl w:val="off"/>
        <w:rPr>
          <w:rFonts w:hint="eastAsia" w:ascii="宋体" w:hAnsi="宋体" w:eastAsia="宋体"/>
          <w:sz w:val="24"/>
          <w:lang w:eastAsia="zh-CN"/>
        </w:rPr>
      </w:pPr>
      <w:r>
        <w:rPr>
          <w:rFonts w:hint="eastAsia" w:ascii="宋体" w:hAnsi="宋体" w:eastAsia="宋体"/>
          <w:sz w:val="24"/>
          <w:lang w:eastAsia="zh-CN"/>
        </w:rPr>
        <w:t xml:space="preserve">①合同签订后10个工作日内，甲方支付合同款30%的预付款；②乙方完成实施方案编制通过专家评审后10个工作日内，甲方支付合同款的20%；③乙方完成中期评估报告通过专家评审后10个工作日内，甲方支付合同款的30%，④乙方完成全部调查成果并通过省生态环境厅验收后10个工作日内，甲方支付合同款的20%。</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eastAsia="zh-CN"/>
        </w:rPr>
        <w:t xml:space="preserve">八</w:t>
      </w:r>
      <w:r>
        <w:rPr>
          <w:rFonts w:hint="eastAsia" w:ascii="宋体" w:hAnsi="宋体"/>
          <w:sz w:val="24"/>
        </w:rPr>
        <w:t xml:space="preserve">、</w:t>
      </w:r>
      <w:r>
        <w:rPr>
          <w:rFonts w:ascii="宋体" w:hAnsi="宋体"/>
          <w:sz w:val="24"/>
        </w:rPr>
        <w:t xml:space="preserve">税费</w:t>
      </w:r>
      <w:r>
        <w:rPr>
          <w:rFonts w:hint="eastAsia" w:ascii="宋体" w:hAnsi="宋体"/>
          <w:sz w:val="24"/>
        </w:rPr>
        <w:t xml:space="preserve">：本合同执行中相关的一切税费均由乙方负担。</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eastAsia="zh-CN"/>
        </w:rPr>
        <w:t xml:space="preserve">九</w:t>
      </w:r>
      <w:r>
        <w:rPr>
          <w:rFonts w:ascii="宋体" w:hAnsi="宋体"/>
          <w:sz w:val="24"/>
        </w:rPr>
        <w:t xml:space="preserve">、验收</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ascii="宋体" w:hAnsi="宋体"/>
          <w:sz w:val="24"/>
        </w:rPr>
        <w:t xml:space="preserve">.1</w:t>
      </w:r>
      <w:r>
        <w:rPr>
          <w:rFonts w:hint="eastAsia" w:ascii="宋体" w:hAnsi="宋体"/>
          <w:sz w:val="24"/>
        </w:rPr>
        <w:t xml:space="preserve"> 甲方依法组织履约验收工作。</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.3 对于实际使用人和甲方分离的项目，甲方邀请实际使用人参与验收。</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.4 如有必要，甲方邀请参加本项目的其他供应商或第三方专业机构及专家参与验收，相关意见将作为验收书的参考资料。</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5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p>
    <w:p>
      <w:pPr>
        <w:ind w:firstLine="480"/>
        <w:keepLines w:val="0"/>
        <w:keepNext w:val="0"/>
        <w:pageBreakBefore w:val="0"/>
        <w:spacing w:line="400" w:lineRule="exact"/>
        <w:widowControl w:val="off"/>
        <w:rPr>
          <w:rFonts w:ascii="宋体" w:hAnsi="宋体"/>
          <w:sz w:val="24"/>
        </w:rPr>
      </w:pPr>
      <w:r>
        <w:rPr>
          <w:rFonts w:hint="eastAsia" w:ascii="宋体" w:hAnsi="宋体"/>
          <w:sz w:val="24"/>
          <w:lang w:val="en-US" w:eastAsia="zh-CN"/>
        </w:rPr>
        <w:t xml:space="preserve">9</w:t>
      </w:r>
      <w:r>
        <w:rPr>
          <w:rFonts w:hint="eastAsia" w:ascii="宋体" w:hAnsi="宋体"/>
          <w:sz w:val="24"/>
        </w:rPr>
        <w:t xml:space="preserve">.6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十、违约责任</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 1</w:t>
      </w:r>
      <w:r>
        <w:rPr>
          <w:rFonts w:hint="eastAsia" w:ascii="宋体" w:hAnsi="宋体"/>
          <w:sz w:val="24"/>
          <w:lang w:val="en-US" w:eastAsia="zh-CN"/>
        </w:rPr>
        <w:t xml:space="preserve">0.</w:t>
      </w:r>
      <w:r>
        <w:rPr>
          <w:rFonts w:hint="eastAsia" w:ascii="宋体" w:hAnsi="宋体"/>
          <w:sz w:val="24"/>
        </w:rPr>
        <w:t xml:space="preserve">1甲方违反合同规定，拒绝接收乙方交付的服务，应当承担乙方由此造成的损失。</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w:t>
      </w:r>
      <w:r>
        <w:rPr>
          <w:rFonts w:hint="eastAsia" w:ascii="宋体" w:hAnsi="宋体"/>
          <w:sz w:val="24"/>
          <w:lang w:val="en-US" w:eastAsia="zh-CN"/>
        </w:rPr>
        <w:t xml:space="preserve">0</w:t>
      </w:r>
      <w:r>
        <w:rPr>
          <w:rFonts w:hint="eastAsia" w:ascii="宋体" w:hAnsi="宋体"/>
          <w:sz w:val="24"/>
        </w:rPr>
        <w:t xml:space="preserve">.2乙方所交的产品或服务不符合项目需求要求、乙方投标文件承诺及国家有关质量标准的，甲方有权拒收，甲方可单方面解除合同，并由乙方赔偿由此造成的甲方全部损失。</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十</w:t>
      </w:r>
      <w:r>
        <w:rPr>
          <w:rFonts w:hint="eastAsia" w:ascii="宋体" w:hAnsi="宋体"/>
          <w:sz w:val="24"/>
          <w:lang w:eastAsia="zh-CN"/>
        </w:rPr>
        <w:t xml:space="preserve">一</w:t>
      </w:r>
      <w:r>
        <w:rPr>
          <w:rFonts w:ascii="宋体" w:hAnsi="宋体"/>
          <w:sz w:val="24"/>
        </w:rPr>
        <w:t xml:space="preserve">、不可抗力事件处理</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1</w:t>
      </w:r>
      <w:r>
        <w:rPr>
          <w:rFonts w:ascii="宋体" w:hAnsi="宋体"/>
          <w:sz w:val="24"/>
        </w:rPr>
        <w:t xml:space="preserve">.1 在合同有效期内，任何一方因不可抗力事件导致不能履行合同，则合同履行期延长，其延长期与不可抗力影响期相同。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1</w:t>
      </w:r>
      <w:r>
        <w:rPr>
          <w:rFonts w:ascii="宋体" w:hAnsi="宋体"/>
          <w:sz w:val="24"/>
        </w:rPr>
        <w:t xml:space="preserve">.2 不可抗力事件发生后，应立即通知对方，并寄送有关权威机构出具的证明。</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1</w:t>
      </w:r>
      <w:r>
        <w:rPr>
          <w:rFonts w:ascii="宋体" w:hAnsi="宋体"/>
          <w:sz w:val="24"/>
        </w:rPr>
        <w:t xml:space="preserve">.3 不可抗力事件延续120天以上，双方应通过友好协商，确定是否继续履行合同。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  十</w:t>
      </w:r>
      <w:r>
        <w:rPr>
          <w:rFonts w:hint="eastAsia" w:ascii="宋体" w:hAnsi="宋体"/>
          <w:sz w:val="24"/>
          <w:lang w:eastAsia="zh-CN"/>
        </w:rPr>
        <w:t xml:space="preserve">二</w:t>
      </w:r>
      <w:r>
        <w:rPr>
          <w:rFonts w:ascii="宋体" w:hAnsi="宋体"/>
          <w:sz w:val="24"/>
        </w:rPr>
        <w:t xml:space="preserve">、诉讼</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 双方在执行合同中所发生的一切争议，应通过协商解决。如协商不成，可向合同签订地法院起诉，合同签订地在此约定为</w:t>
      </w:r>
      <w:r>
        <w:rPr>
          <w:rFonts w:hint="eastAsia" w:ascii="宋体" w:hAnsi="宋体"/>
          <w:sz w:val="24"/>
        </w:rPr>
        <w:t xml:space="preserve">射阳县</w:t>
      </w:r>
      <w:r>
        <w:rPr>
          <w:rFonts w:ascii="宋体" w:hAnsi="宋体"/>
          <w:sz w:val="24"/>
        </w:rPr>
        <w:t xml:space="preserve">。</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  十</w:t>
      </w:r>
      <w:r>
        <w:rPr>
          <w:rFonts w:hint="eastAsia" w:ascii="宋体" w:hAnsi="宋体"/>
          <w:sz w:val="24"/>
          <w:lang w:eastAsia="zh-CN"/>
        </w:rPr>
        <w:t xml:space="preserve">三</w:t>
      </w:r>
      <w:r>
        <w:rPr>
          <w:rFonts w:ascii="宋体" w:hAnsi="宋体"/>
          <w:sz w:val="24"/>
        </w:rPr>
        <w:t xml:space="preserve">、合同生效及其它</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3.</w:t>
      </w:r>
      <w:r>
        <w:rPr>
          <w:rFonts w:ascii="宋体" w:hAnsi="宋体"/>
          <w:sz w:val="24"/>
        </w:rPr>
        <w:t xml:space="preserve">1 合同经双方法定代表人或授权委托代表人签字并加盖单位公章后生效。</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3</w:t>
      </w:r>
      <w:r>
        <w:rPr>
          <w:rFonts w:ascii="宋体" w:hAnsi="宋体"/>
          <w:sz w:val="24"/>
        </w:rPr>
        <w:t xml:space="preserve">.2本合同未尽事宜，</w:t>
      </w:r>
      <w:r>
        <w:rPr>
          <w:rFonts w:hint="eastAsia" w:ascii="宋体" w:hAnsi="宋体"/>
          <w:sz w:val="24"/>
        </w:rPr>
        <w:t xml:space="preserve">遵照《中华人民共和国民法典》、《中华人民共和国政府采购法》有关条文执行。</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1</w:t>
      </w:r>
      <w:r>
        <w:rPr>
          <w:rFonts w:hint="eastAsia" w:ascii="宋体" w:hAnsi="宋体"/>
          <w:sz w:val="24"/>
          <w:lang w:val="en-US" w:eastAsia="zh-CN"/>
        </w:rPr>
        <w:t xml:space="preserve">3</w:t>
      </w:r>
      <w:r>
        <w:rPr>
          <w:rFonts w:ascii="宋体" w:hAnsi="宋体"/>
          <w:sz w:val="24"/>
        </w:rPr>
        <w:t xml:space="preserve">.3</w:t>
      </w:r>
      <w:r>
        <w:rPr>
          <w:rFonts w:hint="eastAsia" w:ascii="宋体" w:hAnsi="宋体"/>
          <w:sz w:val="24"/>
        </w:rPr>
        <w:t xml:space="preserve"> 本项目招标文件和乙方的投标文件中被采购方认可的部分为本合同的不可分割的组成部分，与本合同具有同样效力。</w:t>
      </w:r>
      <w:r/>
    </w:p>
    <w:p>
      <w:pPr>
        <w:ind w:firstLine="480"/>
        <w:keepLines w:val="0"/>
        <w:keepNext w:val="0"/>
        <w:pageBreakBefore w:val="0"/>
        <w:spacing w:line="400" w:lineRule="exact"/>
        <w:widowControl w:val="off"/>
        <w:rPr>
          <w:rFonts w:ascii="宋体" w:hAnsi="宋体"/>
          <w:sz w:val="24"/>
        </w:rPr>
      </w:pPr>
      <w:r>
        <w:rPr>
          <w:rFonts w:hint="eastAsia" w:ascii="宋体" w:hAnsi="宋体"/>
          <w:sz w:val="24"/>
        </w:rPr>
        <w:t xml:space="preserve">1</w:t>
      </w:r>
      <w:r>
        <w:rPr>
          <w:rFonts w:hint="eastAsia" w:ascii="宋体" w:hAnsi="宋体"/>
          <w:sz w:val="24"/>
          <w:lang w:val="en-US" w:eastAsia="zh-CN"/>
        </w:rPr>
        <w:t xml:space="preserve">3</w:t>
      </w:r>
      <w:r>
        <w:rPr>
          <w:rFonts w:hint="eastAsia" w:ascii="宋体" w:hAnsi="宋体"/>
          <w:sz w:val="24"/>
        </w:rPr>
        <w:t xml:space="preserve">.4</w:t>
      </w:r>
      <w:r>
        <w:rPr>
          <w:rFonts w:ascii="宋体" w:hAnsi="宋体"/>
          <w:sz w:val="24"/>
        </w:rPr>
        <w:t xml:space="preserve">本合同正本一式</w:t>
      </w:r>
      <w:r>
        <w:rPr>
          <w:rFonts w:hint="eastAsia" w:ascii="宋体" w:hAnsi="宋体"/>
          <w:sz w:val="24"/>
        </w:rPr>
        <w:t xml:space="preserve">四</w:t>
      </w:r>
      <w:r>
        <w:rPr>
          <w:rFonts w:ascii="宋体" w:hAnsi="宋体"/>
          <w:sz w:val="24"/>
        </w:rPr>
        <w:t xml:space="preserve">份，具有同等法律效力，甲方、乙方</w:t>
      </w:r>
      <w:r>
        <w:rPr>
          <w:rFonts w:hint="eastAsia" w:ascii="宋体" w:hAnsi="宋体"/>
          <w:sz w:val="24"/>
        </w:rPr>
        <w:t xml:space="preserve">、</w:t>
      </w:r>
      <w:r>
        <w:rPr>
          <w:rFonts w:ascii="宋体" w:hAnsi="宋体"/>
          <w:sz w:val="24"/>
        </w:rPr>
        <w:t xml:space="preserve">财政监管部门</w:t>
      </w:r>
      <w:r>
        <w:rPr>
          <w:rFonts w:hint="eastAsia" w:ascii="宋体" w:hAnsi="宋体"/>
          <w:sz w:val="24"/>
        </w:rPr>
        <w:t xml:space="preserve">及代理机构</w:t>
      </w:r>
      <w:r>
        <w:rPr>
          <w:rFonts w:ascii="宋体" w:hAnsi="宋体"/>
          <w:sz w:val="24"/>
        </w:rPr>
        <w:t xml:space="preserve">各执一份。</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甲方：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地址：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法定代表人或授权代表：               </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联系电话：                           </w:t>
      </w:r>
      <w:r/>
    </w:p>
    <w:p>
      <w:pPr>
        <w:ind w:firstLine="480"/>
        <w:keepLines w:val="0"/>
        <w:keepNext w:val="0"/>
        <w:pageBreakBefore w:val="0"/>
        <w:spacing w:line="400" w:lineRule="exact"/>
        <w:widowControl w:val="off"/>
        <w:rPr>
          <w:rFonts w:ascii="宋体" w:hAnsi="宋体"/>
          <w:sz w:val="24"/>
        </w:rPr>
      </w:pPr>
      <w:r>
        <w:rPr>
          <w:rFonts w:ascii="宋体" w:hAnsi="宋体"/>
          <w:sz w:val="24"/>
        </w:rPr>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乙方：</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地址：</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法定代表人或授权代表：</w:t>
      </w:r>
      <w:r/>
    </w:p>
    <w:p>
      <w:pPr>
        <w:ind w:firstLine="480"/>
        <w:keepLines w:val="0"/>
        <w:keepNext w:val="0"/>
        <w:pageBreakBefore w:val="0"/>
        <w:spacing w:line="400" w:lineRule="exact"/>
        <w:widowControl w:val="off"/>
        <w:rPr>
          <w:rFonts w:ascii="宋体" w:hAnsi="宋体"/>
          <w:sz w:val="24"/>
        </w:rPr>
      </w:pPr>
      <w:r>
        <w:rPr>
          <w:rFonts w:ascii="宋体" w:hAnsi="宋体"/>
          <w:sz w:val="24"/>
        </w:rPr>
        <w:t xml:space="preserve">联系电话：</w:t>
      </w:r>
      <w:r/>
    </w:p>
    <w:p>
      <w:pPr>
        <w:ind w:firstLine="480"/>
        <w:keepLines w:val="0"/>
        <w:keepNext w:val="0"/>
        <w:pageBreakBefore w:val="0"/>
        <w:spacing w:line="400" w:lineRule="exact"/>
        <w:widowControl w:val="off"/>
        <w:rPr>
          <w:rFonts w:ascii="宋体" w:hAnsi="宋体"/>
          <w:sz w:val="24"/>
        </w:rPr>
      </w:pPr>
      <w:r>
        <w:rPr>
          <w:rFonts w:ascii="宋体" w:hAnsi="宋体"/>
          <w:sz w:val="24"/>
        </w:rPr>
      </w:r>
      <w:r/>
    </w:p>
    <w:p>
      <w:pPr>
        <w:pStyle w:val="732"/>
        <w:ind w:firstLine="480"/>
        <w:jc w:val="left"/>
        <w:keepLines w:val="0"/>
        <w:keepNext w:val="0"/>
        <w:pageBreakBefore w:val="0"/>
        <w:spacing w:line="700" w:lineRule="exact"/>
        <w:widowControl w:val="off"/>
        <w:rPr>
          <w:rFonts w:hint="default" w:ascii="宋体" w:hAnsi="宋体" w:eastAsia="宋体" w:cs="宋体"/>
          <w:color w:val="auto"/>
          <w:sz w:val="24"/>
          <w:lang w:val="en-US" w:eastAsia="zh-CN"/>
        </w:rPr>
        <w:outlineLvl w:val="9"/>
      </w:pPr>
      <w:r>
        <w:rPr>
          <w:rFonts w:ascii="宋体" w:hAnsi="宋体"/>
          <w:sz w:val="24"/>
        </w:rPr>
        <w:t xml:space="preserve">签订日期：      年  月  日</w:t>
      </w:r>
      <w:r/>
    </w:p>
    <w:p>
      <w:pPr>
        <w:jc w:val="left"/>
        <w:widowControl/>
        <w:rPr>
          <w:rFonts w:hint="eastAsia" w:ascii="宋体" w:hAnsi="宋体" w:eastAsia="宋体"/>
          <w:color w:val="auto"/>
        </w:rPr>
      </w:pPr>
      <w:r>
        <w:rPr>
          <w:rFonts w:hint="eastAsia" w:ascii="宋体" w:hAnsi="宋体" w:eastAsia="宋体"/>
          <w:color w:val="auto"/>
        </w:rPr>
        <w:br w:type="page" w:clear="all"/>
      </w:r>
      <w:r/>
    </w:p>
    <w:p>
      <w:pPr>
        <w:pStyle w:val="699"/>
        <w:numPr>
          <w:ilvl w:val="0"/>
          <w:numId w:val="1"/>
        </w:numPr>
        <w:ind w:left="0" w:firstLine="0"/>
        <w:jc w:val="center"/>
        <w:keepLines w:val="0"/>
        <w:keepNext w:val="0"/>
        <w:spacing w:before="0" w:beforeAutospacing="1" w:after="0" w:afterAutospacing="1" w:line="360" w:lineRule="auto"/>
        <w:rPr>
          <w:rFonts w:hint="eastAsia" w:ascii="宋体" w:hAnsi="宋体" w:eastAsia="宋体" w:cs="Times New Roman"/>
          <w:b/>
          <w:bCs/>
          <w:color w:val="auto"/>
          <w:sz w:val="32"/>
          <w:szCs w:val="32"/>
          <w14:ligatures w14:val="none"/>
        </w:rPr>
        <w:outlineLvl w:val="0"/>
      </w:pPr>
      <w:r/>
      <w:bookmarkStart w:id="101" w:name="_Toc197644569"/>
      <w:r>
        <w:rPr>
          <w:rFonts w:hint="eastAsia" w:ascii="宋体" w:hAnsi="宋体" w:eastAsia="宋体" w:cs="Times New Roman"/>
          <w:b/>
          <w:bCs/>
          <w:color w:val="auto"/>
          <w:sz w:val="32"/>
          <w:szCs w:val="32"/>
          <w14:ligatures w14:val="none"/>
        </w:rPr>
        <w:t xml:space="preserve">采购需求</w:t>
      </w:r>
      <w:bookmarkEnd w:id="101"/>
      <w:r/>
      <w:r/>
    </w:p>
    <w:p>
      <w:pPr>
        <w:ind w:left="0" w:firstLine="480"/>
        <w:keepLines w:val="0"/>
        <w:keepNext w:val="0"/>
        <w:pageBreakBefore w:val="0"/>
        <w:spacing w:line="500" w:lineRule="exact"/>
        <w:rPr>
          <w:rFonts w:hint="eastAsia" w:ascii="宋体" w:hAnsi="宋体" w:eastAsia="宋体" w:cs="宋体"/>
          <w:color w:val="auto"/>
          <w:sz w:val="24"/>
          <w:szCs w:val="24"/>
        </w:rPr>
        <w:outlineLvl w:val="1"/>
      </w:pPr>
      <w:r>
        <w:rPr>
          <w:rFonts w:hint="eastAsia" w:ascii="宋体" w:hAnsi="宋体" w:eastAsia="宋体" w:cs="宋体"/>
          <w:color w:val="auto"/>
          <w:sz w:val="24"/>
          <w:szCs w:val="24"/>
        </w:rPr>
        <w:t xml:space="preserve">项目属性:服务类项目</w:t>
      </w:r>
      <w:r/>
    </w:p>
    <w:p>
      <w:pPr>
        <w:ind w:left="0" w:firstLine="482"/>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outlineLvl w:val="1"/>
        <w:suppressLineNumbers w:val="0"/>
      </w:pPr>
      <w:r>
        <w:rPr>
          <w:rFonts w:hint="eastAsia" w:ascii="宋体" w:hAnsi="宋体" w:eastAsia="宋体" w:cs="宋体"/>
          <w:b/>
          <w:bCs/>
          <w:color w:val="auto"/>
          <w:sz w:val="24"/>
          <w:szCs w:val="24"/>
          <w:lang w:val="en-US" w:eastAsia="zh-CN" w:bidi="ar"/>
        </w:rPr>
        <w:t xml:space="preserve">一、项目概况</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为深入贯彻习总书记生态文明思想，坚持山水林田湖草生命共同体，协同推进生物多样性治理，根</w:t>
      </w:r>
      <w:r>
        <w:rPr>
          <w:rFonts w:hint="eastAsia" w:ascii="宋体" w:hAnsi="宋体" w:eastAsia="宋体" w:cs="宋体"/>
          <w:b w:val="0"/>
          <w:bCs w:val="0"/>
          <w:color w:val="auto"/>
          <w:sz w:val="24"/>
          <w:szCs w:val="24"/>
          <w:lang w:val="en-US" w:eastAsia="zh-CN" w:bidi="ar"/>
        </w:rPr>
        <w:t xml:space="preserve">据《江苏省生物多样性保护条例》（2025年3月27日）第四十二条要求，县级以上人民政府每五年开展一次生物多样性本底调查，掌握本行政区域生物多样性现状，完善更新生物多样性本底数据。原江苏省环保厅2017年10月20日发布了《关于开展生物多样性本底调查试点工作的通知》（苏环办〔2017〕315号），决定在南京市、常州市、南通市、盐城市、宜兴市、句容市等14个地区开展生物多样性本底调查试点，2018-2019年我市率先启动以县域为单元的生物多样性本底调查，距今已隔6年，亟需启动第二轮生物多样性本底调查和评估项目。</w:t>
      </w:r>
      <w:r/>
    </w:p>
    <w:p>
      <w:pPr>
        <w:ind w:left="0" w:firstLine="482"/>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通过新一轮调查，更新完善我县生物多样性本底数据，掌握生态系统多样性和物种多样性现状及变化情况，评估全市生物多样性水平，提出下一阶段生物多样性保护对策，推动重要生态系统、生物物种和生物遗传资源得到全面有效保护。调查内容包括但不限于生态系统类型、大型真菌、地衣和苔藓、陆生维管植物、陆生脊椎动物（两栖动物、爬行动物、鸟类、哺乳动物）、陆生昆虫、大中型土壤动物、淡水水生生物（鱼类、底栖动物、浮游动物、浮游植物、着生藻类、水生维管植物）类群的生物多样性现状及历史资料、数据收集整理等。</w:t>
      </w:r>
      <w:r/>
    </w:p>
    <w:p>
      <w:pPr>
        <w:numPr>
          <w:ilvl w:val="0"/>
          <w:numId w:val="0"/>
        </w:numPr>
        <w:ind w:left="0" w:firstLine="482"/>
        <w:jc w:val="left"/>
        <w:keepLines w:val="0"/>
        <w:keepNext w:val="0"/>
        <w:pageBreakBefore w:val="0"/>
        <w:spacing w:line="500" w:lineRule="exact"/>
        <w:widowControl/>
        <w:rPr>
          <w:rFonts w:hint="eastAsia" w:ascii="宋体" w:hAnsi="宋体" w:eastAsia="宋体" w:cs="宋体"/>
          <w:b/>
          <w:bCs/>
          <w:color w:val="auto"/>
          <w:sz w:val="24"/>
          <w:szCs w:val="24"/>
          <w:lang w:val="en-US" w:eastAsia="zh-CN" w:bidi="ar"/>
        </w:rPr>
        <w:outlineLvl w:val="1"/>
        <w:suppressLineNumbers w:val="0"/>
      </w:pPr>
      <w:r>
        <w:rPr>
          <w:rFonts w:hint="eastAsia" w:ascii="宋体" w:hAnsi="宋体" w:eastAsia="宋体" w:cs="宋体"/>
          <w:b/>
          <w:bCs/>
          <w:color w:val="auto"/>
          <w:sz w:val="24"/>
          <w:szCs w:val="24"/>
          <w:lang w:val="en-US" w:eastAsia="zh-CN" w:bidi="ar"/>
        </w:rPr>
        <w:t xml:space="preserve">二、技术要求</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bCs/>
          <w:color w:val="auto"/>
          <w:sz w:val="24"/>
          <w:szCs w:val="24"/>
          <w:lang w:val="en-US" w:eastAsia="zh-CN" w:bidi="ar"/>
        </w:rPr>
        <w:t xml:space="preserve"> </w:t>
      </w:r>
      <w:r>
        <w:rPr>
          <w:rFonts w:hint="eastAsia" w:ascii="宋体" w:hAnsi="宋体" w:eastAsia="宋体" w:cs="宋体"/>
          <w:b w:val="0"/>
          <w:bCs w:val="0"/>
          <w:color w:val="auto"/>
          <w:sz w:val="24"/>
          <w:szCs w:val="24"/>
          <w:lang w:val="en-US" w:eastAsia="zh-CN" w:bidi="ar"/>
        </w:rPr>
        <w:t xml:space="preserve">1、结合项目实际以及生物历史分布情况，收集历史资料并完成整理，开展生态系统类型、大型真菌、地衣和苔藓、陆生维管植物、陆生脊椎动物（两栖动物、爬行动物、鸟类、哺乳动物）、陆生昆虫、大中型土壤动物、淡水水生生物（鱼类、底栖动物、浮游动物、浮游植物、着生藻类、水生维管植物）类群的现状调查，自合同签订之日12个月内完成现场调查，并完成数据收集及整理。</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（1）生态系统多样性调查</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生态系统类型调查是生态系统中各类群生物多样性调查的基础和前提，主要基于卫星及航空遥感影像解译、地面核查及查阅历史资料等技术手段，调查县域生态系统的主要类型、面积、组成和分布特征等信息；通过实地调查，了解生态系统的保护状况及存在的问题。通过全面调查栖息地生境及生态系统下垫面景观信息，为详细调查生物多样性状况提供基础。参照《全国生态状况调查评估技术规范—生态系统遥感解译与野外核查》（HJ 1166-2021），确定县域生态系统类型的分类体系。</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（2）物种多样性调查</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本轮调查包括大型真菌、地衣和苔藓、陆生维管植物、陆生脊椎动物（两栖爬行动物、鸟类、陆生哺乳动物）、陆生昆虫、大中型土壤动物、淡水水生生物（鱼类、底栖动物、浮游动物、浮游植物、着生藻类、水生维管植物）共7大类群（分类系统统一参照各类群的调查指标表进行分类）。调查前应结合首轮本底调查成果、生态系统的遥感解译结果，并根据实地生境优化调整各类群调查区域的选择。</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①大型真菌</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基于菌物对林木、草地依赖的生物学特性，可在大型真菌子实体发生时期进行实地调查，摸清县域行政单元内大型真菌本底现状。根据调查结果评估县域大型真菌多样性现状和变化，提出相应的保护对策和管理措施。</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根据《省生态环境厅关于印发&lt;江苏省新一轮生物多样性调查工作方案&gt;的通知》（苏环办〔2025〕177号），调查前应收集县域内已有资料，结合访谈调查，掌握调查区域内的物种组成及分布的历史记录。基于生态系统类型、生物多样性分布、大型真菌资源普遍分布规律、地形地貌情况和交通可达性，确定实际调查区域，在大型真菌子实体发生时期开展调查。</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②地衣和苔藓</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基于地衣、苔藓的生物学特性，通过实地调查，掌握县域行政单元内地衣、苔藓本底现状，可随维管植物调查一并开展。根据调查结果评估县域地衣和苔藓的多样性现状，分析保护价值并提出对策建议。</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根据《省生态环境厅关于印发&lt;江苏省新一轮生物多样性调查工作方案&gt;的通知》（苏环办〔2025〕177号），调查区域应基本覆盖县域内生态保护红线区域及主要生态系统类型，如山地森林、灌丛、山坡草地、河岸或河堤人工林、公路边人工林、农田杂草植物群落等，以及县域内存在的国家级或省级自然保护区、国家级森林公园等。</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③陆生维管植物</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陆生维管植物调查包括蕨类植物、裸子植物和被子植物。通过实地调查更新县域行政单元内陆生维管植物本底现状，形成本轮调查结果，并综合历史资料和首轮本底调查成果，评估县域陆生维管植物多样性现状和变化，提出相应的保护对策和管理措施。</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④陆生脊椎动物</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陆生脊椎动物调查包括两栖动物、爬行动物、鸟类和陆生哺乳动物。通过实地调查更新县域行政单元内陆生脊椎动物本底现状，形成本轮调查结果，综合历史资料、首轮本底调查成果，评估县域陆生脊椎动物多样性现状和变化趋势，提出相应的保护对策和管理措施。</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⑤陆生昆虫</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根据《省生态环境厅关于印发&lt;江苏省新一轮生物多样性调查工作方案&gt;的通知》（苏环办〔2025〕177号），在全面分析县域地形、地貌、生态系统类型的基础上，合理确定野外调查区域。调查主要采用样线法、马来氏网法、灯诱法，对于有条件的区域，可再结合筛网法、陷阱法（埋罐法）开展补充调查。</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⑥大中型土壤动物</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大型土壤动物主要包括蚯蚓（环节动物门寡毛纲）、蜈蚣（节肢动物门唇足纲）、马陆（节肢动物门倍足纲）、蜘蛛（节肢动物门蛛形纲）、甲虫和蚂蚁（节肢动物门昆虫纲）等。中型土壤动物主要包括土壤螨（节肢动物门蛛形纲）、跳虫（节肢动物门弹尾纲）等。</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根据《省生态环境厅关于印发&lt;江苏省新一轮生物多样性调查工作方案&gt;的通知》（苏环办〔2025〕177号），在全面分析县域地形、地貌、生态系统类型的基础上，合理确定野外调查区域，可基于生态系统类型进行设置，主要包括森林生态系统、农田生态系统等。</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⑦淡水水生生物</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需要调查的水生生物包括鱼类、底栖动物、浮游动物、浮游植物、着生藻类、水生维管植物。</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根据《省生态环境厅关于印发&lt;江苏省新一轮生物多样性调查工作方案&gt;的通知》（苏环办〔2025〕177号），在前期遥感解译、资料收集等全面分析水体现状的基础上，调查应覆盖湖泊、水库、河流和溪流等所有水体类群，部分类群可结合水环境质量监测点位设置具体调查点位（断面、样点、样方等）。其中，建成区水生生物调查强度（样线、样点等数量）可结合实际情况适当调整。</w:t>
      </w:r>
      <w:r/>
    </w:p>
    <w:p>
      <w:pPr>
        <w:pStyle w:val="712"/>
        <w:rPr>
          <w:rFonts w:hint="eastAsia"/>
          <w:lang w:val="en-US" w:eastAsia="zh-CN"/>
        </w:rPr>
      </w:pPr>
      <w:r>
        <w:rPr>
          <w:rFonts w:hint="eastAsia"/>
          <w:lang w:val="en-US" w:eastAsia="zh-CN"/>
        </w:rPr>
      </w:r>
      <w:r/>
    </w:p>
    <w:p>
      <w:pPr>
        <w:ind w:left="0" w:firstLine="482"/>
        <w:keepLines w:val="0"/>
        <w:keepNext w:val="0"/>
        <w:pageBreakBefore w:val="0"/>
        <w:spacing w:line="500" w:lineRule="exact"/>
        <w:rPr>
          <w:rFonts w:hint="eastAsia" w:ascii="宋体" w:hAnsi="宋体" w:eastAsia="宋体" w:cs="宋体"/>
          <w:b/>
          <w:bCs/>
          <w:color w:val="auto"/>
          <w:sz w:val="24"/>
          <w:szCs w:val="24"/>
        </w:rPr>
        <w:outlineLvl w:val="1"/>
      </w:pPr>
      <w:r>
        <w:rPr>
          <w:rFonts w:hint="eastAsia" w:ascii="宋体" w:hAnsi="宋体" w:eastAsia="宋体" w:cs="宋体"/>
          <w:b/>
          <w:bCs/>
          <w:color w:val="auto"/>
          <w:sz w:val="24"/>
          <w:szCs w:val="24"/>
          <w:lang w:val="en-US" w:eastAsia="zh-CN"/>
        </w:rPr>
        <w:t xml:space="preserve">三</w:t>
      </w:r>
      <w:r>
        <w:rPr>
          <w:rFonts w:hint="eastAsia" w:ascii="宋体" w:hAnsi="宋体" w:eastAsia="宋体" w:cs="宋体"/>
          <w:b/>
          <w:bCs/>
          <w:color w:val="auto"/>
          <w:sz w:val="24"/>
          <w:szCs w:val="24"/>
        </w:rPr>
        <w:t xml:space="preserve">、商务要求</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（1）服务地点：射阳县。</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2）服务期限：合同签订之日起1个月内需完成实施方案编制；遵循各类群物种生长、繁殖及迁徙规律选择合适调查时间开展野外调查，并在自合同签订之日12个月内基本完成全部野外调查工作；自合同签订之日14个月内完成全部成果编制，并通过专家论证。</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（3）服务人员：项目负责人具有环保类相关专业职称及管理经验，项目组成员中具有生态学、植物学、地理信息科学、测绘工程、环境科学、环境工程等相关专业人员。</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（4）采购预算：180万元；</w:t>
      </w:r>
      <w:r/>
    </w:p>
    <w:p>
      <w:pPr>
        <w:ind w:left="0" w:firstLine="482"/>
        <w:jc w:val="left"/>
        <w:keepLines w:val="0"/>
        <w:keepNext w:val="0"/>
        <w:pageBreakBefore w:val="0"/>
        <w:spacing w:line="500" w:lineRule="exact"/>
        <w:widowControl/>
        <w:rPr>
          <w:rFonts w:hint="eastAsia" w:ascii="宋体" w:hAnsi="宋体" w:eastAsia="宋体" w:cs="宋体"/>
          <w:b w:val="0"/>
          <w:bCs w:val="0"/>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（5）付款方式：</w:t>
      </w:r>
      <w:r/>
    </w:p>
    <w:p>
      <w:pPr>
        <w:ind w:left="0" w:firstLine="482"/>
        <w:jc w:val="left"/>
        <w:keepLines w:val="0"/>
        <w:keepNext w:val="0"/>
        <w:pageBreakBefore w:val="0"/>
        <w:spacing w:line="500" w:lineRule="exact"/>
        <w:widowControl/>
        <w:rPr>
          <w:rFonts w:hint="eastAsia" w:ascii="宋体" w:hAnsi="宋体" w:eastAsia="宋体" w:cs="宋体"/>
          <w:color w:val="auto"/>
          <w:sz w:val="24"/>
          <w:szCs w:val="24"/>
          <w:lang w:val="en-US" w:eastAsia="zh-CN" w:bidi="ar"/>
        </w:rPr>
        <w:outlineLvl w:val="1"/>
        <w:suppressLineNumbers w:val="0"/>
      </w:pPr>
      <w:r>
        <w:rPr>
          <w:rFonts w:hint="eastAsia" w:ascii="宋体" w:hAnsi="宋体" w:eastAsia="宋体" w:cs="宋体"/>
          <w:b w:val="0"/>
          <w:bCs w:val="0"/>
          <w:color w:val="auto"/>
          <w:sz w:val="24"/>
          <w:szCs w:val="24"/>
          <w:lang w:val="en-US" w:eastAsia="zh-CN" w:bidi="ar"/>
        </w:rPr>
        <w:t xml:space="preserve">①合同签订后10个工作日内，甲方支付合同款30%的预付款；②乙方完成实施方案编制通过专家评审后10个工作日内，甲方支付合同款的20%；③乙方完成中期评估报告通过专家评审后10个工作日内，甲方支付合同款的30%，④乙方完成全部调查成果并通过省生态环境厅验收后10个工作日内，甲方支付合同款的20%。</w:t>
      </w:r>
      <w:r/>
    </w:p>
    <w:p>
      <w:pPr>
        <w:numPr>
          <w:ilvl w:val="0"/>
          <w:numId w:val="0"/>
        </w:numPr>
        <w:ind w:left="0" w:firstLine="482"/>
        <w:keepLines w:val="0"/>
        <w:keepNext w:val="0"/>
        <w:pageBreakBefore w:val="0"/>
        <w:spacing w:line="500" w:lineRule="exact"/>
        <w:rPr>
          <w:rFonts w:hint="eastAsia" w:ascii="宋体" w:hAnsi="宋体" w:eastAsia="宋体" w:cs="宋体"/>
          <w:b/>
          <w:bCs/>
          <w:color w:val="auto"/>
          <w:sz w:val="24"/>
          <w:szCs w:val="24"/>
          <w:lang w:val="en-US" w:eastAsia="zh-CN" w:bidi="ar-SA"/>
        </w:rPr>
        <w:outlineLvl w:val="1"/>
      </w:pPr>
      <w:r>
        <w:rPr>
          <w:rFonts w:hint="eastAsia" w:ascii="宋体" w:hAnsi="宋体" w:eastAsia="宋体" w:cs="宋体"/>
          <w:b/>
          <w:bCs/>
          <w:color w:val="auto"/>
          <w:sz w:val="24"/>
          <w:szCs w:val="24"/>
          <w:lang w:val="en-US" w:eastAsia="zh-CN" w:bidi="ar-SA"/>
        </w:rPr>
      </w:r>
      <w:r/>
    </w:p>
    <w:p>
      <w:pPr>
        <w:numPr>
          <w:ilvl w:val="0"/>
          <w:numId w:val="0"/>
        </w:numPr>
        <w:ind w:left="0" w:firstLine="482"/>
        <w:keepLines w:val="0"/>
        <w:keepNext w:val="0"/>
        <w:pageBreakBefore w:val="0"/>
        <w:spacing w:line="500" w:lineRule="exact"/>
        <w:rPr>
          <w:rFonts w:hint="eastAsia" w:ascii="宋体" w:hAnsi="宋体" w:eastAsia="宋体" w:cs="宋体"/>
          <w:b/>
          <w:bCs/>
          <w:color w:val="auto"/>
          <w:sz w:val="24"/>
          <w:szCs w:val="24"/>
          <w:lang w:val="en-US" w:eastAsia="zh-CN"/>
        </w:rPr>
        <w:outlineLvl w:val="1"/>
      </w:pPr>
      <w:r>
        <w:rPr>
          <w:rFonts w:hint="eastAsia" w:ascii="宋体" w:hAnsi="宋体" w:eastAsia="宋体" w:cs="宋体"/>
          <w:b/>
          <w:bCs/>
          <w:color w:val="auto"/>
          <w:sz w:val="24"/>
          <w:szCs w:val="24"/>
          <w:lang w:val="en-US" w:eastAsia="zh-CN" w:bidi="ar-SA"/>
        </w:rPr>
        <w:t xml:space="preserve">四、成果要求</w:t>
      </w:r>
      <w:r/>
    </w:p>
    <w:p>
      <w:pPr>
        <w:ind w:left="0" w:firstLine="482"/>
        <w:jc w:val="left"/>
        <w:keepLines w:val="0"/>
        <w:keepNext w:val="0"/>
        <w:pageBreakBefore w:val="0"/>
        <w:spacing w:line="400" w:lineRule="exact"/>
        <w:widowControl/>
        <w:rPr>
          <w:rFonts w:hint="eastAsia" w:ascii="宋体" w:hAnsi="宋体" w:eastAsia="宋体" w:cs="宋体"/>
          <w:color w:val="auto"/>
          <w:sz w:val="24"/>
          <w:szCs w:val="24"/>
          <w:lang w:val="en-US" w:eastAsia="zh-CN" w:bidi="ar"/>
        </w:rPr>
        <w:suppressLineNumbers w:val="0"/>
      </w:pPr>
      <w:r>
        <w:rPr>
          <w:rFonts w:ascii="Cambria Math" w:hAnsi="Cambria Math" w:cs="Cambria Math"/>
          <w:bCs/>
          <w:color w:val="000000"/>
          <w:sz w:val="24"/>
          <w:szCs w:val="24"/>
        </w:rPr>
        <w:t xml:space="preserve">①</w:t>
      </w:r>
      <w:r>
        <w:rPr>
          <w:rFonts w:ascii="Times New Roman" w:hAnsi="Times New Roman"/>
          <w:bCs/>
          <w:color w:val="000000"/>
          <w:sz w:val="24"/>
          <w:szCs w:val="24"/>
        </w:rPr>
        <w:t xml:space="preserve">生物多样性本底调查实施方案、工作报告、技术报告、编目报告；</w:t>
      </w:r>
      <w:r>
        <w:rPr>
          <w:rFonts w:ascii="Cambria Math" w:hAnsi="Cambria Math" w:cs="Cambria Math"/>
          <w:bCs/>
          <w:color w:val="000000"/>
          <w:sz w:val="24"/>
          <w:szCs w:val="24"/>
        </w:rPr>
        <w:t xml:space="preserve">②</w:t>
      </w:r>
      <w:r>
        <w:rPr>
          <w:rFonts w:ascii="Times New Roman" w:hAnsi="Times New Roman"/>
          <w:bCs/>
          <w:color w:val="000000"/>
          <w:sz w:val="24"/>
          <w:szCs w:val="24"/>
        </w:rPr>
        <w:t xml:space="preserve">生态系统调查结果数据表、生物多样性现场调查记录表和生物多样性调查结果数据表；</w:t>
      </w:r>
      <w:r>
        <w:rPr>
          <w:rFonts w:ascii="Cambria Math" w:hAnsi="Cambria Math" w:cs="Cambria Math"/>
          <w:bCs/>
          <w:color w:val="000000"/>
          <w:sz w:val="24"/>
          <w:szCs w:val="24"/>
        </w:rPr>
        <w:t xml:space="preserve">③</w:t>
      </w:r>
      <w:r>
        <w:rPr>
          <w:rFonts w:ascii="Times New Roman" w:hAnsi="Times New Roman"/>
          <w:bCs/>
          <w:color w:val="000000"/>
          <w:sz w:val="24"/>
          <w:szCs w:val="24"/>
        </w:rPr>
        <w:t xml:space="preserve">生物多样性调查现场照片、现场调查轨迹、电子标本照片、物种分布专题地图等其他支撑材料。</w:t>
      </w:r>
      <w:r/>
    </w:p>
    <w:p>
      <w:pPr>
        <w:ind w:firstLine="480"/>
        <w:spacing w:line="520" w:lineRule="exact"/>
        <w:rPr>
          <w:rFonts w:hint="eastAsia" w:ascii="宋体" w:hAnsi="宋体" w:cs="宋体"/>
          <w:b/>
          <w:bCs/>
          <w:color w:val="auto"/>
          <w:sz w:val="24"/>
        </w:rPr>
        <w:outlineLvl w:val="1"/>
      </w:pPr>
      <w:r>
        <w:rPr>
          <w:rFonts w:hint="eastAsia" w:ascii="宋体" w:hAnsi="宋体" w:cs="宋体"/>
          <w:b/>
          <w:bCs/>
          <w:color w:val="auto"/>
          <w:sz w:val="24"/>
          <w:lang w:val="en-US" w:eastAsia="zh-CN"/>
        </w:rPr>
        <w:t xml:space="preserve">八</w:t>
      </w:r>
      <w:r>
        <w:rPr>
          <w:rFonts w:hint="eastAsia" w:ascii="宋体" w:hAnsi="宋体" w:cs="宋体"/>
          <w:b/>
          <w:bCs/>
          <w:color w:val="auto"/>
          <w:sz w:val="24"/>
        </w:rPr>
        <w:t xml:space="preserve">、采购标的对应的中小企业划分标准所属行业一览表</w:t>
      </w:r>
      <w:r/>
    </w:p>
    <w:tbl>
      <w:tblPr>
        <w:tblStyle w:val="708"/>
        <w:tblW w:w="8318" w:type="dxa"/>
        <w:jc w:val="center"/>
        <w:tblCellSpacing w:w="0" w:type="dxa"/>
        <w:tblLayout w:type="fixed"/>
        <w:tblCellMar>
          <w:left w:w="108" w:type="dxa"/>
          <w:top w:w="0" w:type="dxa"/>
          <w:right w:w="108" w:type="dxa"/>
          <w:bottom w:w="0" w:type="dxa"/>
        </w:tblCellMar>
        <w:tblLook w:val="04A0" w:firstRow="1" w:lastRow="0" w:firstColumn="1" w:lastColumn="0" w:noHBand="0" w:noVBand="1"/>
      </w:tblPr>
      <w:tblGrid>
        <w:gridCol w:w="796"/>
        <w:gridCol w:w="4756"/>
        <w:gridCol w:w="2766"/>
      </w:tblGrid>
      <w:tr>
        <w:trPr>
          <w:jc w:val="center"/>
          <w:tblCellSpacing w:w="0" w:type="dxa"/>
          <w:trHeight w:val="1460"/>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32"/>
              <w:jc w:val="center"/>
              <w:rPr>
                <w:rFonts w:hint="eastAsia" w:ascii="宋体" w:hAnsi="宋体" w:cs="宋体"/>
                <w:color w:val="auto"/>
              </w:rPr>
            </w:pPr>
            <w:r>
              <w:rPr>
                <w:rFonts w:hint="eastAsia" w:ascii="宋体" w:hAnsi="宋体" w:cs="宋体"/>
                <w:color w:val="auto"/>
              </w:rPr>
              <w:t xml:space="preserve">序号</w:t>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pStyle w:val="732"/>
              <w:jc w:val="center"/>
              <w:rPr>
                <w:rFonts w:hint="eastAsia" w:ascii="宋体" w:hAnsi="宋体" w:cs="宋体"/>
                <w:color w:val="auto"/>
              </w:rPr>
            </w:pPr>
            <w:r>
              <w:rPr>
                <w:rFonts w:hint="eastAsia" w:ascii="宋体" w:hAnsi="宋体" w:cs="宋体"/>
                <w:color w:val="auto"/>
              </w:rPr>
              <w:t xml:space="preserve">采购标的</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pStyle w:val="732"/>
              <w:jc w:val="center"/>
              <w:rPr>
                <w:rFonts w:hint="eastAsia" w:ascii="宋体" w:hAnsi="宋体" w:cs="宋体"/>
                <w:color w:val="auto"/>
              </w:rPr>
            </w:pPr>
            <w:r>
              <w:rPr>
                <w:rFonts w:hint="eastAsia" w:ascii="宋体" w:hAnsi="宋体" w:cs="宋体"/>
                <w:color w:val="auto"/>
              </w:rPr>
              <w:t xml:space="preserve">对应中小企业划分标准所属行业</w:t>
            </w:r>
            <w:r/>
          </w:p>
        </w:tc>
      </w:tr>
      <w:tr>
        <w:trPr>
          <w:jc w:val="center"/>
          <w:tblCellSpacing w:w="0" w:type="dxa"/>
          <w:trHeight w:val="1265"/>
        </w:trPr>
        <w:tc>
          <w:tcPr>
            <w:tcBorders>
              <w:top w:val="single" w:color="auto" w:sz="4" w:space="0"/>
              <w:left w:val="single" w:color="auto" w:sz="4" w:space="0"/>
              <w:bottom w:val="single" w:color="auto" w:sz="4" w:space="0"/>
              <w:right w:val="single" w:color="auto" w:sz="4" w:space="0"/>
            </w:tcBorders>
            <w:tcW w:w="796" w:type="dxa"/>
            <w:vAlign w:val="center"/>
            <w:textDirection w:val="lrTb"/>
            <w:noWrap w:val="false"/>
          </w:tcPr>
          <w:p>
            <w:pPr>
              <w:pStyle w:val="732"/>
              <w:jc w:val="center"/>
              <w:rPr>
                <w:rFonts w:hint="eastAsia" w:ascii="宋体" w:hAnsi="宋体" w:cs="宋体"/>
                <w:color w:val="auto"/>
              </w:rPr>
            </w:pPr>
            <w:r>
              <w:rPr>
                <w:rFonts w:hint="eastAsia" w:ascii="宋体" w:hAnsi="宋体" w:cs="宋体"/>
                <w:color w:val="auto"/>
              </w:rPr>
              <w:t xml:space="preserve">1</w:t>
            </w:r>
            <w:r/>
          </w:p>
        </w:tc>
        <w:tc>
          <w:tcPr>
            <w:tcBorders>
              <w:top w:val="single" w:color="auto" w:sz="4" w:space="0"/>
              <w:left w:val="single" w:color="auto" w:sz="4" w:space="0"/>
              <w:bottom w:val="single" w:color="auto" w:sz="4" w:space="0"/>
              <w:right w:val="single" w:color="auto" w:sz="4" w:space="0"/>
            </w:tcBorders>
            <w:tcW w:w="4756" w:type="dxa"/>
            <w:vAlign w:val="center"/>
            <w:textDirection w:val="lrTb"/>
            <w:noWrap w:val="false"/>
          </w:tcPr>
          <w:p>
            <w:pPr>
              <w:pStyle w:val="732"/>
              <w:jc w:val="center"/>
              <w:rPr>
                <w:rFonts w:hint="eastAsia" w:ascii="宋体" w:hAnsi="宋体" w:cs="宋体"/>
                <w:color w:val="auto"/>
              </w:rPr>
            </w:pPr>
            <w:r>
              <w:rPr>
                <w:rFonts w:hint="eastAsia" w:cs="宋体"/>
                <w:color w:val="auto"/>
                <w:lang w:val="en-US" w:eastAsia="zh-CN"/>
              </w:rPr>
              <w:t xml:space="preserve">盐城市射阳生态环境局射阳县第二轮生物多样性本底调查</w:t>
            </w:r>
            <w:r/>
          </w:p>
        </w:tc>
        <w:tc>
          <w:tcPr>
            <w:tcBorders>
              <w:top w:val="single" w:color="auto" w:sz="4" w:space="0"/>
              <w:left w:val="single" w:color="auto" w:sz="4" w:space="0"/>
              <w:bottom w:val="single" w:color="auto" w:sz="4" w:space="0"/>
              <w:right w:val="single" w:color="auto" w:sz="4" w:space="0"/>
            </w:tcBorders>
            <w:tcW w:w="2766" w:type="dxa"/>
            <w:vAlign w:val="center"/>
            <w:textDirection w:val="lrTb"/>
            <w:noWrap w:val="false"/>
          </w:tcPr>
          <w:p>
            <w:pPr>
              <w:pStyle w:val="732"/>
              <w:jc w:val="center"/>
              <w:rPr>
                <w:rFonts w:ascii="宋体" w:hAnsi="宋体" w:cs="宋体"/>
                <w:color w:val="auto"/>
              </w:rPr>
            </w:pPr>
            <w:r>
              <w:rPr>
                <w:rFonts w:hint="eastAsia" w:ascii="宋体" w:hAnsi="宋体" w:cs="宋体"/>
                <w:color w:val="auto"/>
              </w:rPr>
              <w:t xml:space="preserve">其他未列明行业</w:t>
            </w:r>
            <w:r/>
          </w:p>
        </w:tc>
      </w:tr>
    </w:tbl>
    <w:p>
      <w:pPr>
        <w:jc w:val="left"/>
        <w:widowControl/>
        <w:rPr>
          <w:rFonts w:hint="eastAsia" w:ascii="宋体" w:hAnsi="宋体" w:eastAsia="宋体"/>
          <w:color w:val="auto"/>
        </w:rPr>
      </w:pPr>
      <w:r>
        <w:rPr>
          <w:rFonts w:hint="eastAsia" w:ascii="宋体" w:hAnsi="宋体" w:eastAsia="宋体"/>
          <w:color w:val="auto"/>
        </w:rPr>
        <w:br w:type="page" w:clear="all"/>
      </w:r>
      <w:r/>
    </w:p>
    <w:p>
      <w:pPr>
        <w:pStyle w:val="699"/>
        <w:numPr>
          <w:ilvl w:val="0"/>
          <w:numId w:val="1"/>
        </w:numPr>
        <w:ind w:left="0" w:firstLine="0"/>
        <w:jc w:val="center"/>
        <w:keepLines w:val="0"/>
        <w:keepNext w:val="0"/>
        <w:pageBreakBefore w:val="0"/>
        <w:spacing w:before="0" w:beforeAutospacing="1" w:after="0" w:afterAutospacing="1" w:line="360" w:lineRule="auto"/>
        <w:widowControl w:val="off"/>
        <w:rPr>
          <w:rFonts w:hint="eastAsia" w:ascii="宋体" w:hAnsi="宋体" w:eastAsia="宋体" w:cs="Times New Roman"/>
          <w:b/>
          <w:bCs/>
          <w:color w:val="auto"/>
          <w:sz w:val="32"/>
          <w:szCs w:val="32"/>
          <w14:ligatures w14:val="none"/>
        </w:rPr>
        <w:outlineLvl w:val="0"/>
      </w:pPr>
      <w:r/>
      <w:bookmarkStart w:id="102" w:name="_Toc197644575"/>
      <w:r>
        <w:rPr>
          <w:rFonts w:hint="eastAsia" w:ascii="宋体" w:hAnsi="宋体" w:eastAsia="宋体" w:cs="Times New Roman"/>
          <w:b/>
          <w:bCs/>
          <w:color w:val="auto"/>
          <w:sz w:val="32"/>
          <w:szCs w:val="32"/>
          <w14:ligatures w14:val="none"/>
        </w:rPr>
        <w:t xml:space="preserve">评标方法与评标标准</w:t>
      </w:r>
      <w:bookmarkEnd w:id="102"/>
      <w:r/>
      <w:r/>
    </w:p>
    <w:p>
      <w:pPr>
        <w:pStyle w:val="897"/>
        <w:numPr>
          <w:ilvl w:val="0"/>
          <w:numId w:val="12"/>
        </w:numPr>
        <w:jc w:val="left"/>
        <w:keepLines w:val="0"/>
        <w:keepNext w:val="0"/>
        <w:pageBreakBefore w:val="0"/>
        <w:spacing w:line="360" w:lineRule="auto"/>
        <w:widowControl w:val="off"/>
        <w:rPr>
          <w:rFonts w:hint="eastAsia" w:ascii="宋体" w:hAnsi="宋体" w:eastAsia="宋体" w:cs="宋体"/>
          <w:b/>
          <w:color w:val="auto"/>
          <w:sz w:val="24"/>
          <w:szCs w:val="24"/>
        </w:rPr>
        <w:outlineLvl w:val="1"/>
      </w:pPr>
      <w:r/>
      <w:bookmarkStart w:id="103" w:name="_Toc197644576"/>
      <w:r>
        <w:rPr>
          <w:rFonts w:hint="eastAsia" w:ascii="宋体" w:hAnsi="宋体" w:eastAsia="宋体" w:cs="宋体"/>
          <w:b/>
          <w:color w:val="auto"/>
          <w:sz w:val="24"/>
          <w:szCs w:val="24"/>
        </w:rPr>
        <w:t xml:space="preserve">定标原则</w:t>
      </w:r>
      <w:bookmarkEnd w:id="103"/>
      <w:r/>
      <w:r/>
    </w:p>
    <w:p>
      <w:pPr>
        <w:ind w:firstLine="477"/>
        <w:spacing w:line="500" w:lineRule="exact"/>
        <w:tabs>
          <w:tab w:val="left" w:pos="900" w:leader="none"/>
        </w:tabs>
        <w:rPr>
          <w:rFonts w:hint="eastAsia" w:ascii="宋体" w:hAnsi="宋体" w:eastAsia="宋体" w:cs="宋体"/>
          <w:color w:val="auto"/>
          <w:sz w:val="24"/>
          <w:szCs w:val="24"/>
          <w:lang w:val="zh-CN" w:eastAsia="zh-CN" w:bidi="ar-SA"/>
          <w14:ligatures w14:val="none"/>
        </w:rPr>
      </w:pPr>
      <w:r>
        <w:rPr>
          <w:rFonts w:hint="eastAsia" w:ascii="宋体" w:hAnsi="宋体" w:eastAsia="宋体" w:cs="宋体"/>
          <w:color w:val="auto"/>
          <w:sz w:val="24"/>
          <w:szCs w:val="24"/>
          <w:lang w:val="zh-CN" w:eastAsia="zh-CN" w:bidi="ar-SA"/>
          <w14:ligatures w14: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p>
    <w:p>
      <w:pPr>
        <w:pStyle w:val="897"/>
        <w:numPr>
          <w:ilvl w:val="0"/>
          <w:numId w:val="12"/>
        </w:numPr>
        <w:jc w:val="left"/>
        <w:keepLines w:val="0"/>
        <w:keepNext w:val="0"/>
        <w:pageBreakBefore w:val="0"/>
        <w:spacing w:line="500" w:lineRule="exact"/>
        <w:widowControl w:val="off"/>
        <w:rPr>
          <w:rFonts w:hint="eastAsia" w:ascii="宋体" w:hAnsi="宋体" w:eastAsia="宋体" w:cs="宋体"/>
          <w:b/>
          <w:color w:val="auto"/>
          <w:sz w:val="24"/>
          <w:szCs w:val="24"/>
        </w:rPr>
        <w:outlineLvl w:val="1"/>
      </w:pPr>
      <w:r/>
      <w:bookmarkStart w:id="104" w:name="_Toc197644577"/>
      <w:r>
        <w:rPr>
          <w:rFonts w:hint="eastAsia" w:ascii="宋体" w:hAnsi="宋体" w:eastAsia="宋体" w:cs="宋体"/>
          <w:b/>
          <w:color w:val="auto"/>
          <w:sz w:val="24"/>
          <w:szCs w:val="24"/>
        </w:rPr>
        <w:t xml:space="preserve">政府采购政策功能落实</w:t>
      </w:r>
      <w:bookmarkEnd w:id="104"/>
      <w:r/>
      <w:r/>
    </w:p>
    <w:p>
      <w:pPr>
        <w:ind w:firstLine="477"/>
        <w:keepLines w:val="0"/>
        <w:keepNext w:val="0"/>
        <w:pageBreakBefore w:val="0"/>
        <w:spacing w:line="500" w:lineRule="exact"/>
        <w:widowControl w:val="off"/>
        <w:tabs>
          <w:tab w:val="left" w:pos="900" w:leader="none"/>
        </w:tabs>
        <w:rPr>
          <w:rFonts w:ascii="宋体" w:hAnsi="宋体" w:cs="宋体"/>
          <w:color w:val="auto"/>
          <w:sz w:val="24"/>
        </w:rPr>
      </w:pPr>
      <w:r/>
      <w:bookmarkStart w:id="105" w:name="_Toc197644578"/>
      <w:r>
        <w:rPr>
          <w:rFonts w:hint="eastAsia" w:ascii="宋体" w:hAnsi="宋体" w:cs="宋体"/>
          <w:color w:val="auto"/>
          <w:sz w:val="24"/>
        </w:rPr>
        <w:t xml:space="preserve">1、中小微型企业</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（1）本项目专门面向中小企业采购，不再对小型和微型企业服务给予价格扣除。</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（2）供应商需按照采购文件的要求提供相应的《中小微企业声明函》。</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（3）企业标准请参照《关于印发中小企业划型标准规定的通知》（工信部联企业[2011]300号）文件规定自行填写。</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2、残疾人福利单位</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（1）本项目对残疾人福利性单位视同小型、微型企业。</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（2）残疾人福利单位需按照采购文件的要求提供《残疾人福利性单位声明函》。</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（3）残疾人福利单位标准请参照《关于促进残疾人就业政府采购政策的通知》（财库〔2017〕141号）。</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3、监狱和戒毒企业</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（1）本项目对监狱和戒毒企业（简称监狱企业）视同小型、微型企业。</w:t>
      </w:r>
      <w:r/>
    </w:p>
    <w:p>
      <w:pPr>
        <w:ind w:firstLine="477"/>
        <w:spacing w:line="500" w:lineRule="exact"/>
        <w:tabs>
          <w:tab w:val="left" w:pos="900" w:leader="none"/>
        </w:tabs>
        <w:rPr>
          <w:rFonts w:ascii="宋体" w:hAnsi="宋体" w:cs="宋体"/>
          <w:color w:val="auto"/>
          <w:sz w:val="24"/>
        </w:rPr>
      </w:pPr>
      <w:r>
        <w:rPr>
          <w:rFonts w:hint="eastAsia" w:ascii="宋体" w:hAnsi="宋体" w:cs="宋体"/>
          <w:color w:val="auto"/>
          <w:sz w:val="24"/>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firstLine="477"/>
        <w:spacing w:line="500" w:lineRule="exact"/>
        <w:tabs>
          <w:tab w:val="left" w:pos="900" w:leader="none"/>
        </w:tabs>
        <w:rPr>
          <w:rFonts w:hint="eastAsia" w:ascii="宋体" w:hAnsi="宋体" w:cs="宋体"/>
          <w:color w:val="auto"/>
          <w:sz w:val="24"/>
        </w:rPr>
      </w:pPr>
      <w:r>
        <w:rPr>
          <w:rFonts w:hint="eastAsia" w:ascii="宋体" w:hAnsi="宋体" w:cs="宋体"/>
          <w:color w:val="auto"/>
          <w:sz w:val="24"/>
        </w:rPr>
        <w:t xml:space="preserve">（3）监狱企业标准请参照《关于政府采购支持监狱企业发展有关问题的通知》（财库[2014]68号）。</w:t>
      </w:r>
      <w:r/>
    </w:p>
    <w:p>
      <w:pPr>
        <w:ind w:firstLine="477"/>
        <w:spacing w:line="500" w:lineRule="exact"/>
        <w:tabs>
          <w:tab w:val="left" w:pos="900" w:leader="none"/>
        </w:tabs>
        <w:rPr>
          <w:rFonts w:hint="eastAsia" w:ascii="宋体" w:hAnsi="宋体" w:cs="宋体"/>
          <w:color w:val="auto"/>
          <w:sz w:val="24"/>
        </w:rPr>
      </w:pPr>
      <w:r>
        <w:rPr>
          <w:rFonts w:hint="eastAsia" w:ascii="宋体" w:hAnsi="宋体" w:cs="宋体"/>
          <w:color w:val="auto"/>
          <w:sz w:val="24"/>
        </w:rPr>
        <w:t xml:space="preserve">4、残疾人福利单位、监狱企业属于小型、微型企业的，不重复享受政策。</w:t>
      </w:r>
      <w:r/>
    </w:p>
    <w:p>
      <w:pPr>
        <w:ind w:firstLine="477"/>
        <w:spacing w:line="500" w:lineRule="exact"/>
        <w:tabs>
          <w:tab w:val="left" w:pos="900" w:leader="none"/>
        </w:tabs>
        <w:rPr>
          <w:rFonts w:hint="eastAsia" w:ascii="宋体" w:hAnsi="宋体" w:cs="宋体"/>
          <w:color w:val="auto"/>
          <w:sz w:val="24"/>
        </w:rPr>
      </w:pPr>
      <w:r>
        <w:rPr>
          <w:rFonts w:hint="eastAsia" w:ascii="宋体" w:hAnsi="宋体" w:cs="宋体"/>
          <w:color w:val="auto"/>
          <w:sz w:val="24"/>
        </w:rPr>
        <w:t xml:space="preserve">5、严格执行政府采购关于支持</w:t>
      </w:r>
      <w:r>
        <w:rPr>
          <w:rFonts w:hint="eastAsia" w:ascii="宋体" w:hAnsi="宋体" w:cs="宋体"/>
          <w:color w:val="auto"/>
          <w:sz w:val="24"/>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pStyle w:val="897"/>
        <w:numPr>
          <w:ilvl w:val="0"/>
          <w:numId w:val="12"/>
        </w:numPr>
        <w:jc w:val="left"/>
        <w:keepLines w:val="0"/>
        <w:keepNext w:val="0"/>
        <w:pageBreakBefore w:val="0"/>
        <w:spacing w:line="360" w:lineRule="auto"/>
        <w:widowControl w:val="off"/>
        <w:rPr>
          <w:rFonts w:hint="eastAsia" w:ascii="宋体" w:hAnsi="宋体" w:eastAsia="宋体" w:cs="宋体"/>
          <w:b/>
          <w:color w:val="auto"/>
          <w:sz w:val="24"/>
          <w:szCs w:val="24"/>
        </w:rPr>
        <w:outlineLvl w:val="1"/>
      </w:pPr>
      <w:r>
        <w:rPr>
          <w:rFonts w:hint="eastAsia" w:ascii="宋体" w:hAnsi="宋体" w:eastAsia="宋体" w:cs="宋体"/>
          <w:b/>
          <w:color w:val="auto"/>
          <w:sz w:val="24"/>
          <w:szCs w:val="24"/>
        </w:rPr>
        <w:t xml:space="preserve">评标方法与评标标准</w:t>
      </w:r>
      <w:bookmarkEnd w:id="105"/>
      <w:r/>
      <w:r/>
    </w:p>
    <w:tbl>
      <w:tblPr>
        <w:tblStyle w:val="708"/>
        <w:tblW w:w="96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96" w:type="dxa"/>
          <w:top w:w="45" w:type="dxa"/>
          <w:right w:w="96" w:type="dxa"/>
          <w:bottom w:w="45" w:type="dxa"/>
        </w:tblCellMar>
        <w:tblLook w:val="04A0" w:firstRow="1" w:lastRow="0" w:firstColumn="1" w:lastColumn="0" w:noHBand="0" w:noVBand="1"/>
      </w:tblPr>
      <w:tblGrid>
        <w:gridCol w:w="562"/>
        <w:gridCol w:w="461"/>
        <w:gridCol w:w="8623"/>
      </w:tblGrid>
      <w:tr>
        <w:trPr>
          <w:jc w:val="center"/>
          <w:trHeight w:val="487"/>
          <w:tblHeader/>
        </w:trPr>
        <w:tc>
          <w:tcPr>
            <w:tcW w:w="563" w:type="dxa"/>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评分因素</w:t>
            </w:r>
            <w:r/>
          </w:p>
        </w:tc>
        <w:tc>
          <w:tcPr>
            <w:tcW w:w="462" w:type="dxa"/>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分值</w:t>
            </w:r>
            <w:r/>
          </w:p>
        </w:tc>
        <w:tc>
          <w:tcPr>
            <w:tcW w:w="8621" w:type="dxa"/>
            <w:vAlign w:val="center"/>
            <w:textDirection w:val="lrTb"/>
            <w:noWrap w:val="false"/>
          </w:tcPr>
          <w:p>
            <w:pPr>
              <w:jc w:val="center"/>
              <w:keepLines w:val="0"/>
              <w:keepNext w:val="0"/>
              <w:pageBreakBefore w:val="0"/>
              <w:spacing w:line="460" w:lineRule="exact"/>
              <w:rPr>
                <w:rFonts w:hint="eastAsia" w:ascii="宋体" w:hAnsi="宋体" w:eastAsia="宋体" w:cs="宋体"/>
                <w:b/>
                <w:bCs/>
                <w:color w:val="auto"/>
                <w:sz w:val="21"/>
                <w:szCs w:val="21"/>
                <w:lang w:eastAsia="zh-CN"/>
              </w:rPr>
            </w:pPr>
            <w:r>
              <w:rPr>
                <w:rFonts w:hint="eastAsia" w:ascii="宋体" w:hAnsi="宋体" w:eastAsia="宋体" w:cs="宋体"/>
                <w:b/>
                <w:bCs/>
                <w:color w:val="auto"/>
                <w:sz w:val="21"/>
                <w:szCs w:val="21"/>
                <w:lang w:eastAsia="zh-CN"/>
              </w:rPr>
              <w:t xml:space="preserve">评分标准</w:t>
            </w:r>
            <w:r/>
          </w:p>
        </w:tc>
      </w:tr>
      <w:tr>
        <w:trPr>
          <w:jc w:val="center"/>
          <w:trHeight w:val="0"/>
        </w:trPr>
        <w:tc>
          <w:tcPr>
            <w:shd w:val="clear" w:color="auto" w:fill="auto"/>
            <w:tcW w:w="563" w:type="dxa"/>
            <w:vAlign w:val="center"/>
            <w:textDirection w:val="lrTb"/>
            <w:noWrap w:val="false"/>
          </w:tcPr>
          <w:p>
            <w:pPr>
              <w:jc w:val="center"/>
              <w:spacing w:line="340" w:lineRule="exact"/>
              <w:rPr>
                <w:rFonts w:hint="eastAsia" w:asciiTheme="minorEastAsia" w:hAnsiTheme="minorEastAsia" w:eastAsiaTheme="minorEastAsia" w:cstheme="minorEastAsia"/>
                <w:sz w:val="21"/>
                <w:szCs w:val="21"/>
                <w:lang w:eastAsia="en-US"/>
                <w14:ligatures w14:val="standardContextual"/>
              </w:rPr>
            </w:pPr>
            <w:r>
              <w:rPr>
                <w:rFonts w:hint="eastAsia" w:asciiTheme="minorEastAsia" w:hAnsiTheme="minorEastAsia" w:eastAsiaTheme="minorEastAsia" w:cstheme="minorEastAsia"/>
                <w:szCs w:val="21"/>
              </w:rPr>
              <w:t xml:space="preserve">价格</w:t>
            </w:r>
            <w:r/>
          </w:p>
        </w:tc>
        <w:tc>
          <w:tcPr>
            <w:shd w:val="clear" w:color="auto" w:fill="auto"/>
            <w:tcW w:w="462" w:type="dxa"/>
            <w:vAlign w:val="center"/>
            <w:textDirection w:val="lrTb"/>
            <w:noWrap w:val="false"/>
          </w:tcPr>
          <w:p>
            <w:pPr>
              <w:jc w:val="center"/>
              <w:spacing w:line="320" w:lineRule="exact"/>
              <w:rPr>
                <w:rFonts w:hint="eastAsia" w:asciiTheme="minorEastAsia" w:hAnsiTheme="minorEastAsia" w:eastAsiaTheme="minorEastAsia" w:cstheme="minorEastAsia"/>
                <w:sz w:val="21"/>
                <w:szCs w:val="21"/>
                <w:lang w:eastAsia="en-US"/>
                <w14:ligatures w14:val="standardContextual"/>
              </w:rPr>
            </w:pPr>
            <w:r>
              <w:rPr>
                <w:rFonts w:hint="eastAsia" w:asciiTheme="minorEastAsia" w:hAnsiTheme="minorEastAsia" w:eastAsiaTheme="minorEastAsia" w:cstheme="minorEastAsia"/>
                <w:szCs w:val="21"/>
              </w:rPr>
              <w:t xml:space="preserve">15分</w:t>
            </w:r>
            <w:r/>
          </w:p>
        </w:tc>
        <w:tc>
          <w:tcPr>
            <w:shd w:val="clear" w:color="auto" w:fill="auto"/>
            <w:tcW w:w="8621" w:type="dxa"/>
            <w:vAlign w:val="center"/>
            <w:textDirection w:val="lrTb"/>
            <w:noWrap w:val="false"/>
          </w:tcPr>
          <w:p>
            <w:pPr>
              <w:ind w:firstLine="420"/>
              <w:spacing w:line="320" w:lineRule="exact"/>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 w:val="21"/>
                <w:szCs w:val="21"/>
                <w14:ligatures w14:val="standardContextual"/>
              </w:rPr>
              <w:t xml:space="preserve">满足招标文件要求且参与投标价格最低的有效投标报价为评标基准价，其价格分为15分。其他投标单位的价格分统一按照下列公式计算：参与投标报价得分=（评标基准价／投标报价）×15，小数点后保留两位。</w:t>
            </w:r>
            <w:r/>
          </w:p>
          <w:p>
            <w:pPr>
              <w:ind w:firstLine="420"/>
              <w:spacing w:line="320" w:lineRule="exact"/>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 w:val="21"/>
                <w:szCs w:val="21"/>
                <w14:ligatures w14:val="standardContextual"/>
              </w:rPr>
              <w:t xml:space="preserve">注：有效投标报价为未被评标委员会判定为废标的投标响应文件。</w:t>
            </w:r>
            <w:r/>
          </w:p>
        </w:tc>
      </w:tr>
      <w:tr>
        <w:trPr>
          <w:jc w:val="center"/>
          <w:trHeight w:val="0"/>
        </w:trPr>
        <w:tc>
          <w:tcPr>
            <w:shd w:val="clear" w:color="auto" w:fill="auto"/>
            <w:tcW w:w="563" w:type="dxa"/>
            <w:vAlign w:val="center"/>
            <w:vMerge w:val="restart"/>
            <w:textDirection w:val="lrTb"/>
            <w:noWrap w:val="false"/>
          </w:tcPr>
          <w:p>
            <w:pPr>
              <w:jc w:val="center"/>
              <w:spacing w:line="340" w:lineRule="exact"/>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Cs w:val="21"/>
              </w:rPr>
              <w:t xml:space="preserve">团队实力</w:t>
            </w:r>
            <w:r/>
          </w:p>
        </w:tc>
        <w:tc>
          <w:tcPr>
            <w:shd w:val="clear" w:color="auto" w:fill="auto"/>
            <w:tcW w:w="462" w:type="dxa"/>
            <w:vAlign w:val="center"/>
            <w:vMerge w:val="restart"/>
            <w:textDirection w:val="lrTb"/>
            <w:noWrap w:val="false"/>
          </w:tcPr>
          <w:p>
            <w:pPr>
              <w:jc w:val="center"/>
              <w:spacing w:line="320" w:lineRule="exact"/>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 xml:space="preserve">22分</w:t>
            </w:r>
            <w:r/>
          </w:p>
        </w:tc>
        <w:tc>
          <w:tcPr>
            <w:shd w:val="clear" w:color="auto" w:fill="auto"/>
            <w:tcW w:w="8621" w:type="dxa"/>
            <w:vAlign w:val="center"/>
            <w:textDirection w:val="lrTb"/>
            <w:noWrap w:val="false"/>
          </w:tcPr>
          <w:p>
            <w:pPr>
              <w:ind w:firstLine="420"/>
              <w:keepLines w:val="0"/>
              <w:keepNext w:val="0"/>
              <w:pageBreakBefore w:val="0"/>
              <w:spacing w:line="360" w:lineRule="exact"/>
              <w:widowControl w:val="off"/>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 w:val="21"/>
                <w:szCs w:val="21"/>
                <w:lang w:val="zh-CN"/>
                <w14:ligatures w14:val="standardContextual"/>
              </w:rPr>
              <w:t xml:space="preserve">1、项目负责人具有生态环境保护类专业正高级职称的，得3分；具有生态环境保护类专业副高级职称的，得2分；具有生态环境保护类专业中级职称的，得1分；其他情况不得分。本项最高得3分。</w:t>
            </w:r>
            <w:r/>
          </w:p>
          <w:p>
            <w:pPr>
              <w:ind w:firstLine="420"/>
              <w:keepLines w:val="0"/>
              <w:keepNext w:val="0"/>
              <w:pageBreakBefore w:val="0"/>
              <w:spacing w:line="360" w:lineRule="exact"/>
              <w:widowControl w:val="off"/>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 w:val="21"/>
                <w:szCs w:val="21"/>
                <w:lang w:val="zh-CN"/>
                <w14:ligatures w14:val="standardContextual"/>
              </w:rPr>
              <w:t xml:space="preserve">注：在投标文件中提供职称证书、执业资格证书原件扫描件，以上资料加盖公章；未按要求提供材料的不得分。</w:t>
            </w:r>
            <w:r/>
          </w:p>
        </w:tc>
      </w:tr>
      <w:tr>
        <w:trPr>
          <w:jc w:val="center"/>
          <w:trHeight w:val="0"/>
        </w:trPr>
        <w:tc>
          <w:tcPr>
            <w:tcW w:w="563" w:type="dxa"/>
            <w:vAlign w:val="center"/>
            <w:vMerge w:val="continue"/>
            <w:textDirection w:val="lrTb"/>
            <w:noWrap w:val="false"/>
          </w:tcPr>
          <w:p>
            <w:pPr>
              <w:pStyle w:val="734"/>
              <w:ind w:firstLine="0"/>
              <w:jc w:val="center"/>
              <w:keepLines w:val="0"/>
              <w:keepNext w:val="0"/>
              <w:pageBreakBefore w:val="0"/>
              <w:spacing w:after="0" w:line="460" w:lineRule="exact"/>
              <w:rPr>
                <w:rFonts w:hint="eastAsia" w:ascii="宋体" w:hAnsi="宋体" w:eastAsia="宋体" w:cs="宋体"/>
                <w:color w:val="auto"/>
                <w:sz w:val="21"/>
                <w:szCs w:val="21"/>
                <w:lang w:val="zh-CN"/>
              </w:rPr>
            </w:pPr>
            <w:r>
              <w:rPr>
                <w:rFonts w:hint="eastAsia" w:ascii="宋体" w:hAnsi="宋体" w:eastAsia="宋体" w:cs="宋体"/>
                <w:color w:val="auto"/>
                <w:sz w:val="21"/>
                <w:szCs w:val="21"/>
                <w:lang w:val="zh-CN"/>
              </w:rPr>
            </w:r>
            <w:r/>
          </w:p>
        </w:tc>
        <w:tc>
          <w:tcPr>
            <w:tcW w:w="462" w:type="dxa"/>
            <w:vAlign w:val="center"/>
            <w:vMerge w:val="continue"/>
            <w:textDirection w:val="lrTb"/>
            <w:noWrap w:val="false"/>
          </w:tcPr>
          <w:p>
            <w:pPr>
              <w:jc w:val="center"/>
              <w:keepLines w:val="0"/>
              <w:keepNext w:val="0"/>
              <w:pageBreakBefore w:val="0"/>
              <w:spacing w:line="460" w:lineRule="exact"/>
              <w:widowControl/>
              <w:rPr>
                <w:rFonts w:hint="eastAsia" w:ascii="宋体" w:hAnsi="宋体" w:eastAsia="宋体" w:cs="宋体"/>
                <w:color w:val="auto"/>
                <w:sz w:val="21"/>
                <w:szCs w:val="21"/>
              </w:rPr>
            </w:pPr>
            <w:r>
              <w:rPr>
                <w:rFonts w:hint="eastAsia" w:ascii="宋体" w:hAnsi="宋体" w:eastAsia="宋体" w:cs="宋体"/>
                <w:color w:val="auto"/>
                <w:sz w:val="21"/>
                <w:szCs w:val="21"/>
              </w:rPr>
            </w:r>
            <w:r/>
          </w:p>
        </w:tc>
        <w:tc>
          <w:tcPr>
            <w:shd w:val="clear" w:color="auto" w:fill="auto"/>
            <w:tcW w:w="8621" w:type="dxa"/>
            <w:vAlign w:val="center"/>
            <w:textDirection w:val="lrTb"/>
            <w:noWrap w:val="false"/>
          </w:tcPr>
          <w:p>
            <w:pPr>
              <w:ind w:firstLine="420"/>
              <w:spacing w:line="360" w:lineRule="exact"/>
              <w:rPr>
                <w:rFonts w:asciiTheme="minorEastAsia" w:hAnsiTheme="minorEastAsia" w:cstheme="minorEastAsia"/>
                <w:szCs w:val="21"/>
              </w:rPr>
            </w:pPr>
            <w:r>
              <w:rPr>
                <w:rFonts w:hint="eastAsia" w:asciiTheme="minorEastAsia" w:hAnsiTheme="minorEastAsia" w:eastAsiaTheme="minorEastAsia" w:cstheme="minorEastAsia"/>
                <w:szCs w:val="21"/>
              </w:rPr>
              <w:t xml:space="preserve">2、项目负责人获得过类似项目（生态文明或者生物多样性调查）环境保护科学技术奖等荣誉的得3分，本项最高得3分。</w:t>
            </w:r>
            <w:r/>
          </w:p>
          <w:p>
            <w:pPr>
              <w:ind w:firstLine="420"/>
              <w:keepLines w:val="0"/>
              <w:keepNext w:val="0"/>
              <w:pageBreakBefore w:val="0"/>
              <w:spacing w:line="360" w:lineRule="exact"/>
              <w:widowControl w:val="off"/>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Cs w:val="21"/>
              </w:rPr>
              <w:t xml:space="preserve">注：在投标文件中提供相关荣誉证书彩色扫描件并加盖单位公章，未按要求提供材料的不得分。</w:t>
            </w:r>
            <w:r/>
          </w:p>
        </w:tc>
      </w:tr>
      <w:tr>
        <w:trPr>
          <w:jc w:val="center"/>
          <w:trHeight w:val="0"/>
        </w:trPr>
        <w:tc>
          <w:tcPr>
            <w:tcW w:w="563" w:type="dxa"/>
            <w:vAlign w:val="center"/>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W w:w="462" w:type="dxa"/>
            <w:vAlign w:val="center"/>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shd w:val="clear" w:color="auto" w:fill="auto"/>
            <w:tcW w:w="8621" w:type="dxa"/>
            <w:vAlign w:val="center"/>
            <w:textDirection w:val="lrTb"/>
            <w:noWrap w:val="false"/>
          </w:tcPr>
          <w:p>
            <w:pPr>
              <w:ind w:firstLine="420"/>
              <w:spacing w:line="360" w:lineRule="exac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3、项目组成员（项目负责人除外）中，具有生态环境保护类副高级及以上职称，且具有微生物学、生态学、环境地理学、自然地理学、环境工程、环境科学等专业证书的，每提供一人得1.5分。本项最高得9分。</w:t>
            </w:r>
            <w:r/>
          </w:p>
          <w:p>
            <w:pPr>
              <w:ind w:firstLine="420"/>
              <w:spacing w:line="360" w:lineRule="exact"/>
              <w:rPr>
                <w:rFonts w:hint="eastAsia" w:asciiTheme="minorEastAsia" w:hAnsiTheme="minorEastAsia" w:eastAsiaTheme="minorEastAsia" w:cstheme="minorEastAsia"/>
                <w:szCs w:val="21"/>
                <w:lang w:val="zh-CN"/>
              </w:rPr>
            </w:pPr>
            <w:r>
              <w:rPr>
                <w:rFonts w:hint="eastAsia" w:asciiTheme="minorEastAsia" w:hAnsiTheme="minorEastAsia" w:eastAsiaTheme="minorEastAsia" w:cstheme="minorEastAsia"/>
                <w:szCs w:val="21"/>
                <w:lang w:val="zh-CN"/>
              </w:rPr>
              <w:t xml:space="preserve">项目组成员（项目负责人除外）中，具有生态环境保护类专业中级职称的，每提供一人得1分。本项最高得7分。</w:t>
            </w:r>
            <w:r/>
          </w:p>
          <w:p>
            <w:pPr>
              <w:ind w:firstLine="420"/>
              <w:spacing w:line="360" w:lineRule="exact"/>
              <w:rPr>
                <w:rFonts w:hint="eastAsia" w:asciiTheme="minorEastAsia" w:hAnsiTheme="minorEastAsia" w:eastAsiaTheme="minorEastAsia" w:cstheme="minorEastAsia"/>
                <w:sz w:val="21"/>
                <w:szCs w:val="21"/>
                <w:lang w:val="zh-CN"/>
                <w14:ligatures w14:val="standardContextual"/>
              </w:rPr>
            </w:pPr>
            <w:r>
              <w:rPr>
                <w:rFonts w:hint="eastAsia" w:asciiTheme="minorEastAsia" w:hAnsiTheme="minorEastAsia" w:eastAsiaTheme="minorEastAsia" w:cstheme="minorEastAsia"/>
                <w:szCs w:val="21"/>
                <w:lang w:val="zh-CN"/>
              </w:rPr>
              <w:t xml:space="preserve">注：本项最高得分16分。在投标文件中提供职称证书、执业资格证书、毕业证书（或学位证）等复印件扫描件，以上资料加盖公章；未按要求提供材料的不得分。</w:t>
            </w:r>
            <w:r/>
          </w:p>
        </w:tc>
      </w:tr>
      <w:tr>
        <w:trPr>
          <w:jc w:val="center"/>
          <w:trHeight w:val="2080"/>
        </w:trPr>
        <w:tc>
          <w:tcPr>
            <w:shd w:val="clear" w:color="auto" w:fill="auto"/>
            <w:tcW w:w="563" w:type="dxa"/>
            <w:vAlign w:val="center"/>
            <w:textDirection w:val="lrTb"/>
            <w:noWrap w:val="false"/>
          </w:tcPr>
          <w:p>
            <w:pPr>
              <w:jc w:val="center"/>
              <w:spacing w:line="340" w:lineRule="exact"/>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 xml:space="preserve">企业业绩</w:t>
            </w:r>
            <w:r/>
          </w:p>
        </w:tc>
        <w:tc>
          <w:tcPr>
            <w:shd w:val="clear" w:color="auto" w:fill="auto"/>
            <w:tcW w:w="462" w:type="dxa"/>
            <w:vAlign w:val="center"/>
            <w:textDirection w:val="lrTb"/>
            <w:noWrap w:val="false"/>
          </w:tcPr>
          <w:p>
            <w:pPr>
              <w:jc w:val="center"/>
              <w:spacing w:line="320" w:lineRule="exact"/>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 xml:space="preserve">13分</w:t>
            </w:r>
            <w:r/>
          </w:p>
        </w:tc>
        <w:tc>
          <w:tcPr>
            <w:shd w:val="clear" w:color="auto" w:fill="auto"/>
            <w:tcW w:w="8621" w:type="dxa"/>
            <w:vAlign w:val="center"/>
            <w:textDirection w:val="lrTb"/>
            <w:noWrap w:val="false"/>
          </w:tcPr>
          <w:p>
            <w:pPr>
              <w:ind w:firstLine="420"/>
              <w:spacing w:line="320" w:lineRule="exact"/>
              <w:rPr>
                <w:rFonts w:hint="eastAsia" w:asciiTheme="minorHAnsi" w:hAnsiTheme="minorHAnsi" w:eastAsiaTheme="minorEastAsia" w:cstheme="minorBidi"/>
                <w:sz w:val="21"/>
                <w:szCs w:val="22"/>
                <w:lang w:val="zh-CN" w:eastAsia="zh-CN"/>
                <w14:ligatures w14:val="standardContextual"/>
              </w:rPr>
            </w:pPr>
            <w:r>
              <w:rPr>
                <w:rFonts w:hint="eastAsia" w:asciiTheme="minorHAnsi" w:hAnsiTheme="minorHAnsi" w:eastAsiaTheme="minorEastAsia" w:cstheme="minorBidi"/>
                <w:sz w:val="21"/>
                <w:szCs w:val="22"/>
                <w:lang w:val="zh-CN" w:eastAsia="zh-CN"/>
                <w14:ligatures w14:val="standardContextual"/>
              </w:rPr>
              <w:t xml:space="preserve">1、2023年1月1日以来，投标人承担过县级及以上生物多样性调查或评估类项目的，每提供一个得3分，最高得9分。本项最高得9分。</w:t>
            </w:r>
            <w:r/>
          </w:p>
          <w:p>
            <w:pPr>
              <w:ind w:firstLine="420"/>
              <w:spacing w:line="320" w:lineRule="exact"/>
              <w:rPr>
                <w:rFonts w:hint="eastAsia" w:asciiTheme="minorHAnsi" w:hAnsiTheme="minorHAnsi" w:eastAsiaTheme="minorEastAsia" w:cstheme="minorBidi"/>
                <w:sz w:val="21"/>
                <w:szCs w:val="22"/>
                <w:lang w:val="zh-CN" w:eastAsia="zh-CN"/>
                <w14:ligatures w14:val="standardContextual"/>
              </w:rPr>
            </w:pPr>
            <w:r>
              <w:rPr>
                <w:rFonts w:hint="eastAsia" w:asciiTheme="minorHAnsi" w:hAnsiTheme="minorHAnsi" w:eastAsiaTheme="minorEastAsia" w:cstheme="minorBidi"/>
                <w:sz w:val="21"/>
                <w:szCs w:val="22"/>
                <w:lang w:val="zh-CN" w:eastAsia="zh-CN"/>
                <w14:ligatures w14:val="standardContextual"/>
              </w:rPr>
              <w:t xml:space="preserve">2、2023年1月1日以来，投标人承担过生物多样性调查方法或技术研究类业绩的得4分，本项最高得4分。</w:t>
            </w:r>
            <w:r/>
          </w:p>
          <w:p>
            <w:pPr>
              <w:ind w:firstLine="420"/>
              <w:spacing w:line="320" w:lineRule="exact"/>
              <w:rPr>
                <w:rFonts w:hint="eastAsia" w:asciiTheme="minorHAnsi" w:hAnsiTheme="minorHAnsi" w:eastAsiaTheme="minorEastAsia" w:cstheme="minorBidi"/>
                <w:sz w:val="21"/>
                <w:szCs w:val="22"/>
                <w:lang w:val="zh-CN" w:eastAsia="zh-CN"/>
                <w14:ligatures w14:val="standardContextual"/>
              </w:rPr>
            </w:pPr>
            <w:r>
              <w:rPr>
                <w:rFonts w:hint="eastAsia" w:asciiTheme="minorHAnsi" w:hAnsiTheme="minorHAnsi" w:eastAsiaTheme="minorEastAsia" w:cstheme="minorBidi"/>
                <w:sz w:val="21"/>
                <w:szCs w:val="22"/>
                <w:lang w:val="zh-CN" w:eastAsia="zh-CN"/>
                <w14:ligatures w14:val="standardContextual"/>
              </w:rPr>
              <w:t xml:space="preserve">注：在投标文件中提供合同原件扫描件并加盖单位公章，未按要求提供材料的不得分。</w:t>
            </w:r>
            <w:r/>
          </w:p>
        </w:tc>
      </w:tr>
      <w:tr>
        <w:trPr>
          <w:jc w:val="center"/>
          <w:trHeight w:val="1940"/>
        </w:trPr>
        <w:tc>
          <w:tcPr>
            <w:shd w:val="clear" w:color="auto" w:fill="auto"/>
            <w:tcW w:w="563" w:type="dxa"/>
            <w:vAlign w:val="center"/>
            <w:textDirection w:val="lrTb"/>
            <w:noWrap w:val="false"/>
          </w:tcPr>
          <w:p>
            <w:pPr>
              <w:jc w:val="center"/>
              <w:spacing w:line="340" w:lineRule="exact"/>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 xml:space="preserve">企业综合实力</w:t>
            </w:r>
            <w:r/>
          </w:p>
        </w:tc>
        <w:tc>
          <w:tcPr>
            <w:shd w:val="clear" w:color="auto" w:fill="auto"/>
            <w:tcW w:w="462" w:type="dxa"/>
            <w:vAlign w:val="center"/>
            <w:textDirection w:val="lrTb"/>
            <w:noWrap w:val="false"/>
          </w:tcPr>
          <w:p>
            <w:pPr>
              <w:jc w:val="center"/>
              <w:spacing w:line="320" w:lineRule="exact"/>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 xml:space="preserve">5分</w:t>
            </w:r>
            <w:r/>
          </w:p>
        </w:tc>
        <w:tc>
          <w:tcPr>
            <w:shd w:val="clear" w:color="auto" w:fill="auto"/>
            <w:tcW w:w="8621" w:type="dxa"/>
            <w:vAlign w:val="center"/>
            <w:textDirection w:val="lrTb"/>
            <w:noWrap w:val="false"/>
          </w:tcPr>
          <w:p>
            <w:pPr>
              <w:ind w:firstLine="420"/>
              <w:spacing w:line="320" w:lineRule="exact"/>
              <w:rPr>
                <w:rFonts w:hint="eastAsia" w:asciiTheme="minorHAnsi" w:hAnsiTheme="minorHAnsi" w:eastAsiaTheme="minorEastAsia" w:cstheme="minorBidi"/>
                <w:sz w:val="21"/>
                <w:szCs w:val="22"/>
                <w:lang w:val="zh-CN" w:eastAsia="zh-CN"/>
                <w14:ligatures w14:val="standardContextual"/>
              </w:rPr>
            </w:pPr>
            <w:r>
              <w:rPr>
                <w:rFonts w:hint="eastAsia" w:asciiTheme="minorHAnsi" w:hAnsiTheme="minorHAnsi" w:eastAsiaTheme="minorEastAsia" w:cstheme="minorBidi"/>
                <w:sz w:val="21"/>
                <w:szCs w:val="22"/>
                <w:lang w:val="zh-CN" w:eastAsia="zh-CN"/>
                <w14:ligatures w14:val="standardContextual"/>
              </w:rPr>
              <w:t xml:space="preserve">202</w:t>
            </w:r>
            <w:r>
              <w:rPr>
                <w:rFonts w:hint="eastAsia" w:asciiTheme="minorHAnsi" w:hAnsiTheme="minorHAnsi" w:eastAsiaTheme="minorEastAsia" w:cstheme="minorBidi"/>
                <w:sz w:val="21"/>
                <w:szCs w:val="22"/>
                <w:lang w:val="en-US" w:eastAsia="zh-CN"/>
                <w14:ligatures w14:val="standardContextual"/>
              </w:rPr>
              <w:t xml:space="preserve">3</w:t>
            </w:r>
            <w:r>
              <w:rPr>
                <w:rFonts w:hint="eastAsia" w:asciiTheme="minorHAnsi" w:hAnsiTheme="minorHAnsi" w:eastAsiaTheme="minorEastAsia" w:cstheme="minorBidi"/>
                <w:sz w:val="21"/>
                <w:szCs w:val="22"/>
                <w:lang w:val="zh-CN" w:eastAsia="zh-CN"/>
                <w14:ligatures w14:val="standardContextual"/>
              </w:rPr>
              <w:t xml:space="preserve">年1月1日以来，投标人完成的生物多样性类项目获得过行政主管部门颁发的国家级优秀案例表彰的，得5分；省级优秀案例表彰的，得3分；市级优秀案例表彰的，得1分；县级优秀案例表彰的，得0.5分，本项最高得5分。</w:t>
            </w:r>
            <w:r/>
          </w:p>
          <w:p>
            <w:pPr>
              <w:ind w:firstLine="420"/>
              <w:spacing w:line="320" w:lineRule="exact"/>
              <w:rPr>
                <w:rFonts w:hint="eastAsia" w:asciiTheme="minorEastAsia" w:hAnsiTheme="minorEastAsia" w:eastAsiaTheme="minorEastAsia" w:cstheme="minorEastAsia"/>
                <w:sz w:val="21"/>
                <w:szCs w:val="21"/>
                <w:lang w:val="zh-CN" w:eastAsia="zh-CN"/>
                <w14:ligatures w14:val="standardContextual"/>
              </w:rPr>
            </w:pPr>
            <w:r>
              <w:rPr>
                <w:rFonts w:hint="eastAsia" w:asciiTheme="minorHAnsi" w:hAnsiTheme="minorHAnsi" w:eastAsiaTheme="minorEastAsia" w:cstheme="minorBidi"/>
                <w:sz w:val="21"/>
                <w:szCs w:val="22"/>
                <w:lang w:val="zh-CN" w:eastAsia="zh-CN"/>
                <w14:ligatures w14:val="standardContextual"/>
              </w:rPr>
              <w:t xml:space="preserve">注：投标时须提供相关证明材料并同时加盖投标人公章，未提供的或提供不全的不得分。</w:t>
            </w:r>
            <w:r/>
          </w:p>
        </w:tc>
      </w:tr>
      <w:tr>
        <w:trPr>
          <w:jc w:val="center"/>
          <w:trHeight w:val="0"/>
        </w:trPr>
        <w:tc>
          <w:tcPr>
            <w:shd w:val="clear" w:color="auto" w:fill="auto"/>
            <w:tcW w:w="563" w:type="dxa"/>
            <w:vAlign w:val="center"/>
            <w:vMerge w:val="restart"/>
            <w:textDirection w:val="lrTb"/>
            <w:noWrap w:val="false"/>
          </w:tcPr>
          <w:p>
            <w:pPr>
              <w:jc w:val="center"/>
              <w:spacing w:line="340" w:lineRule="exact"/>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 xml:space="preserve">技术方案</w:t>
            </w:r>
            <w:r/>
          </w:p>
        </w:tc>
        <w:tc>
          <w:tcPr>
            <w:shd w:val="clear" w:color="auto" w:fill="auto"/>
            <w:tcW w:w="462" w:type="dxa"/>
            <w:vAlign w:val="center"/>
            <w:vMerge w:val="restart"/>
            <w:textDirection w:val="lrTb"/>
            <w:noWrap w:val="false"/>
          </w:tcPr>
          <w:p>
            <w:pPr>
              <w:jc w:val="center"/>
              <w:spacing w:line="320" w:lineRule="exact"/>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 xml:space="preserve">40分</w:t>
            </w:r>
            <w:r/>
          </w:p>
        </w:tc>
        <w:tc>
          <w:tcPr>
            <w:shd w:val="clear" w:color="auto" w:fill="auto"/>
            <w:tcW w:w="8621" w:type="dxa"/>
            <w:vAlign w:val="center"/>
            <w:textDirection w:val="lrTb"/>
            <w:noWrap w:val="false"/>
          </w:tcPr>
          <w:p>
            <w:pPr>
              <w:numPr>
                <w:ilvl w:val="0"/>
                <w:numId w:val="13"/>
              </w:num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服务的主要思路和技术方法（满分8分）。</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4个评分要点，每个要点2分，每发现一处不足扣1分，扣完为止：</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 思路的合理性；② 方法的适用性；③ 方案的可行性；④ 与项目的针对性。</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 w:val="21"/>
                <w:szCs w:val="21"/>
                <w:lang w:val="zh-CN" w:eastAsia="zh-CN"/>
                <w14:ligatures w14:val="standardContextual"/>
              </w:rPr>
            </w:pPr>
            <w:r>
              <w:rPr>
                <w:rFonts w:hint="eastAsia" w:asciiTheme="minorEastAsia" w:hAnsiTheme="minorEastAsia" w:eastAsiaTheme="minorEastAsia" w:cstheme="minorEastAsia"/>
                <w:szCs w:val="21"/>
              </w:rPr>
              <w:t xml:space="preserve">扣分项：可行性差、针对性差的，对应要点直接扣分，扣完本项8分为止。 </w:t>
            </w:r>
            <w:r/>
          </w:p>
        </w:tc>
      </w:tr>
      <w:tr>
        <w:trPr>
          <w:jc w:val="center"/>
          <w:trHeight w:val="0"/>
        </w:trPr>
        <w:tc>
          <w:tcPr>
            <w:tcW w:w="563" w:type="dxa"/>
            <w:vAlign w:val="center"/>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W w:w="462" w:type="dxa"/>
            <w:vAlign w:val="center"/>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shd w:val="clear" w:color="auto" w:fill="auto"/>
            <w:tcW w:w="8621" w:type="dxa"/>
            <w:vAlign w:val="center"/>
            <w:textDirection w:val="lrTb"/>
            <w:noWrap w:val="false"/>
          </w:tcPr>
          <w:p>
            <w:pPr>
              <w:numPr>
                <w:ilvl w:val="0"/>
                <w:numId w:val="13"/>
              </w:num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项目特点、难点、重点分析（满分8分）。</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4个评分要点，每个要点2分，每发现一处不足扣1分，扣完为止：</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 项目特点描述的准确性；② 实施难点分析的针对性；③ 工作重点梳理的清晰性；④ 分析内容与项目实际的匹配度。</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 xml:space="preserve">扣分项：描述不准确、针对性差的，对应要点直接扣分，扣完本项8分为止。 </w:t>
            </w:r>
            <w:r/>
          </w:p>
        </w:tc>
      </w:tr>
      <w:tr>
        <w:trPr>
          <w:jc w:val="center"/>
          <w:trHeight w:val="0"/>
        </w:trPr>
        <w:tc>
          <w:tcPr>
            <w:tcW w:w="563" w:type="dxa"/>
            <w:vAlign w:val="center"/>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W w:w="462" w:type="dxa"/>
            <w:vAlign w:val="center"/>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shd w:val="clear" w:color="auto" w:fill="auto"/>
            <w:tcW w:w="8621" w:type="dxa"/>
            <w:vAlign w:val="center"/>
            <w:textDirection w:val="lrTb"/>
            <w:noWrap w:val="false"/>
          </w:tcPr>
          <w:p>
            <w:pPr>
              <w:numPr>
                <w:ilvl w:val="0"/>
                <w:numId w:val="13"/>
              </w:num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服务流程及质量控制措施（满分8分）。</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4个评分要点，每个要点2分，每发现一处不足扣1分，扣完为止：</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 服务流程的清晰性；② 内部控制措施的完善性；③ 质量保证措施的可落实性；④ 措施与项目/区域特点的结合度。</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 xml:space="preserve">扣分项：保障措施可行性差、针对性差的，对应要点直接扣分，扣完本项8分为止。 </w:t>
            </w:r>
            <w:r/>
          </w:p>
        </w:tc>
      </w:tr>
      <w:tr>
        <w:trPr>
          <w:jc w:val="center"/>
          <w:trHeight w:val="0"/>
        </w:trPr>
        <w:tc>
          <w:tcPr>
            <w:tcW w:w="563" w:type="dxa"/>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W w:w="462" w:type="dxa"/>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shd w:val="clear" w:color="auto" w:fill="auto"/>
            <w:tcW w:w="0" w:type="auto"/>
            <w:vAlign w:val="center"/>
            <w:textDirection w:val="lrTb"/>
            <w:noWrap w:val="false"/>
          </w:tcPr>
          <w:p>
            <w:pPr>
              <w:numPr>
                <w:ilvl w:val="0"/>
                <w:numId w:val="13"/>
              </w:num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服务作业计划安排（满分8分）。</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4个评分要点，每个要点2分，每发现一处不足扣1分，扣完为止：</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 进度计划的合理性；② 节点安排的明确性；③ 保障措施的到位性；④ 计划与服务期限的匹配度。</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 xml:space="preserve">扣分项：计划安排不合理、保证措施差的，对应要点直接扣分，扣完本项8分为止。</w:t>
            </w:r>
            <w:r/>
          </w:p>
        </w:tc>
      </w:tr>
      <w:tr>
        <w:trPr>
          <w:jc w:val="center"/>
          <w:trHeight w:val="0"/>
        </w:trPr>
        <w:tc>
          <w:tcPr>
            <w:tcW w:w="563" w:type="dxa"/>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tcW w:w="462" w:type="dxa"/>
            <w:vMerge w:val="continue"/>
            <w:textDirection w:val="lrTb"/>
            <w:noWrap w:val="false"/>
          </w:tcPr>
          <w:p>
            <w:pPr>
              <w:jc w:val="center"/>
              <w:keepLines w:val="0"/>
              <w:keepNext w:val="0"/>
              <w:pageBreakBefore w:val="0"/>
              <w:spacing w:line="460" w:lineRule="exact"/>
              <w:widowControl/>
              <w:rPr>
                <w:rFonts w:hint="default" w:ascii="宋体" w:hAnsi="宋体" w:eastAsia="宋体" w:cs="宋体"/>
                <w:color w:val="auto"/>
                <w:sz w:val="21"/>
                <w:szCs w:val="21"/>
                <w:lang w:val="en-US" w:eastAsia="zh-CN"/>
              </w:rPr>
            </w:pPr>
            <w:r>
              <w:rPr>
                <w:rFonts w:hint="default" w:ascii="宋体" w:hAnsi="宋体" w:eastAsia="宋体" w:cs="宋体"/>
                <w:color w:val="auto"/>
                <w:sz w:val="21"/>
                <w:szCs w:val="21"/>
                <w:lang w:val="en-US" w:eastAsia="zh-CN"/>
              </w:rPr>
            </w:r>
            <w:r/>
          </w:p>
        </w:tc>
        <w:tc>
          <w:tcPr>
            <w:shd w:val="clear" w:color="auto" w:fill="auto"/>
            <w:tcW w:w="0" w:type="auto"/>
            <w:vAlign w:val="center"/>
            <w:textDirection w:val="lrTb"/>
            <w:noWrap w:val="false"/>
          </w:tcPr>
          <w:p>
            <w:pPr>
              <w:numPr>
                <w:ilvl w:val="0"/>
                <w:numId w:val="13"/>
              </w:num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服务人员配备和岗位职责（满分8分）。</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4个评分要点，每个要点2分，每发现一处不足扣1分，扣完为止：</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Cs w:val="21"/>
              </w:rPr>
            </w:pPr>
            <w:r>
              <w:rPr>
                <w:rFonts w:hint="eastAsia" w:asciiTheme="minorEastAsia" w:hAnsiTheme="minorEastAsia" w:eastAsiaTheme="minorEastAsia" w:cstheme="minorEastAsia"/>
                <w:szCs w:val="21"/>
              </w:rPr>
              <w:t xml:space="preserve">① 人员配备的完整性；② 人员专业的匹配性；③ 岗位职责的明确性；④ 分工协作的合理性。</w:t>
            </w:r>
            <w:r/>
          </w:p>
          <w:p>
            <w:pPr>
              <w:ind w:firstLine="420"/>
              <w:keepLines w:val="0"/>
              <w:keepNext w:val="0"/>
              <w:pageBreakBefore w:val="0"/>
              <w:spacing w:line="300" w:lineRule="exact"/>
              <w:widowControl w:val="off"/>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 xml:space="preserve">扣分项：配备不合理、分工不明确的，对应要点直接扣分，扣完本项8分为止。 </w:t>
            </w:r>
            <w:r/>
          </w:p>
        </w:tc>
      </w:tr>
      <w:tr>
        <w:trPr>
          <w:jc w:val="center"/>
          <w:trHeight w:val="0"/>
        </w:trPr>
        <w:tc>
          <w:tcPr>
            <w:shd w:val="clear" w:color="auto" w:fill="auto"/>
            <w:tcW w:w="0" w:type="auto"/>
            <w:vAlign w:val="center"/>
            <w:textDirection w:val="lrTb"/>
            <w:noWrap w:val="false"/>
          </w:tcPr>
          <w:p>
            <w:pPr>
              <w:jc w:val="center"/>
              <w:spacing w:line="340" w:lineRule="exact"/>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 xml:space="preserve">服务承诺</w:t>
            </w:r>
            <w:r/>
          </w:p>
        </w:tc>
        <w:tc>
          <w:tcPr>
            <w:shd w:val="clear" w:color="auto" w:fill="auto"/>
            <w:tcW w:w="0" w:type="auto"/>
            <w:vAlign w:val="center"/>
            <w:textDirection w:val="lrTb"/>
            <w:noWrap w:val="false"/>
          </w:tcPr>
          <w:p>
            <w:pPr>
              <w:jc w:val="center"/>
              <w:spacing w:line="320" w:lineRule="exact"/>
              <w:rPr>
                <w:rFonts w:hint="default" w:asciiTheme="minorEastAsia" w:hAnsiTheme="minorEastAsia" w:eastAsiaTheme="minorEastAsia" w:cstheme="minorEastAsia"/>
                <w:sz w:val="21"/>
                <w:szCs w:val="21"/>
                <w:lang w:val="en-US" w:eastAsia="zh-CN"/>
                <w14:ligatures w14:val="standardContextual"/>
              </w:rPr>
            </w:pPr>
            <w:r>
              <w:rPr>
                <w:rFonts w:hint="eastAsia" w:asciiTheme="minorEastAsia" w:hAnsiTheme="minorEastAsia" w:eastAsiaTheme="minorEastAsia" w:cstheme="minorEastAsia"/>
                <w:szCs w:val="21"/>
              </w:rPr>
              <w:t xml:space="preserve">5分</w:t>
            </w:r>
            <w:r/>
          </w:p>
        </w:tc>
        <w:tc>
          <w:tcPr>
            <w:shd w:val="clear" w:color="auto" w:fill="auto"/>
            <w:tcW w:w="0" w:type="auto"/>
            <w:vAlign w:val="center"/>
            <w:textDirection w:val="lrTb"/>
            <w:noWrap w:val="false"/>
          </w:tcPr>
          <w:p>
            <w:pPr>
              <w:ind w:firstLine="420"/>
              <w:spacing w:line="320" w:lineRule="exact"/>
              <w:rPr>
                <w:rFonts w:hint="eastAsia" w:asciiTheme="minorEastAsia" w:hAnsiTheme="minorEastAsia" w:eastAsiaTheme="minorEastAsia" w:cstheme="minorEastAsia"/>
                <w:sz w:val="21"/>
                <w:szCs w:val="21"/>
                <w14:ligatures w14:val="standardContextual"/>
              </w:rPr>
            </w:pPr>
            <w:r>
              <w:rPr>
                <w:rFonts w:hint="eastAsia" w:asciiTheme="minorEastAsia" w:hAnsiTheme="minorEastAsia" w:eastAsiaTheme="minorEastAsia" w:cstheme="minorEastAsia"/>
                <w:szCs w:val="21"/>
              </w:rPr>
              <w:t xml:space="preserve">投标人需提供日常技术支持、服务响应承诺时间、后续服务承诺具体、全面、合理；服务承诺内容与合同中的付款方式比例相挂钩，无法按时完成的，扣除合同总价的10%；</w:t>
            </w:r>
            <w:r>
              <w:rPr>
                <w:rFonts w:hint="eastAsia" w:asciiTheme="minorEastAsia" w:hAnsiTheme="minorEastAsia" w:eastAsiaTheme="minorEastAsia" w:cstheme="minorEastAsia"/>
                <w:szCs w:val="21"/>
                <w:lang w:val="en-US" w:eastAsia="zh-CN"/>
              </w:rPr>
              <w:t xml:space="preserve">盐城市射阳生态环境局射阳县第二轮生物多样性本底调查</w:t>
            </w:r>
            <w:bookmarkStart w:id="132" w:name="_GoBack"/>
            <w:r/>
            <w:bookmarkEnd w:id="132"/>
            <w:r>
              <w:rPr>
                <w:rFonts w:hint="eastAsia" w:asciiTheme="minorEastAsia" w:hAnsiTheme="minorEastAsia" w:eastAsiaTheme="minorEastAsia" w:cstheme="minorEastAsia"/>
                <w:szCs w:val="21"/>
              </w:rPr>
              <w:t xml:space="preserve">项目相关成果报告需通过盐城市射阳生态环境局验收。按要求提供承诺书得5分，否则不得分。</w:t>
            </w:r>
            <w:r/>
          </w:p>
        </w:tc>
      </w:tr>
    </w:tbl>
    <w:p>
      <w:pPr>
        <w:pStyle w:val="732"/>
        <w:rPr>
          <w:rFonts w:hint="eastAsia"/>
          <w:color w:val="auto"/>
        </w:rPr>
      </w:pPr>
      <w:r>
        <w:rPr>
          <w:rFonts w:hint="eastAsia"/>
          <w:color w:val="auto"/>
        </w:rPr>
        <w:t xml:space="preserve">备注：</w:t>
      </w:r>
      <w:r/>
    </w:p>
    <w:p>
      <w:pPr>
        <w:pStyle w:val="897"/>
        <w:numPr>
          <w:ilvl w:val="0"/>
          <w:numId w:val="14"/>
        </w:numPr>
        <w:ind w:left="0" w:firstLine="425"/>
        <w:spacing w:line="360" w:lineRule="auto"/>
        <w:rPr>
          <w:rFonts w:hint="eastAsia" w:ascii="宋体" w:hAnsi="宋体" w:eastAsia="宋体" w:cs="宋体"/>
          <w:color w:val="auto"/>
        </w:rPr>
      </w:pPr>
      <w:r>
        <w:rPr>
          <w:rFonts w:hint="eastAsia" w:ascii="宋体" w:hAnsi="宋体" w:eastAsia="宋体" w:cs="宋体"/>
          <w:color w:val="auto"/>
        </w:rPr>
        <w:t xml:space="preserve">评分标准中要求提供的证明材料均以原件扫描加盖所要求的公章在投标文件中反映，相关证明材料须按要求完整提供且不得涂改，本项目所须提供的证明材料均应原件扫描（如原件是彩色件，则扫描件须是彩色）。否则不能得分。</w:t>
      </w:r>
      <w:r/>
    </w:p>
    <w:p>
      <w:pPr>
        <w:pStyle w:val="897"/>
        <w:numPr>
          <w:ilvl w:val="0"/>
          <w:numId w:val="14"/>
        </w:numPr>
        <w:ind w:left="0" w:firstLine="425"/>
        <w:spacing w:line="360" w:lineRule="auto"/>
        <w:rPr>
          <w:rFonts w:hint="eastAsia" w:ascii="宋体" w:hAnsi="宋体" w:eastAsia="宋体" w:cs="宋体"/>
          <w:color w:val="auto"/>
        </w:rPr>
      </w:pPr>
      <w:r>
        <w:rPr>
          <w:rFonts w:hint="eastAsia" w:ascii="宋体" w:hAnsi="宋体" w:eastAsia="宋体" w:cs="宋体"/>
          <w:color w:val="auto"/>
        </w:rPr>
        <w:t xml:space="preserve">采购人有权在规定的时间内（中标公示或质疑期间及其他采购人明确要求的时间内）对中标人或其他投标人提供的与项目需求、评分办法相关的材料等评分依据（原件）的真实性进行复查。如未在采购人规定的时间内提交，采购人有权根据政府采购法律法规处理。如发现有通过提供虚假证明文件获得分值，将取消中标资格，并提请监督机构按照政府采购相关法规处理。</w:t>
      </w:r>
      <w:r/>
    </w:p>
    <w:p>
      <w:pPr>
        <w:pStyle w:val="897"/>
        <w:numPr>
          <w:ilvl w:val="0"/>
          <w:numId w:val="14"/>
        </w:numPr>
        <w:ind w:left="0" w:firstLine="425"/>
        <w:spacing w:line="360" w:lineRule="auto"/>
        <w:rPr>
          <w:rFonts w:hint="eastAsia" w:ascii="宋体" w:hAnsi="宋体" w:eastAsia="宋体"/>
          <w:color w:val="auto"/>
        </w:rPr>
      </w:pPr>
      <w:r>
        <w:rPr>
          <w:rFonts w:hint="eastAsia" w:ascii="宋体" w:hAnsi="宋体" w:eastAsia="宋体" w:cs="宋体"/>
          <w:b/>
          <w:bCs/>
          <w:color w:val="auto"/>
        </w:rPr>
        <w:t xml:space="preserve">中标人须在合同签订前向采购人提供其投标文件中书面承诺的支撑资料，否则采购人有权取消其中标资格。</w:t>
      </w:r>
      <w:r>
        <w:rPr>
          <w:rFonts w:hint="eastAsia" w:ascii="宋体" w:hAnsi="宋体" w:eastAsia="宋体"/>
          <w:color w:val="auto"/>
        </w:rPr>
        <w:br w:type="page" w:clear="all"/>
      </w:r>
      <w:r/>
    </w:p>
    <w:p>
      <w:pPr>
        <w:pStyle w:val="699"/>
        <w:numPr>
          <w:ilvl w:val="0"/>
          <w:numId w:val="1"/>
        </w:numPr>
        <w:ind w:left="0" w:firstLine="0"/>
        <w:jc w:val="center"/>
        <w:keepLines w:val="0"/>
        <w:keepNext w:val="0"/>
        <w:spacing w:before="0" w:beforeAutospacing="1" w:after="0" w:afterAutospacing="1" w:line="360" w:lineRule="auto"/>
        <w:rPr>
          <w:rFonts w:hint="eastAsia" w:ascii="宋体" w:hAnsi="宋体" w:eastAsia="宋体" w:cs="Times New Roman"/>
          <w:b/>
          <w:bCs/>
          <w:color w:val="auto"/>
          <w:sz w:val="36"/>
          <w:szCs w:val="36"/>
          <w14:ligatures w14:val="none"/>
        </w:rPr>
        <w:outlineLvl w:val="0"/>
      </w:pPr>
      <w:r/>
      <w:bookmarkStart w:id="106" w:name="_Toc197644579"/>
      <w:r>
        <w:rPr>
          <w:rFonts w:hint="eastAsia" w:ascii="宋体" w:hAnsi="宋体" w:eastAsia="宋体" w:cs="Times New Roman"/>
          <w:b/>
          <w:bCs/>
          <w:color w:val="auto"/>
          <w:sz w:val="36"/>
          <w:szCs w:val="36"/>
          <w14:ligatures w14:val="none"/>
        </w:rPr>
        <w:t xml:space="preserve">投标文件格式</w:t>
      </w:r>
      <w:bookmarkEnd w:id="106"/>
      <w:r/>
      <w:r/>
    </w:p>
    <w:p>
      <w:pPr>
        <w:spacing w:line="360" w:lineRule="auto"/>
        <w:rPr>
          <w:rFonts w:hint="eastAsia" w:ascii="宋体" w:hAnsi="宋体" w:eastAsia="宋体"/>
          <w:color w:val="auto"/>
        </w:rPr>
      </w:pPr>
      <w:r>
        <w:rPr>
          <w:rFonts w:hint="eastAsia" w:ascii="宋体" w:hAnsi="宋体" w:eastAsia="宋体"/>
          <w:color w:val="auto"/>
        </w:rPr>
      </w:r>
      <w:r/>
    </w:p>
    <w:p>
      <w:pPr>
        <w:spacing w:line="360" w:lineRule="auto"/>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olor w:val="auto"/>
          <w:sz w:val="84"/>
          <w:szCs w:val="84"/>
        </w:rPr>
      </w:pPr>
      <w:r>
        <w:rPr>
          <w:rFonts w:hint="eastAsia" w:ascii="宋体" w:hAnsi="宋体" w:eastAsia="宋体" w:cs="宋体"/>
          <w:b/>
          <w:color w:val="auto"/>
          <w:sz w:val="84"/>
          <w:szCs w:val="84"/>
        </w:rPr>
        <w:t xml:space="preserve">投 标 文 件</w:t>
      </w:r>
      <w:r/>
    </w:p>
    <w:p>
      <w:pPr>
        <w:spacing w:line="360" w:lineRule="auto"/>
        <w:rPr>
          <w:rFonts w:hint="eastAsia" w:ascii="宋体" w:hAnsi="宋体" w:eastAsia="宋体"/>
          <w:color w:val="auto"/>
        </w:rPr>
      </w:pPr>
      <w:r>
        <w:rPr>
          <w:rFonts w:hint="eastAsia" w:ascii="宋体" w:hAnsi="宋体" w:eastAsia="宋体"/>
          <w:color w:val="auto"/>
        </w:rPr>
      </w:r>
      <w:r/>
    </w:p>
    <w:p>
      <w:pPr>
        <w:spacing w:line="360" w:lineRule="auto"/>
        <w:rPr>
          <w:rFonts w:hint="eastAsia" w:ascii="宋体" w:hAnsi="宋体" w:eastAsia="宋体"/>
          <w:color w:val="auto"/>
        </w:rPr>
      </w:pPr>
      <w:r>
        <w:rPr>
          <w:rFonts w:hint="eastAsia" w:ascii="宋体" w:hAnsi="宋体" w:eastAsia="宋体"/>
          <w:color w:val="auto"/>
        </w:rPr>
      </w:r>
      <w:r/>
    </w:p>
    <w:p>
      <w:pPr>
        <w:spacing w:line="360" w:lineRule="auto"/>
        <w:rPr>
          <w:rFonts w:hint="eastAsia" w:ascii="宋体" w:hAnsi="宋体" w:eastAsia="宋体"/>
          <w:color w:val="auto"/>
        </w:rPr>
      </w:pPr>
      <w:r>
        <w:rPr>
          <w:rFonts w:hint="eastAsia" w:ascii="宋体" w:hAnsi="宋体" w:eastAsia="宋体"/>
          <w:color w:val="auto"/>
        </w:rPr>
      </w:r>
      <w:r/>
    </w:p>
    <w:p>
      <w:pPr>
        <w:spacing w:line="360" w:lineRule="auto"/>
        <w:rPr>
          <w:rFonts w:hint="eastAsia" w:ascii="宋体" w:hAnsi="宋体" w:eastAsia="宋体" w:cs="宋体"/>
          <w:b/>
          <w:color w:val="auto"/>
          <w:sz w:val="36"/>
          <w:szCs w:val="36"/>
          <w:u w:val="single"/>
        </w:rPr>
      </w:pPr>
      <w:r>
        <w:rPr>
          <w:rFonts w:hint="eastAsia" w:ascii="宋体" w:hAnsi="宋体" w:eastAsia="宋体" w:cs="宋体"/>
          <w:b/>
          <w:color w:val="auto"/>
          <w:sz w:val="36"/>
          <w:szCs w:val="36"/>
        </w:rPr>
        <w:t xml:space="preserve">项目 名 称：</w:t>
      </w:r>
      <w:r>
        <w:rPr>
          <w:rFonts w:hint="eastAsia" w:ascii="宋体" w:hAnsi="宋体" w:eastAsia="宋体" w:cs="宋体"/>
          <w:b/>
          <w:color w:val="auto"/>
          <w:sz w:val="36"/>
          <w:szCs w:val="36"/>
          <w:u w:val="single"/>
        </w:rPr>
        <w:t xml:space="preserve">              </w:t>
      </w:r>
      <w:r/>
    </w:p>
    <w:p>
      <w:pPr>
        <w:spacing w:line="360" w:lineRule="auto"/>
        <w:rPr>
          <w:rFonts w:hint="eastAsia" w:ascii="宋体" w:hAnsi="宋体" w:eastAsia="宋体" w:cs="宋体"/>
          <w:b/>
          <w:color w:val="auto"/>
          <w:sz w:val="36"/>
          <w:szCs w:val="36"/>
          <w:u w:val="single"/>
        </w:rPr>
      </w:pPr>
      <w:r>
        <w:rPr>
          <w:rFonts w:hint="eastAsia" w:ascii="宋体" w:hAnsi="宋体" w:eastAsia="宋体" w:cs="宋体"/>
          <w:b/>
          <w:color w:val="auto"/>
          <w:sz w:val="36"/>
          <w:szCs w:val="36"/>
        </w:rPr>
        <w:t xml:space="preserve">项目 编 号：</w:t>
      </w:r>
      <w:r>
        <w:rPr>
          <w:rFonts w:hint="eastAsia" w:ascii="宋体" w:hAnsi="宋体" w:eastAsia="宋体" w:cs="宋体"/>
          <w:b/>
          <w:color w:val="auto"/>
          <w:sz w:val="36"/>
          <w:szCs w:val="36"/>
          <w:u w:val="single"/>
        </w:rPr>
        <w:t xml:space="preserve">              </w:t>
      </w:r>
      <w:r/>
    </w:p>
    <w:p>
      <w:pPr>
        <w:spacing w:line="360" w:lineRule="auto"/>
        <w:rPr>
          <w:rFonts w:hint="eastAsia" w:ascii="宋体" w:hAnsi="宋体" w:eastAsia="宋体" w:cs="宋体"/>
          <w:b/>
          <w:color w:val="auto"/>
          <w:sz w:val="36"/>
          <w:szCs w:val="36"/>
          <w:u w:val="single"/>
        </w:rPr>
        <w:outlineLvl w:val="1"/>
      </w:pPr>
      <w:r>
        <w:rPr>
          <w:rFonts w:hint="eastAsia" w:ascii="宋体" w:hAnsi="宋体" w:eastAsia="宋体" w:cs="宋体"/>
          <w:b/>
          <w:color w:val="auto"/>
          <w:sz w:val="36"/>
          <w:szCs w:val="36"/>
        </w:rPr>
        <w:t xml:space="preserve">投标人名称：</w:t>
      </w:r>
      <w:r>
        <w:rPr>
          <w:rFonts w:hint="eastAsia" w:ascii="宋体" w:hAnsi="宋体" w:eastAsia="宋体" w:cs="宋体"/>
          <w:b/>
          <w:color w:val="auto"/>
          <w:sz w:val="36"/>
          <w:szCs w:val="36"/>
          <w:u w:val="single"/>
        </w:rPr>
        <w:t xml:space="preserve">（加盖CA电子公章）          </w:t>
      </w:r>
      <w:r/>
    </w:p>
    <w:p>
      <w:pPr>
        <w:spacing w:line="360" w:lineRule="auto"/>
        <w:rPr>
          <w:rFonts w:hint="eastAsia" w:ascii="宋体" w:hAnsi="宋体" w:eastAsia="宋体"/>
          <w:color w:val="auto"/>
        </w:rPr>
      </w:pPr>
      <w:r>
        <w:rPr>
          <w:rFonts w:hint="eastAsia" w:ascii="宋体" w:hAnsi="宋体" w:eastAsia="宋体" w:cs="宋体"/>
          <w:b/>
          <w:color w:val="auto"/>
          <w:sz w:val="36"/>
          <w:szCs w:val="36"/>
        </w:rPr>
        <w:t xml:space="preserve">日   期：</w:t>
      </w:r>
      <w:r>
        <w:rPr>
          <w:rFonts w:hint="eastAsia" w:ascii="宋体" w:hAnsi="宋体" w:eastAsia="宋体" w:cs="宋体"/>
          <w:b/>
          <w:color w:val="auto"/>
          <w:sz w:val="36"/>
          <w:szCs w:val="36"/>
          <w:u w:val="single"/>
        </w:rPr>
        <w:t xml:space="preserve">                       </w:t>
      </w:r>
      <w:r/>
    </w:p>
    <w:p>
      <w:pPr>
        <w:spacing w:line="360" w:lineRule="auto"/>
        <w:rPr>
          <w:rFonts w:hint="eastAsia" w:ascii="宋体" w:hAnsi="宋体" w:eastAsia="宋体"/>
          <w:color w:val="auto"/>
        </w:rPr>
      </w:pPr>
      <w:r>
        <w:rPr>
          <w:rFonts w:hint="eastAsia" w:ascii="宋体" w:hAnsi="宋体" w:eastAsia="宋体"/>
          <w:color w:val="auto"/>
        </w:rPr>
      </w:r>
      <w:r/>
    </w:p>
    <w:p>
      <w:pPr>
        <w:spacing w:line="360" w:lineRule="auto"/>
        <w:rPr>
          <w:rFonts w:hint="eastAsia" w:ascii="宋体" w:hAnsi="宋体" w:eastAsia="宋体"/>
          <w:color w:val="auto"/>
        </w:rPr>
      </w:pPr>
      <w:r>
        <w:rPr>
          <w:rFonts w:hint="eastAsia" w:ascii="宋体" w:hAnsi="宋体" w:eastAsia="宋体"/>
          <w:color w:val="auto"/>
        </w:rPr>
      </w:r>
      <w:r/>
    </w:p>
    <w:p>
      <w:pPr>
        <w:jc w:val="left"/>
        <w:widowControl/>
        <w:rPr>
          <w:rFonts w:hint="eastAsia" w:ascii="宋体" w:hAnsi="宋体" w:eastAsia="宋体"/>
          <w:color w:val="auto"/>
        </w:rPr>
      </w:pPr>
      <w:r>
        <w:rPr>
          <w:rFonts w:hint="eastAsia" w:ascii="宋体" w:hAnsi="宋体" w:eastAsia="宋体"/>
          <w:color w:val="auto"/>
        </w:rPr>
        <w:br w:type="page" w:clear="all"/>
      </w:r>
      <w:r/>
    </w:p>
    <w:p>
      <w:pPr>
        <w:jc w:val="center"/>
        <w:spacing w:line="0" w:lineRule="atLeast"/>
        <w:rPr>
          <w:rFonts w:hint="eastAsia" w:ascii="宋体" w:hAnsi="宋体" w:eastAsia="宋体" w:cs="Times New Roman"/>
          <w:color w:val="auto"/>
          <w:sz w:val="30"/>
          <w:szCs w:val="30"/>
          <w14:ligatures w14:val="none"/>
        </w:rPr>
      </w:pPr>
      <w:r>
        <w:rPr>
          <w:rFonts w:hint="eastAsia" w:ascii="宋体" w:hAnsi="宋体" w:eastAsia="宋体" w:cs="宋体"/>
          <w:b/>
          <w:color w:val="auto"/>
          <w:sz w:val="30"/>
          <w:szCs w:val="30"/>
          <w14:ligatures w14:val="none"/>
        </w:rPr>
        <w:t xml:space="preserve">投标文件目录</w:t>
      </w:r>
      <w:r/>
    </w:p>
    <w:p>
      <w:pPr>
        <w:spacing w:line="360"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p>
      <w:pPr>
        <w:ind w:firstLine="420"/>
        <w:spacing w:line="360" w:lineRule="auto"/>
        <w:rPr>
          <w:rFonts w:hint="eastAsia" w:ascii="宋体" w:hAnsi="宋体" w:eastAsia="宋体" w:cs="宋体"/>
          <w:i/>
          <w:iCs w:val="0"/>
          <w:color w:val="auto"/>
          <w:sz w:val="24"/>
          <w:szCs w:val="24"/>
          <w:u w:val="single"/>
          <w14:ligatures w14:val="none"/>
        </w:rPr>
        <w:outlineLvl w:val="1"/>
      </w:pPr>
      <w:r>
        <w:rPr>
          <w:rFonts w:hint="eastAsia" w:ascii="宋体" w:hAnsi="宋体" w:eastAsia="宋体" w:cs="宋体"/>
          <w:i/>
          <w:iCs w:val="0"/>
          <w:color w:val="auto"/>
          <w:sz w:val="24"/>
          <w:szCs w:val="24"/>
          <w:u w:val="single"/>
          <w14:ligatures w14:val="none"/>
        </w:rPr>
        <w:t xml:space="preserve">一、法人或者其他组织的营业执照等证明文件，自然人的身份证明</w:t>
      </w:r>
      <w:r/>
    </w:p>
    <w:p>
      <w:pPr>
        <w:ind w:firstLine="420"/>
        <w:jc w:val="left"/>
        <w:spacing w:line="360" w:lineRule="auto"/>
        <w:tabs>
          <w:tab w:val="left" w:pos="1331" w:leader="none"/>
        </w:tabs>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 xml:space="preserve">二、上一年度的财务状况报表（成立不满一年无需提供）</w:t>
      </w:r>
      <w:r/>
    </w:p>
    <w:p>
      <w:pPr>
        <w:ind w:firstLine="420"/>
        <w:spacing w:line="360" w:lineRule="auto"/>
        <w:rPr>
          <w:rFonts w:hint="eastAsia" w:ascii="宋体" w:hAnsi="宋体" w:eastAsia="宋体" w:cs="宋体"/>
          <w:i/>
          <w:iCs w:val="0"/>
          <w:color w:val="auto"/>
          <w:sz w:val="24"/>
          <w:szCs w:val="24"/>
          <w:u w:val="single"/>
          <w14:ligatures w14:val="none"/>
        </w:rPr>
        <w:outlineLvl w:val="1"/>
      </w:pPr>
      <w:r>
        <w:rPr>
          <w:rFonts w:hint="eastAsia" w:ascii="宋体" w:hAnsi="宋体" w:eastAsia="宋体" w:cs="宋体"/>
          <w:i/>
          <w:iCs w:val="0"/>
          <w:color w:val="auto"/>
          <w:sz w:val="24"/>
          <w:szCs w:val="24"/>
          <w:u w:val="single"/>
          <w14:ligatures w14:val="none"/>
        </w:rPr>
        <w:t xml:space="preserve">三、依法缴纳税收和社会保障资金的相关材料（提供提交投标文件截止时间前一年内至少一个月依法缴纳税收及缴纳社会保障资金的证明材料。投标人依法享受缓缴、免缴税收、社会保障资金的提供证明材料）</w:t>
      </w:r>
      <w:r/>
    </w:p>
    <w:p>
      <w:pPr>
        <w:ind w:firstLine="420"/>
        <w:spacing w:line="360" w:lineRule="auto"/>
        <w:rPr>
          <w:rFonts w:hint="eastAsia" w:ascii="宋体" w:hAnsi="宋体" w:eastAsia="宋体" w:cs="宋体"/>
          <w:i/>
          <w:iCs w:val="0"/>
          <w:color w:val="auto"/>
          <w:sz w:val="24"/>
          <w:szCs w:val="24"/>
          <w:u w:val="single"/>
          <w14:ligatures w14:val="none"/>
        </w:rPr>
        <w:outlineLvl w:val="1"/>
      </w:pPr>
      <w:r>
        <w:rPr>
          <w:rFonts w:hint="eastAsia" w:ascii="宋体" w:hAnsi="宋体" w:eastAsia="宋体" w:cs="宋体"/>
          <w:i/>
          <w:iCs w:val="0"/>
          <w:color w:val="auto"/>
          <w:sz w:val="24"/>
          <w:szCs w:val="24"/>
          <w:u w:val="single"/>
          <w14:ligatures w14:val="none"/>
        </w:rPr>
        <w:t xml:space="preserve">四、具备履行合同所必需的设备和专业技术能力的书面声明</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 xml:space="preserve">五、参加政府采购活动前 3 年内在经营活动中没有重大违法记录的书面声明</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 </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 xml:space="preserve">七、单位负责人为同一人或者存在直接控股、管理关系的不同供应商，不得参加同一合同项下的政府采购活动。</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lang w:val="en-US" w:eastAsia="zh-CN"/>
          <w14:ligatures w14:val="none"/>
        </w:rPr>
        <w:t xml:space="preserve">八</w:t>
      </w:r>
      <w:r>
        <w:rPr>
          <w:rFonts w:hint="eastAsia" w:ascii="宋体" w:hAnsi="宋体" w:eastAsia="宋体" w:cs="宋体"/>
          <w:i/>
          <w:iCs w:val="0"/>
          <w:color w:val="auto"/>
          <w:sz w:val="24"/>
          <w:szCs w:val="24"/>
          <w:u w:val="single"/>
          <w14:ligatures w14:val="none"/>
        </w:rPr>
        <w:t xml:space="preserve">、法人授权书</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lang w:val="en-US" w:eastAsia="zh-CN"/>
          <w14:ligatures w14:val="none"/>
        </w:rPr>
        <w:t xml:space="preserve">九</w:t>
      </w:r>
      <w:r>
        <w:rPr>
          <w:rFonts w:hint="eastAsia" w:ascii="宋体" w:hAnsi="宋体" w:eastAsia="宋体" w:cs="宋体"/>
          <w:i/>
          <w:iCs w:val="0"/>
          <w:color w:val="auto"/>
          <w:sz w:val="24"/>
          <w:szCs w:val="24"/>
          <w:u w:val="single"/>
          <w14:ligatures w14:val="none"/>
        </w:rPr>
        <w:t xml:space="preserve">、投标函</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lang w:val="en-US" w:eastAsia="zh-CN"/>
          <w14:ligatures w14:val="none"/>
        </w:rPr>
        <w:t xml:space="preserve">十</w:t>
      </w:r>
      <w:r>
        <w:rPr>
          <w:rFonts w:hint="eastAsia" w:ascii="宋体" w:hAnsi="宋体" w:eastAsia="宋体" w:cs="宋体"/>
          <w:i/>
          <w:iCs w:val="0"/>
          <w:color w:val="auto"/>
          <w:sz w:val="24"/>
          <w:szCs w:val="24"/>
          <w:u w:val="single"/>
          <w14:ligatures w14:val="none"/>
        </w:rPr>
        <w:t xml:space="preserve">、中小企业声明函</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 xml:space="preserve">十</w:t>
      </w:r>
      <w:r>
        <w:rPr>
          <w:rFonts w:hint="eastAsia" w:ascii="宋体" w:hAnsi="宋体" w:eastAsia="宋体" w:cs="宋体"/>
          <w:i/>
          <w:iCs w:val="0"/>
          <w:color w:val="auto"/>
          <w:sz w:val="24"/>
          <w:szCs w:val="24"/>
          <w:u w:val="single"/>
          <w:lang w:val="en-US" w:eastAsia="zh-CN"/>
          <w14:ligatures w14:val="none"/>
        </w:rPr>
        <w:t xml:space="preserve">一</w:t>
      </w:r>
      <w:r>
        <w:rPr>
          <w:rFonts w:hint="eastAsia" w:ascii="宋体" w:hAnsi="宋体" w:eastAsia="宋体" w:cs="宋体"/>
          <w:i/>
          <w:iCs w:val="0"/>
          <w:color w:val="auto"/>
          <w:sz w:val="24"/>
          <w:szCs w:val="24"/>
          <w:u w:val="single"/>
          <w14:ligatures w14:val="none"/>
        </w:rPr>
        <w:t xml:space="preserve">、残疾人福利性单位声明函</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 xml:space="preserve">十</w:t>
      </w:r>
      <w:r>
        <w:rPr>
          <w:rFonts w:hint="eastAsia" w:ascii="宋体" w:hAnsi="宋体" w:eastAsia="宋体" w:cs="宋体"/>
          <w:i/>
          <w:iCs w:val="0"/>
          <w:color w:val="auto"/>
          <w:sz w:val="24"/>
          <w:szCs w:val="24"/>
          <w:u w:val="single"/>
          <w:lang w:val="en-US" w:eastAsia="zh-CN"/>
          <w14:ligatures w14:val="none"/>
        </w:rPr>
        <w:t xml:space="preserve">二</w:t>
      </w:r>
      <w:r>
        <w:rPr>
          <w:rFonts w:hint="eastAsia" w:ascii="宋体" w:hAnsi="宋体" w:eastAsia="宋体" w:cs="宋体"/>
          <w:i/>
          <w:iCs w:val="0"/>
          <w:color w:val="auto"/>
          <w:sz w:val="24"/>
          <w:szCs w:val="24"/>
          <w:u w:val="single"/>
          <w14:ligatures w14:val="none"/>
        </w:rPr>
        <w:t xml:space="preserve">、开标一览表</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lang w:val="en-US" w:eastAsia="zh-CN"/>
          <w14:ligatures w14:val="none"/>
        </w:rPr>
        <w:t xml:space="preserve">十三、</w:t>
      </w:r>
      <w:r>
        <w:rPr>
          <w:rFonts w:hint="eastAsia" w:ascii="宋体" w:hAnsi="宋体" w:eastAsia="宋体" w:cs="宋体"/>
          <w:i/>
          <w:iCs w:val="0"/>
          <w:color w:val="auto"/>
          <w:sz w:val="24"/>
          <w:szCs w:val="24"/>
          <w:u w:val="single"/>
          <w14:ligatures w14:val="none"/>
        </w:rPr>
        <w:t xml:space="preserve">技术要求响应及偏离表</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 xml:space="preserve">十</w:t>
      </w:r>
      <w:r>
        <w:rPr>
          <w:rFonts w:hint="eastAsia" w:ascii="宋体" w:hAnsi="宋体" w:eastAsia="宋体" w:cs="宋体"/>
          <w:i/>
          <w:iCs w:val="0"/>
          <w:color w:val="auto"/>
          <w:sz w:val="24"/>
          <w:szCs w:val="24"/>
          <w:u w:val="single"/>
          <w:lang w:val="en-US" w:eastAsia="zh-CN"/>
          <w14:ligatures w14:val="none"/>
        </w:rPr>
        <w:t xml:space="preserve">四</w:t>
      </w:r>
      <w:r>
        <w:rPr>
          <w:rFonts w:hint="eastAsia" w:ascii="宋体" w:hAnsi="宋体" w:eastAsia="宋体" w:cs="宋体"/>
          <w:i/>
          <w:iCs w:val="0"/>
          <w:color w:val="auto"/>
          <w:sz w:val="24"/>
          <w:szCs w:val="24"/>
          <w:u w:val="single"/>
          <w14:ligatures w14:val="none"/>
        </w:rPr>
        <w:t xml:space="preserve">、商务要求响应及偏离表</w:t>
      </w:r>
      <w:r/>
    </w:p>
    <w:p>
      <w:pPr>
        <w:pStyle w:val="709"/>
        <w:ind w:left="0" w:firstLine="480"/>
        <w:rPr>
          <w:rFonts w:hint="eastAsia"/>
          <w:i/>
          <w:iCs w:val="0"/>
          <w:sz w:val="24"/>
          <w:szCs w:val="24"/>
          <w:u w:val="single"/>
        </w:rPr>
      </w:pPr>
      <w:r>
        <w:rPr>
          <w:rFonts w:hint="eastAsia" w:ascii="宋体" w:hAnsi="宋体" w:eastAsia="宋体" w:cs="宋体"/>
          <w:i/>
          <w:iCs w:val="0"/>
          <w:color w:val="auto"/>
          <w:sz w:val="24"/>
          <w:szCs w:val="24"/>
          <w:u w:val="single"/>
          <w:lang w:val="en-US" w:eastAsia="zh-CN"/>
          <w14:ligatures w14:val="none"/>
        </w:rPr>
        <w:t xml:space="preserve">十五、关于符合本国产品标准的声明函</w:t>
      </w:r>
      <w:r/>
    </w:p>
    <w:p>
      <w:pPr>
        <w:ind w:firstLine="420"/>
        <w:spacing w:line="360" w:lineRule="auto"/>
        <w:rPr>
          <w:rFonts w:hint="eastAsia" w:ascii="宋体" w:hAnsi="宋体" w:eastAsia="宋体" w:cs="宋体"/>
          <w:i/>
          <w:iCs w:val="0"/>
          <w:color w:val="auto"/>
          <w:sz w:val="24"/>
          <w:szCs w:val="24"/>
          <w:u w:val="single"/>
          <w14:ligatures w14:val="none"/>
        </w:rPr>
      </w:pPr>
      <w:r>
        <w:rPr>
          <w:rFonts w:hint="eastAsia" w:ascii="宋体" w:hAnsi="宋体" w:eastAsia="宋体" w:cs="宋体"/>
          <w:i/>
          <w:iCs w:val="0"/>
          <w:color w:val="auto"/>
          <w:sz w:val="24"/>
          <w:szCs w:val="24"/>
          <w:u w:val="single"/>
          <w14:ligatures w14:val="none"/>
        </w:rPr>
        <w:t xml:space="preserve">十</w:t>
      </w:r>
      <w:r>
        <w:rPr>
          <w:rFonts w:hint="eastAsia" w:ascii="宋体" w:hAnsi="宋体" w:eastAsia="宋体" w:cs="宋体"/>
          <w:i/>
          <w:iCs w:val="0"/>
          <w:color w:val="auto"/>
          <w:sz w:val="24"/>
          <w:szCs w:val="24"/>
          <w:u w:val="single"/>
          <w:lang w:val="en-US" w:eastAsia="zh-CN"/>
          <w14:ligatures w14:val="none"/>
        </w:rPr>
        <w:t xml:space="preserve">六</w:t>
      </w:r>
      <w:r>
        <w:rPr>
          <w:rFonts w:hint="eastAsia" w:ascii="宋体" w:hAnsi="宋体" w:eastAsia="宋体" w:cs="宋体"/>
          <w:i/>
          <w:iCs w:val="0"/>
          <w:color w:val="auto"/>
          <w:sz w:val="24"/>
          <w:szCs w:val="24"/>
          <w:u w:val="single"/>
          <w14:ligatures w14:val="none"/>
        </w:rPr>
        <w:t xml:space="preserve">、评分标准要求提供的材料等</w:t>
      </w:r>
      <w:r/>
    </w:p>
    <w:p>
      <w:pPr>
        <w:ind w:firstLine="420"/>
        <w:spacing w:line="360" w:lineRule="auto"/>
        <w:rPr>
          <w:rFonts w:hint="default" w:ascii="宋体" w:hAnsi="宋体" w:eastAsia="宋体" w:cs="宋体"/>
          <w:i/>
          <w:iCs w:val="0"/>
          <w:color w:val="auto"/>
          <w:sz w:val="24"/>
          <w:szCs w:val="24"/>
          <w:u w:val="single"/>
          <w:lang w:val="en-US" w:eastAsia="zh-CN"/>
          <w14:ligatures w14:val="none"/>
        </w:rPr>
      </w:pPr>
      <w:r>
        <w:rPr>
          <w:rFonts w:hint="eastAsia" w:ascii="宋体" w:hAnsi="宋体" w:eastAsia="宋体" w:cs="宋体"/>
          <w:i/>
          <w:iCs w:val="0"/>
          <w:color w:val="auto"/>
          <w:sz w:val="24"/>
          <w:szCs w:val="24"/>
          <w:u w:val="single"/>
          <w14:ligatures w14:val="none"/>
        </w:rPr>
        <w:t xml:space="preserve">十</w:t>
      </w:r>
      <w:r>
        <w:rPr>
          <w:rFonts w:hint="eastAsia" w:ascii="宋体" w:hAnsi="宋体" w:eastAsia="宋体" w:cs="宋体"/>
          <w:i/>
          <w:iCs w:val="0"/>
          <w:color w:val="auto"/>
          <w:sz w:val="24"/>
          <w:szCs w:val="24"/>
          <w:u w:val="single"/>
          <w:lang w:val="en-US" w:eastAsia="zh-CN"/>
          <w14:ligatures w14:val="none"/>
        </w:rPr>
        <w:t xml:space="preserve">七</w:t>
      </w:r>
      <w:r>
        <w:rPr>
          <w:rFonts w:hint="eastAsia" w:ascii="宋体" w:hAnsi="宋体" w:eastAsia="宋体" w:cs="宋体"/>
          <w:i/>
          <w:iCs w:val="0"/>
          <w:color w:val="auto"/>
          <w:sz w:val="24"/>
          <w:szCs w:val="24"/>
          <w:u w:val="single"/>
          <w14:ligatures w14:val="none"/>
        </w:rPr>
        <w:t xml:space="preserve">、其他材料</w:t>
      </w:r>
      <w:r>
        <w:rPr>
          <w:rFonts w:hint="eastAsia" w:ascii="宋体" w:hAnsi="宋体" w:eastAsia="宋体" w:cs="宋体"/>
          <w:i/>
          <w:iCs w:val="0"/>
          <w:color w:val="auto"/>
          <w:sz w:val="24"/>
          <w:szCs w:val="24"/>
          <w:u w:val="single"/>
          <w:lang w:eastAsia="zh-CN"/>
          <w14:ligatures w14:val="none"/>
        </w:rPr>
        <w:t xml:space="preserve">（</w:t>
      </w:r>
      <w:r>
        <w:rPr>
          <w:rFonts w:hint="eastAsia" w:ascii="宋体" w:hAnsi="宋体" w:eastAsia="宋体" w:cs="宋体"/>
          <w:i/>
          <w:iCs w:val="0"/>
          <w:color w:val="auto"/>
          <w:sz w:val="24"/>
          <w:szCs w:val="24"/>
          <w:u w:val="single"/>
          <w:lang w:val="en-US" w:eastAsia="zh-CN"/>
          <w14:ligatures w14:val="none"/>
        </w:rPr>
        <w:t xml:space="preserve">如有）</w:t>
      </w:r>
      <w:r/>
    </w:p>
    <w:p>
      <w:pPr>
        <w:ind w:firstLine="420"/>
        <w:spacing w:line="360" w:lineRule="auto"/>
        <w:rPr>
          <w:rFonts w:ascii="宋体" w:hAnsi="宋体" w:cs="宋体"/>
          <w:i/>
          <w:iCs w:val="0"/>
          <w:color w:val="auto"/>
          <w:sz w:val="24"/>
          <w:szCs w:val="24"/>
          <w:u w:val="single"/>
        </w:rPr>
      </w:pPr>
      <w:r>
        <w:rPr>
          <w:rFonts w:hint="eastAsia" w:ascii="宋体" w:hAnsi="宋体" w:eastAsia="宋体" w:cs="宋体"/>
          <w:i/>
          <w:iCs w:val="0"/>
          <w:color w:val="auto"/>
          <w:sz w:val="24"/>
          <w:szCs w:val="24"/>
          <w:u w:val="single"/>
          <w14:ligatures w14:val="none"/>
        </w:rPr>
        <w:t xml:space="preserve">十</w:t>
      </w:r>
      <w:r>
        <w:rPr>
          <w:rFonts w:hint="eastAsia" w:ascii="宋体" w:hAnsi="宋体" w:eastAsia="宋体" w:cs="宋体"/>
          <w:i/>
          <w:iCs w:val="0"/>
          <w:color w:val="auto"/>
          <w:sz w:val="24"/>
          <w:szCs w:val="24"/>
          <w:u w:val="single"/>
          <w:lang w:val="en-US" w:eastAsia="zh-CN"/>
          <w14:ligatures w14:val="none"/>
        </w:rPr>
        <w:t xml:space="preserve">八</w:t>
      </w:r>
      <w:r>
        <w:rPr>
          <w:rFonts w:hint="eastAsia" w:ascii="宋体" w:hAnsi="宋体" w:eastAsia="宋体" w:cs="宋体"/>
          <w:i/>
          <w:iCs w:val="0"/>
          <w:color w:val="auto"/>
          <w:sz w:val="24"/>
          <w:szCs w:val="24"/>
          <w:u w:val="single"/>
          <w14:ligatures w14:val="none"/>
        </w:rPr>
        <w:t xml:space="preserve">、盐城市政府采购事前信用承诺书</w:t>
      </w:r>
      <w:r/>
    </w:p>
    <w:p>
      <w:pPr>
        <w:ind w:firstLine="420"/>
        <w:spacing w:line="360" w:lineRule="auto"/>
        <w:rPr>
          <w:rFonts w:hint="eastAsia" w:ascii="宋体" w:hAnsi="宋体" w:eastAsia="宋体" w:cs="宋体"/>
          <w:iCs/>
          <w:color w:val="auto"/>
          <w:szCs w:val="21"/>
          <w14:ligatures w14:val="none"/>
        </w:rPr>
      </w:pPr>
      <w:r>
        <w:rPr>
          <w:rFonts w:hint="eastAsia" w:ascii="宋体" w:hAnsi="宋体" w:eastAsia="宋体" w:cs="宋体"/>
          <w:iCs/>
          <w:color w:val="auto"/>
          <w:szCs w:val="21"/>
          <w14:ligatures w14:val="none"/>
        </w:rPr>
      </w:r>
      <w:r/>
    </w:p>
    <w:p>
      <w:pPr>
        <w:spacing w:line="360" w:lineRule="auto"/>
        <w:rPr>
          <w:rFonts w:hint="eastAsia" w:ascii="宋体" w:hAnsi="宋体" w:eastAsia="宋体"/>
          <w:color w:val="auto"/>
          <w:szCs w:val="21"/>
        </w:rPr>
      </w:pPr>
      <w:r>
        <w:rPr>
          <w:rFonts w:hint="eastAsia" w:ascii="宋体" w:hAnsi="宋体" w:eastAsia="宋体"/>
          <w:color w:val="auto"/>
          <w:szCs w:val="21"/>
        </w:rPr>
      </w:r>
      <w:r/>
    </w:p>
    <w:p>
      <w:pPr>
        <w:jc w:val="left"/>
        <w:spacing w:line="360" w:lineRule="auto"/>
        <w:widowControl/>
        <w:rPr>
          <w:rFonts w:hint="eastAsia" w:ascii="宋体" w:hAnsi="宋体" w:eastAsia="宋体"/>
          <w:color w:val="auto"/>
          <w:szCs w:val="21"/>
        </w:rPr>
      </w:pPr>
      <w:r>
        <w:rPr>
          <w:rFonts w:hint="eastAsia" w:ascii="宋体" w:hAnsi="宋体" w:eastAsia="宋体"/>
          <w:color w:val="auto"/>
          <w:szCs w:val="21"/>
        </w:rPr>
        <w:br w:type="page" w:clear="all"/>
      </w:r>
      <w:r/>
    </w:p>
    <w:p>
      <w:pPr>
        <w:pStyle w:val="732"/>
        <w:jc w:val="left"/>
        <w:rPr>
          <w:rFonts w:hint="eastAsia" w:ascii="宋体" w:hAnsi="宋体" w:cs="宋体"/>
          <w:i/>
          <w:color w:val="auto"/>
          <w:sz w:val="28"/>
          <w:szCs w:val="28"/>
          <w:u w:val="single"/>
        </w:rPr>
        <w:outlineLvl w:val="1"/>
      </w:pPr>
      <w:r>
        <w:rPr>
          <w:rFonts w:hint="eastAsia" w:ascii="宋体" w:hAnsi="宋体" w:cs="宋体"/>
          <w:b w:val="0"/>
          <w:bCs/>
          <w:i/>
          <w:iCs/>
          <w:color w:val="auto"/>
          <w:sz w:val="32"/>
          <w:szCs w:val="32"/>
          <w:u w:val="single"/>
        </w:rPr>
        <w:t xml:space="preserve">一、法人或者其他组织的营业执照等证明文件，自然人的身份证明</w:t>
      </w:r>
      <w:r/>
    </w:p>
    <w:p>
      <w:pPr>
        <w:pStyle w:val="732"/>
        <w:jc w:val="both"/>
        <w:rPr>
          <w:rFonts w:hint="eastAsia" w:ascii="宋体" w:hAnsi="宋体" w:cs="宋体"/>
          <w:b w:val="0"/>
          <w:bCs/>
          <w:i/>
          <w:iCs/>
          <w:color w:val="auto"/>
          <w:sz w:val="32"/>
          <w:szCs w:val="32"/>
          <w:u w:val="single"/>
        </w:rPr>
        <w:outlineLvl w:val="1"/>
      </w:pPr>
      <w:r>
        <w:rPr>
          <w:rFonts w:hint="eastAsia" w:ascii="宋体" w:hAnsi="宋体" w:cs="宋体"/>
          <w:b w:val="0"/>
          <w:bCs/>
          <w:i/>
          <w:iCs/>
          <w:color w:val="auto"/>
          <w:sz w:val="32"/>
          <w:szCs w:val="32"/>
          <w:u w:val="single"/>
        </w:rPr>
        <w:t xml:space="preserve">二、上一年度的财务状况报表（成立不满一年无需提供） </w:t>
      </w:r>
      <w:r/>
    </w:p>
    <w:p>
      <w:pPr>
        <w:pStyle w:val="732"/>
        <w:jc w:val="left"/>
        <w:rPr>
          <w:rFonts w:hint="eastAsia" w:ascii="宋体" w:hAnsi="宋体" w:cs="宋体"/>
          <w:b w:val="0"/>
          <w:bCs/>
          <w:i/>
          <w:iCs/>
          <w:color w:val="auto"/>
          <w:sz w:val="32"/>
          <w:szCs w:val="32"/>
          <w:u w:val="single"/>
        </w:rPr>
        <w:outlineLvl w:val="1"/>
      </w:pPr>
      <w:r>
        <w:rPr>
          <w:rFonts w:hint="eastAsia" w:ascii="宋体" w:hAnsi="宋体" w:cs="宋体"/>
          <w:b w:val="0"/>
          <w:bCs/>
          <w:i/>
          <w:iCs/>
          <w:color w:val="auto"/>
          <w:sz w:val="32"/>
          <w:szCs w:val="32"/>
          <w:u w:val="single"/>
        </w:rPr>
        <w:t xml:space="preserve">三、依法缴纳税收和社会保障资金的相关材料</w:t>
      </w:r>
      <w:r/>
    </w:p>
    <w:p>
      <w:pPr>
        <w:ind w:firstLine="420"/>
        <w:jc w:val="left"/>
        <w:spacing w:line="440" w:lineRule="exact"/>
        <w:tabs>
          <w:tab w:val="left" w:pos="1331" w:leader="none"/>
        </w:tabs>
        <w:rPr>
          <w:rFonts w:hint="eastAsia" w:cs="宋体"/>
          <w:b w:val="0"/>
          <w:bCs/>
          <w:i/>
          <w:iCs/>
          <w:color w:val="auto"/>
          <w:sz w:val="24"/>
          <w:szCs w:val="24"/>
          <w:u w:val="single"/>
          <w:lang w:val="en-US" w:eastAsia="zh-CN"/>
        </w:rPr>
      </w:pPr>
      <w:r>
        <w:rPr>
          <w:rFonts w:hint="eastAsia" w:ascii="宋体" w:hAnsi="宋体" w:eastAsia="宋体" w:cs="宋体"/>
          <w:bCs/>
          <w:color w:val="auto"/>
          <w:sz w:val="24"/>
          <w:szCs w:val="24"/>
          <w14:ligatures w14:val="standardContextual"/>
        </w:rPr>
        <w:t xml:space="preserve">提供提交投标文件截止时间前一年内至少一个月依法缴纳税收及缴纳社会保障资金的证明材料。投标人依法享受缓缴、免缴税收、社会保障资金的提供证明材料。</w:t>
      </w:r>
      <w:r/>
    </w:p>
    <w:p>
      <w:pPr>
        <w:pStyle w:val="732"/>
        <w:jc w:val="center"/>
        <w:rPr>
          <w:rFonts w:ascii="宋体" w:hAnsi="宋体" w:cs="宋体"/>
          <w:color w:val="auto"/>
        </w:rPr>
        <w:outlineLvl w:val="1"/>
      </w:pPr>
      <w:r>
        <w:rPr>
          <w:rFonts w:hint="eastAsia" w:cs="宋体"/>
          <w:b w:val="0"/>
          <w:bCs/>
          <w:i/>
          <w:iCs/>
          <w:color w:val="auto"/>
          <w:sz w:val="32"/>
          <w:szCs w:val="32"/>
          <w:u w:val="single"/>
          <w:lang w:val="en-US" w:eastAsia="zh-CN"/>
        </w:rPr>
        <w:t xml:space="preserve">四</w:t>
      </w:r>
      <w:r>
        <w:rPr>
          <w:rFonts w:hint="eastAsia" w:ascii="宋体" w:hAnsi="宋体" w:cs="宋体"/>
          <w:b w:val="0"/>
          <w:bCs/>
          <w:i/>
          <w:iCs/>
          <w:color w:val="auto"/>
          <w:sz w:val="32"/>
          <w:szCs w:val="32"/>
          <w:u w:val="single"/>
        </w:rPr>
        <w:t xml:space="preserve">、具备履行合同所必需的设备和专业技术能力的书面声明</w:t>
      </w:r>
      <w:r/>
    </w:p>
    <w:p>
      <w:pPr>
        <w:pStyle w:val="732"/>
        <w:ind w:firstLine="480"/>
        <w:spacing w:line="520" w:lineRule="exact"/>
        <w:rPr>
          <w:rFonts w:hint="eastAsia" w:ascii="宋体" w:hAnsi="宋体" w:cs="宋体"/>
          <w:bCs/>
          <w:color w:val="auto"/>
          <w:sz w:val="24"/>
        </w:rPr>
      </w:pPr>
      <w:r>
        <w:rPr>
          <w:rFonts w:hint="eastAsia" w:ascii="宋体" w:hAnsi="宋体" w:cs="宋体"/>
          <w:bCs/>
          <w:color w:val="auto"/>
          <w:sz w:val="24"/>
        </w:rPr>
        <w:t xml:space="preserve">我单位郑重声明：我单位具备履行本项采购合同所必需的设备和专业技术能力，为履行本项采购合同我公司具备如下主要设备和主要专业技术能力：</w:t>
      </w:r>
      <w:r/>
    </w:p>
    <w:p>
      <w:pPr>
        <w:pStyle w:val="732"/>
        <w:ind w:firstLine="480"/>
        <w:spacing w:line="520" w:lineRule="exact"/>
        <w:rPr>
          <w:rFonts w:ascii="宋体" w:hAnsi="宋体" w:cs="宋体"/>
          <w:color w:val="auto"/>
        </w:rPr>
      </w:pPr>
      <w:r>
        <w:rPr>
          <w:rFonts w:hint="eastAsia" w:ascii="宋体" w:hAnsi="宋体" w:cs="宋体"/>
          <w:bCs/>
          <w:color w:val="auto"/>
          <w:sz w:val="24"/>
        </w:rPr>
        <w:t xml:space="preserve">主要设备有：</w:t>
      </w:r>
      <w:r>
        <w:rPr>
          <w:rFonts w:hint="eastAsia" w:ascii="宋体" w:hAnsi="宋体" w:cs="宋体"/>
          <w:color w:val="auto"/>
          <w:u w:val="single"/>
        </w:rPr>
        <w:t xml:space="preserve">  </w:t>
      </w:r>
      <w:r>
        <w:rPr>
          <w:rFonts w:hint="eastAsia" w:ascii="宋体" w:hAnsi="宋体" w:cs="宋体"/>
          <w:color w:val="auto"/>
        </w:rPr>
        <w:t xml:space="preserve">。</w:t>
      </w:r>
      <w:r/>
    </w:p>
    <w:p>
      <w:pPr>
        <w:pStyle w:val="732"/>
        <w:ind w:firstLine="480"/>
        <w:spacing w:line="520" w:lineRule="exact"/>
        <w:rPr>
          <w:rFonts w:hint="eastAsia" w:ascii="宋体" w:hAnsi="宋体" w:cs="宋体"/>
          <w:color w:val="auto"/>
        </w:rPr>
      </w:pPr>
      <w:r>
        <w:rPr>
          <w:rFonts w:hint="eastAsia" w:ascii="宋体" w:hAnsi="宋体" w:cs="宋体"/>
          <w:bCs/>
          <w:color w:val="auto"/>
          <w:sz w:val="24"/>
        </w:rPr>
        <w:t xml:space="preserve">主要专业技术能力有：</w:t>
      </w:r>
      <w:r>
        <w:rPr>
          <w:rFonts w:hint="eastAsia" w:ascii="宋体" w:hAnsi="宋体" w:cs="宋体"/>
          <w:color w:val="auto"/>
          <w:u w:val="single"/>
        </w:rPr>
        <w:t xml:space="preserve">   </w:t>
      </w:r>
      <w:r>
        <w:rPr>
          <w:rFonts w:hint="eastAsia" w:ascii="宋体" w:hAnsi="宋体" w:cs="宋体"/>
          <w:color w:val="auto"/>
        </w:rPr>
        <w:t xml:space="preserve">。</w:t>
      </w:r>
      <w:r/>
    </w:p>
    <w:p>
      <w:pPr>
        <w:pStyle w:val="732"/>
        <w:ind w:firstLine="420"/>
        <w:spacing w:line="520" w:lineRule="exact"/>
        <w:rPr>
          <w:rFonts w:hint="eastAsia" w:ascii="宋体" w:hAnsi="宋体" w:cs="宋体"/>
          <w:color w:val="auto"/>
        </w:rPr>
      </w:pPr>
      <w:r>
        <w:rPr>
          <w:rFonts w:hint="eastAsia" w:ascii="宋体" w:hAnsi="宋体" w:cs="宋体"/>
          <w:color w:val="auto"/>
        </w:rPr>
      </w:r>
      <w:r/>
    </w:p>
    <w:p>
      <w:pPr>
        <w:ind w:firstLine="480"/>
        <w:jc w:val="center"/>
        <w:spacing w:line="460" w:lineRule="exact"/>
        <w:rPr>
          <w:rFonts w:ascii="宋体" w:hAnsi="宋体" w:cs="宋体"/>
          <w:bCs/>
          <w:color w:val="auto"/>
          <w:sz w:val="24"/>
        </w:rPr>
      </w:pPr>
      <w:r>
        <w:rPr>
          <w:rFonts w:hint="eastAsia" w:ascii="宋体" w:hAnsi="宋体" w:eastAsia="宋体" w:cs="宋体"/>
          <w:bCs/>
          <w:color w:val="auto"/>
          <w:sz w:val="24"/>
          <w:lang w:val="en-US" w:eastAsia="zh-CN"/>
        </w:rPr>
        <w:t xml:space="preserve">                                  </w:t>
      </w:r>
      <w:r>
        <w:rPr>
          <w:rFonts w:hint="eastAsia" w:ascii="宋体" w:hAnsi="宋体" w:cs="宋体"/>
          <w:bCs/>
          <w:color w:val="auto"/>
          <w:sz w:val="24"/>
        </w:rPr>
        <w:t xml:space="preserve">供应商名称（公章）：             </w:t>
      </w:r>
      <w:r/>
    </w:p>
    <w:p>
      <w:pPr>
        <w:ind w:firstLine="480"/>
        <w:spacing w:line="460" w:lineRule="exact"/>
        <w:rPr>
          <w:rFonts w:ascii="宋体" w:hAnsi="宋体" w:cs="宋体"/>
          <w:bCs/>
          <w:color w:val="auto"/>
          <w:sz w:val="24"/>
        </w:rPr>
      </w:pPr>
      <w:r>
        <w:rPr>
          <w:rFonts w:hint="eastAsia" w:ascii="宋体" w:hAnsi="宋体" w:cs="宋体"/>
          <w:bCs/>
          <w:color w:val="auto"/>
          <w:sz w:val="24"/>
        </w:rPr>
        <w:t xml:space="preserve">                                    </w:t>
      </w:r>
      <w:r/>
    </w:p>
    <w:p>
      <w:pPr>
        <w:pStyle w:val="732"/>
        <w:ind w:firstLine="480"/>
        <w:spacing w:line="520" w:lineRule="exact"/>
        <w:rPr>
          <w:rFonts w:hint="eastAsia" w:ascii="宋体" w:hAnsi="宋体" w:cs="宋体"/>
          <w:bCs/>
          <w:color w:val="auto"/>
          <w:sz w:val="24"/>
        </w:rPr>
      </w:pPr>
      <w:r>
        <w:rPr>
          <w:rFonts w:hint="eastAsia" w:ascii="宋体" w:hAnsi="宋体" w:cs="宋体"/>
          <w:bCs/>
          <w:color w:val="auto"/>
          <w:sz w:val="24"/>
        </w:rPr>
        <w:t xml:space="preserve">                                     日期：</w:t>
      </w:r>
      <w:r>
        <w:rPr>
          <w:rFonts w:hint="eastAsia" w:ascii="宋体" w:hAnsi="宋体" w:cs="宋体"/>
          <w:bCs/>
          <w:color w:val="auto"/>
          <w:sz w:val="24"/>
          <w:u w:val="single"/>
        </w:rPr>
        <w:t xml:space="preserve">      </w:t>
      </w:r>
      <w:r>
        <w:rPr>
          <w:rFonts w:hint="eastAsia" w:ascii="宋体" w:hAnsi="宋体" w:cs="宋体"/>
          <w:bCs/>
          <w:color w:val="auto"/>
          <w:sz w:val="24"/>
        </w:rPr>
        <w:t xml:space="preserve">年</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w:t>
      </w:r>
      <w:r/>
    </w:p>
    <w:p>
      <w:pPr>
        <w:pStyle w:val="732"/>
        <w:ind w:firstLine="480"/>
        <w:spacing w:line="520" w:lineRule="exact"/>
        <w:rPr>
          <w:rFonts w:hint="eastAsia" w:ascii="宋体" w:hAnsi="宋体" w:cs="宋体"/>
          <w:bCs/>
          <w:color w:val="auto"/>
          <w:sz w:val="24"/>
        </w:rPr>
      </w:pPr>
      <w:r>
        <w:rPr>
          <w:rFonts w:hint="eastAsia" w:ascii="宋体" w:hAnsi="宋体" w:cs="宋体"/>
          <w:bCs/>
          <w:color w:val="auto"/>
          <w:sz w:val="24"/>
        </w:rPr>
      </w:r>
      <w:r/>
    </w:p>
    <w:p>
      <w:pPr>
        <w:pStyle w:val="732"/>
        <w:rPr>
          <w:rFonts w:hint="eastAsia" w:ascii="宋体" w:hAnsi="宋体" w:cs="宋体"/>
          <w:color w:val="auto"/>
        </w:rPr>
      </w:pPr>
      <w:r>
        <w:rPr>
          <w:rFonts w:hint="eastAsia" w:ascii="宋体" w:hAnsi="宋体" w:cs="宋体"/>
          <w:color w:val="auto"/>
        </w:rPr>
      </w:r>
      <w:r/>
    </w:p>
    <w:p>
      <w:pPr>
        <w:pStyle w:val="732"/>
        <w:jc w:val="left"/>
        <w:rPr>
          <w:rFonts w:hint="eastAsia" w:ascii="宋体" w:hAnsi="宋体" w:cs="宋体"/>
          <w:b w:val="0"/>
          <w:bCs/>
          <w:i/>
          <w:iCs/>
          <w:color w:val="auto"/>
          <w:sz w:val="32"/>
          <w:szCs w:val="32"/>
          <w:u w:val="single"/>
        </w:rPr>
        <w:outlineLvl w:val="1"/>
      </w:pPr>
      <w:r>
        <w:rPr>
          <w:rFonts w:hint="eastAsia" w:ascii="宋体" w:hAnsi="宋体" w:cs="宋体"/>
          <w:b w:val="0"/>
          <w:bCs/>
          <w:i/>
          <w:iCs/>
          <w:color w:val="auto"/>
          <w:sz w:val="32"/>
          <w:szCs w:val="32"/>
          <w:u w:val="single"/>
        </w:rPr>
        <w:t xml:space="preserve">五、参加政府采购活动前 3 年内在经营活动中没有重大违法记录的书面声明</w:t>
      </w:r>
      <w:r/>
    </w:p>
    <w:p>
      <w:pPr>
        <w:pStyle w:val="732"/>
        <w:jc w:val="center"/>
        <w:spacing w:line="0" w:lineRule="atLeast"/>
        <w:rPr>
          <w:rFonts w:ascii="宋体" w:hAnsi="宋体" w:cs="宋体"/>
          <w:color w:val="auto"/>
        </w:rPr>
      </w:pPr>
      <w:r>
        <w:rPr>
          <w:rFonts w:hint="eastAsia" w:ascii="宋体" w:hAnsi="宋体" w:cs="宋体"/>
          <w:b/>
          <w:color w:val="auto"/>
          <w:sz w:val="44"/>
          <w:szCs w:val="44"/>
        </w:rPr>
        <w:t xml:space="preserve">声  明</w:t>
      </w:r>
      <w:r/>
    </w:p>
    <w:p>
      <w:pPr>
        <w:ind w:firstLine="480"/>
        <w:spacing w:line="460" w:lineRule="exact"/>
        <w:rPr>
          <w:rFonts w:ascii="宋体" w:hAnsi="宋体" w:cs="宋体"/>
          <w:bCs/>
          <w:color w:val="auto"/>
          <w:sz w:val="24"/>
        </w:rPr>
      </w:pPr>
      <w:r>
        <w:rPr>
          <w:rFonts w:hint="eastAsia" w:ascii="宋体" w:hAnsi="宋体" w:cs="宋体"/>
          <w:bCs/>
          <w:color w:val="auto"/>
          <w:sz w:val="24"/>
        </w:rPr>
        <w:t xml:space="preserve">我公司郑重声明：参加本次政府采购活动前3年内，我公司在经营活动中没有因违法经营受到刑事处罚或者责令停产停业、吊销许可证或者执照、较大数额罚款等行政处罚。</w:t>
      </w:r>
      <w:r/>
    </w:p>
    <w:p>
      <w:pPr>
        <w:pStyle w:val="732"/>
        <w:rPr>
          <w:rFonts w:hint="eastAsia" w:ascii="宋体" w:hAnsi="宋体" w:cs="宋体"/>
          <w:color w:val="auto"/>
        </w:rPr>
      </w:pPr>
      <w:r>
        <w:rPr>
          <w:rFonts w:hint="eastAsia" w:ascii="宋体" w:hAnsi="宋体" w:cs="宋体"/>
          <w:color w:val="auto"/>
        </w:rPr>
        <w:t xml:space="preserve"> </w:t>
      </w:r>
      <w:r/>
    </w:p>
    <w:p>
      <w:pPr>
        <w:pStyle w:val="732"/>
        <w:rPr>
          <w:rFonts w:hint="eastAsia" w:ascii="宋体" w:hAnsi="宋体" w:cs="宋体"/>
          <w:color w:val="auto"/>
        </w:rPr>
      </w:pPr>
      <w:r>
        <w:rPr>
          <w:rFonts w:hint="eastAsia" w:ascii="宋体" w:hAnsi="宋体" w:cs="宋体"/>
          <w:color w:val="auto"/>
        </w:rPr>
      </w:r>
      <w:r/>
    </w:p>
    <w:p>
      <w:pPr>
        <w:ind w:firstLine="480"/>
        <w:spacing w:line="460" w:lineRule="exact"/>
        <w:rPr>
          <w:rFonts w:ascii="宋体" w:hAnsi="宋体" w:cs="宋体"/>
          <w:bCs/>
          <w:color w:val="auto"/>
          <w:sz w:val="24"/>
        </w:rPr>
      </w:pPr>
      <w:r>
        <w:rPr>
          <w:rFonts w:hint="eastAsia" w:ascii="宋体" w:hAnsi="宋体" w:cs="宋体"/>
          <w:bCs/>
          <w:color w:val="auto"/>
          <w:sz w:val="24"/>
        </w:rPr>
        <w:t xml:space="preserve">                                       供应商名称（公章）：</w:t>
      </w:r>
      <w:r/>
    </w:p>
    <w:p>
      <w:pPr>
        <w:ind w:firstLine="480"/>
        <w:spacing w:line="460" w:lineRule="exact"/>
        <w:rPr>
          <w:rFonts w:ascii="宋体" w:hAnsi="宋体" w:cs="宋体"/>
          <w:bCs/>
          <w:color w:val="auto"/>
          <w:sz w:val="24"/>
        </w:rPr>
      </w:pPr>
      <w:r>
        <w:rPr>
          <w:rFonts w:hint="eastAsia" w:ascii="宋体" w:hAnsi="宋体" w:cs="宋体"/>
          <w:bCs/>
          <w:color w:val="auto"/>
          <w:sz w:val="24"/>
        </w:rPr>
        <w:t xml:space="preserve">                     法定代表人或授权委托人（签字或盖章）：</w:t>
      </w:r>
      <w:r/>
    </w:p>
    <w:p>
      <w:pPr>
        <w:ind w:firstLine="480"/>
        <w:spacing w:line="460" w:lineRule="exact"/>
        <w:rPr>
          <w:rFonts w:ascii="宋体" w:hAnsi="宋体" w:cs="宋体"/>
          <w:bCs/>
          <w:color w:val="auto"/>
          <w:sz w:val="24"/>
        </w:rPr>
      </w:pPr>
      <w:r>
        <w:rPr>
          <w:rFonts w:hint="eastAsia" w:ascii="宋体" w:hAnsi="宋体" w:cs="宋体"/>
          <w:bCs/>
          <w:color w:val="auto"/>
          <w:sz w:val="24"/>
        </w:rPr>
        <w:t xml:space="preserve">                              日期：______年</w:t>
      </w:r>
      <w:r>
        <w:rPr>
          <w:rFonts w:hint="eastAsia" w:ascii="宋体" w:hAnsi="宋体" w:cs="宋体"/>
          <w:bCs/>
          <w:color w:val="auto"/>
          <w:sz w:val="24"/>
          <w:u w:val="single"/>
        </w:rPr>
        <w:t xml:space="preserve">    </w:t>
      </w:r>
      <w:r>
        <w:rPr>
          <w:rFonts w:hint="eastAsia" w:ascii="宋体" w:hAnsi="宋体" w:cs="宋体"/>
          <w:bCs/>
          <w:color w:val="auto"/>
          <w:sz w:val="24"/>
        </w:rPr>
        <w:t xml:space="preserve">月</w:t>
      </w:r>
      <w:r>
        <w:rPr>
          <w:rFonts w:hint="eastAsia" w:ascii="宋体" w:hAnsi="宋体" w:cs="宋体"/>
          <w:bCs/>
          <w:color w:val="auto"/>
          <w:sz w:val="24"/>
          <w:u w:val="single"/>
        </w:rPr>
        <w:t xml:space="preserve">    </w:t>
      </w:r>
      <w:r>
        <w:rPr>
          <w:rFonts w:hint="eastAsia" w:ascii="宋体" w:hAnsi="宋体" w:cs="宋体"/>
          <w:bCs/>
          <w:color w:val="auto"/>
          <w:sz w:val="24"/>
        </w:rPr>
        <w:t xml:space="preserve">日</w:t>
      </w:r>
      <w:r/>
    </w:p>
    <w:p>
      <w:pPr>
        <w:pStyle w:val="732"/>
        <w:jc w:val="both"/>
        <w:rPr>
          <w:rFonts w:hint="eastAsia" w:ascii="宋体" w:hAnsi="宋体" w:cs="宋体"/>
          <w:b w:val="0"/>
          <w:bCs/>
          <w:i/>
          <w:iCs/>
          <w:color w:val="auto"/>
          <w:sz w:val="32"/>
          <w:szCs w:val="32"/>
          <w:u w:val="single"/>
        </w:rPr>
        <w:outlineLvl w:val="1"/>
      </w:pPr>
      <w:r>
        <w:rPr>
          <w:rFonts w:hint="eastAsia" w:ascii="宋体" w:hAnsi="宋体" w:cs="宋体"/>
          <w:b w:val="0"/>
          <w:bCs/>
          <w:i/>
          <w:iCs/>
          <w:color w:val="auto"/>
          <w:sz w:val="32"/>
          <w:szCs w:val="32"/>
          <w:u w:val="single"/>
        </w:rPr>
      </w:r>
      <w:r/>
    </w:p>
    <w:p>
      <w:pPr>
        <w:pStyle w:val="732"/>
        <w:jc w:val="left"/>
        <w:rPr>
          <w:rFonts w:hint="eastAsia" w:ascii="宋体" w:hAnsi="宋体" w:cs="宋体"/>
          <w:b w:val="0"/>
          <w:bCs/>
          <w:i/>
          <w:iCs/>
          <w:color w:val="auto"/>
          <w:sz w:val="32"/>
          <w:szCs w:val="32"/>
          <w:u w:val="single"/>
        </w:rPr>
        <w:outlineLvl w:val="1"/>
      </w:pPr>
      <w:r/>
      <w:bookmarkStart w:id="107" w:name="_Toc197644586"/>
      <w:r/>
      <w:bookmarkStart w:id="108" w:name="OLE_LINK6"/>
      <w:r>
        <w:rPr>
          <w:rFonts w:hint="eastAsia" w:ascii="宋体" w:hAnsi="宋体" w:cs="宋体"/>
          <w:b w:val="0"/>
          <w:bCs/>
          <w:i/>
          <w:iCs/>
          <w:color w:val="auto"/>
          <w:sz w:val="32"/>
          <w:szCs w:val="32"/>
          <w:u w:val="single"/>
        </w:rPr>
        <w:t xml:space="preserve">六、在“信用中国”网站查询，无被列入失信被执行人、重大税收违法案件当事人名单、政府采购严重失信行为记录名单及其他不符合《中华人民共和国政府采购法》第二十二条规定条件的信用记录。（投标文件中无需提供证明材料）</w:t>
      </w:r>
      <w:r/>
    </w:p>
    <w:p>
      <w:pPr>
        <w:pStyle w:val="732"/>
        <w:jc w:val="left"/>
        <w:rPr>
          <w:rFonts w:hint="eastAsia" w:ascii="宋体" w:hAnsi="宋体" w:cs="宋体"/>
          <w:b w:val="0"/>
          <w:bCs/>
          <w:i/>
          <w:iCs/>
          <w:color w:val="auto"/>
          <w:sz w:val="32"/>
          <w:szCs w:val="32"/>
          <w:u w:val="single"/>
        </w:rPr>
        <w:outlineLvl w:val="1"/>
      </w:pPr>
      <w:r>
        <w:rPr>
          <w:rFonts w:hint="eastAsia" w:ascii="宋体" w:hAnsi="宋体" w:cs="宋体"/>
          <w:b w:val="0"/>
          <w:bCs/>
          <w:i/>
          <w:iCs/>
          <w:color w:val="auto"/>
          <w:sz w:val="32"/>
          <w:szCs w:val="32"/>
          <w:u w:val="single"/>
        </w:rPr>
      </w:r>
      <w:r/>
    </w:p>
    <w:p>
      <w:pPr>
        <w:pStyle w:val="732"/>
        <w:jc w:val="left"/>
        <w:rPr>
          <w:rFonts w:hint="eastAsia" w:ascii="宋体" w:hAnsi="宋体" w:cs="宋体"/>
          <w:b w:val="0"/>
          <w:bCs/>
          <w:i/>
          <w:iCs/>
          <w:color w:val="auto"/>
          <w:sz w:val="32"/>
          <w:szCs w:val="32"/>
          <w:u w:val="single"/>
        </w:rPr>
        <w:outlineLvl w:val="1"/>
      </w:pPr>
      <w:r>
        <w:rPr>
          <w:rFonts w:hint="eastAsia" w:ascii="宋体" w:hAnsi="宋体" w:cs="宋体"/>
          <w:b w:val="0"/>
          <w:bCs/>
          <w:i/>
          <w:iCs/>
          <w:color w:val="auto"/>
          <w:sz w:val="32"/>
          <w:szCs w:val="32"/>
          <w:u w:val="single"/>
        </w:rPr>
        <w:t xml:space="preserve">七、单位负责人为同一人或者存在直接控股、管理关系的不同供应商，不得参加同一合同项下的政府采购活动。</w:t>
      </w:r>
      <w:r/>
    </w:p>
    <w:p>
      <w:pPr>
        <w:pStyle w:val="732"/>
        <w:jc w:val="center"/>
        <w:spacing w:line="0" w:lineRule="atLeast"/>
        <w:rPr>
          <w:rFonts w:hint="default" w:ascii="宋体" w:hAnsi="宋体" w:cs="宋体"/>
          <w:b/>
          <w:color w:val="auto"/>
          <w:sz w:val="44"/>
          <w:szCs w:val="44"/>
        </w:rPr>
      </w:pPr>
      <w:r>
        <w:rPr>
          <w:rFonts w:hint="eastAsia" w:ascii="宋体" w:hAnsi="宋体" w:cs="宋体"/>
          <w:b/>
          <w:color w:val="auto"/>
          <w:sz w:val="44"/>
          <w:szCs w:val="44"/>
        </w:rPr>
        <w:t xml:space="preserve">声  明</w:t>
      </w:r>
      <w:r/>
    </w:p>
    <w:p>
      <w:pPr>
        <w:ind w:firstLine="480"/>
        <w:spacing w:line="460" w:lineRule="exact"/>
        <w:rPr>
          <w:rFonts w:hint="eastAsia" w:ascii="宋体" w:hAnsi="宋体" w:cs="宋体"/>
          <w:bCs/>
          <w:color w:val="auto"/>
          <w:sz w:val="24"/>
        </w:rPr>
      </w:pPr>
      <w:r>
        <w:rPr>
          <w:rFonts w:hint="eastAsia" w:ascii="宋体" w:hAnsi="宋体" w:cs="宋体"/>
          <w:bCs/>
          <w:color w:val="auto"/>
          <w:sz w:val="24"/>
        </w:rPr>
        <w:t xml:space="preserve">我单位不存在：单位负责人为同一人或者存在直接控股、管理关系的不同供应商同时参加同一合同项下的政府采购活动。</w:t>
      </w:r>
      <w:r/>
    </w:p>
    <w:p>
      <w:pPr>
        <w:ind w:firstLine="480"/>
        <w:spacing w:line="460" w:lineRule="exact"/>
        <w:rPr>
          <w:rFonts w:hint="eastAsia" w:ascii="宋体" w:hAnsi="宋体" w:cs="宋体"/>
          <w:bCs/>
          <w:color w:val="auto"/>
          <w:sz w:val="24"/>
        </w:rPr>
      </w:pPr>
      <w:r>
        <w:rPr>
          <w:rFonts w:hint="eastAsia" w:ascii="宋体" w:hAnsi="宋体" w:cs="宋体"/>
          <w:bCs/>
          <w:color w:val="auto"/>
          <w:sz w:val="24"/>
        </w:rPr>
        <w:t xml:space="preserve">    </w:t>
      </w:r>
      <w:r>
        <w:rPr>
          <w:rFonts w:hint="eastAsia" w:ascii="宋体" w:hAnsi="宋体" w:cs="宋体"/>
          <w:bCs/>
          <w:color w:val="auto"/>
          <w:sz w:val="24"/>
          <w:lang w:val="en-US" w:eastAsia="zh-CN"/>
        </w:rPr>
        <w:t xml:space="preserve">                             </w:t>
      </w:r>
      <w:r>
        <w:rPr>
          <w:rFonts w:hint="eastAsia" w:ascii="宋体" w:hAnsi="宋体" w:cs="宋体"/>
          <w:bCs/>
          <w:color w:val="auto"/>
          <w:sz w:val="24"/>
        </w:rPr>
        <w:t xml:space="preserve"> 供应商名称（公章）：</w:t>
      </w:r>
      <w:r/>
    </w:p>
    <w:p>
      <w:pPr>
        <w:ind w:firstLine="480"/>
        <w:spacing w:line="460" w:lineRule="exact"/>
        <w:rPr>
          <w:rFonts w:hint="eastAsia" w:ascii="宋体" w:hAnsi="宋体" w:cs="宋体"/>
          <w:bCs/>
          <w:color w:val="auto"/>
          <w:sz w:val="24"/>
        </w:rPr>
      </w:pPr>
      <w:r>
        <w:rPr>
          <w:rFonts w:hint="eastAsia" w:ascii="宋体" w:hAnsi="宋体" w:cs="宋体"/>
          <w:bCs/>
          <w:color w:val="auto"/>
          <w:sz w:val="24"/>
        </w:rPr>
        <w:t xml:space="preserve">                     法定代表人或授权委托人（签字或盖章）：</w:t>
      </w:r>
      <w:r/>
    </w:p>
    <w:p>
      <w:pPr>
        <w:ind w:firstLine="480"/>
        <w:spacing w:line="460" w:lineRule="exact"/>
        <w:rPr>
          <w:rFonts w:hint="eastAsia" w:ascii="宋体" w:hAnsi="宋体" w:cs="宋体"/>
          <w:bCs/>
          <w:color w:val="auto"/>
          <w:sz w:val="24"/>
        </w:rPr>
      </w:pPr>
      <w:r>
        <w:rPr>
          <w:rFonts w:hint="eastAsia" w:ascii="宋体" w:hAnsi="宋体" w:cs="宋体"/>
          <w:bCs/>
          <w:color w:val="auto"/>
          <w:sz w:val="24"/>
        </w:rPr>
        <w:t xml:space="preserve">                              日期：______年    月    日</w:t>
      </w:r>
      <w:r/>
    </w:p>
    <w:p>
      <w:pPr>
        <w:pStyle w:val="732"/>
        <w:ind w:firstLine="866"/>
        <w:jc w:val="both"/>
        <w:spacing w:beforeAutospacing="0" w:afterAutospacing="0" w:line="0" w:lineRule="atLeast"/>
        <w:rPr>
          <w:rFonts w:hint="default" w:ascii="宋体" w:hAnsi="宋体" w:eastAsia="宋体" w:cs="Times New Roman"/>
          <w:color w:val="auto"/>
          <w:sz w:val="24"/>
          <w:szCs w:val="24"/>
          <w14:ligatures w14:val="none"/>
        </w:rPr>
      </w:pPr>
      <w:r>
        <w:rPr>
          <w:rFonts w:hint="default" w:ascii="宋体" w:hAnsi="宋体" w:eastAsia="宋体" w:cs="Times New Roman"/>
          <w:color w:val="auto"/>
          <w:sz w:val="24"/>
          <w:szCs w:val="24"/>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黑体"/>
          <w:b w:val="0"/>
          <w:bCs w:val="0"/>
          <w:i/>
          <w:iCs w:val="0"/>
          <w:color w:val="auto"/>
          <w:sz w:val="32"/>
          <w:szCs w:val="32"/>
          <w:u w:val="single"/>
          <w:lang w:val="en-US" w:eastAsia="zh-CN"/>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r>
      <w:r/>
    </w:p>
    <w:p>
      <w:pPr>
        <w:jc w:val="center"/>
        <w:rPr>
          <w:rFonts w:hint="eastAsia" w:ascii="宋体" w:hAnsi="宋体" w:eastAsia="宋体" w:cs="Times New Roman"/>
          <w:b w:val="0"/>
          <w:bCs w:val="0"/>
          <w:i/>
          <w:iCs w:val="0"/>
          <w:color w:val="auto"/>
          <w:sz w:val="32"/>
          <w:szCs w:val="32"/>
          <w:u w:val="single"/>
          <w14:ligatures w14:val="none"/>
        </w:rPr>
        <w:outlineLvl w:val="1"/>
      </w:pPr>
      <w:r>
        <w:rPr>
          <w:rFonts w:hint="eastAsia" w:ascii="宋体" w:hAnsi="宋体" w:eastAsia="宋体" w:cs="黑体"/>
          <w:b w:val="0"/>
          <w:bCs w:val="0"/>
          <w:i/>
          <w:iCs w:val="0"/>
          <w:color w:val="auto"/>
          <w:sz w:val="32"/>
          <w:szCs w:val="32"/>
          <w:u w:val="single"/>
          <w:lang w:val="en-US" w:eastAsia="zh-CN"/>
          <w14:ligatures w14:val="none"/>
        </w:rPr>
        <w:t xml:space="preserve">八</w:t>
      </w:r>
      <w:r>
        <w:rPr>
          <w:rFonts w:hint="eastAsia" w:ascii="宋体" w:hAnsi="宋体" w:eastAsia="宋体" w:cs="黑体"/>
          <w:b w:val="0"/>
          <w:bCs w:val="0"/>
          <w:i/>
          <w:iCs w:val="0"/>
          <w:color w:val="auto"/>
          <w:sz w:val="32"/>
          <w:szCs w:val="32"/>
          <w:u w:val="single"/>
          <w14:ligatures w14:val="none"/>
        </w:rPr>
        <w:t xml:space="preserve">、法人授权书</w:t>
      </w:r>
      <w:bookmarkEnd w:id="107"/>
      <w:r/>
      <w:r/>
    </w:p>
    <w:p>
      <w:pPr>
        <w:spacing w:line="360" w:lineRule="auto"/>
        <w:tabs>
          <w:tab w:val="left" w:pos="360" w:leader="none"/>
        </w:tabs>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r>
      <w:r/>
    </w:p>
    <w:p>
      <w:pPr>
        <w:ind w:firstLine="420"/>
        <w:spacing w:line="360" w:lineRule="auto"/>
        <w:tabs>
          <w:tab w:val="left" w:pos="360" w:leader="none"/>
        </w:tabs>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 xml:space="preserve">本授权书声明：____________（投标人名称）授权________________（被授权人的姓名）为我方就</w:t>
      </w:r>
      <w:r>
        <w:rPr>
          <w:rFonts w:hint="eastAsia" w:ascii="宋体" w:hAnsi="宋体" w:eastAsia="宋体" w:cs="宋体"/>
          <w:color w:val="auto"/>
          <w:sz w:val="24"/>
          <w:szCs w:val="24"/>
          <w:u w:val="single"/>
          <w:lang w:val="en-US" w:eastAsia="zh-CN"/>
        </w:rPr>
        <w:t xml:space="preserve">            </w:t>
      </w:r>
      <w:r>
        <w:rPr>
          <w:rFonts w:ascii="宋体" w:hAnsi="宋体" w:eastAsia="宋体" w:cs="Times New Roman"/>
          <w:color w:val="auto"/>
          <w:sz w:val="24"/>
          <w:szCs w:val="24"/>
          <w14:ligatures w14:val="none"/>
        </w:rPr>
        <w:t xml:space="preserve">号项目采购活动的合法代理人，以本单位名义全权处理一切与该项目采购有关的事务。</w:t>
      </w:r>
      <w:r/>
    </w:p>
    <w:p>
      <w:pPr>
        <w:ind w:firstLine="480"/>
        <w:spacing w:line="360" w:lineRule="auto"/>
        <w:tabs>
          <w:tab w:val="left" w:pos="360" w:leader="none"/>
        </w:tabs>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 xml:space="preserve">本授权书于______年____月____日起生效，特此声明。</w:t>
      </w:r>
      <w:r/>
    </w:p>
    <w:p>
      <w:pPr>
        <w:ind w:firstLine="420"/>
        <w:spacing w:line="360" w:lineRule="auto"/>
        <w:tabs>
          <w:tab w:val="left" w:pos="360" w:leader="none"/>
        </w:tabs>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 xml:space="preserve">被授权人身份证号码：</w:t>
      </w:r>
      <w:r>
        <w:rPr>
          <w:rFonts w:ascii="宋体" w:hAnsi="宋体" w:eastAsia="宋体" w:cs="Times New Roman"/>
          <w:color w:val="auto"/>
          <w:sz w:val="24"/>
          <w:szCs w:val="24"/>
          <w:u w:val="single"/>
          <w14:ligatures w14:val="none"/>
        </w:rPr>
        <w:t xml:space="preserve">                 </w:t>
      </w:r>
      <w:r/>
    </w:p>
    <w:p>
      <w:pPr>
        <w:ind w:firstLine="420"/>
        <w:spacing w:line="360" w:lineRule="auto"/>
        <w:tabs>
          <w:tab w:val="left" w:pos="360" w:leader="none"/>
        </w:tabs>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 xml:space="preserve">被授权人联系电话：（手机）</w:t>
      </w:r>
      <w:r>
        <w:rPr>
          <w:rFonts w:ascii="宋体" w:hAnsi="宋体" w:eastAsia="宋体" w:cs="Times New Roman"/>
          <w:color w:val="auto"/>
          <w:sz w:val="24"/>
          <w:szCs w:val="24"/>
          <w:u w:val="single"/>
          <w14:ligatures w14:val="none"/>
        </w:rPr>
        <w:t xml:space="preserve">              </w:t>
      </w:r>
      <w:r/>
    </w:p>
    <w:p>
      <w:pPr>
        <w:ind w:firstLine="420"/>
        <w:spacing w:line="360" w:lineRule="auto"/>
        <w:tabs>
          <w:tab w:val="left" w:pos="360" w:leader="none"/>
        </w:tabs>
        <w:rPr>
          <w:rFonts w:hint="eastAsia" w:ascii="宋体" w:hAnsi="宋体" w:eastAsia="宋体" w:cs="Times New Roman"/>
          <w:color w:val="auto"/>
          <w:sz w:val="24"/>
          <w:szCs w:val="24"/>
          <w:u w:val="single"/>
          <w14:ligatures w14:val="none"/>
        </w:rPr>
      </w:pPr>
      <w:r>
        <w:rPr>
          <w:rFonts w:ascii="宋体" w:hAnsi="宋体" w:eastAsia="宋体" w:cs="Times New Roman"/>
          <w:color w:val="auto"/>
          <w:sz w:val="24"/>
          <w:szCs w:val="24"/>
          <w14:ligatures w14:val="none"/>
        </w:rPr>
        <w:t xml:space="preserve">授权单位名称：</w:t>
      </w:r>
      <w:r>
        <w:rPr>
          <w:rFonts w:ascii="宋体" w:hAnsi="宋体" w:eastAsia="宋体" w:cs="Times New Roman"/>
          <w:color w:val="auto"/>
          <w:sz w:val="24"/>
          <w:szCs w:val="24"/>
          <w:u w:val="single"/>
          <w14:ligatures w14:val="none"/>
        </w:rPr>
        <w:t xml:space="preserve">（加盖CA电子公章）</w:t>
      </w:r>
      <w:r/>
    </w:p>
    <w:p>
      <w:pPr>
        <w:ind w:firstLine="420"/>
        <w:spacing w:line="360" w:lineRule="auto"/>
        <w:tabs>
          <w:tab w:val="left" w:pos="360" w:leader="none"/>
        </w:tabs>
        <w:rPr>
          <w:rFonts w:hint="eastAsia" w:ascii="宋体" w:hAnsi="宋体" w:eastAsia="宋体" w:cs="Times New Roman"/>
          <w:color w:val="auto"/>
          <w:sz w:val="24"/>
          <w:szCs w:val="24"/>
          <w:u w:val="single"/>
          <w14:ligatures w14:val="none"/>
        </w:rPr>
      </w:pPr>
      <w:r>
        <w:rPr>
          <w:rFonts w:ascii="宋体" w:hAnsi="宋体" w:eastAsia="宋体" w:cs="Times New Roman"/>
          <w:color w:val="auto"/>
          <w:sz w:val="24"/>
          <w:szCs w:val="24"/>
          <w14:ligatures w14:val="none"/>
        </w:rPr>
        <w:t xml:space="preserve">单位地址：</w:t>
      </w:r>
      <w:r>
        <w:rPr>
          <w:rFonts w:ascii="宋体" w:hAnsi="宋体" w:eastAsia="宋体" w:cs="Times New Roman"/>
          <w:color w:val="auto"/>
          <w:sz w:val="24"/>
          <w:szCs w:val="24"/>
          <w:u w:val="single"/>
          <w14:ligatures w14:val="none"/>
        </w:rPr>
        <w:t xml:space="preserve">                      </w:t>
      </w:r>
      <w:r/>
    </w:p>
    <w:p>
      <w:pPr>
        <w:ind w:firstLine="420"/>
        <w:spacing w:line="360" w:lineRule="auto"/>
        <w:tabs>
          <w:tab w:val="left" w:pos="360" w:leader="none"/>
        </w:tabs>
        <w:rPr>
          <w:rFonts w:hint="eastAsia" w:ascii="宋体" w:hAnsi="宋体" w:eastAsia="宋体" w:cs="Times New Roman"/>
          <w:color w:val="auto"/>
          <w:sz w:val="24"/>
          <w:szCs w:val="24"/>
          <w14:ligatures w14:val="none"/>
        </w:rPr>
      </w:pPr>
      <w:r>
        <w:rPr>
          <w:rFonts w:ascii="宋体" w:hAnsi="宋体" w:eastAsia="宋体" w:cs="Times New Roman"/>
          <w:color w:val="auto"/>
          <w:sz w:val="24"/>
          <w:szCs w:val="24"/>
          <w14:ligatures w14:val="none"/>
        </w:rPr>
        <w:t xml:space="preserve">日期：</w:t>
      </w:r>
      <w:r>
        <w:rPr>
          <w:rFonts w:ascii="宋体" w:hAnsi="宋体" w:eastAsia="宋体" w:cs="Times New Roman"/>
          <w:color w:val="auto"/>
          <w:sz w:val="24"/>
          <w:szCs w:val="24"/>
          <w:u w:val="single"/>
          <w14:ligatures w14:val="none"/>
        </w:rPr>
        <w:t xml:space="preserve">                        </w:t>
      </w:r>
      <w:bookmarkEnd w:id="108"/>
      <w:r/>
      <w:r/>
    </w:p>
    <w:p>
      <w:pPr>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r>
      <w:r/>
    </w:p>
    <w:p>
      <w:pPr>
        <w:jc w:val="left"/>
        <w:widowControl/>
        <w:rPr>
          <w:rFonts w:hint="eastAsia" w:ascii="宋体" w:hAnsi="宋体" w:eastAsia="宋体"/>
          <w:color w:val="auto"/>
        </w:rPr>
      </w:pPr>
      <w:r>
        <w:rPr>
          <w:rFonts w:hint="eastAsia" w:ascii="宋体" w:hAnsi="宋体" w:eastAsia="宋体"/>
          <w:color w:val="auto"/>
        </w:rPr>
      </w:r>
      <w:r/>
    </w:p>
    <w:p>
      <w:pPr>
        <w:pStyle w:val="716"/>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r>
      <w:r/>
    </w:p>
    <w:tbl>
      <w:tblPr>
        <w:tblStyle w:val="708"/>
        <w:tblW w:w="0" w:type="auto"/>
        <w:tblInd w:w="29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172"/>
        <w:gridCol w:w="4478"/>
      </w:tblGrid>
      <w:tr>
        <w:trPr>
          <w:trHeight w:val="3503"/>
        </w:trPr>
        <w:tc>
          <w:tcPr>
            <w:tcW w:w="4172" w:type="dxa"/>
            <w:vAlign w:val="top"/>
            <w:textDirection w:val="lrTb"/>
            <w:noWrap w:val="false"/>
          </w:tcPr>
          <w:p>
            <w:pPr>
              <w:ind w:firstLine="480"/>
              <w:jc w:val="center"/>
              <w:spacing w:line="460" w:lineRule="exact"/>
              <w:rPr>
                <w:rFonts w:hint="default"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t xml:space="preserve">法人身份证复印件</w:t>
            </w:r>
            <w:r/>
          </w:p>
          <w:p>
            <w:pPr>
              <w:pStyle w:val="908"/>
              <w:ind w:firstLine="480"/>
              <w:jc w:val="center"/>
              <w:rPr>
                <w:rFonts w:hint="default"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t xml:space="preserve">粘贴区</w:t>
            </w:r>
            <w:r/>
          </w:p>
        </w:tc>
        <w:tc>
          <w:tcPr>
            <w:tcW w:w="4478" w:type="dxa"/>
            <w:vAlign w:val="top"/>
            <w:textDirection w:val="lrTb"/>
            <w:noWrap w:val="false"/>
          </w:tcPr>
          <w:p>
            <w:pPr>
              <w:ind w:firstLine="480"/>
              <w:jc w:val="center"/>
              <w:spacing w:line="460" w:lineRule="exact"/>
              <w:rPr>
                <w:rFonts w:hint="default"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t xml:space="preserve">被授权人身份证复印件</w:t>
            </w:r>
            <w:r/>
          </w:p>
          <w:p>
            <w:pPr>
              <w:pStyle w:val="908"/>
              <w:ind w:firstLine="480"/>
              <w:jc w:val="center"/>
              <w:rPr>
                <w:rFonts w:hint="default"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t xml:space="preserve">粘贴区</w:t>
            </w:r>
            <w:r/>
          </w:p>
        </w:tc>
      </w:tr>
    </w:tbl>
    <w:p>
      <w:pPr>
        <w:jc w:val="left"/>
        <w:widowControl/>
        <w:rPr>
          <w:rFonts w:hint="eastAsia" w:ascii="宋体" w:hAnsi="宋体" w:eastAsia="宋体"/>
          <w:color w:val="auto"/>
        </w:rPr>
      </w:pPr>
      <w:r>
        <w:rPr>
          <w:rFonts w:hint="eastAsia" w:ascii="宋体" w:hAnsi="宋体" w:eastAsia="宋体"/>
          <w:color w:val="auto"/>
        </w:rPr>
      </w:r>
      <w:r/>
    </w:p>
    <w:p>
      <w:pPr>
        <w:jc w:val="center"/>
        <w:spacing w:line="360" w:lineRule="auto"/>
        <w:rPr>
          <w:rFonts w:hint="eastAsia" w:ascii="宋体" w:hAnsi="宋体" w:eastAsia="宋体" w:cs="黑体"/>
          <w:b/>
          <w:bCs/>
          <w:i/>
          <w:color w:val="auto"/>
          <w:sz w:val="30"/>
          <w:szCs w:val="30"/>
          <w:u w:val="single"/>
        </w:rPr>
        <w:outlineLvl w:val="9"/>
      </w:pPr>
      <w:r/>
      <w:bookmarkStart w:id="109" w:name="_Toc197644587"/>
      <w:r/>
      <w:r/>
    </w:p>
    <w:p>
      <w:pPr>
        <w:jc w:val="center"/>
        <w:spacing w:line="360" w:lineRule="auto"/>
        <w:rPr>
          <w:rFonts w:hint="eastAsia" w:ascii="宋体" w:hAnsi="宋体" w:eastAsia="宋体" w:cs="黑体"/>
          <w:b/>
          <w:bCs/>
          <w:i/>
          <w:color w:val="auto"/>
          <w:sz w:val="30"/>
          <w:szCs w:val="30"/>
          <w:u w:val="single"/>
        </w:rPr>
        <w:sectPr>
          <w:footerReference w:type="default" r:id="rId9"/>
          <w:footnotePr/>
          <w:endnotePr/>
          <w:type w:val="nextPage"/>
          <w:pgSz w:w="11906" w:h="16838" w:orient="portrait"/>
          <w:pgMar w:top="1417" w:right="1701" w:bottom="1417" w:left="1701" w:header="851" w:footer="680" w:gutter="0"/>
          <w:pgNumType w:start="1"/>
          <w:cols w:num="1" w:sep="0" w:space="0" w:equalWidth="1"/>
          <w:docGrid w:linePitch="360"/>
        </w:sectPr>
        <w:outlineLvl w:val="9"/>
      </w:pPr>
      <w:r>
        <w:rPr>
          <w:rFonts w:hint="eastAsia" w:ascii="宋体" w:hAnsi="宋体" w:eastAsia="宋体" w:cs="黑体"/>
          <w:b/>
          <w:bCs/>
          <w:i/>
          <w:color w:val="auto"/>
          <w:sz w:val="30"/>
          <w:szCs w:val="30"/>
          <w:u w:val="single"/>
        </w:rPr>
      </w:r>
      <w:r/>
    </w:p>
    <w:p>
      <w:pPr>
        <w:jc w:val="center"/>
        <w:spacing w:line="360" w:lineRule="auto"/>
        <w:rPr>
          <w:rFonts w:hint="eastAsia" w:ascii="宋体" w:hAnsi="宋体" w:eastAsia="宋体"/>
          <w:b w:val="0"/>
          <w:bCs w:val="0"/>
          <w:i/>
          <w:color w:val="auto"/>
          <w:sz w:val="32"/>
          <w:szCs w:val="32"/>
          <w:u w:val="single"/>
        </w:rPr>
        <w:outlineLvl w:val="1"/>
      </w:pPr>
      <w:r>
        <w:rPr>
          <w:rFonts w:hint="eastAsia" w:ascii="宋体" w:hAnsi="宋体" w:eastAsia="宋体" w:cs="黑体"/>
          <w:b/>
          <w:bCs/>
          <w:i w:val="0"/>
          <w:iCs/>
          <w:color w:val="auto"/>
          <w:sz w:val="32"/>
          <w:szCs w:val="32"/>
          <w:u w:val="single"/>
          <w:lang w:val="en-US" w:eastAsia="zh-CN"/>
        </w:rPr>
        <w:t xml:space="preserve">九</w:t>
      </w:r>
      <w:r>
        <w:rPr>
          <w:rFonts w:hint="eastAsia" w:ascii="宋体" w:hAnsi="宋体" w:eastAsia="宋体" w:cs="黑体"/>
          <w:b/>
          <w:bCs/>
          <w:i w:val="0"/>
          <w:iCs/>
          <w:color w:val="auto"/>
          <w:sz w:val="32"/>
          <w:szCs w:val="32"/>
          <w:u w:val="single"/>
        </w:rPr>
        <w:t xml:space="preserve">、投标函</w:t>
      </w:r>
      <w:bookmarkEnd w:id="109"/>
      <w:r/>
      <w:r/>
    </w:p>
    <w:p>
      <w:pPr>
        <w:spacing w:line="360" w:lineRule="auto"/>
        <w:rPr>
          <w:rFonts w:hint="eastAsia" w:ascii="宋体" w:hAnsi="宋体" w:eastAsia="宋体"/>
          <w:color w:val="auto"/>
        </w:rPr>
      </w:pPr>
      <w:r>
        <w:rPr>
          <w:rFonts w:hint="eastAsia" w:ascii="宋体" w:hAnsi="宋体" w:eastAsia="宋体"/>
          <w:color w:val="auto"/>
        </w:rPr>
      </w:r>
      <w:r/>
    </w:p>
    <w:p>
      <w:pPr>
        <w:jc w:val="left"/>
        <w:spacing w:line="360" w:lineRule="auto"/>
        <w:rPr>
          <w:rFonts w:hint="eastAsia" w:ascii="宋体" w:hAnsi="宋体" w:eastAsia="宋体" w:cs="宋体"/>
          <w:b/>
          <w:bCs/>
          <w:color w:val="auto"/>
          <w:sz w:val="24"/>
          <w:szCs w:val="24"/>
          <w14:ligatures w14:val="none"/>
        </w:rPr>
      </w:pPr>
      <w:r>
        <w:rPr>
          <w:rFonts w:hint="eastAsia" w:ascii="宋体" w:hAnsi="宋体" w:eastAsia="宋体" w:cs="宋体"/>
          <w:color w:val="auto"/>
          <w:sz w:val="24"/>
          <w:szCs w:val="24"/>
          <w14:ligatures w14:val="none"/>
        </w:rPr>
        <w:t xml:space="preserve">致： </w:t>
      </w:r>
      <w:r>
        <w:rPr>
          <w:rFonts w:hint="eastAsia" w:ascii="宋体" w:hAnsi="宋体" w:eastAsia="宋体" w:cs="宋体"/>
          <w:color w:val="auto"/>
          <w:sz w:val="24"/>
          <w:szCs w:val="24"/>
          <w:lang w:eastAsia="zh-CN"/>
          <w14:ligatures w14:val="none"/>
        </w:rPr>
        <w:t xml:space="preserve">盐城市射阳生态环境局</w:t>
      </w:r>
      <w:r/>
    </w:p>
    <w:p>
      <w:pPr>
        <w:ind w:firstLine="480"/>
        <w:jc w:val="left"/>
        <w:spacing w:line="360" w:lineRule="auto"/>
        <w:rPr>
          <w:rFonts w:hint="eastAsia" w:ascii="宋体" w:hAnsi="宋体" w:eastAsia="宋体" w:cs="Times New Roman"/>
          <w:color w:val="auto"/>
          <w:sz w:val="24"/>
          <w:szCs w:val="24"/>
          <w14:ligatures w14:val="none"/>
        </w:rPr>
      </w:pPr>
      <w:r/>
      <w:bookmarkStart w:id="110" w:name="_Hlk195802303"/>
      <w:r>
        <w:rPr>
          <w:rFonts w:hint="eastAsia" w:ascii="宋体" w:hAnsi="宋体" w:eastAsia="宋体" w:cs="宋体"/>
          <w:color w:val="auto"/>
          <w:sz w:val="24"/>
          <w:szCs w:val="24"/>
          <w14:ligatures w14:val="none"/>
        </w:rPr>
        <w:t xml:space="preserve">根据贵方的</w:t>
      </w:r>
      <w:r>
        <w:rPr>
          <w:rFonts w:hint="eastAsia" w:ascii="宋体" w:hAnsi="宋体" w:eastAsia="宋体" w:cs="宋体"/>
          <w:color w:val="auto"/>
          <w:sz w:val="24"/>
          <w:szCs w:val="24"/>
          <w:u w:val="single"/>
          <w:lang w:val="en-US" w:eastAsia="zh-CN"/>
        </w:rPr>
        <w:t xml:space="preserve">                 </w:t>
      </w:r>
      <w:r>
        <w:rPr>
          <w:rFonts w:hint="eastAsia" w:ascii="宋体" w:hAnsi="宋体" w:eastAsia="宋体" w:cs="宋体"/>
          <w:color w:val="auto"/>
          <w:sz w:val="24"/>
          <w:szCs w:val="24"/>
          <w14:ligatures w14:val="none"/>
        </w:rPr>
        <w:t xml:space="preserve">号招标文件，正式授权下述签字人______(姓名)代表我方______________（投标人的名称），全权处理本次项目投标的有关事宜。</w:t>
      </w:r>
      <w:bookmarkEnd w:id="110"/>
      <w:r/>
      <w:r/>
    </w:p>
    <w:p>
      <w:pPr>
        <w:ind w:firstLine="480"/>
        <w:jc w:val="left"/>
        <w:spacing w:line="360" w:lineRule="auto"/>
        <w:rPr>
          <w:rFonts w:hint="eastAsia" w:ascii="宋体" w:hAnsi="宋体" w:eastAsia="宋体" w:cs="Times New Roman"/>
          <w:color w:val="auto"/>
          <w:sz w:val="24"/>
          <w:szCs w:val="24"/>
          <w14:ligatures w14:val="none"/>
        </w:rPr>
      </w:pPr>
      <w:r/>
      <w:bookmarkStart w:id="111" w:name="_Hlk195802286"/>
      <w:r>
        <w:rPr>
          <w:rFonts w:hint="eastAsia" w:ascii="宋体" w:hAnsi="宋体" w:eastAsia="宋体" w:cs="宋体"/>
          <w:color w:val="auto"/>
          <w:sz w:val="24"/>
          <w:szCs w:val="24"/>
          <w14:ligatures w14:val="none"/>
        </w:rPr>
        <w:t xml:space="preserve">据此函，__________签字人兹宣布同意如下：</w:t>
      </w:r>
      <w:r/>
    </w:p>
    <w:p>
      <w:pPr>
        <w:ind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1.按招标文件规定的各项要求，向买方提供所需服务（包含与服务相关的货物）。</w:t>
      </w:r>
      <w:r/>
    </w:p>
    <w:p>
      <w:pPr>
        <w:ind w:firstLine="480"/>
        <w:jc w:val="left"/>
        <w:spacing w:line="360" w:lineRule="auto"/>
        <w:rPr>
          <w:rFonts w:hint="eastAsia" w:ascii="宋体" w:hAnsi="宋体" w:eastAsia="宋体" w:cs="Times New Roman"/>
          <w:color w:val="auto"/>
          <w:sz w:val="24"/>
          <w:szCs w:val="24"/>
          <w14:ligatures w14:val="none"/>
        </w:rPr>
        <w:outlineLvl w:val="2"/>
      </w:pPr>
      <w:r>
        <w:rPr>
          <w:rFonts w:hint="eastAsia" w:ascii="宋体" w:hAnsi="宋体" w:eastAsia="宋体" w:cs="宋体"/>
          <w:color w:val="auto"/>
          <w:sz w:val="24"/>
          <w:szCs w:val="24"/>
          <w14:ligatures w14:val="none"/>
        </w:rPr>
        <w:t xml:space="preserve">2.我们完全理解贵方不一定将合同授予最低报价的投标人。</w:t>
      </w:r>
      <w:r/>
    </w:p>
    <w:p>
      <w:pPr>
        <w:ind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3.我们已详细审核全部招标文件及其有效补充文件，我们知道必须放弃提出含糊不清或误解问题的权利。</w:t>
      </w:r>
      <w:r/>
    </w:p>
    <w:p>
      <w:pPr>
        <w:ind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4.我们同意从规定的开标日期起遵循本投标文件，并在规定的投标有效期期满之前均具有约束力。</w:t>
      </w:r>
      <w:r/>
    </w:p>
    <w:p>
      <w:pPr>
        <w:ind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5.同意向贵方提供贵方可能另外要求的与投标有关的任何证据或资料，并保证我方已提供和将要提供的文件是真实的、准确的。</w:t>
      </w:r>
      <w:r/>
    </w:p>
    <w:p>
      <w:pPr>
        <w:ind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6.一旦我方中标,我方将根据招标文件的规定，严格履行合同的责任和义务,并保证在招标文件规定的时间完成项目，交付买方验收、使用。</w:t>
      </w:r>
      <w:r/>
    </w:p>
    <w:p>
      <w:pPr>
        <w:ind w:firstLine="480"/>
        <w:jc w:val="left"/>
        <w:spacing w:line="360" w:lineRule="auto"/>
        <w:rPr>
          <w:rFonts w:hint="eastAsia" w:ascii="宋体" w:hAnsi="宋体" w:eastAsia="宋体" w:cs="Times New Roman"/>
          <w:color w:val="auto"/>
          <w:sz w:val="24"/>
          <w:szCs w:val="24"/>
          <w14:ligatures w14:val="none"/>
        </w:rPr>
        <w:outlineLvl w:val="2"/>
      </w:pPr>
      <w:r>
        <w:rPr>
          <w:rFonts w:hint="eastAsia" w:ascii="宋体" w:hAnsi="宋体" w:eastAsia="宋体" w:cs="宋体"/>
          <w:color w:val="auto"/>
          <w:sz w:val="24"/>
          <w:szCs w:val="24"/>
          <w14:ligatures w14:val="none"/>
        </w:rPr>
        <w:t xml:space="preserve">7.与本投标有关的正式通讯地址为：</w:t>
      </w:r>
      <w:r/>
    </w:p>
    <w:p>
      <w:pPr>
        <w:ind w:left="420"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地    址：</w:t>
      </w:r>
      <w:r/>
    </w:p>
    <w:p>
      <w:pPr>
        <w:ind w:left="420"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邮    编：</w:t>
      </w:r>
      <w:r/>
    </w:p>
    <w:p>
      <w:pPr>
        <w:ind w:left="420"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电    话：</w:t>
      </w:r>
      <w:r/>
    </w:p>
    <w:p>
      <w:pPr>
        <w:ind w:left="420"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传    真：</w:t>
      </w:r>
      <w:r/>
    </w:p>
    <w:p>
      <w:pPr>
        <w:ind w:left="420"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投标人开户行：</w:t>
      </w:r>
      <w:r/>
    </w:p>
    <w:p>
      <w:pPr>
        <w:ind w:left="420"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账    号： </w:t>
      </w:r>
      <w:r/>
    </w:p>
    <w:p>
      <w:pPr>
        <w:ind w:left="420" w:firstLine="480"/>
        <w:jc w:val="left"/>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日    期：________年____月____日</w:t>
      </w:r>
      <w:bookmarkEnd w:id="111"/>
      <w:r/>
      <w:r/>
    </w:p>
    <w:p>
      <w:pPr>
        <w:spacing w:line="360" w:lineRule="auto"/>
        <w:rPr>
          <w:rFonts w:hint="eastAsia" w:ascii="宋体" w:hAnsi="宋体" w:eastAsia="宋体"/>
          <w:color w:val="auto"/>
        </w:rPr>
      </w:pPr>
      <w:r>
        <w:rPr>
          <w:rFonts w:hint="eastAsia" w:ascii="宋体" w:hAnsi="宋体" w:eastAsia="宋体"/>
          <w:color w:val="auto"/>
        </w:rPr>
      </w:r>
      <w:r/>
    </w:p>
    <w:p>
      <w:pPr>
        <w:jc w:val="left"/>
        <w:widowControl/>
        <w:rPr>
          <w:rFonts w:hint="eastAsia" w:ascii="宋体" w:hAnsi="宋体" w:eastAsia="宋体"/>
          <w:color w:val="auto"/>
        </w:rPr>
      </w:pPr>
      <w:r>
        <w:rPr>
          <w:rFonts w:hint="eastAsia" w:ascii="宋体" w:hAnsi="宋体" w:eastAsia="宋体"/>
          <w:color w:val="auto"/>
        </w:rPr>
        <w:br w:type="page" w:clear="all"/>
      </w:r>
      <w:r/>
    </w:p>
    <w:p>
      <w:pPr>
        <w:jc w:val="center"/>
        <w:spacing w:line="360" w:lineRule="auto"/>
        <w:rPr>
          <w:rFonts w:hint="eastAsia" w:ascii="宋体" w:hAnsi="宋体" w:eastAsia="宋体"/>
          <w:b/>
          <w:bCs/>
          <w:i w:val="0"/>
          <w:iCs/>
          <w:color w:val="auto"/>
          <w:sz w:val="32"/>
          <w:szCs w:val="32"/>
          <w:u w:val="single"/>
        </w:rPr>
        <w:outlineLvl w:val="1"/>
      </w:pPr>
      <w:r/>
      <w:bookmarkStart w:id="112" w:name="_Toc197644588"/>
      <w:r>
        <w:rPr>
          <w:rFonts w:hint="eastAsia" w:ascii="宋体" w:hAnsi="宋体" w:eastAsia="宋体" w:cs="黑体"/>
          <w:b/>
          <w:bCs/>
          <w:i w:val="0"/>
          <w:iCs/>
          <w:color w:val="auto"/>
          <w:sz w:val="32"/>
          <w:szCs w:val="32"/>
          <w:u w:val="single"/>
          <w:lang w:val="en-US" w:eastAsia="zh-CN"/>
        </w:rPr>
        <w:t xml:space="preserve">十</w:t>
      </w:r>
      <w:r>
        <w:rPr>
          <w:rFonts w:hint="eastAsia" w:ascii="宋体" w:hAnsi="宋体" w:eastAsia="宋体" w:cs="黑体"/>
          <w:b/>
          <w:bCs/>
          <w:i w:val="0"/>
          <w:iCs/>
          <w:color w:val="auto"/>
          <w:sz w:val="32"/>
          <w:szCs w:val="32"/>
          <w:u w:val="single"/>
        </w:rPr>
        <w:t xml:space="preserve">、中</w:t>
      </w:r>
      <w:bookmarkStart w:id="113" w:name="OLE_LINK1"/>
      <w:r>
        <w:rPr>
          <w:rFonts w:hint="eastAsia" w:ascii="宋体" w:hAnsi="宋体" w:eastAsia="宋体" w:cs="黑体"/>
          <w:b/>
          <w:bCs/>
          <w:i w:val="0"/>
          <w:iCs/>
          <w:color w:val="auto"/>
          <w:sz w:val="32"/>
          <w:szCs w:val="32"/>
          <w:u w:val="single"/>
        </w:rPr>
        <w:t xml:space="preserve">小企业声明</w:t>
      </w:r>
      <w:bookmarkEnd w:id="113"/>
      <w:r>
        <w:rPr>
          <w:rFonts w:hint="eastAsia" w:ascii="宋体" w:hAnsi="宋体" w:eastAsia="宋体" w:cs="黑体"/>
          <w:b/>
          <w:bCs/>
          <w:i w:val="0"/>
          <w:iCs/>
          <w:color w:val="auto"/>
          <w:sz w:val="32"/>
          <w:szCs w:val="32"/>
          <w:u w:val="single"/>
        </w:rPr>
        <w:t xml:space="preserve">函（服务）</w:t>
      </w:r>
      <w:bookmarkEnd w:id="112"/>
      <w:r/>
      <w:r/>
    </w:p>
    <w:p>
      <w:pPr>
        <w:spacing w:line="360" w:lineRule="auto"/>
        <w:rPr>
          <w:rFonts w:hint="eastAsia" w:ascii="宋体" w:hAnsi="宋体" w:eastAsia="宋体"/>
          <w:color w:val="auto"/>
          <w:szCs w:val="21"/>
        </w:rPr>
      </w:pPr>
      <w:r>
        <w:rPr>
          <w:rFonts w:hint="eastAsia" w:ascii="宋体" w:hAnsi="宋体" w:eastAsia="宋体"/>
          <w:color w:val="auto"/>
          <w:szCs w:val="21"/>
        </w:rPr>
      </w:r>
      <w:r/>
    </w:p>
    <w:p>
      <w:pPr>
        <w:ind w:firstLine="372"/>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本公司郑重声明，根据《政府采购促进中小企业发展管理办法》（财库﹝2020﹞46 号）的规定，本公司参加</w:t>
      </w:r>
      <w:r>
        <w:rPr>
          <w:rFonts w:hint="eastAsia" w:ascii="宋体" w:hAnsi="宋体" w:eastAsia="宋体"/>
          <w:color w:val="auto"/>
          <w:sz w:val="24"/>
          <w:szCs w:val="24"/>
          <w:u w:val="single"/>
          <w:lang w:eastAsia="zh-CN"/>
        </w:rPr>
        <w:t xml:space="preserve">盐城市射阳生态环境局</w:t>
      </w:r>
      <w:r>
        <w:rPr>
          <w:rFonts w:hint="eastAsia" w:ascii="宋体" w:hAnsi="宋体" w:eastAsia="宋体"/>
          <w:color w:val="auto"/>
          <w:sz w:val="24"/>
          <w:szCs w:val="24"/>
        </w:rPr>
        <w:t xml:space="preserve">，项目编号为</w:t>
      </w:r>
      <w:r>
        <w:rPr>
          <w:rFonts w:hint="eastAsia" w:ascii="宋体" w:hAnsi="宋体" w:eastAsia="宋体" w:cs="宋体"/>
          <w:color w:val="auto"/>
          <w:sz w:val="24"/>
          <w:szCs w:val="24"/>
          <w:u w:val="single"/>
          <w:lang w:val="en-US" w:eastAsia="zh-CN"/>
        </w:rPr>
        <w:t xml:space="preserve">            </w:t>
      </w:r>
      <w:r>
        <w:rPr>
          <w:rFonts w:hint="eastAsia" w:ascii="宋体" w:hAnsi="宋体" w:eastAsia="宋体"/>
          <w:color w:val="auto"/>
          <w:sz w:val="24"/>
          <w:szCs w:val="24"/>
        </w:rPr>
        <w:t xml:space="preserve">的</w:t>
      </w:r>
      <w:r>
        <w:rPr>
          <w:rFonts w:hint="eastAsia" w:ascii="宋体" w:hAnsi="宋体" w:eastAsia="宋体"/>
          <w:color w:val="auto"/>
          <w:sz w:val="24"/>
          <w:szCs w:val="24"/>
          <w:u w:val="single"/>
          <w:lang w:val="en-US" w:eastAsia="zh-CN"/>
        </w:rPr>
        <w:t xml:space="preserve">  </w:t>
      </w:r>
      <w:r>
        <w:rPr>
          <w:rFonts w:hint="eastAsia" w:ascii="宋体" w:hAnsi="宋体" w:eastAsia="宋体" w:cs="Arial"/>
          <w:bCs/>
          <w:color w:val="auto"/>
          <w:sz w:val="24"/>
          <w:szCs w:val="24"/>
          <w:u w:val="single"/>
          <w:lang w:val="en-US" w:eastAsia="zh-CN"/>
        </w:rPr>
        <w:t xml:space="preserve">        </w:t>
      </w:r>
      <w:r>
        <w:rPr>
          <w:rFonts w:hint="eastAsia" w:ascii="宋体" w:hAnsi="宋体" w:eastAsia="宋体" w:cs="Arial"/>
          <w:bCs/>
          <w:color w:val="auto"/>
          <w:sz w:val="24"/>
          <w:szCs w:val="24"/>
          <w:u w:val="single"/>
        </w:rPr>
        <w:t xml:space="preserve">项目</w:t>
      </w:r>
      <w:r>
        <w:rPr>
          <w:rFonts w:hint="eastAsia" w:ascii="宋体" w:hAnsi="宋体" w:eastAsia="宋体"/>
          <w:color w:val="auto"/>
          <w:sz w:val="24"/>
          <w:szCs w:val="24"/>
        </w:rPr>
        <w:t xml:space="preserve">的采购活动，服务全部由符合政策要求的中小企业承接。相关企业的具体情况如下：</w:t>
      </w:r>
      <w:r/>
    </w:p>
    <w:p>
      <w:pPr>
        <w:ind w:firstLine="424"/>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1.</w:t>
      </w:r>
      <w:r>
        <w:rPr>
          <w:rFonts w:hint="eastAsia"/>
          <w:color w:val="auto"/>
          <w:sz w:val="24"/>
          <w:szCs w:val="28"/>
        </w:rPr>
        <w:t xml:space="preserve"> </w:t>
      </w:r>
      <w:r>
        <w:rPr>
          <w:rFonts w:hint="eastAsia" w:ascii="宋体" w:hAnsi="宋体" w:eastAsia="宋体"/>
          <w:b/>
          <w:bCs/>
          <w:color w:val="auto"/>
          <w:sz w:val="24"/>
          <w:szCs w:val="24"/>
          <w:u w:val="single"/>
          <w:lang w:val="en-US" w:eastAsia="zh-CN"/>
        </w:rPr>
        <w:t xml:space="preserve">   </w:t>
      </w:r>
      <w:r>
        <w:rPr>
          <w:rFonts w:hint="eastAsia" w:ascii="宋体" w:hAnsi="宋体" w:eastAsia="宋体"/>
          <w:color w:val="auto"/>
          <w:sz w:val="24"/>
          <w:szCs w:val="24"/>
          <w:u w:val="single"/>
          <w:lang w:val="en-US" w:eastAsia="zh-CN"/>
        </w:rPr>
        <w:t xml:space="preserve">（标的名称）  </w:t>
      </w:r>
      <w:r>
        <w:rPr>
          <w:rFonts w:hint="eastAsia" w:ascii="宋体" w:hAnsi="宋体" w:eastAsia="宋体"/>
          <w:b/>
          <w:bCs/>
          <w:color w:val="auto"/>
          <w:sz w:val="24"/>
          <w:szCs w:val="24"/>
          <w:u w:val="single"/>
          <w:lang w:val="en-US" w:eastAsia="zh-CN"/>
        </w:rPr>
        <w:t xml:space="preserve">        </w:t>
      </w:r>
      <w:r>
        <w:rPr>
          <w:rFonts w:hint="eastAsia" w:ascii="宋体" w:hAnsi="宋体" w:eastAsia="宋体"/>
          <w:color w:val="auto"/>
          <w:sz w:val="24"/>
          <w:szCs w:val="24"/>
        </w:rPr>
        <w:t xml:space="preserve">，属于</w:t>
      </w:r>
      <w:r>
        <w:rPr>
          <w:rFonts w:hint="eastAsia" w:ascii="宋体" w:hAnsi="宋体" w:eastAsia="宋体" w:cs="宋体"/>
          <w:b/>
          <w:bCs/>
          <w:color w:val="auto"/>
          <w:sz w:val="24"/>
          <w:szCs w:val="28"/>
          <w:u w:val="single"/>
          <w:lang w:val="en-US" w:eastAsia="zh-CN"/>
        </w:rPr>
        <w:t xml:space="preserve"> </w:t>
      </w:r>
      <w:r>
        <w:rPr>
          <w:rFonts w:hint="eastAsia" w:ascii="宋体" w:hAnsi="宋体" w:eastAsia="宋体"/>
          <w:color w:val="auto"/>
          <w:sz w:val="24"/>
          <w:szCs w:val="24"/>
          <w:u w:val="single"/>
          <w:lang w:val="en-US" w:eastAsia="zh-CN"/>
        </w:rPr>
        <w:t xml:space="preserve">（采购文件中明确的所属行业    ） </w:t>
      </w:r>
      <w:r>
        <w:rPr>
          <w:rFonts w:hint="eastAsia" w:ascii="宋体" w:hAnsi="宋体" w:eastAsia="宋体" w:cs="宋体"/>
          <w:b/>
          <w:bCs/>
          <w:color w:val="auto"/>
          <w:sz w:val="24"/>
          <w:szCs w:val="28"/>
          <w:u w:val="single"/>
          <w:lang w:val="en-US" w:eastAsia="zh-CN"/>
        </w:rPr>
        <w:t xml:space="preserve">   </w:t>
      </w:r>
      <w:r>
        <w:rPr>
          <w:rFonts w:hint="eastAsia" w:ascii="宋体" w:hAnsi="宋体" w:eastAsia="宋体"/>
          <w:color w:val="auto"/>
          <w:sz w:val="24"/>
          <w:szCs w:val="24"/>
        </w:rPr>
        <w:t xml:space="preserve">；承接企业为</w:t>
      </w:r>
      <w:r>
        <w:rPr>
          <w:rFonts w:hint="eastAsia" w:ascii="宋体" w:hAnsi="宋体" w:eastAsia="宋体"/>
          <w:color w:val="auto"/>
          <w:sz w:val="24"/>
          <w:szCs w:val="24"/>
          <w:u w:val="single"/>
        </w:rPr>
        <w:t xml:space="preserve">（企业名称）</w:t>
      </w:r>
      <w:r>
        <w:rPr>
          <w:rFonts w:hint="eastAsia" w:ascii="宋体" w:hAnsi="宋体" w:eastAsia="宋体"/>
          <w:color w:val="auto"/>
          <w:sz w:val="24"/>
          <w:szCs w:val="24"/>
        </w:rPr>
        <w:t xml:space="preserve">，从业人员</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人，营业收入为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万元，资产总额为</w:t>
      </w:r>
      <w:r>
        <w:rPr>
          <w:rFonts w:hint="eastAsia" w:ascii="宋体" w:hAnsi="宋体" w:eastAsia="宋体"/>
          <w:color w:val="auto"/>
          <w:sz w:val="24"/>
          <w:szCs w:val="24"/>
          <w:u w:val="single"/>
        </w:rPr>
        <w:t xml:space="preserve">    </w:t>
      </w:r>
      <w:r>
        <w:rPr>
          <w:rFonts w:hint="eastAsia" w:ascii="宋体" w:hAnsi="宋体" w:eastAsia="宋体"/>
          <w:color w:val="auto"/>
          <w:sz w:val="24"/>
          <w:szCs w:val="24"/>
        </w:rPr>
        <w:t xml:space="preserve">万元，属于（</w:t>
      </w:r>
      <w:r>
        <w:rPr>
          <w:rFonts w:hint="eastAsia" w:ascii="宋体" w:hAnsi="宋体" w:eastAsia="宋体"/>
          <w:color w:val="auto"/>
          <w:sz w:val="24"/>
          <w:szCs w:val="24"/>
          <w:u w:val="single"/>
        </w:rPr>
        <w:t xml:space="preserve">中型企业、小型企业、微型企业</w:t>
      </w:r>
      <w:r>
        <w:rPr>
          <w:rFonts w:hint="eastAsia" w:ascii="宋体" w:hAnsi="宋体" w:eastAsia="宋体"/>
          <w:color w:val="auto"/>
          <w:sz w:val="24"/>
          <w:szCs w:val="24"/>
        </w:rPr>
        <w:t xml:space="preserve">）</w:t>
      </w:r>
      <w:r/>
    </w:p>
    <w:p>
      <w:pPr>
        <w:ind w:firstLine="424"/>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以上企业，不属于大企业的分支机构，不存在控股股东为大企业的情形，也不存在与大企业的负责人为同一人的情形。</w:t>
      </w:r>
      <w:r/>
    </w:p>
    <w:p>
      <w:pPr>
        <w:ind w:firstLine="424"/>
        <w:spacing w:line="360" w:lineRule="auto"/>
        <w:rPr>
          <w:rFonts w:hint="eastAsia" w:ascii="宋体" w:hAnsi="宋体" w:eastAsia="宋体"/>
          <w:color w:val="auto"/>
          <w:sz w:val="24"/>
          <w:szCs w:val="24"/>
        </w:rPr>
      </w:pPr>
      <w:r>
        <w:rPr>
          <w:rFonts w:hint="eastAsia" w:ascii="宋体" w:hAnsi="宋体" w:eastAsia="宋体"/>
          <w:color w:val="auto"/>
          <w:sz w:val="24"/>
          <w:szCs w:val="24"/>
        </w:rPr>
        <w:t xml:space="preserve">本企业对上述声明内容的真实性负责。如有虚假，将依法承担相应责任。</w:t>
      </w:r>
      <w:r/>
    </w:p>
    <w:p>
      <w:pPr>
        <w:ind w:firstLine="424"/>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firstLine="424"/>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left="3570" w:firstLine="424"/>
        <w:spacing w:line="360" w:lineRule="auto"/>
        <w:rPr>
          <w:rFonts w:hint="eastAsia" w:ascii="宋体" w:hAnsi="宋体" w:eastAsia="宋体"/>
          <w:color w:val="auto"/>
          <w:sz w:val="24"/>
          <w:szCs w:val="24"/>
        </w:rPr>
      </w:pPr>
      <w:r>
        <w:rPr>
          <w:rFonts w:hint="eastAsia" w:ascii="宋体" w:hAnsi="宋体" w:eastAsia="宋体" w:cs="宋体"/>
          <w:color w:val="auto"/>
          <w:sz w:val="24"/>
          <w:szCs w:val="24"/>
        </w:rPr>
        <w:t xml:space="preserve">企业名称（加盖CA电子公章）：</w:t>
      </w:r>
      <w:r/>
    </w:p>
    <w:p>
      <w:pPr>
        <w:ind w:left="3570" w:firstLine="424"/>
        <w:spacing w:line="360" w:lineRule="auto"/>
        <w:rPr>
          <w:rFonts w:hint="eastAsia" w:ascii="宋体" w:hAnsi="宋体" w:eastAsia="宋体"/>
          <w:color w:val="auto"/>
          <w:sz w:val="24"/>
          <w:szCs w:val="24"/>
        </w:rPr>
      </w:pPr>
      <w:r>
        <w:rPr>
          <w:rFonts w:hint="eastAsia" w:ascii="宋体" w:hAnsi="宋体" w:eastAsia="宋体" w:cs="宋体"/>
          <w:color w:val="auto"/>
          <w:sz w:val="24"/>
          <w:szCs w:val="24"/>
        </w:rPr>
        <w:t xml:space="preserve">日  期：</w:t>
      </w:r>
      <w:r/>
    </w:p>
    <w:p>
      <w:pPr>
        <w:ind w:firstLine="424"/>
        <w:spacing w:line="360" w:lineRule="auto"/>
        <w:rPr>
          <w:rFonts w:hint="eastAsia" w:ascii="宋体" w:hAnsi="宋体" w:eastAsia="宋体"/>
          <w:color w:val="auto"/>
          <w:sz w:val="24"/>
          <w:szCs w:val="24"/>
        </w:rPr>
      </w:pPr>
      <w:r>
        <w:rPr>
          <w:rFonts w:hint="eastAsia" w:ascii="宋体" w:hAnsi="宋体" w:eastAsia="宋体"/>
          <w:color w:val="auto"/>
          <w:sz w:val="24"/>
          <w:szCs w:val="24"/>
        </w:rPr>
      </w:r>
      <w:r/>
    </w:p>
    <w:p>
      <w:pPr>
        <w:ind w:firstLine="424"/>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备注1：从业人员、营业收入、资产总额填报上一年度数据，无上一年度数据的新成立企业可不填报。</w:t>
      </w:r>
      <w:r/>
    </w:p>
    <w:p>
      <w:pPr>
        <w:ind w:firstLine="424"/>
        <w:spacing w:line="360" w:lineRule="auto"/>
        <w:rPr>
          <w:rFonts w:hint="eastAsia" w:ascii="宋体" w:hAnsi="宋体" w:eastAsia="宋体"/>
          <w:color w:val="auto"/>
          <w:sz w:val="24"/>
          <w:szCs w:val="24"/>
        </w:rPr>
      </w:pPr>
      <w:r>
        <w:rPr>
          <w:rFonts w:hint="eastAsia" w:ascii="宋体" w:hAnsi="宋体" w:eastAsia="宋体" w:cs="宋体"/>
          <w:color w:val="auto"/>
          <w:sz w:val="24"/>
          <w:szCs w:val="24"/>
        </w:rPr>
        <w:t xml:space="preserve">备注2：投标人如不提供此声明函，价格将不做相应扣除。</w:t>
      </w:r>
      <w:r/>
    </w:p>
    <w:p>
      <w:pPr>
        <w:jc w:val="left"/>
        <w:widowControl/>
        <w:rPr>
          <w:rFonts w:hint="eastAsia" w:ascii="宋体" w:hAnsi="宋体" w:eastAsia="宋体"/>
          <w:color w:val="auto"/>
          <w:sz w:val="24"/>
          <w:szCs w:val="24"/>
        </w:rPr>
      </w:pPr>
      <w:r>
        <w:rPr>
          <w:rFonts w:hint="eastAsia" w:ascii="宋体" w:hAnsi="宋体" w:eastAsia="宋体"/>
          <w:color w:val="auto"/>
          <w:sz w:val="24"/>
          <w:szCs w:val="24"/>
        </w:rPr>
        <w:br w:type="page" w:clear="all"/>
      </w:r>
      <w:r/>
    </w:p>
    <w:p>
      <w:pPr>
        <w:jc w:val="center"/>
        <w:spacing w:line="276" w:lineRule="auto"/>
        <w:rPr>
          <w:rFonts w:hint="eastAsia" w:ascii="宋体" w:hAnsi="宋体" w:eastAsia="宋体" w:cs="Times New Roman"/>
          <w:i w:val="0"/>
          <w:iCs w:val="0"/>
          <w:color w:val="auto"/>
          <w:sz w:val="32"/>
          <w:szCs w:val="32"/>
          <w:u w:val="single"/>
          <w14:ligatures w14:val="none"/>
        </w:rPr>
        <w:outlineLvl w:val="1"/>
      </w:pPr>
      <w:r>
        <w:rPr>
          <w:rFonts w:hint="eastAsia" w:ascii="宋体" w:hAnsi="宋体" w:eastAsia="宋体" w:cs="黑体"/>
          <w:b/>
          <w:color w:val="auto"/>
          <w:sz w:val="30"/>
          <w:szCs w:val="30"/>
          <w14:ligatures w14:val="none"/>
        </w:rPr>
        <w:t xml:space="preserve"> </w:t>
      </w:r>
      <w:bookmarkStart w:id="114" w:name="_Toc197644589"/>
      <w:r>
        <w:rPr>
          <w:rFonts w:hint="eastAsia" w:ascii="宋体" w:hAnsi="宋体" w:eastAsia="宋体" w:cs="黑体"/>
          <w:b/>
          <w:i w:val="0"/>
          <w:iCs w:val="0"/>
          <w:color w:val="auto"/>
          <w:sz w:val="32"/>
          <w:szCs w:val="32"/>
          <w:u w:val="single"/>
          <w14:ligatures w14:val="none"/>
        </w:rPr>
        <w:t xml:space="preserve">十</w:t>
      </w:r>
      <w:r>
        <w:rPr>
          <w:rFonts w:hint="eastAsia" w:ascii="宋体" w:hAnsi="宋体" w:eastAsia="宋体" w:cs="黑体"/>
          <w:b/>
          <w:i w:val="0"/>
          <w:iCs w:val="0"/>
          <w:color w:val="auto"/>
          <w:sz w:val="32"/>
          <w:szCs w:val="32"/>
          <w:u w:val="single"/>
          <w:lang w:val="en-US" w:eastAsia="zh-CN"/>
          <w14:ligatures w14:val="none"/>
        </w:rPr>
        <w:t xml:space="preserve">一</w:t>
      </w:r>
      <w:r>
        <w:rPr>
          <w:rFonts w:hint="eastAsia" w:ascii="宋体" w:hAnsi="宋体" w:eastAsia="宋体" w:cs="黑体"/>
          <w:b/>
          <w:i w:val="0"/>
          <w:iCs w:val="0"/>
          <w:color w:val="auto"/>
          <w:sz w:val="32"/>
          <w:szCs w:val="32"/>
          <w:u w:val="single"/>
          <w14:ligatures w14:val="none"/>
        </w:rPr>
        <w:t xml:space="preserve">、残疾人福利性单位声明函</w:t>
      </w:r>
      <w:bookmarkEnd w:id="114"/>
      <w:r/>
      <w:r/>
    </w:p>
    <w:p>
      <w:pPr>
        <w:spacing w:line="360"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r>
      <w:r/>
    </w:p>
    <w:p>
      <w:pPr>
        <w:ind w:firstLine="420"/>
        <w:spacing w:line="360" w:lineRule="auto"/>
        <w:rPr>
          <w:rFonts w:hint="eastAsia" w:ascii="宋体" w:hAnsi="宋体" w:eastAsia="宋体" w:cs="Times New Roman"/>
          <w:color w:val="auto"/>
          <w:sz w:val="24"/>
          <w:szCs w:val="24"/>
          <w14:ligatures w14:val="none"/>
        </w:rPr>
      </w:pPr>
      <w:r/>
      <w:bookmarkStart w:id="115" w:name="_Hlk195801533"/>
      <w:r>
        <w:rPr>
          <w:rFonts w:hint="eastAsia" w:ascii="宋体" w:hAnsi="宋体" w:eastAsia="宋体" w:cs="宋体"/>
          <w:color w:val="auto"/>
          <w:sz w:val="24"/>
          <w:szCs w:val="24"/>
          <w14:ligatures w14:val="none"/>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14:ligatures w14:val="none"/>
        </w:rPr>
        <w:t xml:space="preserve">项目（分包号：**）采购活动由本单位提供服务。</w:t>
      </w:r>
      <w:bookmarkEnd w:id="115"/>
      <w:r/>
      <w:r/>
    </w:p>
    <w:p>
      <w:pPr>
        <w:ind w:firstLine="480"/>
        <w:spacing w:line="360" w:lineRule="auto"/>
        <w:rPr>
          <w:rFonts w:hint="eastAsia" w:ascii="宋体" w:hAnsi="宋体" w:eastAsia="宋体" w:cs="Times New Roman"/>
          <w:color w:val="auto"/>
          <w:sz w:val="24"/>
          <w:szCs w:val="24"/>
          <w14:ligatures w14:val="none"/>
        </w:rPr>
      </w:pPr>
      <w:r/>
      <w:bookmarkStart w:id="116" w:name="_Hlk195801544"/>
      <w:r>
        <w:rPr>
          <w:rFonts w:hint="eastAsia" w:ascii="宋体" w:hAnsi="宋体" w:eastAsia="宋体" w:cs="宋体"/>
          <w:color w:val="auto"/>
          <w:sz w:val="24"/>
          <w:szCs w:val="24"/>
          <w14:ligatures w14:val="none"/>
        </w:rPr>
        <w:t xml:space="preserve">本单位对上述声明的真实性负责。如有虚假，将依法承担相应责任。</w:t>
      </w:r>
      <w:bookmarkEnd w:id="116"/>
      <w:r/>
      <w:r/>
    </w:p>
    <w:p>
      <w:pPr>
        <w:spacing w:line="360" w:lineRule="auto"/>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r>
      <w:r/>
    </w:p>
    <w:p>
      <w:pPr>
        <w:ind w:firstLine="480"/>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备注：1、供应商如不提供此声明函，价格将不做相应扣除（如项目全面面向中小企业，则资格审查不通过）。</w:t>
      </w:r>
      <w:r/>
    </w:p>
    <w:p>
      <w:pPr>
        <w:ind w:firstLine="480"/>
        <w:spacing w:line="360" w:lineRule="auto"/>
        <w:rPr>
          <w:rFonts w:hint="eastAsia" w:ascii="宋体" w:hAnsi="宋体" w:eastAsia="宋体" w:cs="Times New Roman"/>
          <w:color w:val="auto"/>
          <w:sz w:val="24"/>
          <w:szCs w:val="24"/>
          <w14:ligatures w14:val="none"/>
        </w:rPr>
      </w:pPr>
      <w:r>
        <w:rPr>
          <w:rFonts w:hint="eastAsia" w:ascii="宋体" w:hAnsi="宋体" w:eastAsia="宋体" w:cs="宋体"/>
          <w:color w:val="auto"/>
          <w:sz w:val="24"/>
          <w:szCs w:val="24"/>
          <w14:ligatures w14:val="none"/>
        </w:rPr>
        <w:t xml:space="preserve">2、中标人为残疾人福利单位的，此声明函将随中标结果同时公告，接受社会监督</w:t>
      </w:r>
      <w:r/>
    </w:p>
    <w:p>
      <w:pPr>
        <w:spacing w:line="360" w:lineRule="auto"/>
        <w:rPr>
          <w:rFonts w:hint="eastAsia" w:ascii="宋体" w:hAnsi="宋体" w:eastAsia="宋体" w:cs="Times New Roman"/>
          <w:color w:val="auto"/>
          <w:sz w:val="24"/>
          <w:szCs w:val="24"/>
          <w14:ligatures w14:val="none"/>
        </w:rPr>
      </w:pPr>
      <w:r>
        <w:rPr>
          <w:rFonts w:hint="eastAsia" w:ascii="宋体" w:hAnsi="宋体" w:eastAsia="宋体" w:cs="Times New Roman"/>
          <w:color w:val="auto"/>
          <w:sz w:val="24"/>
          <w:szCs w:val="24"/>
          <w14:ligatures w14:val="none"/>
        </w:rPr>
      </w:r>
      <w:r/>
    </w:p>
    <w:p>
      <w:pPr>
        <w:ind w:firstLine="480"/>
        <w:spacing w:line="360" w:lineRule="auto"/>
        <w:rPr>
          <w:rFonts w:hint="eastAsia" w:ascii="宋体" w:hAnsi="宋体" w:eastAsia="宋体" w:cs="宋体"/>
          <w:color w:val="auto"/>
          <w:sz w:val="24"/>
          <w:szCs w:val="24"/>
          <w14:ligatures w14:val="none"/>
        </w:rPr>
      </w:pPr>
      <w:r>
        <w:rPr>
          <w:rFonts w:ascii="宋体" w:hAnsi="宋体" w:eastAsia="宋体" w:cs="仿宋_GB2312"/>
          <w:color w:val="auto"/>
          <w:sz w:val="24"/>
          <w:szCs w:val="24"/>
          <w14:ligatures w14:val="none"/>
        </w:rPr>
        <w:t xml:space="preserve">        </w:t>
      </w:r>
      <w:r>
        <w:rPr>
          <w:rFonts w:hint="eastAsia" w:ascii="宋体" w:hAnsi="宋体" w:eastAsia="宋体" w:cs="仿宋_GB2312"/>
          <w:color w:val="auto"/>
          <w:sz w:val="24"/>
          <w:szCs w:val="24"/>
          <w:lang w:val="en-US" w:eastAsia="zh-CN"/>
          <w14:ligatures w14:val="none"/>
        </w:rPr>
        <w:t xml:space="preserve">       </w:t>
      </w:r>
      <w:r>
        <w:rPr>
          <w:rFonts w:ascii="宋体" w:hAnsi="宋体" w:eastAsia="宋体" w:cs="仿宋_GB2312"/>
          <w:color w:val="auto"/>
          <w:sz w:val="24"/>
          <w:szCs w:val="24"/>
          <w14:ligatures w14:val="none"/>
        </w:rPr>
        <w:t xml:space="preserve">  </w:t>
      </w:r>
      <w:r>
        <w:rPr>
          <w:rFonts w:hint="eastAsia" w:ascii="宋体" w:hAnsi="宋体" w:eastAsia="宋体" w:cs="宋体"/>
          <w:color w:val="auto"/>
          <w:sz w:val="24"/>
          <w:szCs w:val="24"/>
          <w14:ligatures w14:val="none"/>
        </w:rPr>
        <w:t xml:space="preserve"> 供应商全称（加盖CA电子公章）：</w:t>
      </w:r>
      <w:r/>
    </w:p>
    <w:p>
      <w:pPr>
        <w:ind w:firstLine="480"/>
        <w:spacing w:line="360"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       </w:t>
      </w:r>
      <w:r>
        <w:rPr>
          <w:rFonts w:hint="eastAsia" w:ascii="宋体" w:hAnsi="宋体" w:eastAsia="宋体" w:cs="宋体"/>
          <w:color w:val="auto"/>
          <w:sz w:val="24"/>
          <w:szCs w:val="24"/>
          <w:lang w:val="en-US" w:eastAsia="zh-CN"/>
          <w14:ligatures w14:val="none"/>
        </w:rPr>
        <w:t xml:space="preserve">                            </w:t>
      </w:r>
      <w:r>
        <w:rPr>
          <w:rFonts w:hint="eastAsia" w:ascii="宋体" w:hAnsi="宋体" w:eastAsia="宋体" w:cs="宋体"/>
          <w:color w:val="auto"/>
          <w:sz w:val="24"/>
          <w:szCs w:val="24"/>
          <w14:ligatures w14:val="none"/>
        </w:rPr>
        <w:t xml:space="preserve">  日  期：</w:t>
      </w:r>
      <w:r/>
    </w:p>
    <w:p>
      <w:pPr>
        <w:spacing w:line="360" w:lineRule="auto"/>
        <w:rPr>
          <w:rFonts w:hint="eastAsia" w:ascii="宋体" w:hAnsi="宋体" w:eastAsia="宋体"/>
          <w:color w:val="auto"/>
          <w:szCs w:val="21"/>
        </w:rPr>
      </w:pPr>
      <w:r>
        <w:rPr>
          <w:rFonts w:hint="eastAsia" w:ascii="宋体" w:hAnsi="宋体" w:eastAsia="宋体"/>
          <w:color w:val="auto"/>
          <w:szCs w:val="21"/>
        </w:rPr>
      </w:r>
      <w:r/>
    </w:p>
    <w:p>
      <w:pPr>
        <w:jc w:val="center"/>
        <w:spacing w:line="276" w:lineRule="auto"/>
        <w:rPr>
          <w:rFonts w:hint="eastAsia" w:ascii="宋体" w:hAnsi="宋体" w:eastAsia="宋体" w:cs="黑体"/>
          <w:b/>
          <w:color w:val="auto"/>
          <w:sz w:val="32"/>
          <w:szCs w:val="32"/>
          <w:u w:val="single"/>
          <w14:ligatures w14:val="none"/>
        </w:rPr>
        <w:outlineLvl w:val="1"/>
      </w:pPr>
      <w:r>
        <w:rPr>
          <w:rFonts w:hint="eastAsia" w:ascii="宋体" w:hAnsi="宋体" w:eastAsia="宋体"/>
          <w:color w:val="auto"/>
          <w:szCs w:val="21"/>
        </w:rPr>
        <w:br w:type="page" w:clear="all"/>
      </w:r>
      <w:r>
        <w:rPr>
          <w:rFonts w:hint="eastAsia" w:ascii="宋体" w:hAnsi="宋体" w:eastAsia="宋体" w:cs="黑体"/>
          <w:b/>
          <w:color w:val="auto"/>
          <w:sz w:val="32"/>
          <w:szCs w:val="32"/>
          <w:u w:val="single"/>
          <w14:ligatures w14:val="none"/>
        </w:rPr>
        <w:t xml:space="preserve">十</w:t>
      </w:r>
      <w:r>
        <w:rPr>
          <w:rFonts w:hint="eastAsia" w:ascii="宋体" w:hAnsi="宋体" w:eastAsia="宋体" w:cs="黑体"/>
          <w:b/>
          <w:color w:val="auto"/>
          <w:sz w:val="32"/>
          <w:szCs w:val="32"/>
          <w:u w:val="single"/>
          <w:lang w:val="en-US" w:eastAsia="zh-CN"/>
          <w14:ligatures w14:val="none"/>
        </w:rPr>
        <w:t xml:space="preserve">二</w:t>
      </w:r>
      <w:r>
        <w:rPr>
          <w:rFonts w:hint="eastAsia" w:ascii="宋体" w:hAnsi="宋体" w:eastAsia="宋体" w:cs="黑体"/>
          <w:b/>
          <w:color w:val="auto"/>
          <w:sz w:val="32"/>
          <w:szCs w:val="32"/>
          <w:u w:val="single"/>
          <w14:ligatures w14:val="none"/>
        </w:rPr>
        <w:t xml:space="preserve">、开标一览表</w:t>
      </w:r>
      <w:r/>
    </w:p>
    <w:p>
      <w:pPr>
        <w:spacing w:line="276"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r>
      <w:r/>
    </w:p>
    <w:p>
      <w:pPr>
        <w:ind w:firstLine="5908"/>
        <w:jc w:val="left"/>
        <w:rPr>
          <w:rFonts w:ascii="宋体" w:hAnsi="宋体"/>
          <w:b/>
          <w:bCs/>
          <w:sz w:val="24"/>
        </w:rPr>
      </w:pPr>
      <w:r>
        <w:rPr>
          <w:rFonts w:hint="eastAsia" w:ascii="宋体" w:hAnsi="宋体"/>
          <w:b/>
          <w:bCs/>
          <w:sz w:val="24"/>
        </w:rPr>
        <w:t xml:space="preserve">货币单位：人民币元</w:t>
      </w:r>
      <w:r/>
    </w:p>
    <w:p>
      <w:pPr>
        <w:pStyle w:val="732"/>
        <w:jc w:val="both"/>
        <w:spacing w:beforeAutospacing="0" w:afterAutospacing="0"/>
        <w:rPr>
          <w:rFonts w:ascii="宋体" w:hAnsi="宋体" w:cs="宋体"/>
        </w:rPr>
      </w:pPr>
      <w:r>
        <w:rPr>
          <w:rFonts w:ascii="宋体" w:hAnsi="宋体" w:cs="宋体"/>
        </w:rPr>
      </w:r>
      <w:r/>
    </w:p>
    <w:tbl>
      <w:tblPr>
        <w:tblStyle w:val="708"/>
        <w:tblpPr w:horzAnchor="page" w:tblpXSpec="center" w:vertAnchor="text" w:tblpY="165" w:leftFromText="180" w:topFromText="0" w:rightFromText="180" w:bottomFromText="0"/>
        <w:tblW w:w="972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6"/>
        <w:gridCol w:w="8214"/>
      </w:tblGrid>
      <w:tr>
        <w:trPr>
          <w:cantSplit/>
          <w:jc w:val="center"/>
          <w:trHeight w:val="965"/>
        </w:trPr>
        <w:tc>
          <w:tcPr>
            <w:tcBorders>
              <w:bottom w:val="single" w:color="auto" w:sz="4" w:space="0"/>
            </w:tcBorders>
            <w:tcW w:w="1506" w:type="dxa"/>
            <w:vAlign w:val="center"/>
            <w:textDirection w:val="lrTb"/>
            <w:noWrap w:val="false"/>
          </w:tcPr>
          <w:p>
            <w:pPr>
              <w:jc w:val="center"/>
              <w:rPr>
                <w:rFonts w:hint="eastAsia" w:hAnsi="宋体" w:eastAsia="宋体"/>
                <w:sz w:val="24"/>
                <w:szCs w:val="24"/>
                <w:highlight w:val="none"/>
              </w:rPr>
            </w:pPr>
            <w:r>
              <w:rPr>
                <w:rFonts w:hint="eastAsia" w:hAnsi="宋体" w:eastAsia="宋体"/>
                <w:sz w:val="24"/>
                <w:szCs w:val="24"/>
                <w:highlight w:val="none"/>
              </w:rPr>
              <w:t xml:space="preserve">项目名称</w:t>
            </w:r>
            <w:r/>
          </w:p>
        </w:tc>
        <w:tc>
          <w:tcPr>
            <w:tcBorders>
              <w:bottom w:val="single" w:color="auto" w:sz="4" w:space="0"/>
            </w:tcBorders>
            <w:tcW w:w="8214" w:type="dxa"/>
            <w:vAlign w:val="center"/>
            <w:textDirection w:val="lrTb"/>
            <w:noWrap w:val="false"/>
          </w:tcPr>
          <w:p>
            <w:pPr>
              <w:rPr>
                <w:rFonts w:hint="eastAsia" w:hAnsi="宋体" w:eastAsia="宋体"/>
                <w:sz w:val="24"/>
                <w:szCs w:val="24"/>
                <w:highlight w:val="none"/>
              </w:rPr>
            </w:pPr>
            <w:r>
              <w:rPr>
                <w:rFonts w:hint="eastAsia" w:hAnsi="宋体" w:cs="Times New Roman"/>
                <w:sz w:val="24"/>
                <w:szCs w:val="24"/>
                <w:highlight w:val="none"/>
                <w:lang w:val="en-US" w:eastAsia="zh-CN"/>
              </w:rPr>
              <w:t xml:space="preserve">盐城市射阳生态环境局射阳县第二轮生物多样性本底调查</w:t>
            </w:r>
            <w:r/>
          </w:p>
        </w:tc>
      </w:tr>
      <w:tr>
        <w:trPr>
          <w:cantSplit/>
          <w:jc w:val="center"/>
          <w:trHeight w:val="920"/>
        </w:trPr>
        <w:tc>
          <w:tcPr>
            <w:gridSpan w:val="2"/>
            <w:tcW w:w="9720" w:type="dxa"/>
            <w:vAlign w:val="center"/>
            <w:textDirection w:val="lrTb"/>
            <w:noWrap w:val="false"/>
          </w:tcPr>
          <w:p>
            <w:pPr>
              <w:rPr>
                <w:rFonts w:hint="eastAsia" w:hAnsi="宋体" w:eastAsia="宋体"/>
                <w:sz w:val="24"/>
                <w:szCs w:val="24"/>
                <w:highlight w:val="none"/>
              </w:rPr>
            </w:pPr>
            <w:r>
              <w:rPr>
                <w:rFonts w:hint="eastAsia" w:hAnsi="宋体" w:eastAsia="宋体"/>
                <w:sz w:val="24"/>
                <w:szCs w:val="24"/>
                <w:highlight w:val="none"/>
              </w:rPr>
              <w:t xml:space="preserve">投标报价（大写）： </w:t>
            </w:r>
            <w:r>
              <w:rPr>
                <w:rFonts w:hint="eastAsia" w:hAnsi="宋体" w:eastAsia="宋体"/>
                <w:sz w:val="24"/>
                <w:szCs w:val="24"/>
                <w:highlight w:val="none"/>
                <w:u w:val="single"/>
              </w:rPr>
              <w:t xml:space="preserve">                      </w:t>
            </w:r>
            <w:r>
              <w:rPr>
                <w:rFonts w:hint="eastAsia" w:hAnsi="宋体" w:eastAsia="宋体"/>
                <w:sz w:val="24"/>
                <w:szCs w:val="24"/>
                <w:highlight w:val="none"/>
              </w:rPr>
              <w:t xml:space="preserve">          小写： </w:t>
            </w:r>
            <w:r>
              <w:rPr>
                <w:rFonts w:hint="eastAsia" w:hAnsi="宋体" w:eastAsia="宋体"/>
                <w:sz w:val="24"/>
                <w:szCs w:val="24"/>
                <w:highlight w:val="none"/>
                <w:u w:val="single"/>
              </w:rPr>
              <w:t xml:space="preserve">                      </w:t>
            </w:r>
            <w:r>
              <w:rPr>
                <w:rFonts w:hint="eastAsia" w:hAnsi="宋体" w:eastAsia="宋体"/>
                <w:sz w:val="24"/>
                <w:szCs w:val="24"/>
                <w:highlight w:val="none"/>
                <w:u w:val="none"/>
              </w:rPr>
              <w:t xml:space="preserve">                 </w:t>
            </w:r>
            <w:r/>
          </w:p>
        </w:tc>
      </w:tr>
      <w:tr>
        <w:trPr>
          <w:cantSplit/>
          <w:jc w:val="center"/>
          <w:trHeight w:val="780"/>
        </w:trPr>
        <w:tc>
          <w:tcPr>
            <w:gridSpan w:val="2"/>
            <w:tcW w:w="9720" w:type="dxa"/>
            <w:vAlign w:val="center"/>
            <w:textDirection w:val="lrTb"/>
            <w:noWrap w:val="false"/>
          </w:tcPr>
          <w:p>
            <w:pPr>
              <w:rPr>
                <w:rFonts w:hint="eastAsia" w:hAnsi="宋体" w:eastAsia="宋体"/>
                <w:sz w:val="24"/>
                <w:szCs w:val="24"/>
                <w:highlight w:val="none"/>
              </w:rPr>
            </w:pPr>
            <w:r>
              <w:rPr>
                <w:rFonts w:hint="eastAsia" w:hAnsi="宋体" w:eastAsia="宋体"/>
                <w:sz w:val="24"/>
                <w:szCs w:val="24"/>
                <w:highlight w:val="none"/>
              </w:rPr>
              <w:t xml:space="preserve">合同履行期限：</w:t>
            </w:r>
            <w:r/>
          </w:p>
        </w:tc>
      </w:tr>
    </w:tbl>
    <w:p>
      <w:pPr>
        <w:pStyle w:val="732"/>
        <w:jc w:val="both"/>
        <w:spacing w:beforeAutospacing="0" w:afterAutospacing="0"/>
        <w:rPr>
          <w:rFonts w:ascii="宋体" w:hAnsi="宋体" w:cs="宋体"/>
        </w:rPr>
      </w:pPr>
      <w:r>
        <w:rPr>
          <w:rFonts w:ascii="宋体" w:hAnsi="宋体" w:cs="宋体"/>
        </w:rPr>
      </w:r>
      <w:r/>
    </w:p>
    <w:p>
      <w:pPr>
        <w:pStyle w:val="732"/>
        <w:jc w:val="both"/>
        <w:spacing w:beforeAutospacing="0" w:afterAutospacing="0"/>
        <w:rPr>
          <w:rFonts w:ascii="宋体" w:hAnsi="宋体" w:cs="宋体"/>
        </w:rPr>
      </w:pPr>
      <w:r>
        <w:rPr>
          <w:rFonts w:ascii="宋体" w:hAnsi="宋体" w:cs="宋体"/>
        </w:rPr>
      </w:r>
      <w:r/>
    </w:p>
    <w:p>
      <w:pPr>
        <w:pStyle w:val="732"/>
        <w:jc w:val="both"/>
        <w:spacing w:beforeAutospacing="0" w:afterAutospacing="0"/>
        <w:rPr>
          <w:rFonts w:ascii="宋体" w:hAnsi="宋体" w:cs="宋体"/>
        </w:rPr>
      </w:pPr>
      <w:r>
        <w:rPr>
          <w:rFonts w:hint="eastAsia" w:ascii="宋体" w:hAnsi="宋体" w:cs="宋体"/>
        </w:rPr>
        <w:t xml:space="preserve">备注：</w:t>
      </w:r>
      <w:r/>
    </w:p>
    <w:p>
      <w:pPr>
        <w:pStyle w:val="732"/>
        <w:ind w:firstLine="480"/>
        <w:jc w:val="both"/>
        <w:spacing w:beforeAutospacing="0" w:afterAutospacing="0" w:line="360" w:lineRule="auto"/>
        <w:rPr>
          <w:rFonts w:ascii="宋体" w:hAnsi="宋体" w:cs="宋体"/>
        </w:rPr>
      </w:pPr>
      <w:r>
        <w:rPr>
          <w:rFonts w:hint="eastAsia" w:ascii="宋体" w:hAnsi="宋体" w:cs="宋体"/>
        </w:rPr>
        <w:t xml:space="preserve">1.投标报价采用总承包方式，“投标总报价” 包括但不限于应付职工薪酬费（含周末及节假日加班费）、交通费、保险费、税金、利润等政策性文件规定及合同包含的所有风险、责任等各项应有费用，同时还包含为完成本项目所必须的其他辅助工作的相关费用及招标文件要求的所有费用，不论其在本文件中是否提及，一次性包定。 </w:t>
      </w:r>
      <w:r/>
    </w:p>
    <w:p>
      <w:pPr>
        <w:pStyle w:val="732"/>
        <w:ind w:firstLine="480"/>
        <w:jc w:val="both"/>
        <w:spacing w:beforeAutospacing="0" w:afterAutospacing="0" w:line="360" w:lineRule="auto"/>
        <w:rPr>
          <w:rFonts w:ascii="宋体" w:hAnsi="宋体" w:cs="宋体"/>
        </w:rPr>
      </w:pPr>
      <w:r>
        <w:rPr>
          <w:rFonts w:ascii="宋体" w:hAnsi="宋体" w:cs="宋体"/>
        </w:rPr>
      </w:r>
      <w:r/>
    </w:p>
    <w:p>
      <w:pPr>
        <w:pStyle w:val="732"/>
        <w:ind w:right="180" w:firstLine="360"/>
        <w:jc w:val="right"/>
        <w:spacing w:beforeAutospacing="0" w:afterAutospacing="0" w:line="360" w:lineRule="auto"/>
        <w:rPr>
          <w:rFonts w:ascii="宋体" w:hAnsi="宋体"/>
        </w:rPr>
      </w:pPr>
      <w:r>
        <w:rPr>
          <w:rFonts w:hint="eastAsia" w:ascii="宋体" w:hAnsi="宋体" w:cs="宋体"/>
        </w:rPr>
        <w:t xml:space="preserve">企业名称（加盖CA电子公章）：</w:t>
      </w:r>
      <w:r/>
    </w:p>
    <w:p>
      <w:pPr>
        <w:pStyle w:val="732"/>
        <w:ind w:right="480" w:firstLine="5400"/>
        <w:jc w:val="both"/>
        <w:spacing w:beforeAutospacing="0" w:afterAutospacing="0" w:line="360" w:lineRule="auto"/>
        <w:rPr>
          <w:rFonts w:ascii="宋体" w:hAnsi="宋体" w:cs="宋体"/>
        </w:rPr>
      </w:pPr>
      <w:r>
        <w:rPr>
          <w:rFonts w:hint="eastAsia" w:ascii="宋体" w:hAnsi="宋体" w:cs="宋体"/>
        </w:rPr>
        <w:t xml:space="preserve">日</w:t>
      </w:r>
      <w:r>
        <w:rPr>
          <w:rFonts w:hint="eastAsia" w:ascii="宋体" w:hAnsi="宋体" w:cs="宋体"/>
          <w:lang w:val="en-US" w:eastAsia="zh-CN"/>
        </w:rPr>
        <w:t xml:space="preserve"> </w:t>
      </w:r>
      <w:r>
        <w:rPr>
          <w:rFonts w:hint="eastAsia" w:ascii="宋体" w:hAnsi="宋体" w:cs="宋体"/>
        </w:rPr>
        <w:t xml:space="preserve"> 期：</w:t>
      </w:r>
      <w:r/>
    </w:p>
    <w:p>
      <w:pPr>
        <w:jc w:val="left"/>
        <w:widowControl/>
        <w:rPr>
          <w:rFonts w:hint="eastAsia" w:ascii="宋体" w:hAnsi="宋体" w:eastAsia="宋体"/>
          <w:color w:val="auto"/>
          <w:szCs w:val="21"/>
        </w:rPr>
      </w:pPr>
      <w:r>
        <w:rPr>
          <w:rFonts w:hint="eastAsia" w:ascii="宋体" w:hAnsi="宋体" w:eastAsia="宋体"/>
          <w:color w:val="auto"/>
          <w:szCs w:val="21"/>
        </w:rPr>
      </w:r>
      <w:r/>
    </w:p>
    <w:p>
      <w:pPr>
        <w:pStyle w:val="709"/>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pStyle w:val="710"/>
        <w:rPr>
          <w:rFonts w:hint="eastAsia" w:ascii="宋体" w:hAnsi="宋体" w:eastAsia="宋体"/>
          <w:color w:val="auto"/>
          <w:szCs w:val="21"/>
        </w:rPr>
      </w:pPr>
      <w:r>
        <w:rPr>
          <w:rFonts w:hint="eastAsia" w:ascii="宋体" w:hAnsi="宋体" w:eastAsia="宋体"/>
          <w:color w:val="auto"/>
          <w:szCs w:val="21"/>
        </w:rPr>
      </w:r>
      <w:r/>
    </w:p>
    <w:p>
      <w:pPr>
        <w:jc w:val="center"/>
        <w:spacing w:line="276" w:lineRule="auto"/>
        <w:rPr>
          <w:rFonts w:hint="eastAsia" w:ascii="宋体" w:hAnsi="宋体" w:eastAsia="宋体" w:cs="黑体"/>
          <w:b/>
          <w:color w:val="auto"/>
          <w:sz w:val="32"/>
          <w:szCs w:val="32"/>
          <w:u w:val="single"/>
          <w14:ligatures w14:val="none"/>
        </w:rPr>
        <w:outlineLvl w:val="1"/>
      </w:pPr>
      <w:r/>
      <w:bookmarkStart w:id="117" w:name="_Toc197644591"/>
      <w:r>
        <w:rPr>
          <w:rFonts w:hint="eastAsia" w:ascii="宋体" w:hAnsi="宋体" w:eastAsia="宋体" w:cs="黑体"/>
          <w:b/>
          <w:color w:val="auto"/>
          <w:sz w:val="32"/>
          <w:szCs w:val="32"/>
          <w:u w:val="single"/>
          <w14:ligatures w14:val="none"/>
        </w:rPr>
        <w:t xml:space="preserve">十</w:t>
      </w:r>
      <w:bookmarkEnd w:id="117"/>
      <w:r/>
      <w:bookmarkStart w:id="118" w:name="_Toc197644592"/>
      <w:r>
        <w:rPr>
          <w:rFonts w:hint="eastAsia" w:ascii="宋体" w:hAnsi="宋体" w:eastAsia="宋体" w:cs="黑体"/>
          <w:b/>
          <w:color w:val="auto"/>
          <w:sz w:val="32"/>
          <w:szCs w:val="32"/>
          <w:u w:val="single"/>
          <w:lang w:val="en-US" w:eastAsia="zh-CN"/>
          <w14:ligatures w14:val="none"/>
        </w:rPr>
        <w:t xml:space="preserve">三</w:t>
      </w:r>
      <w:r>
        <w:rPr>
          <w:rFonts w:hint="eastAsia" w:ascii="宋体" w:hAnsi="宋体" w:eastAsia="宋体" w:cs="黑体"/>
          <w:b/>
          <w:color w:val="auto"/>
          <w:sz w:val="32"/>
          <w:szCs w:val="32"/>
          <w:u w:val="single"/>
          <w14:ligatures w14:val="none"/>
        </w:rPr>
        <w:t xml:space="preserve">、技术要求响应及偏离表</w:t>
      </w:r>
      <w:bookmarkEnd w:id="118"/>
      <w:r/>
      <w:r/>
    </w:p>
    <w:p>
      <w:pPr>
        <w:spacing w:line="360"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bl>
      <w:tblPr>
        <w:tblStyle w:val="708"/>
        <w:tblW w:w="8692" w:type="dxa"/>
        <w:tblCellSpacing w:w="0" w:type="dxa"/>
        <w:tblInd w:w="-162" w:type="dxa"/>
        <w:tblLayout w:type="fixed"/>
        <w:tblCellMar>
          <w:left w:w="108" w:type="dxa"/>
          <w:top w:w="0" w:type="dxa"/>
          <w:right w:w="108" w:type="dxa"/>
          <w:bottom w:w="0" w:type="dxa"/>
        </w:tblCellMar>
        <w:tblLook w:val="04A0" w:firstRow="1" w:lastRow="0" w:firstColumn="1" w:lastColumn="0" w:noHBand="0" w:noVBand="1"/>
      </w:tblPr>
      <w:tblGrid>
        <w:gridCol w:w="710"/>
        <w:gridCol w:w="3026"/>
        <w:gridCol w:w="2608"/>
        <w:gridCol w:w="1247"/>
        <w:gridCol w:w="11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证明</w:t>
            </w:r>
            <w:r/>
          </w:p>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32"/>
              <w:jc w:val="center"/>
              <w:rPr>
                <w:rFonts w:hint="eastAsia" w:ascii="宋体" w:hAnsi="宋体" w:eastAsia="宋体" w:cs="Times New Roman"/>
                <w:color w:val="auto"/>
                <w:szCs w:val="21"/>
                <w14:ligatures w14:val="none"/>
              </w:rPr>
            </w:pPr>
            <w:r>
              <w:rPr>
                <w:rFonts w:hint="eastAsia" w:ascii="宋体" w:hAnsi="宋体" w:cs="宋体"/>
                <w:color w:val="auto"/>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2"/>
              <w:jc w:val="left"/>
              <w:rPr>
                <w:rFonts w:hint="eastAsia" w:ascii="宋体" w:hAnsi="宋体" w:eastAsia="宋体" w:cs="Times New Roman"/>
                <w:color w:val="auto"/>
                <w:szCs w:val="21"/>
                <w14:ligatures w14:val="none"/>
              </w:rPr>
            </w:pPr>
            <w:r>
              <w:rPr>
                <w:rFonts w:hint="eastAsia" w:ascii="宋体" w:hAnsi="宋体" w:cs="宋体"/>
                <w:color w:val="auto"/>
                <w:lang w:val="en-US" w:eastAsia="zh-CN"/>
              </w:rPr>
              <w:t xml:space="preserve">招标</w:t>
            </w:r>
            <w:r>
              <w:rPr>
                <w:rFonts w:hint="eastAsia" w:ascii="宋体" w:hAnsi="宋体" w:cs="宋体"/>
                <w:color w:val="auto"/>
              </w:rPr>
              <w:t xml:space="preserve">文件第四章项目需求中技术要求的内容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32"/>
              <w:jc w:val="center"/>
              <w:rPr>
                <w:rFonts w:hint="eastAsia" w:ascii="宋体" w:hAnsi="宋体" w:eastAsia="宋体" w:cs="Times New Roman"/>
                <w:color w:val="auto"/>
                <w:szCs w:val="21"/>
                <w14:ligatures w14:val="none"/>
              </w:rPr>
            </w:pPr>
            <w:r>
              <w:rPr>
                <w:rFonts w:hint="eastAsia" w:ascii="宋体" w:hAnsi="宋体" w:cs="宋体"/>
                <w:color w:val="auto"/>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2"/>
              <w:jc w:val="left"/>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pStyle w:val="732"/>
              <w:jc w:val="center"/>
              <w:rPr>
                <w:rFonts w:hint="eastAsia" w:ascii="宋体" w:hAnsi="宋体" w:eastAsia="宋体" w:cs="Times New Roman"/>
                <w:color w:val="auto"/>
                <w:szCs w:val="21"/>
                <w14:ligatures w14:val="none"/>
              </w:rPr>
            </w:pPr>
            <w:r>
              <w:rPr>
                <w:rFonts w:hint="eastAsia" w:ascii="宋体" w:hAnsi="宋体" w:cs="宋体"/>
                <w:color w:val="auto"/>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pStyle w:val="732"/>
              <w:jc w:val="center"/>
              <w:rPr>
                <w:rFonts w:hint="eastAsia" w:ascii="宋体" w:hAnsi="宋体" w:eastAsia="宋体" w:cs="Times New Roman"/>
                <w:color w:val="auto"/>
                <w:szCs w:val="21"/>
                <w14:ligatures w14:val="none"/>
              </w:rPr>
            </w:pPr>
            <w:r>
              <w:rPr>
                <w:rFonts w:hint="eastAsia" w:ascii="宋体" w:hAnsi="宋体" w:cs="宋体"/>
                <w:color w:val="auto"/>
              </w:rPr>
              <w:t xml:space="preserve"> </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710"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3026"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w:t>
            </w:r>
            <w:r/>
          </w:p>
        </w:tc>
        <w:tc>
          <w:tcPr>
            <w:shd w:val="clear" w:color="auto" w:fill="auto"/>
            <w:tcBorders>
              <w:top w:val="single" w:color="000000" w:sz="4" w:space="0"/>
              <w:left w:val="single" w:color="000000" w:sz="4" w:space="0"/>
              <w:bottom w:val="single" w:color="000000" w:sz="4" w:space="0"/>
              <w:right w:val="single" w:color="000000" w:sz="4" w:space="0"/>
            </w:tcBorders>
            <w:tcW w:w="2608"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7"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1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bl>
    <w:p>
      <w:pPr>
        <w:spacing w:line="360" w:lineRule="auto"/>
        <w:rPr>
          <w:rFonts w:hint="eastAsia" w:ascii="宋体" w:hAnsi="宋体" w:eastAsia="宋体" w:cs="宋体"/>
          <w:color w:val="auto"/>
          <w:szCs w:val="21"/>
          <w14:ligatures w14:val="none"/>
        </w:rPr>
        <w:outlineLvl w:val="2"/>
      </w:pPr>
      <w:r>
        <w:rPr>
          <w:rFonts w:hint="eastAsia" w:ascii="宋体" w:hAnsi="宋体" w:eastAsia="宋体" w:cs="宋体"/>
          <w:color w:val="auto"/>
          <w:szCs w:val="21"/>
          <w14:ligatures w14:val="none"/>
        </w:rPr>
      </w:r>
      <w:r/>
    </w:p>
    <w:p>
      <w:pPr>
        <w:spacing w:line="360" w:lineRule="auto"/>
        <w:rPr>
          <w:rFonts w:hint="eastAsia" w:ascii="宋体" w:hAnsi="宋体" w:eastAsia="宋体" w:cs="Times New Roman"/>
          <w:color w:val="auto"/>
          <w:szCs w:val="21"/>
          <w14:ligatures w14:val="none"/>
        </w:rPr>
        <w:outlineLvl w:val="2"/>
      </w:pPr>
      <w:r>
        <w:rPr>
          <w:rFonts w:hint="eastAsia" w:ascii="宋体" w:hAnsi="宋体" w:eastAsia="宋体" w:cs="宋体"/>
          <w:color w:val="auto"/>
          <w:szCs w:val="21"/>
          <w14:ligatures w14:val="none"/>
        </w:rPr>
        <w:t xml:space="preserve">注：行数不够，可自行添加。</w:t>
      </w:r>
      <w:r/>
    </w:p>
    <w:p>
      <w:pPr>
        <w:spacing w:line="360"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p>
      <w:pPr>
        <w:jc w:val="left"/>
        <w:widowControl/>
        <w:rPr>
          <w:rFonts w:hint="eastAsia" w:ascii="宋体" w:hAnsi="宋体" w:eastAsia="宋体"/>
          <w:color w:val="auto"/>
          <w:szCs w:val="21"/>
        </w:rPr>
      </w:pPr>
      <w:r>
        <w:rPr>
          <w:rFonts w:hint="eastAsia" w:ascii="宋体" w:hAnsi="宋体" w:eastAsia="宋体"/>
          <w:color w:val="auto"/>
          <w:szCs w:val="21"/>
        </w:rPr>
        <w:br w:type="page" w:clear="all"/>
      </w:r>
      <w:r/>
    </w:p>
    <w:p>
      <w:pPr>
        <w:jc w:val="center"/>
        <w:spacing w:line="276" w:lineRule="auto"/>
        <w:rPr>
          <w:rFonts w:hint="eastAsia" w:ascii="宋体" w:hAnsi="宋体" w:eastAsia="宋体" w:cs="黑体"/>
          <w:b/>
          <w:color w:val="auto"/>
          <w:sz w:val="30"/>
          <w:szCs w:val="30"/>
          <w14:ligatures w14:val="none"/>
        </w:rPr>
        <w:outlineLvl w:val="1"/>
      </w:pPr>
      <w:r/>
      <w:bookmarkStart w:id="119" w:name="_Toc197644593"/>
      <w:r>
        <w:rPr>
          <w:rFonts w:hint="eastAsia" w:ascii="宋体" w:hAnsi="宋体" w:eastAsia="宋体" w:cs="黑体"/>
          <w:b/>
          <w:color w:val="auto"/>
          <w:sz w:val="32"/>
          <w:szCs w:val="32"/>
          <w:u w:val="single"/>
          <w14:ligatures w14:val="none"/>
        </w:rPr>
        <w:t xml:space="preserve">十</w:t>
      </w:r>
      <w:r>
        <w:rPr>
          <w:rFonts w:hint="eastAsia" w:ascii="宋体" w:hAnsi="宋体" w:eastAsia="宋体" w:cs="黑体"/>
          <w:b/>
          <w:color w:val="auto"/>
          <w:sz w:val="32"/>
          <w:szCs w:val="32"/>
          <w:u w:val="single"/>
          <w:lang w:val="en-US" w:eastAsia="zh-CN"/>
          <w14:ligatures w14:val="none"/>
        </w:rPr>
        <w:t xml:space="preserve">四</w:t>
      </w:r>
      <w:r>
        <w:rPr>
          <w:rFonts w:hint="eastAsia" w:ascii="宋体" w:hAnsi="宋体" w:eastAsia="宋体" w:cs="黑体"/>
          <w:b/>
          <w:color w:val="auto"/>
          <w:sz w:val="32"/>
          <w:szCs w:val="32"/>
          <w:u w:val="single"/>
          <w14:ligatures w14:val="none"/>
        </w:rPr>
        <w:t xml:space="preserve">、商务要求响应及偏离表</w:t>
      </w:r>
      <w:bookmarkEnd w:id="119"/>
      <w:r/>
      <w:r/>
    </w:p>
    <w:p>
      <w:pPr>
        <w:spacing w:line="360"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bl>
      <w:tblPr>
        <w:tblStyle w:val="708"/>
        <w:tblW w:w="8520" w:type="dxa"/>
        <w:tblCellSpacing w:w="0" w:type="dxa"/>
        <w:tblInd w:w="10" w:type="dxa"/>
        <w:tblLayout w:type="fixed"/>
        <w:tblCellMar>
          <w:left w:w="108" w:type="dxa"/>
          <w:top w:w="0" w:type="dxa"/>
          <w:right w:w="108" w:type="dxa"/>
          <w:bottom w:w="0" w:type="dxa"/>
        </w:tblCellMar>
        <w:tblLook w:val="04A0" w:firstRow="1" w:lastRow="0" w:firstColumn="1" w:lastColumn="0" w:noHBand="0" w:noVBand="1"/>
      </w:tblPr>
      <w:tblGrid>
        <w:gridCol w:w="661"/>
        <w:gridCol w:w="2469"/>
        <w:gridCol w:w="2645"/>
        <w:gridCol w:w="1244"/>
        <w:gridCol w:w="1501"/>
      </w:tblGrid>
      <w:tr>
        <w:trPr>
          <w:tblCellSpacing w:w="0" w:type="dxa"/>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bookmarkStart w:id="120" w:name="_Hlt26671372"/>
            <w:r/>
            <w:bookmarkStart w:id="121" w:name="_Hlt26609391"/>
            <w:r/>
            <w:bookmarkStart w:id="122" w:name="_Hlt26580838"/>
            <w:r/>
            <w:bookmarkStart w:id="123" w:name="_Hlt26955056"/>
            <w:r/>
            <w:bookmarkStart w:id="124" w:name="_Hlt24879081"/>
            <w:r/>
            <w:bookmarkStart w:id="125" w:name="_Hlt26955064"/>
            <w:r/>
            <w:bookmarkStart w:id="126" w:name="_Hlt26671343"/>
            <w:r/>
            <w:bookmarkStart w:id="127" w:name="_Hlt26782999"/>
            <w:r>
              <w:rPr>
                <w:rFonts w:hint="eastAsia" w:ascii="宋体" w:hAnsi="宋体" w:eastAsia="宋体" w:cs="宋体"/>
                <w:color w:val="auto"/>
                <w:szCs w:val="21"/>
                <w14:ligatures w14:val="none"/>
              </w:rPr>
              <w:t xml:space="preserve">序号</w:t>
            </w:r>
            <w:bookmarkEnd w:id="120"/>
            <w:r/>
            <w:bookmarkEnd w:id="121"/>
            <w:r/>
            <w:bookmarkEnd w:id="122"/>
            <w:r/>
            <w:bookmarkEnd w:id="123"/>
            <w:r/>
            <w:bookmarkEnd w:id="124"/>
            <w:r/>
            <w:bookmarkEnd w:id="125"/>
            <w:r/>
            <w:bookmarkEnd w:id="126"/>
            <w:r/>
            <w:bookmarkEnd w:id="127"/>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招标文件要求</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投标响应情况</w:t>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超出、符合或偏离</w:t>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证明</w:t>
            </w:r>
            <w:r/>
          </w:p>
          <w:p>
            <w:pPr>
              <w:jc w:val="cente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szCs w:val="21"/>
                <w14:ligatures w14:val="none"/>
              </w:rPr>
              <w:t xml:space="preserve">材料</w:t>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default" w:ascii="宋体" w:hAnsi="宋体" w:eastAsia="宋体" w:cs="Times New Roman"/>
                <w:color w:val="auto"/>
                <w:szCs w:val="21"/>
                <w:lang w:val="en-US" w:eastAsia="zh-CN"/>
                <w14:ligatures w14:val="none"/>
              </w:rPr>
            </w:pPr>
            <w:r>
              <w:rPr>
                <w:rFonts w:hint="eastAsia" w:ascii="宋体" w:hAnsi="宋体" w:eastAsia="宋体" w:cs="Times New Roman"/>
                <w:color w:val="auto"/>
                <w:szCs w:val="21"/>
                <w:lang w:val="en-US" w:eastAsia="zh-CN"/>
                <w14:ligatures w14:val="none"/>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宋体"/>
                <w:color w:val="auto"/>
                <w:lang w:val="en-US" w:eastAsia="zh-CN"/>
              </w:rPr>
              <w:t xml:space="preserve">招标</w:t>
            </w:r>
            <w:r>
              <w:rPr>
                <w:rFonts w:hint="eastAsia" w:ascii="宋体" w:hAnsi="宋体" w:cs="宋体"/>
                <w:color w:val="auto"/>
              </w:rPr>
              <w:t xml:space="preserve">文件第四章项目需求中</w:t>
            </w:r>
            <w:r>
              <w:rPr>
                <w:rFonts w:hint="eastAsia" w:ascii="宋体" w:hAnsi="宋体" w:cs="宋体"/>
                <w:color w:val="auto"/>
                <w:lang w:val="en-US" w:eastAsia="zh-CN"/>
              </w:rPr>
              <w:t xml:space="preserve">商务</w:t>
            </w:r>
            <w:r>
              <w:rPr>
                <w:rFonts w:hint="eastAsia" w:ascii="宋体" w:hAnsi="宋体" w:cs="宋体"/>
                <w:color w:val="auto"/>
              </w:rPr>
              <w:t xml:space="preserve">要求的内容</w:t>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eastAsia" w:ascii="宋体" w:hAnsi="宋体" w:eastAsia="宋体" w:cs="Times New Roman"/>
                <w:color w:val="auto"/>
                <w:szCs w:val="21"/>
                <w:lang w:val="en-US" w:eastAsia="zh-CN"/>
                <w14:ligatures w14:val="none"/>
              </w:rPr>
            </w:pPr>
            <w:r>
              <w:rPr>
                <w:rFonts w:hint="eastAsia" w:ascii="宋体" w:hAnsi="宋体" w:eastAsia="宋体" w:cs="Times New Roman"/>
                <w:color w:val="auto"/>
                <w:szCs w:val="21"/>
                <w:lang w:val="en-US" w:eastAsia="zh-CN"/>
                <w14:ligatures w14:val="none"/>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jc w:val="center"/>
              <w:spacing w:line="276" w:lineRule="auto"/>
              <w:rPr>
                <w:rFonts w:hint="default" w:ascii="宋体" w:hAnsi="宋体" w:eastAsia="宋体" w:cs="Times New Roman"/>
                <w:color w:val="auto"/>
                <w:szCs w:val="21"/>
                <w:lang w:val="en-US" w:eastAsia="zh-CN"/>
                <w14:ligatures w14:val="none"/>
              </w:rPr>
            </w:pPr>
            <w:r>
              <w:rPr>
                <w:rFonts w:hint="eastAsia" w:ascii="宋体" w:hAnsi="宋体" w:eastAsia="宋体" w:cs="Times New Roman"/>
                <w:color w:val="auto"/>
                <w:szCs w:val="21"/>
                <w:lang w:val="en-US" w:eastAsia="zh-CN"/>
                <w14:ligatures w14:val="none"/>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r>
        <w:trPr>
          <w:tblCellSpacing w:w="0" w:type="dxa"/>
          <w:trHeight w:val="640"/>
        </w:trPr>
        <w:tc>
          <w:tcPr>
            <w:shd w:val="clear" w:color="auto" w:fill="auto"/>
            <w:tcBorders>
              <w:top w:val="single" w:color="000000" w:sz="4" w:space="0"/>
              <w:left w:val="single" w:color="000000" w:sz="4" w:space="0"/>
              <w:bottom w:val="single" w:color="000000" w:sz="4" w:space="0"/>
              <w:right w:val="single" w:color="000000" w:sz="4" w:space="0"/>
            </w:tcBorders>
            <w:tcW w:w="66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469"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2645"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244"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c>
          <w:tcPr>
            <w:shd w:val="clear" w:color="auto" w:fill="auto"/>
            <w:tcBorders>
              <w:top w:val="single" w:color="000000" w:sz="4" w:space="0"/>
              <w:left w:val="single" w:color="000000" w:sz="4" w:space="0"/>
              <w:bottom w:val="single" w:color="000000" w:sz="4" w:space="0"/>
              <w:right w:val="single" w:color="000000" w:sz="4" w:space="0"/>
            </w:tcBorders>
            <w:tcW w:w="1501" w:type="dxa"/>
            <w:vAlign w:val="center"/>
            <w:textDirection w:val="lrTb"/>
            <w:noWrap w:val="false"/>
          </w:tcPr>
          <w:p>
            <w:pPr>
              <w:spacing w:line="276" w:lineRule="auto"/>
              <w:rPr>
                <w:rFonts w:hint="eastAsia" w:ascii="宋体" w:hAnsi="宋体" w:eastAsia="宋体" w:cs="Times New Roman"/>
                <w:color w:val="auto"/>
                <w:szCs w:val="21"/>
                <w14:ligatures w14:val="none"/>
              </w:rPr>
            </w:pPr>
            <w:r>
              <w:rPr>
                <w:rFonts w:hint="eastAsia" w:ascii="宋体" w:hAnsi="宋体" w:eastAsia="宋体" w:cs="Times New Roman"/>
                <w:color w:val="auto"/>
                <w:szCs w:val="21"/>
                <w14:ligatures w14:val="none"/>
              </w:rPr>
            </w:r>
            <w:r/>
          </w:p>
        </w:tc>
      </w:tr>
    </w:tbl>
    <w:p>
      <w:pPr>
        <w:spacing w:line="360"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r>
      <w:r/>
    </w:p>
    <w:p>
      <w:pPr>
        <w:spacing w:line="360"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t xml:space="preserve">注：行数不够，可自行添加。</w:t>
      </w:r>
      <w:r/>
    </w:p>
    <w:p>
      <w:pPr>
        <w:spacing w:line="360" w:lineRule="auto"/>
        <w:rPr>
          <w:rFonts w:hint="eastAsia" w:ascii="宋体" w:hAnsi="宋体" w:eastAsia="宋体" w:cs="宋体"/>
          <w:color w:val="auto"/>
          <w:szCs w:val="21"/>
          <w14:ligatures w14:val="none"/>
        </w:rPr>
      </w:pPr>
      <w:r>
        <w:rPr>
          <w:rFonts w:hint="eastAsia" w:ascii="宋体" w:hAnsi="宋体" w:eastAsia="宋体" w:cs="宋体"/>
          <w:color w:val="auto"/>
          <w:szCs w:val="21"/>
          <w14:ligatures w14:val="none"/>
        </w:rPr>
      </w:r>
      <w:r/>
    </w:p>
    <w:p>
      <w:pPr>
        <w:jc w:val="left"/>
        <w:widowControl/>
        <w:rPr>
          <w:rFonts w:hint="eastAsia" w:ascii="宋体" w:hAnsi="宋体" w:cs="宋体"/>
          <w:color w:val="auto"/>
          <w:sz w:val="28"/>
          <w:szCs w:val="28"/>
        </w:rPr>
      </w:pPr>
      <w:r>
        <w:rPr>
          <w:rFonts w:hint="eastAsia" w:ascii="宋体" w:hAnsi="宋体" w:eastAsia="宋体"/>
          <w:color w:val="auto"/>
        </w:rPr>
        <w:br w:type="page" w:clear="all"/>
      </w:r>
      <w:bookmarkStart w:id="128" w:name="_Toc197644596"/>
      <w:r/>
      <w:r/>
    </w:p>
    <w:p>
      <w:pPr>
        <w:pStyle w:val="732"/>
        <w:jc w:val="center"/>
        <w:spacing w:beforeAutospacing="0" w:afterAutospacing="0"/>
        <w:rPr>
          <w:rFonts w:hint="eastAsia" w:ascii="宋体" w:hAnsi="宋体" w:cs="宋体"/>
          <w:b/>
          <w:sz w:val="32"/>
          <w:szCs w:val="32"/>
          <w:u w:val="single"/>
        </w:rPr>
      </w:pPr>
      <w:r>
        <w:rPr>
          <w:rFonts w:hint="eastAsia" w:ascii="宋体" w:hAnsi="宋体" w:cs="宋体"/>
          <w:b/>
          <w:sz w:val="32"/>
          <w:szCs w:val="32"/>
          <w:u w:val="single"/>
        </w:rPr>
        <w:t xml:space="preserve">十</w:t>
      </w:r>
      <w:r>
        <w:rPr>
          <w:rFonts w:hint="eastAsia" w:cs="宋体"/>
          <w:b/>
          <w:sz w:val="32"/>
          <w:szCs w:val="32"/>
          <w:u w:val="single"/>
          <w:lang w:val="en-US" w:eastAsia="zh-CN"/>
        </w:rPr>
        <w:t xml:space="preserve">五</w:t>
      </w:r>
      <w:r>
        <w:rPr>
          <w:rFonts w:hint="eastAsia" w:ascii="宋体" w:hAnsi="宋体" w:cs="宋体"/>
          <w:b/>
          <w:sz w:val="32"/>
          <w:szCs w:val="32"/>
          <w:u w:val="single"/>
        </w:rPr>
        <w:t xml:space="preserve">、</w:t>
      </w:r>
      <w:bookmarkStart w:id="129" w:name="OLE_LINK96"/>
      <w:r/>
      <w:bookmarkStart w:id="130" w:name="OLE_LINK97"/>
      <w:r>
        <w:rPr>
          <w:rFonts w:hint="eastAsia" w:ascii="宋体" w:hAnsi="宋体" w:cs="宋体"/>
          <w:b/>
          <w:sz w:val="32"/>
          <w:szCs w:val="32"/>
          <w:u w:val="single"/>
        </w:rPr>
        <w:t xml:space="preserve">关于符合本国产品标准的声明函</w:t>
      </w:r>
      <w:bookmarkEnd w:id="129"/>
      <w:r/>
      <w:bookmarkEnd w:id="130"/>
      <w:r/>
      <w:r/>
    </w:p>
    <w:p>
      <w:pPr>
        <w:pStyle w:val="732"/>
        <w:ind w:firstLine="420"/>
        <w:jc w:val="both"/>
        <w:spacing w:beforeAutospacing="0" w:afterAutospacing="0"/>
        <w:rPr>
          <w:rFonts w:ascii="宋体" w:hAnsi="宋体" w:cs="宋体"/>
        </w:rPr>
      </w:pPr>
      <w:r>
        <w:rPr>
          <w:rFonts w:ascii="宋体" w:hAnsi="宋体" w:cs="宋体"/>
        </w:rPr>
      </w:r>
      <w:r/>
    </w:p>
    <w:p>
      <w:pPr>
        <w:pStyle w:val="732"/>
        <w:ind w:firstLine="420"/>
        <w:jc w:val="both"/>
        <w:spacing w:beforeAutospacing="0" w:afterAutospacing="0"/>
        <w:rPr>
          <w:rFonts w:ascii="宋体" w:hAnsi="宋体" w:cs="宋体"/>
        </w:rPr>
      </w:pPr>
      <w:r>
        <w:rPr>
          <w:rFonts w:ascii="宋体" w:hAnsi="宋体" w:cs="宋体"/>
        </w:rPr>
      </w:r>
      <w:r/>
    </w:p>
    <w:p>
      <w:pPr>
        <w:pStyle w:val="732"/>
        <w:ind w:firstLine="420"/>
        <w:jc w:val="both"/>
        <w:spacing w:beforeAutospacing="0" w:afterAutospacing="0"/>
        <w:rPr>
          <w:sz w:val="24"/>
          <w:szCs w:val="24"/>
        </w:rPr>
      </w:pPr>
      <w:r>
        <w:rPr>
          <w:rFonts w:ascii="宋体" w:hAnsi="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p>
    <w:p>
      <w:pPr>
        <w:pStyle w:val="732"/>
        <w:ind w:firstLine="420"/>
        <w:jc w:val="both"/>
        <w:spacing w:before="30" w:beforeAutospacing="0" w:after="30" w:afterAutospacing="0"/>
        <w:rPr>
          <w:sz w:val="24"/>
          <w:szCs w:val="24"/>
        </w:rPr>
      </w:pPr>
      <w:r>
        <w:rPr>
          <w:rFonts w:ascii="宋体" w:hAnsi="宋体" w:cs="宋体"/>
          <w:sz w:val="24"/>
          <w:szCs w:val="24"/>
          <w:shd w:val="clear" w:color="auto" w:fill="ffffff"/>
        </w:rPr>
        <w:t xml:space="preserve">1.</w:t>
      </w:r>
      <w:r>
        <w:rPr>
          <w:rFonts w:ascii="宋体" w:hAnsi="宋体" w:cs="宋体"/>
          <w:sz w:val="24"/>
          <w:szCs w:val="24"/>
          <w:u w:val="single"/>
          <w:shd w:val="clear" w:color="auto" w:fill="ffffff"/>
        </w:rPr>
        <w:t xml:space="preserve">（产品名称1）</w:t>
      </w:r>
      <w:r>
        <w:rPr>
          <w:rFonts w:ascii="宋体" w:hAnsi="宋体" w:cs="宋体"/>
          <w:sz w:val="24"/>
          <w:szCs w:val="24"/>
          <w:shd w:val="clear" w:color="auto" w:fill="ffffff"/>
          <w:vertAlign w:val="superscript"/>
        </w:rPr>
        <w:t xml:space="preserve">1</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vertAlign w:val="superscript"/>
        </w:rPr>
        <w:t xml:space="preserve">2</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 （产品名称1）</w:t>
      </w:r>
      <w:r>
        <w:rPr>
          <w:rFonts w:ascii="宋体" w:hAnsi="宋体" w:cs="宋体"/>
          <w:sz w:val="24"/>
          <w:szCs w:val="24"/>
          <w:u w:val="single"/>
          <w:shd w:val="clear" w:color="auto" w:fill="ffffff"/>
        </w:rPr>
        <w:t xml:space="preserve"> </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trike/>
          <w:sz w:val="24"/>
          <w:szCs w:val="24"/>
          <w:shd w:val="clear" w:color="auto" w:fill="ffffff"/>
          <w:vertAlign w:val="superscript"/>
        </w:rPr>
        <w:t xml:space="preserve">3</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trike/>
          <w:sz w:val="24"/>
          <w:szCs w:val="24"/>
          <w:shd w:val="clear" w:color="auto" w:fill="ffffff"/>
          <w:vertAlign w:val="superscript"/>
        </w:rPr>
        <w:t xml:space="preserve">4</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trike/>
          <w:sz w:val="24"/>
          <w:szCs w:val="24"/>
          <w:shd w:val="clear" w:color="auto" w:fill="ffffff"/>
          <w:vertAlign w:val="superscript"/>
        </w:rPr>
        <w:t xml:space="preserve">5</w:t>
      </w:r>
      <w:r>
        <w:rPr>
          <w:rFonts w:ascii="宋体" w:hAnsi="宋体" w:cs="宋体"/>
          <w:sz w:val="24"/>
          <w:szCs w:val="24"/>
          <w:shd w:val="clear" w:color="auto" w:fill="ffffff"/>
        </w:rPr>
        <w:t xml:space="preserve">在中国境内完成。</w:t>
      </w:r>
      <w:r/>
    </w:p>
    <w:p>
      <w:pPr>
        <w:pStyle w:val="732"/>
        <w:ind w:firstLine="420"/>
        <w:jc w:val="both"/>
        <w:spacing w:before="30" w:beforeAutospacing="0" w:after="30" w:afterAutospacing="0"/>
        <w:rPr>
          <w:sz w:val="24"/>
          <w:szCs w:val="24"/>
        </w:rPr>
      </w:pPr>
      <w:r>
        <w:rPr>
          <w:rFonts w:ascii="宋体" w:hAnsi="宋体" w:cs="宋体"/>
          <w:sz w:val="24"/>
          <w:szCs w:val="24"/>
          <w:shd w:val="clear" w:color="auto" w:fill="ffffff"/>
        </w:rPr>
        <w:t xml:space="preserve">2.</w:t>
      </w:r>
      <w:r>
        <w:rPr>
          <w:rFonts w:ascii="宋体" w:hAnsi="宋体" w:cs="宋体"/>
          <w:sz w:val="24"/>
          <w:szCs w:val="24"/>
          <w:u w:val="single"/>
          <w:shd w:val="clear" w:color="auto" w:fill="ffffff"/>
        </w:rPr>
        <w:t xml:space="preserve">（产品名称2）</w:t>
      </w:r>
      <w:r>
        <w:rPr>
          <w:rFonts w:ascii="宋体" w:hAnsi="宋体" w:cs="宋体"/>
          <w:sz w:val="24"/>
          <w:szCs w:val="24"/>
          <w:shd w:val="clear" w:color="auto" w:fill="ffffff"/>
        </w:rPr>
        <w:t xml:space="preserve">，生产厂为</w:t>
      </w:r>
      <w:r>
        <w:rPr>
          <w:rFonts w:ascii="宋体" w:hAnsi="宋体" w:cs="宋体"/>
          <w:sz w:val="24"/>
          <w:szCs w:val="24"/>
          <w:u w:val="single"/>
          <w:shd w:val="clear" w:color="auto" w:fill="ffffff"/>
        </w:rPr>
        <w:t xml:space="preserve">（厂名）</w:t>
      </w:r>
      <w:r>
        <w:rPr>
          <w:rFonts w:ascii="宋体" w:hAnsi="宋体" w:cs="宋体"/>
          <w:sz w:val="24"/>
          <w:szCs w:val="24"/>
          <w:shd w:val="clear" w:color="auto" w:fill="ffffff"/>
        </w:rPr>
        <w:t xml:space="preserve">，厂址为</w:t>
      </w:r>
      <w:r>
        <w:rPr>
          <w:rFonts w:ascii="宋体" w:hAnsi="宋体" w:cs="宋体"/>
          <w:sz w:val="24"/>
          <w:szCs w:val="24"/>
          <w:u w:val="single"/>
          <w:shd w:val="clear" w:color="auto" w:fill="ffffff"/>
        </w:rPr>
        <w:t xml:space="preserve">（生产厂址）</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的中国境内生产的组件成本占比≥</w:t>
      </w:r>
      <w:r>
        <w:rPr>
          <w:rFonts w:ascii="宋体" w:hAnsi="宋体" w:cs="宋体"/>
          <w:strike/>
          <w:sz w:val="24"/>
          <w:szCs w:val="24"/>
          <w:u w:val="single"/>
          <w:shd w:val="clear" w:color="auto" w:fill="ffffff"/>
        </w:rPr>
        <w:t xml:space="preserve">（规定比例）</w:t>
      </w:r>
      <w:r>
        <w:rPr>
          <w:rFonts w:ascii="宋体" w:hAnsi="宋体" w:cs="宋体"/>
          <w:sz w:val="24"/>
          <w:szCs w:val="24"/>
          <w:shd w:val="clear" w:color="auto" w:fill="ffffff"/>
        </w:rPr>
        <w:t xml:space="preserve">。</w:t>
      </w:r>
      <w:r>
        <w:rPr>
          <w:rFonts w:ascii="宋体" w:hAnsi="宋体" w:cs="宋体"/>
          <w:strike/>
          <w:sz w:val="24"/>
          <w:szCs w:val="24"/>
          <w:u w:val="single"/>
          <w:shd w:val="clear" w:color="auto" w:fill="ffffff"/>
        </w:rPr>
        <w:t xml:space="preserve">（产品名称2）</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（关键组件）</w:t>
      </w:r>
      <w:r>
        <w:rPr>
          <w:rFonts w:ascii="宋体" w:hAnsi="宋体" w:cs="宋体"/>
          <w:sz w:val="24"/>
          <w:szCs w:val="24"/>
          <w:shd w:val="clear" w:color="auto" w:fill="ffffff"/>
        </w:rPr>
        <w:t xml:space="preserve">在中国境内生产。</w:t>
      </w:r>
      <w:r>
        <w:rPr>
          <w:rFonts w:ascii="宋体" w:hAnsi="宋体" w:cs="宋体"/>
          <w:strike/>
          <w:sz w:val="24"/>
          <w:szCs w:val="24"/>
          <w:u w:val="single"/>
          <w:shd w:val="clear" w:color="auto" w:fill="ffffff"/>
        </w:rPr>
        <w:t xml:space="preserve">（产品名称1）</w:t>
      </w:r>
      <w:r>
        <w:rPr>
          <w:rFonts w:ascii="宋体" w:hAnsi="宋体" w:cs="宋体"/>
          <w:sz w:val="24"/>
          <w:szCs w:val="24"/>
          <w:shd w:val="clear" w:color="auto" w:fill="ffffff"/>
        </w:rPr>
        <w:t xml:space="preserve">的</w:t>
      </w:r>
      <w:r>
        <w:rPr>
          <w:rFonts w:ascii="宋体" w:hAnsi="宋体" w:cs="宋体"/>
          <w:strike/>
          <w:sz w:val="24"/>
          <w:szCs w:val="24"/>
          <w:u w:val="single"/>
          <w:shd w:val="clear" w:color="auto" w:fill="ffffff"/>
        </w:rPr>
        <w:t xml:space="preserve">（关键工序）</w:t>
      </w:r>
      <w:r>
        <w:rPr>
          <w:rFonts w:ascii="宋体" w:hAnsi="宋体" w:cs="宋体"/>
          <w:sz w:val="24"/>
          <w:szCs w:val="24"/>
          <w:shd w:val="clear" w:color="auto" w:fill="ffffff"/>
        </w:rPr>
        <w:t xml:space="preserve">在中国境内完成。</w:t>
      </w:r>
      <w:r/>
    </w:p>
    <w:p>
      <w:pPr>
        <w:pStyle w:val="732"/>
        <w:ind w:firstLine="420"/>
        <w:jc w:val="both"/>
        <w:spacing w:before="30" w:beforeAutospacing="0" w:after="30" w:afterAutospacing="0"/>
        <w:rPr>
          <w:sz w:val="24"/>
          <w:szCs w:val="24"/>
        </w:rPr>
      </w:pPr>
      <w:r>
        <w:rPr>
          <w:rFonts w:ascii="宋体" w:hAnsi="宋体" w:cs="宋体"/>
          <w:sz w:val="24"/>
          <w:szCs w:val="24"/>
          <w:shd w:val="clear" w:color="auto" w:fill="ffffff"/>
        </w:rPr>
        <w:t xml:space="preserve">……</w:t>
      </w:r>
      <w:r/>
    </w:p>
    <w:p>
      <w:pPr>
        <w:pStyle w:val="732"/>
        <w:ind w:firstLine="420"/>
        <w:jc w:val="both"/>
        <w:spacing w:before="30" w:beforeAutospacing="0" w:after="30" w:afterAutospacing="0"/>
        <w:rPr>
          <w:sz w:val="24"/>
          <w:szCs w:val="24"/>
        </w:rPr>
      </w:pPr>
      <w:r>
        <w:rPr>
          <w:rFonts w:ascii="宋体" w:hAnsi="宋体" w:cs="宋体"/>
          <w:sz w:val="24"/>
          <w:szCs w:val="24"/>
          <w:shd w:val="clear" w:color="auto" w:fill="ffffff"/>
        </w:rPr>
        <w:t xml:space="preserve">本公司（单位）对上述声明内容的真实性负责。如有虚假，愿承担相应法律责任。</w:t>
      </w:r>
      <w:r/>
    </w:p>
    <w:p>
      <w:pPr>
        <w:pStyle w:val="732"/>
        <w:jc w:val="both"/>
        <w:spacing w:before="30" w:beforeAutospacing="0" w:after="30" w:afterAutospacing="0"/>
        <w:rPr>
          <w:sz w:val="24"/>
          <w:szCs w:val="24"/>
        </w:rPr>
      </w:pPr>
      <w:r>
        <w:rPr>
          <w:rFonts w:ascii="宋体" w:hAnsi="宋体" w:cs="宋体"/>
          <w:sz w:val="24"/>
          <w:szCs w:val="24"/>
        </w:rPr>
        <w:t xml:space="preserve"> </w:t>
      </w:r>
      <w:r/>
    </w:p>
    <w:p>
      <w:pPr>
        <w:pStyle w:val="732"/>
        <w:ind w:right="480" w:firstLine="3720"/>
        <w:jc w:val="both"/>
        <w:spacing w:before="30" w:beforeAutospacing="0" w:after="30" w:afterAutospacing="0"/>
        <w:rPr>
          <w:sz w:val="24"/>
          <w:szCs w:val="24"/>
        </w:rPr>
      </w:pPr>
      <w:r>
        <w:rPr>
          <w:rFonts w:ascii="宋体" w:hAnsi="宋体" w:cs="宋体"/>
          <w:sz w:val="24"/>
          <w:szCs w:val="24"/>
          <w:shd w:val="clear" w:color="auto" w:fill="ffffff"/>
        </w:rPr>
        <w:t xml:space="preserve">公司（单位）名称（盖章）：　</w:t>
      </w:r>
      <w:r/>
    </w:p>
    <w:p>
      <w:pPr>
        <w:pStyle w:val="732"/>
        <w:jc w:val="center"/>
        <w:spacing w:before="30" w:beforeAutospacing="0" w:after="30" w:afterAutospacing="0"/>
        <w:rPr>
          <w:sz w:val="24"/>
          <w:szCs w:val="24"/>
        </w:rPr>
      </w:pPr>
      <w:r>
        <w:rPr>
          <w:rFonts w:ascii="宋体" w:hAnsi="宋体" w:cs="宋体"/>
          <w:sz w:val="24"/>
          <w:szCs w:val="24"/>
          <w:shd w:val="clear" w:color="auto" w:fill="ffffff"/>
        </w:rPr>
        <w:t xml:space="preserve">                               </w:t>
      </w:r>
      <w:r>
        <w:rPr>
          <w:rFonts w:hint="eastAsia" w:ascii="宋体" w:hAnsi="宋体" w:cs="宋体"/>
          <w:sz w:val="24"/>
          <w:szCs w:val="24"/>
          <w:shd w:val="clear" w:color="auto" w:fill="ffffff"/>
          <w:lang w:val="en-US" w:eastAsia="zh-CN"/>
        </w:rPr>
        <w:t xml:space="preserve">       </w:t>
      </w:r>
      <w:r>
        <w:rPr>
          <w:rFonts w:ascii="宋体" w:hAnsi="宋体" w:cs="宋体"/>
          <w:sz w:val="24"/>
          <w:szCs w:val="24"/>
          <w:shd w:val="clear" w:color="auto" w:fill="ffffff"/>
        </w:rPr>
        <w:t xml:space="preserve"> </w:t>
      </w:r>
      <w:r>
        <w:rPr>
          <w:rFonts w:hint="eastAsia" w:ascii="宋体" w:hAnsi="宋体" w:cs="宋体"/>
          <w:sz w:val="24"/>
          <w:szCs w:val="24"/>
          <w:shd w:val="clear" w:color="auto" w:fill="ffffff"/>
          <w:lang w:val="en-US" w:eastAsia="zh-CN"/>
        </w:rPr>
        <w:t xml:space="preserve">                       </w:t>
      </w:r>
      <w:r>
        <w:rPr>
          <w:rFonts w:ascii="宋体" w:hAnsi="宋体" w:cs="宋体"/>
          <w:sz w:val="24"/>
          <w:szCs w:val="24"/>
          <w:shd w:val="clear" w:color="auto" w:fill="ffffff"/>
        </w:rPr>
        <w:t xml:space="preserve">日期：   年　  月　  日         </w:t>
      </w:r>
      <w:r/>
    </w:p>
    <w:p>
      <w:pPr>
        <w:pStyle w:val="732"/>
        <w:jc w:val="both"/>
        <w:spacing w:before="30" w:beforeAutospacing="0" w:after="30" w:afterAutospacing="0"/>
        <w:rPr>
          <w:sz w:val="24"/>
          <w:szCs w:val="24"/>
        </w:rPr>
      </w:pPr>
      <w:r>
        <w:rPr>
          <w:rFonts w:ascii="宋体" w:hAnsi="宋体" w:cs="宋体"/>
          <w:sz w:val="24"/>
          <w:szCs w:val="24"/>
          <w:shd w:val="clear" w:color="auto" w:fill="ffffff"/>
        </w:rPr>
        <w:t xml:space="preserve">__________________</w:t>
      </w:r>
      <w:r/>
    </w:p>
    <w:p>
      <w:pPr>
        <w:pStyle w:val="732"/>
        <w:jc w:val="both"/>
        <w:spacing w:before="30" w:beforeAutospacing="0" w:after="30" w:afterAutospacing="0"/>
        <w:rPr>
          <w:sz w:val="24"/>
          <w:szCs w:val="24"/>
        </w:rPr>
      </w:pPr>
      <w:r>
        <w:rPr>
          <w:rFonts w:ascii="宋体" w:hAnsi="宋体" w:cs="宋体"/>
          <w:sz w:val="24"/>
          <w:szCs w:val="24"/>
          <w:shd w:val="clear" w:color="auto" w:fill="ffffff"/>
        </w:rPr>
        <w:t xml:space="preserve">1.产品如有型号，请在“产品名称”栏一并填写。</w:t>
      </w:r>
      <w:r/>
    </w:p>
    <w:p>
      <w:pPr>
        <w:pStyle w:val="732"/>
        <w:jc w:val="both"/>
        <w:spacing w:before="30" w:beforeAutospacing="0" w:after="30" w:afterAutospacing="0"/>
        <w:rPr>
          <w:sz w:val="24"/>
          <w:szCs w:val="24"/>
        </w:rPr>
      </w:pPr>
      <w:r>
        <w:rPr>
          <w:rFonts w:ascii="宋体" w:hAnsi="宋体" w:cs="宋体"/>
          <w:sz w:val="24"/>
          <w:szCs w:val="24"/>
          <w:shd w:val="clear" w:color="auto" w:fill="ffffff"/>
        </w:rPr>
        <w:t xml:space="preserve">2.生产厂名与厂址应与生产厂营业执照载明的相关信息保持一致。</w:t>
      </w:r>
      <w:r/>
    </w:p>
    <w:p>
      <w:pPr>
        <w:pStyle w:val="732"/>
        <w:jc w:val="both"/>
        <w:spacing w:before="30" w:beforeAutospacing="0" w:after="30" w:afterAutospacing="0"/>
        <w:rPr>
          <w:sz w:val="24"/>
          <w:szCs w:val="24"/>
        </w:rPr>
      </w:pPr>
      <w:r>
        <w:rPr>
          <w:rFonts w:ascii="宋体" w:hAnsi="宋体" w:cs="宋体"/>
          <w:sz w:val="24"/>
          <w:szCs w:val="24"/>
          <w:shd w:val="clear" w:color="auto" w:fill="ffffff"/>
        </w:rPr>
        <w:t xml:space="preserve">3.该产品的中国境内生产的组件成本占比相关要求实施前，“规定比例”栏可不填，下同。</w:t>
      </w:r>
      <w:r/>
    </w:p>
    <w:p>
      <w:pPr>
        <w:pStyle w:val="732"/>
        <w:jc w:val="both"/>
        <w:spacing w:before="30" w:beforeAutospacing="0" w:after="30" w:afterAutospacing="0"/>
        <w:rPr>
          <w:sz w:val="24"/>
          <w:szCs w:val="24"/>
        </w:rPr>
      </w:pPr>
      <w:r>
        <w:rPr>
          <w:rFonts w:ascii="宋体" w:hAnsi="宋体" w:cs="宋体"/>
          <w:sz w:val="24"/>
          <w:szCs w:val="24"/>
          <w:shd w:val="clear" w:color="auto" w:fill="ffffff"/>
        </w:rPr>
        <w:t xml:space="preserve">4.该产品的关键组件要求实施前，“关键组件”栏可不填，下同。</w:t>
      </w:r>
      <w:r/>
    </w:p>
    <w:p>
      <w:pPr>
        <w:pStyle w:val="732"/>
        <w:jc w:val="both"/>
        <w:spacing w:before="30" w:beforeAutospacing="0" w:after="30" w:afterAutospacing="0"/>
        <w:rPr>
          <w:sz w:val="24"/>
          <w:szCs w:val="24"/>
        </w:rPr>
      </w:pPr>
      <w:r>
        <w:rPr>
          <w:rFonts w:ascii="宋体" w:hAnsi="宋体" w:cs="宋体"/>
          <w:sz w:val="24"/>
          <w:szCs w:val="24"/>
          <w:shd w:val="clear" w:color="auto" w:fill="ffffff"/>
        </w:rPr>
        <w:t xml:space="preserve">5.该产品的关键工序要求实施前，“关键工序”栏可不填，下同。</w:t>
      </w:r>
      <w:r/>
    </w:p>
    <w:p>
      <w:pPr>
        <w:pStyle w:val="732"/>
        <w:jc w:val="both"/>
        <w:spacing w:before="30" w:beforeAutospacing="0" w:after="30" w:afterAutospacing="0"/>
        <w:rPr>
          <w:sz w:val="24"/>
          <w:szCs w:val="24"/>
        </w:rPr>
      </w:pPr>
      <w:r>
        <w:rPr>
          <w:rFonts w:ascii="宋体" w:hAnsi="宋体" w:cs="宋体"/>
          <w:sz w:val="24"/>
          <w:szCs w:val="24"/>
          <w:shd w:val="clear" w:color="auto" w:fill="ffffff"/>
        </w:rPr>
        <w:t xml:space="preserve">6.用</w:t>
      </w:r>
      <w:r>
        <w:rPr>
          <w:rFonts w:hint="eastAsia" w:ascii="宋体" w:hAnsi="宋体" w:cs="宋体"/>
          <w:sz w:val="24"/>
          <w:szCs w:val="24"/>
          <w:shd w:val="clear" w:color="auto" w:fill="ffffff"/>
        </w:rPr>
        <w:t xml:space="preserve">横</w:t>
      </w:r>
      <w:r>
        <w:rPr>
          <w:rFonts w:ascii="宋体" w:hAnsi="宋体" w:cs="宋体"/>
          <w:sz w:val="24"/>
          <w:szCs w:val="24"/>
          <w:shd w:val="clear" w:color="auto" w:fill="ffffff"/>
        </w:rPr>
        <w:t xml:space="preserve">线划除的地方无需填写。</w:t>
      </w:r>
      <w:r/>
    </w:p>
    <w:p>
      <w:pPr>
        <w:pStyle w:val="732"/>
        <w:tabs>
          <w:tab w:val="left" w:pos="2160" w:leader="none"/>
        </w:tabs>
        <w:rPr>
          <w:rFonts w:ascii="宋体" w:hAnsi="宋体" w:cs="宋体"/>
          <w:color w:val="auto"/>
        </w:rPr>
      </w:pPr>
      <w:r>
        <w:rPr>
          <w:rFonts w:ascii="宋体" w:hAnsi="宋体" w:cs="宋体"/>
          <w:color w:val="auto"/>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rPr>
          <w:rFonts w:ascii="宋体" w:hAnsi="宋体" w:cs="宋体"/>
          <w:color w:val="auto"/>
          <w:sz w:val="32"/>
          <w:szCs w:val="32"/>
        </w:rPr>
      </w:r>
    </w:p>
    <w:p>
      <w:pPr>
        <w:ind w:firstLine="1600"/>
        <w:spacing w:line="499" w:lineRule="atLeast"/>
        <w:widowControl/>
        <w:rPr>
          <w:rFonts w:ascii="宋体" w:hAnsi="宋体" w:cs="宋体"/>
          <w:color w:val="auto"/>
          <w:sz w:val="32"/>
          <w:szCs w:val="32"/>
        </w:rPr>
      </w:pPr>
      <w:r>
        <w:rPr>
          <w:rFonts w:ascii="宋体" w:hAnsi="宋体" w:cs="宋体"/>
          <w:color w:val="auto"/>
          <w:sz w:val="32"/>
          <w:szCs w:val="32"/>
        </w:rPr>
      </w:r>
      <w:r/>
    </w:p>
    <w:p>
      <w:pPr>
        <w:pStyle w:val="710"/>
        <w:rPr>
          <w:rFonts w:ascii="宋体" w:hAnsi="宋体" w:cs="宋体"/>
          <w:color w:val="auto"/>
          <w:sz w:val="32"/>
          <w:szCs w:val="32"/>
        </w:rPr>
      </w:pPr>
      <w:r>
        <w:rPr>
          <w:rFonts w:ascii="宋体" w:hAnsi="宋体" w:cs="宋体"/>
          <w:color w:val="auto"/>
          <w:sz w:val="32"/>
          <w:szCs w:val="32"/>
        </w:rPr>
      </w:r>
      <w:r/>
    </w:p>
    <w:p>
      <w:pPr>
        <w:pStyle w:val="909"/>
        <w:ind w:firstLine="216"/>
        <w:jc w:val="center"/>
        <w:spacing w:line="553" w:lineRule="atLeast"/>
        <w:rPr>
          <w:rFonts w:hint="eastAsia" w:ascii="宋体" w:hAnsi="宋体" w:eastAsia="宋体" w:cs="宋体"/>
          <w:b/>
          <w:bCs/>
          <w:color w:val="auto"/>
          <w:sz w:val="32"/>
          <w:szCs w:val="32"/>
          <w:u w:val="single"/>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2"/>
          <w:szCs w:val="32"/>
          <w:u w:val="single"/>
          <w14:ligatures w14:val="none"/>
        </w:rPr>
        <w:t xml:space="preserve">十</w:t>
      </w:r>
      <w:r>
        <w:rPr>
          <w:rFonts w:hint="eastAsia" w:ascii="宋体" w:hAnsi="宋体" w:eastAsia="宋体" w:cs="宋体"/>
          <w:b/>
          <w:bCs/>
          <w:color w:val="auto"/>
          <w:sz w:val="32"/>
          <w:szCs w:val="32"/>
          <w:u w:val="single"/>
          <w:lang w:val="en-US" w:eastAsia="zh-CN"/>
          <w14:ligatures w14:val="none"/>
        </w:rPr>
        <w:t xml:space="preserve">六</w:t>
      </w:r>
      <w:r>
        <w:rPr>
          <w:rFonts w:hint="eastAsia" w:ascii="宋体" w:hAnsi="宋体" w:eastAsia="宋体" w:cs="宋体"/>
          <w:b/>
          <w:bCs/>
          <w:color w:val="auto"/>
          <w:sz w:val="32"/>
          <w:szCs w:val="32"/>
          <w:u w:val="single"/>
          <w14:ligatures w14:val="none"/>
        </w:rPr>
        <w:t xml:space="preserve">、评分标准要求提供的材料等</w:t>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eastAsia="宋体" w:cs="宋体"/>
          <w:b/>
          <w:bCs/>
          <w:color w:val="auto"/>
          <w:sz w:val="30"/>
          <w:szCs w:val="30"/>
          <w14:ligatures w14:val="non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0"/>
          <w:szCs w:val="30"/>
          <w14:ligatures w14:val="none"/>
        </w:rPr>
      </w:r>
      <w:r/>
    </w:p>
    <w:p>
      <w:pPr>
        <w:pStyle w:val="909"/>
        <w:ind w:firstLine="216"/>
        <w:jc w:val="center"/>
        <w:spacing w:line="553" w:lineRule="atLeast"/>
        <w:rPr>
          <w:rFonts w:hint="eastAsia" w:ascii="宋体" w:hAnsi="宋体" w:cs="宋体"/>
          <w:color w:val="auto"/>
          <w:sz w:val="32"/>
          <w:szCs w:val="32"/>
          <w:u w:val="single"/>
        </w:rPr>
        <w:pBdr>
          <w:top w:val="none" w:color="000000" w:sz="0" w:space="0"/>
          <w:left w:val="none" w:color="000000" w:sz="0" w:space="0"/>
          <w:bottom w:val="none" w:color="000000" w:sz="0" w:space="0"/>
          <w:right w:val="none" w:color="000000" w:sz="0" w:space="0"/>
        </w:pBdr>
        <w:outlineLvl w:val="1"/>
      </w:pPr>
      <w:r>
        <w:rPr>
          <w:rFonts w:hint="eastAsia" w:ascii="宋体" w:hAnsi="宋体" w:eastAsia="宋体" w:cs="宋体"/>
          <w:b/>
          <w:bCs/>
          <w:color w:val="auto"/>
          <w:sz w:val="32"/>
          <w:szCs w:val="32"/>
          <w:u w:val="single"/>
          <w14:ligatures w14:val="none"/>
        </w:rPr>
        <w:t xml:space="preserve">十</w:t>
      </w:r>
      <w:r>
        <w:rPr>
          <w:rFonts w:hint="eastAsia" w:ascii="宋体" w:hAnsi="宋体" w:eastAsia="宋体" w:cs="宋体"/>
          <w:b/>
          <w:bCs/>
          <w:color w:val="auto"/>
          <w:sz w:val="32"/>
          <w:szCs w:val="32"/>
          <w:u w:val="single"/>
          <w:lang w:val="en-US" w:eastAsia="zh-CN"/>
          <w14:ligatures w14:val="none"/>
        </w:rPr>
        <w:t xml:space="preserve">七</w:t>
      </w:r>
      <w:r>
        <w:rPr>
          <w:rFonts w:hint="eastAsia" w:ascii="宋体" w:hAnsi="宋体" w:eastAsia="宋体" w:cs="宋体"/>
          <w:b/>
          <w:bCs/>
          <w:color w:val="auto"/>
          <w:sz w:val="32"/>
          <w:szCs w:val="32"/>
          <w:u w:val="single"/>
          <w14:ligatures w14:val="none"/>
        </w:rPr>
        <w:t xml:space="preserve">、</w:t>
      </w:r>
      <w:r>
        <w:rPr>
          <w:rFonts w:hint="eastAsia" w:ascii="宋体" w:hAnsi="宋体" w:cs="宋体"/>
          <w:color w:val="auto"/>
          <w:sz w:val="32"/>
          <w:szCs w:val="32"/>
          <w:u w:val="single"/>
        </w:rPr>
        <w:t xml:space="preserve">其他材料（如有）</w:t>
      </w:r>
      <w:r/>
    </w:p>
    <w:p>
      <w:pPr>
        <w:pStyle w:val="909"/>
        <w:ind w:firstLine="216"/>
        <w:jc w:val="center"/>
        <w:spacing w:line="553" w:lineRule="atLeast"/>
        <w:rPr>
          <w:rFonts w:hint="eastAsia" w:ascii="宋体" w:hAnsi="宋体" w:cs="宋体"/>
          <w:color w:val="auto"/>
          <w:sz w:val="32"/>
          <w:szCs w:val="32"/>
          <w:u w:val="singl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7" w:right="1701" w:bottom="1417" w:left="1701" w:header="851" w:footer="680" w:gutter="0"/>
          <w:cols w:num="1" w:sep="0" w:space="0" w:equalWidth="1"/>
          <w:docGrid w:linePitch="360"/>
        </w:sectPr>
        <w:outlineLvl w:val="1"/>
      </w:pPr>
      <w:r>
        <w:rPr>
          <w:rFonts w:hint="eastAsia" w:ascii="宋体" w:hAnsi="宋体" w:cs="宋体"/>
          <w:color w:val="auto"/>
          <w:sz w:val="32"/>
          <w:szCs w:val="32"/>
          <w:u w:val="single"/>
        </w:rPr>
      </w:r>
      <w:r/>
    </w:p>
    <w:p>
      <w:pPr>
        <w:jc w:val="center"/>
        <w:spacing w:line="499" w:lineRule="atLeast"/>
        <w:widowControl/>
        <w:rPr>
          <w:rFonts w:hint="eastAsia" w:ascii="宋体" w:hAnsi="宋体" w:eastAsia="宋体" w:cs="宋体"/>
          <w:b/>
          <w:bCs/>
          <w:color w:val="auto"/>
          <w:sz w:val="32"/>
          <w:szCs w:val="32"/>
          <w:u w:val="single"/>
          <w14:ligatures w14:val="none"/>
        </w:rPr>
        <w:outlineLvl w:val="1"/>
      </w:pPr>
      <w:r>
        <w:rPr>
          <w:rFonts w:hint="eastAsia" w:ascii="宋体" w:hAnsi="宋体" w:eastAsia="宋体" w:cs="宋体"/>
          <w:b/>
          <w:bCs/>
          <w:color w:val="auto"/>
          <w:sz w:val="32"/>
          <w:szCs w:val="32"/>
          <w:u w:val="single"/>
          <w:lang w:val="en-US" w:eastAsia="zh-CN"/>
          <w14:ligatures w14:val="none"/>
        </w:rPr>
        <w:t xml:space="preserve">十八、</w:t>
      </w:r>
      <w:r>
        <w:rPr>
          <w:rFonts w:hint="eastAsia" w:ascii="宋体" w:hAnsi="宋体" w:eastAsia="宋体" w:cs="宋体"/>
          <w:b/>
          <w:bCs/>
          <w:color w:val="auto"/>
          <w:sz w:val="32"/>
          <w:szCs w:val="32"/>
          <w:u w:val="single"/>
          <w14:ligatures w14:val="none"/>
        </w:rPr>
        <w:t xml:space="preserve">盐城市政府采购事前信用承诺书</w:t>
      </w:r>
      <w:bookmarkEnd w:id="128"/>
      <w:r/>
      <w:r/>
    </w:p>
    <w:p>
      <w:pPr>
        <w:pStyle w:val="709"/>
        <w:rPr>
          <w:rFonts w:hint="eastAsia"/>
        </w:rPr>
      </w:pPr>
      <w:r>
        <w:rPr>
          <w:rFonts w:hint="eastAsia"/>
        </w:rPr>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为营造我市公开、公平、公正、诚实守信的政府采购交易环境，树立诚信守法的投标人形象，本人代表本单位作出以下承诺：</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一）本单位对所提交的企（事）业单位基本信息、企（事）业负责人、项目负责人、技术负责人、从业资质和资格、业绩、财务状况、信誉等所有资料，均合法、真实、准确、有效，无任何伪造、修改、虚假成份，并对所提供资料的真实性负责；</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（二）本单位无涉及政府采购活动的违法、违规不良记录，我公司及相关负责人无因存在重大隐患整改不力、发生有重大社会影响生产安全事故或其他严重违法违规行为而被列入失信联合惩戒的不良记录；</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（三）严格依照国家和省、市关于政府采购的法律、法规、规章、规范性文件，参加政府采购投标活动；积极履行社会责任，促进廉政建设； </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（四）严格遵守即时信息公示规定，及时维护和更新维护和更新盐城市政府采购网中与本单位相关的信息；</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五）自我约束、自我管理，守合同、重信用，自觉维护政府采购交易的良好秩序，与参与本次政府采购活动的其他供应商不存在直接控股或管理关系，不参与围标串标、弄虚作假、骗取中标、干扰评标、违约毁约等行为；</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（六）自觉接受政府、行业组织、社会公众、新闻舆论的监督；</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七）本单位自愿接受政府采购监督管理机构和有关行政监督部门的依法检查。如发生违法违规或不良失信行为，自愿接受政府采购监督管理机构和有关行政监督部门依法给予的行政处罚（处理），并依法承担相应责任；</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（八）本人已认真阅读了上述承诺，并向本单位员工作了宣传教育。</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                 </w:t>
      </w:r>
      <w:r>
        <w:rPr>
          <w:rFonts w:hint="eastAsia" w:ascii="宋体" w:hAnsi="宋体" w:eastAsia="宋体" w:cs="宋体"/>
          <w:color w:val="auto"/>
          <w:sz w:val="24"/>
          <w:szCs w:val="24"/>
          <w:lang w:val="en-US" w:eastAsia="zh-CN"/>
          <w14:ligatures w14:val="none"/>
        </w:rPr>
        <w:t xml:space="preserve">     </w:t>
      </w:r>
      <w:r>
        <w:rPr>
          <w:rFonts w:hint="eastAsia" w:ascii="宋体" w:hAnsi="宋体" w:eastAsia="宋体" w:cs="宋体"/>
          <w:color w:val="auto"/>
          <w:sz w:val="24"/>
          <w:szCs w:val="24"/>
          <w14:ligatures w14:val="none"/>
        </w:rPr>
        <w:t xml:space="preserve"> 法定代表人签名：</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     </w:t>
      </w:r>
      <w:r>
        <w:rPr>
          <w:rFonts w:hint="eastAsia" w:ascii="宋体" w:hAnsi="宋体" w:eastAsia="宋体" w:cs="宋体"/>
          <w:color w:val="auto"/>
          <w:sz w:val="24"/>
          <w:szCs w:val="24"/>
          <w:lang w:val="en-US" w:eastAsia="zh-CN"/>
          <w14:ligatures w14:val="none"/>
        </w:rPr>
        <w:t xml:space="preserve">                              </w:t>
      </w:r>
      <w:r>
        <w:rPr>
          <w:rFonts w:hint="eastAsia" w:ascii="宋体" w:hAnsi="宋体" w:eastAsia="宋体" w:cs="宋体"/>
          <w:color w:val="auto"/>
          <w:sz w:val="24"/>
          <w:szCs w:val="24"/>
          <w14:ligatures w14:val="none"/>
        </w:rPr>
        <w:t xml:space="preserve">单位名称（盖章）：</w:t>
      </w:r>
      <w:r/>
    </w:p>
    <w:p>
      <w:pPr>
        <w:ind w:firstLine="480"/>
        <w:jc w:val="left"/>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lang w:val="en-US" w:eastAsia="zh-CN"/>
          <w14:ligatures w14:val="none"/>
        </w:rPr>
        <w:t xml:space="preserve">                                        </w:t>
      </w:r>
      <w:r>
        <w:rPr>
          <w:rFonts w:hint="eastAsia" w:ascii="宋体" w:hAnsi="宋体" w:eastAsia="宋体" w:cs="宋体"/>
          <w:color w:val="auto"/>
          <w:sz w:val="24"/>
          <w:szCs w:val="24"/>
          <w14:ligatures w14:val="none"/>
        </w:rPr>
        <w:t xml:space="preserve">年    月     日</w:t>
      </w:r>
      <w:r/>
    </w:p>
    <w:p>
      <w:pPr>
        <w:jc w:val="center"/>
        <w:spacing w:line="499" w:lineRule="atLeast"/>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br w:type="page" w:clear="all"/>
      </w:r>
      <w:r/>
    </w:p>
    <w:p>
      <w:pPr>
        <w:jc w:val="center"/>
        <w:spacing w:line="276" w:lineRule="auto"/>
        <w:rPr>
          <w:rFonts w:hint="eastAsia" w:ascii="宋体" w:hAnsi="宋体" w:eastAsia="宋体" w:cs="宋体"/>
          <w:b/>
          <w:color w:val="auto"/>
          <w:sz w:val="30"/>
          <w:szCs w:val="30"/>
          <w14:ligatures w14:val="none"/>
        </w:rPr>
        <w:outlineLvl w:val="1"/>
      </w:pPr>
      <w:r/>
      <w:bookmarkStart w:id="131" w:name="_Toc197644597"/>
      <w:r>
        <w:rPr>
          <w:rFonts w:hint="eastAsia" w:ascii="宋体" w:hAnsi="宋体" w:eastAsia="宋体" w:cs="宋体"/>
          <w:b/>
          <w:color w:val="auto"/>
          <w:sz w:val="30"/>
          <w:szCs w:val="30"/>
          <w14:ligatures w14:val="none"/>
        </w:rPr>
        <w:t xml:space="preserve">质疑函范本</w:t>
      </w:r>
      <w:bookmarkEnd w:id="131"/>
      <w:r/>
      <w:r/>
    </w:p>
    <w:p>
      <w:pPr>
        <w:spacing w:before="290" w:line="276" w:lineRule="auto"/>
        <w:rPr>
          <w:rFonts w:hint="eastAsia" w:ascii="宋体" w:hAnsi="宋体" w:eastAsia="宋体" w:cs="宋体"/>
          <w:color w:val="auto"/>
          <w:sz w:val="24"/>
          <w:szCs w:val="24"/>
          <w14:ligatures w14:val="none"/>
        </w:rPr>
        <w:outlineLvl w:val="1"/>
      </w:pPr>
      <w:r>
        <w:rPr>
          <w:rFonts w:hint="eastAsia" w:ascii="宋体" w:hAnsi="宋体" w:eastAsia="宋体" w:cs="宋体"/>
          <w:color w:val="auto"/>
          <w:sz w:val="24"/>
          <w:szCs w:val="24"/>
          <w14:ligatures w14:val="none"/>
        </w:rPr>
        <w:t xml:space="preserve">一、质疑供应商基本信息</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质疑供应商：</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u w:val="single"/>
          <w14:ligatures w14:val="none"/>
        </w:rPr>
      </w:pPr>
      <w:r>
        <w:rPr>
          <w:rFonts w:hint="eastAsia" w:ascii="宋体" w:hAnsi="宋体" w:eastAsia="宋体" w:cs="宋体"/>
          <w:color w:val="auto"/>
          <w:sz w:val="24"/>
          <w:szCs w:val="24"/>
          <w14:ligatures w14:val="none"/>
        </w:rPr>
        <w:t xml:space="preserve">地址：</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邮编：</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u w:val="single"/>
          <w14:ligatures w14:val="none"/>
        </w:rPr>
      </w:pPr>
      <w:r>
        <w:rPr>
          <w:rFonts w:hint="eastAsia" w:ascii="宋体" w:hAnsi="宋体" w:eastAsia="宋体" w:cs="宋体"/>
          <w:color w:val="auto"/>
          <w:sz w:val="24"/>
          <w:szCs w:val="24"/>
          <w14:ligatures w14:val="none"/>
        </w:rPr>
        <w:t xml:space="preserve">联系人：</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联系电话：</w:t>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授权代表：</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联系电话：</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u w:val="single"/>
          <w14:ligatures w14:val="none"/>
        </w:rPr>
      </w:pPr>
      <w:r>
        <w:rPr>
          <w:rFonts w:hint="eastAsia" w:ascii="宋体" w:hAnsi="宋体" w:eastAsia="宋体" w:cs="宋体"/>
          <w:color w:val="auto"/>
          <w:sz w:val="24"/>
          <w:szCs w:val="24"/>
          <w14:ligatures w14:val="none"/>
        </w:rPr>
        <w:t xml:space="preserve">地址： </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邮编：</w:t>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outlineLvl w:val="1"/>
      </w:pPr>
      <w:r>
        <w:rPr>
          <w:rFonts w:hint="eastAsia" w:ascii="宋体" w:hAnsi="宋体" w:eastAsia="宋体" w:cs="宋体"/>
          <w:color w:val="auto"/>
          <w:sz w:val="24"/>
          <w:szCs w:val="24"/>
          <w14:ligatures w14:val="none"/>
        </w:rPr>
        <w:t xml:space="preserve">二、质疑项目基本情况</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质疑项目的名称：</w:t>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u w:val="single"/>
          <w14:ligatures w14:val="none"/>
        </w:rPr>
      </w:pPr>
      <w:r>
        <w:rPr>
          <w:rFonts w:hint="eastAsia" w:ascii="宋体" w:hAnsi="宋体" w:eastAsia="宋体" w:cs="宋体"/>
          <w:color w:val="auto"/>
          <w:sz w:val="24"/>
          <w:szCs w:val="24"/>
          <w14:ligatures w14:val="none"/>
        </w:rPr>
        <w:t xml:space="preserve">质疑项目的编号：</w:t>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包号：</w:t>
      </w:r>
      <w:r>
        <w:rPr>
          <w:rFonts w:hint="eastAsia" w:ascii="宋体" w:hAnsi="宋体" w:eastAsia="宋体" w:cs="宋体"/>
          <w:color w:val="auto"/>
          <w:sz w:val="24"/>
          <w:szCs w:val="24"/>
          <w:u w:val="single"/>
          <w14:ligatures w14:val="none"/>
        </w:rPr>
        <w:t xml:space="preserve">                       </w:t>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ab/>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采购人名称：</w:t>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采购文件获取日期：</w:t>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outlineLvl w:val="1"/>
      </w:pPr>
      <w:r>
        <w:rPr>
          <w:rFonts w:hint="eastAsia" w:ascii="宋体" w:hAnsi="宋体" w:eastAsia="宋体" w:cs="宋体"/>
          <w:color w:val="auto"/>
          <w:sz w:val="24"/>
          <w:szCs w:val="24"/>
          <w14:ligatures w14:val="none"/>
        </w:rPr>
        <w:t xml:space="preserve">三、质疑事项具体内容</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质疑事项1：</w:t>
      </w:r>
      <w:r>
        <w:rPr>
          <w:rFonts w:hint="eastAsia" w:ascii="宋体" w:hAnsi="宋体" w:eastAsia="宋体" w:cs="宋体"/>
          <w:color w:val="auto"/>
          <w:sz w:val="24"/>
          <w:szCs w:val="24"/>
          <w:u w:val="single"/>
          <w14:ligatures w14:val="none"/>
        </w:rPr>
        <w:t xml:space="preserve">                         </w:t>
      </w:r>
      <w:r/>
    </w:p>
    <w:p>
      <w:pPr>
        <w:jc w:val="left"/>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事实依据：</w:t>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法律依据：</w:t>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质疑事项2</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w:t>
      </w:r>
      <w:r/>
    </w:p>
    <w:p>
      <w:pPr>
        <w:spacing w:line="276" w:lineRule="auto"/>
        <w:rPr>
          <w:rFonts w:hint="eastAsia" w:ascii="宋体" w:hAnsi="宋体" w:eastAsia="宋体" w:cs="宋体"/>
          <w:color w:val="auto"/>
          <w:sz w:val="24"/>
          <w:szCs w:val="24"/>
          <w14:ligatures w14:val="none"/>
        </w:rPr>
        <w:outlineLvl w:val="1"/>
      </w:pPr>
      <w:r>
        <w:rPr>
          <w:rFonts w:hint="eastAsia" w:ascii="宋体" w:hAnsi="宋体" w:eastAsia="宋体" w:cs="宋体"/>
          <w:color w:val="auto"/>
          <w:sz w:val="24"/>
          <w:szCs w:val="24"/>
          <w14:ligatures w14:val="none"/>
        </w:rPr>
        <w:t xml:space="preserve">四、与质疑事项相关的质疑请求</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请求：</w:t>
      </w:r>
      <w:r>
        <w:rPr>
          <w:rFonts w:hint="eastAsia" w:ascii="宋体" w:hAnsi="宋体" w:eastAsia="宋体" w:cs="宋体"/>
          <w:color w:val="auto"/>
          <w:sz w:val="24"/>
          <w:szCs w:val="24"/>
          <w:u w:val="single"/>
          <w14:ligatures w14:val="none"/>
        </w:rPr>
        <w:t xml:space="preserve">                                                    </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签字(签章)：                 公章：               日期：</w:t>
      </w:r>
      <w:r/>
    </w:p>
    <w:p>
      <w:pPr>
        <w:spacing w:line="276" w:lineRule="auto"/>
        <w:rPr>
          <w:rFonts w:hint="eastAsia" w:ascii="宋体" w:hAnsi="宋体" w:eastAsia="宋体" w:cs="宋体"/>
          <w:color w:val="auto"/>
          <w:sz w:val="24"/>
          <w:szCs w:val="24"/>
          <w14:ligatures w14:val="none"/>
        </w:rPr>
      </w:pPr>
      <w:r>
        <w:rPr>
          <w:rFonts w:hint="eastAsia" w:ascii="宋体" w:hAnsi="宋体" w:eastAsia="宋体" w:cs="宋体"/>
          <w:b/>
          <w:color w:val="auto"/>
          <w:sz w:val="24"/>
          <w:szCs w:val="24"/>
          <w14:ligatures w14:val="none"/>
        </w:rPr>
        <w:t xml:space="preserve">质疑函制作说明：</w:t>
      </w:r>
      <w:r/>
    </w:p>
    <w:p>
      <w:pPr>
        <w:ind w:firstLine="480"/>
        <w:jc w:val="left"/>
        <w:spacing w:line="276" w:lineRule="auto"/>
        <w:widowControl/>
        <w:rPr>
          <w:rFonts w:hint="eastAsia" w:ascii="宋体" w:hAnsi="宋体" w:eastAsia="宋体" w:cs="宋体"/>
          <w:color w:val="auto"/>
          <w:sz w:val="24"/>
          <w:szCs w:val="24"/>
          <w14:ligatures w14:val="none"/>
        </w:rPr>
        <w:outlineLvl w:val="2"/>
      </w:pPr>
      <w:r>
        <w:rPr>
          <w:rFonts w:hint="eastAsia" w:ascii="宋体" w:hAnsi="宋体" w:eastAsia="宋体" w:cs="宋体"/>
          <w:color w:val="auto"/>
          <w:sz w:val="24"/>
          <w:szCs w:val="24"/>
          <w14:ligatures w14:val="none"/>
        </w:rPr>
        <w:t xml:space="preserve">1.供应商提出质疑时，应提交质疑函和必要的证明材料。</w:t>
      </w:r>
      <w:r/>
    </w:p>
    <w:p>
      <w:pPr>
        <w:ind w:firstLine="480"/>
        <w:jc w:val="left"/>
        <w:spacing w:line="276" w:lineRule="auto"/>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firstLine="480"/>
        <w:jc w:val="left"/>
        <w:spacing w:line="276" w:lineRule="auto"/>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3.质疑供应商若对项目的某一分包进行质疑，质疑函中应列明具体分包号。</w:t>
      </w:r>
      <w:r/>
    </w:p>
    <w:p>
      <w:pPr>
        <w:ind w:firstLine="480"/>
        <w:jc w:val="left"/>
        <w:spacing w:line="276" w:lineRule="auto"/>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4.质疑函的质疑事项应具体、明确，并有必要的事实依据和法律依据。</w:t>
      </w:r>
      <w:r/>
    </w:p>
    <w:p>
      <w:pPr>
        <w:ind w:firstLine="480"/>
        <w:jc w:val="left"/>
        <w:spacing w:line="276" w:lineRule="auto"/>
        <w:widowControl/>
        <w:rPr>
          <w:rFonts w:hint="eastAsia" w:ascii="宋体" w:hAnsi="宋体" w:eastAsia="宋体" w:cs="宋体"/>
          <w:color w:val="auto"/>
          <w:sz w:val="24"/>
          <w:szCs w:val="24"/>
          <w14:ligatures w14:val="none"/>
        </w:rPr>
        <w:outlineLvl w:val="2"/>
      </w:pPr>
      <w:r>
        <w:rPr>
          <w:rFonts w:hint="eastAsia" w:ascii="宋体" w:hAnsi="宋体" w:eastAsia="宋体" w:cs="宋体"/>
          <w:color w:val="auto"/>
          <w:sz w:val="24"/>
          <w:szCs w:val="24"/>
          <w14:ligatures w14:val="none"/>
        </w:rPr>
        <w:t xml:space="preserve">5.质疑函的质疑请求应与质疑事项相关。</w:t>
      </w:r>
      <w:r/>
    </w:p>
    <w:p>
      <w:pPr>
        <w:ind w:firstLine="480"/>
        <w:jc w:val="left"/>
        <w:spacing w:line="276" w:lineRule="auto"/>
        <w:widowControl/>
        <w:rPr>
          <w:rFonts w:hint="eastAsia" w:ascii="宋体" w:hAnsi="宋体" w:eastAsia="宋体" w:cs="宋体"/>
          <w:color w:val="auto"/>
          <w:sz w:val="24"/>
          <w:szCs w:val="24"/>
          <w14:ligatures w14:val="none"/>
        </w:rPr>
      </w:pPr>
      <w:r>
        <w:rPr>
          <w:rFonts w:hint="eastAsia" w:ascii="宋体" w:hAnsi="宋体" w:eastAsia="宋体" w:cs="宋体"/>
          <w:color w:val="auto"/>
          <w:sz w:val="24"/>
          <w:szCs w:val="24"/>
          <w14:ligatures w14:val="none"/>
        </w:rPr>
        <w:t xml:space="preserve">6.质疑供应商为自然人的，质疑函应由本人签字；质疑供应商为法人或者其他组织的，质疑函应由法定代表人、主要负责人，或者其授权代表签字或者盖章，并加盖公章。</w:t>
      </w:r>
      <w:r/>
    </w:p>
    <w:sectPr>
      <w:footnotePr/>
      <w:endnotePr/>
      <w:type w:val="nextPage"/>
      <w:pgSz w:w="11906" w:h="16838" w:orient="portrait"/>
      <w:pgMar w:top="1417" w:right="1701" w:bottom="1417" w:left="1701" w:header="851" w:footer="680" w:gutter="0"/>
      <w:cols w:num="1" w:sep="0" w:space="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Symbol">
    <w:panose1 w:val="05050102010706020507"/>
  </w:font>
  <w:font w:name="Wingdings">
    <w:panose1 w:val="05000000000000000000"/>
  </w:font>
  <w:font w:name="_x000B__x000C_">
    <w:panose1 w:val="020B0503020202020204"/>
  </w:font>
  <w:font w:name="Calibri">
    <w:panose1 w:val="020F0502020204030204"/>
  </w:font>
  <w:font w:name="Courier New">
    <w:panose1 w:val="02070309020205020404"/>
  </w:font>
  <w:font w:name="楷体_GB2312">
    <w:panose1 w:val="02010609060101010101"/>
  </w:font>
  <w:font w:name="Arial">
    <w:panose1 w:val="020B0604020202020204"/>
  </w:font>
  <w:font w:name="黑体">
    <w:panose1 w:val="02010609060101010101"/>
  </w:font>
  <w:font w:name="仿宋_GB2312">
    <w:panose1 w:val="02010609060101010101"/>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22"/>
      <w:rPr>
        <w:rFonts w:hint="eastAsia"/>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722"/>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722"/>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space"/>
      <w:lvlText w:val="%1、"/>
      <w:lvlJc w:val="left"/>
      <w:pPr>
        <w:ind w:left="1008" w:hanging="440"/>
      </w:pPr>
      <w:rPr>
        <w:rFonts w:hint="eastAsia"/>
      </w:rPr>
    </w:lvl>
    <w:lvl w:ilvl="1">
      <w:start w:val="1"/>
      <w:numFmt w:val="decimal"/>
      <w:isLgl/>
      <w:suff w:val="space"/>
      <w:lvlText w:val="%1.%2"/>
      <w:lvlJc w:val="left"/>
      <w:pPr>
        <w:ind w:left="844" w:hanging="420"/>
      </w:pPr>
      <w:rPr>
        <w:rFonts w:hint="default"/>
      </w:rPr>
    </w:lvl>
    <w:lvl w:ilvl="2">
      <w:start w:val="1"/>
      <w:numFmt w:val="decimal"/>
      <w:isLgl/>
      <w:suff w:val="space"/>
      <w:lvlText w:val="%1.%2.%3"/>
      <w:lvlJc w:val="left"/>
      <w:pPr>
        <w:ind w:left="1568" w:hanging="720"/>
      </w:pPr>
      <w:rPr>
        <w:rFonts w:hint="default"/>
      </w:rPr>
    </w:lvl>
    <w:lvl w:ilvl="3">
      <w:start w:val="1"/>
      <w:numFmt w:val="decimal"/>
      <w:isLgl/>
      <w:suff w:val="space"/>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1">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2">
    <w:multiLevelType w:val="hybridMultilevel"/>
    <w:lvl w:ilvl="0">
      <w:start w:val="1"/>
      <w:numFmt w:val="decimal"/>
      <w:isLgl w:val="false"/>
      <w:suff w:val="space"/>
      <w:lvlText w:val="%1."/>
      <w:lvlJc w:val="left"/>
      <w:pPr>
        <w:ind w:left="440" w:hanging="440"/>
      </w:pPr>
      <w:rPr>
        <w:rFonts w:hint="eastAsia"/>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tab"/>
      <w:lvlText w:val="%1.%2"/>
      <w:lvlJc w:val="left"/>
      <w:pPr>
        <w:ind w:left="844" w:hanging="420"/>
      </w:pPr>
      <w:rPr>
        <w:rFonts w:hint="default"/>
      </w:rPr>
    </w:lvl>
    <w:lvl w:ilvl="2">
      <w:start w:val="1"/>
      <w:numFmt w:val="decimal"/>
      <w:isLgl/>
      <w:suff w:val="tab"/>
      <w:lvlText w:val="%1.%2.%3"/>
      <w:lvlJc w:val="left"/>
      <w:pPr>
        <w:ind w:left="1568" w:hanging="720"/>
      </w:pPr>
      <w:rPr>
        <w:rFonts w:hint="default"/>
      </w:rPr>
    </w:lvl>
    <w:lvl w:ilvl="3">
      <w:start w:val="1"/>
      <w:numFmt w:val="decimal"/>
      <w:isLgl/>
      <w:suff w:val="tab"/>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abstractNum w:abstractNumId="4">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866" w:hanging="440"/>
      </w:pPr>
      <w:rPr>
        <w:rFonts w:hint="default"/>
      </w:rPr>
    </w:lvl>
    <w:lvl w:ilvl="1">
      <w:start w:val="1"/>
      <w:numFmt w:val="lowerLetter"/>
      <w:isLgl w:val="false"/>
      <w:suff w:val="tab"/>
      <w:lvlText w:val="%2)"/>
      <w:lvlJc w:val="left"/>
      <w:pPr>
        <w:ind w:left="1306" w:hanging="440"/>
      </w:pPr>
    </w:lvl>
    <w:lvl w:ilvl="2">
      <w:start w:val="1"/>
      <w:numFmt w:val="lowerRoman"/>
      <w:isLgl w:val="false"/>
      <w:suff w:val="tab"/>
      <w:lvlText w:val="%3."/>
      <w:lvlJc w:val="right"/>
      <w:pPr>
        <w:ind w:left="1746" w:hanging="440"/>
      </w:pPr>
    </w:lvl>
    <w:lvl w:ilvl="3">
      <w:start w:val="1"/>
      <w:numFmt w:val="decimal"/>
      <w:isLgl w:val="false"/>
      <w:suff w:val="tab"/>
      <w:lvlText w:val="%4."/>
      <w:lvlJc w:val="left"/>
      <w:pPr>
        <w:ind w:left="2186" w:hanging="440"/>
      </w:pPr>
    </w:lvl>
    <w:lvl w:ilvl="4">
      <w:start w:val="1"/>
      <w:numFmt w:val="lowerLetter"/>
      <w:isLgl w:val="false"/>
      <w:suff w:val="tab"/>
      <w:lvlText w:val="%5)"/>
      <w:lvlJc w:val="left"/>
      <w:pPr>
        <w:ind w:left="2626" w:hanging="440"/>
      </w:pPr>
    </w:lvl>
    <w:lvl w:ilvl="5">
      <w:start w:val="1"/>
      <w:numFmt w:val="lowerRoman"/>
      <w:isLgl w:val="false"/>
      <w:suff w:val="tab"/>
      <w:lvlText w:val="%6."/>
      <w:lvlJc w:val="right"/>
      <w:pPr>
        <w:ind w:left="3066" w:hanging="440"/>
      </w:pPr>
    </w:lvl>
    <w:lvl w:ilvl="6">
      <w:start w:val="1"/>
      <w:numFmt w:val="decimal"/>
      <w:isLgl w:val="false"/>
      <w:suff w:val="tab"/>
      <w:lvlText w:val="%7."/>
      <w:lvlJc w:val="left"/>
      <w:pPr>
        <w:ind w:left="3506" w:hanging="440"/>
      </w:pPr>
    </w:lvl>
    <w:lvl w:ilvl="7">
      <w:start w:val="1"/>
      <w:numFmt w:val="lowerLetter"/>
      <w:isLgl w:val="false"/>
      <w:suff w:val="tab"/>
      <w:lvlText w:val="%8)"/>
      <w:lvlJc w:val="left"/>
      <w:pPr>
        <w:ind w:left="3946" w:hanging="440"/>
      </w:pPr>
    </w:lvl>
    <w:lvl w:ilvl="8">
      <w:start w:val="1"/>
      <w:numFmt w:val="lowerRoman"/>
      <w:isLgl w:val="false"/>
      <w:suff w:val="tab"/>
      <w:lvlText w:val="%9."/>
      <w:lvlJc w:val="right"/>
      <w:pPr>
        <w:ind w:left="4386" w:hanging="440"/>
      </w:pPr>
    </w:lvl>
  </w:abstractNum>
  <w:abstractNum w:abstractNumId="7">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japaneseCounting"/>
      <w:isLgl w:val="false"/>
      <w:suff w:val="tab"/>
      <w:lvlText w:val="第%1章"/>
      <w:lvlJc w:val="left"/>
      <w:pPr>
        <w:ind w:left="750" w:hanging="75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9">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0">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chineseCountingThousand"/>
      <w:isLgl w:val="false"/>
      <w:suff w:val="space"/>
      <w:lvlText w:val="%1、"/>
      <w:lvlJc w:val="left"/>
      <w:pPr>
        <w:ind w:left="440" w:hanging="440"/>
      </w:pPr>
      <w:rPr>
        <w:rFonts w:hint="eastAsia"/>
        <w:b/>
        <w:i w:val="0"/>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1"/>
      <w:numFmt w:val="decimal"/>
      <w:isLgl w:val="false"/>
      <w:suff w:val="space"/>
      <w:lvlText w:val="%1."/>
      <w:lvlJc w:val="left"/>
      <w:pPr>
        <w:ind w:left="440" w:hanging="440"/>
      </w:pPr>
      <w:rPr>
        <w:rFonts w:hint="eastAsia"/>
      </w:rPr>
    </w:lvl>
    <w:lvl w:ilvl="1">
      <w:start w:val="1"/>
      <w:numFmt w:val="decimal"/>
      <w:isLgl/>
      <w:suff w:val="space"/>
      <w:lvlText w:val="%1.%2"/>
      <w:lvlJc w:val="left"/>
      <w:pPr>
        <w:ind w:left="844" w:hanging="420"/>
      </w:pPr>
      <w:rPr>
        <w:rFonts w:hint="default"/>
      </w:rPr>
    </w:lvl>
    <w:lvl w:ilvl="2">
      <w:start w:val="1"/>
      <w:numFmt w:val="decimal"/>
      <w:isLgl/>
      <w:suff w:val="space"/>
      <w:lvlText w:val="%1.%2.%3"/>
      <w:lvlJc w:val="left"/>
      <w:pPr>
        <w:ind w:left="1568" w:hanging="720"/>
      </w:pPr>
      <w:rPr>
        <w:rFonts w:hint="default"/>
      </w:rPr>
    </w:lvl>
    <w:lvl w:ilvl="3">
      <w:start w:val="1"/>
      <w:numFmt w:val="decimal"/>
      <w:isLgl/>
      <w:suff w:val="space"/>
      <w:lvlText w:val="%1.%2.%3.%4"/>
      <w:lvlJc w:val="left"/>
      <w:pPr>
        <w:ind w:left="2352" w:hanging="1080"/>
      </w:pPr>
      <w:rPr>
        <w:rFonts w:hint="default"/>
      </w:rPr>
    </w:lvl>
    <w:lvl w:ilvl="4">
      <w:start w:val="1"/>
      <w:numFmt w:val="decimal"/>
      <w:isLgl/>
      <w:suff w:val="tab"/>
      <w:lvlText w:val="%1.%2.%3.%4.%5"/>
      <w:lvlJc w:val="left"/>
      <w:pPr>
        <w:ind w:left="2776" w:hanging="1080"/>
      </w:pPr>
      <w:rPr>
        <w:rFonts w:hint="default"/>
      </w:rPr>
    </w:lvl>
    <w:lvl w:ilvl="5">
      <w:start w:val="1"/>
      <w:numFmt w:val="decimal"/>
      <w:isLgl/>
      <w:suff w:val="tab"/>
      <w:lvlText w:val="%1.%2.%3.%4.%5.%6"/>
      <w:lvlJc w:val="left"/>
      <w:pPr>
        <w:ind w:left="3560" w:hanging="1440"/>
      </w:pPr>
      <w:rPr>
        <w:rFonts w:hint="default"/>
      </w:rPr>
    </w:lvl>
    <w:lvl w:ilvl="6">
      <w:start w:val="1"/>
      <w:numFmt w:val="decimal"/>
      <w:isLgl/>
      <w:suff w:val="tab"/>
      <w:lvlText w:val="%1.%2.%3.%4.%5.%6.%7"/>
      <w:lvlJc w:val="left"/>
      <w:pPr>
        <w:ind w:left="3984" w:hanging="1440"/>
      </w:pPr>
      <w:rPr>
        <w:rFonts w:hint="default"/>
      </w:rPr>
    </w:lvl>
    <w:lvl w:ilvl="7">
      <w:start w:val="1"/>
      <w:numFmt w:val="decimal"/>
      <w:isLgl/>
      <w:suff w:val="tab"/>
      <w:lvlText w:val="%1.%2.%3.%4.%5.%6.%7.%8"/>
      <w:lvlJc w:val="left"/>
      <w:pPr>
        <w:ind w:left="4768" w:hanging="1800"/>
      </w:pPr>
      <w:rPr>
        <w:rFonts w:hint="default"/>
      </w:rPr>
    </w:lvl>
    <w:lvl w:ilvl="8">
      <w:start w:val="1"/>
      <w:numFmt w:val="decimal"/>
      <w:isLgl/>
      <w:suff w:val="tab"/>
      <w:lvlText w:val="%1.%2.%3.%4.%5.%6.%7.%8.%9"/>
      <w:lvlJc w:val="left"/>
      <w:pPr>
        <w:ind w:left="5192" w:hanging="1800"/>
      </w:pPr>
      <w:rPr>
        <w:rFonts w:hint="default"/>
      </w:rPr>
    </w:lvl>
  </w:abstractNum>
  <w:num w:numId="1">
    <w:abstractNumId w:val="8"/>
  </w:num>
  <w:num w:numId="2">
    <w:abstractNumId w:val="9"/>
  </w:num>
  <w:num w:numId="3">
    <w:abstractNumId w:val="2"/>
  </w:num>
  <w:num w:numId="4">
    <w:abstractNumId w:val="3"/>
  </w:num>
  <w:num w:numId="5">
    <w:abstractNumId w:val="1"/>
  </w:num>
  <w:num w:numId="6">
    <w:abstractNumId w:val="5"/>
  </w:num>
  <w:num w:numId="7">
    <w:abstractNumId w:val="10"/>
  </w:num>
  <w:num w:numId="8">
    <w:abstractNumId w:val="0"/>
  </w:num>
  <w:num w:numId="9">
    <w:abstractNumId w:val="6"/>
  </w:num>
  <w:num w:numId="10">
    <w:abstractNumId w:val="4"/>
  </w:num>
  <w:num w:numId="11">
    <w:abstractNumId w:val="11"/>
  </w:num>
  <w:num w:numId="12">
    <w:abstractNumId w:val="12"/>
  </w:num>
  <w:num w:numId="13">
    <w:abstractNumId w:val="7"/>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97" w:default="1">
    <w:name w:val="Normal"/>
    <w:next w:val="709"/>
    <w:uiPriority w:val="0"/>
    <w:qFormat/>
    <w:pPr>
      <w:jc w:val="both"/>
      <w:widowControl w:val="off"/>
    </w:pPr>
    <w:rPr>
      <w:rFonts w:hint="default" w:asciiTheme="minorHAnsi" w:hAnsiTheme="minorHAnsi" w:eastAsiaTheme="minorEastAsia" w:cstheme="minorBidi"/>
      <w:sz w:val="21"/>
      <w:szCs w:val="22"/>
      <w14:ligatures w14:val="standardContextual"/>
    </w:rPr>
  </w:style>
  <w:style w:type="paragraph" w:styleId="698">
    <w:name w:val="Heading 1"/>
    <w:basedOn w:val="697"/>
    <w:next w:val="697"/>
    <w:link w:val="884"/>
    <w:uiPriority w:val="9"/>
    <w:qFormat/>
    <w:pPr>
      <w:keepLines/>
      <w:keepNext/>
      <w:spacing w:before="480" w:after="80"/>
      <w:outlineLvl w:val="0"/>
    </w:pPr>
    <w:rPr>
      <w:rFonts w:asciiTheme="majorHAnsi" w:hAnsiTheme="majorHAnsi" w:eastAsiaTheme="majorEastAsia" w:cstheme="majorBidi"/>
      <w:color w:val="2f5597" w:themeColor="accent1" w:themeShade="BF"/>
      <w:sz w:val="48"/>
      <w:szCs w:val="48"/>
    </w:rPr>
  </w:style>
  <w:style w:type="paragraph" w:styleId="699">
    <w:name w:val="Heading 2"/>
    <w:basedOn w:val="697"/>
    <w:next w:val="697"/>
    <w:link w:val="885"/>
    <w:uiPriority w:val="0"/>
    <w:unhideWhenUsed/>
    <w:qFormat/>
    <w:pPr>
      <w:keepLines/>
      <w:keepNext/>
      <w:spacing w:before="160" w:after="80"/>
      <w:outlineLvl w:val="1"/>
    </w:pPr>
    <w:rPr>
      <w:rFonts w:asciiTheme="majorHAnsi" w:hAnsiTheme="majorHAnsi" w:eastAsiaTheme="majorEastAsia" w:cstheme="majorBidi"/>
      <w:color w:val="2f5597" w:themeColor="accent1" w:themeShade="BF"/>
      <w:sz w:val="40"/>
      <w:szCs w:val="40"/>
    </w:rPr>
  </w:style>
  <w:style w:type="paragraph" w:styleId="700">
    <w:name w:val="Heading 3"/>
    <w:basedOn w:val="697"/>
    <w:next w:val="697"/>
    <w:link w:val="886"/>
    <w:uiPriority w:val="9"/>
    <w:semiHidden/>
    <w:unhideWhenUsed/>
    <w:qFormat/>
    <w:pPr>
      <w:keepLines/>
      <w:keepNext/>
      <w:spacing w:before="160" w:after="80"/>
      <w:outlineLvl w:val="2"/>
    </w:pPr>
    <w:rPr>
      <w:rFonts w:asciiTheme="majorHAnsi" w:hAnsiTheme="majorHAnsi" w:eastAsiaTheme="majorEastAsia" w:cstheme="majorBidi"/>
      <w:color w:val="2f5597" w:themeColor="accent1" w:themeShade="BF"/>
      <w:sz w:val="32"/>
      <w:szCs w:val="32"/>
    </w:rPr>
  </w:style>
  <w:style w:type="paragraph" w:styleId="701">
    <w:name w:val="Heading 4"/>
    <w:basedOn w:val="697"/>
    <w:next w:val="697"/>
    <w:link w:val="887"/>
    <w:uiPriority w:val="9"/>
    <w:semiHidden/>
    <w:unhideWhenUsed/>
    <w:qFormat/>
    <w:pPr>
      <w:keepLines/>
      <w:keepNext/>
      <w:spacing w:before="80" w:after="40"/>
      <w:outlineLvl w:val="3"/>
    </w:pPr>
    <w:rPr>
      <w:rFonts w:cstheme="majorBidi"/>
      <w:color w:val="2f5597" w:themeColor="accent1" w:themeShade="BF"/>
      <w:sz w:val="28"/>
      <w:szCs w:val="28"/>
    </w:rPr>
  </w:style>
  <w:style w:type="paragraph" w:styleId="702">
    <w:name w:val="Heading 5"/>
    <w:basedOn w:val="697"/>
    <w:next w:val="697"/>
    <w:link w:val="888"/>
    <w:uiPriority w:val="9"/>
    <w:semiHidden/>
    <w:unhideWhenUsed/>
    <w:qFormat/>
    <w:pPr>
      <w:keepLines/>
      <w:keepNext/>
      <w:spacing w:before="80" w:after="40"/>
      <w:outlineLvl w:val="4"/>
    </w:pPr>
    <w:rPr>
      <w:rFonts w:cstheme="majorBidi"/>
      <w:color w:val="2f5597" w:themeColor="accent1" w:themeShade="BF"/>
      <w:sz w:val="24"/>
      <w:szCs w:val="24"/>
    </w:rPr>
  </w:style>
  <w:style w:type="paragraph" w:styleId="703">
    <w:name w:val="Heading 6"/>
    <w:basedOn w:val="697"/>
    <w:next w:val="697"/>
    <w:link w:val="889"/>
    <w:uiPriority w:val="9"/>
    <w:semiHidden/>
    <w:unhideWhenUsed/>
    <w:qFormat/>
    <w:pPr>
      <w:keepLines/>
      <w:keepNext/>
      <w:spacing w:before="40"/>
      <w:outlineLvl w:val="5"/>
    </w:pPr>
    <w:rPr>
      <w:rFonts w:cstheme="majorBidi"/>
      <w:b/>
      <w:bCs/>
      <w:color w:val="2f5597" w:themeColor="accent1" w:themeShade="BF"/>
    </w:rPr>
  </w:style>
  <w:style w:type="paragraph" w:styleId="704">
    <w:name w:val="Heading 7"/>
    <w:basedOn w:val="697"/>
    <w:next w:val="697"/>
    <w:link w:val="890"/>
    <w:uiPriority w:val="9"/>
    <w:semiHidden/>
    <w:unhideWhenUsed/>
    <w:qFormat/>
    <w:pPr>
      <w:keepLines/>
      <w:keepNext/>
      <w:spacing w:before="40"/>
      <w:outlineLvl w:val="6"/>
    </w:pPr>
    <w:rPr>
      <w:rFonts w:cstheme="majorBidi"/>
      <w:b/>
      <w:bCs/>
      <w:color w:val="595959" w:themeColor="text1" w:themeTint="A6"/>
      <w14:textFill>
        <w14:solidFill>
          <w14:schemeClr w14:val="tx1">
            <w14:lumMod w14:val="65000"/>
            <w14:lumOff w14:val="35000"/>
          </w14:schemeClr>
        </w14:solidFill>
      </w14:textFill>
    </w:rPr>
  </w:style>
  <w:style w:type="paragraph" w:styleId="705">
    <w:name w:val="Heading 8"/>
    <w:basedOn w:val="697"/>
    <w:next w:val="697"/>
    <w:link w:val="891"/>
    <w:uiPriority w:val="9"/>
    <w:semiHidden/>
    <w:unhideWhenUsed/>
    <w:qFormat/>
    <w:pPr>
      <w:keepLines/>
      <w:keepNext/>
      <w:outlineLvl w:val="7"/>
    </w:pPr>
    <w:rPr>
      <w:rFonts w:cstheme="majorBidi"/>
      <w:color w:val="595959" w:themeColor="text1" w:themeTint="A6"/>
      <w14:textFill>
        <w14:solidFill>
          <w14:schemeClr w14:val="tx1">
            <w14:lumMod w14:val="65000"/>
            <w14:lumOff w14:val="35000"/>
          </w14:schemeClr>
        </w14:solidFill>
      </w14:textFill>
    </w:rPr>
  </w:style>
  <w:style w:type="paragraph" w:styleId="706">
    <w:name w:val="Heading 9"/>
    <w:basedOn w:val="697"/>
    <w:next w:val="697"/>
    <w:link w:val="892"/>
    <w:uiPriority w:val="9"/>
    <w:semiHidden/>
    <w:unhideWhenUsed/>
    <w:qFormat/>
    <w:pPr>
      <w:keepLines/>
      <w:keepNext/>
      <w:outlineLvl w:val="8"/>
    </w:pPr>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707" w:default="1">
    <w:name w:val="Default Paragraph Font"/>
    <w:uiPriority w:val="1"/>
    <w:semiHidden/>
    <w:unhideWhenUsed/>
    <w:qFormat/>
  </w:style>
  <w:style w:type="table" w:styleId="708" w:default="1">
    <w:name w:val="Normal Table"/>
    <w:uiPriority w:val="99"/>
    <w:semiHidden/>
    <w:unhideWhenUsed/>
    <w:qFormat/>
    <w:tblPr>
      <w:tblCellMar>
        <w:left w:w="108" w:type="dxa"/>
        <w:top w:w="0" w:type="dxa"/>
        <w:right w:w="108" w:type="dxa"/>
        <w:bottom w:w="0" w:type="dxa"/>
      </w:tblCellMar>
    </w:tblPr>
  </w:style>
  <w:style w:type="paragraph" w:styleId="709">
    <w:name w:val="Body Text Indent"/>
    <w:basedOn w:val="697"/>
    <w:next w:val="710"/>
    <w:uiPriority w:val="0"/>
    <w:qFormat/>
    <w:pPr>
      <w:ind w:firstLine="600"/>
      <w:spacing w:line="360" w:lineRule="auto"/>
    </w:pPr>
    <w:rPr>
      <w:rFonts w:ascii="仿宋_GB2312" w:eastAsia="仿宋_GB2312"/>
      <w:sz w:val="30"/>
    </w:rPr>
  </w:style>
  <w:style w:type="paragraph" w:styleId="710">
    <w:name w:val="envelope return"/>
    <w:basedOn w:val="697"/>
    <w:uiPriority w:val="0"/>
    <w:qFormat/>
    <w:rPr>
      <w:rFonts w:ascii="Arial" w:hAnsi="Arial"/>
    </w:rPr>
  </w:style>
  <w:style w:type="paragraph" w:styleId="711">
    <w:name w:val="toc 7"/>
    <w:basedOn w:val="697"/>
    <w:next w:val="697"/>
    <w:uiPriority w:val="39"/>
    <w:unhideWhenUsed/>
    <w:qFormat/>
    <w:pPr>
      <w:ind w:left="1701" w:right="0" w:firstLine="0"/>
      <w:spacing w:after="57"/>
    </w:pPr>
  </w:style>
  <w:style w:type="paragraph" w:styleId="712">
    <w:name w:val="Normal Indent"/>
    <w:basedOn w:val="697"/>
    <w:uiPriority w:val="99"/>
    <w:unhideWhenUsed/>
    <w:qFormat/>
    <w:pPr>
      <w:ind w:firstLine="420"/>
    </w:pPr>
  </w:style>
  <w:style w:type="paragraph" w:styleId="713">
    <w:name w:val="Caption"/>
    <w:basedOn w:val="697"/>
    <w:next w:val="697"/>
    <w:uiPriority w:val="35"/>
    <w:semiHidden/>
    <w:unhideWhenUsed/>
    <w:qFormat/>
    <w:pPr>
      <w:spacing w:line="276" w:lineRule="auto"/>
    </w:pPr>
    <w:rPr>
      <w:b/>
      <w:bCs/>
      <w:color w:val="4472c4" w:themeColor="accent1"/>
      <w:sz w:val="18"/>
      <w:szCs w:val="18"/>
      <w14:textFill>
        <w14:solidFill>
          <w14:schemeClr w14:val="accent1"/>
        </w14:solidFill>
      </w14:textFill>
    </w:rPr>
  </w:style>
  <w:style w:type="paragraph" w:styleId="714">
    <w:name w:val="annotation text"/>
    <w:basedOn w:val="697"/>
    <w:uiPriority w:val="0"/>
    <w:unhideWhenUsed/>
    <w:qFormat/>
    <w:pPr>
      <w:jc w:val="left"/>
    </w:pPr>
  </w:style>
  <w:style w:type="paragraph" w:styleId="715">
    <w:name w:val="Body Text"/>
    <w:basedOn w:val="697"/>
    <w:next w:val="697"/>
    <w:uiPriority w:val="0"/>
    <w:qFormat/>
    <w:rPr>
      <w:rFonts w:ascii="楷体_GB2312" w:hAnsi="Arial" w:eastAsia="楷体_GB2312"/>
      <w:sz w:val="28"/>
      <w:szCs w:val="20"/>
    </w:rPr>
  </w:style>
  <w:style w:type="paragraph" w:styleId="716">
    <w:name w:val="index 4"/>
    <w:basedOn w:val="697"/>
    <w:next w:val="697"/>
    <w:uiPriority w:val="0"/>
    <w:qFormat/>
    <w:pPr>
      <w:ind w:left="600" w:right="0"/>
      <w:jc w:val="both"/>
      <w:spacing w:before="0" w:beforeAutospacing="0" w:after="0" w:afterAutospacing="0"/>
      <w:widowControl w:val="off"/>
    </w:pPr>
    <w:rPr>
      <w:rFonts w:hint="default" w:ascii="Times New Roman" w:hAnsi="Times New Roman" w:eastAsia="宋体" w:cs="Times New Roman"/>
      <w:sz w:val="21"/>
      <w:szCs w:val="24"/>
      <w:lang w:val="en-US" w:eastAsia="zh-CN"/>
    </w:rPr>
  </w:style>
  <w:style w:type="paragraph" w:styleId="717">
    <w:name w:val="toc 5"/>
    <w:basedOn w:val="697"/>
    <w:next w:val="697"/>
    <w:uiPriority w:val="39"/>
    <w:unhideWhenUsed/>
    <w:qFormat/>
    <w:pPr>
      <w:ind w:left="1134" w:right="0" w:firstLine="0"/>
      <w:spacing w:after="57"/>
    </w:pPr>
  </w:style>
  <w:style w:type="paragraph" w:styleId="718">
    <w:name w:val="toc 3"/>
    <w:basedOn w:val="697"/>
    <w:next w:val="697"/>
    <w:uiPriority w:val="39"/>
    <w:unhideWhenUsed/>
    <w:qFormat/>
    <w:pPr>
      <w:ind w:left="840"/>
    </w:pPr>
  </w:style>
  <w:style w:type="paragraph" w:styleId="719">
    <w:name w:val="Plain Text"/>
    <w:basedOn w:val="697"/>
    <w:uiPriority w:val="0"/>
    <w:qFormat/>
    <w:rPr>
      <w:rFonts w:hint="eastAsia" w:hAnsi="Courier New" w:eastAsia="宋体"/>
      <w:sz w:val="21"/>
    </w:rPr>
  </w:style>
  <w:style w:type="paragraph" w:styleId="720">
    <w:name w:val="toc 8"/>
    <w:basedOn w:val="697"/>
    <w:next w:val="697"/>
    <w:uiPriority w:val="39"/>
    <w:unhideWhenUsed/>
    <w:qFormat/>
    <w:pPr>
      <w:ind w:left="1984" w:right="0" w:firstLine="0"/>
      <w:spacing w:after="57"/>
    </w:pPr>
  </w:style>
  <w:style w:type="paragraph" w:styleId="721">
    <w:name w:val="endnote text"/>
    <w:basedOn w:val="697"/>
    <w:link w:val="883"/>
    <w:uiPriority w:val="99"/>
    <w:semiHidden/>
    <w:unhideWhenUsed/>
    <w:qFormat/>
    <w:pPr>
      <w:spacing w:after="0" w:line="240" w:lineRule="auto"/>
    </w:pPr>
    <w:rPr>
      <w:sz w:val="20"/>
    </w:rPr>
  </w:style>
  <w:style w:type="paragraph" w:styleId="722">
    <w:name w:val="Footer"/>
    <w:basedOn w:val="697"/>
    <w:link w:val="903"/>
    <w:uiPriority w:val="99"/>
    <w:unhideWhenUsed/>
    <w:qFormat/>
    <w:pPr>
      <w:jc w:val="left"/>
      <w:tabs>
        <w:tab w:val="center" w:pos="4153" w:leader="none"/>
        <w:tab w:val="right" w:pos="8306" w:leader="none"/>
      </w:tabs>
    </w:pPr>
    <w:rPr>
      <w:sz w:val="18"/>
      <w:szCs w:val="18"/>
    </w:rPr>
  </w:style>
  <w:style w:type="paragraph" w:styleId="723">
    <w:name w:val="Header"/>
    <w:basedOn w:val="697"/>
    <w:link w:val="902"/>
    <w:uiPriority w:val="99"/>
    <w:unhideWhenUsed/>
    <w:qFormat/>
    <w:pPr>
      <w:jc w:val="center"/>
      <w:tabs>
        <w:tab w:val="center" w:pos="4153" w:leader="none"/>
        <w:tab w:val="right" w:pos="8306" w:leader="none"/>
      </w:tabs>
    </w:pPr>
    <w:rPr>
      <w:sz w:val="18"/>
      <w:szCs w:val="18"/>
    </w:rPr>
  </w:style>
  <w:style w:type="paragraph" w:styleId="724">
    <w:name w:val="toc 1"/>
    <w:basedOn w:val="697"/>
    <w:next w:val="697"/>
    <w:uiPriority w:val="39"/>
    <w:unhideWhenUsed/>
    <w:qFormat/>
    <w:pPr>
      <w:ind w:left="0" w:right="0" w:firstLine="0"/>
      <w:spacing w:after="57"/>
    </w:pPr>
  </w:style>
  <w:style w:type="paragraph" w:styleId="725">
    <w:name w:val="toc 4"/>
    <w:basedOn w:val="697"/>
    <w:next w:val="697"/>
    <w:uiPriority w:val="39"/>
    <w:unhideWhenUsed/>
    <w:qFormat/>
    <w:pPr>
      <w:ind w:left="1260"/>
    </w:pPr>
  </w:style>
  <w:style w:type="paragraph" w:styleId="726">
    <w:name w:val="Subtitle"/>
    <w:basedOn w:val="697"/>
    <w:next w:val="697"/>
    <w:link w:val="894"/>
    <w:uiPriority w:val="11"/>
    <w:qFormat/>
    <w:pPr>
      <w:jc w:val="center"/>
      <w:spacing w:after="160"/>
    </w:pPr>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727">
    <w:name w:val="footnote text"/>
    <w:basedOn w:val="697"/>
    <w:link w:val="882"/>
    <w:uiPriority w:val="99"/>
    <w:semiHidden/>
    <w:unhideWhenUsed/>
    <w:qFormat/>
    <w:pPr>
      <w:spacing w:after="40" w:line="240" w:lineRule="auto"/>
    </w:pPr>
    <w:rPr>
      <w:sz w:val="18"/>
    </w:rPr>
  </w:style>
  <w:style w:type="paragraph" w:styleId="728">
    <w:name w:val="toc 6"/>
    <w:basedOn w:val="697"/>
    <w:next w:val="697"/>
    <w:uiPriority w:val="39"/>
    <w:unhideWhenUsed/>
    <w:qFormat/>
    <w:pPr>
      <w:ind w:left="1417" w:right="0" w:firstLine="0"/>
      <w:spacing w:after="57"/>
    </w:pPr>
  </w:style>
  <w:style w:type="paragraph" w:styleId="729">
    <w:name w:val="table of figures"/>
    <w:basedOn w:val="697"/>
    <w:next w:val="697"/>
    <w:uiPriority w:val="99"/>
    <w:unhideWhenUsed/>
    <w:qFormat/>
    <w:pPr>
      <w:spacing w:after="0" w:afterAutospacing="0"/>
    </w:pPr>
  </w:style>
  <w:style w:type="paragraph" w:styleId="730">
    <w:name w:val="toc 2"/>
    <w:basedOn w:val="697"/>
    <w:next w:val="697"/>
    <w:uiPriority w:val="39"/>
    <w:unhideWhenUsed/>
    <w:qFormat/>
    <w:pPr>
      <w:ind w:left="420"/>
    </w:pPr>
  </w:style>
  <w:style w:type="paragraph" w:styleId="731">
    <w:name w:val="toc 9"/>
    <w:basedOn w:val="697"/>
    <w:next w:val="697"/>
    <w:uiPriority w:val="39"/>
    <w:unhideWhenUsed/>
    <w:qFormat/>
    <w:pPr>
      <w:ind w:left="2268" w:right="0" w:firstLine="0"/>
      <w:spacing w:after="57"/>
    </w:pPr>
  </w:style>
  <w:style w:type="paragraph" w:styleId="732">
    <w:name w:val="Normal (Web)"/>
    <w:basedOn w:val="697"/>
    <w:uiPriority w:val="0"/>
    <w:qFormat/>
    <w:pPr>
      <w:jc w:val="left"/>
      <w:spacing w:line="276" w:lineRule="auto"/>
    </w:pPr>
    <w:rPr>
      <w:rFonts w:ascii="宋体" w:hAnsi="宋体" w:eastAsia="宋体" w:cs="宋体"/>
      <w:color w:val="000000"/>
      <w:szCs w:val="21"/>
    </w:rPr>
  </w:style>
  <w:style w:type="paragraph" w:styleId="733">
    <w:name w:val="Title"/>
    <w:basedOn w:val="697"/>
    <w:next w:val="697"/>
    <w:link w:val="893"/>
    <w:uiPriority w:val="10"/>
    <w:qFormat/>
    <w:pPr>
      <w:contextualSpacing/>
      <w:jc w:val="center"/>
      <w:spacing w:after="80"/>
    </w:pPr>
    <w:rPr>
      <w:rFonts w:asciiTheme="majorHAnsi" w:hAnsiTheme="majorHAnsi" w:eastAsiaTheme="majorEastAsia" w:cstheme="majorBidi"/>
      <w:spacing w:val="-10"/>
      <w:sz w:val="56"/>
      <w:szCs w:val="56"/>
    </w:rPr>
  </w:style>
  <w:style w:type="paragraph" w:styleId="734">
    <w:name w:val="Body Text First Indent"/>
    <w:basedOn w:val="715"/>
    <w:next w:val="697"/>
    <w:uiPriority w:val="0"/>
    <w:qFormat/>
    <w:pPr>
      <w:ind w:firstLine="420"/>
    </w:pPr>
    <w:rPr>
      <w:sz w:val="24"/>
    </w:rPr>
  </w:style>
  <w:style w:type="table" w:styleId="735">
    <w:name w:val="Table Grid"/>
    <w:basedOn w:val="708"/>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736">
    <w:name w:val="endnote reference"/>
    <w:basedOn w:val="707"/>
    <w:uiPriority w:val="99"/>
    <w:semiHidden/>
    <w:unhideWhenUsed/>
    <w:qFormat/>
    <w:rPr>
      <w:vertAlign w:val="superscript"/>
    </w:rPr>
  </w:style>
  <w:style w:type="character" w:styleId="737">
    <w:name w:val="Hyperlink"/>
    <w:basedOn w:val="707"/>
    <w:uiPriority w:val="99"/>
    <w:unhideWhenUsed/>
    <w:qFormat/>
    <w:rPr>
      <w:color w:val="0563c1" w:themeColor="hyperlink"/>
      <w:u w:val="single"/>
      <w14:textFill>
        <w14:solidFill>
          <w14:schemeClr w14:val="hlink"/>
        </w14:solidFill>
      </w14:textFill>
    </w:rPr>
  </w:style>
  <w:style w:type="character" w:styleId="738">
    <w:name w:val="annotation reference"/>
    <w:uiPriority w:val="0"/>
    <w:unhideWhenUsed/>
    <w:qFormat/>
    <w:rPr>
      <w:sz w:val="21"/>
      <w:szCs w:val="21"/>
    </w:rPr>
  </w:style>
  <w:style w:type="character" w:styleId="739">
    <w:name w:val="footnote reference"/>
    <w:basedOn w:val="707"/>
    <w:uiPriority w:val="99"/>
    <w:unhideWhenUsed/>
    <w:qFormat/>
    <w:rPr>
      <w:vertAlign w:val="superscript"/>
    </w:rPr>
  </w:style>
  <w:style w:type="character" w:styleId="740" w:customStyle="1">
    <w:name w:val="Heading 1 Char"/>
    <w:basedOn w:val="707"/>
    <w:uiPriority w:val="9"/>
    <w:qFormat/>
    <w:rPr>
      <w:rFonts w:ascii="Arial" w:hAnsi="Arial" w:eastAsia="Arial" w:cs="Arial"/>
      <w:sz w:val="40"/>
      <w:szCs w:val="40"/>
    </w:rPr>
  </w:style>
  <w:style w:type="character" w:styleId="741" w:customStyle="1">
    <w:name w:val="Heading 2 Char"/>
    <w:basedOn w:val="707"/>
    <w:uiPriority w:val="9"/>
    <w:qFormat/>
    <w:rPr>
      <w:rFonts w:ascii="Arial" w:hAnsi="Arial" w:eastAsia="Arial" w:cs="Arial"/>
      <w:sz w:val="34"/>
    </w:rPr>
  </w:style>
  <w:style w:type="character" w:styleId="742" w:customStyle="1">
    <w:name w:val="Heading 3 Char"/>
    <w:basedOn w:val="707"/>
    <w:uiPriority w:val="9"/>
    <w:qFormat/>
    <w:rPr>
      <w:rFonts w:ascii="Arial" w:hAnsi="Arial" w:eastAsia="Arial" w:cs="Arial"/>
      <w:sz w:val="30"/>
      <w:szCs w:val="30"/>
    </w:rPr>
  </w:style>
  <w:style w:type="character" w:styleId="743" w:customStyle="1">
    <w:name w:val="Heading 4 Char"/>
    <w:basedOn w:val="707"/>
    <w:uiPriority w:val="9"/>
    <w:qFormat/>
    <w:rPr>
      <w:rFonts w:ascii="Arial" w:hAnsi="Arial" w:eastAsia="Arial" w:cs="Arial"/>
      <w:b/>
      <w:bCs/>
      <w:sz w:val="26"/>
      <w:szCs w:val="26"/>
    </w:rPr>
  </w:style>
  <w:style w:type="character" w:styleId="744" w:customStyle="1">
    <w:name w:val="Heading 5 Char"/>
    <w:basedOn w:val="707"/>
    <w:uiPriority w:val="9"/>
    <w:qFormat/>
    <w:rPr>
      <w:rFonts w:ascii="Arial" w:hAnsi="Arial" w:eastAsia="Arial" w:cs="Arial"/>
      <w:b/>
      <w:bCs/>
      <w:sz w:val="24"/>
      <w:szCs w:val="24"/>
    </w:rPr>
  </w:style>
  <w:style w:type="character" w:styleId="745" w:customStyle="1">
    <w:name w:val="Heading 6 Char"/>
    <w:basedOn w:val="707"/>
    <w:uiPriority w:val="9"/>
    <w:qFormat/>
    <w:rPr>
      <w:rFonts w:ascii="Arial" w:hAnsi="Arial" w:eastAsia="Arial" w:cs="Arial"/>
      <w:b/>
      <w:bCs/>
      <w:sz w:val="22"/>
      <w:szCs w:val="22"/>
    </w:rPr>
  </w:style>
  <w:style w:type="character" w:styleId="746" w:customStyle="1">
    <w:name w:val="Heading 7 Char"/>
    <w:basedOn w:val="707"/>
    <w:uiPriority w:val="9"/>
    <w:qFormat/>
    <w:rPr>
      <w:rFonts w:ascii="Arial" w:hAnsi="Arial" w:eastAsia="Arial" w:cs="Arial"/>
      <w:b/>
      <w:bCs/>
      <w:i/>
      <w:iCs/>
      <w:sz w:val="22"/>
      <w:szCs w:val="22"/>
    </w:rPr>
  </w:style>
  <w:style w:type="character" w:styleId="747" w:customStyle="1">
    <w:name w:val="Heading 8 Char"/>
    <w:basedOn w:val="707"/>
    <w:uiPriority w:val="9"/>
    <w:qFormat/>
    <w:rPr>
      <w:rFonts w:ascii="Arial" w:hAnsi="Arial" w:eastAsia="Arial" w:cs="Arial"/>
      <w:i/>
      <w:iCs/>
      <w:sz w:val="22"/>
      <w:szCs w:val="22"/>
    </w:rPr>
  </w:style>
  <w:style w:type="character" w:styleId="748" w:customStyle="1">
    <w:name w:val="Heading 9 Char"/>
    <w:basedOn w:val="707"/>
    <w:uiPriority w:val="9"/>
    <w:qFormat/>
    <w:rPr>
      <w:rFonts w:ascii="Arial" w:hAnsi="Arial" w:eastAsia="Arial" w:cs="Arial"/>
      <w:i/>
      <w:iCs/>
      <w:sz w:val="21"/>
      <w:szCs w:val="21"/>
    </w:rPr>
  </w:style>
  <w:style w:type="paragraph" w:styleId="749">
    <w:name w:val="No Spacing"/>
    <w:uiPriority w:val="1"/>
    <w:qFormat/>
    <w:pPr>
      <w:spacing w:before="0" w:after="0" w:line="240" w:lineRule="auto"/>
    </w:pPr>
    <w:rPr>
      <w:rFonts w:hint="default" w:asciiTheme="minorHAnsi" w:hAnsiTheme="minorHAnsi" w:eastAsiaTheme="minorEastAsia" w:cstheme="minorBidi"/>
      <w:sz w:val="21"/>
      <w:szCs w:val="22"/>
      <w14:ligatures w14:val="standardContextual"/>
    </w:rPr>
  </w:style>
  <w:style w:type="character" w:styleId="750" w:customStyle="1">
    <w:name w:val="Title Char"/>
    <w:basedOn w:val="707"/>
    <w:uiPriority w:val="10"/>
    <w:qFormat/>
    <w:rPr>
      <w:sz w:val="48"/>
      <w:szCs w:val="48"/>
    </w:rPr>
  </w:style>
  <w:style w:type="character" w:styleId="751" w:customStyle="1">
    <w:name w:val="Subtitle Char"/>
    <w:basedOn w:val="707"/>
    <w:uiPriority w:val="11"/>
    <w:qFormat/>
    <w:rPr>
      <w:sz w:val="24"/>
      <w:szCs w:val="24"/>
    </w:rPr>
  </w:style>
  <w:style w:type="character" w:styleId="752" w:customStyle="1">
    <w:name w:val="Quote Char"/>
    <w:uiPriority w:val="29"/>
    <w:qFormat/>
    <w:rPr>
      <w:i/>
    </w:rPr>
  </w:style>
  <w:style w:type="character" w:styleId="753" w:customStyle="1">
    <w:name w:val="Intense Quote Char"/>
    <w:uiPriority w:val="30"/>
    <w:qFormat/>
    <w:rPr>
      <w:i/>
    </w:rPr>
  </w:style>
  <w:style w:type="character" w:styleId="754" w:customStyle="1">
    <w:name w:val="Header Char"/>
    <w:basedOn w:val="707"/>
    <w:uiPriority w:val="99"/>
    <w:qFormat/>
  </w:style>
  <w:style w:type="character" w:styleId="755" w:customStyle="1">
    <w:name w:val="Footer Char"/>
    <w:basedOn w:val="707"/>
    <w:uiPriority w:val="99"/>
    <w:qFormat/>
  </w:style>
  <w:style w:type="character" w:styleId="756" w:customStyle="1">
    <w:name w:val="Caption Char"/>
    <w:uiPriority w:val="99"/>
    <w:qFormat/>
  </w:style>
  <w:style w:type="table" w:styleId="757" w:customStyle="1">
    <w:name w:val="Table Grid Light"/>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58" w:customStyle="1">
    <w:name w:val="Plain Table 1"/>
    <w:basedOn w:val="708"/>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9" w:customStyle="1">
    <w:name w:val="Plain Table 2"/>
    <w:basedOn w:val="708"/>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60" w:customStyle="1">
    <w:name w:val="Plain Table 3"/>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61" w:customStyle="1">
    <w:name w:val="Plain Table 4"/>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62" w:customStyle="1">
    <w:name w:val="Plain Table 5"/>
    <w:basedOn w:val="708"/>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63" w:customStyle="1">
    <w:name w:val="Grid Table 1 Light"/>
    <w:basedOn w:val="708"/>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64" w:customStyle="1">
    <w:name w:val="Grid Table 1 Light - Accent 1"/>
    <w:basedOn w:val="70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b/>
        <w:color w:val="404040"/>
      </w:rPr>
    </w:tblStylePr>
    <w:tblStylePr w:type="firstRow">
      <w:rPr>
        <w:b/>
        <w:color w:val="404040"/>
      </w:rPr>
      <w:tcPr>
        <w:tcBorders>
          <w:bottom w:val="single" w:color="91ACDC" w:themeColor="accent1" w:themeTint="95" w:sz="12" w:space="0"/>
        </w:tcBorders>
      </w:tcPr>
    </w:tblStylePr>
    <w:tblStylePr w:type="lastCol">
      <w:rPr>
        <w:b/>
        <w:color w:val="404040"/>
      </w:rPr>
    </w:tblStylePr>
    <w:tblStylePr w:type="lastRow">
      <w:rPr>
        <w:b/>
        <w:color w:val="404040"/>
      </w:rPr>
    </w:tblStylePr>
  </w:style>
  <w:style w:type="table" w:styleId="765" w:customStyle="1">
    <w:name w:val="Grid Table 1 Light - Accent 2"/>
    <w:basedOn w:val="70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b/>
        <w:color w:val="404040"/>
      </w:rPr>
    </w:tblStylePr>
    <w:tblStylePr w:type="firstRow">
      <w:rPr>
        <w:b/>
        <w:color w:val="404040"/>
      </w:rPr>
      <w:tcPr>
        <w:tcBorders>
          <w:bottom w:val="single" w:color="F4B386" w:themeColor="accent2" w:themeTint="95" w:sz="12" w:space="0"/>
        </w:tcBorders>
      </w:tcPr>
    </w:tblStylePr>
    <w:tblStylePr w:type="lastCol">
      <w:rPr>
        <w:b/>
        <w:color w:val="404040"/>
      </w:rPr>
    </w:tblStylePr>
    <w:tblStylePr w:type="lastRow">
      <w:rPr>
        <w:b/>
        <w:color w:val="404040"/>
      </w:rPr>
    </w:tblStylePr>
  </w:style>
  <w:style w:type="table" w:styleId="766" w:customStyle="1">
    <w:name w:val="Grid Table 1 Light - Accent 3"/>
    <w:basedOn w:val="70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b/>
        <w:color w:val="404040"/>
      </w:rPr>
    </w:tblStylePr>
    <w:tblStylePr w:type="firstRow">
      <w:rPr>
        <w:b/>
        <w:color w:val="404040"/>
      </w:rPr>
      <w:tcPr>
        <w:tcBorders>
          <w:bottom w:val="single" w:color="CACACA" w:themeColor="accent3" w:themeTint="95" w:sz="12" w:space="0"/>
        </w:tcBorders>
      </w:tcPr>
    </w:tblStylePr>
    <w:tblStylePr w:type="lastCol">
      <w:rPr>
        <w:b/>
        <w:color w:val="404040"/>
      </w:rPr>
    </w:tblStylePr>
    <w:tblStylePr w:type="lastRow">
      <w:rPr>
        <w:b/>
        <w:color w:val="404040"/>
      </w:rPr>
    </w:tblStylePr>
  </w:style>
  <w:style w:type="table" w:styleId="767" w:customStyle="1">
    <w:name w:val="Grid Table 1 Light - Accent 4"/>
    <w:basedOn w:val="70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b/>
        <w:color w:val="404040"/>
      </w:rPr>
    </w:tblStylePr>
    <w:tblStylePr w:type="firstRow">
      <w:rPr>
        <w:b/>
        <w:color w:val="404040"/>
      </w:rPr>
      <w:tcPr>
        <w:tcBorders>
          <w:bottom w:val="single" w:color="FFDA69" w:themeColor="accent4" w:themeTint="95" w:sz="12" w:space="0"/>
        </w:tcBorders>
      </w:tcPr>
    </w:tblStylePr>
    <w:tblStylePr w:type="lastCol">
      <w:rPr>
        <w:b/>
        <w:color w:val="404040"/>
      </w:rPr>
    </w:tblStylePr>
    <w:tblStylePr w:type="lastRow">
      <w:rPr>
        <w:b/>
        <w:color w:val="404040"/>
      </w:rPr>
    </w:tblStylePr>
  </w:style>
  <w:style w:type="table" w:styleId="768" w:customStyle="1">
    <w:name w:val="Grid Table 1 Light - Accent 5"/>
    <w:basedOn w:val="70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b/>
        <w:color w:val="404040"/>
      </w:rPr>
    </w:tblStylePr>
    <w:tblStylePr w:type="firstRow">
      <w:rPr>
        <w:b/>
        <w:color w:val="404040"/>
      </w:rPr>
      <w:tcPr>
        <w:tcBorders>
          <w:bottom w:val="single" w:color="9FC4E6" w:themeColor="accent5" w:themeTint="95" w:sz="12" w:space="0"/>
        </w:tcBorders>
      </w:tcPr>
    </w:tblStylePr>
    <w:tblStylePr w:type="lastCol">
      <w:rPr>
        <w:b/>
        <w:color w:val="404040"/>
      </w:rPr>
    </w:tblStylePr>
    <w:tblStylePr w:type="lastRow">
      <w:rPr>
        <w:b/>
        <w:color w:val="404040"/>
      </w:rPr>
    </w:tblStylePr>
  </w:style>
  <w:style w:type="table" w:styleId="769" w:customStyle="1">
    <w:name w:val="Grid Table 1 Light - Accent 6"/>
    <w:basedOn w:val="70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b/>
        <w:color w:val="404040"/>
      </w:rPr>
    </w:tblStylePr>
    <w:tblStylePr w:type="firstRow">
      <w:rPr>
        <w:b/>
        <w:color w:val="404040"/>
      </w:rPr>
      <w:tcPr>
        <w:tcBorders>
          <w:bottom w:val="single" w:color="AAD190" w:themeColor="accent6" w:themeTint="95" w:sz="12" w:space="0"/>
        </w:tcBorders>
      </w:tcPr>
    </w:tblStylePr>
    <w:tblStylePr w:type="lastCol">
      <w:rPr>
        <w:b/>
        <w:color w:val="404040"/>
      </w:rPr>
    </w:tblStylePr>
    <w:tblStylePr w:type="lastRow">
      <w:rPr>
        <w:b/>
        <w:color w:val="404040"/>
      </w:rPr>
    </w:tblStylePr>
  </w:style>
  <w:style w:type="table" w:styleId="770" w:customStyle="1">
    <w:name w:val="Grid Table 2"/>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71" w:customStyle="1">
    <w:name w:val="Grid Table 2 - Accent 1"/>
    <w:basedOn w:val="70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37DC8"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37DC8" w:themeColor="accent1" w:themeTint="EA" w:sz="4" w:space="0"/>
          <w:left w:val="none" w:color="000000" w:sz="4" w:space="0"/>
          <w:bottom w:val="none" w:color="000000" w:sz="4" w:space="0"/>
          <w:right w:val="none" w:color="000000" w:sz="4" w:space="0"/>
        </w:tcBorders>
      </w:tcPr>
    </w:tblStylePr>
  </w:style>
  <w:style w:type="table" w:styleId="772" w:customStyle="1">
    <w:name w:val="Grid Table 2 - Accent 2"/>
    <w:basedOn w:val="70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28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285" w:themeColor="accent2" w:themeTint="97" w:sz="4" w:space="0"/>
          <w:left w:val="none" w:color="000000" w:sz="4" w:space="0"/>
          <w:bottom w:val="none" w:color="000000" w:sz="4" w:space="0"/>
          <w:right w:val="none" w:color="000000" w:sz="4" w:space="0"/>
        </w:tcBorders>
      </w:tcPr>
    </w:tblStylePr>
  </w:style>
  <w:style w:type="table" w:styleId="773" w:customStyle="1">
    <w:name w:val="Grid Table 2 - Accent 3"/>
    <w:basedOn w:val="70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5A5A5"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5A5A5" w:themeColor="accent3" w:themeTint="FE" w:sz="4" w:space="0"/>
          <w:left w:val="none" w:color="000000" w:sz="4" w:space="0"/>
          <w:bottom w:val="none" w:color="000000" w:sz="4" w:space="0"/>
          <w:right w:val="none" w:color="000000" w:sz="4" w:space="0"/>
        </w:tcBorders>
      </w:tcPr>
    </w:tblStylePr>
  </w:style>
  <w:style w:type="table" w:styleId="774" w:customStyle="1">
    <w:name w:val="Grid Table 2 - Accent 4"/>
    <w:basedOn w:val="70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FD864"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FD864" w:themeColor="accent4" w:themeTint="9A" w:sz="4" w:space="0"/>
          <w:left w:val="none" w:color="000000" w:sz="4" w:space="0"/>
          <w:bottom w:val="none" w:color="000000" w:sz="4" w:space="0"/>
          <w:right w:val="none" w:color="000000" w:sz="4" w:space="0"/>
        </w:tcBorders>
      </w:tcPr>
    </w:tblStylePr>
  </w:style>
  <w:style w:type="table" w:styleId="775" w:customStyle="1">
    <w:name w:val="Grid Table 2 - Accent 5"/>
    <w:basedOn w:val="70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B9BD5"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B9BD5" w:themeColor="accent5" w:sz="4" w:space="0"/>
          <w:left w:val="none" w:color="000000" w:sz="4" w:space="0"/>
          <w:bottom w:val="none" w:color="000000" w:sz="4" w:space="0"/>
          <w:right w:val="none" w:color="000000" w:sz="4" w:space="0"/>
        </w:tcBorders>
      </w:tcPr>
    </w:tblStylePr>
  </w:style>
  <w:style w:type="table" w:styleId="776" w:customStyle="1">
    <w:name w:val="Grid Table 2 - Accent 6"/>
    <w:basedOn w:val="70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70AD47"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70AD47" w:themeColor="accent6" w:sz="4" w:space="0"/>
          <w:left w:val="none" w:color="000000" w:sz="4" w:space="0"/>
          <w:bottom w:val="none" w:color="000000" w:sz="4" w:space="0"/>
          <w:right w:val="none" w:color="000000" w:sz="4" w:space="0"/>
        </w:tcBorders>
      </w:tcPr>
    </w:tblStylePr>
  </w:style>
  <w:style w:type="table" w:styleId="777" w:customStyle="1">
    <w:name w:val="Grid Table 3"/>
    <w:basedOn w:val="708"/>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8" w:customStyle="1">
    <w:name w:val="Grid Table 3 - Accent 1"/>
    <w:basedOn w:val="708"/>
    <w:uiPriority w:val="99"/>
    <w:qFormat/>
    <w:pPr>
      <w:spacing w:after="0" w:line="240" w:lineRule="auto"/>
    </w:pPr>
    <w:tblPr>
      <w:tblBorders>
        <w:bottom w:val="single" w:color="537DC8" w:themeColor="accent1" w:themeTint="EA" w:sz="4" w:space="0"/>
        <w:insideH w:val="single" w:color="537DC8" w:themeColor="accent1" w:themeTint="EA" w:sz="4" w:space="0"/>
        <w:insideV w:val="single" w:color="537DC8" w:themeColor="accent1" w:themeTint="EA" w:sz="4" w:space="0"/>
      </w:tblBorders>
    </w:tblPr>
    <w:tblStylePr w:type="band1Horz">
      <w:rPr>
        <w:rFonts w:ascii="Arial" w:hAnsi="Arial"/>
        <w:color w:val="404040"/>
        <w:sz w:val="22"/>
      </w:rPr>
      <w:tcPr>
        <w:shd w:val="clear" w:color="d8e2f2" w:themeColor="accent1" w:themeTint="34" w:fill="d8e2f2" w:themeFill="accent1" w:themeFillTint="34"/>
      </w:tcPr>
    </w:tblStylePr>
    <w:tblStylePr w:type="band1Vert">
      <w:rPr>
        <w:rFonts w:ascii="Arial" w:hAnsi="Arial"/>
        <w:color w:val="404040"/>
        <w:sz w:val="22"/>
      </w:rPr>
      <w:tcPr>
        <w:shd w:val="clear" w:color="d8e2f2" w:themeColor="accent1" w:themeTint="34" w:fill="d8e2f2"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79" w:customStyle="1">
    <w:name w:val="Grid Table 3 - Accent 2"/>
    <w:basedOn w:val="708"/>
    <w:uiPriority w:val="99"/>
    <w:qFormat/>
    <w:pPr>
      <w:spacing w:after="0" w:line="240" w:lineRule="auto"/>
    </w:pPr>
    <w:tblPr>
      <w:tblBorders>
        <w:bottom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0" w:customStyle="1">
    <w:name w:val="Grid Table 3 - Accent 3"/>
    <w:basedOn w:val="708"/>
    <w:uiPriority w:val="99"/>
    <w:qFormat/>
    <w:pPr>
      <w:spacing w:after="0" w:line="240" w:lineRule="auto"/>
    </w:pPr>
    <w:tblPr>
      <w:tblBorders>
        <w:bottom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1" w:customStyle="1">
    <w:name w:val="Grid Table 3 - Accent 4"/>
    <w:basedOn w:val="708"/>
    <w:uiPriority w:val="99"/>
    <w:qFormat/>
    <w:pPr>
      <w:spacing w:after="0" w:line="240" w:lineRule="auto"/>
    </w:pPr>
    <w:tblPr>
      <w:tblBorders>
        <w:bottom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2" w:customStyle="1">
    <w:name w:val="Grid Table 3 - Accent 5"/>
    <w:basedOn w:val="708"/>
    <w:uiPriority w:val="99"/>
    <w:qFormat/>
    <w:pPr>
      <w:spacing w:after="0" w:line="240" w:lineRule="auto"/>
    </w:pPr>
    <w:tblPr>
      <w:tblBorders>
        <w:bottom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3" w:customStyle="1">
    <w:name w:val="Grid Table 3 - Accent 6"/>
    <w:basedOn w:val="708"/>
    <w:uiPriority w:val="99"/>
    <w:qFormat/>
    <w:pPr>
      <w:spacing w:after="0" w:line="240" w:lineRule="auto"/>
    </w:pPr>
    <w:tblPr>
      <w:tblBorders>
        <w:bottom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84" w:customStyle="1">
    <w:name w:val="Grid Table 4"/>
    <w:basedOn w:val="708"/>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5" w:customStyle="1">
    <w:name w:val="Grid Table 4 - Accent 1"/>
    <w:basedOn w:val="708"/>
    <w:uiPriority w:val="5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insideV w:val="single" w:color="95AFDD" w:themeColor="accent1" w:themeTint="90" w:sz="4" w:space="0"/>
      </w:tblBorders>
    </w:tblPr>
    <w:tblStylePr w:type="band1Horz">
      <w:rPr>
        <w:rFonts w:ascii="Arial" w:hAnsi="Arial"/>
        <w:color w:val="404040"/>
        <w:sz w:val="22"/>
      </w:rPr>
      <w:tcPr>
        <w:shd w:val="clear" w:color="dae3f3" w:themeColor="accent1" w:themeTint="32" w:fill="dae3f3" w:themeFill="accent1" w:themeFillTint="32"/>
      </w:tcPr>
    </w:tblStylePr>
    <w:tblStylePr w:type="band1Vert">
      <w:rPr>
        <w:rFonts w:ascii="Arial" w:hAnsi="Arial"/>
        <w:color w:val="404040"/>
        <w:sz w:val="22"/>
      </w:rPr>
      <w:tcPr>
        <w:shd w:val="clear" w:color="dae3f3" w:themeColor="accent1" w:themeTint="32" w:fill="dae3f3" w:themeFill="accent1" w:themeFillTint="32"/>
      </w:tcPr>
    </w:tblStylePr>
    <w:tblStylePr w:type="firstCol">
      <w:rPr>
        <w:b/>
        <w:color w:val="404040"/>
      </w:rPr>
    </w:tblStylePr>
    <w:tblStylePr w:type="firstRow">
      <w:rPr>
        <w:rFonts w:ascii="Arial" w:hAnsi="Arial"/>
        <w:b/>
        <w:color w:val="ffffff"/>
        <w:sz w:val="22"/>
      </w:rPr>
      <w:tcPr>
        <w:shd w:val="clear" w:color="537dc8" w:themeColor="accent1" w:themeTint="EA" w:fill="537dc8" w:themeFill="accent1" w:themeFillTint="EA"/>
        <w:tcBorders>
          <w:top w:val="single" w:color="537DC8" w:themeColor="accent1" w:themeTint="EA" w:sz="4" w:space="0"/>
          <w:left w:val="single" w:color="537DC8" w:themeColor="accent1" w:themeTint="EA" w:sz="4" w:space="0"/>
          <w:bottom w:val="single" w:color="537DC8" w:themeColor="accent1" w:themeTint="EA" w:sz="4" w:space="0"/>
          <w:right w:val="single" w:color="537DC8" w:themeColor="accent1" w:themeTint="EA" w:sz="4" w:space="0"/>
        </w:tcBorders>
      </w:tcPr>
    </w:tblStylePr>
    <w:tblStylePr w:type="lastCol">
      <w:rPr>
        <w:b/>
        <w:color w:val="404040"/>
      </w:rPr>
    </w:tblStylePr>
    <w:tblStylePr w:type="lastRow">
      <w:rPr>
        <w:b/>
        <w:color w:val="404040"/>
      </w:rPr>
      <w:tcPr>
        <w:tcBorders>
          <w:top w:val="single" w:color="537DC8" w:themeColor="accent1" w:themeTint="EA" w:sz="4" w:space="0"/>
        </w:tcBorders>
      </w:tcPr>
    </w:tblStylePr>
  </w:style>
  <w:style w:type="table" w:styleId="786" w:customStyle="1">
    <w:name w:val="Grid Table 4 - Accent 2"/>
    <w:basedOn w:val="708"/>
    <w:uiPriority w:val="5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insideV w:val="single" w:color="F4B58A" w:themeColor="accent2" w:themeTint="90" w:sz="4" w:space="0"/>
      </w:tblBorders>
    </w:tblPr>
    <w:tblStylePr w:type="band1Horz">
      <w:rPr>
        <w:rFonts w:ascii="Arial" w:hAnsi="Arial"/>
        <w:color w:val="404040"/>
        <w:sz w:val="22"/>
      </w:rPr>
      <w:tcPr>
        <w:shd w:val="clear" w:color="fbe5d6" w:themeColor="accent2" w:themeTint="32" w:fill="fbe5d6" w:themeFill="accent2" w:themeFillTint="32"/>
      </w:tcPr>
    </w:tblStylePr>
    <w:tblStylePr w:type="band1Vert">
      <w:rPr>
        <w:rFonts w:ascii="Arial" w:hAnsi="Arial"/>
        <w:color w:val="404040"/>
        <w:sz w:val="22"/>
      </w:rPr>
      <w:tcPr>
        <w:shd w:val="clear" w:color="fbe5d6"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cBorders>
      </w:tcPr>
    </w:tblStylePr>
    <w:tblStylePr w:type="lastCol">
      <w:rPr>
        <w:b/>
        <w:color w:val="404040"/>
      </w:rPr>
    </w:tblStylePr>
    <w:tblStylePr w:type="lastRow">
      <w:rPr>
        <w:b/>
        <w:color w:val="404040"/>
      </w:rPr>
      <w:tcPr>
        <w:tcBorders>
          <w:top w:val="single" w:color="F4B285" w:themeColor="accent2" w:themeTint="97" w:sz="4" w:space="0"/>
        </w:tcBorders>
      </w:tcPr>
    </w:tblStylePr>
  </w:style>
  <w:style w:type="table" w:styleId="787" w:customStyle="1">
    <w:name w:val="Grid Table 4 - Accent 3"/>
    <w:basedOn w:val="708"/>
    <w:uiPriority w:val="5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insideV w:val="single" w:color="CCCCCC" w:themeColor="accent3" w:themeTint="90" w:sz="4" w:space="0"/>
      </w:tblBorders>
    </w:tblPr>
    <w:tblStylePr w:type="band1Horz">
      <w:rPr>
        <w:rFonts w:ascii="Arial" w:hAnsi="Arial"/>
        <w:color w:val="404040"/>
        <w:sz w:val="22"/>
      </w:rPr>
      <w:tcPr>
        <w:shd w:val="clear" w:color="ececec" w:themeColor="accent3" w:themeTint="34" w:fill="ececec" w:themeFill="accent3" w:themeFillTint="34"/>
      </w:tcPr>
    </w:tblStylePr>
    <w:tblStylePr w:type="band1Vert">
      <w:rPr>
        <w:rFonts w:ascii="Arial" w:hAnsi="Arial"/>
        <w:color w:val="404040"/>
        <w:sz w:val="22"/>
      </w:rPr>
      <w:tcPr>
        <w:shd w:val="clear" w:color="ececec" w:themeColor="accent3" w:themeTint="34" w:fill="ececec" w:themeFill="accent3" w:themeFillTint="34"/>
      </w:tcPr>
    </w:tblStylePr>
    <w:tblStylePr w:type="firstCol">
      <w:rPr>
        <w:b/>
        <w:color w:val="404040"/>
      </w:rPr>
    </w:tblStylePr>
    <w:tblStylePr w:type="firstRow">
      <w:rPr>
        <w:rFonts w:ascii="Arial" w:hAnsi="Arial"/>
        <w:b/>
        <w:color w:val="ffffff"/>
        <w:sz w:val="22"/>
      </w:rPr>
      <w:tcPr>
        <w:shd w:val="clear" w:color="a5a5a5" w:themeColor="accent3" w:themeTint="FE" w:fill="a5a5a5" w:themeFill="accent3" w:themeFillTint="FE"/>
        <w:tc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tcBorders>
      </w:tcPr>
    </w:tblStylePr>
    <w:tblStylePr w:type="lastCol">
      <w:rPr>
        <w:b/>
        <w:color w:val="404040"/>
      </w:rPr>
    </w:tblStylePr>
    <w:tblStylePr w:type="lastRow">
      <w:rPr>
        <w:b/>
        <w:color w:val="404040"/>
      </w:rPr>
      <w:tcPr>
        <w:tcBorders>
          <w:top w:val="single" w:color="A5A5A5" w:themeColor="accent3" w:themeTint="FE" w:sz="4" w:space="0"/>
        </w:tcBorders>
      </w:tcPr>
    </w:tblStylePr>
  </w:style>
  <w:style w:type="table" w:styleId="788" w:customStyle="1">
    <w:name w:val="Grid Table 4 - Accent 4"/>
    <w:basedOn w:val="708"/>
    <w:uiPriority w:val="5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insideV w:val="single" w:color="FFDB6E" w:themeColor="accent4" w:themeTint="90" w:sz="4" w:space="0"/>
      </w:tblBorders>
    </w:tblPr>
    <w:tblStylePr w:type="band1Horz">
      <w:rPr>
        <w:rFonts w:ascii="Arial" w:hAnsi="Arial"/>
        <w:color w:val="404040"/>
        <w:sz w:val="22"/>
      </w:rPr>
      <w:tcPr>
        <w:shd w:val="clear" w:color="fef2ca" w:themeColor="accent4" w:themeTint="34" w:fill="fef2ca" w:themeFill="accent4" w:themeFillTint="34"/>
      </w:tcPr>
    </w:tblStylePr>
    <w:tblStylePr w:type="band1Vert">
      <w:rPr>
        <w:rFonts w:ascii="Arial" w:hAnsi="Arial"/>
        <w:color w:val="404040"/>
        <w:sz w:val="22"/>
      </w:rPr>
      <w:tcPr>
        <w:shd w:val="clear" w:color="fef2ca" w:themeColor="accent4" w:themeTint="34" w:fill="fef2ca" w:themeFill="accent4" w:themeFillTint="34"/>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cBorders>
      </w:tcPr>
    </w:tblStylePr>
    <w:tblStylePr w:type="lastCol">
      <w:rPr>
        <w:b/>
        <w:color w:val="404040"/>
      </w:rPr>
    </w:tblStylePr>
    <w:tblStylePr w:type="lastRow">
      <w:rPr>
        <w:b/>
        <w:color w:val="404040"/>
      </w:rPr>
      <w:tcPr>
        <w:tcBorders>
          <w:top w:val="single" w:color="FFD864" w:themeColor="accent4" w:themeTint="9A" w:sz="4" w:space="0"/>
        </w:tcBorders>
      </w:tcPr>
    </w:tblStylePr>
  </w:style>
  <w:style w:type="table" w:styleId="789" w:customStyle="1">
    <w:name w:val="Grid Table 4 - Accent 5"/>
    <w:basedOn w:val="708"/>
    <w:uiPriority w:val="5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404040"/>
        <w:sz w:val="22"/>
      </w:rPr>
      <w:tcPr>
        <w:shd w:val="clear" w:color="ddeaf6" w:themeColor="accent5" w:themeTint="34" w:fill="ddeaf6" w:themeFill="accent5" w:themeFillTint="34"/>
      </w:tcPr>
    </w:tblStylePr>
    <w:tblStylePr w:type="band1Vert">
      <w:rPr>
        <w:rFonts w:ascii="Arial" w:hAnsi="Arial"/>
        <w:color w:val="404040"/>
        <w:sz w:val="22"/>
      </w:rPr>
      <w:tcPr>
        <w:shd w:val="clear" w:color="ddeaf6" w:themeColor="accent5" w:themeTint="34" w:fill="ddeaf6" w:themeFill="accent5" w:themeFillTint="34"/>
      </w:tcPr>
    </w:tblStylePr>
    <w:tblStylePr w:type="firstCol">
      <w:rPr>
        <w:b/>
        <w:color w:val="404040"/>
      </w:rPr>
    </w:tblStylePr>
    <w:tblStylePr w:type="firstRow">
      <w:rPr>
        <w:rFonts w:ascii="Arial" w:hAnsi="Arial"/>
        <w:b/>
        <w:color w:val="ffffff"/>
        <w:sz w:val="22"/>
      </w:rPr>
      <w:tcPr>
        <w:shd w:val="clear" w:color="5b9bd5" w:themeColor="accent5" w:fill="5b9bd5" w:themeFill="accent5"/>
        <w:tcBorders>
          <w:top w:val="single" w:color="5B9BD5" w:themeColor="accent5" w:sz="4" w:space="0"/>
          <w:left w:val="single" w:color="5B9BD5" w:themeColor="accent5" w:sz="4" w:space="0"/>
          <w:bottom w:val="single" w:color="5B9BD5" w:themeColor="accent5" w:sz="4" w:space="0"/>
          <w:right w:val="single" w:color="5B9BD5" w:themeColor="accent5" w:sz="4" w:space="0"/>
        </w:tcBorders>
      </w:tcPr>
    </w:tblStylePr>
    <w:tblStylePr w:type="lastCol">
      <w:rPr>
        <w:b/>
        <w:color w:val="404040"/>
      </w:rPr>
    </w:tblStylePr>
    <w:tblStylePr w:type="lastRow">
      <w:rPr>
        <w:b/>
        <w:color w:val="404040"/>
      </w:rPr>
      <w:tcPr>
        <w:tcBorders>
          <w:top w:val="single" w:color="5B9BD5" w:themeColor="accent5" w:sz="4" w:space="0"/>
        </w:tcBorders>
      </w:tcPr>
    </w:tblStylePr>
  </w:style>
  <w:style w:type="table" w:styleId="790" w:customStyle="1">
    <w:name w:val="Grid Table 4 - Accent 6"/>
    <w:basedOn w:val="708"/>
    <w:uiPriority w:val="5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04040"/>
        <w:sz w:val="22"/>
      </w:rPr>
      <w:tcPr>
        <w:shd w:val="clear" w:color="e1efd8" w:themeColor="accent6" w:themeTint="34" w:fill="e1efd8" w:themeFill="accent6" w:themeFillTint="34"/>
      </w:tcPr>
    </w:tblStylePr>
    <w:tblStylePr w:type="band1Vert">
      <w:rPr>
        <w:rFonts w:ascii="Arial" w:hAnsi="Arial"/>
        <w:color w:val="404040"/>
        <w:sz w:val="22"/>
      </w:rPr>
      <w:tcPr>
        <w:shd w:val="clear" w:color="e1efd8" w:themeColor="accent6" w:themeTint="34" w:fill="e1efd8" w:themeFill="accent6" w:themeFillTint="34"/>
      </w:tcPr>
    </w:tblStylePr>
    <w:tblStylePr w:type="firstCol">
      <w:rPr>
        <w:b/>
        <w:color w:val="404040"/>
      </w:rPr>
    </w:tblStylePr>
    <w:tblStylePr w:type="firstRow">
      <w:rPr>
        <w:rFonts w:ascii="Arial" w:hAnsi="Arial"/>
        <w:b/>
        <w:color w:val="ffffff"/>
        <w:sz w:val="22"/>
      </w:rPr>
      <w:tcPr>
        <w:shd w:val="clear" w:color="70ad47" w:themeColor="accent6" w:fill="70ad47" w:themeFill="accent6"/>
        <w:tcBorders>
          <w:top w:val="single" w:color="70AD47" w:themeColor="accent6" w:sz="4" w:space="0"/>
          <w:left w:val="single" w:color="70AD47" w:themeColor="accent6" w:sz="4" w:space="0"/>
          <w:bottom w:val="single" w:color="70AD47" w:themeColor="accent6" w:sz="4" w:space="0"/>
          <w:right w:val="single" w:color="70AD47" w:themeColor="accent6" w:sz="4" w:space="0"/>
        </w:tcBorders>
      </w:tcPr>
    </w:tblStylePr>
    <w:tblStylePr w:type="lastCol">
      <w:rPr>
        <w:b/>
        <w:color w:val="404040"/>
      </w:rPr>
    </w:tblStylePr>
    <w:tblStylePr w:type="lastRow">
      <w:rPr>
        <w:b/>
        <w:color w:val="404040"/>
      </w:rPr>
      <w:tcPr>
        <w:tcBorders>
          <w:top w:val="single" w:color="70AD47" w:themeColor="accent6" w:sz="4" w:space="0"/>
        </w:tcBorders>
      </w:tcPr>
    </w:tblStylePr>
  </w:style>
  <w:style w:type="table" w:styleId="791" w:customStyle="1">
    <w:name w:val="Grid Table 5 Dark"/>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92" w:customStyle="1">
    <w:name w:val="Grid Table 5 Dark- Accent 1"/>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9bee3" w:themeColor="accent1" w:themeTint="75" w:fill="a9bee3" w:themeFill="accent1" w:themeFillTint="75"/>
      </w:tcPr>
    </w:tblStylePr>
    <w:tblStylePr w:type="band1Vert">
      <w:tcPr>
        <w:shd w:val="clear" w:color="a9bee3" w:themeColor="accent1" w:themeTint="75" w:fill="a9bee3" w:themeFill="accent1" w:themeFillTint="75"/>
      </w:tcPr>
    </w:tblStylePr>
    <w:tblStylePr w:type="firstCol">
      <w:rPr>
        <w:rFonts w:ascii="Arial" w:hAnsi="Arial"/>
        <w:b/>
        <w:color w:val="ffffff"/>
        <w:sz w:val="22"/>
      </w:rPr>
      <w:tcPr>
        <w:shd w:val="clear" w:color="4472c4" w:themeColor="accent1" w:fill="4472c4" w:themeFill="accent1"/>
      </w:tcPr>
    </w:tblStylePr>
    <w:tblStylePr w:type="firstRow">
      <w:rPr>
        <w:rFonts w:ascii="Arial" w:hAnsi="Arial"/>
        <w:b/>
        <w:color w:val="ffffff"/>
        <w:sz w:val="22"/>
      </w:rPr>
      <w:tcPr>
        <w:shd w:val="clear" w:color="4472c4" w:themeColor="accent1" w:fill="4472c4" w:themeFill="accent1"/>
      </w:tcPr>
    </w:tblStylePr>
    <w:tblStylePr w:type="lastCol">
      <w:rPr>
        <w:rFonts w:ascii="Arial" w:hAnsi="Arial"/>
        <w:b/>
        <w:color w:val="ffffff"/>
        <w:sz w:val="22"/>
      </w:rPr>
      <w:tcPr>
        <w:shd w:val="clear" w:color="4472c4" w:themeColor="accent1" w:fill="4472c4" w:themeFill="accent1"/>
      </w:tcPr>
    </w:tblStylePr>
    <w:tblStylePr w:type="lastRow">
      <w:rPr>
        <w:rFonts w:ascii="Arial" w:hAnsi="Arial"/>
        <w:b/>
        <w:color w:val="ffffff"/>
        <w:sz w:val="22"/>
      </w:rPr>
      <w:tcPr>
        <w:shd w:val="clear" w:color="4472c4" w:themeColor="accent1" w:fill="4472c4" w:themeFill="accent1"/>
        <w:tcBorders>
          <w:top w:val="single" w:color="FFFFFF" w:themeColor="light1" w:sz="4" w:space="0"/>
        </w:tcBorders>
      </w:tcPr>
    </w:tblStylePr>
  </w:style>
  <w:style w:type="table" w:styleId="793" w:customStyle="1">
    <w:name w:val="Grid Table 5 Dark - Accent 2"/>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6c3a0" w:themeColor="accent2" w:themeTint="75" w:fill="f6c3a0" w:themeFill="accent2" w:themeFillTint="75"/>
      </w:tcPr>
    </w:tblStylePr>
    <w:tblStylePr w:type="band1Vert">
      <w:tcPr>
        <w:shd w:val="clear" w:color="f6c3a0" w:themeColor="accent2" w:themeTint="75" w:fill="f6c3a0" w:themeFill="accent2" w:themeFillTint="75"/>
      </w:tcPr>
    </w:tblStylePr>
    <w:tblStylePr w:type="firstCol">
      <w:rPr>
        <w:rFonts w:ascii="Arial" w:hAnsi="Arial"/>
        <w:b/>
        <w:color w:val="ffffff"/>
        <w:sz w:val="22"/>
      </w:rPr>
      <w:tcPr>
        <w:shd w:val="clear" w:color="ed7d31" w:themeColor="accent2" w:fill="ed7d31" w:themeFill="accent2"/>
      </w:tcPr>
    </w:tblStylePr>
    <w:tblStylePr w:type="firstRow">
      <w:rPr>
        <w:rFonts w:ascii="Arial" w:hAnsi="Arial"/>
        <w:b/>
        <w:color w:val="ffffff"/>
        <w:sz w:val="22"/>
      </w:rPr>
      <w:tcPr>
        <w:shd w:val="clear" w:color="ed7d31" w:themeColor="accent2" w:fill="ed7d31" w:themeFill="accent2"/>
      </w:tcPr>
    </w:tblStylePr>
    <w:tblStylePr w:type="lastCol">
      <w:rPr>
        <w:rFonts w:ascii="Arial" w:hAnsi="Arial"/>
        <w:b/>
        <w:color w:val="ffffff"/>
        <w:sz w:val="22"/>
      </w:rPr>
      <w:tcPr>
        <w:shd w:val="clear" w:color="ed7d31" w:themeColor="accent2" w:fill="ed7d31" w:themeFill="accent2"/>
      </w:tcPr>
    </w:tblStylePr>
    <w:tblStylePr w:type="lastRow">
      <w:rPr>
        <w:rFonts w:ascii="Arial" w:hAnsi="Arial"/>
        <w:b/>
        <w:color w:val="ffffff"/>
        <w:sz w:val="22"/>
      </w:rPr>
      <w:tcPr>
        <w:shd w:val="clear" w:color="ed7d31" w:themeColor="accent2" w:fill="ed7d31" w:themeFill="accent2"/>
        <w:tcBorders>
          <w:top w:val="single" w:color="FFFFFF" w:themeColor="light1" w:sz="4" w:space="0"/>
        </w:tcBorders>
      </w:tcPr>
    </w:tblStylePr>
  </w:style>
  <w:style w:type="table" w:styleId="794" w:customStyle="1">
    <w:name w:val="Grid Table 5 Dark - Accent 3"/>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5d5d5" w:themeColor="accent3" w:themeTint="75" w:fill="d5d5d5" w:themeFill="accent3" w:themeFillTint="75"/>
      </w:tcPr>
    </w:tblStylePr>
    <w:tblStylePr w:type="band1Vert">
      <w:tcPr>
        <w:shd w:val="clear" w:color="d5d5d5" w:themeColor="accent3" w:themeTint="75" w:fill="d5d5d5" w:themeFill="accent3" w:themeFillTint="75"/>
      </w:tcPr>
    </w:tblStylePr>
    <w:tblStylePr w:type="firstCol">
      <w:rPr>
        <w:rFonts w:ascii="Arial" w:hAnsi="Arial"/>
        <w:b/>
        <w:color w:val="ffffff"/>
        <w:sz w:val="22"/>
      </w:rPr>
      <w:tcPr>
        <w:shd w:val="clear" w:color="a5a5a5" w:themeColor="accent3" w:fill="a5a5a5" w:themeFill="accent3"/>
      </w:tcPr>
    </w:tblStylePr>
    <w:tblStylePr w:type="firstRow">
      <w:rPr>
        <w:rFonts w:ascii="Arial" w:hAnsi="Arial"/>
        <w:b/>
        <w:color w:val="ffffff"/>
        <w:sz w:val="22"/>
      </w:rPr>
      <w:tcPr>
        <w:shd w:val="clear" w:color="a5a5a5" w:themeColor="accent3" w:fill="a5a5a5" w:themeFill="accent3"/>
      </w:tcPr>
    </w:tblStylePr>
    <w:tblStylePr w:type="lastCol">
      <w:rPr>
        <w:rFonts w:ascii="Arial" w:hAnsi="Arial"/>
        <w:b/>
        <w:color w:val="ffffff"/>
        <w:sz w:val="22"/>
      </w:rPr>
      <w:tcPr>
        <w:shd w:val="clear" w:color="a5a5a5" w:themeColor="accent3" w:fill="a5a5a5" w:themeFill="accent3"/>
      </w:tcPr>
    </w:tblStylePr>
    <w:tblStylePr w:type="lastRow">
      <w:rPr>
        <w:rFonts w:ascii="Arial" w:hAnsi="Arial"/>
        <w:b/>
        <w:color w:val="ffffff"/>
        <w:sz w:val="22"/>
      </w:rPr>
      <w:tcPr>
        <w:shd w:val="clear" w:color="a5a5a5" w:themeColor="accent3" w:fill="a5a5a5" w:themeFill="accent3"/>
        <w:tcBorders>
          <w:top w:val="single" w:color="FFFFFF" w:themeColor="light1" w:sz="4" w:space="0"/>
        </w:tcBorders>
      </w:tcPr>
    </w:tblStylePr>
  </w:style>
  <w:style w:type="table" w:styleId="795" w:customStyle="1">
    <w:name w:val="Grid Table 5 Dark- Accent 4"/>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ee289" w:themeColor="accent4" w:themeTint="75" w:fill="fee289" w:themeFill="accent4" w:themeFillTint="75"/>
      </w:tcPr>
    </w:tblStylePr>
    <w:tblStylePr w:type="band1Vert">
      <w:tcPr>
        <w:shd w:val="clear" w:color="fee289" w:themeColor="accent4" w:themeTint="75" w:fill="fee289" w:themeFill="accent4" w:themeFillTint="75"/>
      </w:tcPr>
    </w:tblStylePr>
    <w:tblStylePr w:type="firstCol">
      <w:rPr>
        <w:rFonts w:ascii="Arial" w:hAnsi="Arial"/>
        <w:b/>
        <w:color w:val="ffffff"/>
        <w:sz w:val="22"/>
      </w:rPr>
      <w:tcPr>
        <w:shd w:val="clear" w:color="ffc000" w:themeColor="accent4" w:fill="ffc000" w:themeFill="accent4"/>
      </w:tcPr>
    </w:tblStylePr>
    <w:tblStylePr w:type="firstRow">
      <w:rPr>
        <w:rFonts w:ascii="Arial" w:hAnsi="Arial"/>
        <w:b/>
        <w:color w:val="ffffff"/>
        <w:sz w:val="22"/>
      </w:rPr>
      <w:tcPr>
        <w:shd w:val="clear" w:color="ffc000" w:themeColor="accent4" w:fill="ffc000" w:themeFill="accent4"/>
      </w:tcPr>
    </w:tblStylePr>
    <w:tblStylePr w:type="lastCol">
      <w:rPr>
        <w:rFonts w:ascii="Arial" w:hAnsi="Arial"/>
        <w:b/>
        <w:color w:val="ffffff"/>
        <w:sz w:val="22"/>
      </w:rPr>
      <w:tcPr>
        <w:shd w:val="clear" w:color="ffc000" w:themeColor="accent4" w:fill="ffc000" w:themeFill="accent4"/>
      </w:tcPr>
    </w:tblStylePr>
    <w:tblStylePr w:type="lastRow">
      <w:rPr>
        <w:rFonts w:ascii="Arial" w:hAnsi="Arial"/>
        <w:b/>
        <w:color w:val="ffffff"/>
        <w:sz w:val="22"/>
      </w:rPr>
      <w:tcPr>
        <w:shd w:val="clear" w:color="ffc000" w:themeColor="accent4" w:fill="ffc000" w:themeFill="accent4"/>
        <w:tcBorders>
          <w:top w:val="single" w:color="FFFFFF" w:themeColor="light1" w:sz="4" w:space="0"/>
        </w:tcBorders>
      </w:tcPr>
    </w:tblStylePr>
  </w:style>
  <w:style w:type="table" w:styleId="796" w:customStyle="1">
    <w:name w:val="Grid Table 5 Dark - Accent 5"/>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3d1eb" w:themeColor="accent5" w:themeTint="75" w:fill="b3d1eb" w:themeFill="accent5" w:themeFillTint="75"/>
      </w:tcPr>
    </w:tblStylePr>
    <w:tblStylePr w:type="band1Vert">
      <w:tcPr>
        <w:shd w:val="clear" w:color="b3d1eb" w:themeColor="accent5" w:themeTint="75" w:fill="b3d1eb" w:themeFill="accent5" w:themeFillTint="75"/>
      </w:tcPr>
    </w:tblStylePr>
    <w:tblStylePr w:type="firstCol">
      <w:rPr>
        <w:rFonts w:ascii="Arial" w:hAnsi="Arial"/>
        <w:b/>
        <w:color w:val="ffffff"/>
        <w:sz w:val="22"/>
      </w:rPr>
      <w:tcPr>
        <w:shd w:val="clear" w:color="5b9bd5" w:themeColor="accent5" w:fill="5b9bd5" w:themeFill="accent5"/>
      </w:tcPr>
    </w:tblStylePr>
    <w:tblStylePr w:type="firstRow">
      <w:rPr>
        <w:rFonts w:ascii="Arial" w:hAnsi="Arial"/>
        <w:b/>
        <w:color w:val="ffffff"/>
        <w:sz w:val="22"/>
      </w:rPr>
      <w:tcPr>
        <w:shd w:val="clear" w:color="5b9bd5" w:themeColor="accent5" w:fill="5b9bd5" w:themeFill="accent5"/>
      </w:tcPr>
    </w:tblStylePr>
    <w:tblStylePr w:type="lastCol">
      <w:rPr>
        <w:rFonts w:ascii="Arial" w:hAnsi="Arial"/>
        <w:b/>
        <w:color w:val="ffffff"/>
        <w:sz w:val="22"/>
      </w:rPr>
      <w:tcPr>
        <w:shd w:val="clear" w:color="5b9bd5" w:themeColor="accent5" w:fill="5b9bd5" w:themeFill="accent5"/>
      </w:tcPr>
    </w:tblStylePr>
    <w:tblStylePr w:type="lastRow">
      <w:rPr>
        <w:rFonts w:ascii="Arial" w:hAnsi="Arial"/>
        <w:b/>
        <w:color w:val="ffffff"/>
        <w:sz w:val="22"/>
      </w:rPr>
      <w:tcPr>
        <w:shd w:val="clear" w:color="5b9bd5" w:themeColor="accent5" w:fill="5b9bd5" w:themeFill="accent5"/>
        <w:tcBorders>
          <w:top w:val="single" w:color="FFFFFF" w:themeColor="light1" w:sz="4" w:space="0"/>
        </w:tcBorders>
      </w:tcPr>
    </w:tblStylePr>
  </w:style>
  <w:style w:type="table" w:styleId="797" w:customStyle="1">
    <w:name w:val="Grid Table 5 Dark - Accent 6"/>
    <w:basedOn w:val="708"/>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cdba8" w:themeColor="accent6" w:themeTint="75" w:fill="bcdba8" w:themeFill="accent6" w:themeFillTint="75"/>
      </w:tcPr>
    </w:tblStylePr>
    <w:tblStylePr w:type="band1Vert">
      <w:tcPr>
        <w:shd w:val="clear" w:color="bcdba8" w:themeColor="accent6" w:themeTint="75" w:fill="bcdba8" w:themeFill="accent6" w:themeFillTint="75"/>
      </w:tcPr>
    </w:tblStylePr>
    <w:tblStylePr w:type="firstCol">
      <w:rPr>
        <w:rFonts w:ascii="Arial" w:hAnsi="Arial"/>
        <w:b/>
        <w:color w:val="ffffff"/>
        <w:sz w:val="22"/>
      </w:rPr>
      <w:tcPr>
        <w:shd w:val="clear" w:color="70ad47" w:themeColor="accent6" w:fill="70ad47" w:themeFill="accent6"/>
      </w:tcPr>
    </w:tblStylePr>
    <w:tblStylePr w:type="firstRow">
      <w:rPr>
        <w:rFonts w:ascii="Arial" w:hAnsi="Arial"/>
        <w:b/>
        <w:color w:val="ffffff"/>
        <w:sz w:val="22"/>
      </w:rPr>
      <w:tcPr>
        <w:shd w:val="clear" w:color="70ad47" w:themeColor="accent6" w:fill="70ad47" w:themeFill="accent6"/>
      </w:tcPr>
    </w:tblStylePr>
    <w:tblStylePr w:type="lastCol">
      <w:rPr>
        <w:rFonts w:ascii="Arial" w:hAnsi="Arial"/>
        <w:b/>
        <w:color w:val="ffffff"/>
        <w:sz w:val="22"/>
      </w:rPr>
      <w:tcPr>
        <w:shd w:val="clear" w:color="70ad47" w:themeColor="accent6" w:fill="70ad47" w:themeFill="accent6"/>
      </w:tcPr>
    </w:tblStylePr>
    <w:tblStylePr w:type="lastRow">
      <w:rPr>
        <w:rFonts w:ascii="Arial" w:hAnsi="Arial"/>
        <w:b/>
        <w:color w:val="ffffff"/>
        <w:sz w:val="22"/>
      </w:rPr>
      <w:tcPr>
        <w:shd w:val="clear" w:color="70ad47" w:themeColor="accent6" w:fill="70ad47" w:themeFill="accent6"/>
        <w:tcBorders>
          <w:top w:val="single" w:color="FFFFFF" w:themeColor="light1" w:sz="4" w:space="0"/>
        </w:tcBorders>
      </w:tcPr>
    </w:tblStylePr>
  </w:style>
  <w:style w:type="table" w:styleId="798" w:customStyle="1">
    <w:name w:val="Grid Table 6 Colorful"/>
    <w:basedOn w:val="708"/>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99" w:customStyle="1">
    <w:name w:val="Grid Table 6 Colorful - Accent 1"/>
    <w:basedOn w:val="708"/>
    <w:uiPriority w:val="99"/>
    <w:qFormat/>
    <w:pPr>
      <w:spacing w:after="0" w:line="240" w:lineRule="auto"/>
    </w:pPr>
    <w:tblPr>
      <w:tblBorders>
        <w:top w:val="single" w:color="A1B8E1" w:themeColor="accent1" w:themeTint="80" w:sz="4" w:space="0"/>
        <w:left w:val="single" w:color="A1B8E1" w:themeColor="accent1" w:themeTint="80" w:sz="4" w:space="0"/>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b/>
        <w:color w:val="a2b9e2" w:themeColor="accent1" w:themeTint="80"/>
        <w14:textFill>
          <w14:solidFill>
            <w14:schemeClr w14:val="accent1">
              <w14:lumMod w14:val="50000"/>
              <w14:lumOff w14:val="50000"/>
            </w14:schemeClr>
          </w14:solidFill>
        </w14:textFill>
      </w:rPr>
    </w:tblStylePr>
    <w:tblStylePr w:type="firstRow">
      <w:rPr>
        <w:b/>
        <w:color w:val="a2b9e2" w:themeColor="accent1" w:themeTint="80"/>
        <w14:textFill>
          <w14:solidFill>
            <w14:schemeClr w14:val="accent1">
              <w14:lumMod w14:val="50000"/>
              <w14:lumOff w14:val="50000"/>
            </w14:schemeClr>
          </w14:solidFill>
        </w14:textFill>
      </w:rPr>
      <w:tcPr>
        <w:tcBorders>
          <w:bottom w:val="single" w:color="A1B8E1" w:themeColor="accent1" w:themeTint="80" w:sz="12" w:space="0"/>
        </w:tcBorders>
      </w:tcPr>
    </w:tblStylePr>
    <w:tblStylePr w:type="lastCol">
      <w:rPr>
        <w:b/>
        <w:color w:val="a2b9e2" w:themeColor="accent1" w:themeTint="80"/>
        <w14:textFill>
          <w14:solidFill>
            <w14:schemeClr w14:val="accent1">
              <w14:lumMod w14:val="50000"/>
              <w14:lumOff w14:val="50000"/>
            </w14:schemeClr>
          </w14:solidFill>
        </w14:textFill>
      </w:rPr>
    </w:tblStylePr>
    <w:tblStylePr w:type="lastRow">
      <w:rPr>
        <w:b/>
        <w:color w:val="a2b9e2" w:themeColor="accent1" w:themeTint="80"/>
        <w14:textFill>
          <w14:solidFill>
            <w14:schemeClr w14:val="accent1">
              <w14:lumMod w14:val="50000"/>
              <w14:lumOff w14:val="50000"/>
            </w14:schemeClr>
          </w14:solidFill>
        </w14:textFill>
      </w:rPr>
    </w:tblStylePr>
  </w:style>
  <w:style w:type="table" w:styleId="800" w:customStyle="1">
    <w:name w:val="Grid Table 6 Colorful - Accent 2"/>
    <w:basedOn w:val="70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12"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blStylePr>
  </w:style>
  <w:style w:type="table" w:styleId="801" w:customStyle="1">
    <w:name w:val="Grid Table 6 Colorful - Accent 3"/>
    <w:basedOn w:val="708"/>
    <w:uiPriority w:val="99"/>
    <w:qFormat/>
    <w:pPr>
      <w:spacing w:after="0" w:line="240" w:lineRule="auto"/>
    </w:pPr>
    <w:tblPr>
      <w:tblBorders>
        <w:top w:val="single" w:color="A5A5A5" w:themeColor="accent3" w:themeTint="FE" w:sz="4" w:space="0"/>
        <w:left w:val="single" w:color="A5A5A5" w:themeColor="accent3" w:themeTint="FE" w:sz="4" w:space="0"/>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b/>
        <w:color w:val="a5a5a5" w:themeColor="accent3" w:themeTint="FF"/>
        <w14:textFill>
          <w14:solidFill>
            <w14:schemeClr w14:val="accent3">
              <w14:lumMod w14:val="100000"/>
              <w14:lumOff w14:val="0"/>
            </w14:schemeClr>
          </w14:solidFill>
        </w14:textFill>
      </w:rPr>
    </w:tblStylePr>
    <w:tblStylePr w:type="firstRow">
      <w:rPr>
        <w:b/>
        <w:color w:val="a5a5a5" w:themeColor="accent3" w:themeTint="FF"/>
        <w14:textFill>
          <w14:solidFill>
            <w14:schemeClr w14:val="accent3">
              <w14:lumMod w14:val="100000"/>
              <w14:lumOff w14:val="0"/>
            </w14:schemeClr>
          </w14:solidFill>
        </w14:textFill>
      </w:rPr>
      <w:tcPr>
        <w:tcBorders>
          <w:bottom w:val="single" w:color="A5A5A5" w:themeColor="accent3" w:themeTint="FE" w:sz="12" w:space="0"/>
        </w:tcBorders>
      </w:tcPr>
    </w:tblStylePr>
    <w:tblStylePr w:type="lastCol">
      <w:rPr>
        <w:b/>
        <w:color w:val="a5a5a5" w:themeColor="accent3" w:themeTint="FF"/>
        <w14:textFill>
          <w14:solidFill>
            <w14:schemeClr w14:val="accent3">
              <w14:lumMod w14:val="100000"/>
              <w14:lumOff w14:val="0"/>
            </w14:schemeClr>
          </w14:solidFill>
        </w14:textFill>
      </w:rPr>
    </w:tblStylePr>
    <w:tblStylePr w:type="lastRow">
      <w:rPr>
        <w:b/>
        <w:color w:val="a5a5a5" w:themeColor="accent3" w:themeTint="FF"/>
        <w14:textFill>
          <w14:solidFill>
            <w14:schemeClr w14:val="accent3">
              <w14:lumMod w14:val="100000"/>
              <w14:lumOff w14:val="0"/>
            </w14:schemeClr>
          </w14:solidFill>
        </w14:textFill>
      </w:rPr>
    </w:tblStylePr>
  </w:style>
  <w:style w:type="table" w:styleId="802" w:customStyle="1">
    <w:name w:val="Grid Table 6 Colorful - Accent 4"/>
    <w:basedOn w:val="70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12"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blStylePr>
  </w:style>
  <w:style w:type="table" w:styleId="803" w:customStyle="1">
    <w:name w:val="Grid Table 6 Colorful - Accent 5"/>
    <w:basedOn w:val="708"/>
    <w:uiPriority w:val="99"/>
    <w:qFormat/>
    <w:pPr>
      <w:spacing w:after="0" w:line="240" w:lineRule="auto"/>
    </w:pPr>
    <w:tblPr>
      <w:tblBorders>
        <w:top w:val="single" w:color="5B9BD5" w:themeColor="accent5" w:sz="4" w:space="0"/>
        <w:left w:val="single" w:color="5B9BD5" w:themeColor="accent5" w:sz="4" w:space="0"/>
        <w:bottom w:val="single" w:color="5B9BD5" w:themeColor="accent5" w:sz="4" w:space="0"/>
        <w:right w:val="single" w:color="5B9BD5" w:themeColor="accent5" w:sz="4" w:space="0"/>
        <w:insideH w:val="single" w:color="5B9BD5" w:themeColor="accent5" w:sz="4" w:space="0"/>
        <w:insideV w:val="single" w:color="5B9BD5" w:themeColor="accent5"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5B9BD5" w:themeColor="accent5"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04" w:customStyle="1">
    <w:name w:val="Grid Table 6 Colorful - Accent 6"/>
    <w:basedOn w:val="708"/>
    <w:uiPriority w:val="99"/>
    <w:qFormat/>
    <w:pPr>
      <w:spacing w:after="0" w:line="240" w:lineRule="auto"/>
    </w:pPr>
    <w:tblPr>
      <w:tblBorders>
        <w:top w:val="single" w:color="70AD47" w:themeColor="accent6" w:sz="4" w:space="0"/>
        <w:left w:val="single" w:color="70AD47" w:themeColor="accent6" w:sz="4" w:space="0"/>
        <w:bottom w:val="single" w:color="70AD47" w:themeColor="accent6" w:sz="4" w:space="0"/>
        <w:right w:val="single" w:color="70AD47" w:themeColor="accent6" w:sz="4" w:space="0"/>
        <w:insideH w:val="single" w:color="70AD47" w:themeColor="accent6" w:sz="4" w:space="0"/>
        <w:insideV w:val="single" w:color="70AD47" w:themeColor="accent6" w:sz="4" w:space="0"/>
      </w:tblBorders>
    </w:tblPr>
    <w:tblStylePr w:type="band1Horz">
      <w:rPr>
        <w:rFonts w:ascii="Arial" w:hAnsi="Arial"/>
        <w:color w:val="245b8c" w:themeColor="accent5"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245b8c" w:themeColor="accent5" w:themeShade="94"/>
        <w:sz w:val="22"/>
      </w:rPr>
    </w:tblStylePr>
    <w:tblStylePr w:type="firstCol">
      <w:rPr>
        <w:b/>
        <w:color w:val="245b8c" w:themeColor="accent5" w:themeShade="94"/>
      </w:rPr>
    </w:tblStylePr>
    <w:tblStylePr w:type="firstRow">
      <w:rPr>
        <w:b/>
        <w:color w:val="245b8c" w:themeColor="accent5" w:themeShade="94"/>
      </w:rPr>
      <w:tcPr>
        <w:tcBorders>
          <w:bottom w:val="single" w:color="70AD47" w:themeColor="accent6" w:sz="12" w:space="0"/>
        </w:tcBorders>
      </w:tcPr>
    </w:tblStylePr>
    <w:tblStylePr w:type="lastCol">
      <w:rPr>
        <w:b/>
        <w:color w:val="245b8c" w:themeColor="accent5" w:themeShade="94"/>
      </w:rPr>
    </w:tblStylePr>
    <w:tblStylePr w:type="lastRow">
      <w:rPr>
        <w:b/>
        <w:color w:val="245b8c" w:themeColor="accent5" w:themeShade="94"/>
      </w:rPr>
    </w:tblStylePr>
  </w:style>
  <w:style w:type="table" w:styleId="805" w:customStyle="1">
    <w:name w:val="Grid Table 7 Colorful"/>
    <w:basedOn w:val="708"/>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06" w:customStyle="1">
    <w:name w:val="Grid Table 7 Colorful - Accent 1"/>
    <w:basedOn w:val="708"/>
    <w:uiPriority w:val="99"/>
    <w:qFormat/>
    <w:pPr>
      <w:spacing w:after="0" w:line="240" w:lineRule="auto"/>
    </w:pPr>
    <w:tblPr>
      <w:tblBorders>
        <w:bottom w:val="single" w:color="A1B8E1" w:themeColor="accent1" w:themeTint="80" w:sz="4" w:space="0"/>
        <w:right w:val="single" w:color="A1B8E1" w:themeColor="accent1" w:themeTint="80" w:sz="4" w:space="0"/>
        <w:insideH w:val="single" w:color="A1B8E1" w:themeColor="accent1" w:themeTint="80" w:sz="4" w:space="0"/>
        <w:insideV w:val="single" w:color="A1B8E1" w:themeColor="accent1" w:themeTint="80" w:sz="4" w:space="0"/>
      </w:tblBorders>
    </w:tblPr>
    <w:tblStylePr w:type="band1Horz">
      <w:rPr>
        <w:rFonts w:ascii="Arial" w:hAnsi="Arial"/>
        <w:color w:val="a2b9e2" w:themeColor="accent1" w:themeTint="80"/>
        <w:sz w:val="22"/>
        <w14:textFill>
          <w14:solidFill>
            <w14:schemeClr w14:val="accent1">
              <w14:lumMod w14:val="50000"/>
              <w14:lumOff w14:val="50000"/>
            </w14:schemeClr>
          </w14:solidFill>
        </w14:textFill>
      </w:rPr>
      <w:tcPr>
        <w:shd w:val="clear" w:color="d8e2f2" w:themeColor="accent1" w:themeTint="34" w:fill="d8e2f2" w:themeFill="accent1" w:themeFillTint="34"/>
      </w:tcPr>
    </w:tblStylePr>
    <w:tblStylePr w:type="band1Vert">
      <w:tcPr>
        <w:shd w:val="clear" w:color="d8e2f2" w:themeColor="accent1" w:themeTint="34" w:fill="d8e2f2" w:themeFill="accent1" w:themeFillTint="34"/>
      </w:tcPr>
    </w:tblStylePr>
    <w:tblStylePr w:type="band2Horz">
      <w:rPr>
        <w:rFonts w:ascii="Arial" w:hAnsi="Arial"/>
        <w:color w:val="a2b9e2" w:themeColor="accent1" w:themeTint="80"/>
        <w:sz w:val="22"/>
        <w14:textFill>
          <w14:solidFill>
            <w14:schemeClr w14:val="accent1">
              <w14:lumMod w14:val="50000"/>
              <w14:lumOff w14:val="50000"/>
            </w14:schemeClr>
          </w14:solidFill>
        </w14:textFill>
      </w:rPr>
    </w:tblStylePr>
    <w:tblStylePr w:type="firstCol">
      <w:rPr>
        <w:rFonts w:ascii="Arial" w:hAnsi="Arial"/>
        <w:i/>
        <w:color w:val="a2b9e2"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1B8E1" w:themeColor="accent1" w:themeTint="80" w:sz="4" w:space="0"/>
        </w:tcBorders>
      </w:tcPr>
    </w:tblStylePr>
    <w:tblStylePr w:type="fir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1B8E1" w:themeColor="accent1" w:themeTint="80" w:sz="4" w:space="0"/>
          <w:right w:val="none" w:color="000000" w:sz="4" w:space="0"/>
        </w:tcBorders>
      </w:tcPr>
    </w:tblStylePr>
    <w:tblStylePr w:type="lastCol">
      <w:rPr>
        <w:rFonts w:ascii="Arial" w:hAnsi="Arial"/>
        <w:i/>
        <w:color w:val="a2b9e2"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1B8E1" w:themeColor="accent1" w:themeTint="80" w:sz="4" w:space="0"/>
          <w:bottom w:val="none" w:color="000000" w:sz="4" w:space="0"/>
          <w:right w:val="none" w:color="000000" w:sz="4" w:space="0"/>
        </w:tcBorders>
      </w:tcPr>
    </w:tblStylePr>
    <w:tblStylePr w:type="lastRow">
      <w:rPr>
        <w:rFonts w:ascii="Arial" w:hAnsi="Arial"/>
        <w:b/>
        <w:color w:val="a2b9e2"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1B8E1" w:themeColor="accent1" w:themeTint="80" w:sz="4" w:space="0"/>
          <w:left w:val="none" w:color="000000" w:sz="4" w:space="0"/>
          <w:bottom w:val="none" w:color="000000" w:sz="4" w:space="0"/>
          <w:right w:val="none" w:color="000000" w:sz="4" w:space="0"/>
        </w:tcBorders>
      </w:tcPr>
    </w:tblStylePr>
  </w:style>
  <w:style w:type="table" w:styleId="807" w:customStyle="1">
    <w:name w:val="Grid Table 7 Colorful - Accent 2"/>
    <w:basedOn w:val="708"/>
    <w:uiPriority w:val="99"/>
    <w:qFormat/>
    <w:pPr>
      <w:spacing w:after="0" w:line="240" w:lineRule="auto"/>
    </w:pPr>
    <w:tblPr>
      <w:tblBorders>
        <w:bottom w:val="single" w:color="F4B285" w:themeColor="accent2" w:themeTint="97" w:sz="4" w:space="0"/>
        <w:right w:val="single" w:color="F4B285" w:themeColor="accent2" w:themeTint="97" w:sz="4" w:space="0"/>
        <w:insideH w:val="single" w:color="F4B285" w:themeColor="accent2" w:themeTint="97" w:sz="4" w:space="0"/>
        <w:insideV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be5d6" w:themeColor="accent2" w:themeTint="32" w:fill="fbe5d6" w:themeFill="accent2" w:themeFillTint="32"/>
      </w:tcPr>
    </w:tblStylePr>
    <w:tblStylePr w:type="band1Vert">
      <w:tcPr>
        <w:shd w:val="clear" w:color="fbe5d6" w:themeColor="accent2" w:themeTint="32" w:fill="fbe5d6" w:themeFill="accent2" w:themeFillTint="32"/>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b/>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08" w:customStyle="1">
    <w:name w:val="Grid Table 7 Colorful - Accent 3"/>
    <w:basedOn w:val="708"/>
    <w:uiPriority w:val="99"/>
    <w:qFormat/>
    <w:pPr>
      <w:spacing w:after="0" w:line="240" w:lineRule="auto"/>
    </w:pPr>
    <w:tblPr>
      <w:tblBorders>
        <w:bottom w:val="single" w:color="A5A5A5" w:themeColor="accent3" w:themeTint="FE" w:sz="4" w:space="0"/>
        <w:right w:val="single" w:color="A5A5A5" w:themeColor="accent3" w:themeTint="FE" w:sz="4" w:space="0"/>
        <w:insideH w:val="single" w:color="A5A5A5" w:themeColor="accent3" w:themeTint="FE" w:sz="4" w:space="0"/>
        <w:insideV w:val="single" w:color="A5A5A5" w:themeColor="accent3" w:themeTint="FE" w:sz="4" w:space="0"/>
      </w:tblBorders>
    </w:tblPr>
    <w:tblStylePr w:type="band1Horz">
      <w:rPr>
        <w:rFonts w:ascii="Arial" w:hAnsi="Arial"/>
        <w:color w:val="a5a5a5" w:themeColor="accent3" w:themeTint="FF"/>
        <w:sz w:val="22"/>
        <w14:textFill>
          <w14:solidFill>
            <w14:schemeClr w14:val="accent3">
              <w14:lumMod w14:val="100000"/>
              <w14:lumOff w14:val="0"/>
            </w14:schemeClr>
          </w14:solidFill>
        </w14:textFill>
      </w:rPr>
      <w:tcPr>
        <w:shd w:val="clear" w:color="ececec" w:themeColor="accent3" w:themeTint="34" w:fill="ececec" w:themeFill="accent3" w:themeFillTint="34"/>
      </w:tcPr>
    </w:tblStylePr>
    <w:tblStylePr w:type="band1Vert">
      <w:tcPr>
        <w:shd w:val="clear" w:color="ececec" w:themeColor="accent3" w:themeTint="34" w:fill="ececec" w:themeFill="accent3" w:themeFillTint="34"/>
      </w:tcPr>
    </w:tblStylePr>
    <w:tblStylePr w:type="band2Horz">
      <w:rPr>
        <w:rFonts w:ascii="Arial" w:hAnsi="Arial"/>
        <w:color w:val="a5a5a5" w:themeColor="accent3" w:themeTint="FF"/>
        <w:sz w:val="22"/>
        <w14:textFill>
          <w14:solidFill>
            <w14:schemeClr w14:val="accent3">
              <w14:lumMod w14:val="100000"/>
              <w14:lumOff w14:val="0"/>
            </w14:schemeClr>
          </w14:solidFill>
        </w14:textFill>
      </w:rPr>
    </w:tblStylePr>
    <w:tblStylePr w:type="firstCol">
      <w:rPr>
        <w:rFonts w:ascii="Arial" w:hAnsi="Arial"/>
        <w:i/>
        <w:color w:val="a5a5a5"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A5A5A5" w:themeColor="accent3" w:themeTint="FE" w:sz="4" w:space="0"/>
        </w:tcBorders>
      </w:tcPr>
    </w:tblStylePr>
    <w:tblStylePr w:type="fir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A5A5A5" w:themeColor="accent3" w:themeTint="FE" w:sz="4" w:space="0"/>
          <w:right w:val="none" w:color="000000" w:sz="4" w:space="0"/>
        </w:tcBorders>
      </w:tcPr>
    </w:tblStylePr>
    <w:tblStylePr w:type="lastCol">
      <w:rPr>
        <w:rFonts w:ascii="Arial" w:hAnsi="Arial"/>
        <w:i/>
        <w:color w:val="a5a5a5"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A5A5A5" w:themeColor="accent3" w:themeTint="FE" w:sz="4" w:space="0"/>
          <w:bottom w:val="none" w:color="000000" w:sz="4" w:space="0"/>
          <w:right w:val="none" w:color="000000" w:sz="4" w:space="0"/>
        </w:tcBorders>
      </w:tcPr>
    </w:tblStylePr>
    <w:tblStylePr w:type="lastRow">
      <w:rPr>
        <w:rFonts w:ascii="Arial" w:hAnsi="Arial"/>
        <w:b/>
        <w:color w:val="a5a5a5"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A5A5A5" w:themeColor="accent3" w:themeTint="FE" w:sz="4" w:space="0"/>
          <w:left w:val="none" w:color="000000" w:sz="4" w:space="0"/>
          <w:bottom w:val="none" w:color="000000" w:sz="4" w:space="0"/>
          <w:right w:val="none" w:color="000000" w:sz="4" w:space="0"/>
        </w:tcBorders>
      </w:tcPr>
    </w:tblStylePr>
  </w:style>
  <w:style w:type="table" w:styleId="809" w:customStyle="1">
    <w:name w:val="Grid Table 7 Colorful - Accent 4"/>
    <w:basedOn w:val="708"/>
    <w:uiPriority w:val="99"/>
    <w:qFormat/>
    <w:pPr>
      <w:spacing w:after="0" w:line="240" w:lineRule="auto"/>
    </w:pPr>
    <w:tblPr>
      <w:tblBorders>
        <w:bottom w:val="single" w:color="FFD864" w:themeColor="accent4" w:themeTint="9A" w:sz="4" w:space="0"/>
        <w:right w:val="single" w:color="FFD864" w:themeColor="accent4" w:themeTint="9A" w:sz="4" w:space="0"/>
        <w:insideH w:val="single" w:color="FFD864" w:themeColor="accent4" w:themeTint="9A" w:sz="4" w:space="0"/>
        <w:insideV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ef2ca" w:themeColor="accent4" w:themeTint="34" w:fill="fef2ca" w:themeFill="accent4" w:themeFillTint="34"/>
      </w:tcPr>
    </w:tblStylePr>
    <w:tblStylePr w:type="band1Vert">
      <w:tcPr>
        <w:shd w:val="clear" w:color="fef2ca" w:themeColor="accent4" w:themeTint="34" w:fill="fef2ca" w:themeFill="accent4" w:themeFillTint="34"/>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b/>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10" w:customStyle="1">
    <w:name w:val="Grid Table 7 Colorful - Accent 5"/>
    <w:basedOn w:val="708"/>
    <w:uiPriority w:val="99"/>
    <w:qFormat/>
    <w:pPr>
      <w:spacing w:after="0" w:line="240" w:lineRule="auto"/>
    </w:pPr>
    <w:tblPr>
      <w:tblBorders>
        <w:bottom w:val="single" w:color="A2C6E7" w:themeColor="accent5" w:themeTint="90" w:sz="4" w:space="0"/>
        <w:right w:val="single" w:color="A2C6E7" w:themeColor="accent5" w:themeTint="90" w:sz="4" w:space="0"/>
        <w:insideH w:val="single" w:color="A2C6E7" w:themeColor="accent5" w:themeTint="90" w:sz="4" w:space="0"/>
        <w:insideV w:val="single" w:color="A2C6E7" w:themeColor="accent5" w:themeTint="90" w:sz="4" w:space="0"/>
      </w:tblBorders>
    </w:tblPr>
    <w:tblStylePr w:type="band1Horz">
      <w:rPr>
        <w:rFonts w:ascii="Arial" w:hAnsi="Arial"/>
        <w:color w:val="245b8c" w:themeColor="accent5" w:themeShade="94"/>
        <w:sz w:val="22"/>
      </w:rPr>
      <w:tcPr>
        <w:shd w:val="clear" w:color="ddeaf6" w:themeColor="accent5" w:themeTint="34" w:fill="ddeaf6" w:themeFill="accent5" w:themeFillTint="34"/>
      </w:tcPr>
    </w:tblStylePr>
    <w:tblStylePr w:type="band1Vert">
      <w:tcPr>
        <w:shd w:val="clear" w:color="ddeaf6" w:themeColor="accent5" w:themeTint="34" w:fill="ddeaf6" w:themeFill="accent5" w:themeFillTint="34"/>
      </w:tcPr>
    </w:tblStylePr>
    <w:tblStylePr w:type="band2Horz">
      <w:rPr>
        <w:rFonts w:ascii="Arial" w:hAnsi="Arial"/>
        <w:color w:val="245b8c" w:themeColor="accent5" w:themeShade="94"/>
        <w:sz w:val="22"/>
      </w:rPr>
    </w:tblStylePr>
    <w:tblStylePr w:type="firstCol">
      <w:rPr>
        <w:rFonts w:ascii="Arial" w:hAnsi="Arial"/>
        <w:i/>
        <w:color w:val="245b8c" w:themeColor="accent5" w:themeShade="94"/>
        <w:sz w:val="22"/>
      </w:rPr>
      <w:pPr>
        <w:jc w:val="right"/>
      </w:pPr>
      <w:tcPr>
        <w:shd w:val="clear" w:color="ffffff" w:fill="auto"/>
        <w:tcBorders>
          <w:top w:val="none" w:color="000000" w:sz="4" w:space="0"/>
          <w:left w:val="none" w:color="000000" w:sz="4" w:space="0"/>
          <w:bottom w:val="none" w:color="000000" w:sz="4" w:space="0"/>
          <w:right w:val="single" w:color="A2C6E7" w:themeColor="accent5" w:themeTint="90" w:sz="4" w:space="0"/>
        </w:tcBorders>
      </w:tcPr>
    </w:tblStylePr>
    <w:tblStylePr w:type="firstRow">
      <w:rPr>
        <w:rFonts w:ascii="Arial" w:hAnsi="Arial"/>
        <w:b/>
        <w:color w:val="245b8c" w:themeColor="accent5" w:themeShade="94"/>
        <w:sz w:val="22"/>
      </w:rPr>
      <w:tcPr>
        <w:shd w:val="clear" w:color="ffffff" w:themeColor="light1" w:fill="ffffff" w:themeFill="light1"/>
        <w:tcBorders>
          <w:top w:val="none" w:color="000000" w:sz="4" w:space="0"/>
          <w:left w:val="none" w:color="000000" w:sz="4" w:space="0"/>
          <w:bottom w:val="single" w:color="A2C6E7" w:themeColor="accent5" w:themeTint="90" w:sz="4" w:space="0"/>
          <w:right w:val="none" w:color="000000" w:sz="4" w:space="0"/>
        </w:tcBorders>
      </w:tcPr>
    </w:tblStylePr>
    <w:tblStylePr w:type="lastCol">
      <w:rPr>
        <w:rFonts w:ascii="Arial" w:hAnsi="Arial"/>
        <w:i/>
        <w:color w:val="245b8c" w:themeColor="accent5" w:themeShade="94"/>
        <w:sz w:val="22"/>
      </w:rPr>
      <w:tcPr>
        <w:shd w:val="clear" w:color="ffffff" w:fill="auto"/>
        <w:tcBorders>
          <w:top w:val="none" w:color="000000" w:sz="4" w:space="0"/>
          <w:left w:val="single" w:color="A2C6E7" w:themeColor="accent5" w:themeTint="90" w:sz="4" w:space="0"/>
          <w:bottom w:val="none" w:color="000000" w:sz="4" w:space="0"/>
          <w:right w:val="none" w:color="000000" w:sz="4" w:space="0"/>
        </w:tcBorders>
      </w:tcPr>
    </w:tblStylePr>
    <w:tblStylePr w:type="lastRow">
      <w:rPr>
        <w:rFonts w:ascii="Arial" w:hAnsi="Arial"/>
        <w:b/>
        <w:color w:val="245b8c" w:themeColor="accent5" w:themeShade="94"/>
        <w:sz w:val="22"/>
      </w:rPr>
      <w:tcPr>
        <w:shd w:val="clear" w:color="ffffff" w:themeColor="light1" w:fill="ffffff" w:themeFill="light1"/>
        <w:tcBorders>
          <w:top w:val="single" w:color="A2C6E7" w:themeColor="accent5" w:themeTint="90" w:sz="4" w:space="0"/>
          <w:left w:val="none" w:color="000000" w:sz="4" w:space="0"/>
          <w:bottom w:val="none" w:color="000000" w:sz="4" w:space="0"/>
          <w:right w:val="none" w:color="000000" w:sz="4" w:space="0"/>
        </w:tcBorders>
      </w:tcPr>
    </w:tblStylePr>
  </w:style>
  <w:style w:type="table" w:styleId="811" w:customStyle="1">
    <w:name w:val="Grid Table 7 Colorful - Accent 6"/>
    <w:basedOn w:val="708"/>
    <w:uiPriority w:val="99"/>
    <w:qFormat/>
    <w:pPr>
      <w:spacing w:after="0" w:line="240" w:lineRule="auto"/>
    </w:pPr>
    <w:tblPr>
      <w:tblBorders>
        <w:bottom w:val="single" w:color="ADD394" w:themeColor="accent6" w:themeTint="90" w:sz="4" w:space="0"/>
        <w:right w:val="single" w:color="ADD394" w:themeColor="accent6" w:themeTint="90" w:sz="4" w:space="0"/>
        <w:insideH w:val="single" w:color="ADD394" w:themeColor="accent6" w:themeTint="90" w:sz="4" w:space="0"/>
        <w:insideV w:val="single" w:color="ADD394" w:themeColor="accent6" w:themeTint="90" w:sz="4" w:space="0"/>
      </w:tblBorders>
    </w:tblPr>
    <w:tblStylePr w:type="band1Horz">
      <w:rPr>
        <w:rFonts w:ascii="Arial" w:hAnsi="Arial"/>
        <w:color w:val="416429" w:themeColor="accent6" w:themeShade="94"/>
        <w:sz w:val="22"/>
      </w:rPr>
      <w:tcPr>
        <w:shd w:val="clear" w:color="e1efd8" w:themeColor="accent6" w:themeTint="34" w:fill="e1efd8" w:themeFill="accent6" w:themeFillTint="34"/>
      </w:tcPr>
    </w:tblStylePr>
    <w:tblStylePr w:type="band1Vert">
      <w:tcPr>
        <w:shd w:val="clear" w:color="e1efd8" w:themeColor="accent6" w:themeTint="34" w:fill="e1efd8" w:themeFill="accent6" w:themeFillTint="34"/>
      </w:tcPr>
    </w:tblStylePr>
    <w:tblStylePr w:type="band2Horz">
      <w:rPr>
        <w:rFonts w:ascii="Arial" w:hAnsi="Arial"/>
        <w:color w:val="416429" w:themeColor="accent6" w:themeShade="94"/>
        <w:sz w:val="22"/>
      </w:rPr>
    </w:tblStylePr>
    <w:tblStylePr w:type="firstCol">
      <w:rPr>
        <w:rFonts w:ascii="Arial" w:hAnsi="Arial"/>
        <w:i/>
        <w:color w:val="416429" w:themeColor="accent6" w:themeShade="94"/>
        <w:sz w:val="22"/>
      </w:rPr>
      <w:pPr>
        <w:jc w:val="right"/>
      </w:pPr>
      <w:tcPr>
        <w:shd w:val="clear" w:color="ffffff" w:fill="auto"/>
        <w:tcBorders>
          <w:top w:val="none" w:color="000000" w:sz="4" w:space="0"/>
          <w:left w:val="none" w:color="000000" w:sz="4" w:space="0"/>
          <w:bottom w:val="none" w:color="000000" w:sz="4" w:space="0"/>
          <w:right w:val="single" w:color="ADD394" w:themeColor="accent6" w:themeTint="90" w:sz="4" w:space="0"/>
        </w:tcBorders>
      </w:tcPr>
    </w:tblStylePr>
    <w:tblStylePr w:type="firstRow">
      <w:rPr>
        <w:rFonts w:ascii="Arial" w:hAnsi="Arial"/>
        <w:b/>
        <w:color w:val="416429" w:themeColor="accent6" w:themeShade="94"/>
        <w:sz w:val="22"/>
      </w:rPr>
      <w:tcPr>
        <w:shd w:val="clear" w:color="ffffff" w:themeColor="light1" w:fill="ffffff" w:themeFill="light1"/>
        <w:tcBorders>
          <w:top w:val="none" w:color="000000" w:sz="4" w:space="0"/>
          <w:left w:val="none" w:color="000000" w:sz="4" w:space="0"/>
          <w:bottom w:val="single" w:color="ADD394" w:themeColor="accent6" w:themeTint="90" w:sz="4" w:space="0"/>
          <w:right w:val="none" w:color="000000" w:sz="4" w:space="0"/>
        </w:tcBorders>
      </w:tcPr>
    </w:tblStylePr>
    <w:tblStylePr w:type="lastCol">
      <w:rPr>
        <w:rFonts w:ascii="Arial" w:hAnsi="Arial"/>
        <w:i/>
        <w:color w:val="416429" w:themeColor="accent6" w:themeShade="94"/>
        <w:sz w:val="22"/>
      </w:rPr>
      <w:tcPr>
        <w:shd w:val="clear" w:color="ffffff" w:fill="auto"/>
        <w:tcBorders>
          <w:top w:val="none" w:color="000000" w:sz="4" w:space="0"/>
          <w:left w:val="single" w:color="ADD394" w:themeColor="accent6" w:themeTint="90" w:sz="4" w:space="0"/>
          <w:bottom w:val="none" w:color="000000" w:sz="4" w:space="0"/>
          <w:right w:val="none" w:color="000000" w:sz="4" w:space="0"/>
        </w:tcBorders>
      </w:tcPr>
    </w:tblStylePr>
    <w:tblStylePr w:type="lastRow">
      <w:rPr>
        <w:rFonts w:ascii="Arial" w:hAnsi="Arial"/>
        <w:b/>
        <w:color w:val="416429" w:themeColor="accent6" w:themeShade="94"/>
        <w:sz w:val="22"/>
      </w:rPr>
      <w:tcPr>
        <w:shd w:val="clear" w:color="ffffff" w:themeColor="light1" w:fill="ffffff" w:themeFill="light1"/>
        <w:tcBorders>
          <w:top w:val="single" w:color="ADD394" w:themeColor="accent6" w:themeTint="90" w:sz="4" w:space="0"/>
          <w:left w:val="none" w:color="000000" w:sz="4" w:space="0"/>
          <w:bottom w:val="none" w:color="000000" w:sz="4" w:space="0"/>
          <w:right w:val="none" w:color="000000" w:sz="4" w:space="0"/>
        </w:tcBorders>
      </w:tcPr>
    </w:tblStylePr>
  </w:style>
  <w:style w:type="table" w:styleId="812" w:customStyle="1">
    <w:name w:val="List Table 1 Light"/>
    <w:basedOn w:val="708"/>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13" w:customStyle="1">
    <w:name w:val="List Table 1 Light - Accent 1"/>
    <w:basedOn w:val="708"/>
    <w:uiPriority w:val="99"/>
    <w:qFormat/>
    <w:pPr>
      <w:spacing w:after="0" w:line="240" w:lineRule="auto"/>
    </w:pPr>
    <w:tblPr/>
    <w:tblStylePr w:type="band1Horz">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472C4" w:themeColor="accent1" w:sz="4" w:space="0"/>
          <w:right w:val="none" w:color="000000" w:sz="4" w:space="0"/>
        </w:tcBorders>
      </w:tcPr>
    </w:tblStylePr>
    <w:tblStylePr w:type="lastCol">
      <w:rPr>
        <w:b/>
        <w:color w:val="404040"/>
      </w:rPr>
    </w:tblStylePr>
    <w:tblStylePr w:type="lastRow">
      <w:rPr>
        <w:b/>
        <w:color w:val="404040"/>
      </w:rPr>
      <w:tcPr>
        <w:tcBorders>
          <w:top w:val="single" w:color="4472C4" w:themeColor="accent1" w:sz="4" w:space="0"/>
          <w:left w:val="none" w:color="000000" w:sz="4" w:space="0"/>
          <w:bottom w:val="none" w:color="000000" w:sz="4" w:space="0"/>
          <w:right w:val="none" w:color="000000" w:sz="4" w:space="0"/>
        </w:tcBorders>
      </w:tcPr>
    </w:tblStylePr>
  </w:style>
  <w:style w:type="table" w:styleId="814" w:customStyle="1">
    <w:name w:val="List Table 1 Light - Accent 2"/>
    <w:basedOn w:val="708"/>
    <w:uiPriority w:val="99"/>
    <w:qFormat/>
    <w:pPr>
      <w:spacing w:after="0" w:line="240" w:lineRule="auto"/>
    </w:pPr>
    <w:tblPr/>
    <w:tblStylePr w:type="band1Horz">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D7D31" w:themeColor="accent2" w:sz="4" w:space="0"/>
          <w:right w:val="none" w:color="000000" w:sz="4" w:space="0"/>
        </w:tcBorders>
      </w:tcPr>
    </w:tblStylePr>
    <w:tblStylePr w:type="lastCol">
      <w:rPr>
        <w:b/>
        <w:color w:val="404040"/>
      </w:rPr>
    </w:tblStylePr>
    <w:tblStylePr w:type="lastRow">
      <w:rPr>
        <w:b/>
        <w:color w:val="404040"/>
      </w:rPr>
      <w:tcPr>
        <w:tcBorders>
          <w:top w:val="single" w:color="ED7D31" w:themeColor="accent2" w:sz="4" w:space="0"/>
          <w:left w:val="none" w:color="000000" w:sz="4" w:space="0"/>
          <w:bottom w:val="none" w:color="000000" w:sz="4" w:space="0"/>
          <w:right w:val="none" w:color="000000" w:sz="4" w:space="0"/>
        </w:tcBorders>
      </w:tcPr>
    </w:tblStylePr>
  </w:style>
  <w:style w:type="table" w:styleId="815" w:customStyle="1">
    <w:name w:val="List Table 1 Light - Accent 3"/>
    <w:basedOn w:val="708"/>
    <w:uiPriority w:val="99"/>
    <w:qFormat/>
    <w:pPr>
      <w:spacing w:after="0" w:line="240" w:lineRule="auto"/>
    </w:pPr>
    <w:tblPr/>
    <w:tblStylePr w:type="band1Horz">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A5A5A5" w:themeColor="accent3" w:sz="4" w:space="0"/>
          <w:right w:val="none" w:color="000000" w:sz="4" w:space="0"/>
        </w:tcBorders>
      </w:tcPr>
    </w:tblStylePr>
    <w:tblStylePr w:type="lastCol">
      <w:rPr>
        <w:b/>
        <w:color w:val="404040"/>
      </w:rPr>
    </w:tblStylePr>
    <w:tblStylePr w:type="lastRow">
      <w:rPr>
        <w:b/>
        <w:color w:val="404040"/>
      </w:rPr>
      <w:tcPr>
        <w:tcBorders>
          <w:top w:val="single" w:color="A5A5A5" w:themeColor="accent3" w:sz="4" w:space="0"/>
          <w:left w:val="none" w:color="000000" w:sz="4" w:space="0"/>
          <w:bottom w:val="none" w:color="000000" w:sz="4" w:space="0"/>
          <w:right w:val="none" w:color="000000" w:sz="4" w:space="0"/>
        </w:tcBorders>
      </w:tcPr>
    </w:tblStylePr>
  </w:style>
  <w:style w:type="table" w:styleId="816" w:customStyle="1">
    <w:name w:val="List Table 1 Light - Accent 4"/>
    <w:basedOn w:val="708"/>
    <w:uiPriority w:val="99"/>
    <w:qFormat/>
    <w:pPr>
      <w:spacing w:after="0" w:line="240" w:lineRule="auto"/>
    </w:pPr>
    <w:tblPr/>
    <w:tblStylePr w:type="band1Horz">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FC000" w:themeColor="accent4" w:sz="4" w:space="0"/>
          <w:right w:val="none" w:color="000000" w:sz="4" w:space="0"/>
        </w:tcBorders>
      </w:tcPr>
    </w:tblStylePr>
    <w:tblStylePr w:type="lastCol">
      <w:rPr>
        <w:b/>
        <w:color w:val="404040"/>
      </w:rPr>
    </w:tblStylePr>
    <w:tblStylePr w:type="lastRow">
      <w:rPr>
        <w:b/>
        <w:color w:val="404040"/>
      </w:rPr>
      <w:tcPr>
        <w:tcBorders>
          <w:top w:val="single" w:color="FFC000" w:themeColor="accent4" w:sz="4" w:space="0"/>
          <w:left w:val="none" w:color="000000" w:sz="4" w:space="0"/>
          <w:bottom w:val="none" w:color="000000" w:sz="4" w:space="0"/>
          <w:right w:val="none" w:color="000000" w:sz="4" w:space="0"/>
        </w:tcBorders>
      </w:tcPr>
    </w:tblStylePr>
  </w:style>
  <w:style w:type="table" w:styleId="817" w:customStyle="1">
    <w:name w:val="List Table 1 Light - Accent 5"/>
    <w:basedOn w:val="708"/>
    <w:uiPriority w:val="99"/>
    <w:qFormat/>
    <w:pPr>
      <w:spacing w:after="0" w:line="240" w:lineRule="auto"/>
    </w:pPr>
    <w:tblPr/>
    <w:tblStylePr w:type="band1Horz">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5B9BD5" w:themeColor="accent5" w:sz="4" w:space="0"/>
          <w:right w:val="none" w:color="000000" w:sz="4" w:space="0"/>
        </w:tcBorders>
      </w:tcPr>
    </w:tblStylePr>
    <w:tblStylePr w:type="lastCol">
      <w:rPr>
        <w:b/>
        <w:color w:val="404040"/>
      </w:rPr>
    </w:tblStylePr>
    <w:tblStylePr w:type="lastRow">
      <w:rPr>
        <w:b/>
        <w:color w:val="404040"/>
      </w:rPr>
      <w:tcPr>
        <w:tcBorders>
          <w:top w:val="single" w:color="5B9BD5" w:themeColor="accent5" w:sz="4" w:space="0"/>
          <w:left w:val="none" w:color="000000" w:sz="4" w:space="0"/>
          <w:bottom w:val="none" w:color="000000" w:sz="4" w:space="0"/>
          <w:right w:val="none" w:color="000000" w:sz="4" w:space="0"/>
        </w:tcBorders>
      </w:tcPr>
    </w:tblStylePr>
  </w:style>
  <w:style w:type="table" w:styleId="818" w:customStyle="1">
    <w:name w:val="List Table 1 Light - Accent 6"/>
    <w:basedOn w:val="708"/>
    <w:uiPriority w:val="99"/>
    <w:qFormat/>
    <w:pPr>
      <w:spacing w:after="0" w:line="240" w:lineRule="auto"/>
    </w:pPr>
    <w:tblPr/>
    <w:tblStylePr w:type="band1Horz">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0AD47" w:themeColor="accent6" w:sz="4" w:space="0"/>
          <w:right w:val="none" w:color="000000" w:sz="4" w:space="0"/>
        </w:tcBorders>
      </w:tcPr>
    </w:tblStylePr>
    <w:tblStylePr w:type="lastCol">
      <w:rPr>
        <w:b/>
        <w:color w:val="404040"/>
      </w:rPr>
    </w:tblStylePr>
    <w:tblStylePr w:type="lastRow">
      <w:rPr>
        <w:b/>
        <w:color w:val="404040"/>
      </w:rPr>
      <w:tcPr>
        <w:tcBorders>
          <w:top w:val="single" w:color="70AD47" w:themeColor="accent6" w:sz="4" w:space="0"/>
          <w:left w:val="none" w:color="000000" w:sz="4" w:space="0"/>
          <w:bottom w:val="none" w:color="000000" w:sz="4" w:space="0"/>
          <w:right w:val="none" w:color="000000" w:sz="4" w:space="0"/>
        </w:tcBorders>
      </w:tcPr>
    </w:tblStylePr>
  </w:style>
  <w:style w:type="table" w:styleId="819" w:customStyle="1">
    <w:name w:val="List Table 2"/>
    <w:basedOn w:val="708"/>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20" w:customStyle="1">
    <w:name w:val="List Table 2 - Accent 1"/>
    <w:basedOn w:val="708"/>
    <w:uiPriority w:val="99"/>
    <w:qFormat/>
    <w:pPr>
      <w:spacing w:after="0" w:line="240" w:lineRule="auto"/>
    </w:pPr>
    <w:tblPr>
      <w:tblBorders>
        <w:top w:val="single" w:color="95AFDD" w:themeColor="accent1" w:themeTint="90" w:sz="4" w:space="0"/>
        <w:bottom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5AFDD" w:themeColor="accent1" w:themeTint="90" w:sz="4" w:space="0"/>
          <w:left w:val="none" w:color="000000" w:sz="4" w:space="0"/>
          <w:bottom w:val="single" w:color="95AFDD" w:themeColor="accent1" w:themeTint="90" w:sz="4" w:space="0"/>
          <w:right w:val="none" w:color="000000" w:sz="4" w:space="0"/>
        </w:tcBorders>
      </w:tcPr>
    </w:tblStylePr>
  </w:style>
  <w:style w:type="table" w:styleId="821" w:customStyle="1">
    <w:name w:val="List Table 2 - Accent 2"/>
    <w:basedOn w:val="708"/>
    <w:uiPriority w:val="99"/>
    <w:qFormat/>
    <w:pPr>
      <w:spacing w:after="0" w:line="240" w:lineRule="auto"/>
    </w:pPr>
    <w:tblPr>
      <w:tblBorders>
        <w:top w:val="single" w:color="F4B58A" w:themeColor="accent2" w:themeTint="90" w:sz="4" w:space="0"/>
        <w:bottom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4B58A" w:themeColor="accent2" w:themeTint="90" w:sz="4" w:space="0"/>
          <w:left w:val="none" w:color="000000" w:sz="4" w:space="0"/>
          <w:bottom w:val="single" w:color="F4B58A" w:themeColor="accent2" w:themeTint="90" w:sz="4" w:space="0"/>
          <w:right w:val="none" w:color="000000" w:sz="4" w:space="0"/>
        </w:tcBorders>
      </w:tcPr>
    </w:tblStylePr>
  </w:style>
  <w:style w:type="table" w:styleId="822" w:customStyle="1">
    <w:name w:val="List Table 2 - Accent 3"/>
    <w:basedOn w:val="708"/>
    <w:uiPriority w:val="99"/>
    <w:qFormat/>
    <w:pPr>
      <w:spacing w:after="0" w:line="240" w:lineRule="auto"/>
    </w:pPr>
    <w:tblPr>
      <w:tblBorders>
        <w:top w:val="single" w:color="CCCCCC" w:themeColor="accent3" w:themeTint="90" w:sz="4" w:space="0"/>
        <w:bottom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CCCCC" w:themeColor="accent3" w:themeTint="90" w:sz="4" w:space="0"/>
          <w:left w:val="none" w:color="000000" w:sz="4" w:space="0"/>
          <w:bottom w:val="single" w:color="CCCCCC" w:themeColor="accent3" w:themeTint="90" w:sz="4" w:space="0"/>
          <w:right w:val="none" w:color="000000" w:sz="4" w:space="0"/>
        </w:tcBorders>
      </w:tcPr>
    </w:tblStylePr>
  </w:style>
  <w:style w:type="table" w:styleId="823" w:customStyle="1">
    <w:name w:val="List Table 2 - Accent 4"/>
    <w:basedOn w:val="708"/>
    <w:uiPriority w:val="99"/>
    <w:qFormat/>
    <w:pPr>
      <w:spacing w:after="0" w:line="240" w:lineRule="auto"/>
    </w:pPr>
    <w:tblPr>
      <w:tblBorders>
        <w:top w:val="single" w:color="FFDB6E" w:themeColor="accent4" w:themeTint="90" w:sz="4" w:space="0"/>
        <w:bottom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FDB6E" w:themeColor="accent4" w:themeTint="90" w:sz="4" w:space="0"/>
          <w:left w:val="none" w:color="000000" w:sz="4" w:space="0"/>
          <w:bottom w:val="single" w:color="FFDB6E" w:themeColor="accent4" w:themeTint="90" w:sz="4" w:space="0"/>
          <w:right w:val="none" w:color="000000" w:sz="4" w:space="0"/>
        </w:tcBorders>
      </w:tcPr>
    </w:tblStylePr>
  </w:style>
  <w:style w:type="table" w:styleId="824" w:customStyle="1">
    <w:name w:val="List Table 2 - Accent 5"/>
    <w:basedOn w:val="708"/>
    <w:uiPriority w:val="99"/>
    <w:qFormat/>
    <w:pPr>
      <w:spacing w:after="0" w:line="240" w:lineRule="auto"/>
    </w:pPr>
    <w:tblPr>
      <w:tblBorders>
        <w:top w:val="single" w:color="A2C6E7" w:themeColor="accent5" w:themeTint="90" w:sz="4" w:space="0"/>
        <w:bottom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2C6E7" w:themeColor="accent5" w:themeTint="90" w:sz="4" w:space="0"/>
          <w:left w:val="none" w:color="000000" w:sz="4" w:space="0"/>
          <w:bottom w:val="single" w:color="A2C6E7" w:themeColor="accent5" w:themeTint="90" w:sz="4" w:space="0"/>
          <w:right w:val="none" w:color="000000" w:sz="4" w:space="0"/>
        </w:tcBorders>
      </w:tcPr>
    </w:tblStylePr>
  </w:style>
  <w:style w:type="table" w:styleId="825" w:customStyle="1">
    <w:name w:val="List Table 2 - Accent 6"/>
    <w:basedOn w:val="708"/>
    <w:uiPriority w:val="99"/>
    <w:qFormat/>
    <w:pPr>
      <w:spacing w:after="0" w:line="240" w:lineRule="auto"/>
    </w:pPr>
    <w:tblPr>
      <w:tblBorders>
        <w:top w:val="single" w:color="ADD394" w:themeColor="accent6" w:themeTint="90" w:sz="4" w:space="0"/>
        <w:bottom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ADD394" w:themeColor="accent6" w:themeTint="90" w:sz="4" w:space="0"/>
          <w:left w:val="none" w:color="000000" w:sz="4" w:space="0"/>
          <w:bottom w:val="single" w:color="ADD394" w:themeColor="accent6" w:themeTint="90" w:sz="4" w:space="0"/>
          <w:right w:val="none" w:color="000000" w:sz="4" w:space="0"/>
        </w:tcBorders>
      </w:tcPr>
    </w:tblStylePr>
  </w:style>
  <w:style w:type="table" w:styleId="826" w:customStyle="1">
    <w:name w:val="List Table 3"/>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27" w:customStyle="1">
    <w:name w:val="List Table 3 - Accent 1"/>
    <w:basedOn w:val="708"/>
    <w:uiPriority w:val="99"/>
    <w:qFormat/>
    <w:pPr>
      <w:spacing w:after="0" w:line="240" w:lineRule="auto"/>
    </w:pPr>
    <w:tblPr>
      <w:tblBorders>
        <w:top w:val="single" w:color="4472C4" w:themeColor="accent1" w:sz="4" w:space="0"/>
        <w:left w:val="single" w:color="4472C4" w:themeColor="accent1" w:sz="4" w:space="0"/>
        <w:bottom w:val="single" w:color="4472C4" w:themeColor="accent1" w:sz="4" w:space="0"/>
        <w:right w:val="single" w:color="4472C4" w:themeColor="accent1" w:sz="4" w:space="0"/>
      </w:tblBorders>
    </w:tblPr>
    <w:tblStylePr w:type="band1Horz">
      <w:rPr>
        <w:rFonts w:ascii="Arial" w:hAnsi="Arial"/>
        <w:color w:val="404040"/>
        <w:sz w:val="22"/>
      </w:rPr>
      <w:tcPr>
        <w:tcBorders>
          <w:top w:val="single" w:color="4472C4" w:themeColor="accent1" w:sz="4" w:space="0"/>
          <w:bottom w:val="single" w:color="4472C4" w:themeColor="accent1" w:sz="4" w:space="0"/>
        </w:tcBorders>
      </w:tcPr>
    </w:tblStylePr>
    <w:tblStylePr w:type="band1Vert">
      <w:rPr>
        <w:rFonts w:ascii="Arial" w:hAnsi="Arial"/>
        <w:color w:val="404040"/>
        <w:sz w:val="22"/>
      </w:rPr>
      <w:tcPr>
        <w:tcBorders>
          <w:left w:val="single" w:color="4472C4" w:themeColor="accent1" w:sz="4" w:space="0"/>
          <w:right w:val="single" w:color="4472C4" w:themeColor="accent1" w:sz="4" w:space="0"/>
        </w:tcBorders>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28" w:customStyle="1">
    <w:name w:val="List Table 3 - Accent 2"/>
    <w:basedOn w:val="708"/>
    <w:uiPriority w:val="99"/>
    <w:qFormat/>
    <w:pPr>
      <w:spacing w:after="0" w:line="240" w:lineRule="auto"/>
    </w:pPr>
    <w:tblPr>
      <w:tblBorders>
        <w:top w:val="single" w:color="F4B285" w:themeColor="accent2" w:themeTint="97" w:sz="4" w:space="0"/>
        <w:left w:val="single" w:color="F4B285" w:themeColor="accent2" w:themeTint="97" w:sz="4" w:space="0"/>
        <w:bottom w:val="single" w:color="F4B285" w:themeColor="accent2" w:themeTint="97" w:sz="4" w:space="0"/>
        <w:right w:val="single" w:color="F4B285" w:themeColor="accent2" w:themeTint="97" w:sz="4" w:space="0"/>
      </w:tblBorders>
    </w:tblPr>
    <w:tblStylePr w:type="band1Horz">
      <w:rPr>
        <w:rFonts w:ascii="Arial" w:hAnsi="Arial"/>
        <w:color w:val="404040"/>
        <w:sz w:val="22"/>
      </w:rPr>
      <w:tcPr>
        <w:tcBorders>
          <w:top w:val="single" w:color="F4B285" w:themeColor="accent2" w:themeTint="97" w:sz="4" w:space="0"/>
          <w:bottom w:val="single" w:color="F4B285" w:themeColor="accent2" w:themeTint="97" w:sz="4" w:space="0"/>
        </w:tcBorders>
      </w:tcPr>
    </w:tblStylePr>
    <w:tblStylePr w:type="band1Vert">
      <w:rPr>
        <w:rFonts w:ascii="Arial" w:hAnsi="Arial"/>
        <w:color w:val="404040"/>
        <w:sz w:val="22"/>
      </w:rPr>
      <w:tcPr>
        <w:tcBorders>
          <w:left w:val="single" w:color="F4B285" w:themeColor="accent2" w:themeTint="97" w:sz="4" w:space="0"/>
          <w:right w:val="single" w:color="F4B285" w:themeColor="accent2" w:themeTint="97" w:sz="4" w:space="0"/>
        </w:tcBorders>
      </w:tcPr>
    </w:tblStylePr>
    <w:tblStylePr w:type="firstCol">
      <w:rPr>
        <w:b/>
        <w:color w:val="404040"/>
      </w:rPr>
    </w:tblStylePr>
    <w:tblStylePr w:type="firstRow">
      <w:rPr>
        <w:rFonts w:ascii="Arial" w:hAnsi="Arial"/>
        <w:b/>
        <w:color w:val="ffffff"/>
        <w:sz w:val="22"/>
      </w:rPr>
      <w:tcPr>
        <w:shd w:val="clear" w:color="f4b285" w:themeColor="accent2" w:themeTint="97" w:fill="f4b285" w:themeFill="accent2" w:themeFillTint="97"/>
      </w:tcPr>
    </w:tblStylePr>
    <w:tblStylePr w:type="lastCol">
      <w:rPr>
        <w:b/>
        <w:color w:val="404040"/>
      </w:rPr>
    </w:tblStylePr>
    <w:tblStylePr w:type="lastRow">
      <w:rPr>
        <w:b/>
        <w:color w:val="404040"/>
      </w:rPr>
    </w:tblStylePr>
  </w:style>
  <w:style w:type="table" w:styleId="829" w:customStyle="1">
    <w:name w:val="List Table 3 - Accent 3"/>
    <w:basedOn w:val="708"/>
    <w:uiPriority w:val="99"/>
    <w:qFormat/>
    <w:pPr>
      <w:spacing w:after="0" w:line="240" w:lineRule="auto"/>
    </w:pPr>
    <w:tblPr>
      <w:tblBorders>
        <w:top w:val="single" w:color="C9C9C9" w:themeColor="accent3" w:themeTint="98" w:sz="4" w:space="0"/>
        <w:left w:val="single" w:color="C9C9C9" w:themeColor="accent3" w:themeTint="98" w:sz="4" w:space="0"/>
        <w:bottom w:val="single" w:color="C9C9C9" w:themeColor="accent3" w:themeTint="98" w:sz="4" w:space="0"/>
        <w:right w:val="single" w:color="C9C9C9" w:themeColor="accent3" w:themeTint="98" w:sz="4" w:space="0"/>
      </w:tblBorders>
    </w:tblPr>
    <w:tblStylePr w:type="band1Horz">
      <w:rPr>
        <w:rFonts w:ascii="Arial" w:hAnsi="Arial"/>
        <w:color w:val="404040"/>
        <w:sz w:val="22"/>
      </w:rPr>
      <w:tcPr>
        <w:tcBorders>
          <w:top w:val="single" w:color="C9C9C9" w:themeColor="accent3" w:themeTint="98" w:sz="4" w:space="0"/>
          <w:bottom w:val="single" w:color="C9C9C9" w:themeColor="accent3" w:themeTint="98" w:sz="4" w:space="0"/>
        </w:tcBorders>
      </w:tcPr>
    </w:tblStylePr>
    <w:tblStylePr w:type="band1Vert">
      <w:rPr>
        <w:rFonts w:ascii="Arial" w:hAnsi="Arial"/>
        <w:color w:val="404040"/>
        <w:sz w:val="22"/>
      </w:rPr>
      <w:tcPr>
        <w:tcBorders>
          <w:left w:val="single" w:color="C9C9C9" w:themeColor="accent3" w:themeTint="98" w:sz="4" w:space="0"/>
          <w:right w:val="single" w:color="C9C9C9" w:themeColor="accent3" w:themeTint="98" w:sz="4" w:space="0"/>
        </w:tcBorders>
      </w:tcPr>
    </w:tblStylePr>
    <w:tblStylePr w:type="firstCol">
      <w:rPr>
        <w:b/>
        <w:color w:val="404040"/>
      </w:rPr>
    </w:tblStylePr>
    <w:tblStylePr w:type="firstRow">
      <w:rPr>
        <w:rFonts w:ascii="Arial" w:hAnsi="Arial"/>
        <w:b/>
        <w:color w:val="ffffff"/>
        <w:sz w:val="22"/>
      </w:rPr>
      <w:tcPr>
        <w:shd w:val="clear" w:color="c9c9c9" w:themeColor="accent3" w:themeTint="98" w:fill="c9c9c9" w:themeFill="accent3" w:themeFillTint="98"/>
      </w:tcPr>
    </w:tblStylePr>
    <w:tblStylePr w:type="lastCol">
      <w:rPr>
        <w:b/>
        <w:color w:val="404040"/>
      </w:rPr>
    </w:tblStylePr>
    <w:tblStylePr w:type="lastRow">
      <w:rPr>
        <w:b/>
        <w:color w:val="404040"/>
      </w:rPr>
    </w:tblStylePr>
  </w:style>
  <w:style w:type="table" w:styleId="830" w:customStyle="1">
    <w:name w:val="List Table 3 - Accent 4"/>
    <w:basedOn w:val="708"/>
    <w:uiPriority w:val="99"/>
    <w:qFormat/>
    <w:pPr>
      <w:spacing w:after="0" w:line="240" w:lineRule="auto"/>
    </w:pPr>
    <w:tblPr>
      <w:tblBorders>
        <w:top w:val="single" w:color="FFD864" w:themeColor="accent4" w:themeTint="9A" w:sz="4" w:space="0"/>
        <w:left w:val="single" w:color="FFD864" w:themeColor="accent4" w:themeTint="9A" w:sz="4" w:space="0"/>
        <w:bottom w:val="single" w:color="FFD864" w:themeColor="accent4" w:themeTint="9A" w:sz="4" w:space="0"/>
        <w:right w:val="single" w:color="FFD864" w:themeColor="accent4" w:themeTint="9A" w:sz="4" w:space="0"/>
      </w:tblBorders>
    </w:tblPr>
    <w:tblStylePr w:type="band1Horz">
      <w:rPr>
        <w:rFonts w:ascii="Arial" w:hAnsi="Arial"/>
        <w:color w:val="404040"/>
        <w:sz w:val="22"/>
      </w:rPr>
      <w:tcPr>
        <w:tcBorders>
          <w:top w:val="single" w:color="FFD864" w:themeColor="accent4" w:themeTint="9A" w:sz="4" w:space="0"/>
          <w:bottom w:val="single" w:color="FFD864" w:themeColor="accent4" w:themeTint="9A" w:sz="4" w:space="0"/>
        </w:tcBorders>
      </w:tcPr>
    </w:tblStylePr>
    <w:tblStylePr w:type="band1Vert">
      <w:rPr>
        <w:rFonts w:ascii="Arial" w:hAnsi="Arial"/>
        <w:color w:val="404040"/>
        <w:sz w:val="22"/>
      </w:rPr>
      <w:tcPr>
        <w:tcBorders>
          <w:left w:val="single" w:color="FFD864" w:themeColor="accent4" w:themeTint="9A" w:sz="4" w:space="0"/>
          <w:right w:val="single" w:color="FFD864" w:themeColor="accent4" w:themeTint="9A" w:sz="4" w:space="0"/>
        </w:tcBorders>
      </w:tcPr>
    </w:tblStylePr>
    <w:tblStylePr w:type="firstCol">
      <w:rPr>
        <w:b/>
        <w:color w:val="404040"/>
      </w:rPr>
    </w:tblStylePr>
    <w:tblStylePr w:type="firstRow">
      <w:rPr>
        <w:rFonts w:ascii="Arial" w:hAnsi="Arial"/>
        <w:b/>
        <w:color w:val="ffffff"/>
        <w:sz w:val="22"/>
      </w:rPr>
      <w:tcPr>
        <w:shd w:val="clear" w:color="ffd864" w:themeColor="accent4" w:themeTint="9A" w:fill="ffd864" w:themeFill="accent4" w:themeFillTint="9A"/>
      </w:tcPr>
    </w:tblStylePr>
    <w:tblStylePr w:type="lastCol">
      <w:rPr>
        <w:b/>
        <w:color w:val="404040"/>
      </w:rPr>
    </w:tblStylePr>
    <w:tblStylePr w:type="lastRow">
      <w:rPr>
        <w:b/>
        <w:color w:val="404040"/>
      </w:rPr>
    </w:tblStylePr>
  </w:style>
  <w:style w:type="table" w:styleId="831" w:customStyle="1">
    <w:name w:val="List Table 3 - Accent 5"/>
    <w:basedOn w:val="708"/>
    <w:uiPriority w:val="99"/>
    <w:qFormat/>
    <w:pPr>
      <w:spacing w:after="0" w:line="240" w:lineRule="auto"/>
    </w:pPr>
    <w:tblPr>
      <w:tblBorders>
        <w:top w:val="single" w:color="9BC2E5" w:themeColor="accent5" w:themeTint="9A" w:sz="4" w:space="0"/>
        <w:left w:val="single" w:color="9BC2E5" w:themeColor="accent5" w:themeTint="9A" w:sz="4" w:space="0"/>
        <w:bottom w:val="single" w:color="9BC2E5" w:themeColor="accent5" w:themeTint="9A" w:sz="4" w:space="0"/>
        <w:right w:val="single" w:color="9BC2E5" w:themeColor="accent5" w:themeTint="9A" w:sz="4" w:space="0"/>
      </w:tblBorders>
    </w:tblPr>
    <w:tblStylePr w:type="band1Horz">
      <w:rPr>
        <w:rFonts w:ascii="Arial" w:hAnsi="Arial"/>
        <w:color w:val="404040"/>
        <w:sz w:val="22"/>
      </w:rPr>
      <w:tcPr>
        <w:tcBorders>
          <w:top w:val="single" w:color="9BC2E5" w:themeColor="accent5" w:themeTint="9A" w:sz="4" w:space="0"/>
          <w:bottom w:val="single" w:color="9BC2E5" w:themeColor="accent5" w:themeTint="9A" w:sz="4" w:space="0"/>
        </w:tcBorders>
      </w:tcPr>
    </w:tblStylePr>
    <w:tblStylePr w:type="band1Vert">
      <w:rPr>
        <w:rFonts w:ascii="Arial" w:hAnsi="Arial"/>
        <w:color w:val="404040"/>
        <w:sz w:val="22"/>
      </w:rPr>
      <w:tcPr>
        <w:tcBorders>
          <w:left w:val="single" w:color="9BC2E5" w:themeColor="accent5" w:themeTint="9A" w:sz="4" w:space="0"/>
          <w:right w:val="single" w:color="9BC2E5" w:themeColor="accent5" w:themeTint="9A" w:sz="4" w:space="0"/>
        </w:tcBorders>
      </w:tcPr>
    </w:tblStylePr>
    <w:tblStylePr w:type="firstCol">
      <w:rPr>
        <w:b/>
        <w:color w:val="404040"/>
      </w:rPr>
    </w:tblStylePr>
    <w:tblStylePr w:type="firstRow">
      <w:rPr>
        <w:rFonts w:ascii="Arial" w:hAnsi="Arial"/>
        <w:b/>
        <w:color w:val="ffffff"/>
        <w:sz w:val="22"/>
      </w:rPr>
      <w:tcPr>
        <w:shd w:val="clear" w:color="9bc2e5" w:themeColor="accent5" w:themeTint="9A" w:fill="9bc2e5" w:themeFill="accent5" w:themeFillTint="9A"/>
      </w:tcPr>
    </w:tblStylePr>
    <w:tblStylePr w:type="lastCol">
      <w:rPr>
        <w:b/>
        <w:color w:val="404040"/>
      </w:rPr>
    </w:tblStylePr>
    <w:tblStylePr w:type="lastRow">
      <w:rPr>
        <w:b/>
        <w:color w:val="404040"/>
      </w:rPr>
    </w:tblStylePr>
  </w:style>
  <w:style w:type="table" w:styleId="832" w:customStyle="1">
    <w:name w:val="List Table 3 - Accent 6"/>
    <w:basedOn w:val="708"/>
    <w:uiPriority w:val="99"/>
    <w:qFormat/>
    <w:pPr>
      <w:spacing w:after="0" w:line="240" w:lineRule="auto"/>
    </w:pPr>
    <w:tblPr>
      <w:tblBorders>
        <w:top w:val="single" w:color="A9D08E" w:themeColor="accent6" w:themeTint="98" w:sz="4" w:space="0"/>
        <w:left w:val="single" w:color="A9D08E" w:themeColor="accent6" w:themeTint="98" w:sz="4" w:space="0"/>
        <w:bottom w:val="single" w:color="A9D08E" w:themeColor="accent6" w:themeTint="98" w:sz="4" w:space="0"/>
        <w:right w:val="single" w:color="A9D08E" w:themeColor="accent6" w:themeTint="98" w:sz="4" w:space="0"/>
      </w:tblBorders>
    </w:tblPr>
    <w:tblStylePr w:type="band1Horz">
      <w:rPr>
        <w:rFonts w:ascii="Arial" w:hAnsi="Arial"/>
        <w:color w:val="404040"/>
        <w:sz w:val="22"/>
      </w:rPr>
      <w:tcPr>
        <w:tcBorders>
          <w:top w:val="single" w:color="A9D08E" w:themeColor="accent6" w:themeTint="98" w:sz="4" w:space="0"/>
          <w:bottom w:val="single" w:color="A9D08E" w:themeColor="accent6" w:themeTint="98" w:sz="4" w:space="0"/>
        </w:tcBorders>
      </w:tcPr>
    </w:tblStylePr>
    <w:tblStylePr w:type="band1Vert">
      <w:rPr>
        <w:rFonts w:ascii="Arial" w:hAnsi="Arial"/>
        <w:color w:val="404040"/>
        <w:sz w:val="22"/>
      </w:rPr>
      <w:tcPr>
        <w:tcBorders>
          <w:left w:val="single" w:color="A9D08E" w:themeColor="accent6" w:themeTint="98" w:sz="4" w:space="0"/>
          <w:right w:val="single" w:color="A9D08E" w:themeColor="accent6" w:themeTint="98" w:sz="4" w:space="0"/>
        </w:tcBorders>
      </w:tcPr>
    </w:tblStylePr>
    <w:tblStylePr w:type="firstCol">
      <w:rPr>
        <w:b/>
        <w:color w:val="404040"/>
      </w:rPr>
    </w:tblStylePr>
    <w:tblStylePr w:type="firstRow">
      <w:rPr>
        <w:rFonts w:ascii="Arial" w:hAnsi="Arial"/>
        <w:b/>
        <w:color w:val="ffffff"/>
        <w:sz w:val="22"/>
      </w:rPr>
      <w:tcPr>
        <w:shd w:val="clear" w:color="a9d08e" w:themeColor="accent6" w:themeTint="98" w:fill="a9d08e" w:themeFill="accent6" w:themeFillTint="98"/>
      </w:tcPr>
    </w:tblStylePr>
    <w:tblStylePr w:type="lastCol">
      <w:rPr>
        <w:b/>
        <w:color w:val="404040"/>
      </w:rPr>
    </w:tblStylePr>
    <w:tblStylePr w:type="lastRow">
      <w:rPr>
        <w:b/>
        <w:color w:val="404040"/>
      </w:rPr>
    </w:tblStylePr>
  </w:style>
  <w:style w:type="table" w:styleId="833" w:customStyle="1">
    <w:name w:val="List Table 4"/>
    <w:basedOn w:val="708"/>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34" w:customStyle="1">
    <w:name w:val="List Table 4 - Accent 1"/>
    <w:basedOn w:val="708"/>
    <w:uiPriority w:val="99"/>
    <w:qFormat/>
    <w:pPr>
      <w:spacing w:after="0" w:line="240" w:lineRule="auto"/>
    </w:pPr>
    <w:tblPr>
      <w:tblBorders>
        <w:top w:val="single" w:color="95AFDD" w:themeColor="accent1" w:themeTint="90" w:sz="4" w:space="0"/>
        <w:left w:val="single" w:color="95AFDD" w:themeColor="accent1" w:themeTint="90" w:sz="4" w:space="0"/>
        <w:bottom w:val="single" w:color="95AFDD" w:themeColor="accent1" w:themeTint="90" w:sz="4" w:space="0"/>
        <w:right w:val="single" w:color="95AFDD" w:themeColor="accent1" w:themeTint="90" w:sz="4" w:space="0"/>
        <w:insideH w:val="single" w:color="95AFDD" w:themeColor="accent1" w:themeTint="90" w:sz="4" w:space="0"/>
      </w:tblBorders>
    </w:tblPr>
    <w:tblStylePr w:type="band1Horz">
      <w:rPr>
        <w:rFonts w:ascii="Arial" w:hAnsi="Arial"/>
        <w:color w:val="404040"/>
        <w:sz w:val="22"/>
      </w:rPr>
      <w:tcPr>
        <w:shd w:val="clear" w:color="d0dbf0" w:themeColor="accent1" w:themeTint="40" w:fill="d0dbf0" w:themeFill="accent1" w:themeFillTint="40"/>
      </w:tcPr>
    </w:tblStylePr>
    <w:tblStylePr w:type="band1Vert">
      <w:rPr>
        <w:rFonts w:ascii="Arial" w:hAnsi="Arial"/>
        <w:color w:val="404040"/>
        <w:sz w:val="22"/>
      </w:rPr>
      <w:tcPr>
        <w:shd w:val="clear" w:color="d0dbf0" w:themeColor="accent1" w:themeTint="40" w:fill="d0dbf0" w:themeFill="accent1" w:themeFillTint="40"/>
      </w:tcPr>
    </w:tblStylePr>
    <w:tblStylePr w:type="firstCol">
      <w:rPr>
        <w:b/>
        <w:color w:val="404040"/>
      </w:rPr>
    </w:tblStylePr>
    <w:tblStylePr w:type="firstRow">
      <w:rPr>
        <w:rFonts w:ascii="Arial" w:hAnsi="Arial"/>
        <w:b/>
        <w:color w:val="ffffff"/>
        <w:sz w:val="22"/>
      </w:rPr>
      <w:tcPr>
        <w:shd w:val="clear" w:color="4472c4" w:themeColor="accent1" w:fill="4472c4" w:themeFill="accent1"/>
      </w:tcPr>
    </w:tblStylePr>
    <w:tblStylePr w:type="lastCol">
      <w:rPr>
        <w:b/>
        <w:color w:val="404040"/>
      </w:rPr>
    </w:tblStylePr>
    <w:tblStylePr w:type="lastRow">
      <w:rPr>
        <w:b/>
        <w:color w:val="404040"/>
      </w:rPr>
    </w:tblStylePr>
  </w:style>
  <w:style w:type="table" w:styleId="835" w:customStyle="1">
    <w:name w:val="List Table 4 - Accent 2"/>
    <w:basedOn w:val="708"/>
    <w:uiPriority w:val="99"/>
    <w:qFormat/>
    <w:pPr>
      <w:spacing w:after="0" w:line="240" w:lineRule="auto"/>
    </w:pPr>
    <w:tblPr>
      <w:tblBorders>
        <w:top w:val="single" w:color="F4B58A" w:themeColor="accent2" w:themeTint="90" w:sz="4" w:space="0"/>
        <w:left w:val="single" w:color="F4B58A" w:themeColor="accent2" w:themeTint="90" w:sz="4" w:space="0"/>
        <w:bottom w:val="single" w:color="F4B58A" w:themeColor="accent2" w:themeTint="90" w:sz="4" w:space="0"/>
        <w:right w:val="single" w:color="F4B58A" w:themeColor="accent2" w:themeTint="90" w:sz="4" w:space="0"/>
        <w:insideH w:val="single" w:color="F4B58A" w:themeColor="accent2" w:themeTint="90" w:sz="4" w:space="0"/>
      </w:tblBorders>
    </w:tblPr>
    <w:tblStylePr w:type="band1Horz">
      <w:rPr>
        <w:rFonts w:ascii="Arial" w:hAnsi="Arial"/>
        <w:color w:val="404040"/>
        <w:sz w:val="22"/>
      </w:rPr>
      <w:tcPr>
        <w:shd w:val="clear" w:color="fadecb" w:themeColor="accent2" w:themeTint="40" w:fill="fadecb" w:themeFill="accent2" w:themeFillTint="40"/>
      </w:tcPr>
    </w:tblStylePr>
    <w:tblStylePr w:type="band1Vert">
      <w:rPr>
        <w:rFonts w:ascii="Arial" w:hAnsi="Arial"/>
        <w:color w:val="404040"/>
        <w:sz w:val="22"/>
      </w:rPr>
      <w:tcPr>
        <w:shd w:val="clear" w:color="fadecb"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ed7d31" w:themeColor="accent2" w:fill="ed7d31" w:themeFill="accent2"/>
      </w:tcPr>
    </w:tblStylePr>
    <w:tblStylePr w:type="lastCol">
      <w:rPr>
        <w:b/>
        <w:color w:val="404040"/>
      </w:rPr>
    </w:tblStylePr>
    <w:tblStylePr w:type="lastRow">
      <w:rPr>
        <w:b/>
        <w:color w:val="404040"/>
      </w:rPr>
    </w:tblStylePr>
  </w:style>
  <w:style w:type="table" w:styleId="836" w:customStyle="1">
    <w:name w:val="List Table 4 - Accent 3"/>
    <w:basedOn w:val="708"/>
    <w:uiPriority w:val="99"/>
    <w:qFormat/>
    <w:pPr>
      <w:spacing w:after="0" w:line="240" w:lineRule="auto"/>
    </w:pPr>
    <w:tblPr>
      <w:tblBorders>
        <w:top w:val="single" w:color="CCCCCC" w:themeColor="accent3" w:themeTint="90" w:sz="4" w:space="0"/>
        <w:left w:val="single" w:color="CCCCCC" w:themeColor="accent3" w:themeTint="90" w:sz="4" w:space="0"/>
        <w:bottom w:val="single" w:color="CCCCCC" w:themeColor="accent3" w:themeTint="90" w:sz="4" w:space="0"/>
        <w:right w:val="single" w:color="CCCCCC" w:themeColor="accent3" w:themeTint="90" w:sz="4" w:space="0"/>
        <w:insideH w:val="single" w:color="CCCCCC" w:themeColor="accent3" w:themeTint="90" w:sz="4" w:space="0"/>
      </w:tblBorders>
    </w:tblPr>
    <w:tblStylePr w:type="band1Horz">
      <w:rPr>
        <w:rFonts w:ascii="Arial" w:hAnsi="Arial"/>
        <w:color w:val="404040"/>
        <w:sz w:val="22"/>
      </w:rPr>
      <w:tcPr>
        <w:shd w:val="clear" w:color="e8e8e8" w:themeColor="accent3" w:themeTint="40" w:fill="e8e8e8" w:themeFill="accent3" w:themeFillTint="40"/>
      </w:tcPr>
    </w:tblStylePr>
    <w:tblStylePr w:type="band1Vert">
      <w:rPr>
        <w:rFonts w:ascii="Arial" w:hAnsi="Arial"/>
        <w:color w:val="404040"/>
        <w:sz w:val="22"/>
      </w:rPr>
      <w:tcPr>
        <w:shd w:val="clear" w:color="e8e8e8"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a5a5a5" w:themeColor="accent3" w:fill="a5a5a5" w:themeFill="accent3"/>
      </w:tcPr>
    </w:tblStylePr>
    <w:tblStylePr w:type="lastCol">
      <w:rPr>
        <w:b/>
        <w:color w:val="404040"/>
      </w:rPr>
    </w:tblStylePr>
    <w:tblStylePr w:type="lastRow">
      <w:rPr>
        <w:b/>
        <w:color w:val="404040"/>
      </w:rPr>
    </w:tblStylePr>
  </w:style>
  <w:style w:type="table" w:styleId="837" w:customStyle="1">
    <w:name w:val="List Table 4 - Accent 4"/>
    <w:basedOn w:val="708"/>
    <w:uiPriority w:val="99"/>
    <w:qFormat/>
    <w:pPr>
      <w:spacing w:after="0" w:line="240" w:lineRule="auto"/>
    </w:pPr>
    <w:tblPr>
      <w:tblBorders>
        <w:top w:val="single" w:color="FFDB6E" w:themeColor="accent4" w:themeTint="90" w:sz="4" w:space="0"/>
        <w:left w:val="single" w:color="FFDB6E" w:themeColor="accent4" w:themeTint="90" w:sz="4" w:space="0"/>
        <w:bottom w:val="single" w:color="FFDB6E" w:themeColor="accent4" w:themeTint="90" w:sz="4" w:space="0"/>
        <w:right w:val="single" w:color="FFDB6E" w:themeColor="accent4" w:themeTint="90" w:sz="4" w:space="0"/>
        <w:insideH w:val="single" w:color="FFDB6E" w:themeColor="accent4" w:themeTint="90" w:sz="4" w:space="0"/>
      </w:tblBorders>
    </w:tblPr>
    <w:tblStylePr w:type="band1Horz">
      <w:rPr>
        <w:rFonts w:ascii="Arial" w:hAnsi="Arial"/>
        <w:color w:val="404040"/>
        <w:sz w:val="22"/>
      </w:rPr>
      <w:tcPr>
        <w:shd w:val="clear" w:color="ffefbe" w:themeColor="accent4" w:themeTint="40" w:fill="ffefbe" w:themeFill="accent4" w:themeFillTint="40"/>
      </w:tcPr>
    </w:tblStylePr>
    <w:tblStylePr w:type="band1Vert">
      <w:rPr>
        <w:rFonts w:ascii="Arial" w:hAnsi="Arial"/>
        <w:color w:val="404040"/>
        <w:sz w:val="22"/>
      </w:rPr>
      <w:tcPr>
        <w:shd w:val="clear" w:color="ffefbe" w:themeColor="accent4" w:themeTint="40" w:fill="ffefbe" w:themeFill="accent4" w:themeFillTint="40"/>
      </w:tcPr>
    </w:tblStylePr>
    <w:tblStylePr w:type="firstCol">
      <w:rPr>
        <w:b/>
        <w:color w:val="404040"/>
      </w:rPr>
    </w:tblStylePr>
    <w:tblStylePr w:type="firstRow">
      <w:rPr>
        <w:rFonts w:ascii="Arial" w:hAnsi="Arial"/>
        <w:b/>
        <w:color w:val="ffffff"/>
        <w:sz w:val="22"/>
      </w:rPr>
      <w:tcPr>
        <w:shd w:val="clear" w:color="ffc000" w:themeColor="accent4" w:fill="ffc000" w:themeFill="accent4"/>
      </w:tcPr>
    </w:tblStylePr>
    <w:tblStylePr w:type="lastCol">
      <w:rPr>
        <w:b/>
        <w:color w:val="404040"/>
      </w:rPr>
    </w:tblStylePr>
    <w:tblStylePr w:type="lastRow">
      <w:rPr>
        <w:b/>
        <w:color w:val="404040"/>
      </w:rPr>
    </w:tblStylePr>
  </w:style>
  <w:style w:type="table" w:styleId="838" w:customStyle="1">
    <w:name w:val="List Table 4 - Accent 5"/>
    <w:basedOn w:val="708"/>
    <w:uiPriority w:val="99"/>
    <w:qFormat/>
    <w:pPr>
      <w:spacing w:after="0" w:line="240" w:lineRule="auto"/>
    </w:pPr>
    <w:tblPr>
      <w:tblBorders>
        <w:top w:val="single" w:color="A2C6E7" w:themeColor="accent5" w:themeTint="90" w:sz="4" w:space="0"/>
        <w:left w:val="single" w:color="A2C6E7" w:themeColor="accent5" w:themeTint="90" w:sz="4" w:space="0"/>
        <w:bottom w:val="single" w:color="A2C6E7" w:themeColor="accent5" w:themeTint="90" w:sz="4" w:space="0"/>
        <w:right w:val="single" w:color="A2C6E7" w:themeColor="accent5" w:themeTint="90" w:sz="4" w:space="0"/>
        <w:insideH w:val="single" w:color="A2C6E7" w:themeColor="accent5" w:themeTint="90" w:sz="4" w:space="0"/>
      </w:tblBorders>
    </w:tblPr>
    <w:tblStylePr w:type="band1Horz">
      <w:rPr>
        <w:rFonts w:ascii="Arial" w:hAnsi="Arial"/>
        <w:color w:val="404040"/>
        <w:sz w:val="22"/>
      </w:rPr>
      <w:tcPr>
        <w:shd w:val="clear" w:color="d5e5f4" w:themeColor="accent5" w:themeTint="40" w:fill="d5e5f4" w:themeFill="accent5" w:themeFillTint="40"/>
      </w:tcPr>
    </w:tblStylePr>
    <w:tblStylePr w:type="band1Vert">
      <w:rPr>
        <w:rFonts w:ascii="Arial" w:hAnsi="Arial"/>
        <w:color w:val="404040"/>
        <w:sz w:val="22"/>
      </w:rPr>
      <w:tcPr>
        <w:shd w:val="clear" w:color="d5e5f4" w:themeColor="accent5" w:themeTint="40" w:fill="d5e5f4" w:themeFill="accent5" w:themeFillTint="40"/>
      </w:tcPr>
    </w:tblStylePr>
    <w:tblStylePr w:type="firstCol">
      <w:rPr>
        <w:b/>
        <w:color w:val="404040"/>
      </w:rPr>
    </w:tblStylePr>
    <w:tblStylePr w:type="firstRow">
      <w:rPr>
        <w:rFonts w:ascii="Arial" w:hAnsi="Arial"/>
        <w:b/>
        <w:color w:val="ffffff"/>
        <w:sz w:val="22"/>
      </w:rPr>
      <w:tcPr>
        <w:shd w:val="clear" w:color="5b9bd5" w:themeColor="accent5" w:fill="5b9bd5" w:themeFill="accent5"/>
      </w:tcPr>
    </w:tblStylePr>
    <w:tblStylePr w:type="lastCol">
      <w:rPr>
        <w:b/>
        <w:color w:val="404040"/>
      </w:rPr>
    </w:tblStylePr>
    <w:tblStylePr w:type="lastRow">
      <w:rPr>
        <w:b/>
        <w:color w:val="404040"/>
      </w:rPr>
    </w:tblStylePr>
  </w:style>
  <w:style w:type="table" w:styleId="839" w:customStyle="1">
    <w:name w:val="List Table 4 - Accent 6"/>
    <w:basedOn w:val="708"/>
    <w:uiPriority w:val="99"/>
    <w:qFormat/>
    <w:pPr>
      <w:spacing w:after="0" w:line="240" w:lineRule="auto"/>
    </w:pPr>
    <w:tblPr>
      <w:tblBorders>
        <w:top w:val="single" w:color="ADD394" w:themeColor="accent6" w:themeTint="90" w:sz="4" w:space="0"/>
        <w:left w:val="single" w:color="ADD394" w:themeColor="accent6" w:themeTint="90" w:sz="4" w:space="0"/>
        <w:bottom w:val="single" w:color="ADD394" w:themeColor="accent6" w:themeTint="90" w:sz="4" w:space="0"/>
        <w:right w:val="single" w:color="ADD394" w:themeColor="accent6" w:themeTint="90" w:sz="4" w:space="0"/>
        <w:insideH w:val="single" w:color="ADD394" w:themeColor="accent6" w:themeTint="90" w:sz="4" w:space="0"/>
      </w:tblBorders>
    </w:tblPr>
    <w:tblStylePr w:type="band1Horz">
      <w:rPr>
        <w:rFonts w:ascii="Arial" w:hAnsi="Arial"/>
        <w:color w:val="404040"/>
        <w:sz w:val="22"/>
      </w:rPr>
      <w:tcPr>
        <w:shd w:val="clear" w:color="daebcf" w:themeColor="accent6" w:themeTint="40" w:fill="daebcf" w:themeFill="accent6" w:themeFillTint="40"/>
      </w:tcPr>
    </w:tblStylePr>
    <w:tblStylePr w:type="band1Vert">
      <w:rPr>
        <w:rFonts w:ascii="Arial" w:hAnsi="Arial"/>
        <w:color w:val="404040"/>
        <w:sz w:val="22"/>
      </w:rPr>
      <w:tcPr>
        <w:shd w:val="clear" w:color="daebcf" w:themeColor="accent6" w:themeTint="40" w:fill="daebcf" w:themeFill="accent6" w:themeFillTint="40"/>
      </w:tcPr>
    </w:tblStylePr>
    <w:tblStylePr w:type="firstCol">
      <w:rPr>
        <w:b/>
        <w:color w:val="404040"/>
      </w:rPr>
    </w:tblStylePr>
    <w:tblStylePr w:type="firstRow">
      <w:rPr>
        <w:rFonts w:ascii="Arial" w:hAnsi="Arial"/>
        <w:b/>
        <w:color w:val="ffffff"/>
        <w:sz w:val="22"/>
      </w:rPr>
      <w:tcPr>
        <w:shd w:val="clear" w:color="70ad47" w:themeColor="accent6" w:fill="70ad47" w:themeFill="accent6"/>
      </w:tcPr>
    </w:tblStylePr>
    <w:tblStylePr w:type="lastCol">
      <w:rPr>
        <w:b/>
        <w:color w:val="404040"/>
      </w:rPr>
    </w:tblStylePr>
    <w:tblStylePr w:type="lastRow">
      <w:rPr>
        <w:b/>
        <w:color w:val="404040"/>
      </w:rPr>
    </w:tblStylePr>
  </w:style>
  <w:style w:type="table" w:styleId="840" w:customStyle="1">
    <w:name w:val="List Table 5 Dark"/>
    <w:basedOn w:val="708"/>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1" w:customStyle="1">
    <w:name w:val="List Table 5 Dark - Accent 1"/>
    <w:basedOn w:val="708"/>
    <w:uiPriority w:val="99"/>
    <w:qFormat/>
    <w:pPr>
      <w:spacing w:after="0" w:line="240" w:lineRule="auto"/>
    </w:pPr>
    <w:tblPr>
      <w:tblBorders>
        <w:top w:val="single" w:color="4472C4" w:themeColor="accent1" w:sz="32" w:space="0"/>
        <w:left w:val="single" w:color="4472C4" w:themeColor="accent1" w:sz="32" w:space="0"/>
        <w:bottom w:val="single" w:color="4472C4" w:themeColor="accent1" w:sz="32" w:space="0"/>
        <w:right w:val="single" w:color="4472C4" w:themeColor="accent1" w:sz="32" w:space="0"/>
      </w:tblBorders>
    </w:tblPr>
    <w:tblStylePr w:type="band1Horz">
      <w:tcPr>
        <w:shd w:val="clear" w:color="4472c4" w:themeColor="accent1" w:fill="4472c4" w:themeFill="accent1"/>
        <w:tcBorders>
          <w:top w:val="single" w:color="FFFFFF" w:themeColor="light1" w:sz="4" w:space="0"/>
          <w:bottom w:val="single" w:color="FFFFFF" w:themeColor="light1" w:sz="4" w:space="0"/>
        </w:tcBorders>
      </w:tcPr>
    </w:tblStylePr>
    <w:tblStylePr w:type="band1Vert">
      <w:tcPr>
        <w:shd w:val="clear" w:color="4472c4" w:themeColor="accent1" w:fill="4472c4" w:themeFill="accent1"/>
        <w:tcBorders>
          <w:left w:val="single" w:color="FFFFFF" w:themeColor="light1" w:sz="4" w:space="0"/>
          <w:right w:val="single" w:color="FFFFFF" w:themeColor="light1" w:sz="4" w:space="0"/>
        </w:tcBorders>
      </w:tcPr>
    </w:tblStylePr>
    <w:tblStylePr w:type="band2Horz">
      <w:tcPr>
        <w:shd w:val="clear" w:color="4472c4" w:themeColor="accent1" w:fill="4472c4"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472C4"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472c4" w:themeColor="accent1" w:fill="4472c4" w:themeFill="accent1"/>
        <w:tcBorders>
          <w:top w:val="single" w:color="4472C4" w:themeColor="accent1" w:sz="32" w:space="0"/>
          <w:bottom w:val="single" w:color="FFFFFF" w:themeColor="light1" w:sz="12" w:space="0"/>
        </w:tcBorders>
      </w:tcPr>
    </w:tblStylePr>
    <w:tblStylePr w:type="lastCol">
      <w:tcPr>
        <w:tcBorders>
          <w:left w:val="single" w:color="FFFFFF" w:themeColor="light1" w:sz="4" w:space="0"/>
          <w:right w:val="single" w:color="4472C4"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2" w:customStyle="1">
    <w:name w:val="List Table 5 Dark - Accent 2"/>
    <w:basedOn w:val="708"/>
    <w:uiPriority w:val="99"/>
    <w:qFormat/>
    <w:pPr>
      <w:spacing w:after="0" w:line="240" w:lineRule="auto"/>
    </w:pPr>
    <w:tblPr>
      <w:tblBorders>
        <w:top w:val="single" w:color="F4B285" w:themeColor="accent2" w:themeTint="97" w:sz="32" w:space="0"/>
        <w:left w:val="single" w:color="F4B285" w:themeColor="accent2" w:themeTint="97" w:sz="32" w:space="0"/>
        <w:bottom w:val="single" w:color="F4B285" w:themeColor="accent2" w:themeTint="97" w:sz="32" w:space="0"/>
        <w:right w:val="single" w:color="F4B285" w:themeColor="accent2" w:themeTint="97" w:sz="32" w:space="0"/>
      </w:tblBorders>
    </w:tblPr>
    <w:tblStylePr w:type="band1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1Vert">
      <w:tcPr>
        <w:shd w:val="clear" w:color="f4b285" w:themeColor="accent2" w:themeTint="97" w:fill="f4b285" w:themeFill="accent2" w:themeFillTint="97"/>
        <w:tcBorders>
          <w:left w:val="single" w:color="FFFFFF" w:themeColor="light1" w:sz="4" w:space="0"/>
          <w:right w:val="single" w:color="FFFFFF" w:themeColor="light1" w:sz="4" w:space="0"/>
        </w:tcBorders>
      </w:tcPr>
    </w:tblStylePr>
    <w:tblStylePr w:type="band2Horz">
      <w:tcPr>
        <w:shd w:val="clear" w:color="f4b285" w:themeColor="accent2" w:themeTint="97" w:fill="f4b28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28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285" w:themeColor="accent2" w:themeTint="97" w:fill="f4b285" w:themeFill="accent2" w:themeFillTint="97"/>
        <w:tcBorders>
          <w:top w:val="single" w:color="F4B285" w:themeColor="accent2" w:themeTint="97" w:sz="32" w:space="0"/>
          <w:bottom w:val="single" w:color="FFFFFF" w:themeColor="light1" w:sz="12" w:space="0"/>
        </w:tcBorders>
      </w:tcPr>
    </w:tblStylePr>
    <w:tblStylePr w:type="lastCol">
      <w:tcPr>
        <w:tcBorders>
          <w:left w:val="single" w:color="FFFFFF" w:themeColor="light1" w:sz="4" w:space="0"/>
          <w:right w:val="single" w:color="F4B28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3" w:customStyle="1">
    <w:name w:val="List Table 5 Dark - Accent 3"/>
    <w:basedOn w:val="708"/>
    <w:uiPriority w:val="99"/>
    <w:qFormat/>
    <w:pPr>
      <w:spacing w:after="0" w:line="240" w:lineRule="auto"/>
    </w:pPr>
    <w:tblPr>
      <w:tblBorders>
        <w:top w:val="single" w:color="C9C9C9" w:themeColor="accent3" w:themeTint="98" w:sz="32" w:space="0"/>
        <w:left w:val="single" w:color="C9C9C9" w:themeColor="accent3" w:themeTint="98" w:sz="32" w:space="0"/>
        <w:bottom w:val="single" w:color="C9C9C9" w:themeColor="accent3" w:themeTint="98" w:sz="32" w:space="0"/>
        <w:right w:val="single" w:color="C9C9C9" w:themeColor="accent3" w:themeTint="98" w:sz="32" w:space="0"/>
      </w:tblBorders>
    </w:tblPr>
    <w:tblStylePr w:type="band1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1Vert">
      <w:tcPr>
        <w:shd w:val="clear" w:color="c9c9c9" w:themeColor="accent3" w:themeTint="98" w:fill="c9c9c9" w:themeFill="accent3" w:themeFillTint="98"/>
        <w:tcBorders>
          <w:left w:val="single" w:color="FFFFFF" w:themeColor="light1" w:sz="4" w:space="0"/>
          <w:right w:val="single" w:color="FFFFFF" w:themeColor="light1" w:sz="4" w:space="0"/>
        </w:tcBorders>
      </w:tcPr>
    </w:tblStylePr>
    <w:tblStylePr w:type="band2Horz">
      <w:tcPr>
        <w:shd w:val="clear" w:color="c9c9c9" w:themeColor="accent3" w:themeTint="98" w:fill="c9c9c9"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9C9C9"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9c9c9" w:themeColor="accent3" w:themeTint="98" w:fill="c9c9c9" w:themeFill="accent3" w:themeFillTint="98"/>
        <w:tcBorders>
          <w:top w:val="single" w:color="C9C9C9" w:themeColor="accent3" w:themeTint="98" w:sz="32" w:space="0"/>
          <w:bottom w:val="single" w:color="FFFFFF" w:themeColor="light1" w:sz="12" w:space="0"/>
        </w:tcBorders>
      </w:tcPr>
    </w:tblStylePr>
    <w:tblStylePr w:type="lastCol">
      <w:tcPr>
        <w:tcBorders>
          <w:left w:val="single" w:color="FFFFFF" w:themeColor="light1" w:sz="4" w:space="0"/>
          <w:right w:val="single" w:color="C9C9C9"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4" w:customStyle="1">
    <w:name w:val="List Table 5 Dark - Accent 4"/>
    <w:basedOn w:val="708"/>
    <w:uiPriority w:val="99"/>
    <w:qFormat/>
    <w:pPr>
      <w:spacing w:after="0" w:line="240" w:lineRule="auto"/>
    </w:pPr>
    <w:tblPr>
      <w:tblBorders>
        <w:top w:val="single" w:color="FFD864" w:themeColor="accent4" w:themeTint="9A" w:sz="32" w:space="0"/>
        <w:left w:val="single" w:color="FFD864" w:themeColor="accent4" w:themeTint="9A" w:sz="32" w:space="0"/>
        <w:bottom w:val="single" w:color="FFD864" w:themeColor="accent4" w:themeTint="9A" w:sz="32" w:space="0"/>
        <w:right w:val="single" w:color="FFD864" w:themeColor="accent4" w:themeTint="9A" w:sz="32" w:space="0"/>
      </w:tblBorders>
    </w:tblPr>
    <w:tblStylePr w:type="band1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1Vert">
      <w:tcPr>
        <w:shd w:val="clear" w:color="ffd864" w:themeColor="accent4" w:themeTint="9A" w:fill="ffd864" w:themeFill="accent4" w:themeFillTint="9A"/>
        <w:tcBorders>
          <w:left w:val="single" w:color="FFFFFF" w:themeColor="light1" w:sz="4" w:space="0"/>
          <w:right w:val="single" w:color="FFFFFF" w:themeColor="light1" w:sz="4" w:space="0"/>
        </w:tcBorders>
      </w:tcPr>
    </w:tblStylePr>
    <w:tblStylePr w:type="band2Horz">
      <w:tcPr>
        <w:shd w:val="clear" w:color="ffd864" w:themeColor="accent4" w:themeTint="9A" w:fill="ffd864"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FD864"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fd864" w:themeColor="accent4" w:themeTint="9A" w:fill="ffd864" w:themeFill="accent4" w:themeFillTint="9A"/>
        <w:tcBorders>
          <w:top w:val="single" w:color="FFD864" w:themeColor="accent4" w:themeTint="9A" w:sz="32" w:space="0"/>
          <w:bottom w:val="single" w:color="FFFFFF" w:themeColor="light1" w:sz="12" w:space="0"/>
        </w:tcBorders>
      </w:tcPr>
    </w:tblStylePr>
    <w:tblStylePr w:type="lastCol">
      <w:tcPr>
        <w:tcBorders>
          <w:left w:val="single" w:color="FFFFFF" w:themeColor="light1" w:sz="4" w:space="0"/>
          <w:right w:val="single" w:color="FFD864"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5" w:customStyle="1">
    <w:name w:val="List Table 5 Dark - Accent 5"/>
    <w:basedOn w:val="708"/>
    <w:uiPriority w:val="99"/>
    <w:qFormat/>
    <w:pPr>
      <w:spacing w:after="0" w:line="240" w:lineRule="auto"/>
    </w:pPr>
    <w:tblPr>
      <w:tblBorders>
        <w:top w:val="single" w:color="9BC2E5" w:themeColor="accent5" w:themeTint="9A" w:sz="32" w:space="0"/>
        <w:left w:val="single" w:color="9BC2E5" w:themeColor="accent5" w:themeTint="9A" w:sz="32" w:space="0"/>
        <w:bottom w:val="single" w:color="9BC2E5" w:themeColor="accent5" w:themeTint="9A" w:sz="32" w:space="0"/>
        <w:right w:val="single" w:color="9BC2E5" w:themeColor="accent5" w:themeTint="9A" w:sz="32" w:space="0"/>
      </w:tblBorders>
    </w:tblPr>
    <w:tblStylePr w:type="band1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1Vert">
      <w:tcPr>
        <w:shd w:val="clear" w:color="9bc2e5" w:themeColor="accent5" w:themeTint="9A" w:fill="9bc2e5" w:themeFill="accent5" w:themeFillTint="9A"/>
        <w:tcBorders>
          <w:left w:val="single" w:color="FFFFFF" w:themeColor="light1" w:sz="4" w:space="0"/>
          <w:right w:val="single" w:color="FFFFFF" w:themeColor="light1" w:sz="4" w:space="0"/>
        </w:tcBorders>
      </w:tcPr>
    </w:tblStylePr>
    <w:tblStylePr w:type="band2Horz">
      <w:tcPr>
        <w:shd w:val="clear" w:color="9bc2e5" w:themeColor="accent5" w:themeTint="9A" w:fill="9bc2e5"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BC2E5"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bc2e5" w:themeColor="accent5" w:themeTint="9A" w:fill="9bc2e5" w:themeFill="accent5" w:themeFillTint="9A"/>
        <w:tcBorders>
          <w:top w:val="single" w:color="9BC2E5" w:themeColor="accent5" w:themeTint="9A" w:sz="32" w:space="0"/>
          <w:bottom w:val="single" w:color="FFFFFF" w:themeColor="light1" w:sz="12" w:space="0"/>
        </w:tcBorders>
      </w:tcPr>
    </w:tblStylePr>
    <w:tblStylePr w:type="lastCol">
      <w:tcPr>
        <w:tcBorders>
          <w:left w:val="single" w:color="FFFFFF" w:themeColor="light1" w:sz="4" w:space="0"/>
          <w:right w:val="single" w:color="9BC2E5"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6" w:customStyle="1">
    <w:name w:val="List Table 5 Dark - Accent 6"/>
    <w:basedOn w:val="708"/>
    <w:uiPriority w:val="99"/>
    <w:qFormat/>
    <w:pPr>
      <w:spacing w:after="0" w:line="240" w:lineRule="auto"/>
    </w:pPr>
    <w:tblPr>
      <w:tblBorders>
        <w:top w:val="single" w:color="A9D08E" w:themeColor="accent6" w:themeTint="98" w:sz="32" w:space="0"/>
        <w:left w:val="single" w:color="A9D08E" w:themeColor="accent6" w:themeTint="98" w:sz="32" w:space="0"/>
        <w:bottom w:val="single" w:color="A9D08E" w:themeColor="accent6" w:themeTint="98" w:sz="32" w:space="0"/>
        <w:right w:val="single" w:color="A9D08E" w:themeColor="accent6" w:themeTint="98" w:sz="32" w:space="0"/>
      </w:tblBorders>
    </w:tblPr>
    <w:tblStylePr w:type="band1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1Vert">
      <w:tcPr>
        <w:shd w:val="clear" w:color="a9d08e" w:themeColor="accent6" w:themeTint="98" w:fill="a9d08e" w:themeFill="accent6" w:themeFillTint="98"/>
        <w:tcBorders>
          <w:left w:val="single" w:color="FFFFFF" w:themeColor="light1" w:sz="4" w:space="0"/>
          <w:right w:val="single" w:color="FFFFFF" w:themeColor="light1" w:sz="4" w:space="0"/>
        </w:tcBorders>
      </w:tcPr>
    </w:tblStylePr>
    <w:tblStylePr w:type="band2Horz">
      <w:tcPr>
        <w:shd w:val="clear" w:color="a9d08e" w:themeColor="accent6" w:themeTint="98" w:fill="a9d08e"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9D08E"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9d08e" w:themeColor="accent6" w:themeTint="98" w:fill="a9d08e" w:themeFill="accent6" w:themeFillTint="98"/>
        <w:tcBorders>
          <w:top w:val="single" w:color="A9D08E" w:themeColor="accent6" w:themeTint="98" w:sz="32" w:space="0"/>
          <w:bottom w:val="single" w:color="FFFFFF" w:themeColor="light1" w:sz="12" w:space="0"/>
        </w:tcBorders>
      </w:tcPr>
    </w:tblStylePr>
    <w:tblStylePr w:type="lastCol">
      <w:tcPr>
        <w:tcBorders>
          <w:left w:val="single" w:color="FFFFFF" w:themeColor="light1" w:sz="4" w:space="0"/>
          <w:right w:val="single" w:color="A9D08E"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47" w:customStyle="1">
    <w:name w:val="List Table 6 Colorful"/>
    <w:basedOn w:val="708"/>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48" w:customStyle="1">
    <w:name w:val="List Table 6 Colorful - Accent 1"/>
    <w:basedOn w:val="708"/>
    <w:uiPriority w:val="99"/>
    <w:qFormat/>
    <w:pPr>
      <w:spacing w:after="0" w:line="240" w:lineRule="auto"/>
    </w:pPr>
    <w:tblPr>
      <w:tblBorders>
        <w:top w:val="single" w:color="4472C4" w:themeColor="accent1" w:sz="4" w:space="0"/>
        <w:bottom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b/>
        <w:color w:val="254174" w:themeColor="accent1" w:themeShade="94"/>
      </w:rPr>
    </w:tblStylePr>
    <w:tblStylePr w:type="firstRow">
      <w:rPr>
        <w:b/>
        <w:color w:val="254174" w:themeColor="accent1" w:themeShade="94"/>
      </w:rPr>
      <w:tcPr>
        <w:tcBorders>
          <w:bottom w:val="single" w:color="4472C4" w:themeColor="accent1" w:sz="4" w:space="0"/>
        </w:tcBorders>
      </w:tcPr>
    </w:tblStylePr>
    <w:tblStylePr w:type="lastCol">
      <w:rPr>
        <w:b/>
        <w:color w:val="254174" w:themeColor="accent1" w:themeShade="94"/>
      </w:rPr>
    </w:tblStylePr>
    <w:tblStylePr w:type="lastRow">
      <w:rPr>
        <w:b/>
        <w:color w:val="254174" w:themeColor="accent1" w:themeShade="94"/>
      </w:rPr>
      <w:tcPr>
        <w:tcBorders>
          <w:top w:val="single" w:color="4472C4" w:themeColor="accent1" w:sz="4" w:space="0"/>
        </w:tcBorders>
      </w:tcPr>
    </w:tblStylePr>
  </w:style>
  <w:style w:type="table" w:styleId="849" w:customStyle="1">
    <w:name w:val="List Table 6 Colorful - Accent 2"/>
    <w:basedOn w:val="708"/>
    <w:uiPriority w:val="99"/>
    <w:qFormat/>
    <w:pPr>
      <w:spacing w:after="0" w:line="240" w:lineRule="auto"/>
    </w:pPr>
    <w:tblPr>
      <w:tblBorders>
        <w:top w:val="single" w:color="F4B285" w:themeColor="accent2" w:themeTint="97" w:sz="4" w:space="0"/>
        <w:bottom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b/>
        <w:color w:val="f4b285" w:themeColor="accent2" w:themeTint="96"/>
        <w14:textFill>
          <w14:solidFill>
            <w14:schemeClr w14:val="accent2">
              <w14:lumMod w14:val="59000"/>
              <w14:lumOff w14:val="41000"/>
            </w14:schemeClr>
          </w14:solidFill>
        </w14:textFill>
      </w:rPr>
    </w:tblStylePr>
    <w:tblStylePr w:type="firstRow">
      <w:rPr>
        <w:b/>
        <w:color w:val="f4b285" w:themeColor="accent2" w:themeTint="96"/>
        <w14:textFill>
          <w14:solidFill>
            <w14:schemeClr w14:val="accent2">
              <w14:lumMod w14:val="59000"/>
              <w14:lumOff w14:val="41000"/>
            </w14:schemeClr>
          </w14:solidFill>
        </w14:textFill>
      </w:rPr>
      <w:tcPr>
        <w:tcBorders>
          <w:bottom w:val="single" w:color="F4B285" w:themeColor="accent2" w:themeTint="97" w:sz="4" w:space="0"/>
        </w:tcBorders>
      </w:tcPr>
    </w:tblStylePr>
    <w:tblStylePr w:type="lastCol">
      <w:rPr>
        <w:b/>
        <w:color w:val="f4b285" w:themeColor="accent2" w:themeTint="96"/>
        <w14:textFill>
          <w14:solidFill>
            <w14:schemeClr w14:val="accent2">
              <w14:lumMod w14:val="59000"/>
              <w14:lumOff w14:val="41000"/>
            </w14:schemeClr>
          </w14:solidFill>
        </w14:textFill>
      </w:rPr>
    </w:tblStylePr>
    <w:tblStylePr w:type="lastRow">
      <w:rPr>
        <w:b/>
        <w:color w:val="f4b285" w:themeColor="accent2" w:themeTint="96"/>
        <w14:textFill>
          <w14:solidFill>
            <w14:schemeClr w14:val="accent2">
              <w14:lumMod w14:val="59000"/>
              <w14:lumOff w14:val="41000"/>
            </w14:schemeClr>
          </w14:solidFill>
        </w14:textFill>
      </w:rPr>
      <w:tcPr>
        <w:tcBorders>
          <w:top w:val="single" w:color="F4B285" w:themeColor="accent2" w:themeTint="97" w:sz="4" w:space="0"/>
        </w:tcBorders>
      </w:tcPr>
    </w:tblStylePr>
  </w:style>
  <w:style w:type="table" w:styleId="850" w:customStyle="1">
    <w:name w:val="List Table 6 Colorful - Accent 3"/>
    <w:basedOn w:val="708"/>
    <w:uiPriority w:val="99"/>
    <w:qFormat/>
    <w:pPr>
      <w:spacing w:after="0" w:line="240" w:lineRule="auto"/>
    </w:pPr>
    <w:tblPr>
      <w:tblBorders>
        <w:top w:val="single" w:color="C9C9C9" w:themeColor="accent3" w:themeTint="98" w:sz="4" w:space="0"/>
        <w:bottom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b/>
        <w:color w:val="c9c9c9" w:themeColor="accent3" w:themeTint="99"/>
        <w14:textFill>
          <w14:solidFill>
            <w14:schemeClr w14:val="accent3">
              <w14:lumMod w14:val="60000"/>
              <w14:lumOff w14:val="40000"/>
            </w14:schemeClr>
          </w14:solidFill>
        </w14:textFill>
      </w:rPr>
    </w:tblStylePr>
    <w:tblStylePr w:type="firstRow">
      <w:rPr>
        <w:b/>
        <w:color w:val="c9c9c9" w:themeColor="accent3" w:themeTint="99"/>
        <w14:textFill>
          <w14:solidFill>
            <w14:schemeClr w14:val="accent3">
              <w14:lumMod w14:val="60000"/>
              <w14:lumOff w14:val="40000"/>
            </w14:schemeClr>
          </w14:solidFill>
        </w14:textFill>
      </w:rPr>
      <w:tcPr>
        <w:tcBorders>
          <w:bottom w:val="single" w:color="C9C9C9" w:themeColor="accent3" w:themeTint="98" w:sz="4" w:space="0"/>
        </w:tcBorders>
      </w:tcPr>
    </w:tblStylePr>
    <w:tblStylePr w:type="lastCol">
      <w:rPr>
        <w:b/>
        <w:color w:val="c9c9c9" w:themeColor="accent3" w:themeTint="99"/>
        <w14:textFill>
          <w14:solidFill>
            <w14:schemeClr w14:val="accent3">
              <w14:lumMod w14:val="60000"/>
              <w14:lumOff w14:val="40000"/>
            </w14:schemeClr>
          </w14:solidFill>
        </w14:textFill>
      </w:rPr>
    </w:tblStylePr>
    <w:tblStylePr w:type="lastRow">
      <w:rPr>
        <w:b/>
        <w:color w:val="c9c9c9" w:themeColor="accent3" w:themeTint="99"/>
        <w14:textFill>
          <w14:solidFill>
            <w14:schemeClr w14:val="accent3">
              <w14:lumMod w14:val="60000"/>
              <w14:lumOff w14:val="40000"/>
            </w14:schemeClr>
          </w14:solidFill>
        </w14:textFill>
      </w:rPr>
      <w:tcPr>
        <w:tcBorders>
          <w:top w:val="single" w:color="C9C9C9" w:themeColor="accent3" w:themeTint="98" w:sz="4" w:space="0"/>
        </w:tcBorders>
      </w:tcPr>
    </w:tblStylePr>
  </w:style>
  <w:style w:type="table" w:styleId="851" w:customStyle="1">
    <w:name w:val="List Table 6 Colorful - Accent 4"/>
    <w:basedOn w:val="708"/>
    <w:uiPriority w:val="99"/>
    <w:qFormat/>
    <w:pPr>
      <w:spacing w:after="0" w:line="240" w:lineRule="auto"/>
    </w:pPr>
    <w:tblPr>
      <w:tblBorders>
        <w:top w:val="single" w:color="FFD864" w:themeColor="accent4" w:themeTint="9A" w:sz="4" w:space="0"/>
        <w:bottom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b/>
        <w:color w:val="ffd966" w:themeColor="accent4" w:themeTint="99"/>
        <w14:textFill>
          <w14:solidFill>
            <w14:schemeClr w14:val="accent4">
              <w14:lumMod w14:val="60000"/>
              <w14:lumOff w14:val="40000"/>
            </w14:schemeClr>
          </w14:solidFill>
        </w14:textFill>
      </w:rPr>
    </w:tblStylePr>
    <w:tblStylePr w:type="firstRow">
      <w:rPr>
        <w:b/>
        <w:color w:val="ffd966" w:themeColor="accent4" w:themeTint="99"/>
        <w14:textFill>
          <w14:solidFill>
            <w14:schemeClr w14:val="accent4">
              <w14:lumMod w14:val="60000"/>
              <w14:lumOff w14:val="40000"/>
            </w14:schemeClr>
          </w14:solidFill>
        </w14:textFill>
      </w:rPr>
      <w:tcPr>
        <w:tcBorders>
          <w:bottom w:val="single" w:color="FFD864" w:themeColor="accent4" w:themeTint="9A" w:sz="4" w:space="0"/>
        </w:tcBorders>
      </w:tcPr>
    </w:tblStylePr>
    <w:tblStylePr w:type="lastCol">
      <w:rPr>
        <w:b/>
        <w:color w:val="ffd966" w:themeColor="accent4" w:themeTint="99"/>
        <w14:textFill>
          <w14:solidFill>
            <w14:schemeClr w14:val="accent4">
              <w14:lumMod w14:val="60000"/>
              <w14:lumOff w14:val="40000"/>
            </w14:schemeClr>
          </w14:solidFill>
        </w14:textFill>
      </w:rPr>
    </w:tblStylePr>
    <w:tblStylePr w:type="lastRow">
      <w:rPr>
        <w:b/>
        <w:color w:val="ffd966" w:themeColor="accent4" w:themeTint="99"/>
        <w14:textFill>
          <w14:solidFill>
            <w14:schemeClr w14:val="accent4">
              <w14:lumMod w14:val="60000"/>
              <w14:lumOff w14:val="40000"/>
            </w14:schemeClr>
          </w14:solidFill>
        </w14:textFill>
      </w:rPr>
      <w:tcPr>
        <w:tcBorders>
          <w:top w:val="single" w:color="FFD864" w:themeColor="accent4" w:themeTint="9A" w:sz="4" w:space="0"/>
        </w:tcBorders>
      </w:tcPr>
    </w:tblStylePr>
  </w:style>
  <w:style w:type="table" w:styleId="852" w:customStyle="1">
    <w:name w:val="List Table 6 Colorful - Accent 5"/>
    <w:basedOn w:val="708"/>
    <w:uiPriority w:val="99"/>
    <w:qFormat/>
    <w:pPr>
      <w:spacing w:after="0" w:line="240" w:lineRule="auto"/>
    </w:pPr>
    <w:tblPr>
      <w:tblBorders>
        <w:top w:val="single" w:color="9BC2E5" w:themeColor="accent5" w:themeTint="9A" w:sz="4" w:space="0"/>
        <w:bottom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b/>
        <w:color w:val="9dc3e6" w:themeColor="accent5" w:themeTint="99"/>
        <w14:textFill>
          <w14:solidFill>
            <w14:schemeClr w14:val="accent5">
              <w14:lumMod w14:val="60000"/>
              <w14:lumOff w14:val="40000"/>
            </w14:schemeClr>
          </w14:solidFill>
        </w14:textFill>
      </w:rPr>
    </w:tblStylePr>
    <w:tblStylePr w:type="firstRow">
      <w:rPr>
        <w:b/>
        <w:color w:val="9dc3e6" w:themeColor="accent5" w:themeTint="99"/>
        <w14:textFill>
          <w14:solidFill>
            <w14:schemeClr w14:val="accent5">
              <w14:lumMod w14:val="60000"/>
              <w14:lumOff w14:val="40000"/>
            </w14:schemeClr>
          </w14:solidFill>
        </w14:textFill>
      </w:rPr>
      <w:tcPr>
        <w:tcBorders>
          <w:bottom w:val="single" w:color="9BC2E5" w:themeColor="accent5" w:themeTint="9A" w:sz="4" w:space="0"/>
        </w:tcBorders>
      </w:tcPr>
    </w:tblStylePr>
    <w:tblStylePr w:type="lastCol">
      <w:rPr>
        <w:b/>
        <w:color w:val="9dc3e6" w:themeColor="accent5" w:themeTint="99"/>
        <w14:textFill>
          <w14:solidFill>
            <w14:schemeClr w14:val="accent5">
              <w14:lumMod w14:val="60000"/>
              <w14:lumOff w14:val="40000"/>
            </w14:schemeClr>
          </w14:solidFill>
        </w14:textFill>
      </w:rPr>
    </w:tblStylePr>
    <w:tblStylePr w:type="lastRow">
      <w:rPr>
        <w:b/>
        <w:color w:val="9dc3e6" w:themeColor="accent5" w:themeTint="99"/>
        <w14:textFill>
          <w14:solidFill>
            <w14:schemeClr w14:val="accent5">
              <w14:lumMod w14:val="60000"/>
              <w14:lumOff w14:val="40000"/>
            </w14:schemeClr>
          </w14:solidFill>
        </w14:textFill>
      </w:rPr>
      <w:tcPr>
        <w:tcBorders>
          <w:top w:val="single" w:color="9BC2E5" w:themeColor="accent5" w:themeTint="9A" w:sz="4" w:space="0"/>
        </w:tcBorders>
      </w:tcPr>
    </w:tblStylePr>
  </w:style>
  <w:style w:type="table" w:styleId="853" w:customStyle="1">
    <w:name w:val="List Table 6 Colorful - Accent 6"/>
    <w:basedOn w:val="708"/>
    <w:uiPriority w:val="99"/>
    <w:qFormat/>
    <w:pPr>
      <w:spacing w:after="0" w:line="240" w:lineRule="auto"/>
    </w:pPr>
    <w:tblPr>
      <w:tblBorders>
        <w:top w:val="single" w:color="A9D08E" w:themeColor="accent6" w:themeTint="98" w:sz="4" w:space="0"/>
        <w:bottom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b/>
        <w:color w:val="a9d18e" w:themeColor="accent6" w:themeTint="99"/>
        <w14:textFill>
          <w14:solidFill>
            <w14:schemeClr w14:val="accent6">
              <w14:lumMod w14:val="60000"/>
              <w14:lumOff w14:val="40000"/>
            </w14:schemeClr>
          </w14:solidFill>
        </w14:textFill>
      </w:rPr>
    </w:tblStylePr>
    <w:tblStylePr w:type="firstRow">
      <w:rPr>
        <w:b/>
        <w:color w:val="a9d18e" w:themeColor="accent6" w:themeTint="99"/>
        <w14:textFill>
          <w14:solidFill>
            <w14:schemeClr w14:val="accent6">
              <w14:lumMod w14:val="60000"/>
              <w14:lumOff w14:val="40000"/>
            </w14:schemeClr>
          </w14:solidFill>
        </w14:textFill>
      </w:rPr>
      <w:tcPr>
        <w:tcBorders>
          <w:bottom w:val="single" w:color="A9D08E" w:themeColor="accent6" w:themeTint="98" w:sz="4" w:space="0"/>
        </w:tcBorders>
      </w:tcPr>
    </w:tblStylePr>
    <w:tblStylePr w:type="lastCol">
      <w:rPr>
        <w:b/>
        <w:color w:val="a9d18e" w:themeColor="accent6" w:themeTint="99"/>
        <w14:textFill>
          <w14:solidFill>
            <w14:schemeClr w14:val="accent6">
              <w14:lumMod w14:val="60000"/>
              <w14:lumOff w14:val="40000"/>
            </w14:schemeClr>
          </w14:solidFill>
        </w14:textFill>
      </w:rPr>
    </w:tblStylePr>
    <w:tblStylePr w:type="lastRow">
      <w:rPr>
        <w:b/>
        <w:color w:val="a9d18e" w:themeColor="accent6" w:themeTint="99"/>
        <w14:textFill>
          <w14:solidFill>
            <w14:schemeClr w14:val="accent6">
              <w14:lumMod w14:val="60000"/>
              <w14:lumOff w14:val="40000"/>
            </w14:schemeClr>
          </w14:solidFill>
        </w14:textFill>
      </w:rPr>
      <w:tcPr>
        <w:tcBorders>
          <w:top w:val="single" w:color="A9D08E" w:themeColor="accent6" w:themeTint="98" w:sz="4" w:space="0"/>
        </w:tcBorders>
      </w:tcPr>
    </w:tblStylePr>
  </w:style>
  <w:style w:type="table" w:styleId="854" w:customStyle="1">
    <w:name w:val="List Table 7 Colorful"/>
    <w:basedOn w:val="708"/>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5" w:customStyle="1">
    <w:name w:val="List Table 7 Colorful - Accent 1"/>
    <w:basedOn w:val="708"/>
    <w:uiPriority w:val="99"/>
    <w:qFormat/>
    <w:pPr>
      <w:spacing w:after="0" w:line="240" w:lineRule="auto"/>
    </w:pPr>
    <w:tblPr>
      <w:tblBorders>
        <w:right w:val="single" w:color="4472C4" w:themeColor="accent1" w:sz="4" w:space="0"/>
      </w:tblBorders>
    </w:tblPr>
    <w:tblStylePr w:type="band1Horz">
      <w:rPr>
        <w:rFonts w:ascii="Arial" w:hAnsi="Arial"/>
        <w:color w:val="254174" w:themeColor="accent1" w:themeShade="94"/>
        <w:sz w:val="22"/>
      </w:rPr>
      <w:tcPr>
        <w:shd w:val="clear" w:color="d0dbf0" w:themeColor="accent1" w:themeTint="40" w:fill="d0dbf0" w:themeFill="accent1" w:themeFillTint="40"/>
      </w:tcPr>
    </w:tblStylePr>
    <w:tblStylePr w:type="band1Vert">
      <w:tcPr>
        <w:shd w:val="clear" w:color="d0dbf0" w:themeColor="accent1" w:themeTint="40" w:fill="d0dbf0" w:themeFill="accent1" w:themeFillTint="40"/>
      </w:tcPr>
    </w:tblStylePr>
    <w:tblStylePr w:type="band2Horz">
      <w:rPr>
        <w:rFonts w:ascii="Arial" w:hAnsi="Arial"/>
        <w:color w:val="254174" w:themeColor="accent1" w:themeShade="94"/>
        <w:sz w:val="22"/>
      </w:rPr>
    </w:tblStylePr>
    <w:tblStylePr w:type="firstCol">
      <w:rPr>
        <w:rFonts w:ascii="Arial" w:hAnsi="Arial"/>
        <w:i/>
        <w:color w:val="254174" w:themeColor="accent1" w:themeShade="94"/>
        <w:sz w:val="22"/>
      </w:rPr>
      <w:pPr>
        <w:jc w:val="right"/>
      </w:pPr>
      <w:tcPr>
        <w:shd w:val="clear" w:color="ffffff" w:fill="auto"/>
        <w:tcBorders>
          <w:top w:val="none" w:color="000000" w:sz="4" w:space="0"/>
          <w:left w:val="none" w:color="000000" w:sz="4" w:space="0"/>
          <w:bottom w:val="none" w:color="000000" w:sz="4" w:space="0"/>
          <w:right w:val="single" w:color="4472C4" w:themeColor="accent1" w:sz="4" w:space="0"/>
        </w:tcBorders>
      </w:tcPr>
    </w:tblStylePr>
    <w:tblStylePr w:type="firstRow">
      <w:rPr>
        <w:rFonts w:ascii="Arial" w:hAnsi="Arial"/>
        <w:i/>
        <w:color w:val="254174" w:themeColor="accent1" w:themeShade="94"/>
        <w:sz w:val="22"/>
      </w:rPr>
      <w:tcPr>
        <w:shd w:val="clear" w:color="ffffff" w:themeColor="light1" w:fill="ffffff" w:themeFill="light1"/>
        <w:tcBorders>
          <w:top w:val="none" w:color="000000" w:sz="4" w:space="0"/>
          <w:left w:val="none" w:color="000000" w:sz="4" w:space="0"/>
          <w:bottom w:val="single" w:color="4472C4" w:themeColor="accent1" w:sz="4" w:space="0"/>
          <w:right w:val="none" w:color="000000" w:sz="4" w:space="0"/>
        </w:tcBorders>
      </w:tcPr>
    </w:tblStylePr>
    <w:tblStylePr w:type="lastCol">
      <w:rPr>
        <w:rFonts w:ascii="Arial" w:hAnsi="Arial"/>
        <w:i/>
        <w:color w:val="254174" w:themeColor="accent1" w:themeShade="94"/>
        <w:sz w:val="22"/>
      </w:rPr>
      <w:tcPr>
        <w:shd w:val="clear" w:color="ffffff" w:fill="auto"/>
        <w:tcBorders>
          <w:top w:val="none" w:color="000000" w:sz="4" w:space="0"/>
          <w:left w:val="single" w:color="4472C4" w:themeColor="accent1" w:sz="4" w:space="0"/>
          <w:bottom w:val="none" w:color="000000" w:sz="4" w:space="0"/>
          <w:right w:val="none" w:color="000000" w:sz="4" w:space="0"/>
        </w:tcBorders>
      </w:tcPr>
    </w:tblStylePr>
    <w:tblStylePr w:type="lastRow">
      <w:rPr>
        <w:rFonts w:ascii="Arial" w:hAnsi="Arial"/>
        <w:i/>
        <w:color w:val="254174" w:themeColor="accent1" w:themeShade="94"/>
        <w:sz w:val="22"/>
      </w:rPr>
      <w:tcPr>
        <w:shd w:val="clear" w:color="ffffff" w:themeColor="light1" w:fill="ffffff" w:themeFill="light1"/>
        <w:tcBorders>
          <w:top w:val="single" w:color="4472C4" w:themeColor="accent1" w:sz="4" w:space="0"/>
          <w:left w:val="none" w:color="000000" w:sz="4" w:space="0"/>
          <w:bottom w:val="none" w:color="000000" w:sz="4" w:space="0"/>
          <w:right w:val="none" w:color="000000" w:sz="4" w:space="0"/>
        </w:tcBorders>
      </w:tcPr>
    </w:tblStylePr>
  </w:style>
  <w:style w:type="table" w:styleId="856" w:customStyle="1">
    <w:name w:val="List Table 7 Colorful - Accent 2"/>
    <w:basedOn w:val="708"/>
    <w:uiPriority w:val="99"/>
    <w:qFormat/>
    <w:pPr>
      <w:spacing w:after="0" w:line="240" w:lineRule="auto"/>
    </w:pPr>
    <w:tblPr>
      <w:tblBorders>
        <w:right w:val="single" w:color="F4B285" w:themeColor="accent2" w:themeTint="97" w:sz="4" w:space="0"/>
      </w:tblBorders>
    </w:tblPr>
    <w:tblStylePr w:type="band1Horz">
      <w:rPr>
        <w:rFonts w:ascii="Arial" w:hAnsi="Arial"/>
        <w:color w:val="f4b285" w:themeColor="accent2" w:themeTint="96"/>
        <w:sz w:val="22"/>
        <w14:textFill>
          <w14:solidFill>
            <w14:schemeClr w14:val="accent2">
              <w14:lumMod w14:val="59000"/>
              <w14:lumOff w14:val="41000"/>
            </w14:schemeClr>
          </w14:solidFill>
        </w14:textFill>
      </w:rPr>
      <w:tcPr>
        <w:shd w:val="clear" w:color="fadecb" w:themeColor="accent2" w:themeTint="40" w:fill="fadecb" w:themeFill="accent2" w:themeFillTint="40"/>
      </w:tcPr>
    </w:tblStylePr>
    <w:tblStylePr w:type="band1Vert">
      <w:tcPr>
        <w:shd w:val="clear" w:color="fadecb" w:themeColor="accent2" w:themeTint="40" w:fill="fadecb" w:themeFill="accent2" w:themeFillTint="40"/>
      </w:tcPr>
    </w:tblStylePr>
    <w:tblStylePr w:type="band2Horz">
      <w:rPr>
        <w:rFonts w:ascii="Arial" w:hAnsi="Arial"/>
        <w:color w:val="f4b285" w:themeColor="accent2" w:themeTint="96"/>
        <w:sz w:val="22"/>
        <w14:textFill>
          <w14:solidFill>
            <w14:schemeClr w14:val="accent2">
              <w14:lumMod w14:val="59000"/>
              <w14:lumOff w14:val="41000"/>
            </w14:schemeClr>
          </w14:solidFill>
        </w14:textFill>
      </w:rPr>
    </w:tblStylePr>
    <w:tblStylePr w:type="firstCol">
      <w:rPr>
        <w:rFonts w:ascii="Arial" w:hAnsi="Arial"/>
        <w:i/>
        <w:color w:val="f4b285"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285" w:themeColor="accent2" w:themeTint="97" w:sz="4" w:space="0"/>
        </w:tcBorders>
      </w:tcPr>
    </w:tblStylePr>
    <w:tblStylePr w:type="fir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285" w:themeColor="accent2" w:themeTint="97" w:sz="4" w:space="0"/>
          <w:right w:val="none" w:color="000000" w:sz="4" w:space="0"/>
        </w:tcBorders>
      </w:tcPr>
    </w:tblStylePr>
    <w:tblStylePr w:type="lastCol">
      <w:rPr>
        <w:rFonts w:ascii="Arial" w:hAnsi="Arial"/>
        <w:i/>
        <w:color w:val="f4b285"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285" w:themeColor="accent2" w:themeTint="97" w:sz="4" w:space="0"/>
          <w:bottom w:val="none" w:color="000000" w:sz="4" w:space="0"/>
          <w:right w:val="none" w:color="000000" w:sz="4" w:space="0"/>
        </w:tcBorders>
      </w:tcPr>
    </w:tblStylePr>
    <w:tblStylePr w:type="lastRow">
      <w:rPr>
        <w:rFonts w:ascii="Arial" w:hAnsi="Arial"/>
        <w:i/>
        <w:color w:val="f4b285"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285" w:themeColor="accent2" w:themeTint="97" w:sz="4" w:space="0"/>
          <w:left w:val="none" w:color="000000" w:sz="4" w:space="0"/>
          <w:bottom w:val="none" w:color="000000" w:sz="4" w:space="0"/>
          <w:right w:val="none" w:color="000000" w:sz="4" w:space="0"/>
        </w:tcBorders>
      </w:tcPr>
    </w:tblStylePr>
  </w:style>
  <w:style w:type="table" w:styleId="857" w:customStyle="1">
    <w:name w:val="List Table 7 Colorful - Accent 3"/>
    <w:basedOn w:val="708"/>
    <w:uiPriority w:val="99"/>
    <w:qFormat/>
    <w:pPr>
      <w:spacing w:after="0" w:line="240" w:lineRule="auto"/>
    </w:pPr>
    <w:tblPr>
      <w:tblBorders>
        <w:right w:val="single" w:color="C9C9C9" w:themeColor="accent3" w:themeTint="98" w:sz="4" w:space="0"/>
      </w:tblBorders>
    </w:tblPr>
    <w:tblStylePr w:type="band1Horz">
      <w:rPr>
        <w:rFonts w:ascii="Arial" w:hAnsi="Arial"/>
        <w:color w:val="c9c9c9" w:themeColor="accent3" w:themeTint="99"/>
        <w:sz w:val="22"/>
        <w14:textFill>
          <w14:solidFill>
            <w14:schemeClr w14:val="accent3">
              <w14:lumMod w14:val="60000"/>
              <w14:lumOff w14:val="40000"/>
            </w14:schemeClr>
          </w14:solidFill>
        </w14:textFill>
      </w:rPr>
      <w:tcPr>
        <w:shd w:val="clear" w:color="e8e8e8" w:themeColor="accent3" w:themeTint="40" w:fill="e8e8e8" w:themeFill="accent3" w:themeFillTint="40"/>
      </w:tcPr>
    </w:tblStylePr>
    <w:tblStylePr w:type="band1Vert">
      <w:tcPr>
        <w:shd w:val="clear" w:color="e8e8e8" w:themeColor="accent3" w:themeTint="40" w:fill="e8e8e8" w:themeFill="accent3" w:themeFillTint="40"/>
      </w:tcPr>
    </w:tblStylePr>
    <w:tblStylePr w:type="band2Horz">
      <w:rPr>
        <w:rFonts w:ascii="Arial" w:hAnsi="Arial"/>
        <w:color w:val="c9c9c9" w:themeColor="accent3" w:themeTint="99"/>
        <w:sz w:val="22"/>
        <w14:textFill>
          <w14:solidFill>
            <w14:schemeClr w14:val="accent3">
              <w14:lumMod w14:val="60000"/>
              <w14:lumOff w14:val="40000"/>
            </w14:schemeClr>
          </w14:solidFill>
        </w14:textFill>
      </w:rPr>
    </w:tblStylePr>
    <w:tblStylePr w:type="firstCol">
      <w:rPr>
        <w:rFonts w:ascii="Arial" w:hAnsi="Arial"/>
        <w:i/>
        <w:color w:val="c9c9c9"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9C9C9" w:themeColor="accent3" w:themeTint="98" w:sz="4" w:space="0"/>
        </w:tcBorders>
      </w:tcPr>
    </w:tblStylePr>
    <w:tblStylePr w:type="fir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9C9C9" w:themeColor="accent3" w:themeTint="98" w:sz="4" w:space="0"/>
          <w:right w:val="none" w:color="000000" w:sz="4" w:space="0"/>
        </w:tcBorders>
      </w:tcPr>
    </w:tblStylePr>
    <w:tblStylePr w:type="lastCol">
      <w:rPr>
        <w:rFonts w:ascii="Arial" w:hAnsi="Arial"/>
        <w:i/>
        <w:color w:val="c9c9c9"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9C9C9" w:themeColor="accent3" w:themeTint="98" w:sz="4" w:space="0"/>
          <w:bottom w:val="none" w:color="000000" w:sz="4" w:space="0"/>
          <w:right w:val="none" w:color="000000" w:sz="4" w:space="0"/>
        </w:tcBorders>
      </w:tcPr>
    </w:tblStylePr>
    <w:tblStylePr w:type="lastRow">
      <w:rPr>
        <w:rFonts w:ascii="Arial" w:hAnsi="Arial"/>
        <w:i/>
        <w:color w:val="c9c9c9"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9C9C9" w:themeColor="accent3" w:themeTint="98" w:sz="4" w:space="0"/>
          <w:left w:val="none" w:color="000000" w:sz="4" w:space="0"/>
          <w:bottom w:val="none" w:color="000000" w:sz="4" w:space="0"/>
          <w:right w:val="none" w:color="000000" w:sz="4" w:space="0"/>
        </w:tcBorders>
      </w:tcPr>
    </w:tblStylePr>
  </w:style>
  <w:style w:type="table" w:styleId="858" w:customStyle="1">
    <w:name w:val="List Table 7 Colorful - Accent 4"/>
    <w:basedOn w:val="708"/>
    <w:uiPriority w:val="99"/>
    <w:qFormat/>
    <w:pPr>
      <w:spacing w:after="0" w:line="240" w:lineRule="auto"/>
    </w:pPr>
    <w:tblPr>
      <w:tblBorders>
        <w:right w:val="single" w:color="FFD864" w:themeColor="accent4" w:themeTint="9A" w:sz="4" w:space="0"/>
      </w:tblBorders>
    </w:tblPr>
    <w:tblStylePr w:type="band1Horz">
      <w:rPr>
        <w:rFonts w:ascii="Arial" w:hAnsi="Arial"/>
        <w:color w:val="ffd966" w:themeColor="accent4" w:themeTint="99"/>
        <w:sz w:val="22"/>
        <w14:textFill>
          <w14:solidFill>
            <w14:schemeClr w14:val="accent4">
              <w14:lumMod w14:val="60000"/>
              <w14:lumOff w14:val="40000"/>
            </w14:schemeClr>
          </w14:solidFill>
        </w14:textFill>
      </w:rPr>
      <w:tcPr>
        <w:shd w:val="clear" w:color="ffefbe" w:themeColor="accent4" w:themeTint="40" w:fill="ffefbe" w:themeFill="accent4" w:themeFillTint="40"/>
      </w:tcPr>
    </w:tblStylePr>
    <w:tblStylePr w:type="band1Vert">
      <w:tcPr>
        <w:shd w:val="clear" w:color="ffefbe" w:themeColor="accent4" w:themeTint="40" w:fill="ffefbe" w:themeFill="accent4" w:themeFillTint="40"/>
      </w:tcPr>
    </w:tblStylePr>
    <w:tblStylePr w:type="band2Horz">
      <w:rPr>
        <w:rFonts w:ascii="Arial" w:hAnsi="Arial"/>
        <w:color w:val="ffd966" w:themeColor="accent4" w:themeTint="99"/>
        <w:sz w:val="22"/>
        <w14:textFill>
          <w14:solidFill>
            <w14:schemeClr w14:val="accent4">
              <w14:lumMod w14:val="60000"/>
              <w14:lumOff w14:val="40000"/>
            </w14:schemeClr>
          </w14:solidFill>
        </w14:textFill>
      </w:rPr>
    </w:tblStylePr>
    <w:tblStylePr w:type="firstCol">
      <w:rPr>
        <w:rFonts w:ascii="Arial" w:hAnsi="Arial"/>
        <w:i/>
        <w:color w:val="ffd966"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FD864" w:themeColor="accent4" w:themeTint="9A" w:sz="4" w:space="0"/>
        </w:tcBorders>
      </w:tcPr>
    </w:tblStylePr>
    <w:tblStylePr w:type="fir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FD864" w:themeColor="accent4" w:themeTint="9A" w:sz="4" w:space="0"/>
          <w:right w:val="none" w:color="000000" w:sz="4" w:space="0"/>
        </w:tcBorders>
      </w:tcPr>
    </w:tblStylePr>
    <w:tblStylePr w:type="lastCol">
      <w:rPr>
        <w:rFonts w:ascii="Arial" w:hAnsi="Arial"/>
        <w:i/>
        <w:color w:val="ffd966"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FFD864" w:themeColor="accent4" w:themeTint="9A" w:sz="4" w:space="0"/>
          <w:bottom w:val="none" w:color="000000" w:sz="4" w:space="0"/>
          <w:right w:val="none" w:color="000000" w:sz="4" w:space="0"/>
        </w:tcBorders>
      </w:tcPr>
    </w:tblStylePr>
    <w:tblStylePr w:type="lastRow">
      <w:rPr>
        <w:rFonts w:ascii="Arial" w:hAnsi="Arial"/>
        <w:i/>
        <w:color w:val="ffd966"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FFD864" w:themeColor="accent4" w:themeTint="9A" w:sz="4" w:space="0"/>
          <w:left w:val="none" w:color="000000" w:sz="4" w:space="0"/>
          <w:bottom w:val="none" w:color="000000" w:sz="4" w:space="0"/>
          <w:right w:val="none" w:color="000000" w:sz="4" w:space="0"/>
        </w:tcBorders>
      </w:tcPr>
    </w:tblStylePr>
  </w:style>
  <w:style w:type="table" w:styleId="859" w:customStyle="1">
    <w:name w:val="List Table 7 Colorful - Accent 5"/>
    <w:basedOn w:val="708"/>
    <w:uiPriority w:val="99"/>
    <w:qFormat/>
    <w:pPr>
      <w:spacing w:after="0" w:line="240" w:lineRule="auto"/>
    </w:pPr>
    <w:tblPr>
      <w:tblBorders>
        <w:right w:val="single" w:color="9BC2E5" w:themeColor="accent5" w:themeTint="9A" w:sz="4" w:space="0"/>
      </w:tblBorders>
    </w:tblPr>
    <w:tblStylePr w:type="band1Horz">
      <w:rPr>
        <w:rFonts w:ascii="Arial" w:hAnsi="Arial"/>
        <w:color w:val="9dc3e6" w:themeColor="accent5" w:themeTint="99"/>
        <w:sz w:val="22"/>
        <w14:textFill>
          <w14:solidFill>
            <w14:schemeClr w14:val="accent5">
              <w14:lumMod w14:val="60000"/>
              <w14:lumOff w14:val="40000"/>
            </w14:schemeClr>
          </w14:solidFill>
        </w14:textFill>
      </w:rPr>
      <w:tcPr>
        <w:shd w:val="clear" w:color="d5e5f4" w:themeColor="accent5" w:themeTint="40" w:fill="d5e5f4" w:themeFill="accent5" w:themeFillTint="40"/>
      </w:tcPr>
    </w:tblStylePr>
    <w:tblStylePr w:type="band1Vert">
      <w:tcPr>
        <w:shd w:val="clear" w:color="d5e5f4" w:themeColor="accent5" w:themeTint="40" w:fill="d5e5f4" w:themeFill="accent5" w:themeFillTint="40"/>
      </w:tcPr>
    </w:tblStylePr>
    <w:tblStylePr w:type="band2Horz">
      <w:rPr>
        <w:rFonts w:ascii="Arial" w:hAnsi="Arial"/>
        <w:color w:val="9dc3e6" w:themeColor="accent5" w:themeTint="99"/>
        <w:sz w:val="22"/>
        <w14:textFill>
          <w14:solidFill>
            <w14:schemeClr w14:val="accent5">
              <w14:lumMod w14:val="60000"/>
              <w14:lumOff w14:val="40000"/>
            </w14:schemeClr>
          </w14:solidFill>
        </w14:textFill>
      </w:rPr>
    </w:tblStylePr>
    <w:tblStylePr w:type="firstCol">
      <w:rPr>
        <w:rFonts w:ascii="Arial" w:hAnsi="Arial"/>
        <w:i/>
        <w:color w:val="9dc3e6"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BC2E5" w:themeColor="accent5" w:themeTint="9A" w:sz="4" w:space="0"/>
        </w:tcBorders>
      </w:tcPr>
    </w:tblStylePr>
    <w:tblStylePr w:type="fir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BC2E5" w:themeColor="accent5" w:themeTint="9A" w:sz="4" w:space="0"/>
          <w:right w:val="none" w:color="000000" w:sz="4" w:space="0"/>
        </w:tcBorders>
      </w:tcPr>
    </w:tblStylePr>
    <w:tblStylePr w:type="lastCol">
      <w:rPr>
        <w:rFonts w:ascii="Arial" w:hAnsi="Arial"/>
        <w:i/>
        <w:color w:val="9dc3e6"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BC2E5" w:themeColor="accent5" w:themeTint="9A" w:sz="4" w:space="0"/>
          <w:bottom w:val="none" w:color="000000" w:sz="4" w:space="0"/>
          <w:right w:val="none" w:color="000000" w:sz="4" w:space="0"/>
        </w:tcBorders>
      </w:tcPr>
    </w:tblStylePr>
    <w:tblStylePr w:type="lastRow">
      <w:rPr>
        <w:rFonts w:ascii="Arial" w:hAnsi="Arial"/>
        <w:i/>
        <w:color w:val="9dc3e6"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BC2E5" w:themeColor="accent5" w:themeTint="9A" w:sz="4" w:space="0"/>
          <w:left w:val="none" w:color="000000" w:sz="4" w:space="0"/>
          <w:bottom w:val="none" w:color="000000" w:sz="4" w:space="0"/>
          <w:right w:val="none" w:color="000000" w:sz="4" w:space="0"/>
        </w:tcBorders>
      </w:tcPr>
    </w:tblStylePr>
  </w:style>
  <w:style w:type="table" w:styleId="860" w:customStyle="1">
    <w:name w:val="List Table 7 Colorful - Accent 6"/>
    <w:basedOn w:val="708"/>
    <w:uiPriority w:val="99"/>
    <w:qFormat/>
    <w:pPr>
      <w:spacing w:after="0" w:line="240" w:lineRule="auto"/>
    </w:pPr>
    <w:tblPr>
      <w:tblBorders>
        <w:right w:val="single" w:color="A9D08E" w:themeColor="accent6" w:themeTint="98" w:sz="4" w:space="0"/>
      </w:tblBorders>
    </w:tblPr>
    <w:tblStylePr w:type="band1Horz">
      <w:rPr>
        <w:rFonts w:ascii="Arial" w:hAnsi="Arial"/>
        <w:color w:val="a9d18e" w:themeColor="accent6" w:themeTint="99"/>
        <w:sz w:val="22"/>
        <w14:textFill>
          <w14:solidFill>
            <w14:schemeClr w14:val="accent6">
              <w14:lumMod w14:val="60000"/>
              <w14:lumOff w14:val="40000"/>
            </w14:schemeClr>
          </w14:solidFill>
        </w14:textFill>
      </w:rPr>
      <w:tcPr>
        <w:shd w:val="clear" w:color="daebcf" w:themeColor="accent6" w:themeTint="40" w:fill="daebcf" w:themeFill="accent6" w:themeFillTint="40"/>
      </w:tcPr>
    </w:tblStylePr>
    <w:tblStylePr w:type="band1Vert">
      <w:tcPr>
        <w:shd w:val="clear" w:color="daebcf" w:themeColor="accent6" w:themeTint="40" w:fill="daebcf" w:themeFill="accent6" w:themeFillTint="40"/>
      </w:tcPr>
    </w:tblStylePr>
    <w:tblStylePr w:type="band2Horz">
      <w:rPr>
        <w:rFonts w:ascii="Arial" w:hAnsi="Arial"/>
        <w:color w:val="a9d18e" w:themeColor="accent6" w:themeTint="99"/>
        <w:sz w:val="22"/>
        <w14:textFill>
          <w14:solidFill>
            <w14:schemeClr w14:val="accent6">
              <w14:lumMod w14:val="60000"/>
              <w14:lumOff w14:val="40000"/>
            </w14:schemeClr>
          </w14:solidFill>
        </w14:textFill>
      </w:rPr>
    </w:tblStylePr>
    <w:tblStylePr w:type="firstCol">
      <w:rPr>
        <w:rFonts w:ascii="Arial" w:hAnsi="Arial"/>
        <w:i/>
        <w:color w:val="a9d18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9D08E" w:themeColor="accent6" w:themeTint="98" w:sz="4" w:space="0"/>
        </w:tcBorders>
      </w:tcPr>
    </w:tblStylePr>
    <w:tblStylePr w:type="fir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9D08E" w:themeColor="accent6" w:themeTint="98" w:sz="4" w:space="0"/>
          <w:right w:val="none" w:color="000000" w:sz="4" w:space="0"/>
        </w:tcBorders>
      </w:tcPr>
    </w:tblStylePr>
    <w:tblStylePr w:type="lastCol">
      <w:rPr>
        <w:rFonts w:ascii="Arial" w:hAnsi="Arial"/>
        <w:i/>
        <w:color w:val="a9d18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A9D08E" w:themeColor="accent6" w:themeTint="98" w:sz="4" w:space="0"/>
          <w:bottom w:val="none" w:color="000000" w:sz="4" w:space="0"/>
          <w:right w:val="none" w:color="000000" w:sz="4" w:space="0"/>
        </w:tcBorders>
      </w:tcPr>
    </w:tblStylePr>
    <w:tblStylePr w:type="lastRow">
      <w:rPr>
        <w:rFonts w:ascii="Arial" w:hAnsi="Arial"/>
        <w:i/>
        <w:color w:val="a9d18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A9D08E" w:themeColor="accent6" w:themeTint="98" w:sz="4" w:space="0"/>
          <w:left w:val="none" w:color="000000" w:sz="4" w:space="0"/>
          <w:bottom w:val="none" w:color="000000" w:sz="4" w:space="0"/>
          <w:right w:val="none" w:color="000000" w:sz="4" w:space="0"/>
        </w:tcBorders>
      </w:tcPr>
    </w:tblStylePr>
  </w:style>
  <w:style w:type="table" w:styleId="861" w:customStyle="1">
    <w:name w:val="Lined - Accent"/>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2" w:customStyle="1">
    <w:name w:val="Lined - Accent 1"/>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63" w:customStyle="1">
    <w:name w:val="Lined - Accent 2"/>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64" w:customStyle="1">
    <w:name w:val="Lined - Accent 3"/>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65" w:customStyle="1">
    <w:name w:val="Lined - Accent 4"/>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66" w:customStyle="1">
    <w:name w:val="Lined - Accent 5"/>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67" w:customStyle="1">
    <w:name w:val="Lined - Accent 6"/>
    <w:basedOn w:val="708"/>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68" w:customStyle="1">
    <w:name w:val="Bordered &amp; Lined - Accent"/>
    <w:basedOn w:val="708"/>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69" w:customStyle="1">
    <w:name w:val="Bordered &amp; Lined - Accent 1"/>
    <w:basedOn w:val="708"/>
    <w:uiPriority w:val="99"/>
    <w:qFormat/>
    <w:pPr>
      <w:spacing w:after="0" w:line="240" w:lineRule="auto"/>
    </w:pPr>
    <w:rPr>
      <w:color w:val="404040"/>
    </w:rPr>
    <w:tblPr>
      <w:tblBorders>
        <w:top w:val="single" w:color="244175" w:themeColor="accent1" w:themeShade="95" w:sz="4" w:space="0"/>
        <w:left w:val="single" w:color="244175" w:themeColor="accent1" w:themeShade="95" w:sz="4" w:space="0"/>
        <w:bottom w:val="single" w:color="244175" w:themeColor="accent1" w:themeShade="95" w:sz="4" w:space="0"/>
        <w:right w:val="single" w:color="244175" w:themeColor="accent1" w:themeShade="95" w:sz="4" w:space="0"/>
        <w:insideH w:val="single" w:color="244175" w:themeColor="accent1" w:themeShade="95" w:sz="4" w:space="0"/>
        <w:insideV w:val="single" w:color="244175"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4d2ec" w:themeColor="accent1" w:themeTint="50" w:fill="c4d2ec" w:themeFill="accent1" w:themeFillTint="50"/>
      </w:tcPr>
    </w:tblStylePr>
    <w:tblStylePr w:type="band2Vert">
      <w:rPr>
        <w:rFonts w:ascii="Arial" w:hAnsi="Arial"/>
        <w:color w:val="404040"/>
        <w:sz w:val="22"/>
      </w:rPr>
      <w:tcPr>
        <w:shd w:val="clear" w:color="c4d2ec" w:themeColor="accent1" w:themeTint="50" w:fill="c4d2ec" w:themeFill="accent1" w:themeFillTint="50"/>
      </w:tcPr>
    </w:tblStylePr>
    <w:tblStylePr w:type="firstCol">
      <w:rPr>
        <w:rFonts w:ascii="Arial" w:hAnsi="Arial"/>
        <w:color w:val="f2f2f2"/>
        <w:sz w:val="22"/>
      </w:rPr>
      <w:tcPr>
        <w:shd w:val="clear" w:color="537dc8" w:themeColor="accent1" w:themeTint="EA" w:fill="537dc8" w:themeFill="accent1" w:themeFillTint="EA"/>
      </w:tcPr>
    </w:tblStylePr>
    <w:tblStylePr w:type="firstRow">
      <w:rPr>
        <w:rFonts w:ascii="Arial" w:hAnsi="Arial"/>
        <w:color w:val="f2f2f2"/>
        <w:sz w:val="22"/>
      </w:rPr>
      <w:tcPr>
        <w:shd w:val="clear" w:color="537dc8" w:themeColor="accent1" w:themeTint="EA" w:fill="537dc8" w:themeFill="accent1" w:themeFillTint="EA"/>
      </w:tcPr>
    </w:tblStylePr>
    <w:tblStylePr w:type="lastCol">
      <w:rPr>
        <w:rFonts w:ascii="Arial" w:hAnsi="Arial"/>
        <w:color w:val="f2f2f2"/>
        <w:sz w:val="22"/>
      </w:rPr>
      <w:tcPr>
        <w:shd w:val="clear" w:color="537dc8" w:themeColor="accent1" w:themeTint="EA" w:fill="537dc8" w:themeFill="accent1" w:themeFillTint="EA"/>
      </w:tcPr>
    </w:tblStylePr>
    <w:tblStylePr w:type="lastRow">
      <w:rPr>
        <w:rFonts w:ascii="Arial" w:hAnsi="Arial"/>
        <w:color w:val="f2f2f2"/>
        <w:sz w:val="22"/>
      </w:rPr>
      <w:tcPr>
        <w:shd w:val="clear" w:color="537dc8" w:themeColor="accent1" w:themeTint="EA" w:fill="537dc8" w:themeFill="accent1" w:themeFillTint="EA"/>
      </w:tcPr>
    </w:tblStylePr>
  </w:style>
  <w:style w:type="table" w:styleId="870" w:customStyle="1">
    <w:name w:val="Bordered &amp; Lined - Accent 2"/>
    <w:basedOn w:val="708"/>
    <w:uiPriority w:val="99"/>
    <w:qFormat/>
    <w:pPr>
      <w:spacing w:after="0" w:line="240" w:lineRule="auto"/>
    </w:pPr>
    <w:rPr>
      <w:color w:val="404040"/>
    </w:rPr>
    <w:tblPr>
      <w:tblBorders>
        <w:top w:val="single" w:color="99460D" w:themeColor="accent2" w:themeShade="95" w:sz="4" w:space="0"/>
        <w:left w:val="single" w:color="99460D" w:themeColor="accent2" w:themeShade="95" w:sz="4" w:space="0"/>
        <w:bottom w:val="single" w:color="99460D" w:themeColor="accent2" w:themeShade="95" w:sz="4" w:space="0"/>
        <w:right w:val="single" w:color="99460D" w:themeColor="accent2" w:themeShade="95" w:sz="4" w:space="0"/>
        <w:insideH w:val="single" w:color="99460D" w:themeColor="accent2" w:themeShade="95" w:sz="4" w:space="0"/>
        <w:insideV w:val="single" w:color="99460D"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5d6" w:themeColor="accent2" w:themeTint="32" w:fill="fbe5d6" w:themeFill="accent2" w:themeFillTint="32"/>
      </w:tcPr>
    </w:tblStylePr>
    <w:tblStylePr w:type="band2Vert">
      <w:rPr>
        <w:rFonts w:ascii="Arial" w:hAnsi="Arial"/>
        <w:color w:val="404040"/>
        <w:sz w:val="22"/>
      </w:rPr>
      <w:tcPr>
        <w:shd w:val="clear" w:color="fbe5d6" w:themeColor="accent2" w:themeTint="32" w:fill="fbe5d6" w:themeFill="accent2" w:themeFillTint="32"/>
      </w:tcPr>
    </w:tblStylePr>
    <w:tblStylePr w:type="firstCol">
      <w:rPr>
        <w:rFonts w:ascii="Arial" w:hAnsi="Arial"/>
        <w:color w:val="f2f2f2"/>
        <w:sz w:val="22"/>
      </w:rPr>
      <w:tcPr>
        <w:shd w:val="clear" w:color="f4b285" w:themeColor="accent2" w:themeTint="97" w:fill="f4b285" w:themeFill="accent2" w:themeFillTint="97"/>
      </w:tcPr>
    </w:tblStylePr>
    <w:tblStylePr w:type="firstRow">
      <w:rPr>
        <w:rFonts w:ascii="Arial" w:hAnsi="Arial"/>
        <w:color w:val="f2f2f2"/>
        <w:sz w:val="22"/>
      </w:rPr>
      <w:tcPr>
        <w:shd w:val="clear" w:color="f4b285" w:themeColor="accent2" w:themeTint="97" w:fill="f4b285" w:themeFill="accent2" w:themeFillTint="97"/>
      </w:tcPr>
    </w:tblStylePr>
    <w:tblStylePr w:type="lastCol">
      <w:rPr>
        <w:rFonts w:ascii="Arial" w:hAnsi="Arial"/>
        <w:color w:val="f2f2f2"/>
        <w:sz w:val="22"/>
      </w:rPr>
      <w:tcPr>
        <w:shd w:val="clear" w:color="f4b285" w:themeColor="accent2" w:themeTint="97" w:fill="f4b285" w:themeFill="accent2" w:themeFillTint="97"/>
      </w:tcPr>
    </w:tblStylePr>
    <w:tblStylePr w:type="lastRow">
      <w:rPr>
        <w:rFonts w:ascii="Arial" w:hAnsi="Arial"/>
        <w:color w:val="f2f2f2"/>
        <w:sz w:val="22"/>
      </w:rPr>
      <w:tcPr>
        <w:shd w:val="clear" w:color="f4b285" w:themeColor="accent2" w:themeTint="97" w:fill="f4b285" w:themeFill="accent2" w:themeFillTint="97"/>
      </w:tcPr>
    </w:tblStylePr>
  </w:style>
  <w:style w:type="table" w:styleId="871" w:customStyle="1">
    <w:name w:val="Bordered &amp; Lined - Accent 3"/>
    <w:basedOn w:val="708"/>
    <w:uiPriority w:val="99"/>
    <w:qFormat/>
    <w:pPr>
      <w:spacing w:after="0" w:line="240" w:lineRule="auto"/>
    </w:pPr>
    <w:rPr>
      <w:color w:val="404040"/>
    </w:rPr>
    <w:tblPr>
      <w:tblBorders>
        <w:top w:val="single" w:color="606060" w:themeColor="accent3" w:themeShade="95" w:sz="4" w:space="0"/>
        <w:left w:val="single" w:color="606060" w:themeColor="accent3" w:themeShade="95" w:sz="4" w:space="0"/>
        <w:bottom w:val="single" w:color="606060" w:themeColor="accent3" w:themeShade="95" w:sz="4" w:space="0"/>
        <w:right w:val="single" w:color="606060" w:themeColor="accent3" w:themeShade="95" w:sz="4" w:space="0"/>
        <w:insideH w:val="single" w:color="606060" w:themeColor="accent3" w:themeShade="95" w:sz="4" w:space="0"/>
        <w:insideV w:val="single" w:color="60606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cecec" w:themeColor="accent3" w:themeTint="34" w:fill="ececec" w:themeFill="accent3" w:themeFillTint="34"/>
      </w:tcPr>
    </w:tblStylePr>
    <w:tblStylePr w:type="band2Vert">
      <w:rPr>
        <w:rFonts w:ascii="Arial" w:hAnsi="Arial"/>
        <w:color w:val="404040"/>
        <w:sz w:val="22"/>
      </w:rPr>
      <w:tcPr>
        <w:shd w:val="clear" w:color="ececec" w:themeColor="accent3" w:themeTint="34" w:fill="ececec" w:themeFill="accent3" w:themeFillTint="34"/>
      </w:tcPr>
    </w:tblStylePr>
    <w:tblStylePr w:type="firstCol">
      <w:rPr>
        <w:rFonts w:ascii="Arial" w:hAnsi="Arial"/>
        <w:color w:val="f2f2f2"/>
        <w:sz w:val="22"/>
      </w:rPr>
      <w:tcPr>
        <w:shd w:val="clear" w:color="a5a5a5" w:themeColor="accent3" w:themeTint="FE" w:fill="a5a5a5" w:themeFill="accent3" w:themeFillTint="FE"/>
      </w:tcPr>
    </w:tblStylePr>
    <w:tblStylePr w:type="firstRow">
      <w:rPr>
        <w:rFonts w:ascii="Arial" w:hAnsi="Arial"/>
        <w:color w:val="f2f2f2"/>
        <w:sz w:val="22"/>
      </w:rPr>
      <w:tcPr>
        <w:shd w:val="clear" w:color="a5a5a5" w:themeColor="accent3" w:themeTint="FE" w:fill="a5a5a5" w:themeFill="accent3" w:themeFillTint="FE"/>
      </w:tcPr>
    </w:tblStylePr>
    <w:tblStylePr w:type="lastCol">
      <w:rPr>
        <w:rFonts w:ascii="Arial" w:hAnsi="Arial"/>
        <w:color w:val="f2f2f2"/>
        <w:sz w:val="22"/>
      </w:rPr>
      <w:tcPr>
        <w:shd w:val="clear" w:color="a5a5a5" w:themeColor="accent3" w:themeTint="FE" w:fill="a5a5a5" w:themeFill="accent3" w:themeFillTint="FE"/>
      </w:tcPr>
    </w:tblStylePr>
    <w:tblStylePr w:type="lastRow">
      <w:rPr>
        <w:rFonts w:ascii="Arial" w:hAnsi="Arial"/>
        <w:color w:val="f2f2f2"/>
        <w:sz w:val="22"/>
      </w:rPr>
      <w:tcPr>
        <w:shd w:val="clear" w:color="a5a5a5" w:themeColor="accent3" w:themeTint="FE" w:fill="a5a5a5" w:themeFill="accent3" w:themeFillTint="FE"/>
      </w:tcPr>
    </w:tblStylePr>
  </w:style>
  <w:style w:type="table" w:styleId="872" w:customStyle="1">
    <w:name w:val="Bordered &amp; Lined - Accent 4"/>
    <w:basedOn w:val="708"/>
    <w:uiPriority w:val="99"/>
    <w:qFormat/>
    <w:pPr>
      <w:spacing w:after="0" w:line="240" w:lineRule="auto"/>
    </w:pPr>
    <w:rPr>
      <w:color w:val="404040"/>
    </w:rPr>
    <w:tblPr>
      <w:tblBorders>
        <w:top w:val="single" w:color="947000" w:themeColor="accent4" w:themeShade="95" w:sz="4" w:space="0"/>
        <w:left w:val="single" w:color="947000" w:themeColor="accent4" w:themeShade="95" w:sz="4" w:space="0"/>
        <w:bottom w:val="single" w:color="947000" w:themeColor="accent4" w:themeShade="95" w:sz="4" w:space="0"/>
        <w:right w:val="single" w:color="947000" w:themeColor="accent4" w:themeShade="95" w:sz="4" w:space="0"/>
        <w:insideH w:val="single" w:color="947000" w:themeColor="accent4" w:themeShade="95" w:sz="4" w:space="0"/>
        <w:insideV w:val="single" w:color="947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a" w:themeColor="accent4" w:themeTint="34" w:fill="fef2ca" w:themeFill="accent4" w:themeFillTint="34"/>
      </w:tcPr>
    </w:tblStylePr>
    <w:tblStylePr w:type="band2Vert">
      <w:rPr>
        <w:rFonts w:ascii="Arial" w:hAnsi="Arial"/>
        <w:color w:val="404040"/>
        <w:sz w:val="22"/>
      </w:rPr>
      <w:tcPr>
        <w:shd w:val="clear" w:color="fef2ca" w:themeColor="accent4" w:themeTint="34" w:fill="fef2ca" w:themeFill="accent4" w:themeFillTint="34"/>
      </w:tcPr>
    </w:tblStylePr>
    <w:tblStylePr w:type="firstCol">
      <w:rPr>
        <w:rFonts w:ascii="Arial" w:hAnsi="Arial"/>
        <w:color w:val="f2f2f2"/>
        <w:sz w:val="22"/>
      </w:rPr>
      <w:tcPr>
        <w:shd w:val="clear" w:color="ffd864" w:themeColor="accent4" w:themeTint="9A" w:fill="ffd864" w:themeFill="accent4" w:themeFillTint="9A"/>
      </w:tcPr>
    </w:tblStylePr>
    <w:tblStylePr w:type="firstRow">
      <w:rPr>
        <w:rFonts w:ascii="Arial" w:hAnsi="Arial"/>
        <w:color w:val="f2f2f2"/>
        <w:sz w:val="22"/>
      </w:rPr>
      <w:tcPr>
        <w:shd w:val="clear" w:color="ffd864" w:themeColor="accent4" w:themeTint="9A" w:fill="ffd864" w:themeFill="accent4" w:themeFillTint="9A"/>
      </w:tcPr>
    </w:tblStylePr>
    <w:tblStylePr w:type="lastCol">
      <w:rPr>
        <w:rFonts w:ascii="Arial" w:hAnsi="Arial"/>
        <w:color w:val="f2f2f2"/>
        <w:sz w:val="22"/>
      </w:rPr>
      <w:tcPr>
        <w:shd w:val="clear" w:color="ffd864" w:themeColor="accent4" w:themeTint="9A" w:fill="ffd864" w:themeFill="accent4" w:themeFillTint="9A"/>
      </w:tcPr>
    </w:tblStylePr>
    <w:tblStylePr w:type="lastRow">
      <w:rPr>
        <w:rFonts w:ascii="Arial" w:hAnsi="Arial"/>
        <w:color w:val="f2f2f2"/>
        <w:sz w:val="22"/>
      </w:rPr>
      <w:tcPr>
        <w:shd w:val="clear" w:color="ffd864" w:themeColor="accent4" w:themeTint="9A" w:fill="ffd864" w:themeFill="accent4" w:themeFillTint="9A"/>
      </w:tcPr>
    </w:tblStylePr>
  </w:style>
  <w:style w:type="table" w:styleId="873" w:customStyle="1">
    <w:name w:val="Bordered &amp; Lined - Accent 5"/>
    <w:basedOn w:val="708"/>
    <w:uiPriority w:val="99"/>
    <w:qFormat/>
    <w:pPr>
      <w:spacing w:after="0" w:line="240" w:lineRule="auto"/>
    </w:pPr>
    <w:rPr>
      <w:color w:val="404040"/>
    </w:rPr>
    <w:tblPr>
      <w:tblBorders>
        <w:top w:val="single" w:color="245B8D" w:themeColor="accent5" w:themeShade="95" w:sz="4" w:space="0"/>
        <w:left w:val="single" w:color="245B8D" w:themeColor="accent5" w:themeShade="95" w:sz="4" w:space="0"/>
        <w:bottom w:val="single" w:color="245B8D" w:themeColor="accent5" w:themeShade="95" w:sz="4" w:space="0"/>
        <w:right w:val="single" w:color="245B8D" w:themeColor="accent5" w:themeShade="95" w:sz="4" w:space="0"/>
        <w:insideH w:val="single" w:color="245B8D" w:themeColor="accent5" w:themeShade="95" w:sz="4" w:space="0"/>
        <w:insideV w:val="single" w:color="245B8D"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deaf6" w:themeColor="accent5" w:themeTint="34" w:fill="ddeaf6" w:themeFill="accent5" w:themeFillTint="34"/>
      </w:tcPr>
    </w:tblStylePr>
    <w:tblStylePr w:type="band2Vert">
      <w:rPr>
        <w:rFonts w:ascii="Arial" w:hAnsi="Arial"/>
        <w:color w:val="404040"/>
        <w:sz w:val="22"/>
      </w:rPr>
      <w:tcPr>
        <w:shd w:val="clear" w:color="ddeaf6" w:themeColor="accent5" w:themeTint="34" w:fill="ddeaf6" w:themeFill="accent5" w:themeFillTint="34"/>
      </w:tcPr>
    </w:tblStylePr>
    <w:tblStylePr w:type="firstCol">
      <w:rPr>
        <w:rFonts w:ascii="Arial" w:hAnsi="Arial"/>
        <w:color w:val="f2f2f2"/>
        <w:sz w:val="22"/>
      </w:rPr>
      <w:tcPr>
        <w:shd w:val="clear" w:color="5b9bd5" w:themeColor="accent5" w:fill="5b9bd5" w:themeFill="accent5"/>
      </w:tcPr>
    </w:tblStylePr>
    <w:tblStylePr w:type="firstRow">
      <w:rPr>
        <w:rFonts w:ascii="Arial" w:hAnsi="Arial"/>
        <w:color w:val="f2f2f2"/>
        <w:sz w:val="22"/>
      </w:rPr>
      <w:tcPr>
        <w:shd w:val="clear" w:color="5b9bd5" w:themeColor="accent5" w:fill="5b9bd5" w:themeFill="accent5"/>
      </w:tcPr>
    </w:tblStylePr>
    <w:tblStylePr w:type="lastCol">
      <w:rPr>
        <w:rFonts w:ascii="Arial" w:hAnsi="Arial"/>
        <w:color w:val="f2f2f2"/>
        <w:sz w:val="22"/>
      </w:rPr>
      <w:tcPr>
        <w:shd w:val="clear" w:color="5b9bd5" w:themeColor="accent5" w:fill="5b9bd5" w:themeFill="accent5"/>
      </w:tcPr>
    </w:tblStylePr>
    <w:tblStylePr w:type="lastRow">
      <w:rPr>
        <w:rFonts w:ascii="Arial" w:hAnsi="Arial"/>
        <w:color w:val="f2f2f2"/>
        <w:sz w:val="22"/>
      </w:rPr>
      <w:tcPr>
        <w:shd w:val="clear" w:color="5b9bd5" w:themeColor="accent5" w:fill="5b9bd5" w:themeFill="accent5"/>
      </w:tcPr>
    </w:tblStylePr>
  </w:style>
  <w:style w:type="table" w:styleId="874" w:customStyle="1">
    <w:name w:val="Bordered &amp; Lined - Accent 6"/>
    <w:basedOn w:val="708"/>
    <w:uiPriority w:val="99"/>
    <w:qFormat/>
    <w:pPr>
      <w:spacing w:after="0" w:line="240" w:lineRule="auto"/>
    </w:pPr>
    <w:rPr>
      <w:color w:val="404040"/>
    </w:rPr>
    <w:tblPr>
      <w:tblBorders>
        <w:top w:val="single" w:color="416529" w:themeColor="accent6" w:themeShade="95" w:sz="4" w:space="0"/>
        <w:left w:val="single" w:color="416529" w:themeColor="accent6" w:themeShade="95" w:sz="4" w:space="0"/>
        <w:bottom w:val="single" w:color="416529" w:themeColor="accent6" w:themeShade="95" w:sz="4" w:space="0"/>
        <w:right w:val="single" w:color="416529" w:themeColor="accent6" w:themeShade="95" w:sz="4" w:space="0"/>
        <w:insideH w:val="single" w:color="416529" w:themeColor="accent6" w:themeShade="95" w:sz="4" w:space="0"/>
        <w:insideV w:val="single" w:color="416529"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1efd8" w:themeColor="accent6" w:themeTint="34" w:fill="e1efd8" w:themeFill="accent6" w:themeFillTint="34"/>
      </w:tcPr>
    </w:tblStylePr>
    <w:tblStylePr w:type="band2Vert">
      <w:rPr>
        <w:rFonts w:ascii="Arial" w:hAnsi="Arial"/>
        <w:color w:val="404040"/>
        <w:sz w:val="22"/>
      </w:rPr>
      <w:tcPr>
        <w:shd w:val="clear" w:color="e1efd8" w:themeColor="accent6" w:themeTint="34" w:fill="e1efd8" w:themeFill="accent6" w:themeFillTint="34"/>
      </w:tcPr>
    </w:tblStylePr>
    <w:tblStylePr w:type="firstCol">
      <w:rPr>
        <w:rFonts w:ascii="Arial" w:hAnsi="Arial"/>
        <w:color w:val="f2f2f2"/>
        <w:sz w:val="22"/>
      </w:rPr>
      <w:tcPr>
        <w:shd w:val="clear" w:color="70ad47" w:themeColor="accent6" w:fill="70ad47" w:themeFill="accent6"/>
      </w:tcPr>
    </w:tblStylePr>
    <w:tblStylePr w:type="firstRow">
      <w:rPr>
        <w:rFonts w:ascii="Arial" w:hAnsi="Arial"/>
        <w:color w:val="f2f2f2"/>
        <w:sz w:val="22"/>
      </w:rPr>
      <w:tcPr>
        <w:shd w:val="clear" w:color="70ad47" w:themeColor="accent6" w:fill="70ad47" w:themeFill="accent6"/>
      </w:tcPr>
    </w:tblStylePr>
    <w:tblStylePr w:type="lastCol">
      <w:rPr>
        <w:rFonts w:ascii="Arial" w:hAnsi="Arial"/>
        <w:color w:val="f2f2f2"/>
        <w:sz w:val="22"/>
      </w:rPr>
      <w:tcPr>
        <w:shd w:val="clear" w:color="70ad47" w:themeColor="accent6" w:fill="70ad47" w:themeFill="accent6"/>
      </w:tcPr>
    </w:tblStylePr>
    <w:tblStylePr w:type="lastRow">
      <w:rPr>
        <w:rFonts w:ascii="Arial" w:hAnsi="Arial"/>
        <w:color w:val="f2f2f2"/>
        <w:sz w:val="22"/>
      </w:rPr>
      <w:tcPr>
        <w:shd w:val="clear" w:color="70ad47" w:themeColor="accent6" w:fill="70ad47" w:themeFill="accent6"/>
      </w:tcPr>
    </w:tblStylePr>
  </w:style>
  <w:style w:type="table" w:styleId="875" w:customStyle="1">
    <w:name w:val="Bordered"/>
    <w:basedOn w:val="708"/>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76" w:customStyle="1">
    <w:name w:val="Bordered - Accent 1"/>
    <w:basedOn w:val="708"/>
    <w:uiPriority w:val="99"/>
    <w:qFormat/>
    <w:pPr>
      <w:spacing w:after="0" w:line="240" w:lineRule="auto"/>
    </w:pPr>
    <w:tblPr>
      <w:tbl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insideH w:val="single" w:color="B3C6E7" w:themeColor="accent1" w:themeTint="67" w:sz="4" w:space="0"/>
        <w:insideV w:val="single" w:color="B3C6E7" w:themeColor="accent1" w:themeTint="67" w:sz="4" w:space="0"/>
      </w:tblBorders>
    </w:tblPr>
    <w:tblStylePr w:type="band1Horz">
      <w:rPr>
        <w:rFonts w:ascii="Arial" w:hAnsi="Arial"/>
        <w:color w:val="404040"/>
        <w:sz w:val="22"/>
      </w:rPr>
      <w:tcPr>
        <w:tcBorders>
          <w:top w:val="single" w:color="B3C6E7" w:themeColor="accent1" w:themeTint="67" w:sz="4" w:space="0"/>
          <w:left w:val="single" w:color="B3C6E7" w:themeColor="accent1" w:themeTint="67" w:sz="4" w:space="0"/>
          <w:bottom w:val="single" w:color="B3C6E7" w:themeColor="accent1" w:themeTint="67" w:sz="4" w:space="0"/>
          <w:right w:val="single" w:color="B3C6E7"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472C4" w:themeColor="accent1" w:sz="12" w:space="0"/>
        </w:tcBorders>
      </w:tcPr>
    </w:tblStylePr>
    <w:tblStylePr w:type="lastCol">
      <w:rPr>
        <w:rFonts w:ascii="Arial" w:hAnsi="Arial"/>
        <w:color w:val="404040"/>
        <w:sz w:val="22"/>
      </w:rPr>
      <w:tcPr>
        <w:tcBorders>
          <w:left w:val="single" w:color="4472C4" w:themeColor="accent1" w:sz="12" w:space="0"/>
        </w:tcBorders>
      </w:tcPr>
    </w:tblStylePr>
    <w:tblStylePr w:type="lastRow">
      <w:rPr>
        <w:rFonts w:ascii="Arial" w:hAnsi="Arial"/>
        <w:color w:val="404040"/>
        <w:sz w:val="22"/>
      </w:rPr>
      <w:tcPr>
        <w:tcBorders>
          <w:top w:val="single" w:color="4472C4" w:themeColor="accent1" w:sz="12" w:space="0"/>
        </w:tcBorders>
      </w:tcPr>
    </w:tblStylePr>
  </w:style>
  <w:style w:type="table" w:styleId="877" w:customStyle="1">
    <w:name w:val="Bordered - Accent 2"/>
    <w:basedOn w:val="708"/>
    <w:uiPriority w:val="99"/>
    <w:qFormat/>
    <w:pPr>
      <w:spacing w:after="0" w:line="240" w:lineRule="auto"/>
    </w:pPr>
    <w:tblPr>
      <w:tbl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insideH w:val="single" w:color="F7CAAB" w:themeColor="accent2" w:themeTint="67" w:sz="4" w:space="0"/>
        <w:insideV w:val="single" w:color="F7CAAB" w:themeColor="accent2" w:themeTint="67" w:sz="4" w:space="0"/>
      </w:tblBorders>
    </w:tblPr>
    <w:tblStylePr w:type="band1Horz">
      <w:rPr>
        <w:rFonts w:ascii="Arial" w:hAnsi="Arial"/>
        <w:color w:val="404040"/>
        <w:sz w:val="22"/>
      </w:rPr>
      <w:tcPr>
        <w:tcBorders>
          <w:top w:val="single" w:color="F7CAAB" w:themeColor="accent2" w:themeTint="67" w:sz="4" w:space="0"/>
          <w:left w:val="single" w:color="F7CAAB" w:themeColor="accent2" w:themeTint="67" w:sz="4" w:space="0"/>
          <w:bottom w:val="single" w:color="F7CAAB" w:themeColor="accent2" w:themeTint="67" w:sz="4" w:space="0"/>
          <w:right w:val="single" w:color="F7CAAB"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285" w:themeColor="accent2" w:themeTint="97" w:sz="12" w:space="0"/>
        </w:tcBorders>
      </w:tcPr>
    </w:tblStylePr>
    <w:tblStylePr w:type="lastCol">
      <w:rPr>
        <w:rFonts w:ascii="Arial" w:hAnsi="Arial"/>
        <w:color w:val="404040"/>
        <w:sz w:val="22"/>
      </w:rPr>
      <w:tcPr>
        <w:tcBorders>
          <w:left w:val="single" w:color="F4B285" w:themeColor="accent2" w:themeTint="97" w:sz="12" w:space="0"/>
        </w:tcBorders>
      </w:tcPr>
    </w:tblStylePr>
    <w:tblStylePr w:type="lastRow">
      <w:rPr>
        <w:rFonts w:ascii="Arial" w:hAnsi="Arial"/>
        <w:color w:val="404040"/>
        <w:sz w:val="22"/>
      </w:rPr>
      <w:tcPr>
        <w:tcBorders>
          <w:top w:val="single" w:color="F4B285" w:themeColor="accent2" w:themeTint="97" w:sz="12" w:space="0"/>
        </w:tcBorders>
      </w:tcPr>
    </w:tblStylePr>
  </w:style>
  <w:style w:type="table" w:styleId="878" w:customStyle="1">
    <w:name w:val="Bordered - Accent 3"/>
    <w:basedOn w:val="708"/>
    <w:uiPriority w:val="99"/>
    <w:qFormat/>
    <w:pPr>
      <w:spacing w:after="0" w:line="240" w:lineRule="auto"/>
    </w:pPr>
    <w:tblPr>
      <w:tbl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insideH w:val="single" w:color="DADADA" w:themeColor="accent3" w:themeTint="67" w:sz="4" w:space="0"/>
        <w:insideV w:val="single" w:color="DADADA" w:themeColor="accent3" w:themeTint="67" w:sz="4" w:space="0"/>
      </w:tblBorders>
    </w:tblPr>
    <w:tblStylePr w:type="band1Horz">
      <w:rPr>
        <w:rFonts w:ascii="Arial" w:hAnsi="Arial"/>
        <w:color w:val="404040"/>
        <w:sz w:val="22"/>
      </w:rPr>
      <w:tcPr>
        <w:tcBorders>
          <w:top w:val="single" w:color="DADADA" w:themeColor="accent3" w:themeTint="67" w:sz="4" w:space="0"/>
          <w:left w:val="single" w:color="DADADA" w:themeColor="accent3" w:themeTint="67" w:sz="4" w:space="0"/>
          <w:bottom w:val="single" w:color="DADADA" w:themeColor="accent3" w:themeTint="67" w:sz="4" w:space="0"/>
          <w:right w:val="single" w:color="DADADA"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9C9C9" w:themeColor="accent3" w:themeTint="98" w:sz="12" w:space="0"/>
        </w:tcBorders>
      </w:tcPr>
    </w:tblStylePr>
    <w:tblStylePr w:type="lastCol">
      <w:rPr>
        <w:rFonts w:ascii="Arial" w:hAnsi="Arial"/>
        <w:color w:val="404040"/>
        <w:sz w:val="22"/>
      </w:rPr>
      <w:tcPr>
        <w:tcBorders>
          <w:left w:val="single" w:color="C9C9C9" w:themeColor="accent3" w:themeTint="98" w:sz="12" w:space="0"/>
        </w:tcBorders>
      </w:tcPr>
    </w:tblStylePr>
    <w:tblStylePr w:type="lastRow">
      <w:rPr>
        <w:rFonts w:ascii="Arial" w:hAnsi="Arial"/>
        <w:color w:val="404040"/>
        <w:sz w:val="22"/>
      </w:rPr>
      <w:tcPr>
        <w:tcBorders>
          <w:top w:val="single" w:color="C9C9C9" w:themeColor="accent3" w:themeTint="98" w:sz="12" w:space="0"/>
        </w:tcBorders>
      </w:tcPr>
    </w:tblStylePr>
  </w:style>
  <w:style w:type="table" w:styleId="879" w:customStyle="1">
    <w:name w:val="Bordered - Accent 4"/>
    <w:basedOn w:val="708"/>
    <w:uiPriority w:val="99"/>
    <w:qFormat/>
    <w:pPr>
      <w:spacing w:after="0" w:line="240" w:lineRule="auto"/>
    </w:pPr>
    <w:tblPr>
      <w:tbl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insideH w:val="single" w:color="FFE597" w:themeColor="accent4" w:themeTint="67" w:sz="4" w:space="0"/>
        <w:insideV w:val="single" w:color="FFE597" w:themeColor="accent4" w:themeTint="67" w:sz="4" w:space="0"/>
      </w:tblBorders>
    </w:tblPr>
    <w:tblStylePr w:type="band1Horz">
      <w:rPr>
        <w:rFonts w:ascii="Arial" w:hAnsi="Arial"/>
        <w:color w:val="404040"/>
        <w:sz w:val="22"/>
      </w:rPr>
      <w:tcPr>
        <w:tcBorders>
          <w:top w:val="single" w:color="FFE597" w:themeColor="accent4" w:themeTint="67" w:sz="4" w:space="0"/>
          <w:left w:val="single" w:color="FFE597" w:themeColor="accent4" w:themeTint="67" w:sz="4" w:space="0"/>
          <w:bottom w:val="single" w:color="FFE597" w:themeColor="accent4" w:themeTint="67" w:sz="4" w:space="0"/>
          <w:right w:val="single" w:color="FFE597"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FD864" w:themeColor="accent4" w:themeTint="9A" w:sz="12" w:space="0"/>
        </w:tcBorders>
      </w:tcPr>
    </w:tblStylePr>
    <w:tblStylePr w:type="lastCol">
      <w:rPr>
        <w:rFonts w:ascii="Arial" w:hAnsi="Arial"/>
        <w:color w:val="404040"/>
        <w:sz w:val="22"/>
      </w:rPr>
      <w:tcPr>
        <w:tcBorders>
          <w:left w:val="single" w:color="FFD864" w:themeColor="accent4" w:themeTint="9A" w:sz="12" w:space="0"/>
        </w:tcBorders>
      </w:tcPr>
    </w:tblStylePr>
    <w:tblStylePr w:type="lastRow">
      <w:rPr>
        <w:rFonts w:ascii="Arial" w:hAnsi="Arial"/>
        <w:color w:val="404040"/>
        <w:sz w:val="22"/>
      </w:rPr>
      <w:tcPr>
        <w:tcBorders>
          <w:top w:val="single" w:color="FFD864" w:themeColor="accent4" w:themeTint="9A" w:sz="12" w:space="0"/>
        </w:tcBorders>
      </w:tcPr>
    </w:tblStylePr>
  </w:style>
  <w:style w:type="table" w:styleId="880" w:customStyle="1">
    <w:name w:val="Bordered - Accent 5"/>
    <w:basedOn w:val="708"/>
    <w:uiPriority w:val="99"/>
    <w:qFormat/>
    <w:pPr>
      <w:spacing w:after="0" w:line="240" w:lineRule="auto"/>
    </w:pPr>
    <w:tblPr>
      <w:tbl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insideH w:val="single" w:color="BCD6EE" w:themeColor="accent5" w:themeTint="67" w:sz="4" w:space="0"/>
        <w:insideV w:val="single" w:color="BCD6EE" w:themeColor="accent5" w:themeTint="67" w:sz="4" w:space="0"/>
      </w:tblBorders>
    </w:tblPr>
    <w:tblStylePr w:type="band1Horz">
      <w:rPr>
        <w:rFonts w:ascii="Arial" w:hAnsi="Arial"/>
        <w:color w:val="404040"/>
        <w:sz w:val="22"/>
      </w:rPr>
      <w:tcPr>
        <w:tcBorders>
          <w:top w:val="single" w:color="BCD6EE" w:themeColor="accent5" w:themeTint="67" w:sz="4" w:space="0"/>
          <w:left w:val="single" w:color="BCD6EE" w:themeColor="accent5" w:themeTint="67" w:sz="4" w:space="0"/>
          <w:bottom w:val="single" w:color="BCD6EE" w:themeColor="accent5" w:themeTint="67" w:sz="4" w:space="0"/>
          <w:right w:val="single" w:color="BCD6EE"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BC2E5" w:themeColor="accent5" w:themeTint="9A" w:sz="12" w:space="0"/>
        </w:tcBorders>
      </w:tcPr>
    </w:tblStylePr>
    <w:tblStylePr w:type="lastCol">
      <w:rPr>
        <w:rFonts w:ascii="Arial" w:hAnsi="Arial"/>
        <w:color w:val="404040"/>
        <w:sz w:val="22"/>
      </w:rPr>
      <w:tcPr>
        <w:tcBorders>
          <w:left w:val="single" w:color="9BC2E5" w:themeColor="accent5" w:themeTint="9A" w:sz="12" w:space="0"/>
        </w:tcBorders>
      </w:tcPr>
    </w:tblStylePr>
    <w:tblStylePr w:type="lastRow">
      <w:rPr>
        <w:rFonts w:ascii="Arial" w:hAnsi="Arial"/>
        <w:color w:val="404040"/>
        <w:sz w:val="22"/>
      </w:rPr>
      <w:tcPr>
        <w:tcBorders>
          <w:top w:val="single" w:color="9BC2E5" w:themeColor="accent5" w:themeTint="9A" w:sz="12" w:space="0"/>
        </w:tcBorders>
      </w:tcPr>
    </w:tblStylePr>
  </w:style>
  <w:style w:type="table" w:styleId="881" w:customStyle="1">
    <w:name w:val="Bordered - Accent 6"/>
    <w:basedOn w:val="708"/>
    <w:uiPriority w:val="99"/>
    <w:qFormat/>
    <w:pPr>
      <w:spacing w:after="0" w:line="240" w:lineRule="auto"/>
    </w:pPr>
    <w:tblPr>
      <w:tbl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insideH w:val="single" w:color="C4DFB2" w:themeColor="accent6" w:themeTint="67" w:sz="4" w:space="0"/>
        <w:insideV w:val="single" w:color="C4DFB2" w:themeColor="accent6" w:themeTint="67" w:sz="4" w:space="0"/>
      </w:tblBorders>
    </w:tblPr>
    <w:tblStylePr w:type="band1Horz">
      <w:rPr>
        <w:rFonts w:ascii="Arial" w:hAnsi="Arial"/>
        <w:color w:val="404040"/>
        <w:sz w:val="22"/>
      </w:rPr>
      <w:tcPr>
        <w:tcBorders>
          <w:top w:val="single" w:color="C4DFB2" w:themeColor="accent6" w:themeTint="67" w:sz="4" w:space="0"/>
          <w:left w:val="single" w:color="C4DFB2" w:themeColor="accent6" w:themeTint="67" w:sz="4" w:space="0"/>
          <w:bottom w:val="single" w:color="C4DFB2" w:themeColor="accent6" w:themeTint="67" w:sz="4" w:space="0"/>
          <w:right w:val="single" w:color="C4DFB2"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9D08E" w:themeColor="accent6" w:themeTint="98" w:sz="12" w:space="0"/>
        </w:tcBorders>
      </w:tcPr>
    </w:tblStylePr>
    <w:tblStylePr w:type="lastCol">
      <w:rPr>
        <w:rFonts w:ascii="Arial" w:hAnsi="Arial"/>
        <w:color w:val="404040"/>
        <w:sz w:val="22"/>
      </w:rPr>
      <w:tcPr>
        <w:tcBorders>
          <w:left w:val="single" w:color="A9D08E" w:themeColor="accent6" w:themeTint="98" w:sz="12" w:space="0"/>
        </w:tcBorders>
      </w:tcPr>
    </w:tblStylePr>
    <w:tblStylePr w:type="lastRow">
      <w:rPr>
        <w:rFonts w:ascii="Arial" w:hAnsi="Arial"/>
        <w:color w:val="404040"/>
        <w:sz w:val="22"/>
      </w:rPr>
      <w:tcPr>
        <w:tcBorders>
          <w:top w:val="single" w:color="A9D08E" w:themeColor="accent6" w:themeTint="98" w:sz="12" w:space="0"/>
        </w:tcBorders>
      </w:tcPr>
    </w:tblStylePr>
  </w:style>
  <w:style w:type="character" w:styleId="882" w:customStyle="1">
    <w:name w:val="Footnote Text Char"/>
    <w:link w:val="727"/>
    <w:uiPriority w:val="99"/>
    <w:qFormat/>
    <w:rPr>
      <w:sz w:val="18"/>
    </w:rPr>
  </w:style>
  <w:style w:type="character" w:styleId="883" w:customStyle="1">
    <w:name w:val="Endnote Text Char"/>
    <w:link w:val="721"/>
    <w:uiPriority w:val="99"/>
    <w:qFormat/>
    <w:rPr>
      <w:sz w:val="20"/>
    </w:rPr>
  </w:style>
  <w:style w:type="character" w:styleId="884" w:customStyle="1">
    <w:name w:val="标题 1 字符"/>
    <w:basedOn w:val="707"/>
    <w:link w:val="698"/>
    <w:uiPriority w:val="9"/>
    <w:qFormat/>
    <w:rPr>
      <w:rFonts w:asciiTheme="majorHAnsi" w:hAnsiTheme="majorHAnsi" w:eastAsiaTheme="majorEastAsia" w:cstheme="majorBidi"/>
      <w:color w:val="2f5597" w:themeColor="accent1" w:themeShade="BF"/>
      <w:sz w:val="48"/>
      <w:szCs w:val="48"/>
    </w:rPr>
  </w:style>
  <w:style w:type="character" w:styleId="885" w:customStyle="1">
    <w:name w:val="标题 2 字符"/>
    <w:basedOn w:val="707"/>
    <w:link w:val="699"/>
    <w:uiPriority w:val="0"/>
    <w:qFormat/>
    <w:rPr>
      <w:rFonts w:asciiTheme="majorHAnsi" w:hAnsiTheme="majorHAnsi" w:eastAsiaTheme="majorEastAsia" w:cstheme="majorBidi"/>
      <w:color w:val="2f5597" w:themeColor="accent1" w:themeShade="BF"/>
      <w:sz w:val="40"/>
      <w:szCs w:val="40"/>
    </w:rPr>
  </w:style>
  <w:style w:type="character" w:styleId="886" w:customStyle="1">
    <w:name w:val="标题 3 字符"/>
    <w:basedOn w:val="707"/>
    <w:link w:val="700"/>
    <w:uiPriority w:val="9"/>
    <w:semiHidden/>
    <w:qFormat/>
    <w:rPr>
      <w:rFonts w:asciiTheme="majorHAnsi" w:hAnsiTheme="majorHAnsi" w:eastAsiaTheme="majorEastAsia" w:cstheme="majorBidi"/>
      <w:color w:val="2f5597" w:themeColor="accent1" w:themeShade="BF"/>
      <w:sz w:val="32"/>
      <w:szCs w:val="32"/>
    </w:rPr>
  </w:style>
  <w:style w:type="character" w:styleId="887" w:customStyle="1">
    <w:name w:val="标题 4 字符"/>
    <w:basedOn w:val="707"/>
    <w:link w:val="701"/>
    <w:uiPriority w:val="9"/>
    <w:semiHidden/>
    <w:qFormat/>
    <w:rPr>
      <w:rFonts w:cstheme="majorBidi"/>
      <w:color w:val="2f5597" w:themeColor="accent1" w:themeShade="BF"/>
      <w:sz w:val="28"/>
      <w:szCs w:val="28"/>
    </w:rPr>
  </w:style>
  <w:style w:type="character" w:styleId="888" w:customStyle="1">
    <w:name w:val="标题 5 字符"/>
    <w:basedOn w:val="707"/>
    <w:link w:val="702"/>
    <w:uiPriority w:val="9"/>
    <w:semiHidden/>
    <w:qFormat/>
    <w:rPr>
      <w:rFonts w:cstheme="majorBidi"/>
      <w:color w:val="2f5597" w:themeColor="accent1" w:themeShade="BF"/>
      <w:sz w:val="24"/>
      <w:szCs w:val="24"/>
    </w:rPr>
  </w:style>
  <w:style w:type="character" w:styleId="889" w:customStyle="1">
    <w:name w:val="标题 6 字符"/>
    <w:basedOn w:val="707"/>
    <w:link w:val="703"/>
    <w:uiPriority w:val="9"/>
    <w:semiHidden/>
    <w:qFormat/>
    <w:rPr>
      <w:rFonts w:cstheme="majorBidi"/>
      <w:b/>
      <w:bCs/>
      <w:color w:val="2f5597" w:themeColor="accent1" w:themeShade="BF"/>
    </w:rPr>
  </w:style>
  <w:style w:type="character" w:styleId="890" w:customStyle="1">
    <w:name w:val="标题 7 字符"/>
    <w:basedOn w:val="707"/>
    <w:link w:val="704"/>
    <w:uiPriority w:val="9"/>
    <w:semiHidden/>
    <w:qFormat/>
    <w:rPr>
      <w:rFonts w:cstheme="majorBidi"/>
      <w:b/>
      <w:bCs/>
      <w:color w:val="595959" w:themeColor="text1" w:themeTint="A6"/>
      <w14:textFill>
        <w14:solidFill>
          <w14:schemeClr w14:val="tx1">
            <w14:lumMod w14:val="65000"/>
            <w14:lumOff w14:val="35000"/>
          </w14:schemeClr>
        </w14:solidFill>
      </w14:textFill>
    </w:rPr>
  </w:style>
  <w:style w:type="character" w:styleId="891" w:customStyle="1">
    <w:name w:val="标题 8 字符"/>
    <w:basedOn w:val="707"/>
    <w:link w:val="705"/>
    <w:uiPriority w:val="9"/>
    <w:semiHidden/>
    <w:qFormat/>
    <w:rPr>
      <w:rFonts w:cstheme="majorBidi"/>
      <w:color w:val="595959" w:themeColor="text1" w:themeTint="A6"/>
      <w14:textFill>
        <w14:solidFill>
          <w14:schemeClr w14:val="tx1">
            <w14:lumMod w14:val="65000"/>
            <w14:lumOff w14:val="35000"/>
          </w14:schemeClr>
        </w14:solidFill>
      </w14:textFill>
    </w:rPr>
  </w:style>
  <w:style w:type="character" w:styleId="892" w:customStyle="1">
    <w:name w:val="标题 9 字符"/>
    <w:basedOn w:val="707"/>
    <w:link w:val="706"/>
    <w:uiPriority w:val="9"/>
    <w:semiHidden/>
    <w:qFormat/>
    <w:rPr>
      <w:rFonts w:eastAsiaTheme="majorEastAsia" w:cstheme="majorBidi"/>
      <w:color w:val="595959" w:themeColor="text1" w:themeTint="A6"/>
      <w14:textFill>
        <w14:solidFill>
          <w14:schemeClr w14:val="tx1">
            <w14:lumMod w14:val="65000"/>
            <w14:lumOff w14:val="35000"/>
          </w14:schemeClr>
        </w14:solidFill>
      </w14:textFill>
    </w:rPr>
  </w:style>
  <w:style w:type="character" w:styleId="893" w:customStyle="1">
    <w:name w:val="标题 字符"/>
    <w:basedOn w:val="707"/>
    <w:link w:val="733"/>
    <w:uiPriority w:val="10"/>
    <w:qFormat/>
    <w:rPr>
      <w:rFonts w:asciiTheme="majorHAnsi" w:hAnsiTheme="majorHAnsi" w:eastAsiaTheme="majorEastAsia" w:cstheme="majorBidi"/>
      <w:spacing w:val="-10"/>
      <w:sz w:val="56"/>
      <w:szCs w:val="56"/>
    </w:rPr>
  </w:style>
  <w:style w:type="character" w:styleId="894" w:customStyle="1">
    <w:name w:val="副标题 字符"/>
    <w:basedOn w:val="707"/>
    <w:link w:val="726"/>
    <w:uiPriority w:val="11"/>
    <w:qFormat/>
    <w:rPr>
      <w:rFonts w:asciiTheme="majorHAnsi" w:hAnsiTheme="majorHAnsi" w:eastAsiaTheme="majorEastAsia" w:cstheme="majorBidi"/>
      <w:color w:val="595959" w:themeColor="text1" w:themeTint="A6"/>
      <w:spacing w:val="15"/>
      <w:sz w:val="28"/>
      <w:szCs w:val="28"/>
      <w14:textFill>
        <w14:solidFill>
          <w14:schemeClr w14:val="tx1">
            <w14:lumMod w14:val="65000"/>
            <w14:lumOff w14:val="35000"/>
          </w14:schemeClr>
        </w14:solidFill>
      </w14:textFill>
    </w:rPr>
  </w:style>
  <w:style w:type="paragraph" w:styleId="895">
    <w:name w:val="Quote"/>
    <w:basedOn w:val="697"/>
    <w:next w:val="697"/>
    <w:link w:val="896"/>
    <w:uiPriority w:val="29"/>
    <w:qFormat/>
    <w:pPr>
      <w:jc w:val="center"/>
      <w:spacing w:before="160" w:after="160"/>
    </w:pPr>
    <w:rPr>
      <w:i/>
      <w:iCs/>
      <w:color w:val="404040" w:themeColor="text1" w:themeTint="BF"/>
      <w14:textFill>
        <w14:solidFill>
          <w14:schemeClr w14:val="tx1">
            <w14:lumMod w14:val="75000"/>
            <w14:lumOff w14:val="25000"/>
          </w14:schemeClr>
        </w14:solidFill>
      </w14:textFill>
    </w:rPr>
  </w:style>
  <w:style w:type="character" w:styleId="896" w:customStyle="1">
    <w:name w:val="引用 字符"/>
    <w:basedOn w:val="707"/>
    <w:link w:val="895"/>
    <w:uiPriority w:val="29"/>
    <w:qFormat/>
    <w:rPr>
      <w:i/>
      <w:iCs/>
      <w:color w:val="404040" w:themeColor="text1" w:themeTint="BF"/>
      <w14:textFill>
        <w14:solidFill>
          <w14:schemeClr w14:val="tx1">
            <w14:lumMod w14:val="75000"/>
            <w14:lumOff w14:val="25000"/>
          </w14:schemeClr>
        </w14:solidFill>
      </w14:textFill>
    </w:rPr>
  </w:style>
  <w:style w:type="paragraph" w:styleId="897">
    <w:name w:val="List Paragraph"/>
    <w:basedOn w:val="697"/>
    <w:uiPriority w:val="34"/>
    <w:qFormat/>
    <w:pPr>
      <w:contextualSpacing/>
      <w:ind w:left="720"/>
    </w:pPr>
  </w:style>
  <w:style w:type="character" w:styleId="898" w:customStyle="1">
    <w:name w:val="Intense Emphasis"/>
    <w:basedOn w:val="707"/>
    <w:uiPriority w:val="21"/>
    <w:qFormat/>
    <w:rPr>
      <w:i/>
      <w:iCs/>
      <w:color w:val="2f5597" w:themeColor="accent1" w:themeShade="BF"/>
    </w:rPr>
  </w:style>
  <w:style w:type="paragraph" w:styleId="899">
    <w:name w:val="Intense Quote"/>
    <w:basedOn w:val="697"/>
    <w:next w:val="697"/>
    <w:link w:val="900"/>
    <w:uiPriority w:val="30"/>
    <w:qFormat/>
    <w:pPr>
      <w:ind w:left="864" w:right="864"/>
      <w:jc w:val="center"/>
      <w:spacing w:before="360" w:after="360"/>
      <w:pBdr>
        <w:top w:val="single" w:color="2F5496" w:themeColor="accent1" w:themeShade="BF" w:sz="4" w:space="10"/>
        <w:bottom w:val="single" w:color="2F5496" w:themeColor="accent1" w:themeShade="BF" w:sz="4" w:space="10"/>
      </w:pBdr>
    </w:pPr>
    <w:rPr>
      <w:i/>
      <w:iCs/>
      <w:color w:val="2f5597" w:themeColor="accent1" w:themeShade="BF"/>
    </w:rPr>
  </w:style>
  <w:style w:type="character" w:styleId="900" w:customStyle="1">
    <w:name w:val="明显引用 字符"/>
    <w:basedOn w:val="707"/>
    <w:link w:val="899"/>
    <w:uiPriority w:val="30"/>
    <w:qFormat/>
    <w:rPr>
      <w:i/>
      <w:iCs/>
      <w:color w:val="2f5597" w:themeColor="accent1" w:themeShade="BF"/>
    </w:rPr>
  </w:style>
  <w:style w:type="character" w:styleId="901" w:customStyle="1">
    <w:name w:val="Intense Reference"/>
    <w:basedOn w:val="707"/>
    <w:uiPriority w:val="32"/>
    <w:qFormat/>
    <w:rPr>
      <w:b/>
      <w:bCs/>
      <w:smallCaps/>
      <w:color w:val="2f5597" w:themeColor="accent1" w:themeShade="BF"/>
      <w:spacing w:val="5"/>
    </w:rPr>
  </w:style>
  <w:style w:type="character" w:styleId="902" w:customStyle="1">
    <w:name w:val="页眉 字符"/>
    <w:basedOn w:val="707"/>
    <w:link w:val="723"/>
    <w:uiPriority w:val="99"/>
    <w:qFormat/>
    <w:rPr>
      <w:sz w:val="18"/>
      <w:szCs w:val="18"/>
    </w:rPr>
  </w:style>
  <w:style w:type="character" w:styleId="903" w:customStyle="1">
    <w:name w:val="页脚 字符"/>
    <w:basedOn w:val="707"/>
    <w:link w:val="722"/>
    <w:uiPriority w:val="99"/>
    <w:qFormat/>
    <w:rPr>
      <w:sz w:val="18"/>
      <w:szCs w:val="18"/>
    </w:rPr>
  </w:style>
  <w:style w:type="paragraph" w:styleId="904" w:customStyle="1">
    <w:name w:val="普通正文"/>
    <w:basedOn w:val="697"/>
    <w:uiPriority w:val="0"/>
    <w:qFormat/>
    <w:pPr>
      <w:ind w:firstLine="360"/>
      <w:jc w:val="left"/>
      <w:spacing w:before="120" w:after="120" w:line="360" w:lineRule="auto"/>
    </w:pPr>
    <w:rPr>
      <w:rFonts w:ascii="宋体" w:hAnsi="宋体" w:eastAsia="宋体" w:cs="宋体"/>
      <w:sz w:val="24"/>
      <w:szCs w:val="24"/>
    </w:rPr>
  </w:style>
  <w:style w:type="paragraph" w:styleId="905" w:customStyle="1">
    <w:name w:val="Default"/>
    <w:basedOn w:val="697"/>
    <w:uiPriority w:val="0"/>
    <w:semiHidden/>
    <w:qFormat/>
    <w:pPr>
      <w:jc w:val="left"/>
    </w:pPr>
    <w:rPr>
      <w:rFonts w:ascii="宋体" w:hAnsi="Calibri" w:cs="宋体"/>
      <w:color w:val="000000"/>
      <w:sz w:val="24"/>
      <w:szCs w:val="24"/>
    </w:rPr>
  </w:style>
  <w:style w:type="paragraph" w:styleId="906" w:customStyle="1">
    <w:name w:val="TOC Heading"/>
    <w:basedOn w:val="698"/>
    <w:next w:val="697"/>
    <w:uiPriority w:val="39"/>
    <w:unhideWhenUsed/>
    <w:qFormat/>
    <w:pPr>
      <w:jc w:val="left"/>
      <w:spacing w:before="240" w:after="0" w:line="259" w:lineRule="auto"/>
      <w:widowControl/>
      <w:outlineLvl w:val="9"/>
    </w:pPr>
    <w:rPr>
      <w:sz w:val="32"/>
      <w:szCs w:val="32"/>
    </w:rPr>
  </w:style>
  <w:style w:type="paragraph" w:styleId="907" w:customStyle="1">
    <w:name w:val="Table Paragraph"/>
    <w:basedOn w:val="697"/>
    <w:uiPriority w:val="1"/>
    <w:qFormat/>
    <w:rPr>
      <w:rFonts w:ascii="宋体" w:hAnsi="宋体" w:eastAsia="宋体" w:cs="宋体"/>
      <w:lang w:val="zh-CN" w:eastAsia="zh-CN" w:bidi="zh-CN"/>
    </w:rPr>
  </w:style>
  <w:style w:type="paragraph" w:styleId="908" w:customStyle="1">
    <w:name w:val="Char"/>
    <w:basedOn w:val="697"/>
    <w:uiPriority w:val="0"/>
    <w:qFormat/>
    <w:pPr>
      <w:tabs>
        <w:tab w:val="left" w:pos="360" w:leader="none"/>
      </w:tabs>
    </w:pPr>
    <w:rPr>
      <w:sz w:val="24"/>
    </w:rPr>
  </w:style>
  <w:style w:type="paragraph" w:styleId="909" w:customStyle="1">
    <w:name w:val="标题 31"/>
    <w:basedOn w:val="697"/>
    <w:next w:val="697"/>
    <w:uiPriority w:val="0"/>
    <w:qFormat/>
    <w:pPr>
      <w:jc w:val="left"/>
      <w:spacing w:before="100" w:beforeAutospacing="1" w:after="100" w:afterAutospacing="1"/>
      <w:widowControl/>
      <w:outlineLvl w:val="2"/>
    </w:pPr>
    <w:rPr>
      <w:rFonts w:ascii="_x000B__x000C_" w:hAnsi="_x000B__x000C_"/>
      <w:b/>
      <w:color w:val="999999"/>
      <w:sz w:val="19"/>
      <w:szCs w:val="20"/>
    </w:rPr>
  </w:style>
  <w:style w:type="numbering" w:styleId="91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 Id="rId1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1B0A4788-646D-4B70-B131-A78063D0608C}"/>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江苏汉唐国际贸易集团有限公司</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孙桂林</dc:creator>
  <cp:lastModifiedBy>孙丹萍</cp:lastModifiedBy>
  <cp:revision>1022</cp:revision>
  <dcterms:created xsi:type="dcterms:W3CDTF">2025-04-17T02:54:00Z</dcterms:created>
  <dcterms:modified xsi:type="dcterms:W3CDTF">2026-07-13T00:49:36Z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eyJoZGlkIjoiYTcyMDk0ZWExNjNhM2NjZGY4MTgwZTE5YmQzNzVhMzAiLCJ1c2VySWQiOiIzNjMzNTM2NDAifQ==</vt:lpwstr>
  </property>
  <property fmtid="{D5CDD505-2E9C-101B-9397-08002B2CF9AE}" pid="3" name="KSOProductBuildVer">
    <vt:lpwstr>2052-12.1.0.26895</vt:lpwstr>
  </property>
  <property fmtid="{D5CDD505-2E9C-101B-9397-08002B2CF9AE}" pid="4" name="ICV">
    <vt:lpwstr>AEDCB631D733411D8A8EA38510EB5CDA_13</vt:lpwstr>
  </property>
</Properties>
</file>