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C424D">
      <w:pPr>
        <w:pStyle w:val="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4CCDA962">
      <w:pPr>
        <w:pStyle w:val="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单一来源采购文件</w:t>
      </w:r>
    </w:p>
    <w:p w14:paraId="64FB83BD">
      <w:pPr>
        <w:pStyle w:val="6"/>
        <w:spacing w:before="120" w:beforeAutospacing="0" w:after="120" w:afterAutospacing="0" w:line="360" w:lineRule="auto"/>
        <w:rPr>
          <w:rFonts w:hint="eastAsia" w:ascii="宋体" w:hAnsi="宋体" w:eastAsia="宋体" w:cs="宋体"/>
          <w:b/>
          <w:color w:val="auto"/>
          <w:sz w:val="32"/>
          <w:szCs w:val="32"/>
          <w:highlight w:val="none"/>
        </w:rPr>
      </w:pPr>
    </w:p>
    <w:p w14:paraId="2A2ED104">
      <w:pPr>
        <w:pStyle w:val="6"/>
        <w:spacing w:before="120" w:beforeAutospacing="0" w:after="120" w:afterAutospacing="0" w:line="360" w:lineRule="auto"/>
        <w:rPr>
          <w:rFonts w:hint="eastAsia" w:ascii="宋体" w:hAnsi="宋体" w:eastAsia="宋体" w:cs="宋体"/>
          <w:b/>
          <w:color w:val="auto"/>
          <w:sz w:val="32"/>
          <w:szCs w:val="32"/>
          <w:highlight w:val="none"/>
        </w:rPr>
      </w:pPr>
    </w:p>
    <w:p w14:paraId="212C7C8A">
      <w:pPr>
        <w:pStyle w:val="6"/>
        <w:spacing w:before="120" w:beforeAutospacing="0" w:after="120" w:afterAutospacing="0" w:line="360" w:lineRule="auto"/>
        <w:rPr>
          <w:rFonts w:hint="eastAsia" w:ascii="宋体" w:hAnsi="宋体" w:eastAsia="宋体" w:cs="宋体"/>
          <w:b/>
          <w:color w:val="auto"/>
          <w:sz w:val="32"/>
          <w:szCs w:val="32"/>
          <w:highlight w:val="none"/>
        </w:rPr>
      </w:pPr>
    </w:p>
    <w:p w14:paraId="764FB6A2">
      <w:pPr>
        <w:pStyle w:val="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t>项目名称：滨海县应急广播体系深化建设及长效运维项目</w:t>
      </w:r>
    </w:p>
    <w:p w14:paraId="1CACDFC2">
      <w:pPr>
        <w:rPr>
          <w:rFonts w:hint="eastAsia"/>
          <w:color w:val="auto"/>
          <w:highlight w:val="none"/>
        </w:rPr>
      </w:pPr>
      <w:r>
        <w:rPr>
          <w:rFonts w:hint="eastAsia" w:ascii="宋体" w:hAnsi="宋体" w:eastAsia="宋体" w:cs="宋体"/>
          <w:b/>
          <w:bCs/>
          <w:color w:val="auto"/>
          <w:sz w:val="32"/>
          <w:szCs w:val="32"/>
          <w:highlight w:val="none"/>
        </w:rPr>
        <w:t>项目编号：JSZC-320922-ZAIX-D2026-0008 </w:t>
      </w:r>
      <w:r>
        <w:rPr>
          <w:rFonts w:hint="eastAsia"/>
          <w:color w:val="auto"/>
          <w:highlight w:val="none"/>
        </w:rPr>
        <w:t xml:space="preserve">              </w:t>
      </w:r>
    </w:p>
    <w:p w14:paraId="449256A4">
      <w:pPr>
        <w:pStyle w:val="6"/>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2F5DBC9F">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2870BC6">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7AA15990">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CBD4765">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C1F225C">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021C1B8C">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48609702">
      <w:pPr>
        <w:pStyle w:val="6"/>
        <w:spacing w:beforeAutospacing="0" w:afterAutospacing="0" w:line="360" w:lineRule="auto"/>
        <w:rPr>
          <w:rFonts w:hint="eastAsia" w:ascii="宋体" w:hAnsi="宋体" w:eastAsia="宋体" w:cs="宋体"/>
          <w:color w:val="auto"/>
          <w:highlight w:val="none"/>
        </w:rPr>
      </w:pPr>
    </w:p>
    <w:p w14:paraId="522F01F9">
      <w:pPr>
        <w:pStyle w:val="6"/>
        <w:spacing w:beforeAutospacing="0" w:afterAutospacing="0" w:line="360" w:lineRule="auto"/>
        <w:rPr>
          <w:rFonts w:hint="eastAsia" w:ascii="宋体" w:hAnsi="宋体" w:eastAsia="宋体" w:cs="宋体"/>
          <w:color w:val="auto"/>
          <w:highlight w:val="none"/>
        </w:rPr>
      </w:pPr>
    </w:p>
    <w:p w14:paraId="40893076">
      <w:pPr>
        <w:pStyle w:val="6"/>
        <w:spacing w:beforeAutospacing="0" w:afterAutospacing="0" w:line="360" w:lineRule="auto"/>
        <w:rPr>
          <w:rFonts w:hint="eastAsia" w:ascii="宋体" w:hAnsi="宋体" w:eastAsia="宋体" w:cs="宋体"/>
          <w:color w:val="auto"/>
          <w:highlight w:val="none"/>
        </w:rPr>
      </w:pPr>
    </w:p>
    <w:p w14:paraId="2080EAC5">
      <w:pPr>
        <w:pStyle w:val="6"/>
        <w:spacing w:beforeAutospacing="0" w:afterAutospacing="0" w:line="360" w:lineRule="auto"/>
        <w:rPr>
          <w:rFonts w:hint="eastAsia" w:ascii="宋体" w:hAnsi="宋体" w:eastAsia="宋体" w:cs="宋体"/>
          <w:color w:val="auto"/>
          <w:highlight w:val="none"/>
        </w:rPr>
      </w:pPr>
    </w:p>
    <w:p w14:paraId="79293FA0">
      <w:pPr>
        <w:pStyle w:val="6"/>
        <w:spacing w:before="120" w:beforeAutospacing="0" w:after="12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滨海县文化广电和旅游局</w:t>
      </w:r>
    </w:p>
    <w:p w14:paraId="1A1C951D">
      <w:pPr>
        <w:pStyle w:val="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2026</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4</w:t>
      </w:r>
      <w:r>
        <w:rPr>
          <w:rFonts w:hint="eastAsia" w:ascii="宋体" w:hAnsi="宋体" w:eastAsia="宋体" w:cs="宋体"/>
          <w:b/>
          <w:color w:val="auto"/>
          <w:sz w:val="32"/>
          <w:szCs w:val="32"/>
          <w:highlight w:val="none"/>
        </w:rPr>
        <w:t>月</w:t>
      </w:r>
      <w:r>
        <w:rPr>
          <w:rFonts w:hint="eastAsia" w:ascii="宋体" w:hAnsi="宋体" w:eastAsia="宋体" w:cs="宋体"/>
          <w:b/>
          <w:color w:val="auto"/>
          <w:sz w:val="32"/>
          <w:szCs w:val="32"/>
          <w:highlight w:val="none"/>
          <w:lang w:val="en-US" w:eastAsia="zh-CN"/>
        </w:rPr>
        <w:t>29</w:t>
      </w:r>
      <w:r>
        <w:rPr>
          <w:rFonts w:hint="eastAsia" w:ascii="宋体" w:hAnsi="宋体" w:eastAsia="宋体" w:cs="宋体"/>
          <w:b/>
          <w:color w:val="auto"/>
          <w:sz w:val="32"/>
          <w:szCs w:val="32"/>
          <w:highlight w:val="none"/>
        </w:rPr>
        <w:t>日</w:t>
      </w:r>
    </w:p>
    <w:p w14:paraId="7768A506">
      <w:pPr>
        <w:pStyle w:val="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w:t>
      </w:r>
    </w:p>
    <w:p w14:paraId="636BBE54">
      <w:pPr>
        <w:pStyle w:val="6"/>
        <w:spacing w:beforeAutospacing="0" w:afterAutospacing="0" w:line="480" w:lineRule="auto"/>
        <w:jc w:val="center"/>
        <w:rPr>
          <w:rFonts w:hint="eastAsia" w:ascii="宋体" w:hAnsi="宋体" w:eastAsia="宋体" w:cs="宋体"/>
          <w:color w:val="auto"/>
          <w:sz w:val="21"/>
          <w:szCs w:val="21"/>
          <w:highlight w:val="none"/>
        </w:rPr>
      </w:pPr>
    </w:p>
    <w:p w14:paraId="4A0752A9">
      <w:pPr>
        <w:pStyle w:val="6"/>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bookmarkStart w:id="0" w:name="_Toc120614210"/>
      <w:bookmarkStart w:id="1" w:name="_Toc20823272"/>
      <w:bookmarkStart w:id="2" w:name="_Toc513029200"/>
      <w:bookmarkStart w:id="3" w:name="_Toc523127445"/>
      <w:bookmarkStart w:id="4" w:name="_Toc16938516"/>
      <w:bookmarkStart w:id="5" w:name="_Toc479757206"/>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0A0F2D03">
      <w:pPr>
        <w:pStyle w:val="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34D6716">
      <w:pPr>
        <w:pStyle w:val="6"/>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单一来源采购邀请…………………………</w:t>
      </w:r>
    </w:p>
    <w:p w14:paraId="0014B505">
      <w:pPr>
        <w:pStyle w:val="6"/>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供应商须知…………………………………  </w:t>
      </w:r>
    </w:p>
    <w:p w14:paraId="5B0178C0">
      <w:pPr>
        <w:pStyle w:val="6"/>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合同文本……………………………………</w:t>
      </w:r>
    </w:p>
    <w:p w14:paraId="5E0EA7D6">
      <w:pPr>
        <w:pStyle w:val="6"/>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采购需求……………………………………</w:t>
      </w:r>
    </w:p>
    <w:p w14:paraId="3FAEFC48">
      <w:pPr>
        <w:pStyle w:val="6"/>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响应文件格式………………………………</w:t>
      </w:r>
    </w:p>
    <w:p w14:paraId="4A5B0D2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928213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CBA81A">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52DA9A">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1270987">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EEDA9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776D3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4663AA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145F51C">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8E07C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9543616">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1C632E5">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035AF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E4B3FE">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ACFAD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5E7E13">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3E7215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5E6A1D2">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72004A">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1467AC">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AD1641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99649A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76ACA47">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DCCD56">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0581D5">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E50CD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B48A191">
      <w:pPr>
        <w:pStyle w:val="6"/>
        <w:spacing w:beforeAutospacing="0" w:afterAutospacing="0"/>
        <w:jc w:val="both"/>
        <w:rPr>
          <w:rFonts w:hint="eastAsia" w:ascii="宋体" w:hAnsi="宋体" w:eastAsia="宋体" w:cs="宋体"/>
          <w:color w:val="auto"/>
          <w:highlight w:val="none"/>
        </w:rPr>
      </w:pPr>
    </w:p>
    <w:p w14:paraId="65609C6C">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C45DF86">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20362CB">
      <w:pPr>
        <w:pStyle w:val="6"/>
        <w:spacing w:beforeAutospacing="0" w:afterAutospacing="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第一章  单一来源采购邀请</w:t>
      </w:r>
    </w:p>
    <w:p w14:paraId="5A7B3170">
      <w:pPr>
        <w:pStyle w:val="6"/>
        <w:spacing w:beforeAutospacing="0" w:afterAutospacing="0"/>
        <w:ind w:firstLine="480"/>
        <w:jc w:val="both"/>
        <w:rPr>
          <w:rFonts w:hint="eastAsia" w:ascii="宋体" w:hAnsi="宋体" w:eastAsia="宋体" w:cs="宋体"/>
          <w:color w:val="auto"/>
          <w:sz w:val="24"/>
          <w:szCs w:val="24"/>
          <w:highlight w:val="none"/>
        </w:rPr>
      </w:pPr>
    </w:p>
    <w:p w14:paraId="2D59086D">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w:t>
      </w:r>
      <w:r>
        <w:rPr>
          <w:rFonts w:hint="eastAsia" w:ascii="宋体" w:hAnsi="宋体" w:eastAsia="宋体" w:cs="宋体"/>
          <w:color w:val="auto"/>
          <w:sz w:val="28"/>
          <w:szCs w:val="28"/>
          <w:highlight w:val="none"/>
          <w:u w:val="single"/>
        </w:rPr>
        <w:t>滨海县文化广电和旅游局</w:t>
      </w:r>
      <w:r>
        <w:rPr>
          <w:rFonts w:hint="eastAsia" w:ascii="宋体" w:hAnsi="宋体" w:eastAsia="宋体" w:cs="宋体"/>
          <w:color w:val="auto"/>
          <w:sz w:val="28"/>
          <w:szCs w:val="28"/>
          <w:highlight w:val="none"/>
        </w:rPr>
        <w:t>的委托，</w:t>
      </w:r>
      <w:r>
        <w:rPr>
          <w:rFonts w:hint="eastAsia" w:ascii="宋体" w:hAnsi="宋体" w:eastAsia="宋体" w:cs="宋体"/>
          <w:color w:val="auto"/>
          <w:sz w:val="28"/>
          <w:szCs w:val="28"/>
          <w:highlight w:val="none"/>
          <w:u w:val="single"/>
          <w:lang w:eastAsia="zh-CN"/>
        </w:rPr>
        <w:t>盐城载鑫项目管理咨询有限公司</w:t>
      </w:r>
      <w:r>
        <w:rPr>
          <w:rFonts w:hint="eastAsia" w:ascii="宋体" w:hAnsi="宋体" w:eastAsia="宋体" w:cs="宋体"/>
          <w:color w:val="auto"/>
          <w:sz w:val="28"/>
          <w:szCs w:val="28"/>
          <w:highlight w:val="none"/>
          <w:u w:val="none"/>
        </w:rPr>
        <w:t>就</w:t>
      </w:r>
      <w:r>
        <w:rPr>
          <w:rFonts w:hint="eastAsia" w:ascii="宋体" w:hAnsi="宋体" w:eastAsia="宋体" w:cs="宋体"/>
          <w:color w:val="auto"/>
          <w:sz w:val="28"/>
          <w:szCs w:val="28"/>
          <w:highlight w:val="none"/>
          <w:u w:val="single"/>
        </w:rPr>
        <w:t>滨海县应急广播体系深化建设及长效运维项目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lang w:eastAsia="zh-CN"/>
        </w:rPr>
        <w:t>：JSZC-320922-ZAIX-D2026-0008</w:t>
      </w:r>
      <w:r>
        <w:rPr>
          <w:rFonts w:hint="eastAsia" w:ascii="宋体" w:hAnsi="宋体" w:eastAsia="宋体" w:cs="宋体"/>
          <w:color w:val="auto"/>
          <w:sz w:val="28"/>
          <w:szCs w:val="28"/>
          <w:highlight w:val="none"/>
        </w:rPr>
        <w:t>)项目进行单一来源采购，欢迎符合相关条件的合格供应商参加采购活动。</w:t>
      </w:r>
    </w:p>
    <w:p w14:paraId="097A953F">
      <w:pPr>
        <w:pStyle w:val="6"/>
        <w:keepNext/>
        <w:keepLines/>
        <w:spacing w:before="145" w:beforeAutospacing="0" w:after="145" w:afterAutospacing="0" w:line="360" w:lineRule="auto"/>
        <w:ind w:firstLine="498"/>
        <w:jc w:val="both"/>
        <w:rPr>
          <w:rFonts w:hint="eastAsia" w:ascii="宋体" w:hAnsi="宋体" w:eastAsia="宋体" w:cs="宋体"/>
          <w:color w:val="auto"/>
          <w:sz w:val="28"/>
          <w:szCs w:val="28"/>
          <w:highlight w:val="none"/>
        </w:rPr>
      </w:pPr>
      <w:bookmarkStart w:id="6" w:name="_Toc28359079"/>
      <w:bookmarkStart w:id="7" w:name="_Hlk24379207"/>
      <w:bookmarkStart w:id="8" w:name="_Toc28359002"/>
      <w:bookmarkStart w:id="9" w:name="_Toc38985263"/>
      <w:bookmarkStart w:id="10" w:name="_Toc35393790"/>
      <w:bookmarkStart w:id="11" w:name="_Toc35393621"/>
      <w:r>
        <w:rPr>
          <w:rFonts w:hint="eastAsia" w:ascii="宋体" w:hAnsi="宋体" w:eastAsia="宋体" w:cs="宋体"/>
          <w:b/>
          <w:color w:val="auto"/>
          <w:sz w:val="28"/>
          <w:szCs w:val="28"/>
          <w:highlight w:val="none"/>
        </w:rPr>
        <w:t>一、项目基本情况</w:t>
      </w:r>
      <w:bookmarkEnd w:id="6"/>
      <w:bookmarkEnd w:id="7"/>
      <w:bookmarkEnd w:id="8"/>
      <w:bookmarkEnd w:id="9"/>
      <w:bookmarkEnd w:id="10"/>
      <w:bookmarkEnd w:id="11"/>
    </w:p>
    <w:p w14:paraId="099DBFCD">
      <w:pPr>
        <w:pStyle w:val="6"/>
        <w:spacing w:beforeAutospacing="0" w:afterAutospacing="0"/>
        <w:ind w:firstLine="480"/>
        <w:jc w:val="both"/>
        <w:rPr>
          <w:rFonts w:hint="eastAsia" w:ascii="宋体" w:hAnsi="宋体" w:eastAsia="宋体" w:cs="宋体"/>
          <w:color w:val="auto"/>
          <w:sz w:val="28"/>
          <w:szCs w:val="28"/>
          <w:highlight w:val="none"/>
        </w:rPr>
      </w:pPr>
      <w:bookmarkStart w:id="12" w:name="_Toc28359003"/>
      <w:bookmarkStart w:id="13" w:name="_Toc35393622"/>
      <w:bookmarkStart w:id="14" w:name="_Toc35393791"/>
      <w:bookmarkStart w:id="15" w:name="_Toc38985264"/>
      <w:bookmarkStart w:id="16" w:name="_Toc28359080"/>
      <w:r>
        <w:rPr>
          <w:rFonts w:hint="eastAsia" w:ascii="宋体" w:hAnsi="宋体" w:eastAsia="宋体" w:cs="宋体"/>
          <w:color w:val="auto"/>
          <w:sz w:val="28"/>
          <w:szCs w:val="28"/>
          <w:highlight w:val="none"/>
        </w:rPr>
        <w:t>1.项目编号：JSZC-320922-ZAIX-D2026-0008</w:t>
      </w:r>
    </w:p>
    <w:p w14:paraId="4B9A5FA6">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2.项目名称：滨海县应急广播体系深化建设及长效运维项目</w:t>
      </w:r>
    </w:p>
    <w:p w14:paraId="0A4F50A6">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3.</w:t>
      </w:r>
      <w:r>
        <w:rPr>
          <w:rFonts w:hint="eastAsia" w:ascii="宋体" w:hAnsi="宋体" w:eastAsia="宋体" w:cs="宋体"/>
          <w:i w:val="0"/>
          <w:iCs w:val="0"/>
          <w:caps w:val="0"/>
          <w:color w:val="auto"/>
          <w:spacing w:val="0"/>
          <w:sz w:val="28"/>
          <w:szCs w:val="28"/>
          <w:highlight w:val="none"/>
          <w:shd w:val="clear" w:fill="FFFFFF"/>
        </w:rPr>
        <w:t>采购方式：</w:t>
      </w:r>
      <w:r>
        <w:rPr>
          <w:rFonts w:hint="eastAsia" w:ascii="宋体" w:hAnsi="宋体" w:eastAsia="宋体" w:cs="宋体"/>
          <w:i w:val="0"/>
          <w:iCs w:val="0"/>
          <w:caps w:val="0"/>
          <w:color w:val="auto"/>
          <w:spacing w:val="0"/>
          <w:sz w:val="28"/>
          <w:szCs w:val="28"/>
          <w:highlight w:val="none"/>
          <w:shd w:val="clear" w:fill="FFFFFF"/>
          <w:lang w:val="en-US" w:eastAsia="zh-CN"/>
        </w:rPr>
        <w:t>单一来源采购</w:t>
      </w:r>
    </w:p>
    <w:p w14:paraId="4C5C123C">
      <w:pPr>
        <w:pStyle w:val="6"/>
        <w:spacing w:beforeAutospacing="0" w:afterAutospacing="0"/>
        <w:ind w:firstLine="480"/>
        <w:jc w:val="both"/>
        <w:rPr>
          <w:rFonts w:hint="eastAsia" w:ascii="宋体" w:hAnsi="宋体" w:eastAsia="宋体" w:cs="宋体"/>
          <w:color w:val="auto"/>
          <w:sz w:val="28"/>
          <w:szCs w:val="28"/>
          <w:highlight w:val="none"/>
          <w:shd w:val="clear" w:color="auto" w:fill="FFFF00"/>
          <w:lang w:val="en-US"/>
        </w:rPr>
      </w:pPr>
      <w:r>
        <w:rPr>
          <w:rFonts w:hint="eastAsia" w:ascii="宋体" w:hAnsi="宋体" w:eastAsia="宋体" w:cs="宋体"/>
          <w:i w:val="0"/>
          <w:iCs w:val="0"/>
          <w:caps w:val="0"/>
          <w:color w:val="auto"/>
          <w:spacing w:val="0"/>
          <w:sz w:val="28"/>
          <w:szCs w:val="28"/>
          <w:highlight w:val="none"/>
          <w:shd w:val="clear" w:fill="FFFFFF"/>
          <w:lang w:val="en-US" w:eastAsia="zh-CN"/>
        </w:rPr>
        <w:t>4.预算金额：1581.44万元（其中深化建设的预算金额为679.66万元，长效运维的预算金额为901.78万元）</w:t>
      </w:r>
    </w:p>
    <w:p w14:paraId="730A2A34">
      <w:pPr>
        <w:pStyle w:val="6"/>
        <w:spacing w:beforeAutospacing="0" w:afterAutospacing="0"/>
        <w:ind w:firstLine="480"/>
        <w:jc w:val="both"/>
        <w:rPr>
          <w:rFonts w:hint="eastAsia" w:ascii="宋体" w:hAnsi="宋体" w:eastAsia="宋体" w:cs="宋体"/>
          <w:color w:val="auto"/>
          <w:sz w:val="28"/>
          <w:szCs w:val="28"/>
          <w:highlight w:val="none"/>
          <w:shd w:val="clear" w:color="auto" w:fill="FFFF00"/>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5.</w:t>
      </w:r>
      <w:r>
        <w:rPr>
          <w:rFonts w:hint="eastAsia" w:ascii="宋体" w:hAnsi="宋体" w:eastAsia="宋体" w:cs="宋体"/>
          <w:i w:val="0"/>
          <w:iCs w:val="0"/>
          <w:caps w:val="0"/>
          <w:color w:val="auto"/>
          <w:spacing w:val="0"/>
          <w:sz w:val="28"/>
          <w:szCs w:val="28"/>
          <w:highlight w:val="none"/>
          <w:shd w:val="clear" w:fill="FFFFFF"/>
        </w:rPr>
        <w:t>最高限价：</w:t>
      </w:r>
      <w:r>
        <w:rPr>
          <w:rFonts w:hint="eastAsia" w:ascii="宋体" w:hAnsi="宋体" w:eastAsia="宋体" w:cs="宋体"/>
          <w:i w:val="0"/>
          <w:iCs w:val="0"/>
          <w:caps w:val="0"/>
          <w:color w:val="auto"/>
          <w:spacing w:val="0"/>
          <w:sz w:val="28"/>
          <w:szCs w:val="28"/>
          <w:highlight w:val="none"/>
          <w:shd w:val="clear" w:fill="FFFFFF"/>
          <w:lang w:val="en-US" w:eastAsia="zh-CN"/>
        </w:rPr>
        <w:t>1581.44万元（其中深化建设的最高限价为679.66万元，长效运维的最高限价为901.78万元）</w:t>
      </w:r>
    </w:p>
    <w:p w14:paraId="22117278">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shd w:val="clear" w:fill="FFFFFF"/>
          <w:lang w:val="en-US" w:eastAsia="zh-CN"/>
        </w:rPr>
        <w:t>6</w:t>
      </w:r>
      <w:r>
        <w:rPr>
          <w:rFonts w:hint="eastAsia" w:ascii="宋体" w:hAnsi="宋体" w:eastAsia="宋体" w:cs="宋体"/>
          <w:i w:val="0"/>
          <w:iCs w:val="0"/>
          <w:caps w:val="0"/>
          <w:color w:val="auto"/>
          <w:spacing w:val="0"/>
          <w:sz w:val="28"/>
          <w:szCs w:val="28"/>
          <w:highlight w:val="none"/>
          <w:shd w:val="clear" w:fill="FFFFFF"/>
        </w:rPr>
        <w:t>.采购需求：</w:t>
      </w:r>
      <w:r>
        <w:rPr>
          <w:rFonts w:hint="eastAsia" w:ascii="宋体" w:hAnsi="宋体" w:eastAsia="宋体" w:cs="宋体"/>
          <w:color w:val="auto"/>
          <w:sz w:val="28"/>
          <w:szCs w:val="28"/>
          <w:highlight w:val="none"/>
        </w:rPr>
        <w:t>滨海县应急广播体系深化建设及长效运维</w:t>
      </w:r>
      <w:r>
        <w:rPr>
          <w:rFonts w:hint="eastAsia" w:ascii="宋体" w:hAnsi="宋体" w:eastAsia="宋体" w:cs="宋体"/>
          <w:color w:val="auto"/>
          <w:sz w:val="28"/>
          <w:szCs w:val="28"/>
          <w:highlight w:val="none"/>
          <w:lang w:val="en-US" w:eastAsia="zh-CN"/>
        </w:rPr>
        <w:t>服务等</w:t>
      </w:r>
      <w:r>
        <w:rPr>
          <w:rFonts w:hint="eastAsia" w:ascii="宋体" w:hAnsi="宋体" w:eastAsia="宋体" w:cs="宋体"/>
          <w:color w:val="auto"/>
          <w:sz w:val="28"/>
          <w:szCs w:val="28"/>
          <w:highlight w:val="none"/>
        </w:rPr>
        <w:t>。具体详见招标文件第四章项目需求。</w:t>
      </w:r>
    </w:p>
    <w:p w14:paraId="3092946B">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7</w:t>
      </w:r>
      <w:r>
        <w:rPr>
          <w:rFonts w:hint="eastAsia" w:ascii="宋体" w:hAnsi="宋体" w:eastAsia="宋体" w:cs="宋体"/>
          <w:i w:val="0"/>
          <w:iCs w:val="0"/>
          <w:caps w:val="0"/>
          <w:color w:val="auto"/>
          <w:spacing w:val="0"/>
          <w:sz w:val="28"/>
          <w:szCs w:val="28"/>
          <w:highlight w:val="none"/>
          <w:shd w:val="clear" w:fill="FFFFFF"/>
        </w:rPr>
        <w:t>.合同履行期限：</w:t>
      </w:r>
      <w:r>
        <w:rPr>
          <w:rFonts w:hint="eastAsia" w:ascii="宋体" w:hAnsi="宋体" w:eastAsia="宋体" w:cs="宋体"/>
          <w:i w:val="0"/>
          <w:iCs w:val="0"/>
          <w:caps w:val="0"/>
          <w:color w:val="auto"/>
          <w:spacing w:val="0"/>
          <w:sz w:val="28"/>
          <w:szCs w:val="28"/>
          <w:highlight w:val="none"/>
          <w:shd w:val="clear" w:fill="FFFFFF"/>
          <w:lang w:val="en-US" w:eastAsia="zh-CN"/>
        </w:rPr>
        <w:t>签订合同后90日历天内完成安装、调试、验收。</w:t>
      </w:r>
    </w:p>
    <w:p w14:paraId="67A2FC71">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8.运维服务期限：五年（以验收合格时间为准）。</w:t>
      </w:r>
    </w:p>
    <w:p w14:paraId="50F77DD9">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9.服务/质量标准：合格。</w:t>
      </w:r>
    </w:p>
    <w:p w14:paraId="38C4B348">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10.项目地点：采购人指定地点。</w:t>
      </w:r>
    </w:p>
    <w:p w14:paraId="527C19FE">
      <w:pPr>
        <w:pStyle w:val="6"/>
        <w:spacing w:beforeAutospacing="0" w:afterAutospacing="0"/>
        <w:ind w:firstLine="480"/>
        <w:jc w:val="both"/>
        <w:rPr>
          <w:rFonts w:hint="eastAsia" w:ascii="宋体" w:hAnsi="宋体" w:eastAsia="宋体" w:cs="宋体"/>
          <w:i w:val="0"/>
          <w:iCs w:val="0"/>
          <w:caps w:val="0"/>
          <w:color w:val="auto"/>
          <w:spacing w:val="0"/>
          <w:sz w:val="28"/>
          <w:szCs w:val="28"/>
          <w:highlight w:val="none"/>
          <w:shd w:val="clear" w:fill="FFFFFF"/>
        </w:rPr>
      </w:pPr>
      <w:r>
        <w:rPr>
          <w:rFonts w:hint="eastAsia" w:ascii="宋体" w:hAnsi="宋体" w:eastAsia="宋体" w:cs="宋体"/>
          <w:i w:val="0"/>
          <w:iCs w:val="0"/>
          <w:caps w:val="0"/>
          <w:color w:val="auto"/>
          <w:spacing w:val="0"/>
          <w:sz w:val="28"/>
          <w:szCs w:val="28"/>
          <w:highlight w:val="none"/>
          <w:shd w:val="clear" w:fill="FFFFFF"/>
          <w:lang w:val="en-US" w:eastAsia="zh-CN"/>
        </w:rPr>
        <w:t>11.本项目不接受联合体投标。</w:t>
      </w:r>
    </w:p>
    <w:p w14:paraId="0BECF607">
      <w:pPr>
        <w:pStyle w:val="6"/>
        <w:keepNext/>
        <w:keepLines/>
        <w:spacing w:before="145" w:beforeAutospacing="0" w:after="145" w:afterAutospacing="0" w:line="360" w:lineRule="auto"/>
        <w:ind w:firstLine="498"/>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w:t>
      </w:r>
      <w:bookmarkEnd w:id="12"/>
      <w:bookmarkEnd w:id="13"/>
      <w:bookmarkEnd w:id="14"/>
      <w:bookmarkEnd w:id="15"/>
      <w:bookmarkEnd w:id="16"/>
      <w:r>
        <w:rPr>
          <w:rFonts w:hint="eastAsia" w:ascii="宋体" w:hAnsi="宋体" w:eastAsia="宋体" w:cs="宋体"/>
          <w:b/>
          <w:color w:val="auto"/>
          <w:sz w:val="28"/>
          <w:szCs w:val="28"/>
          <w:highlight w:val="none"/>
        </w:rPr>
        <w:t>合格单一来源供应商资格要求</w:t>
      </w:r>
    </w:p>
    <w:p w14:paraId="6D150785">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1.满足《中华人民共和国政府采购法》第二十二条规定，并提供下列材料：</w:t>
      </w:r>
    </w:p>
    <w:p w14:paraId="4382BA6D">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法人或者其他组织的营业执照等证明文件，自然人的身份证明；</w:t>
      </w:r>
    </w:p>
    <w:p w14:paraId="34169310">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1.2财务状况报告（至少提供资产负债表、利润表、现金流量表，供应商成立不满一年无需提供）；</w:t>
      </w:r>
    </w:p>
    <w:p w14:paraId="1CD5F1C1">
      <w:pPr>
        <w:pStyle w:val="6"/>
        <w:spacing w:beforeAutospacing="0" w:afterAutospacing="0"/>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具备履行合同所必需的设备和专业技术能力的书面声明；</w:t>
      </w:r>
    </w:p>
    <w:p w14:paraId="0029F3D8">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78223C5">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.5参加政府采购活动前3年内在经营活动中没有重大违法记录的书面声明。</w:t>
      </w:r>
    </w:p>
    <w:p w14:paraId="08D20528">
      <w:pPr>
        <w:pStyle w:val="6"/>
        <w:spacing w:beforeAutospacing="0" w:afterAutospacing="0"/>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1.6法律、行政法规规定的其他条件。</w:t>
      </w:r>
    </w:p>
    <w:p w14:paraId="3A5E2F3D">
      <w:pPr>
        <w:pStyle w:val="6"/>
        <w:spacing w:beforeAutospacing="0" w:afterAutospacing="0"/>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1.7</w:t>
      </w:r>
      <w:r>
        <w:rPr>
          <w:rFonts w:hint="eastAsia" w:ascii="宋体" w:hAnsi="宋体" w:eastAsia="宋体" w:cs="宋体"/>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6EF0216F">
      <w:pPr>
        <w:pStyle w:val="6"/>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1.8</w:t>
      </w:r>
      <w:r>
        <w:rPr>
          <w:rFonts w:hint="eastAsia" w:ascii="宋体" w:hAnsi="宋体" w:eastAsia="宋体" w:cs="宋体"/>
          <w:color w:val="auto"/>
          <w:sz w:val="28"/>
          <w:szCs w:val="28"/>
          <w:highlight w:val="none"/>
        </w:rPr>
        <w:t>单位负责人为同一人或者存在直接控股、服务关系的不同供应商，不得参加同一合同项下的政府采购活动。</w:t>
      </w:r>
    </w:p>
    <w:p w14:paraId="7F471D93">
      <w:pPr>
        <w:pStyle w:val="6"/>
        <w:spacing w:beforeAutospacing="0" w:afterAutospacing="0"/>
        <w:ind w:firstLine="48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落实政府采购政策需满足的资格要求：</w:t>
      </w:r>
      <w:r>
        <w:rPr>
          <w:rFonts w:hint="eastAsia" w:ascii="宋体" w:hAnsi="宋体" w:eastAsia="宋体" w:cs="宋体"/>
          <w:color w:val="auto"/>
          <w:sz w:val="28"/>
          <w:szCs w:val="28"/>
          <w:highlight w:val="none"/>
          <w:u w:val="single"/>
        </w:rPr>
        <w:t>无</w:t>
      </w:r>
      <w:r>
        <w:rPr>
          <w:rFonts w:hint="eastAsia" w:ascii="宋体" w:hAnsi="宋体" w:eastAsia="宋体" w:cs="宋体"/>
          <w:color w:val="auto"/>
          <w:sz w:val="28"/>
          <w:szCs w:val="28"/>
          <w:highlight w:val="none"/>
          <w:lang w:eastAsia="zh-CN"/>
        </w:rPr>
        <w:t>。</w:t>
      </w:r>
    </w:p>
    <w:p w14:paraId="430ADA5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本项目的特定资格要求</w:t>
      </w:r>
      <w:r>
        <w:rPr>
          <w:rFonts w:hint="eastAsia" w:ascii="宋体" w:hAnsi="宋体" w:eastAsia="宋体" w:cs="宋体"/>
          <w:color w:val="auto"/>
          <w:sz w:val="28"/>
          <w:szCs w:val="28"/>
          <w:highlight w:val="none"/>
          <w:lang w:eastAsia="zh-CN"/>
        </w:rPr>
        <w:t>：</w:t>
      </w:r>
    </w:p>
    <w:p w14:paraId="4A481732">
      <w:pPr>
        <w:numPr>
          <w:ilvl w:val="0"/>
          <w:numId w:val="0"/>
        </w:numPr>
        <w:ind w:firstLine="560" w:firstLineChars="200"/>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供应商须是具有国家工信部颁发的基础通信业务许可证或省级及以上通信管理局颁发的中华人民共和国增值电信业务经营许可证的运营商或该运营商在盐城市范围内设立的分(支)公司(该分公司如无独立法人资</w:t>
      </w:r>
      <w:r>
        <w:rPr>
          <w:rFonts w:hint="eastAsia" w:ascii="宋体" w:hAnsi="宋体" w:eastAsia="宋体" w:cs="宋体"/>
          <w:color w:val="auto"/>
          <w:kern w:val="0"/>
          <w:sz w:val="28"/>
          <w:szCs w:val="28"/>
          <w:highlight w:val="none"/>
          <w:lang w:val="en-US" w:eastAsia="zh-CN" w:bidi="ar-SA"/>
        </w:rPr>
        <w:t>格,须具有省级及以上公</w:t>
      </w:r>
      <w:r>
        <w:rPr>
          <w:rFonts w:hint="eastAsia" w:ascii="宋体" w:hAnsi="宋体" w:eastAsia="宋体" w:cs="宋体"/>
          <w:color w:val="auto"/>
          <w:kern w:val="0"/>
          <w:sz w:val="28"/>
          <w:szCs w:val="28"/>
          <w:highlight w:val="none"/>
          <w:lang w:val="en-US" w:eastAsia="zh-CN" w:bidi="ar-SA"/>
        </w:rPr>
        <w:t>司授权才能参加招投标,省级公司有无独立法人资格不作要求)。</w:t>
      </w:r>
    </w:p>
    <w:p w14:paraId="6F23C2EC">
      <w:pPr>
        <w:numPr>
          <w:ilvl w:val="0"/>
          <w:numId w:val="0"/>
        </w:numPr>
        <w:ind w:firstLine="560" w:firstLineChars="200"/>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江苏省应急广播信号传输分发覆盖网以全省现有广播电视信号覆盖网络为基础，省、市应急广播平台均建于江苏有线网络覆盖全省的骨干网之上，搭建省、市、县、镇、村五级贯通的全省应急广播体系。供应商须是国家认定的新型广电网络运营单位，具备我县数字电视广播信号合法传输资质，负责新型广电网络建设、改造、运营、维护和管理工作。</w:t>
      </w:r>
    </w:p>
    <w:p w14:paraId="08B4C729">
      <w:pPr>
        <w:pStyle w:val="6"/>
        <w:keepNext/>
        <w:keepLines/>
        <w:spacing w:before="145" w:beforeAutospacing="0" w:after="145" w:afterAutospacing="0" w:line="360" w:lineRule="auto"/>
        <w:ind w:firstLine="498"/>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三、获取</w:t>
      </w:r>
      <w:r>
        <w:rPr>
          <w:rFonts w:hint="eastAsia" w:ascii="宋体" w:hAnsi="宋体" w:eastAsia="宋体" w:cs="宋体"/>
          <w:b/>
          <w:color w:val="auto"/>
          <w:sz w:val="28"/>
          <w:szCs w:val="28"/>
          <w:highlight w:val="none"/>
          <w:lang w:val="en-US" w:eastAsia="zh-CN"/>
        </w:rPr>
        <w:t>单一来源</w:t>
      </w:r>
      <w:r>
        <w:rPr>
          <w:rFonts w:hint="eastAsia" w:ascii="宋体" w:hAnsi="宋体" w:eastAsia="宋体" w:cs="宋体"/>
          <w:b/>
          <w:color w:val="auto"/>
          <w:sz w:val="28"/>
          <w:szCs w:val="28"/>
          <w:highlight w:val="none"/>
        </w:rPr>
        <w:t>文件</w:t>
      </w:r>
    </w:p>
    <w:p w14:paraId="7A53986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1.时间：</w:t>
      </w:r>
      <w:r>
        <w:rPr>
          <w:rFonts w:hint="eastAsia" w:ascii="宋体" w:hAnsi="宋体" w:eastAsia="宋体" w:cs="宋体"/>
          <w:i w:val="0"/>
          <w:iCs w:val="0"/>
          <w:caps w:val="0"/>
          <w:color w:val="auto"/>
          <w:spacing w:val="0"/>
          <w:sz w:val="28"/>
          <w:szCs w:val="28"/>
          <w:highlight w:val="none"/>
          <w:u w:val="none"/>
          <w:shd w:val="clear" w:fill="FFFFFF"/>
          <w:lang w:val="en-US" w:eastAsia="zh-CN"/>
        </w:rPr>
        <w:t>自招标文件公告发布之日起5个工作日</w:t>
      </w:r>
      <w:r>
        <w:rPr>
          <w:rFonts w:hint="eastAsia" w:ascii="宋体" w:hAnsi="宋体" w:eastAsia="宋体" w:cs="宋体"/>
          <w:color w:val="auto"/>
          <w:sz w:val="28"/>
          <w:szCs w:val="28"/>
          <w:highlight w:val="none"/>
          <w:u w:val="none"/>
        </w:rPr>
        <w:t>。</w:t>
      </w:r>
    </w:p>
    <w:p w14:paraId="4D906AD4">
      <w:pPr>
        <w:pStyle w:val="6"/>
        <w:spacing w:beforeAutospacing="0" w:afterAutospacing="0" w:line="360" w:lineRule="auto"/>
        <w:ind w:firstLine="540"/>
        <w:jc w:val="both"/>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2.地点：苏采云系统客户端</w:t>
      </w:r>
    </w:p>
    <w:p w14:paraId="69511E0B">
      <w:pPr>
        <w:pStyle w:val="6"/>
        <w:spacing w:beforeAutospacing="0" w:afterAutospacing="0" w:line="360" w:lineRule="auto"/>
        <w:ind w:firstLine="54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.方式：在“</w:t>
      </w:r>
      <w:r>
        <w:rPr>
          <w:rFonts w:hint="eastAsia" w:ascii="宋体" w:hAnsi="宋体" w:eastAsia="宋体" w:cs="宋体"/>
          <w:color w:val="auto"/>
          <w:kern w:val="0"/>
          <w:sz w:val="28"/>
          <w:szCs w:val="28"/>
          <w:highlight w:val="none"/>
          <w:lang w:val="en-US" w:eastAsia="zh-CN" w:bidi="ar-SA"/>
        </w:rPr>
        <w:t>苏采云系统客户端</w:t>
      </w:r>
      <w:r>
        <w:rPr>
          <w:rFonts w:hint="eastAsia" w:ascii="宋体" w:hAnsi="宋体" w:eastAsia="宋体" w:cs="宋体"/>
          <w:color w:val="auto"/>
          <w:sz w:val="28"/>
          <w:szCs w:val="28"/>
          <w:highlight w:val="none"/>
        </w:rPr>
        <w:t>”自行免费下载</w:t>
      </w:r>
      <w:r>
        <w:rPr>
          <w:rFonts w:hint="eastAsia" w:ascii="宋体" w:hAnsi="宋体" w:eastAsia="宋体" w:cs="宋体"/>
          <w:color w:val="auto"/>
          <w:sz w:val="28"/>
          <w:szCs w:val="28"/>
          <w:highlight w:val="none"/>
          <w:lang w:val="en-US" w:eastAsia="zh-CN"/>
        </w:rPr>
        <w:t>单一来源</w:t>
      </w:r>
      <w:r>
        <w:rPr>
          <w:rFonts w:hint="eastAsia" w:ascii="宋体" w:hAnsi="宋体" w:eastAsia="宋体" w:cs="宋体"/>
          <w:color w:val="auto"/>
          <w:sz w:val="28"/>
          <w:szCs w:val="28"/>
          <w:highlight w:val="none"/>
        </w:rPr>
        <w:t>文件。</w:t>
      </w:r>
    </w:p>
    <w:p w14:paraId="56E8BADA">
      <w:pPr>
        <w:widowControl/>
        <w:spacing w:line="560" w:lineRule="exact"/>
        <w:ind w:firstLine="48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4.售价：0元</w:t>
      </w:r>
    </w:p>
    <w:p w14:paraId="25FDC3B6">
      <w:pPr>
        <w:pStyle w:val="6"/>
        <w:keepNext/>
        <w:keepLines/>
        <w:spacing w:before="145" w:beforeAutospacing="0" w:after="145" w:afterAutospacing="0" w:line="360" w:lineRule="auto"/>
        <w:ind w:firstLine="498"/>
        <w:jc w:val="both"/>
        <w:rPr>
          <w:rFonts w:hint="eastAsia" w:ascii="宋体" w:hAnsi="宋体" w:eastAsia="宋体" w:cs="宋体"/>
          <w:color w:val="auto"/>
          <w:sz w:val="28"/>
          <w:szCs w:val="28"/>
          <w:highlight w:val="none"/>
        </w:rPr>
      </w:pPr>
      <w:bookmarkStart w:id="17" w:name="_Toc35393624"/>
      <w:bookmarkStart w:id="18" w:name="_Toc38985266"/>
      <w:bookmarkStart w:id="19" w:name="_Toc28359005"/>
      <w:bookmarkStart w:id="20" w:name="_Toc35393793"/>
      <w:bookmarkStart w:id="21" w:name="_Toc28359082"/>
      <w:r>
        <w:rPr>
          <w:rFonts w:hint="eastAsia" w:ascii="宋体" w:hAnsi="宋体" w:eastAsia="宋体" w:cs="宋体"/>
          <w:b/>
          <w:color w:val="auto"/>
          <w:sz w:val="28"/>
          <w:szCs w:val="28"/>
          <w:highlight w:val="none"/>
        </w:rPr>
        <w:t>三、提交</w:t>
      </w:r>
      <w:bookmarkEnd w:id="17"/>
      <w:bookmarkEnd w:id="18"/>
      <w:r>
        <w:rPr>
          <w:rFonts w:hint="eastAsia" w:ascii="宋体" w:hAnsi="宋体" w:eastAsia="宋体" w:cs="宋体"/>
          <w:b/>
          <w:color w:val="auto"/>
          <w:sz w:val="28"/>
          <w:szCs w:val="28"/>
          <w:highlight w:val="none"/>
        </w:rPr>
        <w:t>响应文件截止时间</w:t>
      </w:r>
      <w:bookmarkEnd w:id="19"/>
      <w:bookmarkEnd w:id="20"/>
      <w:bookmarkEnd w:id="21"/>
    </w:p>
    <w:p w14:paraId="30031184">
      <w:pPr>
        <w:pStyle w:val="6"/>
        <w:spacing w:beforeAutospacing="0" w:afterAutospacing="0"/>
        <w:ind w:firstLine="480"/>
        <w:jc w:val="both"/>
        <w:rPr>
          <w:rFonts w:hint="eastAsia" w:ascii="宋体" w:hAnsi="宋体" w:eastAsia="宋体" w:cs="宋体"/>
          <w:color w:val="auto"/>
          <w:sz w:val="28"/>
          <w:szCs w:val="28"/>
          <w:highlight w:val="none"/>
          <w:shd w:val="clear" w:color="auto" w:fill="FFFF00"/>
        </w:rPr>
      </w:pPr>
      <w:bookmarkStart w:id="22" w:name="_Toc28359008"/>
      <w:bookmarkStart w:id="23" w:name="_Toc28359085"/>
      <w:bookmarkStart w:id="24" w:name="_Toc35393627"/>
      <w:bookmarkStart w:id="25" w:name="_Toc38985269"/>
      <w:bookmarkStart w:id="26" w:name="_Toc35393796"/>
      <w:r>
        <w:rPr>
          <w:rFonts w:hint="eastAsia" w:ascii="宋体" w:hAnsi="宋体" w:eastAsia="宋体" w:cs="宋体"/>
          <w:i w:val="0"/>
          <w:iCs w:val="0"/>
          <w:caps w:val="0"/>
          <w:color w:val="auto"/>
          <w:spacing w:val="0"/>
          <w:sz w:val="28"/>
          <w:szCs w:val="28"/>
          <w:highlight w:val="none"/>
          <w:shd w:val="clear" w:fill="FFFFFF"/>
        </w:rPr>
        <w:t>1.截止时间：</w:t>
      </w:r>
      <w:r>
        <w:rPr>
          <w:rFonts w:hint="eastAsia" w:ascii="宋体" w:hAnsi="宋体" w:eastAsia="宋体" w:cs="宋体"/>
          <w:color w:val="auto"/>
          <w:sz w:val="28"/>
          <w:szCs w:val="28"/>
          <w:highlight w:val="none"/>
          <w:u w:val="none"/>
        </w:rPr>
        <w:t>2026年</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rPr>
        <w:t>月</w:t>
      </w:r>
      <w:r>
        <w:rPr>
          <w:rFonts w:hint="eastAsia" w:ascii="宋体" w:hAnsi="宋体" w:eastAsia="宋体" w:cs="宋体"/>
          <w:color w:val="auto"/>
          <w:sz w:val="28"/>
          <w:szCs w:val="28"/>
          <w:highlight w:val="none"/>
          <w:u w:val="none"/>
          <w:lang w:val="en-US" w:eastAsia="zh-CN"/>
        </w:rPr>
        <w:t>11</w:t>
      </w:r>
      <w:r>
        <w:rPr>
          <w:rFonts w:hint="eastAsia" w:ascii="宋体" w:hAnsi="宋体" w:eastAsia="宋体" w:cs="宋体"/>
          <w:color w:val="auto"/>
          <w:sz w:val="28"/>
          <w:szCs w:val="28"/>
          <w:highlight w:val="none"/>
          <w:u w:val="none"/>
        </w:rPr>
        <w:t>日15:00:00（北京时间）</w:t>
      </w:r>
      <w:r>
        <w:rPr>
          <w:rFonts w:hint="eastAsia" w:ascii="宋体" w:hAnsi="宋体" w:eastAsia="宋体" w:cs="宋体"/>
          <w:color w:val="auto"/>
          <w:sz w:val="28"/>
          <w:szCs w:val="28"/>
          <w:highlight w:val="none"/>
        </w:rPr>
        <w:t>。</w:t>
      </w:r>
    </w:p>
    <w:p w14:paraId="1B38DAE6">
      <w:pPr>
        <w:widowControl/>
        <w:spacing w:line="560" w:lineRule="exact"/>
        <w:ind w:firstLine="480"/>
        <w:jc w:val="left"/>
        <w:rPr>
          <w:rFonts w:hint="eastAsia" w:ascii="宋体" w:hAnsi="宋体" w:eastAsia="宋体" w:cs="宋体"/>
          <w:color w:val="auto"/>
          <w:sz w:val="28"/>
          <w:szCs w:val="28"/>
          <w:highlight w:val="none"/>
          <w:shd w:val="clear" w:color="auto" w:fill="FFFF00"/>
          <w:lang w:val="en-US" w:eastAsia="zh-CN"/>
        </w:rPr>
      </w:pPr>
      <w:r>
        <w:rPr>
          <w:rFonts w:hint="eastAsia" w:ascii="宋体" w:hAnsi="宋体" w:eastAsia="宋体" w:cs="宋体"/>
          <w:i w:val="0"/>
          <w:iCs w:val="0"/>
          <w:caps w:val="0"/>
          <w:color w:val="auto"/>
          <w:spacing w:val="0"/>
          <w:kern w:val="0"/>
          <w:sz w:val="28"/>
          <w:szCs w:val="28"/>
          <w:highlight w:val="none"/>
          <w:shd w:val="clear" w:fill="FFFFFF"/>
          <w:lang w:val="en-US" w:eastAsia="zh-CN" w:bidi="ar-SA"/>
        </w:rPr>
        <w:t>2.地点：</w:t>
      </w:r>
      <w:r>
        <w:rPr>
          <w:rFonts w:hint="eastAsia" w:ascii="宋体" w:hAnsi="宋体" w:eastAsia="宋体" w:cs="宋体"/>
          <w:color w:val="auto"/>
          <w:sz w:val="28"/>
          <w:szCs w:val="28"/>
          <w:highlight w:val="none"/>
          <w:lang w:val="en-US" w:eastAsia="zh-CN"/>
        </w:rPr>
        <w:t>“苏采云”政府采购交易系统网上开标大厅。</w:t>
      </w:r>
    </w:p>
    <w:p w14:paraId="745E6F2D">
      <w:pPr>
        <w:pStyle w:val="6"/>
        <w:keepNext/>
        <w:keepLines/>
        <w:spacing w:before="145" w:beforeAutospacing="0" w:after="145" w:afterAutospacing="0" w:line="360" w:lineRule="auto"/>
        <w:ind w:firstLine="498"/>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四、</w:t>
      </w:r>
      <w:r>
        <w:rPr>
          <w:rFonts w:hint="eastAsia" w:ascii="宋体" w:hAnsi="宋体" w:eastAsia="宋体" w:cs="宋体"/>
          <w:b/>
          <w:color w:val="auto"/>
          <w:sz w:val="28"/>
          <w:szCs w:val="28"/>
          <w:highlight w:val="none"/>
          <w:lang w:val="en-US" w:eastAsia="zh-CN"/>
        </w:rPr>
        <w:t>其他</w:t>
      </w:r>
    </w:p>
    <w:bookmarkEnd w:id="22"/>
    <w:bookmarkEnd w:id="23"/>
    <w:bookmarkEnd w:id="24"/>
    <w:bookmarkEnd w:id="25"/>
    <w:bookmarkEnd w:id="26"/>
    <w:p w14:paraId="4D8C1700">
      <w:pPr>
        <w:pStyle w:val="6"/>
        <w:spacing w:beforeAutospacing="0" w:afterAutospacing="0"/>
        <w:ind w:firstLine="480"/>
        <w:jc w:val="both"/>
        <w:rPr>
          <w:rFonts w:hint="eastAsia" w:ascii="宋体" w:hAnsi="宋体" w:eastAsia="宋体" w:cs="宋体"/>
          <w:color w:val="auto"/>
          <w:sz w:val="28"/>
          <w:szCs w:val="28"/>
          <w:highlight w:val="none"/>
          <w:lang w:val="en-US" w:eastAsia="zh-CN"/>
        </w:rPr>
      </w:pPr>
      <w:bookmarkStart w:id="27" w:name="_Toc28359086"/>
      <w:r>
        <w:rPr>
          <w:rFonts w:hint="eastAsia" w:ascii="宋体" w:hAnsi="宋体" w:eastAsia="宋体" w:cs="宋体"/>
          <w:color w:val="auto"/>
          <w:sz w:val="28"/>
          <w:szCs w:val="28"/>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0CD26727">
      <w:pPr>
        <w:pStyle w:val="6"/>
        <w:tabs>
          <w:tab w:val="left" w:pos="901"/>
        </w:tabs>
        <w:spacing w:beforeAutospacing="0" w:afterAutospacing="0" w:line="0" w:lineRule="atLeast"/>
        <w:ind w:firstLine="48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http://www.ccgp-jiangsu.gov.cn/jiangsu/zlxz/ee/ee3a4bc5a3454aa2b0d9312230633ce9.html。</w:t>
      </w:r>
    </w:p>
    <w:p w14:paraId="0E806398">
      <w:pPr>
        <w:pStyle w:val="6"/>
        <w:spacing w:beforeAutospacing="0" w:afterAutospacing="0"/>
        <w:ind w:firstLine="420" w:firstLineChars="15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6CECBF5C">
      <w:pPr>
        <w:pStyle w:val="6"/>
        <w:tabs>
          <w:tab w:val="left" w:pos="901"/>
        </w:tabs>
        <w:spacing w:beforeAutospacing="0" w:afterAutospacing="0" w:line="0" w:lineRule="atLeast"/>
        <w:ind w:firstLine="48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 本次单一来源采购不收取投标保证金，不收取质量保证金。</w:t>
      </w:r>
    </w:p>
    <w:p w14:paraId="3A89F99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0"/>
        <w:jc w:val="both"/>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color w:val="auto"/>
          <w:sz w:val="28"/>
          <w:szCs w:val="28"/>
          <w:highlight w:val="none"/>
        </w:rPr>
        <w:t> </w:t>
      </w:r>
      <w:r>
        <w:rPr>
          <w:rFonts w:hint="eastAsia" w:ascii="宋体" w:hAnsi="宋体" w:eastAsia="宋体" w:cs="宋体"/>
          <w:b/>
          <w:bCs w:val="0"/>
          <w:color w:val="auto"/>
          <w:kern w:val="0"/>
          <w:sz w:val="28"/>
          <w:szCs w:val="28"/>
          <w:highlight w:val="none"/>
          <w:lang w:val="en-US" w:eastAsia="zh-CN" w:bidi="ar-SA"/>
        </w:rPr>
        <w:t>五、凡对本次采购提出询问，请按以下方式联系。</w:t>
      </w:r>
    </w:p>
    <w:p w14:paraId="59E809D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1.采购人信息</w:t>
      </w:r>
    </w:p>
    <w:p w14:paraId="0033B89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 xml:space="preserve">名 称：滨海县文化广电和旅游局 </w:t>
      </w:r>
    </w:p>
    <w:p w14:paraId="4FB6658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 xml:space="preserve">地址：滨海县港城路666号  </w:t>
      </w:r>
    </w:p>
    <w:p w14:paraId="3AFDDE2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 xml:space="preserve">联系人：刘女士              </w:t>
      </w:r>
    </w:p>
    <w:p w14:paraId="0E09B53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联系方式：15051332753     </w:t>
      </w:r>
      <w:bookmarkStart w:id="28" w:name="_Toc28359009"/>
      <w:bookmarkEnd w:id="28"/>
      <w:r>
        <w:rPr>
          <w:rFonts w:hint="eastAsia" w:ascii="宋体" w:hAnsi="宋体" w:eastAsia="宋体" w:cs="宋体"/>
          <w:i w:val="0"/>
          <w:iCs w:val="0"/>
          <w:caps w:val="0"/>
          <w:color w:val="auto"/>
          <w:spacing w:val="0"/>
          <w:sz w:val="28"/>
          <w:szCs w:val="28"/>
          <w:highlight w:val="none"/>
          <w:shd w:val="clear" w:fill="FFFFFF"/>
          <w:lang w:val="en-US" w:eastAsia="zh-CN"/>
        </w:rPr>
        <w:t xml:space="preserve">       </w:t>
      </w:r>
    </w:p>
    <w:p w14:paraId="7196D50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2.采购代理机构信息</w:t>
      </w:r>
    </w:p>
    <w:p w14:paraId="5421CC1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 xml:space="preserve">名 称：盐城载鑫项目管理咨询有限公司 </w:t>
      </w:r>
    </w:p>
    <w:p w14:paraId="1F43575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地 址：盐城市滨海县港城路358号华芳国际花园3号楼202室</w:t>
      </w:r>
    </w:p>
    <w:p w14:paraId="4960CA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 xml:space="preserve">联系人：南女士                     </w:t>
      </w:r>
    </w:p>
    <w:p w14:paraId="5067F14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联系方式：</w:t>
      </w:r>
      <w:bookmarkStart w:id="29" w:name="_Toc28359010"/>
      <w:bookmarkStart w:id="30" w:name="_Toc28359087"/>
      <w:r>
        <w:rPr>
          <w:rFonts w:hint="eastAsia" w:ascii="宋体" w:hAnsi="宋体" w:eastAsia="宋体" w:cs="宋体"/>
          <w:i w:val="0"/>
          <w:iCs w:val="0"/>
          <w:caps w:val="0"/>
          <w:color w:val="auto"/>
          <w:spacing w:val="0"/>
          <w:sz w:val="28"/>
          <w:szCs w:val="28"/>
          <w:highlight w:val="none"/>
          <w:shd w:val="clear" w:fill="FFFFFF"/>
          <w:lang w:val="en-US" w:eastAsia="zh-CN"/>
        </w:rPr>
        <w:t>13770130866        </w:t>
      </w:r>
      <w:bookmarkEnd w:id="29"/>
      <w:bookmarkEnd w:id="30"/>
      <w:r>
        <w:rPr>
          <w:rFonts w:hint="eastAsia" w:ascii="宋体" w:hAnsi="宋体" w:eastAsia="宋体" w:cs="宋体"/>
          <w:i w:val="0"/>
          <w:iCs w:val="0"/>
          <w:caps w:val="0"/>
          <w:color w:val="auto"/>
          <w:spacing w:val="0"/>
          <w:sz w:val="28"/>
          <w:szCs w:val="28"/>
          <w:highlight w:val="none"/>
          <w:shd w:val="clear" w:fill="FFFFFF"/>
          <w:lang w:val="en-US" w:eastAsia="zh-CN"/>
        </w:rPr>
        <w:t xml:space="preserve">            </w:t>
      </w:r>
    </w:p>
    <w:p w14:paraId="60E1408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bookmarkStart w:id="31" w:name="_Toc28359021"/>
      <w:r>
        <w:rPr>
          <w:rFonts w:hint="eastAsia" w:ascii="宋体" w:hAnsi="宋体" w:eastAsia="宋体" w:cs="宋体"/>
          <w:i w:val="0"/>
          <w:iCs w:val="0"/>
          <w:caps w:val="0"/>
          <w:color w:val="auto"/>
          <w:spacing w:val="0"/>
          <w:sz w:val="28"/>
          <w:szCs w:val="28"/>
          <w:highlight w:val="none"/>
          <w:shd w:val="clear" w:fill="FFFFFF"/>
          <w:lang w:val="en-US" w:eastAsia="zh-CN"/>
        </w:rPr>
        <w:t>3.</w:t>
      </w:r>
      <w:bookmarkEnd w:id="31"/>
      <w:r>
        <w:rPr>
          <w:rFonts w:hint="eastAsia" w:ascii="宋体" w:hAnsi="宋体" w:eastAsia="宋体" w:cs="宋体"/>
          <w:i w:val="0"/>
          <w:iCs w:val="0"/>
          <w:caps w:val="0"/>
          <w:color w:val="auto"/>
          <w:spacing w:val="0"/>
          <w:sz w:val="28"/>
          <w:szCs w:val="28"/>
          <w:highlight w:val="none"/>
          <w:shd w:val="clear" w:fill="FFFFFF"/>
          <w:lang w:val="en-US" w:eastAsia="zh-CN"/>
        </w:rPr>
        <w:t>项目联系方式</w:t>
      </w:r>
    </w:p>
    <w:p w14:paraId="489A5DA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项目联系人：刘女士、南女士</w:t>
      </w:r>
    </w:p>
    <w:p w14:paraId="33DCC42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电　　 话：15051332753、13770130866　　　　　　　　　　　　</w:t>
      </w:r>
    </w:p>
    <w:p w14:paraId="0AA2ADDF">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7E25802">
      <w:pPr>
        <w:pStyle w:val="6"/>
        <w:keepNext/>
        <w:keepLines/>
        <w:spacing w:before="260" w:beforeAutospacing="0" w:after="260" w:afterAutospacing="0" w:line="415" w:lineRule="auto"/>
        <w:jc w:val="center"/>
        <w:rPr>
          <w:rFonts w:hint="eastAsia" w:ascii="宋体" w:hAnsi="宋体" w:eastAsia="宋体" w:cs="宋体"/>
          <w:color w:val="auto"/>
          <w:highlight w:val="none"/>
        </w:rPr>
      </w:pPr>
      <w:bookmarkStart w:id="32" w:name="_Toc120614211"/>
      <w:r>
        <w:rPr>
          <w:rFonts w:hint="eastAsia" w:ascii="宋体" w:hAnsi="宋体" w:eastAsia="宋体" w:cs="宋体"/>
          <w:b/>
          <w:color w:val="auto"/>
          <w:sz w:val="44"/>
          <w:szCs w:val="44"/>
          <w:highlight w:val="none"/>
        </w:rPr>
        <w:t xml:space="preserve">第二章  </w:t>
      </w:r>
      <w:bookmarkEnd w:id="32"/>
      <w:r>
        <w:rPr>
          <w:rFonts w:hint="eastAsia" w:ascii="宋体" w:hAnsi="宋体" w:eastAsia="宋体" w:cs="宋体"/>
          <w:b/>
          <w:color w:val="auto"/>
          <w:sz w:val="44"/>
          <w:szCs w:val="44"/>
          <w:highlight w:val="none"/>
        </w:rPr>
        <w:t>供应商须知</w:t>
      </w:r>
    </w:p>
    <w:p w14:paraId="2887F844">
      <w:pPr>
        <w:pStyle w:val="6"/>
        <w:keepNext/>
        <w:keepLines/>
        <w:pageBreakBefore w:val="0"/>
        <w:widowControl w:val="0"/>
        <w:kinsoku/>
        <w:wordWrap/>
        <w:overflowPunct/>
        <w:topLinePunct w:val="0"/>
        <w:autoSpaceDE/>
        <w:autoSpaceDN/>
        <w:bidi w:val="0"/>
        <w:adjustRightInd/>
        <w:snapToGrid/>
        <w:spacing w:before="145" w:beforeAutospacing="0" w:after="145" w:afterAutospacing="0" w:line="380" w:lineRule="exact"/>
        <w:ind w:firstLine="562" w:firstLineChars="200"/>
        <w:jc w:val="both"/>
        <w:textAlignment w:val="auto"/>
        <w:rPr>
          <w:rFonts w:hint="eastAsia" w:ascii="宋体" w:hAnsi="宋体" w:eastAsia="宋体" w:cs="宋体"/>
          <w:color w:val="auto"/>
          <w:sz w:val="28"/>
          <w:szCs w:val="28"/>
          <w:highlight w:val="none"/>
        </w:rPr>
      </w:pPr>
      <w:bookmarkStart w:id="33" w:name="_Toc16938519"/>
      <w:bookmarkStart w:id="34" w:name="_Toc20823275"/>
      <w:bookmarkStart w:id="35" w:name="_Toc120614214"/>
      <w:bookmarkStart w:id="36" w:name="_Toc513029203"/>
      <w:r>
        <w:rPr>
          <w:rFonts w:hint="eastAsia" w:ascii="宋体" w:hAnsi="宋体" w:eastAsia="宋体" w:cs="宋体"/>
          <w:b/>
          <w:color w:val="auto"/>
          <w:sz w:val="28"/>
          <w:szCs w:val="28"/>
          <w:highlight w:val="none"/>
        </w:rPr>
        <w:t>一、总则</w:t>
      </w:r>
      <w:bookmarkEnd w:id="33"/>
      <w:bookmarkEnd w:id="34"/>
      <w:bookmarkEnd w:id="35"/>
      <w:bookmarkEnd w:id="36"/>
    </w:p>
    <w:p w14:paraId="538E1E16">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37" w:name="_Toc20823276"/>
      <w:bookmarkStart w:id="38" w:name="_Toc513029204"/>
      <w:bookmarkStart w:id="39" w:name="_Toc16938520"/>
      <w:bookmarkStart w:id="40" w:name="_Toc458694821"/>
      <w:bookmarkStart w:id="41" w:name="_Hlt16619475"/>
      <w:r>
        <w:rPr>
          <w:rFonts w:hint="eastAsia" w:ascii="宋体" w:hAnsi="宋体" w:eastAsia="宋体" w:cs="宋体"/>
          <w:color w:val="auto"/>
          <w:sz w:val="28"/>
          <w:szCs w:val="28"/>
          <w:highlight w:val="none"/>
        </w:rPr>
        <w:t>1</w:t>
      </w:r>
      <w:bookmarkEnd w:id="37"/>
      <w:r>
        <w:rPr>
          <w:rFonts w:hint="eastAsia" w:ascii="宋体" w:hAnsi="宋体" w:eastAsia="宋体" w:cs="宋体"/>
          <w:color w:val="auto"/>
          <w:sz w:val="28"/>
          <w:szCs w:val="28"/>
          <w:highlight w:val="none"/>
        </w:rPr>
        <w:t>、采购方式</w:t>
      </w:r>
      <w:bookmarkEnd w:id="38"/>
      <w:bookmarkEnd w:id="39"/>
      <w:bookmarkEnd w:id="40"/>
    </w:p>
    <w:p w14:paraId="24A48DD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本次政府采购活动采取单一来源采购方式。</w:t>
      </w:r>
    </w:p>
    <w:p w14:paraId="2C9B9252">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42" w:name="_Toc513029205"/>
      <w:bookmarkStart w:id="43" w:name="_Toc16938521"/>
      <w:bookmarkStart w:id="44" w:name="_Toc20823277"/>
      <w:r>
        <w:rPr>
          <w:rFonts w:hint="eastAsia" w:ascii="宋体" w:hAnsi="宋体" w:eastAsia="宋体" w:cs="宋体"/>
          <w:color w:val="auto"/>
          <w:sz w:val="28"/>
          <w:szCs w:val="28"/>
          <w:highlight w:val="none"/>
        </w:rPr>
        <w:t>2、合格的</w:t>
      </w:r>
      <w:bookmarkEnd w:id="42"/>
      <w:bookmarkEnd w:id="43"/>
      <w:bookmarkEnd w:id="44"/>
      <w:r>
        <w:rPr>
          <w:rFonts w:hint="eastAsia" w:ascii="宋体" w:hAnsi="宋体" w:eastAsia="宋体" w:cs="宋体"/>
          <w:color w:val="auto"/>
          <w:sz w:val="28"/>
          <w:szCs w:val="28"/>
          <w:highlight w:val="none"/>
        </w:rPr>
        <w:t>供应商</w:t>
      </w:r>
    </w:p>
    <w:p w14:paraId="0527E42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45" w:name="_Toc513029206"/>
      <w:bookmarkStart w:id="46" w:name="_Toc20823278"/>
      <w:bookmarkStart w:id="47" w:name="_Toc16938522"/>
      <w:r>
        <w:rPr>
          <w:rFonts w:hint="eastAsia" w:ascii="宋体" w:hAnsi="宋体" w:eastAsia="宋体" w:cs="宋体"/>
          <w:color w:val="auto"/>
          <w:sz w:val="28"/>
          <w:szCs w:val="28"/>
          <w:highlight w:val="none"/>
        </w:rPr>
        <w:t>2. 1 满足采购文件中合格单一来源供应商资格要求的规定。</w:t>
      </w:r>
      <w:bookmarkEnd w:id="45"/>
      <w:bookmarkEnd w:id="46"/>
      <w:bookmarkEnd w:id="47"/>
    </w:p>
    <w:p w14:paraId="6F720C67">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2 满足本采购文件实质性条款的规定。</w:t>
      </w:r>
    </w:p>
    <w:p w14:paraId="33C2F421">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3、适用法律</w:t>
      </w:r>
    </w:p>
    <w:p w14:paraId="1518B64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 本次采购及由此产生的合同受中华人民共和国有关的法律法规制约和保护。</w:t>
      </w:r>
    </w:p>
    <w:p w14:paraId="53FB1559">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48" w:name="_Toc16938523"/>
      <w:bookmarkStart w:id="49" w:name="_Toc20823279"/>
      <w:bookmarkStart w:id="50" w:name="_Toc462564067"/>
      <w:bookmarkStart w:id="51" w:name="_Toc513029207"/>
      <w:r>
        <w:rPr>
          <w:rFonts w:hint="eastAsia" w:ascii="宋体" w:hAnsi="宋体" w:eastAsia="宋体" w:cs="宋体"/>
          <w:color w:val="auto"/>
          <w:sz w:val="28"/>
          <w:szCs w:val="28"/>
          <w:highlight w:val="none"/>
        </w:rPr>
        <w:t>4、相关费用</w:t>
      </w:r>
      <w:bookmarkEnd w:id="48"/>
      <w:bookmarkEnd w:id="49"/>
      <w:bookmarkEnd w:id="50"/>
      <w:bookmarkEnd w:id="51"/>
    </w:p>
    <w:p w14:paraId="5990B44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4.1供应商应自行承担所有与参加本次采购有关的费用，无论采购过程中的做法和结果如何</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在任何情况下均</w:t>
      </w:r>
      <w:r>
        <w:rPr>
          <w:rFonts w:hint="eastAsia" w:ascii="宋体" w:hAnsi="宋体" w:eastAsia="宋体" w:cs="宋体"/>
          <w:color w:val="auto"/>
          <w:sz w:val="28"/>
          <w:szCs w:val="28"/>
          <w:highlight w:val="none"/>
        </w:rPr>
        <w:t>无义务和责任承担这些费用。</w:t>
      </w:r>
    </w:p>
    <w:p w14:paraId="4B549FD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4.2本次采购</w:t>
      </w:r>
      <w:r>
        <w:rPr>
          <w:rFonts w:hint="eastAsia" w:ascii="宋体" w:hAnsi="宋体" w:eastAsia="宋体" w:cs="宋体"/>
          <w:color w:val="auto"/>
          <w:sz w:val="28"/>
          <w:szCs w:val="28"/>
          <w:highlight w:val="none"/>
          <w:lang w:eastAsia="zh-CN"/>
        </w:rPr>
        <w:t>代理机构</w:t>
      </w:r>
      <w:r>
        <w:rPr>
          <w:rFonts w:hint="eastAsia" w:ascii="宋体" w:hAnsi="宋体" w:eastAsia="宋体" w:cs="宋体"/>
          <w:color w:val="auto"/>
          <w:sz w:val="28"/>
          <w:szCs w:val="28"/>
          <w:highlight w:val="none"/>
        </w:rPr>
        <w:t>和采购人不收取标书工本费。</w:t>
      </w:r>
    </w:p>
    <w:p w14:paraId="16A9EA9E">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2"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5</w:t>
      </w:r>
      <w:r>
        <w:rPr>
          <w:rFonts w:hint="eastAsia" w:ascii="宋体" w:hAnsi="宋体" w:eastAsia="宋体" w:cs="宋体"/>
          <w:b/>
          <w:color w:val="auto"/>
          <w:sz w:val="28"/>
          <w:szCs w:val="28"/>
          <w:highlight w:val="none"/>
          <w:lang w:eastAsia="zh-CN"/>
        </w:rPr>
        <w:t>、</w:t>
      </w:r>
      <w:r>
        <w:rPr>
          <w:rFonts w:hint="eastAsia" w:ascii="宋体" w:hAnsi="宋体" w:eastAsia="宋体" w:cs="宋体"/>
          <w:color w:val="auto"/>
          <w:sz w:val="28"/>
          <w:szCs w:val="28"/>
          <w:highlight w:val="none"/>
        </w:rPr>
        <w:t>采购文件的约束力</w:t>
      </w:r>
    </w:p>
    <w:p w14:paraId="7E51E0C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4043E76B">
      <w:pPr>
        <w:pStyle w:val="6"/>
        <w:keepNext/>
        <w:keepLines/>
        <w:pageBreakBefore w:val="0"/>
        <w:widowControl w:val="0"/>
        <w:kinsoku/>
        <w:wordWrap/>
        <w:overflowPunct/>
        <w:topLinePunct w:val="0"/>
        <w:autoSpaceDE/>
        <w:autoSpaceDN/>
        <w:bidi w:val="0"/>
        <w:adjustRightInd/>
        <w:snapToGrid/>
        <w:spacing w:before="145" w:beforeAutospacing="0" w:after="145" w:afterAutospacing="0" w:line="380" w:lineRule="exact"/>
        <w:ind w:firstLine="562" w:firstLineChars="200"/>
        <w:jc w:val="both"/>
        <w:textAlignment w:val="auto"/>
        <w:rPr>
          <w:rFonts w:hint="eastAsia" w:ascii="宋体" w:hAnsi="宋体" w:eastAsia="宋体" w:cs="宋体"/>
          <w:color w:val="auto"/>
          <w:sz w:val="28"/>
          <w:szCs w:val="28"/>
          <w:highlight w:val="none"/>
        </w:rPr>
      </w:pPr>
      <w:bookmarkStart w:id="52" w:name="_Toc120614215"/>
      <w:bookmarkStart w:id="53" w:name="_Toc16938525"/>
      <w:bookmarkStart w:id="54" w:name="_Toc20823281"/>
      <w:bookmarkStart w:id="55" w:name="_Toc513029209"/>
      <w:r>
        <w:rPr>
          <w:rFonts w:hint="eastAsia" w:ascii="宋体" w:hAnsi="宋体" w:eastAsia="宋体" w:cs="宋体"/>
          <w:b/>
          <w:color w:val="auto"/>
          <w:sz w:val="28"/>
          <w:szCs w:val="28"/>
          <w:highlight w:val="none"/>
        </w:rPr>
        <w:t>二、</w:t>
      </w:r>
      <w:bookmarkEnd w:id="52"/>
      <w:bookmarkEnd w:id="53"/>
      <w:bookmarkEnd w:id="54"/>
      <w:bookmarkEnd w:id="55"/>
      <w:r>
        <w:rPr>
          <w:rFonts w:hint="eastAsia" w:ascii="宋体" w:hAnsi="宋体" w:eastAsia="宋体" w:cs="宋体"/>
          <w:b/>
          <w:color w:val="auto"/>
          <w:sz w:val="28"/>
          <w:szCs w:val="28"/>
          <w:highlight w:val="none"/>
        </w:rPr>
        <w:t>采购文件</w:t>
      </w:r>
    </w:p>
    <w:p w14:paraId="2EC59A23">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56" w:name="_Toc20823282"/>
      <w:bookmarkStart w:id="57" w:name="_Toc513029210"/>
      <w:bookmarkStart w:id="58" w:name="_Toc16938526"/>
      <w:r>
        <w:rPr>
          <w:rFonts w:hint="eastAsia" w:ascii="宋体" w:hAnsi="宋体" w:eastAsia="宋体" w:cs="宋体"/>
          <w:color w:val="auto"/>
          <w:sz w:val="28"/>
          <w:szCs w:val="28"/>
          <w:highlight w:val="none"/>
        </w:rPr>
        <w:t>6、采购文件构成</w:t>
      </w:r>
      <w:bookmarkEnd w:id="56"/>
      <w:bookmarkEnd w:id="57"/>
      <w:bookmarkEnd w:id="58"/>
    </w:p>
    <w:p w14:paraId="06C3FE4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6.1采购文件由以下部分组成：</w:t>
      </w:r>
    </w:p>
    <w:p w14:paraId="34828D5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（1）单一来源采购邀请</w:t>
      </w:r>
    </w:p>
    <w:p w14:paraId="681D431C">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（2）供应商须知</w:t>
      </w:r>
    </w:p>
    <w:p w14:paraId="1C286FC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（3）合同文本</w:t>
      </w:r>
    </w:p>
    <w:p w14:paraId="3AEEFDF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（4）采购需求</w:t>
      </w:r>
    </w:p>
    <w:p w14:paraId="5E7B045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）响应文件格式</w:t>
      </w:r>
    </w:p>
    <w:p w14:paraId="6169B398">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请仔细检查采购文件是否齐全，如有缺漏请立即与</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联系解决。</w:t>
      </w:r>
    </w:p>
    <w:p w14:paraId="3F0FF15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4BC3796C">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59" w:name="_Toc16938527"/>
      <w:bookmarkStart w:id="60" w:name="_Toc513029211"/>
      <w:bookmarkStart w:id="61" w:name="_Toc20823283"/>
      <w:bookmarkStart w:id="62" w:name="_Toc462564070"/>
      <w:r>
        <w:rPr>
          <w:rFonts w:hint="eastAsia" w:ascii="宋体" w:hAnsi="宋体" w:eastAsia="宋体" w:cs="宋体"/>
          <w:color w:val="auto"/>
          <w:sz w:val="28"/>
          <w:szCs w:val="28"/>
          <w:highlight w:val="none"/>
        </w:rPr>
        <w:t>7、采购文件的澄清</w:t>
      </w:r>
      <w:bookmarkEnd w:id="59"/>
      <w:bookmarkEnd w:id="60"/>
      <w:bookmarkEnd w:id="61"/>
      <w:bookmarkEnd w:id="62"/>
    </w:p>
    <w:p w14:paraId="712B839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63" w:name="_Toc16938528"/>
      <w:bookmarkStart w:id="64" w:name="_Toc20823284"/>
      <w:bookmarkStart w:id="65" w:name="_Toc513029212"/>
      <w:bookmarkStart w:id="66" w:name="_Toc462564071"/>
      <w:r>
        <w:rPr>
          <w:rFonts w:hint="eastAsia" w:ascii="宋体" w:hAnsi="宋体" w:eastAsia="宋体" w:cs="宋体"/>
          <w:color w:val="auto"/>
          <w:sz w:val="28"/>
          <w:szCs w:val="28"/>
          <w:highlight w:val="none"/>
        </w:rPr>
        <w:t>7.1 供应商如果要求对采购文件进行澄清的，应在响应文件接收截止时间（以下简称“截止时间”）</w:t>
      </w:r>
      <w:r>
        <w:rPr>
          <w:rFonts w:hint="eastAsia" w:ascii="宋体" w:hAnsi="宋体" w:eastAsia="宋体" w:cs="宋体"/>
          <w:b/>
          <w:color w:val="auto"/>
          <w:sz w:val="28"/>
          <w:szCs w:val="28"/>
          <w:highlight w:val="none"/>
        </w:rPr>
        <w:t>三天</w:t>
      </w:r>
      <w:r>
        <w:rPr>
          <w:rFonts w:hint="eastAsia" w:ascii="宋体" w:hAnsi="宋体" w:eastAsia="宋体" w:cs="宋体"/>
          <w:color w:val="auto"/>
          <w:sz w:val="28"/>
          <w:szCs w:val="28"/>
          <w:highlight w:val="none"/>
        </w:rPr>
        <w:t>前，在苏采云系统中通知</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将在苏采云系统中对澄清要求予以答复。</w:t>
      </w:r>
      <w:bookmarkEnd w:id="63"/>
      <w:bookmarkEnd w:id="64"/>
      <w:bookmarkEnd w:id="65"/>
      <w:bookmarkEnd w:id="66"/>
    </w:p>
    <w:p w14:paraId="1B22F921">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67" w:name="_Toc20823285"/>
      <w:bookmarkStart w:id="68" w:name="_Toc513029213"/>
      <w:bookmarkStart w:id="69" w:name="_Toc462564072"/>
      <w:bookmarkStart w:id="70" w:name="_Toc120614216"/>
      <w:bookmarkStart w:id="71" w:name="_Toc16938529"/>
      <w:r>
        <w:rPr>
          <w:rFonts w:hint="eastAsia" w:ascii="宋体" w:hAnsi="宋体" w:eastAsia="宋体" w:cs="宋体"/>
          <w:color w:val="auto"/>
          <w:sz w:val="28"/>
          <w:szCs w:val="28"/>
          <w:highlight w:val="none"/>
        </w:rPr>
        <w:t>8、采购文件的修改</w:t>
      </w:r>
      <w:bookmarkEnd w:id="67"/>
      <w:bookmarkEnd w:id="68"/>
      <w:bookmarkEnd w:id="69"/>
      <w:bookmarkEnd w:id="70"/>
      <w:bookmarkEnd w:id="71"/>
    </w:p>
    <w:p w14:paraId="26365364">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 在截止时间前，</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可以以补充文件的方式对采购文件进行修改。</w:t>
      </w:r>
    </w:p>
    <w:p w14:paraId="1DFFA4F6">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有权按照政府采购的有关要求推迟截止时间。</w:t>
      </w:r>
    </w:p>
    <w:p w14:paraId="0A0CC29F">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8.3采购文件的补充文件将作为采购文件的组成部分，并对供应商具有约束力。</w:t>
      </w:r>
    </w:p>
    <w:p w14:paraId="7E93B433">
      <w:pPr>
        <w:pStyle w:val="6"/>
        <w:keepNext/>
        <w:keepLines/>
        <w:pageBreakBefore w:val="0"/>
        <w:widowControl w:val="0"/>
        <w:kinsoku/>
        <w:wordWrap/>
        <w:overflowPunct/>
        <w:topLinePunct w:val="0"/>
        <w:autoSpaceDE/>
        <w:autoSpaceDN/>
        <w:bidi w:val="0"/>
        <w:adjustRightInd/>
        <w:snapToGrid/>
        <w:spacing w:before="145" w:beforeAutospacing="0" w:after="145" w:afterAutospacing="0" w:line="380" w:lineRule="exact"/>
        <w:ind w:firstLine="562"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三、响应文件的编制</w:t>
      </w:r>
    </w:p>
    <w:p w14:paraId="34CFF23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72" w:name="_Toc20823286"/>
      <w:bookmarkStart w:id="73" w:name="_Toc16938530"/>
      <w:bookmarkStart w:id="74" w:name="_Toc462564073"/>
      <w:bookmarkStart w:id="75" w:name="_Toc513029214"/>
      <w:r>
        <w:rPr>
          <w:rFonts w:hint="eastAsia" w:ascii="宋体" w:hAnsi="宋体" w:eastAsia="宋体" w:cs="宋体"/>
          <w:color w:val="auto"/>
          <w:sz w:val="28"/>
          <w:szCs w:val="28"/>
          <w:highlight w:val="none"/>
        </w:rPr>
        <w:t>9、响应文件的语言及度量衡单位</w:t>
      </w:r>
      <w:bookmarkEnd w:id="72"/>
      <w:bookmarkEnd w:id="73"/>
      <w:bookmarkEnd w:id="74"/>
      <w:bookmarkEnd w:id="75"/>
    </w:p>
    <w:p w14:paraId="0A003A6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9.1供应商提交的响应文件以及供应商与</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lang w:eastAsia="zh-CN"/>
        </w:rPr>
        <w:t>代理机构</w:t>
      </w:r>
      <w:r>
        <w:rPr>
          <w:rFonts w:hint="eastAsia" w:ascii="宋体" w:hAnsi="宋体" w:eastAsia="宋体" w:cs="宋体"/>
          <w:color w:val="auto"/>
          <w:sz w:val="28"/>
          <w:szCs w:val="28"/>
          <w:highlight w:val="none"/>
        </w:rPr>
        <w:t>就有关采购活动的所有来往通知、函件和文件均应使用</w:t>
      </w:r>
      <w:r>
        <w:rPr>
          <w:rFonts w:hint="eastAsia" w:ascii="宋体" w:hAnsi="宋体" w:eastAsia="宋体" w:cs="宋体"/>
          <w:b/>
          <w:color w:val="auto"/>
          <w:sz w:val="28"/>
          <w:szCs w:val="28"/>
          <w:highlight w:val="none"/>
        </w:rPr>
        <w:t>简体中文</w:t>
      </w:r>
      <w:r>
        <w:rPr>
          <w:rFonts w:hint="eastAsia" w:ascii="宋体" w:hAnsi="宋体" w:eastAsia="宋体" w:cs="宋体"/>
          <w:color w:val="auto"/>
          <w:sz w:val="28"/>
          <w:szCs w:val="28"/>
          <w:highlight w:val="none"/>
        </w:rPr>
        <w:t>。</w:t>
      </w:r>
    </w:p>
    <w:p w14:paraId="26D9E05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 除技术性能另有规定外，响应文件所使用的度量衡单位，均须采用国家法定计量单位。</w:t>
      </w:r>
    </w:p>
    <w:p w14:paraId="78908FA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76" w:name="_Toc16938531"/>
      <w:bookmarkStart w:id="77" w:name="_Toc20823287"/>
      <w:bookmarkStart w:id="78" w:name="_Toc462564074"/>
      <w:bookmarkStart w:id="79" w:name="_Toc513029215"/>
      <w:r>
        <w:rPr>
          <w:rFonts w:hint="eastAsia" w:ascii="宋体" w:hAnsi="宋体" w:eastAsia="宋体" w:cs="宋体"/>
          <w:color w:val="auto"/>
          <w:sz w:val="28"/>
          <w:szCs w:val="28"/>
          <w:highlight w:val="none"/>
        </w:rPr>
        <w:t>10、响应文件构成</w:t>
      </w:r>
      <w:bookmarkEnd w:id="76"/>
      <w:bookmarkEnd w:id="77"/>
      <w:bookmarkEnd w:id="78"/>
      <w:bookmarkEnd w:id="79"/>
    </w:p>
    <w:p w14:paraId="6EFC72A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80" w:name="_Toc14577357"/>
      <w:bookmarkStart w:id="81" w:name="_Toc513029216"/>
      <w:bookmarkStart w:id="82" w:name="_Toc49090507"/>
      <w:bookmarkStart w:id="83" w:name="_Toc513029219"/>
      <w:bookmarkStart w:id="84" w:name="_Toc49090508"/>
      <w:bookmarkStart w:id="85" w:name="_Toc14577354"/>
      <w:bookmarkStart w:id="86" w:name="_Toc49090509"/>
      <w:bookmarkStart w:id="87" w:name="_Toc14577355"/>
      <w:bookmarkStart w:id="88" w:name="_Hlt26954838"/>
      <w:bookmarkStart w:id="89" w:name="_Hlt26668975"/>
      <w:bookmarkStart w:id="90" w:name="_Hlt26670360"/>
      <w:r>
        <w:rPr>
          <w:rFonts w:hint="eastAsia" w:ascii="宋体" w:hAnsi="宋体" w:eastAsia="宋体" w:cs="宋体"/>
          <w:color w:val="auto"/>
          <w:sz w:val="28"/>
          <w:szCs w:val="28"/>
          <w:highlight w:val="none"/>
        </w:rPr>
        <w:t>10.1供应商编写的响应文件应包括资格证明文件、符合性证明文件、分项报价表、技术要求响应及偏离表、商务要求响应及偏离表、其他证明文件、单一来源响应函等部分。</w:t>
      </w:r>
      <w:bookmarkEnd w:id="80"/>
      <w:bookmarkEnd w:id="81"/>
      <w:bookmarkEnd w:id="82"/>
      <w:bookmarkEnd w:id="83"/>
      <w:bookmarkEnd w:id="84"/>
      <w:bookmarkEnd w:id="85"/>
      <w:bookmarkEnd w:id="86"/>
      <w:bookmarkEnd w:id="87"/>
    </w:p>
    <w:p w14:paraId="29F4D58D">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11、证明供应商及响应标的符合采购文件规定的文件</w:t>
      </w:r>
    </w:p>
    <w:p w14:paraId="61354FA1">
      <w:pPr>
        <w:pStyle w:val="6"/>
        <w:pageBreakBefore w:val="0"/>
        <w:widowControl w:val="0"/>
        <w:kinsoku/>
        <w:wordWrap/>
        <w:overflowPunct/>
        <w:topLinePunct w:val="0"/>
        <w:autoSpaceDE/>
        <w:autoSpaceDN/>
        <w:bidi w:val="0"/>
        <w:adjustRightInd/>
        <w:snapToGrid/>
        <w:spacing w:beforeAutospacing="0" w:afterAutospacing="0" w:line="38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11.1 供应商应按照法律、法规、规章和规范性文件以及采购文件要求提交证明文件，证明其及响应标的符合采购文件规定。</w:t>
      </w:r>
    </w:p>
    <w:p w14:paraId="771269D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11.2采购文件对证明文件无明确形式要求的，证明文件可以以文字资料、图纸和数据等形式提交。</w:t>
      </w:r>
    </w:p>
    <w:p w14:paraId="0B994939">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12、分项报价表</w:t>
      </w:r>
    </w:p>
    <w:p w14:paraId="36E378E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91" w:name="_Hlt26954731"/>
      <w:bookmarkStart w:id="92" w:name="_Hlt26954848"/>
      <w:bookmarkStart w:id="93" w:name="_Hlt26670482"/>
      <w:bookmarkStart w:id="94" w:name="_Hlt26670486"/>
      <w:bookmarkStart w:id="95" w:name="_Hlt26954846"/>
      <w:r>
        <w:rPr>
          <w:rFonts w:hint="eastAsia" w:ascii="宋体" w:hAnsi="宋体" w:eastAsia="宋体" w:cs="宋体"/>
          <w:color w:val="auto"/>
          <w:sz w:val="28"/>
          <w:szCs w:val="28"/>
          <w:highlight w:val="none"/>
        </w:rPr>
        <w:t>12.1 供应商应按照采购文件规定格式填报分项报价表。</w:t>
      </w:r>
    </w:p>
    <w:p w14:paraId="6A5172D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12.2报价货币。响应文件中的单价和总价无特殊规定的采用人民币报价，以元为单位标注。采购文件中另有规定的按规定执行。</w:t>
      </w:r>
    </w:p>
    <w:p w14:paraId="538A00F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12.3本项目</w:t>
      </w:r>
      <w:r>
        <w:rPr>
          <w:rFonts w:hint="eastAsia" w:ascii="宋体" w:hAnsi="宋体" w:eastAsia="宋体" w:cs="宋体"/>
          <w:color w:val="auto"/>
          <w:sz w:val="28"/>
          <w:szCs w:val="28"/>
          <w:highlight w:val="none"/>
          <w:lang w:val="en-US" w:eastAsia="zh-CN"/>
        </w:rPr>
        <w:t>招标代理服务费</w:t>
      </w:r>
      <w:r>
        <w:rPr>
          <w:rFonts w:hint="eastAsia" w:ascii="宋体" w:hAnsi="宋体" w:eastAsia="宋体" w:cs="宋体"/>
          <w:color w:val="auto"/>
          <w:sz w:val="28"/>
          <w:szCs w:val="28"/>
          <w:highlight w:val="none"/>
          <w:lang w:val="en-US" w:eastAsia="zh-CN"/>
        </w:rPr>
        <w:t>参考【依据江苏省招标代理服务收费的指导意见-苏政采协[2024]20号文件标准】收取，由成交供应商代为支付给采购代理机构，成交供应商应在领取中标通知书前缴纳。</w:t>
      </w:r>
    </w:p>
    <w:p w14:paraId="631D2B1E">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13、技术要求响应及偏离表、商务要求响应及偏离表</w:t>
      </w:r>
    </w:p>
    <w:p w14:paraId="7EF163B3">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13.1供应商需对采购文件中的技术要求与商务要求逐项作出响应或偏离，并说明原因。</w:t>
      </w:r>
    </w:p>
    <w:p w14:paraId="7FEDE0D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13.2供应商可在响应文件中提供认为需要的其他技术文件或说明。</w:t>
      </w:r>
    </w:p>
    <w:p w14:paraId="1753C6A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96" w:name="_Toc14577359"/>
      <w:bookmarkStart w:id="97" w:name="_Toc49090510"/>
      <w:r>
        <w:rPr>
          <w:rFonts w:hint="eastAsia" w:ascii="宋体" w:hAnsi="宋体" w:eastAsia="宋体" w:cs="宋体"/>
          <w:color w:val="auto"/>
          <w:sz w:val="28"/>
          <w:szCs w:val="28"/>
          <w:highlight w:val="none"/>
        </w:rPr>
        <w:t>14、服务承诺、培训计划、人员安排及其他</w:t>
      </w:r>
      <w:bookmarkEnd w:id="96"/>
      <w:bookmarkEnd w:id="97"/>
    </w:p>
    <w:p w14:paraId="18F9203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14.1供应商需根据采购文件要求提供有关售后服务的管理制度，售后服务机构的分布情况，售后服务人员的数量、素质、技术水平及售后服务的反应能力等。</w:t>
      </w:r>
    </w:p>
    <w:p w14:paraId="34B7A0AC">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14.2供应商需根据采购文件要求提供培训计划。</w:t>
      </w:r>
    </w:p>
    <w:p w14:paraId="2D31605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14.3供应商需根据采购文件要求提供所投标的的主要组成部分、功能设计、实现思路及关键技术等。</w:t>
      </w:r>
    </w:p>
    <w:p w14:paraId="2FA2A2E9">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98" w:name="_Toc14577360"/>
      <w:bookmarkStart w:id="99" w:name="_Toc49090511"/>
      <w:r>
        <w:rPr>
          <w:rFonts w:hint="eastAsia" w:ascii="宋体" w:hAnsi="宋体" w:eastAsia="宋体" w:cs="宋体"/>
          <w:color w:val="auto"/>
          <w:sz w:val="28"/>
          <w:szCs w:val="28"/>
          <w:highlight w:val="none"/>
        </w:rPr>
        <w:t>15、单一来源响应函</w:t>
      </w:r>
      <w:bookmarkEnd w:id="98"/>
      <w:bookmarkEnd w:id="99"/>
    </w:p>
    <w:p w14:paraId="4F6DD35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15.1供应商应按照采购文件中提供的格式完整、正确填写单一来源响应函。</w:t>
      </w:r>
    </w:p>
    <w:p w14:paraId="01700E5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16、单一来源采购有效期</w:t>
      </w:r>
    </w:p>
    <w:p w14:paraId="19CE3307">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16.1单一来源采购有效期（以下简称“有效期”）为</w:t>
      </w:r>
      <w:r>
        <w:rPr>
          <w:rFonts w:hint="eastAsia" w:ascii="宋体" w:hAnsi="宋体" w:eastAsia="宋体" w:cs="宋体"/>
          <w:color w:val="auto"/>
          <w:sz w:val="28"/>
          <w:szCs w:val="28"/>
          <w:highlight w:val="none"/>
          <w:lang w:eastAsia="zh-CN"/>
        </w:rPr>
        <w:t>采购代理</w:t>
      </w:r>
      <w:r>
        <w:rPr>
          <w:rFonts w:hint="eastAsia" w:ascii="宋体" w:hAnsi="宋体" w:eastAsia="宋体" w:cs="宋体"/>
          <w:color w:val="auto"/>
          <w:sz w:val="28"/>
          <w:szCs w:val="28"/>
          <w:highlight w:val="none"/>
          <w:lang w:eastAsia="zh-CN"/>
        </w:rPr>
        <w:t>机构</w:t>
      </w:r>
      <w:r>
        <w:rPr>
          <w:rFonts w:hint="eastAsia" w:ascii="宋体" w:hAnsi="宋体" w:eastAsia="宋体" w:cs="宋体"/>
          <w:color w:val="auto"/>
          <w:sz w:val="28"/>
          <w:szCs w:val="28"/>
          <w:highlight w:val="none"/>
        </w:rPr>
        <w:t>规定的响应文件接收截止之日后</w:t>
      </w:r>
      <w:r>
        <w:rPr>
          <w:rFonts w:hint="eastAsia" w:ascii="宋体" w:hAnsi="宋体" w:eastAsia="宋体" w:cs="宋体"/>
          <w:b/>
          <w:color w:val="auto"/>
          <w:sz w:val="28"/>
          <w:szCs w:val="28"/>
          <w:highlight w:val="none"/>
          <w:u w:val="single"/>
          <w:lang w:val="en-US" w:eastAsia="zh-CN"/>
        </w:rPr>
        <w:t>九</w:t>
      </w:r>
      <w:r>
        <w:rPr>
          <w:rFonts w:hint="eastAsia" w:ascii="宋体" w:hAnsi="宋体" w:eastAsia="宋体" w:cs="宋体"/>
          <w:b/>
          <w:color w:val="auto"/>
          <w:sz w:val="28"/>
          <w:szCs w:val="28"/>
          <w:highlight w:val="none"/>
          <w:u w:val="single"/>
        </w:rPr>
        <w:t>十（</w:t>
      </w:r>
      <w:r>
        <w:rPr>
          <w:rFonts w:hint="eastAsia" w:ascii="宋体" w:hAnsi="宋体" w:eastAsia="宋体" w:cs="宋体"/>
          <w:b/>
          <w:color w:val="auto"/>
          <w:sz w:val="28"/>
          <w:szCs w:val="28"/>
          <w:highlight w:val="none"/>
          <w:u w:val="single"/>
          <w:lang w:val="en-US" w:eastAsia="zh-CN"/>
        </w:rPr>
        <w:t>9</w:t>
      </w:r>
      <w:r>
        <w:rPr>
          <w:rFonts w:hint="eastAsia" w:ascii="宋体" w:hAnsi="宋体" w:eastAsia="宋体" w:cs="宋体"/>
          <w:b/>
          <w:color w:val="auto"/>
          <w:sz w:val="28"/>
          <w:szCs w:val="28"/>
          <w:highlight w:val="none"/>
          <w:u w:val="single"/>
        </w:rPr>
        <w:t>0）天</w:t>
      </w:r>
      <w:r>
        <w:rPr>
          <w:rFonts w:hint="eastAsia" w:ascii="宋体" w:hAnsi="宋体" w:eastAsia="宋体" w:cs="宋体"/>
          <w:color w:val="auto"/>
          <w:sz w:val="28"/>
          <w:szCs w:val="28"/>
          <w:highlight w:val="none"/>
        </w:rPr>
        <w:t>。有效期比规定期限短的将被视为未响应采购文件要求而予以拒绝。</w:t>
      </w:r>
    </w:p>
    <w:p w14:paraId="4AA205D4">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17、有效期的延长</w:t>
      </w:r>
    </w:p>
    <w:p w14:paraId="5A5BF6F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17.1在特殊情况下，</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于原有效期满之前，可向供应商提出延长有效期的要求。这种要求与答复均应采用书面形式。供应商可以拒绝</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的这一要求而放弃单一来源采购活动，同意延长有效期的供应商既不能要求也不允许修改其响应文件。受有效期约束的所有权利与义务均延长至新的有效期。</w:t>
      </w:r>
    </w:p>
    <w:p w14:paraId="4D22BD6F">
      <w:pPr>
        <w:pStyle w:val="6"/>
        <w:keepNext/>
        <w:keepLines/>
        <w:pageBreakBefore w:val="0"/>
        <w:widowControl w:val="0"/>
        <w:kinsoku/>
        <w:wordWrap/>
        <w:overflowPunct/>
        <w:topLinePunct w:val="0"/>
        <w:autoSpaceDE/>
        <w:autoSpaceDN/>
        <w:bidi w:val="0"/>
        <w:adjustRightInd/>
        <w:snapToGrid/>
        <w:spacing w:before="145" w:beforeAutospacing="0" w:after="145" w:afterAutospacing="0" w:line="380" w:lineRule="exact"/>
        <w:ind w:firstLine="562" w:firstLineChars="200"/>
        <w:jc w:val="both"/>
        <w:textAlignment w:val="auto"/>
        <w:rPr>
          <w:rFonts w:hint="eastAsia" w:ascii="宋体" w:hAnsi="宋体" w:eastAsia="宋体" w:cs="宋体"/>
          <w:color w:val="auto"/>
          <w:sz w:val="28"/>
          <w:szCs w:val="28"/>
          <w:highlight w:val="none"/>
        </w:rPr>
      </w:pPr>
      <w:bookmarkStart w:id="100" w:name="_Toc513029224"/>
      <w:bookmarkStart w:id="101" w:name="_Toc16938540"/>
      <w:bookmarkStart w:id="102" w:name="_Toc120614217"/>
      <w:bookmarkStart w:id="103" w:name="_Toc20823296"/>
      <w:bookmarkStart w:id="104" w:name="_Hlt26954852"/>
      <w:bookmarkStart w:id="105" w:name="_Hlt26954739"/>
      <w:r>
        <w:rPr>
          <w:rFonts w:hint="eastAsia" w:ascii="宋体" w:hAnsi="宋体" w:eastAsia="宋体" w:cs="宋体"/>
          <w:b/>
          <w:color w:val="auto"/>
          <w:sz w:val="28"/>
          <w:szCs w:val="28"/>
          <w:highlight w:val="none"/>
        </w:rPr>
        <w:t>四、响应文件的递交</w:t>
      </w:r>
      <w:bookmarkEnd w:id="100"/>
      <w:bookmarkEnd w:id="101"/>
      <w:bookmarkEnd w:id="102"/>
      <w:bookmarkEnd w:id="103"/>
    </w:p>
    <w:p w14:paraId="2590F954">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06" w:name="_Toc513029225"/>
      <w:bookmarkStart w:id="107" w:name="_Toc16938541"/>
      <w:bookmarkStart w:id="108" w:name="_Toc20823297"/>
      <w:bookmarkStart w:id="109" w:name="_Toc462564084"/>
      <w:r>
        <w:rPr>
          <w:rFonts w:hint="eastAsia" w:ascii="宋体" w:hAnsi="宋体" w:eastAsia="宋体" w:cs="宋体"/>
          <w:color w:val="auto"/>
          <w:sz w:val="28"/>
          <w:szCs w:val="28"/>
          <w:highlight w:val="none"/>
        </w:rPr>
        <w:t>18、电子</w:t>
      </w:r>
      <w:bookmarkEnd w:id="106"/>
      <w:bookmarkEnd w:id="107"/>
      <w:bookmarkEnd w:id="108"/>
      <w:bookmarkEnd w:id="109"/>
      <w:r>
        <w:rPr>
          <w:rFonts w:hint="eastAsia" w:ascii="宋体" w:hAnsi="宋体" w:eastAsia="宋体" w:cs="宋体"/>
          <w:color w:val="auto"/>
          <w:sz w:val="28"/>
          <w:szCs w:val="28"/>
          <w:highlight w:val="none"/>
        </w:rPr>
        <w:t>响应文件的递交</w:t>
      </w:r>
    </w:p>
    <w:p w14:paraId="0F46FC51">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18.1供应商应当按照《操作手册》规定，在截止时间前制作并上传电子响应文件。</w:t>
      </w:r>
      <w:bookmarkStart w:id="110" w:name="_Toc16938542"/>
      <w:bookmarkEnd w:id="110"/>
      <w:bookmarkStart w:id="111" w:name="_Toc20823298"/>
      <w:bookmarkEnd w:id="111"/>
      <w:bookmarkStart w:id="112" w:name="_Toc513029226"/>
    </w:p>
    <w:p w14:paraId="499D52B7">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19、提交响应文件截止时间</w:t>
      </w:r>
    </w:p>
    <w:p w14:paraId="40560979">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19.1供应商上传电子响应文件的时间不得迟于单一来源采购邀请中规定的截止时间。</w:t>
      </w:r>
    </w:p>
    <w:p w14:paraId="20E4090A">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13" w:name="_Toc16938543"/>
      <w:bookmarkStart w:id="114" w:name="_Toc513029227"/>
      <w:bookmarkStart w:id="115" w:name="_Toc20823299"/>
      <w:r>
        <w:rPr>
          <w:rFonts w:hint="eastAsia" w:ascii="宋体" w:hAnsi="宋体" w:eastAsia="宋体" w:cs="宋体"/>
          <w:color w:val="auto"/>
          <w:sz w:val="28"/>
          <w:szCs w:val="28"/>
          <w:highlight w:val="none"/>
        </w:rPr>
        <w:t>供应商应充分考虑到网络环境、网络带宽等风险因素，如因供应商自身原因造成的电子响应文件上传不成功由供应商自行承担全部责任。</w:t>
      </w:r>
      <w:bookmarkEnd w:id="113"/>
      <w:bookmarkEnd w:id="114"/>
      <w:bookmarkEnd w:id="115"/>
    </w:p>
    <w:p w14:paraId="2F396EB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19.2</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可以按照规定，通过修改采购文件酌情延长截止时间，在此情况下，供应商的所有权利和义务以及供应商受制的截止时间以延长后新的截止时间为准。</w:t>
      </w:r>
    </w:p>
    <w:p w14:paraId="1559D112">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20、响应文件的拒收</w:t>
      </w:r>
    </w:p>
    <w:p w14:paraId="79A9359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20.1</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拒绝接收在其规定的截止时间后上传的任何电子响应文件。</w:t>
      </w:r>
    </w:p>
    <w:p w14:paraId="21522AE5">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16" w:name="_Toc20823300"/>
      <w:bookmarkStart w:id="117" w:name="_Toc513029228"/>
      <w:bookmarkStart w:id="118" w:name="_Toc16938544"/>
      <w:r>
        <w:rPr>
          <w:rFonts w:hint="eastAsia" w:ascii="宋体" w:hAnsi="宋体" w:eastAsia="宋体" w:cs="宋体"/>
          <w:color w:val="auto"/>
          <w:sz w:val="28"/>
          <w:szCs w:val="28"/>
          <w:highlight w:val="none"/>
        </w:rPr>
        <w:t>21、响应文件的撤回和修改</w:t>
      </w:r>
      <w:bookmarkEnd w:id="116"/>
      <w:bookmarkEnd w:id="117"/>
      <w:bookmarkEnd w:id="118"/>
    </w:p>
    <w:p w14:paraId="53ADBD4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21.1响应文件的撤回</w:t>
      </w:r>
    </w:p>
    <w:p w14:paraId="1131B31F">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21.1.1 电子响应文件的撤回</w:t>
      </w:r>
    </w:p>
    <w:p w14:paraId="6B27DBC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供应商可在截止时间前，撤回其电子响应文件，具体操作方法见《操作手册》。</w:t>
      </w:r>
    </w:p>
    <w:p w14:paraId="5EE9E72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21.1.2供应商撤回电子响应文件，则认为其不再参与本项目采购活动。</w:t>
      </w:r>
    </w:p>
    <w:p w14:paraId="3E6D8F28">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21.2响应文件的修改</w:t>
      </w:r>
    </w:p>
    <w:p w14:paraId="0897A757">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供应商可在截止时间前，对其电子响应文件进行修改，具体操作方法见《操作手册》。</w:t>
      </w:r>
    </w:p>
    <w:p w14:paraId="33ED3849">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21.3在截止时间之后，供应商不得对其电子响应文件作任何修改。</w:t>
      </w:r>
    </w:p>
    <w:p w14:paraId="1D80CE9D">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21.4在截止时间至有效期满之间的这段时间内，供应商不得撤回其响应文件。</w:t>
      </w:r>
    </w:p>
    <w:p w14:paraId="3392F505">
      <w:pPr>
        <w:pStyle w:val="6"/>
        <w:keepNext/>
        <w:keepLines/>
        <w:pageBreakBefore w:val="0"/>
        <w:widowControl w:val="0"/>
        <w:kinsoku/>
        <w:wordWrap/>
        <w:overflowPunct/>
        <w:topLinePunct w:val="0"/>
        <w:autoSpaceDE/>
        <w:autoSpaceDN/>
        <w:bidi w:val="0"/>
        <w:adjustRightInd/>
        <w:snapToGrid/>
        <w:spacing w:before="145" w:beforeAutospacing="0" w:after="145" w:afterAutospacing="0" w:line="380" w:lineRule="exact"/>
        <w:ind w:firstLine="562" w:firstLineChars="200"/>
        <w:jc w:val="both"/>
        <w:textAlignment w:val="auto"/>
        <w:rPr>
          <w:rFonts w:hint="eastAsia" w:ascii="宋体" w:hAnsi="宋体" w:eastAsia="宋体" w:cs="宋体"/>
          <w:color w:val="auto"/>
          <w:sz w:val="28"/>
          <w:szCs w:val="28"/>
          <w:highlight w:val="none"/>
        </w:rPr>
      </w:pPr>
      <w:bookmarkStart w:id="119" w:name="_Toc513029229"/>
      <w:bookmarkStart w:id="120" w:name="_Toc120614218"/>
      <w:bookmarkStart w:id="121" w:name="_Toc16938545"/>
      <w:bookmarkStart w:id="122" w:name="_Toc20823301"/>
      <w:r>
        <w:rPr>
          <w:rFonts w:hint="eastAsia" w:ascii="宋体" w:hAnsi="宋体" w:eastAsia="宋体" w:cs="宋体"/>
          <w:b/>
          <w:color w:val="auto"/>
          <w:sz w:val="28"/>
          <w:szCs w:val="28"/>
          <w:highlight w:val="none"/>
        </w:rPr>
        <w:t>五、响应文件的解密与评审</w:t>
      </w:r>
      <w:bookmarkEnd w:id="119"/>
      <w:bookmarkEnd w:id="120"/>
      <w:bookmarkEnd w:id="121"/>
      <w:bookmarkEnd w:id="122"/>
    </w:p>
    <w:p w14:paraId="75B3FAD2">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23" w:name="_Toc16938546"/>
      <w:bookmarkStart w:id="124" w:name="_Toc513029230"/>
      <w:bookmarkStart w:id="125" w:name="_Toc20823302"/>
      <w:r>
        <w:rPr>
          <w:rFonts w:hint="eastAsia" w:ascii="宋体" w:hAnsi="宋体" w:eastAsia="宋体" w:cs="宋体"/>
          <w:color w:val="auto"/>
          <w:sz w:val="28"/>
          <w:szCs w:val="28"/>
          <w:highlight w:val="none"/>
        </w:rPr>
        <w:t>22、</w:t>
      </w:r>
      <w:bookmarkEnd w:id="123"/>
      <w:bookmarkEnd w:id="124"/>
      <w:bookmarkEnd w:id="125"/>
      <w:r>
        <w:rPr>
          <w:rFonts w:hint="eastAsia" w:ascii="宋体" w:hAnsi="宋体" w:eastAsia="宋体" w:cs="宋体"/>
          <w:color w:val="auto"/>
          <w:sz w:val="28"/>
          <w:szCs w:val="28"/>
          <w:highlight w:val="none"/>
        </w:rPr>
        <w:t>响应文件解密</w:t>
      </w:r>
    </w:p>
    <w:p w14:paraId="5FC8E2B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22.1供应商应当按照《操作手册》规定，在</w:t>
      </w:r>
      <w:r>
        <w:rPr>
          <w:rFonts w:hint="eastAsia" w:ascii="宋体" w:hAnsi="宋体" w:eastAsia="宋体" w:cs="宋体"/>
          <w:color w:val="auto"/>
          <w:sz w:val="28"/>
          <w:szCs w:val="28"/>
          <w:highlight w:val="none"/>
        </w:rPr>
        <w:t>苏采云系统</w:t>
      </w:r>
      <w:r>
        <w:rPr>
          <w:rFonts w:hint="eastAsia" w:ascii="宋体" w:hAnsi="宋体" w:eastAsia="宋体" w:cs="宋体"/>
          <w:color w:val="auto"/>
          <w:sz w:val="28"/>
          <w:szCs w:val="28"/>
          <w:highlight w:val="none"/>
        </w:rPr>
        <w:t>规定的时间内对响应文件进行解密。</w:t>
      </w:r>
    </w:p>
    <w:p w14:paraId="11AF758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26" w:name="_Toc20823303"/>
      <w:bookmarkStart w:id="127" w:name="_Toc513029231"/>
      <w:bookmarkStart w:id="128" w:name="_Toc16938547"/>
      <w:r>
        <w:rPr>
          <w:rFonts w:hint="eastAsia" w:ascii="宋体" w:hAnsi="宋体" w:eastAsia="宋体" w:cs="宋体"/>
          <w:color w:val="auto"/>
          <w:sz w:val="28"/>
          <w:szCs w:val="28"/>
          <w:highlight w:val="none"/>
        </w:rPr>
        <w:t>23、单一来源谈判小组</w:t>
      </w:r>
      <w:bookmarkEnd w:id="126"/>
      <w:bookmarkEnd w:id="127"/>
      <w:bookmarkEnd w:id="128"/>
    </w:p>
    <w:p w14:paraId="0E67FB6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23.1单一来源谈判小组（以下简称“谈判小组”）由政府采购评审专家、采购人代表组成，且人员构成符合政府采购有关规定。</w:t>
      </w:r>
    </w:p>
    <w:p w14:paraId="6D9803B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23.2谈判小组应当按照客观、公正、审慎的原则评审供应商的响应文件，并与供应商协商采购标的的价格。</w:t>
      </w:r>
    </w:p>
    <w:p w14:paraId="574F788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24、单一来源谈判过程的保密与公正</w:t>
      </w:r>
    </w:p>
    <w:p w14:paraId="332B7D8C">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29" w:name="_Toc513029232"/>
      <w:bookmarkStart w:id="130" w:name="_Toc16938548"/>
      <w:bookmarkStart w:id="131" w:name="_Toc20823304"/>
      <w:r>
        <w:rPr>
          <w:rFonts w:hint="eastAsia" w:ascii="宋体" w:hAnsi="宋体" w:eastAsia="宋体" w:cs="宋体"/>
          <w:color w:val="auto"/>
          <w:sz w:val="28"/>
          <w:szCs w:val="28"/>
          <w:highlight w:val="none"/>
        </w:rPr>
        <w:t>24.1谈判小组、采购人和</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工作人员、相关监督人员等与评审工作有关的人员，对评审、单一来源谈判情况以及在评审、单一来源谈判过程（以下简称“谈判过程”）中获悉的国家秘密、商业秘密负有保密责任。</w:t>
      </w:r>
      <w:bookmarkEnd w:id="129"/>
      <w:bookmarkEnd w:id="130"/>
      <w:bookmarkEnd w:id="131"/>
    </w:p>
    <w:p w14:paraId="556E91D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24.2在谈判过程中，供应商不得以任何行为影响评审及谈判过程，否则将会导致其响应文件被拒绝。</w:t>
      </w:r>
    </w:p>
    <w:p w14:paraId="5E467E5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25、评审及谈判过程中的澄清</w:t>
      </w:r>
    </w:p>
    <w:p w14:paraId="6C944525">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25.1项目评审及谈判过程中，谈判小组有权要求供应商对响应文件中含义不明确、同类问题表述不一致或者有明显文字和计算错误的内容等作出必要的澄清、说明或者更正。</w:t>
      </w:r>
    </w:p>
    <w:p w14:paraId="30FFF76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w:t>
      </w:r>
      <w:r>
        <w:rPr>
          <w:rFonts w:hint="eastAsia" w:ascii="宋体" w:hAnsi="宋体" w:eastAsia="宋体" w:cs="宋体"/>
          <w:color w:val="auto"/>
          <w:sz w:val="28"/>
          <w:szCs w:val="28"/>
          <w:highlight w:val="none"/>
        </w:rPr>
        <w:t>内容作为响应文件的补充部分，具体操作方式见《操作手册》。</w:t>
      </w:r>
    </w:p>
    <w:p w14:paraId="34814CB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 接到谈判小组澄清、说明和更正要求的供应商如未按规定做出澄清、说明和 更正，其风险由供应商自行承担。</w:t>
      </w:r>
    </w:p>
    <w:p w14:paraId="67D35BA9">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32" w:name="_Toc16938549"/>
      <w:bookmarkStart w:id="133" w:name="_Toc513029233"/>
      <w:bookmarkStart w:id="134" w:name="_Toc20823305"/>
      <w:r>
        <w:rPr>
          <w:rFonts w:hint="eastAsia" w:ascii="宋体" w:hAnsi="宋体" w:eastAsia="宋体" w:cs="宋体"/>
          <w:color w:val="auto"/>
          <w:sz w:val="28"/>
          <w:szCs w:val="28"/>
          <w:highlight w:val="none"/>
        </w:rPr>
        <w:t>26、对响应文件的审</w:t>
      </w:r>
      <w:bookmarkEnd w:id="132"/>
      <w:bookmarkEnd w:id="133"/>
      <w:bookmarkEnd w:id="134"/>
      <w:r>
        <w:rPr>
          <w:rFonts w:hint="eastAsia" w:ascii="宋体" w:hAnsi="宋体" w:eastAsia="宋体" w:cs="宋体"/>
          <w:color w:val="auto"/>
          <w:sz w:val="28"/>
          <w:szCs w:val="28"/>
          <w:highlight w:val="none"/>
        </w:rPr>
        <w:t>查</w:t>
      </w:r>
    </w:p>
    <w:p w14:paraId="556CE5A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26.1响应文件审查分为资格审查和符合性审查。</w:t>
      </w:r>
    </w:p>
    <w:p w14:paraId="73A8C42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26.1.1 资格审查：由谈判小组依据法律法规和谈判文件的规定，对响应文件中的资格证明文件进行审查，以确定供应商是否具备参加单一来源谈判的资格。</w:t>
      </w:r>
    </w:p>
    <w:p w14:paraId="7A61F48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谈判小组在进行资格审查的同时，将在“信用中国”网站（www.creditchina.gov.cn）查询供应商的信用记录，以确定供应商是否具备谈判资格,查询结果留存并归档。</w:t>
      </w:r>
    </w:p>
    <w:p w14:paraId="3FB42AB7">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B50332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26.1.2 符合性审查：依据采购文件的规定，由谈判小组从响应文件的有效性、完整性和对采购文件的响应程度进行审查，以确定是否对谈判文件的实质性要求作出响应。</w:t>
      </w:r>
    </w:p>
    <w:p w14:paraId="1C6BE10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26.1.3 未通过资格审查或符合性审查的供应商，谈判小组将在</w:t>
      </w:r>
      <w:r>
        <w:rPr>
          <w:rFonts w:hint="eastAsia" w:ascii="宋体" w:hAnsi="宋体" w:eastAsia="宋体" w:cs="宋体"/>
          <w:color w:val="auto"/>
          <w:sz w:val="28"/>
          <w:szCs w:val="28"/>
          <w:highlight w:val="none"/>
        </w:rPr>
        <w:t>苏采云系统</w:t>
      </w:r>
      <w:r>
        <w:rPr>
          <w:rFonts w:hint="eastAsia" w:ascii="宋体" w:hAnsi="宋体" w:eastAsia="宋体" w:cs="宋体"/>
          <w:color w:val="auto"/>
          <w:sz w:val="28"/>
          <w:szCs w:val="28"/>
          <w:highlight w:val="none"/>
        </w:rPr>
        <w:t>中告知未通过资格审查或符合性审查的原因，评审结束后，谈判小组将不再告知未通过资格审查或符合性审查的原因。</w:t>
      </w:r>
    </w:p>
    <w:p w14:paraId="0D07148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26.2在正式进行谈判之前，谈判小组将首先审查每份响应文件是否实质性响应了采购文件的要求。实质性响应的响应文件应该是与采购文件要求的条款、条件和规格相符，没有重大偏离或保留。</w:t>
      </w:r>
    </w:p>
    <w:p w14:paraId="1533555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的权利或供应商的义务。重大偏离由谈判小组按照少数服从多数的原则认定。谈判小组决定响应文件的响应性只根据响应文件本身的内容，而不寻求外部的证据。</w:t>
      </w:r>
    </w:p>
    <w:p w14:paraId="41BB8BE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26.3未实质性响应采购文件的情形</w:t>
      </w:r>
    </w:p>
    <w:p w14:paraId="229D281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26.3.1供</w:t>
      </w:r>
      <w:r>
        <w:rPr>
          <w:rFonts w:hint="eastAsia" w:ascii="宋体" w:hAnsi="宋体" w:eastAsia="宋体" w:cs="宋体"/>
          <w:color w:val="auto"/>
          <w:sz w:val="28"/>
          <w:szCs w:val="28"/>
          <w:highlight w:val="none"/>
        </w:rPr>
        <w:t>应商在苏采云系统规定的时间内未成功解密电子响</w:t>
      </w:r>
      <w:r>
        <w:rPr>
          <w:rFonts w:hint="eastAsia" w:ascii="宋体" w:hAnsi="宋体" w:eastAsia="宋体" w:cs="宋体"/>
          <w:color w:val="auto"/>
          <w:sz w:val="28"/>
          <w:szCs w:val="28"/>
          <w:highlight w:val="none"/>
        </w:rPr>
        <w:t>应文件的。</w:t>
      </w:r>
    </w:p>
    <w:p w14:paraId="59D774C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26.3.2供应商未按照采购文件要求上传电子响应文件的。</w:t>
      </w:r>
    </w:p>
    <w:p w14:paraId="5F5688E4">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26.3.3供应商提交两个（含两个）以上不同的响应文件或者最后报价的。</w:t>
      </w:r>
    </w:p>
    <w:p w14:paraId="702B46E8">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26.3.4供应商不具备采购文件中规定资格要求的。</w:t>
      </w:r>
    </w:p>
    <w:p w14:paraId="1192F69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26.3.5供应商的最后报价超过了采购预算。</w:t>
      </w:r>
    </w:p>
    <w:p w14:paraId="7A08699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26.3.6不符合采购文件中规定的实质性要求和条件的</w:t>
      </w:r>
      <w:r>
        <w:rPr>
          <w:rFonts w:hint="eastAsia" w:ascii="宋体" w:hAnsi="宋体" w:eastAsia="宋体" w:cs="宋体"/>
          <w:i/>
          <w:color w:val="auto"/>
          <w:sz w:val="28"/>
          <w:szCs w:val="28"/>
          <w:highlight w:val="none"/>
          <w:u w:val="single"/>
        </w:rPr>
        <w:t>（本采购文件中斜体且有下划线部分为实质性要求和条件）。</w:t>
      </w:r>
    </w:p>
    <w:p w14:paraId="5592EF35">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D597D98">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26.3.8</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响应文件含有采购人不能接受的附加条件的。</w:t>
      </w:r>
    </w:p>
    <w:p w14:paraId="70663643">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4703C7BF">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26.3.10响应文件未按照谈判文件要求加盖CA电子公章的。</w:t>
      </w:r>
    </w:p>
    <w:p w14:paraId="790CC914">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26.4未实质性响应采购文件的响应文件按无效响应处理。</w:t>
      </w:r>
    </w:p>
    <w:p w14:paraId="5C7D7BB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26.5如果响应文件实质上没有响应采购文件的要求，谈判小组将予以拒绝。</w:t>
      </w:r>
    </w:p>
    <w:p w14:paraId="032E9B2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35" w:name="_Toc16938550"/>
      <w:bookmarkStart w:id="136" w:name="_Toc513029234"/>
      <w:bookmarkStart w:id="137" w:name="_Toc20823306"/>
      <w:r>
        <w:rPr>
          <w:rFonts w:hint="eastAsia" w:ascii="宋体" w:hAnsi="宋体" w:eastAsia="宋体" w:cs="宋体"/>
          <w:color w:val="auto"/>
          <w:sz w:val="28"/>
          <w:szCs w:val="28"/>
          <w:highlight w:val="none"/>
        </w:rPr>
        <w:t>26.6供应商在项目评审</w:t>
      </w:r>
      <w:r>
        <w:rPr>
          <w:rFonts w:hint="eastAsia" w:ascii="宋体" w:hAnsi="宋体" w:eastAsia="宋体" w:cs="宋体"/>
          <w:color w:val="auto"/>
          <w:sz w:val="28"/>
          <w:szCs w:val="28"/>
          <w:highlight w:val="none"/>
        </w:rPr>
        <w:t>及谈判</w:t>
      </w:r>
      <w:r>
        <w:rPr>
          <w:rFonts w:hint="eastAsia" w:ascii="宋体" w:hAnsi="宋体" w:eastAsia="宋体" w:cs="宋体"/>
          <w:color w:val="auto"/>
          <w:sz w:val="28"/>
          <w:szCs w:val="28"/>
          <w:highlight w:val="none"/>
        </w:rPr>
        <w:t>全过程中应保持通讯畅通，并安排专人与</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及谈判小组联系。</w:t>
      </w:r>
      <w:bookmarkEnd w:id="135"/>
      <w:bookmarkEnd w:id="136"/>
      <w:bookmarkEnd w:id="137"/>
    </w:p>
    <w:p w14:paraId="408519FB">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27、单一来源谈判及成交原则</w:t>
      </w:r>
    </w:p>
    <w:p w14:paraId="57C5676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27.1单一来源谈判</w:t>
      </w:r>
    </w:p>
    <w:p w14:paraId="16889B7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27.1.1 对于通过资格审查和符合性审查的供应商，谈判小组将通过苏采云系统与其就采购标的的价格、服务等内容进行单一来源谈判。</w:t>
      </w:r>
    </w:p>
    <w:p w14:paraId="601BAA8D">
      <w:pPr>
        <w:pStyle w:val="6"/>
        <w:pageBreakBefore w:val="0"/>
        <w:widowControl w:val="0"/>
        <w:kinsoku/>
        <w:wordWrap/>
        <w:overflowPunct/>
        <w:topLinePunct w:val="0"/>
        <w:autoSpaceDE/>
        <w:autoSpaceDN/>
        <w:bidi w:val="0"/>
        <w:adjustRightInd/>
        <w:snapToGrid/>
        <w:spacing w:beforeAutospacing="0" w:afterAutospacing="0" w:line="380" w:lineRule="exact"/>
        <w:ind w:firstLine="478"/>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27.1.2供应商应当在苏采云系统中以书面形式对谈判过程中做出的承诺与澄清进行确认，并在谈判小组规定的时间内完成最后报价。</w:t>
      </w:r>
    </w:p>
    <w:p w14:paraId="2E55C9FC">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321A899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27.2成交原则</w:t>
      </w:r>
    </w:p>
    <w:p w14:paraId="7A0C6266">
      <w:pPr>
        <w:pStyle w:val="6"/>
        <w:pageBreakBefore w:val="0"/>
        <w:widowControl w:val="0"/>
        <w:kinsoku/>
        <w:wordWrap/>
        <w:overflowPunct/>
        <w:topLinePunct w:val="0"/>
        <w:autoSpaceDE/>
        <w:autoSpaceDN/>
        <w:bidi w:val="0"/>
        <w:adjustRightInd/>
        <w:snapToGrid/>
        <w:spacing w:beforeAutospacing="0" w:afterAutospacing="0" w:line="3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谈判小组根据政府采购相关法律、规章的规定，在供应商的响应情况能保证采购项目质量且最后报价合理的基础上确定其为成交供应商。</w:t>
      </w:r>
    </w:p>
    <w:p w14:paraId="6C2F885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27.3单一来源谈判终止情形处理</w:t>
      </w:r>
    </w:p>
    <w:p w14:paraId="10E9234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出现下列情形之一的，</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将终止采购活动，发布项目终止公告并说明原因，重新开展采购活动：</w:t>
      </w:r>
    </w:p>
    <w:p w14:paraId="571650A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27.3.1 因情况变化，不再符合规定的单一来源采购方式适用情形的；</w:t>
      </w:r>
    </w:p>
    <w:p w14:paraId="1781841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27.3.2 出现影响采购公正的违法、违规行为的；</w:t>
      </w:r>
    </w:p>
    <w:p w14:paraId="457FA6A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27.3.3供应商最后报价超过采购预算的；</w:t>
      </w:r>
    </w:p>
    <w:p w14:paraId="53B70C1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27.3.4供应商的技术方案、服务承诺、商务条款等不能满足采购人或谈判小组的要求；</w:t>
      </w:r>
    </w:p>
    <w:p w14:paraId="778E3BAD">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27.3.5 法律、法规、规章规定的其他应当终止的情形。</w:t>
      </w:r>
    </w:p>
    <w:p w14:paraId="411AAEEF">
      <w:pPr>
        <w:pStyle w:val="6"/>
        <w:pageBreakBefore w:val="0"/>
        <w:widowControl w:val="0"/>
        <w:kinsoku/>
        <w:wordWrap/>
        <w:overflowPunct/>
        <w:topLinePunct w:val="0"/>
        <w:autoSpaceDE/>
        <w:autoSpaceDN/>
        <w:bidi w:val="0"/>
        <w:adjustRightInd/>
        <w:snapToGrid/>
        <w:spacing w:beforeAutospacing="0" w:afterAutospacing="0" w:line="380" w:lineRule="exact"/>
        <w:ind w:firstLine="562" w:firstLineChars="200"/>
        <w:jc w:val="both"/>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六、成交</w:t>
      </w:r>
    </w:p>
    <w:p w14:paraId="00A7C97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28、确定成交供应商</w:t>
      </w:r>
    </w:p>
    <w:p w14:paraId="71FDF90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28.1谈判小组根据谈判情况编写单一来源评审报告，推荐成交候选供应商。</w:t>
      </w:r>
    </w:p>
    <w:p w14:paraId="22A3CDB5">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28.2 采购人根据谈判小组推荐的成交候选供应商确定成交供应商。</w:t>
      </w:r>
    </w:p>
    <w:p w14:paraId="51565B2B">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 若有充分证据证明，成交供应商出现下列情况之一的，一经查实，将被取消成交资格：</w:t>
      </w:r>
    </w:p>
    <w:p w14:paraId="7CDF82B5">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28.3.1提供虚假材料谋取成交的。</w:t>
      </w:r>
    </w:p>
    <w:p w14:paraId="1864866C">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28.3.2与评审专家、采购人、其他供应商或者</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工作人员恶意串通的。</w:t>
      </w:r>
    </w:p>
    <w:p w14:paraId="13139821">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28.3.3向评审专家、采购人或</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工作人员行贿或者提供其他不正当利益的。</w:t>
      </w:r>
    </w:p>
    <w:p w14:paraId="7EB80B4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28.3.4恶意竞争，最后报价明显低于其自身合理成本且又无法提供证明的。</w:t>
      </w:r>
    </w:p>
    <w:p w14:paraId="204DDCB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28.3.5不满足本采购文件规定的实质性要求，但在评审过程中又未被谈判小组发现的。</w:t>
      </w:r>
    </w:p>
    <w:p w14:paraId="54A9ABA5">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28.3.6成交后无正当理由拒不与采购人签订政府采购合同或者未按照采购文件确定的事项签订政府采购合同的。</w:t>
      </w:r>
    </w:p>
    <w:p w14:paraId="64DB3EA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28.3.7将政府采购合同转包的。</w:t>
      </w:r>
    </w:p>
    <w:p w14:paraId="52BAC62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成交供应商被取消成交资格后，</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有权重新组织采购。</w:t>
      </w:r>
    </w:p>
    <w:p w14:paraId="09324961">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38" w:name="_Toc200451960"/>
      <w:r>
        <w:rPr>
          <w:rFonts w:hint="eastAsia" w:ascii="宋体" w:hAnsi="宋体" w:eastAsia="宋体" w:cs="宋体"/>
          <w:color w:val="auto"/>
          <w:sz w:val="28"/>
          <w:szCs w:val="28"/>
          <w:highlight w:val="none"/>
        </w:rPr>
        <w:t>29、质疑处理</w:t>
      </w:r>
      <w:bookmarkEnd w:id="138"/>
    </w:p>
    <w:p w14:paraId="468FFDA8">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29.1供应商认为采购过程和采购结果使自己的权益受到损害的，可以从采购结果公布之日起七个工作日内，以书面形式向</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提出质疑。</w:t>
      </w:r>
    </w:p>
    <w:p w14:paraId="40913C4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、采购人将只对供应商第一次质疑作出答复。</w:t>
      </w:r>
    </w:p>
    <w:p w14:paraId="452FDEB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29.3质疑函必须按照本采购文件中《质疑函范本》要求的格式和内容进行填写。供应商如组成联合体参加谈判，则《质疑函范本》中要求签字、盖章、加盖公章之处，联合体各方均须按要求签字、盖章、加盖公章。</w:t>
      </w:r>
    </w:p>
    <w:p w14:paraId="784600B0">
      <w:pPr>
        <w:pageBreakBefore w:val="0"/>
        <w:widowControl w:val="0"/>
        <w:tabs>
          <w:tab w:val="left" w:pos="1331"/>
        </w:tabs>
        <w:kinsoku/>
        <w:wordWrap/>
        <w:overflowPunct/>
        <w:topLinePunct w:val="0"/>
        <w:autoSpaceDE/>
        <w:autoSpaceDN/>
        <w:bidi w:val="0"/>
        <w:adjustRightInd/>
        <w:snapToGrid/>
        <w:spacing w:line="380" w:lineRule="exact"/>
        <w:ind w:firstLine="560" w:firstLineChars="200"/>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29.4 采购代理机构只接收以纸质原件形式送达的质疑,采购人和采购代理机构不接受未填写快递运单的</w:t>
      </w:r>
      <w:r>
        <w:rPr>
          <w:rFonts w:hint="eastAsia" w:ascii="宋体" w:hAnsi="宋体" w:eastAsia="宋体" w:cs="宋体"/>
          <w:color w:val="auto"/>
          <w:kern w:val="0"/>
          <w:sz w:val="28"/>
          <w:szCs w:val="28"/>
          <w:highlight w:val="none"/>
          <w:lang w:val="en-US" w:eastAsia="zh-CN" w:bidi="ar-SA"/>
        </w:rPr>
        <w:t>快件。质疑接收部门为盐城载鑫项目管理咨询有限公司，联系地址：滨海县政务服务中心3145室，联系电话：13770130866。</w:t>
      </w:r>
    </w:p>
    <w:p w14:paraId="65F10E92">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 以下情形的质疑不予受理</w:t>
      </w:r>
    </w:p>
    <w:p w14:paraId="48D11FD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29.5.1 内容不符合《政府采购质疑和投诉办法》第十二条规定的质疑。</w:t>
      </w:r>
    </w:p>
    <w:p w14:paraId="67C802BF">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29.5.2 超出政府采购法定期限的质疑。</w:t>
      </w:r>
    </w:p>
    <w:p w14:paraId="17CE666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29.5.3 以传真、电子邮件等方式递交的非原件形式的质疑。</w:t>
      </w:r>
    </w:p>
    <w:p w14:paraId="469643E0">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29.5.4未参加单一来源采购活动的供应商所提出的质疑。</w:t>
      </w:r>
    </w:p>
    <w:p w14:paraId="04B8829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29.5.5供应商组成联合体参加谈判，联合体中任何一方或多方未按要求签字、盖章、加盖公章的质疑。</w:t>
      </w:r>
    </w:p>
    <w:p w14:paraId="56F407FA">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29.6供应商提出书面质疑必须有理、有据，不得捏造事实、提供虚假材料进行恶意质疑。否则，一经查实，</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有权依据政府采购的有关规定，报请政府采购监管部门对该供应商进行相应的行政处罚和记录该供应商的失信信息。</w:t>
      </w:r>
    </w:p>
    <w:p w14:paraId="4F417BB5">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30、成交通知书</w:t>
      </w:r>
    </w:p>
    <w:p w14:paraId="4A7EC7CE">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30.1成交结果确定后，</w:t>
      </w:r>
      <w:r>
        <w:rPr>
          <w:rFonts w:hint="eastAsia" w:ascii="宋体" w:hAnsi="宋体" w:eastAsia="宋体" w:cs="宋体"/>
          <w:color w:val="auto"/>
          <w:sz w:val="28"/>
          <w:szCs w:val="28"/>
          <w:highlight w:val="none"/>
          <w:lang w:val="en-US" w:eastAsia="zh-CN"/>
        </w:rPr>
        <w:t>在领取成交通知书前，</w:t>
      </w:r>
      <w:r>
        <w:rPr>
          <w:rFonts w:hint="eastAsia" w:ascii="宋体" w:hAnsi="宋体" w:eastAsia="宋体" w:cs="宋体"/>
          <w:color w:val="auto"/>
          <w:sz w:val="28"/>
          <w:szCs w:val="28"/>
          <w:highlight w:val="none"/>
        </w:rPr>
        <w:t>成交供应商</w:t>
      </w:r>
      <w:r>
        <w:rPr>
          <w:rFonts w:hint="eastAsia" w:ascii="宋体" w:hAnsi="宋体" w:eastAsia="宋体" w:cs="宋体"/>
          <w:color w:val="auto"/>
          <w:sz w:val="28"/>
          <w:szCs w:val="28"/>
          <w:highlight w:val="none"/>
          <w:lang w:val="en-US" w:eastAsia="zh-CN"/>
        </w:rPr>
        <w:t>须</w:t>
      </w:r>
      <w:r>
        <w:rPr>
          <w:rFonts w:hint="eastAsia" w:ascii="宋体" w:hAnsi="宋体" w:eastAsia="宋体" w:cs="宋体"/>
          <w:bCs/>
          <w:color w:val="auto"/>
          <w:sz w:val="28"/>
          <w:szCs w:val="28"/>
          <w:highlight w:val="none"/>
        </w:rPr>
        <w:t>代为支付</w:t>
      </w:r>
      <w:r>
        <w:rPr>
          <w:rFonts w:hint="eastAsia" w:ascii="宋体" w:hAnsi="宋体" w:eastAsia="宋体" w:cs="宋体"/>
          <w:bCs/>
          <w:color w:val="auto"/>
          <w:sz w:val="28"/>
          <w:szCs w:val="28"/>
          <w:highlight w:val="none"/>
          <w:lang w:val="en-US" w:eastAsia="zh-CN"/>
        </w:rPr>
        <w:t>代理服务费</w:t>
      </w:r>
      <w:r>
        <w:rPr>
          <w:rFonts w:hint="eastAsia" w:ascii="宋体" w:hAnsi="宋体" w:eastAsia="宋体" w:cs="宋体"/>
          <w:bCs/>
          <w:color w:val="auto"/>
          <w:sz w:val="28"/>
          <w:szCs w:val="28"/>
          <w:highlight w:val="none"/>
        </w:rPr>
        <w:t>给</w:t>
      </w:r>
      <w:r>
        <w:rPr>
          <w:rFonts w:hint="eastAsia" w:ascii="宋体" w:hAnsi="宋体" w:eastAsia="宋体" w:cs="宋体"/>
          <w:bCs/>
          <w:color w:val="auto"/>
          <w:sz w:val="28"/>
          <w:szCs w:val="28"/>
          <w:highlight w:val="none"/>
          <w:lang w:val="en-US" w:eastAsia="zh-CN"/>
        </w:rPr>
        <w:t>采购代理机构，</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lang w:val="en-US" w:eastAsia="zh-CN"/>
        </w:rPr>
        <w:t>在收到代理服务费后</w:t>
      </w:r>
      <w:r>
        <w:rPr>
          <w:rFonts w:hint="eastAsia" w:ascii="宋体" w:hAnsi="宋体" w:eastAsia="宋体" w:cs="宋体"/>
          <w:color w:val="auto"/>
          <w:sz w:val="28"/>
          <w:szCs w:val="28"/>
          <w:highlight w:val="none"/>
        </w:rPr>
        <w:t>将向成交供应商发出成交通知书。</w:t>
      </w:r>
      <w:r>
        <w:rPr>
          <w:rFonts w:hint="eastAsia" w:ascii="宋体" w:hAnsi="宋体" w:eastAsia="宋体" w:cs="宋体"/>
          <w:bCs/>
          <w:color w:val="auto"/>
          <w:sz w:val="28"/>
          <w:szCs w:val="28"/>
          <w:highlight w:val="none"/>
        </w:rPr>
        <w:t>采购代理机构</w:t>
      </w:r>
      <w:r>
        <w:rPr>
          <w:rFonts w:hint="eastAsia" w:ascii="宋体" w:hAnsi="宋体" w:eastAsia="宋体" w:cs="宋体"/>
          <w:color w:val="auto"/>
          <w:sz w:val="28"/>
          <w:szCs w:val="28"/>
          <w:highlight w:val="none"/>
        </w:rPr>
        <w:t>请成交供应商在成交结果公告届满之日起30日内,使用CA数字证</w:t>
      </w:r>
      <w:r>
        <w:rPr>
          <w:rFonts w:hint="eastAsia" w:ascii="宋体" w:hAnsi="宋体" w:eastAsia="宋体" w:cs="宋体"/>
          <w:color w:val="auto"/>
          <w:sz w:val="28"/>
          <w:szCs w:val="28"/>
          <w:highlight w:val="none"/>
        </w:rPr>
        <w:t>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auto"/>
          <w:sz w:val="28"/>
          <w:szCs w:val="28"/>
          <w:highlight w:val="none"/>
        </w:rPr>
        <w:t>。</w:t>
      </w:r>
    </w:p>
    <w:p w14:paraId="798CDE09">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30.2成交通知书将是合同的一个组成部分。对采购人和成交供应商均具有法律效力。成交通知书发出后，采购人改变成交结果的，或者成交供应商放弃成交项目的，应当依法承担法律责任。</w:t>
      </w:r>
      <w:bookmarkStart w:id="139" w:name="_Toc513029236"/>
      <w:bookmarkStart w:id="140" w:name="_Toc20823308"/>
      <w:bookmarkStart w:id="141" w:name="_Toc16938552"/>
      <w:bookmarkStart w:id="142" w:name="_Toc120614220"/>
    </w:p>
    <w:p w14:paraId="1CA6D47B">
      <w:pPr>
        <w:pStyle w:val="6"/>
        <w:pageBreakBefore w:val="0"/>
        <w:widowControl w:val="0"/>
        <w:kinsoku/>
        <w:wordWrap/>
        <w:overflowPunct/>
        <w:topLinePunct w:val="0"/>
        <w:autoSpaceDE/>
        <w:autoSpaceDN/>
        <w:bidi w:val="0"/>
        <w:adjustRightInd/>
        <w:snapToGrid/>
        <w:spacing w:beforeAutospacing="0" w:afterAutospacing="0" w:line="380" w:lineRule="exact"/>
        <w:ind w:firstLine="562"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七、授予合同</w:t>
      </w:r>
      <w:bookmarkEnd w:id="139"/>
      <w:bookmarkEnd w:id="140"/>
      <w:bookmarkEnd w:id="141"/>
      <w:bookmarkEnd w:id="142"/>
    </w:p>
    <w:p w14:paraId="2DEDB0EE">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bookmarkStart w:id="143" w:name="_Toc16938553"/>
      <w:bookmarkStart w:id="144" w:name="_Toc513029237"/>
      <w:bookmarkStart w:id="145" w:name="_Toc20823309"/>
      <w:r>
        <w:rPr>
          <w:rFonts w:hint="eastAsia" w:ascii="宋体" w:hAnsi="宋体" w:eastAsia="宋体" w:cs="宋体"/>
          <w:color w:val="auto"/>
          <w:sz w:val="28"/>
          <w:szCs w:val="28"/>
          <w:highlight w:val="none"/>
        </w:rPr>
        <w:t>31.签订合同</w:t>
      </w:r>
      <w:bookmarkEnd w:id="143"/>
      <w:bookmarkEnd w:id="144"/>
      <w:bookmarkEnd w:id="145"/>
    </w:p>
    <w:p w14:paraId="098DDC45">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31.l成交供应商应当在成交通知书发出之日起三十日内，按照采购文件确定的事项与采购人签订政府采购合同。</w:t>
      </w:r>
    </w:p>
    <w:p w14:paraId="7A2055B3">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31.2采购文件、成交供应商的响应文件及谈判过程中有关澄清、承诺文件均应作为合同附件。</w:t>
      </w:r>
    </w:p>
    <w:p w14:paraId="39FC8464">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31.3 签订合同后，</w:t>
      </w:r>
      <w:r>
        <w:rPr>
          <w:rFonts w:hint="eastAsia" w:ascii="宋体" w:hAnsi="宋体" w:eastAsia="宋体" w:cs="宋体"/>
          <w:i/>
          <w:color w:val="auto"/>
          <w:sz w:val="28"/>
          <w:szCs w:val="28"/>
          <w:highlight w:val="none"/>
          <w:u w:val="single"/>
        </w:rPr>
        <w:t>成交供应商不得将合同标的进行转包</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rPr>
        <w:t>未经采购人同意，</w:t>
      </w:r>
      <w:r>
        <w:rPr>
          <w:rFonts w:hint="eastAsia" w:ascii="宋体" w:hAnsi="宋体" w:eastAsia="宋体" w:cs="宋体"/>
          <w:color w:val="auto"/>
          <w:sz w:val="28"/>
          <w:szCs w:val="28"/>
          <w:highlight w:val="none"/>
        </w:rPr>
        <w:t>成交供应商也不得采用分包形式履行合同,否则采购人有权终止合同。转包或分包造成采购人损失的，成交供应商应承担相应赔偿责任。</w:t>
      </w:r>
    </w:p>
    <w:p w14:paraId="76E5AB25">
      <w:pPr>
        <w:pStyle w:val="6"/>
        <w:keepNext/>
        <w:keepLines/>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32、标的物的追加</w:t>
      </w:r>
    </w:p>
    <w:p w14:paraId="50A7D886">
      <w:pPr>
        <w:pStyle w:val="6"/>
        <w:pageBreakBefore w:val="0"/>
        <w:widowControl w:val="0"/>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46" w:name="_Toc120614221"/>
      <w:bookmarkStart w:id="147" w:name="_Toc20823314"/>
      <w:bookmarkStart w:id="148" w:name="_Toc513029242"/>
      <w:bookmarkStart w:id="149" w:name="_Toc16938558"/>
      <w:bookmarkStart w:id="150" w:name="_Toc479757207"/>
    </w:p>
    <w:p w14:paraId="22794101">
      <w:pPr>
        <w:pStyle w:val="6"/>
        <w:pageBreakBefore w:val="0"/>
        <w:widowControl w:val="0"/>
        <w:numPr>
          <w:ilvl w:val="0"/>
          <w:numId w:val="1"/>
        </w:numPr>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政府采购履约资金扶持政策</w:t>
      </w:r>
      <w:bookmarkEnd w:id="146"/>
      <w:bookmarkEnd w:id="147"/>
      <w:bookmarkEnd w:id="148"/>
      <w:bookmarkEnd w:id="149"/>
      <w:bookmarkEnd w:id="150"/>
    </w:p>
    <w:p w14:paraId="67CF7BA8">
      <w:pPr>
        <w:pStyle w:val="6"/>
        <w:pageBreakBefore w:val="0"/>
        <w:widowControl w:val="0"/>
        <w:numPr>
          <w:ilvl w:val="0"/>
          <w:numId w:val="0"/>
        </w:numPr>
        <w:kinsoku/>
        <w:wordWrap/>
        <w:overflowPunct/>
        <w:topLinePunct w:val="0"/>
        <w:autoSpaceDE/>
        <w:autoSpaceDN/>
        <w:bidi w:val="0"/>
        <w:adjustRightInd/>
        <w:snapToGrid/>
        <w:spacing w:beforeAutospacing="0" w:afterAutospacing="0" w:line="38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3C82D852">
      <w:pPr>
        <w:pStyle w:val="6"/>
        <w:keepNext/>
        <w:spacing w:beforeAutospacing="0" w:afterAutospacing="0"/>
        <w:ind w:firstLine="2640"/>
        <w:jc w:val="both"/>
        <w:rPr>
          <w:rFonts w:hint="eastAsia" w:ascii="宋体" w:hAnsi="宋体" w:eastAsia="宋体" w:cs="宋体"/>
          <w:color w:val="auto"/>
          <w:sz w:val="28"/>
          <w:szCs w:val="28"/>
          <w:highlight w:val="none"/>
        </w:rPr>
      </w:pPr>
    </w:p>
    <w:p w14:paraId="0917681D">
      <w:pPr>
        <w:rPr>
          <w:rFonts w:hint="eastAsia" w:ascii="宋体" w:hAnsi="宋体" w:eastAsia="宋体" w:cs="宋体"/>
          <w:color w:val="auto"/>
          <w:sz w:val="44"/>
          <w:szCs w:val="44"/>
          <w:highlight w:val="none"/>
        </w:rPr>
      </w:pPr>
    </w:p>
    <w:p w14:paraId="717CA570">
      <w:pPr>
        <w:pStyle w:val="2"/>
        <w:rPr>
          <w:rFonts w:hint="eastAsia"/>
          <w:color w:val="auto"/>
          <w:highlight w:val="none"/>
        </w:rPr>
      </w:pPr>
    </w:p>
    <w:p w14:paraId="48C77EE9">
      <w:pPr>
        <w:pStyle w:val="6"/>
        <w:keepNext/>
        <w:spacing w:beforeAutospacing="0" w:afterAutospacing="0"/>
        <w:ind w:firstLine="264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第三章  合同文本</w:t>
      </w:r>
    </w:p>
    <w:p w14:paraId="08ACAB4A">
      <w:pPr>
        <w:pStyle w:val="6"/>
        <w:spacing w:beforeAutospacing="0" w:afterAutospacing="0" w:line="0" w:lineRule="atLeast"/>
        <w:ind w:firstLine="480"/>
        <w:jc w:val="both"/>
        <w:rPr>
          <w:rFonts w:hint="eastAsia" w:ascii="宋体" w:hAnsi="宋体" w:eastAsia="宋体" w:cs="宋体"/>
          <w:color w:val="auto"/>
          <w:highlight w:val="none"/>
        </w:rPr>
      </w:pPr>
      <w:bookmarkStart w:id="151" w:name="_Toc20823315"/>
      <w:bookmarkStart w:id="152" w:name="_Toc16938559"/>
      <w:bookmarkStart w:id="153" w:name="_Toc513029243"/>
      <w:r>
        <w:rPr>
          <w:rFonts w:hint="eastAsia" w:ascii="宋体" w:hAnsi="宋体" w:eastAsia="宋体" w:cs="宋体"/>
          <w:color w:val="auto"/>
          <w:highlight w:val="none"/>
        </w:rPr>
        <w:t>以下为成交后签</w:t>
      </w:r>
      <w:r>
        <w:rPr>
          <w:rFonts w:hint="eastAsia" w:ascii="宋体" w:hAnsi="宋体" w:eastAsia="宋体" w:cs="宋体"/>
          <w:color w:val="auto"/>
          <w:highlight w:val="none"/>
          <w:lang w:eastAsia="zh-CN"/>
        </w:rPr>
        <w:t>订</w:t>
      </w:r>
      <w:r>
        <w:rPr>
          <w:rFonts w:hint="eastAsia" w:ascii="宋体" w:hAnsi="宋体" w:eastAsia="宋体" w:cs="宋体"/>
          <w:color w:val="auto"/>
          <w:highlight w:val="none"/>
        </w:rPr>
        <w:t>本项目合同的通用条款，成交供应商不得提出实质性的修改。</w:t>
      </w:r>
      <w:bookmarkEnd w:id="151"/>
      <w:bookmarkEnd w:id="152"/>
      <w:bookmarkEnd w:id="153"/>
    </w:p>
    <w:p w14:paraId="26D7758B">
      <w:pPr>
        <w:pStyle w:val="6"/>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2BC1725">
      <w:pPr>
        <w:pStyle w:val="6"/>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b/>
          <w:color w:val="auto"/>
          <w:sz w:val="30"/>
          <w:szCs w:val="30"/>
          <w:highlight w:val="none"/>
        </w:rPr>
        <w:t>盐城市政府采购合同（合同编号）</w:t>
      </w:r>
    </w:p>
    <w:p w14:paraId="511D1A50">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项目名称：                       </w:t>
      </w:r>
    </w:p>
    <w:p w14:paraId="5ED6AD34">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56509DC0">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甲方：（买方）_________</w:t>
      </w:r>
    </w:p>
    <w:p w14:paraId="186EF138">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乙方：（卖方）_________</w:t>
      </w:r>
    </w:p>
    <w:p w14:paraId="2E320B6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甲、乙双方根据</w:t>
      </w:r>
      <w:r>
        <w:rPr>
          <w:rFonts w:hint="eastAsia" w:ascii="宋体" w:hAnsi="宋体" w:eastAsia="宋体" w:cs="宋体"/>
          <w:color w:val="auto"/>
          <w:highlight w:val="none"/>
          <w:lang w:eastAsia="zh-CN"/>
        </w:rPr>
        <w:t>滨海县文化广电和旅游局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项目单一来源采购的结果，签署本合同。</w:t>
      </w:r>
    </w:p>
    <w:p w14:paraId="1CED3A4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一、合同内容</w:t>
      </w:r>
    </w:p>
    <w:p w14:paraId="050D1B8D">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 标的名称：</w:t>
      </w:r>
    </w:p>
    <w:p w14:paraId="07226EF3">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1.2标的质量：</w:t>
      </w:r>
    </w:p>
    <w:p w14:paraId="464C8302">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1.3 标的数量（规模）：</w:t>
      </w:r>
    </w:p>
    <w:p w14:paraId="39D41BE9">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1.4 履行时间（期限）：</w:t>
      </w:r>
    </w:p>
    <w:p w14:paraId="21535C82">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1.5 履行地点：</w:t>
      </w:r>
    </w:p>
    <w:p w14:paraId="13BD50D3">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1.6履行方式：</w:t>
      </w:r>
    </w:p>
    <w:p w14:paraId="07BD7C50">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二、合同金额</w:t>
      </w:r>
    </w:p>
    <w:p w14:paraId="1462E01D">
      <w:pPr>
        <w:pStyle w:val="6"/>
        <w:spacing w:before="120" w:beforeAutospacing="0" w:after="120" w:afterAutospacing="0"/>
        <w:ind w:left="410" w:hanging="410"/>
        <w:jc w:val="both"/>
        <w:rPr>
          <w:rFonts w:hint="eastAsia" w:ascii="宋体" w:hAnsi="宋体" w:eastAsia="宋体" w:cs="宋体"/>
          <w:color w:val="auto"/>
          <w:highlight w:val="none"/>
        </w:rPr>
      </w:pPr>
      <w:r>
        <w:rPr>
          <w:rFonts w:hint="eastAsia" w:ascii="宋体" w:hAnsi="宋体" w:eastAsia="宋体" w:cs="宋体"/>
          <w:color w:val="auto"/>
          <w:highlight w:val="none"/>
        </w:rPr>
        <w:t>2.1 本合同金额为（大写）：____________________________________圆（_______________元）人民币或其他币种。</w:t>
      </w:r>
    </w:p>
    <w:p w14:paraId="65B51267">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三、技术资料</w:t>
      </w:r>
    </w:p>
    <w:p w14:paraId="0E9B0B77">
      <w:pPr>
        <w:pStyle w:val="6"/>
        <w:spacing w:before="120" w:beforeAutospacing="0" w:after="120" w:afterAutospacing="0"/>
        <w:ind w:left="410" w:hanging="410"/>
        <w:jc w:val="both"/>
        <w:rPr>
          <w:rFonts w:hint="eastAsia" w:ascii="宋体" w:hAnsi="宋体" w:eastAsia="宋体" w:cs="宋体"/>
          <w:color w:val="auto"/>
          <w:highlight w:val="none"/>
        </w:rPr>
      </w:pPr>
      <w:r>
        <w:rPr>
          <w:rFonts w:hint="eastAsia" w:ascii="宋体" w:hAnsi="宋体" w:eastAsia="宋体" w:cs="宋体"/>
          <w:color w:val="auto"/>
          <w:highlight w:val="none"/>
        </w:rPr>
        <w:t>3.1乙方应按采购文件规定的时间向甲方提供与合同标的有关的技术资料。</w:t>
      </w:r>
    </w:p>
    <w:p w14:paraId="1282FCC8">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04D989">
      <w:pPr>
        <w:pStyle w:val="6"/>
        <w:spacing w:before="120" w:beforeAutospacing="0" w:after="120" w:afterAutospacing="0"/>
        <w:ind w:left="412" w:hanging="412"/>
        <w:jc w:val="both"/>
        <w:rPr>
          <w:rFonts w:hint="eastAsia" w:ascii="宋体" w:hAnsi="宋体" w:eastAsia="宋体" w:cs="宋体"/>
          <w:color w:val="auto"/>
          <w:highlight w:val="none"/>
        </w:rPr>
      </w:pPr>
      <w:r>
        <w:rPr>
          <w:rFonts w:hint="eastAsia" w:ascii="宋体" w:hAnsi="宋体" w:eastAsia="宋体" w:cs="宋体"/>
          <w:b/>
          <w:color w:val="auto"/>
          <w:highlight w:val="none"/>
        </w:rPr>
        <w:t>四、知识产权</w:t>
      </w:r>
    </w:p>
    <w:p w14:paraId="4BC914FB">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4.1乙方应保证甲方在使用、接受本合同标的或其任何一部分时不受第三方提出侵犯其专利权、版权、商标权和工业设计权等知识产权的起诉。一旦出现侵权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由乙方负全部责任。</w:t>
      </w:r>
    </w:p>
    <w:p w14:paraId="2F86A57A">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五、产权担保</w:t>
      </w:r>
    </w:p>
    <w:p w14:paraId="7CC4647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5.1 乙方保证所交付的合同标的的所有权完全属于乙方且无任何抵押、查封等产权瑕疵。</w:t>
      </w:r>
    </w:p>
    <w:p w14:paraId="7E8FD475">
      <w:pPr>
        <w:pStyle w:val="6"/>
        <w:spacing w:before="120" w:beforeAutospacing="0" w:after="120" w:afterAutospacing="0"/>
        <w:ind w:left="410" w:hanging="410"/>
        <w:jc w:val="both"/>
        <w:rPr>
          <w:rFonts w:hint="eastAsia" w:ascii="宋体" w:hAnsi="宋体" w:eastAsia="宋体" w:cs="宋体"/>
          <w:color w:val="auto"/>
          <w:highlight w:val="none"/>
        </w:rPr>
      </w:pPr>
      <w:r>
        <w:rPr>
          <w:rFonts w:hint="eastAsia" w:ascii="宋体" w:hAnsi="宋体" w:eastAsia="宋体" w:cs="宋体"/>
          <w:b/>
          <w:color w:val="auto"/>
          <w:highlight w:val="none"/>
        </w:rPr>
        <w:t>六、履约保证金</w:t>
      </w:r>
    </w:p>
    <w:p w14:paraId="4C39FBF3">
      <w:pPr>
        <w:pStyle w:val="6"/>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6.1 乙方交纳人民币_________元作为本合同的履约保证金。</w:t>
      </w:r>
    </w:p>
    <w:p w14:paraId="6559848F">
      <w:pPr>
        <w:pStyle w:val="6"/>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2FE1B62D">
      <w:pPr>
        <w:pStyle w:val="6"/>
        <w:spacing w:before="120" w:beforeAutospacing="0" w:after="120" w:afterAutospacing="0"/>
        <w:ind w:left="408" w:hanging="408"/>
        <w:jc w:val="both"/>
        <w:rPr>
          <w:rFonts w:hint="eastAsia" w:ascii="宋体" w:hAnsi="宋体" w:eastAsia="宋体" w:cs="宋体"/>
          <w:color w:val="auto"/>
          <w:highlight w:val="none"/>
        </w:rPr>
      </w:pPr>
      <w:r>
        <w:rPr>
          <w:rFonts w:hint="eastAsia" w:ascii="宋体" w:hAnsi="宋体" w:eastAsia="宋体" w:cs="宋体"/>
          <w:color w:val="auto"/>
          <w:highlight w:val="none"/>
        </w:rPr>
        <w:t>6.2合同履行结束后，甲方应及时退还交纳的履约保证金。</w:t>
      </w:r>
    </w:p>
    <w:p w14:paraId="4482BA3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6.3履约保证金的退还：</w:t>
      </w:r>
    </w:p>
    <w:p w14:paraId="5096A03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6.3.1方式：无息退还至投标人缴纳履约保证金的账户。如为保函，在到期时自行失效。</w:t>
      </w:r>
    </w:p>
    <w:p w14:paraId="17BE311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6.3.2时间：验收合格且采购人收到发票后30日内。</w:t>
      </w:r>
    </w:p>
    <w:p w14:paraId="74BC491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6.3.3条件：按合同要求全部履约完成并经采购人验收合格，且采购人收到中标人出具的发票。</w:t>
      </w:r>
    </w:p>
    <w:p w14:paraId="7A06B3B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6.3.4不予退还情形：</w:t>
      </w:r>
    </w:p>
    <w:p w14:paraId="4643A99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除不可抗力情况外，投标人出现下列情形之一的，其履约保证金，招标人将视情节决定不予退还或部分不予退还。</w:t>
      </w:r>
    </w:p>
    <w:p w14:paraId="49E7CAB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（1）中标人无正当理由拒绝签订合同的，或者在签订合同时向采购人提出附加条件或者更改合同实质性内容要求的；</w:t>
      </w:r>
    </w:p>
    <w:p w14:paraId="338F785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（2）中标人不履行与采购人订立的合同的；</w:t>
      </w:r>
    </w:p>
    <w:p w14:paraId="17B056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（3）中标人所供货物或服务不符合招标文件规定要求的；</w:t>
      </w:r>
    </w:p>
    <w:p w14:paraId="515EC9C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（4）中标人采取欺骗、弄虚作假方式投标的或与其它投标人串通投标的；</w:t>
      </w:r>
    </w:p>
    <w:p w14:paraId="2000495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（5）中标人将合同内容转包、违法分包的；</w:t>
      </w:r>
    </w:p>
    <w:p w14:paraId="60DCD8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（6）中标人故意捏造事实或伪造证明材料，进行虚假恶意投诉或反映的。</w:t>
      </w:r>
    </w:p>
    <w:p w14:paraId="53A2006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6.3.5逾期退还的违约责任：采购人逾期无故未退还履约保证金的，按中国人民银行同期贷款基准利率上浮20%后的利率支付超期资金占用费，但因供应商自身原因导致无法及时退还的除外。</w:t>
      </w:r>
    </w:p>
    <w:p w14:paraId="080F8FD2">
      <w:pPr>
        <w:pStyle w:val="6"/>
        <w:spacing w:before="145" w:beforeAutospacing="0" w:after="145"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七、合同转包或分包</w:t>
      </w:r>
    </w:p>
    <w:p w14:paraId="6E5E2B5B">
      <w:pPr>
        <w:pStyle w:val="6"/>
        <w:spacing w:before="145" w:beforeAutospacing="0" w:after="145"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7.1乙方不得将合同标的转包给他人履行。</w:t>
      </w:r>
    </w:p>
    <w:p w14:paraId="5081CFF2">
      <w:pPr>
        <w:pStyle w:val="6"/>
        <w:spacing w:before="145" w:beforeAutospacing="0" w:after="145"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7.2乙方不得将合同标的分包给他人履行。</w:t>
      </w:r>
    </w:p>
    <w:p w14:paraId="2A3FB51E">
      <w:pPr>
        <w:pStyle w:val="6"/>
        <w:spacing w:before="145" w:beforeAutospacing="0" w:after="145"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7.3乙方如有转包或未经甲方同意的分包行为，甲方有权解除合同。</w:t>
      </w:r>
    </w:p>
    <w:p w14:paraId="650EE51D">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八、合同款项支付</w:t>
      </w:r>
    </w:p>
    <w:p w14:paraId="7B1F9372">
      <w:pPr>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w:t>
      </w:r>
      <w:r>
        <w:rPr>
          <w:rFonts w:hint="eastAsia" w:ascii="宋体" w:hAnsi="宋体" w:eastAsia="宋体" w:cs="宋体"/>
          <w:bCs/>
          <w:color w:val="auto"/>
          <w:sz w:val="24"/>
          <w:szCs w:val="24"/>
          <w:highlight w:val="none"/>
        </w:rPr>
        <w:t>合同预付款比例为合同金额的30%，合同签订后，甲方在收到发票后10个工作日内将预付款支付到合同约定的乙方账户（乙方须提供合同总价30%的即兑即付预付款银行保函）。签订合同时，乙方书面明确表示无需预付款的，甲方</w:t>
      </w:r>
      <w:r>
        <w:rPr>
          <w:rFonts w:hint="eastAsia" w:ascii="宋体" w:hAnsi="宋体" w:eastAsia="宋体" w:cs="宋体"/>
          <w:bCs/>
          <w:color w:val="auto"/>
          <w:sz w:val="24"/>
          <w:szCs w:val="24"/>
          <w:highlight w:val="none"/>
          <w:lang w:val="en-US" w:eastAsia="zh-CN"/>
        </w:rPr>
        <w:t>可不支付预付款。</w:t>
      </w:r>
    </w:p>
    <w:p w14:paraId="50A6EC81">
      <w:pPr>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待项目验收合格后于2026年12月底支付合同总价款20%（如支付预付款的情况下，此节点付款金额包含预付款金额）；待项目验收合格后于2027年12月底支付合同总价款20%（如支付预付款的情况下，此节点付款金额包含预付款金额）；待项目验收合格后于2028年12月底支付合同总价款20%；待项目验收合格后于2029年12月底支付合同总价款20%；待项目验收合格后于2030年12月底支付合同总价款20%（结算时，乙方须提供税务发票，收到发票后10个工作日结算）。</w:t>
      </w:r>
    </w:p>
    <w:p w14:paraId="7DF2947F">
      <w:pPr>
        <w:pStyle w:val="6"/>
        <w:spacing w:before="145" w:beforeAutospacing="0" w:after="145" w:afterAutospacing="0"/>
        <w:ind w:firstLine="241" w:firstLineChars="100"/>
        <w:jc w:val="both"/>
        <w:rPr>
          <w:rFonts w:hint="eastAsia" w:ascii="宋体" w:hAnsi="宋体" w:eastAsia="宋体" w:cs="宋体"/>
          <w:color w:val="auto"/>
          <w:highlight w:val="none"/>
        </w:rPr>
      </w:pPr>
      <w:r>
        <w:rPr>
          <w:rFonts w:hint="eastAsia" w:ascii="宋体" w:hAnsi="宋体" w:eastAsia="宋体" w:cs="宋体"/>
          <w:b/>
          <w:color w:val="auto"/>
          <w:highlight w:val="none"/>
        </w:rPr>
        <w:t>九、税费</w:t>
      </w:r>
    </w:p>
    <w:p w14:paraId="26C38936">
      <w:pPr>
        <w:pStyle w:val="6"/>
        <w:spacing w:before="145" w:beforeAutospacing="0" w:after="145"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9.1本合同执行中相关的一切税费均由乙方负担。</w:t>
      </w:r>
    </w:p>
    <w:p w14:paraId="0AE207A8">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十、项目验收</w:t>
      </w:r>
    </w:p>
    <w:p w14:paraId="2E0D6E11">
      <w:pPr>
        <w:pStyle w:val="6"/>
        <w:spacing w:before="120" w:beforeAutospacing="0" w:after="120" w:afterAutospacing="0"/>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10.1 甲方依法组织履约验收工作。</w:t>
      </w:r>
    </w:p>
    <w:p w14:paraId="6E27C26B">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F2A4424">
      <w:pPr>
        <w:pStyle w:val="6"/>
        <w:spacing w:before="120" w:beforeAutospacing="0" w:after="120" w:afterAutospacing="0"/>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10.3 对于实际使用人和甲方分离的项目，甲方邀请实际使用人参与验收。</w:t>
      </w:r>
    </w:p>
    <w:p w14:paraId="34AE430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10.4 如有必要，甲方邀请参加本项目的其他供应商或第三方专业机构及专家参与验收，相关意见将作为验收书的参考资料。</w:t>
      </w:r>
    </w:p>
    <w:p w14:paraId="54736243">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F0A1B18">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E0B674C">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十一、违约责任</w:t>
      </w:r>
    </w:p>
    <w:p w14:paraId="41CE4447">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11.1 甲方无正当理由拒绝接受</w:t>
      </w:r>
      <w:r>
        <w:rPr>
          <w:rFonts w:hint="eastAsia" w:ascii="宋体" w:hAnsi="宋体" w:eastAsia="宋体" w:cs="宋体"/>
          <w:color w:val="auto"/>
          <w:highlight w:val="none"/>
        </w:rPr>
        <w:t>乙方提供合同标的的，</w:t>
      </w:r>
      <w:r>
        <w:rPr>
          <w:rFonts w:hint="eastAsia" w:ascii="宋体" w:hAnsi="宋体" w:eastAsia="宋体" w:cs="宋体"/>
          <w:color w:val="auto"/>
          <w:highlight w:val="none"/>
        </w:rPr>
        <w:t>甲方向乙方偿付拒绝接受合同价款总值</w:t>
      </w:r>
      <w:r>
        <w:rPr>
          <w:rFonts w:hint="eastAsia" w:ascii="宋体" w:hAnsi="宋体" w:eastAsia="宋体" w:cs="宋体"/>
          <w:color w:val="auto"/>
          <w:highlight w:val="none"/>
          <w:u w:val="single"/>
        </w:rPr>
        <w:t>万分之五</w:t>
      </w:r>
      <w:r>
        <w:rPr>
          <w:rFonts w:hint="eastAsia" w:ascii="宋体" w:hAnsi="宋体" w:eastAsia="宋体" w:cs="宋体"/>
          <w:color w:val="auto"/>
          <w:highlight w:val="none"/>
        </w:rPr>
        <w:t>的违约金。</w:t>
      </w:r>
    </w:p>
    <w:p w14:paraId="5EC88487">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11.2 甲方无故逾期验收和办理合同款项支付手续的,甲方应按逾期付款总额</w:t>
      </w:r>
      <w:r>
        <w:rPr>
          <w:rFonts w:hint="eastAsia" w:ascii="宋体" w:hAnsi="宋体" w:eastAsia="宋体" w:cs="宋体"/>
          <w:color w:val="auto"/>
          <w:highlight w:val="none"/>
          <w:u w:val="single"/>
        </w:rPr>
        <w:t>万分之五</w:t>
      </w:r>
      <w:r>
        <w:rPr>
          <w:rFonts w:hint="eastAsia" w:ascii="宋体" w:hAnsi="宋体" w:eastAsia="宋体" w:cs="宋体"/>
          <w:color w:val="auto"/>
          <w:highlight w:val="none"/>
        </w:rPr>
        <w:t>每日向乙方支付违约金。</w:t>
      </w:r>
    </w:p>
    <w:p w14:paraId="6EA71D32">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rPr>
        <w:t xml:space="preserve">的违约金，如造成甲方损失超过违约金的，超出部分由乙方继续承担赔偿责任。 </w:t>
      </w:r>
    </w:p>
    <w:p w14:paraId="6F932C66">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11.4 乙方交付合同标的的标准不符合合同规定及谈判文件规定标准的，甲方有权拒绝接受合同标的，并可单方面解除合同。</w:t>
      </w:r>
    </w:p>
    <w:p w14:paraId="3CC84ED1">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11.5乙方所提交的成果的质量不符合合同规定及招标文件规定标准的，甲方有权拒收。</w:t>
      </w:r>
    </w:p>
    <w:p w14:paraId="5B1DFF18">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11.6若乙方违反知识产权、保密条款，除支付违约金外，还应立即停止侵权行为，消除影响，并赔偿甲方因此遭受的损失。</w:t>
      </w:r>
    </w:p>
    <w:p w14:paraId="19FD3C86">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十二、不可抗力事件处理</w:t>
      </w:r>
    </w:p>
    <w:p w14:paraId="7E109836">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12.1 在合同有效期内，任何一方因不可抗力事件导致不能履行合同，则合同履行期可延长，其延长期与不可抗力影响 期相同。</w:t>
      </w:r>
    </w:p>
    <w:p w14:paraId="49EA16C3">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12.2 不可抗力事件发生后，应立即通知对方，并寄送有关权威机构出具的证明。</w:t>
      </w:r>
    </w:p>
    <w:p w14:paraId="7082B80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12.3 不可抗力事件延续120天以上，双方应通过友好协商，确定是否继续履行合同。</w:t>
      </w:r>
    </w:p>
    <w:p w14:paraId="73FA6AD5">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十三、解决争议的方法</w:t>
      </w:r>
    </w:p>
    <w:p w14:paraId="242FF757">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13.1双方在签订、履行合同中所发生的一切争议，应通过友好协商解决。如协商不成，由甲方住所地人民法院管辖。</w:t>
      </w:r>
    </w:p>
    <w:p w14:paraId="49F6E449">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十四、合同生效及其它</w:t>
      </w:r>
    </w:p>
    <w:p w14:paraId="5B8A141E">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14.1 合同经双方法定代表人或</w:t>
      </w:r>
      <w:r>
        <w:rPr>
          <w:rFonts w:hint="eastAsia" w:ascii="宋体" w:hAnsi="宋体" w:eastAsia="宋体" w:cs="宋体"/>
          <w:color w:val="auto"/>
          <w:highlight w:val="none"/>
        </w:rPr>
        <w:t>委托代</w:t>
      </w:r>
      <w:r>
        <w:rPr>
          <w:rFonts w:hint="eastAsia" w:ascii="宋体" w:hAnsi="宋体" w:eastAsia="宋体" w:cs="宋体"/>
          <w:color w:val="auto"/>
          <w:highlight w:val="none"/>
          <w:lang w:eastAsia="zh-CN"/>
        </w:rPr>
        <w:t>理</w:t>
      </w:r>
      <w:r>
        <w:rPr>
          <w:rFonts w:hint="eastAsia" w:ascii="宋体" w:hAnsi="宋体" w:eastAsia="宋体" w:cs="宋体"/>
          <w:color w:val="auto"/>
          <w:highlight w:val="none"/>
        </w:rPr>
        <w:t>人</w:t>
      </w:r>
      <w:r>
        <w:rPr>
          <w:rFonts w:hint="eastAsia" w:ascii="宋体" w:hAnsi="宋体" w:eastAsia="宋体" w:cs="宋体"/>
          <w:color w:val="auto"/>
          <w:highlight w:val="none"/>
        </w:rPr>
        <w:t>签字并加盖单位公章后生效。</w:t>
      </w:r>
    </w:p>
    <w:p w14:paraId="6E4EF0E2">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14.2本合同未尽事宜，遵照《民法典》、《政府采购法》有关条文执行。</w:t>
      </w:r>
    </w:p>
    <w:p w14:paraId="20B85046">
      <w:pPr>
        <w:pStyle w:val="6"/>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14.3 本合同正本一式</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份</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代理机构执一份</w:t>
      </w:r>
      <w:r>
        <w:rPr>
          <w:rFonts w:hint="eastAsia" w:ascii="宋体" w:hAnsi="宋体" w:eastAsia="宋体" w:cs="宋体"/>
          <w:color w:val="auto"/>
          <w:highlight w:val="none"/>
        </w:rPr>
        <w:t>。</w:t>
      </w:r>
    </w:p>
    <w:p w14:paraId="7EF00A87">
      <w:pPr>
        <w:pStyle w:val="6"/>
        <w:spacing w:before="120" w:beforeAutospacing="0" w:after="120" w:afterAutospacing="0" w:line="240" w:lineRule="exact"/>
        <w:jc w:val="both"/>
        <w:rPr>
          <w:rFonts w:hint="eastAsia" w:ascii="宋体" w:hAnsi="宋体" w:eastAsia="宋体" w:cs="宋体"/>
          <w:color w:val="auto"/>
          <w:highlight w:val="none"/>
        </w:rPr>
      </w:pPr>
    </w:p>
    <w:p w14:paraId="2F0EE518">
      <w:pPr>
        <w:pStyle w:val="6"/>
        <w:spacing w:before="120" w:beforeAutospacing="0" w:after="120" w:afterAutospacing="0" w:line="2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甲方：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p>
    <w:p w14:paraId="0E54F8E5">
      <w:pPr>
        <w:pStyle w:val="6"/>
        <w:spacing w:before="120" w:beforeAutospacing="0" w:after="120" w:afterAutospacing="0" w:line="2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地址：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地址： </w:t>
      </w:r>
    </w:p>
    <w:p w14:paraId="0CEE95B4">
      <w:pPr>
        <w:pStyle w:val="6"/>
        <w:spacing w:before="120" w:beforeAutospacing="0" w:after="120" w:afterAutospacing="0" w:line="2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法定代表人或</w:t>
      </w:r>
      <w:r>
        <w:rPr>
          <w:rFonts w:hint="eastAsia" w:ascii="宋体" w:hAnsi="宋体" w:eastAsia="宋体" w:cs="宋体"/>
          <w:color w:val="auto"/>
          <w:highlight w:val="none"/>
        </w:rPr>
        <w:t>委托代</w:t>
      </w:r>
      <w:r>
        <w:rPr>
          <w:rFonts w:hint="eastAsia" w:ascii="宋体" w:hAnsi="宋体" w:eastAsia="宋体" w:cs="宋体"/>
          <w:color w:val="auto"/>
          <w:highlight w:val="none"/>
          <w:lang w:eastAsia="zh-CN"/>
        </w:rPr>
        <w:t>理</w:t>
      </w:r>
      <w:r>
        <w:rPr>
          <w:rFonts w:hint="eastAsia" w:ascii="宋体" w:hAnsi="宋体" w:eastAsia="宋体" w:cs="宋体"/>
          <w:color w:val="auto"/>
          <w:highlight w:val="none"/>
        </w:rPr>
        <w:t>人</w:t>
      </w:r>
      <w:r>
        <w:rPr>
          <w:rFonts w:hint="eastAsia" w:ascii="宋体" w:hAnsi="宋体" w:eastAsia="宋体" w:cs="宋体"/>
          <w:color w:val="auto"/>
          <w:highlight w:val="none"/>
        </w:rPr>
        <w:t>：        法定代表人或</w:t>
      </w:r>
      <w:r>
        <w:rPr>
          <w:rFonts w:hint="eastAsia" w:ascii="宋体" w:hAnsi="宋体" w:eastAsia="宋体" w:cs="宋体"/>
          <w:color w:val="auto"/>
          <w:highlight w:val="none"/>
        </w:rPr>
        <w:t>委托代</w:t>
      </w:r>
      <w:r>
        <w:rPr>
          <w:rFonts w:hint="eastAsia" w:ascii="宋体" w:hAnsi="宋体" w:eastAsia="宋体" w:cs="宋体"/>
          <w:color w:val="auto"/>
          <w:highlight w:val="none"/>
          <w:lang w:eastAsia="zh-CN"/>
        </w:rPr>
        <w:t>理</w:t>
      </w:r>
      <w:r>
        <w:rPr>
          <w:rFonts w:hint="eastAsia" w:ascii="宋体" w:hAnsi="宋体" w:eastAsia="宋体" w:cs="宋体"/>
          <w:color w:val="auto"/>
          <w:highlight w:val="none"/>
        </w:rPr>
        <w:t>人</w:t>
      </w:r>
      <w:r>
        <w:rPr>
          <w:rFonts w:hint="eastAsia" w:ascii="宋体" w:hAnsi="宋体" w:eastAsia="宋体" w:cs="宋体"/>
          <w:color w:val="auto"/>
          <w:highlight w:val="none"/>
        </w:rPr>
        <w:t>：</w:t>
      </w:r>
    </w:p>
    <w:p w14:paraId="51D5F703">
      <w:pPr>
        <w:pStyle w:val="6"/>
        <w:spacing w:before="120" w:beforeAutospacing="0" w:after="120" w:afterAutospacing="0" w:line="2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联系电话：         </w:t>
      </w:r>
    </w:p>
    <w:p w14:paraId="4DCD04BF">
      <w:pPr>
        <w:pStyle w:val="6"/>
        <w:spacing w:before="120" w:beforeAutospacing="0" w:after="120" w:afterAutospacing="0" w:line="2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签订日期：      年    月   日</w:t>
      </w:r>
    </w:p>
    <w:p w14:paraId="1914F1D5">
      <w:pPr>
        <w:pStyle w:val="6"/>
        <w:spacing w:before="120" w:beforeAutospacing="0" w:after="120" w:afterAutospacing="0" w:line="0" w:lineRule="atLeast"/>
        <w:jc w:val="center"/>
        <w:rPr>
          <w:rFonts w:hint="eastAsia" w:ascii="宋体" w:hAnsi="宋体" w:eastAsia="宋体" w:cs="宋体"/>
          <w:b/>
          <w:bCs/>
          <w:color w:val="auto"/>
          <w:highlight w:val="none"/>
        </w:rPr>
      </w:pPr>
      <w:bookmarkStart w:id="154" w:name="_Toc479757211"/>
      <w:bookmarkStart w:id="155" w:name="_Toc16938590"/>
      <w:bookmarkStart w:id="156" w:name="_Toc20823346"/>
      <w:bookmarkStart w:id="157" w:name="_Toc462564139"/>
      <w:bookmarkStart w:id="158" w:name="_Toc120614244"/>
      <w:bookmarkStart w:id="159" w:name="_Hlt16619369"/>
      <w:bookmarkStart w:id="160" w:name="_Hlt16619350"/>
      <w:r>
        <w:rPr>
          <w:rFonts w:hint="eastAsia" w:ascii="宋体" w:hAnsi="宋体" w:eastAsia="宋体" w:cs="宋体"/>
          <w:color w:val="auto"/>
          <w:sz w:val="44"/>
          <w:szCs w:val="44"/>
          <w:highlight w:val="none"/>
        </w:rPr>
        <w:br w:type="page"/>
      </w:r>
      <w:r>
        <w:rPr>
          <w:rFonts w:hint="eastAsia" w:ascii="宋体" w:hAnsi="宋体" w:eastAsia="宋体" w:cs="宋体"/>
          <w:b/>
          <w:bCs/>
          <w:color w:val="auto"/>
          <w:sz w:val="44"/>
          <w:szCs w:val="44"/>
          <w:highlight w:val="none"/>
        </w:rPr>
        <w:t> 第</w:t>
      </w:r>
      <w:bookmarkEnd w:id="154"/>
      <w:r>
        <w:rPr>
          <w:rFonts w:hint="eastAsia" w:ascii="宋体" w:hAnsi="宋体" w:eastAsia="宋体" w:cs="宋体"/>
          <w:b/>
          <w:bCs/>
          <w:color w:val="auto"/>
          <w:sz w:val="44"/>
          <w:szCs w:val="44"/>
          <w:highlight w:val="none"/>
        </w:rPr>
        <w:t>四章 采购需求</w:t>
      </w:r>
      <w:bookmarkEnd w:id="155"/>
      <w:bookmarkEnd w:id="156"/>
      <w:bookmarkEnd w:id="157"/>
      <w:bookmarkEnd w:id="158"/>
      <w:bookmarkStart w:id="161" w:name="_Toc26554093"/>
      <w:bookmarkEnd w:id="161"/>
      <w:bookmarkStart w:id="162" w:name="_Toc49090575"/>
      <w:bookmarkEnd w:id="162"/>
    </w:p>
    <w:p w14:paraId="68805A0D">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113E7F">
      <w:pPr>
        <w:pStyle w:val="6"/>
        <w:numPr>
          <w:ilvl w:val="0"/>
          <w:numId w:val="2"/>
        </w:numPr>
        <w:spacing w:beforeAutospacing="0" w:afterAutospacing="0" w:line="0" w:lineRule="atLeast"/>
        <w:jc w:val="both"/>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项目概况</w:t>
      </w:r>
    </w:p>
    <w:p w14:paraId="7B5B7D75">
      <w:pPr>
        <w:pStyle w:val="6"/>
        <w:spacing w:beforeAutospacing="0" w:afterAutospacing="0" w:line="0" w:lineRule="atLeas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国家广电总局办公厅发布《规范应急广播体系建设的通知》和省广电局印发《深化应急广播体系建设三年行动计划（2023-2025年）》，要求各地结合有线电视网络光纤入户工程建设和广电5G应用，对照2023版新国标进行系统技术规范升级改造和规范对接；推进主动发布终端延伸覆盖和老旧设备更换；单向应急广播终端双向化改造，建立智能化运维和效果监测评估体系，精准高效地进行应急广播运维管理。我县于2015年开展应急广播试点建设的部分项目，后于2018年建成现有的应急广播体系。由于建设早，主系统、终端适配器等均不符合现行国标规范，设备已过质保期，老化严重，故障率和损坏率不断升高，而且主要是单向终端，缺乏智能化运维监测和效果评估体系，整个体系的运行技术指标和性能都已不能满足应急广播功能发挥，亟需对标开展深化建设。</w:t>
      </w:r>
    </w:p>
    <w:p w14:paraId="2197A2B7">
      <w:pPr>
        <w:pStyle w:val="6"/>
        <w:numPr>
          <w:ilvl w:val="0"/>
          <w:numId w:val="2"/>
        </w:numPr>
        <w:spacing w:beforeAutospacing="0" w:afterAutospacing="0" w:line="0" w:lineRule="atLeast"/>
        <w:ind w:left="0" w:leftChars="0" w:firstLine="0" w:firstLineChars="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县应急广播长效运维要求</w:t>
      </w:r>
      <w:r>
        <w:rPr>
          <w:rFonts w:hint="eastAsia" w:ascii="宋体" w:hAnsi="宋体" w:eastAsia="宋体" w:cs="宋体"/>
          <w:b/>
          <w:bCs/>
          <w:color w:val="auto"/>
          <w:sz w:val="28"/>
          <w:szCs w:val="28"/>
          <w:highlight w:val="none"/>
        </w:rPr>
        <w:t> </w:t>
      </w:r>
    </w:p>
    <w:p w14:paraId="3E3EDC8F">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依据：2025.12.19《江苏省应急广播设施运行维护规范（试行）》（苏广电办〔2025〕341号）（以下简称《规范》）</w:t>
      </w:r>
    </w:p>
    <w:p w14:paraId="25FD0674">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对象：</w:t>
      </w:r>
      <w:r>
        <w:rPr>
          <w:rFonts w:hint="eastAsia" w:ascii="宋体" w:hAnsi="宋体" w:eastAsia="宋体" w:cs="宋体"/>
          <w:color w:val="auto"/>
          <w:sz w:val="28"/>
          <w:szCs w:val="28"/>
          <w:highlight w:val="none"/>
          <w:lang w:eastAsia="zh-CN"/>
        </w:rPr>
        <w:t>有线网络所属机构</w:t>
      </w:r>
      <w:r>
        <w:rPr>
          <w:rFonts w:hint="eastAsia" w:ascii="宋体" w:hAnsi="宋体" w:eastAsia="宋体" w:cs="宋体"/>
          <w:color w:val="auto"/>
          <w:sz w:val="28"/>
          <w:szCs w:val="28"/>
          <w:highlight w:val="none"/>
        </w:rPr>
        <w:t>负责的运维内容</w:t>
      </w:r>
    </w:p>
    <w:p w14:paraId="73F5CBD4">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1.有线传输覆盖网、5G网</w:t>
      </w:r>
    </w:p>
    <w:p w14:paraId="24D612BE">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2.镇、村两级前端（包括横向联通部门的前置端）</w:t>
      </w:r>
    </w:p>
    <w:p w14:paraId="5C93F342">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3.所有主动发布终端（大喇叭和音柱）</w:t>
      </w:r>
    </w:p>
    <w:p w14:paraId="7251DA00">
      <w:pPr>
        <w:pStyle w:val="6"/>
        <w:numPr>
          <w:ilvl w:val="0"/>
          <w:numId w:val="0"/>
        </w:numPr>
        <w:spacing w:beforeAutospacing="0" w:afterAutospacing="0" w:line="0" w:lineRule="atLeast"/>
        <w:ind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标准要求：</w:t>
      </w:r>
    </w:p>
    <w:p w14:paraId="2ABD7C37">
      <w:pPr>
        <w:pStyle w:val="6"/>
        <w:numPr>
          <w:ilvl w:val="0"/>
          <w:numId w:val="0"/>
        </w:numPr>
        <w:spacing w:beforeAutospacing="0" w:afterAutospacing="0"/>
        <w:ind w:leftChars="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（一）运维通则</w:t>
      </w:r>
    </w:p>
    <w:tbl>
      <w:tblPr>
        <w:tblStyle w:val="7"/>
        <w:tblW w:w="97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1920"/>
        <w:gridCol w:w="5407"/>
        <w:gridCol w:w="1740"/>
      </w:tblGrid>
      <w:tr w14:paraId="29BF0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5F060">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0EB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 目</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9BE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运 维 标 准</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B4D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 注</w:t>
            </w:r>
          </w:p>
        </w:tc>
      </w:tr>
      <w:tr w14:paraId="3185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F1ED">
            <w:pPr>
              <w:jc w:val="center"/>
              <w:rPr>
                <w:rFonts w:hint="eastAsia" w:ascii="宋体" w:hAnsi="宋体" w:eastAsia="宋体" w:cs="宋体"/>
                <w:b/>
                <w:bCs/>
                <w:i w:val="0"/>
                <w:iCs w:val="0"/>
                <w:color w:val="auto"/>
                <w:sz w:val="22"/>
                <w:szCs w:val="22"/>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406AD">
            <w:pPr>
              <w:jc w:val="center"/>
              <w:rPr>
                <w:rFonts w:hint="eastAsia" w:ascii="宋体" w:hAnsi="宋体" w:eastAsia="宋体" w:cs="宋体"/>
                <w:b/>
                <w:bCs/>
                <w:i w:val="0"/>
                <w:iCs w:val="0"/>
                <w:color w:val="auto"/>
                <w:sz w:val="22"/>
                <w:szCs w:val="22"/>
                <w:highlight w:val="none"/>
                <w:u w:val="none"/>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0B96">
            <w:pPr>
              <w:jc w:val="center"/>
              <w:rPr>
                <w:rFonts w:hint="eastAsia" w:ascii="宋体" w:hAnsi="宋体" w:eastAsia="宋体" w:cs="宋体"/>
                <w:b/>
                <w:bCs/>
                <w:i w:val="0"/>
                <w:iCs w:val="0"/>
                <w:color w:val="auto"/>
                <w:sz w:val="22"/>
                <w:szCs w:val="22"/>
                <w:highlight w:val="none"/>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E08B9">
            <w:pPr>
              <w:jc w:val="center"/>
              <w:rPr>
                <w:rFonts w:hint="eastAsia" w:ascii="宋体" w:hAnsi="宋体" w:eastAsia="宋体" w:cs="宋体"/>
                <w:b/>
                <w:bCs/>
                <w:i w:val="0"/>
                <w:iCs w:val="0"/>
                <w:color w:val="auto"/>
                <w:sz w:val="22"/>
                <w:szCs w:val="22"/>
                <w:highlight w:val="none"/>
                <w:u w:val="none"/>
              </w:rPr>
            </w:pPr>
          </w:p>
        </w:tc>
      </w:tr>
      <w:tr w14:paraId="318E9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A602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D0D6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通用质量要求</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3E395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1.设施功能正常、性能稳定；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2.技术指标符合国家和行业标准；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3.设施无盗窃、无破坏、无占用。</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14:paraId="4EB7B612">
            <w:pPr>
              <w:jc w:val="center"/>
              <w:rPr>
                <w:rFonts w:hint="eastAsia" w:ascii="宋体" w:hAnsi="宋体" w:eastAsia="宋体" w:cs="宋体"/>
                <w:i w:val="0"/>
                <w:iCs w:val="0"/>
                <w:color w:val="auto"/>
                <w:sz w:val="18"/>
                <w:szCs w:val="18"/>
                <w:highlight w:val="none"/>
                <w:u w:val="none"/>
              </w:rPr>
            </w:pPr>
          </w:p>
        </w:tc>
      </w:tr>
      <w:tr w14:paraId="15562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D08F">
            <w:pPr>
              <w:jc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3D0F">
            <w:pPr>
              <w:jc w:val="center"/>
              <w:rPr>
                <w:rFonts w:hint="eastAsia" w:ascii="宋体" w:hAnsi="宋体" w:eastAsia="宋体" w:cs="宋体"/>
                <w:i w:val="0"/>
                <w:iCs w:val="0"/>
                <w:color w:val="auto"/>
                <w:kern w:val="0"/>
                <w:sz w:val="24"/>
                <w:szCs w:val="24"/>
                <w:highlight w:val="none"/>
                <w:u w:val="none"/>
                <w:lang w:val="en-US" w:eastAsia="zh-CN" w:bidi="ar"/>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D39FD">
            <w:pPr>
              <w:jc w:val="left"/>
              <w:rPr>
                <w:rFonts w:hint="eastAsia" w:ascii="宋体" w:hAnsi="宋体" w:eastAsia="宋体" w:cs="宋体"/>
                <w:i w:val="0"/>
                <w:iCs w:val="0"/>
                <w:color w:val="auto"/>
                <w:kern w:val="0"/>
                <w:sz w:val="24"/>
                <w:szCs w:val="24"/>
                <w:highlight w:val="none"/>
                <w:u w:val="none"/>
                <w:lang w:val="en-US" w:eastAsia="zh-CN" w:bidi="ar"/>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14:paraId="56A379EF">
            <w:pPr>
              <w:jc w:val="center"/>
              <w:rPr>
                <w:rFonts w:hint="eastAsia" w:ascii="宋体" w:hAnsi="宋体" w:eastAsia="宋体" w:cs="宋体"/>
                <w:i w:val="0"/>
                <w:iCs w:val="0"/>
                <w:color w:val="auto"/>
                <w:sz w:val="18"/>
                <w:szCs w:val="18"/>
                <w:highlight w:val="none"/>
                <w:u w:val="none"/>
              </w:rPr>
            </w:pPr>
          </w:p>
        </w:tc>
      </w:tr>
      <w:tr w14:paraId="3C109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D3AE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BE5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运维协同</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0755E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1.配合县级平台运维机构，落实信息互通、加强运行调度、统筹运维安排，保障本级应急广播运转顺畅，与上级平台规范联通；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2.与县级平台运维机构明确责任界面，界定各自的运维任务和安播责任，拟制并签订《运维责任界面协议》。</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14:paraId="1C7964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《运维责任界面协议》向局方备案</w:t>
            </w:r>
          </w:p>
        </w:tc>
      </w:tr>
      <w:tr w14:paraId="304B1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44EF">
            <w:pPr>
              <w:jc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0C52D">
            <w:pPr>
              <w:jc w:val="center"/>
              <w:rPr>
                <w:rFonts w:hint="eastAsia" w:ascii="宋体" w:hAnsi="宋体" w:eastAsia="宋体" w:cs="宋体"/>
                <w:i w:val="0"/>
                <w:iCs w:val="0"/>
                <w:color w:val="auto"/>
                <w:kern w:val="0"/>
                <w:sz w:val="24"/>
                <w:szCs w:val="24"/>
                <w:highlight w:val="none"/>
                <w:u w:val="none"/>
                <w:lang w:val="en-US" w:eastAsia="zh-CN" w:bidi="ar"/>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06758">
            <w:pPr>
              <w:jc w:val="left"/>
              <w:rPr>
                <w:rFonts w:hint="eastAsia" w:ascii="宋体" w:hAnsi="宋体" w:eastAsia="宋体" w:cs="宋体"/>
                <w:i w:val="0"/>
                <w:iCs w:val="0"/>
                <w:color w:val="auto"/>
                <w:kern w:val="0"/>
                <w:sz w:val="24"/>
                <w:szCs w:val="24"/>
                <w:highlight w:val="none"/>
                <w:u w:val="none"/>
                <w:lang w:val="en-US" w:eastAsia="zh-CN" w:bidi="ar"/>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14:paraId="4F2B9AC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A726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97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BFA0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运维管理制度</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385D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参见《规范》附录A，结合实际，健全完善常规运维管理制度。</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14:paraId="1EDC656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向局方备案</w:t>
            </w:r>
          </w:p>
        </w:tc>
      </w:tr>
      <w:tr w14:paraId="73734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430F8">
            <w:pPr>
              <w:jc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F3D77">
            <w:pPr>
              <w:jc w:val="center"/>
              <w:rPr>
                <w:rFonts w:hint="eastAsia" w:ascii="宋体" w:hAnsi="宋体" w:eastAsia="宋体" w:cs="宋体"/>
                <w:i w:val="0"/>
                <w:iCs w:val="0"/>
                <w:color w:val="auto"/>
                <w:kern w:val="0"/>
                <w:sz w:val="24"/>
                <w:szCs w:val="24"/>
                <w:highlight w:val="none"/>
                <w:u w:val="none"/>
                <w:lang w:val="en-US" w:eastAsia="zh-CN" w:bidi="ar"/>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D1CCA">
            <w:pPr>
              <w:jc w:val="left"/>
              <w:rPr>
                <w:rFonts w:hint="eastAsia" w:ascii="宋体" w:hAnsi="宋体" w:eastAsia="宋体" w:cs="宋体"/>
                <w:i w:val="0"/>
                <w:iCs w:val="0"/>
                <w:color w:val="auto"/>
                <w:kern w:val="0"/>
                <w:sz w:val="24"/>
                <w:szCs w:val="24"/>
                <w:highlight w:val="none"/>
                <w:u w:val="none"/>
                <w:lang w:val="en-US" w:eastAsia="zh-CN" w:bidi="ar"/>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14:paraId="0376C5D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60C7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91E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0B7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运维业务流程</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188A1">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参见《规范》附录B，制订运维业务流程，监督实施情况并及时完善。要求流程具有可操作性，规定分工、步骤、注意事项等。重要流程，宜编制简明卡片便于执行。</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14:paraId="6EAEBC9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向局方备案</w:t>
            </w:r>
          </w:p>
        </w:tc>
      </w:tr>
      <w:tr w14:paraId="0E045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E0E31">
            <w:pPr>
              <w:jc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8E6D">
            <w:pPr>
              <w:jc w:val="center"/>
              <w:rPr>
                <w:rFonts w:hint="eastAsia" w:ascii="宋体" w:hAnsi="宋体" w:eastAsia="宋体" w:cs="宋体"/>
                <w:i w:val="0"/>
                <w:iCs w:val="0"/>
                <w:color w:val="auto"/>
                <w:kern w:val="0"/>
                <w:sz w:val="24"/>
                <w:szCs w:val="24"/>
                <w:highlight w:val="none"/>
                <w:u w:val="none"/>
                <w:lang w:val="en-US" w:eastAsia="zh-CN" w:bidi="ar"/>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8397D">
            <w:pPr>
              <w:rPr>
                <w:rFonts w:hint="eastAsia" w:ascii="宋体" w:hAnsi="宋体" w:eastAsia="宋体" w:cs="宋体"/>
                <w:i w:val="0"/>
                <w:iCs w:val="0"/>
                <w:color w:val="auto"/>
                <w:kern w:val="0"/>
                <w:sz w:val="24"/>
                <w:szCs w:val="24"/>
                <w:highlight w:val="none"/>
                <w:u w:val="none"/>
                <w:lang w:val="en-US" w:eastAsia="zh-CN" w:bidi="ar"/>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14:paraId="1BB897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4C3C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D6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3BF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运维人员</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3654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1.选配足量人员，要求具有相应专业技能，通过岗位培训和考核；                                                   2.设置值班、维护岗位并明确职责，定期开展技能培训。</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14:paraId="1DA13FC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人员名册向 局方备案</w:t>
            </w:r>
          </w:p>
        </w:tc>
      </w:tr>
      <w:tr w14:paraId="63A56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FF362">
            <w:pPr>
              <w:jc w:val="center"/>
              <w:rPr>
                <w:rFonts w:hint="eastAsia" w:ascii="宋体" w:hAnsi="宋体" w:eastAsia="宋体" w:cs="宋体"/>
                <w:i w:val="0"/>
                <w:iCs w:val="0"/>
                <w:color w:val="auto"/>
                <w:sz w:val="18"/>
                <w:szCs w:val="18"/>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D6A5C">
            <w:pPr>
              <w:jc w:val="center"/>
              <w:rPr>
                <w:rFonts w:hint="eastAsia" w:ascii="宋体" w:hAnsi="宋体" w:eastAsia="宋体" w:cs="宋体"/>
                <w:i w:val="0"/>
                <w:iCs w:val="0"/>
                <w:color w:val="auto"/>
                <w:sz w:val="18"/>
                <w:szCs w:val="18"/>
                <w:highlight w:val="none"/>
                <w:u w:val="none"/>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8E1B1">
            <w:pPr>
              <w:jc w:val="left"/>
              <w:rPr>
                <w:rFonts w:hint="eastAsia" w:ascii="宋体" w:hAnsi="宋体" w:eastAsia="宋体" w:cs="宋体"/>
                <w:i w:val="0"/>
                <w:iCs w:val="0"/>
                <w:color w:val="auto"/>
                <w:sz w:val="18"/>
                <w:szCs w:val="18"/>
                <w:highlight w:val="none"/>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14:paraId="68E6F0E4">
            <w:pPr>
              <w:jc w:val="center"/>
              <w:rPr>
                <w:rFonts w:hint="eastAsia" w:ascii="宋体" w:hAnsi="宋体" w:eastAsia="宋体" w:cs="宋体"/>
                <w:i w:val="0"/>
                <w:iCs w:val="0"/>
                <w:color w:val="auto"/>
                <w:sz w:val="18"/>
                <w:szCs w:val="18"/>
                <w:highlight w:val="none"/>
                <w:u w:val="none"/>
              </w:rPr>
            </w:pPr>
          </w:p>
        </w:tc>
      </w:tr>
      <w:tr w14:paraId="35FA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E5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D3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24"/>
                <w:szCs w:val="24"/>
                <w:highlight w:val="none"/>
                <w:u w:val="none"/>
                <w:lang w:val="en-US" w:eastAsia="zh-CN" w:bidi="ar"/>
              </w:rPr>
              <w:t>备品备件和工具</w:t>
            </w:r>
          </w:p>
        </w:tc>
        <w:tc>
          <w:tcPr>
            <w:tcW w:w="5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4F91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24"/>
                <w:szCs w:val="24"/>
                <w:highlight w:val="none"/>
                <w:u w:val="none"/>
                <w:lang w:val="en-US" w:eastAsia="zh-CN" w:bidi="ar"/>
              </w:rPr>
              <w:t>1.设立备品备件库，登记造册，配置维护所需工具、材料、仪器仪表；                                                        2.所有设施设备专人保管、妥善放置，出入库有规范登记，定期检查可用情况、补充或标校。</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DC62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24"/>
                <w:szCs w:val="24"/>
                <w:highlight w:val="none"/>
                <w:u w:val="none"/>
                <w:lang w:val="en-US" w:eastAsia="zh-CN" w:bidi="ar"/>
              </w:rPr>
              <w:t>登记造册资料向局方备案</w:t>
            </w:r>
          </w:p>
        </w:tc>
      </w:tr>
      <w:tr w14:paraId="457D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E2A06">
            <w:pPr>
              <w:jc w:val="center"/>
              <w:rPr>
                <w:rFonts w:hint="eastAsia" w:ascii="宋体" w:hAnsi="宋体" w:eastAsia="宋体" w:cs="宋体"/>
                <w:i w:val="0"/>
                <w:iCs w:val="0"/>
                <w:color w:val="auto"/>
                <w:sz w:val="18"/>
                <w:szCs w:val="18"/>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C6A32">
            <w:pPr>
              <w:jc w:val="center"/>
              <w:rPr>
                <w:rFonts w:hint="eastAsia" w:ascii="宋体" w:hAnsi="宋体" w:eastAsia="宋体" w:cs="宋体"/>
                <w:i w:val="0"/>
                <w:iCs w:val="0"/>
                <w:color w:val="auto"/>
                <w:sz w:val="18"/>
                <w:szCs w:val="18"/>
                <w:highlight w:val="none"/>
                <w:u w:val="none"/>
              </w:rPr>
            </w:pPr>
          </w:p>
        </w:tc>
        <w:tc>
          <w:tcPr>
            <w:tcW w:w="5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F354A">
            <w:pPr>
              <w:jc w:val="left"/>
              <w:rPr>
                <w:rFonts w:hint="eastAsia" w:ascii="宋体" w:hAnsi="宋体" w:eastAsia="宋体" w:cs="宋体"/>
                <w:i w:val="0"/>
                <w:iCs w:val="0"/>
                <w:color w:val="auto"/>
                <w:sz w:val="18"/>
                <w:szCs w:val="18"/>
                <w:highlight w:val="none"/>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41372">
            <w:pPr>
              <w:jc w:val="center"/>
              <w:rPr>
                <w:rFonts w:hint="eastAsia" w:ascii="宋体" w:hAnsi="宋体" w:eastAsia="宋体" w:cs="宋体"/>
                <w:i w:val="0"/>
                <w:iCs w:val="0"/>
                <w:color w:val="auto"/>
                <w:sz w:val="18"/>
                <w:szCs w:val="18"/>
                <w:highlight w:val="none"/>
                <w:u w:val="none"/>
              </w:rPr>
            </w:pPr>
          </w:p>
        </w:tc>
      </w:tr>
    </w:tbl>
    <w:p w14:paraId="439A4774">
      <w:pPr>
        <w:pStyle w:val="6"/>
        <w:numPr>
          <w:ilvl w:val="0"/>
          <w:numId w:val="0"/>
        </w:numPr>
        <w:spacing w:beforeAutospacing="0" w:afterAutospacing="0"/>
        <w:ind w:leftChars="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（二）运维分则——有线传输覆盖网（5G）</w:t>
      </w:r>
    </w:p>
    <w:tbl>
      <w:tblPr>
        <w:tblStyle w:val="7"/>
        <w:tblW w:w="978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1"/>
        <w:gridCol w:w="1920"/>
        <w:gridCol w:w="5376"/>
        <w:gridCol w:w="1744"/>
      </w:tblGrid>
      <w:tr w14:paraId="2539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5120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DFC4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项 目</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D83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运 维 标 准</w:t>
            </w:r>
          </w:p>
        </w:tc>
        <w:tc>
          <w:tcPr>
            <w:tcW w:w="1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099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备 注</w:t>
            </w:r>
          </w:p>
        </w:tc>
      </w:tr>
      <w:tr w14:paraId="7F941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FE23B">
            <w:pPr>
              <w:jc w:val="center"/>
              <w:rPr>
                <w:rFonts w:hint="eastAsia" w:ascii="宋体" w:hAnsi="宋体" w:eastAsia="宋体" w:cs="宋体"/>
                <w:b/>
                <w:bCs/>
                <w:i w:val="0"/>
                <w:iCs w:val="0"/>
                <w:color w:val="auto"/>
                <w:sz w:val="22"/>
                <w:szCs w:val="22"/>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DEF8">
            <w:pPr>
              <w:jc w:val="center"/>
              <w:rPr>
                <w:rFonts w:hint="eastAsia" w:ascii="宋体" w:hAnsi="宋体" w:eastAsia="宋体" w:cs="宋体"/>
                <w:b/>
                <w:bCs/>
                <w:i w:val="0"/>
                <w:iCs w:val="0"/>
                <w:color w:val="auto"/>
                <w:sz w:val="22"/>
                <w:szCs w:val="22"/>
                <w:highlight w:val="none"/>
                <w:u w:val="none"/>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4497">
            <w:pPr>
              <w:jc w:val="center"/>
              <w:rPr>
                <w:rFonts w:hint="eastAsia" w:ascii="宋体" w:hAnsi="宋体" w:eastAsia="宋体" w:cs="宋体"/>
                <w:b/>
                <w:bCs/>
                <w:i w:val="0"/>
                <w:iCs w:val="0"/>
                <w:color w:val="auto"/>
                <w:sz w:val="22"/>
                <w:szCs w:val="22"/>
                <w:highlight w:val="none"/>
                <w:u w:val="none"/>
              </w:rPr>
            </w:pPr>
          </w:p>
        </w:tc>
        <w:tc>
          <w:tcPr>
            <w:tcW w:w="1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5544">
            <w:pPr>
              <w:jc w:val="center"/>
              <w:rPr>
                <w:rFonts w:hint="eastAsia" w:ascii="宋体" w:hAnsi="宋体" w:eastAsia="宋体" w:cs="宋体"/>
                <w:b/>
                <w:bCs/>
                <w:i w:val="0"/>
                <w:iCs w:val="0"/>
                <w:color w:val="auto"/>
                <w:sz w:val="22"/>
                <w:szCs w:val="22"/>
                <w:highlight w:val="none"/>
                <w:u w:val="none"/>
              </w:rPr>
            </w:pPr>
          </w:p>
        </w:tc>
      </w:tr>
      <w:tr w14:paraId="7A93F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EAF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A3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质量要求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F576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除通用要求外，还应满足：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1.年平均可用度不低于99.9%；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2.在关键节点和传输链路具备冗余备份。</w:t>
            </w:r>
          </w:p>
        </w:tc>
        <w:tc>
          <w:tcPr>
            <w:tcW w:w="1744" w:type="dxa"/>
            <w:vMerge w:val="restart"/>
            <w:tcBorders>
              <w:top w:val="single" w:color="000000" w:sz="4" w:space="0"/>
              <w:left w:val="single" w:color="000000" w:sz="4" w:space="0"/>
              <w:bottom w:val="nil"/>
              <w:right w:val="single" w:color="000000" w:sz="4" w:space="0"/>
            </w:tcBorders>
            <w:shd w:val="clear" w:color="auto" w:fill="auto"/>
            <w:vAlign w:val="center"/>
          </w:tcPr>
          <w:p w14:paraId="4A8A65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E206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6F45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7A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3A64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44" w:type="dxa"/>
            <w:vMerge w:val="continue"/>
            <w:tcBorders>
              <w:top w:val="single" w:color="000000" w:sz="4" w:space="0"/>
              <w:left w:val="single" w:color="000000" w:sz="4" w:space="0"/>
              <w:bottom w:val="nil"/>
              <w:right w:val="single" w:color="000000" w:sz="4" w:space="0"/>
            </w:tcBorders>
            <w:shd w:val="clear" w:color="auto" w:fill="auto"/>
            <w:vAlign w:val="center"/>
          </w:tcPr>
          <w:p w14:paraId="10D383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B49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D10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D52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5F9C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1.监测线路、传输设备运行状态，制定不同周期的检修计划并按期实施；每周开展线路巡护，至少每月开展一次测试和维护，对巡护、测试中发现的问题及时处置；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2.对地质灾害隐患点、低洼地区的传输设备的线路应进行重点巡检和保障，汛期等灾害性天气多发时期应增加巡线频次。（参照应急广播服务防汛救灾工作指南1.0及其实施细则执行）</w:t>
            </w:r>
          </w:p>
        </w:tc>
        <w:tc>
          <w:tcPr>
            <w:tcW w:w="1744" w:type="dxa"/>
            <w:vMerge w:val="restart"/>
            <w:tcBorders>
              <w:top w:val="single" w:color="000000" w:sz="4" w:space="0"/>
              <w:left w:val="single" w:color="000000" w:sz="4" w:space="0"/>
              <w:bottom w:val="nil"/>
              <w:right w:val="single" w:color="000000" w:sz="4" w:space="0"/>
            </w:tcBorders>
            <w:shd w:val="clear" w:color="auto" w:fill="auto"/>
            <w:vAlign w:val="center"/>
          </w:tcPr>
          <w:p w14:paraId="62E58AA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92EC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2"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D17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38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C3FA5">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44" w:type="dxa"/>
            <w:vMerge w:val="continue"/>
            <w:tcBorders>
              <w:top w:val="single" w:color="000000" w:sz="4" w:space="0"/>
              <w:left w:val="single" w:color="000000" w:sz="4" w:space="0"/>
              <w:bottom w:val="nil"/>
              <w:right w:val="single" w:color="000000" w:sz="4" w:space="0"/>
            </w:tcBorders>
            <w:shd w:val="clear" w:color="auto" w:fill="auto"/>
            <w:vAlign w:val="center"/>
          </w:tcPr>
          <w:p w14:paraId="612F74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FDA8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E0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7D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设施保护</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3CB4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1.线路周边设立警示标志，加大设施保护宣传力度，与相关部门，镇村以及沿线单位的协同机制，及时掌握邻近施工动向，严厉打击破坏行为；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2.及时掌握邻近施工作业动向，对破坏设施行为严厉打击。</w:t>
            </w:r>
          </w:p>
        </w:tc>
        <w:tc>
          <w:tcPr>
            <w:tcW w:w="1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FFF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9925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6224">
            <w:pPr>
              <w:jc w:val="center"/>
              <w:rPr>
                <w:rFonts w:hint="eastAsia" w:ascii="宋体" w:hAnsi="宋体" w:eastAsia="宋体" w:cs="宋体"/>
                <w:i w:val="0"/>
                <w:iCs w:val="0"/>
                <w:color w:val="auto"/>
                <w:sz w:val="18"/>
                <w:szCs w:val="18"/>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B91D">
            <w:pPr>
              <w:jc w:val="center"/>
              <w:rPr>
                <w:rFonts w:hint="eastAsia" w:ascii="宋体" w:hAnsi="宋体" w:eastAsia="宋体" w:cs="宋体"/>
                <w:i w:val="0"/>
                <w:iCs w:val="0"/>
                <w:color w:val="auto"/>
                <w:sz w:val="18"/>
                <w:szCs w:val="18"/>
                <w:highlight w:val="none"/>
                <w:u w:val="none"/>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70090">
            <w:pPr>
              <w:jc w:val="left"/>
              <w:rPr>
                <w:rFonts w:hint="eastAsia" w:ascii="宋体" w:hAnsi="宋体" w:eastAsia="宋体" w:cs="宋体"/>
                <w:i w:val="0"/>
                <w:iCs w:val="0"/>
                <w:color w:val="auto"/>
                <w:sz w:val="18"/>
                <w:szCs w:val="18"/>
                <w:highlight w:val="none"/>
                <w:u w:val="none"/>
              </w:rPr>
            </w:pPr>
          </w:p>
        </w:tc>
        <w:tc>
          <w:tcPr>
            <w:tcW w:w="1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FC8D5">
            <w:pPr>
              <w:jc w:val="center"/>
              <w:rPr>
                <w:rFonts w:hint="eastAsia" w:ascii="宋体" w:hAnsi="宋体" w:eastAsia="宋体" w:cs="宋体"/>
                <w:i w:val="0"/>
                <w:iCs w:val="0"/>
                <w:color w:val="auto"/>
                <w:sz w:val="18"/>
                <w:szCs w:val="18"/>
                <w:highlight w:val="none"/>
                <w:u w:val="none"/>
              </w:rPr>
            </w:pPr>
          </w:p>
        </w:tc>
      </w:tr>
    </w:tbl>
    <w:p w14:paraId="5D586043">
      <w:pPr>
        <w:pStyle w:val="6"/>
        <w:numPr>
          <w:ilvl w:val="0"/>
          <w:numId w:val="0"/>
        </w:numPr>
        <w:spacing w:beforeAutospacing="0" w:afterAutospacing="0"/>
        <w:ind w:leftChars="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（三）运维分则——镇、村两级前端和主动发布终端</w:t>
      </w:r>
    </w:p>
    <w:tbl>
      <w:tblPr>
        <w:tblStyle w:val="7"/>
        <w:tblW w:w="978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1920"/>
        <w:gridCol w:w="5376"/>
        <w:gridCol w:w="1760"/>
      </w:tblGrid>
      <w:tr w14:paraId="0D268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5BA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22B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项 目</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9300">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运 维 标 准</w:t>
            </w:r>
          </w:p>
        </w:tc>
        <w:tc>
          <w:tcPr>
            <w:tcW w:w="17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4780">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备 注</w:t>
            </w:r>
          </w:p>
        </w:tc>
      </w:tr>
      <w:tr w14:paraId="3AE9C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94F3">
            <w:pPr>
              <w:jc w:val="center"/>
              <w:rPr>
                <w:rFonts w:hint="eastAsia" w:ascii="宋体" w:hAnsi="宋体" w:eastAsia="宋体" w:cs="宋体"/>
                <w:b/>
                <w:bCs/>
                <w:i w:val="0"/>
                <w:iCs w:val="0"/>
                <w:color w:val="auto"/>
                <w:sz w:val="22"/>
                <w:szCs w:val="22"/>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B6D7">
            <w:pPr>
              <w:jc w:val="center"/>
              <w:rPr>
                <w:rFonts w:hint="eastAsia" w:ascii="宋体" w:hAnsi="宋体" w:eastAsia="宋体" w:cs="宋体"/>
                <w:b/>
                <w:bCs/>
                <w:i w:val="0"/>
                <w:iCs w:val="0"/>
                <w:color w:val="auto"/>
                <w:sz w:val="22"/>
                <w:szCs w:val="22"/>
                <w:highlight w:val="none"/>
                <w:u w:val="none"/>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2573A">
            <w:pPr>
              <w:jc w:val="left"/>
              <w:rPr>
                <w:rFonts w:hint="eastAsia" w:ascii="宋体" w:hAnsi="宋体" w:eastAsia="宋体" w:cs="宋体"/>
                <w:b/>
                <w:bCs/>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F05C">
            <w:pPr>
              <w:jc w:val="center"/>
              <w:rPr>
                <w:rFonts w:hint="eastAsia" w:ascii="宋体" w:hAnsi="宋体" w:eastAsia="宋体" w:cs="宋体"/>
                <w:b/>
                <w:bCs/>
                <w:i w:val="0"/>
                <w:iCs w:val="0"/>
                <w:color w:val="auto"/>
                <w:sz w:val="22"/>
                <w:szCs w:val="22"/>
                <w:highlight w:val="none"/>
                <w:u w:val="none"/>
              </w:rPr>
            </w:pPr>
          </w:p>
        </w:tc>
      </w:tr>
      <w:tr w14:paraId="6374E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356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4AF7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质量要求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6C60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除通用要求外，还应满足：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1.前端年平均可用度不低于99.9%；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2.终端日平均在线率不低于90%；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3.前端、终端后备电源后备时间满足实际负荷工作60分钟以上；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4.有前端、终端备品备件，其中备用终端数量不低于辖区终端总数的2%。</w:t>
            </w:r>
          </w:p>
        </w:tc>
        <w:tc>
          <w:tcPr>
            <w:tcW w:w="1760" w:type="dxa"/>
            <w:vMerge w:val="restart"/>
            <w:tcBorders>
              <w:top w:val="single" w:color="000000" w:sz="4" w:space="0"/>
              <w:left w:val="single" w:color="000000" w:sz="4" w:space="0"/>
              <w:bottom w:val="nil"/>
              <w:right w:val="single" w:color="000000" w:sz="4" w:space="0"/>
            </w:tcBorders>
            <w:shd w:val="clear" w:color="auto" w:fill="auto"/>
            <w:vAlign w:val="center"/>
          </w:tcPr>
          <w:p w14:paraId="0DA6B8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D34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36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733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5ED7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60" w:type="dxa"/>
            <w:vMerge w:val="continue"/>
            <w:tcBorders>
              <w:top w:val="single" w:color="000000" w:sz="4" w:space="0"/>
              <w:left w:val="single" w:color="000000" w:sz="4" w:space="0"/>
              <w:bottom w:val="nil"/>
              <w:right w:val="single" w:color="000000" w:sz="4" w:space="0"/>
            </w:tcBorders>
            <w:shd w:val="clear" w:color="auto" w:fill="auto"/>
            <w:vAlign w:val="center"/>
          </w:tcPr>
          <w:p w14:paraId="16D3E2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084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C4A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2F2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运维要求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159EB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通过应急广播平台实时监测前端和终端的在线情况、运行和消息播发状态，并按照《规范》要求的监测频率测算终端在线率和终端播发反馈率两个指标。</w:t>
            </w:r>
          </w:p>
        </w:tc>
        <w:tc>
          <w:tcPr>
            <w:tcW w:w="1760" w:type="dxa"/>
            <w:vMerge w:val="restart"/>
            <w:tcBorders>
              <w:top w:val="single" w:color="000000" w:sz="4" w:space="0"/>
              <w:left w:val="single" w:color="000000" w:sz="4" w:space="0"/>
              <w:bottom w:val="nil"/>
              <w:right w:val="single" w:color="000000" w:sz="4" w:space="0"/>
            </w:tcBorders>
            <w:shd w:val="clear" w:color="auto" w:fill="auto"/>
            <w:vAlign w:val="center"/>
          </w:tcPr>
          <w:p w14:paraId="24BE9C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两个运行指标的监控和测算严格按照《规范》P10要求执行</w:t>
            </w:r>
          </w:p>
        </w:tc>
      </w:tr>
      <w:tr w14:paraId="7A80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2E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74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FE2C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60" w:type="dxa"/>
            <w:vMerge w:val="continue"/>
            <w:tcBorders>
              <w:top w:val="single" w:color="000000" w:sz="4" w:space="0"/>
              <w:left w:val="single" w:color="000000" w:sz="4" w:space="0"/>
              <w:bottom w:val="nil"/>
              <w:right w:val="single" w:color="000000" w:sz="4" w:space="0"/>
            </w:tcBorders>
            <w:shd w:val="clear" w:color="auto" w:fill="auto"/>
            <w:vAlign w:val="center"/>
          </w:tcPr>
          <w:p w14:paraId="1D2E4D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E930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3F2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B4A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巡检要求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9E381">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巡检方式分为在线巡检和现场巡检。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1.在线巡检：对象为前端和双向终端，联合县级平台运维机构结合运行监测开展。内容包括设备编码、IP地址等。在线巡检中发现掉线和故障设备，及时调度检修。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现场巡检：对象为前端和双向终端，内容包括前端工作状态、U盾使用情况、播发记录，以及终端安装紧固性、外观、工作状态、供电线路、信号线路、无线接收天线、防雷地接等。现场巡检不少于每两周一次，可结合巡线开展。</w:t>
            </w:r>
          </w:p>
        </w:tc>
        <w:tc>
          <w:tcPr>
            <w:tcW w:w="1760" w:type="dxa"/>
            <w:vMerge w:val="restart"/>
            <w:tcBorders>
              <w:top w:val="single" w:color="000000" w:sz="4" w:space="0"/>
              <w:left w:val="single" w:color="000000" w:sz="4" w:space="0"/>
              <w:bottom w:val="nil"/>
              <w:right w:val="single" w:color="000000" w:sz="4" w:space="0"/>
            </w:tcBorders>
            <w:shd w:val="clear" w:color="auto" w:fill="auto"/>
            <w:vAlign w:val="center"/>
          </w:tcPr>
          <w:p w14:paraId="588607D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要有图文记录（相关人员签字确认）留存</w:t>
            </w:r>
          </w:p>
        </w:tc>
      </w:tr>
      <w:tr w14:paraId="43D64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FB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B99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D879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60" w:type="dxa"/>
            <w:vMerge w:val="continue"/>
            <w:tcBorders>
              <w:top w:val="single" w:color="000000" w:sz="4" w:space="0"/>
              <w:left w:val="single" w:color="000000" w:sz="4" w:space="0"/>
              <w:bottom w:val="nil"/>
              <w:right w:val="single" w:color="000000" w:sz="4" w:space="0"/>
            </w:tcBorders>
            <w:shd w:val="clear" w:color="auto" w:fill="auto"/>
            <w:vAlign w:val="center"/>
          </w:tcPr>
          <w:p w14:paraId="57BADF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C7E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767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E6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测试要求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5F777A">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1.功能测试：平台消息播发（会同县级平台运维机构开展）前端喊话、终端无线接收等；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2.后备电源状态：定期对前端和终端配置的后备电源进行充放电，并评估后备时间。</w:t>
            </w:r>
          </w:p>
        </w:tc>
        <w:tc>
          <w:tcPr>
            <w:tcW w:w="1760" w:type="dxa"/>
            <w:vMerge w:val="restart"/>
            <w:tcBorders>
              <w:top w:val="single" w:color="000000" w:sz="4" w:space="0"/>
              <w:left w:val="single" w:color="000000" w:sz="4" w:space="0"/>
              <w:bottom w:val="nil"/>
              <w:right w:val="single" w:color="000000" w:sz="4" w:space="0"/>
            </w:tcBorders>
            <w:shd w:val="clear" w:color="auto" w:fill="auto"/>
            <w:vAlign w:val="center"/>
          </w:tcPr>
          <w:p w14:paraId="140654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要有图文记录（相关人员签字确认）留存</w:t>
            </w:r>
          </w:p>
        </w:tc>
      </w:tr>
      <w:tr w14:paraId="4510F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5B0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B5A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EBC7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60" w:type="dxa"/>
            <w:vMerge w:val="continue"/>
            <w:tcBorders>
              <w:top w:val="single" w:color="000000" w:sz="4" w:space="0"/>
              <w:left w:val="single" w:color="000000" w:sz="4" w:space="0"/>
              <w:bottom w:val="nil"/>
              <w:right w:val="single" w:color="000000" w:sz="4" w:space="0"/>
            </w:tcBorders>
            <w:shd w:val="clear" w:color="auto" w:fill="auto"/>
            <w:vAlign w:val="center"/>
          </w:tcPr>
          <w:p w14:paraId="7F599F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1700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37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72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维护要求</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C155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制定不同周期的维护计划并按期实施，内容包括保养、清洁、调试等；及时维护故障设施。</w:t>
            </w:r>
          </w:p>
        </w:tc>
        <w:tc>
          <w:tcPr>
            <w:tcW w:w="1760" w:type="dxa"/>
            <w:vMerge w:val="restart"/>
            <w:tcBorders>
              <w:top w:val="single" w:color="000000" w:sz="4" w:space="0"/>
              <w:left w:val="single" w:color="000000" w:sz="4" w:space="0"/>
              <w:bottom w:val="nil"/>
              <w:right w:val="single" w:color="000000" w:sz="4" w:space="0"/>
            </w:tcBorders>
            <w:shd w:val="clear" w:color="auto" w:fill="auto"/>
            <w:vAlign w:val="center"/>
          </w:tcPr>
          <w:p w14:paraId="1216F7F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E19C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E9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421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16E2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60" w:type="dxa"/>
            <w:vMerge w:val="continue"/>
            <w:tcBorders>
              <w:top w:val="single" w:color="000000" w:sz="4" w:space="0"/>
              <w:left w:val="single" w:color="000000" w:sz="4" w:space="0"/>
              <w:bottom w:val="nil"/>
              <w:right w:val="single" w:color="000000" w:sz="4" w:space="0"/>
            </w:tcBorders>
            <w:shd w:val="clear" w:color="auto" w:fill="auto"/>
            <w:vAlign w:val="center"/>
          </w:tcPr>
          <w:p w14:paraId="63423D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136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3D7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10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设施保护</w:t>
            </w:r>
          </w:p>
        </w:tc>
        <w:tc>
          <w:tcPr>
            <w:tcW w:w="5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470C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1.终端上标注应急广播标识，会同镇村两级制定保护措施，开展设施保护宣传，与相关部门建立协同机制，严厉打击破坏行为。       2.前端设施应安排专用广播室、配备防盗门和视频监控、灭火器和空调等。</w:t>
            </w:r>
          </w:p>
        </w:tc>
        <w:tc>
          <w:tcPr>
            <w:tcW w:w="1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BF1C7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50C6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F5037">
            <w:pPr>
              <w:jc w:val="center"/>
              <w:rPr>
                <w:rFonts w:hint="eastAsia" w:ascii="宋体" w:hAnsi="宋体" w:eastAsia="宋体" w:cs="宋体"/>
                <w:i w:val="0"/>
                <w:iCs w:val="0"/>
                <w:color w:val="auto"/>
                <w:sz w:val="18"/>
                <w:szCs w:val="18"/>
                <w:highlight w:val="none"/>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2C3EE">
            <w:pPr>
              <w:jc w:val="center"/>
              <w:rPr>
                <w:rFonts w:hint="eastAsia" w:ascii="宋体" w:hAnsi="宋体" w:eastAsia="宋体" w:cs="宋体"/>
                <w:i w:val="0"/>
                <w:iCs w:val="0"/>
                <w:color w:val="auto"/>
                <w:sz w:val="18"/>
                <w:szCs w:val="18"/>
                <w:highlight w:val="none"/>
                <w:u w:val="none"/>
              </w:rPr>
            </w:pPr>
          </w:p>
        </w:tc>
        <w:tc>
          <w:tcPr>
            <w:tcW w:w="5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2A9C9">
            <w:pPr>
              <w:jc w:val="left"/>
              <w:rPr>
                <w:rFonts w:hint="eastAsia" w:ascii="宋体" w:hAnsi="宋体" w:eastAsia="宋体" w:cs="宋体"/>
                <w:i w:val="0"/>
                <w:iCs w:val="0"/>
                <w:color w:val="auto"/>
                <w:sz w:val="18"/>
                <w:szCs w:val="18"/>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7B8E3">
            <w:pPr>
              <w:jc w:val="center"/>
              <w:rPr>
                <w:rFonts w:hint="eastAsia" w:ascii="宋体" w:hAnsi="宋体" w:eastAsia="宋体" w:cs="宋体"/>
                <w:i w:val="0"/>
                <w:iCs w:val="0"/>
                <w:color w:val="auto"/>
                <w:sz w:val="18"/>
                <w:szCs w:val="18"/>
                <w:highlight w:val="none"/>
                <w:u w:val="none"/>
              </w:rPr>
            </w:pPr>
          </w:p>
        </w:tc>
      </w:tr>
    </w:tbl>
    <w:p w14:paraId="03A9E64A">
      <w:pPr>
        <w:pStyle w:val="6"/>
        <w:numPr>
          <w:ilvl w:val="0"/>
          <w:numId w:val="0"/>
        </w:numPr>
        <w:spacing w:beforeAutospacing="0" w:afterAutospacing="0"/>
        <w:ind w:leftChars="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（四）应急保障</w:t>
      </w:r>
    </w:p>
    <w:tbl>
      <w:tblPr>
        <w:tblStyle w:val="7"/>
        <w:tblW w:w="97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1904"/>
        <w:gridCol w:w="5392"/>
        <w:gridCol w:w="1776"/>
      </w:tblGrid>
      <w:tr w14:paraId="32487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468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1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F05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项 目</w:t>
            </w:r>
          </w:p>
        </w:tc>
        <w:tc>
          <w:tcPr>
            <w:tcW w:w="53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21D8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运 维 标 准</w:t>
            </w:r>
          </w:p>
        </w:tc>
        <w:tc>
          <w:tcPr>
            <w:tcW w:w="17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B93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备 注</w:t>
            </w:r>
          </w:p>
        </w:tc>
      </w:tr>
      <w:tr w14:paraId="24DFE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9785E">
            <w:pPr>
              <w:jc w:val="center"/>
              <w:rPr>
                <w:rFonts w:hint="eastAsia" w:ascii="宋体" w:hAnsi="宋体" w:eastAsia="宋体" w:cs="宋体"/>
                <w:b/>
                <w:bCs/>
                <w:i w:val="0"/>
                <w:iCs w:val="0"/>
                <w:color w:val="auto"/>
                <w:sz w:val="22"/>
                <w:szCs w:val="22"/>
                <w:highlight w:val="none"/>
                <w:u w:val="none"/>
              </w:rPr>
            </w:pPr>
          </w:p>
        </w:tc>
        <w:tc>
          <w:tcPr>
            <w:tcW w:w="1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7B60">
            <w:pPr>
              <w:jc w:val="center"/>
              <w:rPr>
                <w:rFonts w:hint="eastAsia" w:ascii="宋体" w:hAnsi="宋体" w:eastAsia="宋体" w:cs="宋体"/>
                <w:b/>
                <w:bCs/>
                <w:i w:val="0"/>
                <w:iCs w:val="0"/>
                <w:color w:val="auto"/>
                <w:sz w:val="22"/>
                <w:szCs w:val="22"/>
                <w:highlight w:val="none"/>
                <w:u w:val="none"/>
              </w:rPr>
            </w:pPr>
          </w:p>
        </w:tc>
        <w:tc>
          <w:tcPr>
            <w:tcW w:w="53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C7CE">
            <w:pPr>
              <w:jc w:val="center"/>
              <w:rPr>
                <w:rFonts w:hint="eastAsia" w:ascii="宋体" w:hAnsi="宋体" w:eastAsia="宋体" w:cs="宋体"/>
                <w:b/>
                <w:bCs/>
                <w:i w:val="0"/>
                <w:iCs w:val="0"/>
                <w:color w:val="auto"/>
                <w:sz w:val="22"/>
                <w:szCs w:val="22"/>
                <w:highlight w:val="none"/>
                <w:u w:val="none"/>
              </w:rPr>
            </w:pPr>
          </w:p>
        </w:tc>
        <w:tc>
          <w:tcPr>
            <w:tcW w:w="17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CE5B">
            <w:pPr>
              <w:jc w:val="center"/>
              <w:rPr>
                <w:rFonts w:hint="eastAsia" w:ascii="宋体" w:hAnsi="宋体" w:eastAsia="宋体" w:cs="宋体"/>
                <w:b/>
                <w:bCs/>
                <w:i w:val="0"/>
                <w:iCs w:val="0"/>
                <w:color w:val="auto"/>
                <w:sz w:val="22"/>
                <w:szCs w:val="22"/>
                <w:highlight w:val="none"/>
                <w:u w:val="none"/>
              </w:rPr>
            </w:pPr>
          </w:p>
        </w:tc>
      </w:tr>
      <w:tr w14:paraId="0AAE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DD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46C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预案制定</w:t>
            </w:r>
          </w:p>
        </w:tc>
        <w:tc>
          <w:tcPr>
            <w:tcW w:w="5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F2B9D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1.制定突发故障和突发事件应急预案；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2.预案制定应充分考虑预案间的衔接和协同，包括设备线路故障、供配电故障、网络安全事件、自然灾害及其他突发事件等场景，以及分工、预警、响应机制、应急流程、保障措施等内容。</w:t>
            </w:r>
          </w:p>
        </w:tc>
        <w:tc>
          <w:tcPr>
            <w:tcW w:w="1776" w:type="dxa"/>
            <w:vMerge w:val="restart"/>
            <w:tcBorders>
              <w:top w:val="single" w:color="000000" w:sz="4" w:space="0"/>
              <w:left w:val="single" w:color="000000" w:sz="4" w:space="0"/>
              <w:bottom w:val="nil"/>
              <w:right w:val="single" w:color="000000" w:sz="4" w:space="0"/>
            </w:tcBorders>
            <w:shd w:val="clear" w:color="auto" w:fill="auto"/>
            <w:vAlign w:val="center"/>
          </w:tcPr>
          <w:p w14:paraId="0984D6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向局方备案</w:t>
            </w:r>
          </w:p>
        </w:tc>
      </w:tr>
      <w:tr w14:paraId="70626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76A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6BC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C2BE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76" w:type="dxa"/>
            <w:vMerge w:val="continue"/>
            <w:tcBorders>
              <w:top w:val="single" w:color="000000" w:sz="4" w:space="0"/>
              <w:left w:val="single" w:color="000000" w:sz="4" w:space="0"/>
              <w:bottom w:val="nil"/>
              <w:right w:val="single" w:color="000000" w:sz="4" w:space="0"/>
            </w:tcBorders>
            <w:shd w:val="clear" w:color="auto" w:fill="auto"/>
            <w:vAlign w:val="center"/>
          </w:tcPr>
          <w:p w14:paraId="1DFB56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C44D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39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C4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应急演练</w:t>
            </w:r>
          </w:p>
        </w:tc>
        <w:tc>
          <w:tcPr>
            <w:tcW w:w="5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DAF8A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每年至少组织一次应急演练（包括全系统联调测试），可与相关广电技术系统演练合并开展。鼓励与县级平台运维机构开展联合应急演练。</w:t>
            </w:r>
          </w:p>
        </w:tc>
        <w:tc>
          <w:tcPr>
            <w:tcW w:w="1776" w:type="dxa"/>
            <w:vMerge w:val="restart"/>
            <w:tcBorders>
              <w:top w:val="single" w:color="000000" w:sz="4" w:space="0"/>
              <w:left w:val="single" w:color="000000" w:sz="4" w:space="0"/>
              <w:bottom w:val="nil"/>
              <w:right w:val="single" w:color="000000" w:sz="4" w:space="0"/>
            </w:tcBorders>
            <w:shd w:val="clear" w:color="auto" w:fill="auto"/>
            <w:vAlign w:val="center"/>
          </w:tcPr>
          <w:p w14:paraId="2392D8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B3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87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54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E2DE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76" w:type="dxa"/>
            <w:vMerge w:val="continue"/>
            <w:tcBorders>
              <w:top w:val="single" w:color="000000" w:sz="4" w:space="0"/>
              <w:left w:val="single" w:color="000000" w:sz="4" w:space="0"/>
              <w:bottom w:val="nil"/>
              <w:right w:val="single" w:color="000000" w:sz="4" w:space="0"/>
            </w:tcBorders>
            <w:shd w:val="clear" w:color="auto" w:fill="auto"/>
            <w:vAlign w:val="center"/>
          </w:tcPr>
          <w:p w14:paraId="4FA92F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77F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283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EA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应急队伍</w:t>
            </w:r>
          </w:p>
        </w:tc>
        <w:tc>
          <w:tcPr>
            <w:tcW w:w="5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E22D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组建应急保障队伍，负责在突发情况下及时排查修复故障设施。</w:t>
            </w:r>
          </w:p>
        </w:tc>
        <w:tc>
          <w:tcPr>
            <w:tcW w:w="1776" w:type="dxa"/>
            <w:vMerge w:val="restart"/>
            <w:tcBorders>
              <w:top w:val="single" w:color="000000" w:sz="4" w:space="0"/>
              <w:left w:val="single" w:color="000000" w:sz="4" w:space="0"/>
              <w:bottom w:val="nil"/>
              <w:right w:val="single" w:color="000000" w:sz="4" w:space="0"/>
            </w:tcBorders>
            <w:shd w:val="clear" w:color="auto" w:fill="auto"/>
            <w:vAlign w:val="center"/>
          </w:tcPr>
          <w:p w14:paraId="3997D0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人员信息向局方备案</w:t>
            </w:r>
          </w:p>
        </w:tc>
      </w:tr>
      <w:tr w14:paraId="28B18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FD3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1BE1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1D5EA">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76" w:type="dxa"/>
            <w:vMerge w:val="continue"/>
            <w:tcBorders>
              <w:top w:val="single" w:color="000000" w:sz="4" w:space="0"/>
              <w:left w:val="single" w:color="000000" w:sz="4" w:space="0"/>
              <w:bottom w:val="nil"/>
              <w:right w:val="single" w:color="000000" w:sz="4" w:space="0"/>
            </w:tcBorders>
            <w:shd w:val="clear" w:color="auto" w:fill="auto"/>
            <w:vAlign w:val="center"/>
          </w:tcPr>
          <w:p w14:paraId="4D4E45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10F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D5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521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重点时期保障</w:t>
            </w:r>
          </w:p>
        </w:tc>
        <w:tc>
          <w:tcPr>
            <w:tcW w:w="5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06902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在汛期等可预知的灾害性天气多发期前，开展例行巡检维护，对备品备件、工具全面检查、及时补充，提前协调电力供应、设备厂商等单位提供重点保障；（参照应急广播服务防汛救灾工作指南1.0及其实施细则执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2.在安播重要保障期，加强值班值守，领导靠前指挥，技术骨干充实一线值班力量，实行零报告制度；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3.在应急响应期，24小时值班值守，加强巡检维护力，并按照应急预案落实响应措施。</w:t>
            </w:r>
          </w:p>
        </w:tc>
        <w:tc>
          <w:tcPr>
            <w:tcW w:w="17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285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重点时期包括灾害性天气多发期、安播重要保障期和应急响应期（政府启动应急响应期间）等</w:t>
            </w:r>
          </w:p>
        </w:tc>
      </w:tr>
      <w:tr w14:paraId="08706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0"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EA9A">
            <w:pPr>
              <w:jc w:val="center"/>
              <w:rPr>
                <w:rFonts w:hint="eastAsia" w:ascii="宋体" w:hAnsi="宋体" w:eastAsia="宋体" w:cs="宋体"/>
                <w:i w:val="0"/>
                <w:iCs w:val="0"/>
                <w:color w:val="auto"/>
                <w:sz w:val="18"/>
                <w:szCs w:val="18"/>
                <w:highlight w:val="none"/>
                <w:u w:val="none"/>
              </w:rPr>
            </w:pPr>
          </w:p>
        </w:tc>
        <w:tc>
          <w:tcPr>
            <w:tcW w:w="1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3CA5">
            <w:pPr>
              <w:jc w:val="center"/>
              <w:rPr>
                <w:rFonts w:hint="eastAsia" w:ascii="宋体" w:hAnsi="宋体" w:eastAsia="宋体" w:cs="宋体"/>
                <w:i w:val="0"/>
                <w:iCs w:val="0"/>
                <w:color w:val="auto"/>
                <w:sz w:val="18"/>
                <w:szCs w:val="18"/>
                <w:highlight w:val="none"/>
                <w:u w:val="none"/>
              </w:rPr>
            </w:pPr>
          </w:p>
        </w:tc>
        <w:tc>
          <w:tcPr>
            <w:tcW w:w="5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75143">
            <w:pPr>
              <w:rPr>
                <w:rFonts w:hint="eastAsia" w:ascii="宋体" w:hAnsi="宋体" w:eastAsia="宋体" w:cs="宋体"/>
                <w:i w:val="0"/>
                <w:iCs w:val="0"/>
                <w:color w:val="auto"/>
                <w:sz w:val="18"/>
                <w:szCs w:val="18"/>
                <w:highlight w:val="none"/>
                <w:u w:val="none"/>
              </w:rPr>
            </w:pPr>
          </w:p>
        </w:tc>
        <w:tc>
          <w:tcPr>
            <w:tcW w:w="17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4A208">
            <w:pPr>
              <w:jc w:val="center"/>
              <w:rPr>
                <w:rFonts w:hint="eastAsia" w:ascii="宋体" w:hAnsi="宋体" w:eastAsia="宋体" w:cs="宋体"/>
                <w:i w:val="0"/>
                <w:iCs w:val="0"/>
                <w:color w:val="auto"/>
                <w:sz w:val="18"/>
                <w:szCs w:val="18"/>
                <w:highlight w:val="none"/>
                <w:u w:val="none"/>
              </w:rPr>
            </w:pPr>
          </w:p>
        </w:tc>
      </w:tr>
    </w:tbl>
    <w:p w14:paraId="3F922793">
      <w:pPr>
        <w:pStyle w:val="6"/>
        <w:numPr>
          <w:ilvl w:val="0"/>
          <w:numId w:val="0"/>
        </w:numPr>
        <w:spacing w:beforeAutospacing="0" w:afterAutospacing="0"/>
        <w:ind w:leftChars="0"/>
        <w:jc w:val="both"/>
        <w:rPr>
          <w:rFonts w:hint="eastAsia" w:ascii="宋体" w:hAnsi="宋体" w:eastAsia="宋体" w:cs="宋体"/>
          <w:b/>
          <w:bCs/>
          <w:color w:val="auto"/>
          <w:sz w:val="28"/>
          <w:szCs w:val="28"/>
          <w:highlight w:val="none"/>
          <w:lang w:val="en-US" w:eastAsia="zh-CN"/>
        </w:rPr>
      </w:pPr>
    </w:p>
    <w:p w14:paraId="5C77A626">
      <w:pPr>
        <w:pStyle w:val="6"/>
        <w:numPr>
          <w:ilvl w:val="0"/>
          <w:numId w:val="2"/>
        </w:numPr>
        <w:spacing w:beforeAutospacing="0" w:afterAutospacing="0"/>
        <w:ind w:left="0" w:leftChars="0" w:firstLine="0" w:firstLineChars="0"/>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滨海县应急广播体系深化建设需求清单</w:t>
      </w:r>
    </w:p>
    <w:tbl>
      <w:tblPr>
        <w:tblStyle w:val="7"/>
        <w:tblW w:w="10736" w:type="dxa"/>
        <w:tblInd w:w="-9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2"/>
        <w:gridCol w:w="792"/>
        <w:gridCol w:w="528"/>
        <w:gridCol w:w="569"/>
        <w:gridCol w:w="5556"/>
        <w:gridCol w:w="2389"/>
      </w:tblGrid>
      <w:tr w14:paraId="3B5B0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5213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0E0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1F5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3D4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5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91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主要功能及技术参数要求</w:t>
            </w:r>
          </w:p>
        </w:tc>
        <w:tc>
          <w:tcPr>
            <w:tcW w:w="2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05E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4C84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194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一、县级应急广播平台提升</w:t>
            </w:r>
          </w:p>
        </w:tc>
      </w:tr>
      <w:tr w14:paraId="3733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E9F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（一）服务器、网络设备</w:t>
            </w:r>
          </w:p>
        </w:tc>
      </w:tr>
      <w:tr w14:paraId="6AFFA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9D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90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应用服务器（含操作系统）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6B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C3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14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一、硬件配置不低于以下要求：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1）CPU：≥海光5380处理器16核心2.5G主频；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2）标配硬盘容量：≥2*4TB 以上硬盘接口类型 SATA 3.5寸硬盘；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3）磁盘阵列：外插R530-8I阵列卡，支持 RAID10，1，5，10，50；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4）热插拔盘位支持热插拔；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5）内存：≥4*32GB RECC DDR4 3200；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6）网络控制器：≥集成四口千兆网卡；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7）2U机架式；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8）双电源，配置 1+1 白金冗余电源，单电源模块额定功率≥800W，支持热插拔（含键盘鼠标）；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9）保修期五年，免费上门服务；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二、国产操作系统参数要求：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1.内核版本：内核版本不低于4.19。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2.适配国产CPU：支持国产CPU架构包括X86、ARM、MIPS/LoongArch和SW架构。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3.基础功能：系统配置图形化工具（用户帐户管理、用户权限设置、网络配置、打印机配置、显示配置、桌面配置、键盘鼠标设置、输入法设置、日期时间设置、自动更新设置）；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4.系统运维图形化工具（系统监视器、日志查看管理、设备管理器、磁盘管理器）。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5.中文支持：采用i18n（国际化）技术和标准；支持最新国家标准字符集GB18030-2005。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6.文件系统支持：支持Ext、XFS、NTFS、FAT等文件系统；最大单个文件：Ext32TB；Ext416TB；GFS2100TB；XFS100TB；最大文件系统：Ext316TB，Ext41EB；GFS2100TB；XFS100TB；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7.国密支持：内置国密算法，支持基于国密算法的加解密应用，支持国密SM2/3/4。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8.系统安全：通过等级保护2.0技术标准。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9.网关软件：提供同品牌API网关软件。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10.常用服务：支持samba服务、SSH服务、NTP服务、Telnet服务、DHCP服务、DNS服务、SMTP服务、Tomcat服务等。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11.数据库支持：支持对国内数据库，如达梦、人大金仓、神州通用等的支持；支持国外数据库，如Oracle、Mysql、PostgreSQL和MariaDB等。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12.系统迁移：提供同品牌自研CentOS迁移工具，支持CentOS7/8版本向国产化服务器操作系统迁移，支持系统原地迁移，工具支持自动化兼容性分析、支持兼容性评估报告、支持图形化操作。</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6E3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1、提升2016年采购的设备，服务器需满足信创要求；          2、在新国标范围内，响应采购方基于监测管理、安全播发等方面考量，在系统内定制诸如播发时段、时长、次数管控，播发区域定向管理等方面功能的开发需求</w:t>
            </w:r>
          </w:p>
        </w:tc>
      </w:tr>
      <w:tr w14:paraId="3BBD0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D0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36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数据库服务器（含操作系统）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EE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94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E7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一、硬件配置不低于以下要求：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1）CPU：≥海光5380处理器16核心2.5G主频；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2）标配硬盘容量：≥2*4TB 以上硬盘接口类型 SATA 3.5寸硬盘；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3）磁盘阵列：外插R530-8I阵列卡，支持 RAID10，1，5，10，50；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4）热插拔盘位支持热插拔；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5）内存：≥4*32GB RECC DDR4 3200；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6）网络控制器：≥集成四口千兆网卡；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7）2U机架式；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8）双电源，配置 1+1 白金冗余电源，单电源模块额定功率≥800W，支持热插拔（含键盘鼠标）；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9）保修期五年，免费上门服务；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二、国产操作系统参数要求：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1.内核版本：内核版本不低于4.19。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2.适配国产CPU：支持国产CPU架构包括X86、ARM、MIPS/LoongArch和SW架构。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3.基础功能：系统配置图形化工具（用户帐户管理、用户权限设置、网络配置、打印机配置、显示配置、桌面配置、键盘鼠标设置、输入法设置、日期时间设置、自动更新设置）；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4.系统运维图形化工具（系统监视器、日志查看管理、设备管理器、磁盘管理器）。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5.中文支持：采用i18n（国际化）技术和标准；支持最新国家标准字符集GB18030-2005。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6.文件系统支持：支持Ext、XFS、NTFS、FAT等文件系统；最大单个文件：Ext32TB；Ext416TB；GFS2100TB；XFS100TB；最大文件系统：Ext316TB，Ext41EB；GFS2100TB；XFS100TB；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7.国密支持：内置国密算法，支持基于国密算法的加解密应用，支持国密SM2/3/4。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8.系统安全：通过等级保护2.0技术标准。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9.网关软件：提供同品牌API网关软件。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10.常用服务：支持samba服务、SSH服务、NTP服务、Telnet服务、DHCP服务、DNS服务、SMTP服务、Tomcat服务等。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11.数据库支持：支持对国内数据库，如达梦、人大金仓、神州通用等的支持；支持国外数据库，如Oracle、Mysql、PostgreSQL和MariaDB等。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12.系统迁移：提供同品牌自研CentOS迁移工具，支持CentOS7/8版本向国产化服务器操作系统迁移，支持系统原地迁移，工具支持自动化兼容性分析、支持兼容性评估报告、支持图形化操作。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三、国产数据库要求：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1.大型商用关系型数据库，64 位版本；支持集群部署，具备集群扩展能力；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2.支持多语种，必须完全支持如 Unicode,GBK 等常用字符集；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3.支持微软 WindowsSERVER 和各种主流的 Linux 操作系统发行版本；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4.提供符合国际标准的 SQL 语言及多样的数据访问接口；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5.支持主流国产操作系统；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6.满足高效性、高可靠性、可用性、安全性、可整合与可扩展性的要求；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7.含数据库软件部署、数据库初始化工作和必要的优化工作。</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D2AFC">
            <w:pPr>
              <w:jc w:val="center"/>
              <w:rPr>
                <w:rFonts w:hint="eastAsia" w:ascii="宋体" w:hAnsi="宋体" w:eastAsia="宋体" w:cs="宋体"/>
                <w:i w:val="0"/>
                <w:iCs w:val="0"/>
                <w:color w:val="auto"/>
                <w:sz w:val="24"/>
                <w:szCs w:val="24"/>
                <w:highlight w:val="none"/>
                <w:u w:val="none"/>
              </w:rPr>
            </w:pPr>
          </w:p>
        </w:tc>
      </w:tr>
      <w:tr w14:paraId="0C9E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90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11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离线GIS地图</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D9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CD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20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1.支持大多数主流计算机平台，支持Windows、主流UNIX、Linux、X86等运行环境；支持GB18030中文编码字符集；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2.具有良好的开放性，遵循国际主流IT标准：网格协议TCP/IP、HTTP，WEB、XML，遵循ISO、FGDC、OGC规范，支持UML统一建模语言；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3.具有良好的可伸缩性、通用性和兼容性，支持从上到下多个产品层次，支持无缝地扩展和升级；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4.B/S构架，支持包括快速定位、地标管理、图层管理，缩放等功能模块；支持基本的地图浏览、空间和属性查询、统计图表和报表生成、地图符号化以及制图打印；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5.支持数据视图和地图视图的动态切换，提供比例尺，图例，对象，动态文本等地图整饰元素；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6.2D地图，通用的瓦片格式（png或jpg）；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7.提供元素选择、要素识别、查找、坐标定位、html弹出框等地图浏览工具。</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CA415">
            <w:pPr>
              <w:jc w:val="center"/>
              <w:rPr>
                <w:rFonts w:hint="eastAsia" w:ascii="宋体" w:hAnsi="宋体" w:eastAsia="宋体" w:cs="宋体"/>
                <w:i w:val="0"/>
                <w:iCs w:val="0"/>
                <w:color w:val="auto"/>
                <w:sz w:val="24"/>
                <w:szCs w:val="24"/>
                <w:highlight w:val="none"/>
                <w:u w:val="none"/>
              </w:rPr>
            </w:pPr>
          </w:p>
        </w:tc>
      </w:tr>
      <w:tr w14:paraId="05888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09C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28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21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79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41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主要功能及技术参数要求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（1）支持不少于48个100/1000Base-T RJ45端口；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（2）支持不少于4个SFP端口；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（3）包转发率：不低于87Mpps/144Mpps；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（4）支持IPv4/IPv6静态路由；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（5）交换容量：不低于336Gbps/3.36Tbps；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（6）支持GE端口聚合、静态聚合、动态聚合等功能；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（7）支持基于端口的VLAN、协议VLAN、MAC VLAN功能；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（8）支持端口隔离功能；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（9）支持STP/RSTP/MSTP协议功能；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（10）支持端口镜像和流镜像功能；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（11）支持堆叠功能。</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9F500">
            <w:pPr>
              <w:jc w:val="center"/>
              <w:rPr>
                <w:rFonts w:hint="eastAsia" w:ascii="宋体" w:hAnsi="宋体" w:eastAsia="宋体" w:cs="宋体"/>
                <w:i w:val="0"/>
                <w:iCs w:val="0"/>
                <w:color w:val="auto"/>
                <w:sz w:val="24"/>
                <w:szCs w:val="24"/>
                <w:highlight w:val="none"/>
                <w:u w:val="none"/>
              </w:rPr>
            </w:pPr>
          </w:p>
        </w:tc>
      </w:tr>
      <w:tr w14:paraId="2572A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29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82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接入交换机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DD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0F4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B8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主要功能及技术参数要求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（1）千兆以太网交换机；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（2）支持不少于24个10/100/1000Base-T以太网端口；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（3）支持不少于4个千兆SFP端口；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（4）包转发率：不低于51Mpps/108Mpps；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（5）交换容量：不低于336Gbps/3.36Tbps；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（6）支持IPv4/IPv6静态路由；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（7）支持端口镜像和流镜像功能；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（8）支持端口隔离功能；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（9）支持STP/RSTP/MSTP协议功能。</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D60DA">
            <w:pPr>
              <w:jc w:val="center"/>
              <w:rPr>
                <w:rFonts w:hint="eastAsia" w:ascii="宋体" w:hAnsi="宋体" w:eastAsia="宋体" w:cs="宋体"/>
                <w:i w:val="0"/>
                <w:iCs w:val="0"/>
                <w:color w:val="auto"/>
                <w:sz w:val="24"/>
                <w:szCs w:val="24"/>
                <w:highlight w:val="none"/>
                <w:u w:val="none"/>
              </w:rPr>
            </w:pPr>
          </w:p>
        </w:tc>
      </w:tr>
      <w:tr w14:paraId="1771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44E5F59">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（二）应急广播密码应用系统和二级等保系统</w:t>
            </w:r>
          </w:p>
        </w:tc>
      </w:tr>
      <w:tr w14:paraId="44CB7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EAC95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2.1密码应用系统</w:t>
            </w:r>
          </w:p>
        </w:tc>
      </w:tr>
      <w:tr w14:paraId="7ED0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29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69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安全服务专用设备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DC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F2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C4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（1）支持应急广播专用国产密码算法短证书应用；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（2）支持国产密码算法和通用密码算法的并行应用，支持国产SM1/SM4等算法；支持国产SM3和通用SHA1/SHA256等算法；支持国产SM2和通用RSA（1024和2048）等算法；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（3）采用国家密码管理局批准的硬件芯片实现各类密码算法，保证算法的高安全性，采用WNG8物理噪声源芯片产生高质量的真随机数作为密钥，保证密钥的高强度；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（4）支持对广播消息签名及验证，支持应急广播系统多级联动、支持安全证书链认证；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（5）提供图形化的设备管理客户端软件，可运行于Windows、linux或国产统信、麒麟等系统；管理终端与设备间可通过串口或网口进行连接；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（6）提供基于IC卡的管理机制，采用智能IC卡辅助完成设备管理中的身份认证或密钥数据的安全存储；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（7）支持提供应急广播证书更新、证书信任列表共更新、证书下载等服务；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（8）支持通过Web方式登录控制台，对证书及其相关参数进行配置，以提高服务管理效率；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（9）密钥或证书备份恢复：支持内部密钥或证书的安全备份和恢复，可实现互备或负载的多台设备间的同步；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（10）单台设备证书管理量&gt;1万张；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（11）设备签名验签符合《应急广播安全保护技术规范数字签名》要求；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（12）提供商用密码认证证书。</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（13）提供5年硬件质保及软件升级服务。</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8F2E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依据盐城市网络安全要求，新增一套密码应用系统；</w:t>
            </w:r>
          </w:p>
        </w:tc>
      </w:tr>
      <w:tr w14:paraId="3D7E6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4D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34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服务器密码机（含嵌入式系统软件）</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31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6F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29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1、全面符合信创安全要求；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2、为业务系统提供高性能的多任务并行处理的数据签名/验签、数据加密/解密等密码运算服务；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3、适配各种信创环境，支持业务系统无缝迁移到信创环境；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4、支持多种算法:SM1、SM2、SM3、SM4、SM7、具有更好的可扩展性；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5、支持密钥安全生产、存储、备份、恢复；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6、接口支持《GM/T 0018-2012密码设备应用接口规范》标准；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7、具备国家密码管理局商用密码检测中心颁发的商用产品密码认证证书；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8、性能及物理指标：支持最大1024的连接数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（1）对称密钥存储量 1024对；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（2）非对称密钥存储量 2048条；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（3）SM1加解密 200Mbpa；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（4）SM2签名 33000次/秒；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（5）SM2验签名  8800次/秒；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（6）SM3摘要运算 600Mbps；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（7）SM4加解密 600Mbps；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（8）SM7加解密 20Mbps。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9、提供5年硬件质保及软件升级服务。</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F1E91">
            <w:pPr>
              <w:jc w:val="center"/>
              <w:rPr>
                <w:rFonts w:hint="eastAsia" w:ascii="宋体" w:hAnsi="宋体" w:eastAsia="宋体" w:cs="宋体"/>
                <w:i w:val="0"/>
                <w:iCs w:val="0"/>
                <w:color w:val="auto"/>
                <w:sz w:val="24"/>
                <w:szCs w:val="24"/>
                <w:highlight w:val="none"/>
                <w:u w:val="none"/>
              </w:rPr>
            </w:pPr>
          </w:p>
        </w:tc>
      </w:tr>
      <w:tr w14:paraId="32E1B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26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D1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SSL VPN（含SSL证书）</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A8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94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6C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（一）SSL VPN：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（1）遵循密码行业标准，具有SSL VPN功能即在客户端与服务端建立国密SSL安全通道实现VPN功能，同时支持国密https卸载服务，保证数据传输的机密性与完整性，不小于80000连接数，每秒新建不低于2000连接，产品通过国家密码管理部门核准并具有商用密码产品认证证书，规格为2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（2）支持证书管理；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（3）支持证书导入；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（4）支持国际国密双算法SSL卸载；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（5）支持连接复用*支持传输数据压缩*支持数据缓存；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（6）支持会话保持；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（7）支持网关到网关模式；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（8）SSL性能：3000TPS；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（9）SSL吞吐：500Mbps。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（二）SSL证书：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（1）为SSL网关提供密钥介质；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（2）由合规的CA机构颁发，CA机构需具有国家工信部颁发的《电子认证服务许可证》；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（3）采用国密签名算法，保证数字证书无法篡改和无法伪造。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（三）提供5年硬件质保及软件升级服务。</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D7499">
            <w:pPr>
              <w:jc w:val="center"/>
              <w:rPr>
                <w:rFonts w:hint="eastAsia" w:ascii="宋体" w:hAnsi="宋体" w:eastAsia="宋体" w:cs="宋体"/>
                <w:i w:val="0"/>
                <w:iCs w:val="0"/>
                <w:color w:val="auto"/>
                <w:sz w:val="24"/>
                <w:szCs w:val="24"/>
                <w:highlight w:val="none"/>
                <w:u w:val="none"/>
              </w:rPr>
            </w:pPr>
          </w:p>
        </w:tc>
      </w:tr>
      <w:tr w14:paraId="1826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DC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64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智能密码钥匙</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45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A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41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1、具备商用密码产品认证证书；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2、USB接口，支持USB2.0数据传输，即插即用，支持热插拔，防掉电误操作功能；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3、支持双因子身份认证，可存储基于国密算法的公私钥对，支持身份鉴别；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4、支持SM2、SM3、SM4国密算法；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5、性能要求：RSA1024密钥对生成速率＜1秒；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6、RSA1024私钥签名速率≥10次/秒；RSA1024公钥验签速率≥30次/秒；SM2密钥对生成速率＜1秒；SM2私钥签名速率≥20次/秒；SM2公钥验签速率≥10次/秒；SM1加，解密速率（256B）≥100Kbps；SM4加、解密速率（256B）≥100Kbps；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7、支持密钥的安全生成、存储、保护、销毁等管理能力；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8、内置硬件公钥算法引擎，密码运算在内部进行，安全可靠；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9、支持X.509v3证书存储；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10、80K字节内部存储空间供用户使用；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11、支持GM/T0016《智能密码钥匙密码应用接口规范》，符合GM/T0027《智能密码钥匙技术规范》等规范；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12、支持多种国密浏览器；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13、内置真随机数发生器，符合FIPS-140-2安全标准；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14、操作系统：WindowsXP/Windows7/Windows10/XC操作系统等；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15、提供5年硬件质保及软件升级服务。</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47A8C">
            <w:pPr>
              <w:jc w:val="center"/>
              <w:rPr>
                <w:rFonts w:hint="eastAsia" w:ascii="宋体" w:hAnsi="宋体" w:eastAsia="宋体" w:cs="宋体"/>
                <w:i w:val="0"/>
                <w:iCs w:val="0"/>
                <w:color w:val="auto"/>
                <w:sz w:val="24"/>
                <w:szCs w:val="24"/>
                <w:highlight w:val="none"/>
                <w:u w:val="none"/>
              </w:rPr>
            </w:pPr>
          </w:p>
        </w:tc>
      </w:tr>
      <w:tr w14:paraId="37F51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59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93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密评测评费</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31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C9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CA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密码应用测评及技术对接支撑服务；</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97A20">
            <w:pPr>
              <w:jc w:val="center"/>
              <w:rPr>
                <w:rFonts w:hint="eastAsia" w:ascii="宋体" w:hAnsi="宋体" w:eastAsia="宋体" w:cs="宋体"/>
                <w:i w:val="0"/>
                <w:iCs w:val="0"/>
                <w:color w:val="auto"/>
                <w:sz w:val="24"/>
                <w:szCs w:val="24"/>
                <w:highlight w:val="none"/>
                <w:u w:val="none"/>
              </w:rPr>
            </w:pPr>
          </w:p>
        </w:tc>
      </w:tr>
      <w:tr w14:paraId="5A9CE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FB51B8">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2.2二级等保系统</w:t>
            </w:r>
          </w:p>
        </w:tc>
      </w:tr>
      <w:tr w14:paraId="71E1E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1A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1D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防火墙（含入侵防御系统）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94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E7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C8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1、国产品牌，采用国产CPU芯片与国产操作系统，设备高度1U，1个console口，2个USB口，1个MGT口，千兆电口≥10个，Combo口≥4个，接口扩展槽位≥2个，内存≥8G，交流电源。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2、网络吞吐≥4Gbps，AV吞吐量≥1.2Gbps，IPS吞吐量≥1.8Gbps，最大并发连接数≥300万，每秒新建连接数（HTTP）≥7万，IPSEC VPN吞吐量≥600Mbps，IPSEC VPN隧道数≥10000，最大支持2000个SSL VPN在线用户数，本次实配不少于8个SSL VPN并发授权。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3、Flood支持防护阈值学习模式，可分为单次学习模式和周期性学习模式，并可根据学习时间、阈值系数进行学习模式参数调整，阈值系数支持宽容、严格和自定义模式。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4、能够扩展支持AI运维助手，AI 运维助手功能支持进行知识问答，帮助用户理解专业术语或者协助用户进行防火墙配置。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5、支持通过Secure-TCP协议进行日志传输。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6、支持对SMB、HTTP、SMTP、POP3、IMAP4、FTP协议传输的文件进行病毒扫描，以及支持不少于5层压缩病毒文件进行检出。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7、支持入侵防御功能预定义特征库不少于1.6W个，且CVE编号的签名条目数不少于1.1W个。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8、支持通过SNMP采集各个字节包的占比数据，包括：64字节，65-127字节、128-255字节、256-511字节、512-1023字节、1024-1580字节的不同包占比统计。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9、从图形化页面支持导出配套版本的MIB文件。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10、支持静态路由、等价路由、源地址路由、源接口路由、策略路由、RIP、OSPF等路由协议。所投产品支持IPSec VPN\SSL VPN\L2TP VPN等VPN技术。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11、防火墙产品可扩展支持零信任访问功能，无需购买额外产品，即可在防火墙上扩展支持零信任访问功能，且须具备独立的零信任访问安全策略配置界面，而非集成在防火墙安全策略中。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12、支持与本次采购的EDR联动。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13、所投产品具备《网络关键设备和网络安全专用产品安全认证证书》。所投产品具备中国质量认证中心颁发的《中国节能认证证书》。</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14、提供5年硬件质保及软件升级服务。提供5年IPS（入侵防御）、AV（防病毒）特征库升级服务。提供5年Ti(威胁情报)服务。</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B00A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依据省局最新文件（苏广电安〔2023〕57号）精神指示，新增一套二级等保系统；</w:t>
            </w:r>
          </w:p>
        </w:tc>
      </w:tr>
      <w:tr w14:paraId="67AB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C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CA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综合日志审计系统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D6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796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F9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1、国产品牌，采用国产CPU芯片与国产操作系统，设备高度1U，千兆电口≥6个，千兆光口≥4个，接口扩展槽≥2个，硬盘≥4T，内存≥16G，交流电源。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2、事件处理性能≥4000eps。日志采集源授权≥50个。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3、支持添加、修改、删除资产；支持对资产的基本属性如系统类型、版本、型号、IP地址等进行修改，并且资产可以增加自定义属性。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4、支持资产自发现功能，对自动发现的设备可以进行一键转资产、合并资产、删除操作。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5、支持拓扑管理，提供丰富的图元和工具，可以手动构建全网资产拓扑图。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6、支持Syslog、Kafka、SNMP Trap、文件、日志导入、数据库、SMB、插件扩展、SOCKET、WMI、二进制、Netflow、http等方式采集日志。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7、内置标准化采集策略不少于1000种。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8、支持显示审计事件分类统计列表，根据审计策略名称、审计事件类型、被审计人员、目标设备地址四个维度展现。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提供预置审计策略模板，包括：Windows主机类审计策略模板、Linux/Unix主机类审计策略模板、防火墙类审计策略模板、扫描器类审计策略模板、IDS/IPS类审计策略模板、防病毒类审计策略模板、数据库类审计策略模板、萨班斯审计策略模版、等级保护审计模板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10、支持提供潜在危害分析功能，设置某一事件累积发生的次数或频率超过阈值的情况为潜在危害事件。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11、支持提供扩展分析接口，用户可通过该接口利用扩展事件分析模块分析自身无法分析的事件。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12、系统支持多种类别报表，包括安全事件报表、告警报表、资产报表、审计事件报表、关联事件报表。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13、支持把事件审计结果生成审计记录，内容要求主机事件审计记录包括日期时间、主机标识、事件主体、事件客体、事件描述等。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14、产品具备《网络关键设备和网络安全专用产品安全认证证书》。</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15、提供5年硬件质保及软件升级服务。</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BB45A">
            <w:pPr>
              <w:jc w:val="center"/>
              <w:rPr>
                <w:rFonts w:hint="eastAsia" w:ascii="宋体" w:hAnsi="宋体" w:eastAsia="宋体" w:cs="宋体"/>
                <w:i w:val="0"/>
                <w:iCs w:val="0"/>
                <w:color w:val="auto"/>
                <w:sz w:val="24"/>
                <w:szCs w:val="24"/>
                <w:highlight w:val="none"/>
                <w:u w:val="none"/>
              </w:rPr>
            </w:pPr>
          </w:p>
        </w:tc>
      </w:tr>
      <w:tr w14:paraId="1954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E9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C8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防病毒EDR</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53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0C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FE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1、本次提供5个WindowsServer授权，支持防病毒、EDR功能。客户端操作系统支持Windows Server 2008 R2 SP1 及以上版本、linux(CentOS、Ubuntu、SUSE、openSUSE、RHEL)或国产统信、麒麟等操作系统等。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2、支持统计展示受管控终端总数、未管控终端总数，支持下钻终端管理界面查看详情。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3、支持管理中心界面发起远程请求，终端可自行选择是否接受。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4、支持从风险终端、病毒事件、不合规终端3个维度统计展示安全状态。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5、支持通过管理中心批量推送消息至各客户端。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6、支持配置资产信息登记策略，开启后终端用户可以在客户端输入相关信息上报。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7、支持检测勒索病毒、蠕虫病毒、灰色软件、压缩炸弹、黑客工具、木马病毒、挖矿病毒、恶意代码、风险软件、其它病毒。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8、支持压缩文件病毒检测，能够扫描16层压缩包。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9、支持RDP暴力破解检测、SMB暴力破解检测。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10、支持分析终端行为事件。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11、支持串口、打印机、蓝牙、USB接口、存储设备、手机、扫描仪、键盘、鼠标、摄像头等外设管控。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12、支持配置违规外联策略，检测终端的违规外联行为，并对检测出的终端进行相应处置，包括隔离、自动关机和记录日志信息。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13、Agent集成VPN功能，解决终端经常安装多个安全软件的问题。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14、所投产品具备《网络安全专用产品安全检测证书》。</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15、提供5年软件升级服务。</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按照二级等保要求进行系统建设并通过二级等保测评（2.0），系统建好后采购人请有资质的第三方进行二级等保测评（2.0）。</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9ECC">
            <w:pPr>
              <w:jc w:val="center"/>
              <w:rPr>
                <w:rFonts w:hint="eastAsia" w:ascii="宋体" w:hAnsi="宋体" w:eastAsia="宋体" w:cs="宋体"/>
                <w:i w:val="0"/>
                <w:iCs w:val="0"/>
                <w:color w:val="auto"/>
                <w:sz w:val="24"/>
                <w:szCs w:val="24"/>
                <w:highlight w:val="none"/>
                <w:u w:val="none"/>
              </w:rPr>
            </w:pPr>
          </w:p>
        </w:tc>
      </w:tr>
      <w:tr w14:paraId="42C65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31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46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等保测评费</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E0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5F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D5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按照二级等保要求进行系统建设并通过二级等保测评（2.0），系统建好后采购人请有资质的第三方进行二级等保测评（2.0）。</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E5E6C">
            <w:pPr>
              <w:jc w:val="center"/>
              <w:rPr>
                <w:rFonts w:hint="eastAsia" w:ascii="宋体" w:hAnsi="宋体" w:eastAsia="宋体" w:cs="宋体"/>
                <w:i w:val="0"/>
                <w:iCs w:val="0"/>
                <w:color w:val="auto"/>
                <w:sz w:val="24"/>
                <w:szCs w:val="24"/>
                <w:highlight w:val="none"/>
                <w:u w:val="none"/>
              </w:rPr>
            </w:pPr>
          </w:p>
        </w:tc>
      </w:tr>
      <w:tr w14:paraId="6FE32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6C5186A">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（三）传输覆盖设备</w:t>
            </w:r>
          </w:p>
        </w:tc>
      </w:tr>
      <w:tr w14:paraId="3C001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F60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8B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调频应急广播适配器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84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D7D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25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调频广播应急广播适配器技术要求如下：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（1）能够实时接收、解析、响应应急广播平台下发的应急广播消息，具有地址匹配功能和安全验签功能，并生成对应应急广播消息的标识符，能反馈应急广播消息接收、验证结果。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 能够与RDS编码控制器对接，根据应急广播消息的要求，控制该设备生成对应的副载波信号。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 能够输出应急广播节目到音频信号切换器，能根据应急广播消息中指令的要求，控制音频信号切换器，将对应调频发射机的输入音频切换到应急广播节目。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 具备信息回传能力，能将设备工作状态、应急广播消息响应情况回传到区级应急广播平台与上级应急广播平台。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 具备安全验证功能，支持国密算法SM2、SM3，对应急广播平台发布的应急广播消息进行签名验证，对应急广播平台播发的应急广播消息进行验证，对产生的应急广播RDS指令进行签名保护；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（6)支持网管功能和工作参数远程配置；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（7）包含针对现有调频发射系统的改造设备（RDS编码控制器、带副载波接口的调频广播激励器等）。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（8)具有应急广播RDS基带信号输出，支持对接调频发射机RDS接口，基带RDS输出幅度可调；</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2B3E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依据应急广播行业标准GY/T-390-2023，新建无线调频FM-RDS传输覆盖网；</w:t>
            </w:r>
          </w:p>
        </w:tc>
      </w:tr>
      <w:tr w14:paraId="27725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E7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71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音频切换器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E7C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2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78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（1）单机嵌入式广播级设备，具备高可靠性，确保广播电视安全播出；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（2）设备前面板具备液晶屏及按键，可查询设备基本信息；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（3）单机1U具备模拟差分音频切换输入接口，接口类型：凤凰头，2路模拟差分音频切换输出接口，接口类型：凤凰头；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（4）支持主备两路模拟音频切换功能，每路均支持断电信号直通功能；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（5）具备手动/自动输出选择功能，自动情况下当前信源丢失后自动切换到有信源的通道；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（6）每路音频输入输出，均支持左右声道立体声，并且为差分信号输入输出；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（7）具有设置参数断电保存功能；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（8）支持应急广播音频切换，能够与应急广播适配器进行集成对接；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（9）具备设备配置管理；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（9）具备双电源模块供电，支持电源模块的热插拔，更换电源模块时业务不中断；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（10）设备支持实时告警功能；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（11）设备具有100M/1000M以太网接口，接口类型RJ45，可实现基于SNMP的集中网络管理，支持软件升级；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（12）具备2路交流电源输入接口，接口类型：三芯电源插座。</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218C5">
            <w:pPr>
              <w:jc w:val="center"/>
              <w:rPr>
                <w:rFonts w:hint="eastAsia" w:ascii="宋体" w:hAnsi="宋体" w:eastAsia="宋体" w:cs="宋体"/>
                <w:i w:val="0"/>
                <w:iCs w:val="0"/>
                <w:color w:val="auto"/>
                <w:sz w:val="24"/>
                <w:szCs w:val="24"/>
                <w:highlight w:val="none"/>
                <w:u w:val="none"/>
              </w:rPr>
            </w:pPr>
          </w:p>
        </w:tc>
      </w:tr>
      <w:tr w14:paraId="4C3F3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1C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C9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光纤收发器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77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24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4A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（1）千兆网口；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（2）传输距离≥20km；</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904B4">
            <w:pPr>
              <w:jc w:val="center"/>
              <w:rPr>
                <w:rFonts w:hint="eastAsia" w:ascii="宋体" w:hAnsi="宋体" w:eastAsia="宋体" w:cs="宋体"/>
                <w:i w:val="0"/>
                <w:iCs w:val="0"/>
                <w:color w:val="auto"/>
                <w:sz w:val="24"/>
                <w:szCs w:val="24"/>
                <w:highlight w:val="none"/>
                <w:u w:val="none"/>
              </w:rPr>
            </w:pPr>
          </w:p>
        </w:tc>
      </w:tr>
      <w:tr w14:paraId="33201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69CBB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（四）大喇叭管控系统</w:t>
            </w:r>
          </w:p>
        </w:tc>
      </w:tr>
      <w:tr w14:paraId="1D3C7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8D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9F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县级应急广播大喇叭适配器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05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F3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6B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（1）具备输出音频信号及RDS指令信号，控制终端进行应急广播消息播发的功能，输出信号符合《模拟调频广播应急广播技术规范》（GYT+390-2023）；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（2）具备输出音频信号及DVB-C指令信号，控制终端进行应急广播消息播发的功能，输出信号符合《有线数字电视应急广播技术规范》（GYT+393-2023）；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（3）具备输出音频信号及IP指令信号，控制终端进行应急广播消息播发的功能，输出信号符合《应急广播大喇叭系统技术要求和测量方法》（GYT+394-2023）；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（4）信号传输协议符合《应急广播大喇叭系统技术要求和测量方法》（GYT+394-2023）；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（1）可通过前面板的液晶屏及按键，对设备IP地址、端口号进行设置；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（2）可脱离管理平台实现对下一级进行本地广播功能（调频要求）；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（3）支持U盘（MPEG-1 Layer 2和MP3格式文件）广播、线路广播、话筒广播，U盘广播可通过按键选择上下曲；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（4）具有监听功能：内置监听喇叭，监听音量可调节，具有音频存储功能（MPEG-1 Layer 2和MP3）；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（5）可设置定时广播（≥3组），广播音源可选择话筒广播、U盘、调频接收、线路输入；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（6）可在管理平台中对本设备的工作参数配置；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（7）可在管理平台中对本设备进行领用和回收操作；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（8）可在管理平台中控制本设备的工作状态，可以读取本设备的当前状态；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（9）设备本地优先级模式：应急广播&gt;日常广播，上级广播&gt;本地广播，话筒广播（紧急）&gt;FM-RDS&gt;IP&gt;DVB-C&gt;话筒广播（日常）&gt;U 盘&gt;线路广播；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（10）支持一键切换为紧急模式；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（11）集成国密算法芯片，具有签名、验签功能，签名验签《应急广播系统数字签名技术规范》（GYT+389-2023）要求；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（12）支持模块化设计，IP模块、调频模块、TS模块（输出）、5G通信模块；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（13）具备本地播发、上级信号接收播发、管理平台控制播发功能；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（14）在相同优先级的情况下，具备本地多音源切换功能；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（15）支持分区域播发控制；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（16）具备电话广播功能，电话广播支持至少32个白名单；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（17）采用19寸标准机架式硬件设备，不得采用基于服务器/工控机的软件设备。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（1）具有1路220VAC可控电源输出，输出功率≥1000W；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（2）具有1路及以上音频输出，接口类型：RCA莲花母座；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（3）具有2路及以上线路音频输入接口，RCA莲花母座；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（4）话筒输入：具有6.5mm话筒接口和3.5mm话筒接口；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（5）网络接口：RJ45，≥100Mbps，1个；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（6）FM-RDS输入接口：公制F母座，1路输入内置2分配，配置2个调谐器；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（7）FM-RDS输出接口：公制F母座，输出1路；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（8）DVB-C接口：1路有线输入接口及1路有线环出接口，英制F母座，75Ω；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（9）RDS输出接口：BNC，输出幅度0～1Vp-p，输出阻抗低阻，测试负载600欧姆；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（10）设备前面板具备监听、广播、话筒、RDS调节旋钮，便于维护人员快速调节操作；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（11）ASI输出接口：BNC或RJ45；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（12）USB接口：具有2个USB接口；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（13）耳机监听接口：具有1个3.5mm耳机监听接口。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（1）工作电压范围：AC:160V～260V；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（2）信噪比：≥65dB（本设备音频输入输出：线路0dBu）；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（3）频响：40Hz～15KHz (±3dB)（本设备音频输入输出：线路0dBu）；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（4）谐波失真：≤1%（本设备音频输入输出：线路0dBu）；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（5）音频输出电平：0.775±10% V（r.m.s）（线路0dBu）；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（6）音频输出阻抗：低阻，&lt;100欧姆；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（7）音频输入阻抗：高阻，&gt;10K欧姆；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（8）FM输出频率范围：87MHz～108MHz；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（9）IP广播单播并发量，不低于1000路。</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74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县级用户播控设备；</w:t>
            </w:r>
          </w:p>
        </w:tc>
      </w:tr>
      <w:tr w14:paraId="517BD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21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5C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时间服务器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0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A9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56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1.支持接收北斗导航系统信号；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2.具有自动锁定信号的功能；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3.采用高稳恒温晶振，具有低相位噪声和高稳定度；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4.支持时间日期信息显示；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5.支持显示北斗信号源个数（卫星个数）；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6.前面板具有告警、信号、北斗等LED指示灯，实时指示设备当前时标等的状态；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7.具有断电记忆配置功能，来电重启恢复（无需重新配置）；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8.系统整体功耗小，采用无风扇设计，运行可靠稳定；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9.标准19英寸机架式机箱结构，紧凑，美观，高可靠性；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10.天线输入接口:BNC接头，阴型，50Ω；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11.网口:10/100M/1000M自适应以太网接口，RJ45。</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B7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系统授时；</w:t>
            </w:r>
          </w:p>
        </w:tc>
      </w:tr>
      <w:tr w14:paraId="4F659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9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F5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电话/短信接入网关</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F62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96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31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1.集成数字音频编码功能，可通过网络输出音频流；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2.具有短信白名单功能，白名单平台统一管理；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3.只有授权电话号码才允许短信播报和电话呼入；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4.支持信息过滤功能，接收并自动识别合法、非法短信内容；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5.支持电话登录操作全程中文语音提示；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6.支持电话远程控制广播设备，电话远程播出话音内容；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7.支持智能短信语音合成功能；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8.支持广电5G等SIM卡，具备至少8个SIM卡插槽；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9.电源电压：220V±10%；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10.2U机架式设备。</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8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支持短信、语音远程应急插播功能；</w:t>
            </w:r>
          </w:p>
        </w:tc>
      </w:tr>
      <w:tr w14:paraId="2D8AD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CD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33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SIM卡</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A3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6A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DC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全网通、含五年期限流量费；</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89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含五年期限费用</w:t>
            </w:r>
            <w:r>
              <w:rPr>
                <w:rFonts w:hint="eastAsia" w:ascii="宋体" w:hAnsi="宋体" w:eastAsia="宋体" w:cs="宋体"/>
                <w:i w:val="0"/>
                <w:iCs w:val="0"/>
                <w:color w:val="auto"/>
                <w:kern w:val="0"/>
                <w:sz w:val="24"/>
                <w:szCs w:val="24"/>
                <w:highlight w:val="none"/>
                <w:u w:val="none"/>
                <w:lang w:val="en-US" w:eastAsia="zh-CN" w:bidi="ar"/>
              </w:rPr>
              <w:t>；</w:t>
            </w:r>
          </w:p>
        </w:tc>
      </w:tr>
      <w:tr w14:paraId="4BB8F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D0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1D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应急广播播控电脑</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5A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56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29B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（1）国产品牌台式机；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（2）CPU：国产处理器，8核，主频2.8GHz；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（3）内存：不低于16GB DDR4 2666MHz；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（4）硬盘：不低于1TB 7200转；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（5）显卡：标配2G独立显卡；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（6）操作系统：支持UOS V20桌面操作系统/银河麒麟V10桌面操作系统，支持安装双系统；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（7）配置32寸液晶显示器；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（8）配置国产办公软件；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（9）含国产信创操作系统。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（10）提供5年硬件质保及软件升级服务。 </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5A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提</w:t>
            </w:r>
            <w:r>
              <w:rPr>
                <w:rFonts w:hint="eastAsia" w:ascii="宋体" w:hAnsi="宋体" w:eastAsia="宋体" w:cs="宋体"/>
                <w:i w:val="0"/>
                <w:iCs w:val="0"/>
                <w:color w:val="auto"/>
                <w:kern w:val="0"/>
                <w:sz w:val="24"/>
                <w:szCs w:val="24"/>
                <w:highlight w:val="none"/>
                <w:u w:val="none"/>
                <w:lang w:val="en-US" w:eastAsia="zh-CN" w:bidi="ar"/>
              </w:rPr>
              <w:t>升2016年</w:t>
            </w:r>
            <w:r>
              <w:rPr>
                <w:rFonts w:hint="eastAsia" w:ascii="宋体" w:hAnsi="宋体" w:eastAsia="宋体" w:cs="宋体"/>
                <w:i w:val="0"/>
                <w:iCs w:val="0"/>
                <w:color w:val="auto"/>
                <w:kern w:val="0"/>
                <w:sz w:val="24"/>
                <w:szCs w:val="24"/>
                <w:highlight w:val="none"/>
                <w:u w:val="none"/>
                <w:lang w:val="en-US" w:eastAsia="zh-CN" w:bidi="ar"/>
              </w:rPr>
              <w:t>采购的设备，需满足信创要求；</w:t>
            </w:r>
          </w:p>
        </w:tc>
      </w:tr>
      <w:tr w14:paraId="71E16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57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CE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55寸LCD大屏</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D4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99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74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主要功能和技术要求：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（1）规格：55寸；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（2）屏幕分辨率：3840*2160P；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（3）屏幕类型：RGB真4K；</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（4）含安装附件。</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8DD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部署于融媒体机房和文广旅局；</w:t>
            </w:r>
          </w:p>
        </w:tc>
      </w:tr>
      <w:tr w14:paraId="7691F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C1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12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B2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8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6E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含电源线、音频线、插座、网线、扎带、水晶头、射频头、绝缘胶布、标签纸等；</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EF80">
            <w:pPr>
              <w:jc w:val="center"/>
              <w:rPr>
                <w:rFonts w:hint="eastAsia" w:ascii="宋体" w:hAnsi="宋体" w:eastAsia="宋体" w:cs="宋体"/>
                <w:i w:val="0"/>
                <w:iCs w:val="0"/>
                <w:color w:val="auto"/>
                <w:sz w:val="24"/>
                <w:szCs w:val="24"/>
                <w:highlight w:val="none"/>
                <w:u w:val="none"/>
              </w:rPr>
            </w:pPr>
          </w:p>
        </w:tc>
      </w:tr>
      <w:tr w14:paraId="52301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B63C66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（五）机动应急广播系统</w:t>
            </w:r>
          </w:p>
        </w:tc>
      </w:tr>
      <w:tr w14:paraId="2BCEE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F7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F4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一体化应急广播便携设备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EE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D4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3C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一、机动信息接入：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（1）应急广播消息接收及转发：支持接收上级应急广播平台下发的应急广播消息，支持应急广播消息的转发；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 （2）应急现场状态回传：具备应急现场机动装备状态回传功能，可以将应急现场的机动应急广播系统状态回传 至应急广播平台。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二、机动应急广播信号发生：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（1）上级应急广播平台对接：支持与上级应急广播平台对接，响应上级应急广播开停播处理；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（2）本地应急广播下发：支持本地机动平台实现语音应急广播消息的下发；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（3）应急广播指令发生：支持自动生成应急广播IP指令以及RDS指令；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（4）应急广播签名验签功能：内置安全模块，支持进行上级或本级接收应急广播消息的安全签名验签。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三、现场扩音：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（1）本机直接扩音：具备内置100W数字功放模块，支持外接四个25W高音喇叭；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（2）本机监听：具备内置喇叭，支持监听本地播发的应急广播声音。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四、应急通信：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（1）应急广播DVB-C信号接收能力：支持DVB-C有线数字电视接收功能，支持DVB-C应急广播指令信号解析，支持通过DVB-C信号被远程唤醒；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（2）应急广播调频FM信号接收能力：支持调频FM信号接收功能，支持RDS信号解析，支持通过FM-RDS信号 被远程唤醒；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（3）应急广播4G/5G接收能力：支持通过4G/5G的方式接收上级平台下发的应急广播消息，支持通过4G/5G信号远程唤醒。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五、机动发射：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（1）调频应急广播信号发射：输出功率在0～50W功率可调的FM调频发射模块（或整机），可外接FM发射天线，实现调频应急广播信号发射；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（2）应急广播RDS指令输出功能：调频广播发射机具备应急广播RDS指令输出功能。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六、硬件性能及接口：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（1）本地话筒广播：具备话筒输入接口，接口类型：6.5mm话筒输入；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（2）内置功放性能：内置音频功放模块，功率不小于100W，接口类型：两组音频座；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（3）内置监听功能：内置监听喇叭；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 （4）本地音频输入：具备2路模拟音频输入，接口类型：RCA莲花头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（5）U盘接口：具备USB接口，可插U盘播放MP3音频；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（6）DVB-C信号接收：具备DVB-C信号接收接口，接口类型：英制F型；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（7）FM信号接收：具备FM信号接收接口，接口类型：公制F型；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（8）卫星信号接收：具备卫星信号接收接口，可接收ABS-S直播星信号，接口类型：英制F型；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（9）4G/5G通信：具备4G/5G天线接口，接口类型：SMA天线接口；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（10）RDS输出：具备RDS输出接口，接口类型：BNC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（11）模拟音频输出：具备2组模拟音频输出，接口类型：RCA莲花头；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（12）FM输出：具备FM输出接口，接口类型：公制F型；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（13）电源供电：具备电源输入接口，接口类型：品字插座。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七、扩展功能：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（1）具备话筒输入接口，可本地插入话筒，直接广播；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（2）具备模拟音频输入，可外接其它音源应急广播；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（3）具备便携拉杆和防滑滚轮，便于携带；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（4）转运过程中，具备IP65 防尘防水能力。</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2EF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依据省局最新文件（苏广电安〔2023〕57号）精神指示，新增一套机动应急广播系统；</w:t>
            </w:r>
          </w:p>
        </w:tc>
      </w:tr>
      <w:tr w14:paraId="6BBB8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46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4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吸盘式车载调频发射天线</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D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65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副</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4ED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（1）天线增益：≥3dBi；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（2）频率范围：76-108MHz；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（3）接口阻抗：50欧；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（4）功率容量：≥100W；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（5）接口形式：N型公头；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（6）辐射方向：全向；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（7）极化方式：垂直；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（8）馈线长度：≥5米；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（9）具备强力磁性吸盘底座，可固定于车顶。</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FAAC4">
            <w:pPr>
              <w:jc w:val="center"/>
              <w:rPr>
                <w:rFonts w:hint="eastAsia" w:ascii="宋体" w:hAnsi="宋体" w:eastAsia="宋体" w:cs="宋体"/>
                <w:i w:val="0"/>
                <w:iCs w:val="0"/>
                <w:color w:val="auto"/>
                <w:sz w:val="24"/>
                <w:szCs w:val="24"/>
                <w:highlight w:val="none"/>
                <w:u w:val="none"/>
              </w:rPr>
            </w:pPr>
          </w:p>
        </w:tc>
      </w:tr>
      <w:tr w14:paraId="4B781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5A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6E1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车载高音喇叭</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22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21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C9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（1）整机一体化设计，具备不少于4个喇叭，声音穿透力强。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（2）整机为定阻喇叭，特性阻抗：2欧姆。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（3）最大功率：不低于100W。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（4）具备防水防尘防震能力，防护等级不低于IP66。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（5）具备强力磁性吸盘底座，可方便固定于车顶，可随手拆卸。</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7A4E4">
            <w:pPr>
              <w:jc w:val="center"/>
              <w:rPr>
                <w:rFonts w:hint="eastAsia" w:ascii="宋体" w:hAnsi="宋体" w:eastAsia="宋体" w:cs="宋体"/>
                <w:i w:val="0"/>
                <w:iCs w:val="0"/>
                <w:color w:val="auto"/>
                <w:sz w:val="24"/>
                <w:szCs w:val="24"/>
                <w:highlight w:val="none"/>
                <w:u w:val="none"/>
              </w:rPr>
            </w:pPr>
          </w:p>
        </w:tc>
      </w:tr>
      <w:tr w14:paraId="5D8E4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35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26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便携式发电机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F3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40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F2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（1）燃油类型：汽油；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（2）油箱容量：≥3L；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（3）启动方式：手动；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（4）耗油量：≤0.5L/h；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（5）噪音：≤65dB；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（6）连续工作时间：≥6小时；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（7）额定输出电压：220V 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（8）额定输出功率：≥1kW；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（9）额定工作频率：50Hz。</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238E0">
            <w:pPr>
              <w:jc w:val="center"/>
              <w:rPr>
                <w:rFonts w:hint="eastAsia" w:ascii="宋体" w:hAnsi="宋体" w:eastAsia="宋体" w:cs="宋体"/>
                <w:i w:val="0"/>
                <w:iCs w:val="0"/>
                <w:color w:val="auto"/>
                <w:sz w:val="24"/>
                <w:szCs w:val="24"/>
                <w:highlight w:val="none"/>
                <w:u w:val="none"/>
              </w:rPr>
            </w:pPr>
          </w:p>
        </w:tc>
      </w:tr>
      <w:tr w14:paraId="0B751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11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12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便携式应急广播终端</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B2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84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F1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在三断（断电、断交通、断通讯）情况下，一键式操作播放自然灾害和紧急事件等多种警报音源，适应各类恶劣天气环境；一体化设计，轻巧方便，符合人体正常的携行负重，背包背负携行，支持应急广播标准规范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2、支持使用自带的手持话筒喊话。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3、支持IP、调频，有线数字电视、地面数字电视、广电5G等应急广播消息播发通道。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4、支持一键播放警报声。系统支持预设多种应急示警功能模式，模式必须包括台风、火灾、洪涝、地震、蹂踏、暴力、警笛、警报解除等信号音频。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5、至少具备1块后备电池，后备电池至少支持设备2小时供电，具备LED显示屏幕，支持电量显示。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6、内嵌安全模块，符合GM/T《密码模块安全技术要求》。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功能参数：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（1）额定功率：≥100W；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（2）传输距离：≥100m；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（3）电源输入：DC 24V；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（4）频率响应：60Hz-20KHz （-3dB）；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（5）信噪比：≥80dB；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（6）灵敏度：≥400±30mV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（7）防护等级：IP55；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（8）电池续航时间：≥2h；</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16370">
            <w:pPr>
              <w:jc w:val="center"/>
              <w:rPr>
                <w:rFonts w:hint="eastAsia" w:ascii="宋体" w:hAnsi="宋体" w:eastAsia="宋体" w:cs="宋体"/>
                <w:i w:val="0"/>
                <w:iCs w:val="0"/>
                <w:color w:val="auto"/>
                <w:sz w:val="24"/>
                <w:szCs w:val="24"/>
                <w:highlight w:val="none"/>
                <w:u w:val="none"/>
              </w:rPr>
            </w:pPr>
          </w:p>
        </w:tc>
      </w:tr>
      <w:tr w14:paraId="22E6A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1DC2F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二、县级直属部门横向联通前置平台（应急管理局、气象局）</w:t>
            </w:r>
          </w:p>
        </w:tc>
      </w:tr>
      <w:tr w14:paraId="7322F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DA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D1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应急广播播控电脑</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A9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10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91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（1）国产品牌台式机；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（2）CPU：国产处理器，8核，主频2.8GHz；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（3）内存：不低于16GB DDR4 2666MHz；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（4）硬盘：不低于1TB 7200转；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（5）显卡：标配2G独立显卡；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（6）操作系统：支持UOS V20桌面操作系统/银河麒麟V10桌面操作系统，支持安装双系统；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（7）配置23.8寸液晶显示器；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（8）配置国产办公软件；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（9）含国产信创操作系统。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（10）提供5年硬件质保及软件升级服务。</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1E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需满足信创要求；</w:t>
            </w:r>
          </w:p>
        </w:tc>
      </w:tr>
      <w:tr w14:paraId="725B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A6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01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USB密码器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73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E9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82B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（1）接口：USB2.0；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（2）支持国密SM系列算法；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（3）具有密钥和证书管理功能；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（4）支持信任列表和信任证书的更新；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（5）具有签名、验签功能；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（6）所有算法符合国家密码管理局相关规定；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（7）采用的数字证书和数字签名技术符合《应急广播安全保护技术规范 数字签名》的要求。</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5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具备验签功能；</w:t>
            </w:r>
          </w:p>
        </w:tc>
      </w:tr>
      <w:tr w14:paraId="03F64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6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48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数字广播控制台（IP话筒）</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94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A1F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B0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（1）桌面话筒式设计，外接鹅颈式话筒，金属外壳。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（2）具有7英寸真彩LCD触摸屏带鹅颈话筒，支持电容多点触控，支持自动锁屏；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（3）集话筒喊话、U盘播放、线路输入等功能于一体；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（4）支持日常、应急广播功能，支持实时切换音源，日常广播默认U盘广播、应急广播默认话筒喊话；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（5）支持一键式开启应急、日常广播功能，可设置广播音源，广播音源可预设为U盘、话筒、线路输入等；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（6）具有区域广播功能，可勾选全部区域或部分乡镇/行政村/终端或某一个乡镇/行政村/终端广播；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（7）具有定时广播功能，支持建立不低于200条定时广播任务；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（8）具有与系统平台自动校时功能；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（9）具有监听功能，内置5W高品质扬声器，支持音量实时调节；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（10）支持设置屏幕锁定密码，保证控制系统安全，支持用户名密码登陆、U-KEY授权登陆、APP扫描二维码登陆的三种用户鉴权方式，满足安全播控的要求；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（11）内置标准安全模块，支持数字签名验证，支持国密SM2/SM3非对称算法验签，符合GY/T 389-2023《应急广播系统数字签名技术规范》，保障应急广播指令和内容的真实性、合法性、完整性；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（12）含有线IP模块、无线GSM模块、WiFi模块，支持有线IP、无线4G/5G、WiFi等网络通道与应急广播平台连接，网络通道自动检测切换，优先级别可设置。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（13）支持一键测试网络状态，包括网线物理连接状态、是否可上网、PING服务器状态、连接服务器端口状态、手动IP与端口状态等信息；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（14）具备不通过县级平台的本地播发功能。</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0D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7寸触摸屏，含无线模块、WiFi模块、安全模块；</w:t>
            </w:r>
          </w:p>
        </w:tc>
      </w:tr>
      <w:tr w14:paraId="42F40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85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DE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数字监听音箱</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D3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1D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75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（1）集接收、放大、播放功能于一体；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（2）内置不小于4寸全频扬声器，音量连续可调；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（3）采用环保木质外壳或ABS外壳；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（4）RF输入：1路DVB-C：F座（英制75Ω）；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（5）IP输入：RJ45百兆口；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（7）接收模式：DVB-C/IP/FM-RDS；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（8）音频输出功率：≥10W；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（9）电源：AC 220V±15%，50/60Hz。</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3E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w:t>
            </w:r>
          </w:p>
        </w:tc>
      </w:tr>
      <w:tr w14:paraId="1B98F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0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C3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73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E7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09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主要功能及技术参数要求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（1）以太网千兆交换机；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（2）具备不少于8个10/100/1000Mbps RJ45端口；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（3）每个端口支持自适应、双工模式。</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52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8口千兆交换机；</w:t>
            </w:r>
          </w:p>
        </w:tc>
      </w:tr>
      <w:tr w14:paraId="245A6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79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65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ONU终端</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5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34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39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（1）符合ITU-T G.984、IEEE802.3ah标准；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（2）支持ONU自动发现/链路检测/软件远程升级；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（3）支持端口VLAN配置；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（4）铁质的室外ONU。</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84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需兼容广电网络数据网；</w:t>
            </w:r>
          </w:p>
        </w:tc>
      </w:tr>
      <w:tr w14:paraId="15162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72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A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07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ED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CB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含电源线、音频线、插座、网线、扎带、水晶头、射频头、绝缘胶布、标签纸等；</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43FA">
            <w:pPr>
              <w:rPr>
                <w:rFonts w:hint="eastAsia" w:ascii="宋体" w:hAnsi="宋体" w:eastAsia="宋体" w:cs="宋体"/>
                <w:i w:val="0"/>
                <w:iCs w:val="0"/>
                <w:color w:val="auto"/>
                <w:sz w:val="24"/>
                <w:szCs w:val="24"/>
                <w:highlight w:val="none"/>
                <w:u w:val="none"/>
              </w:rPr>
            </w:pPr>
          </w:p>
        </w:tc>
      </w:tr>
      <w:tr w14:paraId="3D870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965FE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三、大喇叭系统乡镇/街道前端提升</w:t>
            </w:r>
          </w:p>
        </w:tc>
      </w:tr>
      <w:tr w14:paraId="25EC4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71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A9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应急广播播控电脑</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88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2AF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9D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（1）国产品牌台式机；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（2）CPU：国产处理器，8核，主频2.8GHz；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（3）内存：不低于16GB DDR4 2666MHz；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（4）硬盘：不低于1TB 7200转；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（5）显卡：标配2G独立显卡；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（6）操作系统：支持UOS V20桌面操作系统/银河麒麟V10桌面操作系统，支持安装双系统；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（7）配置23.8寸液晶显示器；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（8）配置国产办公软件；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（9）含国产信创操作系统。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（10）提供5年硬件质保及软件升级服务。</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E7E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需满足信创要求；</w:t>
            </w:r>
          </w:p>
        </w:tc>
      </w:tr>
      <w:tr w14:paraId="385F4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4B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00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数字广播控制台（IP话筒）</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57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71D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8F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（1）嵌入式linux操作系统，桌面话筒式设计，外接鹅颈式话筒，金属外壳。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（2）具有7英寸真彩LCD触摸屏带鹅颈话筒，支持电容多点触控，支持自动锁屏；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（3）集话筒喊话、U盘播放、线路输入等功能于一体；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（4）支持日常、应急广播功能，支持实时切换音源，日常广播默认U盘广播、应急广播默认话筒喊话；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（5）支持一键式开启应急、日常广播功能，可设置广播音源，广播音源可预设为U盘、话筒、线路输入等；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（6）具有区域广播功能，可勾选全部区域或部分乡镇/行政村/终端或某一个乡镇/行政村/终端广播；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（7）具有定时广播功能，支持建立不低于200条定时广播任务；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（8）具有与系统平台自动校时功能；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（9）具有监听功能，内置5W高品质扬声器，支持音量实时调节；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（10）支持设置屏幕锁定密码，保证控制系统安全，支持用户名密码登陆、U-KEY授权登陆、APP扫描二维码登陆的三种用户鉴权方式，满足安全播控的要求；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（11）内置标准安全模块，支持数字签名验证，支持国密SM2/SM3非对称算法验签，符合GY/T 389-2023《应急广播系统数字签名技术规范》，保障应急广播指令和内容的真实性、合法性、完整性；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（12）含有线IP模块、无线GSM模块、WiFi模块，支持有线IP、无线4G/5G、WiFi等网络通道与应急广播平台连接，网络通道自动检测切换，优先级别可设置。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（13）支持一键测试网络状态，包括网线物理连接状态、是否可上网、PING服务器状态、连接服务器端口状态、手动IP与端口状态等信息；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（14）具备不通过县级平台的本地播发功能。</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F6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7寸触摸屏，含无线模块、WiFi模块、安全模块；八巨镇、陈涛镇、天场镇、通榆镇、五讯镇、正红镇全部新建；</w:t>
            </w:r>
          </w:p>
        </w:tc>
      </w:tr>
      <w:tr w14:paraId="7847B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6F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0A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数字监听音箱</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A4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5D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C1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（1）集接收、放大、播放功能于一体；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（2）内置不小于4寸全频扬声器，音量连续可调；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（3）采用环保木质外壳或ABS外壳；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（4）RF输入：1路DVB-C：F座（英制75Ω）；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（5）IP输入：RJ45百兆口；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（7）接收模式：DVB-C/IP/FM-RDS；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（8）音频输出功率：≥10W；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（9）电源：AC 220V±15%，50/60Hz。</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2F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w:t>
            </w:r>
          </w:p>
        </w:tc>
      </w:tr>
      <w:tr w14:paraId="7DD68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59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B8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09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2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49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主要功能及技术参数要求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（1）以太网千兆交换机；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（2）具备不少于8个10/100/1000Mbps RJ45端口；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（3）每个端口支持自适应、双工模式。</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61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8口千兆交换机；</w:t>
            </w:r>
          </w:p>
        </w:tc>
      </w:tr>
      <w:tr w14:paraId="03470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2D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2B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播控桌</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FC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A6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47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技术参数要求：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（1）结构紧凑、美观大方；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（2）单工位大小，尺寸900*600*740mm(长640宽610高750) （含办公椅子1张）；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（3）采用优质冷轧钢板材质；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（4）表面进行钢脱脂、酸洗、防锈磷化处理，并进行静电喷塑处理。</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6C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双联播控桌、含一把椅子。其中滨淮镇需新增一张播控桌；</w:t>
            </w:r>
          </w:p>
        </w:tc>
      </w:tr>
      <w:tr w14:paraId="6BB02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3F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89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UPS不间断电源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C0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6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D9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（1）功率≥1KVA；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（2）具备防雷功能；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 2 节 12V/100AH 免维护铅酸蓄电池；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（4）外置电池柜（箱）；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（5）输入电压：162-268V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（6）输出电压：220V±10%。</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05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功率≥1KVA， 含2 节 12V/100AH 免维护铅酸蓄电池；</w:t>
            </w:r>
          </w:p>
        </w:tc>
      </w:tr>
      <w:tr w14:paraId="29434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48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4F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ONU终端</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B2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0F1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17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（1）符合ITU-T G.984、IEEE802.3ah标准；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（2）支持ONU自动发现/链路检测/软件远程升级；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（3）支持端口VLAN配置；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（4）铁质的室外ONU。</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86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需兼容广电网络数据网；</w:t>
            </w:r>
          </w:p>
        </w:tc>
      </w:tr>
      <w:tr w14:paraId="0C1B9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6F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E9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4F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0F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16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含电源线、音频线、插座、网线、扎带、水晶头、射频头、绝缘胶布、标签纸等；</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16DC">
            <w:pPr>
              <w:jc w:val="center"/>
              <w:rPr>
                <w:rFonts w:hint="eastAsia" w:ascii="宋体" w:hAnsi="宋体" w:eastAsia="宋体" w:cs="宋体"/>
                <w:i w:val="0"/>
                <w:iCs w:val="0"/>
                <w:color w:val="auto"/>
                <w:sz w:val="24"/>
                <w:szCs w:val="24"/>
                <w:highlight w:val="none"/>
                <w:u w:val="none"/>
              </w:rPr>
            </w:pPr>
          </w:p>
        </w:tc>
      </w:tr>
      <w:tr w14:paraId="2360D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50B42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四、大喇叭系统行政村/社区前端提升</w:t>
            </w:r>
          </w:p>
        </w:tc>
      </w:tr>
      <w:tr w14:paraId="7CBE9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00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4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数字广播控制台（IP话筒）</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B6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DDC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97F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（1）桌面话筒式设计，外接鹅颈式话筒，金属外壳。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（2）具有7英寸真彩LCD触摸屏带鹅颈话筒，支持电容多点触控，支持自动锁屏；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（3）集话筒喊话、U盘播放、线路输入等功能于一体；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（4）支持日常、应急广播功能，支持实时切换音源，日常广播默认U盘广播、应急广播默认话筒喊话；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（5）支持一键式开启应急、日常广播功能，可设置广播音源，广播音源可预设为U盘、话筒、线路输入等；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（6）具有区域广播功能，可勾选全部区域或部分乡镇/行政村/终端或某一个乡镇/行政村/终端广播；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（7）具有定时广播功能，支持建立不低于200条定时广播任务；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（8）具有与系统平台自动校时功能；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（9）具有监听功能，内置5W高品质扬声器，支持音量实时调节；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（10）支持设置屏幕锁定密码，保证控制系统安全，支持用户名密码登陆、U-KEY授权登陆、APP扫描二维码登陆的三种用户鉴权方式，满足安全播控的要求；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（11）内置标准安全模块，支持数字签名验证，支持国密SM2/SM3非对称算法验签，符合GY/T 389-2023《应急广播系统数字签名技术规范》，保障应急广播指令和内容的真实性、合法性、完整性；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（12）含有线IP模块、无线GSM模块、WiFi模块，支持有线IP、无线4G/5G、WiFi等网络通道与应急广播平台连接，网络通道自动检测切换，优先级别可设置。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（13）支持一键测试网络状态，包括网线物理连接状态、是否可上网、PING服务器状态、连接服务器端口状态、手动IP与端口状态等信息；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（14）具备不通过县级平台的本地播发功能。</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0E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7寸触摸屏，含无线模块、WiFi模块、安全模块；考虑利旧的使用寿命，额外备采40台</w:t>
            </w:r>
          </w:p>
        </w:tc>
      </w:tr>
      <w:tr w14:paraId="46887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BF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2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UPS不间断电源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B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286</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BD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BF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主要功能要求：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（1）功率：≥1KVA；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（2）具备防雷功能；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（3）输入电压：162-268V；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（4）输出电压：220V±10%；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（5）电池容量最低为含4节12V/7AH 的蓄电池组；</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04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功率：≥1KVA，含4节12V/7AH 的蓄电池组；</w:t>
            </w:r>
          </w:p>
        </w:tc>
      </w:tr>
      <w:tr w14:paraId="6C30D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39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A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ONU终端</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380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144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96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B3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（1）符合ITU-T G.984、IEEE802.3ah标准；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（2）支持ONU自动发现/链路检测/软件远程升级；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（3）支持端口VLAN配置；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（4）铁质的室外ONU。</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1A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需兼容广电网络数据网；</w:t>
            </w:r>
          </w:p>
        </w:tc>
      </w:tr>
      <w:tr w14:paraId="567DD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CC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C1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A97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145</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22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DD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含电源线、音频线、插座、网线、扎带、水晶头、射频头、绝缘胶布、标签纸等；</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6212">
            <w:pPr>
              <w:jc w:val="center"/>
              <w:rPr>
                <w:rFonts w:hint="eastAsia" w:ascii="宋体" w:hAnsi="宋体" w:eastAsia="宋体" w:cs="宋体"/>
                <w:i w:val="0"/>
                <w:iCs w:val="0"/>
                <w:color w:val="auto"/>
                <w:sz w:val="24"/>
                <w:szCs w:val="24"/>
                <w:highlight w:val="none"/>
                <w:u w:val="none"/>
              </w:rPr>
            </w:pPr>
          </w:p>
        </w:tc>
      </w:tr>
      <w:tr w14:paraId="47D25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E414F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五、乡镇应急广播接收终端提升</w:t>
            </w:r>
          </w:p>
        </w:tc>
      </w:tr>
      <w:tr w14:paraId="283C5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29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57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应急广播多模收扩机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18D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2074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277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A9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（1）具有接收上级调频FM-RDS信号进行处理能力，解调出音频信号，做出相应的播发/停止动作，信号处理符合GY/T 390-2023《模拟调频广播应急广播技术规范》；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（2）具有接收上级DVB-C信号进行处理能力，解调出音频信号及控制信号，做出相应的播发/停止动作，信号处理符合GY/T 393-2023《有线数字电视应急广播技术规范》；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（3）具有接收上级IP信号进行处理能力，解调出音频信号及控制信号，做出相应的播发/停止动作，信号处理符合GY/T 394-2023《应急广播大喇叭系统技术要求和测量方法》。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（1）可设置本设备IP地址、端口号等参数；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（2）可接收来自适配器的FM-RDS信号、IP信号、DVB-C信号，实现远程广播控制功能；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（3）支持管理平台远程配置工作参数（包括：音量、调频频率、DVB-C频率等）；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（4）配置安全模块，支持独立物理ID，芯片级集成应急广播信令及消息签名验证机制。支持国密算法数字签名（SM1/SM2/SM3/SM4），具有国密算法芯片，提供指令签名、指令验证等功能，保障指令的安全性。符合 GY/T 389-2023《应急广播系统数字签名技术规范》相关技术要求；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（5）支持多种通道，包括IP、FM-RDS以及DVB-C播发应急广播消息通道；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（6）具备IPV4和IPV6通信功能，支持静态地址配置和DHCP动态地址获取。支持有线IP接收音频流后能够实现解码、输出功能，音质清晰、流畅；IP方式下支持 IPv4/IPv6 双栈；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（7）支持分区域播发控制；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（8）具有瞬间异常保护功能，具备防雷2级以上（浪涌电压≥6000V）；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（9）电路板具有优越的绝缘、防潮、防漏电、防震、防尘、防腐蚀、防老化、耐电晕、耐高低温等性能；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（10）具有过热、过压及过载保护功能；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（11）具备终端CPU、内存使用率显示、音量大小、终端序列号和 MCA设置或读取功能；具备广播状态、软件版本、硬件版本、序列号、资源编码、安全模块、本机地址、广播地址、MAC 地址、4G/5G状态显示功能；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（12）支持优先级设置：上级广播优先、应急广播优先于日常广播；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（13）具有升级功能，可对整个系统进行完整升级，升级过程可断电；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（14）采用铸铁外壳，全天候户外防水设计，整体设备防水IPX6或IP66级以上（含），防尘、防锈、防潮；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（15）具有安全可靠的防雷措施，支持独立接地防雷接地端子；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（16）含FM接收天线；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（17）电源采用变压器（E型或环形）整流供电，并支持次级短路保护，支持瞬间异常保护功能；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（18）具有防水、插拔、螺旋固定电源插座或品字插头；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（19）具备二维码扫描终端信息、自动生成终端安装经纬度、自动与平台对接开户功能；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（20）具备直流输入接口1路（24V或12V自适应）（太阳能板或蓄电池），具备定制负48V直流输入，此项根据实际需求确定数量。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（2）DVB-C独立输入接口：英制 F 母座，1 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（3）网络接口：RJ45；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（4）USB接口：2.0；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（1）工作电压范围：160～260VAC；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（2）FM输入频率范围：87MHz～108MHz；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（3）DVB-C频段：47MHz～862MHz；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（4）音频功放信噪比：≥70dB；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（5）输出功率：≥50W；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（6）音频功放谐波失真：≤1%。</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61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w:t>
            </w:r>
          </w:p>
        </w:tc>
      </w:tr>
      <w:tr w14:paraId="06160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7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7C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高音喇叭</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13CA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4148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059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7CF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（1）额定功率：25W；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（2）最大功率：35W；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（3）额定阻抗：16Ω ±15%；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（4）额定频率范围：300—6000Hz；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（5）特性灵敏度级：≥108dB m/w（1KHz）；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（6）谐波失真：≤1.5%；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（7）语言清晰度：≥0.8；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（8）外型尺寸：270mm×270mm×310mm  ±2mm；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（9）产品重量：2.6Kg；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（10）使用材料：铝、钢铁、磁铁、塑料等；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（11）具备防水、防锈、防雷等功能，满足实际性能要求；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（12）全天候户外防水设计，整体设备防水防尘IP65级以上、防锈、防潮。</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BB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输出功率25W；</w:t>
            </w:r>
          </w:p>
        </w:tc>
      </w:tr>
      <w:tr w14:paraId="354D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35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4D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应急广播多模音柱</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E8C9">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404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7B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56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（1）具有接收上级调频FM-RDS信号进行处理能力，解调出音频信号，做出相应的播发/停止动作，信号处理符合GY/T 390-2023《模拟调频广播应急广播技术规范》；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（2）具有接收上级DVB-C信号进行处理能力，解调出音频信号及控制信号，做出相应的播发/停止动作，信号处理符合GY/T 393-2023《有线数字电视应急广播技术规范》；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（3）具有接收上级IP信号进行处理能力，解调出音频信号及控制信号，做出相应的播发/停止动作，信号处理符合GY/T 394-2023《应急广播大喇叭系统技术要求和测量方法》。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（1）可设置本设备IP地址、端口号等参数；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（2）可接收来自适配器的FM-RDS信号、IP信号、DVB-C信号，实现远程广播控制功能；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（3）支持管理平台远程配置工作参数（包括：音量、调频频率、DVB-C频率等）；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（4）配置安全模块，支持独立物理ID，芯片级集成应急广播信令及消息签名验证机制。支持国密算法数字签名（SM1/SM2/SM3/SM4），具有国密算法芯片，提供指令签名、指令验证等功能，保障指令的安全性。符合 GY/T 389-2023《应急广播系统数字签名技术规范》相关技术要求；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（5）支持多种通道，包括IP、FM-RDS以及DVB-C播发应急广播消息通道；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（6）具备IPV4和IPV6通信功能，支持静态地址配置和DHCP动态地址获取。支持有线IP接收音频流后能够实现解码、输出功能，音质清晰、流畅；IP方式下支持 IPv4/IPv6 双栈；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（7）支持分区域播发控制；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（8）具有瞬间异常保护功能，具备防雷2级以上（浪涌电压≥6000V）；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（9）电路板具有优越的绝缘、防潮、防漏电、防震、防尘、防腐蚀、防老化、耐电晕、耐高低温等性能；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（10）具有过热、过压及过载保护功能；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（11）具备终端CPU、内存使用率显示、音量大小、终端序列号和 MCA设置或读取功能；具备广播状态、软件版本、硬件版本、序列号、资源编码、安全模块、本机地址、广播地址、MAC 地址、4G/5G状态显示功能；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（12）支持优先级设置：上级广播优先、应急广播优先于日常广播；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（13）具有升级功能，可对整个系统进行完整升级，升级过程可断电；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（14）采用铸铝外壳，全天候户外防水设计，整体设备防水IPX6或IP66级以上（含），防尘、防锈、防潮；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（15）具有安全可靠的防雷措施，支持独立接地防雷接地端子；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（16）含FM接收天线；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（17）电源采用变压器（E型或环形）整流供电，并支持次级短路保护，支持瞬间异常保护功能；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（18）具有防水、插拔、螺旋固定电源插座或品字插头；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（19）具备二维码扫描终端信息、自动生成终端安装经纬度、自动与平台对接开户功能；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（20）具备直流输入接口1路（24V或12V自适应）（太阳能板或蓄电池），具备定制负48V直流输入，此项根据实际需求确定数量。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（21）具有对称式双面播音功能；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（2）DVB-C独立输入接口：英制 F 母座，1 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（3）网络接口：RJ45；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（4）USB接口：2.0；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（5）内置2个扬声器输出，对称式双面安装。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（1）工作电压范围：160～260VAC；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（2）FM输入频率范围：87MHz～108MHz；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（3）DVB-C频段：47MHz～862MHz；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（4）音频功放信噪比：≥70dB；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（5）输出功率：≥25W；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（6）音频功放谐波失真：≤1%。</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4F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w:t>
            </w:r>
          </w:p>
        </w:tc>
      </w:tr>
      <w:tr w14:paraId="26E12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D4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B4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横担、抱箍</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913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2478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73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24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参数要求：应急广播多模音柱采用不锈钢抱箍（Φ≥300㎜，厚度≥1毫米）；应急广播多模收扩机采用热镀锌抱箍和横担，热镀锌抱箍最终尺寸依据杆体实际需求，喇叭距杆体对称≥60cm。</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DE4C">
            <w:pPr>
              <w:jc w:val="center"/>
              <w:rPr>
                <w:rFonts w:hint="eastAsia" w:ascii="宋体" w:hAnsi="宋体" w:eastAsia="宋体" w:cs="宋体"/>
                <w:i w:val="0"/>
                <w:iCs w:val="0"/>
                <w:color w:val="auto"/>
                <w:sz w:val="24"/>
                <w:szCs w:val="24"/>
                <w:highlight w:val="none"/>
                <w:u w:val="none"/>
              </w:rPr>
            </w:pPr>
          </w:p>
        </w:tc>
      </w:tr>
      <w:tr w14:paraId="4125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33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F7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ONU终端</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D0A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2478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8A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1D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（1）符合ITU-T G.984、IEEE802.3ah标准；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（2）支持ONU自动发现/链路检测/软件远程升级；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（3）支持端口VLAN配置；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（4）铁质的室外ONU。</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67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需兼容广电网络数据网；</w:t>
            </w:r>
          </w:p>
        </w:tc>
      </w:tr>
      <w:tr w14:paraId="0BBBA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9D9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9F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防雨箱A</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5A1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2074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3E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AB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（1）功能：需将多模收扩机、ONU终端、电源插排等放置于防雨箱内部；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（2）尺寸大小：高*宽*深=500mm*400mm*180mm；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（3）材质：304不锈钢材质；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（4）两侧具有多孔散热格栅，有效降低箱内温度；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（5）底侧具有圆形线孔；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（6）壁厚：不小于1.2mm；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（7）抱柱：长度不小于300mm（含抱箍）；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（8）含金属手把锁；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（9）防雨、防尘，坚固、稳定、可靠；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（10）需满足业主定制化Logo图案要求；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（11）含防雨箱的固定支架和抱箍。</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1AF67">
            <w:pPr>
              <w:jc w:val="center"/>
              <w:rPr>
                <w:rFonts w:hint="eastAsia" w:ascii="宋体" w:hAnsi="宋体" w:eastAsia="宋体" w:cs="宋体"/>
                <w:i w:val="0"/>
                <w:iCs w:val="0"/>
                <w:color w:val="auto"/>
                <w:sz w:val="24"/>
                <w:szCs w:val="24"/>
                <w:highlight w:val="none"/>
                <w:u w:val="none"/>
              </w:rPr>
            </w:pPr>
          </w:p>
        </w:tc>
      </w:tr>
      <w:tr w14:paraId="4800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05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4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防雨箱B</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0E1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404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4DF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0F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（1）功能：需将ONU终端、电源插排等放置于防雨箱内部；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（2）尺寸大小：高*宽*深=280mm*190mm*100mm；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（3）材质：304不锈钢材质；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（4）两侧具有多孔散热格栅，有效降低箱内温度；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（5）底侧具有圆形线孔；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（6）壁厚：不小于1.2mm；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（7）抱柱：长度不小于300mm（含抱箍）；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（8）含金属手把锁；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（9）防雨、防尘，坚固、稳定、可靠；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（10）需满足业主定制化Logo图案要求。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（11）含防雨箱的固定支架和抱箍；</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9032">
            <w:pPr>
              <w:jc w:val="center"/>
              <w:rPr>
                <w:rFonts w:hint="eastAsia" w:ascii="宋体" w:hAnsi="宋体" w:eastAsia="宋体" w:cs="宋体"/>
                <w:i w:val="0"/>
                <w:iCs w:val="0"/>
                <w:color w:val="auto"/>
                <w:sz w:val="24"/>
                <w:szCs w:val="24"/>
                <w:highlight w:val="none"/>
                <w:u w:val="none"/>
              </w:rPr>
            </w:pPr>
          </w:p>
        </w:tc>
      </w:tr>
      <w:tr w14:paraId="23874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27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67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接地棒、接地线</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FC7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2478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EA9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03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（1）接地棒：长度1.5M、直径16mm的丁字针；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（2）表面处理：热镀锌；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（3）特点：导电佳、不易生锈、韧性好；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（4）接地线：3平方铜线，长度3米，含压接端子。</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BE6D">
            <w:pPr>
              <w:jc w:val="center"/>
              <w:rPr>
                <w:rFonts w:hint="eastAsia" w:ascii="宋体" w:hAnsi="宋体" w:eastAsia="宋体" w:cs="宋体"/>
                <w:i w:val="0"/>
                <w:iCs w:val="0"/>
                <w:color w:val="auto"/>
                <w:sz w:val="24"/>
                <w:szCs w:val="24"/>
                <w:highlight w:val="none"/>
                <w:u w:val="none"/>
              </w:rPr>
            </w:pPr>
          </w:p>
        </w:tc>
      </w:tr>
      <w:tr w14:paraId="6F09F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3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42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414C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2478</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92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58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1、含终端安装、膨胀螺钉、电表至终端电源线（含PVC管、 电源线采用≥0.75平方铜芯线）、网线、75-5有线同轴电缆、F头、分支分配器、皮线光纤、光分纤箱、 ONU/EOC等与终端安装有关的一切辅材。 2、须严格按照江苏省县级应急广播工程施工技术规范要求。</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9CA5">
            <w:pPr>
              <w:jc w:val="center"/>
              <w:rPr>
                <w:rFonts w:hint="eastAsia" w:ascii="宋体" w:hAnsi="宋体" w:eastAsia="宋体" w:cs="宋体"/>
                <w:i w:val="0"/>
                <w:iCs w:val="0"/>
                <w:color w:val="auto"/>
                <w:sz w:val="24"/>
                <w:szCs w:val="24"/>
                <w:highlight w:val="none"/>
                <w:u w:val="none"/>
              </w:rPr>
            </w:pPr>
          </w:p>
        </w:tc>
      </w:tr>
      <w:tr w14:paraId="7169F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9B9BA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六、县城主城区公共区域新增应急广播接收终端（含备用）</w:t>
            </w:r>
          </w:p>
        </w:tc>
      </w:tr>
      <w:tr w14:paraId="2D8AC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AFBDF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（一）新增带太阳能后备电源的多模音柱（5G）</w:t>
            </w:r>
          </w:p>
        </w:tc>
      </w:tr>
      <w:tr w14:paraId="1F1D3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FB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55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应急广播多模音柱（5G）</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F1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B7A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92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（1）具有接收上级调频FM-RDS信号进行处理能力，解调出音频信号，做出相应的播发/停止动作，信号处理符合GY/T 390-2023《模拟调频广播应急广播技术规范》；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（2）具有接收上级DVB-C信号进行处理能力，解调出音频信号及控制信号，做出相应的播发/停止动作，信号处理符合GY/T 393-2023《有线数字电视应急广播技术规范》；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（3）具有接收上级IP（5G）信号进行处理能力，解调出音频信号及控制信号，做出相应的播发/停止动作，信号处理符合GY/T 394-2023《应急广播大喇叭系统技术要求和测量方法》。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（1）可设置本设备IP地址、端口号等参数；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（2）可接收来自适配器的FM-RDS信号、IP信号、DVB-C、5G信号，实现远程广播控制功能；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（3）支持管理平台远程配置工作参数（包括：音量、调频频率、DVB-C频率等）；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（4）集成国密算法芯片，具有验签功能，符合《应急广播系统数字签名技术规范》（GYT+389-2023）；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（5）支持多种通道，包括IP、FM-RDS、5G以及DVB-C播发应急广播消息通道；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（6）支持分区域播发控制；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（7）具有瞬间异常保护功能，具备防雷2级以上（浪涌电压≥6000V）；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（8）电路板具有优越的绝缘、防潮、防漏电、防震、防尘、防腐蚀、防老化、耐电晕、耐高低温等性能；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（9）具有过热、过压及过载保护功能；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（10）支持优先级设置：上级广播优先、应急广播优先于日常广播；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（11）具有升级功能，可对整个系统进行完整升级，升级过程可断电；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（12）采用铸铝外壳，全天候户外防水设计，整体设备防水IPX6或IP66级以上（含），防尘、防锈、防潮；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（13）具有安全可靠的防雷措施，支持独立接地防雷接地端子；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（14）含FM接收天线；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（15）电源采用变压器（E型或环形）整流供电，并支持次级短路保护，支持瞬间异常保护功能；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（16）具有防水、插拔、螺旋固定电源插座；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（17）具备二维码扫描终端信息、自动生成终端安装经纬度、自动与平台对接开户功能。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（18）采用工业级物联网卡，密封式安装，内置干燥剂，可以有效防止物联网卡防尘、防雨、防氧化；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（19）具备直流输入接口1路（24V或12V自适应）（太阳能板或蓄电池），具备定制负48V直流输入，此项根据实际需求确定数量；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（20）支持双面对称式播音；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（2）DVB-C独立输入接口：英制 F 母座，1 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（3）网络接口：RJ45；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（4）5G天线接口：两个GPRS天线接口；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（5）USB接口：2.0；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（6）内置2个扬声器输出，对称式双面安装。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（1）工作电压范围：160～260VAC；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（2）FM输入频率范围：87MHz～108MHz；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（3）DVB-C频段：47MHz～862MHz；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（4）音频功放信噪比：≥70dB；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（5）输出功率：≥25W；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（6）音频功放谐波失真：≤1%。</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0A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支持DVB-C、有线IP、FM信号接收，含安全模块；含5G模块；</w:t>
            </w:r>
          </w:p>
        </w:tc>
      </w:tr>
      <w:tr w14:paraId="1D2D7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7C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0B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横担、抱箍</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B3D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FF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B9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参数要求：应急广播多模音柱采用不锈钢抱箍（Φ≥300㎜，厚度≥1毫米）；应急广播多模收扩机采用热镀锌抱箍和横担，热镀锌抱箍最终尺寸依据杆体实际需求，喇叭距杆体对称≥60cm。</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824D">
            <w:pPr>
              <w:jc w:val="center"/>
              <w:rPr>
                <w:rFonts w:hint="eastAsia" w:ascii="宋体" w:hAnsi="宋体" w:eastAsia="宋体" w:cs="宋体"/>
                <w:i w:val="0"/>
                <w:iCs w:val="0"/>
                <w:color w:val="auto"/>
                <w:sz w:val="24"/>
                <w:szCs w:val="24"/>
                <w:highlight w:val="none"/>
                <w:u w:val="none"/>
              </w:rPr>
            </w:pPr>
          </w:p>
        </w:tc>
      </w:tr>
      <w:tr w14:paraId="7EEC6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8E7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7F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太阳能后备电源供电系统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D9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15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DC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包括太阳能光伏板、锂电池组、控制器、固定支架和抱箍，为应急广播多模音柱（5G）提供备用电源。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1.要求至少满足 4小时连续工作；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2.要求至少满足36小时连续待机；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（1）太阳能光伏板技术参数：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 18V、100W、单晶硅；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1)功率100w；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2)工作电压18.0V；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3)工作电流5.55A；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4)开路电压21.6V；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5)短路电流6.0A；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6)组件尺寸：1020*670*30mm；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（2）锂电池技术参数：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12V、24AH 锂电池；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（3）控制器技术参数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1)过充保护，最大充电电流 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 6 条充电曲线，满足各种主流需求；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3)LED 指示充电状态；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（4）结构要求：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单个太阳能光伏板；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（5）包含安装辅材：</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D6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采用太阳能后备电源供电，含锂电池、控制器、100W太阳能板及横担/抱箍；</w:t>
            </w:r>
          </w:p>
        </w:tc>
      </w:tr>
      <w:tr w14:paraId="347E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7D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6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安装/调试/辅材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1F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4CB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6F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1、含终端安装、膨胀螺钉、电表至终端电源线（含PVC管、 电源线采用≥0.75平方铜芯线）、网线、75-5有线同轴电缆、F头、分支分配器、皮线光纤、光分纤箱、 ONU/EOC等与终端安装有关的一切辅材。 2、须严格按照江苏省县级应急广播工程施工技术规范要求。</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DC7A">
            <w:pPr>
              <w:jc w:val="center"/>
              <w:rPr>
                <w:rFonts w:hint="eastAsia" w:ascii="宋体" w:hAnsi="宋体" w:eastAsia="宋体" w:cs="宋体"/>
                <w:i w:val="0"/>
                <w:iCs w:val="0"/>
                <w:color w:val="auto"/>
                <w:sz w:val="24"/>
                <w:szCs w:val="24"/>
                <w:highlight w:val="none"/>
                <w:u w:val="none"/>
              </w:rPr>
            </w:pPr>
          </w:p>
        </w:tc>
      </w:tr>
      <w:tr w14:paraId="2C128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31AC1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七、县城主城区公共区域视播一体终端</w:t>
            </w:r>
          </w:p>
        </w:tc>
      </w:tr>
      <w:tr w14:paraId="574E5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3E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3B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杆体内置多模收扩机（含安全模块）</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E0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C4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BB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1.具有接收上级调频信号进行处理能力，解调出音频信号，做出相应的播发/停止动作。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2.具有接收上级 DTMB/DVB-C/FM调频/AM中波信号进行处理能力，解调出音频信号及控制信号，做出相应的播发/停止动作。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3.具有接收上级 IP 信号（有线 IP 和无线 4G/5G）进行处理能力，解调出音频信号及控制信号，做出相应的播发/停止动作。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1.可设置本设备 IP 地址、端口号等参数；可通过串口、网口、WEB 网页进行参数配置；支持平台远程配置工作参数（包括：编码、开关音量、调频（FM-RDS）频率、DTMB 频率、DVB-C 频率、IP（或 4G/5G）端口、网段等）。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2.可接收调频（FM-RDS）信号(或来自适配器的调频 FM/RDS 信号)、IP 信号、DTMB 信号、DVB-C 信号、无线 4G/5G（全网通）信号、中波（AM）信号（支持接收国家中波频点），同时接收、解析、执行应急广播指令的，实现远程广播控制接收功能；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3.支持国密算法数字签名，支持集成国密算法芯片，具有验签功能。符合《应急广播安全保护技术规范数字签名》相关技术要求。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4.具备有线 IP（或无线 4G/5G）数据回传功能，在 WEB 配置界面上可以根据实际情况选择配置；支持将运行状态、应急广播响应操作结果等数据回传至县应急广播平台；支持将终端的型号、编码、安装地点、工作参数等运维信息的管理功能。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5.支持对所辖终端的语音广播、分区广播和点对点广播。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6.具备 FM-RDS 接收功能，包含双调谐器接收模块，实现对设定调频频点的轮询功能，具备设置 3 个以上调频接收频点功能。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7.支持通过有线 IP 或无线 4G/5G 在线升级功能；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 Web 登录，可在 Web 上对设备进行参数配置或设备初始化、重启等功能。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9.可远程对音柱进行管理配置音量大小、区域编码。支持上级远程控制，可根据不同使用环境实现多级分区，支持全区播放、分区播放、单点播放。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10.支持通道优先级设置功能，通道优先级为 5G或4G/FM-RDS/AM/DVB-C/DTMB/IP，用户可本地和远程更改优先级设置，优先级高的优先响应。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11.符合GY/T 394-2023《应急广播大喇叭系统技术要求和测量方法》相关技术要求；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12.具备二维码扫描终端信息、自动生成终端安装经纬度、自动与平台对接开户功能。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13.开关机时具备淡入淡出功能。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14.断电可自动恢复播放任务，无需人工干预；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15.整机具有接地端子防止设备漏电，抗感应雷击，具有瞬间异常保护功能，具备防雷 2 级以上（浪涌电压≥6500V）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1.FM 输入接口：公制 F 母座，1 路输入内置 2 分配，配置 2 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2.DTMB 输入接口：英制 F 母座，1 路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3.DVB-C 输入接口:英制 F 母座，1 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4.网络接口:RJ45、10Mbps /100Mbps 自适应,支持IPv4/v6双栈工作。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5.定阻输出：2组定阻输出端子，共支持50W输出。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6.USB 接口：1 路 USB 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7.天线接口：SMA 1 个 5G兼容4G 模组天线接口。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8.接地：设备具有接地端子接口。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9.直流输入：具备直流输入接口 1 路（24V 或 12V 自适应）（太阳能板或蓄电池）。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1.工作电压范围:9V-24V DC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2.待机功率：3W-5W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3.供电方式:直流供电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4.FM 频段输入:支持 60～87MHz、88～108MHz，接收灵敏度：3uV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5.DTMB 频段:47～862MHz，接收灵敏度：-85.0dBm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6.DVB-C 频段:47～862MHz，接收灵敏度：-78.5dBm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7.音频频响:20Hz-20kHz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8.音频信噪比:80.0dB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9.音频失真:0.1%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10.支持协议:ARP、UDP、TCP/IP、RTP、ICMP、RTMP、RTSP、IGMP(组播)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11.音频解码:支持 MPEG1-layer1/2/3、MPEG2-layer1/2/3、AAC 音频解码功能.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12.工作温度:-40℃～+70℃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13.功率:≥50W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 防护等级: IP66</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F54F">
            <w:pPr>
              <w:jc w:val="center"/>
              <w:rPr>
                <w:rFonts w:hint="eastAsia" w:ascii="宋体" w:hAnsi="宋体" w:eastAsia="宋体" w:cs="宋体"/>
                <w:i w:val="0"/>
                <w:iCs w:val="0"/>
                <w:color w:val="auto"/>
                <w:sz w:val="24"/>
                <w:szCs w:val="24"/>
                <w:highlight w:val="none"/>
                <w:u w:val="none"/>
              </w:rPr>
            </w:pPr>
          </w:p>
        </w:tc>
      </w:tr>
      <w:tr w14:paraId="709F6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ABB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F0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高音喇叭</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6D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A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599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1.额定功率：25W；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2.具备防水、防锈、防雷等功能，满足实际性能要求。</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6721">
            <w:pPr>
              <w:jc w:val="center"/>
              <w:rPr>
                <w:rFonts w:hint="eastAsia" w:ascii="宋体" w:hAnsi="宋体" w:eastAsia="宋体" w:cs="宋体"/>
                <w:i w:val="0"/>
                <w:iCs w:val="0"/>
                <w:color w:val="auto"/>
                <w:sz w:val="24"/>
                <w:szCs w:val="24"/>
                <w:highlight w:val="none"/>
                <w:u w:val="none"/>
              </w:rPr>
            </w:pPr>
          </w:p>
        </w:tc>
      </w:tr>
      <w:tr w14:paraId="4335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6F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96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摄像头</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F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5A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3A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1、4寸双光智能球机；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2、具备400万像素，23倍光学变焦高清摄像头；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3、红外补光100m，白光补光30m；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4、具备区域入侵侦测、越界侦测等功能；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5、支持最大2560 × 1440 @30 fps输出；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6、支持360°水平旋转，-15°-90°垂直自动翻转；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7、具有IP66防护等级，4000V防雷、防浪涌、防突波，适合野外场景。</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4F5C">
            <w:pPr>
              <w:jc w:val="center"/>
              <w:rPr>
                <w:rFonts w:hint="eastAsia" w:ascii="宋体" w:hAnsi="宋体" w:eastAsia="宋体" w:cs="宋体"/>
                <w:i w:val="0"/>
                <w:iCs w:val="0"/>
                <w:color w:val="auto"/>
                <w:sz w:val="24"/>
                <w:szCs w:val="24"/>
                <w:highlight w:val="none"/>
                <w:u w:val="none"/>
              </w:rPr>
            </w:pPr>
          </w:p>
        </w:tc>
      </w:tr>
      <w:tr w14:paraId="0500D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FF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39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太阳能供电系统</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6F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7B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87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（1）单晶太阳能板不低于18V 100w*2，转换效率大于17%；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（2）胶体蓄电池，地埋，需不低于12V 200Ah；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（3）支持市电互补；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（4）配置MPPT控制器，用于太阳能板给蓄电池充电,充电电流30A，放电电流20A；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（6）配置蓄电池埋地盒。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（7）工业级交换机、插排、漏保空开、断路器。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（8）支持供电线路状态及太阳能系统运行参数监控</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7690">
            <w:pPr>
              <w:jc w:val="center"/>
              <w:rPr>
                <w:rFonts w:hint="eastAsia" w:ascii="宋体" w:hAnsi="宋体" w:eastAsia="宋体" w:cs="宋体"/>
                <w:i w:val="0"/>
                <w:iCs w:val="0"/>
                <w:color w:val="auto"/>
                <w:sz w:val="24"/>
                <w:szCs w:val="24"/>
                <w:highlight w:val="none"/>
                <w:u w:val="none"/>
              </w:rPr>
            </w:pPr>
          </w:p>
        </w:tc>
      </w:tr>
      <w:tr w14:paraId="656D7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C13F">
            <w:pPr>
              <w:jc w:val="center"/>
              <w:rPr>
                <w:rFonts w:hint="eastAsia" w:ascii="宋体" w:hAnsi="宋体" w:eastAsia="宋体" w:cs="宋体"/>
                <w:i w:val="0"/>
                <w:iCs w:val="0"/>
                <w:color w:val="auto"/>
                <w:sz w:val="24"/>
                <w:szCs w:val="24"/>
                <w:highlight w:val="none"/>
                <w:u w:val="none"/>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37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交换机</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D7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B2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51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1、★交换容量≥500Gbps，包转发率≥78Mpps，需提供官网截图证明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2、★端口≥8个10/100/1000Base-T电口+2个1000Base-X SFP光口，需提供官网截图证明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3、支持半双工、全双工、自协商工作模式，支持MDI/MDI-X</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4、支持动态链路聚合(802.3ad)/ 静态端口聚合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5、支持SP/WRR/SP+WRR、流量限速、802.1p/DSCP优先级映射优先级映射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6、★支持ARP、DHCP Client，需提供官网截图证明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7、★防雷等级≥6KV，需提供官网截图证明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8、支持WEB页面配置，支持SNMP V1/V2c/V3</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E8D7">
            <w:pPr>
              <w:jc w:val="center"/>
              <w:rPr>
                <w:rFonts w:hint="eastAsia" w:ascii="宋体" w:hAnsi="宋体" w:eastAsia="宋体" w:cs="宋体"/>
                <w:i w:val="0"/>
                <w:iCs w:val="0"/>
                <w:color w:val="auto"/>
                <w:sz w:val="24"/>
                <w:szCs w:val="24"/>
                <w:highlight w:val="none"/>
                <w:u w:val="none"/>
              </w:rPr>
            </w:pPr>
          </w:p>
        </w:tc>
      </w:tr>
      <w:tr w14:paraId="1757F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BE89">
            <w:pPr>
              <w:jc w:val="center"/>
              <w:rPr>
                <w:rFonts w:hint="eastAsia" w:ascii="宋体" w:hAnsi="宋体" w:eastAsia="宋体" w:cs="宋体"/>
                <w:i w:val="0"/>
                <w:iCs w:val="0"/>
                <w:color w:val="auto"/>
                <w:sz w:val="24"/>
                <w:szCs w:val="24"/>
                <w:highlight w:val="none"/>
                <w:u w:val="none"/>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89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杆体及配套</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EB4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87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56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多功能杆体，可适配各种功能模块，高度不低于5m等，需将内置多模收扩机（含安全模块）、ONU终端、交换机、电源插排、太阳能市电互补切换器、开关电源等设备放置于杆体内部；终端安装抱箍/横担、摄像头支架、天线支架、基础笼等，可根据要求定制logo和文字印于杆体。</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A6C4">
            <w:pPr>
              <w:jc w:val="center"/>
              <w:rPr>
                <w:rFonts w:hint="eastAsia" w:ascii="宋体" w:hAnsi="宋体" w:eastAsia="宋体" w:cs="宋体"/>
                <w:i w:val="0"/>
                <w:iCs w:val="0"/>
                <w:color w:val="auto"/>
                <w:sz w:val="24"/>
                <w:szCs w:val="24"/>
                <w:highlight w:val="none"/>
                <w:u w:val="none"/>
              </w:rPr>
            </w:pPr>
          </w:p>
        </w:tc>
      </w:tr>
      <w:tr w14:paraId="4BB51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36EB">
            <w:pPr>
              <w:jc w:val="center"/>
              <w:rPr>
                <w:rFonts w:hint="eastAsia" w:ascii="宋体" w:hAnsi="宋体" w:eastAsia="宋体" w:cs="宋体"/>
                <w:i w:val="0"/>
                <w:iCs w:val="0"/>
                <w:color w:val="auto"/>
                <w:sz w:val="24"/>
                <w:szCs w:val="24"/>
                <w:highlight w:val="none"/>
                <w:u w:val="none"/>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B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公共广播/户外大屏应急广播适配器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DF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D1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2E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1.具备DVB-C、DTMB、IP、调频RDS应急广播接收功能，接收应急平台发布的控制指令信号和应急广播信息等内容，实现应急广播的功能；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2.支持远程唤醒功能，可通过DVB-C、DTMB、IP、调频RDS信号实现远程唤醒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3.具备抗干扰、防插播、防盗播的安全播出技术措施，确保系统安全播出，支持采取数字签名验证等技术手段和措施防止干扰、非法插播和盗播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4.支持通过IP向上级平台发送心跳，支持在广播开始和广播结束时上报任务状态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5.支持本地音源广播，包括U盘（MP3文件）广播、线路广播、话筒广播，可通过按键选择播放曲目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6.支持通过IP直接向终端下发参数设置指令，包括终端功放开关、时钟校准、资源码设置、音量设置、回传参数设置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7.支持通过以太网远程实时监听和历史回溯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8.支持通过前面板液晶屏，对设备IP地址、端口号进行设置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9.具备液晶显示屏，支持通过触控对设备惊醒操作；具备监听功能；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10.支持本地监听功能：内置监听喇叭，监听音量可调节，具有音频存储功能，音频编码格式为MP3,标称存储容量≥8GB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11.具有电话广播功能，电话广播支持至少500个白名单;具有短信广播功能，短信广播支持至少500个白名单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12.话筒广播（紧急）&gt; 电话广播&gt; 调频&gt; IP&gt; DTMB&gt; DVB-C&gt; 话筒广播（日常）&gt; U盘&gt; 线路广播 ，在相同优先级的情况下，具备本地多音源切换功能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13.支持远程对本设备的网络参数、应急广播资源编码、回传参数工作参数配置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14.支持响应应急广播管理平台发出的状态查询指令，包括输入输出通道查询、播发记录查询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15.支持设置定时广播（≥24个时间段），广播通道可选择话筒输入、U盘、线路输入、调频输入、TF卡文件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16.支持分区域选择播发，支持全区播发、分区播发、单点播发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17.内置全网通4G模块，支持回传功能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18.支持国密SM系列算法，具有应急广播数据验签功能；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19.支持信任列表和信任证书的更新；具有密钥和证书管理功能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20.内置功放模块，支持100W功放音频输出，支持直接外接喇叭终端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21.整机采用采用桌面式外观结构设计，以确保广播电视安全播出的稳定可靠。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22.支持通过IP、UDP-TS、RDS指令下发应急广播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23.支持接收上级调频信号，解调出音频信号及RDS数据，并正确响应播发/停止指令，符合《模拟调频广播应急广播技术规范》（GY/T 390-2023）的要求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24.支持接收上级DTMB和DVB-C信号，解调出应急广播视频信号、音频信号及控制信号，做出相应的播发/停止指令，符合《有线数字电视应急广播技术规范》（GY/T 393-2023）和《地面数字电视应急广播技术规范》(GD/J 087-2018)的要求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25.支持接收上级IP信号，解析出音频信号及控制指令，并正确响应播发/停止指令，符合《应急广播大喇叭系统技术要求和测量方法》（GY/T 394-2023）的要求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25.内置符合国密算法的安全模块，具备对接收到的应急广播消息进行验签功能，处理符合《应急广播系统数字签名技术规范》（GY/T 389-2023）的要求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26.具备2个USB接口，接口类型：USB TypeA；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27.具有1路HDMI音视频输入接口，具备1路HDMI音视频输出接口，支持接入HDMI普通音视频信号并与应急广播HDMI信号进行切换；提供具有CNAS或CMA认证的国家广播电视总局下属的第三方检测机构出具的检验/检测报告复印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28.具备2路线路音频输入，接口类型：具备1路线路音频输出，接口类型：RCA莲花；具备1路线路音频输出，接口类型：XLR卡侬；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30.应急广播响应时长：≤3s</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BE5D">
            <w:pPr>
              <w:jc w:val="center"/>
              <w:rPr>
                <w:rFonts w:hint="eastAsia" w:ascii="宋体" w:hAnsi="宋体" w:eastAsia="宋体" w:cs="宋体"/>
                <w:i w:val="0"/>
                <w:iCs w:val="0"/>
                <w:color w:val="auto"/>
                <w:sz w:val="24"/>
                <w:szCs w:val="24"/>
                <w:highlight w:val="none"/>
                <w:u w:val="none"/>
              </w:rPr>
            </w:pPr>
          </w:p>
        </w:tc>
      </w:tr>
      <w:tr w14:paraId="54E6A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255F">
            <w:pPr>
              <w:jc w:val="center"/>
              <w:rPr>
                <w:rFonts w:hint="eastAsia" w:ascii="宋体" w:hAnsi="宋体" w:eastAsia="宋体" w:cs="宋体"/>
                <w:i w:val="0"/>
                <w:iCs w:val="0"/>
                <w:color w:val="auto"/>
                <w:sz w:val="24"/>
                <w:szCs w:val="24"/>
                <w:highlight w:val="none"/>
                <w:u w:val="none"/>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BB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户外LED显示屏（含户外框架基础）</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D0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B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E9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尺寸: 3.2米*1.6米；10列*10行；分辨率：800dot（宽）*400dot（高）；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1)模组组成：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像素封装 SMD1921;像素间距 4mm;像素密度 62500dot/m2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模组分辨率（W×H）80x40=3200pixels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驱动IC 双锁存;接口定义 HUB75;模组尺寸（mm） 320mmx160mmx17.6mm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单模组功耗 34W;模组重量 0.5kg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2)光学参数：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单点色度校正 支持;单点亮度校正 支持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白平衡亮度 ≥4500 cd/m2;标准色温（K） 2000K～9300K可调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视角（水平/垂直°） 140°/120°;亮度/色度均匀性 ≥98%;对比度 5000：1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3)电气参数：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最大功率 664W/m2;平均功率 200W/m2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供电要求 AC90~132V/ AC186~264V，频率47-63（Hz）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安全特性 GB4943/EN60950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4)处理性能：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换帧频率 50&amp;60Hz;驱动方式 恒流驱动/10扫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灰度级别 12-14bit;刷新率 3840Hz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5)使用参数：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寿命典型值（hrs） 100,000H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工作温/湿度范围 -10℃–50℃  / 10%-80%RH（无结露）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存储温/湿度范围 -20℃–60℃  / 10%-70%RH（无结露）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适用标准 CCC、CQC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带载130万；输入:1xHDMI；输出:2x网口(可设置成两主或一主一备)、1xUSB、1×USB3.0(支持U盘节目导入和U盘固件升级）、1xHDMI(环出)、1路立体音频输出接口；两路传感器接口;双WIFI、U盘节目导入、网口备份、支持4G模块、支持Vnnox、Novaicare10KW 3路 标准配电柜，满足过流、短路、断路、过压、欠压等保护措施。</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74F5">
            <w:pPr>
              <w:jc w:val="center"/>
              <w:rPr>
                <w:rFonts w:hint="eastAsia" w:ascii="宋体" w:hAnsi="宋体" w:eastAsia="宋体" w:cs="宋体"/>
                <w:i w:val="0"/>
                <w:iCs w:val="0"/>
                <w:color w:val="auto"/>
                <w:sz w:val="24"/>
                <w:szCs w:val="24"/>
                <w:highlight w:val="none"/>
                <w:u w:val="none"/>
              </w:rPr>
            </w:pPr>
          </w:p>
        </w:tc>
      </w:tr>
      <w:tr w14:paraId="66CD4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5D35">
            <w:pPr>
              <w:jc w:val="center"/>
              <w:rPr>
                <w:rFonts w:hint="eastAsia" w:ascii="宋体" w:hAnsi="宋体" w:eastAsia="宋体" w:cs="宋体"/>
                <w:i w:val="0"/>
                <w:iCs w:val="0"/>
                <w:color w:val="auto"/>
                <w:sz w:val="24"/>
                <w:szCs w:val="24"/>
                <w:highlight w:val="none"/>
                <w:u w:val="none"/>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2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多模双面音柱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（含安全模块）</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54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1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6D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一、总体要求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（1）具有接收上级调频FM-RDS信号进行处理能力，解调出音频信号，做出相应的播发/停止动作，信号处理符合GY/T 390-2023《模拟调频广播应急广播技术规范》；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（2）具有接收上级DVB-C信号进行处理能力，解调出音频信号及控制信号，做出相应的播发/停止动作，信号处理符合GY/T 393-2023《有线数字电视应急广播技术规范》；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（3）具有接收上级IP信号进行处理能力，解调出音频信号及控制信号，做出相应的播发/停止动作，信号处理符合GY/T 394-2023《应急广播大喇叭系统技术要求和测量方法》。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二、功能要求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（1）可设置本设备IP地址、端口号等参数；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（2）可接收来自适配器的FM-RDS信号、IP信号、DVB-C信号，实现远程广播控制功能；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（3）支持管理平台远程配置工作参数（包括：音量、调频频率、DVB-C频率等）；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（4）集成国密算法芯片，具有验签功能，符合《应急广播系统数字签名技术规范》（GYT+389-2023）；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（5）支持多种通道，包括IP、FM-RDS以及DVB-C播发应急广播消息通道；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（6）支持分区域播发控制；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（7）具有瞬间异常保护功能，具备防雷2级以上（浪涌电压≥6000V）；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（8）电路板具有优越的绝缘、防潮、防漏电、防震、防尘、防腐蚀、防老化、耐电晕、耐高低温等性能；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（9）具有过热、过压及过载保护功能；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（10）支持优先级设置：上级广播优先、应急广播优先于日常广播；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（11）具有升级功能，可对整个系统进行完整升级，升级过程可断电；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（12）采用铸铝外壳，全天候户外防水设计，整体设备防水IPX6或IP66级以上（含），防尘、防锈、防潮；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（13）具有安全可靠的防雷措施，支持独立接地防雷接地端子；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（14）含FM接收天线；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（15）电源采用变压器（E型或环形）整流供电，并支持次级短路保护，支持瞬间异常保护功能；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（16）具有防水、插拔、螺旋固定电源插座；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（17）具备二维码扫描终端信息、自动生成终端安装经纬度、自动与平台对接开户功能。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（18）具备直流输入接口1路（24V或12V自适应）（太阳能板或蓄电池），具备定制负48V直流输入，此项根据实际需求确定数量；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（19）支持双面对称式播音；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三、接口要求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（1）FM输入接口：公制F母座，1路输入内置2分配，配置2个调谐器；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（2）DVB-C独立输入接口：英制 F 母座，1 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（3）网络接口：RJ45；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（4）USB接口：2.0；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（5）内置2个15W扬声器输出。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四、性能要求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（1）工作电压范围：160～260VAC；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（2）FM输入频率范围：87MHz～108MHz；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（3）DVB-C频段：47MHz～862MHz；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（4）音频功放信噪比：≥70dB；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（5）输出功率：≥25W；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（6）音频功放谐波失真：≤1%。</w:t>
            </w:r>
          </w:p>
        </w:tc>
        <w:tc>
          <w:tcPr>
            <w:tcW w:w="2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75F0">
            <w:pPr>
              <w:jc w:val="center"/>
              <w:rPr>
                <w:rFonts w:hint="eastAsia" w:ascii="宋体" w:hAnsi="宋体" w:eastAsia="宋体" w:cs="宋体"/>
                <w:i w:val="0"/>
                <w:iCs w:val="0"/>
                <w:color w:val="auto"/>
                <w:sz w:val="24"/>
                <w:szCs w:val="24"/>
                <w:highlight w:val="none"/>
                <w:u w:val="none"/>
              </w:rPr>
            </w:pPr>
          </w:p>
        </w:tc>
      </w:tr>
      <w:tr w14:paraId="2CC4A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ADF34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八、乡镇应急广播备用接收终端</w:t>
            </w:r>
          </w:p>
        </w:tc>
      </w:tr>
      <w:tr w14:paraId="61593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A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B6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应急广播多模收扩机+高音喇叭、辅材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98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91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CCB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同“乡镇应急广播接收终端提升”所有设备及辅材</w:t>
            </w:r>
          </w:p>
        </w:tc>
        <w:tc>
          <w:tcPr>
            <w:tcW w:w="2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F62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支持DVB-C、有线IP、FM信号接收，含安全模块；</w:t>
            </w:r>
          </w:p>
        </w:tc>
      </w:tr>
      <w:tr w14:paraId="322D3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B6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73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应急广播多模音柱、辅材</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5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0B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04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同“乡镇应急广播接收终端提升”所有设备及辅材</w:t>
            </w:r>
          </w:p>
        </w:tc>
        <w:tc>
          <w:tcPr>
            <w:tcW w:w="2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F96D9">
            <w:pPr>
              <w:jc w:val="center"/>
              <w:rPr>
                <w:rFonts w:hint="eastAsia" w:ascii="宋体" w:hAnsi="宋体" w:eastAsia="宋体" w:cs="宋体"/>
                <w:i w:val="0"/>
                <w:iCs w:val="0"/>
                <w:color w:val="auto"/>
                <w:sz w:val="24"/>
                <w:szCs w:val="24"/>
                <w:highlight w:val="none"/>
                <w:u w:val="none"/>
              </w:rPr>
            </w:pPr>
          </w:p>
        </w:tc>
      </w:tr>
    </w:tbl>
    <w:p w14:paraId="68372B2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备注：1、滨海县应急广播体系深化建设项目为升级类，设备供应厂商需能对现有的应急广播设备进行国标化升级；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2、基于长效运维和设备性</w:t>
      </w:r>
      <w:r>
        <w:rPr>
          <w:rFonts w:hint="eastAsia" w:ascii="宋体" w:hAnsi="宋体" w:eastAsia="宋体" w:cs="宋体"/>
          <w:color w:val="auto"/>
          <w:sz w:val="24"/>
          <w:szCs w:val="24"/>
          <w:highlight w:val="none"/>
        </w:rPr>
        <w:t xml:space="preserve">能、质量保障的需求，一是考虑优选参与国家应急广播行业相关技术标准（2023版及之后）起草的厂商设备；二是不得单纯低价中标；三是不得违规拆包招标； 四是设备供应厂商要至少做过2个及以上省份的 3-5个不同地区的新国标应急广播体系项目，提供运行性能平稳达标、售后保障信誉良好等方面的相关证明；   </w:t>
      </w:r>
    </w:p>
    <w:p w14:paraId="3C39A14F">
      <w:pPr>
        <w:numPr>
          <w:ilvl w:val="0"/>
          <w:numId w:val="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依据《江苏省应急广播设施运行维护规范（试行）》要求，应急广播前端、终端应有备品备件，终端已采购备用，前端的备品备件需再保障至少3套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03F82492">
      <w:pPr>
        <w:numPr>
          <w:ilvl w:val="0"/>
          <w:numId w:val="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乙方要按照统一、规范、科学的高标准施工，实行全流程质量把控和一环节、一点位的日志存档，履行施工安全责任。</w:t>
      </w:r>
    </w:p>
    <w:p w14:paraId="6E753BA1">
      <w:pPr>
        <w:tabs>
          <w:tab w:val="left" w:pos="5400"/>
        </w:tabs>
        <w:adjustRightInd w:val="0"/>
        <w:spacing w:line="360" w:lineRule="auto"/>
        <w:ind w:firstLine="562" w:firstLineChars="200"/>
        <w:textAlignment w:val="baseline"/>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四、合同履行期限：</w:t>
      </w:r>
      <w:r>
        <w:rPr>
          <w:rFonts w:hint="eastAsia" w:ascii="宋体" w:hAnsi="宋体" w:eastAsia="宋体" w:cs="宋体"/>
          <w:color w:val="auto"/>
          <w:kern w:val="0"/>
          <w:sz w:val="28"/>
          <w:szCs w:val="28"/>
          <w:highlight w:val="none"/>
          <w:lang w:val="en-US" w:eastAsia="zh-CN" w:bidi="ar-SA"/>
        </w:rPr>
        <w:t>签订合同后90日历天内完成安装、调试、验收。</w:t>
      </w:r>
      <w:bookmarkStart w:id="182" w:name="_GoBack"/>
      <w:bookmarkEnd w:id="182"/>
    </w:p>
    <w:p w14:paraId="40D6B490">
      <w:pPr>
        <w:tabs>
          <w:tab w:val="left" w:pos="5400"/>
        </w:tabs>
        <w:adjustRightInd w:val="0"/>
        <w:spacing w:line="360" w:lineRule="auto"/>
        <w:ind w:firstLine="562" w:firstLineChars="200"/>
        <w:textAlignment w:val="baseline"/>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五、运维服务期限：</w:t>
      </w:r>
      <w:r>
        <w:rPr>
          <w:rFonts w:hint="eastAsia" w:ascii="宋体" w:hAnsi="宋体" w:eastAsia="宋体" w:cs="宋体"/>
          <w:color w:val="auto"/>
          <w:kern w:val="0"/>
          <w:sz w:val="28"/>
          <w:szCs w:val="28"/>
          <w:highlight w:val="none"/>
          <w:lang w:val="en-US" w:eastAsia="zh-CN" w:bidi="ar-SA"/>
        </w:rPr>
        <w:t>五年（以验收合格时间为准）。</w:t>
      </w:r>
    </w:p>
    <w:p w14:paraId="31384103">
      <w:pPr>
        <w:tabs>
          <w:tab w:val="left" w:pos="5400"/>
        </w:tabs>
        <w:adjustRightInd w:val="0"/>
        <w:spacing w:line="360" w:lineRule="auto"/>
        <w:ind w:firstLine="562" w:firstLineChars="200"/>
        <w:textAlignment w:val="baseline"/>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六、服务/质量标准：</w:t>
      </w:r>
      <w:r>
        <w:rPr>
          <w:rFonts w:hint="eastAsia" w:ascii="宋体" w:hAnsi="宋体" w:eastAsia="宋体" w:cs="宋体"/>
          <w:color w:val="auto"/>
          <w:kern w:val="0"/>
          <w:sz w:val="28"/>
          <w:szCs w:val="28"/>
          <w:highlight w:val="none"/>
          <w:lang w:val="en-US" w:eastAsia="zh-CN" w:bidi="ar-SA"/>
        </w:rPr>
        <w:t>合格。</w:t>
      </w:r>
    </w:p>
    <w:p w14:paraId="42C555E2">
      <w:pPr>
        <w:tabs>
          <w:tab w:val="left" w:pos="5400"/>
        </w:tabs>
        <w:adjustRightInd w:val="0"/>
        <w:spacing w:line="360" w:lineRule="auto"/>
        <w:ind w:firstLine="562" w:firstLineChars="200"/>
        <w:textAlignment w:val="baseline"/>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七、项目地点：</w:t>
      </w:r>
      <w:r>
        <w:rPr>
          <w:rFonts w:hint="eastAsia" w:ascii="宋体" w:hAnsi="宋体" w:eastAsia="宋体" w:cs="宋体"/>
          <w:color w:val="auto"/>
          <w:kern w:val="0"/>
          <w:sz w:val="28"/>
          <w:szCs w:val="28"/>
          <w:highlight w:val="none"/>
          <w:lang w:val="en-US" w:eastAsia="zh-CN" w:bidi="ar-SA"/>
        </w:rPr>
        <w:t>采购人指定地点。</w:t>
      </w:r>
    </w:p>
    <w:p w14:paraId="1E547BE5">
      <w:pPr>
        <w:tabs>
          <w:tab w:val="left" w:pos="5400"/>
        </w:tabs>
        <w:adjustRightInd w:val="0"/>
        <w:spacing w:line="360" w:lineRule="auto"/>
        <w:ind w:firstLine="562" w:firstLineChars="200"/>
        <w:textAlignment w:val="baselin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、付款方式：</w:t>
      </w:r>
    </w:p>
    <w:p w14:paraId="0759BCD8">
      <w:pPr>
        <w:adjustRightInd w:val="0"/>
        <w:snapToGrid w:val="0"/>
        <w:spacing w:line="360" w:lineRule="auto"/>
        <w:ind w:firstLine="560" w:firstLineChars="200"/>
        <w:textAlignment w:val="baseline"/>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①</w:t>
      </w:r>
      <w:r>
        <w:rPr>
          <w:rFonts w:hint="eastAsia" w:ascii="宋体" w:hAnsi="宋体" w:eastAsia="宋体" w:cs="宋体"/>
          <w:bCs/>
          <w:color w:val="auto"/>
          <w:sz w:val="28"/>
          <w:szCs w:val="28"/>
          <w:highlight w:val="none"/>
        </w:rPr>
        <w:t>合同预付款比例为合同金额的30%，合</w:t>
      </w:r>
      <w:r>
        <w:rPr>
          <w:rFonts w:hint="eastAsia" w:ascii="宋体" w:hAnsi="宋体" w:eastAsia="宋体" w:cs="宋体"/>
          <w:bCs/>
          <w:color w:val="auto"/>
          <w:sz w:val="28"/>
          <w:szCs w:val="28"/>
          <w:highlight w:val="none"/>
        </w:rPr>
        <w:t>同签订后，</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在收到发票后10个工作日内将预付款支付到合同约定的乙方账户（成交供应商须提供合同总价30%的即兑即付预付款银行保函）。签订合同时，</w:t>
      </w:r>
      <w:r>
        <w:rPr>
          <w:rFonts w:hint="eastAsia" w:ascii="宋体" w:hAnsi="宋体" w:eastAsia="宋体" w:cs="宋体"/>
          <w:bCs/>
          <w:color w:val="auto"/>
          <w:sz w:val="28"/>
          <w:szCs w:val="28"/>
          <w:highlight w:val="none"/>
          <w:lang w:val="en-US" w:eastAsia="zh-CN"/>
        </w:rPr>
        <w:t>成交供应商</w:t>
      </w:r>
      <w:r>
        <w:rPr>
          <w:rFonts w:hint="eastAsia" w:ascii="宋体" w:hAnsi="宋体" w:eastAsia="宋体" w:cs="宋体"/>
          <w:bCs/>
          <w:color w:val="auto"/>
          <w:sz w:val="28"/>
          <w:szCs w:val="28"/>
          <w:highlight w:val="none"/>
        </w:rPr>
        <w:t>书面明确表示无需预付款的，甲方可不支付预付款。</w:t>
      </w:r>
    </w:p>
    <w:p w14:paraId="490EDBAD">
      <w:pPr>
        <w:adjustRightInd w:val="0"/>
        <w:snapToGrid w:val="0"/>
        <w:spacing w:line="360" w:lineRule="auto"/>
        <w:ind w:firstLine="560" w:firstLineChars="200"/>
        <w:textAlignment w:val="baseline"/>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②</w:t>
      </w:r>
      <w:r>
        <w:rPr>
          <w:rFonts w:hint="eastAsia" w:ascii="宋体" w:hAnsi="宋体" w:eastAsia="宋体" w:cs="宋体"/>
          <w:bCs/>
          <w:color w:val="auto"/>
          <w:sz w:val="28"/>
          <w:szCs w:val="28"/>
          <w:highlight w:val="none"/>
        </w:rPr>
        <w:t>待项目</w:t>
      </w:r>
      <w:r>
        <w:rPr>
          <w:rFonts w:hint="eastAsia" w:ascii="宋体" w:hAnsi="宋体" w:eastAsia="宋体" w:cs="宋体"/>
          <w:bCs/>
          <w:color w:val="auto"/>
          <w:sz w:val="28"/>
          <w:szCs w:val="28"/>
          <w:highlight w:val="none"/>
          <w:lang w:eastAsia="zh-CN"/>
        </w:rPr>
        <w:t>验收合格</w:t>
      </w:r>
      <w:r>
        <w:rPr>
          <w:rFonts w:hint="eastAsia" w:ascii="宋体" w:hAnsi="宋体" w:eastAsia="宋体" w:cs="宋体"/>
          <w:bCs/>
          <w:color w:val="auto"/>
          <w:sz w:val="28"/>
          <w:szCs w:val="28"/>
          <w:highlight w:val="none"/>
        </w:rPr>
        <w:t>后于2026年12月底支付合同总价款20%（如支付预付款的情况下，此节点付款金额包含预付款金额）；待项目</w:t>
      </w:r>
      <w:r>
        <w:rPr>
          <w:rFonts w:hint="eastAsia" w:ascii="宋体" w:hAnsi="宋体" w:eastAsia="宋体" w:cs="宋体"/>
          <w:bCs/>
          <w:color w:val="auto"/>
          <w:sz w:val="28"/>
          <w:szCs w:val="28"/>
          <w:highlight w:val="none"/>
          <w:lang w:eastAsia="zh-CN"/>
        </w:rPr>
        <w:t>验收合格</w:t>
      </w:r>
      <w:r>
        <w:rPr>
          <w:rFonts w:hint="eastAsia" w:ascii="宋体" w:hAnsi="宋体" w:eastAsia="宋体" w:cs="宋体"/>
          <w:bCs/>
          <w:color w:val="auto"/>
          <w:sz w:val="28"/>
          <w:szCs w:val="28"/>
          <w:highlight w:val="none"/>
        </w:rPr>
        <w:t>后于2027年12月底支付合同总价款20%（如支付预付款的情况下，此节点付款金额包含预付款金额）；待项目</w:t>
      </w:r>
      <w:r>
        <w:rPr>
          <w:rFonts w:hint="eastAsia" w:ascii="宋体" w:hAnsi="宋体" w:eastAsia="宋体" w:cs="宋体"/>
          <w:bCs/>
          <w:color w:val="auto"/>
          <w:sz w:val="28"/>
          <w:szCs w:val="28"/>
          <w:highlight w:val="none"/>
          <w:lang w:eastAsia="zh-CN"/>
        </w:rPr>
        <w:t>验收合格</w:t>
      </w:r>
      <w:r>
        <w:rPr>
          <w:rFonts w:hint="eastAsia" w:ascii="宋体" w:hAnsi="宋体" w:eastAsia="宋体" w:cs="宋体"/>
          <w:bCs/>
          <w:color w:val="auto"/>
          <w:sz w:val="28"/>
          <w:szCs w:val="28"/>
          <w:highlight w:val="none"/>
        </w:rPr>
        <w:t>后于2028年12月底支付合同总价款20%；待项目</w:t>
      </w:r>
      <w:r>
        <w:rPr>
          <w:rFonts w:hint="eastAsia" w:ascii="宋体" w:hAnsi="宋体" w:eastAsia="宋体" w:cs="宋体"/>
          <w:bCs/>
          <w:color w:val="auto"/>
          <w:sz w:val="28"/>
          <w:szCs w:val="28"/>
          <w:highlight w:val="none"/>
          <w:lang w:eastAsia="zh-CN"/>
        </w:rPr>
        <w:t>验收合格</w:t>
      </w:r>
      <w:r>
        <w:rPr>
          <w:rFonts w:hint="eastAsia" w:ascii="宋体" w:hAnsi="宋体" w:eastAsia="宋体" w:cs="宋体"/>
          <w:bCs/>
          <w:color w:val="auto"/>
          <w:sz w:val="28"/>
          <w:szCs w:val="28"/>
          <w:highlight w:val="none"/>
        </w:rPr>
        <w:t>后于2029年12月底支付合同总价款20%；待项目</w:t>
      </w:r>
      <w:r>
        <w:rPr>
          <w:rFonts w:hint="eastAsia" w:ascii="宋体" w:hAnsi="宋体" w:eastAsia="宋体" w:cs="宋体"/>
          <w:bCs/>
          <w:color w:val="auto"/>
          <w:sz w:val="28"/>
          <w:szCs w:val="28"/>
          <w:highlight w:val="none"/>
          <w:lang w:eastAsia="zh-CN"/>
        </w:rPr>
        <w:t>验收合格</w:t>
      </w:r>
      <w:r>
        <w:rPr>
          <w:rFonts w:hint="eastAsia" w:ascii="宋体" w:hAnsi="宋体" w:eastAsia="宋体" w:cs="宋体"/>
          <w:bCs/>
          <w:color w:val="auto"/>
          <w:sz w:val="28"/>
          <w:szCs w:val="28"/>
          <w:highlight w:val="none"/>
        </w:rPr>
        <w:t>后于2030年12月底支付合同总价款20%（结算时，成交供应商须提供税务发票，收到发票后10个工作日结算）。</w:t>
      </w:r>
    </w:p>
    <w:p w14:paraId="575852C1">
      <w:pPr>
        <w:adjustRightInd w:val="0"/>
        <w:snapToGrid w:val="0"/>
        <w:spacing w:line="360" w:lineRule="auto"/>
        <w:ind w:firstLine="562" w:firstLineChars="200"/>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w:t>
      </w:r>
      <w:r>
        <w:rPr>
          <w:rFonts w:hint="eastAsia" w:ascii="宋体" w:hAnsi="宋体" w:eastAsia="宋体" w:cs="宋体"/>
          <w:b/>
          <w:color w:val="auto"/>
          <w:sz w:val="28"/>
          <w:szCs w:val="28"/>
          <w:highlight w:val="none"/>
        </w:rPr>
        <w:t>安全责任：</w:t>
      </w:r>
    </w:p>
    <w:p w14:paraId="288E3ADB">
      <w:pPr>
        <w:adjustRightInd w:val="0"/>
        <w:snapToGrid w:val="0"/>
        <w:spacing w:line="360" w:lineRule="auto"/>
        <w:ind w:firstLine="560" w:firstLineChars="200"/>
        <w:textAlignment w:val="baseline"/>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中标人在合同执行期间实施本项目的一切安全责任由中标人自行负责和承担。</w:t>
      </w:r>
    </w:p>
    <w:p w14:paraId="37AD256B">
      <w:pPr>
        <w:pStyle w:val="6"/>
        <w:spacing w:beforeAutospacing="0" w:afterAutospacing="0"/>
        <w:jc w:val="both"/>
        <w:rPr>
          <w:rFonts w:hint="eastAsia" w:ascii="宋体" w:hAnsi="宋体" w:eastAsia="宋体" w:cs="宋体"/>
          <w:color w:val="auto"/>
          <w:sz w:val="28"/>
          <w:szCs w:val="28"/>
          <w:highlight w:val="none"/>
        </w:rPr>
      </w:pPr>
    </w:p>
    <w:p w14:paraId="082BCD83">
      <w:pPr>
        <w:pStyle w:val="6"/>
        <w:spacing w:beforeAutospacing="0" w:afterAutospacing="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53B43570">
      <w:pPr>
        <w:pStyle w:val="6"/>
        <w:spacing w:beforeAutospacing="0" w:afterAutospacing="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1DD1E6A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63D0BB5">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ECB9D4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254290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3124E8">
      <w:pPr>
        <w:pStyle w:val="6"/>
        <w:tabs>
          <w:tab w:val="left" w:pos="6205"/>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E2EFD3B">
      <w:pPr>
        <w:pStyle w:val="6"/>
        <w:tabs>
          <w:tab w:val="left" w:pos="6205"/>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437044D">
      <w:pPr>
        <w:pStyle w:val="6"/>
        <w:spacing w:beforeAutospacing="0" w:afterAutospacing="0"/>
        <w:jc w:val="both"/>
        <w:rPr>
          <w:rFonts w:hint="eastAsia" w:ascii="宋体" w:hAnsi="宋体" w:eastAsia="宋体" w:cs="宋体"/>
          <w:color w:val="auto"/>
          <w:highlight w:val="none"/>
        </w:rPr>
      </w:pPr>
      <w:bookmarkStart w:id="163" w:name="_Toc120614281"/>
      <w:r>
        <w:rPr>
          <w:rFonts w:hint="eastAsia" w:ascii="宋体" w:hAnsi="宋体" w:eastAsia="宋体" w:cs="宋体"/>
          <w:color w:val="auto"/>
          <w:highlight w:val="none"/>
        </w:rPr>
        <w:t> </w:t>
      </w:r>
    </w:p>
    <w:p w14:paraId="324176F7">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8D17BF7">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5852CD">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1717E0">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82290D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4E4CD7">
      <w:pPr>
        <w:pStyle w:val="6"/>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C188514">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59AD7865">
      <w:pPr>
        <w:pStyle w:val="6"/>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第五章  响应文件格式 </w:t>
      </w:r>
    </w:p>
    <w:p w14:paraId="042DE4DF">
      <w:pPr>
        <w:pStyle w:val="6"/>
        <w:spacing w:beforeAutospacing="0" w:afterAutospacing="0"/>
        <w:jc w:val="center"/>
        <w:rPr>
          <w:rFonts w:hint="eastAsia" w:ascii="宋体" w:hAnsi="宋体" w:eastAsia="宋体" w:cs="宋体"/>
          <w:b/>
          <w:color w:val="auto"/>
          <w:sz w:val="72"/>
          <w:szCs w:val="72"/>
          <w:highlight w:val="none"/>
        </w:rPr>
      </w:pPr>
      <w:bookmarkStart w:id="164" w:name="_Toc120614282"/>
      <w:bookmarkEnd w:id="164"/>
      <w:bookmarkStart w:id="165" w:name="_Toc49090576"/>
      <w:bookmarkEnd w:id="165"/>
      <w:bookmarkStart w:id="166" w:name="_Toc26554094"/>
      <w:bookmarkStart w:id="167" w:name="_Hlt26955039"/>
      <w:bookmarkStart w:id="168" w:name="_Hlt26671244"/>
    </w:p>
    <w:p w14:paraId="0C84CFA6">
      <w:pPr>
        <w:pStyle w:val="6"/>
        <w:spacing w:beforeAutospacing="0" w:afterAutospacing="0"/>
        <w:jc w:val="center"/>
        <w:rPr>
          <w:rFonts w:hint="eastAsia" w:ascii="宋体" w:hAnsi="宋体" w:eastAsia="宋体" w:cs="宋体"/>
          <w:b/>
          <w:color w:val="auto"/>
          <w:sz w:val="72"/>
          <w:szCs w:val="72"/>
          <w:highlight w:val="none"/>
        </w:rPr>
      </w:pPr>
    </w:p>
    <w:p w14:paraId="4F1B2601">
      <w:pPr>
        <w:pStyle w:val="6"/>
        <w:spacing w:beforeAutospacing="0" w:afterAutospacing="0"/>
        <w:jc w:val="center"/>
        <w:rPr>
          <w:rFonts w:hint="eastAsia" w:ascii="宋体" w:hAnsi="宋体" w:eastAsia="宋体" w:cs="宋体"/>
          <w:b/>
          <w:color w:val="auto"/>
          <w:sz w:val="72"/>
          <w:szCs w:val="72"/>
          <w:highlight w:val="none"/>
        </w:rPr>
      </w:pPr>
    </w:p>
    <w:p w14:paraId="5315C53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响  应  文  件</w:t>
      </w:r>
    </w:p>
    <w:p w14:paraId="73B7D35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7F673CC">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E765C2B">
      <w:pPr>
        <w:pStyle w:val="6"/>
        <w:spacing w:beforeAutospacing="0" w:afterAutospacing="0"/>
        <w:jc w:val="center"/>
        <w:rPr>
          <w:rFonts w:hint="eastAsia" w:ascii="宋体" w:hAnsi="宋体" w:eastAsia="宋体" w:cs="宋体"/>
          <w:color w:val="auto"/>
          <w:highlight w:val="none"/>
        </w:rPr>
      </w:pPr>
    </w:p>
    <w:p w14:paraId="780E9080">
      <w:pPr>
        <w:pStyle w:val="6"/>
        <w:spacing w:beforeAutospacing="0" w:afterAutospacing="0"/>
        <w:jc w:val="center"/>
        <w:rPr>
          <w:rFonts w:hint="eastAsia" w:ascii="宋体" w:hAnsi="宋体" w:eastAsia="宋体" w:cs="宋体"/>
          <w:color w:val="auto"/>
          <w:highlight w:val="none"/>
        </w:rPr>
      </w:pPr>
    </w:p>
    <w:p w14:paraId="2AC8A81E">
      <w:pPr>
        <w:pStyle w:val="6"/>
        <w:spacing w:beforeAutospacing="0" w:afterAutospacing="0"/>
        <w:jc w:val="center"/>
        <w:rPr>
          <w:rFonts w:hint="eastAsia" w:ascii="宋体" w:hAnsi="宋体" w:eastAsia="宋体" w:cs="宋体"/>
          <w:color w:val="auto"/>
          <w:highlight w:val="none"/>
        </w:rPr>
      </w:pPr>
    </w:p>
    <w:p w14:paraId="062202D2">
      <w:pPr>
        <w:pStyle w:val="6"/>
        <w:spacing w:beforeAutospacing="0" w:afterAutospacing="0"/>
        <w:jc w:val="center"/>
        <w:rPr>
          <w:rFonts w:hint="eastAsia" w:ascii="宋体" w:hAnsi="宋体" w:eastAsia="宋体" w:cs="宋体"/>
          <w:color w:val="auto"/>
          <w:highlight w:val="none"/>
        </w:rPr>
      </w:pPr>
    </w:p>
    <w:p w14:paraId="189D357B">
      <w:pPr>
        <w:pStyle w:val="6"/>
        <w:spacing w:beforeAutospacing="0" w:afterAutospacing="0"/>
        <w:jc w:val="center"/>
        <w:rPr>
          <w:rFonts w:hint="eastAsia" w:ascii="宋体" w:hAnsi="宋体" w:eastAsia="宋体" w:cs="宋体"/>
          <w:color w:val="auto"/>
          <w:highlight w:val="none"/>
        </w:rPr>
      </w:pPr>
    </w:p>
    <w:p w14:paraId="2EA3D23D">
      <w:pPr>
        <w:pStyle w:val="6"/>
        <w:spacing w:beforeAutospacing="0" w:afterAutospacing="0"/>
        <w:jc w:val="center"/>
        <w:rPr>
          <w:rFonts w:hint="eastAsia" w:ascii="宋体" w:hAnsi="宋体" w:eastAsia="宋体" w:cs="宋体"/>
          <w:color w:val="auto"/>
          <w:highlight w:val="none"/>
        </w:rPr>
      </w:pPr>
    </w:p>
    <w:p w14:paraId="01187D01">
      <w:pPr>
        <w:pStyle w:val="6"/>
        <w:spacing w:beforeAutospacing="0" w:afterAutospacing="0"/>
        <w:jc w:val="center"/>
        <w:rPr>
          <w:rFonts w:hint="eastAsia" w:ascii="宋体" w:hAnsi="宋体" w:eastAsia="宋体" w:cs="宋体"/>
          <w:color w:val="auto"/>
          <w:highlight w:val="none"/>
        </w:rPr>
      </w:pPr>
    </w:p>
    <w:p w14:paraId="6F138BA4">
      <w:pPr>
        <w:pStyle w:val="6"/>
        <w:spacing w:beforeAutospacing="0" w:afterAutospacing="0"/>
        <w:jc w:val="center"/>
        <w:rPr>
          <w:rFonts w:hint="eastAsia" w:ascii="宋体" w:hAnsi="宋体" w:eastAsia="宋体" w:cs="宋体"/>
          <w:color w:val="auto"/>
          <w:highlight w:val="none"/>
        </w:rPr>
      </w:pPr>
    </w:p>
    <w:p w14:paraId="49273D9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791D26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E5EA5AD">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420870A">
      <w:pPr>
        <w:pStyle w:val="6"/>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xml:space="preserve">            </w:t>
      </w:r>
    </w:p>
    <w:p w14:paraId="43F6D438">
      <w:pPr>
        <w:pStyle w:val="6"/>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采 购 编 号：</w:t>
      </w:r>
      <w:r>
        <w:rPr>
          <w:rFonts w:hint="eastAsia" w:ascii="宋体" w:hAnsi="宋体" w:eastAsia="宋体" w:cs="宋体"/>
          <w:b/>
          <w:color w:val="auto"/>
          <w:sz w:val="36"/>
          <w:szCs w:val="36"/>
          <w:highlight w:val="none"/>
          <w:u w:val="single"/>
        </w:rPr>
        <w:t>            </w:t>
      </w:r>
    </w:p>
    <w:p w14:paraId="3D05BC5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02BEBBD4">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xml:space="preserve">              </w:t>
      </w:r>
    </w:p>
    <w:p w14:paraId="63FFCF25">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0F39AFA">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E57F5CC">
      <w:pPr>
        <w:pStyle w:val="6"/>
        <w:spacing w:beforeAutospacing="0" w:afterAutospacing="0" w:line="0" w:lineRule="atLeast"/>
        <w:jc w:val="center"/>
        <w:rPr>
          <w:rFonts w:hint="eastAsia" w:ascii="宋体" w:hAnsi="宋体" w:eastAsia="宋体" w:cs="宋体"/>
          <w:b/>
          <w:color w:val="auto"/>
          <w:sz w:val="36"/>
          <w:szCs w:val="36"/>
          <w:highlight w:val="none"/>
          <w:u w:val="single"/>
        </w:rPr>
      </w:pPr>
    </w:p>
    <w:p w14:paraId="7AFDFBEA">
      <w:pPr>
        <w:pStyle w:val="6"/>
        <w:spacing w:beforeAutospacing="0" w:afterAutospacing="0" w:line="0" w:lineRule="atLeast"/>
        <w:jc w:val="center"/>
        <w:rPr>
          <w:rFonts w:hint="eastAsia" w:ascii="宋体" w:hAnsi="宋体" w:eastAsia="宋体" w:cs="宋体"/>
          <w:b/>
          <w:color w:val="auto"/>
          <w:sz w:val="36"/>
          <w:szCs w:val="36"/>
          <w:highlight w:val="none"/>
          <w:u w:val="single"/>
        </w:rPr>
      </w:pPr>
    </w:p>
    <w:p w14:paraId="113CABBB">
      <w:pPr>
        <w:pStyle w:val="6"/>
        <w:spacing w:beforeAutospacing="0" w:afterAutospacing="0" w:line="0" w:lineRule="atLeast"/>
        <w:jc w:val="center"/>
        <w:rPr>
          <w:rFonts w:hint="eastAsia" w:ascii="宋体" w:hAnsi="宋体" w:eastAsia="宋体" w:cs="宋体"/>
          <w:b/>
          <w:color w:val="auto"/>
          <w:sz w:val="36"/>
          <w:szCs w:val="36"/>
          <w:highlight w:val="none"/>
          <w:u w:val="single"/>
        </w:rPr>
      </w:pPr>
    </w:p>
    <w:p w14:paraId="45C69F61">
      <w:pPr>
        <w:pStyle w:val="6"/>
        <w:spacing w:beforeAutospacing="0" w:afterAutospacing="0" w:line="0" w:lineRule="atLeast"/>
        <w:jc w:val="center"/>
        <w:rPr>
          <w:rFonts w:hint="eastAsia" w:ascii="宋体" w:hAnsi="宋体" w:eastAsia="宋体" w:cs="宋体"/>
          <w:b/>
          <w:color w:val="auto"/>
          <w:sz w:val="36"/>
          <w:szCs w:val="36"/>
          <w:highlight w:val="none"/>
          <w:u w:val="single"/>
        </w:rPr>
      </w:pPr>
    </w:p>
    <w:p w14:paraId="3CF840C8">
      <w:pPr>
        <w:pStyle w:val="6"/>
        <w:spacing w:beforeAutospacing="0" w:afterAutospacing="0" w:line="0" w:lineRule="atLeast"/>
        <w:jc w:val="both"/>
        <w:rPr>
          <w:rFonts w:hint="eastAsia" w:ascii="宋体" w:hAnsi="宋体" w:eastAsia="宋体" w:cs="宋体"/>
          <w:b/>
          <w:color w:val="auto"/>
          <w:sz w:val="36"/>
          <w:szCs w:val="36"/>
          <w:highlight w:val="none"/>
          <w:u w:val="single"/>
        </w:rPr>
      </w:pPr>
    </w:p>
    <w:p w14:paraId="69889C0D">
      <w:pPr>
        <w:pStyle w:val="6"/>
        <w:spacing w:beforeAutospacing="0" w:afterAutospacing="0" w:line="0" w:lineRule="atLeast"/>
        <w:jc w:val="center"/>
        <w:rPr>
          <w:rFonts w:hint="eastAsia" w:ascii="宋体" w:hAnsi="宋体" w:eastAsia="宋体" w:cs="宋体"/>
          <w:b/>
          <w:color w:val="auto"/>
          <w:sz w:val="36"/>
          <w:szCs w:val="36"/>
          <w:highlight w:val="none"/>
          <w:u w:val="single"/>
        </w:rPr>
      </w:pPr>
    </w:p>
    <w:p w14:paraId="058F4EAE">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响应文件目录</w:t>
      </w:r>
    </w:p>
    <w:p w14:paraId="06DCE8FD">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D33FA26">
      <w:pPr>
        <w:pStyle w:val="6"/>
        <w:spacing w:beforeAutospacing="0" w:afterAutospacing="0"/>
        <w:ind w:left="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一、法人或者其他组织的营业执照等证明文件，自然人的身份证明</w:t>
      </w:r>
    </w:p>
    <w:p w14:paraId="4B7E35DC">
      <w:pPr>
        <w:tabs>
          <w:tab w:val="left" w:pos="1331"/>
        </w:tabs>
        <w:bidi w:val="0"/>
        <w:ind w:firstLine="480" w:firstLineChars="200"/>
        <w:jc w:val="left"/>
        <w:rPr>
          <w:rFonts w:hint="eastAsia" w:ascii="宋体" w:hAnsi="宋体" w:eastAsia="宋体" w:cs="宋体"/>
          <w:i/>
          <w:color w:val="auto"/>
          <w:kern w:val="0"/>
          <w:sz w:val="24"/>
          <w:szCs w:val="24"/>
          <w:highlight w:val="none"/>
          <w:u w:val="single"/>
          <w:lang w:val="en-US" w:eastAsia="zh-CN" w:bidi="ar-SA"/>
        </w:rPr>
      </w:pPr>
      <w:r>
        <w:rPr>
          <w:rFonts w:hint="eastAsia" w:ascii="宋体" w:hAnsi="宋体" w:eastAsia="宋体" w:cs="宋体"/>
          <w:i/>
          <w:color w:val="auto"/>
          <w:kern w:val="0"/>
          <w:sz w:val="24"/>
          <w:szCs w:val="24"/>
          <w:highlight w:val="none"/>
          <w:u w:val="single"/>
          <w:lang w:val="en-US" w:eastAsia="zh-CN" w:bidi="ar-SA"/>
        </w:rPr>
        <w:t>二、上一年度的财务状况</w:t>
      </w:r>
      <w:r>
        <w:rPr>
          <w:rFonts w:hint="eastAsia" w:ascii="宋体" w:hAnsi="宋体" w:eastAsia="宋体" w:cs="宋体"/>
          <w:i/>
          <w:color w:val="auto"/>
          <w:kern w:val="0"/>
          <w:sz w:val="24"/>
          <w:szCs w:val="24"/>
          <w:highlight w:val="none"/>
          <w:u w:val="single"/>
          <w:lang w:val="en-US" w:eastAsia="zh-CN" w:bidi="ar-SA"/>
        </w:rPr>
        <w:t>报表（至少提供资产负债表、利润表、现金流量表，</w:t>
      </w:r>
    </w:p>
    <w:p w14:paraId="72C69363">
      <w:pPr>
        <w:pStyle w:val="6"/>
        <w:spacing w:beforeAutospacing="0" w:afterAutospacing="0"/>
        <w:ind w:left="480"/>
        <w:jc w:val="both"/>
        <w:rPr>
          <w:rFonts w:hint="eastAsia" w:ascii="宋体" w:hAnsi="宋体" w:eastAsia="宋体" w:cs="宋体"/>
          <w:i/>
          <w:color w:val="auto"/>
          <w:kern w:val="0"/>
          <w:sz w:val="24"/>
          <w:szCs w:val="24"/>
          <w:highlight w:val="none"/>
          <w:u w:val="single"/>
          <w:lang w:val="en-US" w:eastAsia="zh-CN" w:bidi="ar-SA"/>
        </w:rPr>
      </w:pPr>
      <w:r>
        <w:rPr>
          <w:rFonts w:hint="eastAsia" w:ascii="宋体" w:hAnsi="宋体" w:eastAsia="宋体" w:cs="宋体"/>
          <w:i/>
          <w:color w:val="auto"/>
          <w:kern w:val="0"/>
          <w:sz w:val="24"/>
          <w:szCs w:val="24"/>
          <w:highlight w:val="none"/>
          <w:u w:val="single"/>
          <w:lang w:val="en-US" w:eastAsia="zh-CN" w:bidi="ar-SA"/>
        </w:rPr>
        <w:t>谈判供应商成立不满一年无需提供）</w:t>
      </w:r>
    </w:p>
    <w:p w14:paraId="0B91DE48">
      <w:pPr>
        <w:pStyle w:val="6"/>
        <w:numPr>
          <w:ilvl w:val="0"/>
          <w:numId w:val="4"/>
        </w:numPr>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具备履行合同所必需的设备和专业技术能力的书面声明</w:t>
      </w:r>
    </w:p>
    <w:p w14:paraId="206CEF2A">
      <w:pPr>
        <w:pStyle w:val="6"/>
        <w:numPr>
          <w:ilvl w:val="0"/>
          <w:numId w:val="0"/>
        </w:numPr>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7F52F816">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五、参加政府采购活动前 3 年内在经营活动中没有重大违法记录的书面声明</w:t>
      </w:r>
    </w:p>
    <w:p w14:paraId="0A4E027A">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六、特定资格要求的证明文件（如果本项目设置特定资格要求，则需要提供）</w:t>
      </w:r>
    </w:p>
    <w:p w14:paraId="734DEF78">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七、法人授权书</w:t>
      </w:r>
    </w:p>
    <w:p w14:paraId="0296F2C0">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八、单一来源响应函</w:t>
      </w:r>
    </w:p>
    <w:p w14:paraId="0A462DDC">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九</w:t>
      </w:r>
      <w:r>
        <w:rPr>
          <w:rFonts w:hint="eastAsia" w:ascii="宋体" w:hAnsi="宋体" w:eastAsia="宋体" w:cs="宋体"/>
          <w:color w:val="auto"/>
          <w:highlight w:val="none"/>
        </w:rPr>
        <w:t>、分项报价表</w:t>
      </w:r>
    </w:p>
    <w:p w14:paraId="09E8D527">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十、技术要求响应及偏离表</w:t>
      </w:r>
    </w:p>
    <w:p w14:paraId="1BB6F7E8">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、商务要求响应及偏离表</w:t>
      </w:r>
    </w:p>
    <w:p w14:paraId="12000366">
      <w:pPr>
        <w:widowControl/>
        <w:spacing w:before="50" w:after="50"/>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十</w:t>
      </w:r>
      <w:r>
        <w:rPr>
          <w:rFonts w:hint="eastAsia" w:ascii="宋体" w:hAnsi="宋体" w:eastAsia="宋体" w:cs="宋体"/>
          <w:color w:val="auto"/>
          <w:kern w:val="0"/>
          <w:sz w:val="24"/>
          <w:highlight w:val="none"/>
          <w:lang w:val="en-US" w:eastAsia="zh-CN"/>
        </w:rPr>
        <w:t>二</w:t>
      </w:r>
      <w:r>
        <w:rPr>
          <w:rFonts w:hint="eastAsia" w:ascii="宋体" w:hAnsi="宋体" w:eastAsia="宋体" w:cs="宋体"/>
          <w:color w:val="auto"/>
          <w:kern w:val="0"/>
          <w:sz w:val="24"/>
          <w:highlight w:val="none"/>
        </w:rPr>
        <w:t>、技术方案、服务承诺、培训承诺等</w:t>
      </w:r>
    </w:p>
    <w:p w14:paraId="12F85D53">
      <w:pPr>
        <w:pStyle w:val="6"/>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、盐城市政府采购事前信用承诺书</w:t>
      </w:r>
    </w:p>
    <w:p w14:paraId="21EA2A1D">
      <w:pPr>
        <w:pStyle w:val="6"/>
        <w:spacing w:beforeAutospacing="0" w:afterAutospacing="0" w:line="0" w:lineRule="atLeast"/>
        <w:ind w:firstLine="480"/>
        <w:jc w:val="both"/>
        <w:rPr>
          <w:rFonts w:hint="eastAsia" w:ascii="宋体" w:hAnsi="宋体" w:eastAsia="宋体" w:cs="宋体"/>
          <w:color w:val="auto"/>
          <w:highlight w:val="none"/>
        </w:rPr>
      </w:pPr>
    </w:p>
    <w:p w14:paraId="6040F44D">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D65A4F4">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B30B635">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8F4C04">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54EE62">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8F39A9">
      <w:pPr>
        <w:pStyle w:val="6"/>
        <w:spacing w:beforeAutospacing="0" w:afterAutospacing="0" w:line="0" w:lineRule="atLeast"/>
        <w:ind w:firstLine="480"/>
        <w:jc w:val="both"/>
        <w:rPr>
          <w:rFonts w:hint="eastAsia" w:ascii="宋体" w:hAnsi="宋体" w:eastAsia="宋体" w:cs="宋体"/>
          <w:color w:val="auto"/>
          <w:highlight w:val="none"/>
        </w:rPr>
      </w:pPr>
    </w:p>
    <w:p w14:paraId="34242F69">
      <w:pPr>
        <w:pStyle w:val="6"/>
        <w:spacing w:beforeAutospacing="0" w:afterAutospacing="0" w:line="0" w:lineRule="atLeast"/>
        <w:ind w:firstLine="480"/>
        <w:jc w:val="both"/>
        <w:rPr>
          <w:rFonts w:hint="eastAsia" w:ascii="宋体" w:hAnsi="宋体" w:eastAsia="宋体" w:cs="宋体"/>
          <w:color w:val="auto"/>
          <w:highlight w:val="none"/>
        </w:rPr>
      </w:pPr>
    </w:p>
    <w:p w14:paraId="3EC191CB">
      <w:pPr>
        <w:pStyle w:val="6"/>
        <w:spacing w:beforeAutospacing="0" w:afterAutospacing="0" w:line="0" w:lineRule="atLeast"/>
        <w:ind w:firstLine="480"/>
        <w:jc w:val="both"/>
        <w:rPr>
          <w:rFonts w:hint="eastAsia" w:ascii="宋体" w:hAnsi="宋体" w:eastAsia="宋体" w:cs="宋体"/>
          <w:color w:val="auto"/>
          <w:highlight w:val="none"/>
        </w:rPr>
      </w:pPr>
    </w:p>
    <w:p w14:paraId="3F81A08D">
      <w:pPr>
        <w:pStyle w:val="6"/>
        <w:spacing w:beforeAutospacing="0" w:afterAutospacing="0" w:line="0" w:lineRule="atLeast"/>
        <w:ind w:firstLine="480"/>
        <w:jc w:val="both"/>
        <w:rPr>
          <w:rFonts w:hint="eastAsia" w:ascii="宋体" w:hAnsi="宋体" w:eastAsia="宋体" w:cs="宋体"/>
          <w:color w:val="auto"/>
          <w:highlight w:val="none"/>
        </w:rPr>
      </w:pPr>
    </w:p>
    <w:p w14:paraId="7355CD3E">
      <w:pPr>
        <w:pStyle w:val="6"/>
        <w:spacing w:beforeAutospacing="0" w:afterAutospacing="0" w:line="0" w:lineRule="atLeast"/>
        <w:ind w:firstLine="480"/>
        <w:jc w:val="both"/>
        <w:rPr>
          <w:rFonts w:hint="eastAsia" w:ascii="宋体" w:hAnsi="宋体" w:eastAsia="宋体" w:cs="宋体"/>
          <w:color w:val="auto"/>
          <w:highlight w:val="none"/>
        </w:rPr>
      </w:pPr>
    </w:p>
    <w:p w14:paraId="0ADAFCFE">
      <w:pPr>
        <w:pStyle w:val="6"/>
        <w:spacing w:beforeAutospacing="0" w:afterAutospacing="0" w:line="0" w:lineRule="atLeast"/>
        <w:ind w:firstLine="480"/>
        <w:jc w:val="both"/>
        <w:rPr>
          <w:rFonts w:hint="eastAsia" w:ascii="宋体" w:hAnsi="宋体" w:eastAsia="宋体" w:cs="宋体"/>
          <w:color w:val="auto"/>
          <w:highlight w:val="none"/>
        </w:rPr>
      </w:pPr>
    </w:p>
    <w:p w14:paraId="18C51D1D">
      <w:pPr>
        <w:pStyle w:val="6"/>
        <w:spacing w:beforeAutospacing="0" w:afterAutospacing="0" w:line="0" w:lineRule="atLeast"/>
        <w:ind w:firstLine="480"/>
        <w:jc w:val="both"/>
        <w:rPr>
          <w:rFonts w:hint="eastAsia" w:ascii="宋体" w:hAnsi="宋体" w:eastAsia="宋体" w:cs="宋体"/>
          <w:color w:val="auto"/>
          <w:highlight w:val="none"/>
        </w:rPr>
      </w:pPr>
    </w:p>
    <w:p w14:paraId="355BEEFF">
      <w:pPr>
        <w:pStyle w:val="6"/>
        <w:spacing w:beforeAutospacing="0" w:afterAutospacing="0" w:line="0" w:lineRule="atLeast"/>
        <w:ind w:firstLine="480"/>
        <w:jc w:val="both"/>
        <w:rPr>
          <w:rFonts w:hint="eastAsia" w:ascii="宋体" w:hAnsi="宋体" w:eastAsia="宋体" w:cs="宋体"/>
          <w:color w:val="auto"/>
          <w:highlight w:val="none"/>
        </w:rPr>
      </w:pPr>
    </w:p>
    <w:p w14:paraId="0A735C63">
      <w:pPr>
        <w:pStyle w:val="6"/>
        <w:spacing w:beforeAutospacing="0" w:afterAutospacing="0" w:line="0" w:lineRule="atLeast"/>
        <w:ind w:firstLine="480"/>
        <w:jc w:val="both"/>
        <w:rPr>
          <w:rFonts w:hint="eastAsia" w:ascii="宋体" w:hAnsi="宋体" w:eastAsia="宋体" w:cs="宋体"/>
          <w:color w:val="auto"/>
          <w:highlight w:val="none"/>
        </w:rPr>
      </w:pPr>
    </w:p>
    <w:p w14:paraId="4B1C234A">
      <w:pPr>
        <w:pStyle w:val="6"/>
        <w:spacing w:beforeAutospacing="0" w:afterAutospacing="0" w:line="0" w:lineRule="atLeast"/>
        <w:ind w:firstLine="480"/>
        <w:jc w:val="both"/>
        <w:rPr>
          <w:rFonts w:hint="eastAsia" w:ascii="宋体" w:hAnsi="宋体" w:eastAsia="宋体" w:cs="宋体"/>
          <w:color w:val="auto"/>
          <w:highlight w:val="none"/>
        </w:rPr>
      </w:pPr>
    </w:p>
    <w:p w14:paraId="0AC438D6">
      <w:pPr>
        <w:pStyle w:val="6"/>
        <w:spacing w:beforeAutospacing="0" w:afterAutospacing="0" w:line="0" w:lineRule="atLeast"/>
        <w:ind w:firstLine="480"/>
        <w:jc w:val="both"/>
        <w:rPr>
          <w:rFonts w:hint="eastAsia" w:ascii="宋体" w:hAnsi="宋体" w:eastAsia="宋体" w:cs="宋体"/>
          <w:color w:val="auto"/>
          <w:highlight w:val="none"/>
        </w:rPr>
      </w:pPr>
    </w:p>
    <w:p w14:paraId="3D11EF01">
      <w:pPr>
        <w:pStyle w:val="6"/>
        <w:spacing w:beforeAutospacing="0" w:afterAutospacing="0" w:line="0" w:lineRule="atLeast"/>
        <w:ind w:firstLine="480"/>
        <w:jc w:val="both"/>
        <w:rPr>
          <w:rFonts w:hint="eastAsia" w:ascii="宋体" w:hAnsi="宋体" w:eastAsia="宋体" w:cs="宋体"/>
          <w:color w:val="auto"/>
          <w:highlight w:val="none"/>
        </w:rPr>
      </w:pPr>
    </w:p>
    <w:p w14:paraId="629A86CD">
      <w:pPr>
        <w:pStyle w:val="6"/>
        <w:spacing w:beforeAutospacing="0" w:afterAutospacing="0" w:line="0" w:lineRule="atLeast"/>
        <w:ind w:firstLine="480"/>
        <w:jc w:val="both"/>
        <w:rPr>
          <w:rFonts w:hint="eastAsia" w:ascii="宋体" w:hAnsi="宋体" w:eastAsia="宋体" w:cs="宋体"/>
          <w:color w:val="auto"/>
          <w:highlight w:val="none"/>
        </w:rPr>
      </w:pPr>
    </w:p>
    <w:p w14:paraId="71E9E17F">
      <w:pPr>
        <w:pStyle w:val="6"/>
        <w:spacing w:beforeAutospacing="0" w:afterAutospacing="0" w:line="0" w:lineRule="atLeast"/>
        <w:ind w:firstLine="480"/>
        <w:jc w:val="both"/>
        <w:rPr>
          <w:rFonts w:hint="eastAsia" w:ascii="宋体" w:hAnsi="宋体" w:eastAsia="宋体" w:cs="宋体"/>
          <w:color w:val="auto"/>
          <w:highlight w:val="none"/>
        </w:rPr>
      </w:pPr>
    </w:p>
    <w:p w14:paraId="61AB68B1">
      <w:pPr>
        <w:pStyle w:val="6"/>
        <w:spacing w:beforeAutospacing="0" w:afterAutospacing="0" w:line="0" w:lineRule="atLeast"/>
        <w:ind w:firstLine="480"/>
        <w:jc w:val="both"/>
        <w:rPr>
          <w:rFonts w:hint="eastAsia" w:ascii="宋体" w:hAnsi="宋体" w:eastAsia="宋体" w:cs="宋体"/>
          <w:color w:val="auto"/>
          <w:highlight w:val="none"/>
        </w:rPr>
      </w:pPr>
    </w:p>
    <w:p w14:paraId="669B08F6">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4E1802">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98CE1BE">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72F4013C">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748AA1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w:t>
      </w:r>
      <w:r>
        <w:rPr>
          <w:rFonts w:hint="eastAsia" w:ascii="宋体" w:hAnsi="宋体" w:eastAsia="宋体" w:cs="宋体"/>
          <w:i/>
          <w:color w:val="auto"/>
          <w:sz w:val="32"/>
          <w:szCs w:val="32"/>
          <w:highlight w:val="none"/>
          <w:u w:val="single"/>
        </w:rPr>
        <w:t>况报表</w:t>
      </w:r>
    </w:p>
    <w:p w14:paraId="5A0B8F3D">
      <w:pPr>
        <w:pStyle w:val="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供应商成立不满一年无需提供</w:t>
      </w:r>
    </w:p>
    <w:p w14:paraId="16AFCB56">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E8BA2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三</w:t>
      </w:r>
      <w:r>
        <w:rPr>
          <w:rFonts w:hint="eastAsia" w:ascii="宋体" w:hAnsi="宋体" w:eastAsia="宋体" w:cs="宋体"/>
          <w:i/>
          <w:color w:val="auto"/>
          <w:sz w:val="32"/>
          <w:szCs w:val="32"/>
          <w:highlight w:val="none"/>
          <w:u w:val="single"/>
        </w:rPr>
        <w:t>、具备履行合同所必需的设备和专业技术能力的书面声明</w:t>
      </w:r>
    </w:p>
    <w:p w14:paraId="72753BF9">
      <w:pPr>
        <w:pStyle w:val="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3976F51">
      <w:pPr>
        <w:pStyle w:val="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37BDAC8">
      <w:pPr>
        <w:pStyle w:val="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9D6178F">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、依法缴纳税收和社会保障资金的相关材料</w:t>
      </w:r>
    </w:p>
    <w:p w14:paraId="1E65E296">
      <w:pPr>
        <w:pStyle w:val="6"/>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1429721A">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929F849">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05BFBF2C">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声  明</w:t>
      </w:r>
    </w:p>
    <w:p w14:paraId="73F251EA">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12E039E">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2ED4316">
      <w:pPr>
        <w:pStyle w:val="6"/>
        <w:spacing w:beforeAutospacing="0" w:afterAutospacing="0"/>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六、</w:t>
      </w:r>
      <w:r>
        <w:rPr>
          <w:rFonts w:hint="eastAsia" w:ascii="宋体" w:hAnsi="宋体" w:eastAsia="宋体" w:cs="宋体"/>
          <w:i/>
          <w:color w:val="auto"/>
          <w:sz w:val="32"/>
          <w:szCs w:val="32"/>
          <w:highlight w:val="none"/>
          <w:u w:val="single"/>
        </w:rPr>
        <w:t>单位负责人为同一人或者存在直接控股、服务关系的不同供应商，不得参加同一合同项下的政府采购活动证明文件</w:t>
      </w:r>
    </w:p>
    <w:p w14:paraId="31DCB859">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声  明</w:t>
      </w:r>
    </w:p>
    <w:p w14:paraId="568F0614">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szCs w:val="24"/>
          <w:highlight w:val="none"/>
        </w:rPr>
        <w:t>我单位不存在：单位负责人为同一人或者存在直接控股、管理关系的不同供应商，同时参加同一合同项下的政府采购活动。</w:t>
      </w:r>
    </w:p>
    <w:p w14:paraId="0C6EAEC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D09D7DD">
      <w:pPr>
        <w:spacing w:line="460" w:lineRule="exact"/>
        <w:ind w:firstLine="3840" w:firstLineChars="16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供应商名称（公章）：</w:t>
      </w:r>
    </w:p>
    <w:p w14:paraId="7F66F737">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w:t>被授权人签字：______________________</w:t>
      </w:r>
    </w:p>
    <w:p w14:paraId="74C681A6">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214E0F96">
      <w:pPr>
        <w:pStyle w:val="6"/>
        <w:spacing w:beforeAutospacing="0" w:afterAutospacing="0"/>
        <w:jc w:val="both"/>
        <w:rPr>
          <w:rFonts w:hint="eastAsia" w:ascii="宋体" w:hAnsi="宋体" w:eastAsia="宋体" w:cs="宋体"/>
          <w:color w:val="auto"/>
          <w:highlight w:val="none"/>
        </w:rPr>
      </w:pPr>
    </w:p>
    <w:p w14:paraId="1B488C8D">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七</w:t>
      </w:r>
      <w:r>
        <w:rPr>
          <w:rFonts w:hint="eastAsia" w:ascii="宋体" w:hAnsi="宋体" w:eastAsia="宋体" w:cs="宋体"/>
          <w:i/>
          <w:color w:val="auto"/>
          <w:sz w:val="32"/>
          <w:szCs w:val="32"/>
          <w:highlight w:val="none"/>
          <w:u w:val="single"/>
        </w:rPr>
        <w:t>、特定资格要求的证明文件</w:t>
      </w:r>
    </w:p>
    <w:p w14:paraId="4CE1A8E7">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58E67E25">
      <w:pPr>
        <w:pStyle w:val="6"/>
        <w:spacing w:beforeAutospacing="0" w:afterAutospacing="0"/>
        <w:jc w:val="center"/>
        <w:rPr>
          <w:rFonts w:hint="eastAsia" w:ascii="宋体" w:hAnsi="宋体" w:eastAsia="宋体" w:cs="宋体"/>
          <w:i/>
          <w:color w:val="auto"/>
          <w:sz w:val="32"/>
          <w:szCs w:val="32"/>
          <w:highlight w:val="none"/>
          <w:u w:val="single"/>
        </w:rPr>
      </w:pPr>
      <w:bookmarkStart w:id="169" w:name="_Toc120614284"/>
    </w:p>
    <w:p w14:paraId="58398161">
      <w:pPr>
        <w:pStyle w:val="6"/>
        <w:spacing w:beforeAutospacing="0" w:afterAutospacing="0"/>
        <w:jc w:val="center"/>
        <w:rPr>
          <w:rFonts w:hint="eastAsia" w:ascii="宋体" w:hAnsi="宋体" w:eastAsia="宋体" w:cs="宋体"/>
          <w:i/>
          <w:color w:val="auto"/>
          <w:sz w:val="32"/>
          <w:szCs w:val="32"/>
          <w:highlight w:val="none"/>
          <w:u w:val="single"/>
        </w:rPr>
      </w:pPr>
    </w:p>
    <w:p w14:paraId="67AA56EA">
      <w:pPr>
        <w:pStyle w:val="6"/>
        <w:spacing w:beforeAutospacing="0" w:afterAutospacing="0"/>
        <w:jc w:val="center"/>
        <w:rPr>
          <w:rFonts w:hint="eastAsia" w:ascii="宋体" w:hAnsi="宋体" w:eastAsia="宋体" w:cs="宋体"/>
          <w:i/>
          <w:color w:val="auto"/>
          <w:sz w:val="32"/>
          <w:szCs w:val="32"/>
          <w:highlight w:val="none"/>
          <w:u w:val="single"/>
        </w:rPr>
      </w:pPr>
    </w:p>
    <w:p w14:paraId="1D00D59E">
      <w:pPr>
        <w:pStyle w:val="6"/>
        <w:spacing w:beforeAutospacing="0" w:afterAutospacing="0"/>
        <w:jc w:val="center"/>
        <w:rPr>
          <w:rFonts w:hint="eastAsia" w:ascii="宋体" w:hAnsi="宋体" w:eastAsia="宋体" w:cs="宋体"/>
          <w:i/>
          <w:color w:val="auto"/>
          <w:sz w:val="32"/>
          <w:szCs w:val="32"/>
          <w:highlight w:val="none"/>
          <w:u w:val="single"/>
        </w:rPr>
      </w:pPr>
    </w:p>
    <w:p w14:paraId="169B5D14">
      <w:pPr>
        <w:pStyle w:val="6"/>
        <w:spacing w:beforeAutospacing="0" w:afterAutospacing="0"/>
        <w:jc w:val="center"/>
        <w:rPr>
          <w:rFonts w:hint="eastAsia" w:ascii="宋体" w:hAnsi="宋体" w:eastAsia="宋体" w:cs="宋体"/>
          <w:i/>
          <w:color w:val="auto"/>
          <w:sz w:val="32"/>
          <w:szCs w:val="32"/>
          <w:highlight w:val="none"/>
          <w:u w:val="single"/>
        </w:rPr>
      </w:pPr>
    </w:p>
    <w:p w14:paraId="6C7BBCE1">
      <w:pPr>
        <w:pStyle w:val="6"/>
        <w:spacing w:beforeAutospacing="0" w:afterAutospacing="0"/>
        <w:jc w:val="center"/>
        <w:rPr>
          <w:rFonts w:hint="eastAsia" w:ascii="宋体" w:hAnsi="宋体" w:eastAsia="宋体" w:cs="宋体"/>
          <w:i/>
          <w:color w:val="auto"/>
          <w:sz w:val="32"/>
          <w:szCs w:val="32"/>
          <w:highlight w:val="none"/>
          <w:u w:val="single"/>
        </w:rPr>
      </w:pPr>
    </w:p>
    <w:p w14:paraId="4C04AF72">
      <w:pPr>
        <w:pStyle w:val="6"/>
        <w:spacing w:beforeAutospacing="0" w:afterAutospacing="0"/>
        <w:jc w:val="center"/>
        <w:rPr>
          <w:rFonts w:hint="eastAsia" w:ascii="宋体" w:hAnsi="宋体" w:eastAsia="宋体" w:cs="宋体"/>
          <w:i/>
          <w:color w:val="auto"/>
          <w:sz w:val="32"/>
          <w:szCs w:val="32"/>
          <w:highlight w:val="none"/>
          <w:u w:val="single"/>
        </w:rPr>
      </w:pPr>
    </w:p>
    <w:p w14:paraId="4B6C3EDF">
      <w:pPr>
        <w:pStyle w:val="6"/>
        <w:spacing w:beforeAutospacing="0" w:afterAutospacing="0"/>
        <w:jc w:val="center"/>
        <w:rPr>
          <w:rFonts w:hint="eastAsia" w:ascii="宋体" w:hAnsi="宋体" w:eastAsia="宋体" w:cs="宋体"/>
          <w:i/>
          <w:color w:val="auto"/>
          <w:sz w:val="32"/>
          <w:szCs w:val="32"/>
          <w:highlight w:val="none"/>
          <w:u w:val="single"/>
        </w:rPr>
      </w:pPr>
    </w:p>
    <w:p w14:paraId="5CFBB2AB">
      <w:pPr>
        <w:pStyle w:val="6"/>
        <w:spacing w:beforeAutospacing="0" w:afterAutospacing="0"/>
        <w:jc w:val="center"/>
        <w:rPr>
          <w:rFonts w:hint="eastAsia" w:ascii="宋体" w:hAnsi="宋体" w:eastAsia="宋体" w:cs="宋体"/>
          <w:i/>
          <w:color w:val="auto"/>
          <w:sz w:val="32"/>
          <w:szCs w:val="32"/>
          <w:highlight w:val="none"/>
          <w:u w:val="single"/>
        </w:rPr>
      </w:pPr>
    </w:p>
    <w:p w14:paraId="0B58C23A">
      <w:pPr>
        <w:pStyle w:val="6"/>
        <w:spacing w:beforeAutospacing="0" w:afterAutospacing="0"/>
        <w:jc w:val="center"/>
        <w:rPr>
          <w:rFonts w:hint="eastAsia" w:ascii="宋体" w:hAnsi="宋体" w:eastAsia="宋体" w:cs="宋体"/>
          <w:i/>
          <w:color w:val="auto"/>
          <w:sz w:val="32"/>
          <w:szCs w:val="32"/>
          <w:highlight w:val="none"/>
          <w:u w:val="single"/>
        </w:rPr>
      </w:pPr>
    </w:p>
    <w:p w14:paraId="760DCB57">
      <w:pPr>
        <w:pStyle w:val="6"/>
        <w:spacing w:beforeAutospacing="0" w:afterAutospacing="0"/>
        <w:jc w:val="center"/>
        <w:rPr>
          <w:rFonts w:hint="eastAsia" w:ascii="宋体" w:hAnsi="宋体" w:eastAsia="宋体" w:cs="宋体"/>
          <w:i/>
          <w:color w:val="auto"/>
          <w:sz w:val="32"/>
          <w:szCs w:val="32"/>
          <w:highlight w:val="none"/>
          <w:u w:val="single"/>
        </w:rPr>
      </w:pPr>
    </w:p>
    <w:p w14:paraId="5B24BF72">
      <w:pPr>
        <w:pStyle w:val="6"/>
        <w:spacing w:beforeAutospacing="0" w:afterAutospacing="0"/>
        <w:jc w:val="center"/>
        <w:rPr>
          <w:rFonts w:hint="eastAsia" w:ascii="宋体" w:hAnsi="宋体" w:eastAsia="宋体" w:cs="宋体"/>
          <w:i/>
          <w:color w:val="auto"/>
          <w:sz w:val="32"/>
          <w:szCs w:val="32"/>
          <w:highlight w:val="none"/>
          <w:u w:val="single"/>
        </w:rPr>
      </w:pPr>
    </w:p>
    <w:p w14:paraId="3076ADB0">
      <w:pPr>
        <w:pStyle w:val="6"/>
        <w:spacing w:beforeAutospacing="0" w:afterAutospacing="0"/>
        <w:jc w:val="center"/>
        <w:rPr>
          <w:rFonts w:hint="eastAsia" w:ascii="宋体" w:hAnsi="宋体" w:eastAsia="宋体" w:cs="宋体"/>
          <w:i/>
          <w:color w:val="auto"/>
          <w:sz w:val="32"/>
          <w:szCs w:val="32"/>
          <w:highlight w:val="none"/>
          <w:u w:val="single"/>
        </w:rPr>
      </w:pPr>
    </w:p>
    <w:p w14:paraId="1FD778AF">
      <w:pPr>
        <w:pStyle w:val="6"/>
        <w:spacing w:beforeAutospacing="0" w:afterAutospacing="0"/>
        <w:jc w:val="center"/>
        <w:rPr>
          <w:rFonts w:hint="eastAsia" w:ascii="宋体" w:hAnsi="宋体" w:eastAsia="宋体" w:cs="宋体"/>
          <w:i/>
          <w:color w:val="auto"/>
          <w:sz w:val="32"/>
          <w:szCs w:val="32"/>
          <w:highlight w:val="none"/>
          <w:u w:val="single"/>
        </w:rPr>
      </w:pPr>
    </w:p>
    <w:p w14:paraId="396F2739">
      <w:pPr>
        <w:pStyle w:val="6"/>
        <w:spacing w:beforeAutospacing="0" w:afterAutospacing="0"/>
        <w:jc w:val="center"/>
        <w:rPr>
          <w:rFonts w:hint="eastAsia" w:ascii="宋体" w:hAnsi="宋体" w:eastAsia="宋体" w:cs="宋体"/>
          <w:i/>
          <w:color w:val="auto"/>
          <w:sz w:val="32"/>
          <w:szCs w:val="32"/>
          <w:highlight w:val="none"/>
          <w:u w:val="single"/>
        </w:rPr>
      </w:pPr>
    </w:p>
    <w:p w14:paraId="7304AF1E">
      <w:pPr>
        <w:pStyle w:val="6"/>
        <w:spacing w:beforeAutospacing="0" w:afterAutospacing="0"/>
        <w:jc w:val="center"/>
        <w:rPr>
          <w:rFonts w:hint="eastAsia" w:ascii="宋体" w:hAnsi="宋体" w:eastAsia="宋体" w:cs="宋体"/>
          <w:i/>
          <w:color w:val="auto"/>
          <w:sz w:val="32"/>
          <w:szCs w:val="32"/>
          <w:highlight w:val="none"/>
          <w:u w:val="single"/>
        </w:rPr>
      </w:pPr>
    </w:p>
    <w:p w14:paraId="1FE43C0D">
      <w:pPr>
        <w:pStyle w:val="6"/>
        <w:spacing w:beforeAutospacing="0" w:afterAutospacing="0"/>
        <w:jc w:val="center"/>
        <w:rPr>
          <w:rFonts w:hint="eastAsia" w:ascii="宋体" w:hAnsi="宋体" w:eastAsia="宋体" w:cs="宋体"/>
          <w:i/>
          <w:color w:val="auto"/>
          <w:sz w:val="32"/>
          <w:szCs w:val="32"/>
          <w:highlight w:val="none"/>
          <w:u w:val="single"/>
        </w:rPr>
      </w:pPr>
    </w:p>
    <w:p w14:paraId="3180C231">
      <w:pPr>
        <w:pStyle w:val="6"/>
        <w:spacing w:beforeAutospacing="0" w:afterAutospacing="0"/>
        <w:jc w:val="center"/>
        <w:rPr>
          <w:rFonts w:hint="eastAsia" w:ascii="宋体" w:hAnsi="宋体" w:eastAsia="宋体" w:cs="宋体"/>
          <w:i/>
          <w:color w:val="auto"/>
          <w:sz w:val="32"/>
          <w:szCs w:val="32"/>
          <w:highlight w:val="none"/>
          <w:u w:val="single"/>
        </w:rPr>
      </w:pPr>
    </w:p>
    <w:p w14:paraId="2C26D446">
      <w:pPr>
        <w:pStyle w:val="6"/>
        <w:spacing w:beforeAutospacing="0" w:afterAutospacing="0"/>
        <w:jc w:val="center"/>
        <w:rPr>
          <w:rFonts w:hint="eastAsia" w:ascii="宋体" w:hAnsi="宋体" w:eastAsia="宋体" w:cs="宋体"/>
          <w:i/>
          <w:color w:val="auto"/>
          <w:sz w:val="32"/>
          <w:szCs w:val="32"/>
          <w:highlight w:val="none"/>
          <w:u w:val="single"/>
        </w:rPr>
      </w:pPr>
    </w:p>
    <w:p w14:paraId="2EDA1264">
      <w:pPr>
        <w:pStyle w:val="6"/>
        <w:spacing w:beforeAutospacing="0" w:afterAutospacing="0"/>
        <w:jc w:val="center"/>
        <w:rPr>
          <w:rFonts w:hint="eastAsia" w:ascii="宋体" w:hAnsi="宋体" w:eastAsia="宋体" w:cs="宋体"/>
          <w:i/>
          <w:color w:val="auto"/>
          <w:sz w:val="32"/>
          <w:szCs w:val="32"/>
          <w:highlight w:val="none"/>
          <w:u w:val="single"/>
        </w:rPr>
      </w:pPr>
    </w:p>
    <w:p w14:paraId="139C491C">
      <w:pPr>
        <w:pStyle w:val="6"/>
        <w:spacing w:beforeAutospacing="0" w:afterAutospacing="0"/>
        <w:jc w:val="center"/>
        <w:rPr>
          <w:rFonts w:hint="eastAsia" w:ascii="宋体" w:hAnsi="宋体" w:eastAsia="宋体" w:cs="宋体"/>
          <w:i/>
          <w:color w:val="auto"/>
          <w:sz w:val="32"/>
          <w:szCs w:val="32"/>
          <w:highlight w:val="none"/>
          <w:u w:val="single"/>
        </w:rPr>
      </w:pPr>
    </w:p>
    <w:p w14:paraId="11C71A8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14:paraId="77150858">
      <w:pPr>
        <w:pStyle w:val="6"/>
        <w:tabs>
          <w:tab w:val="left" w:pos="360"/>
        </w:tabs>
        <w:spacing w:beforeAutospacing="0" w:afterAutospacing="0"/>
        <w:ind w:firstLine="480"/>
        <w:jc w:val="both"/>
        <w:rPr>
          <w:rFonts w:hint="eastAsia" w:ascii="宋体" w:hAnsi="宋体" w:eastAsia="宋体" w:cs="宋体"/>
          <w:color w:val="auto"/>
          <w:highlight w:val="none"/>
        </w:rPr>
      </w:pPr>
    </w:p>
    <w:p w14:paraId="0DE3F969">
      <w:pPr>
        <w:pStyle w:val="6"/>
        <w:tabs>
          <w:tab w:val="left" w:pos="360"/>
        </w:tabs>
        <w:spacing w:beforeAutospacing="0" w:afterAutospacing="0"/>
        <w:ind w:firstLine="480"/>
        <w:jc w:val="both"/>
        <w:rPr>
          <w:rFonts w:hint="eastAsia" w:ascii="宋体" w:hAnsi="宋体" w:eastAsia="宋体" w:cs="宋体"/>
          <w:color w:val="auto"/>
          <w:highlight w:val="none"/>
        </w:rPr>
      </w:pPr>
    </w:p>
    <w:p w14:paraId="6E59B2DF">
      <w:pPr>
        <w:pStyle w:val="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本授权书声明：____________（供应商名称）授权________________（被授权人的姓名）为我方就JSZC-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3941E552">
      <w:pPr>
        <w:pStyle w:val="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89A8A65">
      <w:pPr>
        <w:pStyle w:val="6"/>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551E58">
      <w:pPr>
        <w:pStyle w:val="6"/>
        <w:tabs>
          <w:tab w:val="left" w:pos="360"/>
        </w:tabs>
        <w:spacing w:beforeAutospacing="0" w:afterAutospacing="0"/>
        <w:jc w:val="both"/>
        <w:rPr>
          <w:rFonts w:hint="eastAsia" w:ascii="宋体" w:hAnsi="宋体" w:eastAsia="宋体" w:cs="宋体"/>
          <w:color w:val="auto"/>
          <w:highlight w:val="none"/>
        </w:rPr>
      </w:pPr>
    </w:p>
    <w:p w14:paraId="06E53D3C">
      <w:pPr>
        <w:pStyle w:val="6"/>
        <w:tabs>
          <w:tab w:val="left" w:pos="360"/>
        </w:tabs>
        <w:spacing w:beforeAutospacing="0" w:afterAutospacing="0"/>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r>
        <w:rPr>
          <w:rFonts w:hint="eastAsia" w:ascii="宋体" w:hAnsi="宋体" w:eastAsia="宋体" w:cs="宋体"/>
          <w:color w:val="auto"/>
          <w:highlight w:val="none"/>
        </w:rPr>
        <w:t>       </w:t>
      </w:r>
    </w:p>
    <w:p w14:paraId="4DC7F04A">
      <w:pPr>
        <w:pStyle w:val="6"/>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07314AE7">
      <w:pPr>
        <w:pStyle w:val="6"/>
        <w:tabs>
          <w:tab w:val="left" w:pos="360"/>
        </w:tabs>
        <w:spacing w:beforeAutospacing="0" w:afterAutospacing="0"/>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4EAA9CAC">
      <w:pPr>
        <w:pStyle w:val="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p>
    <w:p w14:paraId="0DAE2E3B">
      <w:pPr>
        <w:pStyle w:val="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日期：</w:t>
      </w:r>
      <w:bookmarkStart w:id="170" w:name="_格式3__银行出具的资信证明"/>
      <w:bookmarkStart w:id="171" w:name="_Hlt26671380"/>
      <w:bookmarkStart w:id="172" w:name="_Hlt26955070"/>
      <w:r>
        <w:rPr>
          <w:rFonts w:hint="eastAsia" w:ascii="宋体" w:hAnsi="宋体" w:eastAsia="宋体" w:cs="宋体"/>
          <w:color w:val="auto"/>
          <w:highlight w:val="none"/>
          <w:u w:val="single"/>
        </w:rPr>
        <w:t>            </w:t>
      </w:r>
    </w:p>
    <w:p w14:paraId="1DE24836">
      <w:pPr>
        <w:pStyle w:val="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2BE0265">
      <w:pPr>
        <w:pStyle w:val="6"/>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C6D370">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470E358">
      <w:pPr>
        <w:pStyle w:val="6"/>
        <w:keepNext/>
        <w:keepLines/>
        <w:spacing w:before="260" w:beforeAutospacing="0" w:after="260" w:afterAutospacing="0" w:line="415" w:lineRule="auto"/>
        <w:jc w:val="center"/>
        <w:rPr>
          <w:rFonts w:hint="eastAsia" w:ascii="宋体" w:hAnsi="宋体" w:eastAsia="宋体" w:cs="宋体"/>
          <w:color w:val="auto"/>
          <w:highlight w:val="none"/>
        </w:rPr>
      </w:pPr>
      <w:r>
        <w:rPr>
          <w:rFonts w:hint="eastAsia" w:ascii="宋体" w:hAnsi="宋体" w:eastAsia="宋体" w:cs="宋体"/>
          <w:b/>
          <w:color w:val="auto"/>
          <w:highlight w:val="none"/>
        </w:rPr>
        <w:br w:type="page"/>
      </w:r>
      <w:r>
        <w:rPr>
          <w:rFonts w:hint="eastAsia" w:ascii="宋体" w:hAnsi="宋体" w:eastAsia="宋体" w:cs="宋体"/>
          <w:b/>
          <w:i/>
          <w:color w:val="auto"/>
          <w:sz w:val="32"/>
          <w:szCs w:val="32"/>
          <w:highlight w:val="none"/>
          <w:u w:val="single"/>
          <w:lang w:val="en-US" w:eastAsia="zh-CN"/>
        </w:rPr>
        <w:t>九</w:t>
      </w:r>
      <w:r>
        <w:rPr>
          <w:rFonts w:hint="eastAsia" w:ascii="宋体" w:hAnsi="宋体" w:eastAsia="宋体" w:cs="宋体"/>
          <w:b/>
          <w:i/>
          <w:color w:val="auto"/>
          <w:sz w:val="32"/>
          <w:szCs w:val="32"/>
          <w:highlight w:val="none"/>
          <w:u w:val="single"/>
        </w:rPr>
        <w:t>、单一来源响应函</w:t>
      </w:r>
    </w:p>
    <w:p w14:paraId="09CAABC6">
      <w:pPr>
        <w:pStyle w:val="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滨海县文化广电和旅游局</w:t>
      </w:r>
    </w:p>
    <w:p w14:paraId="0C034CC1">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根据贵方的JSZC-320900-***</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号采购文件，正式授权下述签字人______(姓名)代表我方______________（供应商的名称），全权处理本次项目单一来源采购的有关事宜。</w:t>
      </w:r>
    </w:p>
    <w:p w14:paraId="4AA1AD80">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5E9891A5">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1.按采购文件规定的各项要求，向买方提供所需货物、服务（包含与货物相关的服务及与服务相关的货物）。</w:t>
      </w:r>
    </w:p>
    <w:p w14:paraId="173A10AA">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2.我们已详细审核全部采购文件及其有效补充文件，我们知道必须放弃提出含糊不清或误解问题的权利。</w:t>
      </w:r>
    </w:p>
    <w:p w14:paraId="38EA23E4">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3.我们同意从规定的单一来源谈判时间起遵循本响应文件，并在规定的单一来源谈判有效期期满之前均具有约束力。</w:t>
      </w:r>
    </w:p>
    <w:p w14:paraId="6C199AA8">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4.同意向贵方提供贵方可能另外要求的与单一来源采购有关的任何证据或资料，并保证我方已提供和将要提供的文件是真实的、准确的。</w:t>
      </w:r>
    </w:p>
    <w:p w14:paraId="668A407B">
      <w:pPr>
        <w:pStyle w:val="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5.一旦我方成交,我方将根据采购文件的规定，严格履行合同的责任和义务,并保证在采购文件规定的时间完成项目，交付买方验收、使用。</w:t>
      </w:r>
    </w:p>
    <w:p w14:paraId="670CFB1C">
      <w:pPr>
        <w:pStyle w:val="6"/>
        <w:spacing w:beforeAutospacing="0" w:afterAutospacing="0" w:line="0" w:lineRule="atLeast"/>
        <w:ind w:left="425"/>
        <w:rPr>
          <w:rFonts w:hint="eastAsia" w:ascii="宋体" w:hAnsi="宋体" w:eastAsia="宋体" w:cs="宋体"/>
          <w:color w:val="auto"/>
          <w:highlight w:val="none"/>
        </w:rPr>
      </w:pPr>
      <w:r>
        <w:rPr>
          <w:rFonts w:hint="eastAsia" w:ascii="宋体" w:hAnsi="宋体" w:eastAsia="宋体" w:cs="宋体"/>
          <w:color w:val="auto"/>
          <w:highlight w:val="none"/>
        </w:rPr>
        <w:t>6.我方与本次单一来源采购有关的正式通讯地址为：</w:t>
      </w:r>
    </w:p>
    <w:p w14:paraId="546E2EE3">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0DF12ECD">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534305D5">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6B84DEB3">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152BF3EB">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供应商开户行：</w:t>
      </w:r>
    </w:p>
    <w:p w14:paraId="71618E6E">
      <w:pPr>
        <w:pStyle w:val="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7954155B">
      <w:pPr>
        <w:pStyle w:val="6"/>
        <w:spacing w:beforeAutospacing="0" w:afterAutospacing="0" w:line="0" w:lineRule="atLeast"/>
        <w:ind w:left="420"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日           期：________年____月__</w:t>
      </w:r>
      <w:r>
        <w:rPr>
          <w:rFonts w:hint="eastAsia" w:ascii="宋体" w:hAnsi="宋体" w:eastAsia="宋体" w:cs="宋体"/>
          <w:color w:val="auto"/>
          <w:highlight w:val="none"/>
        </w:rPr>
        <w:t>__日</w:t>
      </w:r>
      <w:r>
        <w:rPr>
          <w:rFonts w:hint="eastAsia" w:ascii="宋体" w:hAnsi="宋体" w:eastAsia="宋体" w:cs="宋体"/>
          <w:color w:val="auto"/>
          <w:highlight w:val="none"/>
          <w:lang w:eastAsia="zh-CN"/>
        </w:rPr>
        <w:t>（加盖公章）</w:t>
      </w:r>
    </w:p>
    <w:p w14:paraId="417B2B1F">
      <w:pPr>
        <w:pStyle w:val="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18BA7E">
      <w:pPr>
        <w:pStyle w:val="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07A7822">
      <w:pPr>
        <w:pStyle w:val="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55E7C70">
      <w:pPr>
        <w:pStyle w:val="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2308290">
      <w:pPr>
        <w:pStyle w:val="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BF12475">
      <w:pPr>
        <w:pStyle w:val="6"/>
        <w:spacing w:beforeAutospacing="0" w:afterAutospacing="0" w:line="0" w:lineRule="atLeast"/>
        <w:ind w:firstLine="240"/>
        <w:jc w:val="center"/>
        <w:rPr>
          <w:rFonts w:hint="eastAsia" w:ascii="宋体" w:hAnsi="宋体" w:eastAsia="宋体" w:cs="宋体"/>
          <w:color w:val="auto"/>
          <w:highlight w:val="none"/>
        </w:rPr>
      </w:pPr>
    </w:p>
    <w:p w14:paraId="49E1E5C2">
      <w:pPr>
        <w:pStyle w:val="6"/>
        <w:spacing w:beforeAutospacing="0" w:afterAutospacing="0" w:line="0" w:lineRule="atLeast"/>
        <w:ind w:firstLine="240"/>
        <w:jc w:val="center"/>
        <w:rPr>
          <w:rFonts w:hint="eastAsia" w:ascii="宋体" w:hAnsi="宋体" w:eastAsia="宋体" w:cs="宋体"/>
          <w:color w:val="auto"/>
          <w:highlight w:val="none"/>
        </w:rPr>
      </w:pPr>
    </w:p>
    <w:p w14:paraId="43427454">
      <w:pPr>
        <w:pStyle w:val="6"/>
        <w:spacing w:beforeAutospacing="0" w:afterAutospacing="0" w:line="0" w:lineRule="atLeast"/>
        <w:ind w:firstLine="240"/>
        <w:jc w:val="center"/>
        <w:rPr>
          <w:rFonts w:hint="eastAsia" w:ascii="宋体" w:hAnsi="宋体" w:eastAsia="宋体" w:cs="宋体"/>
          <w:color w:val="auto"/>
          <w:highlight w:val="none"/>
        </w:rPr>
      </w:pPr>
    </w:p>
    <w:p w14:paraId="176BC3F0">
      <w:pPr>
        <w:pStyle w:val="6"/>
        <w:spacing w:beforeAutospacing="0" w:afterAutospacing="0" w:line="0" w:lineRule="atLeast"/>
        <w:ind w:firstLine="240"/>
        <w:jc w:val="center"/>
        <w:rPr>
          <w:rFonts w:hint="eastAsia" w:ascii="宋体" w:hAnsi="宋体" w:eastAsia="宋体" w:cs="宋体"/>
          <w:color w:val="auto"/>
          <w:highlight w:val="none"/>
        </w:rPr>
      </w:pPr>
    </w:p>
    <w:p w14:paraId="4A6A7BDB">
      <w:pPr>
        <w:pStyle w:val="6"/>
        <w:spacing w:beforeAutospacing="0" w:afterAutospacing="0" w:line="0" w:lineRule="atLeast"/>
        <w:ind w:firstLine="240"/>
        <w:jc w:val="center"/>
        <w:rPr>
          <w:rFonts w:hint="eastAsia" w:ascii="宋体" w:hAnsi="宋体" w:eastAsia="宋体" w:cs="宋体"/>
          <w:color w:val="auto"/>
          <w:highlight w:val="none"/>
        </w:rPr>
      </w:pPr>
    </w:p>
    <w:p w14:paraId="40397B04">
      <w:pPr>
        <w:pStyle w:val="6"/>
        <w:spacing w:beforeAutospacing="0" w:afterAutospacing="0" w:line="0" w:lineRule="atLeast"/>
        <w:ind w:firstLine="240"/>
        <w:jc w:val="center"/>
        <w:rPr>
          <w:rFonts w:hint="eastAsia" w:ascii="宋体" w:hAnsi="宋体" w:eastAsia="宋体" w:cs="宋体"/>
          <w:color w:val="auto"/>
          <w:highlight w:val="none"/>
        </w:rPr>
      </w:pPr>
    </w:p>
    <w:p w14:paraId="71B92B3F">
      <w:pPr>
        <w:pStyle w:val="6"/>
        <w:spacing w:beforeAutospacing="0" w:afterAutospacing="0" w:line="0" w:lineRule="atLeast"/>
        <w:ind w:firstLine="240"/>
        <w:jc w:val="center"/>
        <w:rPr>
          <w:rFonts w:hint="eastAsia" w:ascii="宋体" w:hAnsi="宋体" w:eastAsia="宋体" w:cs="宋体"/>
          <w:color w:val="auto"/>
          <w:highlight w:val="none"/>
        </w:rPr>
      </w:pPr>
    </w:p>
    <w:p w14:paraId="6348F177">
      <w:pPr>
        <w:pStyle w:val="6"/>
        <w:spacing w:beforeAutospacing="0" w:afterAutospacing="0" w:line="0" w:lineRule="atLeast"/>
        <w:ind w:firstLine="240"/>
        <w:jc w:val="center"/>
        <w:rPr>
          <w:rFonts w:hint="eastAsia" w:ascii="宋体" w:hAnsi="宋体" w:eastAsia="宋体" w:cs="宋体"/>
          <w:color w:val="auto"/>
          <w:highlight w:val="none"/>
        </w:rPr>
      </w:pPr>
    </w:p>
    <w:p w14:paraId="07642B1D">
      <w:pPr>
        <w:pStyle w:val="6"/>
        <w:spacing w:beforeAutospacing="0" w:afterAutospacing="0" w:line="0" w:lineRule="atLeast"/>
        <w:ind w:firstLine="240"/>
        <w:jc w:val="center"/>
        <w:rPr>
          <w:rFonts w:hint="eastAsia" w:ascii="宋体" w:hAnsi="宋体" w:eastAsia="宋体" w:cs="宋体"/>
          <w:color w:val="auto"/>
          <w:highlight w:val="none"/>
        </w:rPr>
      </w:pPr>
    </w:p>
    <w:p w14:paraId="4A433E5F">
      <w:pPr>
        <w:pStyle w:val="6"/>
        <w:spacing w:beforeAutospacing="0" w:afterAutospacing="0" w:line="0" w:lineRule="atLeast"/>
        <w:ind w:firstLine="240"/>
        <w:jc w:val="center"/>
        <w:rPr>
          <w:rFonts w:hint="eastAsia" w:ascii="宋体" w:hAnsi="宋体" w:eastAsia="宋体" w:cs="宋体"/>
          <w:color w:val="auto"/>
          <w:highlight w:val="none"/>
        </w:rPr>
      </w:pPr>
    </w:p>
    <w:p w14:paraId="373AC154">
      <w:pPr>
        <w:pStyle w:val="6"/>
        <w:spacing w:beforeAutospacing="0" w:afterAutospacing="0" w:line="0" w:lineRule="atLeast"/>
        <w:ind w:firstLine="240"/>
        <w:jc w:val="center"/>
        <w:rPr>
          <w:rFonts w:hint="eastAsia" w:ascii="宋体" w:hAnsi="宋体" w:eastAsia="宋体" w:cs="宋体"/>
          <w:color w:val="auto"/>
          <w:highlight w:val="none"/>
        </w:rPr>
      </w:pPr>
    </w:p>
    <w:p w14:paraId="17D7E6B8">
      <w:pPr>
        <w:pStyle w:val="6"/>
        <w:spacing w:beforeAutospacing="0" w:afterAutospacing="0" w:line="0" w:lineRule="atLeast"/>
        <w:ind w:firstLine="240"/>
        <w:jc w:val="center"/>
        <w:rPr>
          <w:rFonts w:hint="eastAsia" w:ascii="宋体" w:hAnsi="宋体" w:eastAsia="宋体" w:cs="宋体"/>
          <w:color w:val="auto"/>
          <w:highlight w:val="none"/>
        </w:rPr>
      </w:pPr>
    </w:p>
    <w:p w14:paraId="7419287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十、分项报价表</w:t>
      </w:r>
    </w:p>
    <w:tbl>
      <w:tblPr>
        <w:tblStyle w:val="7"/>
        <w:tblW w:w="9316" w:type="dxa"/>
        <w:tblCellSpacing w:w="0" w:type="dxa"/>
        <w:tblInd w:w="10" w:type="dxa"/>
        <w:tblLayout w:type="fixed"/>
        <w:tblCellMar>
          <w:top w:w="0" w:type="dxa"/>
          <w:left w:w="108" w:type="dxa"/>
          <w:bottom w:w="0" w:type="dxa"/>
          <w:right w:w="108" w:type="dxa"/>
        </w:tblCellMar>
      </w:tblPr>
      <w:tblGrid>
        <w:gridCol w:w="924"/>
        <w:gridCol w:w="1217"/>
        <w:gridCol w:w="1078"/>
        <w:gridCol w:w="1332"/>
        <w:gridCol w:w="878"/>
        <w:gridCol w:w="1129"/>
        <w:gridCol w:w="1286"/>
        <w:gridCol w:w="1472"/>
      </w:tblGrid>
      <w:tr w14:paraId="688DA9A2">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211F65">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51B4">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EB15">
            <w:pPr>
              <w:pStyle w:val="6"/>
              <w:spacing w:beforeAutospacing="0" w:afterAutospacing="0" w:line="0" w:lineRule="atLeas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466B">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E714C">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6E90A">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5</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A0F9">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5344">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w:t>
            </w:r>
          </w:p>
        </w:tc>
      </w:tr>
      <w:tr w14:paraId="660F07AF">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C9ED4">
            <w:pPr>
              <w:rPr>
                <w:rFonts w:hint="eastAsia" w:ascii="宋体" w:hAnsi="宋体" w:eastAsia="宋体" w:cs="宋体"/>
                <w:color w:val="auto"/>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209A">
            <w:pPr>
              <w:pStyle w:val="6"/>
              <w:spacing w:beforeAutospacing="0" w:afterAutospacing="0" w:line="0" w:lineRule="atLeas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分项服务名称</w:t>
            </w:r>
            <w:r>
              <w:rPr>
                <w:rFonts w:hint="eastAsia" w:ascii="宋体" w:hAnsi="宋体" w:eastAsia="宋体" w:cs="宋体"/>
                <w:color w:val="auto"/>
                <w:highlight w:val="none"/>
                <w:lang w:val="en-US" w:eastAsia="zh-CN"/>
              </w:rPr>
              <w:t>/产品名称</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D454">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品牌</w:t>
            </w:r>
            <w:r>
              <w:rPr>
                <w:rFonts w:hint="eastAsia" w:ascii="宋体" w:hAnsi="宋体" w:eastAsia="宋体" w:cs="宋体"/>
                <w:color w:val="auto"/>
                <w:highlight w:val="none"/>
                <w:lang w:eastAsia="zh-CN"/>
              </w:rPr>
              <w:t>、规格</w:t>
            </w:r>
          </w:p>
          <w:p w14:paraId="25D7E284">
            <w:pPr>
              <w:pStyle w:val="6"/>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型号</w:t>
            </w: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823B">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0D31">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9C03">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C867">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w:t>
            </w:r>
          </w:p>
          <w:p w14:paraId="3BCAD464">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D5E5">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w:t>
            </w:r>
          </w:p>
          <w:p w14:paraId="11D5F607">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总价</w:t>
            </w:r>
          </w:p>
        </w:tc>
      </w:tr>
      <w:tr w14:paraId="0D34B97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9A42">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18E4">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E0C5">
            <w:pPr>
              <w:pStyle w:val="6"/>
              <w:spacing w:beforeAutospacing="0" w:afterAutospacing="0" w:line="0" w:lineRule="atLeast"/>
              <w:jc w:val="center"/>
              <w:rPr>
                <w:rFonts w:hint="eastAsia" w:ascii="宋体" w:hAnsi="宋体" w:eastAsia="宋体" w:cs="宋体"/>
                <w:color w:val="auto"/>
                <w:highlight w:val="none"/>
              </w:rPr>
            </w:pP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7C0D">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EEDB">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5157">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3408B">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1351">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F99FEFE">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3391">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91E6">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E03A">
            <w:pPr>
              <w:pStyle w:val="6"/>
              <w:spacing w:beforeAutospacing="0" w:afterAutospacing="0" w:line="0" w:lineRule="atLeast"/>
              <w:jc w:val="center"/>
              <w:rPr>
                <w:rFonts w:hint="eastAsia" w:ascii="宋体" w:hAnsi="宋体" w:eastAsia="宋体" w:cs="宋体"/>
                <w:color w:val="auto"/>
                <w:highlight w:val="none"/>
              </w:rPr>
            </w:pP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57C0">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FFE1">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6B68">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45C3">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71F2">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BD93F7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385C">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7E3E">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4608">
            <w:pPr>
              <w:pStyle w:val="6"/>
              <w:spacing w:beforeAutospacing="0" w:afterAutospacing="0" w:line="0" w:lineRule="atLeast"/>
              <w:jc w:val="center"/>
              <w:rPr>
                <w:rFonts w:hint="eastAsia" w:ascii="宋体" w:hAnsi="宋体" w:eastAsia="宋体" w:cs="宋体"/>
                <w:color w:val="auto"/>
                <w:highlight w:val="none"/>
              </w:rPr>
            </w:pP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E949">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CCA2">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EDBC">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426B7">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A925">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AD3EE5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DF58">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EC78">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4175">
            <w:pPr>
              <w:pStyle w:val="6"/>
              <w:spacing w:beforeAutospacing="0" w:afterAutospacing="0" w:line="0" w:lineRule="atLeast"/>
              <w:jc w:val="center"/>
              <w:rPr>
                <w:rFonts w:hint="eastAsia" w:ascii="宋体" w:hAnsi="宋体" w:eastAsia="宋体" w:cs="宋体"/>
                <w:color w:val="auto"/>
                <w:highlight w:val="none"/>
              </w:rPr>
            </w:pPr>
          </w:p>
        </w:tc>
        <w:tc>
          <w:tcPr>
            <w:tcW w:w="1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7804">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C9EF">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B031">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8A00">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299E">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BAF3CDA">
        <w:tblPrEx>
          <w:tblCellMar>
            <w:top w:w="0" w:type="dxa"/>
            <w:left w:w="108" w:type="dxa"/>
            <w:bottom w:w="0" w:type="dxa"/>
            <w:right w:w="108" w:type="dxa"/>
          </w:tblCellMar>
        </w:tblPrEx>
        <w:trPr>
          <w:trHeight w:val="487" w:hRule="atLeast"/>
          <w:tblCellSpacing w:w="0" w:type="dxa"/>
        </w:trPr>
        <w:tc>
          <w:tcPr>
            <w:tcW w:w="931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A6B3D9D">
            <w:pPr>
              <w:pStyle w:val="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总报价（人民币：元）</w:t>
            </w:r>
          </w:p>
          <w:p w14:paraId="56A1BC39">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D97D8FB">
        <w:tblPrEx>
          <w:tblCellMar>
            <w:top w:w="0" w:type="dxa"/>
            <w:left w:w="108" w:type="dxa"/>
            <w:bottom w:w="0" w:type="dxa"/>
            <w:right w:w="108" w:type="dxa"/>
          </w:tblCellMar>
        </w:tblPrEx>
        <w:trPr>
          <w:trHeight w:val="487" w:hRule="atLeast"/>
          <w:tblCellSpacing w:w="0" w:type="dxa"/>
        </w:trPr>
        <w:tc>
          <w:tcPr>
            <w:tcW w:w="931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73BBC82">
            <w:pPr>
              <w:tabs>
                <w:tab w:val="left" w:pos="5400"/>
              </w:tabs>
              <w:adjustRightInd w:val="0"/>
              <w:spacing w:line="360" w:lineRule="auto"/>
              <w:ind w:firstLine="482" w:firstLineChars="200"/>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合同履行期限：</w:t>
            </w:r>
            <w:r>
              <w:rPr>
                <w:rFonts w:hint="eastAsia" w:ascii="宋体" w:hAnsi="宋体" w:eastAsia="宋体" w:cs="宋体"/>
                <w:color w:val="auto"/>
                <w:kern w:val="0"/>
                <w:sz w:val="24"/>
                <w:szCs w:val="24"/>
                <w:highlight w:val="none"/>
                <w:lang w:val="en-US" w:eastAsia="zh-CN" w:bidi="ar-SA"/>
              </w:rPr>
              <w:t>签订合同后</w:t>
            </w:r>
            <w:r>
              <w:rPr>
                <w:rFonts w:hint="eastAsia" w:ascii="宋体" w:hAnsi="宋体" w:eastAsia="宋体" w:cs="宋体"/>
                <w:color w:val="auto"/>
                <w:kern w:val="0"/>
                <w:sz w:val="24"/>
                <w:szCs w:val="24"/>
                <w:highlight w:val="none"/>
                <w:u w:val="single"/>
                <w:lang w:val="en-US" w:eastAsia="zh-CN" w:bidi="ar-SA"/>
              </w:rPr>
              <w:t>90</w:t>
            </w:r>
            <w:r>
              <w:rPr>
                <w:rFonts w:hint="eastAsia" w:ascii="宋体" w:hAnsi="宋体" w:eastAsia="宋体" w:cs="宋体"/>
                <w:color w:val="auto"/>
                <w:kern w:val="0"/>
                <w:sz w:val="24"/>
                <w:szCs w:val="24"/>
                <w:highlight w:val="none"/>
                <w:lang w:val="en-US" w:eastAsia="zh-CN" w:bidi="ar-SA"/>
              </w:rPr>
              <w:t>日历天内完成安装、调试、验收。</w:t>
            </w:r>
          </w:p>
          <w:p w14:paraId="46599EFF">
            <w:pPr>
              <w:pStyle w:val="6"/>
              <w:spacing w:beforeAutospacing="0" w:afterAutospacing="0" w:line="0" w:lineRule="atLeast"/>
              <w:ind w:firstLine="482" w:firstLineChars="200"/>
              <w:jc w:val="both"/>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SA"/>
              </w:rPr>
              <w:t>运维服务期限：</w:t>
            </w:r>
            <w:r>
              <w:rPr>
                <w:rFonts w:hint="eastAsia" w:ascii="宋体" w:hAnsi="宋体" w:eastAsia="宋体" w:cs="宋体"/>
                <w:color w:val="auto"/>
                <w:kern w:val="0"/>
                <w:sz w:val="24"/>
                <w:szCs w:val="24"/>
                <w:highlight w:val="none"/>
                <w:u w:val="single"/>
                <w:lang w:val="en-US" w:eastAsia="zh-CN" w:bidi="ar-SA"/>
              </w:rPr>
              <w:t>五</w:t>
            </w:r>
            <w:r>
              <w:rPr>
                <w:rFonts w:hint="eastAsia" w:ascii="宋体" w:hAnsi="宋体" w:eastAsia="宋体" w:cs="宋体"/>
                <w:color w:val="auto"/>
                <w:kern w:val="0"/>
                <w:sz w:val="24"/>
                <w:szCs w:val="24"/>
                <w:highlight w:val="none"/>
                <w:lang w:val="en-US" w:eastAsia="zh-CN" w:bidi="ar-SA"/>
              </w:rPr>
              <w:t>年（以验收合格时间为准）。</w:t>
            </w:r>
          </w:p>
        </w:tc>
      </w:tr>
    </w:tbl>
    <w:p w14:paraId="4ABE5ACB">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备注： 报价采用总承包方式，供应商的报价应包括采购人需求的服务（包含与服务相关的货物）价格、所投产品费用、安装调试费、测试验收费、培训费、运行维护费用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质量保证费用、</w:t>
      </w:r>
      <w:r>
        <w:rPr>
          <w:rFonts w:hint="eastAsia" w:ascii="宋体" w:hAnsi="宋体" w:eastAsia="宋体" w:cs="宋体"/>
          <w:color w:val="auto"/>
          <w:highlight w:val="none"/>
          <w:lang w:val="en-US" w:eastAsia="zh-CN"/>
        </w:rPr>
        <w:t>采购代理服务费、</w:t>
      </w:r>
      <w:r>
        <w:rPr>
          <w:rFonts w:hint="eastAsia" w:ascii="宋体" w:hAnsi="宋体" w:eastAsia="宋体" w:cs="宋体"/>
          <w:color w:val="auto"/>
          <w:highlight w:val="none"/>
        </w:rPr>
        <w:t>培训费用及售后服务费用，项目在指定地点、环境交付、税金、国际国内运输保险、报关清关、开证、办理全套免税手续费用及其他有关的为完成本项目发生的其它所有费用。</w:t>
      </w:r>
    </w:p>
    <w:p w14:paraId="72DFF5F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87609DC">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8B2081C">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80D8884">
      <w:pPr>
        <w:pStyle w:val="6"/>
        <w:spacing w:beforeAutospacing="0" w:afterAutospacing="0"/>
        <w:jc w:val="both"/>
        <w:rPr>
          <w:rFonts w:hint="eastAsia" w:ascii="宋体" w:hAnsi="宋体" w:eastAsia="宋体" w:cs="宋体"/>
          <w:color w:val="auto"/>
          <w:highlight w:val="none"/>
        </w:rPr>
      </w:pPr>
    </w:p>
    <w:p w14:paraId="21531AAE">
      <w:pPr>
        <w:pStyle w:val="6"/>
        <w:spacing w:beforeAutospacing="0" w:afterAutospacing="0"/>
        <w:jc w:val="both"/>
        <w:rPr>
          <w:rFonts w:hint="eastAsia" w:ascii="宋体" w:hAnsi="宋体" w:eastAsia="宋体" w:cs="宋体"/>
          <w:color w:val="auto"/>
          <w:highlight w:val="none"/>
        </w:rPr>
      </w:pPr>
    </w:p>
    <w:p w14:paraId="381BD944">
      <w:pPr>
        <w:pStyle w:val="6"/>
        <w:spacing w:beforeAutospacing="0" w:afterAutospacing="0"/>
        <w:jc w:val="both"/>
        <w:rPr>
          <w:rFonts w:hint="eastAsia" w:ascii="宋体" w:hAnsi="宋体" w:eastAsia="宋体" w:cs="宋体"/>
          <w:color w:val="auto"/>
          <w:highlight w:val="none"/>
        </w:rPr>
      </w:pPr>
    </w:p>
    <w:p w14:paraId="22866874">
      <w:pPr>
        <w:pStyle w:val="6"/>
        <w:spacing w:beforeAutospacing="0" w:afterAutospacing="0"/>
        <w:jc w:val="both"/>
        <w:rPr>
          <w:rFonts w:hint="eastAsia" w:ascii="宋体" w:hAnsi="宋体" w:eastAsia="宋体" w:cs="宋体"/>
          <w:color w:val="auto"/>
          <w:highlight w:val="none"/>
        </w:rPr>
      </w:pPr>
    </w:p>
    <w:p w14:paraId="0D98D307">
      <w:pPr>
        <w:pStyle w:val="6"/>
        <w:spacing w:beforeAutospacing="0" w:afterAutospacing="0"/>
        <w:jc w:val="both"/>
        <w:rPr>
          <w:rFonts w:hint="eastAsia" w:ascii="宋体" w:hAnsi="宋体" w:eastAsia="宋体" w:cs="宋体"/>
          <w:color w:val="auto"/>
          <w:highlight w:val="none"/>
        </w:rPr>
      </w:pPr>
    </w:p>
    <w:p w14:paraId="7C4F3540">
      <w:pPr>
        <w:pStyle w:val="6"/>
        <w:spacing w:beforeAutospacing="0" w:afterAutospacing="0"/>
        <w:jc w:val="both"/>
        <w:rPr>
          <w:rFonts w:hint="eastAsia" w:ascii="宋体" w:hAnsi="宋体" w:eastAsia="宋体" w:cs="宋体"/>
          <w:color w:val="auto"/>
          <w:highlight w:val="none"/>
        </w:rPr>
      </w:pPr>
    </w:p>
    <w:p w14:paraId="6DE26F88">
      <w:pPr>
        <w:pStyle w:val="6"/>
        <w:spacing w:beforeAutospacing="0" w:afterAutospacing="0"/>
        <w:jc w:val="both"/>
        <w:rPr>
          <w:rFonts w:hint="eastAsia" w:ascii="宋体" w:hAnsi="宋体" w:eastAsia="宋体" w:cs="宋体"/>
          <w:color w:val="auto"/>
          <w:highlight w:val="none"/>
        </w:rPr>
      </w:pPr>
    </w:p>
    <w:p w14:paraId="1B9F3B6A">
      <w:pPr>
        <w:pStyle w:val="6"/>
        <w:spacing w:beforeAutospacing="0" w:afterAutospacing="0"/>
        <w:jc w:val="both"/>
        <w:rPr>
          <w:rFonts w:hint="eastAsia" w:ascii="宋体" w:hAnsi="宋体" w:eastAsia="宋体" w:cs="宋体"/>
          <w:color w:val="auto"/>
          <w:highlight w:val="none"/>
        </w:rPr>
      </w:pPr>
    </w:p>
    <w:p w14:paraId="28C47FA9">
      <w:pPr>
        <w:pStyle w:val="6"/>
        <w:spacing w:beforeAutospacing="0" w:afterAutospacing="0"/>
        <w:jc w:val="both"/>
        <w:rPr>
          <w:rFonts w:hint="eastAsia" w:ascii="宋体" w:hAnsi="宋体" w:eastAsia="宋体" w:cs="宋体"/>
          <w:color w:val="auto"/>
          <w:highlight w:val="none"/>
        </w:rPr>
      </w:pPr>
    </w:p>
    <w:p w14:paraId="577AFF8C">
      <w:pPr>
        <w:pStyle w:val="6"/>
        <w:spacing w:beforeAutospacing="0" w:afterAutospacing="0"/>
        <w:jc w:val="both"/>
        <w:rPr>
          <w:rFonts w:hint="eastAsia" w:ascii="宋体" w:hAnsi="宋体" w:eastAsia="宋体" w:cs="宋体"/>
          <w:color w:val="auto"/>
          <w:highlight w:val="none"/>
        </w:rPr>
      </w:pPr>
    </w:p>
    <w:p w14:paraId="45CDFEFA">
      <w:pPr>
        <w:pStyle w:val="6"/>
        <w:spacing w:beforeAutospacing="0" w:afterAutospacing="0"/>
        <w:jc w:val="both"/>
        <w:rPr>
          <w:rFonts w:hint="eastAsia" w:ascii="宋体" w:hAnsi="宋体" w:eastAsia="宋体" w:cs="宋体"/>
          <w:color w:val="auto"/>
          <w:highlight w:val="none"/>
        </w:rPr>
      </w:pPr>
    </w:p>
    <w:p w14:paraId="509B4DB0">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F3E576">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BDF9182">
      <w:pPr>
        <w:pStyle w:val="6"/>
        <w:spacing w:beforeAutospacing="0" w:afterAutospacing="0"/>
        <w:jc w:val="both"/>
        <w:rPr>
          <w:rFonts w:hint="eastAsia" w:ascii="宋体" w:hAnsi="宋体" w:eastAsia="宋体" w:cs="宋体"/>
          <w:color w:val="auto"/>
          <w:highlight w:val="none"/>
        </w:rPr>
      </w:pPr>
    </w:p>
    <w:p w14:paraId="3533CD7B">
      <w:pPr>
        <w:pStyle w:val="6"/>
        <w:spacing w:beforeAutospacing="0" w:afterAutospacing="0"/>
        <w:jc w:val="both"/>
        <w:rPr>
          <w:rFonts w:hint="eastAsia" w:ascii="宋体" w:hAnsi="宋体" w:eastAsia="宋体" w:cs="宋体"/>
          <w:color w:val="auto"/>
          <w:highlight w:val="none"/>
        </w:rPr>
      </w:pPr>
    </w:p>
    <w:p w14:paraId="08BB57A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F26A96">
      <w:pPr>
        <w:pStyle w:val="6"/>
        <w:spacing w:beforeAutospacing="0" w:afterAutospacing="0"/>
        <w:jc w:val="both"/>
        <w:rPr>
          <w:rFonts w:hint="eastAsia" w:ascii="宋体" w:hAnsi="宋体" w:eastAsia="宋体" w:cs="宋体"/>
          <w:color w:val="auto"/>
          <w:highlight w:val="none"/>
        </w:rPr>
      </w:pPr>
    </w:p>
    <w:p w14:paraId="1AFDD82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十一、技术要求响应及偏离表</w:t>
      </w:r>
    </w:p>
    <w:tbl>
      <w:tblPr>
        <w:tblStyle w:val="7"/>
        <w:tblW w:w="8520" w:type="dxa"/>
        <w:tblCellSpacing w:w="0" w:type="dxa"/>
        <w:tblInd w:w="10" w:type="dxa"/>
        <w:tblLayout w:type="fixed"/>
        <w:tblCellMar>
          <w:top w:w="0" w:type="dxa"/>
          <w:left w:w="108" w:type="dxa"/>
          <w:bottom w:w="0" w:type="dxa"/>
          <w:right w:w="108" w:type="dxa"/>
        </w:tblCellMar>
      </w:tblPr>
      <w:tblGrid>
        <w:gridCol w:w="538"/>
        <w:gridCol w:w="3026"/>
        <w:gridCol w:w="2016"/>
        <w:gridCol w:w="1839"/>
        <w:gridCol w:w="1101"/>
      </w:tblGrid>
      <w:tr w14:paraId="3BC3C02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744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CC52">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谈判文件要求</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CEAE">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23D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E6FE">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47B590E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58F91D8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5D7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377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9BA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09C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5F7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1E6544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5C9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782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C4DA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5FB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F99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53FB58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951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014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4ECD">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80C2">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F3F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B56CA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BC9E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3AEE">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5B4C">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D2B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4CB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4A207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EE01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1EAB7">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BA67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2872">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241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D877FC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03CD">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558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C4C2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C9A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B55C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BCB81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4BB7">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19C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7E3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85D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190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F465D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5CC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E35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9FE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9C9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83C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0681EC47">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3BFDF3C">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4E1D52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35E8587">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2C68D7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31F228F">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991728">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CAD8033">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B5D07D">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BBCF29">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535CE2">
      <w:pPr>
        <w:pStyle w:val="6"/>
        <w:spacing w:beforeAutospacing="0" w:afterAutospacing="0"/>
        <w:jc w:val="both"/>
        <w:rPr>
          <w:rFonts w:hint="eastAsia" w:ascii="宋体" w:hAnsi="宋体" w:eastAsia="宋体" w:cs="宋体"/>
          <w:color w:val="auto"/>
          <w:highlight w:val="none"/>
        </w:rPr>
      </w:pPr>
    </w:p>
    <w:p w14:paraId="5F773CDC">
      <w:pPr>
        <w:pStyle w:val="6"/>
        <w:spacing w:beforeAutospacing="0" w:afterAutospacing="0"/>
        <w:jc w:val="both"/>
        <w:rPr>
          <w:rFonts w:hint="eastAsia" w:ascii="宋体" w:hAnsi="宋体" w:eastAsia="宋体" w:cs="宋体"/>
          <w:color w:val="auto"/>
          <w:highlight w:val="none"/>
        </w:rPr>
      </w:pPr>
    </w:p>
    <w:p w14:paraId="50880A0D">
      <w:pPr>
        <w:pStyle w:val="6"/>
        <w:spacing w:beforeAutospacing="0" w:afterAutospacing="0"/>
        <w:jc w:val="both"/>
        <w:rPr>
          <w:rFonts w:hint="eastAsia" w:ascii="宋体" w:hAnsi="宋体" w:eastAsia="宋体" w:cs="宋体"/>
          <w:color w:val="auto"/>
          <w:highlight w:val="none"/>
        </w:rPr>
      </w:pPr>
    </w:p>
    <w:p w14:paraId="7EA331EE">
      <w:pPr>
        <w:pStyle w:val="6"/>
        <w:spacing w:beforeAutospacing="0" w:afterAutospacing="0"/>
        <w:jc w:val="both"/>
        <w:rPr>
          <w:rFonts w:hint="eastAsia" w:ascii="宋体" w:hAnsi="宋体" w:eastAsia="宋体" w:cs="宋体"/>
          <w:color w:val="auto"/>
          <w:highlight w:val="none"/>
        </w:rPr>
      </w:pPr>
    </w:p>
    <w:p w14:paraId="6895AFC8">
      <w:pPr>
        <w:pStyle w:val="6"/>
        <w:spacing w:beforeAutospacing="0" w:afterAutospacing="0"/>
        <w:jc w:val="both"/>
        <w:rPr>
          <w:rFonts w:hint="eastAsia" w:ascii="宋体" w:hAnsi="宋体" w:eastAsia="宋体" w:cs="宋体"/>
          <w:color w:val="auto"/>
          <w:highlight w:val="none"/>
        </w:rPr>
      </w:pPr>
    </w:p>
    <w:p w14:paraId="3E06BFD4">
      <w:pPr>
        <w:pStyle w:val="6"/>
        <w:spacing w:beforeAutospacing="0" w:afterAutospacing="0"/>
        <w:jc w:val="both"/>
        <w:rPr>
          <w:rFonts w:hint="eastAsia" w:ascii="宋体" w:hAnsi="宋体" w:eastAsia="宋体" w:cs="宋体"/>
          <w:color w:val="auto"/>
          <w:highlight w:val="none"/>
        </w:rPr>
      </w:pPr>
    </w:p>
    <w:p w14:paraId="53AB190D">
      <w:pPr>
        <w:pStyle w:val="6"/>
        <w:spacing w:beforeAutospacing="0" w:afterAutospacing="0"/>
        <w:jc w:val="both"/>
        <w:rPr>
          <w:rFonts w:hint="eastAsia" w:ascii="宋体" w:hAnsi="宋体" w:eastAsia="宋体" w:cs="宋体"/>
          <w:color w:val="auto"/>
          <w:highlight w:val="none"/>
        </w:rPr>
      </w:pPr>
    </w:p>
    <w:p w14:paraId="431BF4BA">
      <w:pPr>
        <w:pStyle w:val="6"/>
        <w:spacing w:beforeAutospacing="0" w:afterAutospacing="0"/>
        <w:jc w:val="both"/>
        <w:rPr>
          <w:rFonts w:hint="eastAsia" w:ascii="宋体" w:hAnsi="宋体" w:eastAsia="宋体" w:cs="宋体"/>
          <w:color w:val="auto"/>
          <w:highlight w:val="none"/>
        </w:rPr>
      </w:pPr>
    </w:p>
    <w:p w14:paraId="7DDA53EC">
      <w:pPr>
        <w:pStyle w:val="6"/>
        <w:spacing w:beforeAutospacing="0" w:afterAutospacing="0"/>
        <w:jc w:val="both"/>
        <w:rPr>
          <w:rFonts w:hint="eastAsia" w:ascii="宋体" w:hAnsi="宋体" w:eastAsia="宋体" w:cs="宋体"/>
          <w:color w:val="auto"/>
          <w:highlight w:val="none"/>
        </w:rPr>
      </w:pPr>
    </w:p>
    <w:p w14:paraId="6E6CAEB1">
      <w:pPr>
        <w:pStyle w:val="6"/>
        <w:spacing w:beforeAutospacing="0" w:afterAutospacing="0"/>
        <w:jc w:val="both"/>
        <w:rPr>
          <w:rFonts w:hint="eastAsia" w:ascii="宋体" w:hAnsi="宋体" w:eastAsia="宋体" w:cs="宋体"/>
          <w:color w:val="auto"/>
          <w:highlight w:val="none"/>
        </w:rPr>
      </w:pPr>
    </w:p>
    <w:p w14:paraId="317F5C9A">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260B525">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DCAA2DD">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659AF7">
      <w:pPr>
        <w:pStyle w:val="6"/>
        <w:spacing w:beforeAutospacing="0" w:afterAutospacing="0"/>
        <w:jc w:val="center"/>
        <w:rPr>
          <w:rFonts w:hint="eastAsia" w:ascii="宋体" w:hAnsi="宋体" w:eastAsia="宋体" w:cs="宋体"/>
          <w:color w:val="auto"/>
          <w:highlight w:val="none"/>
        </w:rPr>
      </w:pPr>
      <w:bookmarkStart w:id="173" w:name="_Hlt26955054"/>
      <w:r>
        <w:rPr>
          <w:rFonts w:hint="eastAsia" w:ascii="宋体" w:hAnsi="宋体" w:eastAsia="宋体" w:cs="宋体"/>
          <w:b/>
          <w:color w:val="auto"/>
          <w:sz w:val="32"/>
          <w:szCs w:val="32"/>
          <w:highlight w:val="none"/>
        </w:rPr>
        <w:t>十二、商务要求响应及偏离表</w:t>
      </w:r>
    </w:p>
    <w:tbl>
      <w:tblPr>
        <w:tblStyle w:val="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6609AE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B054">
            <w:pPr>
              <w:pStyle w:val="6"/>
              <w:spacing w:beforeAutospacing="0" w:afterAutospacing="0"/>
              <w:jc w:val="center"/>
              <w:rPr>
                <w:rFonts w:hint="eastAsia" w:ascii="宋体" w:hAnsi="宋体" w:eastAsia="宋体" w:cs="宋体"/>
                <w:color w:val="auto"/>
                <w:highlight w:val="none"/>
              </w:rPr>
            </w:pPr>
            <w:bookmarkStart w:id="174" w:name="_Hlt26782999"/>
            <w:bookmarkStart w:id="175" w:name="_Hlt26671372"/>
            <w:bookmarkStart w:id="176" w:name="_Hlt26955064"/>
            <w:bookmarkStart w:id="177" w:name="_Hlt24879081"/>
            <w:bookmarkStart w:id="178" w:name="_Hlt26580838"/>
            <w:bookmarkStart w:id="179" w:name="_Hlt26609391"/>
            <w:bookmarkStart w:id="180" w:name="_Hlt26955056"/>
            <w:bookmarkStart w:id="181" w:name="_Hlt26671343"/>
            <w:r>
              <w:rPr>
                <w:rFonts w:hint="eastAsia" w:ascii="宋体" w:hAnsi="宋体" w:eastAsia="宋体" w:cs="宋体"/>
                <w:color w:val="auto"/>
                <w:highlight w:val="none"/>
              </w:rPr>
              <w:t>序号</w:t>
            </w:r>
          </w:p>
          <w:bookmarkEnd w:id="174"/>
          <w:bookmarkEnd w:id="175"/>
          <w:bookmarkEnd w:id="176"/>
          <w:bookmarkEnd w:id="177"/>
          <w:bookmarkEnd w:id="178"/>
          <w:bookmarkEnd w:id="179"/>
          <w:bookmarkEnd w:id="180"/>
          <w:bookmarkEnd w:id="181"/>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EF8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E23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B0F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C28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1A1BD88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6BD269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9F8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C529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ABD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2FA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FF6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AC946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A1FE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2928">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5E2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417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5FA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32C8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AF01">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237F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B893">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01F2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A70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18A24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F99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F02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AAA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AB66D">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A4D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9F4F83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927E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DDE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F685">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FF8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B47F">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6D17C1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2B57">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4CC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274E">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1B9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A2F0">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690AF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CBDC">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5A9D">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074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D73A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515B">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D22419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B2C6">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4C04">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CCFC">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0A9A">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4049">
            <w:pPr>
              <w:pStyle w:val="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A7F99C9">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08B8F04C">
      <w:pPr>
        <w:pStyle w:val="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9C4AE9">
      <w:pPr>
        <w:pStyle w:val="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16C94F">
      <w:pPr>
        <w:pStyle w:val="6"/>
        <w:spacing w:beforeAutospacing="0" w:afterAutospacing="0" w:line="480" w:lineRule="auto"/>
        <w:jc w:val="both"/>
        <w:rPr>
          <w:rFonts w:hint="eastAsia" w:ascii="宋体" w:hAnsi="宋体" w:eastAsia="宋体" w:cs="宋体"/>
          <w:color w:val="auto"/>
          <w:highlight w:val="none"/>
        </w:rPr>
      </w:pPr>
    </w:p>
    <w:p w14:paraId="057A73BB">
      <w:pPr>
        <w:pStyle w:val="6"/>
        <w:spacing w:beforeAutospacing="0" w:afterAutospacing="0" w:line="480" w:lineRule="auto"/>
        <w:jc w:val="both"/>
        <w:rPr>
          <w:rFonts w:hint="eastAsia" w:ascii="宋体" w:hAnsi="宋体" w:eastAsia="宋体" w:cs="宋体"/>
          <w:color w:val="auto"/>
          <w:highlight w:val="none"/>
        </w:rPr>
      </w:pPr>
    </w:p>
    <w:p w14:paraId="1A9D1451">
      <w:pPr>
        <w:pStyle w:val="6"/>
        <w:spacing w:beforeAutospacing="0" w:afterAutospacing="0" w:line="480" w:lineRule="auto"/>
        <w:jc w:val="both"/>
        <w:rPr>
          <w:rFonts w:hint="eastAsia" w:ascii="宋体" w:hAnsi="宋体" w:eastAsia="宋体" w:cs="宋体"/>
          <w:color w:val="auto"/>
          <w:highlight w:val="none"/>
        </w:rPr>
      </w:pPr>
    </w:p>
    <w:p w14:paraId="4080A9D3">
      <w:pPr>
        <w:pStyle w:val="6"/>
        <w:spacing w:beforeAutospacing="0" w:afterAutospacing="0" w:line="480" w:lineRule="auto"/>
        <w:jc w:val="both"/>
        <w:rPr>
          <w:rFonts w:hint="eastAsia" w:ascii="宋体" w:hAnsi="宋体" w:eastAsia="宋体" w:cs="宋体"/>
          <w:color w:val="auto"/>
          <w:highlight w:val="none"/>
        </w:rPr>
      </w:pPr>
    </w:p>
    <w:p w14:paraId="6ED51F8A">
      <w:pPr>
        <w:pStyle w:val="6"/>
        <w:spacing w:beforeAutospacing="0" w:afterAutospacing="0" w:line="480" w:lineRule="auto"/>
        <w:jc w:val="both"/>
        <w:rPr>
          <w:rFonts w:hint="eastAsia" w:ascii="宋体" w:hAnsi="宋体" w:eastAsia="宋体" w:cs="宋体"/>
          <w:color w:val="auto"/>
          <w:highlight w:val="none"/>
        </w:rPr>
      </w:pPr>
    </w:p>
    <w:p w14:paraId="5A452C28">
      <w:pPr>
        <w:pStyle w:val="6"/>
        <w:spacing w:beforeAutospacing="0" w:afterAutospacing="0" w:line="480" w:lineRule="auto"/>
        <w:jc w:val="both"/>
        <w:rPr>
          <w:rFonts w:hint="eastAsia" w:ascii="宋体" w:hAnsi="宋体" w:eastAsia="宋体" w:cs="宋体"/>
          <w:color w:val="auto"/>
          <w:highlight w:val="none"/>
        </w:rPr>
      </w:pPr>
    </w:p>
    <w:p w14:paraId="438CF955">
      <w:pPr>
        <w:pStyle w:val="6"/>
        <w:spacing w:beforeAutospacing="0" w:afterAutospacing="0" w:line="480" w:lineRule="auto"/>
        <w:jc w:val="both"/>
        <w:rPr>
          <w:rFonts w:hint="eastAsia" w:ascii="宋体" w:hAnsi="宋体" w:eastAsia="宋体" w:cs="宋体"/>
          <w:color w:val="auto"/>
          <w:highlight w:val="none"/>
        </w:rPr>
      </w:pPr>
    </w:p>
    <w:p w14:paraId="5963ED4F">
      <w:pPr>
        <w:pStyle w:val="6"/>
        <w:spacing w:beforeAutospacing="0" w:afterAutospacing="0" w:line="480" w:lineRule="auto"/>
        <w:jc w:val="both"/>
        <w:rPr>
          <w:rFonts w:hint="eastAsia" w:ascii="宋体" w:hAnsi="宋体" w:eastAsia="宋体" w:cs="宋体"/>
          <w:color w:val="auto"/>
          <w:highlight w:val="none"/>
        </w:rPr>
      </w:pPr>
    </w:p>
    <w:p w14:paraId="2952CA24">
      <w:pPr>
        <w:pStyle w:val="6"/>
        <w:spacing w:beforeAutospacing="0" w:afterAutospacing="0" w:line="480" w:lineRule="auto"/>
        <w:jc w:val="both"/>
        <w:rPr>
          <w:rFonts w:hint="eastAsia" w:ascii="宋体" w:hAnsi="宋体" w:eastAsia="宋体" w:cs="宋体"/>
          <w:color w:val="auto"/>
          <w:highlight w:val="none"/>
        </w:rPr>
      </w:pPr>
    </w:p>
    <w:bookmarkEnd w:id="27"/>
    <w:bookmarkEnd w:id="41"/>
    <w:bookmarkEnd w:id="88"/>
    <w:bookmarkEnd w:id="89"/>
    <w:bookmarkEnd w:id="90"/>
    <w:bookmarkEnd w:id="91"/>
    <w:bookmarkEnd w:id="92"/>
    <w:bookmarkEnd w:id="93"/>
    <w:bookmarkEnd w:id="94"/>
    <w:bookmarkEnd w:id="95"/>
    <w:bookmarkEnd w:id="104"/>
    <w:bookmarkEnd w:id="105"/>
    <w:bookmarkEnd w:id="112"/>
    <w:bookmarkEnd w:id="159"/>
    <w:bookmarkEnd w:id="160"/>
    <w:bookmarkEnd w:id="163"/>
    <w:bookmarkEnd w:id="166"/>
    <w:bookmarkEnd w:id="167"/>
    <w:bookmarkEnd w:id="168"/>
    <w:bookmarkEnd w:id="169"/>
    <w:bookmarkEnd w:id="170"/>
    <w:bookmarkEnd w:id="171"/>
    <w:bookmarkEnd w:id="172"/>
    <w:bookmarkEnd w:id="173"/>
    <w:p w14:paraId="768AA614">
      <w:pPr>
        <w:widowControl/>
        <w:spacing w:before="50" w:after="50"/>
        <w:jc w:val="center"/>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十三、技术方案、服务承诺、培训承诺等</w:t>
      </w:r>
    </w:p>
    <w:p w14:paraId="17030BB2">
      <w:pPr>
        <w:pStyle w:val="6"/>
        <w:tabs>
          <w:tab w:val="left" w:pos="2160"/>
        </w:tabs>
        <w:spacing w:beforeAutospacing="0" w:afterAutospacing="0"/>
        <w:jc w:val="both"/>
        <w:rPr>
          <w:rFonts w:hint="eastAsia" w:ascii="宋体" w:hAnsi="宋体" w:eastAsia="宋体" w:cs="宋体"/>
          <w:color w:val="auto"/>
          <w:highlight w:val="none"/>
        </w:rPr>
      </w:pPr>
    </w:p>
    <w:p w14:paraId="0FD43C41">
      <w:pPr>
        <w:widowControl/>
        <w:spacing w:line="499" w:lineRule="atLeast"/>
        <w:ind w:firstLine="1600"/>
        <w:rPr>
          <w:rFonts w:hint="eastAsia" w:ascii="宋体" w:hAnsi="宋体" w:eastAsia="宋体" w:cs="宋体"/>
          <w:color w:val="auto"/>
          <w:sz w:val="32"/>
          <w:szCs w:val="32"/>
          <w:highlight w:val="none"/>
        </w:rPr>
      </w:pPr>
    </w:p>
    <w:p w14:paraId="50945DE1">
      <w:pPr>
        <w:widowControl/>
        <w:spacing w:line="499" w:lineRule="atLeast"/>
        <w:ind w:firstLine="1600"/>
        <w:rPr>
          <w:rFonts w:hint="eastAsia" w:ascii="宋体" w:hAnsi="宋体" w:eastAsia="宋体" w:cs="宋体"/>
          <w:color w:val="auto"/>
          <w:sz w:val="32"/>
          <w:szCs w:val="32"/>
          <w:highlight w:val="none"/>
        </w:rPr>
      </w:pPr>
    </w:p>
    <w:p w14:paraId="070E5B20">
      <w:pPr>
        <w:widowControl/>
        <w:spacing w:line="499" w:lineRule="atLeast"/>
        <w:ind w:firstLine="1600"/>
        <w:rPr>
          <w:rFonts w:hint="eastAsia" w:ascii="宋体" w:hAnsi="宋体" w:eastAsia="宋体" w:cs="宋体"/>
          <w:color w:val="auto"/>
          <w:sz w:val="32"/>
          <w:szCs w:val="32"/>
          <w:highlight w:val="none"/>
        </w:rPr>
      </w:pPr>
    </w:p>
    <w:p w14:paraId="68A74AF1">
      <w:pPr>
        <w:widowControl/>
        <w:spacing w:line="499" w:lineRule="atLeast"/>
        <w:ind w:firstLine="1600"/>
        <w:rPr>
          <w:rFonts w:hint="eastAsia" w:ascii="宋体" w:hAnsi="宋体" w:eastAsia="宋体" w:cs="宋体"/>
          <w:color w:val="auto"/>
          <w:sz w:val="32"/>
          <w:szCs w:val="32"/>
          <w:highlight w:val="none"/>
        </w:rPr>
      </w:pPr>
    </w:p>
    <w:p w14:paraId="2F9B5152">
      <w:pPr>
        <w:widowControl/>
        <w:spacing w:line="499" w:lineRule="atLeast"/>
        <w:ind w:firstLine="1600"/>
        <w:rPr>
          <w:rFonts w:hint="eastAsia" w:ascii="宋体" w:hAnsi="宋体" w:eastAsia="宋体" w:cs="宋体"/>
          <w:color w:val="auto"/>
          <w:sz w:val="32"/>
          <w:szCs w:val="32"/>
          <w:highlight w:val="none"/>
        </w:rPr>
      </w:pPr>
    </w:p>
    <w:p w14:paraId="1B6EDCC1">
      <w:pPr>
        <w:widowControl/>
        <w:spacing w:line="499" w:lineRule="atLeast"/>
        <w:ind w:firstLine="1600"/>
        <w:rPr>
          <w:rFonts w:hint="eastAsia" w:ascii="宋体" w:hAnsi="宋体" w:eastAsia="宋体" w:cs="宋体"/>
          <w:color w:val="auto"/>
          <w:sz w:val="32"/>
          <w:szCs w:val="32"/>
          <w:highlight w:val="none"/>
        </w:rPr>
      </w:pPr>
    </w:p>
    <w:p w14:paraId="0B85A292">
      <w:pPr>
        <w:widowControl/>
        <w:spacing w:line="499" w:lineRule="atLeast"/>
        <w:ind w:firstLine="1600"/>
        <w:rPr>
          <w:rFonts w:hint="eastAsia" w:ascii="宋体" w:hAnsi="宋体" w:eastAsia="宋体" w:cs="宋体"/>
          <w:color w:val="auto"/>
          <w:sz w:val="32"/>
          <w:szCs w:val="32"/>
          <w:highlight w:val="none"/>
        </w:rPr>
      </w:pPr>
    </w:p>
    <w:p w14:paraId="51B33191">
      <w:pPr>
        <w:widowControl/>
        <w:spacing w:line="499" w:lineRule="atLeast"/>
        <w:ind w:firstLine="1600"/>
        <w:rPr>
          <w:rFonts w:hint="eastAsia" w:ascii="宋体" w:hAnsi="宋体" w:eastAsia="宋体" w:cs="宋体"/>
          <w:color w:val="auto"/>
          <w:sz w:val="32"/>
          <w:szCs w:val="32"/>
          <w:highlight w:val="none"/>
        </w:rPr>
      </w:pPr>
    </w:p>
    <w:p w14:paraId="69EFA0A5">
      <w:pPr>
        <w:widowControl/>
        <w:spacing w:line="499" w:lineRule="atLeast"/>
        <w:ind w:firstLine="1600"/>
        <w:rPr>
          <w:rFonts w:hint="eastAsia" w:ascii="宋体" w:hAnsi="宋体" w:eastAsia="宋体" w:cs="宋体"/>
          <w:color w:val="auto"/>
          <w:sz w:val="32"/>
          <w:szCs w:val="32"/>
          <w:highlight w:val="none"/>
        </w:rPr>
      </w:pPr>
    </w:p>
    <w:p w14:paraId="7FB5F1C1">
      <w:pPr>
        <w:widowControl/>
        <w:spacing w:line="499" w:lineRule="atLeast"/>
        <w:ind w:firstLine="1600"/>
        <w:rPr>
          <w:rFonts w:hint="eastAsia" w:ascii="宋体" w:hAnsi="宋体" w:eastAsia="宋体" w:cs="宋体"/>
          <w:color w:val="auto"/>
          <w:sz w:val="32"/>
          <w:szCs w:val="32"/>
          <w:highlight w:val="none"/>
        </w:rPr>
      </w:pPr>
    </w:p>
    <w:p w14:paraId="1E22EC1C">
      <w:pPr>
        <w:widowControl/>
        <w:spacing w:line="499" w:lineRule="atLeast"/>
        <w:ind w:firstLine="1600"/>
        <w:rPr>
          <w:rFonts w:hint="eastAsia" w:ascii="宋体" w:hAnsi="宋体" w:eastAsia="宋体" w:cs="宋体"/>
          <w:color w:val="auto"/>
          <w:sz w:val="32"/>
          <w:szCs w:val="32"/>
          <w:highlight w:val="none"/>
        </w:rPr>
      </w:pPr>
    </w:p>
    <w:p w14:paraId="2D077370">
      <w:pPr>
        <w:widowControl/>
        <w:spacing w:line="499" w:lineRule="atLeast"/>
        <w:ind w:firstLine="1600"/>
        <w:rPr>
          <w:rFonts w:hint="eastAsia" w:ascii="宋体" w:hAnsi="宋体" w:eastAsia="宋体" w:cs="宋体"/>
          <w:color w:val="auto"/>
          <w:sz w:val="32"/>
          <w:szCs w:val="32"/>
          <w:highlight w:val="none"/>
        </w:rPr>
      </w:pPr>
    </w:p>
    <w:p w14:paraId="3A5F1AE6">
      <w:pPr>
        <w:widowControl/>
        <w:spacing w:line="499" w:lineRule="atLeast"/>
        <w:ind w:firstLine="1600"/>
        <w:rPr>
          <w:rFonts w:hint="eastAsia" w:ascii="宋体" w:hAnsi="宋体" w:eastAsia="宋体" w:cs="宋体"/>
          <w:color w:val="auto"/>
          <w:sz w:val="32"/>
          <w:szCs w:val="32"/>
          <w:highlight w:val="none"/>
        </w:rPr>
      </w:pPr>
    </w:p>
    <w:p w14:paraId="571784CA">
      <w:pPr>
        <w:widowControl/>
        <w:spacing w:line="499" w:lineRule="atLeast"/>
        <w:ind w:firstLine="1600"/>
        <w:rPr>
          <w:rFonts w:hint="eastAsia" w:ascii="宋体" w:hAnsi="宋体" w:eastAsia="宋体" w:cs="宋体"/>
          <w:color w:val="auto"/>
          <w:sz w:val="32"/>
          <w:szCs w:val="32"/>
          <w:highlight w:val="none"/>
        </w:rPr>
      </w:pPr>
    </w:p>
    <w:p w14:paraId="1B7411F5">
      <w:pPr>
        <w:widowControl/>
        <w:spacing w:line="499" w:lineRule="atLeast"/>
        <w:ind w:firstLine="1600"/>
        <w:rPr>
          <w:rFonts w:hint="eastAsia" w:ascii="宋体" w:hAnsi="宋体" w:eastAsia="宋体" w:cs="宋体"/>
          <w:color w:val="auto"/>
          <w:sz w:val="32"/>
          <w:szCs w:val="32"/>
          <w:highlight w:val="none"/>
        </w:rPr>
      </w:pPr>
    </w:p>
    <w:p w14:paraId="205546A0">
      <w:pPr>
        <w:widowControl/>
        <w:spacing w:line="499" w:lineRule="atLeast"/>
        <w:ind w:firstLine="1600"/>
        <w:rPr>
          <w:rFonts w:hint="eastAsia" w:ascii="宋体" w:hAnsi="宋体" w:eastAsia="宋体" w:cs="宋体"/>
          <w:color w:val="auto"/>
          <w:sz w:val="32"/>
          <w:szCs w:val="32"/>
          <w:highlight w:val="none"/>
        </w:rPr>
      </w:pPr>
    </w:p>
    <w:p w14:paraId="6E768B58">
      <w:pPr>
        <w:widowControl/>
        <w:spacing w:line="499" w:lineRule="atLeast"/>
        <w:ind w:firstLine="1600"/>
        <w:rPr>
          <w:rFonts w:hint="eastAsia" w:ascii="宋体" w:hAnsi="宋体" w:eastAsia="宋体" w:cs="宋体"/>
          <w:color w:val="auto"/>
          <w:sz w:val="32"/>
          <w:szCs w:val="32"/>
          <w:highlight w:val="none"/>
        </w:rPr>
      </w:pPr>
    </w:p>
    <w:p w14:paraId="0445DFCD">
      <w:pPr>
        <w:widowControl/>
        <w:spacing w:line="499" w:lineRule="atLeast"/>
        <w:ind w:firstLine="1600"/>
        <w:rPr>
          <w:rFonts w:hint="eastAsia" w:ascii="宋体" w:hAnsi="宋体" w:eastAsia="宋体" w:cs="宋体"/>
          <w:color w:val="auto"/>
          <w:sz w:val="32"/>
          <w:szCs w:val="32"/>
          <w:highlight w:val="none"/>
        </w:rPr>
      </w:pPr>
    </w:p>
    <w:p w14:paraId="46D96CED">
      <w:pPr>
        <w:widowControl/>
        <w:spacing w:line="499" w:lineRule="atLeast"/>
        <w:ind w:firstLine="1600"/>
        <w:rPr>
          <w:rFonts w:hint="eastAsia" w:ascii="宋体" w:hAnsi="宋体" w:eastAsia="宋体" w:cs="宋体"/>
          <w:color w:val="auto"/>
          <w:sz w:val="32"/>
          <w:szCs w:val="32"/>
          <w:highlight w:val="none"/>
        </w:rPr>
      </w:pPr>
    </w:p>
    <w:p w14:paraId="7A583155">
      <w:pPr>
        <w:widowControl/>
        <w:spacing w:line="499" w:lineRule="atLeast"/>
        <w:ind w:firstLine="1600"/>
        <w:rPr>
          <w:rFonts w:hint="eastAsia" w:ascii="宋体" w:hAnsi="宋体" w:eastAsia="宋体" w:cs="宋体"/>
          <w:color w:val="auto"/>
          <w:sz w:val="32"/>
          <w:szCs w:val="32"/>
          <w:highlight w:val="none"/>
        </w:rPr>
      </w:pPr>
    </w:p>
    <w:p w14:paraId="509C50B1">
      <w:pPr>
        <w:widowControl/>
        <w:spacing w:line="499" w:lineRule="atLeast"/>
        <w:ind w:firstLine="16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十四、盐城市政府采购事前信用承诺书</w:t>
      </w:r>
    </w:p>
    <w:p w14:paraId="422A56F7">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41F1289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69EDF7AA">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1264CF">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8552A55">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3D40A279">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0D80E448">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534734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640E873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D6F60C7">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D9236A6">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7885E362">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041CA84">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 月 日</w:t>
      </w:r>
    </w:p>
    <w:p w14:paraId="4E733513">
      <w:pPr>
        <w:pStyle w:val="6"/>
        <w:spacing w:beforeAutospacing="0" w:afterAutospacing="0"/>
        <w:jc w:val="center"/>
        <w:rPr>
          <w:rFonts w:hint="eastAsia" w:ascii="宋体" w:hAnsi="宋体" w:eastAsia="宋体" w:cs="宋体"/>
          <w:color w:val="auto"/>
          <w:highlight w:val="none"/>
        </w:rPr>
      </w:pPr>
    </w:p>
    <w:p w14:paraId="674E2E8C">
      <w:pPr>
        <w:rPr>
          <w:rFonts w:hint="eastAsia" w:ascii="宋体" w:hAnsi="宋体" w:eastAsia="宋体" w:cs="宋体"/>
          <w:color w:val="auto"/>
          <w:highlight w:val="none"/>
        </w:rPr>
      </w:pPr>
    </w:p>
    <w:p w14:paraId="4FD9BD83">
      <w:pPr>
        <w:pStyle w:val="6"/>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41BD27A">
      <w:pPr>
        <w:pStyle w:val="6"/>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6A37AAD2">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D5D062E">
      <w:pPr>
        <w:pStyle w:val="6"/>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7C65DA4">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16E35BF">
      <w:pPr>
        <w:pStyle w:val="6"/>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68BD988">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4D560D7">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5F6933">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948F12E">
      <w:pPr>
        <w:pStyle w:val="6"/>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7703FA">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5FBD048">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4DB35B29">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1EFEDB9">
      <w:pPr>
        <w:pStyle w:val="6"/>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3A7D3B06">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47F0ACC">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4E8AA81">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7218E513">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23CDE08">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DD23F4C">
      <w:pPr>
        <w:pStyle w:val="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0432DA93">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6482C245">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1558EBDB">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71AC3E29">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2BECCB9D">
      <w:pPr>
        <w:pStyle w:val="6"/>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E7E7F71">
      <w:pPr>
        <w:pStyle w:val="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C649931">
      <w:pPr>
        <w:pStyle w:val="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4641A235">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789301BC">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委托代理人”的有关内容，并在附件中提交由质疑供应商签署的授权委托书。授权委托书应载明代理人的姓名或者名称、代理事项、具体权限、期限和相关事项。</w:t>
      </w:r>
    </w:p>
    <w:p w14:paraId="7C545E2D">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7C7570A3">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5F01F4F">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28128F7">
      <w:pPr>
        <w:pStyle w:val="6"/>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6.质疑供应商为自然人的，质疑函应由本人签字；质疑供应商为法人或者其他组织的，质疑函应由法定代表人、主要负责人，或者其委托代理人签字或者盖章，并加盖公章。</w:t>
      </w:r>
    </w:p>
    <w:p w14:paraId="22976029">
      <w:pPr>
        <w:pStyle w:val="6"/>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37AA07A">
      <w:pPr>
        <w:rPr>
          <w:rFonts w:hint="eastAsia" w:ascii="宋体" w:hAnsi="宋体" w:eastAsia="宋体" w:cs="宋体"/>
          <w:color w:val="auto"/>
          <w:highlight w:val="none"/>
        </w:rPr>
      </w:pPr>
    </w:p>
    <w:p w14:paraId="3941BF08">
      <w:pPr>
        <w:rPr>
          <w:rFonts w:hint="eastAsia" w:ascii="宋体" w:hAnsi="宋体" w:eastAsia="宋体" w:cs="宋体"/>
          <w:color w:val="auto"/>
          <w:highlight w:val="none"/>
        </w:rPr>
      </w:pPr>
    </w:p>
    <w:p w14:paraId="06CA76F8">
      <w:pPr>
        <w:pStyle w:val="6"/>
        <w:spacing w:beforeAutospacing="0" w:afterAutospacing="0"/>
        <w:jc w:val="center"/>
        <w:rPr>
          <w:rFonts w:hint="eastAsia" w:ascii="宋体" w:hAnsi="宋体" w:eastAsia="宋体" w:cs="宋体"/>
          <w:color w:val="auto"/>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6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8C35C7"/>
    <w:multiLevelType w:val="singleLevel"/>
    <w:tmpl w:val="F18C35C7"/>
    <w:lvl w:ilvl="0" w:tentative="0">
      <w:start w:val="3"/>
      <w:numFmt w:val="chineseCounting"/>
      <w:suff w:val="nothing"/>
      <w:lvlText w:val="%1、"/>
      <w:lvlJc w:val="left"/>
      <w:rPr>
        <w:rFonts w:hint="eastAsia"/>
      </w:rPr>
    </w:lvl>
  </w:abstractNum>
  <w:abstractNum w:abstractNumId="1">
    <w:nsid w:val="3A0C6619"/>
    <w:multiLevelType w:val="singleLevel"/>
    <w:tmpl w:val="3A0C6619"/>
    <w:lvl w:ilvl="0" w:tentative="0">
      <w:start w:val="33"/>
      <w:numFmt w:val="decimal"/>
      <w:suff w:val="nothing"/>
      <w:lvlText w:val="%1、"/>
      <w:lvlJc w:val="left"/>
    </w:lvl>
  </w:abstractNum>
  <w:abstractNum w:abstractNumId="2">
    <w:nsid w:val="6AF4837B"/>
    <w:multiLevelType w:val="singleLevel"/>
    <w:tmpl w:val="6AF4837B"/>
    <w:lvl w:ilvl="0" w:tentative="0">
      <w:start w:val="3"/>
      <w:numFmt w:val="decimal"/>
      <w:suff w:val="nothing"/>
      <w:lvlText w:val="%1、"/>
      <w:lvlJc w:val="left"/>
    </w:lvl>
  </w:abstractNum>
  <w:abstractNum w:abstractNumId="3">
    <w:nsid w:val="6F3ED9AD"/>
    <w:multiLevelType w:val="singleLevel"/>
    <w:tmpl w:val="6F3ED9AD"/>
    <w:lvl w:ilvl="0" w:tentative="0">
      <w:start w:val="1"/>
      <w:numFmt w:val="chineseCounting"/>
      <w:suff w:val="nothing"/>
      <w:lvlText w:val="%1、"/>
      <w:lvlJc w:val="left"/>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15C33"/>
    <w:rsid w:val="000519DB"/>
    <w:rsid w:val="000B6058"/>
    <w:rsid w:val="00172A27"/>
    <w:rsid w:val="001F04E3"/>
    <w:rsid w:val="002173A0"/>
    <w:rsid w:val="002A4E99"/>
    <w:rsid w:val="003900C7"/>
    <w:rsid w:val="00447269"/>
    <w:rsid w:val="004529E6"/>
    <w:rsid w:val="00460BA9"/>
    <w:rsid w:val="00463848"/>
    <w:rsid w:val="004C0AA7"/>
    <w:rsid w:val="004F36D8"/>
    <w:rsid w:val="005107E6"/>
    <w:rsid w:val="00545247"/>
    <w:rsid w:val="006014D4"/>
    <w:rsid w:val="0069065B"/>
    <w:rsid w:val="006F0739"/>
    <w:rsid w:val="008A770C"/>
    <w:rsid w:val="00997378"/>
    <w:rsid w:val="009C1120"/>
    <w:rsid w:val="00A54D6F"/>
    <w:rsid w:val="00A937A2"/>
    <w:rsid w:val="00BD6304"/>
    <w:rsid w:val="00C80A8D"/>
    <w:rsid w:val="00CE7224"/>
    <w:rsid w:val="00D550E3"/>
    <w:rsid w:val="00D9577C"/>
    <w:rsid w:val="00EC2235"/>
    <w:rsid w:val="00F24641"/>
    <w:rsid w:val="00F61032"/>
    <w:rsid w:val="00FD2179"/>
    <w:rsid w:val="00FE254C"/>
    <w:rsid w:val="014036E0"/>
    <w:rsid w:val="015C3D17"/>
    <w:rsid w:val="027A75D8"/>
    <w:rsid w:val="02851591"/>
    <w:rsid w:val="02BD5381"/>
    <w:rsid w:val="02D505AD"/>
    <w:rsid w:val="02EC06FE"/>
    <w:rsid w:val="034E4AD1"/>
    <w:rsid w:val="037E0789"/>
    <w:rsid w:val="04CB5FDF"/>
    <w:rsid w:val="04CF1FA6"/>
    <w:rsid w:val="056E5657"/>
    <w:rsid w:val="059960DD"/>
    <w:rsid w:val="062C42CE"/>
    <w:rsid w:val="067D77AC"/>
    <w:rsid w:val="068A6E34"/>
    <w:rsid w:val="07994E3B"/>
    <w:rsid w:val="07A02A3F"/>
    <w:rsid w:val="07A40F48"/>
    <w:rsid w:val="07D21D7A"/>
    <w:rsid w:val="0854758E"/>
    <w:rsid w:val="08992D34"/>
    <w:rsid w:val="09132265"/>
    <w:rsid w:val="09975029"/>
    <w:rsid w:val="0A176CD8"/>
    <w:rsid w:val="0AAC1C8D"/>
    <w:rsid w:val="0ABC363A"/>
    <w:rsid w:val="0AD8294B"/>
    <w:rsid w:val="0B4B3B00"/>
    <w:rsid w:val="0B8A23C1"/>
    <w:rsid w:val="0BAE3813"/>
    <w:rsid w:val="0D4D2FC1"/>
    <w:rsid w:val="0E0362D5"/>
    <w:rsid w:val="0E966A8C"/>
    <w:rsid w:val="0EE61CD2"/>
    <w:rsid w:val="0EEE68A8"/>
    <w:rsid w:val="0F6D24BC"/>
    <w:rsid w:val="0F7D537E"/>
    <w:rsid w:val="0FAB0EE6"/>
    <w:rsid w:val="10007707"/>
    <w:rsid w:val="11AB711C"/>
    <w:rsid w:val="124675EC"/>
    <w:rsid w:val="12F015A0"/>
    <w:rsid w:val="139513AE"/>
    <w:rsid w:val="13B93252"/>
    <w:rsid w:val="14477BA7"/>
    <w:rsid w:val="14BA7E1E"/>
    <w:rsid w:val="169263C8"/>
    <w:rsid w:val="16A61788"/>
    <w:rsid w:val="17666D47"/>
    <w:rsid w:val="18BC4109"/>
    <w:rsid w:val="193260E4"/>
    <w:rsid w:val="19835197"/>
    <w:rsid w:val="1A226249"/>
    <w:rsid w:val="1A4F2C83"/>
    <w:rsid w:val="1AD2708F"/>
    <w:rsid w:val="1B3A35E0"/>
    <w:rsid w:val="1B587EB9"/>
    <w:rsid w:val="1B5F5046"/>
    <w:rsid w:val="1B9509DF"/>
    <w:rsid w:val="1BA002D8"/>
    <w:rsid w:val="1CAC4347"/>
    <w:rsid w:val="1D1C1092"/>
    <w:rsid w:val="1D605A5A"/>
    <w:rsid w:val="1DFD1285"/>
    <w:rsid w:val="1E032835"/>
    <w:rsid w:val="1E262080"/>
    <w:rsid w:val="1E780B2E"/>
    <w:rsid w:val="1EC70509"/>
    <w:rsid w:val="1F4A0271"/>
    <w:rsid w:val="1FC7762D"/>
    <w:rsid w:val="20733730"/>
    <w:rsid w:val="20A83FAF"/>
    <w:rsid w:val="215025DE"/>
    <w:rsid w:val="21A600A9"/>
    <w:rsid w:val="21CC717D"/>
    <w:rsid w:val="22424AA4"/>
    <w:rsid w:val="22F62B8A"/>
    <w:rsid w:val="23254D08"/>
    <w:rsid w:val="23534E2B"/>
    <w:rsid w:val="242C02D7"/>
    <w:rsid w:val="24533DC2"/>
    <w:rsid w:val="24DF1DD4"/>
    <w:rsid w:val="2532334D"/>
    <w:rsid w:val="26750FF7"/>
    <w:rsid w:val="268A7650"/>
    <w:rsid w:val="27194423"/>
    <w:rsid w:val="27290FC5"/>
    <w:rsid w:val="28FE41FC"/>
    <w:rsid w:val="29345C52"/>
    <w:rsid w:val="2996274E"/>
    <w:rsid w:val="2A4648B7"/>
    <w:rsid w:val="2B005440"/>
    <w:rsid w:val="2B413861"/>
    <w:rsid w:val="2BBE7D9C"/>
    <w:rsid w:val="2C03574A"/>
    <w:rsid w:val="2C7B3B05"/>
    <w:rsid w:val="2CA41064"/>
    <w:rsid w:val="2CC277F5"/>
    <w:rsid w:val="2D5E5D04"/>
    <w:rsid w:val="2DD27A22"/>
    <w:rsid w:val="2E5E7AF7"/>
    <w:rsid w:val="2ECD6C74"/>
    <w:rsid w:val="2EE73822"/>
    <w:rsid w:val="2F1F2B17"/>
    <w:rsid w:val="2F8A06C1"/>
    <w:rsid w:val="2FAD4FD9"/>
    <w:rsid w:val="2FB346FB"/>
    <w:rsid w:val="2FE1763D"/>
    <w:rsid w:val="2FFA5778"/>
    <w:rsid w:val="30495C84"/>
    <w:rsid w:val="30650005"/>
    <w:rsid w:val="310333AD"/>
    <w:rsid w:val="31522189"/>
    <w:rsid w:val="329E6CD8"/>
    <w:rsid w:val="33440753"/>
    <w:rsid w:val="33773E42"/>
    <w:rsid w:val="34E14EA2"/>
    <w:rsid w:val="34E346A0"/>
    <w:rsid w:val="359B1151"/>
    <w:rsid w:val="35AD49A2"/>
    <w:rsid w:val="36172BC3"/>
    <w:rsid w:val="36CA3005"/>
    <w:rsid w:val="36CC7C95"/>
    <w:rsid w:val="36EB650A"/>
    <w:rsid w:val="378133A9"/>
    <w:rsid w:val="379E11AD"/>
    <w:rsid w:val="383A233E"/>
    <w:rsid w:val="39101F1B"/>
    <w:rsid w:val="392D7EB3"/>
    <w:rsid w:val="39720FC7"/>
    <w:rsid w:val="39CD52E9"/>
    <w:rsid w:val="3A103EB8"/>
    <w:rsid w:val="3A64388F"/>
    <w:rsid w:val="3B0B043D"/>
    <w:rsid w:val="3BDF2457"/>
    <w:rsid w:val="3D23372C"/>
    <w:rsid w:val="3DF80C94"/>
    <w:rsid w:val="3E064F5A"/>
    <w:rsid w:val="3E161B6B"/>
    <w:rsid w:val="3E7F5998"/>
    <w:rsid w:val="3F0056DB"/>
    <w:rsid w:val="3F1A3023"/>
    <w:rsid w:val="3F243A9D"/>
    <w:rsid w:val="40350295"/>
    <w:rsid w:val="40514D88"/>
    <w:rsid w:val="406E1D8D"/>
    <w:rsid w:val="42053C57"/>
    <w:rsid w:val="42214BD9"/>
    <w:rsid w:val="42324DFA"/>
    <w:rsid w:val="425A6618"/>
    <w:rsid w:val="431353F3"/>
    <w:rsid w:val="43455446"/>
    <w:rsid w:val="436A2680"/>
    <w:rsid w:val="44DA072F"/>
    <w:rsid w:val="454D0F8E"/>
    <w:rsid w:val="45D65FB6"/>
    <w:rsid w:val="45FC0A54"/>
    <w:rsid w:val="461D469A"/>
    <w:rsid w:val="466976E6"/>
    <w:rsid w:val="46EA0CE7"/>
    <w:rsid w:val="470D4256"/>
    <w:rsid w:val="472208AE"/>
    <w:rsid w:val="47704C41"/>
    <w:rsid w:val="47B925F3"/>
    <w:rsid w:val="48910AEC"/>
    <w:rsid w:val="48B3170D"/>
    <w:rsid w:val="493C7DE9"/>
    <w:rsid w:val="4A1E13B4"/>
    <w:rsid w:val="4A2C49B0"/>
    <w:rsid w:val="4A7D1B0F"/>
    <w:rsid w:val="4AAC50D1"/>
    <w:rsid w:val="4C5A2B74"/>
    <w:rsid w:val="4D2D20D9"/>
    <w:rsid w:val="4D596A0B"/>
    <w:rsid w:val="4DA074F7"/>
    <w:rsid w:val="4DA33F07"/>
    <w:rsid w:val="4DDE52C0"/>
    <w:rsid w:val="4F027E1C"/>
    <w:rsid w:val="4F1F09CE"/>
    <w:rsid w:val="50100AB3"/>
    <w:rsid w:val="50A1397F"/>
    <w:rsid w:val="51C75DFE"/>
    <w:rsid w:val="51D4384D"/>
    <w:rsid w:val="52741FCB"/>
    <w:rsid w:val="52D06B10"/>
    <w:rsid w:val="53536515"/>
    <w:rsid w:val="536B21BA"/>
    <w:rsid w:val="53A862CC"/>
    <w:rsid w:val="53B155BB"/>
    <w:rsid w:val="542A0FDA"/>
    <w:rsid w:val="54ED53D0"/>
    <w:rsid w:val="54F161CB"/>
    <w:rsid w:val="55091CCC"/>
    <w:rsid w:val="5560764A"/>
    <w:rsid w:val="56307253"/>
    <w:rsid w:val="56453199"/>
    <w:rsid w:val="577C44E3"/>
    <w:rsid w:val="582F6DAB"/>
    <w:rsid w:val="58AD45AF"/>
    <w:rsid w:val="58D4718C"/>
    <w:rsid w:val="59A82CA5"/>
    <w:rsid w:val="5AD536B4"/>
    <w:rsid w:val="5AEA4CCC"/>
    <w:rsid w:val="5B031B11"/>
    <w:rsid w:val="5B96574B"/>
    <w:rsid w:val="5C5A652B"/>
    <w:rsid w:val="5D777C27"/>
    <w:rsid w:val="5DE138D8"/>
    <w:rsid w:val="5E1921ED"/>
    <w:rsid w:val="5E1E1411"/>
    <w:rsid w:val="5EDC2437"/>
    <w:rsid w:val="5F7D5E8E"/>
    <w:rsid w:val="5F7F522A"/>
    <w:rsid w:val="5F9920D6"/>
    <w:rsid w:val="60107EBF"/>
    <w:rsid w:val="601337BB"/>
    <w:rsid w:val="618F13C5"/>
    <w:rsid w:val="61DD46AC"/>
    <w:rsid w:val="62A87E16"/>
    <w:rsid w:val="62CA561A"/>
    <w:rsid w:val="62E17867"/>
    <w:rsid w:val="6313315F"/>
    <w:rsid w:val="63CD6C1F"/>
    <w:rsid w:val="64460353"/>
    <w:rsid w:val="64A56430"/>
    <w:rsid w:val="65BB2793"/>
    <w:rsid w:val="667027CF"/>
    <w:rsid w:val="6688694C"/>
    <w:rsid w:val="67240E57"/>
    <w:rsid w:val="67DA5ECE"/>
    <w:rsid w:val="68245589"/>
    <w:rsid w:val="68777DD2"/>
    <w:rsid w:val="69983CE0"/>
    <w:rsid w:val="6A1C1694"/>
    <w:rsid w:val="6A751DB0"/>
    <w:rsid w:val="6AB95533"/>
    <w:rsid w:val="6B037E0E"/>
    <w:rsid w:val="6BDE41BB"/>
    <w:rsid w:val="6C5462A8"/>
    <w:rsid w:val="6C6C4CB7"/>
    <w:rsid w:val="6C917FD7"/>
    <w:rsid w:val="6E781A51"/>
    <w:rsid w:val="6EBD6FDF"/>
    <w:rsid w:val="6EF94940"/>
    <w:rsid w:val="70A772A4"/>
    <w:rsid w:val="71BB7860"/>
    <w:rsid w:val="72440385"/>
    <w:rsid w:val="736E54E1"/>
    <w:rsid w:val="73761484"/>
    <w:rsid w:val="743F3C99"/>
    <w:rsid w:val="74835482"/>
    <w:rsid w:val="74877DC7"/>
    <w:rsid w:val="75890D8F"/>
    <w:rsid w:val="75B043EA"/>
    <w:rsid w:val="76D90F68"/>
    <w:rsid w:val="77C1540B"/>
    <w:rsid w:val="783E7320"/>
    <w:rsid w:val="78CB19C0"/>
    <w:rsid w:val="78F35EFE"/>
    <w:rsid w:val="78FF5669"/>
    <w:rsid w:val="793275BA"/>
    <w:rsid w:val="79A724F1"/>
    <w:rsid w:val="7A4B7878"/>
    <w:rsid w:val="7A6D100D"/>
    <w:rsid w:val="7B232E76"/>
    <w:rsid w:val="7B4C349C"/>
    <w:rsid w:val="7C56760C"/>
    <w:rsid w:val="7C5F16F8"/>
    <w:rsid w:val="7C9D3E10"/>
    <w:rsid w:val="7CAF2E48"/>
    <w:rsid w:val="7CB122FF"/>
    <w:rsid w:val="7D2A47D7"/>
    <w:rsid w:val="7DBA67DE"/>
    <w:rsid w:val="7DF53ACA"/>
    <w:rsid w:val="7E210776"/>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line="278" w:lineRule="auto"/>
    </w:pPr>
    <w:rPr>
      <w:rFonts w:asciiTheme="minorHAnsi" w:hAnsiTheme="minorHAnsi" w:eastAsiaTheme="minorEastAsia" w:cstheme="minorBidi"/>
      <w:kern w:val="2"/>
      <w:sz w:val="21"/>
      <w:szCs w:val="24"/>
    </w:rPr>
  </w:style>
  <w:style w:type="paragraph" w:styleId="4">
    <w:name w:val="footer"/>
    <w:basedOn w:val="1"/>
    <w:link w:val="10"/>
    <w:autoRedefine/>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spacing w:beforeAutospacing="1" w:afterAutospacing="1"/>
      <w:jc w:val="left"/>
    </w:pPr>
    <w:rPr>
      <w:rFonts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autoRedefine/>
    <w:qFormat/>
    <w:uiPriority w:val="0"/>
    <w:rPr>
      <w:rFonts w:asciiTheme="minorHAnsi" w:hAnsiTheme="minorHAnsi" w:eastAsiaTheme="minorEastAsia" w:cstheme="minorBidi"/>
      <w:kern w:val="2"/>
      <w:sz w:val="18"/>
      <w:szCs w:val="18"/>
    </w:rPr>
  </w:style>
  <w:style w:type="character" w:customStyle="1" w:styleId="11">
    <w:name w:val="font01"/>
    <w:basedOn w:val="8"/>
    <w:qFormat/>
    <w:uiPriority w:val="0"/>
    <w:rPr>
      <w:rFonts w:hint="eastAsia" w:ascii="宋体" w:hAnsi="宋体" w:eastAsia="宋体" w:cs="宋体"/>
      <w:color w:val="000000"/>
      <w:sz w:val="24"/>
      <w:szCs w:val="24"/>
      <w:u w:val="none"/>
    </w:rPr>
  </w:style>
  <w:style w:type="paragraph" w:customStyle="1" w:styleId="12">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72</Pages>
  <Words>39219</Words>
  <Characters>45097</Characters>
  <Lines>129</Lines>
  <Paragraphs>36</Paragraphs>
  <TotalTime>188</TotalTime>
  <ScaleCrop>false</ScaleCrop>
  <LinksUpToDate>false</LinksUpToDate>
  <CharactersWithSpaces>46245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王洪林</cp:lastModifiedBy>
  <dcterms:modified xsi:type="dcterms:W3CDTF">2026-04-29T04:50:17Z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0F355D8D951F4D05974AE77BB10E506E_13</vt:lpwstr>
  </property>
  <property fmtid="{D5CDD505-2E9C-101B-9397-08002B2CF9AE}" pid="4" name="KSOTemplateDocerSaveRecord">
    <vt:lpwstr>eyJoZGlkIjoiZWQ2NDZhYjNhNTVjNDhmZTMwYzExZDFmNzgxMTE2NmQiLCJ1c2VySWQiOiI3MjMzNTE5ODgifQ==</vt:lpwstr>
  </property>
</Properties>
</file>