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727FF">
      <w:pPr>
        <w:pStyle w:val="242"/>
        <w:spacing w:before="120" w:beforeAutospacing="0" w:after="120" w:afterAutospacing="0" w:line="360" w:lineRule="auto"/>
        <w:jc w:val="center"/>
        <w:rPr>
          <w:rFonts w:hint="eastAsia" w:ascii="宋体" w:hAnsi="宋体" w:eastAsia="宋体" w:cs="宋体"/>
          <w:color w:val="auto"/>
          <w:highlight w:val="none"/>
        </w:rPr>
      </w:pPr>
      <w:bookmarkStart w:id="170" w:name="_GoBack"/>
    </w:p>
    <w:p w14:paraId="1679A40F">
      <w:pPr>
        <w:pStyle w:val="242"/>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招标文件</w:t>
      </w:r>
    </w:p>
    <w:p w14:paraId="33BD2533">
      <w:pPr>
        <w:pStyle w:val="242"/>
        <w:spacing w:before="120" w:beforeAutospacing="0" w:after="120" w:afterAutospacing="0" w:line="360" w:lineRule="auto"/>
        <w:rPr>
          <w:rFonts w:hint="eastAsia" w:ascii="宋体" w:hAnsi="宋体" w:eastAsia="宋体" w:cs="宋体"/>
          <w:b/>
          <w:color w:val="auto"/>
          <w:sz w:val="32"/>
          <w:szCs w:val="32"/>
          <w:highlight w:val="none"/>
        </w:rPr>
      </w:pPr>
    </w:p>
    <w:p w14:paraId="183806CE">
      <w:pPr>
        <w:pStyle w:val="242"/>
        <w:spacing w:before="120" w:beforeAutospacing="0" w:after="120" w:afterAutospacing="0" w:line="360" w:lineRule="auto"/>
        <w:rPr>
          <w:rFonts w:hint="eastAsia" w:ascii="宋体" w:hAnsi="宋体" w:eastAsia="宋体" w:cs="宋体"/>
          <w:b/>
          <w:color w:val="auto"/>
          <w:sz w:val="36"/>
          <w:szCs w:val="36"/>
          <w:highlight w:val="none"/>
        </w:rPr>
      </w:pPr>
    </w:p>
    <w:p w14:paraId="6F85F5FF">
      <w:pPr>
        <w:pStyle w:val="242"/>
        <w:spacing w:before="120" w:beforeAutospacing="0" w:after="120" w:afterAutospacing="0" w:line="360" w:lineRule="auto"/>
        <w:jc w:val="center"/>
        <w:rPr>
          <w:rFonts w:hint="eastAsia" w:ascii="宋体" w:hAnsi="宋体" w:eastAsia="宋体" w:cs="宋体"/>
          <w:b/>
          <w:color w:val="auto"/>
          <w:sz w:val="36"/>
          <w:szCs w:val="36"/>
          <w:highlight w:val="none"/>
        </w:rPr>
      </w:pPr>
    </w:p>
    <w:p w14:paraId="103AE1DE">
      <w:pPr>
        <w:pStyle w:val="242"/>
        <w:spacing w:before="120" w:beforeAutospacing="0" w:after="120" w:afterAutospacing="0" w:line="360" w:lineRule="auto"/>
        <w:jc w:val="center"/>
        <w:rPr>
          <w:rFonts w:hint="eastAsia" w:ascii="宋体" w:hAnsi="宋体" w:eastAsia="宋体" w:cs="宋体"/>
          <w:b/>
          <w:color w:val="auto"/>
          <w:sz w:val="36"/>
          <w:szCs w:val="36"/>
          <w:highlight w:val="none"/>
        </w:rPr>
      </w:pPr>
    </w:p>
    <w:p w14:paraId="701CAB72">
      <w:pPr>
        <w:pStyle w:val="242"/>
        <w:spacing w:before="120" w:beforeAutospacing="0" w:after="120" w:afterAutospacing="0" w:line="360" w:lineRule="auto"/>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项目编号：</w:t>
      </w:r>
      <w:r>
        <w:rPr>
          <w:rFonts w:hint="eastAsia" w:ascii="宋体" w:hAnsi="宋体" w:cs="宋体"/>
          <w:b/>
          <w:color w:val="auto"/>
          <w:sz w:val="36"/>
          <w:szCs w:val="36"/>
          <w:highlight w:val="none"/>
          <w:lang w:eastAsia="zh-CN"/>
        </w:rPr>
        <w:t>JSZC-320903-JZCG-G2026-0004</w:t>
      </w:r>
    </w:p>
    <w:p w14:paraId="6CE2FFAB">
      <w:pPr>
        <w:pStyle w:val="242"/>
        <w:spacing w:before="120" w:beforeAutospacing="0" w:after="120" w:afterAutospacing="0"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项目名称：</w:t>
      </w:r>
      <w:r>
        <w:rPr>
          <w:rFonts w:hint="eastAsia" w:ascii="宋体" w:hAnsi="宋体" w:cs="宋体"/>
          <w:b/>
          <w:color w:val="auto"/>
          <w:sz w:val="36"/>
          <w:szCs w:val="36"/>
          <w:highlight w:val="none"/>
          <w:lang w:eastAsia="zh-CN"/>
        </w:rPr>
        <w:t>盐城市盐都区人民法院物业管理服务项目</w:t>
      </w:r>
    </w:p>
    <w:p w14:paraId="3EB998F6">
      <w:pPr>
        <w:pStyle w:val="242"/>
        <w:spacing w:before="120" w:beforeAutospacing="0" w:after="120" w:afterAutospacing="0" w:line="360" w:lineRule="auto"/>
        <w:rPr>
          <w:rFonts w:hint="eastAsia" w:ascii="宋体" w:hAnsi="宋体" w:eastAsia="宋体" w:cs="宋体"/>
          <w:b/>
          <w:color w:val="auto"/>
          <w:sz w:val="36"/>
          <w:szCs w:val="36"/>
          <w:highlight w:val="none"/>
          <w:lang w:eastAsia="zh-CN"/>
        </w:rPr>
      </w:pPr>
    </w:p>
    <w:p w14:paraId="707B6D4D">
      <w:pPr>
        <w:pStyle w:val="242"/>
        <w:spacing w:before="120" w:beforeAutospacing="0" w:after="120" w:afterAutospacing="0" w:line="360" w:lineRule="auto"/>
        <w:jc w:val="center"/>
        <w:rPr>
          <w:rFonts w:hint="eastAsia" w:ascii="宋体" w:hAnsi="宋体" w:eastAsia="宋体" w:cs="宋体"/>
          <w:b/>
          <w:color w:val="auto"/>
          <w:sz w:val="36"/>
          <w:szCs w:val="36"/>
          <w:highlight w:val="none"/>
          <w:lang w:val="en-US" w:eastAsia="zh-CN"/>
        </w:rPr>
      </w:pPr>
    </w:p>
    <w:p w14:paraId="12D11D15">
      <w:pPr>
        <w:pStyle w:val="24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DA0CF93">
      <w:pPr>
        <w:pStyle w:val="242"/>
        <w:spacing w:beforeAutospacing="0" w:afterAutospacing="0" w:line="360" w:lineRule="auto"/>
        <w:rPr>
          <w:rFonts w:hint="eastAsia" w:ascii="宋体" w:hAnsi="宋体" w:eastAsia="宋体" w:cs="宋体"/>
          <w:color w:val="auto"/>
          <w:highlight w:val="none"/>
        </w:rPr>
      </w:pPr>
    </w:p>
    <w:p w14:paraId="5E1C194C">
      <w:pPr>
        <w:pStyle w:val="242"/>
        <w:spacing w:beforeAutospacing="0" w:afterAutospacing="0" w:line="360" w:lineRule="auto"/>
        <w:rPr>
          <w:rFonts w:hint="eastAsia" w:ascii="宋体" w:hAnsi="宋体" w:eastAsia="宋体" w:cs="宋体"/>
          <w:color w:val="auto"/>
          <w:highlight w:val="none"/>
        </w:rPr>
      </w:pPr>
    </w:p>
    <w:p w14:paraId="66344768">
      <w:pPr>
        <w:pStyle w:val="242"/>
        <w:spacing w:beforeAutospacing="0" w:afterAutospacing="0" w:line="360" w:lineRule="auto"/>
        <w:rPr>
          <w:rFonts w:hint="eastAsia" w:ascii="宋体" w:hAnsi="宋体" w:eastAsia="宋体" w:cs="宋体"/>
          <w:color w:val="auto"/>
          <w:highlight w:val="none"/>
        </w:rPr>
      </w:pPr>
    </w:p>
    <w:p w14:paraId="1D80E06A">
      <w:pPr>
        <w:pStyle w:val="242"/>
        <w:spacing w:before="120" w:beforeAutospacing="0" w:after="120" w:afterAutospacing="0" w:line="360" w:lineRule="auto"/>
        <w:jc w:val="center"/>
        <w:rPr>
          <w:rFonts w:hint="eastAsia" w:ascii="宋体" w:hAnsi="宋体" w:eastAsia="宋体" w:cs="宋体"/>
          <w:b/>
          <w:color w:val="auto"/>
          <w:sz w:val="32"/>
          <w:szCs w:val="32"/>
          <w:highlight w:val="none"/>
          <w:lang w:eastAsia="zh-CN"/>
        </w:rPr>
      </w:pPr>
    </w:p>
    <w:p w14:paraId="585D0723">
      <w:pPr>
        <w:pStyle w:val="242"/>
        <w:spacing w:before="120" w:beforeAutospacing="0" w:after="120" w:afterAutospacing="0"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盐城市盐都区人民法院</w:t>
      </w:r>
    </w:p>
    <w:p w14:paraId="17863416">
      <w:pPr>
        <w:pStyle w:val="242"/>
        <w:spacing w:before="120" w:beforeAutospacing="0" w:after="120" w:afterAutospacing="0" w:line="360" w:lineRule="auto"/>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u w:val="none"/>
        </w:rPr>
        <w:t>202</w:t>
      </w:r>
      <w:r>
        <w:rPr>
          <w:rFonts w:hint="eastAsia" w:ascii="宋体" w:hAnsi="宋体" w:eastAsia="宋体" w:cs="宋体"/>
          <w:b/>
          <w:color w:val="auto"/>
          <w:sz w:val="32"/>
          <w:szCs w:val="32"/>
          <w:highlight w:val="none"/>
          <w:u w:val="none"/>
          <w:lang w:val="en-US" w:eastAsia="zh-CN"/>
        </w:rPr>
        <w:t>6</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9</w:t>
      </w:r>
      <w:r>
        <w:rPr>
          <w:rFonts w:hint="eastAsia" w:ascii="宋体" w:hAnsi="宋体" w:eastAsia="宋体" w:cs="宋体"/>
          <w:b/>
          <w:color w:val="auto"/>
          <w:sz w:val="32"/>
          <w:szCs w:val="32"/>
          <w:highlight w:val="none"/>
        </w:rPr>
        <w:t>月</w:t>
      </w:r>
    </w:p>
    <w:p w14:paraId="299DAE80">
      <w:pPr>
        <w:pStyle w:val="242"/>
        <w:spacing w:before="120" w:beforeAutospacing="0" w:after="120" w:afterAutospacing="0" w:line="360" w:lineRule="auto"/>
        <w:jc w:val="center"/>
        <w:rPr>
          <w:rFonts w:hint="eastAsia" w:ascii="宋体" w:hAnsi="宋体" w:eastAsia="宋体" w:cs="宋体"/>
          <w:color w:val="auto"/>
          <w:highlight w:val="none"/>
        </w:rPr>
      </w:pPr>
      <w:bookmarkStart w:id="0" w:name="_Toc120614210"/>
      <w:bookmarkStart w:id="1" w:name="_Toc479757206"/>
      <w:bookmarkStart w:id="2" w:name="_Toc20823272"/>
      <w:bookmarkStart w:id="3" w:name="_Toc513029200"/>
      <w:bookmarkStart w:id="4" w:name="_Toc523127445"/>
      <w:bookmarkStart w:id="5" w:name="_Toc16938516"/>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1030DFA3">
      <w:pPr>
        <w:pStyle w:val="242"/>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65CF8BC">
      <w:pPr>
        <w:pStyle w:val="242"/>
        <w:tabs>
          <w:tab w:val="left" w:pos="1441"/>
        </w:tabs>
        <w:spacing w:beforeAutospacing="0" w:afterAutospacing="0" w:line="480" w:lineRule="auto"/>
        <w:ind w:left="2160" w:hanging="1440"/>
        <w:jc w:val="both"/>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lang w:val="en-US" w:eastAsia="zh-CN"/>
        </w:rPr>
        <w:t xml:space="preserve">第一章 </w:t>
      </w:r>
      <w:r>
        <w:rPr>
          <w:rFonts w:hint="eastAsia" w:ascii="宋体" w:hAnsi="宋体" w:eastAsia="宋体" w:cs="宋体"/>
          <w:color w:val="auto"/>
          <w:sz w:val="36"/>
          <w:szCs w:val="36"/>
          <w:highlight w:val="none"/>
        </w:rPr>
        <w:t>招标公告………………………………</w:t>
      </w:r>
      <w:r>
        <w:rPr>
          <w:rFonts w:hint="eastAsia" w:ascii="宋体" w:hAnsi="宋体" w:cs="宋体"/>
          <w:color w:val="auto"/>
          <w:sz w:val="36"/>
          <w:szCs w:val="36"/>
          <w:highlight w:val="none"/>
          <w:lang w:val="en-US" w:eastAsia="zh-CN"/>
        </w:rPr>
        <w:t xml:space="preserve">3 </w:t>
      </w:r>
    </w:p>
    <w:p w14:paraId="4621CBA7">
      <w:pPr>
        <w:pStyle w:val="242"/>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第二章 </w:t>
      </w:r>
      <w:r>
        <w:rPr>
          <w:rFonts w:hint="eastAsia" w:ascii="宋体" w:hAnsi="宋体" w:eastAsia="宋体" w:cs="宋体"/>
          <w:color w:val="auto"/>
          <w:sz w:val="36"/>
          <w:szCs w:val="36"/>
          <w:highlight w:val="none"/>
          <w:lang w:eastAsia="zh-CN"/>
        </w:rPr>
        <w:t>供应商</w:t>
      </w:r>
      <w:r>
        <w:rPr>
          <w:rFonts w:hint="eastAsia" w:ascii="宋体" w:hAnsi="宋体" w:eastAsia="宋体" w:cs="宋体"/>
          <w:color w:val="auto"/>
          <w:sz w:val="36"/>
          <w:szCs w:val="36"/>
          <w:highlight w:val="none"/>
        </w:rPr>
        <w:t>须知……………………………</w:t>
      </w:r>
      <w:r>
        <w:rPr>
          <w:rFonts w:hint="eastAsia" w:ascii="宋体" w:hAnsi="宋体" w:cs="宋体"/>
          <w:color w:val="auto"/>
          <w:sz w:val="36"/>
          <w:szCs w:val="36"/>
          <w:highlight w:val="none"/>
          <w:lang w:val="en-US" w:eastAsia="zh-CN"/>
        </w:rPr>
        <w:t xml:space="preserve">7 </w:t>
      </w:r>
      <w:r>
        <w:rPr>
          <w:rFonts w:hint="eastAsia" w:ascii="宋体" w:hAnsi="宋体" w:eastAsia="宋体" w:cs="宋体"/>
          <w:color w:val="auto"/>
          <w:sz w:val="36"/>
          <w:szCs w:val="36"/>
          <w:highlight w:val="none"/>
        </w:rPr>
        <w:t> </w:t>
      </w:r>
    </w:p>
    <w:p w14:paraId="56279BC9">
      <w:pPr>
        <w:pStyle w:val="242"/>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合同文本………………………………</w:t>
      </w:r>
      <w:r>
        <w:rPr>
          <w:rFonts w:hint="eastAsia" w:ascii="宋体" w:hAnsi="宋体" w:cs="宋体"/>
          <w:color w:val="auto"/>
          <w:sz w:val="36"/>
          <w:szCs w:val="36"/>
          <w:highlight w:val="none"/>
          <w:lang w:val="en-US" w:eastAsia="zh-CN"/>
        </w:rPr>
        <w:t xml:space="preserve">26 </w:t>
      </w:r>
    </w:p>
    <w:p w14:paraId="312AF3AA">
      <w:pPr>
        <w:pStyle w:val="242"/>
        <w:tabs>
          <w:tab w:val="left" w:pos="1441"/>
        </w:tabs>
        <w:spacing w:beforeAutospacing="0" w:afterAutospacing="0" w:line="480" w:lineRule="auto"/>
        <w:ind w:left="2160" w:hanging="1440"/>
        <w:jc w:val="both"/>
        <w:rPr>
          <w:rFonts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第四章 </w:t>
      </w:r>
      <w:r>
        <w:rPr>
          <w:rFonts w:hint="eastAsia" w:ascii="宋体" w:hAnsi="宋体" w:eastAsia="宋体" w:cs="宋体"/>
          <w:color w:val="auto"/>
          <w:sz w:val="36"/>
          <w:szCs w:val="36"/>
          <w:highlight w:val="none"/>
        </w:rPr>
        <w:t>采购需求………………………………</w:t>
      </w:r>
      <w:r>
        <w:rPr>
          <w:rFonts w:hint="eastAsia" w:ascii="宋体" w:hAnsi="宋体" w:cs="宋体"/>
          <w:color w:val="auto"/>
          <w:sz w:val="36"/>
          <w:szCs w:val="36"/>
          <w:highlight w:val="none"/>
          <w:lang w:val="en-US" w:eastAsia="zh-CN"/>
        </w:rPr>
        <w:t xml:space="preserve">46 </w:t>
      </w:r>
    </w:p>
    <w:p w14:paraId="280C17F2">
      <w:pPr>
        <w:pStyle w:val="242"/>
        <w:tabs>
          <w:tab w:val="left" w:pos="1441"/>
        </w:tabs>
        <w:spacing w:beforeAutospacing="0" w:afterAutospacing="0" w:line="480" w:lineRule="auto"/>
        <w:ind w:left="2160" w:hanging="1440"/>
        <w:jc w:val="both"/>
        <w:rPr>
          <w:rFonts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第五章 </w:t>
      </w:r>
      <w:r>
        <w:rPr>
          <w:rFonts w:hint="eastAsia" w:ascii="宋体" w:hAnsi="宋体" w:eastAsia="宋体" w:cs="宋体"/>
          <w:color w:val="auto"/>
          <w:sz w:val="36"/>
          <w:szCs w:val="36"/>
          <w:highlight w:val="none"/>
        </w:rPr>
        <w:t>定标原则与评标标准…………………</w:t>
      </w:r>
      <w:r>
        <w:rPr>
          <w:rFonts w:hint="eastAsia" w:ascii="宋体" w:hAnsi="宋体" w:cs="宋体"/>
          <w:color w:val="auto"/>
          <w:sz w:val="36"/>
          <w:szCs w:val="36"/>
          <w:highlight w:val="none"/>
          <w:lang w:val="en-US" w:eastAsia="zh-CN"/>
        </w:rPr>
        <w:t xml:space="preserve">67 </w:t>
      </w:r>
    </w:p>
    <w:p w14:paraId="0486D04A">
      <w:pPr>
        <w:pStyle w:val="242"/>
        <w:tabs>
          <w:tab w:val="left" w:pos="1441"/>
        </w:tabs>
        <w:spacing w:beforeAutospacing="0" w:afterAutospacing="0" w:line="480" w:lineRule="auto"/>
        <w:ind w:left="2160" w:hanging="1440"/>
        <w:jc w:val="both"/>
        <w:rPr>
          <w:rFonts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第六章 </w:t>
      </w:r>
      <w:r>
        <w:rPr>
          <w:rFonts w:hint="eastAsia" w:ascii="宋体" w:hAnsi="宋体" w:eastAsia="宋体" w:cs="宋体"/>
          <w:color w:val="auto"/>
          <w:sz w:val="36"/>
          <w:szCs w:val="36"/>
          <w:highlight w:val="none"/>
        </w:rPr>
        <w:t>投标文件格式…………………………</w:t>
      </w:r>
      <w:r>
        <w:rPr>
          <w:rFonts w:hint="eastAsia" w:ascii="宋体" w:hAnsi="宋体" w:cs="宋体"/>
          <w:color w:val="auto"/>
          <w:sz w:val="36"/>
          <w:szCs w:val="36"/>
          <w:highlight w:val="none"/>
          <w:lang w:val="en-US" w:eastAsia="zh-CN"/>
        </w:rPr>
        <w:t xml:space="preserve">73 </w:t>
      </w:r>
    </w:p>
    <w:p w14:paraId="51F66E3C">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8F10149">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152E9D">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783A6E0">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9A74EA">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79F8CE">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65584D">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236B14">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309B17">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955E1A">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41FEFA">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2AACC19">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379F0C9">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86346F">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9EBA4F8">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73FBBE4">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8D4ABA">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AEB55C8">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5C35D9D">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EFBA97">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8EBF7AB">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2AF674">
      <w:pPr>
        <w:pStyle w:val="24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3D64DC">
      <w:pPr>
        <w:jc w:val="center"/>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rPr>
        <w:t>第一章  招标公告</w:t>
      </w:r>
    </w:p>
    <w:p w14:paraId="6A0A0EF4">
      <w:pPr>
        <w:pStyle w:val="242"/>
        <w:pageBreakBefore w:val="0"/>
        <w:widowControl w:val="0"/>
        <w:pBdr>
          <w:top w:val="single" w:color="000000" w:sz="4" w:space="0"/>
          <w:left w:val="single" w:color="000000" w:sz="4" w:space="0"/>
          <w:bottom w:val="single" w:color="000000" w:sz="4" w:space="10"/>
          <w:right w:val="single" w:color="000000" w:sz="4" w:space="0"/>
        </w:pBdr>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063FA6C">
      <w:pPr>
        <w:pStyle w:val="242"/>
        <w:pageBreakBefore w:val="0"/>
        <w:widowControl w:val="0"/>
        <w:pBdr>
          <w:top w:val="single" w:color="000000" w:sz="4" w:space="0"/>
          <w:left w:val="single" w:color="000000" w:sz="4" w:space="0"/>
          <w:bottom w:val="single" w:color="000000" w:sz="4" w:space="10"/>
          <w:right w:val="single" w:color="000000" w:sz="4" w:space="0"/>
        </w:pBdr>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盐城市盐都区人民法院物业管理服务项目</w:t>
      </w:r>
      <w:r>
        <w:rPr>
          <w:rFonts w:hint="eastAsia" w:ascii="宋体" w:hAnsi="宋体" w:eastAsia="宋体" w:cs="宋体"/>
          <w:color w:val="auto"/>
          <w:sz w:val="24"/>
          <w:szCs w:val="24"/>
          <w:highlight w:val="none"/>
        </w:rPr>
        <w:t>招标项目的潜在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可在“苏采云”系统内免费下载（</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必须在苏采云系统中获取采购文件，方能参与政府采购项目），并于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5C3ED6C6">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bookmarkStart w:id="6" w:name="_Toc38985263"/>
      <w:bookmarkStart w:id="7" w:name="_Toc35393790"/>
      <w:bookmarkStart w:id="8" w:name="_Toc35393621"/>
      <w:bookmarkStart w:id="9" w:name="_Toc28359079"/>
      <w:bookmarkStart w:id="10" w:name="_Hlk24379207"/>
      <w:bookmarkStart w:id="11" w:name="_Toc28359002"/>
      <w:r>
        <w:rPr>
          <w:rFonts w:hint="eastAsia" w:ascii="宋体" w:hAnsi="宋体" w:eastAsia="宋体" w:cs="宋体"/>
          <w:b/>
          <w:color w:val="auto"/>
          <w:sz w:val="28"/>
          <w:szCs w:val="28"/>
          <w:highlight w:val="none"/>
        </w:rPr>
        <w:t>一、项目基本情况</w:t>
      </w:r>
      <w:bookmarkEnd w:id="6"/>
      <w:bookmarkEnd w:id="7"/>
      <w:bookmarkEnd w:id="8"/>
      <w:bookmarkEnd w:id="9"/>
      <w:bookmarkEnd w:id="10"/>
      <w:bookmarkEnd w:id="11"/>
    </w:p>
    <w:p w14:paraId="3EEFBD49">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1.项目编号：</w:t>
      </w:r>
      <w:r>
        <w:rPr>
          <w:rFonts w:hint="eastAsia" w:ascii="宋体" w:hAnsi="宋体" w:cs="宋体"/>
          <w:color w:val="auto"/>
          <w:sz w:val="24"/>
          <w:szCs w:val="24"/>
          <w:highlight w:val="none"/>
          <w:shd w:val="clear" w:color="auto" w:fill="FFFFFF"/>
          <w:lang w:eastAsia="zh-CN"/>
        </w:rPr>
        <w:t>JSZC-320903-JZCG-G2026-0004</w:t>
      </w:r>
    </w:p>
    <w:p w14:paraId="23626448">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2.项目名称：</w:t>
      </w:r>
      <w:r>
        <w:rPr>
          <w:rFonts w:hint="eastAsia" w:ascii="宋体" w:hAnsi="宋体" w:cs="宋体"/>
          <w:color w:val="auto"/>
          <w:sz w:val="24"/>
          <w:szCs w:val="24"/>
          <w:highlight w:val="none"/>
          <w:shd w:val="clear" w:color="auto" w:fill="FFFFFF"/>
          <w:lang w:eastAsia="zh-CN"/>
        </w:rPr>
        <w:t>盐城市盐都区人民法院物业管理服务项目</w:t>
      </w:r>
    </w:p>
    <w:p w14:paraId="4274857B">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3.采购</w:t>
      </w:r>
      <w:r>
        <w:rPr>
          <w:rFonts w:hint="eastAsia" w:ascii="宋体" w:hAnsi="宋体" w:eastAsia="宋体" w:cs="宋体"/>
          <w:color w:val="auto"/>
          <w:sz w:val="24"/>
          <w:szCs w:val="24"/>
          <w:highlight w:val="none"/>
          <w:shd w:val="clear" w:color="auto" w:fill="FFFFFF"/>
          <w:lang w:val="en-US" w:eastAsia="zh-CN"/>
        </w:rPr>
        <w:t>方</w:t>
      </w:r>
      <w:r>
        <w:rPr>
          <w:rFonts w:hint="eastAsia" w:ascii="宋体" w:hAnsi="宋体" w:eastAsia="宋体" w:cs="宋体"/>
          <w:color w:val="auto"/>
          <w:sz w:val="24"/>
          <w:szCs w:val="24"/>
          <w:highlight w:val="none"/>
          <w:shd w:val="clear" w:color="auto" w:fill="FFFFFF"/>
          <w:lang w:eastAsia="zh-CN"/>
        </w:rPr>
        <w:t>式：公开招标</w:t>
      </w:r>
    </w:p>
    <w:p w14:paraId="1478EF8E">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4.预算金额：</w:t>
      </w:r>
      <w:r>
        <w:rPr>
          <w:rFonts w:hint="eastAsia" w:ascii="宋体" w:hAnsi="宋体" w:cs="宋体"/>
          <w:color w:val="auto"/>
          <w:sz w:val="24"/>
          <w:szCs w:val="24"/>
          <w:highlight w:val="none"/>
          <w:shd w:val="clear" w:color="auto" w:fill="FFFFFF"/>
          <w:lang w:val="en-US" w:eastAsia="zh-CN"/>
        </w:rPr>
        <w:t>210万</w:t>
      </w:r>
      <w:r>
        <w:rPr>
          <w:rFonts w:hint="eastAsia" w:ascii="宋体" w:hAnsi="宋体" w:eastAsia="宋体" w:cs="宋体"/>
          <w:color w:val="auto"/>
          <w:sz w:val="24"/>
          <w:szCs w:val="24"/>
          <w:highlight w:val="none"/>
          <w:shd w:val="clear" w:color="auto" w:fill="FFFFFF"/>
          <w:lang w:eastAsia="zh-CN"/>
        </w:rPr>
        <w:t>元</w:t>
      </w:r>
    </w:p>
    <w:p w14:paraId="50B97578">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5.最高限价</w:t>
      </w:r>
      <w:r>
        <w:rPr>
          <w:rFonts w:hint="eastAsia" w:ascii="宋体" w:hAnsi="宋体" w:cs="宋体"/>
          <w:color w:val="auto"/>
          <w:sz w:val="24"/>
          <w:szCs w:val="24"/>
          <w:highlight w:val="none"/>
          <w:shd w:val="clear" w:color="auto" w:fill="FFFFFF"/>
          <w:lang w:val="en-US" w:eastAsia="zh-CN"/>
        </w:rPr>
        <w:t>：</w:t>
      </w:r>
      <w:r>
        <w:rPr>
          <w:rFonts w:hint="eastAsia" w:ascii="宋体" w:hAnsi="宋体" w:cs="宋体"/>
          <w:color w:val="auto"/>
          <w:sz w:val="24"/>
          <w:szCs w:val="24"/>
          <w:highlight w:val="none"/>
          <w:shd w:val="clear" w:color="auto" w:fill="FFFFFF"/>
          <w:lang w:eastAsia="zh-CN"/>
        </w:rPr>
        <w:t>210万</w:t>
      </w:r>
      <w:r>
        <w:rPr>
          <w:rFonts w:hint="eastAsia" w:ascii="宋体" w:hAnsi="宋体" w:eastAsia="宋体" w:cs="宋体"/>
          <w:color w:val="auto"/>
          <w:sz w:val="24"/>
          <w:szCs w:val="24"/>
          <w:highlight w:val="none"/>
          <w:shd w:val="clear" w:color="auto" w:fill="FFFFFF"/>
          <w:lang w:eastAsia="zh-CN"/>
        </w:rPr>
        <w:t>元</w:t>
      </w:r>
    </w:p>
    <w:p w14:paraId="148267BC">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6.采购需求：</w:t>
      </w:r>
      <w:r>
        <w:rPr>
          <w:rFonts w:hint="eastAsia" w:ascii="宋体" w:hAnsi="宋体" w:cs="宋体"/>
          <w:color w:val="auto"/>
          <w:sz w:val="24"/>
          <w:szCs w:val="24"/>
          <w:highlight w:val="none"/>
          <w:shd w:val="clear" w:color="auto" w:fill="FFFFFF"/>
          <w:lang w:eastAsia="zh-CN"/>
        </w:rPr>
        <w:t>盐城市盐都区人民法院（含大冈人民法庭、秦南人民法庭、义丰人民法庭、龙冈人民法庭、高新区人民法庭）物业管理服务，含保安服务、卫生保洁、会务服务、工程服务、采购人安排的其他有关物业管理事项等工作</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具体内容及要求详见招标文件第四章采购需求。</w:t>
      </w:r>
    </w:p>
    <w:p w14:paraId="4710DD70">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7.合同履行期限（服务期）：</w:t>
      </w:r>
      <w:r>
        <w:rPr>
          <w:rFonts w:hint="eastAsia" w:ascii="宋体" w:hAnsi="宋体" w:cs="宋体"/>
          <w:b w:val="0"/>
          <w:bCs w:val="0"/>
          <w:color w:val="auto"/>
          <w:sz w:val="24"/>
          <w:szCs w:val="24"/>
          <w:highlight w:val="none"/>
          <w:shd w:val="clear" w:color="auto" w:fill="FFFFFF"/>
          <w:lang w:val="en-US" w:eastAsia="zh-CN"/>
        </w:rPr>
        <w:t>1年</w:t>
      </w:r>
      <w:r>
        <w:rPr>
          <w:rFonts w:hint="eastAsia" w:ascii="宋体" w:hAnsi="宋体" w:eastAsia="宋体" w:cs="宋体"/>
          <w:b w:val="0"/>
          <w:bCs w:val="0"/>
          <w:color w:val="auto"/>
          <w:sz w:val="24"/>
          <w:szCs w:val="24"/>
          <w:highlight w:val="none"/>
          <w:shd w:val="clear" w:color="auto" w:fill="FFFFFF"/>
          <w:lang w:val="en-US" w:eastAsia="zh-CN"/>
        </w:rPr>
        <w:t>。</w:t>
      </w:r>
    </w:p>
    <w:p w14:paraId="6D59A394">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8. 本项目不接受联合体参与</w:t>
      </w:r>
      <w:r>
        <w:rPr>
          <w:rFonts w:hint="eastAsia" w:ascii="宋体" w:hAnsi="宋体" w:cs="宋体"/>
          <w:color w:val="auto"/>
          <w:sz w:val="24"/>
          <w:szCs w:val="24"/>
          <w:highlight w:val="none"/>
          <w:shd w:val="clear" w:color="auto" w:fill="FFFFFF"/>
          <w:lang w:val="en-US" w:eastAsia="zh-CN"/>
        </w:rPr>
        <w:t>投标</w:t>
      </w:r>
      <w:r>
        <w:rPr>
          <w:rFonts w:hint="eastAsia" w:ascii="宋体" w:hAnsi="宋体" w:eastAsia="宋体" w:cs="宋体"/>
          <w:color w:val="auto"/>
          <w:sz w:val="24"/>
          <w:szCs w:val="24"/>
          <w:highlight w:val="none"/>
          <w:shd w:val="clear" w:color="auto" w:fill="FFFFFF"/>
        </w:rPr>
        <w:t>。</w:t>
      </w:r>
    </w:p>
    <w:p w14:paraId="5255AABE">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bookmarkStart w:id="12" w:name="_Toc28359080"/>
      <w:bookmarkStart w:id="13" w:name="_Toc38985264"/>
      <w:bookmarkStart w:id="14" w:name="_Toc28359003"/>
      <w:bookmarkStart w:id="15" w:name="_Toc35393791"/>
      <w:bookmarkStart w:id="16" w:name="_Toc35393622"/>
      <w:r>
        <w:rPr>
          <w:rFonts w:hint="eastAsia" w:ascii="宋体" w:hAnsi="宋体" w:eastAsia="宋体" w:cs="宋体"/>
          <w:b/>
          <w:color w:val="auto"/>
          <w:sz w:val="28"/>
          <w:szCs w:val="28"/>
          <w:highlight w:val="none"/>
        </w:rPr>
        <w:t>二、申请人的资格要求：</w:t>
      </w:r>
      <w:bookmarkEnd w:id="12"/>
      <w:bookmarkEnd w:id="13"/>
      <w:bookmarkEnd w:id="14"/>
      <w:bookmarkEnd w:id="15"/>
      <w:bookmarkEnd w:id="16"/>
    </w:p>
    <w:p w14:paraId="2549CCAC">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76086D4D">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37E11C16">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0360459C">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1.3具备履行合同所必需的设备和专业技术能力的书面声明；</w:t>
      </w:r>
    </w:p>
    <w:p w14:paraId="2CE13B8E">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依法享受缓缴、免缴税收、社会保障资金的提供证明材料。）</w:t>
      </w:r>
      <w:r>
        <w:rPr>
          <w:rFonts w:hint="eastAsia" w:ascii="宋体" w:hAnsi="宋体" w:eastAsia="宋体" w:cs="宋体"/>
          <w:color w:val="auto"/>
          <w:sz w:val="24"/>
          <w:szCs w:val="24"/>
          <w:highlight w:val="none"/>
          <w:lang w:eastAsia="zh-CN"/>
        </w:rPr>
        <w:t>；</w:t>
      </w:r>
    </w:p>
    <w:p w14:paraId="6B86F6F0">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1.5参加政府采购活动前3年内在经营活动中没有重大违法记录的书面声明</w:t>
      </w:r>
      <w:r>
        <w:rPr>
          <w:rFonts w:hint="eastAsia" w:ascii="宋体" w:hAnsi="宋体" w:eastAsia="宋体" w:cs="宋体"/>
          <w:color w:val="auto"/>
          <w:sz w:val="24"/>
          <w:szCs w:val="24"/>
          <w:highlight w:val="none"/>
          <w:lang w:eastAsia="zh-CN"/>
        </w:rPr>
        <w:t>；</w:t>
      </w:r>
    </w:p>
    <w:p w14:paraId="66C9798D">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1.6法律、行政法规规定的其他条件</w:t>
      </w:r>
      <w:r>
        <w:rPr>
          <w:rFonts w:hint="eastAsia" w:ascii="宋体" w:hAnsi="宋体" w:eastAsia="宋体" w:cs="宋体"/>
          <w:color w:val="auto"/>
          <w:sz w:val="24"/>
          <w:szCs w:val="24"/>
          <w:highlight w:val="none"/>
          <w:lang w:eastAsia="zh-CN"/>
        </w:rPr>
        <w:t>；</w:t>
      </w:r>
    </w:p>
    <w:p w14:paraId="4898FACC">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（响应文件中无需提供证明材料）</w:t>
      </w:r>
    </w:p>
    <w:p w14:paraId="5E5A9014">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1.8单位负责人为同一人或者存在直接控股、管理关系的不同供应商，不得参加同一合同项下的政府采购活动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lang w:eastAsia="zh-CN"/>
        </w:rPr>
        <w:t>；</w:t>
      </w:r>
    </w:p>
    <w:p w14:paraId="7A80CD06">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b/>
          <w:bCs/>
          <w:color w:val="auto"/>
          <w:sz w:val="24"/>
          <w:szCs w:val="24"/>
          <w:highlight w:val="none"/>
        </w:rPr>
        <w:t>本项目专门面向中小企业采购。采购标的的所属行业为物业管理，</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需按照采购文件的要求提供相应的《中小企业声明函》。企业标准请参照《关于印发中小企业划型标准规定的通知》（工信部联企业[2011]300号）文件规定自行填写。</w:t>
      </w:r>
    </w:p>
    <w:p w14:paraId="512F19DA">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r>
        <w:rPr>
          <w:rFonts w:hint="eastAsia" w:ascii="宋体" w:hAnsi="宋体" w:cs="宋体"/>
          <w:color w:val="auto"/>
          <w:sz w:val="24"/>
          <w:szCs w:val="24"/>
          <w:highlight w:val="none"/>
          <w:lang w:val="en-US" w:eastAsia="zh-CN"/>
        </w:rPr>
        <w:t>无。</w:t>
      </w:r>
    </w:p>
    <w:p w14:paraId="3D06A8C2">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三、获取招标文件</w:t>
      </w:r>
    </w:p>
    <w:p w14:paraId="068EE9C4">
      <w:pPr>
        <w:pageBreakBefore w:val="0"/>
        <w:widowControl w:val="0"/>
        <w:pBdr>
          <w:top w:val="none" w:color="000000" w:sz="0" w:space="0"/>
          <w:left w:val="none" w:color="000000" w:sz="0" w:space="0"/>
          <w:bottom w:val="none" w:color="000000" w:sz="0" w:space="0"/>
          <w:right w:val="none" w:color="000000" w:sz="0" w:space="0"/>
        </w:pBdr>
        <w:spacing w:line="500" w:lineRule="exact"/>
        <w:ind w:right="0" w:firstLine="480"/>
        <w:jc w:val="both"/>
        <w:rPr>
          <w:rFonts w:hint="eastAsia" w:ascii="宋体" w:hAnsi="宋体" w:eastAsia="宋体" w:cs="宋体"/>
          <w:color w:val="auto"/>
          <w:sz w:val="24"/>
          <w:szCs w:val="24"/>
          <w:highlight w:val="none"/>
          <w:lang w:eastAsia="zh-CN"/>
        </w:rPr>
      </w:pPr>
      <w:bookmarkStart w:id="17" w:name="_Toc38985266"/>
      <w:bookmarkStart w:id="18" w:name="_Toc28359082"/>
      <w:bookmarkStart w:id="19" w:name="_Toc35393624"/>
      <w:bookmarkStart w:id="20" w:name="_Toc28359005"/>
      <w:bookmarkStart w:id="21" w:name="_Toc35393793"/>
      <w:r>
        <w:rPr>
          <w:rFonts w:hint="eastAsia" w:ascii="宋体" w:hAnsi="宋体" w:eastAsia="宋体" w:cs="宋体"/>
          <w:color w:val="auto"/>
          <w:sz w:val="24"/>
          <w:szCs w:val="24"/>
          <w:highlight w:val="none"/>
        </w:rPr>
        <w:t>1.时间</w:t>
      </w:r>
      <w:bookmarkEnd w:id="17"/>
      <w:bookmarkEnd w:id="18"/>
      <w:bookmarkEnd w:id="19"/>
      <w:bookmarkEnd w:id="20"/>
      <w:bookmarkEnd w:id="2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自招标文件公告发布之日起5个工作日</w:t>
      </w:r>
      <w:r>
        <w:rPr>
          <w:rFonts w:hint="eastAsia" w:ascii="宋体" w:hAnsi="宋体" w:eastAsia="宋体" w:cs="宋体"/>
          <w:color w:val="auto"/>
          <w:sz w:val="24"/>
          <w:szCs w:val="24"/>
          <w:highlight w:val="none"/>
          <w:lang w:eastAsia="zh-CN"/>
        </w:rPr>
        <w:t>；</w:t>
      </w:r>
    </w:p>
    <w:p w14:paraId="0EC84196">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2.地点：“苏采云”系统内免费下载（</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必须在苏采云系统中获取采购文件，方能参与政府采购项目）；</w:t>
      </w:r>
    </w:p>
    <w:p w14:paraId="3DBC8960">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3.方式：本项目采用网上注册登记方式</w:t>
      </w:r>
      <w:r>
        <w:rPr>
          <w:rFonts w:hint="eastAsia" w:ascii="宋体" w:hAnsi="宋体" w:eastAsia="宋体" w:cs="宋体"/>
          <w:color w:val="auto"/>
          <w:sz w:val="24"/>
          <w:szCs w:val="24"/>
          <w:highlight w:val="none"/>
          <w:lang w:eastAsia="zh-CN"/>
        </w:rPr>
        <w:t>；</w:t>
      </w:r>
    </w:p>
    <w:p w14:paraId="16022BAB">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4.售价：0元</w:t>
      </w:r>
      <w:r>
        <w:rPr>
          <w:rFonts w:hint="eastAsia" w:ascii="宋体" w:hAnsi="宋体" w:eastAsia="宋体" w:cs="宋体"/>
          <w:color w:val="auto"/>
          <w:sz w:val="24"/>
          <w:szCs w:val="24"/>
          <w:highlight w:val="none"/>
          <w:lang w:eastAsia="zh-CN"/>
        </w:rPr>
        <w:t>。</w:t>
      </w:r>
    </w:p>
    <w:p w14:paraId="3A6EF0EB">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四、提交投标文件截止时间、开标时间和地点</w:t>
      </w:r>
    </w:p>
    <w:p w14:paraId="19DF8D40">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1.</w:t>
      </w:r>
      <w:r>
        <w:rPr>
          <w:rFonts w:hint="eastAsia" w:ascii="宋体" w:hAnsi="宋体" w:eastAsia="宋体" w:cs="宋体"/>
          <w:color w:val="auto"/>
          <w:sz w:val="24"/>
          <w:szCs w:val="24"/>
          <w:highlight w:val="none"/>
          <w:u w:val="none"/>
          <w:lang w:val="en-US" w:eastAsia="zh-CN"/>
        </w:rPr>
        <w:t>时间：</w:t>
      </w:r>
      <w:r>
        <w:rPr>
          <w:rFonts w:hint="eastAsia" w:ascii="宋体" w:hAnsi="宋体" w:eastAsia="宋体" w:cs="宋体"/>
          <w:color w:val="auto"/>
          <w:sz w:val="24"/>
          <w:szCs w:val="24"/>
          <w:highlight w:val="none"/>
          <w:u w:val="none"/>
        </w:rPr>
        <w:t>2026年</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日09点00分（北京</w:t>
      </w:r>
      <w:r>
        <w:rPr>
          <w:rFonts w:hint="eastAsia" w:ascii="宋体" w:hAnsi="宋体" w:eastAsia="宋体" w:cs="宋体"/>
          <w:color w:val="auto"/>
          <w:sz w:val="24"/>
          <w:szCs w:val="24"/>
          <w:highlight w:val="none"/>
        </w:rPr>
        <w:t>时间）</w:t>
      </w:r>
    </w:p>
    <w:p w14:paraId="1CEADA69">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w:t>
      </w:r>
      <w:r>
        <w:rPr>
          <w:rFonts w:hint="eastAsia" w:ascii="宋体" w:hAnsi="宋体" w:eastAsia="宋体" w:cs="宋体"/>
          <w:color w:val="auto"/>
          <w:sz w:val="24"/>
          <w:szCs w:val="24"/>
          <w:highlight w:val="none"/>
          <w:lang w:val="en-US" w:eastAsia="zh-CN"/>
        </w:rPr>
        <w:t>不见面</w:t>
      </w:r>
      <w:r>
        <w:rPr>
          <w:rFonts w:hint="eastAsia" w:ascii="宋体" w:hAnsi="宋体" w:eastAsia="宋体" w:cs="宋体"/>
          <w:color w:val="auto"/>
          <w:sz w:val="24"/>
          <w:szCs w:val="24"/>
          <w:highlight w:val="none"/>
        </w:rPr>
        <w:t>”开标大厅。</w:t>
      </w:r>
    </w:p>
    <w:p w14:paraId="6B97F722">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bookmarkStart w:id="22" w:name="_Toc28359084"/>
      <w:bookmarkStart w:id="23" w:name="_Toc35393794"/>
      <w:bookmarkStart w:id="24" w:name="_Toc35393625"/>
      <w:bookmarkStart w:id="25" w:name="_Toc38985267"/>
      <w:bookmarkStart w:id="26" w:name="_Toc28359007"/>
      <w:r>
        <w:rPr>
          <w:rFonts w:hint="eastAsia" w:ascii="宋体" w:hAnsi="宋体" w:eastAsia="宋体" w:cs="宋体"/>
          <w:b/>
          <w:color w:val="auto"/>
          <w:sz w:val="28"/>
          <w:szCs w:val="28"/>
          <w:highlight w:val="none"/>
        </w:rPr>
        <w:t>五、公告期限</w:t>
      </w:r>
      <w:bookmarkEnd w:id="22"/>
      <w:bookmarkEnd w:id="23"/>
      <w:bookmarkEnd w:id="24"/>
      <w:bookmarkEnd w:id="25"/>
      <w:bookmarkEnd w:id="26"/>
    </w:p>
    <w:p w14:paraId="0EAF5D41">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3D7A054F">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六、其他补充事宜</w:t>
      </w:r>
    </w:p>
    <w:p w14:paraId="39F9DF1A">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27" w:name="_Toc35393627"/>
      <w:bookmarkStart w:id="28" w:name="_Toc38985269"/>
      <w:bookmarkStart w:id="29" w:name="_Toc28359085"/>
      <w:bookmarkStart w:id="30" w:name="_Toc35393796"/>
      <w:bookmarkStart w:id="31" w:name="_Toc28359008"/>
      <w:r>
        <w:rPr>
          <w:rFonts w:hint="eastAsia" w:ascii="宋体" w:hAnsi="宋体" w:eastAsia="宋体" w:cs="宋体"/>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通过苏采云系统参与政府采购项目，需要更换CA数字证书和电子签章。</w:t>
      </w:r>
      <w:r>
        <w:rPr>
          <w:rFonts w:hint="eastAsia" w:ascii="宋体" w:hAnsi="宋体" w:eastAsia="宋体" w:cs="宋体"/>
          <w:color w:val="auto"/>
          <w:sz w:val="24"/>
          <w:szCs w:val="24"/>
          <w:highlight w:val="none"/>
          <w:lang w:val="en-US" w:eastAsia="zh-CN"/>
        </w:rPr>
        <w:t>具体办理指南和操作手册：在盐城市政府采购网点击【办事指南】-【供应商参与政府采购活动相关资料】。</w:t>
      </w:r>
    </w:p>
    <w:p w14:paraId="09C7AFB6">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color w:val="auto"/>
          <w:sz w:val="24"/>
          <w:szCs w:val="24"/>
          <w:highlight w:val="none"/>
          <w:lang w:val="en-US" w:eastAsia="zh-CN"/>
        </w:rPr>
        <w:t>办理，联系电话：15051556883，</w:t>
      </w:r>
      <w:r>
        <w:rPr>
          <w:rFonts w:hint="eastAsia" w:ascii="宋体" w:hAnsi="宋体" w:eastAsia="宋体" w:cs="宋体"/>
          <w:i w:val="0"/>
          <w:iCs w:val="0"/>
          <w:caps w:val="0"/>
          <w:color w:val="auto"/>
          <w:spacing w:val="0"/>
          <w:sz w:val="24"/>
          <w:szCs w:val="24"/>
          <w:highlight w:val="none"/>
          <w:shd w:val="clear" w:color="auto" w:fill="FFFFFF"/>
          <w:lang w:val="en-US" w:eastAsia="zh-CN"/>
        </w:rPr>
        <w:t>办理邮箱：yancheng@ideabank.net.cn，</w:t>
      </w:r>
      <w:r>
        <w:rPr>
          <w:rFonts w:hint="eastAsia" w:ascii="宋体" w:hAnsi="宋体" w:eastAsia="宋体" w:cs="宋体"/>
          <w:color w:val="auto"/>
          <w:sz w:val="24"/>
          <w:szCs w:val="24"/>
          <w:highlight w:val="none"/>
          <w:lang w:val="en-US" w:eastAsia="zh-CN"/>
        </w:rPr>
        <w:t>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E716104">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2.潜在供应商访问电子招标响应交易平台的网络地址和方法： </w:t>
      </w:r>
    </w:p>
    <w:p w14:paraId="2B74A9D4">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258549B7">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2.2 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 xml:space="preserve">访问“苏采云”系统方法：江苏省政府采购网首页-“苏采云”链接。 </w:t>
      </w:r>
    </w:p>
    <w:p w14:paraId="6B355FBA">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p>
    <w:p w14:paraId="01CA0A9E">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p>
    <w:p w14:paraId="31B42E7E">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p>
    <w:p w14:paraId="687C4651">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如潜在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未按上述要求操作，将自行承担所产生的风险。</w:t>
      </w:r>
    </w:p>
    <w:p w14:paraId="064C7375">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有关本次招标的事项若存在变动或修改，敬请及时关注</w:t>
      </w:r>
      <w:r>
        <w:rPr>
          <w:rFonts w:hint="eastAsia" w:ascii="宋体" w:hAnsi="宋体" w:eastAsia="宋体" w:cs="宋体"/>
          <w:i w:val="0"/>
          <w:iCs w:val="0"/>
          <w:caps w:val="0"/>
          <w:color w:val="auto"/>
          <w:spacing w:val="0"/>
          <w:sz w:val="24"/>
          <w:szCs w:val="24"/>
          <w:highlight w:val="none"/>
          <w:shd w:val="clear" w:color="auto" w:fill="FFFFFF"/>
          <w:lang w:val="en-US" w:eastAsia="zh-CN"/>
        </w:rPr>
        <w:t>盐城市盐都区公共资源交易中心</w:t>
      </w:r>
      <w:r>
        <w:rPr>
          <w:rFonts w:hint="eastAsia" w:ascii="宋体" w:hAnsi="宋体" w:eastAsia="宋体" w:cs="宋体"/>
          <w:color w:val="auto"/>
          <w:sz w:val="24"/>
          <w:szCs w:val="24"/>
          <w:highlight w:val="none"/>
        </w:rPr>
        <w:t>在“中国政府采购网”、“江苏政府采购网”、“盐城市政府采购网”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盐城市盐都区人民政府网”</w:t>
      </w:r>
      <w:r>
        <w:rPr>
          <w:rFonts w:hint="eastAsia" w:ascii="宋体" w:hAnsi="宋体" w:eastAsia="宋体" w:cs="宋体"/>
          <w:color w:val="auto"/>
          <w:sz w:val="24"/>
          <w:szCs w:val="24"/>
          <w:highlight w:val="none"/>
        </w:rPr>
        <w:t>发布的更正公告。</w:t>
      </w:r>
    </w:p>
    <w:p w14:paraId="4293D11E">
      <w:pPr>
        <w:pStyle w:val="242"/>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本次招标不收取投标保证金，不收取质量保证金。</w:t>
      </w:r>
    </w:p>
    <w:p w14:paraId="45DF14C6">
      <w:pPr>
        <w:pStyle w:val="242"/>
        <w:keepNext/>
        <w:keepLines/>
        <w:pageBreakBefore w:val="0"/>
        <w:widowControl w:val="0"/>
        <w:spacing w:beforeAutospacing="0" w:afterAutospacing="0" w:line="500" w:lineRule="exact"/>
        <w:ind w:firstLine="498"/>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七、</w:t>
      </w:r>
      <w:bookmarkEnd w:id="27"/>
      <w:bookmarkEnd w:id="28"/>
      <w:bookmarkEnd w:id="29"/>
      <w:bookmarkEnd w:id="30"/>
      <w:bookmarkEnd w:id="31"/>
      <w:r>
        <w:rPr>
          <w:rFonts w:hint="eastAsia" w:ascii="宋体" w:hAnsi="宋体" w:eastAsia="宋体" w:cs="宋体"/>
          <w:b/>
          <w:color w:val="auto"/>
          <w:sz w:val="28"/>
          <w:szCs w:val="28"/>
          <w:highlight w:val="none"/>
        </w:rPr>
        <w:t>对本次招标提出询问，请按以下方式联系。</w:t>
      </w:r>
    </w:p>
    <w:p w14:paraId="37D225A5">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2BE65F8D">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盐城市盐都区人民法院</w:t>
      </w:r>
    </w:p>
    <w:p w14:paraId="7CACEC29">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盐城市</w:t>
      </w:r>
      <w:r>
        <w:rPr>
          <w:rFonts w:hint="eastAsia" w:ascii="宋体" w:hAnsi="宋体" w:cs="宋体"/>
          <w:color w:val="auto"/>
          <w:sz w:val="24"/>
          <w:highlight w:val="none"/>
          <w:lang w:eastAsia="zh-CN"/>
        </w:rPr>
        <w:t>盐都区新都西路5号</w:t>
      </w:r>
    </w:p>
    <w:p w14:paraId="48781223">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w:t>
      </w:r>
      <w:r>
        <w:rPr>
          <w:rFonts w:hint="eastAsia" w:ascii="宋体" w:hAnsi="宋体" w:cs="宋体"/>
          <w:color w:val="auto"/>
          <w:sz w:val="24"/>
          <w:highlight w:val="none"/>
          <w:lang w:val="en-US" w:eastAsia="zh-CN"/>
        </w:rPr>
        <w:t>梅先生</w:t>
      </w:r>
    </w:p>
    <w:p w14:paraId="63C32724">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w:t>
      </w:r>
      <w:bookmarkStart w:id="32" w:name="_Toc28359086"/>
      <w:bookmarkEnd w:id="32"/>
      <w:r>
        <w:rPr>
          <w:rFonts w:hint="eastAsia" w:ascii="宋体" w:hAnsi="宋体" w:cs="宋体"/>
          <w:color w:val="auto"/>
          <w:sz w:val="24"/>
          <w:highlight w:val="none"/>
          <w:lang w:val="en-US" w:eastAsia="zh-CN"/>
        </w:rPr>
        <w:t>18012508899</w:t>
      </w:r>
    </w:p>
    <w:p w14:paraId="063779E0">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bookmarkStart w:id="33" w:name="_Toc28359021"/>
      <w:r>
        <w:rPr>
          <w:rFonts w:hint="eastAsia" w:ascii="宋体" w:hAnsi="宋体" w:eastAsia="宋体" w:cs="宋体"/>
          <w:color w:val="auto"/>
          <w:sz w:val="24"/>
          <w:highlight w:val="none"/>
        </w:rPr>
        <w:t>2.采购代理机构信息</w:t>
      </w:r>
    </w:p>
    <w:p w14:paraId="66110B41">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称：盐城市盐都区公共资源交易中心 </w:t>
      </w:r>
    </w:p>
    <w:p w14:paraId="3732DF09">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址：盐城市盐都区世纪大道1188号服务大厦8楼</w:t>
      </w:r>
    </w:p>
    <w:p w14:paraId="2E9FAD68">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val="en-US" w:eastAsia="zh-CN"/>
        </w:rPr>
        <w:t>吉胜</w:t>
      </w:r>
      <w:r>
        <w:rPr>
          <w:rFonts w:hint="eastAsia" w:ascii="宋体" w:hAnsi="宋体" w:eastAsia="宋体" w:cs="宋体"/>
          <w:color w:val="auto"/>
          <w:sz w:val="24"/>
          <w:highlight w:val="none"/>
          <w:lang w:val="en-US" w:eastAsia="zh-CN"/>
        </w:rPr>
        <w:t xml:space="preserve"> </w:t>
      </w:r>
    </w:p>
    <w:p w14:paraId="7AFAFF3B">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cs="宋体"/>
          <w:color w:val="auto"/>
          <w:sz w:val="24"/>
          <w:highlight w:val="none"/>
          <w:lang w:val="en-US" w:eastAsia="zh-CN"/>
        </w:rPr>
        <w:t>18912509153</w:t>
      </w:r>
      <w:r>
        <w:rPr>
          <w:rFonts w:hint="eastAsia" w:ascii="宋体" w:hAnsi="宋体" w:eastAsia="宋体" w:cs="宋体"/>
          <w:color w:val="auto"/>
          <w:sz w:val="24"/>
          <w:highlight w:val="none"/>
          <w:lang w:val="en-US" w:eastAsia="zh-CN"/>
        </w:rPr>
        <w:t xml:space="preserve"> </w:t>
      </w:r>
    </w:p>
    <w:p w14:paraId="4F01BF01">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bookmarkEnd w:id="33"/>
      <w:r>
        <w:rPr>
          <w:rFonts w:hint="eastAsia" w:ascii="宋体" w:hAnsi="宋体" w:eastAsia="宋体" w:cs="宋体"/>
          <w:color w:val="auto"/>
          <w:sz w:val="24"/>
          <w:highlight w:val="none"/>
        </w:rPr>
        <w:t>项目联系方式</w:t>
      </w:r>
    </w:p>
    <w:p w14:paraId="03056A90">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项目联系人：</w:t>
      </w:r>
      <w:r>
        <w:rPr>
          <w:rFonts w:hint="eastAsia" w:ascii="宋体" w:hAnsi="宋体" w:cs="宋体"/>
          <w:color w:val="auto"/>
          <w:sz w:val="24"/>
          <w:highlight w:val="none"/>
          <w:lang w:val="en-US" w:eastAsia="zh-CN"/>
        </w:rPr>
        <w:t>梅先生</w:t>
      </w:r>
    </w:p>
    <w:p w14:paraId="32EDDD01">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w:t>
      </w:r>
      <w:r>
        <w:rPr>
          <w:rFonts w:hint="eastAsia" w:ascii="宋体" w:hAnsi="宋体" w:cs="宋体"/>
          <w:color w:val="auto"/>
          <w:sz w:val="24"/>
          <w:highlight w:val="none"/>
          <w:lang w:val="en-US" w:eastAsia="zh-CN"/>
        </w:rPr>
        <w:t>18012508899</w:t>
      </w:r>
    </w:p>
    <w:p w14:paraId="77131E5C">
      <w:pPr>
        <w:pageBreakBefore w:val="0"/>
        <w:widowControl w:val="0"/>
        <w:pBdr>
          <w:top w:val="none" w:color="000000" w:sz="0" w:space="0"/>
          <w:left w:val="none" w:color="000000" w:sz="0" w:space="0"/>
          <w:bottom w:val="none" w:color="000000" w:sz="0" w:space="0"/>
          <w:right w:val="none" w:color="000000" w:sz="0" w:space="0"/>
        </w:pBdr>
        <w:spacing w:line="500" w:lineRule="exac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34A35F41">
      <w:pPr>
        <w:jc w:val="center"/>
        <w:rPr>
          <w:rFonts w:hint="eastAsia" w:ascii="宋体" w:hAnsi="宋体" w:eastAsia="宋体" w:cs="宋体"/>
          <w:color w:val="auto"/>
          <w:highlight w:val="none"/>
        </w:rPr>
      </w:pPr>
      <w:bookmarkStart w:id="34" w:name="_Toc120614211"/>
      <w:r>
        <w:rPr>
          <w:rFonts w:hint="eastAsia" w:ascii="宋体" w:hAnsi="宋体" w:eastAsia="宋体" w:cs="宋体"/>
          <w:b/>
          <w:color w:val="auto"/>
          <w:sz w:val="44"/>
          <w:szCs w:val="44"/>
          <w:highlight w:val="none"/>
        </w:rPr>
        <w:br w:type="page" w:clear="all"/>
      </w:r>
      <w:r>
        <w:rPr>
          <w:rFonts w:hint="eastAsia" w:ascii="宋体" w:hAnsi="宋体" w:eastAsia="宋体" w:cs="宋体"/>
          <w:b/>
          <w:bCs/>
          <w:color w:val="auto"/>
          <w:sz w:val="36"/>
          <w:szCs w:val="36"/>
          <w:highlight w:val="none"/>
        </w:rPr>
        <w:t>第二章 </w:t>
      </w:r>
      <w:bookmarkEnd w:id="34"/>
      <w:bookmarkStart w:id="35" w:name="_Toc16938518"/>
      <w:bookmarkStart w:id="36" w:name="_Toc513029202"/>
      <w:bookmarkStart w:id="37" w:name="_Toc20823274"/>
      <w:bookmarkStart w:id="38" w:name="_Toc120614213"/>
      <w:r>
        <w:rPr>
          <w:rFonts w:hint="eastAsia" w:ascii="宋体" w:hAnsi="宋体" w:eastAsia="宋体" w:cs="宋体"/>
          <w:b/>
          <w:bCs/>
          <w:color w:val="auto"/>
          <w:sz w:val="36"/>
          <w:szCs w:val="36"/>
          <w:highlight w:val="none"/>
          <w:lang w:eastAsia="zh-CN"/>
        </w:rPr>
        <w:t>供应商</w:t>
      </w:r>
      <w:r>
        <w:rPr>
          <w:rFonts w:hint="eastAsia" w:ascii="宋体" w:hAnsi="宋体" w:eastAsia="宋体" w:cs="宋体"/>
          <w:b/>
          <w:bCs/>
          <w:color w:val="auto"/>
          <w:sz w:val="36"/>
          <w:szCs w:val="36"/>
          <w:highlight w:val="none"/>
        </w:rPr>
        <w:t>须知</w:t>
      </w:r>
      <w:bookmarkEnd w:id="35"/>
      <w:bookmarkEnd w:id="36"/>
      <w:bookmarkEnd w:id="37"/>
      <w:bookmarkEnd w:id="38"/>
    </w:p>
    <w:p w14:paraId="088B469F">
      <w:pPr>
        <w:pStyle w:val="242"/>
        <w:keepNext/>
        <w:keepLines/>
        <w:pageBreakBefore w:val="0"/>
        <w:widowControl w:val="0"/>
        <w:spacing w:beforeAutospacing="0" w:afterAutospacing="0" w:line="500" w:lineRule="exact"/>
        <w:ind w:left="0" w:firstLine="498"/>
        <w:jc w:val="both"/>
        <w:rPr>
          <w:rFonts w:hint="eastAsia" w:ascii="宋体" w:hAnsi="宋体" w:eastAsia="宋体" w:cs="宋体"/>
          <w:b/>
          <w:color w:val="auto"/>
          <w:sz w:val="28"/>
          <w:szCs w:val="28"/>
          <w:highlight w:val="none"/>
        </w:rPr>
      </w:pPr>
      <w:bookmarkStart w:id="39" w:name="_Toc16938519"/>
      <w:bookmarkStart w:id="40" w:name="_Toc513029203"/>
      <w:bookmarkStart w:id="41" w:name="_Toc120614214"/>
      <w:bookmarkStart w:id="42" w:name="_Toc20823275"/>
      <w:r>
        <w:rPr>
          <w:rFonts w:hint="eastAsia" w:ascii="宋体" w:hAnsi="宋体" w:eastAsia="宋体" w:cs="宋体"/>
          <w:b/>
          <w:color w:val="auto"/>
          <w:sz w:val="28"/>
          <w:szCs w:val="28"/>
          <w:highlight w:val="none"/>
        </w:rPr>
        <w:t>一、总则</w:t>
      </w:r>
      <w:bookmarkEnd w:id="39"/>
      <w:bookmarkEnd w:id="40"/>
      <w:bookmarkEnd w:id="41"/>
      <w:bookmarkEnd w:id="42"/>
    </w:p>
    <w:p w14:paraId="6B006E20">
      <w:pPr>
        <w:pStyle w:val="242"/>
        <w:keepNext/>
        <w:keepLines/>
        <w:pageBreakBefore w:val="0"/>
        <w:widowControl w:val="0"/>
        <w:spacing w:beforeAutospacing="0" w:afterAutospacing="0" w:line="500" w:lineRule="exact"/>
        <w:ind w:left="0" w:firstLine="420"/>
        <w:jc w:val="both"/>
        <w:rPr>
          <w:rFonts w:hint="eastAsia" w:ascii="宋体" w:hAnsi="宋体" w:eastAsia="宋体" w:cs="宋体"/>
          <w:b w:val="0"/>
          <w:bCs w:val="0"/>
          <w:color w:val="auto"/>
          <w:highlight w:val="none"/>
        </w:rPr>
      </w:pPr>
      <w:bookmarkStart w:id="43" w:name="_Toc16938520"/>
      <w:bookmarkStart w:id="44" w:name="_Toc513029204"/>
      <w:bookmarkStart w:id="45" w:name="_Toc458694821"/>
      <w:bookmarkStart w:id="46" w:name="_Toc20823276"/>
      <w:r>
        <w:rPr>
          <w:rFonts w:hint="eastAsia" w:ascii="宋体" w:hAnsi="宋体" w:eastAsia="宋体" w:cs="宋体"/>
          <w:b w:val="0"/>
          <w:bCs w:val="0"/>
          <w:color w:val="auto"/>
          <w:sz w:val="28"/>
          <w:szCs w:val="28"/>
          <w:highlight w:val="none"/>
        </w:rPr>
        <w:t>1</w:t>
      </w:r>
      <w:bookmarkEnd w:id="43"/>
      <w:r>
        <w:rPr>
          <w:rFonts w:hint="eastAsia" w:ascii="宋体" w:hAnsi="宋体" w:eastAsia="宋体" w:cs="宋体"/>
          <w:b w:val="0"/>
          <w:bCs w:val="0"/>
          <w:color w:val="auto"/>
          <w:sz w:val="28"/>
          <w:szCs w:val="28"/>
          <w:highlight w:val="none"/>
        </w:rPr>
        <w:t>、招标方式</w:t>
      </w:r>
      <w:bookmarkEnd w:id="44"/>
      <w:bookmarkEnd w:id="45"/>
      <w:bookmarkEnd w:id="46"/>
    </w:p>
    <w:p w14:paraId="0228C988">
      <w:pPr>
        <w:pStyle w:val="242"/>
        <w:pageBreakBefore w:val="0"/>
        <w:widowControl w:val="0"/>
        <w:spacing w:beforeAutospacing="0" w:afterAutospacing="0" w:line="500" w:lineRule="exact"/>
        <w:ind w:left="0"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1.1本次招标采取公开招标方式，本招标文件仅适用于招标公告中所述项目。</w:t>
      </w:r>
    </w:p>
    <w:p w14:paraId="70A3F144">
      <w:pPr>
        <w:pStyle w:val="242"/>
        <w:keepNext/>
        <w:keepLines/>
        <w:pageBreakBefore w:val="0"/>
        <w:widowControl w:val="0"/>
        <w:spacing w:beforeAutospacing="0" w:afterAutospacing="0" w:line="500" w:lineRule="exact"/>
        <w:ind w:left="0" w:firstLine="420"/>
        <w:jc w:val="both"/>
        <w:rPr>
          <w:rFonts w:hint="eastAsia" w:ascii="宋体" w:hAnsi="宋体" w:eastAsia="宋体" w:cs="宋体"/>
          <w:b w:val="0"/>
          <w:bCs w:val="0"/>
          <w:color w:val="auto"/>
          <w:highlight w:val="none"/>
          <w:lang w:eastAsia="zh-CN"/>
        </w:rPr>
      </w:pPr>
      <w:bookmarkStart w:id="47" w:name="_Toc20823277"/>
      <w:bookmarkStart w:id="48" w:name="_Toc513029205"/>
      <w:bookmarkStart w:id="49" w:name="_Toc16938521"/>
      <w:r>
        <w:rPr>
          <w:rFonts w:hint="eastAsia" w:ascii="宋体" w:hAnsi="宋体" w:eastAsia="宋体" w:cs="宋体"/>
          <w:b w:val="0"/>
          <w:bCs w:val="0"/>
          <w:color w:val="auto"/>
          <w:sz w:val="28"/>
          <w:szCs w:val="28"/>
          <w:highlight w:val="none"/>
        </w:rPr>
        <w:t>2、合格的</w:t>
      </w:r>
      <w:bookmarkEnd w:id="47"/>
      <w:bookmarkEnd w:id="48"/>
      <w:bookmarkEnd w:id="49"/>
      <w:r>
        <w:rPr>
          <w:rFonts w:hint="eastAsia" w:ascii="宋体" w:hAnsi="宋体" w:eastAsia="宋体" w:cs="宋体"/>
          <w:b w:val="0"/>
          <w:bCs w:val="0"/>
          <w:color w:val="auto"/>
          <w:sz w:val="28"/>
          <w:szCs w:val="28"/>
          <w:highlight w:val="none"/>
          <w:lang w:eastAsia="zh-CN"/>
        </w:rPr>
        <w:t>供应商</w:t>
      </w:r>
    </w:p>
    <w:p w14:paraId="50382E58">
      <w:pPr>
        <w:pStyle w:val="242"/>
        <w:pageBreakBefore w:val="0"/>
        <w:widowControl w:val="0"/>
        <w:spacing w:beforeAutospacing="0" w:afterAutospacing="0" w:line="500" w:lineRule="exact"/>
        <w:ind w:left="0"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2.1满足招标公告中供应商的资格要求的规定。</w:t>
      </w:r>
    </w:p>
    <w:p w14:paraId="17D28D38">
      <w:pPr>
        <w:pStyle w:val="242"/>
        <w:pageBreakBefore w:val="0"/>
        <w:widowControl w:val="0"/>
        <w:spacing w:beforeAutospacing="0" w:afterAutospacing="0" w:line="500" w:lineRule="exact"/>
        <w:ind w:left="0"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2.2满足本文件实质性要求和条件的规定。</w:t>
      </w:r>
    </w:p>
    <w:p w14:paraId="120B9826">
      <w:pPr>
        <w:pStyle w:val="242"/>
        <w:keepNext/>
        <w:keepLines/>
        <w:pageBreakBefore w:val="0"/>
        <w:widowControl w:val="0"/>
        <w:spacing w:beforeAutospacing="0" w:afterAutospacing="0" w:line="500" w:lineRule="exact"/>
        <w:ind w:left="0" w:firstLine="420"/>
        <w:jc w:val="both"/>
        <w:rPr>
          <w:rFonts w:hint="eastAsia" w:ascii="宋体" w:hAnsi="宋体" w:eastAsia="宋体" w:cs="宋体"/>
          <w:b w:val="0"/>
          <w:bCs w:val="0"/>
          <w:color w:val="auto"/>
          <w:highlight w:val="none"/>
        </w:rPr>
      </w:pPr>
      <w:bookmarkStart w:id="50" w:name="_Toc20823278"/>
      <w:bookmarkStart w:id="51" w:name="_Toc513029206"/>
      <w:bookmarkStart w:id="52" w:name="_Toc16938522"/>
      <w:r>
        <w:rPr>
          <w:rFonts w:hint="eastAsia" w:ascii="宋体" w:hAnsi="宋体" w:eastAsia="宋体" w:cs="宋体"/>
          <w:b w:val="0"/>
          <w:bCs w:val="0"/>
          <w:color w:val="auto"/>
          <w:sz w:val="28"/>
          <w:szCs w:val="28"/>
          <w:highlight w:val="none"/>
        </w:rPr>
        <w:t>3、适用法律</w:t>
      </w:r>
      <w:bookmarkEnd w:id="50"/>
      <w:bookmarkEnd w:id="51"/>
      <w:bookmarkEnd w:id="52"/>
    </w:p>
    <w:p w14:paraId="29DEA2DF">
      <w:pPr>
        <w:pStyle w:val="242"/>
        <w:pageBreakBefore w:val="0"/>
        <w:widowControl w:val="0"/>
        <w:spacing w:beforeAutospacing="0" w:afterAutospacing="0" w:line="500" w:lineRule="exact"/>
        <w:ind w:left="0" w:firstLine="42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3.1本次招标及由此产生的合同受中华人民共和国有关的法律法规制约和保护。</w:t>
      </w:r>
    </w:p>
    <w:p w14:paraId="5761862F">
      <w:pPr>
        <w:pStyle w:val="242"/>
        <w:keepNext/>
        <w:keepLines/>
        <w:pageBreakBefore w:val="0"/>
        <w:widowControl w:val="0"/>
        <w:spacing w:beforeAutospacing="0" w:afterAutospacing="0" w:line="500" w:lineRule="exact"/>
        <w:ind w:left="0" w:firstLine="420"/>
        <w:jc w:val="both"/>
        <w:rPr>
          <w:rFonts w:hint="eastAsia" w:ascii="宋体" w:hAnsi="宋体" w:eastAsia="宋体" w:cs="宋体"/>
          <w:b w:val="0"/>
          <w:bCs w:val="0"/>
          <w:color w:val="auto"/>
          <w:highlight w:val="none"/>
        </w:rPr>
      </w:pPr>
      <w:bookmarkStart w:id="53" w:name="_Toc513029207"/>
      <w:bookmarkStart w:id="54" w:name="_Toc16938523"/>
      <w:bookmarkStart w:id="55" w:name="_Toc462564067"/>
      <w:bookmarkStart w:id="56" w:name="_Toc20823279"/>
      <w:r>
        <w:rPr>
          <w:rFonts w:hint="eastAsia" w:ascii="宋体" w:hAnsi="宋体" w:eastAsia="宋体" w:cs="宋体"/>
          <w:b w:val="0"/>
          <w:bCs w:val="0"/>
          <w:color w:val="auto"/>
          <w:sz w:val="28"/>
          <w:szCs w:val="28"/>
          <w:highlight w:val="none"/>
        </w:rPr>
        <w:t>4、投标费用</w:t>
      </w:r>
      <w:bookmarkEnd w:id="53"/>
      <w:bookmarkEnd w:id="54"/>
      <w:bookmarkEnd w:id="55"/>
      <w:bookmarkEnd w:id="56"/>
    </w:p>
    <w:p w14:paraId="0ECC26BA">
      <w:pPr>
        <w:pStyle w:val="242"/>
        <w:pageBreakBefore w:val="0"/>
        <w:widowControl w:val="0"/>
        <w:spacing w:beforeAutospacing="0" w:afterAutospacing="0" w:line="500" w:lineRule="exact"/>
        <w:ind w:left="0"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4.1</w:t>
      </w:r>
      <w:r>
        <w:rPr>
          <w:rFonts w:hint="eastAsia" w:ascii="宋体" w:hAnsi="宋体" w:eastAsia="宋体" w:cs="宋体"/>
          <w:b w:val="0"/>
          <w:bCs w:val="0"/>
          <w:color w:val="auto"/>
          <w:highlight w:val="none"/>
          <w:lang w:eastAsia="zh-CN"/>
        </w:rPr>
        <w:t>供应商</w:t>
      </w:r>
      <w:r>
        <w:rPr>
          <w:rFonts w:hint="eastAsia" w:ascii="宋体" w:hAnsi="宋体" w:eastAsia="宋体" w:cs="宋体"/>
          <w:b w:val="0"/>
          <w:bCs w:val="0"/>
          <w:color w:val="auto"/>
          <w:highlight w:val="none"/>
        </w:rPr>
        <w:t>应自行承担所有与参加投标有关的费用，无论投标过程中的做法和结果如何，</w:t>
      </w:r>
      <w:r>
        <w:rPr>
          <w:rFonts w:hint="eastAsia" w:ascii="宋体" w:hAnsi="宋体" w:eastAsia="宋体" w:cs="宋体"/>
          <w:b w:val="0"/>
          <w:bCs w:val="0"/>
          <w:i w:val="0"/>
          <w:iCs w:val="0"/>
          <w:color w:val="auto"/>
          <w:sz w:val="24"/>
          <w:szCs w:val="24"/>
          <w:highlight w:val="none"/>
        </w:rPr>
        <w:t>盐城市盐都区公共资源交易中心</w:t>
      </w:r>
      <w:r>
        <w:rPr>
          <w:rFonts w:hint="eastAsia" w:ascii="宋体" w:hAnsi="宋体" w:eastAsia="宋体" w:cs="宋体"/>
          <w:b w:val="0"/>
          <w:bCs w:val="0"/>
          <w:color w:val="auto"/>
          <w:highlight w:val="none"/>
        </w:rPr>
        <w:t>（以下简称</w:t>
      </w:r>
      <w:r>
        <w:rPr>
          <w:rFonts w:hint="eastAsia" w:ascii="宋体" w:hAnsi="宋体" w:eastAsia="宋体" w:cs="宋体"/>
          <w:b w:val="0"/>
          <w:bCs w:val="0"/>
          <w:color w:val="auto"/>
          <w:highlight w:val="none"/>
          <w:lang w:val="en-US" w:eastAsia="zh-CN"/>
        </w:rPr>
        <w:t>交易</w:t>
      </w:r>
      <w:r>
        <w:rPr>
          <w:rFonts w:hint="eastAsia" w:ascii="宋体" w:hAnsi="宋体" w:eastAsia="宋体" w:cs="宋体"/>
          <w:b w:val="0"/>
          <w:bCs w:val="0"/>
          <w:color w:val="auto"/>
          <w:highlight w:val="none"/>
        </w:rPr>
        <w:t>中心）在任何情况下均无义务和责任承担这些费用。</w:t>
      </w:r>
    </w:p>
    <w:p w14:paraId="25539D9C">
      <w:pPr>
        <w:pStyle w:val="242"/>
        <w:pageBreakBefore w:val="0"/>
        <w:widowControl w:val="0"/>
        <w:spacing w:beforeAutospacing="0" w:afterAutospacing="0" w:line="500" w:lineRule="exact"/>
        <w:ind w:left="0"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4.2本次招标</w:t>
      </w:r>
      <w:r>
        <w:rPr>
          <w:rFonts w:hint="eastAsia" w:ascii="宋体" w:hAnsi="宋体" w:eastAsia="宋体" w:cs="宋体"/>
          <w:b w:val="0"/>
          <w:bCs w:val="0"/>
          <w:color w:val="auto"/>
          <w:highlight w:val="none"/>
          <w:lang w:eastAsia="zh-CN"/>
        </w:rPr>
        <w:t>交易中心</w:t>
      </w:r>
      <w:r>
        <w:rPr>
          <w:rFonts w:hint="eastAsia" w:ascii="宋体" w:hAnsi="宋体" w:eastAsia="宋体" w:cs="宋体"/>
          <w:b w:val="0"/>
          <w:bCs w:val="0"/>
          <w:color w:val="auto"/>
          <w:highlight w:val="none"/>
        </w:rPr>
        <w:t>和采购人不收取标书工本费与中标服务费。</w:t>
      </w:r>
    </w:p>
    <w:p w14:paraId="7D2DF08F">
      <w:pPr>
        <w:pStyle w:val="242"/>
        <w:keepNext/>
        <w:keepLines/>
        <w:pageBreakBefore w:val="0"/>
        <w:widowControl w:val="0"/>
        <w:spacing w:beforeAutospacing="0" w:afterAutospacing="0" w:line="500" w:lineRule="exact"/>
        <w:ind w:left="0" w:firstLine="602"/>
        <w:jc w:val="both"/>
        <w:rPr>
          <w:rFonts w:hint="eastAsia" w:ascii="宋体" w:hAnsi="宋体" w:eastAsia="宋体" w:cs="宋体"/>
          <w:b w:val="0"/>
          <w:bCs w:val="0"/>
          <w:color w:val="auto"/>
          <w:highlight w:val="none"/>
        </w:rPr>
      </w:pPr>
      <w:r>
        <w:rPr>
          <w:rFonts w:hint="eastAsia" w:ascii="宋体" w:hAnsi="宋体" w:eastAsia="宋体" w:cs="宋体"/>
          <w:b w:val="0"/>
          <w:bCs w:val="0"/>
          <w:color w:val="auto"/>
          <w:sz w:val="30"/>
          <w:szCs w:val="30"/>
          <w:highlight w:val="none"/>
        </w:rPr>
        <w:t>5、</w:t>
      </w:r>
      <w:r>
        <w:rPr>
          <w:rFonts w:hint="eastAsia" w:ascii="宋体" w:hAnsi="宋体" w:eastAsia="宋体" w:cs="宋体"/>
          <w:b w:val="0"/>
          <w:bCs w:val="0"/>
          <w:color w:val="auto"/>
          <w:sz w:val="28"/>
          <w:szCs w:val="28"/>
          <w:highlight w:val="none"/>
        </w:rPr>
        <w:t>招标文件的约束力</w:t>
      </w:r>
    </w:p>
    <w:p w14:paraId="129FDA51">
      <w:pPr>
        <w:pStyle w:val="242"/>
        <w:pageBreakBefore w:val="0"/>
        <w:widowControl w:val="0"/>
        <w:spacing w:beforeAutospacing="0" w:afterAutospacing="0" w:line="500" w:lineRule="exact"/>
        <w:ind w:left="0"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5.1</w:t>
      </w:r>
      <w:r>
        <w:rPr>
          <w:rFonts w:hint="eastAsia" w:ascii="宋体" w:hAnsi="宋体" w:eastAsia="宋体" w:cs="宋体"/>
          <w:b w:val="0"/>
          <w:bCs w:val="0"/>
          <w:color w:val="auto"/>
          <w:highlight w:val="none"/>
          <w:lang w:eastAsia="zh-CN"/>
        </w:rPr>
        <w:t>供应商</w:t>
      </w:r>
      <w:r>
        <w:rPr>
          <w:rFonts w:hint="eastAsia" w:ascii="宋体" w:hAnsi="宋体" w:eastAsia="宋体" w:cs="宋体"/>
          <w:b w:val="0"/>
          <w:bCs w:val="0"/>
          <w:color w:val="auto"/>
          <w:highlight w:val="none"/>
        </w:rPr>
        <w:t>一旦参加本项目采购活动，即被认为接受了本招标文件的规定和约束。</w:t>
      </w:r>
    </w:p>
    <w:p w14:paraId="2F91174E">
      <w:pPr>
        <w:pStyle w:val="242"/>
        <w:keepNext/>
        <w:keepLines/>
        <w:pageBreakBefore w:val="0"/>
        <w:widowControl w:val="0"/>
        <w:spacing w:beforeAutospacing="0" w:afterAutospacing="0" w:line="500" w:lineRule="exact"/>
        <w:ind w:left="0" w:firstLine="498"/>
        <w:jc w:val="both"/>
        <w:rPr>
          <w:rFonts w:hint="eastAsia" w:ascii="宋体" w:hAnsi="宋体" w:eastAsia="宋体" w:cs="宋体"/>
          <w:b/>
          <w:color w:val="auto"/>
          <w:sz w:val="28"/>
          <w:szCs w:val="28"/>
          <w:highlight w:val="none"/>
        </w:rPr>
      </w:pPr>
      <w:bookmarkStart w:id="57" w:name="_Toc513029209"/>
      <w:bookmarkStart w:id="58" w:name="_Toc20823281"/>
      <w:bookmarkStart w:id="59" w:name="_Toc16938525"/>
      <w:bookmarkStart w:id="60" w:name="_Toc120614215"/>
      <w:r>
        <w:rPr>
          <w:rFonts w:hint="eastAsia" w:ascii="宋体" w:hAnsi="宋体" w:eastAsia="宋体" w:cs="宋体"/>
          <w:b/>
          <w:color w:val="auto"/>
          <w:sz w:val="28"/>
          <w:szCs w:val="28"/>
          <w:highlight w:val="none"/>
        </w:rPr>
        <w:t>二、招标文件</w:t>
      </w:r>
      <w:bookmarkEnd w:id="57"/>
      <w:bookmarkEnd w:id="58"/>
      <w:bookmarkEnd w:id="59"/>
      <w:bookmarkEnd w:id="60"/>
    </w:p>
    <w:p w14:paraId="2BA1F3FF">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highlight w:val="none"/>
        </w:rPr>
      </w:pPr>
      <w:bookmarkStart w:id="61" w:name="_Toc20823282"/>
      <w:bookmarkStart w:id="62" w:name="_Toc16938526"/>
      <w:bookmarkStart w:id="63" w:name="_Toc513029210"/>
      <w:r>
        <w:rPr>
          <w:rFonts w:hint="eastAsia" w:ascii="宋体" w:hAnsi="宋体" w:eastAsia="宋体" w:cs="宋体"/>
          <w:color w:val="auto"/>
          <w:sz w:val="28"/>
          <w:szCs w:val="28"/>
          <w:highlight w:val="none"/>
        </w:rPr>
        <w:t>6、招标文件构成</w:t>
      </w:r>
      <w:bookmarkEnd w:id="61"/>
      <w:bookmarkEnd w:id="62"/>
      <w:bookmarkEnd w:id="63"/>
    </w:p>
    <w:p w14:paraId="634E998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7EDD5505">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2CC26B52">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w:t>
      </w:r>
    </w:p>
    <w:p w14:paraId="6DB909B7">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60F7B451">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1B97C289">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1883CC9F">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1C26150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联系解决。</w:t>
      </w:r>
    </w:p>
    <w:p w14:paraId="68E39BC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自行承担。</w:t>
      </w:r>
    </w:p>
    <w:p w14:paraId="0591CD18">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64" w:name="_Toc16938527"/>
      <w:bookmarkStart w:id="65" w:name="_Toc20823283"/>
      <w:bookmarkStart w:id="66" w:name="_Toc513029211"/>
      <w:bookmarkStart w:id="67" w:name="_Toc462564070"/>
      <w:r>
        <w:rPr>
          <w:rFonts w:hint="eastAsia" w:ascii="宋体" w:hAnsi="宋体" w:eastAsia="宋体" w:cs="宋体"/>
          <w:color w:val="auto"/>
          <w:sz w:val="28"/>
          <w:szCs w:val="28"/>
          <w:highlight w:val="none"/>
        </w:rPr>
        <w:t>7、招标文件的澄清</w:t>
      </w:r>
      <w:bookmarkEnd w:id="64"/>
      <w:bookmarkEnd w:id="65"/>
      <w:bookmarkEnd w:id="66"/>
      <w:bookmarkEnd w:id="67"/>
    </w:p>
    <w:p w14:paraId="016CC8BE">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，应在投标截止期十日前按招标公告中的通讯地址，以书面形式通知</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w:t>
      </w:r>
    </w:p>
    <w:p w14:paraId="73B61764">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68" w:name="_Toc16938528"/>
      <w:bookmarkStart w:id="69" w:name="_Toc462564071"/>
      <w:bookmarkStart w:id="70" w:name="_Toc513029212"/>
      <w:bookmarkStart w:id="71" w:name="_Toc20823284"/>
      <w:r>
        <w:rPr>
          <w:rFonts w:hint="eastAsia" w:ascii="宋体" w:hAnsi="宋体" w:eastAsia="宋体" w:cs="宋体"/>
          <w:color w:val="auto"/>
          <w:sz w:val="28"/>
          <w:szCs w:val="28"/>
          <w:highlight w:val="none"/>
        </w:rPr>
        <w:t>8、招标文件的修改</w:t>
      </w:r>
      <w:bookmarkEnd w:id="68"/>
      <w:bookmarkEnd w:id="69"/>
      <w:bookmarkEnd w:id="70"/>
      <w:bookmarkEnd w:id="71"/>
    </w:p>
    <w:p w14:paraId="27CAF6F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8.1在投标截止时间前，</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可以对招标文件进行修改。</w:t>
      </w:r>
    </w:p>
    <w:p w14:paraId="3E6E8A5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8.2交易中心和采购人有权按照法定的要求推迟投标截止日期和开标日期。</w:t>
      </w:r>
    </w:p>
    <w:p w14:paraId="49A8FB7E">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8.3招标文件的修改将在“中国政府采购网”、“江苏政府采购网”、“盐城市政府采购网”</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盐城市盐都区人民政府网”</w:t>
      </w:r>
      <w:r>
        <w:rPr>
          <w:rFonts w:hint="eastAsia" w:ascii="宋体" w:hAnsi="宋体" w:eastAsia="宋体" w:cs="宋体"/>
          <w:color w:val="auto"/>
          <w:highlight w:val="none"/>
        </w:rPr>
        <w:t>公布，补充文件将作为招标文件的组成部分，并对</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具有约束力。</w:t>
      </w:r>
    </w:p>
    <w:p w14:paraId="3CAC5481">
      <w:pPr>
        <w:pStyle w:val="242"/>
        <w:keepNext/>
        <w:keepLines/>
        <w:pageBreakBefore w:val="0"/>
        <w:widowControl w:val="0"/>
        <w:spacing w:beforeAutospacing="0" w:afterAutospacing="0" w:line="500" w:lineRule="exact"/>
        <w:ind w:left="0" w:firstLine="482"/>
        <w:jc w:val="both"/>
        <w:rPr>
          <w:rFonts w:hint="eastAsia" w:ascii="宋体" w:hAnsi="宋体" w:eastAsia="宋体" w:cs="宋体"/>
          <w:color w:val="auto"/>
          <w:highlight w:val="none"/>
        </w:rPr>
      </w:pPr>
      <w:bookmarkStart w:id="72" w:name="_Toc120614216"/>
      <w:bookmarkStart w:id="73" w:name="_Toc513029213"/>
      <w:bookmarkStart w:id="74" w:name="_Toc16938529"/>
      <w:bookmarkStart w:id="75" w:name="_Toc462564072"/>
      <w:bookmarkStart w:id="76" w:name="_Toc20823285"/>
      <w:r>
        <w:rPr>
          <w:rFonts w:hint="eastAsia" w:ascii="宋体" w:hAnsi="宋体" w:eastAsia="宋体" w:cs="宋体"/>
          <w:b/>
          <w:color w:val="auto"/>
          <w:sz w:val="32"/>
          <w:szCs w:val="32"/>
          <w:highlight w:val="none"/>
        </w:rPr>
        <w:t>三、投标文件的编制</w:t>
      </w:r>
      <w:bookmarkEnd w:id="72"/>
      <w:bookmarkEnd w:id="73"/>
      <w:bookmarkEnd w:id="74"/>
      <w:bookmarkEnd w:id="75"/>
      <w:bookmarkEnd w:id="76"/>
    </w:p>
    <w:p w14:paraId="1968F032">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highlight w:val="none"/>
        </w:rPr>
      </w:pPr>
      <w:bookmarkStart w:id="77" w:name="_Toc20823286"/>
      <w:bookmarkStart w:id="78" w:name="_Toc462564073"/>
      <w:bookmarkStart w:id="79" w:name="_Toc513029214"/>
      <w:bookmarkStart w:id="80" w:name="_Toc16938530"/>
      <w:r>
        <w:rPr>
          <w:rFonts w:hint="eastAsia" w:ascii="宋体" w:hAnsi="宋体" w:eastAsia="宋体" w:cs="宋体"/>
          <w:color w:val="auto"/>
          <w:sz w:val="28"/>
          <w:szCs w:val="28"/>
          <w:highlight w:val="none"/>
        </w:rPr>
        <w:t>9、投标文件的语言及度量衡单位</w:t>
      </w:r>
      <w:bookmarkEnd w:id="77"/>
      <w:bookmarkEnd w:id="78"/>
      <w:bookmarkEnd w:id="79"/>
      <w:bookmarkEnd w:id="80"/>
    </w:p>
    <w:p w14:paraId="0C0F8D8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9.1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提交的投标文件以及</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6FCED2C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21576EEC">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sz w:val="28"/>
          <w:szCs w:val="28"/>
          <w:highlight w:val="none"/>
        </w:rPr>
      </w:pPr>
      <w:bookmarkStart w:id="81" w:name="_Toc513029215"/>
      <w:bookmarkStart w:id="82" w:name="_Toc462564074"/>
      <w:bookmarkStart w:id="83" w:name="_Toc16938531"/>
      <w:bookmarkStart w:id="84" w:name="_Toc20823287"/>
      <w:r>
        <w:rPr>
          <w:rFonts w:hint="eastAsia" w:ascii="宋体" w:hAnsi="宋体" w:eastAsia="宋体" w:cs="宋体"/>
          <w:color w:val="auto"/>
          <w:sz w:val="28"/>
          <w:szCs w:val="28"/>
          <w:highlight w:val="none"/>
        </w:rPr>
        <w:t>10、投标文件构成</w:t>
      </w:r>
      <w:bookmarkEnd w:id="81"/>
      <w:bookmarkEnd w:id="82"/>
      <w:bookmarkEnd w:id="83"/>
      <w:bookmarkEnd w:id="84"/>
    </w:p>
    <w:p w14:paraId="579F2D5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编写的投标文件应包括资格证明文件、符合性证明文件、投标分项报价表、技术要求响应及偏离表、商务要求响应及偏离表、其他证明文件、投标函、开标一览表等部分。</w:t>
      </w:r>
    </w:p>
    <w:p w14:paraId="3CA99E3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10.2如标书制作工具中格式和内容与“中国政府采购网”、“江苏政府采购网”、“盐城市政府采购网”</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盐城市盐都区人民政府网”</w:t>
      </w:r>
      <w:r>
        <w:rPr>
          <w:rFonts w:hint="eastAsia" w:ascii="宋体" w:hAnsi="宋体" w:eastAsia="宋体" w:cs="宋体"/>
          <w:color w:val="auto"/>
          <w:highlight w:val="none"/>
        </w:rPr>
        <w:t>发布的招标文件不一致，请以“中国政府采购网”、“江苏政府采购网”、“盐城市政府采购网”发布的招标文件为准。</w:t>
      </w:r>
    </w:p>
    <w:p w14:paraId="38754E1F">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highlight w:val="none"/>
        </w:rPr>
      </w:pPr>
      <w:bookmarkStart w:id="85" w:name="_Toc49090507"/>
      <w:bookmarkStart w:id="86" w:name="_Toc14577357"/>
      <w:bookmarkStart w:id="87" w:name="_Toc513029216"/>
      <w:bookmarkStart w:id="88" w:name="_Toc513029219"/>
      <w:bookmarkStart w:id="89" w:name="_Toc14577354"/>
      <w:bookmarkStart w:id="90" w:name="_Toc49090509"/>
      <w:r>
        <w:rPr>
          <w:rFonts w:hint="eastAsia" w:ascii="宋体" w:hAnsi="宋体" w:eastAsia="宋体" w:cs="宋体"/>
          <w:color w:val="auto"/>
          <w:sz w:val="28"/>
          <w:szCs w:val="28"/>
          <w:highlight w:val="none"/>
        </w:rPr>
        <w:t>11、证明</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及投标标的符合招标文件规定的文件</w:t>
      </w:r>
      <w:bookmarkEnd w:id="85"/>
      <w:bookmarkEnd w:id="86"/>
      <w:bookmarkEnd w:id="87"/>
      <w:bookmarkEnd w:id="88"/>
      <w:bookmarkEnd w:id="89"/>
      <w:bookmarkEnd w:id="90"/>
    </w:p>
    <w:p w14:paraId="6CF5F101">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bookmarkStart w:id="91" w:name="_Toc49090508"/>
      <w:bookmarkStart w:id="92" w:name="_Toc14577355"/>
      <w:r>
        <w:rPr>
          <w:rFonts w:hint="eastAsia" w:ascii="宋体" w:hAnsi="宋体" w:eastAsia="宋体" w:cs="宋体"/>
          <w:color w:val="auto"/>
          <w:highlight w:val="none"/>
        </w:rPr>
        <w:t>  11.1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应按照法律、法规、规章和规范性文件以及招标文件要求提交证明文件，证明其</w:t>
      </w:r>
      <w:r>
        <w:rPr>
          <w:rFonts w:hint="eastAsia" w:ascii="宋体" w:hAnsi="宋体" w:eastAsia="宋体" w:cs="宋体"/>
          <w:color w:val="auto"/>
          <w:highlight w:val="none"/>
          <w:lang w:val="en-US" w:eastAsia="zh-CN"/>
        </w:rPr>
        <w:t>及</w:t>
      </w:r>
      <w:r>
        <w:rPr>
          <w:rFonts w:hint="eastAsia" w:ascii="宋体" w:hAnsi="宋体" w:eastAsia="宋体" w:cs="宋体"/>
          <w:color w:val="auto"/>
          <w:highlight w:val="none"/>
        </w:rPr>
        <w:t>投标标的符合招标文件规定。</w:t>
      </w:r>
      <w:bookmarkEnd w:id="91"/>
      <w:bookmarkEnd w:id="92"/>
    </w:p>
    <w:p w14:paraId="4DFD52C2">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6CDB0B00">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8"/>
          <w:szCs w:val="28"/>
          <w:highlight w:val="none"/>
        </w:rPr>
        <w:t>12、投标分项报价表</w:t>
      </w:r>
    </w:p>
    <w:p w14:paraId="5F49256A">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应按照招标文件规定格式填报投标分项报价表。</w:t>
      </w:r>
    </w:p>
    <w:p w14:paraId="6A42872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028A4A35">
      <w:pPr>
        <w:pageBreakBefore w:val="0"/>
        <w:widowControl w:val="0"/>
        <w:numPr>
          <w:ilvl w:val="0"/>
          <w:numId w:val="0"/>
        </w:numPr>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12.3投标配置和分项明细报价，不仅应包括所有人员的工资、社保、公积金</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法定节假日加班费</w:t>
      </w:r>
      <w:r>
        <w:rPr>
          <w:rFonts w:hint="eastAsia" w:ascii="宋体" w:hAnsi="宋体" w:eastAsia="宋体" w:cs="宋体"/>
          <w:color w:val="auto"/>
          <w:sz w:val="24"/>
          <w:highlight w:val="none"/>
        </w:rPr>
        <w:t>，还应包括：管理、劳务、培训、风险、税金、合理利润及政策性文件规定等各项应有费用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以及为完成招标文件规定的物业服务工作所涉及到</w:t>
      </w:r>
      <w:r>
        <w:rPr>
          <w:rFonts w:hint="eastAsia" w:ascii="宋体" w:hAnsi="宋体" w:eastAsia="宋体" w:cs="宋体"/>
          <w:color w:val="auto"/>
          <w:sz w:val="24"/>
          <w:szCs w:val="24"/>
          <w:highlight w:val="none"/>
          <w:lang w:val="en-US" w:eastAsia="zh-CN"/>
        </w:rPr>
        <w:t>的清洁用品、日常消耗品、服装、装备、维修工具及</w:t>
      </w:r>
      <w:r>
        <w:rPr>
          <w:rFonts w:hint="eastAsia" w:ascii="宋体" w:hAnsi="宋体" w:eastAsia="宋体" w:cs="宋体"/>
          <w:color w:val="auto"/>
          <w:sz w:val="24"/>
          <w:szCs w:val="24"/>
          <w:highlight w:val="none"/>
        </w:rPr>
        <w:t>劳保用品</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一切相关费用。</w:t>
      </w:r>
    </w:p>
    <w:p w14:paraId="4B9B5E36">
      <w:pPr>
        <w:pageBreakBefore w:val="0"/>
        <w:widowControl w:val="0"/>
        <w:spacing w:line="500" w:lineRule="exact"/>
        <w:ind w:left="0" w:firstLine="468"/>
        <w:rPr>
          <w:rFonts w:hint="eastAsia" w:ascii="宋体" w:hAnsi="宋体" w:eastAsia="宋体" w:cs="宋体"/>
          <w:color w:val="auto"/>
          <w:highlight w:val="none"/>
        </w:rPr>
      </w:pPr>
      <w:r>
        <w:rPr>
          <w:rFonts w:hint="eastAsia" w:ascii="宋体" w:hAnsi="宋体" w:eastAsia="宋体" w:cs="宋体"/>
          <w:color w:val="auto"/>
          <w:sz w:val="24"/>
          <w:highlight w:val="none"/>
        </w:rPr>
        <w:t>12.4</w:t>
      </w:r>
      <w:r>
        <w:rPr>
          <w:rFonts w:hint="eastAsia" w:ascii="宋体" w:hAnsi="宋体" w:eastAsia="宋体" w:cs="宋体"/>
          <w:b/>
          <w:bCs/>
          <w:color w:val="auto"/>
          <w:sz w:val="24"/>
          <w:highlight w:val="none"/>
          <w:lang w:val="zh-CN"/>
        </w:rPr>
        <w:t>所有人员工资不低于本市最低工资标准</w:t>
      </w:r>
      <w:r>
        <w:rPr>
          <w:rFonts w:hint="eastAsia" w:ascii="宋体" w:hAnsi="宋体" w:eastAsia="宋体" w:cs="宋体"/>
          <w:b/>
          <w:bCs/>
          <w:color w:val="auto"/>
          <w:sz w:val="24"/>
          <w:highlight w:val="none"/>
          <w:u w:val="single"/>
          <w:lang w:val="zh-CN"/>
        </w:rPr>
        <w:t xml:space="preserve"> 2430 </w:t>
      </w:r>
      <w:r>
        <w:rPr>
          <w:rFonts w:hint="eastAsia" w:ascii="宋体" w:hAnsi="宋体" w:eastAsia="宋体" w:cs="宋体"/>
          <w:b/>
          <w:bCs/>
          <w:color w:val="auto"/>
          <w:sz w:val="24"/>
          <w:highlight w:val="none"/>
          <w:lang w:val="zh-CN"/>
        </w:rPr>
        <w:t>元/人</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zh-CN"/>
        </w:rPr>
        <w:t>月；所有人员必须足额缴纳社保费用，社保（企业部分）不得低于</w:t>
      </w:r>
      <w:r>
        <w:rPr>
          <w:rFonts w:hint="eastAsia" w:ascii="宋体" w:hAnsi="宋体" w:eastAsia="宋体" w:cs="宋体"/>
          <w:b/>
          <w:bCs/>
          <w:color w:val="auto"/>
          <w:sz w:val="24"/>
          <w:highlight w:val="none"/>
          <w:u w:val="single"/>
          <w:lang w:val="zh-CN"/>
        </w:rPr>
        <w:t xml:space="preserve"> </w:t>
      </w:r>
      <w:r>
        <w:rPr>
          <w:rFonts w:hint="eastAsia" w:ascii="宋体" w:hAnsi="宋体" w:eastAsia="宋体" w:cs="宋体"/>
          <w:b/>
          <w:bCs/>
          <w:color w:val="auto"/>
          <w:sz w:val="24"/>
          <w:highlight w:val="none"/>
          <w:u w:val="single"/>
          <w:lang w:val="en-US" w:eastAsia="zh-CN"/>
        </w:rPr>
        <w:t>1292.47</w:t>
      </w:r>
      <w:r>
        <w:rPr>
          <w:rFonts w:hint="eastAsia" w:ascii="宋体" w:hAnsi="宋体" w:eastAsia="宋体" w:cs="宋体"/>
          <w:b/>
          <w:bCs/>
          <w:color w:val="auto"/>
          <w:sz w:val="24"/>
          <w:highlight w:val="none"/>
          <w:u w:val="single"/>
          <w:lang w:val="zh-CN"/>
        </w:rPr>
        <w:t xml:space="preserve"> </w:t>
      </w:r>
      <w:r>
        <w:rPr>
          <w:rFonts w:hint="eastAsia" w:ascii="宋体" w:hAnsi="宋体" w:eastAsia="宋体" w:cs="宋体"/>
          <w:b/>
          <w:bCs/>
          <w:color w:val="auto"/>
          <w:sz w:val="24"/>
          <w:highlight w:val="none"/>
          <w:lang w:val="zh-CN"/>
        </w:rPr>
        <w:t>元/人</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zh-CN"/>
        </w:rPr>
        <w:t>月；</w:t>
      </w:r>
      <w:r>
        <w:rPr>
          <w:rFonts w:hint="eastAsia" w:ascii="宋体" w:hAnsi="宋体" w:eastAsia="宋体" w:cs="宋体"/>
          <w:b/>
          <w:bCs/>
          <w:color w:val="auto"/>
          <w:sz w:val="24"/>
          <w:highlight w:val="none"/>
        </w:rPr>
        <w:t>住房公积金不得低于</w:t>
      </w:r>
      <w:r>
        <w:rPr>
          <w:rFonts w:hint="eastAsia" w:ascii="宋体" w:hAnsi="宋体" w:eastAsia="宋体" w:cs="宋体"/>
          <w:b/>
          <w:bCs/>
          <w:color w:val="auto"/>
          <w:sz w:val="24"/>
          <w:highlight w:val="none"/>
          <w:u w:val="single"/>
          <w:lang w:val="zh-CN"/>
        </w:rPr>
        <w:t xml:space="preserve"> </w:t>
      </w:r>
      <w:r>
        <w:rPr>
          <w:rFonts w:hint="eastAsia" w:ascii="宋体" w:hAnsi="宋体" w:cs="宋体"/>
          <w:b/>
          <w:bCs/>
          <w:color w:val="auto"/>
          <w:sz w:val="24"/>
          <w:highlight w:val="none"/>
          <w:u w:val="single"/>
          <w:lang w:val="en-US" w:eastAsia="zh-CN"/>
        </w:rPr>
        <w:t>114</w:t>
      </w:r>
      <w:r>
        <w:rPr>
          <w:rFonts w:hint="eastAsia" w:ascii="宋体" w:hAnsi="宋体" w:eastAsia="宋体" w:cs="宋体"/>
          <w:b/>
          <w:bCs/>
          <w:color w:val="auto"/>
          <w:sz w:val="24"/>
          <w:highlight w:val="none"/>
          <w:u w:val="single"/>
          <w:lang w:val="zh-CN"/>
        </w:rPr>
        <w:t xml:space="preserve"> </w:t>
      </w:r>
      <w:r>
        <w:rPr>
          <w:rFonts w:hint="eastAsia" w:ascii="宋体" w:hAnsi="宋体" w:eastAsia="宋体" w:cs="宋体"/>
          <w:b/>
          <w:bCs/>
          <w:color w:val="auto"/>
          <w:sz w:val="24"/>
          <w:highlight w:val="none"/>
        </w:rPr>
        <w:t>元</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val="zh-CN"/>
        </w:rPr>
        <w:t>人</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val="zh-CN"/>
        </w:rPr>
        <w:t>月，</w:t>
      </w:r>
      <w:r>
        <w:rPr>
          <w:rFonts w:hint="eastAsia" w:ascii="宋体" w:hAnsi="宋体" w:eastAsia="宋体" w:cs="宋体"/>
          <w:b/>
          <w:bCs/>
          <w:color w:val="auto"/>
          <w:sz w:val="24"/>
          <w:highlight w:val="none"/>
        </w:rPr>
        <w:t>法定节假日加班费不得低于</w:t>
      </w:r>
      <w:r>
        <w:rPr>
          <w:rFonts w:hint="eastAsia" w:ascii="宋体" w:hAnsi="宋体" w:eastAsia="宋体" w:cs="宋体"/>
          <w:b/>
          <w:bCs/>
          <w:color w:val="auto"/>
          <w:sz w:val="24"/>
          <w:highlight w:val="none"/>
          <w:u w:val="single"/>
          <w:lang w:val="zh-CN"/>
        </w:rPr>
        <w:t>4357.25</w:t>
      </w:r>
      <w:r>
        <w:rPr>
          <w:rFonts w:hint="eastAsia" w:ascii="宋体" w:hAnsi="宋体" w:eastAsia="宋体" w:cs="宋体"/>
          <w:b/>
          <w:bCs/>
          <w:color w:val="auto"/>
          <w:sz w:val="24"/>
          <w:highlight w:val="none"/>
        </w:rPr>
        <w:t>元</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人</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年</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rPr>
        <w:t>税金费率不得低于</w:t>
      </w:r>
      <w:r>
        <w:rPr>
          <w:rFonts w:hint="eastAsia" w:ascii="宋体" w:hAnsi="宋体" w:eastAsia="宋体" w:cs="宋体"/>
          <w:b/>
          <w:bCs/>
          <w:color w:val="auto"/>
          <w:sz w:val="24"/>
          <w:highlight w:val="none"/>
          <w:u w:val="single"/>
          <w:lang w:val="zh-CN"/>
        </w:rPr>
        <w:t>6.72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等</w:t>
      </w:r>
      <w:r>
        <w:rPr>
          <w:rFonts w:hint="eastAsia" w:ascii="宋体" w:hAnsi="宋体" w:eastAsia="宋体" w:cs="宋体"/>
          <w:b/>
          <w:bCs/>
          <w:color w:val="auto"/>
          <w:sz w:val="24"/>
          <w:highlight w:val="none"/>
        </w:rPr>
        <w:t>。</w:t>
      </w:r>
    </w:p>
    <w:p w14:paraId="26077F89">
      <w:pPr>
        <w:pageBreakBefore w:val="0"/>
        <w:widowControl w:val="0"/>
        <w:spacing w:line="500" w:lineRule="exact"/>
        <w:ind w:left="0" w:firstLine="47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供应商</w:t>
      </w:r>
      <w:r>
        <w:rPr>
          <w:rFonts w:hint="eastAsia" w:ascii="宋体" w:hAnsi="宋体" w:eastAsia="宋体" w:cs="宋体"/>
          <w:b/>
          <w:bCs/>
          <w:color w:val="auto"/>
          <w:sz w:val="24"/>
          <w:highlight w:val="none"/>
          <w:lang w:val="zh-CN"/>
        </w:rPr>
        <w:t>所提供人员的费用不得低于上述标准进行测算，</w:t>
      </w:r>
      <w:r>
        <w:rPr>
          <w:rFonts w:hint="eastAsia" w:ascii="宋体" w:hAnsi="宋体" w:eastAsia="宋体" w:cs="宋体"/>
          <w:b/>
          <w:color w:val="auto"/>
          <w:sz w:val="24"/>
          <w:highlight w:val="none"/>
        </w:rPr>
        <w:t>否则</w:t>
      </w:r>
      <w:r>
        <w:rPr>
          <w:rFonts w:hint="eastAsia" w:ascii="宋体" w:hAnsi="宋体" w:eastAsia="宋体" w:cs="宋体"/>
          <w:b/>
          <w:bCs/>
          <w:color w:val="auto"/>
          <w:sz w:val="24"/>
          <w:highlight w:val="none"/>
          <w:lang w:val="zh-CN"/>
        </w:rPr>
        <w:t>视为未实质性响应招标文件要求</w:t>
      </w:r>
      <w:r>
        <w:rPr>
          <w:rFonts w:hint="eastAsia" w:ascii="宋体" w:hAnsi="宋体" w:eastAsia="宋体" w:cs="宋体"/>
          <w:b/>
          <w:color w:val="auto"/>
          <w:sz w:val="24"/>
          <w:highlight w:val="none"/>
        </w:rPr>
        <w:t>。如果招标公告发布之后开标前遇政府调整职工最低工资标准或社会保险缴纳基数，评标委员会进行符合性审查时可仍按上述标准审查，中标后，中标人应按照最新政策文件规定执行。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报价应充分考虑到合同期内各项政策性因素，其人员的最低工资标准、社会保险缴纳基数等在合同期内均不作调整。</w:t>
      </w:r>
    </w:p>
    <w:p w14:paraId="460BE692">
      <w:pPr>
        <w:pageBreakBefore w:val="0"/>
        <w:widowControl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12.5</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根据招标内容的要求准确报价，一经报出，不得更改。</w:t>
      </w:r>
    </w:p>
    <w:p w14:paraId="291FD31D">
      <w:pPr>
        <w:pageBreakBefore w:val="0"/>
        <w:widowControl w:val="0"/>
        <w:spacing w:line="500" w:lineRule="exact"/>
        <w:ind w:left="0" w:firstLine="468"/>
        <w:rPr>
          <w:rFonts w:hint="eastAsia" w:ascii="宋体" w:hAnsi="宋体" w:eastAsia="宋体" w:cs="宋体"/>
          <w:color w:val="auto"/>
          <w:sz w:val="24"/>
          <w:highlight w:val="none"/>
        </w:rPr>
      </w:pPr>
      <w:r>
        <w:rPr>
          <w:rFonts w:hint="eastAsia" w:ascii="宋体" w:hAnsi="宋体" w:eastAsia="宋体" w:cs="宋体"/>
          <w:color w:val="auto"/>
          <w:sz w:val="24"/>
          <w:highlight w:val="none"/>
        </w:rPr>
        <w:t>12.6投标报价的单位为人民币元</w:t>
      </w:r>
      <w:r>
        <w:rPr>
          <w:rFonts w:hint="eastAsia" w:ascii="宋体" w:hAnsi="宋体" w:eastAsia="宋体" w:cs="宋体"/>
          <w:color w:val="auto"/>
          <w:sz w:val="24"/>
          <w:highlight w:val="none"/>
          <w:lang w:val="en-US" w:eastAsia="zh-CN"/>
        </w:rPr>
        <w:t>/年</w:t>
      </w:r>
      <w:r>
        <w:rPr>
          <w:rFonts w:hint="eastAsia" w:ascii="宋体" w:hAnsi="宋体" w:eastAsia="宋体" w:cs="宋体"/>
          <w:color w:val="auto"/>
          <w:sz w:val="24"/>
          <w:highlight w:val="none"/>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后根据合同履行情况不再进行续聘或重新选聘物业服务企业，退出本物业管理时必须向本单位移交全套档案资料等，经本单位验收合格，并完成与后续物业服务企业的衔接后，方可退出，同时无息退还履约保证金余额。合同提前终止或期满退出的，规定时间内必须与本单位及后续物业管理企业完成交接、衔接工作。 </w:t>
      </w:r>
    </w:p>
    <w:p w14:paraId="4D24716C">
      <w:pPr>
        <w:pageBreakBefore w:val="0"/>
        <w:widowControl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12.7对于超出招标文件的其他临时性服务项目，由甲乙双方协商解决。</w:t>
      </w:r>
    </w:p>
    <w:p w14:paraId="0508CDAB">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13、技术要求响应及偏离表、商务要求响应及偏离表</w:t>
      </w:r>
    </w:p>
    <w:p w14:paraId="394C76D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需对招标文件中的技术要求与商务要求逐项作出响应或偏离，并说明原因。</w:t>
      </w:r>
    </w:p>
    <w:p w14:paraId="49B99D4C">
      <w:pPr>
        <w:pStyle w:val="242"/>
        <w:pageBreakBefore w:val="0"/>
        <w:widowControl w:val="0"/>
        <w:tabs>
          <w:tab w:val="left" w:pos="1036"/>
        </w:tabs>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13.2</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可在投标文件中提供认为需要的其他技术文件或说明。</w:t>
      </w:r>
    </w:p>
    <w:p w14:paraId="6277E241">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sz w:val="28"/>
          <w:szCs w:val="28"/>
          <w:highlight w:val="none"/>
        </w:rPr>
      </w:pPr>
      <w:bookmarkStart w:id="93" w:name="_Toc49090510"/>
      <w:bookmarkStart w:id="94" w:name="_Toc14577359"/>
      <w:r>
        <w:rPr>
          <w:rFonts w:hint="eastAsia" w:ascii="宋体" w:hAnsi="宋体" w:eastAsia="宋体" w:cs="宋体"/>
          <w:color w:val="auto"/>
          <w:sz w:val="28"/>
          <w:szCs w:val="28"/>
          <w:highlight w:val="none"/>
        </w:rPr>
        <w:t>14、投标函和开标一览表</w:t>
      </w:r>
      <w:bookmarkEnd w:id="93"/>
      <w:bookmarkEnd w:id="94"/>
    </w:p>
    <w:p w14:paraId="0530B43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应按照招标文件中提供的格式完整、正确填写投标函、开标一览表。</w:t>
      </w:r>
    </w:p>
    <w:p w14:paraId="267DB6AB">
      <w:pPr>
        <w:pStyle w:val="242"/>
        <w:pageBreakBefore w:val="0"/>
        <w:widowControl w:val="0"/>
        <w:spacing w:beforeAutospacing="0" w:afterAutospacing="0" w:line="500" w:lineRule="exact"/>
        <w:ind w:left="0" w:firstLine="480"/>
        <w:jc w:val="both"/>
        <w:rPr>
          <w:rFonts w:hint="eastAsia" w:ascii="宋体" w:hAnsi="宋体" w:eastAsia="宋体" w:cs="宋体"/>
          <w:b/>
          <w:color w:val="auto"/>
          <w:highlight w:val="none"/>
        </w:rPr>
      </w:pPr>
      <w:r>
        <w:rPr>
          <w:rFonts w:hint="eastAsia" w:ascii="宋体" w:hAnsi="宋体" w:eastAsia="宋体" w:cs="宋体"/>
          <w:color w:val="auto"/>
          <w:highlight w:val="none"/>
        </w:rPr>
        <w:t>14.2对于采用货币报价的项目，开标一览表中的投标总报价应与投标分项报价表中的投标总报价一致，如不一致，不作为无效投标处理，但评标时按开标一览表中价格为准。</w:t>
      </w:r>
    </w:p>
    <w:p w14:paraId="6941ADC7">
      <w:pPr>
        <w:pageBreakBefore w:val="0"/>
        <w:widowControl w:val="0"/>
        <w:spacing w:line="500" w:lineRule="exact"/>
        <w:ind w:left="0" w:firstLine="470"/>
        <w:rPr>
          <w:rFonts w:hint="eastAsia" w:ascii="宋体" w:hAnsi="宋体" w:eastAsia="宋体" w:cs="宋体"/>
          <w:b/>
          <w:color w:val="auto"/>
          <w:highlight w:val="none"/>
        </w:rPr>
      </w:pPr>
      <w:r>
        <w:rPr>
          <w:rFonts w:hint="eastAsia" w:ascii="宋体" w:hAnsi="宋体" w:eastAsia="宋体" w:cs="宋体"/>
          <w:color w:val="auto"/>
          <w:sz w:val="24"/>
          <w:highlight w:val="none"/>
        </w:rPr>
        <w:t>14.3投标文件的大写金额和小写金额不一致的，以大写金额为准；对不同文字文本投标的解释发生异议的，以中文文本为准。</w:t>
      </w:r>
    </w:p>
    <w:p w14:paraId="71BF88D3">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highlight w:val="none"/>
        </w:rPr>
      </w:pPr>
      <w:bookmarkStart w:id="95" w:name="_Toc14577360"/>
      <w:bookmarkStart w:id="96" w:name="_Toc49090511"/>
      <w:r>
        <w:rPr>
          <w:rFonts w:hint="eastAsia" w:ascii="宋体" w:hAnsi="宋体" w:eastAsia="宋体" w:cs="宋体"/>
          <w:color w:val="auto"/>
          <w:sz w:val="28"/>
          <w:szCs w:val="28"/>
          <w:highlight w:val="none"/>
        </w:rPr>
        <w:t>15、投标有效期</w:t>
      </w:r>
      <w:bookmarkEnd w:id="95"/>
      <w:bookmarkEnd w:id="96"/>
    </w:p>
    <w:p w14:paraId="44974F0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15.1投标有效期为采购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规定的开标之日后</w:t>
      </w:r>
      <w:r>
        <w:rPr>
          <w:rFonts w:hint="eastAsia" w:ascii="宋体" w:hAnsi="宋体" w:eastAsia="宋体" w:cs="宋体"/>
          <w:b/>
          <w:color w:val="auto"/>
          <w:highlight w:val="none"/>
          <w:u w:val="single"/>
          <w:lang w:val="en-US" w:eastAsia="zh-CN"/>
        </w:rPr>
        <w:t>九</w:t>
      </w:r>
      <w:r>
        <w:rPr>
          <w:rFonts w:hint="eastAsia" w:ascii="宋体" w:hAnsi="宋体" w:eastAsia="宋体" w:cs="宋体"/>
          <w:b/>
          <w:color w:val="auto"/>
          <w:highlight w:val="none"/>
          <w:u w:val="single"/>
        </w:rPr>
        <w:t>十（</w:t>
      </w:r>
      <w:r>
        <w:rPr>
          <w:rFonts w:hint="eastAsia" w:ascii="宋体" w:hAnsi="宋体" w:eastAsia="宋体" w:cs="宋体"/>
          <w:b/>
          <w:color w:val="auto"/>
          <w:highlight w:val="none"/>
          <w:u w:val="single"/>
          <w:lang w:val="en-US" w:eastAsia="zh-CN"/>
        </w:rPr>
        <w:t>9</w:t>
      </w:r>
      <w:r>
        <w:rPr>
          <w:rFonts w:hint="eastAsia" w:ascii="宋体" w:hAnsi="宋体" w:eastAsia="宋体" w:cs="宋体"/>
          <w:b/>
          <w:color w:val="auto"/>
          <w:highlight w:val="none"/>
          <w:u w:val="single"/>
        </w:rPr>
        <w:t>0）天</w:t>
      </w:r>
      <w:r>
        <w:rPr>
          <w:rFonts w:hint="eastAsia" w:ascii="宋体" w:hAnsi="宋体" w:eastAsia="宋体" w:cs="宋体"/>
          <w:color w:val="auto"/>
          <w:highlight w:val="none"/>
        </w:rPr>
        <w:t>。投标有效期比规定短的将被视为未实质性响应招标文件而予以拒绝。</w:t>
      </w:r>
    </w:p>
    <w:p w14:paraId="1684845B">
      <w:pPr>
        <w:pStyle w:val="242"/>
        <w:keepNext/>
        <w:keepLines/>
        <w:pageBreakBefore w:val="0"/>
        <w:widowControl w:val="0"/>
        <w:spacing w:beforeAutospacing="0" w:afterAutospacing="0" w:line="50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8"/>
          <w:szCs w:val="28"/>
          <w:highlight w:val="none"/>
        </w:rPr>
        <w:t>16、投标有效期的延长</w:t>
      </w:r>
    </w:p>
    <w:p w14:paraId="09DE950A">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16.1在特殊情况下，采购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于原投标有效期满之前，可向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提出延长投标有效期的要求。这种要求与答复均应采用书面形式。</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可以拒绝采购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的这一要求而放弃投标。同意延长投标有效期的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既不能要求也不允许修改其投标文件，同时受投标有效期约束的所有权利与义务均延长至新的有效期。</w:t>
      </w:r>
    </w:p>
    <w:p w14:paraId="2CB0D7A7">
      <w:pPr>
        <w:pStyle w:val="242"/>
        <w:keepNext/>
        <w:keepLines/>
        <w:pageBreakBefore w:val="0"/>
        <w:widowControl w:val="0"/>
        <w:spacing w:beforeAutospacing="0" w:afterAutospacing="0" w:line="500" w:lineRule="exact"/>
        <w:ind w:left="0" w:firstLine="482"/>
        <w:jc w:val="both"/>
        <w:rPr>
          <w:rFonts w:hint="eastAsia" w:ascii="宋体" w:hAnsi="宋体" w:eastAsia="宋体" w:cs="宋体"/>
          <w:color w:val="auto"/>
          <w:highlight w:val="none"/>
        </w:rPr>
      </w:pPr>
      <w:bookmarkStart w:id="97" w:name="_Toc20823296"/>
      <w:bookmarkStart w:id="98" w:name="_Toc16938540"/>
      <w:bookmarkStart w:id="99" w:name="_Toc120614217"/>
      <w:bookmarkStart w:id="100" w:name="_Toc513029224"/>
      <w:r>
        <w:rPr>
          <w:rFonts w:hint="eastAsia" w:ascii="宋体" w:hAnsi="宋体" w:eastAsia="宋体" w:cs="宋体"/>
          <w:b/>
          <w:color w:val="auto"/>
          <w:sz w:val="32"/>
          <w:szCs w:val="32"/>
          <w:highlight w:val="none"/>
        </w:rPr>
        <w:t>四、投标文件的递交</w:t>
      </w:r>
      <w:bookmarkEnd w:id="97"/>
      <w:bookmarkEnd w:id="98"/>
      <w:bookmarkEnd w:id="99"/>
      <w:bookmarkEnd w:id="100"/>
    </w:p>
    <w:p w14:paraId="7D01E2CC">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01" w:name="_Toc462564084"/>
      <w:bookmarkStart w:id="102" w:name="_Toc513029225"/>
      <w:bookmarkStart w:id="103" w:name="_Toc16938541"/>
      <w:bookmarkStart w:id="104" w:name="_Toc20823297"/>
      <w:r>
        <w:rPr>
          <w:rFonts w:hint="eastAsia" w:ascii="宋体" w:hAnsi="宋体" w:eastAsia="宋体" w:cs="宋体"/>
          <w:color w:val="auto"/>
          <w:sz w:val="28"/>
          <w:szCs w:val="28"/>
          <w:highlight w:val="none"/>
        </w:rPr>
        <w:t>17、投标文件</w:t>
      </w:r>
      <w:bookmarkEnd w:id="101"/>
      <w:bookmarkEnd w:id="102"/>
      <w:bookmarkEnd w:id="103"/>
      <w:bookmarkEnd w:id="104"/>
      <w:r>
        <w:rPr>
          <w:rFonts w:hint="eastAsia" w:ascii="宋体" w:hAnsi="宋体" w:eastAsia="宋体" w:cs="宋体"/>
          <w:color w:val="auto"/>
          <w:sz w:val="28"/>
          <w:szCs w:val="28"/>
          <w:highlight w:val="none"/>
        </w:rPr>
        <w:t>的递交</w:t>
      </w:r>
    </w:p>
    <w:p w14:paraId="79A9354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 电子投标文件的递交</w:t>
      </w:r>
    </w:p>
    <w:p w14:paraId="3C5E5A4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应当按照《操作手册》规定，在投标截止时间前制作并上传电子投标文件。</w:t>
      </w:r>
      <w:bookmarkStart w:id="105" w:name="_Toc20823298"/>
      <w:bookmarkEnd w:id="105"/>
      <w:bookmarkStart w:id="106" w:name="_Toc16938542"/>
      <w:bookmarkEnd w:id="106"/>
    </w:p>
    <w:p w14:paraId="173FD94D">
      <w:pPr>
        <w:pStyle w:val="242"/>
        <w:pageBreakBefore w:val="0"/>
        <w:widowControl w:val="0"/>
        <w:spacing w:beforeAutospacing="0" w:afterAutospacing="0" w:line="500" w:lineRule="exact"/>
        <w:ind w:left="0" w:firstLine="482"/>
        <w:jc w:val="both"/>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p>
    <w:p w14:paraId="15A89E87">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18、投标截止时间</w:t>
      </w:r>
    </w:p>
    <w:p w14:paraId="0D018AA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18.1</w:t>
      </w:r>
      <w:r>
        <w:rPr>
          <w:rFonts w:hint="eastAsia" w:ascii="宋体" w:hAnsi="宋体" w:eastAsia="宋体" w:cs="宋体"/>
          <w:i/>
          <w:color w:val="auto"/>
          <w:highlight w:val="none"/>
          <w:u w:val="single"/>
          <w:lang w:eastAsia="zh-CN"/>
        </w:rPr>
        <w:t>供应商</w:t>
      </w:r>
      <w:r>
        <w:rPr>
          <w:rFonts w:hint="eastAsia" w:ascii="宋体" w:hAnsi="宋体" w:eastAsia="宋体" w:cs="宋体"/>
          <w:i/>
          <w:color w:val="auto"/>
          <w:highlight w:val="none"/>
          <w:u w:val="single"/>
        </w:rPr>
        <w:t>上传电子投标文件的时间不得迟于招标公告中规定的投标截止时间。</w:t>
      </w:r>
    </w:p>
    <w:p w14:paraId="27CE317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应充分考虑到网络环境、网络带宽等风险因素，如因</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自身原因造成的电子投标文件上传不成功的按照本招标文件第二章第26.1.2条 规定做无效投标处理。</w:t>
      </w:r>
    </w:p>
    <w:p w14:paraId="6A2C8EE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18.2</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可以按照规定，通过修改招标文件酌情延长投标截止时间，在此情况下，</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的所有权利和义务以及</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受制的截止时间均应以延长后新的截止时间为准。</w:t>
      </w:r>
    </w:p>
    <w:p w14:paraId="579A5537">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07" w:name="_Toc513029227"/>
      <w:bookmarkStart w:id="108" w:name="_Toc20823299"/>
      <w:bookmarkStart w:id="109" w:name="_Toc16938543"/>
      <w:r>
        <w:rPr>
          <w:rFonts w:hint="eastAsia" w:ascii="宋体" w:hAnsi="宋体" w:eastAsia="宋体" w:cs="宋体"/>
          <w:color w:val="auto"/>
          <w:sz w:val="28"/>
          <w:szCs w:val="28"/>
          <w:highlight w:val="none"/>
        </w:rPr>
        <w:t>19、投标文件</w:t>
      </w:r>
      <w:bookmarkEnd w:id="107"/>
      <w:bookmarkEnd w:id="108"/>
      <w:bookmarkEnd w:id="109"/>
      <w:r>
        <w:rPr>
          <w:rFonts w:hint="eastAsia" w:ascii="宋体" w:hAnsi="宋体" w:eastAsia="宋体" w:cs="宋体"/>
          <w:color w:val="auto"/>
          <w:sz w:val="28"/>
          <w:szCs w:val="28"/>
          <w:highlight w:val="none"/>
        </w:rPr>
        <w:t>的拒收</w:t>
      </w:r>
    </w:p>
    <w:p w14:paraId="412C942D">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拒绝接收在其规定的投标截止时间后上传的任何投标文件。</w:t>
      </w:r>
    </w:p>
    <w:p w14:paraId="38069BDD">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10" w:name="_Toc20823300"/>
      <w:bookmarkStart w:id="111" w:name="_Toc16938544"/>
      <w:bookmarkStart w:id="112" w:name="_Toc513029228"/>
      <w:r>
        <w:rPr>
          <w:rFonts w:hint="eastAsia" w:ascii="宋体" w:hAnsi="宋体" w:eastAsia="宋体" w:cs="宋体"/>
          <w:color w:val="auto"/>
          <w:sz w:val="28"/>
          <w:szCs w:val="28"/>
          <w:highlight w:val="none"/>
        </w:rPr>
        <w:t>20、投标文件的撤回和修改</w:t>
      </w:r>
      <w:bookmarkEnd w:id="110"/>
      <w:bookmarkEnd w:id="111"/>
      <w:bookmarkEnd w:id="112"/>
    </w:p>
    <w:p w14:paraId="490CD08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20.1投标文件的撤回</w:t>
      </w:r>
    </w:p>
    <w:p w14:paraId="67F8896B">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cs="宋体"/>
          <w:color w:val="auto"/>
          <w:highlight w:val="none"/>
          <w:lang w:val="en-US" w:eastAsia="zh-CN"/>
        </w:rPr>
        <w:t>20</w:t>
      </w:r>
      <w:r>
        <w:rPr>
          <w:rFonts w:hint="eastAsia" w:ascii="宋体" w:hAnsi="宋体" w:eastAsia="宋体" w:cs="宋体"/>
          <w:color w:val="auto"/>
          <w:highlight w:val="none"/>
        </w:rPr>
        <w:t>.1.1电子投标文件的撤回</w:t>
      </w:r>
    </w:p>
    <w:p w14:paraId="06EDC88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可在投标截止时间前，撤回其电子投标文件，具体操作方法见《操作手册》。</w:t>
      </w:r>
    </w:p>
    <w:p w14:paraId="2F74325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cs="宋体"/>
          <w:color w:val="auto"/>
          <w:highlight w:val="none"/>
          <w:lang w:val="en-US" w:eastAsia="zh-CN"/>
        </w:rPr>
        <w:t>20</w:t>
      </w:r>
      <w:r>
        <w:rPr>
          <w:rFonts w:hint="eastAsia" w:ascii="宋体" w:hAnsi="宋体" w:eastAsia="宋体" w:cs="宋体"/>
          <w:color w:val="auto"/>
          <w:highlight w:val="none"/>
        </w:rPr>
        <w:t>.1.2</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撤回电子投标文件，则认为其不再参与本项目投标活动。</w:t>
      </w:r>
    </w:p>
    <w:p w14:paraId="5799646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 投标文件的修改</w:t>
      </w:r>
    </w:p>
    <w:p w14:paraId="7CDA27E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可在投标截止时间前，对其电子投标文件进行修改，具体操作方法见《操作手册》。</w:t>
      </w:r>
    </w:p>
    <w:p w14:paraId="41FB1DFA">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20.2.2在投标截止时间之后，</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不得对其电子投标文件作任何修改。</w:t>
      </w:r>
    </w:p>
    <w:p w14:paraId="17184D5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20.3在投标截止时间至招标文件中规定的投标有效期满之间的这段时间内，</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不得撤回其投标。</w:t>
      </w:r>
    </w:p>
    <w:p w14:paraId="458C30E4">
      <w:pPr>
        <w:pStyle w:val="242"/>
        <w:keepNext/>
        <w:keepLines/>
        <w:pageBreakBefore w:val="0"/>
        <w:widowControl w:val="0"/>
        <w:spacing w:beforeAutospacing="0" w:afterAutospacing="0" w:line="500" w:lineRule="exact"/>
        <w:ind w:left="0" w:firstLine="482"/>
        <w:jc w:val="both"/>
        <w:rPr>
          <w:rFonts w:hint="eastAsia" w:ascii="宋体" w:hAnsi="宋体" w:eastAsia="宋体" w:cs="宋体"/>
          <w:color w:val="auto"/>
          <w:highlight w:val="none"/>
        </w:rPr>
      </w:pPr>
      <w:bookmarkStart w:id="113" w:name="_Toc120614218"/>
      <w:bookmarkStart w:id="114" w:name="_Toc16938545"/>
      <w:bookmarkStart w:id="115" w:name="_Toc513029229"/>
      <w:bookmarkStart w:id="116" w:name="_Toc20823301"/>
      <w:r>
        <w:rPr>
          <w:rFonts w:hint="eastAsia" w:ascii="宋体" w:hAnsi="宋体" w:eastAsia="宋体" w:cs="宋体"/>
          <w:b/>
          <w:color w:val="auto"/>
          <w:sz w:val="32"/>
          <w:szCs w:val="32"/>
          <w:highlight w:val="none"/>
        </w:rPr>
        <w:t>五、开标与评标</w:t>
      </w:r>
      <w:bookmarkEnd w:id="113"/>
      <w:bookmarkEnd w:id="114"/>
      <w:bookmarkEnd w:id="115"/>
      <w:bookmarkEnd w:id="116"/>
    </w:p>
    <w:p w14:paraId="3A5E4573">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17" w:name="_Toc16938546"/>
      <w:bookmarkStart w:id="118" w:name="_Toc513029230"/>
      <w:bookmarkStart w:id="119" w:name="_Toc20823302"/>
      <w:r>
        <w:rPr>
          <w:rFonts w:hint="eastAsia" w:ascii="宋体" w:hAnsi="宋体" w:eastAsia="宋体" w:cs="宋体"/>
          <w:color w:val="auto"/>
          <w:sz w:val="28"/>
          <w:szCs w:val="28"/>
          <w:highlight w:val="none"/>
        </w:rPr>
        <w:t>21、开标</w:t>
      </w:r>
      <w:bookmarkEnd w:id="117"/>
      <w:bookmarkEnd w:id="118"/>
      <w:bookmarkEnd w:id="119"/>
    </w:p>
    <w:p w14:paraId="403CD5D5">
      <w:pPr>
        <w:pStyle w:val="242"/>
        <w:pageBreakBefore w:val="0"/>
        <w:widowControl w:val="0"/>
        <w:spacing w:beforeAutospacing="0" w:afterAutospacing="0" w:line="500" w:lineRule="exact"/>
        <w:ind w:left="0" w:firstLine="650"/>
        <w:jc w:val="both"/>
        <w:rPr>
          <w:rFonts w:hint="eastAsia" w:ascii="宋体" w:hAnsi="宋体" w:eastAsia="宋体" w:cs="宋体"/>
          <w:color w:val="auto"/>
          <w:highlight w:val="none"/>
        </w:rPr>
      </w:pPr>
      <w:r>
        <w:rPr>
          <w:rFonts w:hint="eastAsia" w:ascii="宋体" w:hAnsi="宋体" w:eastAsia="宋体" w:cs="宋体"/>
          <w:color w:val="auto"/>
          <w:highlight w:val="none"/>
        </w:rPr>
        <w:t>21.1</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中心将在招标公告中规定的时间和地点组织公开开标。</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应当按照《操作手册》规定，参加开标活动和在苏采云系统规定的时间内对投标文件进行解密。</w:t>
      </w:r>
    </w:p>
    <w:p w14:paraId="005F729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21.2开标仪式由</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中心组织。苏采云系统将自动对项目进行开标，并宣布各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名称和投标价格。</w:t>
      </w:r>
    </w:p>
    <w:p w14:paraId="05B05492">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21.3</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在开标过程中涉及到的投标文件解密、开标结果确认等工作，应按照《操作手册》规定执行。</w:t>
      </w:r>
    </w:p>
    <w:p w14:paraId="7C3F352B">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21.4</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如果对开标过程和开标记录有疑义，应当根据《操作手册》规定提出，如苏采云系统中《开标记录表》宣布后5分钟内未提出的，视同认可开标结果。</w:t>
      </w:r>
    </w:p>
    <w:p w14:paraId="1F666A3A">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20" w:name="_Toc20823303"/>
      <w:bookmarkStart w:id="121" w:name="_Toc16938547"/>
      <w:bookmarkStart w:id="122" w:name="_Toc513029231"/>
      <w:r>
        <w:rPr>
          <w:rFonts w:hint="eastAsia" w:ascii="宋体" w:hAnsi="宋体" w:eastAsia="宋体" w:cs="宋体"/>
          <w:color w:val="auto"/>
          <w:sz w:val="28"/>
          <w:szCs w:val="28"/>
          <w:highlight w:val="none"/>
        </w:rPr>
        <w:t>22、评标委员会</w:t>
      </w:r>
      <w:bookmarkEnd w:id="120"/>
      <w:bookmarkEnd w:id="121"/>
      <w:bookmarkEnd w:id="122"/>
    </w:p>
    <w:p w14:paraId="5F24D37C">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22.1开标后，</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中心将立即组织评标委员会（以下简称评委会）进行评标。</w:t>
      </w:r>
    </w:p>
    <w:p w14:paraId="3633068A">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22.2评委会由采购人代表和有关技术、经济等方面的专家组成，且人员构成符合政府采购有关规定。</w:t>
      </w:r>
    </w:p>
    <w:p w14:paraId="532E210A">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val="en-US" w:eastAsia="zh-CN"/>
        </w:rPr>
        <w:t>候</w:t>
      </w:r>
      <w:r>
        <w:rPr>
          <w:rFonts w:hint="eastAsia" w:ascii="宋体" w:hAnsi="宋体" w:eastAsia="宋体" w:cs="宋体"/>
          <w:color w:val="auto"/>
          <w:highlight w:val="none"/>
        </w:rPr>
        <w:t>选人。</w:t>
      </w:r>
    </w:p>
    <w:p w14:paraId="2CF193FE">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23、评标过程的保密与公正</w:t>
      </w:r>
    </w:p>
    <w:p w14:paraId="6992374A">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中心均不得向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或与评标无关的其他人员透露。</w:t>
      </w:r>
    </w:p>
    <w:p w14:paraId="38151150">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23.2在评标过程中，</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不得以任何行为影响评标过程，否则其投标文件将被作为无效投标文件。</w:t>
      </w:r>
    </w:p>
    <w:p w14:paraId="7A7F800D">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23.3</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中心和</w:t>
      </w:r>
      <w:r>
        <w:rPr>
          <w:rFonts w:hint="eastAsia" w:ascii="宋体" w:hAnsi="宋体" w:eastAsia="宋体" w:cs="宋体"/>
          <w:color w:val="auto"/>
          <w:highlight w:val="none"/>
          <w:lang w:eastAsia="zh-CN"/>
        </w:rPr>
        <w:t>评委会</w:t>
      </w:r>
      <w:r>
        <w:rPr>
          <w:rFonts w:hint="eastAsia" w:ascii="宋体" w:hAnsi="宋体" w:eastAsia="宋体" w:cs="宋体"/>
          <w:color w:val="auto"/>
          <w:highlight w:val="none"/>
        </w:rPr>
        <w:t>不向未中标的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解释未中标原因，也不公布评标过程中的相关细节。</w:t>
      </w:r>
    </w:p>
    <w:p w14:paraId="7E528FE2">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23.4采用综合评分法的项目，未中标的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可于中标结果公告期限届满之日起通过苏采云系统查看自己的评审得分及排序情况。</w:t>
      </w:r>
    </w:p>
    <w:p w14:paraId="7A48A42E">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23" w:name="_Toc16938548"/>
      <w:bookmarkStart w:id="124" w:name="_Toc20823304"/>
      <w:bookmarkStart w:id="125" w:name="_Toc513029232"/>
      <w:r>
        <w:rPr>
          <w:rFonts w:hint="eastAsia" w:ascii="宋体" w:hAnsi="宋体" w:eastAsia="宋体" w:cs="宋体"/>
          <w:color w:val="auto"/>
          <w:sz w:val="28"/>
          <w:szCs w:val="28"/>
          <w:highlight w:val="none"/>
        </w:rPr>
        <w:t>24、投标文件的澄清</w:t>
      </w:r>
      <w:bookmarkEnd w:id="123"/>
      <w:bookmarkEnd w:id="124"/>
      <w:bookmarkEnd w:id="125"/>
    </w:p>
    <w:p w14:paraId="1655239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24.1评标期间，评委会对投标文件中含义不明确、同类问题表述不一致或者有明显文字和计算错误的内容，有权要求</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作出必要的澄清、说明或者补正。</w:t>
      </w:r>
    </w:p>
    <w:p w14:paraId="09E710C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的澄清、说明或者补正不得超出投标文件的范围或者改变投标文件的实质性内容。</w:t>
      </w:r>
    </w:p>
    <w:p w14:paraId="0B656F0A">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评委会</w:t>
      </w:r>
      <w:r>
        <w:rPr>
          <w:rFonts w:hint="eastAsia" w:ascii="宋体" w:hAnsi="宋体" w:eastAsia="宋体" w:cs="宋体"/>
          <w:color w:val="auto"/>
          <w:highlight w:val="none"/>
        </w:rPr>
        <w:t>并非对每个</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都做澄清要求。</w:t>
      </w:r>
    </w:p>
    <w:p w14:paraId="6D3C5F82">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应当按照要求在苏采云系统中提交“澄清响应函”并加盖CA电子公章。澄清、说明和补正的内容作为投标文件的补充部分，具体操作方式见《操作手册》。</w:t>
      </w:r>
    </w:p>
    <w:p w14:paraId="539E48D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24.3接到评委会澄清、说明和补正要求的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如未按规定</w:t>
      </w:r>
      <w:r>
        <w:rPr>
          <w:rFonts w:hint="eastAsia" w:ascii="宋体" w:hAnsi="宋体" w:eastAsia="宋体" w:cs="宋体"/>
          <w:color w:val="auto"/>
          <w:highlight w:val="none"/>
          <w:lang w:val="en-US" w:eastAsia="zh-CN"/>
        </w:rPr>
        <w:t>作</w:t>
      </w:r>
      <w:r>
        <w:rPr>
          <w:rFonts w:hint="eastAsia" w:ascii="宋体" w:hAnsi="宋体" w:eastAsia="宋体" w:cs="宋体"/>
          <w:color w:val="auto"/>
          <w:highlight w:val="none"/>
        </w:rPr>
        <w:t>出澄清、说明和补正，其风险由</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自行承担。</w:t>
      </w:r>
    </w:p>
    <w:p w14:paraId="1E748906">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26" w:name="_Toc20823305"/>
      <w:bookmarkStart w:id="127" w:name="_Toc16938549"/>
      <w:bookmarkStart w:id="128" w:name="_Toc513029233"/>
      <w:r>
        <w:rPr>
          <w:rFonts w:hint="eastAsia" w:ascii="宋体" w:hAnsi="宋体" w:eastAsia="宋体" w:cs="宋体"/>
          <w:color w:val="auto"/>
          <w:sz w:val="28"/>
          <w:szCs w:val="28"/>
          <w:highlight w:val="none"/>
        </w:rPr>
        <w:t>25、对投标文件的初审</w:t>
      </w:r>
      <w:bookmarkEnd w:id="126"/>
      <w:bookmarkEnd w:id="127"/>
      <w:bookmarkEnd w:id="128"/>
    </w:p>
    <w:p w14:paraId="2629487E">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4DBE593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25.1.1资格审查：依据法律法规和招标文件的规定，由采购人对投标文件中的资格证明文件进行审查。资格审查的结论，采购人以书面形式向评委会进行反馈。</w:t>
      </w:r>
    </w:p>
    <w:p w14:paraId="6339E6D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的信用记录，以确定</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是否具备投标资格,查询结果留存并归档。</w:t>
      </w:r>
    </w:p>
    <w:p w14:paraId="1EC98610">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highlight w:val="none"/>
          <w:lang w:val="en-US" w:eastAsia="zh-CN"/>
        </w:rPr>
        <w:t>信</w:t>
      </w:r>
      <w:r>
        <w:rPr>
          <w:rFonts w:hint="eastAsia" w:ascii="宋体" w:hAnsi="宋体" w:eastAsia="宋体" w:cs="宋体"/>
          <w:color w:val="auto"/>
          <w:highlight w:val="none"/>
        </w:rPr>
        <w:t>用记录。</w:t>
      </w:r>
    </w:p>
    <w:p w14:paraId="3F9EAE6D">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16BCB1D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25.1.3未通过资格审查或符合性审查的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将在苏采云系统中告知未通过资格审查或符合性审查的原因，评标结束后，采购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将不再告知未通过资格审查和符合性审查的原因。</w:t>
      </w:r>
    </w:p>
    <w:p w14:paraId="0814187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3C431B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val="en-US" w:eastAsia="zh-CN"/>
        </w:rPr>
        <w:t>交易中心</w:t>
      </w:r>
      <w:r>
        <w:rPr>
          <w:rFonts w:hint="eastAsia" w:ascii="宋体" w:hAnsi="宋体" w:eastAsia="宋体" w:cs="宋体"/>
          <w:color w:val="auto"/>
          <w:highlight w:val="none"/>
        </w:rPr>
        <w:t>的权利或</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的义务，纠正这些偏离或保留将会对其他实质性响应要求的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的竞争地位产生不公正的影响。重大偏离的认定需经过评委会以少数服从多数的原则作出结论。评委决定投标文件的响应性只根据投标文件本身的内容，而不寻求外部的证据。</w:t>
      </w:r>
    </w:p>
    <w:p w14:paraId="70FF35A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不得通过修改或撤销不</w:t>
      </w:r>
      <w:r>
        <w:rPr>
          <w:rFonts w:hint="eastAsia" w:ascii="宋体" w:hAnsi="宋体" w:eastAsia="宋体" w:cs="宋体"/>
          <w:color w:val="auto"/>
          <w:highlight w:val="none"/>
          <w:lang w:val="en-US" w:eastAsia="zh-CN"/>
        </w:rPr>
        <w:t>符</w:t>
      </w:r>
      <w:r>
        <w:rPr>
          <w:rFonts w:hint="eastAsia" w:ascii="宋体" w:hAnsi="宋体" w:eastAsia="宋体" w:cs="宋体"/>
          <w:color w:val="auto"/>
          <w:highlight w:val="none"/>
        </w:rPr>
        <w:t>合要求的偏离或保留而使其投标成为实质性响应的投标。</w:t>
      </w:r>
    </w:p>
    <w:p w14:paraId="458E3D4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518B26DA">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6685FFA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37AA075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2658A90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D7CC08E">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7D33741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，调整后的价格应对</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具有约束力。如果</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不接受修正后的价格，则其投标将被拒绝。</w:t>
      </w:r>
    </w:p>
    <w:p w14:paraId="51401310">
      <w:pPr>
        <w:pStyle w:val="242"/>
        <w:pageBreakBefore w:val="0"/>
        <w:widowControl w:val="0"/>
        <w:spacing w:beforeAutospacing="0" w:afterAutospacing="0" w:line="500" w:lineRule="exact"/>
        <w:ind w:left="0" w:firstLine="420"/>
        <w:jc w:val="both"/>
        <w:rPr>
          <w:rFonts w:hint="eastAsia" w:ascii="宋体" w:hAnsi="宋体" w:eastAsia="宋体" w:cs="宋体"/>
          <w:color w:val="auto"/>
          <w:highlight w:val="none"/>
        </w:rPr>
      </w:pPr>
      <w:bookmarkStart w:id="129" w:name="_Toc513029234"/>
      <w:bookmarkStart w:id="130" w:name="_Toc16938550"/>
      <w:bookmarkStart w:id="131" w:name="_Toc20823306"/>
      <w:r>
        <w:rPr>
          <w:rFonts w:hint="eastAsia" w:ascii="宋体" w:hAnsi="宋体" w:eastAsia="宋体" w:cs="宋体"/>
          <w:color w:val="auto"/>
          <w:highlight w:val="none"/>
        </w:rPr>
        <w:t>25.6</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在开、评标全过程中应保持通讯畅通，及时登录苏采云系统查阅、答复相关信息，并安排专人与</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中心及</w:t>
      </w:r>
      <w:r>
        <w:rPr>
          <w:rFonts w:hint="eastAsia" w:ascii="宋体" w:hAnsi="宋体" w:eastAsia="宋体" w:cs="宋体"/>
          <w:color w:val="auto"/>
          <w:highlight w:val="none"/>
          <w:lang w:eastAsia="zh-CN"/>
        </w:rPr>
        <w:t>评委会</w:t>
      </w:r>
      <w:r>
        <w:rPr>
          <w:rFonts w:hint="eastAsia" w:ascii="宋体" w:hAnsi="宋体" w:eastAsia="宋体" w:cs="宋体"/>
          <w:color w:val="auto"/>
          <w:highlight w:val="none"/>
        </w:rPr>
        <w:t>联系。</w:t>
      </w:r>
      <w:bookmarkEnd w:id="129"/>
      <w:bookmarkEnd w:id="130"/>
      <w:bookmarkEnd w:id="131"/>
    </w:p>
    <w:p w14:paraId="44571FCE">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26、无效投标条款和废标条款</w:t>
      </w:r>
    </w:p>
    <w:p w14:paraId="6A16AE01">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bookmarkStart w:id="132" w:name="_Toc20823307"/>
      <w:bookmarkStart w:id="133" w:name="_Toc16938551"/>
      <w:bookmarkStart w:id="134" w:name="_Toc513029235"/>
      <w:r>
        <w:rPr>
          <w:rFonts w:hint="eastAsia" w:ascii="宋体" w:hAnsi="宋体" w:eastAsia="宋体" w:cs="宋体"/>
          <w:color w:val="auto"/>
          <w:highlight w:val="none"/>
        </w:rPr>
        <w:t>26.1无效投标条款</w:t>
      </w:r>
      <w:bookmarkEnd w:id="132"/>
      <w:bookmarkEnd w:id="133"/>
      <w:bookmarkEnd w:id="134"/>
    </w:p>
    <w:p w14:paraId="3C8B63D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在苏采云系统规定的时间内未成功解密电子投标文件的。</w:t>
      </w:r>
    </w:p>
    <w:p w14:paraId="384A98E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26.1.2</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未按照招标文件要求上传电子投标文件的。</w:t>
      </w:r>
    </w:p>
    <w:p w14:paraId="0A379991">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color w:val="auto"/>
          <w:highlight w:val="none"/>
        </w:rPr>
        <w:t>26.1.3同一</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提交两个（含两个）以上不同的投标报价的。</w:t>
      </w:r>
    </w:p>
    <w:p w14:paraId="418776E0">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color w:val="auto"/>
          <w:highlight w:val="none"/>
        </w:rPr>
        <w:t>26.1.4</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不具备招标文件中规定资格要求的。</w:t>
      </w:r>
    </w:p>
    <w:p w14:paraId="3106223D">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26.1.5</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的报价超过了采购预算或最高限价的。</w:t>
      </w:r>
    </w:p>
    <w:p w14:paraId="04BF020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26.1.6未通过符合性审查的。</w:t>
      </w:r>
    </w:p>
    <w:p w14:paraId="37BCCA8C">
      <w:pPr>
        <w:pStyle w:val="242"/>
        <w:pageBreakBefore w:val="0"/>
        <w:widowControl w:val="0"/>
        <w:spacing w:beforeAutospacing="0" w:afterAutospacing="0" w:line="500" w:lineRule="exact"/>
        <w:ind w:left="0" w:firstLine="360"/>
        <w:jc w:val="both"/>
        <w:rPr>
          <w:rFonts w:hint="eastAsia" w:ascii="宋体" w:hAnsi="宋体" w:eastAsia="宋体" w:cs="宋体"/>
          <w:color w:val="auto"/>
          <w:highlight w:val="none"/>
        </w:rPr>
      </w:pPr>
      <w:r>
        <w:rPr>
          <w:rFonts w:hint="eastAsia" w:ascii="宋体" w:hAnsi="宋体" w:eastAsia="宋体" w:cs="宋体"/>
          <w:color w:val="auto"/>
          <w:highlight w:val="none"/>
        </w:rPr>
        <w:t>26.1.7不符合招标文件中规定的实质性要求和条件的（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3E1D024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26.1.8</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存在其他不符合《中华人民共和国政府采购法》第二十二条规定条件的信用记录。</w:t>
      </w:r>
    </w:p>
    <w:p w14:paraId="78A2AB6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26.1.9投标文件含有采购人不能接受的附加条件的。</w:t>
      </w:r>
    </w:p>
    <w:p w14:paraId="245E903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26.1.10</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不能证明其报价合理性的，</w:t>
      </w:r>
      <w:r>
        <w:rPr>
          <w:rFonts w:hint="eastAsia" w:ascii="宋体" w:hAnsi="宋体" w:eastAsia="宋体" w:cs="宋体"/>
          <w:color w:val="auto"/>
          <w:highlight w:val="none"/>
          <w:lang w:eastAsia="zh-CN"/>
        </w:rPr>
        <w:t>评委会</w:t>
      </w:r>
      <w:r>
        <w:rPr>
          <w:rFonts w:hint="eastAsia" w:ascii="宋体" w:hAnsi="宋体" w:eastAsia="宋体" w:cs="宋体"/>
          <w:color w:val="auto"/>
          <w:highlight w:val="none"/>
        </w:rPr>
        <w:t>应当将其作为无效投标处理。</w:t>
      </w:r>
    </w:p>
    <w:p w14:paraId="4F71FC0B">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（一）评审过程中出现下列情形之一的，评标委员会应当启动异常低价投标审查程序：</w:t>
      </w:r>
    </w:p>
    <w:p w14:paraId="0162896B">
      <w:pPr>
        <w:widowControl/>
        <w:spacing w:line="560" w:lineRule="exact"/>
        <w:ind w:firstLine="482"/>
        <w:jc w:val="left"/>
        <w:outlineLvl w:val="4"/>
        <w:rPr>
          <w:rFonts w:ascii="宋体" w:hAnsi="宋体" w:cs="宋体"/>
          <w:color w:val="auto"/>
          <w:highlight w:val="none"/>
        </w:rPr>
      </w:pPr>
      <w:r>
        <w:rPr>
          <w:rFonts w:hint="eastAsia" w:ascii="宋体" w:hAnsi="宋体" w:eastAsia="宋体" w:cs="宋体"/>
          <w:color w:val="auto"/>
          <w:sz w:val="24"/>
          <w:szCs w:val="20"/>
          <w:highlight w:val="none"/>
        </w:rPr>
        <w:t>1.投标（响应）报价低于全部通过符合性审查供应商投标（响应）报价平均值50%的，即投标（响应）报价&lt;全部通过符合性审查供应商投标（响应）报价平均值×50%；</w:t>
      </w:r>
    </w:p>
    <w:p w14:paraId="5E0B39D2">
      <w:pPr>
        <w:widowControl/>
        <w:spacing w:line="560" w:lineRule="exact"/>
        <w:ind w:firstLine="482"/>
        <w:jc w:val="left"/>
        <w:outlineLvl w:val="4"/>
        <w:rPr>
          <w:rFonts w:ascii="宋体" w:hAnsi="宋体" w:cs="宋体"/>
          <w:color w:val="auto"/>
          <w:highlight w:val="none"/>
        </w:rPr>
      </w:pPr>
      <w:r>
        <w:rPr>
          <w:rFonts w:hint="eastAsia" w:ascii="宋体" w:hAnsi="宋体" w:eastAsia="宋体" w:cs="宋体"/>
          <w:color w:val="auto"/>
          <w:sz w:val="24"/>
          <w:szCs w:val="20"/>
          <w:highlight w:val="none"/>
        </w:rPr>
        <w:t>2.投标（响应）报价低于通过符合性审查的次低报价供应商投标（响应）报价50%的，即投标（响应）报价&lt;通过符合性审查的次低报价供应商投标（响应）报价×50%；</w:t>
      </w:r>
    </w:p>
    <w:p w14:paraId="78C96AF9">
      <w:pPr>
        <w:widowControl/>
        <w:spacing w:line="560" w:lineRule="exact"/>
        <w:ind w:firstLine="482"/>
        <w:jc w:val="left"/>
        <w:outlineLvl w:val="4"/>
        <w:rPr>
          <w:rFonts w:ascii="华文宋体" w:hAnsi="华文宋体" w:cs="华文宋体"/>
          <w:color w:val="auto"/>
          <w:highlight w:val="none"/>
        </w:rPr>
      </w:pPr>
      <w:r>
        <w:rPr>
          <w:rFonts w:hint="eastAsia" w:ascii="宋体" w:hAnsi="宋体" w:eastAsia="宋体" w:cs="宋体"/>
          <w:color w:val="auto"/>
          <w:sz w:val="24"/>
          <w:szCs w:val="20"/>
          <w:highlight w:val="none"/>
        </w:rPr>
        <w:t>3.投标（响应）报价低于采购项目最高限价45%的，即投标（响应）报价&lt;采购项目最高限</w:t>
      </w:r>
      <w:r>
        <w:rPr>
          <w:rFonts w:hint="eastAsia" w:ascii="宋体" w:hAnsi="宋体" w:eastAsia="宋体" w:cs="宋体"/>
          <w:color w:val="auto"/>
          <w:sz w:val="24"/>
          <w:szCs w:val="24"/>
          <w:highlight w:val="none"/>
        </w:rPr>
        <w:t>价×45%</w:t>
      </w:r>
      <w:r>
        <w:rPr>
          <w:rFonts w:hint="eastAsia" w:ascii="宋体" w:hAnsi="宋体" w:eastAsia="宋体" w:cs="宋体"/>
          <w:color w:val="auto"/>
          <w:sz w:val="24"/>
          <w:szCs w:val="20"/>
          <w:highlight w:val="none"/>
        </w:rPr>
        <w:t>；</w:t>
      </w:r>
    </w:p>
    <w:p w14:paraId="2B03F283">
      <w:pPr>
        <w:widowControl/>
        <w:spacing w:line="560" w:lineRule="exact"/>
        <w:ind w:firstLine="482"/>
        <w:jc w:val="left"/>
        <w:outlineLvl w:val="4"/>
        <w:rPr>
          <w:rFonts w:ascii="华文宋体" w:hAnsi="华文宋体" w:cs="华文宋体"/>
          <w:color w:val="auto"/>
          <w:highlight w:val="none"/>
        </w:rPr>
      </w:pPr>
      <w:r>
        <w:rPr>
          <w:rFonts w:hint="eastAsia" w:ascii="宋体" w:hAnsi="宋体" w:eastAsia="Arial" w:cs="宋体"/>
          <w:color w:val="auto"/>
          <w:sz w:val="24"/>
          <w:szCs w:val="20"/>
          <w:highlight w:val="none"/>
        </w:rPr>
        <w:t>4.评审委员会基于专业判断，认为供应商报价过低，有可能影响产品质量或者不能诚信履约的其他情形。</w:t>
      </w:r>
    </w:p>
    <w:p w14:paraId="78B44183">
      <w:pPr>
        <w:widowControl/>
        <w:spacing w:line="560" w:lineRule="exact"/>
        <w:ind w:firstLine="482"/>
        <w:jc w:val="left"/>
        <w:outlineLvl w:val="4"/>
        <w:rPr>
          <w:color w:val="auto"/>
          <w:highlight w:val="none"/>
        </w:rPr>
      </w:pPr>
      <w:r>
        <w:rPr>
          <w:rFonts w:hint="eastAsia" w:ascii="宋体" w:hAnsi="宋体" w:eastAsia="Arial" w:cs="宋体"/>
          <w:color w:val="auto"/>
          <w:sz w:val="24"/>
          <w:szCs w:val="20"/>
          <w:highlight w:val="none"/>
        </w:rPr>
        <w:t>采购人可以结合具体项目实际情况，提高上述第1项至第3项中启动异常低价投标（响应）审查的数值标准，但是最高不得超过65%。</w:t>
      </w:r>
    </w:p>
    <w:p w14:paraId="6D8B57D8">
      <w:pPr>
        <w:widowControl/>
        <w:spacing w:line="560" w:lineRule="exact"/>
        <w:ind w:firstLine="482"/>
        <w:jc w:val="left"/>
        <w:outlineLvl w:val="4"/>
        <w:rPr>
          <w:color w:val="auto"/>
          <w:highlight w:val="none"/>
        </w:rPr>
      </w:pPr>
      <w:r>
        <w:rPr>
          <w:rFonts w:hint="eastAsia" w:ascii="宋体" w:hAnsi="宋体" w:eastAsia="Arial" w:cs="宋体"/>
          <w:color w:val="auto"/>
          <w:sz w:val="24"/>
          <w:szCs w:val="20"/>
          <w:highlight w:val="none"/>
        </w:rPr>
        <w:t>相关法律法规对供应商报价有规定的，从其规定。</w:t>
      </w:r>
    </w:p>
    <w:p w14:paraId="1D9417B9">
      <w:pPr>
        <w:widowControl/>
        <w:spacing w:line="560" w:lineRule="exact"/>
        <w:ind w:firstLine="482"/>
        <w:jc w:val="left"/>
        <w:outlineLvl w:val="4"/>
        <w:rPr>
          <w:rFonts w:ascii="宋体" w:hAnsi="宋体" w:cs="宋体"/>
          <w:color w:val="auto"/>
          <w:highlight w:val="none"/>
        </w:rPr>
      </w:pPr>
      <w:r>
        <w:rPr>
          <w:rFonts w:hint="eastAsia" w:ascii="宋体" w:hAnsi="宋体" w:eastAsia="宋体" w:cs="宋体"/>
          <w:color w:val="auto"/>
          <w:sz w:val="24"/>
          <w:szCs w:val="20"/>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0D1084">
      <w:pPr>
        <w:widowControl/>
        <w:spacing w:line="560" w:lineRule="exact"/>
        <w:ind w:firstLine="482"/>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5B50BE">
      <w:pPr>
        <w:widowControl/>
        <w:spacing w:line="560" w:lineRule="exact"/>
        <w:ind w:firstLine="482"/>
        <w:jc w:val="left"/>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577F78">
      <w:pPr>
        <w:widowControl/>
        <w:spacing w:line="560" w:lineRule="exact"/>
        <w:ind w:firstLine="482"/>
        <w:jc w:val="left"/>
        <w:outlineLvl w:val="4"/>
        <w:rPr>
          <w:rFonts w:hint="eastAsia" w:ascii="宋体" w:hAnsi="宋体" w:cs="宋体"/>
          <w:color w:val="auto"/>
          <w:sz w:val="24"/>
          <w:szCs w:val="24"/>
          <w:highlight w:val="none"/>
        </w:rPr>
      </w:pPr>
      <w:r>
        <w:rPr>
          <w:rFonts w:hint="eastAsia" w:ascii="宋体" w:hAnsi="宋体" w:eastAsia="宋体" w:cs="宋体"/>
          <w:color w:val="auto"/>
          <w:sz w:val="24"/>
          <w:szCs w:val="20"/>
          <w:highlight w:val="none"/>
        </w:rPr>
        <w:t>异常低价投标（响应）审查的启动原因、审查意见和审查结果应当在评审报告中记录，并随供应商提供的相关书面说明及证明材料，以及评审委员会有关互联网浏览、查询历史一并归档。</w:t>
      </w:r>
    </w:p>
    <w:p w14:paraId="1F0368A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26.1.11投标文件未按照招标文件要求加盖CA电子公章的。</w:t>
      </w:r>
    </w:p>
    <w:p w14:paraId="1105148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26.1.12其他法律、法规及本招标文件规定的属无效投标的情形。</w:t>
      </w:r>
    </w:p>
    <w:p w14:paraId="2E5A4879">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color w:val="auto"/>
          <w:highlight w:val="none"/>
        </w:rPr>
        <w:t>26.2废标条款</w:t>
      </w:r>
    </w:p>
    <w:p w14:paraId="2FB0836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26.2.1符合专业条件的供应商或者对招标文件作实质响应的供应商不足三家的。</w:t>
      </w:r>
    </w:p>
    <w:p w14:paraId="5EDDCFD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26.2.2出现影响采购公正的违法、违规行为的。</w:t>
      </w:r>
    </w:p>
    <w:p w14:paraId="0AC6C25E">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26.2.3因重大变故，采购任务取消的。</w:t>
      </w:r>
    </w:p>
    <w:p w14:paraId="3D0FD06F">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26.2.4</w:t>
      </w:r>
      <w:r>
        <w:rPr>
          <w:rFonts w:hint="eastAsia" w:ascii="宋体" w:hAnsi="宋体" w:eastAsia="宋体" w:cs="宋体"/>
          <w:color w:val="auto"/>
          <w:highlight w:val="none"/>
          <w:lang w:eastAsia="zh-CN"/>
        </w:rPr>
        <w:t>评委会</w:t>
      </w:r>
      <w:r>
        <w:rPr>
          <w:rFonts w:hint="eastAsia" w:ascii="宋体" w:hAnsi="宋体" w:eastAsia="宋体" w:cs="宋体"/>
          <w:color w:val="auto"/>
          <w:highlight w:val="none"/>
        </w:rPr>
        <w:t>认定招标文件存在歧义、重大缺陷导致评审工作无法进行。</w:t>
      </w:r>
    </w:p>
    <w:p w14:paraId="51DD142D">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color w:val="auto"/>
          <w:highlight w:val="none"/>
        </w:rPr>
        <w:t>26.2.5因苏采云系统故障原因造成开标不成功的。</w:t>
      </w:r>
    </w:p>
    <w:p w14:paraId="2BB35DEE">
      <w:pPr>
        <w:pStyle w:val="242"/>
        <w:pageBreakBefore w:val="0"/>
        <w:widowControl w:val="0"/>
        <w:spacing w:beforeAutospacing="0" w:afterAutospacing="0" w:line="500" w:lineRule="exact"/>
        <w:ind w:left="0"/>
        <w:jc w:val="both"/>
        <w:rPr>
          <w:rFonts w:hint="eastAsia" w:ascii="宋体" w:hAnsi="宋体" w:eastAsia="宋体" w:cs="宋体"/>
          <w:color w:val="auto"/>
          <w:highlight w:val="none"/>
        </w:rPr>
      </w:pPr>
      <w:r>
        <w:rPr>
          <w:rFonts w:hint="eastAsia" w:ascii="宋体" w:hAnsi="宋体" w:eastAsia="宋体" w:cs="宋体"/>
          <w:color w:val="auto"/>
          <w:highlight w:val="none"/>
        </w:rPr>
        <w:t>26.3 投标截止时间结束后参加投标的供应商不足三家的处理：</w:t>
      </w:r>
    </w:p>
    <w:p w14:paraId="2C58176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4F62791B">
      <w:pPr>
        <w:pStyle w:val="242"/>
        <w:keepNext/>
        <w:keepLines/>
        <w:pageBreakBefore w:val="0"/>
        <w:widowControl w:val="0"/>
        <w:spacing w:beforeAutospacing="0" w:afterAutospacing="0" w:line="500" w:lineRule="exact"/>
        <w:ind w:left="0" w:firstLine="482"/>
        <w:jc w:val="both"/>
        <w:rPr>
          <w:rFonts w:hint="eastAsia" w:ascii="宋体" w:hAnsi="宋体" w:eastAsia="宋体" w:cs="宋体"/>
          <w:color w:val="auto"/>
          <w:highlight w:val="none"/>
        </w:rPr>
      </w:pPr>
      <w:bookmarkStart w:id="135" w:name="_Toc120614219"/>
      <w:r>
        <w:rPr>
          <w:rFonts w:hint="eastAsia" w:ascii="宋体" w:hAnsi="宋体" w:eastAsia="宋体" w:cs="宋体"/>
          <w:b/>
          <w:color w:val="auto"/>
          <w:sz w:val="32"/>
          <w:szCs w:val="32"/>
          <w:highlight w:val="none"/>
        </w:rPr>
        <w:t>六、定标</w:t>
      </w:r>
      <w:bookmarkEnd w:id="135"/>
    </w:p>
    <w:p w14:paraId="7E6B7D9A">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36" w:name="_Toc20823310"/>
      <w:bookmarkStart w:id="137" w:name="_Toc513029238"/>
      <w:bookmarkStart w:id="138" w:name="_Toc16938554"/>
      <w:r>
        <w:rPr>
          <w:rFonts w:hint="eastAsia" w:ascii="宋体" w:hAnsi="宋体" w:eastAsia="宋体" w:cs="宋体"/>
          <w:color w:val="auto"/>
          <w:sz w:val="28"/>
          <w:szCs w:val="28"/>
          <w:highlight w:val="none"/>
        </w:rPr>
        <w:t>27、</w:t>
      </w:r>
      <w:bookmarkEnd w:id="136"/>
      <w:r>
        <w:rPr>
          <w:rFonts w:hint="eastAsia" w:ascii="宋体" w:hAnsi="宋体" w:eastAsia="宋体" w:cs="宋体"/>
          <w:color w:val="auto"/>
          <w:sz w:val="28"/>
          <w:szCs w:val="28"/>
          <w:highlight w:val="none"/>
        </w:rPr>
        <w:t>确定</w:t>
      </w:r>
      <w:bookmarkEnd w:id="137"/>
      <w:bookmarkEnd w:id="138"/>
      <w:r>
        <w:rPr>
          <w:rFonts w:hint="eastAsia" w:ascii="宋体" w:hAnsi="宋体" w:eastAsia="宋体" w:cs="宋体"/>
          <w:color w:val="auto"/>
          <w:sz w:val="28"/>
          <w:szCs w:val="28"/>
          <w:highlight w:val="none"/>
        </w:rPr>
        <w:t>中标单位</w:t>
      </w:r>
    </w:p>
    <w:p w14:paraId="48864B7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18967E9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27.2采购人应根据评委会推荐的中标候选人确定中标人。</w:t>
      </w:r>
    </w:p>
    <w:p w14:paraId="49E1C5D2">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中心将在“中国政府采购网”、“江苏政府采购网”、“盐城市政府采购网”</w:t>
      </w:r>
      <w:r>
        <w:rPr>
          <w:rFonts w:hint="eastAsia" w:ascii="宋体" w:hAnsi="宋体" w:eastAsia="宋体" w:cs="宋体"/>
          <w:color w:val="auto"/>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盐城市盐都区人民政府网”</w:t>
      </w:r>
      <w:r>
        <w:rPr>
          <w:rFonts w:hint="eastAsia" w:ascii="宋体" w:hAnsi="宋体" w:eastAsia="宋体" w:cs="宋体"/>
          <w:color w:val="auto"/>
          <w:highlight w:val="none"/>
        </w:rPr>
        <w:t>发布中标公告，公告期限为1个工作日。</w:t>
      </w:r>
    </w:p>
    <w:p w14:paraId="114A36B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36BA07B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52291E56">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27.4.2向采购人、</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中心行贿或者提供其他不正当利益的。</w:t>
      </w:r>
    </w:p>
    <w:p w14:paraId="7903443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1A257B5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3C69869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395AE91E">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bookmarkStart w:id="139" w:name="_Toc200451960"/>
      <w:r>
        <w:rPr>
          <w:rFonts w:hint="eastAsia" w:ascii="宋体" w:hAnsi="宋体" w:eastAsia="宋体" w:cs="宋体"/>
          <w:color w:val="auto"/>
          <w:highlight w:val="none"/>
        </w:rPr>
        <w:t>27.5 有下列情形之一的，视为</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串通投标，投标无效：</w:t>
      </w:r>
      <w:bookmarkEnd w:id="139"/>
    </w:p>
    <w:p w14:paraId="5339175B">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27.5.1不同</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的投标文件由同一单位或者个人编制。</w:t>
      </w:r>
    </w:p>
    <w:p w14:paraId="314C477F">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27.5.2不同</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委托同一单位或者个人办理投标事宜。</w:t>
      </w:r>
    </w:p>
    <w:p w14:paraId="606810A5">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27.5.3不同</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的投标文件载明的项目管理成员或者联系人员为同一人。</w:t>
      </w:r>
    </w:p>
    <w:p w14:paraId="1C0EBC8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27.5.4不同</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的投标文件异常一致或者投标报价呈规律性差异。</w:t>
      </w:r>
    </w:p>
    <w:p w14:paraId="4067668E">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28、质疑处理</w:t>
      </w:r>
    </w:p>
    <w:p w14:paraId="45EBE14B">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303C14AC">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提出质疑。上述应知其权益受到损害之日，是指：</w:t>
      </w:r>
    </w:p>
    <w:p w14:paraId="3963139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28.2.1对可以质疑的采购文件提出质疑的，为收到采购文件之日或者采购文件公告期限届满之日；</w:t>
      </w:r>
    </w:p>
    <w:p w14:paraId="421DFBE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28.2.2对采购过程提出质疑的，为各采购程序环节结束之日；</w:t>
      </w:r>
    </w:p>
    <w:p w14:paraId="69848F17">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7945FD1D">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3AEB33F3">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5A4C41AA">
      <w:pPr>
        <w:pStyle w:val="242"/>
        <w:pageBreakBefore w:val="0"/>
        <w:widowControl w:val="0"/>
        <w:spacing w:beforeAutospacing="0" w:afterAutospacing="0" w:line="500" w:lineRule="exact"/>
        <w:ind w:left="0" w:firstLine="482"/>
        <w:jc w:val="both"/>
        <w:rPr>
          <w:rFonts w:hint="eastAsia" w:ascii="宋体" w:hAnsi="宋体" w:eastAsia="宋体" w:cs="宋体"/>
          <w:color w:val="auto"/>
          <w:highlight w:val="none"/>
        </w:rPr>
      </w:pPr>
      <w:r>
        <w:rPr>
          <w:rFonts w:hint="eastAsia" w:ascii="宋体" w:hAnsi="宋体" w:eastAsia="宋体" w:cs="宋体"/>
          <w:color w:val="auto"/>
          <w:highlight w:val="none"/>
        </w:rPr>
        <w:t>28.4供应商（含潜在供应商）对与本项目有关的所有询问、质疑均请向采购人提出，由采购人负责答复。</w:t>
      </w:r>
    </w:p>
    <w:p w14:paraId="069516CF">
      <w:pPr>
        <w:pageBreakBefore w:val="0"/>
        <w:widowControl w:val="0"/>
        <w:tabs>
          <w:tab w:val="left" w:pos="1331"/>
        </w:tabs>
        <w:spacing w:line="500" w:lineRule="exact"/>
        <w:ind w:left="0" w:firstLine="480"/>
        <w:jc w:val="left"/>
        <w:rPr>
          <w:rFonts w:hint="eastAsia" w:ascii="宋体" w:hAnsi="宋体" w:eastAsia="宋体" w:cs="宋体"/>
          <w:color w:val="auto"/>
          <w:sz w:val="24"/>
          <w:highlight w:val="none"/>
        </w:rPr>
      </w:pPr>
      <w:r>
        <w:rPr>
          <w:rFonts w:hint="eastAsia" w:ascii="宋体" w:hAnsi="宋体" w:eastAsia="宋体" w:cs="宋体"/>
          <w:i w:val="0"/>
          <w:iCs w:val="0"/>
          <w:color w:val="auto"/>
          <w:sz w:val="24"/>
          <w:szCs w:val="24"/>
          <w:highlight w:val="none"/>
        </w:rPr>
        <w:t>采购人只接收以纸质原件形式送达的质疑,采购人不接受未填写快递运单的快件。</w:t>
      </w:r>
    </w:p>
    <w:p w14:paraId="47171F6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 以下情形的质疑不予受理</w:t>
      </w:r>
    </w:p>
    <w:p w14:paraId="55291B1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28.5.1内容不符合《政府采购质疑和投诉办法》第十二条规定的质疑。</w:t>
      </w:r>
    </w:p>
    <w:p w14:paraId="29B75E1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28.5.2超出政府采购法定期限的质疑。</w:t>
      </w:r>
    </w:p>
    <w:p w14:paraId="7A4BF871">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28.5.3以传真、电子邮件等方式递交的非原件形式的质疑。</w:t>
      </w:r>
    </w:p>
    <w:p w14:paraId="0ADB31A8">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3E3EA224">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772BD9D6">
      <w:pPr>
        <w:pStyle w:val="242"/>
        <w:pageBreakBefore w:val="0"/>
        <w:widowControl w:val="0"/>
        <w:spacing w:beforeAutospacing="0" w:afterAutospacing="0" w:line="500" w:lineRule="exact"/>
        <w:ind w:left="0" w:firstLine="468"/>
        <w:jc w:val="both"/>
        <w:rPr>
          <w:rFonts w:hint="eastAsia"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中心有权依据政府采购的有关规定，报请政府采购监管部门对该供应商进行相应的行政处罚和记录该供应商的失信信息。</w:t>
      </w:r>
    </w:p>
    <w:p w14:paraId="06C28389">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29、中标通知书</w:t>
      </w:r>
    </w:p>
    <w:p w14:paraId="7D57EAFB">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中标结果确定后，</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0CE1D57">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0A07B92D">
      <w:pPr>
        <w:pStyle w:val="242"/>
        <w:keepNext/>
        <w:keepLines/>
        <w:pageBreakBefore w:val="0"/>
        <w:widowControl w:val="0"/>
        <w:spacing w:beforeAutospacing="0" w:afterAutospacing="0" w:line="500" w:lineRule="exact"/>
        <w:ind w:left="0"/>
        <w:jc w:val="both"/>
        <w:rPr>
          <w:rFonts w:hint="eastAsia" w:ascii="宋体" w:hAnsi="宋体" w:eastAsia="宋体" w:cs="宋体"/>
          <w:color w:val="auto"/>
          <w:highlight w:val="none"/>
        </w:rPr>
      </w:pPr>
      <w:bookmarkStart w:id="140" w:name="_Toc20823308"/>
      <w:bookmarkStart w:id="141" w:name="_Toc120614220"/>
      <w:bookmarkStart w:id="142" w:name="_Toc513029236"/>
      <w:bookmarkStart w:id="143" w:name="_Toc16938552"/>
      <w:r>
        <w:rPr>
          <w:rFonts w:hint="eastAsia" w:ascii="宋体" w:hAnsi="宋体" w:eastAsia="宋体" w:cs="宋体"/>
          <w:b/>
          <w:color w:val="auto"/>
          <w:sz w:val="32"/>
          <w:szCs w:val="32"/>
          <w:highlight w:val="none"/>
        </w:rPr>
        <w:t>七、授予合同</w:t>
      </w:r>
      <w:bookmarkEnd w:id="140"/>
      <w:bookmarkEnd w:id="141"/>
      <w:bookmarkEnd w:id="142"/>
      <w:bookmarkEnd w:id="143"/>
    </w:p>
    <w:p w14:paraId="7A9F5CA1">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bookmarkStart w:id="144" w:name="_Toc20823309"/>
      <w:bookmarkStart w:id="145" w:name="_Toc513029237"/>
      <w:bookmarkStart w:id="146" w:name="_Toc16938553"/>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签订合同</w:t>
      </w:r>
      <w:bookmarkEnd w:id="144"/>
      <w:bookmarkEnd w:id="145"/>
      <w:bookmarkEnd w:id="146"/>
    </w:p>
    <w:p w14:paraId="05243248">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rPr>
      </w:pPr>
      <w:r>
        <w:rPr>
          <w:rFonts w:hint="eastAsia" w:ascii="宋体" w:hAnsi="宋体" w:eastAsia="宋体" w:cs="宋体"/>
          <w:color w:val="auto"/>
          <w:highlight w:val="none"/>
        </w:rPr>
        <w:t>30.</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中标人应当在中标通知书发出之日起三十日内，按照招标文件确定的事项与采购人签订政府采购合同。</w:t>
      </w:r>
    </w:p>
    <w:p w14:paraId="2D7207F9">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34E6FA85">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rPr>
      </w:pPr>
      <w:r>
        <w:rPr>
          <w:rFonts w:hint="eastAsia" w:ascii="宋体" w:hAnsi="宋体" w:eastAsia="宋体" w:cs="宋体"/>
          <w:color w:val="auto"/>
          <w:highlight w:val="none"/>
        </w:rPr>
        <w:t>30.3签订合同后，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23D77A7C">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31、服务（包含与服务相关的货物）的追加</w:t>
      </w:r>
    </w:p>
    <w:p w14:paraId="02AAAFB9">
      <w:pPr>
        <w:pStyle w:val="242"/>
        <w:pageBreakBefore w:val="0"/>
        <w:widowControl w:val="0"/>
        <w:spacing w:beforeAutospacing="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0A0FEF2">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政府采购政策功能落实</w:t>
      </w:r>
    </w:p>
    <w:p w14:paraId="26B3CD5A">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32.1政府采购线上合同信用融资政策</w:t>
      </w:r>
    </w:p>
    <w:p w14:paraId="332BD201">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ascii="宋体" w:hAnsi="宋体" w:eastAsia="宋体" w:cs="宋体"/>
          <w:color w:val="auto"/>
          <w:highlight w:val="none"/>
        </w:rPr>
        <w:t> </w:t>
      </w:r>
    </w:p>
    <w:p w14:paraId="0BCBE4C9">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32.2进口产品</w:t>
      </w:r>
    </w:p>
    <w:p w14:paraId="4E8A99B1">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5AA97D7">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32.3中小企业、监狱企业及残疾人福利性单位</w:t>
      </w:r>
    </w:p>
    <w:p w14:paraId="29532A54">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32.3.1中小企业定义：</w:t>
      </w:r>
    </w:p>
    <w:p w14:paraId="271F0FEC">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DD81960">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32.3.2供应商提供的货物、工程或者服务符合下列情形的，享受中小企业扶持政策：</w:t>
      </w:r>
    </w:p>
    <w:p w14:paraId="63DBAFB6">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32.3.2.1在货物采购项目中，货物由中小企业制造，即货物由中小企业生产且使用该中小企业商号或者注册商标；</w:t>
      </w:r>
    </w:p>
    <w:p w14:paraId="59156B4E">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32.3.2.2在工程采购项目中，工程由中小企业承建，即工程施工单位为中小企业；</w:t>
      </w:r>
    </w:p>
    <w:p w14:paraId="6B378D83">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32.3.2.3在服务采购项目中，服务由中小企业承接，即提供服务的人员为中小企业依照《中华人民共和国劳动合同法》订立劳动合同的从业人员。</w:t>
      </w:r>
    </w:p>
    <w:p w14:paraId="3C646AC7">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32.3.3在货物采购项目中，供应商提供的货物既有中小企业制造货物，也有大型企业制造货物的，不享受中小企业扶持政策。</w:t>
      </w:r>
    </w:p>
    <w:p w14:paraId="602FF774">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32.3.4以联合体形式参加政府采购活动，联合体各方均为中小企业的，联合体视同中小企业。其中，联合体各方均为小微企业的，联合体视同小微企业。</w:t>
      </w:r>
    </w:p>
    <w:p w14:paraId="1764526F">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39D81E">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32.3.6残疾人福利单位定义：享受政府采购支持政策的残疾人福利性单位应当同时满足以下条件：</w:t>
      </w:r>
    </w:p>
    <w:p w14:paraId="5666EBF8">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32.3.6.1安置的残疾人占本单位在职职工人数的比例不低于25%（含25%），并且安置的残疾人人数不少于10 人（含10 人）；</w:t>
      </w:r>
    </w:p>
    <w:p w14:paraId="523C3210">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32.3.6.2依法与安置的每位残疾人签订了一年以上（含一年）的劳动合同或服务协议；</w:t>
      </w:r>
    </w:p>
    <w:p w14:paraId="132E74AA">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32.3.6.3为安置的每位残疾人按月足额缴纳了基本养老保险、基本医疗保险、失业保险、工伤保险和生育保险等社会保险费；</w:t>
      </w:r>
    </w:p>
    <w:p w14:paraId="0335C8D1">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32.3.6.4通过银行等金融机构向安置的每位残疾人，按月支付了不低于单位所在区县适用的经省级人民政府批准的月最低工资标准的工资；</w:t>
      </w:r>
    </w:p>
    <w:p w14:paraId="770CE40D">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32.3.6.5提供本单位制造的货物、承担的工程或者服务（以下简称产品），或者提供其他残疾人福利性单位制造的货物（不包括使用非残疾人福利性单位注册商标的货物）；</w:t>
      </w:r>
    </w:p>
    <w:p w14:paraId="6875809E">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93EA8CF">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32.3.7本项目是否专门面向中小企业预留采购份额见第一章《招标公告》。</w:t>
      </w:r>
    </w:p>
    <w:p w14:paraId="63B75085">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32.3.8采购标的对应的中小企业划分标准所属行业见第四章《采购需求》。</w:t>
      </w:r>
    </w:p>
    <w:p w14:paraId="3A3CB2C1">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32.3.9小微企业价格评审优惠的政策：见第五章《评标方法和评标标准》。</w:t>
      </w:r>
    </w:p>
    <w:p w14:paraId="5609BEF4">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32.4政府采购节能产品、环境标志产品</w:t>
      </w:r>
    </w:p>
    <w:p w14:paraId="208957BC">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highlight w:val="none"/>
          <w:lang w:val="en-US" w:eastAsia="zh-CN"/>
        </w:rPr>
        <w:t>如属政府强制采购产品未提供认证证书的或认证证书提供不全的将视为未实质性响应采购要求。</w:t>
      </w:r>
      <w:r>
        <w:rPr>
          <w:rFonts w:hint="eastAsia" w:ascii="宋体" w:hAnsi="宋体" w:eastAsia="宋体" w:cs="宋体"/>
          <w:color w:val="auto"/>
          <w:highlight w:val="none"/>
          <w:lang w:val="en-US" w:eastAsia="zh-CN"/>
        </w:rPr>
        <w:t>其他条件相同情况下，应当优先采购节能产品、环境标志产品。</w:t>
      </w:r>
    </w:p>
    <w:p w14:paraId="5CF4274A">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EF531C9">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32.5绿色包装</w:t>
      </w:r>
    </w:p>
    <w:p w14:paraId="65CC512D">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7E9343D">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32.6政府采购创新产品</w:t>
      </w:r>
    </w:p>
    <w:p w14:paraId="38601339">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采购人优先采购各级政府部门公开发布的有效期内的创新产品、创新服务、首台套、首购首用等《目录》的创新产品。</w:t>
      </w:r>
    </w:p>
    <w:p w14:paraId="3FBBABB9">
      <w:pPr>
        <w:pStyle w:val="242"/>
        <w:keepNext/>
        <w:keepLines/>
        <w:pageBreakBefore w:val="0"/>
        <w:widowControl w:val="0"/>
        <w:spacing w:beforeAutospacing="0" w:afterAutospacing="0" w:line="500" w:lineRule="exact"/>
        <w:ind w:left="0" w:firstLine="56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32.7绿色数据中心政策 </w:t>
      </w:r>
    </w:p>
    <w:p w14:paraId="1611EC98">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0A700F1">
      <w:pPr>
        <w:pStyle w:val="242"/>
        <w:pageBreakBefore w:val="0"/>
        <w:widowControl w:val="0"/>
        <w:spacing w:beforeAutospacing="0" w:afterAutospacing="0" w:line="500" w:lineRule="exact"/>
        <w:ind w:left="0" w:firstLine="6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32.8</w:t>
      </w:r>
      <w:r>
        <w:rPr>
          <w:rFonts w:hint="eastAsia" w:ascii="宋体" w:hAnsi="宋体" w:eastAsia="宋体" w:cs="宋体"/>
          <w:color w:val="auto"/>
          <w:sz w:val="28"/>
          <w:szCs w:val="28"/>
          <w:highlight w:val="none"/>
        </w:rPr>
        <w:t>实施本国产品标准及相关政策</w:t>
      </w:r>
    </w:p>
    <w:p w14:paraId="276C4C31">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32.8.1本项目对采购本国产品给予政策支持，具体内容见招标文件“第五章 评标方法与评标标准”。</w:t>
      </w:r>
    </w:p>
    <w:p w14:paraId="10CC453F">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E953C0">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5B8A31D">
      <w:pPr>
        <w:pStyle w:val="242"/>
        <w:pageBreakBefore w:val="0"/>
        <w:widowControl w:val="0"/>
        <w:spacing w:beforeAutospacing="0" w:afterAutospacing="0" w:line="500" w:lineRule="exact"/>
        <w:ind w:left="0" w:firstLine="600"/>
        <w:jc w:val="both"/>
        <w:rPr>
          <w:rFonts w:hint="eastAsia" w:ascii="宋体" w:hAnsi="宋体" w:eastAsia="宋体" w:cs="宋体"/>
          <w:color w:val="auto"/>
          <w:sz w:val="28"/>
          <w:szCs w:val="28"/>
          <w:highlight w:val="none"/>
          <w:lang w:val="en-US"/>
        </w:rPr>
      </w:pPr>
      <w:r>
        <w:rPr>
          <w:rFonts w:hint="eastAsia" w:ascii="宋体" w:hAnsi="宋体" w:cs="宋体"/>
          <w:color w:val="auto"/>
          <w:highlight w:val="none"/>
          <w:lang w:val="en-US" w:eastAsia="zh-CN"/>
        </w:rPr>
        <w:t>32.8.4</w:t>
      </w:r>
      <w:r>
        <w:rPr>
          <w:rFonts w:hint="eastAsia" w:ascii="宋体" w:hAnsi="宋体" w:eastAsia="宋体" w:cs="宋体"/>
          <w:color w:val="auto"/>
          <w:highlight w:val="none"/>
          <w:lang w:val="en-US" w:eastAsia="zh-CN"/>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71AF4BE">
      <w:pPr>
        <w:pStyle w:val="242"/>
        <w:pageBreakBefore w:val="0"/>
        <w:widowControl w:val="0"/>
        <w:spacing w:beforeAutospacing="0" w:afterAutospacing="0" w:line="500" w:lineRule="exact"/>
        <w:ind w:left="0" w:firstLine="6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履约保证金政策</w:t>
      </w:r>
    </w:p>
    <w:p w14:paraId="469DE5E3">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确需收取履约保证金的，履约保证金的缴纳形式：</w:t>
      </w:r>
    </w:p>
    <w:p w14:paraId="29660E49">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ACC92DE">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如以履约保函（保险）形式缴纳履约保证金，供应商可通过政府采购电子履约保函（保险）平台（www.jsdzbh.com）在线申请履约保函（保险）。</w:t>
      </w:r>
    </w:p>
    <w:p w14:paraId="4C24A41B">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w:t>
      </w:r>
    </w:p>
    <w:p w14:paraId="67E40DBD">
      <w:pPr>
        <w:pStyle w:val="242"/>
        <w:pageBreakBefore w:val="0"/>
        <w:widowControl w:val="0"/>
        <w:spacing w:beforeAutospacing="0" w:afterAutospacing="0" w:line="500" w:lineRule="exact"/>
        <w:ind w:left="0" w:firstLine="6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预付款制度</w:t>
      </w:r>
    </w:p>
    <w:p w14:paraId="7AADD7B6">
      <w:pPr>
        <w:pStyle w:val="242"/>
        <w:pageBreakBefore w:val="0"/>
        <w:widowControl w:val="0"/>
        <w:spacing w:beforeAutospacing="0" w:afterAutospacing="0" w:line="500" w:lineRule="exact"/>
        <w:ind w:left="0" w:firstLine="600"/>
        <w:jc w:val="both"/>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本项目落实预付款制度，预付款比例为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30 </w:t>
      </w:r>
      <w:r>
        <w:rPr>
          <w:rFonts w:hint="eastAsia" w:ascii="宋体" w:hAnsi="宋体" w:eastAsia="宋体" w:cs="宋体"/>
          <w:color w:val="auto"/>
          <w:sz w:val="24"/>
          <w:highlight w:val="none"/>
        </w:rPr>
        <w:t>%。在签订合同时，中标、成交供应商明确书面表示无需预付款或者主动要求降低预付款比例的，采购人可就预付款比例作相应调整。</w:t>
      </w:r>
    </w:p>
    <w:p w14:paraId="63599568">
      <w:pPr>
        <w:jc w:val="center"/>
        <w:rPr>
          <w:rFonts w:hint="eastAsia" w:ascii="宋体" w:hAnsi="宋体" w:eastAsia="宋体" w:cs="宋体"/>
          <w:bCs/>
          <w:color w:val="auto"/>
          <w:sz w:val="44"/>
          <w:szCs w:val="44"/>
          <w:highlight w:val="none"/>
          <w:lang w:eastAsia="zh-CN"/>
        </w:rPr>
      </w:pPr>
      <w:r>
        <w:rPr>
          <w:rFonts w:hint="eastAsia" w:ascii="宋体" w:hAnsi="宋体" w:eastAsia="宋体" w:cs="宋体"/>
          <w:color w:val="auto"/>
          <w:sz w:val="44"/>
          <w:szCs w:val="44"/>
          <w:highlight w:val="none"/>
        </w:rPr>
        <w:br w:type="page" w:clear="all"/>
      </w:r>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lang w:val="en-US" w:eastAsia="zh-CN"/>
        </w:rPr>
        <w:t>三</w:t>
      </w:r>
      <w:r>
        <w:rPr>
          <w:rFonts w:hint="eastAsia" w:ascii="宋体" w:hAnsi="宋体" w:eastAsia="宋体" w:cs="宋体"/>
          <w:b/>
          <w:bCs/>
          <w:color w:val="auto"/>
          <w:sz w:val="36"/>
          <w:szCs w:val="36"/>
          <w:highlight w:val="none"/>
        </w:rPr>
        <w:t>章 合同</w:t>
      </w:r>
      <w:bookmarkStart w:id="147" w:name="_Toc49090575"/>
      <w:bookmarkStart w:id="148" w:name="_Toc26554093"/>
      <w:bookmarkStart w:id="149" w:name="_Toc462564139"/>
      <w:bookmarkStart w:id="150" w:name="_Toc479757211"/>
      <w:r>
        <w:rPr>
          <w:rFonts w:hint="eastAsia" w:ascii="宋体" w:hAnsi="宋体" w:eastAsia="宋体" w:cs="宋体"/>
          <w:b/>
          <w:bCs/>
          <w:color w:val="auto"/>
          <w:sz w:val="36"/>
          <w:szCs w:val="36"/>
          <w:highlight w:val="none"/>
          <w:lang w:val="en-US" w:eastAsia="zh-CN"/>
        </w:rPr>
        <w:t>文本</w:t>
      </w:r>
    </w:p>
    <w:p w14:paraId="183E5038">
      <w:pPr>
        <w:keepNext w:val="0"/>
        <w:keepLines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以下为中标后签</w:t>
      </w:r>
      <w:r>
        <w:rPr>
          <w:rFonts w:hint="eastAsia" w:ascii="宋体" w:hAnsi="宋体" w:eastAsia="宋体" w:cs="宋体"/>
          <w:bCs/>
          <w:color w:val="auto"/>
          <w:sz w:val="24"/>
          <w:szCs w:val="24"/>
          <w:highlight w:val="none"/>
          <w:lang w:val="en-US" w:eastAsia="zh-CN"/>
        </w:rPr>
        <w:t>订</w:t>
      </w:r>
      <w:r>
        <w:rPr>
          <w:rFonts w:hint="eastAsia" w:ascii="宋体" w:hAnsi="宋体" w:eastAsia="宋体" w:cs="宋体"/>
          <w:bCs/>
          <w:color w:val="auto"/>
          <w:sz w:val="24"/>
          <w:szCs w:val="24"/>
          <w:highlight w:val="none"/>
        </w:rPr>
        <w:t>本项目合同的通用条款，中标供应商不得提出实质性的修改。</w:t>
      </w:r>
    </w:p>
    <w:p w14:paraId="36D8B4B5">
      <w:pPr>
        <w:pStyle w:val="62"/>
        <w:keepNext w:val="0"/>
        <w:keepLines w:val="0"/>
        <w:pageBreakBefore w:val="0"/>
        <w:spacing w:line="500" w:lineRule="exact"/>
        <w:ind w:left="0"/>
        <w:rPr>
          <w:rFonts w:hint="eastAsia" w:ascii="宋体" w:hAnsi="宋体" w:eastAsia="宋体" w:cs="宋体"/>
          <w:color w:val="auto"/>
          <w:sz w:val="24"/>
          <w:szCs w:val="24"/>
          <w:highlight w:val="none"/>
        </w:rPr>
      </w:pPr>
    </w:p>
    <w:p w14:paraId="19F8287A">
      <w:pPr>
        <w:pStyle w:val="62"/>
        <w:keepNext w:val="0"/>
        <w:keepLines w:val="0"/>
        <w:pageBreakBefore w:val="0"/>
        <w:spacing w:line="50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hAnsi="宋体" w:cs="宋体"/>
          <w:color w:val="auto"/>
          <w:sz w:val="24"/>
          <w:szCs w:val="24"/>
          <w:highlight w:val="none"/>
          <w:lang w:eastAsia="zh-CN"/>
        </w:rPr>
        <w:t>JSZC-320903-JZCG-G2026-0004</w:t>
      </w:r>
      <w:r>
        <w:rPr>
          <w:rFonts w:hint="eastAsia" w:ascii="宋体" w:hAnsi="宋体" w:eastAsia="宋体" w:cs="宋体"/>
          <w:color w:val="auto"/>
          <w:sz w:val="24"/>
          <w:szCs w:val="24"/>
          <w:highlight w:val="none"/>
        </w:rPr>
        <w:t xml:space="preserve">                                 </w:t>
      </w:r>
    </w:p>
    <w:p w14:paraId="3B419EB3">
      <w:pPr>
        <w:pStyle w:val="62"/>
        <w:keepNext w:val="0"/>
        <w:keepLines w:val="0"/>
        <w:pageBreakBefore w:val="0"/>
        <w:spacing w:line="500" w:lineRule="exact"/>
        <w:ind w:lef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hAnsi="宋体" w:cs="宋体"/>
          <w:color w:val="auto"/>
          <w:sz w:val="24"/>
          <w:szCs w:val="24"/>
          <w:highlight w:val="none"/>
          <w:lang w:eastAsia="zh-CN"/>
        </w:rPr>
        <w:t>盐城市盐都区人民法院物业管理服务项目</w:t>
      </w:r>
    </w:p>
    <w:p w14:paraId="12B09F0A">
      <w:pPr>
        <w:keepNext w:val="0"/>
        <w:keepLines w:val="0"/>
        <w:pageBreakBefore w:val="0"/>
        <w:spacing w:line="500" w:lineRule="exact"/>
        <w:ind w:left="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发包人（甲方）：</w:t>
      </w:r>
      <w:r>
        <w:rPr>
          <w:rFonts w:hint="eastAsia" w:ascii="宋体" w:hAnsi="宋体" w:eastAsia="宋体" w:cs="宋体"/>
          <w:b/>
          <w:color w:val="auto"/>
          <w:sz w:val="24"/>
          <w:highlight w:val="none"/>
          <w:u w:val="single"/>
        </w:rPr>
        <w:t xml:space="preserve">                        </w:t>
      </w:r>
    </w:p>
    <w:p w14:paraId="7C101CAA">
      <w:pPr>
        <w:keepNext w:val="0"/>
        <w:keepLines w:val="0"/>
        <w:pageBreakBefore w:val="0"/>
        <w:spacing w:line="500" w:lineRule="exact"/>
        <w:ind w:left="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承包人（乙方）：</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none"/>
          <w:lang w:val="en-US" w:eastAsia="zh-CN"/>
        </w:rPr>
        <w:t xml:space="preserve">  </w:t>
      </w:r>
      <w:r>
        <w:rPr>
          <w:rFonts w:hint="eastAsia" w:ascii="宋体" w:hAnsi="宋体" w:eastAsia="宋体" w:cs="宋体"/>
          <w:b/>
          <w:color w:val="auto"/>
          <w:sz w:val="24"/>
          <w:highlight w:val="none"/>
        </w:rPr>
        <w:t xml:space="preserve">                   </w:t>
      </w:r>
    </w:p>
    <w:p w14:paraId="11793912">
      <w:pPr>
        <w:pStyle w:val="81"/>
        <w:keepNext w:val="0"/>
        <w:keepLines w:val="0"/>
        <w:pageBreakBefore w:val="0"/>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甲、乙双方根据</w:t>
      </w:r>
      <w:r>
        <w:rPr>
          <w:rFonts w:hint="eastAsia" w:cs="宋体"/>
          <w:color w:val="auto"/>
          <w:sz w:val="24"/>
          <w:szCs w:val="24"/>
          <w:highlight w:val="none"/>
          <w:u w:val="single"/>
          <w:lang w:eastAsia="zh-CN"/>
        </w:rPr>
        <w:t>盐城市盐都区人民法院物业管理服务项目</w:t>
      </w:r>
      <w:r>
        <w:rPr>
          <w:rFonts w:hint="eastAsia" w:ascii="宋体" w:hAnsi="宋体" w:eastAsia="宋体" w:cs="宋体"/>
          <w:color w:val="auto"/>
          <w:highlight w:val="none"/>
        </w:rPr>
        <w:t>公开招标的结果，签署本合同。</w:t>
      </w:r>
    </w:p>
    <w:p w14:paraId="6A8612B3">
      <w:pPr>
        <w:keepNext w:val="0"/>
        <w:keepLines w:val="0"/>
        <w:pageBreakBefore w:val="0"/>
        <w:spacing w:line="5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物业基本情况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p>
    <w:p w14:paraId="23527A5F">
      <w:pPr>
        <w:keepNext w:val="0"/>
        <w:keepLines w:val="0"/>
        <w:pageBreakBefore w:val="0"/>
        <w:spacing w:line="50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物业名称：</w:t>
      </w:r>
      <w:r>
        <w:rPr>
          <w:rFonts w:hint="eastAsia" w:ascii="宋体" w:hAnsi="宋体" w:cs="宋体"/>
          <w:color w:val="auto"/>
          <w:sz w:val="24"/>
          <w:szCs w:val="24"/>
          <w:highlight w:val="none"/>
          <w:lang w:eastAsia="zh-CN"/>
        </w:rPr>
        <w:t>盐城市盐都区人民法院物业管理服务项目</w:t>
      </w:r>
    </w:p>
    <w:p w14:paraId="630909D4">
      <w:pPr>
        <w:keepNext w:val="0"/>
        <w:keepLines w:val="0"/>
        <w:pageBreakBefore w:val="0"/>
        <w:spacing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坐</w:t>
      </w:r>
      <w:r>
        <w:rPr>
          <w:rFonts w:hint="eastAsia" w:ascii="宋体" w:hAnsi="宋体" w:eastAsia="宋体" w:cs="宋体"/>
          <w:color w:val="auto"/>
          <w:sz w:val="24"/>
          <w:szCs w:val="24"/>
          <w:highlight w:val="none"/>
        </w:rPr>
        <w:t>落位置：</w:t>
      </w:r>
      <w:r>
        <w:rPr>
          <w:rFonts w:hint="eastAsia" w:ascii="宋体" w:hAnsi="宋体" w:cs="宋体"/>
          <w:color w:val="auto"/>
          <w:sz w:val="24"/>
          <w:szCs w:val="24"/>
          <w:highlight w:val="none"/>
          <w:lang w:eastAsia="zh-CN"/>
        </w:rPr>
        <w:t>盐城市盐都区人民法院（</w:t>
      </w:r>
      <w:r>
        <w:rPr>
          <w:rFonts w:hint="eastAsia" w:ascii="宋体" w:hAnsi="宋体" w:cs="宋体"/>
          <w:color w:val="auto"/>
          <w:sz w:val="24"/>
          <w:szCs w:val="24"/>
          <w:highlight w:val="none"/>
          <w:lang w:val="en-US" w:eastAsia="zh-CN"/>
        </w:rPr>
        <w:t>盐城市盐都区新都西路5号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、大冈人民法庭（</w:t>
      </w:r>
      <w:r>
        <w:rPr>
          <w:rFonts w:hint="eastAsia" w:ascii="宋体" w:hAnsi="宋体" w:cs="宋体"/>
          <w:color w:val="auto"/>
          <w:sz w:val="24"/>
          <w:szCs w:val="24"/>
          <w:highlight w:val="none"/>
          <w:lang w:eastAsia="zh-CN"/>
        </w:rPr>
        <w:t>大冈镇卧龙西路卧龙花苑东南侧60米</w:t>
      </w:r>
      <w:r>
        <w:rPr>
          <w:rFonts w:hint="eastAsia" w:ascii="宋体" w:hAnsi="宋体" w:cs="宋体"/>
          <w:color w:val="auto"/>
          <w:sz w:val="24"/>
          <w:szCs w:val="24"/>
          <w:highlight w:val="none"/>
          <w:lang w:val="en-US" w:eastAsia="zh-CN"/>
        </w:rPr>
        <w:t>）、秦南人民法庭（</w:t>
      </w:r>
      <w:r>
        <w:rPr>
          <w:rFonts w:hint="eastAsia" w:ascii="宋体" w:hAnsi="宋体" w:cs="宋体"/>
          <w:color w:val="auto"/>
          <w:sz w:val="24"/>
          <w:szCs w:val="24"/>
          <w:highlight w:val="none"/>
          <w:lang w:eastAsia="zh-CN"/>
        </w:rPr>
        <w:t>秦南镇泽夫北路与人民东路交叉口向南200米路东</w:t>
      </w:r>
      <w:r>
        <w:rPr>
          <w:rFonts w:hint="eastAsia" w:ascii="宋体" w:hAnsi="宋体" w:cs="宋体"/>
          <w:color w:val="auto"/>
          <w:sz w:val="24"/>
          <w:szCs w:val="24"/>
          <w:highlight w:val="none"/>
          <w:lang w:val="en-US" w:eastAsia="zh-CN"/>
        </w:rPr>
        <w:t>）、义丰人民法庭（盐都区义丰镇建丰路144号）、龙冈人民法庭（</w:t>
      </w:r>
      <w:r>
        <w:rPr>
          <w:rFonts w:hint="eastAsia" w:ascii="宋体" w:hAnsi="宋体" w:cs="宋体"/>
          <w:color w:val="auto"/>
          <w:sz w:val="24"/>
          <w:szCs w:val="24"/>
          <w:highlight w:val="none"/>
          <w:lang w:eastAsia="zh-CN"/>
        </w:rPr>
        <w:t>盐都区龙冈镇凤凰南路10号</w:t>
      </w:r>
      <w:r>
        <w:rPr>
          <w:rFonts w:hint="eastAsia" w:ascii="宋体" w:hAnsi="宋体" w:cs="宋体"/>
          <w:color w:val="auto"/>
          <w:sz w:val="24"/>
          <w:szCs w:val="24"/>
          <w:highlight w:val="none"/>
          <w:lang w:val="en-US" w:eastAsia="zh-CN"/>
        </w:rPr>
        <w:t>）、高新区人民法庭（</w:t>
      </w:r>
      <w:r>
        <w:rPr>
          <w:rFonts w:hint="eastAsia" w:ascii="宋体" w:hAnsi="宋体" w:cs="宋体"/>
          <w:color w:val="auto"/>
          <w:sz w:val="24"/>
          <w:szCs w:val="24"/>
          <w:highlight w:val="none"/>
          <w:lang w:eastAsia="zh-CN"/>
        </w:rPr>
        <w:t>潘黄镇鹿鸣路潘黄公安大厦西南侧110米</w:t>
      </w:r>
      <w:r>
        <w:rPr>
          <w:rFonts w:hint="eastAsia" w:ascii="宋体" w:hAnsi="宋体" w:cs="宋体"/>
          <w:color w:val="auto"/>
          <w:sz w:val="24"/>
          <w:szCs w:val="24"/>
          <w:highlight w:val="none"/>
          <w:lang w:val="en-US" w:eastAsia="zh-CN"/>
        </w:rPr>
        <w:t>）。</w:t>
      </w:r>
    </w:p>
    <w:p w14:paraId="2AEEFAFF">
      <w:pPr>
        <w:keepNext w:val="0"/>
        <w:keepLines w:val="0"/>
        <w:pageBreakBefore w:val="0"/>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委托管理事项</w:t>
      </w:r>
    </w:p>
    <w:p w14:paraId="62CB1A4D">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盐城市盐都区人民法院（含大冈人民法庭、秦南人民法庭、义丰人民法庭、龙冈人民法庭、高新区人民法庭）物业管理服务，含保安服务</w:t>
      </w:r>
      <w:r>
        <w:rPr>
          <w:rFonts w:hint="eastAsia" w:ascii="宋体" w:hAnsi="宋体" w:eastAsia="宋体" w:cs="宋体"/>
          <w:color w:val="auto"/>
          <w:sz w:val="24"/>
          <w:szCs w:val="24"/>
          <w:highlight w:val="none"/>
          <w:lang w:val="en-US" w:eastAsia="zh-CN"/>
        </w:rPr>
        <w:t>、卫生保洁、会务服务、工程服务、</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安排的其他有关物业管理事项等工作</w:t>
      </w:r>
      <w:r>
        <w:rPr>
          <w:rFonts w:hint="eastAsia" w:ascii="宋体" w:hAnsi="宋体" w:eastAsia="宋体" w:cs="宋体"/>
          <w:color w:val="auto"/>
          <w:sz w:val="24"/>
          <w:szCs w:val="24"/>
          <w:highlight w:val="none"/>
        </w:rPr>
        <w:t>。</w:t>
      </w:r>
    </w:p>
    <w:p w14:paraId="3CAC35AA">
      <w:pPr>
        <w:keepNext w:val="0"/>
        <w:keepLines w:val="0"/>
        <w:pageBreakBefore w:val="0"/>
        <w:numPr>
          <w:ilvl w:val="0"/>
          <w:numId w:val="0"/>
        </w:numPr>
        <w:spacing w:line="500" w:lineRule="exact"/>
        <w:ind w:lef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第三条 </w:t>
      </w:r>
      <w:r>
        <w:rPr>
          <w:rFonts w:hint="eastAsia" w:ascii="宋体" w:hAnsi="宋体" w:eastAsia="宋体" w:cs="宋体"/>
          <w:b/>
          <w:bCs/>
          <w:color w:val="auto"/>
          <w:sz w:val="24"/>
          <w:szCs w:val="24"/>
          <w:highlight w:val="none"/>
          <w:lang w:val="en-US" w:eastAsia="zh-CN"/>
        </w:rPr>
        <w:t>合同金额</w:t>
      </w:r>
    </w:p>
    <w:p w14:paraId="1E5CEF4C">
      <w:pPr>
        <w:keepNext w:val="0"/>
        <w:keepLines w:val="0"/>
        <w:pageBreakBefore w:val="0"/>
        <w:numPr>
          <w:ilvl w:val="0"/>
          <w:numId w:val="0"/>
        </w:numPr>
        <w:spacing w:line="500" w:lineRule="exact"/>
        <w:ind w:left="0" w:firstLine="480"/>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本合同金额为人民币（大写）：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圆（¥</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元）</w:t>
      </w:r>
    </w:p>
    <w:p w14:paraId="7AF375A0">
      <w:pPr>
        <w:keepNext w:val="0"/>
        <w:keepLines w:val="0"/>
        <w:pageBreakBefore w:val="0"/>
        <w:numPr>
          <w:ilvl w:val="0"/>
          <w:numId w:val="0"/>
        </w:numPr>
        <w:spacing w:line="500" w:lineRule="exact"/>
        <w:ind w:left="0" w:firstLine="480"/>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合同金额</w:t>
      </w:r>
      <w:r>
        <w:rPr>
          <w:rFonts w:hint="eastAsia" w:ascii="宋体" w:hAnsi="宋体" w:eastAsia="宋体" w:cs="宋体"/>
          <w:b w:val="0"/>
          <w:bCs w:val="0"/>
          <w:color w:val="auto"/>
          <w:sz w:val="24"/>
          <w:szCs w:val="24"/>
          <w:highlight w:val="none"/>
          <w:u w:val="none"/>
          <w:lang w:val="en-US" w:eastAsia="zh-CN"/>
        </w:rPr>
        <w:t>不仅应包括所有人员的工资、社保、公积金、法定节假日加班费，还应包括：管理、劳务、培训、风险、税金、合理利润及政策性文件规定等各项应有费用，以及为完成招标文件规定的物业服务工作所涉及到的清洁用品、日常消耗品、服装、装备、维修工具及劳保用品等一切相关费用。</w:t>
      </w:r>
    </w:p>
    <w:p w14:paraId="2D3DA5C9">
      <w:pPr>
        <w:keepNext w:val="0"/>
        <w:keepLines w:val="0"/>
        <w:pageBreakBefore w:val="0"/>
        <w:numPr>
          <w:ilvl w:val="0"/>
          <w:numId w:val="0"/>
        </w:numPr>
        <w:spacing w:line="500" w:lineRule="exact"/>
        <w:ind w:lef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合同</w:t>
      </w:r>
      <w:r>
        <w:rPr>
          <w:rFonts w:hint="eastAsia" w:ascii="宋体" w:hAnsi="宋体" w:eastAsia="宋体" w:cs="宋体"/>
          <w:b/>
          <w:bCs/>
          <w:color w:val="auto"/>
          <w:sz w:val="24"/>
          <w:szCs w:val="24"/>
          <w:highlight w:val="none"/>
          <w:lang w:val="en-US" w:eastAsia="zh-CN"/>
        </w:rPr>
        <w:t>履行</w:t>
      </w:r>
      <w:r>
        <w:rPr>
          <w:rFonts w:hint="eastAsia" w:ascii="宋体" w:hAnsi="宋体" w:eastAsia="宋体" w:cs="宋体"/>
          <w:b/>
          <w:bCs/>
          <w:color w:val="auto"/>
          <w:sz w:val="24"/>
          <w:szCs w:val="24"/>
          <w:highlight w:val="none"/>
        </w:rPr>
        <w:t>期限</w:t>
      </w:r>
    </w:p>
    <w:p w14:paraId="49A0921C">
      <w:pPr>
        <w:keepNext w:val="0"/>
        <w:keepLines w:val="0"/>
        <w:pageBreakBefore w:val="0"/>
        <w:spacing w:line="500" w:lineRule="exact"/>
        <w:ind w:lef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w:t>
      </w:r>
      <w:r>
        <w:rPr>
          <w:rFonts w:hint="eastAsia" w:ascii="宋体" w:hAnsi="宋体" w:eastAsia="宋体" w:cs="宋体"/>
          <w:color w:val="auto"/>
          <w:sz w:val="24"/>
          <w:highlight w:val="none"/>
          <w:lang w:val="en-US" w:eastAsia="zh-CN"/>
        </w:rPr>
        <w:t>履行</w:t>
      </w:r>
      <w:r>
        <w:rPr>
          <w:rFonts w:hint="eastAsia" w:ascii="宋体" w:hAnsi="宋体" w:eastAsia="宋体" w:cs="宋体"/>
          <w:color w:val="auto"/>
          <w:sz w:val="24"/>
          <w:highlight w:val="none"/>
        </w:rPr>
        <w:t>期限为：</w:t>
      </w:r>
      <w:r>
        <w:rPr>
          <w:rFonts w:hint="eastAsia" w:ascii="宋体" w:hAnsi="宋体" w:cs="宋体"/>
          <w:color w:val="auto"/>
          <w:sz w:val="24"/>
          <w:highlight w:val="none"/>
          <w:lang w:val="en-US" w:eastAsia="zh-CN"/>
        </w:rPr>
        <w:t>1年，</w:t>
      </w:r>
      <w:r>
        <w:rPr>
          <w:rFonts w:hint="eastAsia" w:ascii="宋体" w:hAnsi="宋体" w:eastAsia="宋体" w:cs="宋体"/>
          <w:b w:val="0"/>
          <w:bCs/>
          <w:color w:val="auto"/>
          <w:sz w:val="24"/>
          <w:highlight w:val="none"/>
          <w:u w:val="none"/>
        </w:rPr>
        <w:t>202</w:t>
      </w:r>
      <w:r>
        <w:rPr>
          <w:rFonts w:hint="eastAsia" w:ascii="宋体" w:hAnsi="宋体" w:eastAsia="宋体" w:cs="宋体"/>
          <w:b w:val="0"/>
          <w:bCs/>
          <w:color w:val="auto"/>
          <w:sz w:val="24"/>
          <w:highlight w:val="none"/>
          <w:u w:val="none"/>
          <w:lang w:val="en-US" w:eastAsia="zh-CN"/>
        </w:rPr>
        <w:t>6</w:t>
      </w:r>
      <w:r>
        <w:rPr>
          <w:rFonts w:hint="eastAsia" w:ascii="宋体" w:hAnsi="宋体" w:eastAsia="宋体" w:cs="宋体"/>
          <w:b w:val="0"/>
          <w:bCs/>
          <w:color w:val="auto"/>
          <w:sz w:val="24"/>
          <w:highlight w:val="none"/>
          <w:u w:val="none"/>
        </w:rPr>
        <w:t>年  月  日起至202</w:t>
      </w:r>
      <w:r>
        <w:rPr>
          <w:rFonts w:hint="eastAsia" w:ascii="宋体" w:hAnsi="宋体" w:eastAsia="宋体" w:cs="宋体"/>
          <w:b w:val="0"/>
          <w:bCs/>
          <w:color w:val="auto"/>
          <w:sz w:val="24"/>
          <w:highlight w:val="none"/>
          <w:u w:val="none"/>
          <w:lang w:val="en-US" w:eastAsia="zh-CN"/>
        </w:rPr>
        <w:t>7</w:t>
      </w:r>
      <w:r>
        <w:rPr>
          <w:rFonts w:hint="eastAsia" w:ascii="宋体" w:hAnsi="宋体" w:eastAsia="宋体" w:cs="宋体"/>
          <w:b w:val="0"/>
          <w:bCs/>
          <w:color w:val="auto"/>
          <w:sz w:val="24"/>
          <w:highlight w:val="none"/>
          <w:u w:val="none"/>
        </w:rPr>
        <w:t>年  月  日</w:t>
      </w:r>
      <w:r>
        <w:rPr>
          <w:rFonts w:hint="eastAsia" w:ascii="宋体" w:hAnsi="宋体" w:eastAsia="宋体" w:cs="宋体"/>
          <w:color w:val="auto"/>
          <w:sz w:val="24"/>
          <w:highlight w:val="none"/>
          <w:u w:val="none"/>
        </w:rPr>
        <w:t>止</w:t>
      </w:r>
      <w:r>
        <w:rPr>
          <w:rFonts w:hint="eastAsia" w:ascii="宋体" w:hAnsi="宋体" w:eastAsia="宋体" w:cs="宋体"/>
          <w:color w:val="auto"/>
          <w:sz w:val="24"/>
          <w:highlight w:val="none"/>
        </w:rPr>
        <w:t>。</w:t>
      </w:r>
    </w:p>
    <w:p w14:paraId="70FF0FDE">
      <w:pPr>
        <w:keepNext w:val="0"/>
        <w:keepLines w:val="0"/>
        <w:pageBreakBefore w:val="0"/>
        <w:numPr>
          <w:ilvl w:val="0"/>
          <w:numId w:val="0"/>
        </w:numPr>
        <w:spacing w:line="500" w:lineRule="exact"/>
        <w:ind w:left="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第五条 甲方的权利和义务</w:t>
      </w:r>
    </w:p>
    <w:p w14:paraId="23FF867D">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1、乙方招录员工须进行</w:t>
      </w:r>
      <w:r>
        <w:rPr>
          <w:rFonts w:hint="eastAsia" w:ascii="宋体" w:hAnsi="宋体" w:cs="宋体"/>
          <w:color w:val="auto"/>
          <w:sz w:val="24"/>
          <w:szCs w:val="24"/>
          <w:highlight w:val="none"/>
          <w:lang w:val="en-US" w:eastAsia="zh-CN"/>
        </w:rPr>
        <w:t>审查</w:t>
      </w:r>
      <w:r>
        <w:rPr>
          <w:rFonts w:hint="eastAsia" w:ascii="宋体" w:hAnsi="宋体" w:eastAsia="宋体" w:cs="宋体"/>
          <w:color w:val="auto"/>
          <w:sz w:val="24"/>
          <w:szCs w:val="24"/>
          <w:highlight w:val="none"/>
        </w:rPr>
        <w:t>，经培训合格并报甲方备案后上岗。甲方有权根据本单位服务工作实际需要，有权要求调整物业服务岗位，乙方应予执行。</w:t>
      </w:r>
    </w:p>
    <w:p w14:paraId="65EBCCB2">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2、对乙方管理服务情况实施监督检查，每月审议一次乙方物业管理工作。如乙方因管理不善，造成甲方重大经济损失或管理水平下降的，甲方有权终止合同。</w:t>
      </w:r>
    </w:p>
    <w:p w14:paraId="5298E2AA">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3、制定人员、车辆等有关管理规定，协助乙方做好物业管理方面的工作，配合乙方对违反物业管理规定的行为进行处理。</w:t>
      </w:r>
    </w:p>
    <w:p w14:paraId="0E3352F1">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4、积极配合乙方依法和依照本合同规定开展管理活动。</w:t>
      </w:r>
    </w:p>
    <w:p w14:paraId="3E149D65">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5、法律法规规定的应由甲方承担的其他责任。</w:t>
      </w:r>
    </w:p>
    <w:p w14:paraId="7244546E">
      <w:pPr>
        <w:keepNext w:val="0"/>
        <w:keepLines w:val="0"/>
        <w:pageBreakBefore w:val="0"/>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0F7440D2">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1、依照有关法律、法规及本合同的规定，对本物业实行统一管理，综合服务，开展各项管理服务活动。每月一次向甲方报告本物业管理服务工作情况，并根据甲方的审议要求做好相应整改、完善工作。</w:t>
      </w:r>
    </w:p>
    <w:p w14:paraId="6025F714">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2、遵照有关法律、法规及物业管理有关规定，拟定本物业的管理规定、规章制度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实施方案和考核办法，提交甲方审议后执行。</w:t>
      </w:r>
    </w:p>
    <w:p w14:paraId="3E5DF100">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3、加强员工职业道德教育和业务培训，爱岗敬业，确保各项管理服务规范有序进行。</w:t>
      </w:r>
    </w:p>
    <w:p w14:paraId="0D603B02">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4、对本物业公共设施不得擅自占用和改变使用功能，如需改变用途，须报甲方批准。</w:t>
      </w:r>
    </w:p>
    <w:p w14:paraId="609804D1">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5、乙方在本物业的主要负责人须符合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53BFCF73">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6、不得将本物业的管理责任转让给第三方，不得与任何一家物业管理公司进行合作管理本物业。</w:t>
      </w:r>
    </w:p>
    <w:p w14:paraId="36C915D0">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7、乙方应加强对员工的教育管理，员工如出现违规、违纪行为，造成纠纷、财产损失、人员伤亡的，乙方负全部责任。</w:t>
      </w:r>
    </w:p>
    <w:p w14:paraId="1F319D56">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8、协助处理非乙方原因产生的各种纠纷。</w:t>
      </w:r>
    </w:p>
    <w:p w14:paraId="1F2EBA00">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9、乙方必须按有关法律和政府有关部门规定按时足额发放物业公司员工的工资，并为全体物业服务人员交纳所有相关的社会保险及其他相关费用。</w:t>
      </w:r>
    </w:p>
    <w:p w14:paraId="413FEAB6">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10、乙方所有服务人员上班时均统一着装并挂牌上岗。</w:t>
      </w:r>
    </w:p>
    <w:p w14:paraId="44A9F6B7">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11、接受政府有关部门的监督指导，遵守甲方的管理制度，服从甲方整体管理。</w:t>
      </w:r>
    </w:p>
    <w:p w14:paraId="0DADE4E0">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12、法律法规规定的应由乙方承担的其他责任。</w:t>
      </w:r>
    </w:p>
    <w:p w14:paraId="6E121944">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13、本合同终止后，乙方必须向甲方移交全部管理用房及物业管理的全部档案资料，甲方不负责乙方招聘人员的安排。</w:t>
      </w:r>
    </w:p>
    <w:p w14:paraId="449D3F9E">
      <w:pPr>
        <w:keepNext w:val="0"/>
        <w:keepLines w:val="0"/>
        <w:pageBreakBefore w:val="0"/>
        <w:spacing w:line="50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管理要求</w:t>
      </w:r>
    </w:p>
    <w:p w14:paraId="3CA8031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1、卫生保洁</w:t>
      </w:r>
    </w:p>
    <w:p w14:paraId="5455268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val="en-US" w:eastAsia="zh-CN"/>
        </w:rPr>
        <w:t>总体要求</w:t>
      </w:r>
    </w:p>
    <w:p w14:paraId="173A71B2">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①建立保洁服务的工作制度及工作计划，并按照执行。</w:t>
      </w:r>
    </w:p>
    <w:p w14:paraId="1CE06E46">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②做好保洁服务工作记录，记录填写规范、保存完好。</w:t>
      </w:r>
    </w:p>
    <w:p w14:paraId="40C7329B">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③作业时采取安全防护措施，防止对作业人员或他人造成伤害。相关耗材的环保、安全性等应当符合国家相关规定要求。</w:t>
      </w:r>
    </w:p>
    <w:p w14:paraId="1211F227">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④须保持整个服务区环境优美，卫生整洁；保持室内外各公共包干区清洁卫生、环境宜人；重点部位须专人负责，始终保持清洁状态。</w:t>
      </w:r>
    </w:p>
    <w:p w14:paraId="0437F985">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⑤保洁服务范围</w:t>
      </w:r>
    </w:p>
    <w:p w14:paraId="5F6BC770">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室内部分包括：所有楼内公共区域包括</w:t>
      </w:r>
      <w:r>
        <w:rPr>
          <w:rFonts w:hint="eastAsia" w:ascii="宋体" w:hAnsi="宋体" w:eastAsia="宋体" w:cs="宋体"/>
          <w:color w:val="auto"/>
          <w:sz w:val="24"/>
          <w:highlight w:val="none"/>
        </w:rPr>
        <w:t>但不仅限于厅堂、走廊、</w:t>
      </w:r>
      <w:r>
        <w:rPr>
          <w:rFonts w:hint="eastAsia" w:ascii="宋体" w:hAnsi="宋体" w:eastAsia="宋体" w:cs="宋体"/>
          <w:color w:val="auto"/>
          <w:sz w:val="24"/>
          <w:highlight w:val="none"/>
          <w:lang w:val="en-US" w:eastAsia="zh-CN"/>
        </w:rPr>
        <w:t>楼梯、电梯、</w:t>
      </w:r>
      <w:r>
        <w:rPr>
          <w:rFonts w:hint="eastAsia" w:ascii="宋体" w:hAnsi="宋体" w:eastAsia="宋体" w:cs="宋体"/>
          <w:color w:val="auto"/>
          <w:sz w:val="24"/>
          <w:szCs w:val="24"/>
          <w:highlight w:val="none"/>
        </w:rPr>
        <w:t>会议室、接待室、卫生间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办公室</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eastAsia="zh-CN"/>
        </w:rPr>
        <w:t>；</w:t>
      </w:r>
    </w:p>
    <w:p w14:paraId="0C8FD47C">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室外部分包括：公共环境包括道路、广场、停车位、绿化带、停车场等。</w:t>
      </w:r>
    </w:p>
    <w:p w14:paraId="37A18B8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val="en-US" w:eastAsia="zh-CN"/>
        </w:rPr>
        <w:t>工作</w:t>
      </w:r>
      <w:r>
        <w:rPr>
          <w:rFonts w:hint="eastAsia" w:ascii="宋体" w:hAnsi="宋体" w:eastAsia="宋体" w:cs="宋体"/>
          <w:b/>
          <w:bCs/>
          <w:color w:val="auto"/>
          <w:sz w:val="24"/>
          <w:szCs w:val="24"/>
          <w:highlight w:val="none"/>
        </w:rPr>
        <w:t>要求</w:t>
      </w:r>
    </w:p>
    <w:p w14:paraId="71D4B09C">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确保项目区域清洁卫生、垃圾及时收集并清运</w:t>
      </w:r>
      <w:r>
        <w:rPr>
          <w:rFonts w:hint="eastAsia" w:ascii="宋体" w:hAnsi="宋体" w:eastAsia="宋体" w:cs="宋体"/>
          <w:color w:val="auto"/>
          <w:sz w:val="24"/>
          <w:highlight w:val="none"/>
        </w:rPr>
        <w:t>出项目范围</w:t>
      </w:r>
      <w:r>
        <w:rPr>
          <w:rFonts w:hint="eastAsia" w:ascii="宋体" w:hAnsi="宋体" w:eastAsia="宋体" w:cs="宋体"/>
          <w:color w:val="auto"/>
          <w:sz w:val="24"/>
          <w:szCs w:val="24"/>
          <w:highlight w:val="none"/>
        </w:rPr>
        <w:t>。</w:t>
      </w:r>
    </w:p>
    <w:p w14:paraId="1833530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rPr>
        <w:t>室外区域</w:t>
      </w:r>
    </w:p>
    <w:p w14:paraId="6EF3E21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①每天清扫道路、广场、停车场、绿化带等地面1次，每天巡视2-4次，发现垃圾、杂物应及时处理。对区域内各种设施进行抹尘和清洗，保持外围干净、地面整洁。</w:t>
      </w:r>
    </w:p>
    <w:p w14:paraId="21CDBDA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②绿化带定期巡查，及时清扫瓜皮果壳、废纸、杂物等垃圾。</w:t>
      </w:r>
    </w:p>
    <w:p w14:paraId="2E09C93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③及时收集各类垃圾，堆放在指定地点。每天巡检、清运一次，清运时密封装置，确保无飘洒和漏水现象。及时清洗垃圾筒筒身，更换垃圾袋，保持干净、无异味、无满溢。</w:t>
      </w:r>
    </w:p>
    <w:p w14:paraId="247090D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④保持路牌、标识、消防箱、电表箱、水表箱、外围灯柱、音箱、监控等物体表面的清洁。</w:t>
      </w:r>
    </w:p>
    <w:p w14:paraId="344D86E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⑤每周清除1次卫生死角，水管处、下水道口、排水沟、水池、雨水槽内阴沟、污水井等地方，要确保其内无杂物、无异味、保持畅通。</w:t>
      </w:r>
    </w:p>
    <w:p w14:paraId="59CE137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1.2.2</w:t>
      </w:r>
      <w:r>
        <w:rPr>
          <w:rFonts w:hint="eastAsia" w:ascii="宋体" w:hAnsi="宋体" w:eastAsia="宋体" w:cs="宋体"/>
          <w:color w:val="auto"/>
          <w:sz w:val="24"/>
          <w:szCs w:val="24"/>
          <w:highlight w:val="none"/>
        </w:rPr>
        <w:t>室内公共区域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大厅、走廊、楼梯</w:t>
      </w:r>
    </w:p>
    <w:p w14:paraId="680B29D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①每日循环清扫地面垃圾，清除台面、地面的污迹，雨天无水渍，每月彻底清洗2次，平时发现污渍及时处理。大厅的地面每日巡回保洁，每季度抛光1次。</w:t>
      </w:r>
    </w:p>
    <w:p w14:paraId="7F96BE9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②每日抹净门厅玻璃，每周彻底清洗1次，保持玻璃干净明亮，无手印、无水印、擦净门框、柱子等灰尘。</w:t>
      </w:r>
    </w:p>
    <w:p w14:paraId="3FF9E0A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③每日抹净大厅内指示牌、告示牌、显示牌、接待台等，抹净各处灯罩、金属框、花架、使其无积尘，每周彻底清除沙发、茶几等各处卫生死角。</w:t>
      </w:r>
    </w:p>
    <w:p w14:paraId="061DCA6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④大厅各处金属包边、告示牌支架等，用金属清洁保养剂擦亮，保持无手印，无氧化痕迹、无锈蚀，每日擦1次。</w:t>
      </w:r>
    </w:p>
    <w:p w14:paraId="63922A3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⑤每日擦抹风口、灭火器。</w:t>
      </w:r>
    </w:p>
    <w:p w14:paraId="7761FEC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⑥用推尘布抹净块料地面，保持地面无脚印、无灰尘，视地面磨损情况进行晶面处理的保养维护，使其光亮照人。</w:t>
      </w:r>
    </w:p>
    <w:p w14:paraId="36DE9CD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⑦抹净墙面的灰尘，不可留有指印或污迹。垃圾不能满过筒身之际的1/2。每日清倒垃圾两次，及时更换垃圾袋，及时处理垃圾筒上面的痰迹，使其外表干净、光亮、无满溢垃圾现象。</w:t>
      </w:r>
    </w:p>
    <w:p w14:paraId="26257C3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⑧对大厅、走廊地面视其磨损程度，进行</w:t>
      </w:r>
      <w:r>
        <w:rPr>
          <w:rFonts w:hint="eastAsia" w:ascii="宋体" w:hAnsi="宋体" w:eastAsia="宋体" w:cs="宋体"/>
          <w:color w:val="auto"/>
          <w:sz w:val="24"/>
          <w:szCs w:val="24"/>
          <w:highlight w:val="none"/>
          <w:lang w:val="en-US" w:eastAsia="zh-CN"/>
        </w:rPr>
        <w:t>墙</w:t>
      </w:r>
      <w:r>
        <w:rPr>
          <w:rFonts w:hint="eastAsia" w:ascii="宋体" w:hAnsi="宋体" w:eastAsia="宋体" w:cs="宋体"/>
          <w:color w:val="auto"/>
          <w:sz w:val="24"/>
          <w:szCs w:val="24"/>
          <w:highlight w:val="none"/>
        </w:rPr>
        <w:t>面处理的保养维护，使其干净，光亮。</w:t>
      </w:r>
    </w:p>
    <w:p w14:paraId="5AC7E17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⑨每日擦净大堂块料面墙壁，使其光亮，保持录像眼、风口、天花板及扬声器洁净，定期清除灯罩上面的灰尘和消防器材的灰尘，保持无积尘、干净。</w:t>
      </w:r>
    </w:p>
    <w:p w14:paraId="7E8D9D2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⑩每天检查大厅的盆栽植物、花槽，保持无烟头纸屑等杂物。</w:t>
      </w:r>
    </w:p>
    <w:p w14:paraId="08546678">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⑪每日擦抹门庭、大厅正门多次，保持无灰尘、无污渍、无水迹。每周清理1次办公楼陈列品的积尘，保持清洁。</w:t>
      </w:r>
    </w:p>
    <w:p w14:paraId="651838C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⑫走廊内隔墙玻璃每周彻底清洁1次，平时发现手印、污渍等及时擦净。</w:t>
      </w:r>
    </w:p>
    <w:p w14:paraId="19EEF4C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⑬擦净楼梯扶手，拖净楼梯，各眼见手及之处，经常抹尘，保持清洁。</w:t>
      </w:r>
    </w:p>
    <w:p w14:paraId="5F8083A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⑭每日抹净电梯内壁，每周彻底清洁消毒1次。</w:t>
      </w:r>
    </w:p>
    <w:p w14:paraId="2BF4EBC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1.2.3</w:t>
      </w:r>
      <w:r>
        <w:rPr>
          <w:rFonts w:hint="eastAsia" w:ascii="宋体" w:hAnsi="宋体" w:eastAsia="宋体" w:cs="宋体"/>
          <w:color w:val="auto"/>
          <w:sz w:val="24"/>
          <w:szCs w:val="24"/>
          <w:highlight w:val="none"/>
        </w:rPr>
        <w:t>公共洗手间、开水间</w:t>
      </w:r>
    </w:p>
    <w:p w14:paraId="223FC67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①公共洗手间的卷纸、擦手纸供应和摆放。</w:t>
      </w:r>
    </w:p>
    <w:p w14:paraId="105E5AA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②拖洗所有卫生间地面，抹净洁具、门框、墙身，保持无灰尘、无垃圾、无异味、无手脚印、无污渍等。</w:t>
      </w:r>
    </w:p>
    <w:p w14:paraId="6818F3C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洗手间隔板、烘手机、纸盒每天擦抹1次。小便池、厕位、水池每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p>
    <w:p w14:paraId="166268B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④每周1次全面清洗墙面瓷砖，地面用清洁剂刷洗，天花擦净，灯具、风口抹尘，保持干净，无污渍。卫生间、茶水间的地面每天拖地至少4次以上，每天冲洗1次，保持地面干燥。</w:t>
      </w:r>
    </w:p>
    <w:p w14:paraId="506548F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1.2.4</w:t>
      </w:r>
      <w:r>
        <w:rPr>
          <w:rFonts w:hint="eastAsia" w:ascii="宋体" w:hAnsi="宋体" w:eastAsia="宋体" w:cs="宋体"/>
          <w:color w:val="auto"/>
          <w:sz w:val="24"/>
          <w:szCs w:val="24"/>
          <w:highlight w:val="none"/>
        </w:rPr>
        <w:t>会议室、接待室</w:t>
      </w:r>
    </w:p>
    <w:p w14:paraId="14C54C85">
      <w:pPr>
        <w:pStyle w:val="252"/>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①会议室、接待室等所有物品摆放整齐，所需物品准备齐全。对设施设备及时检查维护，确保设施设备的运行安全。会后及时清理（清场），检查是否有遗留物品、未熄灭的火种等。</w:t>
      </w:r>
    </w:p>
    <w:p w14:paraId="481199AF">
      <w:pPr>
        <w:pStyle w:val="252"/>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停车场</w:t>
      </w:r>
    </w:p>
    <w:p w14:paraId="2D4A1FDC">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①每日清扫地面垃圾杂物，特别注意车上抛出的垃圾物。保持地面无垃圾杂物、无积水、无明显泥土，保持整洁。</w:t>
      </w:r>
    </w:p>
    <w:p w14:paraId="2D279E2A">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②雨天增加清扫力度，发现泥土及时清理，雨天注意清理通道口集水沟、井的杂物。</w:t>
      </w:r>
    </w:p>
    <w:p w14:paraId="3CE5CF47">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③</w:t>
      </w:r>
      <w:r>
        <w:rPr>
          <w:rFonts w:ascii="宋体" w:hAnsi="宋体" w:cs="宋体"/>
          <w:color w:val="auto"/>
          <w:sz w:val="24"/>
          <w:szCs w:val="24"/>
          <w:highlight w:val="none"/>
        </w:rPr>
        <w:t>及时</w:t>
      </w:r>
      <w:r>
        <w:rPr>
          <w:rFonts w:hint="eastAsia" w:ascii="宋体" w:hAnsi="宋体" w:cs="宋体"/>
          <w:color w:val="auto"/>
          <w:sz w:val="24"/>
          <w:szCs w:val="24"/>
          <w:highlight w:val="none"/>
          <w:lang w:val="en-US" w:eastAsia="zh-CN"/>
        </w:rPr>
        <w:t>倾倒</w:t>
      </w:r>
      <w:r>
        <w:rPr>
          <w:rFonts w:ascii="宋体" w:hAnsi="宋体" w:cs="宋体"/>
          <w:color w:val="auto"/>
          <w:sz w:val="24"/>
          <w:szCs w:val="24"/>
          <w:highlight w:val="none"/>
        </w:rPr>
        <w:t>垃圾，将垃圾运到指定地点。</w:t>
      </w:r>
    </w:p>
    <w:p w14:paraId="2FF7B97F">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④</w:t>
      </w:r>
      <w:r>
        <w:rPr>
          <w:rFonts w:ascii="宋体" w:hAnsi="宋体" w:cs="宋体"/>
          <w:color w:val="auto"/>
          <w:sz w:val="24"/>
          <w:szCs w:val="24"/>
          <w:highlight w:val="none"/>
        </w:rPr>
        <w:t>每月彻底清除露天停车场的死角（包括通道口集水沟、井），对油污较多的车位地面进行特别处理。</w:t>
      </w:r>
    </w:p>
    <w:p w14:paraId="764B7FB0">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⑤</w:t>
      </w:r>
      <w:r>
        <w:rPr>
          <w:rFonts w:ascii="宋体" w:hAnsi="宋体" w:cs="宋体"/>
          <w:color w:val="auto"/>
          <w:sz w:val="24"/>
          <w:szCs w:val="24"/>
          <w:highlight w:val="none"/>
        </w:rPr>
        <w:t>清洁中如发现车门或车窗、车灯没有关好，应及时通告车库值班人员，以便得到妥善处理，并将此事汇报主管。</w:t>
      </w:r>
    </w:p>
    <w:p w14:paraId="4FF1BA1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firstLine="5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⑥</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指定保洁区域</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w:t>
      </w:r>
      <w:r>
        <w:rPr>
          <w:rFonts w:hint="eastAsia" w:ascii="宋体" w:hAnsi="宋体" w:eastAsia="宋体" w:cs="宋体"/>
          <w:color w:val="auto"/>
          <w:sz w:val="24"/>
          <w:highlight w:val="none"/>
        </w:rPr>
        <w:t>因特殊需要，经</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指定需保洁区域，</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应无条件按相关规定及时打扫保洁及内部整理。</w:t>
      </w:r>
    </w:p>
    <w:p w14:paraId="4B7F2E95">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安全</w:t>
      </w:r>
      <w:r>
        <w:rPr>
          <w:rFonts w:hint="eastAsia" w:ascii="宋体" w:hAnsi="宋体" w:eastAsia="宋体" w:cs="宋体"/>
          <w:b/>
          <w:bCs/>
          <w:color w:val="auto"/>
          <w:sz w:val="24"/>
          <w:szCs w:val="24"/>
          <w:highlight w:val="none"/>
        </w:rPr>
        <w:t>保卫</w:t>
      </w:r>
    </w:p>
    <w:p w14:paraId="51B7105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highlight w:val="none"/>
        </w:rPr>
        <w:t>总体要求</w:t>
      </w:r>
    </w:p>
    <w:p w14:paraId="03F518C9">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负责门卫的传达、值班、报刊分发、进出人员、物品与车辆的登记查验、院内巡查、秩序维护、车辆停放</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消防监控等工作，确保服务区域安全、有序。</w:t>
      </w:r>
    </w:p>
    <w:p w14:paraId="7FEE3929">
      <w:pPr>
        <w:pStyle w:val="94"/>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2.2工作要求</w:t>
      </w:r>
    </w:p>
    <w:p w14:paraId="0D4C561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①</w:t>
      </w:r>
      <w:r>
        <w:rPr>
          <w:rFonts w:hint="eastAsia" w:ascii="宋体" w:hAnsi="宋体" w:eastAsia="宋体" w:cs="宋体"/>
          <w:color w:val="auto"/>
          <w:sz w:val="24"/>
          <w:highlight w:val="none"/>
        </w:rPr>
        <w:t>负责传达、值班、报刊分发、巡查、秩序维持、车辆停放、消防、安全保卫等工作，确保服务区域安全、有序并达到公安、消防部门检查标准。</w:t>
      </w:r>
    </w:p>
    <w:p w14:paraId="7549E71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②</w:t>
      </w:r>
      <w:r>
        <w:rPr>
          <w:rFonts w:hint="eastAsia" w:ascii="宋体" w:hAnsi="宋体" w:eastAsia="宋体" w:cs="宋体"/>
          <w:color w:val="auto"/>
          <w:sz w:val="24"/>
          <w:szCs w:val="24"/>
          <w:highlight w:val="none"/>
        </w:rPr>
        <w:t>出入口实行24小时</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每日不得少于2个班次，不得</w:t>
      </w:r>
      <w:r>
        <w:rPr>
          <w:rFonts w:hint="eastAsia" w:ascii="宋体" w:hAnsi="宋体" w:eastAsia="宋体" w:cs="宋体"/>
          <w:color w:val="auto"/>
          <w:sz w:val="24"/>
          <w:szCs w:val="24"/>
          <w:highlight w:val="none"/>
        </w:rPr>
        <w:t>漏岗、脱岗；</w:t>
      </w:r>
      <w:r>
        <w:rPr>
          <w:rFonts w:hint="eastAsia" w:ascii="宋体" w:hAnsi="宋体" w:eastAsia="宋体" w:cs="宋体"/>
          <w:color w:val="auto"/>
          <w:sz w:val="24"/>
          <w:szCs w:val="24"/>
          <w:highlight w:val="none"/>
          <w:lang w:val="en-US" w:eastAsia="zh-CN"/>
        </w:rPr>
        <w:t>对所有进出口门卫室单班次值守不得少于2人；</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val="en-US" w:eastAsia="zh-CN"/>
        </w:rPr>
        <w:t>异常情况须及时高效妥善处置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填写</w:t>
      </w:r>
      <w:r>
        <w:rPr>
          <w:rFonts w:hint="eastAsia" w:ascii="宋体" w:hAnsi="宋体" w:eastAsia="宋体" w:cs="宋体"/>
          <w:color w:val="auto"/>
          <w:sz w:val="24"/>
          <w:szCs w:val="24"/>
          <w:highlight w:val="none"/>
          <w:lang w:val="en-US" w:eastAsia="zh-CN"/>
        </w:rPr>
        <w:t>好值班</w:t>
      </w:r>
      <w:r>
        <w:rPr>
          <w:rFonts w:hint="eastAsia" w:ascii="宋体" w:hAnsi="宋体" w:eastAsia="宋体" w:cs="宋体"/>
          <w:color w:val="auto"/>
          <w:sz w:val="24"/>
          <w:szCs w:val="24"/>
          <w:highlight w:val="none"/>
        </w:rPr>
        <w:t>记录。</w:t>
      </w:r>
    </w:p>
    <w:p w14:paraId="63CBB65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③</w:t>
      </w:r>
      <w:r>
        <w:rPr>
          <w:rFonts w:hint="eastAsia" w:ascii="宋体" w:hAnsi="宋体" w:eastAsia="宋体" w:cs="宋体"/>
          <w:color w:val="auto"/>
          <w:sz w:val="24"/>
          <w:highlight w:val="none"/>
        </w:rPr>
        <w:t>负责对外来车辆、人员进出进行登记，引导车辆有序行驶、停放，做好停车场（包括机动车、非机动车）停车秩序维护，做好门前“三包”等工作。</w:t>
      </w:r>
    </w:p>
    <w:p w14:paraId="1FD961E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④</w:t>
      </w:r>
      <w:r>
        <w:rPr>
          <w:rFonts w:hint="eastAsia" w:ascii="宋体" w:hAnsi="宋体" w:eastAsia="宋体" w:cs="宋体"/>
          <w:color w:val="auto"/>
          <w:sz w:val="24"/>
          <w:highlight w:val="none"/>
        </w:rPr>
        <w:t>严防外来人员进入非开放区域内。</w:t>
      </w:r>
    </w:p>
    <w:p w14:paraId="03140B82">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⑤</w:t>
      </w:r>
      <w:r>
        <w:rPr>
          <w:rFonts w:hint="eastAsia" w:ascii="宋体" w:hAnsi="宋体" w:eastAsia="宋体" w:cs="宋体"/>
          <w:color w:val="auto"/>
          <w:sz w:val="24"/>
          <w:highlight w:val="none"/>
        </w:rPr>
        <w:t>实行24小时值班巡查制度，每</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小时至少巡逻1次，节假日增加巡逻2次。根据规定的时间、路线、点位开展巡逻检查，对重点区域加强巡逻，着装规范整齐，携带必要的安全器械。发现问题及时果断妥善处置。</w:t>
      </w:r>
    </w:p>
    <w:p w14:paraId="3D4C1034">
      <w:pPr>
        <w:keepNext w:val="0"/>
        <w:keepLines w:val="0"/>
        <w:pageBreakBefore w:val="0"/>
        <w:widowControl/>
        <w:kinsoku/>
        <w:wordWrap/>
        <w:overflowPunct/>
        <w:topLinePunct w:val="0"/>
        <w:autoSpaceDE/>
        <w:autoSpaceDN/>
        <w:bidi w:val="0"/>
        <w:adjustRightInd/>
        <w:snapToGrid/>
        <w:spacing w:line="500" w:lineRule="exact"/>
        <w:ind w:firstLine="54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针对影响</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办公秩序的事端，必须立即妥善处置到位，严防事态扩大；针对违法犯罪行为，必须果断制止并控制违法犯罪嫌疑人，同时做好现场保护和证据保全等工作。建立安全巡逻台</w:t>
      </w:r>
      <w:r>
        <w:rPr>
          <w:rFonts w:hint="eastAsia" w:ascii="宋体" w:hAnsi="宋体" w:eastAsia="宋体" w:cs="宋体"/>
          <w:color w:val="auto"/>
          <w:sz w:val="24"/>
          <w:highlight w:val="none"/>
          <w:lang w:val="en-US" w:eastAsia="zh-CN"/>
        </w:rPr>
        <w:t>账</w:t>
      </w:r>
      <w:r>
        <w:rPr>
          <w:rFonts w:hint="eastAsia" w:ascii="宋体" w:hAnsi="宋体" w:eastAsia="宋体" w:cs="宋体"/>
          <w:color w:val="auto"/>
          <w:sz w:val="24"/>
          <w:highlight w:val="none"/>
        </w:rPr>
        <w:t>，做到有记录、有检查。</w:t>
      </w:r>
    </w:p>
    <w:p w14:paraId="5A26D9D3">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⑥</w:t>
      </w:r>
      <w:r>
        <w:rPr>
          <w:rFonts w:hint="eastAsia" w:ascii="宋体" w:hAnsi="宋体" w:eastAsia="宋体" w:cs="宋体"/>
          <w:color w:val="auto"/>
          <w:sz w:val="24"/>
          <w:szCs w:val="24"/>
          <w:highlight w:val="none"/>
        </w:rPr>
        <w:t>做好每天报纸、信件的收发工作，及时将报刊、信件分发至各处室，不丢缺、不错发</w:t>
      </w:r>
      <w:r>
        <w:rPr>
          <w:rFonts w:hint="eastAsia" w:ascii="宋体" w:hAnsi="宋体" w:eastAsia="宋体" w:cs="宋体"/>
          <w:color w:val="auto"/>
          <w:sz w:val="24"/>
          <w:szCs w:val="24"/>
          <w:highlight w:val="none"/>
          <w:lang w:eastAsia="zh-CN"/>
        </w:rPr>
        <w:t>。</w:t>
      </w:r>
    </w:p>
    <w:p w14:paraId="5FFBF4B9">
      <w:pPr>
        <w:keepNext w:val="0"/>
        <w:keepLines w:val="0"/>
        <w:pageBreakBefore w:val="0"/>
        <w:widowControl/>
        <w:kinsoku/>
        <w:wordWrap/>
        <w:overflowPunct/>
        <w:topLinePunct w:val="0"/>
        <w:autoSpaceDE/>
        <w:autoSpaceDN/>
        <w:bidi w:val="0"/>
        <w:adjustRightInd/>
        <w:snapToGrid/>
        <w:spacing w:line="500" w:lineRule="exact"/>
        <w:ind w:firstLine="47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⑦</w:t>
      </w:r>
      <w:r>
        <w:rPr>
          <w:rFonts w:hint="eastAsia" w:ascii="宋体" w:hAnsi="宋体" w:eastAsia="宋体" w:cs="宋体"/>
          <w:color w:val="auto"/>
          <w:sz w:val="24"/>
          <w:szCs w:val="24"/>
          <w:highlight w:val="none"/>
        </w:rPr>
        <w:t>做好邮件发送登记，每日下午按时将当天邮件寄出。</w:t>
      </w:r>
    </w:p>
    <w:p w14:paraId="60D1355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⑧保安员必须形象良好、精神饱满、身强体壮、反应灵敏、严肃认真、本领过硬、能够及时高效妥善处置可能发生的一切突发事件。</w:t>
      </w:r>
    </w:p>
    <w:p w14:paraId="31F7740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必须按照主管部门相关规定配备保安服装、器械。</w:t>
      </w:r>
    </w:p>
    <w:p w14:paraId="6C02702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⑩对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提出的更换不合格保安员的要求，</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w:t>
      </w:r>
      <w:r>
        <w:rPr>
          <w:rFonts w:hint="eastAsia" w:ascii="宋体" w:hAnsi="宋体" w:eastAsia="宋体" w:cs="宋体"/>
          <w:color w:val="auto"/>
          <w:sz w:val="24"/>
          <w:highlight w:val="none"/>
          <w:lang w:eastAsia="zh-CN"/>
        </w:rPr>
        <w:t>配合</w:t>
      </w:r>
      <w:r>
        <w:rPr>
          <w:rFonts w:hint="eastAsia" w:ascii="宋体" w:hAnsi="宋体" w:eastAsia="宋体" w:cs="宋体"/>
          <w:color w:val="auto"/>
          <w:sz w:val="24"/>
          <w:highlight w:val="none"/>
        </w:rPr>
        <w:t>并立即调整到位。</w:t>
      </w:r>
    </w:p>
    <w:p w14:paraId="310B058A">
      <w:pPr>
        <w:pStyle w:val="94"/>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2.3消防安全</w:t>
      </w:r>
    </w:p>
    <w:p w14:paraId="46425B0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bidi="ar-SA"/>
        </w:rPr>
        <w:t>①</w:t>
      </w:r>
      <w:r>
        <w:rPr>
          <w:rFonts w:hint="eastAsia" w:ascii="宋体" w:hAnsi="宋体" w:eastAsia="宋体" w:cs="宋体"/>
          <w:color w:val="auto"/>
          <w:sz w:val="24"/>
          <w:highlight w:val="none"/>
        </w:rPr>
        <w:t>保持监控室整洁、卫生，无杂物堆放。设备摆放有序，方便使用和检查。定期进行卫生清洁和检查，确保符合卫生标准。</w:t>
      </w:r>
    </w:p>
    <w:p w14:paraId="20754DF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②</w:t>
      </w:r>
      <w:r>
        <w:rPr>
          <w:rFonts w:hint="eastAsia" w:ascii="宋体" w:hAnsi="宋体" w:eastAsia="宋体" w:cs="宋体"/>
          <w:color w:val="auto"/>
          <w:sz w:val="24"/>
          <w:highlight w:val="none"/>
        </w:rPr>
        <w:t>定期检查监控设备的运行状态，包括摄像头、显示屏、录像机等是否正常工作及时发现并处理设备故障或损坏，确保设备处于良好状态。抽查部分设备进行检查，以验证整体设备运行情况。</w:t>
      </w:r>
    </w:p>
    <w:p w14:paraId="452C8A1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bidi="ar-SA"/>
        </w:rPr>
        <w:t>③</w:t>
      </w:r>
      <w:r>
        <w:rPr>
          <w:rFonts w:hint="eastAsia" w:ascii="宋体" w:hAnsi="宋体" w:eastAsia="宋体" w:cs="宋体"/>
          <w:color w:val="auto"/>
          <w:sz w:val="24"/>
          <w:szCs w:val="21"/>
          <w:highlight w:val="none"/>
        </w:rPr>
        <w:t>消防监控室实行24小时值班服务，每天不得少于2个班次，不得漏岗、脱岗；发现问题须及时高效妥善处置，并填写好当班记录。</w:t>
      </w:r>
    </w:p>
    <w:p w14:paraId="6BEB9B3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④</w:t>
      </w:r>
      <w:r>
        <w:rPr>
          <w:rFonts w:hint="eastAsia" w:ascii="宋体" w:hAnsi="宋体" w:eastAsia="宋体" w:cs="宋体"/>
          <w:color w:val="auto"/>
          <w:sz w:val="24"/>
          <w:highlight w:val="none"/>
        </w:rPr>
        <w:t>规范监控记录的管理和保存，确保监控记录的真实性和完整性。定期检查监控记录的存储和管理情况，确保符合相关规定。监控记录应保存一定时间，以备后续查阅和使用。</w:t>
      </w:r>
    </w:p>
    <w:p w14:paraId="12EB21B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⑤</w:t>
      </w:r>
      <w:r>
        <w:rPr>
          <w:rFonts w:hint="eastAsia" w:ascii="宋体" w:hAnsi="宋体" w:eastAsia="宋体" w:cs="宋体"/>
          <w:color w:val="auto"/>
          <w:sz w:val="24"/>
          <w:highlight w:val="none"/>
        </w:rPr>
        <w:t>每季度对消防系统进行检查检测。消防泵、消火栓、灭火器每月巡查一次。消防水带每半年检查一次，消防管网压力每半年检查一次。</w:t>
      </w:r>
    </w:p>
    <w:p w14:paraId="42C6AFD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⑥消防值班室制度上墙，定期进行消防法规、消防知识和消防技能培训，定期进行消防演习。</w:t>
      </w:r>
    </w:p>
    <w:p w14:paraId="6CDF0AF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⑦熟练操作安防系统、消防控制系统，随时发现安全隐患、可疑人员及其他可疑情况，及时稳妥处置，确保不出任何差错，每班做好值班记录、交接班记录。</w:t>
      </w:r>
    </w:p>
    <w:p w14:paraId="12B4F04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⑧</w:t>
      </w:r>
      <w:r>
        <w:rPr>
          <w:rFonts w:hint="eastAsia" w:ascii="宋体" w:hAnsi="宋体" w:eastAsia="宋体" w:cs="宋体"/>
          <w:color w:val="auto"/>
          <w:sz w:val="24"/>
          <w:szCs w:val="21"/>
          <w:highlight w:val="none"/>
        </w:rPr>
        <w:t>配合</w:t>
      </w:r>
      <w:r>
        <w:rPr>
          <w:rFonts w:hint="eastAsia" w:ascii="宋体" w:hAnsi="宋体" w:eastAsia="宋体" w:cs="宋体"/>
          <w:color w:val="auto"/>
          <w:sz w:val="24"/>
          <w:szCs w:val="21"/>
          <w:highlight w:val="none"/>
          <w:lang w:eastAsia="zh-CN"/>
        </w:rPr>
        <w:t>采购人</w:t>
      </w:r>
      <w:r>
        <w:rPr>
          <w:rFonts w:hint="eastAsia" w:ascii="宋体" w:hAnsi="宋体" w:eastAsia="宋体" w:cs="宋体"/>
          <w:color w:val="auto"/>
          <w:sz w:val="24"/>
          <w:szCs w:val="21"/>
          <w:highlight w:val="none"/>
        </w:rPr>
        <w:t>的消防维保单位做好项目消防安全监管工作，定期开展消防安全巡查，确保消防安全设施设备有效使用、年检合格，及时发现并有效排除消防安全隐患。</w:t>
      </w:r>
    </w:p>
    <w:p w14:paraId="08EB1CE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确保设备设施正常使用、运行，做到维护到位、响应及时、保障得力。</w:t>
      </w:r>
    </w:p>
    <w:p w14:paraId="04E1C141">
      <w:pPr>
        <w:pStyle w:val="252"/>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r>
        <w:rPr>
          <w:rFonts w:ascii="宋体" w:hAnsi="宋体" w:cs="宋体"/>
          <w:b/>
          <w:color w:val="auto"/>
          <w:sz w:val="24"/>
          <w:szCs w:val="24"/>
          <w:highlight w:val="none"/>
        </w:rPr>
        <w:t>会议服务</w:t>
      </w:r>
    </w:p>
    <w:p w14:paraId="22E39F8C">
      <w:pPr>
        <w:pStyle w:val="252"/>
        <w:keepNext w:val="0"/>
        <w:keepLines w:val="0"/>
        <w:pageBreakBefore w:val="0"/>
        <w:numPr>
          <w:ilvl w:val="0"/>
          <w:numId w:val="0"/>
        </w:numPr>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3.1总体要求</w:t>
      </w:r>
    </w:p>
    <w:p w14:paraId="1F64941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w:t>
      </w:r>
      <w:r>
        <w:rPr>
          <w:rFonts w:hint="eastAsia" w:ascii="宋体" w:hAnsi="宋体" w:cs="宋体"/>
          <w:color w:val="auto"/>
          <w:sz w:val="24"/>
          <w:szCs w:val="24"/>
          <w:highlight w:val="none"/>
        </w:rPr>
        <w:t>仪容仪表整洁、行为规范，文明用语，按规定着装。</w:t>
      </w:r>
    </w:p>
    <w:p w14:paraId="2D69D41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w:t>
      </w:r>
      <w:r>
        <w:rPr>
          <w:rFonts w:hint="eastAsia" w:ascii="宋体" w:hAnsi="宋体" w:cs="宋体"/>
          <w:color w:val="auto"/>
          <w:sz w:val="24"/>
          <w:szCs w:val="24"/>
          <w:highlight w:val="none"/>
        </w:rPr>
        <w:t>认真履行岗位职责，严格按照岗位规程安全操作。</w:t>
      </w:r>
    </w:p>
    <w:p w14:paraId="40DC0718">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③</w:t>
      </w:r>
      <w:r>
        <w:rPr>
          <w:rFonts w:hint="eastAsia" w:ascii="宋体" w:hAnsi="宋体" w:cs="宋体"/>
          <w:color w:val="auto"/>
          <w:sz w:val="24"/>
          <w:szCs w:val="24"/>
          <w:highlight w:val="none"/>
        </w:rPr>
        <w:t>做好会议服务，包括会场布置、会议期间茶水服务以及会后环境整理。</w:t>
      </w:r>
    </w:p>
    <w:p w14:paraId="3107C8E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④</w:t>
      </w:r>
      <w:r>
        <w:rPr>
          <w:rFonts w:hint="eastAsia" w:ascii="宋体" w:hAnsi="宋体" w:cs="宋体"/>
          <w:color w:val="auto"/>
          <w:sz w:val="24"/>
          <w:szCs w:val="24"/>
          <w:highlight w:val="none"/>
        </w:rPr>
        <w:t>做好会务保密工作，不得随意翻阅会议资料，防止闲杂人员进场，不得在任何场所透露会议的内容。</w:t>
      </w:r>
    </w:p>
    <w:p w14:paraId="2B51EB1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⑤</w:t>
      </w:r>
      <w:r>
        <w:rPr>
          <w:rFonts w:hint="eastAsia" w:ascii="宋体" w:hAnsi="宋体" w:cs="宋体"/>
          <w:color w:val="auto"/>
          <w:sz w:val="24"/>
          <w:szCs w:val="24"/>
          <w:highlight w:val="none"/>
          <w:lang w:val="en-US" w:eastAsia="zh-CN"/>
        </w:rPr>
        <w:t>其他由甲方承担的重要会议、重大活动的服务工作。</w:t>
      </w:r>
    </w:p>
    <w:p w14:paraId="4DE4971C">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3.2工作要求</w:t>
      </w:r>
    </w:p>
    <w:p w14:paraId="0450BD40">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hint="eastAsia" w:cs="宋体"/>
          <w:b w:val="0"/>
          <w:bCs w:val="0"/>
          <w:color w:val="auto"/>
          <w:sz w:val="24"/>
          <w:szCs w:val="24"/>
          <w:highlight w:val="none"/>
          <w:lang w:val="en-US" w:eastAsia="zh-CN"/>
        </w:rPr>
        <w:t>3</w:t>
      </w:r>
      <w:r>
        <w:rPr>
          <w:rFonts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bidi="ar-SA"/>
        </w:rPr>
        <w:t>2.</w:t>
      </w:r>
      <w:r>
        <w:rPr>
          <w:rFonts w:cs="宋体"/>
          <w:b w:val="0"/>
          <w:bCs w:val="0"/>
          <w:color w:val="auto"/>
          <w:sz w:val="24"/>
          <w:szCs w:val="24"/>
          <w:highlight w:val="none"/>
        </w:rPr>
        <w:t>1会前准备工作标准</w:t>
      </w:r>
    </w:p>
    <w:p w14:paraId="7DDDB6B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①根据通知的会议室、时间，服务员提前30分钟开启会议室灯光、空调，发现问题及时通知。</w:t>
      </w:r>
    </w:p>
    <w:p w14:paraId="29838CF3">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②发现会议室内空气浑浊，提前</w:t>
      </w:r>
      <w:r>
        <w:rPr>
          <w:rFonts w:hint="eastAsia" w:cs="宋体"/>
          <w:color w:val="auto"/>
          <w:sz w:val="24"/>
          <w:szCs w:val="24"/>
          <w:highlight w:val="none"/>
          <w:lang w:val="en-US" w:eastAsia="zh-CN"/>
        </w:rPr>
        <w:t>1</w:t>
      </w:r>
      <w:r>
        <w:rPr>
          <w:rFonts w:cs="宋体"/>
          <w:color w:val="auto"/>
          <w:sz w:val="24"/>
          <w:szCs w:val="24"/>
          <w:highlight w:val="none"/>
        </w:rPr>
        <w:t>小时开启门窗10-15分钟，随后关闭。</w:t>
      </w:r>
    </w:p>
    <w:p w14:paraId="693CA71F">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③根据通知的人数、摆放好座椅、茶水等。如有特别要求，按要求执行。会议开始前1小时联系会议使用人对会场进行检查，如有问题，及时调整。</w:t>
      </w:r>
    </w:p>
    <w:p w14:paraId="6A22D76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④茶杯的要求：必须经过消毒，茶杯茶盖无黄斑、无缺口。茶杯必须使用消毒柜进行消毒，消毒时间不低于20分钟。</w:t>
      </w:r>
    </w:p>
    <w:p w14:paraId="26B4B570">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⑤热水瓶的要求：热水瓶表面光亮无水迹，水温在90℃以上，冲泡时注意防止水珠外溅烫伤。</w:t>
      </w:r>
    </w:p>
    <w:p w14:paraId="5CC3D3BC">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⑥协助会议组织者安排、布置会场工作。</w:t>
      </w:r>
    </w:p>
    <w:p w14:paraId="5A5ECBD2">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⑦将准备好的茶杯、热水瓶放置在干净的操作台上，便于与会人员到达后即能提供服务。</w:t>
      </w:r>
    </w:p>
    <w:p w14:paraId="134D5E3E">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⑧会议开始前15分钟服务员站立在会议室门口迎候与会人员到达。</w:t>
      </w:r>
    </w:p>
    <w:p w14:paraId="61FFFA4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⑨服务员要做到精神饱满、仪容、仪表端庄大方、淡妆上岗，微笑迎客。</w:t>
      </w:r>
    </w:p>
    <w:p w14:paraId="74779FC2">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hint="eastAsia" w:cs="宋体"/>
          <w:color w:val="auto"/>
          <w:sz w:val="24"/>
          <w:szCs w:val="24"/>
          <w:highlight w:val="none"/>
          <w:lang w:val="en-US" w:eastAsia="zh-CN"/>
        </w:rPr>
        <w:t>3</w:t>
      </w:r>
      <w:r>
        <w:rPr>
          <w:rFonts w:cs="宋体"/>
          <w:color w:val="auto"/>
          <w:sz w:val="24"/>
          <w:szCs w:val="24"/>
          <w:highlight w:val="none"/>
        </w:rPr>
        <w:t>.</w:t>
      </w:r>
      <w:r>
        <w:rPr>
          <w:rFonts w:hint="eastAsia" w:cs="宋体"/>
          <w:color w:val="auto"/>
          <w:sz w:val="24"/>
          <w:szCs w:val="24"/>
          <w:highlight w:val="none"/>
          <w:lang w:val="en-US" w:eastAsia="zh-CN"/>
        </w:rPr>
        <w:t>2</w:t>
      </w:r>
      <w:r>
        <w:rPr>
          <w:rFonts w:cs="宋体"/>
          <w:color w:val="auto"/>
          <w:sz w:val="24"/>
          <w:szCs w:val="24"/>
          <w:highlight w:val="none"/>
        </w:rPr>
        <w:t>.2会议期间工作标准</w:t>
      </w:r>
    </w:p>
    <w:p w14:paraId="0FBDBF1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①当2个及以上的会议同时召开时，要问清与会人员参加会议的内容，防止走错会议室。</w:t>
      </w:r>
    </w:p>
    <w:p w14:paraId="10DCDBD5">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②与会人员到达即面带微笑、举止大方、迎客入座。</w:t>
      </w:r>
    </w:p>
    <w:p w14:paraId="265ABC4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③与会人员入座后，即提供茶水。</w:t>
      </w:r>
    </w:p>
    <w:p w14:paraId="6AEBBF28">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④提供茶水的顺序是先主宾后主人，然后顺时针方向提供茶水。</w:t>
      </w:r>
    </w:p>
    <w:p w14:paraId="2D8B62A5">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⑤托盘送茶。托盘距离客人背后30公分左右操作并注意客人动态（以防客人撞翻托盘），先放杯垫，再将茶杯放</w:t>
      </w:r>
      <w:r>
        <w:rPr>
          <w:rFonts w:hint="eastAsia" w:cs="宋体"/>
          <w:color w:val="auto"/>
          <w:sz w:val="24"/>
          <w:szCs w:val="24"/>
          <w:highlight w:val="none"/>
          <w:lang w:val="en-US" w:eastAsia="zh-CN"/>
        </w:rPr>
        <w:t>于</w:t>
      </w:r>
      <w:r>
        <w:rPr>
          <w:rFonts w:cs="宋体"/>
          <w:color w:val="auto"/>
          <w:sz w:val="24"/>
          <w:szCs w:val="24"/>
          <w:highlight w:val="none"/>
        </w:rPr>
        <w:t>杯垫之上。服务中做到忙而不乱，迅速正确</w:t>
      </w:r>
      <w:r>
        <w:rPr>
          <w:rFonts w:hint="eastAsia" w:cs="宋体"/>
          <w:color w:val="auto"/>
          <w:sz w:val="24"/>
          <w:szCs w:val="24"/>
          <w:highlight w:val="none"/>
          <w:lang w:val="en-US" w:eastAsia="zh-CN"/>
        </w:rPr>
        <w:t>地</w:t>
      </w:r>
      <w:r>
        <w:rPr>
          <w:rFonts w:cs="宋体"/>
          <w:color w:val="auto"/>
          <w:sz w:val="24"/>
          <w:szCs w:val="24"/>
          <w:highlight w:val="none"/>
        </w:rPr>
        <w:t>将茶水送到客人面前，茶杯摆放声音要轻，茶柄朝左且成90°角。</w:t>
      </w:r>
    </w:p>
    <w:p w14:paraId="51F63BB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⑥递茶给宾客时，切忌手指接触茶杯口。</w:t>
      </w:r>
    </w:p>
    <w:p w14:paraId="538BCAF5">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⑦服务员在会议期间第一次添加茶水为15分钟，之后为每15-20分钟一次，如有特殊要求的，可根据需要调整添加茶水的频次。</w:t>
      </w:r>
    </w:p>
    <w:p w14:paraId="28E215F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⑧服务人员在倒水时仔细观察会议室的灯光、音响、空调，如需调整，及时联系相关人员。</w:t>
      </w:r>
    </w:p>
    <w:p w14:paraId="3D7FDE73">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⑨会议开始后一小时在会议室门口提供站立服务，之后在会场外巡视。如有紧急事项</w:t>
      </w:r>
      <w:r>
        <w:rPr>
          <w:rFonts w:hint="eastAsia" w:cs="宋体"/>
          <w:color w:val="auto"/>
          <w:sz w:val="24"/>
          <w:szCs w:val="24"/>
          <w:highlight w:val="none"/>
          <w:lang w:val="en-US" w:eastAsia="zh-CN"/>
        </w:rPr>
        <w:t>需要</w:t>
      </w:r>
      <w:r>
        <w:rPr>
          <w:rFonts w:cs="宋体"/>
          <w:color w:val="auto"/>
          <w:sz w:val="24"/>
          <w:szCs w:val="24"/>
          <w:highlight w:val="none"/>
        </w:rPr>
        <w:t>找人，服务员可用纸条形式传递信息。</w:t>
      </w:r>
    </w:p>
    <w:p w14:paraId="26C43F0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hint="eastAsia" w:cs="宋体"/>
          <w:color w:val="auto"/>
          <w:sz w:val="24"/>
          <w:szCs w:val="24"/>
          <w:highlight w:val="none"/>
          <w:lang w:val="en-US" w:eastAsia="zh-CN"/>
        </w:rPr>
        <w:t>3</w:t>
      </w:r>
      <w:r>
        <w:rPr>
          <w:rFonts w:cs="宋体"/>
          <w:color w:val="auto"/>
          <w:sz w:val="24"/>
          <w:szCs w:val="24"/>
          <w:highlight w:val="none"/>
        </w:rPr>
        <w:t>.</w:t>
      </w:r>
      <w:r>
        <w:rPr>
          <w:rFonts w:hint="eastAsia" w:cs="宋体"/>
          <w:color w:val="auto"/>
          <w:sz w:val="24"/>
          <w:szCs w:val="24"/>
          <w:highlight w:val="none"/>
          <w:lang w:val="en-US" w:eastAsia="zh-CN"/>
        </w:rPr>
        <w:t>2</w:t>
      </w:r>
      <w:r>
        <w:rPr>
          <w:rFonts w:cs="宋体"/>
          <w:color w:val="auto"/>
          <w:sz w:val="24"/>
          <w:szCs w:val="24"/>
          <w:highlight w:val="none"/>
        </w:rPr>
        <w:t>.3会议结束后工作标准</w:t>
      </w:r>
    </w:p>
    <w:p w14:paraId="47CB66C3">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①会议结束时，服务员应立即开启会议室门并在门口立岗送客。</w:t>
      </w:r>
    </w:p>
    <w:p w14:paraId="0B1D226F">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②检查会议室内是否有遗忘的物品，如发现应及时交还或上交</w:t>
      </w:r>
      <w:r>
        <w:rPr>
          <w:rFonts w:hint="eastAsia" w:cs="宋体"/>
          <w:color w:val="auto"/>
          <w:sz w:val="24"/>
          <w:szCs w:val="24"/>
          <w:highlight w:val="none"/>
          <w:lang w:eastAsia="zh-CN"/>
        </w:rPr>
        <w:t>。</w:t>
      </w:r>
    </w:p>
    <w:p w14:paraId="49C8C93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③清理会议室桌上的资料、茶杯等物品并将这些物品送入茶水间进行清洗消毒。</w:t>
      </w:r>
    </w:p>
    <w:p w14:paraId="559E6FA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④清洁会议室卫生，为下次会议做好准备工作。</w:t>
      </w:r>
    </w:p>
    <w:p w14:paraId="604005B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⑤关闭照明等电器设备，锁好会议室门。</w:t>
      </w:r>
    </w:p>
    <w:p w14:paraId="0486F3F3">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hint="eastAsia" w:cs="宋体"/>
          <w:color w:val="auto"/>
          <w:sz w:val="24"/>
          <w:szCs w:val="24"/>
          <w:highlight w:val="none"/>
          <w:lang w:val="en-US" w:eastAsia="zh-CN"/>
        </w:rPr>
        <w:t>3</w:t>
      </w:r>
      <w:r>
        <w:rPr>
          <w:rFonts w:cs="宋体"/>
          <w:color w:val="auto"/>
          <w:sz w:val="24"/>
          <w:szCs w:val="24"/>
          <w:highlight w:val="none"/>
        </w:rPr>
        <w:t>.</w:t>
      </w:r>
      <w:r>
        <w:rPr>
          <w:rFonts w:hint="eastAsia" w:cs="宋体"/>
          <w:color w:val="auto"/>
          <w:sz w:val="24"/>
          <w:szCs w:val="24"/>
          <w:highlight w:val="none"/>
          <w:lang w:val="en-US" w:eastAsia="zh-CN"/>
        </w:rPr>
        <w:t>2</w:t>
      </w:r>
      <w:r>
        <w:rPr>
          <w:rFonts w:cs="宋体"/>
          <w:color w:val="auto"/>
          <w:sz w:val="24"/>
          <w:szCs w:val="24"/>
          <w:highlight w:val="none"/>
        </w:rPr>
        <w:t>.4日常清洁工作标准</w:t>
      </w:r>
    </w:p>
    <w:p w14:paraId="76F37DF8">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①会议室未进行会议期间，服务人员必须进行日常打扫工作。</w:t>
      </w:r>
    </w:p>
    <w:p w14:paraId="617E568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cs="宋体"/>
          <w:color w:val="auto"/>
          <w:sz w:val="24"/>
          <w:szCs w:val="24"/>
          <w:highlight w:val="none"/>
        </w:rPr>
        <w:t>②擦拭会议室中的桌、椅、门、茶几、柜、窗台、装饰板，做到无尘、无污渍。</w:t>
      </w:r>
    </w:p>
    <w:p w14:paraId="372EE55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4</w:t>
      </w:r>
      <w:r>
        <w:rPr>
          <w:rFonts w:ascii="宋体" w:hAnsi="宋体" w:cs="宋体"/>
          <w:b/>
          <w:color w:val="auto"/>
          <w:sz w:val="24"/>
          <w:szCs w:val="24"/>
          <w:highlight w:val="none"/>
        </w:rPr>
        <w:t>、</w:t>
      </w:r>
      <w:r>
        <w:rPr>
          <w:rFonts w:hint="eastAsia" w:ascii="宋体" w:hAnsi="宋体" w:eastAsia="宋体" w:cs="宋体"/>
          <w:b/>
          <w:bCs/>
          <w:color w:val="auto"/>
          <w:sz w:val="24"/>
          <w:highlight w:val="none"/>
        </w:rPr>
        <w:t>工程服务保障</w:t>
      </w:r>
    </w:p>
    <w:p w14:paraId="0F4C1E8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4.1总体要求</w:t>
      </w:r>
    </w:p>
    <w:p w14:paraId="4B08AA0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确保设备设施正常使用、运行，做到维护到位、响应及时、保障得力。</w:t>
      </w:r>
    </w:p>
    <w:p w14:paraId="657D1A0F">
      <w:pPr>
        <w:pStyle w:val="252"/>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①负责水、电等设备设施的管理与巡查工作。</w:t>
      </w:r>
    </w:p>
    <w:p w14:paraId="42810930">
      <w:pPr>
        <w:pStyle w:val="252"/>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sz w:val="24"/>
          <w:szCs w:val="24"/>
          <w:highlight w:val="none"/>
        </w:rPr>
      </w:pPr>
      <w:r>
        <w:rPr>
          <w:rFonts w:ascii="宋体" w:hAnsi="宋体" w:cs="宋体"/>
          <w:color w:val="auto"/>
          <w:sz w:val="24"/>
          <w:szCs w:val="24"/>
          <w:highlight w:val="none"/>
        </w:rPr>
        <w:t xml:space="preserve">    ②负责水、电、门窗等维修工作。</w:t>
      </w:r>
    </w:p>
    <w:p w14:paraId="01BD96C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③负责组织并督促专业设备设施维保单位定期开展维保工作、及时修复隐患故障。</w:t>
      </w:r>
    </w:p>
    <w:p w14:paraId="6304E8F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rPr>
        <w:t>④</w:t>
      </w:r>
      <w:r>
        <w:rPr>
          <w:rFonts w:ascii="宋体" w:hAnsi="宋体" w:cs="宋体"/>
          <w:color w:val="auto"/>
          <w:sz w:val="24"/>
          <w:szCs w:val="24"/>
          <w:highlight w:val="none"/>
        </w:rPr>
        <w:t>负责督促院内施工单位安全、文明施工，不得影响</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办公秩序。</w:t>
      </w:r>
    </w:p>
    <w:p w14:paraId="6992A29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w:t>
      </w:r>
      <w:r>
        <w:rPr>
          <w:rFonts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工作要求</w:t>
      </w:r>
    </w:p>
    <w:p w14:paraId="16D7DD4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①故障处置要求：通过日常巡查维护保养，保证各类设备设施正常运行，遇突发故障，5分钟赶到现场，一般故障30分钟内处置完毕，较大故障24小时内处置完毕，重大故障1周内处置完毕。</w:t>
      </w:r>
    </w:p>
    <w:p w14:paraId="5252575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②设备用房卫生要求：每周清扫地面及擦拭设备设施表面1次以上</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要求地面干燥无积灰，设备设施表面无污渍、无锈蚀，玻璃窗户无污迹，无水珠，无手印，所有指示牌标识牌无灰尘无污迹，总体目视设备用房干净、无垃圾、无灰尘、无蛛网。</w:t>
      </w:r>
    </w:p>
    <w:p w14:paraId="5B91B2F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③强电要求：配电房每天检查1次，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p>
    <w:p w14:paraId="60F89FF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④地下排污泵要求：做好各排污泵的维护保养工作，对排污泵手动开启测试检查平时每周1次，雨季每天检测1次。做好巡查记录，记录需填写端正详细。</w:t>
      </w:r>
    </w:p>
    <w:p w14:paraId="3C03F27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⑤公共照明系统要求：卫生间、茶水间、会议室和各大型会议室照明完好率应达100%，室外照明、楼道照明、过道照明完好率应达100%。</w:t>
      </w:r>
    </w:p>
    <w:p w14:paraId="7146DBD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⑥会务保障要求：会前2小时对会议室照明配电系统检查，确保配电设施完好率100%</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重大会议在会前一天对会议室内进行全面检查，并在会议期间要有专业人员现场待命。</w:t>
      </w:r>
    </w:p>
    <w:p w14:paraId="1E2528C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⑦消防、给排水系统要求：加强巡查，及时维修，确保无跑、冒、滴、漏现象，管道、阀门无锈蚀。</w:t>
      </w:r>
    </w:p>
    <w:p w14:paraId="6898D63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⑧协助</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管理各专业维保公司（电梯、</w:t>
      </w:r>
      <w:r>
        <w:rPr>
          <w:rFonts w:hint="eastAsia" w:ascii="宋体" w:hAnsi="宋体" w:cs="宋体"/>
          <w:color w:val="auto"/>
          <w:sz w:val="24"/>
          <w:szCs w:val="24"/>
          <w:highlight w:val="none"/>
          <w:lang w:val="en-US" w:eastAsia="zh-CN"/>
        </w:rPr>
        <w:t>消防</w:t>
      </w:r>
      <w:r>
        <w:rPr>
          <w:rFonts w:ascii="宋体" w:hAnsi="宋体" w:cs="宋体"/>
          <w:color w:val="auto"/>
          <w:sz w:val="24"/>
          <w:szCs w:val="24"/>
          <w:highlight w:val="none"/>
        </w:rPr>
        <w:t>、绿化等第三方服务公司）要求：督促检查相关维保单位进行定期保养与维护、检测与年检等工作，设备设施出现故障，第一时间联系对应维保单位，跟踪维修进度，检查维修结果，确保及时修复。</w:t>
      </w:r>
    </w:p>
    <w:p w14:paraId="4319CE2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ascii="宋体" w:hAnsi="宋体" w:cs="宋体"/>
          <w:b/>
          <w:bCs/>
          <w:color w:val="auto"/>
          <w:sz w:val="24"/>
          <w:szCs w:val="24"/>
          <w:highlight w:val="none"/>
        </w:rPr>
        <w:t>.3其它有关说明</w:t>
      </w:r>
    </w:p>
    <w:p w14:paraId="3A58580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①设施设备维护修复工作以不影响</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办公秩序为前提。在维护修复过程中，相关人员必须在做好维修区域防护及警示措施后方可进行工作。维修完毕，立即清理现场。</w:t>
      </w:r>
    </w:p>
    <w:p w14:paraId="309A6A6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②设施设备维修或更新的耗材由</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提供。因物管工作需要的各种维修工具、专业工具、劳保用品均由</w:t>
      </w:r>
      <w:r>
        <w:rPr>
          <w:rFonts w:hint="eastAsia" w:ascii="宋体" w:hAnsi="宋体" w:cs="宋体"/>
          <w:color w:val="auto"/>
          <w:sz w:val="24"/>
          <w:szCs w:val="24"/>
          <w:highlight w:val="none"/>
          <w:lang w:eastAsia="zh-CN"/>
        </w:rPr>
        <w:t>供应商</w:t>
      </w:r>
      <w:r>
        <w:rPr>
          <w:rFonts w:ascii="宋体" w:hAnsi="宋体" w:cs="宋体"/>
          <w:color w:val="auto"/>
          <w:sz w:val="24"/>
          <w:szCs w:val="24"/>
          <w:highlight w:val="none"/>
        </w:rPr>
        <w:t>购置并承担费用。</w:t>
      </w:r>
    </w:p>
    <w:p w14:paraId="52929A0E">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5</w:t>
      </w:r>
      <w:r>
        <w:rPr>
          <w:rFonts w:hint="eastAsia" w:ascii="宋体" w:hAnsi="宋体" w:eastAsia="宋体" w:cs="宋体"/>
          <w:b/>
          <w:color w:val="auto"/>
          <w:sz w:val="24"/>
          <w:szCs w:val="24"/>
          <w:highlight w:val="none"/>
          <w:lang w:val="en-US" w:eastAsia="zh-CN"/>
        </w:rPr>
        <w:t>、绿化养护</w:t>
      </w:r>
    </w:p>
    <w:p w14:paraId="3AD4B61C">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.1除草</w:t>
      </w:r>
    </w:p>
    <w:p w14:paraId="10829707">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①草坪除草：一年5次，分别是2至3月一次、4至5月一次、6月一次、7至8月一次、10月—次。</w:t>
      </w:r>
    </w:p>
    <w:p w14:paraId="454FC302">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质量标准：杂草连根拔除，拔除的杂草及时清除，草坪纯度保持在90％以上；使用化学药剂除草，请教园艺部门技术人员后进行。</w:t>
      </w:r>
    </w:p>
    <w:p w14:paraId="57972384">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②地被植物除草，视杂草生长情况决定除草次数和除草方式(削、拔)。质量：基本控制在无杂草状态；拔、削除的杂草及时清除。</w:t>
      </w:r>
    </w:p>
    <w:p w14:paraId="7508BC5C">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.2修剪</w:t>
      </w:r>
    </w:p>
    <w:p w14:paraId="2491ABE3">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①整形树修剪：一年两次，分别是3月中旬一次、8月左右一次。</w:t>
      </w:r>
    </w:p>
    <w:p w14:paraId="421B679D">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质量标准：剪下的树叶及时清除，保持整形的几何面基本平整，枯枝剪除。</w:t>
      </w:r>
    </w:p>
    <w:p w14:paraId="208AE3A4">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②绿篱修剪：一年四次，分别是4月中旬一次、5至6月一次、7至8月一次、9月后一次。</w:t>
      </w:r>
    </w:p>
    <w:p w14:paraId="7C7B1BEA">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质量标准：剪下的枝叶及时清除，保持篱面基本平整，大部分枝条长短差不超过2-100px，枯枝剪除，夹于绿篱间杂树及时清除。</w:t>
      </w:r>
    </w:p>
    <w:p w14:paraId="35F776A3">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③灌木修剪：一年一次。夏季开花的于冬季进行，春季开花的于花后进行。蜡梅、梅花、桃花、红叶李、紫薇等必须每年一次。</w:t>
      </w:r>
    </w:p>
    <w:p w14:paraId="12700116">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④一般树木修剪，必须按美观原则，随时进行。</w:t>
      </w:r>
    </w:p>
    <w:p w14:paraId="2A3CC9ED">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.3病虫防治</w:t>
      </w:r>
    </w:p>
    <w:p w14:paraId="5B69AED3">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视病虫发生情况及时进行，确保无病虫害发生。</w:t>
      </w:r>
    </w:p>
    <w:p w14:paraId="3DCF5582">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.4清除枯枝死树</w:t>
      </w:r>
    </w:p>
    <w:p w14:paraId="1DB0677A">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凡清理下的枯枝死树必须放到指定地点，并堆放整齐。</w:t>
      </w:r>
    </w:p>
    <w:p w14:paraId="3E3DBFC1">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①乔木的清除枯枝工作：高大行道树的清洁工作及时进行，不得挂树一周以上。</w:t>
      </w:r>
    </w:p>
    <w:p w14:paraId="7B786A3E">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②灌木绿篱的清除枯枝工作，应随时进行，不得超过一周以上。</w:t>
      </w:r>
    </w:p>
    <w:p w14:paraId="5D511697">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③死树：一经发现随时清除。</w:t>
      </w:r>
    </w:p>
    <w:p w14:paraId="23C16DCA">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.5抗风扶正</w:t>
      </w:r>
    </w:p>
    <w:p w14:paraId="158E9119">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①由于各种原因，行道树或其它乔木树干倾斜度超过10％以上的必须予以扶正。确实难以扶正的，要加以支撑防止加重倾斜。</w:t>
      </w:r>
    </w:p>
    <w:p w14:paraId="0430810B">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②在暴风雨来临之前，及时做好抗风准备工作，对易倒伏的树木予以支撑保护，已被大风倾倒的树木，在一周内予以扶正。</w:t>
      </w:r>
    </w:p>
    <w:p w14:paraId="2A914649">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.6浇水施肥</w:t>
      </w:r>
    </w:p>
    <w:p w14:paraId="7F203B2C">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①一般树木施肥，在冬季之前施肥一次，开沟施肥，施后覆土。</w:t>
      </w:r>
    </w:p>
    <w:p w14:paraId="20C36203">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②地被植物施肥：一年二次，草坪可在下雨之前以化肥为主撒肥，时间在3、5月与10月。天晴施肥必须随后喷水，以防肥伤。</w:t>
      </w:r>
    </w:p>
    <w:p w14:paraId="7DA57D98">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③各种花草树木的浇水根据天气干旱情况适时进行。</w:t>
      </w:r>
    </w:p>
    <w:p w14:paraId="58E8543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rPr>
        <w:t>、档案、资料管理</w:t>
      </w:r>
    </w:p>
    <w:p w14:paraId="65FC164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加强物业档案和资料管理。包括：业主投诉和意见档案、安全管理记录档案、清洁卫生管理档案、</w:t>
      </w:r>
      <w:r>
        <w:rPr>
          <w:rFonts w:hint="eastAsia" w:ascii="宋体" w:hAnsi="宋体" w:eastAsia="宋体" w:cs="宋体"/>
          <w:b w:val="0"/>
          <w:bCs w:val="0"/>
          <w:color w:val="auto"/>
          <w:sz w:val="24"/>
          <w:szCs w:val="24"/>
          <w:highlight w:val="none"/>
          <w:lang w:val="en-US" w:eastAsia="zh-CN"/>
        </w:rPr>
        <w:t>安全保卫管理档案、</w:t>
      </w:r>
      <w:r>
        <w:rPr>
          <w:rFonts w:hint="eastAsia" w:ascii="宋体" w:hAnsi="宋体" w:eastAsia="宋体" w:cs="宋体"/>
          <w:b w:val="0"/>
          <w:bCs w:val="0"/>
          <w:color w:val="auto"/>
          <w:sz w:val="24"/>
          <w:highlight w:val="none"/>
        </w:rPr>
        <w:t>工程服务保障</w:t>
      </w:r>
      <w:r>
        <w:rPr>
          <w:rFonts w:hint="eastAsia" w:ascii="宋体" w:hAnsi="宋体" w:eastAsia="宋体" w:cs="宋体"/>
          <w:b w:val="0"/>
          <w:bCs w:val="0"/>
          <w:color w:val="auto"/>
          <w:sz w:val="24"/>
          <w:highlight w:val="none"/>
          <w:lang w:val="en-US" w:eastAsia="zh-CN"/>
        </w:rPr>
        <w:t>管理档案、</w:t>
      </w:r>
      <w:r>
        <w:rPr>
          <w:rFonts w:hint="eastAsia" w:ascii="宋体" w:hAnsi="宋体" w:eastAsia="宋体" w:cs="宋体"/>
          <w:color w:val="auto"/>
          <w:sz w:val="24"/>
          <w:szCs w:val="24"/>
          <w:highlight w:val="none"/>
        </w:rPr>
        <w:t>物业人事管理及人员培训档案等，以及具体的管理方案。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必须运用计算机管理，确保所有档案保存完整、管理完善、交接手续完备、检索方便准确。</w:t>
      </w:r>
    </w:p>
    <w:p w14:paraId="3C2215B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rPr>
        <w:t>、建立健全物业管理制度</w:t>
      </w:r>
    </w:p>
    <w:p w14:paraId="283DC28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具体情况，</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应制定企业详细的内部管理制度、日常服务的运作管理制度等相关制度。项目</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负责物业全面管理工作，督促各项服务（制度）的落实。制度至少应包括：</w:t>
      </w:r>
    </w:p>
    <w:p w14:paraId="24B1647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①物业管理员工行为规范；</w:t>
      </w:r>
    </w:p>
    <w:p w14:paraId="67CC629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②管理人员岗位职责；</w:t>
      </w:r>
    </w:p>
    <w:p w14:paraId="154C2DD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③保洁工作职责；</w:t>
      </w:r>
    </w:p>
    <w:p w14:paraId="6373BCD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④会议接待工作职责</w:t>
      </w:r>
      <w:r>
        <w:rPr>
          <w:rFonts w:hint="eastAsia" w:ascii="宋体" w:hAnsi="宋体" w:eastAsia="宋体" w:cs="宋体"/>
          <w:color w:val="auto"/>
          <w:sz w:val="24"/>
          <w:szCs w:val="24"/>
          <w:highlight w:val="none"/>
          <w:lang w:eastAsia="zh-CN"/>
        </w:rPr>
        <w:t>；</w:t>
      </w:r>
    </w:p>
    <w:p w14:paraId="3202252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⑤治安保卫</w:t>
      </w:r>
      <w:r>
        <w:rPr>
          <w:rFonts w:hint="eastAsia" w:ascii="宋体" w:hAnsi="宋体" w:eastAsia="宋体" w:cs="宋体"/>
          <w:color w:val="auto"/>
          <w:sz w:val="24"/>
          <w:szCs w:val="24"/>
          <w:highlight w:val="none"/>
          <w:lang w:val="en-US" w:eastAsia="zh-CN"/>
        </w:rPr>
        <w:t>工作职责；</w:t>
      </w:r>
    </w:p>
    <w:p w14:paraId="50C54A7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⑥工程服务保障</w:t>
      </w:r>
      <w:r>
        <w:rPr>
          <w:rFonts w:hint="eastAsia" w:ascii="宋体" w:hAnsi="宋体" w:eastAsia="宋体" w:cs="宋体"/>
          <w:color w:val="auto"/>
          <w:sz w:val="24"/>
          <w:szCs w:val="24"/>
          <w:highlight w:val="none"/>
          <w:lang w:val="en-US" w:eastAsia="zh-CN"/>
        </w:rPr>
        <w:t>工作职责；</w:t>
      </w:r>
    </w:p>
    <w:p w14:paraId="4ADBCC3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⑦管理人员、操作人员考核细则（百分考核）；</w:t>
      </w:r>
    </w:p>
    <w:p w14:paraId="6AA607E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⑧考核奖惩制度；</w:t>
      </w:r>
    </w:p>
    <w:p w14:paraId="1D4439B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⑨综合服务制度；</w:t>
      </w:r>
    </w:p>
    <w:p w14:paraId="6F8B3C7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⑩工作流程、巡视检查、维护修复、安全管理及交接班等制度；</w:t>
      </w:r>
    </w:p>
    <w:p w14:paraId="5BDD898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⑪其他制度。</w:t>
      </w:r>
    </w:p>
    <w:p w14:paraId="62849C93">
      <w:pPr>
        <w:keepNext w:val="0"/>
        <w:keepLines w:val="0"/>
        <w:pageBreakBefore w:val="0"/>
        <w:spacing w:line="50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06F24261">
      <w:pPr>
        <w:keepNext w:val="0"/>
        <w:keepLines w:val="0"/>
        <w:pageBreakBefore w:val="0"/>
        <w:spacing w:line="50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1、乙方交纳人民币_________元作为本合同的履约保证金（按合同金额的5%）。鼓励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对AA评级及以上政府采购供应商（需提供信用管理部门备案的第三方信用报告），降低履约保证金缴纳比例</w:t>
      </w:r>
      <w:r>
        <w:rPr>
          <w:rFonts w:hint="eastAsia" w:ascii="宋体" w:hAnsi="宋体" w:cs="宋体"/>
          <w:color w:val="auto"/>
          <w:sz w:val="24"/>
          <w:szCs w:val="24"/>
          <w:highlight w:val="none"/>
          <w:lang w:val="en-US" w:eastAsia="zh-CN"/>
        </w:rPr>
        <w:t>至2.5%</w:t>
      </w:r>
      <w:r>
        <w:rPr>
          <w:rFonts w:hint="eastAsia" w:ascii="宋体" w:hAnsi="宋体" w:eastAsia="宋体" w:cs="宋体"/>
          <w:color w:val="auto"/>
          <w:sz w:val="24"/>
          <w:szCs w:val="24"/>
          <w:highlight w:val="none"/>
        </w:rPr>
        <w:t>。</w:t>
      </w:r>
    </w:p>
    <w:p w14:paraId="19628592">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74690849">
      <w:pPr>
        <w:pStyle w:val="252"/>
        <w:keepNext w:val="0"/>
        <w:keepLines w:val="0"/>
        <w:pageBreakBefore w:val="0"/>
        <w:spacing w:line="50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60EB7870">
      <w:pPr>
        <w:pStyle w:val="252"/>
        <w:keepNext w:val="0"/>
        <w:keepLines w:val="0"/>
        <w:pageBreakBefore w:val="0"/>
        <w:spacing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如以履约保函（保险）形式缴纳履约保证金，供应商可通过政府采购电子履约保函（保险）平台（www.jsdzbh.com）在线申请履约保函（保险）。</w:t>
      </w:r>
    </w:p>
    <w:p w14:paraId="5238D88A">
      <w:pPr>
        <w:pStyle w:val="81"/>
        <w:keepNext w:val="0"/>
        <w:keepLines w:val="0"/>
        <w:pageBreakBefore w:val="0"/>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合同履行结束后，甲方应及时退还交纳的履约保证金。</w:t>
      </w:r>
    </w:p>
    <w:p w14:paraId="5C410B23">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履约保证金的退还：</w:t>
      </w:r>
    </w:p>
    <w:p w14:paraId="12E7C0BC">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.1方式：无息退还至</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缴纳履约保证金的账户。如为保函，在到期时自行失效。</w:t>
      </w:r>
    </w:p>
    <w:p w14:paraId="693D7566">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.2时间：验收合格且</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收到发票后30日内。</w:t>
      </w:r>
    </w:p>
    <w:p w14:paraId="3C4C5CF5">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.3条件：按合同要求全部履约完成并经</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验收合格，且</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收到</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出具的发票。</w:t>
      </w:r>
    </w:p>
    <w:p w14:paraId="19C80BC7">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.4不予退还情形：</w:t>
      </w:r>
    </w:p>
    <w:p w14:paraId="05B6751F">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除不可抗力情况外，</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出现下列情形之一的，其履约保证金，</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将视情节决定不予退还或部分不予退还。</w:t>
      </w:r>
    </w:p>
    <w:p w14:paraId="22A50AE3">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无正当理由拒绝签订合同的，或者在签订合同时向</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提出附加条件或者更改合同实质性内容要求的；</w:t>
      </w:r>
    </w:p>
    <w:p w14:paraId="344BE0DB">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不履行与</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订立的合同的；</w:t>
      </w:r>
    </w:p>
    <w:p w14:paraId="273808B0">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所供货物或服务不符合招标文件规定要求的；</w:t>
      </w:r>
    </w:p>
    <w:p w14:paraId="47F36B2A">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采取欺骗、弄虚作假方式投标的或与其</w:t>
      </w:r>
      <w:r>
        <w:rPr>
          <w:rFonts w:hint="eastAsia" w:ascii="宋体" w:hAnsi="宋体" w:eastAsia="宋体" w:cs="宋体"/>
          <w:color w:val="auto"/>
          <w:sz w:val="24"/>
          <w:highlight w:val="none"/>
          <w:lang w:val="en-US" w:eastAsia="zh-CN"/>
        </w:rPr>
        <w:t>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串通投标的；</w:t>
      </w:r>
    </w:p>
    <w:p w14:paraId="6BF2A8B8">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⑤</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将合同内容转包、违法分包的；</w:t>
      </w:r>
    </w:p>
    <w:p w14:paraId="0C82BE98">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⑥</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故意捏造事实或伪造证明材料，进行虚假恶意投诉或反映的。</w:t>
      </w:r>
    </w:p>
    <w:p w14:paraId="45E6D18B">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.5逾期退还的违约责任：</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逾期无故未退还履约保证金的，按中国人民银行同期贷款基准利率上浮20%后的利率支付超期资金占用费，但因供应商自身原因导致无法及时退还的除外。</w:t>
      </w:r>
    </w:p>
    <w:p w14:paraId="6AF38A80">
      <w:pPr>
        <w:keepNext w:val="0"/>
        <w:keepLines w:val="0"/>
        <w:pageBreakBefore w:val="0"/>
        <w:spacing w:line="50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rPr>
        <w:t>合同转包或分包</w:t>
      </w:r>
    </w:p>
    <w:p w14:paraId="65AA6264">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乙方不得将合同标的转包给他人履行。</w:t>
      </w:r>
    </w:p>
    <w:p w14:paraId="4B9BB4BA">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未经甲方同意</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乙方不得将合同标的分包给他人履行。</w:t>
      </w:r>
    </w:p>
    <w:p w14:paraId="610C8151">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乙方如有转包或未经甲方同意的分包行为，甲方有权解除合同。</w:t>
      </w:r>
    </w:p>
    <w:p w14:paraId="5F0DFEF2">
      <w:pPr>
        <w:keepNext w:val="0"/>
        <w:keepLines w:val="0"/>
        <w:pageBreakBefore w:val="0"/>
        <w:spacing w:line="500" w:lineRule="exact"/>
        <w:ind w:left="0" w:firstLine="482"/>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合同款项的支付方式</w:t>
      </w:r>
    </w:p>
    <w:p w14:paraId="7DB0B03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1、预付款支付时间：合同签订后，甲方收到发票后10个工作日内，预付款支付比例：合同金额的30%。</w:t>
      </w:r>
      <w:r>
        <w:rPr>
          <w:rFonts w:hint="eastAsia" w:ascii="宋体" w:hAnsi="宋体" w:eastAsia="宋体" w:cs="宋体"/>
          <w:color w:val="auto"/>
          <w:sz w:val="24"/>
          <w:highlight w:val="none"/>
        </w:rPr>
        <w:t>在签订合同时，</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明确书面表示无需预付款或者主动要求降低预付款比例的，</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可就预付款比例作相应调整。</w:t>
      </w:r>
    </w:p>
    <w:p w14:paraId="769304E8">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尾款支付时间：物业管理费用由甲方经考评后按季度支付，即下季度第一个月支付上一个季度应支付的物业管理费用（同时按预付款25%的比例扣回预付款）。甲方在收到发票后10个工作日内支付上个季度的物业管理费。甲方按季度付清乙方的物业费用，不再负责乙方因此产生的债务或其他经济问题。甲方考核时如发现现场人数与乙方投标人数不符的，甲方付款时将按投标工资双倍扣款。</w:t>
      </w:r>
    </w:p>
    <w:p w14:paraId="06831F89">
      <w:pPr>
        <w:keepNext w:val="0"/>
        <w:keepLines w:val="0"/>
        <w:pageBreakBefore w:val="0"/>
        <w:widowControl/>
        <w:spacing w:line="50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考核得分为90分（含）及以上的为合格，</w:t>
      </w:r>
      <w:r>
        <w:rPr>
          <w:rFonts w:hint="eastAsia" w:ascii="宋体" w:hAnsi="宋体" w:eastAsia="宋体" w:cs="宋体"/>
          <w:color w:val="auto"/>
          <w:sz w:val="24"/>
          <w:highlight w:val="none"/>
          <w:lang w:val="en-US" w:eastAsia="zh-CN"/>
        </w:rPr>
        <w:t>考核当月</w:t>
      </w:r>
      <w:r>
        <w:rPr>
          <w:rFonts w:hint="eastAsia" w:ascii="宋体" w:hAnsi="宋体" w:eastAsia="宋体" w:cs="宋体"/>
          <w:color w:val="auto"/>
          <w:sz w:val="24"/>
          <w:highlight w:val="none"/>
          <w:lang w:eastAsia="zh-CN"/>
        </w:rPr>
        <w:t>物业管理费</w:t>
      </w:r>
      <w:r>
        <w:rPr>
          <w:rFonts w:hint="eastAsia" w:ascii="宋体" w:hAnsi="宋体" w:eastAsia="宋体" w:cs="宋体"/>
          <w:color w:val="auto"/>
          <w:sz w:val="24"/>
          <w:highlight w:val="none"/>
          <w:lang w:val="en-US" w:eastAsia="zh-CN"/>
        </w:rPr>
        <w:t>按</w:t>
      </w:r>
      <w:r>
        <w:rPr>
          <w:rFonts w:hint="eastAsia" w:ascii="宋体" w:hAnsi="宋体" w:eastAsia="宋体" w:cs="宋体"/>
          <w:color w:val="auto"/>
          <w:sz w:val="24"/>
          <w:highlight w:val="none"/>
        </w:rPr>
        <w:t>全额</w:t>
      </w:r>
      <w:r>
        <w:rPr>
          <w:rFonts w:hint="eastAsia" w:ascii="宋体" w:hAnsi="宋体" w:eastAsia="宋体" w:cs="宋体"/>
          <w:color w:val="auto"/>
          <w:sz w:val="24"/>
          <w:highlight w:val="none"/>
          <w:lang w:val="en-US" w:eastAsia="zh-CN"/>
        </w:rPr>
        <w:t>计算；</w:t>
      </w:r>
      <w:r>
        <w:rPr>
          <w:rFonts w:hint="eastAsia" w:ascii="宋体" w:hAnsi="宋体" w:eastAsia="宋体" w:cs="宋体"/>
          <w:color w:val="auto"/>
          <w:sz w:val="24"/>
          <w:highlight w:val="none"/>
        </w:rPr>
        <w:t>考核得分90分以下的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得分转换成比例，考核当月</w:t>
      </w:r>
      <w:r>
        <w:rPr>
          <w:rFonts w:hint="eastAsia" w:ascii="宋体" w:hAnsi="宋体" w:eastAsia="宋体" w:cs="宋体"/>
          <w:color w:val="auto"/>
          <w:sz w:val="24"/>
          <w:highlight w:val="none"/>
          <w:lang w:eastAsia="zh-CN"/>
        </w:rPr>
        <w:t>物业管理费</w:t>
      </w:r>
      <w:r>
        <w:rPr>
          <w:rFonts w:hint="eastAsia" w:ascii="宋体" w:hAnsi="宋体" w:eastAsia="宋体" w:cs="宋体"/>
          <w:color w:val="auto"/>
          <w:sz w:val="24"/>
          <w:highlight w:val="none"/>
          <w:lang w:val="en-US" w:eastAsia="zh-CN"/>
        </w:rPr>
        <w:t>按考核当月</w:t>
      </w:r>
      <w:r>
        <w:rPr>
          <w:rFonts w:hint="eastAsia" w:ascii="宋体" w:hAnsi="宋体" w:eastAsia="宋体" w:cs="宋体"/>
          <w:color w:val="auto"/>
          <w:sz w:val="24"/>
          <w:highlight w:val="none"/>
        </w:rPr>
        <w:t>全额</w:t>
      </w:r>
      <w:r>
        <w:rPr>
          <w:rFonts w:hint="eastAsia" w:ascii="宋体" w:hAnsi="宋体" w:eastAsia="宋体" w:cs="宋体"/>
          <w:color w:val="auto"/>
          <w:sz w:val="24"/>
          <w:highlight w:val="none"/>
          <w:lang w:val="en-US" w:eastAsia="zh-CN"/>
        </w:rPr>
        <w:t>费用乘以比例计算</w:t>
      </w:r>
      <w:r>
        <w:rPr>
          <w:rFonts w:hint="eastAsia" w:ascii="宋体" w:hAnsi="宋体" w:eastAsia="宋体" w:cs="宋体"/>
          <w:color w:val="auto"/>
          <w:sz w:val="24"/>
          <w:highlight w:val="none"/>
        </w:rPr>
        <w:t>（例：考核得分89分的，</w:t>
      </w:r>
      <w:r>
        <w:rPr>
          <w:rFonts w:hint="eastAsia" w:ascii="宋体" w:hAnsi="宋体" w:eastAsia="宋体" w:cs="宋体"/>
          <w:color w:val="auto"/>
          <w:sz w:val="24"/>
          <w:highlight w:val="none"/>
          <w:lang w:val="en-US" w:eastAsia="zh-CN"/>
        </w:rPr>
        <w:t>考核当月</w:t>
      </w:r>
      <w:r>
        <w:rPr>
          <w:rFonts w:hint="eastAsia" w:ascii="宋体" w:hAnsi="宋体" w:eastAsia="宋体" w:cs="宋体"/>
          <w:color w:val="auto"/>
          <w:sz w:val="24"/>
          <w:highlight w:val="none"/>
          <w:lang w:eastAsia="zh-CN"/>
        </w:rPr>
        <w:t>物业管理费</w:t>
      </w:r>
      <w:r>
        <w:rPr>
          <w:rFonts w:hint="eastAsia" w:ascii="宋体" w:hAnsi="宋体" w:eastAsia="宋体" w:cs="宋体"/>
          <w:color w:val="auto"/>
          <w:sz w:val="24"/>
          <w:highlight w:val="none"/>
          <w:lang w:val="en-US" w:eastAsia="zh-CN"/>
        </w:rPr>
        <w:t>按考核当月全额费用</w:t>
      </w:r>
      <w:r>
        <w:rPr>
          <w:rFonts w:hint="eastAsia" w:ascii="宋体" w:hAnsi="宋体" w:eastAsia="宋体" w:cs="宋体"/>
          <w:color w:val="auto"/>
          <w:sz w:val="24"/>
          <w:highlight w:val="none"/>
        </w:rPr>
        <w:t>的89%</w:t>
      </w:r>
      <w:r>
        <w:rPr>
          <w:rFonts w:hint="eastAsia" w:ascii="宋体" w:hAnsi="宋体" w:eastAsia="宋体" w:cs="宋体"/>
          <w:color w:val="auto"/>
          <w:sz w:val="24"/>
          <w:highlight w:val="none"/>
          <w:lang w:val="en-US" w:eastAsia="zh-CN"/>
        </w:rPr>
        <w:t>计算</w:t>
      </w:r>
      <w:r>
        <w:rPr>
          <w:rFonts w:hint="eastAsia" w:ascii="宋体" w:hAnsi="宋体" w:eastAsia="宋体" w:cs="宋体"/>
          <w:color w:val="auto"/>
          <w:sz w:val="24"/>
          <w:highlight w:val="none"/>
        </w:rPr>
        <w:t>）。</w:t>
      </w:r>
    </w:p>
    <w:p w14:paraId="3EA71410">
      <w:pPr>
        <w:keepNext w:val="0"/>
        <w:keepLines w:val="0"/>
        <w:pageBreakBefore w:val="0"/>
        <w:spacing w:line="500" w:lineRule="exact"/>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第十一条 税费</w:t>
      </w:r>
    </w:p>
    <w:p w14:paraId="3E54B5E3">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1、本合同执行中相关的一切税费均由乙方负担。</w:t>
      </w:r>
    </w:p>
    <w:p w14:paraId="3F79F380">
      <w:pPr>
        <w:keepNext w:val="0"/>
        <w:keepLines w:val="0"/>
        <w:pageBreakBefore w:val="0"/>
        <w:spacing w:line="500" w:lineRule="exact"/>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第十二条 项目验收</w:t>
      </w:r>
    </w:p>
    <w:p w14:paraId="72CA3D95">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1、甲方依法组织履约验收工作。</w:t>
      </w:r>
    </w:p>
    <w:p w14:paraId="769528A8">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267C3F0">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3、对于实际使用人和甲方分离的项目，甲方邀请实际使用人参与验收。</w:t>
      </w:r>
    </w:p>
    <w:p w14:paraId="4821169B">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4、如有必要，甲方邀请参加本项目的其他供应商或第三方专业机构及专家参与验收，相关意见将作为验收书的参考资料。</w:t>
      </w:r>
    </w:p>
    <w:p w14:paraId="2145456A">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C3073DD">
      <w:pPr>
        <w:keepNext w:val="0"/>
        <w:keepLines w:val="0"/>
        <w:pageBreakBefore w:val="0"/>
        <w:spacing w:line="50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79FC950">
      <w:pPr>
        <w:keepNext w:val="0"/>
        <w:keepLines w:val="0"/>
        <w:pageBreakBefore w:val="0"/>
        <w:spacing w:line="500" w:lineRule="exact"/>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第十三条  物业管理考核办法</w:t>
      </w:r>
    </w:p>
    <w:p w14:paraId="487D4983">
      <w:pPr>
        <w:keepNext w:val="0"/>
        <w:keepLines w:val="0"/>
        <w:pageBreakBefore w:val="0"/>
        <w:widowControl w:val="0"/>
        <w:spacing w:line="500" w:lineRule="exact"/>
        <w:ind w:left="0" w:firstLine="480"/>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1、考核单位：</w:t>
      </w:r>
      <w:r>
        <w:rPr>
          <w:rFonts w:hint="eastAsia" w:ascii="宋体" w:hAnsi="宋体" w:cs="宋体"/>
          <w:color w:val="auto"/>
          <w:sz w:val="24"/>
          <w:highlight w:val="none"/>
          <w:lang w:val="en-US" w:eastAsia="zh-CN"/>
        </w:rPr>
        <w:t>盐城市盐都区人民法院</w:t>
      </w:r>
    </w:p>
    <w:p w14:paraId="302AA12E">
      <w:pPr>
        <w:keepNext w:val="0"/>
        <w:keepLines w:val="0"/>
        <w:pageBreakBefore w:val="0"/>
        <w:widowControl w:val="0"/>
        <w:spacing w:line="500" w:lineRule="exact"/>
        <w:ind w:left="0" w:firstLine="480"/>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甲方根据</w:t>
      </w:r>
      <w:r>
        <w:rPr>
          <w:rFonts w:hint="eastAsia" w:ascii="宋体" w:hAnsi="宋体" w:cs="宋体"/>
          <w:color w:val="auto"/>
          <w:sz w:val="24"/>
          <w:highlight w:val="none"/>
          <w:lang w:val="en-US" w:eastAsia="zh-CN"/>
        </w:rPr>
        <w:t>合同附件</w:t>
      </w:r>
      <w:r>
        <w:rPr>
          <w:rFonts w:hint="eastAsia" w:ascii="宋体" w:hAnsi="宋体" w:eastAsia="宋体" w:cs="宋体"/>
          <w:color w:val="auto"/>
          <w:sz w:val="24"/>
          <w:highlight w:val="none"/>
          <w:lang w:val="en-US" w:eastAsia="zh-CN"/>
        </w:rPr>
        <w:t>《物业服务质量考核表》</w:t>
      </w:r>
      <w:r>
        <w:rPr>
          <w:rFonts w:hint="eastAsia" w:ascii="宋体" w:hAnsi="宋体" w:cs="宋体"/>
          <w:color w:val="auto"/>
          <w:sz w:val="24"/>
          <w:highlight w:val="none"/>
          <w:lang w:val="en-US" w:eastAsia="zh-CN"/>
        </w:rPr>
        <w:t>每月</w:t>
      </w:r>
      <w:r>
        <w:rPr>
          <w:rFonts w:hint="eastAsia" w:ascii="宋体" w:hAnsi="宋体" w:eastAsia="宋体" w:cs="宋体"/>
          <w:color w:val="auto"/>
          <w:sz w:val="24"/>
          <w:highlight w:val="none"/>
          <w:lang w:val="en-US" w:eastAsia="zh-CN"/>
        </w:rPr>
        <w:t>对乙方进行考核，</w:t>
      </w:r>
      <w:r>
        <w:rPr>
          <w:rFonts w:hint="eastAsia" w:ascii="宋体" w:hAnsi="宋体" w:cs="宋体"/>
          <w:color w:val="auto"/>
          <w:sz w:val="24"/>
          <w:highlight w:val="none"/>
          <w:lang w:val="en-US" w:eastAsia="zh-CN"/>
        </w:rPr>
        <w:t>月</w:t>
      </w:r>
      <w:r>
        <w:rPr>
          <w:rFonts w:hint="eastAsia" w:ascii="宋体" w:hAnsi="宋体" w:eastAsia="宋体" w:cs="宋体"/>
          <w:color w:val="auto"/>
          <w:sz w:val="24"/>
          <w:highlight w:val="none"/>
          <w:lang w:val="en-US" w:eastAsia="zh-CN"/>
        </w:rPr>
        <w:t>考核得分为90分（含）及以上的为合格</w:t>
      </w:r>
      <w:r>
        <w:rPr>
          <w:rFonts w:hint="eastAsia" w:ascii="宋体" w:hAnsi="宋体" w:cs="宋体"/>
          <w:color w:val="auto"/>
          <w:sz w:val="24"/>
          <w:highlight w:val="none"/>
          <w:lang w:val="en-US" w:eastAsia="zh-CN"/>
        </w:rPr>
        <w:t>，一年中月度考核合格达十次及以上者，为年度考核合格，方可续签下一年度合同。</w:t>
      </w:r>
    </w:p>
    <w:p w14:paraId="1F25D431">
      <w:pPr>
        <w:keepNext w:val="0"/>
        <w:keepLines w:val="0"/>
        <w:pageBreakBefore w:val="0"/>
        <w:spacing w:line="500" w:lineRule="exact"/>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第十四条  违约责任</w:t>
      </w:r>
    </w:p>
    <w:p w14:paraId="665CC055">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1、因甲方违反本合同第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条，造成乙方未完成规定管理目标或直接造成经济损失的，双方协商甲方应给予乙方相应补偿，乙方也可要求甲方限期整改或终止合同。</w:t>
      </w:r>
    </w:p>
    <w:p w14:paraId="3B9F55A5">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2、因乙方违反本合同第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条，造成未完成管理目标或直接造成甲方经济损失的，双方协商乙方应给予甲方相应补偿（可从履约保证金中直接扣除相应部分），甲方也可要求乙方限期整改或终止合同。</w:t>
      </w:r>
    </w:p>
    <w:p w14:paraId="4CBF65C5">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3、因甲方房屋建筑、设施（设备）质量或安装技术不良等原因造成重大事故的，由甲方承担责任并</w:t>
      </w:r>
      <w:r>
        <w:rPr>
          <w:rFonts w:hint="eastAsia" w:ascii="宋体" w:hAnsi="宋体" w:eastAsia="宋体" w:cs="宋体"/>
          <w:color w:val="auto"/>
          <w:sz w:val="24"/>
          <w:szCs w:val="24"/>
          <w:highlight w:val="none"/>
          <w:lang w:val="en-US" w:eastAsia="zh-CN"/>
        </w:rPr>
        <w:t>做</w:t>
      </w:r>
      <w:r>
        <w:rPr>
          <w:rFonts w:hint="eastAsia" w:ascii="宋体" w:hAnsi="宋体" w:eastAsia="宋体" w:cs="宋体"/>
          <w:color w:val="auto"/>
          <w:sz w:val="24"/>
          <w:szCs w:val="24"/>
          <w:highlight w:val="none"/>
        </w:rPr>
        <w:t>善后处理。事故的发生原因，以行业主管部门的调查鉴定结论为准。</w:t>
      </w:r>
    </w:p>
    <w:p w14:paraId="3DF2776B">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4、在合同期内，乙方人员不得随意调整或更换，确需调整或更换时，必须更换为相同条件相同资质的人员并向甲方提出书面申请，经过甲方书面同意后方可进行调整及更换。甲方发现有擅自调整或更换的，</w:t>
      </w:r>
      <w:r>
        <w:rPr>
          <w:rFonts w:hint="eastAsia" w:ascii="宋体" w:hAnsi="宋体" w:eastAsia="宋体" w:cs="宋体"/>
          <w:b w:val="0"/>
          <w:color w:val="auto"/>
          <w:sz w:val="24"/>
          <w:highlight w:val="none"/>
          <w:lang w:val="en-US" w:eastAsia="zh-CN"/>
        </w:rPr>
        <w:t>甲方有权解除合同并</w:t>
      </w:r>
      <w:r>
        <w:rPr>
          <w:rFonts w:hint="eastAsia" w:ascii="宋体" w:hAnsi="宋体" w:eastAsia="宋体" w:cs="宋体"/>
          <w:b w:val="0"/>
          <w:color w:val="auto"/>
          <w:sz w:val="24"/>
          <w:highlight w:val="none"/>
        </w:rPr>
        <w:t>扣除履约保证金</w:t>
      </w:r>
      <w:r>
        <w:rPr>
          <w:rFonts w:hint="eastAsia" w:ascii="宋体" w:hAnsi="宋体" w:eastAsia="宋体" w:cs="宋体"/>
          <w:b w:val="0"/>
          <w:color w:val="auto"/>
          <w:sz w:val="24"/>
          <w:highlight w:val="none"/>
          <w:lang w:eastAsia="zh-CN"/>
        </w:rPr>
        <w:t>。</w:t>
      </w:r>
    </w:p>
    <w:p w14:paraId="70B965CE">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乙双方任何一方均不得无正当理由提前变更或解除合同。如乙方无正当理由退场，扣除全部履约保证金，并赔偿给甲方造成的实际损失。如因甲方原因，甲方提出提前解约，除全额退还乙方所缴纳的履约保证金外，还要赔偿乙方一倍的履约保证金。</w:t>
      </w:r>
    </w:p>
    <w:p w14:paraId="04794C9C">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6、合同履行期间，如遇不可抗力的因素造成经济损失的，双方应相互体谅，协调处理善后事宜。</w:t>
      </w:r>
    </w:p>
    <w:p w14:paraId="3848D831">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7、乙方在合同期内如未完全按照招标文件要求或投标文件承诺进行服务的，甲方有权中止合同（视为乙方未能履行合同）。</w:t>
      </w:r>
    </w:p>
    <w:p w14:paraId="5CEEF46F">
      <w:pPr>
        <w:keepNext w:val="0"/>
        <w:keepLines w:val="0"/>
        <w:pageBreakBefore w:val="0"/>
        <w:spacing w:line="500" w:lineRule="exact"/>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第十五条  不可抗力事件处理</w:t>
      </w:r>
    </w:p>
    <w:p w14:paraId="774C21F5">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在合同有效期内，任何一方因不可抗力事件导致不能履行合同，则合同履行期可延长，其延长期与不可抗力影响期相同。</w:t>
      </w:r>
    </w:p>
    <w:p w14:paraId="2B2ED170">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不可抗力事件发生后，应立即通知对方，并寄送有关权威机构出具的证明。</w:t>
      </w:r>
    </w:p>
    <w:p w14:paraId="79454D93">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不可抗力事件延续120天以上，双方应通过友好协商，确定是否继续履行合同。</w:t>
      </w:r>
    </w:p>
    <w:p w14:paraId="393B6808">
      <w:pPr>
        <w:keepNext w:val="0"/>
        <w:keepLines w:val="0"/>
        <w:pageBreakBefore w:val="0"/>
        <w:spacing w:line="500" w:lineRule="exact"/>
        <w:ind w:left="0"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第十六条  其他事项</w:t>
      </w:r>
    </w:p>
    <w:p w14:paraId="48FABB59">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、双方可对本合同的条款进行修订更改或补充，以书面签订补充协议，补充协议与本合同具有同等效力。</w:t>
      </w:r>
    </w:p>
    <w:p w14:paraId="50E8C1EC">
      <w:pPr>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合同规定的管理期满，本合同自然终止，双方如续订合同，应在该合同期满3个月前向对方提出书面意见。乙方在通知时间期满10日内必须撤离甲方物业管理区，并将相关全部物业管理资料交还甲方，如因未及时提前书面通知对方给对方造成损失的，损失由过失方承担。</w:t>
      </w:r>
    </w:p>
    <w:p w14:paraId="0083A55E">
      <w:pPr>
        <w:pStyle w:val="81"/>
        <w:keepNext w:val="0"/>
        <w:keepLines w:val="0"/>
        <w:pageBreakBefore w:val="0"/>
        <w:spacing w:before="0" w:beforeAutospacing="0" w:after="0" w:afterAutospacing="0" w:line="500" w:lineRule="exact"/>
        <w:ind w:left="0" w:firstLine="482"/>
        <w:jc w:val="both"/>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第十七条  </w:t>
      </w:r>
      <w:r>
        <w:rPr>
          <w:rFonts w:hint="eastAsia" w:ascii="宋体" w:hAnsi="宋体" w:eastAsia="宋体" w:cs="宋体"/>
          <w:b/>
          <w:color w:val="auto"/>
          <w:highlight w:val="none"/>
        </w:rPr>
        <w:t>解决争议的方法</w:t>
      </w:r>
    </w:p>
    <w:p w14:paraId="5021E3AA">
      <w:pPr>
        <w:pStyle w:val="81"/>
        <w:keepNext w:val="0"/>
        <w:keepLines w:val="0"/>
        <w:pageBreakBefore w:val="0"/>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双方在签订、履行合同中所发生的一切争议，应通过友好协商解决。如协商不成，由甲方住所地人民法院管辖。</w:t>
      </w:r>
    </w:p>
    <w:p w14:paraId="15027DE5">
      <w:pPr>
        <w:pStyle w:val="81"/>
        <w:keepNext w:val="0"/>
        <w:keepLines w:val="0"/>
        <w:pageBreakBefore w:val="0"/>
        <w:spacing w:before="0" w:beforeAutospacing="0" w:after="0" w:afterAutospacing="0" w:line="500" w:lineRule="exact"/>
        <w:ind w:left="0" w:firstLine="482"/>
        <w:jc w:val="both"/>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第十八条  </w:t>
      </w:r>
      <w:r>
        <w:rPr>
          <w:rFonts w:hint="eastAsia" w:ascii="宋体" w:hAnsi="宋体" w:eastAsia="宋体" w:cs="宋体"/>
          <w:b/>
          <w:color w:val="auto"/>
          <w:highlight w:val="none"/>
        </w:rPr>
        <w:t>合同生效及其它</w:t>
      </w:r>
    </w:p>
    <w:p w14:paraId="38660287">
      <w:pPr>
        <w:pStyle w:val="81"/>
        <w:keepNext w:val="0"/>
        <w:keepLines w:val="0"/>
        <w:pageBreakBefore w:val="0"/>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合同经双方法定代表人或授权委托代表人签字并加盖单位公章后生效。</w:t>
      </w:r>
    </w:p>
    <w:p w14:paraId="2A26FE1D">
      <w:pPr>
        <w:pStyle w:val="81"/>
        <w:keepNext w:val="0"/>
        <w:keepLines w:val="0"/>
        <w:pageBreakBefore w:val="0"/>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本合同未尽事宜，遵照《</w:t>
      </w:r>
      <w:r>
        <w:rPr>
          <w:rFonts w:hint="eastAsia" w:ascii="宋体" w:hAnsi="宋体" w:eastAsia="宋体" w:cs="宋体"/>
          <w:color w:val="auto"/>
          <w:highlight w:val="none"/>
          <w:lang w:val="en-US" w:eastAsia="zh-CN"/>
        </w:rPr>
        <w:t>中华人民共和国</w:t>
      </w:r>
      <w:r>
        <w:rPr>
          <w:rFonts w:hint="eastAsia" w:ascii="宋体" w:hAnsi="宋体" w:eastAsia="宋体" w:cs="宋体"/>
          <w:color w:val="auto"/>
          <w:highlight w:val="none"/>
        </w:rPr>
        <w:t>民法典》、《</w:t>
      </w:r>
      <w:r>
        <w:rPr>
          <w:rFonts w:hint="eastAsia" w:ascii="宋体" w:hAnsi="宋体" w:eastAsia="宋体" w:cs="宋体"/>
          <w:color w:val="auto"/>
          <w:highlight w:val="none"/>
          <w:lang w:val="en-US" w:eastAsia="zh-CN"/>
        </w:rPr>
        <w:t>中华人民共和国</w:t>
      </w:r>
      <w:r>
        <w:rPr>
          <w:rFonts w:hint="eastAsia" w:ascii="宋体" w:hAnsi="宋体" w:eastAsia="宋体" w:cs="宋体"/>
          <w:color w:val="auto"/>
          <w:highlight w:val="none"/>
        </w:rPr>
        <w:t>政府采购法》有关条文执行。</w:t>
      </w:r>
    </w:p>
    <w:p w14:paraId="69DD6FEA">
      <w:pPr>
        <w:pStyle w:val="81"/>
        <w:keepNext w:val="0"/>
        <w:keepLines w:val="0"/>
        <w:pageBreakBefore w:val="0"/>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本合同正本一式</w:t>
      </w:r>
      <w:r>
        <w:rPr>
          <w:rFonts w:hint="eastAsia" w:ascii="宋体" w:hAnsi="宋体" w:eastAsia="宋体" w:cs="宋体"/>
          <w:color w:val="auto"/>
          <w:highlight w:val="none"/>
          <w:lang w:val="en-US" w:eastAsia="zh-CN"/>
        </w:rPr>
        <w:t>陆</w:t>
      </w:r>
      <w:r>
        <w:rPr>
          <w:rFonts w:hint="eastAsia" w:ascii="宋体" w:hAnsi="宋体" w:eastAsia="宋体" w:cs="宋体"/>
          <w:color w:val="auto"/>
          <w:highlight w:val="none"/>
        </w:rPr>
        <w:t>份，具有同等法律效力，甲方、乙方各执</w:t>
      </w:r>
      <w:r>
        <w:rPr>
          <w:rFonts w:hint="eastAsia" w:ascii="宋体" w:hAnsi="宋体" w:eastAsia="宋体" w:cs="宋体"/>
          <w:color w:val="auto"/>
          <w:highlight w:val="none"/>
          <w:lang w:val="en-US" w:eastAsia="zh-CN"/>
        </w:rPr>
        <w:t>叁</w:t>
      </w:r>
      <w:r>
        <w:rPr>
          <w:rFonts w:hint="eastAsia" w:ascii="宋体" w:hAnsi="宋体" w:eastAsia="宋体" w:cs="宋体"/>
          <w:color w:val="auto"/>
          <w:highlight w:val="none"/>
        </w:rPr>
        <w:t>份。</w:t>
      </w:r>
    </w:p>
    <w:p w14:paraId="1434F2D6">
      <w:pPr>
        <w:keepNext w:val="0"/>
        <w:keepLines w:val="0"/>
        <w:pageBreakBefore w:val="0"/>
        <w:spacing w:line="500" w:lineRule="exact"/>
        <w:ind w:left="0"/>
        <w:rPr>
          <w:rFonts w:hint="eastAsia" w:ascii="宋体" w:hAnsi="宋体" w:eastAsia="宋体" w:cs="宋体"/>
          <w:color w:val="auto"/>
          <w:sz w:val="24"/>
          <w:szCs w:val="24"/>
          <w:highlight w:val="none"/>
        </w:rPr>
      </w:pPr>
    </w:p>
    <w:p w14:paraId="1B7FCAA7">
      <w:pPr>
        <w:keepNext w:val="0"/>
        <w:keepLines w:val="0"/>
        <w:pageBreakBefore w:val="0"/>
        <w:spacing w:line="500" w:lineRule="exact"/>
        <w:ind w:left="0"/>
        <w:rPr>
          <w:rFonts w:hint="eastAsia" w:ascii="宋体" w:hAnsi="宋体" w:eastAsia="宋体" w:cs="宋体"/>
          <w:color w:val="auto"/>
          <w:sz w:val="24"/>
          <w:szCs w:val="24"/>
          <w:highlight w:val="none"/>
        </w:rPr>
      </w:pPr>
    </w:p>
    <w:p w14:paraId="5AA0F91D">
      <w:pPr>
        <w:keepNext w:val="0"/>
        <w:keepLines w:val="0"/>
        <w:pageBreakBefore w:val="0"/>
        <w:spacing w:line="50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 </w:t>
      </w:r>
    </w:p>
    <w:p w14:paraId="012677B8">
      <w:pPr>
        <w:keepNext w:val="0"/>
        <w:keepLines w:val="0"/>
        <w:pageBreakBefore w:val="0"/>
        <w:spacing w:line="50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法定代表人或授权委托人（签字）：      法定代表人或授权委托人（签字）：</w:t>
      </w:r>
    </w:p>
    <w:p w14:paraId="1B49525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                             年  月  日</w:t>
      </w:r>
    </w:p>
    <w:p w14:paraId="75CC8064">
      <w:pPr>
        <w:ind w:firstLine="643"/>
        <w:rPr>
          <w:rFonts w:hint="eastAsia" w:ascii="宋体" w:hAnsi="宋体" w:eastAsia="宋体" w:cs="宋体"/>
          <w:b/>
          <w:color w:val="auto"/>
          <w:sz w:val="32"/>
          <w:szCs w:val="32"/>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b/>
          <w:color w:val="auto"/>
          <w:sz w:val="32"/>
          <w:szCs w:val="32"/>
          <w:highlight w:val="none"/>
        </w:rPr>
        <w:t>附件</w:t>
      </w:r>
      <w:r>
        <w:rPr>
          <w:rFonts w:hint="eastAsia" w:ascii="宋体" w:hAnsi="宋体" w:eastAsia="宋体" w:cs="宋体"/>
          <w:b/>
          <w:color w:val="auto"/>
          <w:sz w:val="32"/>
          <w:szCs w:val="32"/>
          <w:highlight w:val="none"/>
          <w:lang w:val="en-US" w:eastAsia="zh-CN"/>
        </w:rPr>
        <w:t>1</w:t>
      </w:r>
      <w:r>
        <w:rPr>
          <w:rFonts w:hint="eastAsia" w:ascii="宋体" w:hAnsi="宋体" w:eastAsia="宋体" w:cs="宋体"/>
          <w:b/>
          <w:color w:val="auto"/>
          <w:sz w:val="32"/>
          <w:szCs w:val="32"/>
          <w:highlight w:val="none"/>
        </w:rPr>
        <w:t>：物业服务质量考核表</w:t>
      </w:r>
    </w:p>
    <w:tbl>
      <w:tblPr>
        <w:tblStyle w:val="28"/>
        <w:tblW w:w="963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369"/>
        <w:gridCol w:w="6307"/>
        <w:gridCol w:w="1258"/>
      </w:tblGrid>
      <w:tr w14:paraId="4AEBD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9638" w:type="dxa"/>
            <w:gridSpan w:val="4"/>
            <w:noWrap w:val="0"/>
            <w:vAlign w:val="center"/>
          </w:tcPr>
          <w:p w14:paraId="0B2BB86A">
            <w:pPr>
              <w:keepNext w:val="0"/>
              <w:keepLines w:val="0"/>
              <w:pageBreakBefore w:val="0"/>
              <w:widowControl/>
              <w:spacing w:line="24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物业服务质量考核表</w:t>
            </w:r>
          </w:p>
          <w:p w14:paraId="63682DD3">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   月   日</w:t>
            </w:r>
          </w:p>
        </w:tc>
      </w:tr>
      <w:tr w14:paraId="7BF01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7974BA6E">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369" w:type="dxa"/>
            <w:noWrap w:val="0"/>
            <w:vAlign w:val="center"/>
          </w:tcPr>
          <w:p w14:paraId="059B7E56">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考核项目</w:t>
            </w:r>
          </w:p>
        </w:tc>
        <w:tc>
          <w:tcPr>
            <w:tcW w:w="6307" w:type="dxa"/>
            <w:noWrap w:val="0"/>
            <w:vAlign w:val="center"/>
          </w:tcPr>
          <w:p w14:paraId="537CB3CB">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  核  内  容</w:t>
            </w:r>
          </w:p>
        </w:tc>
        <w:tc>
          <w:tcPr>
            <w:tcW w:w="1258" w:type="dxa"/>
            <w:noWrap w:val="0"/>
            <w:vAlign w:val="center"/>
          </w:tcPr>
          <w:p w14:paraId="3AFB10C5">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扣分    情况</w:t>
            </w:r>
          </w:p>
        </w:tc>
      </w:tr>
      <w:tr w14:paraId="17694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3" w:hRule="atLeast"/>
        </w:trPr>
        <w:tc>
          <w:tcPr>
            <w:tcW w:w="704" w:type="dxa"/>
            <w:noWrap w:val="0"/>
            <w:vAlign w:val="center"/>
          </w:tcPr>
          <w:p w14:paraId="4CA74541">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369" w:type="dxa"/>
            <w:vMerge w:val="restart"/>
            <w:noWrap w:val="0"/>
            <w:vAlign w:val="center"/>
          </w:tcPr>
          <w:p w14:paraId="0D3A2C9C">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人员要求</w:t>
            </w:r>
          </w:p>
        </w:tc>
        <w:tc>
          <w:tcPr>
            <w:tcW w:w="6307" w:type="dxa"/>
            <w:noWrap w:val="0"/>
            <w:vAlign w:val="center"/>
          </w:tcPr>
          <w:p w14:paraId="1F2B7C08">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按招投标文件及合同规定的人数和要求配备到位，技术人员持证上岗，如无证上岗或所持证件与招标要求不一致的，每人每次扣10分</w:t>
            </w:r>
            <w:r>
              <w:rPr>
                <w:rFonts w:hint="eastAsia" w:ascii="宋体" w:hAnsi="宋体" w:eastAsia="宋体" w:cs="宋体"/>
                <w:color w:val="auto"/>
                <w:sz w:val="24"/>
                <w:szCs w:val="24"/>
                <w:highlight w:val="none"/>
                <w:lang w:eastAsia="zh-CN"/>
              </w:rPr>
              <w:t>。</w:t>
            </w:r>
          </w:p>
          <w:p w14:paraId="5F4DDC5E">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未经甲方管理人员同意而擅自调整、更换物业服务人员的，每人每次扣10分</w:t>
            </w:r>
            <w:r>
              <w:rPr>
                <w:rFonts w:hint="eastAsia" w:ascii="宋体" w:hAnsi="宋体" w:eastAsia="宋体" w:cs="宋体"/>
                <w:color w:val="auto"/>
                <w:sz w:val="24"/>
                <w:szCs w:val="24"/>
                <w:highlight w:val="none"/>
                <w:lang w:eastAsia="zh-CN"/>
              </w:rPr>
              <w:t>。</w:t>
            </w:r>
          </w:p>
        </w:tc>
        <w:tc>
          <w:tcPr>
            <w:tcW w:w="1258" w:type="dxa"/>
            <w:noWrap w:val="0"/>
            <w:vAlign w:val="center"/>
          </w:tcPr>
          <w:p w14:paraId="4AAB61CB">
            <w:pPr>
              <w:keepNext w:val="0"/>
              <w:keepLines w:val="0"/>
              <w:pageBreakBefore w:val="0"/>
              <w:widowControl/>
              <w:spacing w:line="240" w:lineRule="auto"/>
              <w:jc w:val="both"/>
              <w:rPr>
                <w:rFonts w:hint="eastAsia" w:ascii="宋体" w:hAnsi="宋体" w:eastAsia="宋体" w:cs="宋体"/>
                <w:b/>
                <w:bCs/>
                <w:color w:val="auto"/>
                <w:sz w:val="24"/>
                <w:szCs w:val="24"/>
                <w:highlight w:val="none"/>
              </w:rPr>
            </w:pPr>
          </w:p>
        </w:tc>
      </w:tr>
      <w:tr w14:paraId="67374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2649F99E">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369" w:type="dxa"/>
            <w:vMerge w:val="continue"/>
            <w:noWrap w:val="0"/>
            <w:vAlign w:val="center"/>
          </w:tcPr>
          <w:p w14:paraId="53629437">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p>
        </w:tc>
        <w:tc>
          <w:tcPr>
            <w:tcW w:w="6307" w:type="dxa"/>
            <w:noWrap w:val="0"/>
            <w:vAlign w:val="center"/>
          </w:tcPr>
          <w:p w14:paraId="70848670">
            <w:pPr>
              <w:keepNext w:val="0"/>
              <w:keepLines w:val="0"/>
              <w:pageBreakBefore w:val="0"/>
              <w:widowControl/>
              <w:spacing w:line="24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派驻的项目</w:t>
            </w:r>
            <w:r>
              <w:rPr>
                <w:rFonts w:hint="eastAsia" w:ascii="宋体" w:hAnsi="宋体" w:cs="宋体"/>
                <w:color w:val="auto"/>
                <w:sz w:val="24"/>
                <w:szCs w:val="24"/>
                <w:highlight w:val="none"/>
                <w:lang w:val="en-US" w:eastAsia="zh-CN"/>
              </w:rPr>
              <w:t>负责人</w:t>
            </w:r>
            <w:r>
              <w:rPr>
                <w:rFonts w:hint="eastAsia" w:ascii="宋体" w:hAnsi="宋体" w:eastAsia="宋体" w:cs="宋体"/>
                <w:color w:val="auto"/>
                <w:sz w:val="24"/>
                <w:szCs w:val="24"/>
                <w:highlight w:val="none"/>
              </w:rPr>
              <w:t>如在其他项目兼职的，每次扣10分。</w:t>
            </w:r>
          </w:p>
          <w:p w14:paraId="3A4BE23A">
            <w:pPr>
              <w:keepNext w:val="0"/>
              <w:keepLines w:val="0"/>
              <w:pageBreakBefore w:val="0"/>
              <w:widowControl/>
              <w:spacing w:line="24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val="en-US" w:eastAsia="zh-CN"/>
              </w:rPr>
              <w:t>负责人</w:t>
            </w:r>
            <w:r>
              <w:rPr>
                <w:rFonts w:hint="eastAsia" w:ascii="宋体" w:hAnsi="宋体" w:eastAsia="宋体" w:cs="宋体"/>
                <w:color w:val="auto"/>
                <w:sz w:val="24"/>
                <w:szCs w:val="24"/>
                <w:highlight w:val="none"/>
              </w:rPr>
              <w:t>未经甲方管理人员同意而擅自离岗的每次扣5分。</w:t>
            </w:r>
          </w:p>
        </w:tc>
        <w:tc>
          <w:tcPr>
            <w:tcW w:w="1258" w:type="dxa"/>
            <w:noWrap w:val="0"/>
            <w:vAlign w:val="center"/>
          </w:tcPr>
          <w:p w14:paraId="555FC676">
            <w:pPr>
              <w:keepNext w:val="0"/>
              <w:keepLines w:val="0"/>
              <w:pageBreakBefore w:val="0"/>
              <w:widowControl/>
              <w:spacing w:line="240" w:lineRule="auto"/>
              <w:jc w:val="both"/>
              <w:rPr>
                <w:rFonts w:hint="eastAsia" w:ascii="宋体" w:hAnsi="宋体" w:eastAsia="宋体" w:cs="宋体"/>
                <w:b/>
                <w:bCs/>
                <w:color w:val="auto"/>
                <w:sz w:val="24"/>
                <w:szCs w:val="24"/>
                <w:highlight w:val="none"/>
              </w:rPr>
            </w:pPr>
          </w:p>
        </w:tc>
      </w:tr>
      <w:tr w14:paraId="08F15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02344A7B">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1369" w:type="dxa"/>
            <w:vMerge w:val="continue"/>
            <w:noWrap w:val="0"/>
            <w:vAlign w:val="center"/>
          </w:tcPr>
          <w:p w14:paraId="38AA8EB8">
            <w:pPr>
              <w:keepNext w:val="0"/>
              <w:keepLines w:val="0"/>
              <w:pageBreakBefore w:val="0"/>
              <w:widowControl/>
              <w:spacing w:line="240" w:lineRule="auto"/>
              <w:jc w:val="center"/>
              <w:rPr>
                <w:rFonts w:hint="eastAsia" w:ascii="宋体" w:hAnsi="宋体" w:eastAsia="宋体" w:cs="宋体"/>
                <w:b/>
                <w:bCs/>
                <w:color w:val="auto"/>
                <w:sz w:val="24"/>
                <w:szCs w:val="24"/>
                <w:highlight w:val="none"/>
              </w:rPr>
            </w:pPr>
          </w:p>
        </w:tc>
        <w:tc>
          <w:tcPr>
            <w:tcW w:w="6307" w:type="dxa"/>
            <w:noWrap w:val="0"/>
            <w:vAlign w:val="center"/>
          </w:tcPr>
          <w:p w14:paraId="36AB95AB">
            <w:pPr>
              <w:keepNext w:val="0"/>
              <w:keepLines w:val="0"/>
              <w:pageBreakBefore w:val="0"/>
              <w:widowControl/>
              <w:spacing w:line="240" w:lineRule="auto"/>
              <w:jc w:val="both"/>
              <w:rPr>
                <w:rFonts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
              </w:rPr>
              <w:t>投标人</w:t>
            </w:r>
            <w:r>
              <w:rPr>
                <w:rFonts w:hint="eastAsia" w:ascii="宋体" w:hAnsi="宋体" w:eastAsia="宋体" w:cs="宋体"/>
                <w:bCs/>
                <w:color w:val="auto"/>
                <w:sz w:val="24"/>
                <w:szCs w:val="24"/>
                <w:highlight w:val="none"/>
                <w:lang w:bidi="ar"/>
              </w:rPr>
              <w:t>中标后须配合</w:t>
            </w:r>
            <w:r>
              <w:rPr>
                <w:rFonts w:hint="eastAsia" w:ascii="宋体" w:hAnsi="宋体" w:cs="宋体"/>
                <w:bCs/>
                <w:color w:val="auto"/>
                <w:sz w:val="24"/>
                <w:szCs w:val="24"/>
                <w:highlight w:val="none"/>
                <w:lang w:val="en-US" w:eastAsia="zh-CN" w:bidi="ar"/>
              </w:rPr>
              <w:t>采购人</w:t>
            </w:r>
            <w:r>
              <w:rPr>
                <w:rFonts w:hint="eastAsia" w:ascii="宋体" w:hAnsi="宋体" w:eastAsia="宋体" w:cs="宋体"/>
                <w:bCs/>
                <w:color w:val="auto"/>
                <w:sz w:val="24"/>
                <w:szCs w:val="24"/>
                <w:highlight w:val="none"/>
                <w:lang w:bidi="ar"/>
              </w:rPr>
              <w:t>将所有投入的</w:t>
            </w:r>
            <w:r>
              <w:rPr>
                <w:rFonts w:hint="eastAsia" w:ascii="宋体" w:hAnsi="宋体" w:cs="宋体"/>
                <w:bCs/>
                <w:color w:val="auto"/>
                <w:sz w:val="24"/>
                <w:szCs w:val="24"/>
                <w:highlight w:val="none"/>
                <w:lang w:val="en-US" w:eastAsia="zh-CN" w:bidi="ar"/>
              </w:rPr>
              <w:t>服务</w:t>
            </w:r>
            <w:r>
              <w:rPr>
                <w:rFonts w:hint="eastAsia" w:ascii="宋体" w:hAnsi="宋体" w:eastAsia="宋体" w:cs="宋体"/>
                <w:bCs/>
                <w:color w:val="auto"/>
                <w:sz w:val="24"/>
                <w:szCs w:val="24"/>
                <w:highlight w:val="none"/>
                <w:lang w:bidi="ar"/>
              </w:rPr>
              <w:t>人员录入人脸识别考勤系统，以便</w:t>
            </w:r>
            <w:r>
              <w:rPr>
                <w:rFonts w:hint="eastAsia" w:ascii="宋体" w:hAnsi="宋体" w:eastAsia="宋体" w:cs="宋体"/>
                <w:bCs/>
                <w:color w:val="auto"/>
                <w:sz w:val="24"/>
                <w:szCs w:val="24"/>
                <w:highlight w:val="none"/>
                <w:lang w:eastAsia="zh-CN" w:bidi="ar"/>
              </w:rPr>
              <w:t>采购人</w:t>
            </w:r>
            <w:r>
              <w:rPr>
                <w:rFonts w:hint="eastAsia" w:ascii="宋体" w:hAnsi="宋体" w:eastAsia="宋体" w:cs="宋体"/>
                <w:bCs/>
                <w:color w:val="auto"/>
                <w:sz w:val="24"/>
                <w:szCs w:val="24"/>
                <w:highlight w:val="none"/>
                <w:lang w:bidi="ar"/>
              </w:rPr>
              <w:t>对人员实行考勤考核，每有一人迟到早退发现一次扣1分</w:t>
            </w:r>
            <w:r>
              <w:rPr>
                <w:rFonts w:hint="eastAsia" w:ascii="宋体" w:hAnsi="宋体" w:eastAsia="宋体" w:cs="宋体"/>
                <w:bCs/>
                <w:color w:val="auto"/>
                <w:sz w:val="24"/>
                <w:szCs w:val="24"/>
                <w:highlight w:val="none"/>
                <w:lang w:eastAsia="zh-CN" w:bidi="ar"/>
              </w:rPr>
              <w:t>。</w:t>
            </w:r>
          </w:p>
        </w:tc>
        <w:tc>
          <w:tcPr>
            <w:tcW w:w="1258" w:type="dxa"/>
            <w:noWrap w:val="0"/>
            <w:vAlign w:val="center"/>
          </w:tcPr>
          <w:p w14:paraId="4CC2C449">
            <w:pPr>
              <w:keepNext w:val="0"/>
              <w:keepLines w:val="0"/>
              <w:pageBreakBefore w:val="0"/>
              <w:widowControl/>
              <w:spacing w:line="240" w:lineRule="auto"/>
              <w:jc w:val="both"/>
              <w:rPr>
                <w:rFonts w:hint="eastAsia" w:ascii="宋体" w:hAnsi="宋体" w:eastAsia="宋体" w:cs="宋体"/>
                <w:b/>
                <w:bCs/>
                <w:color w:val="auto"/>
                <w:sz w:val="24"/>
                <w:szCs w:val="24"/>
                <w:highlight w:val="none"/>
              </w:rPr>
            </w:pPr>
          </w:p>
        </w:tc>
      </w:tr>
      <w:tr w14:paraId="25549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7AE71644">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p>
        </w:tc>
        <w:tc>
          <w:tcPr>
            <w:tcW w:w="1369" w:type="dxa"/>
            <w:vMerge w:val="restart"/>
            <w:noWrap w:val="0"/>
            <w:vAlign w:val="center"/>
          </w:tcPr>
          <w:p w14:paraId="43DE16B4">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管理制度及台账要求</w:t>
            </w:r>
          </w:p>
        </w:tc>
        <w:tc>
          <w:tcPr>
            <w:tcW w:w="6307" w:type="dxa"/>
            <w:noWrap w:val="0"/>
            <w:vAlign w:val="center"/>
          </w:tcPr>
          <w:p w14:paraId="0ADADCC1">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经检查物业管理制度不健全的，每次扣2分</w:t>
            </w:r>
            <w:r>
              <w:rPr>
                <w:rFonts w:hint="eastAsia" w:ascii="宋体" w:hAnsi="宋体" w:eastAsia="宋体" w:cs="宋体"/>
                <w:color w:val="auto"/>
                <w:sz w:val="24"/>
                <w:szCs w:val="24"/>
                <w:highlight w:val="none"/>
                <w:lang w:eastAsia="zh-CN"/>
              </w:rPr>
              <w:t>。</w:t>
            </w:r>
          </w:p>
        </w:tc>
        <w:tc>
          <w:tcPr>
            <w:tcW w:w="1258" w:type="dxa"/>
            <w:noWrap w:val="0"/>
            <w:vAlign w:val="center"/>
          </w:tcPr>
          <w:p w14:paraId="7D788C25">
            <w:pPr>
              <w:keepNext w:val="0"/>
              <w:keepLines w:val="0"/>
              <w:pageBreakBefore w:val="0"/>
              <w:widowControl/>
              <w:spacing w:line="240" w:lineRule="auto"/>
              <w:jc w:val="both"/>
              <w:rPr>
                <w:rFonts w:hint="eastAsia" w:ascii="宋体" w:hAnsi="宋体" w:eastAsia="宋体" w:cs="宋体"/>
                <w:b/>
                <w:bCs/>
                <w:color w:val="auto"/>
                <w:sz w:val="24"/>
                <w:szCs w:val="24"/>
                <w:highlight w:val="none"/>
              </w:rPr>
            </w:pPr>
          </w:p>
        </w:tc>
      </w:tr>
      <w:tr w14:paraId="1FAC8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5F6EFDD3">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p>
        </w:tc>
        <w:tc>
          <w:tcPr>
            <w:tcW w:w="1369" w:type="dxa"/>
            <w:vMerge w:val="continue"/>
            <w:noWrap w:val="0"/>
            <w:vAlign w:val="center"/>
          </w:tcPr>
          <w:p w14:paraId="6D043570">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562F0375">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经检查发现物业管理台账不完善的，每次扣2分</w:t>
            </w:r>
            <w:r>
              <w:rPr>
                <w:rFonts w:hint="eastAsia" w:ascii="宋体" w:hAnsi="宋体" w:eastAsia="宋体" w:cs="宋体"/>
                <w:color w:val="auto"/>
                <w:sz w:val="24"/>
                <w:szCs w:val="24"/>
                <w:highlight w:val="none"/>
                <w:lang w:eastAsia="zh-CN"/>
              </w:rPr>
              <w:t>。</w:t>
            </w:r>
          </w:p>
        </w:tc>
        <w:tc>
          <w:tcPr>
            <w:tcW w:w="1258" w:type="dxa"/>
            <w:noWrap w:val="0"/>
            <w:vAlign w:val="center"/>
          </w:tcPr>
          <w:p w14:paraId="37FDCD8F">
            <w:pPr>
              <w:keepNext w:val="0"/>
              <w:keepLines w:val="0"/>
              <w:pageBreakBefore w:val="0"/>
              <w:widowControl/>
              <w:spacing w:line="240" w:lineRule="auto"/>
              <w:jc w:val="both"/>
              <w:rPr>
                <w:rFonts w:hint="eastAsia" w:ascii="宋体" w:hAnsi="宋体" w:eastAsia="宋体" w:cs="宋体"/>
                <w:b/>
                <w:bCs/>
                <w:color w:val="auto"/>
                <w:sz w:val="24"/>
                <w:szCs w:val="24"/>
                <w:highlight w:val="none"/>
              </w:rPr>
            </w:pPr>
          </w:p>
        </w:tc>
      </w:tr>
      <w:tr w14:paraId="31D58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2450421D">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p>
        </w:tc>
        <w:tc>
          <w:tcPr>
            <w:tcW w:w="1369" w:type="dxa"/>
            <w:vMerge w:val="restart"/>
            <w:noWrap w:val="0"/>
            <w:vAlign w:val="center"/>
          </w:tcPr>
          <w:p w14:paraId="2A76B773">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岗位形象</w:t>
            </w:r>
          </w:p>
        </w:tc>
        <w:tc>
          <w:tcPr>
            <w:tcW w:w="6307" w:type="dxa"/>
            <w:noWrap w:val="0"/>
            <w:vAlign w:val="center"/>
          </w:tcPr>
          <w:p w14:paraId="5679498D">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缺岗的，每人每次扣2分</w:t>
            </w:r>
            <w:r>
              <w:rPr>
                <w:rFonts w:hint="eastAsia" w:ascii="宋体" w:hAnsi="宋体" w:eastAsia="宋体" w:cs="宋体"/>
                <w:color w:val="auto"/>
                <w:sz w:val="24"/>
                <w:szCs w:val="24"/>
                <w:highlight w:val="none"/>
                <w:lang w:eastAsia="zh-CN"/>
              </w:rPr>
              <w:t>。</w:t>
            </w:r>
          </w:p>
        </w:tc>
        <w:tc>
          <w:tcPr>
            <w:tcW w:w="1258" w:type="dxa"/>
            <w:noWrap w:val="0"/>
            <w:vAlign w:val="center"/>
          </w:tcPr>
          <w:p w14:paraId="62DBACF6">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5393D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704" w:type="dxa"/>
            <w:noWrap w:val="0"/>
            <w:vAlign w:val="center"/>
          </w:tcPr>
          <w:p w14:paraId="4DE81B54">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p>
        </w:tc>
        <w:tc>
          <w:tcPr>
            <w:tcW w:w="1369" w:type="dxa"/>
            <w:vMerge w:val="continue"/>
            <w:noWrap w:val="0"/>
            <w:vAlign w:val="center"/>
          </w:tcPr>
          <w:p w14:paraId="67C0D5BE">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62CAAF13">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着装不统一不整洁、形象邋遢的，每人每次扣1分</w:t>
            </w:r>
            <w:r>
              <w:rPr>
                <w:rFonts w:hint="eastAsia" w:ascii="宋体" w:hAnsi="宋体" w:eastAsia="宋体" w:cs="宋体"/>
                <w:color w:val="auto"/>
                <w:sz w:val="24"/>
                <w:szCs w:val="24"/>
                <w:highlight w:val="none"/>
                <w:lang w:eastAsia="zh-CN"/>
              </w:rPr>
              <w:t>。</w:t>
            </w:r>
          </w:p>
        </w:tc>
        <w:tc>
          <w:tcPr>
            <w:tcW w:w="1258" w:type="dxa"/>
            <w:noWrap w:val="0"/>
            <w:vAlign w:val="center"/>
          </w:tcPr>
          <w:p w14:paraId="7E398615">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08554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5" w:hRule="atLeast"/>
        </w:trPr>
        <w:tc>
          <w:tcPr>
            <w:tcW w:w="704" w:type="dxa"/>
            <w:noWrap w:val="0"/>
            <w:vAlign w:val="center"/>
          </w:tcPr>
          <w:p w14:paraId="51C5D8BF">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w:t>
            </w:r>
          </w:p>
        </w:tc>
        <w:tc>
          <w:tcPr>
            <w:tcW w:w="1369" w:type="dxa"/>
            <w:vMerge w:val="continue"/>
            <w:noWrap w:val="0"/>
            <w:vAlign w:val="center"/>
          </w:tcPr>
          <w:p w14:paraId="4AC7A497">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036935B5">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工作期间吸烟、吐痰、闲聊、长时间使用电子设备的，每人每次扣1分，重点部位区域吸烟影响安全的，每人每次扣2-10分</w:t>
            </w:r>
            <w:r>
              <w:rPr>
                <w:rFonts w:hint="eastAsia" w:ascii="宋体" w:hAnsi="宋体" w:eastAsia="宋体" w:cs="宋体"/>
                <w:color w:val="auto"/>
                <w:sz w:val="24"/>
                <w:szCs w:val="24"/>
                <w:highlight w:val="none"/>
                <w:lang w:eastAsia="zh-CN"/>
              </w:rPr>
              <w:t>。</w:t>
            </w:r>
          </w:p>
        </w:tc>
        <w:tc>
          <w:tcPr>
            <w:tcW w:w="1258" w:type="dxa"/>
            <w:noWrap w:val="0"/>
            <w:vAlign w:val="center"/>
          </w:tcPr>
          <w:p w14:paraId="0E70AF30">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00B0A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704" w:type="dxa"/>
            <w:noWrap w:val="0"/>
            <w:vAlign w:val="center"/>
          </w:tcPr>
          <w:p w14:paraId="24BEB67F">
            <w:pPr>
              <w:keepNext w:val="0"/>
              <w:keepLines w:val="0"/>
              <w:pageBreakBefore w:val="0"/>
              <w:widowControl/>
              <w:spacing w:line="24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w:t>
            </w:r>
          </w:p>
        </w:tc>
        <w:tc>
          <w:tcPr>
            <w:tcW w:w="1369" w:type="dxa"/>
            <w:vMerge w:val="restart"/>
            <w:noWrap w:val="0"/>
            <w:vAlign w:val="center"/>
          </w:tcPr>
          <w:p w14:paraId="55D42118">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服务态度</w:t>
            </w:r>
          </w:p>
        </w:tc>
        <w:tc>
          <w:tcPr>
            <w:tcW w:w="6307" w:type="dxa"/>
            <w:noWrap w:val="0"/>
            <w:vAlign w:val="center"/>
          </w:tcPr>
          <w:p w14:paraId="231C3050">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迟到早退的，每人每次扣1分</w:t>
            </w:r>
            <w:r>
              <w:rPr>
                <w:rFonts w:hint="eastAsia" w:ascii="宋体" w:hAnsi="宋体" w:eastAsia="宋体" w:cs="宋体"/>
                <w:color w:val="auto"/>
                <w:sz w:val="24"/>
                <w:szCs w:val="24"/>
                <w:highlight w:val="none"/>
                <w:lang w:eastAsia="zh-CN"/>
              </w:rPr>
              <w:t>。</w:t>
            </w:r>
          </w:p>
        </w:tc>
        <w:tc>
          <w:tcPr>
            <w:tcW w:w="1258" w:type="dxa"/>
            <w:noWrap w:val="0"/>
            <w:vAlign w:val="center"/>
          </w:tcPr>
          <w:p w14:paraId="5F5C81BA">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7503F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704" w:type="dxa"/>
            <w:noWrap w:val="0"/>
            <w:vAlign w:val="center"/>
          </w:tcPr>
          <w:p w14:paraId="7AC806D3">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369" w:type="dxa"/>
            <w:vMerge w:val="continue"/>
            <w:noWrap w:val="0"/>
            <w:vAlign w:val="center"/>
          </w:tcPr>
          <w:p w14:paraId="029D1589">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5A3425D9">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说话不文明的，每人每次扣1分</w:t>
            </w:r>
            <w:r>
              <w:rPr>
                <w:rFonts w:hint="eastAsia" w:ascii="宋体" w:hAnsi="宋体" w:eastAsia="宋体" w:cs="宋体"/>
                <w:color w:val="auto"/>
                <w:sz w:val="24"/>
                <w:szCs w:val="24"/>
                <w:highlight w:val="none"/>
                <w:lang w:eastAsia="zh-CN"/>
              </w:rPr>
              <w:t>。</w:t>
            </w:r>
          </w:p>
        </w:tc>
        <w:tc>
          <w:tcPr>
            <w:tcW w:w="1258" w:type="dxa"/>
            <w:noWrap w:val="0"/>
            <w:vAlign w:val="center"/>
          </w:tcPr>
          <w:p w14:paraId="20F83091">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253F1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4" w:type="dxa"/>
            <w:noWrap w:val="0"/>
            <w:vAlign w:val="center"/>
          </w:tcPr>
          <w:p w14:paraId="2FFCE5FB">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369" w:type="dxa"/>
            <w:vMerge w:val="continue"/>
            <w:noWrap w:val="0"/>
            <w:vAlign w:val="center"/>
          </w:tcPr>
          <w:p w14:paraId="636A112A">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6FF1392D">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发生吵架、对骂或打架斗殴的，每人每次扣3-20分，并追究相应责任</w:t>
            </w:r>
            <w:r>
              <w:rPr>
                <w:rFonts w:hint="eastAsia" w:ascii="宋体" w:hAnsi="宋体" w:eastAsia="宋体" w:cs="宋体"/>
                <w:color w:val="auto"/>
                <w:sz w:val="24"/>
                <w:szCs w:val="24"/>
                <w:highlight w:val="none"/>
                <w:lang w:eastAsia="zh-CN"/>
              </w:rPr>
              <w:t>。</w:t>
            </w:r>
          </w:p>
        </w:tc>
        <w:tc>
          <w:tcPr>
            <w:tcW w:w="1258" w:type="dxa"/>
            <w:noWrap w:val="0"/>
            <w:vAlign w:val="center"/>
          </w:tcPr>
          <w:p w14:paraId="3C60E030">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7FDB2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5" w:hRule="atLeast"/>
        </w:trPr>
        <w:tc>
          <w:tcPr>
            <w:tcW w:w="704" w:type="dxa"/>
            <w:noWrap w:val="0"/>
            <w:vAlign w:val="center"/>
          </w:tcPr>
          <w:p w14:paraId="39AE611D">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369" w:type="dxa"/>
            <w:vMerge w:val="continue"/>
            <w:noWrap w:val="0"/>
            <w:vAlign w:val="center"/>
          </w:tcPr>
          <w:p w14:paraId="4C0A2BF0">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4F7A2C09">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未及时履职的，每人每次扣1分；造成较大影响或后果的，每人每次扣2-10分，并追究相应责任</w:t>
            </w:r>
            <w:r>
              <w:rPr>
                <w:rFonts w:hint="eastAsia" w:ascii="宋体" w:hAnsi="宋体" w:eastAsia="宋体" w:cs="宋体"/>
                <w:color w:val="auto"/>
                <w:sz w:val="24"/>
                <w:szCs w:val="24"/>
                <w:highlight w:val="none"/>
                <w:lang w:eastAsia="zh-CN"/>
              </w:rPr>
              <w:t>。</w:t>
            </w:r>
          </w:p>
        </w:tc>
        <w:tc>
          <w:tcPr>
            <w:tcW w:w="1258" w:type="dxa"/>
            <w:noWrap w:val="0"/>
            <w:vAlign w:val="center"/>
          </w:tcPr>
          <w:p w14:paraId="2763B96B">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0E754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704" w:type="dxa"/>
            <w:noWrap w:val="0"/>
            <w:vAlign w:val="center"/>
          </w:tcPr>
          <w:p w14:paraId="72E82E5B">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369" w:type="dxa"/>
            <w:vMerge w:val="restart"/>
            <w:noWrap w:val="0"/>
            <w:vAlign w:val="center"/>
          </w:tcPr>
          <w:p w14:paraId="3957D968">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岗位履职</w:t>
            </w:r>
          </w:p>
        </w:tc>
        <w:tc>
          <w:tcPr>
            <w:tcW w:w="6307" w:type="dxa"/>
            <w:noWrap w:val="0"/>
            <w:vAlign w:val="center"/>
          </w:tcPr>
          <w:p w14:paraId="2A24D8CF">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项目经理不履行职责或未达到本项目服务要求的，每次扣5分</w:t>
            </w:r>
            <w:r>
              <w:rPr>
                <w:rFonts w:hint="eastAsia" w:ascii="宋体" w:hAnsi="宋体" w:eastAsia="宋体" w:cs="宋体"/>
                <w:color w:val="auto"/>
                <w:sz w:val="24"/>
                <w:szCs w:val="24"/>
                <w:highlight w:val="none"/>
                <w:lang w:eastAsia="zh-CN"/>
              </w:rPr>
              <w:t>。</w:t>
            </w:r>
          </w:p>
        </w:tc>
        <w:tc>
          <w:tcPr>
            <w:tcW w:w="1258" w:type="dxa"/>
            <w:noWrap w:val="0"/>
            <w:vAlign w:val="center"/>
          </w:tcPr>
          <w:p w14:paraId="5BE53BFB">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50061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704" w:type="dxa"/>
            <w:noWrap w:val="0"/>
            <w:vAlign w:val="center"/>
          </w:tcPr>
          <w:p w14:paraId="0A46FA4E">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369" w:type="dxa"/>
            <w:vMerge w:val="continue"/>
            <w:noWrap w:val="0"/>
            <w:vAlign w:val="center"/>
          </w:tcPr>
          <w:p w14:paraId="27FE1879">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3155A16B">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保洁员未按照要求打扫卫生确保场所、设备设施等整洁的，每人每次扣1分</w:t>
            </w:r>
            <w:r>
              <w:rPr>
                <w:rFonts w:hint="eastAsia" w:ascii="宋体" w:hAnsi="宋体" w:eastAsia="宋体" w:cs="宋体"/>
                <w:color w:val="auto"/>
                <w:sz w:val="24"/>
                <w:szCs w:val="24"/>
                <w:highlight w:val="none"/>
                <w:lang w:eastAsia="zh-CN"/>
              </w:rPr>
              <w:t>。</w:t>
            </w:r>
          </w:p>
        </w:tc>
        <w:tc>
          <w:tcPr>
            <w:tcW w:w="1258" w:type="dxa"/>
            <w:noWrap w:val="0"/>
            <w:vAlign w:val="center"/>
          </w:tcPr>
          <w:p w14:paraId="2395C52E">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387B8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704" w:type="dxa"/>
            <w:noWrap w:val="0"/>
            <w:vAlign w:val="center"/>
          </w:tcPr>
          <w:p w14:paraId="40FF4F54">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369" w:type="dxa"/>
            <w:vMerge w:val="continue"/>
            <w:noWrap w:val="0"/>
            <w:vAlign w:val="center"/>
          </w:tcPr>
          <w:p w14:paraId="16A9016A">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656B8B12">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保安员兼消防值班员</w:t>
            </w:r>
            <w:r>
              <w:rPr>
                <w:rFonts w:hint="eastAsia" w:ascii="宋体" w:hAnsi="宋体" w:eastAsia="宋体" w:cs="宋体"/>
                <w:color w:val="auto"/>
                <w:sz w:val="24"/>
                <w:szCs w:val="24"/>
                <w:highlight w:val="none"/>
              </w:rPr>
              <w:t>未按照要求履行职责的，每人每次扣1分；因工作失误造成较大影响或后果的，每人每次扣2-10分，并追究相应责任</w:t>
            </w:r>
            <w:r>
              <w:rPr>
                <w:rFonts w:hint="eastAsia" w:ascii="宋体" w:hAnsi="宋体" w:eastAsia="宋体" w:cs="宋体"/>
                <w:color w:val="auto"/>
                <w:sz w:val="24"/>
                <w:szCs w:val="24"/>
                <w:highlight w:val="none"/>
                <w:lang w:eastAsia="zh-CN"/>
              </w:rPr>
              <w:t>。</w:t>
            </w:r>
          </w:p>
        </w:tc>
        <w:tc>
          <w:tcPr>
            <w:tcW w:w="1258" w:type="dxa"/>
            <w:noWrap w:val="0"/>
            <w:vAlign w:val="center"/>
          </w:tcPr>
          <w:p w14:paraId="0075C416">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74F27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704" w:type="dxa"/>
            <w:noWrap w:val="0"/>
            <w:vAlign w:val="center"/>
          </w:tcPr>
          <w:p w14:paraId="28B089F6">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1369" w:type="dxa"/>
            <w:vMerge w:val="continue"/>
            <w:noWrap w:val="0"/>
            <w:vAlign w:val="center"/>
          </w:tcPr>
          <w:p w14:paraId="47FDEC8B">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45C532CB">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导办及前台</w:t>
            </w:r>
            <w:r>
              <w:rPr>
                <w:rFonts w:hint="eastAsia" w:ascii="宋体" w:hAnsi="宋体" w:eastAsia="宋体" w:cs="宋体"/>
                <w:color w:val="auto"/>
                <w:sz w:val="24"/>
                <w:szCs w:val="24"/>
                <w:highlight w:val="none"/>
                <w:lang w:val="en-US" w:eastAsia="zh-CN"/>
              </w:rPr>
              <w:t>服务人</w:t>
            </w:r>
            <w:r>
              <w:rPr>
                <w:rFonts w:hint="eastAsia" w:ascii="宋体" w:hAnsi="宋体" w:eastAsia="宋体" w:cs="宋体"/>
                <w:color w:val="auto"/>
                <w:sz w:val="24"/>
                <w:szCs w:val="24"/>
                <w:highlight w:val="none"/>
              </w:rPr>
              <w:t>员未按照要求履行职责的，每人每次扣2-3分；因工作失误造成较大影响或后果的，每人每次扣3-10分，并追究相应责任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val="en-US" w:eastAsia="zh-CN"/>
              </w:rPr>
              <w:t>违规办理业务或者存在一机两用等违规行为的，</w:t>
            </w:r>
            <w:r>
              <w:rPr>
                <w:rFonts w:hint="eastAsia" w:ascii="宋体" w:hAnsi="宋体" w:eastAsia="宋体" w:cs="宋体"/>
                <w:color w:val="auto"/>
                <w:sz w:val="24"/>
                <w:szCs w:val="24"/>
                <w:highlight w:val="none"/>
              </w:rPr>
              <w:t>每次扣</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0分，并追究相应责任</w:t>
            </w:r>
            <w:r>
              <w:rPr>
                <w:rFonts w:hint="eastAsia" w:ascii="宋体" w:hAnsi="宋体" w:eastAsia="宋体" w:cs="宋体"/>
                <w:color w:val="auto"/>
                <w:sz w:val="24"/>
                <w:szCs w:val="24"/>
                <w:highlight w:val="none"/>
                <w:lang w:eastAsia="zh-CN"/>
              </w:rPr>
              <w:t>。</w:t>
            </w:r>
          </w:p>
        </w:tc>
        <w:tc>
          <w:tcPr>
            <w:tcW w:w="1258" w:type="dxa"/>
            <w:noWrap w:val="0"/>
            <w:vAlign w:val="center"/>
          </w:tcPr>
          <w:p w14:paraId="55BD1D33">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075B0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704" w:type="dxa"/>
            <w:noWrap w:val="0"/>
            <w:vAlign w:val="center"/>
          </w:tcPr>
          <w:p w14:paraId="6D68ECB2">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1369" w:type="dxa"/>
            <w:vMerge w:val="continue"/>
            <w:noWrap w:val="0"/>
            <w:vAlign w:val="center"/>
          </w:tcPr>
          <w:p w14:paraId="66C9DF42">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2193E063">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工程人员未按照要求履行职责的，每人每次扣1分；造成较大影响或后果的，每人每次扣3-20分</w:t>
            </w:r>
            <w:r>
              <w:rPr>
                <w:rFonts w:hint="eastAsia" w:ascii="宋体" w:hAnsi="宋体" w:eastAsia="宋体" w:cs="宋体"/>
                <w:color w:val="auto"/>
                <w:sz w:val="24"/>
                <w:szCs w:val="24"/>
                <w:highlight w:val="none"/>
                <w:lang w:eastAsia="zh-CN"/>
              </w:rPr>
              <w:t>。</w:t>
            </w:r>
          </w:p>
        </w:tc>
        <w:tc>
          <w:tcPr>
            <w:tcW w:w="1258" w:type="dxa"/>
            <w:noWrap w:val="0"/>
            <w:vAlign w:val="center"/>
          </w:tcPr>
          <w:p w14:paraId="6C417D0D">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35F84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704" w:type="dxa"/>
            <w:noWrap w:val="0"/>
            <w:vAlign w:val="center"/>
          </w:tcPr>
          <w:p w14:paraId="10DC4F11">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1369" w:type="dxa"/>
            <w:vMerge w:val="continue"/>
            <w:noWrap w:val="0"/>
            <w:vAlign w:val="center"/>
          </w:tcPr>
          <w:p w14:paraId="74C9233D">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652F68BD">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凡被甲方领导批评或被甲方工作人员投诉属实的，每人每次扣1-5分</w:t>
            </w:r>
            <w:r>
              <w:rPr>
                <w:rFonts w:hint="eastAsia" w:ascii="宋体" w:hAnsi="宋体" w:eastAsia="宋体" w:cs="宋体"/>
                <w:color w:val="auto"/>
                <w:sz w:val="24"/>
                <w:szCs w:val="24"/>
                <w:highlight w:val="none"/>
                <w:lang w:eastAsia="zh-CN"/>
              </w:rPr>
              <w:t>。</w:t>
            </w:r>
          </w:p>
        </w:tc>
        <w:tc>
          <w:tcPr>
            <w:tcW w:w="1258" w:type="dxa"/>
            <w:noWrap w:val="0"/>
            <w:vAlign w:val="center"/>
          </w:tcPr>
          <w:p w14:paraId="574216C4">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0B6E9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04" w:type="dxa"/>
            <w:noWrap w:val="0"/>
            <w:vAlign w:val="center"/>
          </w:tcPr>
          <w:p w14:paraId="34A9DAA6">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369" w:type="dxa"/>
            <w:vMerge w:val="continue"/>
            <w:noWrap w:val="0"/>
            <w:vAlign w:val="center"/>
          </w:tcPr>
          <w:p w14:paraId="6B2F7CB0">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6855960C">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未及时有效处置大门口突发事端，造成负面影响的，每次扣10-20分</w:t>
            </w:r>
            <w:r>
              <w:rPr>
                <w:rFonts w:hint="eastAsia" w:ascii="宋体" w:hAnsi="宋体" w:eastAsia="宋体" w:cs="宋体"/>
                <w:color w:val="auto"/>
                <w:sz w:val="24"/>
                <w:szCs w:val="24"/>
                <w:highlight w:val="none"/>
                <w:lang w:eastAsia="zh-CN"/>
              </w:rPr>
              <w:t>。</w:t>
            </w:r>
          </w:p>
        </w:tc>
        <w:tc>
          <w:tcPr>
            <w:tcW w:w="1258" w:type="dxa"/>
            <w:noWrap w:val="0"/>
            <w:vAlign w:val="center"/>
          </w:tcPr>
          <w:p w14:paraId="49CE9E1B">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77A7B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704" w:type="dxa"/>
            <w:noWrap w:val="0"/>
            <w:vAlign w:val="center"/>
          </w:tcPr>
          <w:p w14:paraId="67625CEE">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369" w:type="dxa"/>
            <w:vMerge w:val="continue"/>
            <w:noWrap w:val="0"/>
            <w:vAlign w:val="center"/>
          </w:tcPr>
          <w:p w14:paraId="67FCA7F4">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72BD6DC7">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未及时关闭水电气等设备的，每次扣1-5分</w:t>
            </w:r>
            <w:r>
              <w:rPr>
                <w:rFonts w:hint="eastAsia" w:ascii="宋体" w:hAnsi="宋体" w:eastAsia="宋体" w:cs="宋体"/>
                <w:color w:val="auto"/>
                <w:sz w:val="24"/>
                <w:szCs w:val="24"/>
                <w:highlight w:val="none"/>
                <w:lang w:eastAsia="zh-CN"/>
              </w:rPr>
              <w:t>。</w:t>
            </w:r>
          </w:p>
        </w:tc>
        <w:tc>
          <w:tcPr>
            <w:tcW w:w="1258" w:type="dxa"/>
            <w:noWrap w:val="0"/>
            <w:vAlign w:val="center"/>
          </w:tcPr>
          <w:p w14:paraId="6FD29B90">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5DB1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04" w:type="dxa"/>
            <w:noWrap w:val="0"/>
            <w:vAlign w:val="center"/>
          </w:tcPr>
          <w:p w14:paraId="4F52D301">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369" w:type="dxa"/>
            <w:vMerge w:val="continue"/>
            <w:noWrap w:val="0"/>
            <w:vAlign w:val="center"/>
          </w:tcPr>
          <w:p w14:paraId="32FCF771">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4D011AF2">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应该发现的安全隐患而未能发现，或已经出现安全隐患但未能及时有效处置的，每次扣3分</w:t>
            </w:r>
            <w:r>
              <w:rPr>
                <w:rFonts w:hint="eastAsia" w:ascii="宋体" w:hAnsi="宋体" w:eastAsia="宋体" w:cs="宋体"/>
                <w:color w:val="auto"/>
                <w:sz w:val="24"/>
                <w:szCs w:val="24"/>
                <w:highlight w:val="none"/>
                <w:lang w:eastAsia="zh-CN"/>
              </w:rPr>
              <w:t>。</w:t>
            </w:r>
          </w:p>
        </w:tc>
        <w:tc>
          <w:tcPr>
            <w:tcW w:w="1258" w:type="dxa"/>
            <w:noWrap w:val="0"/>
            <w:vAlign w:val="center"/>
          </w:tcPr>
          <w:p w14:paraId="42B250D0">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71AB6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trPr>
        <w:tc>
          <w:tcPr>
            <w:tcW w:w="704" w:type="dxa"/>
            <w:noWrap w:val="0"/>
            <w:vAlign w:val="center"/>
          </w:tcPr>
          <w:p w14:paraId="196F665F">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369" w:type="dxa"/>
            <w:vMerge w:val="restart"/>
            <w:noWrap w:val="0"/>
            <w:vAlign w:val="center"/>
          </w:tcPr>
          <w:p w14:paraId="7F423E86">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岗位履职</w:t>
            </w:r>
          </w:p>
        </w:tc>
        <w:tc>
          <w:tcPr>
            <w:tcW w:w="6307" w:type="dxa"/>
            <w:noWrap w:val="0"/>
            <w:vAlign w:val="center"/>
          </w:tcPr>
          <w:p w14:paraId="20D4B5C0">
            <w:pPr>
              <w:keepNext w:val="0"/>
              <w:keepLines w:val="0"/>
              <w:pageBreakBefore w:val="0"/>
              <w:widowControl/>
              <w:spacing w:line="24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故意损害甲方财物的，每次扣5分，并追究相应责任</w:t>
            </w:r>
            <w:r>
              <w:rPr>
                <w:rFonts w:hint="eastAsia" w:ascii="宋体" w:hAnsi="宋体" w:eastAsia="宋体" w:cs="宋体"/>
                <w:color w:val="auto"/>
                <w:sz w:val="24"/>
                <w:szCs w:val="24"/>
                <w:highlight w:val="none"/>
                <w:lang w:eastAsia="zh-CN"/>
              </w:rPr>
              <w:t>。</w:t>
            </w:r>
          </w:p>
        </w:tc>
        <w:tc>
          <w:tcPr>
            <w:tcW w:w="1258" w:type="dxa"/>
            <w:noWrap w:val="0"/>
            <w:vAlign w:val="center"/>
          </w:tcPr>
          <w:p w14:paraId="304D21B7">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4A175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trPr>
        <w:tc>
          <w:tcPr>
            <w:tcW w:w="704" w:type="dxa"/>
            <w:noWrap w:val="0"/>
            <w:vAlign w:val="center"/>
          </w:tcPr>
          <w:p w14:paraId="05C1BDE2">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369" w:type="dxa"/>
            <w:vMerge w:val="continue"/>
            <w:noWrap w:val="0"/>
            <w:vAlign w:val="center"/>
          </w:tcPr>
          <w:p w14:paraId="0BCE3980">
            <w:pPr>
              <w:keepNext w:val="0"/>
              <w:keepLines w:val="0"/>
              <w:pageBreakBefore w:val="0"/>
              <w:widowControl/>
              <w:spacing w:line="240" w:lineRule="auto"/>
              <w:jc w:val="center"/>
              <w:rPr>
                <w:rFonts w:hint="eastAsia" w:ascii="宋体" w:hAnsi="宋体" w:eastAsia="宋体" w:cs="宋体"/>
                <w:color w:val="auto"/>
                <w:sz w:val="24"/>
                <w:szCs w:val="24"/>
                <w:highlight w:val="none"/>
              </w:rPr>
            </w:pPr>
          </w:p>
        </w:tc>
        <w:tc>
          <w:tcPr>
            <w:tcW w:w="6307" w:type="dxa"/>
            <w:noWrap w:val="0"/>
            <w:vAlign w:val="center"/>
          </w:tcPr>
          <w:p w14:paraId="51392BC7">
            <w:pPr>
              <w:keepNext w:val="0"/>
              <w:keepLines w:val="0"/>
              <w:pageBreakBefore w:val="0"/>
              <w:spacing w:line="24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发生重大事故、重大财产损失或重大负面影响的，每次扣50分，并追究相应责任。</w:t>
            </w:r>
          </w:p>
        </w:tc>
        <w:tc>
          <w:tcPr>
            <w:tcW w:w="1258" w:type="dxa"/>
            <w:noWrap w:val="0"/>
            <w:vAlign w:val="center"/>
          </w:tcPr>
          <w:p w14:paraId="50AA0DC8">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40DE9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trPr>
        <w:tc>
          <w:tcPr>
            <w:tcW w:w="8380" w:type="dxa"/>
            <w:gridSpan w:val="3"/>
            <w:noWrap w:val="0"/>
            <w:vAlign w:val="center"/>
          </w:tcPr>
          <w:p w14:paraId="55A03173">
            <w:pPr>
              <w:keepNext w:val="0"/>
              <w:keepLines w:val="0"/>
              <w:pageBreakBefore w:val="0"/>
              <w:widowControl/>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en-US" w:eastAsia="zh-CN"/>
              </w:rPr>
              <w:t>总分100分，最后得分</w:t>
            </w:r>
          </w:p>
        </w:tc>
        <w:tc>
          <w:tcPr>
            <w:tcW w:w="1258" w:type="dxa"/>
            <w:noWrap w:val="0"/>
            <w:vAlign w:val="center"/>
          </w:tcPr>
          <w:p w14:paraId="24E5DD58">
            <w:pPr>
              <w:keepNext w:val="0"/>
              <w:keepLines w:val="0"/>
              <w:pageBreakBefore w:val="0"/>
              <w:widowControl/>
              <w:spacing w:line="240" w:lineRule="auto"/>
              <w:jc w:val="both"/>
              <w:rPr>
                <w:rFonts w:hint="eastAsia" w:ascii="宋体" w:hAnsi="宋体" w:eastAsia="宋体" w:cs="宋体"/>
                <w:color w:val="auto"/>
                <w:sz w:val="24"/>
                <w:szCs w:val="24"/>
                <w:highlight w:val="none"/>
              </w:rPr>
            </w:pPr>
          </w:p>
        </w:tc>
      </w:tr>
      <w:tr w14:paraId="31149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atLeast"/>
        </w:trPr>
        <w:tc>
          <w:tcPr>
            <w:tcW w:w="9638" w:type="dxa"/>
            <w:gridSpan w:val="4"/>
            <w:noWrap w:val="0"/>
            <w:vAlign w:val="center"/>
          </w:tcPr>
          <w:p w14:paraId="578B8117">
            <w:pPr>
              <w:keepNext w:val="0"/>
              <w:keepLines w:val="0"/>
              <w:pageBreakBefore w:val="0"/>
              <w:widowControl/>
              <w:spacing w:line="24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物业项目</w:t>
            </w:r>
            <w:r>
              <w:rPr>
                <w:rFonts w:hint="eastAsia" w:ascii="宋体" w:hAnsi="宋体" w:eastAsia="宋体" w:cs="宋体"/>
                <w:color w:val="auto"/>
                <w:sz w:val="24"/>
                <w:szCs w:val="24"/>
                <w:highlight w:val="none"/>
              </w:rPr>
              <w:t>负责人签名：</w:t>
            </w:r>
            <w:r>
              <w:rPr>
                <w:rFonts w:hint="eastAsia" w:ascii="宋体" w:hAnsi="宋体" w:eastAsia="宋体" w:cs="宋体"/>
                <w:color w:val="auto"/>
                <w:sz w:val="24"/>
                <w:szCs w:val="24"/>
                <w:highlight w:val="none"/>
                <w:lang w:val="en-US" w:eastAsia="zh-CN"/>
              </w:rPr>
              <w:t xml:space="preserve">                         考核人员</w:t>
            </w:r>
            <w:r>
              <w:rPr>
                <w:rFonts w:hint="eastAsia" w:ascii="宋体" w:hAnsi="宋体" w:eastAsia="宋体" w:cs="宋体"/>
                <w:color w:val="auto"/>
                <w:sz w:val="24"/>
                <w:szCs w:val="24"/>
                <w:highlight w:val="none"/>
              </w:rPr>
              <w:t xml:space="preserve">签名：                                 </w:t>
            </w:r>
          </w:p>
        </w:tc>
      </w:tr>
    </w:tbl>
    <w:p w14:paraId="6D9C5109">
      <w:pPr>
        <w:jc w:val="center"/>
        <w:rPr>
          <w:rFonts w:hint="eastAsia" w:ascii="宋体" w:hAnsi="宋体" w:eastAsia="宋体" w:cs="宋体"/>
          <w:bCs/>
          <w:color w:val="auto"/>
          <w:sz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lang w:val="en-US" w:eastAsia="zh-CN"/>
        </w:rPr>
        <w:t>四</w:t>
      </w:r>
      <w:r>
        <w:rPr>
          <w:rFonts w:hint="eastAsia" w:ascii="宋体" w:hAnsi="宋体" w:eastAsia="宋体" w:cs="宋体"/>
          <w:b/>
          <w:bCs/>
          <w:color w:val="auto"/>
          <w:sz w:val="36"/>
          <w:szCs w:val="36"/>
          <w:highlight w:val="none"/>
        </w:rPr>
        <w:t xml:space="preserve">章 </w:t>
      </w:r>
      <w:r>
        <w:rPr>
          <w:rFonts w:hint="eastAsia" w:ascii="宋体" w:hAnsi="宋体" w:eastAsia="宋体" w:cs="宋体"/>
          <w:b/>
          <w:bCs/>
          <w:color w:val="auto"/>
          <w:sz w:val="36"/>
          <w:szCs w:val="36"/>
          <w:highlight w:val="none"/>
          <w:lang w:val="en-US" w:eastAsia="zh-CN"/>
        </w:rPr>
        <w:t>采购</w:t>
      </w:r>
      <w:r>
        <w:rPr>
          <w:rFonts w:hint="eastAsia" w:ascii="宋体" w:hAnsi="宋体" w:eastAsia="宋体" w:cs="宋体"/>
          <w:b/>
          <w:bCs/>
          <w:color w:val="auto"/>
          <w:sz w:val="36"/>
          <w:szCs w:val="36"/>
          <w:highlight w:val="none"/>
        </w:rPr>
        <w:t>需求</w:t>
      </w:r>
    </w:p>
    <w:p w14:paraId="46AEBFA6">
      <w:pPr>
        <w:keepNext w:val="0"/>
        <w:keepLines w:val="0"/>
        <w:pageBreakBefore w:val="0"/>
        <w:spacing w:line="440" w:lineRule="exact"/>
        <w:ind w:firstLine="480"/>
        <w:rPr>
          <w:rFonts w:hint="eastAsia" w:ascii="宋体" w:hAnsi="宋体" w:eastAsia="宋体" w:cs="宋体"/>
          <w:color w:val="auto"/>
          <w:sz w:val="24"/>
          <w:highlight w:val="none"/>
        </w:rPr>
      </w:pPr>
      <w:bookmarkStart w:id="151" w:name="_Toc424114677"/>
      <w:r>
        <w:rPr>
          <w:rFonts w:hint="eastAsia" w:ascii="宋体" w:hAnsi="宋体" w:eastAsia="宋体" w:cs="宋体"/>
          <w:b/>
          <w:color w:val="auto"/>
          <w:sz w:val="24"/>
          <w:highlight w:val="none"/>
        </w:rPr>
        <w:t>项目属性:服务类项目。</w:t>
      </w:r>
    </w:p>
    <w:bookmarkEnd w:id="151"/>
    <w:p w14:paraId="62302FA3">
      <w:pPr>
        <w:keepNext w:val="0"/>
        <w:keepLines w:val="0"/>
        <w:pageBreakBefore w:val="0"/>
        <w:widowControl w:val="0"/>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4437CE58">
      <w:pPr>
        <w:keepNext w:val="0"/>
        <w:keepLines w:val="0"/>
        <w:pageBreakBefore w:val="0"/>
        <w:spacing w:line="500" w:lineRule="exact"/>
        <w:ind w:left="0"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lang w:val="en-US" w:eastAsia="zh-CN"/>
        </w:rPr>
        <w:t>坐</w:t>
      </w:r>
      <w:r>
        <w:rPr>
          <w:rFonts w:hint="eastAsia" w:ascii="宋体" w:hAnsi="宋体" w:cs="宋体"/>
          <w:color w:val="auto"/>
          <w:sz w:val="24"/>
          <w:szCs w:val="24"/>
          <w:highlight w:val="none"/>
          <w:lang w:eastAsia="zh-CN"/>
        </w:rPr>
        <w:t>落位置：盐城市盐都区人民法院（</w:t>
      </w:r>
      <w:r>
        <w:rPr>
          <w:rFonts w:hint="eastAsia" w:ascii="宋体" w:hAnsi="宋体" w:cs="宋体"/>
          <w:color w:val="auto"/>
          <w:sz w:val="24"/>
          <w:szCs w:val="24"/>
          <w:highlight w:val="none"/>
          <w:lang w:val="en-US" w:eastAsia="zh-CN"/>
        </w:rPr>
        <w:t>盐城市盐都区新都西路5号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、大冈人民法庭（</w:t>
      </w:r>
      <w:r>
        <w:rPr>
          <w:rFonts w:hint="eastAsia" w:ascii="宋体" w:hAnsi="宋体" w:cs="宋体"/>
          <w:color w:val="auto"/>
          <w:sz w:val="24"/>
          <w:szCs w:val="24"/>
          <w:highlight w:val="none"/>
          <w:lang w:eastAsia="zh-CN"/>
        </w:rPr>
        <w:t>大冈镇卧龙西路卧龙花苑东南侧60米</w:t>
      </w:r>
      <w:r>
        <w:rPr>
          <w:rFonts w:hint="eastAsia" w:ascii="宋体" w:hAnsi="宋体" w:cs="宋体"/>
          <w:color w:val="auto"/>
          <w:sz w:val="24"/>
          <w:szCs w:val="24"/>
          <w:highlight w:val="none"/>
          <w:lang w:val="en-US" w:eastAsia="zh-CN"/>
        </w:rPr>
        <w:t>）、秦南人民法庭（</w:t>
      </w:r>
      <w:r>
        <w:rPr>
          <w:rFonts w:hint="eastAsia" w:ascii="宋体" w:hAnsi="宋体" w:cs="宋体"/>
          <w:color w:val="auto"/>
          <w:sz w:val="24"/>
          <w:szCs w:val="24"/>
          <w:highlight w:val="none"/>
          <w:lang w:eastAsia="zh-CN"/>
        </w:rPr>
        <w:t>秦南镇泽夫北路与人民东路交叉口向南200米路东</w:t>
      </w:r>
      <w:r>
        <w:rPr>
          <w:rFonts w:hint="eastAsia" w:ascii="宋体" w:hAnsi="宋体" w:cs="宋体"/>
          <w:color w:val="auto"/>
          <w:sz w:val="24"/>
          <w:szCs w:val="24"/>
          <w:highlight w:val="none"/>
          <w:lang w:val="en-US" w:eastAsia="zh-CN"/>
        </w:rPr>
        <w:t>）、义丰人民法庭（盐都区义丰镇建丰路144号）、龙冈人民法庭（</w:t>
      </w:r>
      <w:r>
        <w:rPr>
          <w:rFonts w:hint="eastAsia" w:ascii="宋体" w:hAnsi="宋体" w:cs="宋体"/>
          <w:color w:val="auto"/>
          <w:sz w:val="24"/>
          <w:szCs w:val="24"/>
          <w:highlight w:val="none"/>
          <w:lang w:eastAsia="zh-CN"/>
        </w:rPr>
        <w:t>盐都区龙冈镇凤凰南路10号</w:t>
      </w:r>
      <w:r>
        <w:rPr>
          <w:rFonts w:hint="eastAsia" w:ascii="宋体" w:hAnsi="宋体" w:cs="宋体"/>
          <w:color w:val="auto"/>
          <w:sz w:val="24"/>
          <w:szCs w:val="24"/>
          <w:highlight w:val="none"/>
          <w:lang w:val="en-US" w:eastAsia="zh-CN"/>
        </w:rPr>
        <w:t>）、高新区人民法庭（</w:t>
      </w:r>
      <w:r>
        <w:rPr>
          <w:rFonts w:hint="eastAsia" w:ascii="宋体" w:hAnsi="宋体" w:cs="宋体"/>
          <w:color w:val="auto"/>
          <w:sz w:val="24"/>
          <w:szCs w:val="24"/>
          <w:highlight w:val="none"/>
          <w:lang w:eastAsia="zh-CN"/>
        </w:rPr>
        <w:t>潘黄镇鹿鸣路潘黄公安大厦西南侧110米</w:t>
      </w:r>
      <w:r>
        <w:rPr>
          <w:rFonts w:hint="eastAsia" w:ascii="宋体" w:hAnsi="宋体" w:cs="宋体"/>
          <w:color w:val="auto"/>
          <w:sz w:val="24"/>
          <w:szCs w:val="24"/>
          <w:highlight w:val="none"/>
          <w:lang w:val="en-US" w:eastAsia="zh-CN"/>
        </w:rPr>
        <w:t>）。</w:t>
      </w:r>
    </w:p>
    <w:p w14:paraId="58124042">
      <w:pPr>
        <w:keepNext w:val="0"/>
        <w:keepLines w:val="0"/>
        <w:pageBreakBefore w:val="0"/>
        <w:spacing w:line="500" w:lineRule="exact"/>
        <w:ind w:left="0"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2、建筑面积：</w:t>
      </w:r>
      <w:r>
        <w:rPr>
          <w:rFonts w:hint="eastAsia" w:ascii="宋体" w:hAnsi="宋体" w:cs="宋体"/>
          <w:color w:val="auto"/>
          <w:sz w:val="24"/>
          <w:szCs w:val="24"/>
          <w:highlight w:val="none"/>
          <w:lang w:eastAsia="zh-CN"/>
        </w:rPr>
        <w:t>盐城市盐都区人民法院（</w:t>
      </w:r>
      <w:r>
        <w:rPr>
          <w:rFonts w:hint="eastAsia" w:ascii="宋体" w:hAnsi="宋体" w:cs="宋体"/>
          <w:color w:val="auto"/>
          <w:sz w:val="24"/>
          <w:szCs w:val="24"/>
          <w:highlight w:val="none"/>
          <w:lang w:val="en-US" w:eastAsia="zh-CN"/>
        </w:rPr>
        <w:t>约13000㎡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、大冈人民法庭（约</w:t>
      </w:r>
      <w:r>
        <w:rPr>
          <w:rFonts w:hint="eastAsia" w:ascii="宋体" w:hAnsi="宋体" w:cs="宋体"/>
          <w:color w:val="auto"/>
          <w:sz w:val="24"/>
          <w:szCs w:val="24"/>
          <w:highlight w:val="none"/>
          <w:lang w:eastAsia="zh-CN"/>
        </w:rPr>
        <w:t>513</w:t>
      </w:r>
      <w:r>
        <w:rPr>
          <w:rFonts w:hint="eastAsia" w:ascii="宋体" w:hAnsi="宋体" w:cs="宋体"/>
          <w:color w:val="auto"/>
          <w:sz w:val="24"/>
          <w:szCs w:val="24"/>
          <w:highlight w:val="none"/>
          <w:lang w:val="en-US" w:eastAsia="zh-CN"/>
        </w:rPr>
        <w:t>㎡）、秦南人民法庭（约</w:t>
      </w:r>
      <w:r>
        <w:rPr>
          <w:rFonts w:hint="eastAsia" w:ascii="宋体" w:hAnsi="宋体" w:cs="宋体"/>
          <w:color w:val="auto"/>
          <w:sz w:val="24"/>
          <w:szCs w:val="24"/>
          <w:highlight w:val="none"/>
          <w:lang w:eastAsia="zh-CN"/>
        </w:rPr>
        <w:t>950</w:t>
      </w:r>
      <w:r>
        <w:rPr>
          <w:rFonts w:hint="eastAsia" w:ascii="宋体" w:hAnsi="宋体" w:cs="宋体"/>
          <w:color w:val="auto"/>
          <w:sz w:val="24"/>
          <w:szCs w:val="24"/>
          <w:highlight w:val="none"/>
          <w:lang w:val="en-US" w:eastAsia="zh-CN"/>
        </w:rPr>
        <w:t>㎡）、义丰人民法庭（约781.95㎡）、龙冈人民法庭（约</w:t>
      </w:r>
      <w:r>
        <w:rPr>
          <w:rFonts w:hint="eastAsia" w:ascii="宋体" w:hAnsi="宋体" w:cs="宋体"/>
          <w:color w:val="auto"/>
          <w:sz w:val="24"/>
          <w:szCs w:val="24"/>
          <w:highlight w:val="none"/>
          <w:lang w:eastAsia="zh-CN"/>
        </w:rPr>
        <w:t>950</w:t>
      </w:r>
      <w:r>
        <w:rPr>
          <w:rFonts w:hint="eastAsia" w:ascii="宋体" w:hAnsi="宋体" w:cs="宋体"/>
          <w:color w:val="auto"/>
          <w:sz w:val="24"/>
          <w:szCs w:val="24"/>
          <w:highlight w:val="none"/>
          <w:lang w:val="en-US" w:eastAsia="zh-CN"/>
        </w:rPr>
        <w:t>㎡）、高新区人民法庭（约</w:t>
      </w:r>
      <w:r>
        <w:rPr>
          <w:rFonts w:hint="eastAsia" w:ascii="宋体" w:hAnsi="宋体" w:cs="宋体"/>
          <w:color w:val="auto"/>
          <w:sz w:val="24"/>
          <w:szCs w:val="24"/>
          <w:highlight w:val="none"/>
          <w:lang w:eastAsia="zh-CN"/>
        </w:rPr>
        <w:t>1200</w:t>
      </w:r>
      <w:r>
        <w:rPr>
          <w:rFonts w:hint="eastAsia" w:ascii="宋体" w:hAnsi="宋体" w:cs="宋体"/>
          <w:color w:val="auto"/>
          <w:sz w:val="24"/>
          <w:szCs w:val="24"/>
          <w:highlight w:val="none"/>
          <w:lang w:val="en-US" w:eastAsia="zh-CN"/>
        </w:rPr>
        <w:t>㎡）。</w:t>
      </w:r>
    </w:p>
    <w:p w14:paraId="31ED64F9">
      <w:pPr>
        <w:keepNext w:val="0"/>
        <w:keepLines w:val="0"/>
        <w:pageBreakBefore w:val="0"/>
        <w:spacing w:line="500" w:lineRule="exact"/>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3、合同履行期限（服务期）：1年</w:t>
      </w:r>
      <w:r>
        <w:rPr>
          <w:rFonts w:hint="eastAsia" w:ascii="宋体" w:hAnsi="宋体" w:eastAsia="宋体" w:cs="宋体"/>
          <w:color w:val="auto"/>
          <w:sz w:val="24"/>
          <w:highlight w:val="none"/>
          <w:lang w:val="en-US" w:eastAsia="zh-CN"/>
        </w:rPr>
        <w:t>。</w:t>
      </w:r>
    </w:p>
    <w:p w14:paraId="3E0785E2">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lang w:val="en-US" w:eastAsia="zh-CN"/>
        </w:rPr>
        <w:t>、物业管理服务</w:t>
      </w:r>
      <w:r>
        <w:rPr>
          <w:rFonts w:hint="eastAsia" w:ascii="宋体" w:hAnsi="宋体" w:eastAsia="宋体" w:cs="宋体"/>
          <w:b/>
          <w:color w:val="auto"/>
          <w:sz w:val="24"/>
          <w:szCs w:val="24"/>
          <w:highlight w:val="none"/>
        </w:rPr>
        <w:t>内容及现场踏勘要求</w:t>
      </w:r>
    </w:p>
    <w:p w14:paraId="71A1AA2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内容：</w:t>
      </w:r>
      <w:r>
        <w:rPr>
          <w:rFonts w:hint="eastAsia" w:ascii="宋体" w:hAnsi="宋体" w:cs="宋体"/>
          <w:color w:val="auto"/>
          <w:sz w:val="24"/>
          <w:szCs w:val="24"/>
          <w:highlight w:val="none"/>
          <w:lang w:val="en-US" w:eastAsia="zh-CN"/>
        </w:rPr>
        <w:t>盐城市盐都区人民法院（含大冈人民法庭、秦南人民法庭、义丰人民法庭、龙冈人民法庭、高新区人民法庭）物业管理服务，含保安服务</w:t>
      </w:r>
      <w:r>
        <w:rPr>
          <w:rFonts w:hint="eastAsia" w:ascii="宋体" w:hAnsi="宋体" w:eastAsia="宋体" w:cs="宋体"/>
          <w:color w:val="auto"/>
          <w:sz w:val="24"/>
          <w:szCs w:val="24"/>
          <w:highlight w:val="none"/>
          <w:lang w:val="en-US" w:eastAsia="zh-CN"/>
        </w:rPr>
        <w:t>、卫生保洁、会务服务、工程服务、</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安排的其他有关物业管理事项等工作</w:t>
      </w:r>
      <w:r>
        <w:rPr>
          <w:rFonts w:hint="eastAsia" w:ascii="宋体" w:hAnsi="宋体" w:eastAsia="宋体" w:cs="宋体"/>
          <w:color w:val="auto"/>
          <w:sz w:val="24"/>
          <w:szCs w:val="24"/>
          <w:highlight w:val="none"/>
        </w:rPr>
        <w:t>。</w:t>
      </w:r>
    </w:p>
    <w:p w14:paraId="24E48DF0">
      <w:pPr>
        <w:pStyle w:val="94"/>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2、现场踏勘：各</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应自行前往项目地点实地了解，并向</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了解物业服务的具体服务范围及服务要求，并充分考虑各种足以影响报价的各种情况，并根据项目的实际情况相关费用自行考虑到投标报价中。</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向</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提供的有关现场的数据和资料，是</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现有的能够被</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利用的资料，</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对该数据和资料做出的任何推论、理解和结论</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均不负责任。中标后任何因未现场勘查或忽视或误解项目情况，而要求增加服务费用的申请将不被批准。</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踏勘现场发生的费用自理，自行承担在踏勘现场中所发生的人员伤亡和财产损失。</w:t>
      </w:r>
    </w:p>
    <w:p w14:paraId="39E6463A">
      <w:pPr>
        <w:pStyle w:val="252"/>
        <w:keepNext w:val="0"/>
        <w:keepLines w:val="0"/>
        <w:pageBreakBefore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、服务要求</w:t>
      </w:r>
    </w:p>
    <w:p w14:paraId="3B3A037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1、卫生保洁</w:t>
      </w:r>
    </w:p>
    <w:p w14:paraId="2D795FF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val="en-US" w:eastAsia="zh-CN"/>
        </w:rPr>
        <w:t>总体要求</w:t>
      </w:r>
    </w:p>
    <w:p w14:paraId="544AAE6B">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①建立保洁服务的工作制度及工作计划，并按照执行。</w:t>
      </w:r>
    </w:p>
    <w:p w14:paraId="32497A0B">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②做好保洁服务工作记录，记录填写规范、保存完好。</w:t>
      </w:r>
    </w:p>
    <w:p w14:paraId="21B43573">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③作业时采取安全防护措施，防止对作业人员或他人造成伤害。相关耗材的环保、安全性等应当符合国家相关规定要求。</w:t>
      </w:r>
    </w:p>
    <w:p w14:paraId="5938B08F">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④须保持整个服务区环境优美，卫生整洁；保持室内外各公共包干区清洁卫生、环境宜人；重点部位须专人负责，始终保持清洁状态。</w:t>
      </w:r>
    </w:p>
    <w:p w14:paraId="144DB728">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⑤保洁服务范围</w:t>
      </w:r>
    </w:p>
    <w:p w14:paraId="00AEB64C">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室内部分包括：所有楼内公共区域包括</w:t>
      </w:r>
      <w:r>
        <w:rPr>
          <w:rFonts w:hint="eastAsia" w:ascii="宋体" w:hAnsi="宋体" w:eastAsia="宋体" w:cs="宋体"/>
          <w:color w:val="auto"/>
          <w:sz w:val="24"/>
          <w:highlight w:val="none"/>
        </w:rPr>
        <w:t>但不仅限于厅堂、走廊、</w:t>
      </w:r>
      <w:r>
        <w:rPr>
          <w:rFonts w:hint="eastAsia" w:ascii="宋体" w:hAnsi="宋体" w:eastAsia="宋体" w:cs="宋体"/>
          <w:color w:val="auto"/>
          <w:sz w:val="24"/>
          <w:highlight w:val="none"/>
          <w:lang w:val="en-US" w:eastAsia="zh-CN"/>
        </w:rPr>
        <w:t>楼梯、电梯、</w:t>
      </w:r>
      <w:r>
        <w:rPr>
          <w:rFonts w:hint="eastAsia" w:ascii="宋体" w:hAnsi="宋体" w:eastAsia="宋体" w:cs="宋体"/>
          <w:color w:val="auto"/>
          <w:sz w:val="24"/>
          <w:szCs w:val="24"/>
          <w:highlight w:val="none"/>
        </w:rPr>
        <w:t>会议室、接待室、卫生间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办公室</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eastAsia="zh-CN"/>
        </w:rPr>
        <w:t>；</w:t>
      </w:r>
    </w:p>
    <w:p w14:paraId="01931BB0">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室外部分包括：公共环境包括道路、广场、停车位、绿化带、停车场等。</w:t>
      </w:r>
    </w:p>
    <w:p w14:paraId="74D12F1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val="en-US" w:eastAsia="zh-CN"/>
        </w:rPr>
        <w:t>工作</w:t>
      </w:r>
      <w:r>
        <w:rPr>
          <w:rFonts w:hint="eastAsia" w:ascii="宋体" w:hAnsi="宋体" w:eastAsia="宋体" w:cs="宋体"/>
          <w:b/>
          <w:bCs/>
          <w:color w:val="auto"/>
          <w:sz w:val="24"/>
          <w:szCs w:val="24"/>
          <w:highlight w:val="none"/>
        </w:rPr>
        <w:t>要求</w:t>
      </w:r>
    </w:p>
    <w:p w14:paraId="3E3E84DE">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确保项目区域清洁卫生、垃圾及时收集并清运</w:t>
      </w:r>
      <w:r>
        <w:rPr>
          <w:rFonts w:hint="eastAsia" w:ascii="宋体" w:hAnsi="宋体" w:eastAsia="宋体" w:cs="宋体"/>
          <w:color w:val="auto"/>
          <w:sz w:val="24"/>
          <w:highlight w:val="none"/>
        </w:rPr>
        <w:t>出项目范围</w:t>
      </w:r>
      <w:r>
        <w:rPr>
          <w:rFonts w:hint="eastAsia" w:ascii="宋体" w:hAnsi="宋体" w:eastAsia="宋体" w:cs="宋体"/>
          <w:color w:val="auto"/>
          <w:sz w:val="24"/>
          <w:szCs w:val="24"/>
          <w:highlight w:val="none"/>
        </w:rPr>
        <w:t>。</w:t>
      </w:r>
    </w:p>
    <w:p w14:paraId="6599598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rPr>
        <w:t>室外区域</w:t>
      </w:r>
    </w:p>
    <w:p w14:paraId="35DB22E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①每天清扫道路、广场、停车场、绿化带等地面1次，每天巡视2-4次，发现垃圾、杂物应及时处理。对区域内各种设施进行抹尘和清洗，保持外围干净、地面整洁。</w:t>
      </w:r>
    </w:p>
    <w:p w14:paraId="1EB1F85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②绿化带定期巡查，及时清扫瓜皮果壳、废纸、杂物等垃圾。</w:t>
      </w:r>
    </w:p>
    <w:p w14:paraId="27160A3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③及时收集各类垃圾，堆放在指定地点。每天巡检、清运一次，清运时密封装置，确保无飘洒和漏水现象。及时清洗垃圾筒筒身，更换垃圾袋，保持干净、无异味、无满溢。</w:t>
      </w:r>
    </w:p>
    <w:p w14:paraId="318AA43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④保持路牌、标识、消防箱、电表箱、水表箱、外围灯柱、音箱、监控等物体表面的清洁。</w:t>
      </w:r>
    </w:p>
    <w:p w14:paraId="38F8313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⑤每周清除1次卫生死角，水管处、下水道口、排水沟、水池、雨水槽内阴沟、污水井等地方，要确保其内无杂物、无异味、保持畅通。</w:t>
      </w:r>
    </w:p>
    <w:p w14:paraId="6B350FA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1.2.2</w:t>
      </w:r>
      <w:r>
        <w:rPr>
          <w:rFonts w:hint="eastAsia" w:ascii="宋体" w:hAnsi="宋体" w:eastAsia="宋体" w:cs="宋体"/>
          <w:color w:val="auto"/>
          <w:sz w:val="24"/>
          <w:szCs w:val="24"/>
          <w:highlight w:val="none"/>
        </w:rPr>
        <w:t>室内公共区域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大厅、走廊、楼梯</w:t>
      </w:r>
    </w:p>
    <w:p w14:paraId="41090E5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①每日循环清扫地面垃圾，清除台面、地面的污迹，雨天无水渍，每月彻底清洗2次，平时发现污渍及时处理。大厅的地面每日巡回保洁，每季度抛光1次。</w:t>
      </w:r>
    </w:p>
    <w:p w14:paraId="4C016C5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②每日抹净门厅玻璃，每周彻底清洗1次，保持玻璃干净明亮，无手印、无水印、擦净门框、柱子等灰尘。</w:t>
      </w:r>
    </w:p>
    <w:p w14:paraId="536D3C0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③每日抹净大厅内指示牌、告示牌、显示牌、接待台等，抹净各处灯罩、金属框、花架、使其无积尘，每周彻底清除沙发、茶几等各处卫生死角。</w:t>
      </w:r>
    </w:p>
    <w:p w14:paraId="71BF145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④大厅各处金属包边、告示牌支架等，用金属清洁保养剂擦亮，保持无手印，无氧化痕迹、无锈蚀，每日擦1次。</w:t>
      </w:r>
    </w:p>
    <w:p w14:paraId="782C966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⑤每日擦抹风口、灭火器。</w:t>
      </w:r>
    </w:p>
    <w:p w14:paraId="3F71E97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⑥用推尘布抹净块料地面，保持地面无脚印、无灰尘，视地面磨损情况进行晶面处理的保养维护，使其光亮照人。</w:t>
      </w:r>
    </w:p>
    <w:p w14:paraId="4838C94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⑦抹净墙面的灰尘，不可留有指印或污迹。垃圾不能满过筒身之际的1/2。每日清倒垃圾两次，及时更换垃圾袋，及时处理垃圾筒上面的痰迹，使其外表干净、光亮、无满溢垃圾现象。</w:t>
      </w:r>
    </w:p>
    <w:p w14:paraId="1C60300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⑧对大厅、走廊地面视其磨损程度，进行</w:t>
      </w:r>
      <w:r>
        <w:rPr>
          <w:rFonts w:hint="eastAsia" w:ascii="宋体" w:hAnsi="宋体" w:eastAsia="宋体" w:cs="宋体"/>
          <w:color w:val="auto"/>
          <w:sz w:val="24"/>
          <w:szCs w:val="24"/>
          <w:highlight w:val="none"/>
          <w:lang w:val="en-US" w:eastAsia="zh-CN"/>
        </w:rPr>
        <w:t>墙</w:t>
      </w:r>
      <w:r>
        <w:rPr>
          <w:rFonts w:hint="eastAsia" w:ascii="宋体" w:hAnsi="宋体" w:eastAsia="宋体" w:cs="宋体"/>
          <w:color w:val="auto"/>
          <w:sz w:val="24"/>
          <w:szCs w:val="24"/>
          <w:highlight w:val="none"/>
        </w:rPr>
        <w:t>面处理的保养维护，使其干净，光亮。</w:t>
      </w:r>
    </w:p>
    <w:p w14:paraId="11AC407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⑨每日擦净大堂块料面墙壁，使其光亮，保持录像眼、风口、天花板及扬声器洁净，定期清除灯罩上面的灰尘和消防器材的灰尘，保持无积尘、干净。</w:t>
      </w:r>
    </w:p>
    <w:p w14:paraId="30F6EBF8">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⑩每天检查大厅的盆栽植物、花槽，保持无烟头纸屑等杂物。</w:t>
      </w:r>
    </w:p>
    <w:p w14:paraId="71C2A5A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⑪每日擦抹门庭、大厅正门多次，保持无灰尘、无污渍、无水迹。每周清理1次办公楼陈列品的积尘，保持清洁。</w:t>
      </w:r>
    </w:p>
    <w:p w14:paraId="08417FE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⑫走廊内隔墙玻璃每周彻底清洁1次，平时发现手印、污渍等及时擦净。</w:t>
      </w:r>
    </w:p>
    <w:p w14:paraId="6417EF8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⑬擦净楼梯扶手，拖净楼梯，各眼见手及之处，经常抹尘，保持清洁。</w:t>
      </w:r>
    </w:p>
    <w:p w14:paraId="406A54A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⑭每日抹净电梯内壁，每周彻底清洁消毒1次。</w:t>
      </w:r>
    </w:p>
    <w:p w14:paraId="3C03536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1.2.3</w:t>
      </w:r>
      <w:r>
        <w:rPr>
          <w:rFonts w:hint="eastAsia" w:ascii="宋体" w:hAnsi="宋体" w:eastAsia="宋体" w:cs="宋体"/>
          <w:color w:val="auto"/>
          <w:sz w:val="24"/>
          <w:szCs w:val="24"/>
          <w:highlight w:val="none"/>
        </w:rPr>
        <w:t>公共洗手间、开水间</w:t>
      </w:r>
    </w:p>
    <w:p w14:paraId="0386A83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①公共洗手间的卷纸、擦手纸供应和摆放。</w:t>
      </w:r>
    </w:p>
    <w:p w14:paraId="6D92EF3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②拖洗所有卫生间地面，抹净洁具、门框、墙身，保持无灰尘、无垃圾、无异味、无手脚印、无污渍等。</w:t>
      </w:r>
    </w:p>
    <w:p w14:paraId="5E915A2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洗手间隔板、烘手机、纸盒每天擦抹1次。小便池、厕位、水池每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p>
    <w:p w14:paraId="5501626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④每周1次全面清洗墙面瓷砖，地面用清洁剂刷洗，天花擦净，灯具、风口抹尘，保持干净，无污渍。卫生间、茶水间的地面每天拖地至少4次以上，每天冲洗1次，保持地面干燥。</w:t>
      </w:r>
    </w:p>
    <w:p w14:paraId="69C4676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1.2.4</w:t>
      </w:r>
      <w:r>
        <w:rPr>
          <w:rFonts w:hint="eastAsia" w:ascii="宋体" w:hAnsi="宋体" w:eastAsia="宋体" w:cs="宋体"/>
          <w:color w:val="auto"/>
          <w:sz w:val="24"/>
          <w:szCs w:val="24"/>
          <w:highlight w:val="none"/>
        </w:rPr>
        <w:t>会议室、接待室</w:t>
      </w:r>
    </w:p>
    <w:p w14:paraId="60C64C12">
      <w:pPr>
        <w:pStyle w:val="252"/>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①会议室、接待室等所有物品摆放整齐，所需物品准备齐全。对设施设备及时检查维护，确保设施设备的运行安全。会后及时清理（清场），检查是否有遗留物品、未熄灭的火种等。</w:t>
      </w:r>
    </w:p>
    <w:p w14:paraId="62FEE48A">
      <w:pPr>
        <w:pStyle w:val="252"/>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停车场</w:t>
      </w:r>
    </w:p>
    <w:p w14:paraId="2BF47E3E">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①每日清扫地面垃圾杂物，特别注意车上抛出的垃圾物。保持地面无垃圾杂物、无积水、无明显泥土，保持整洁。</w:t>
      </w:r>
    </w:p>
    <w:p w14:paraId="2192D9A2">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②雨天增加清扫力度，发现泥土及时清理，雨天注意清理通道口集水沟、井的杂物。</w:t>
      </w:r>
    </w:p>
    <w:p w14:paraId="31F63A01">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③</w:t>
      </w:r>
      <w:r>
        <w:rPr>
          <w:rFonts w:ascii="宋体" w:hAnsi="宋体" w:cs="宋体"/>
          <w:color w:val="auto"/>
          <w:sz w:val="24"/>
          <w:szCs w:val="24"/>
          <w:highlight w:val="none"/>
        </w:rPr>
        <w:t>及时</w:t>
      </w:r>
      <w:r>
        <w:rPr>
          <w:rFonts w:hint="eastAsia" w:ascii="宋体" w:hAnsi="宋体" w:cs="宋体"/>
          <w:color w:val="auto"/>
          <w:sz w:val="24"/>
          <w:szCs w:val="24"/>
          <w:highlight w:val="none"/>
          <w:lang w:val="en-US" w:eastAsia="zh-CN"/>
        </w:rPr>
        <w:t>倾倒</w:t>
      </w:r>
      <w:r>
        <w:rPr>
          <w:rFonts w:ascii="宋体" w:hAnsi="宋体" w:cs="宋体"/>
          <w:color w:val="auto"/>
          <w:sz w:val="24"/>
          <w:szCs w:val="24"/>
          <w:highlight w:val="none"/>
        </w:rPr>
        <w:t>垃圾，将垃圾运到指定地点。</w:t>
      </w:r>
    </w:p>
    <w:p w14:paraId="1F3EF25E">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④</w:t>
      </w:r>
      <w:r>
        <w:rPr>
          <w:rFonts w:ascii="宋体" w:hAnsi="宋体" w:cs="宋体"/>
          <w:color w:val="auto"/>
          <w:sz w:val="24"/>
          <w:szCs w:val="24"/>
          <w:highlight w:val="none"/>
        </w:rPr>
        <w:t>每月彻底清除露天停车场的死角（包括通道口集水沟、井），对油污较多的车位地面进行特别处理。</w:t>
      </w:r>
    </w:p>
    <w:p w14:paraId="300B9139">
      <w:pPr>
        <w:pStyle w:val="252"/>
        <w:keepNext w:val="0"/>
        <w:keepLines w:val="0"/>
        <w:pageBreakBefore w:val="0"/>
        <w:kinsoku/>
        <w:wordWrap/>
        <w:overflowPunct/>
        <w:topLinePunct w:val="0"/>
        <w:autoSpaceDE/>
        <w:autoSpaceDN/>
        <w:bidi w:val="0"/>
        <w:adjustRightInd/>
        <w:snapToGrid/>
        <w:spacing w:line="500" w:lineRule="exact"/>
        <w:ind w:left="0"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⑤</w:t>
      </w:r>
      <w:r>
        <w:rPr>
          <w:rFonts w:ascii="宋体" w:hAnsi="宋体" w:cs="宋体"/>
          <w:color w:val="auto"/>
          <w:sz w:val="24"/>
          <w:szCs w:val="24"/>
          <w:highlight w:val="none"/>
        </w:rPr>
        <w:t>清洁中如发现车门或车窗、车灯没有关好，应及时通告车库值班人员，以便得到妥善处理，并将此事汇报主管。</w:t>
      </w:r>
    </w:p>
    <w:p w14:paraId="2F9F2CC5">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firstLine="54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⑥</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指定保洁区域</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w:t>
      </w:r>
      <w:r>
        <w:rPr>
          <w:rFonts w:hint="eastAsia" w:ascii="宋体" w:hAnsi="宋体" w:eastAsia="宋体" w:cs="宋体"/>
          <w:color w:val="auto"/>
          <w:sz w:val="24"/>
          <w:highlight w:val="none"/>
        </w:rPr>
        <w:t>因特殊需要，经</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指定需保洁区域，</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应无条件按相关规定及时打扫保洁及内部整理。</w:t>
      </w:r>
    </w:p>
    <w:p w14:paraId="09824C87">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安全</w:t>
      </w:r>
      <w:r>
        <w:rPr>
          <w:rFonts w:hint="eastAsia" w:ascii="宋体" w:hAnsi="宋体" w:eastAsia="宋体" w:cs="宋体"/>
          <w:b/>
          <w:bCs/>
          <w:color w:val="auto"/>
          <w:sz w:val="24"/>
          <w:szCs w:val="24"/>
          <w:highlight w:val="none"/>
        </w:rPr>
        <w:t>保卫</w:t>
      </w:r>
    </w:p>
    <w:p w14:paraId="6B352D4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highlight w:val="none"/>
        </w:rPr>
        <w:t>总体要求</w:t>
      </w:r>
    </w:p>
    <w:p w14:paraId="20A460B9">
      <w:pPr>
        <w:pStyle w:val="252"/>
        <w:keepNext w:val="0"/>
        <w:keepLines w:val="0"/>
        <w:pageBreakBefore w:val="0"/>
        <w:kinsoku/>
        <w:wordWrap/>
        <w:overflowPunct/>
        <w:topLinePunct w:val="0"/>
        <w:autoSpaceDE/>
        <w:autoSpaceDN/>
        <w:bidi w:val="0"/>
        <w:adjustRightInd/>
        <w:snapToGrid/>
        <w:spacing w:line="500" w:lineRule="exact"/>
        <w:ind w:firstLine="468"/>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负责门卫的传达、值班、报刊分发、进出人员、物品与车辆的登记查验、院内巡查、秩序维护、车辆停放</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消防监控等工作，确保服务区域安全、有序。</w:t>
      </w:r>
    </w:p>
    <w:p w14:paraId="65FE2C40">
      <w:pPr>
        <w:pStyle w:val="94"/>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2.2工作要求</w:t>
      </w:r>
    </w:p>
    <w:p w14:paraId="36866C9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①</w:t>
      </w:r>
      <w:r>
        <w:rPr>
          <w:rFonts w:hint="eastAsia" w:ascii="宋体" w:hAnsi="宋体" w:eastAsia="宋体" w:cs="宋体"/>
          <w:color w:val="auto"/>
          <w:sz w:val="24"/>
          <w:highlight w:val="none"/>
        </w:rPr>
        <w:t>负责传达、值班、报刊分发、巡查、秩序维持、车辆停放、消防、安全保卫等工作，确保服务区域安全、有序并达到公安、消防部门检查标准。</w:t>
      </w:r>
    </w:p>
    <w:p w14:paraId="6BD5B77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②</w:t>
      </w:r>
      <w:r>
        <w:rPr>
          <w:rFonts w:hint="eastAsia" w:ascii="宋体" w:hAnsi="宋体" w:eastAsia="宋体" w:cs="宋体"/>
          <w:color w:val="auto"/>
          <w:sz w:val="24"/>
          <w:szCs w:val="24"/>
          <w:highlight w:val="none"/>
        </w:rPr>
        <w:t>出入口实行24小时</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每日不得少于2个班次，不得</w:t>
      </w:r>
      <w:r>
        <w:rPr>
          <w:rFonts w:hint="eastAsia" w:ascii="宋体" w:hAnsi="宋体" w:eastAsia="宋体" w:cs="宋体"/>
          <w:color w:val="auto"/>
          <w:sz w:val="24"/>
          <w:szCs w:val="24"/>
          <w:highlight w:val="none"/>
        </w:rPr>
        <w:t>漏岗、脱岗；</w:t>
      </w:r>
      <w:r>
        <w:rPr>
          <w:rFonts w:hint="eastAsia" w:ascii="宋体" w:hAnsi="宋体" w:eastAsia="宋体" w:cs="宋体"/>
          <w:color w:val="auto"/>
          <w:sz w:val="24"/>
          <w:szCs w:val="24"/>
          <w:highlight w:val="none"/>
          <w:lang w:val="en-US" w:eastAsia="zh-CN"/>
        </w:rPr>
        <w:t>对所有进出口门卫室单班次值守不得少于2人；</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val="en-US" w:eastAsia="zh-CN"/>
        </w:rPr>
        <w:t>异常情况须及时高效妥善处置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填写</w:t>
      </w:r>
      <w:r>
        <w:rPr>
          <w:rFonts w:hint="eastAsia" w:ascii="宋体" w:hAnsi="宋体" w:eastAsia="宋体" w:cs="宋体"/>
          <w:color w:val="auto"/>
          <w:sz w:val="24"/>
          <w:szCs w:val="24"/>
          <w:highlight w:val="none"/>
          <w:lang w:val="en-US" w:eastAsia="zh-CN"/>
        </w:rPr>
        <w:t>好值班</w:t>
      </w:r>
      <w:r>
        <w:rPr>
          <w:rFonts w:hint="eastAsia" w:ascii="宋体" w:hAnsi="宋体" w:eastAsia="宋体" w:cs="宋体"/>
          <w:color w:val="auto"/>
          <w:sz w:val="24"/>
          <w:szCs w:val="24"/>
          <w:highlight w:val="none"/>
        </w:rPr>
        <w:t>记录。</w:t>
      </w:r>
    </w:p>
    <w:p w14:paraId="61D5653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③</w:t>
      </w:r>
      <w:r>
        <w:rPr>
          <w:rFonts w:hint="eastAsia" w:ascii="宋体" w:hAnsi="宋体" w:eastAsia="宋体" w:cs="宋体"/>
          <w:color w:val="auto"/>
          <w:sz w:val="24"/>
          <w:highlight w:val="none"/>
        </w:rPr>
        <w:t>负责对外来车辆、人员进出进行登记，引导车辆有序行驶、停放，做好停车场（包括机动车、非机动车）停车秩序维护，做好门前“三包”等工作。</w:t>
      </w:r>
    </w:p>
    <w:p w14:paraId="4F2E383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④</w:t>
      </w:r>
      <w:r>
        <w:rPr>
          <w:rFonts w:hint="eastAsia" w:ascii="宋体" w:hAnsi="宋体" w:eastAsia="宋体" w:cs="宋体"/>
          <w:color w:val="auto"/>
          <w:sz w:val="24"/>
          <w:highlight w:val="none"/>
        </w:rPr>
        <w:t>严防外来人员进入非开放区域内。</w:t>
      </w:r>
    </w:p>
    <w:p w14:paraId="6A10EBBF">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⑤</w:t>
      </w:r>
      <w:r>
        <w:rPr>
          <w:rFonts w:hint="eastAsia" w:ascii="宋体" w:hAnsi="宋体" w:eastAsia="宋体" w:cs="宋体"/>
          <w:color w:val="auto"/>
          <w:sz w:val="24"/>
          <w:highlight w:val="none"/>
        </w:rPr>
        <w:t>实行24小时值班巡查制度，每</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小时至少巡逻1次，节假日增加巡逻2次。根据规定的时间、路线、点位开展巡逻检查，对重点区域加强巡逻，着装规范整齐，携带必要的安全器械。发现问题及时果断妥善处置。</w:t>
      </w:r>
    </w:p>
    <w:p w14:paraId="7A070353">
      <w:pPr>
        <w:keepNext w:val="0"/>
        <w:keepLines w:val="0"/>
        <w:pageBreakBefore w:val="0"/>
        <w:widowControl/>
        <w:kinsoku/>
        <w:wordWrap/>
        <w:overflowPunct/>
        <w:topLinePunct w:val="0"/>
        <w:autoSpaceDE/>
        <w:autoSpaceDN/>
        <w:bidi w:val="0"/>
        <w:adjustRightInd/>
        <w:snapToGrid/>
        <w:spacing w:line="500" w:lineRule="exact"/>
        <w:ind w:firstLine="54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针对影响</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办公秩序的事端，必须立即妥善处置到位，严防事态扩大；针对违法犯罪行为，必须果断制止并控制违法犯罪嫌疑人，同时做好现场保护和证据保全等工作。建立安全巡逻台</w:t>
      </w:r>
      <w:r>
        <w:rPr>
          <w:rFonts w:hint="eastAsia" w:ascii="宋体" w:hAnsi="宋体" w:eastAsia="宋体" w:cs="宋体"/>
          <w:color w:val="auto"/>
          <w:sz w:val="24"/>
          <w:highlight w:val="none"/>
          <w:lang w:val="en-US" w:eastAsia="zh-CN"/>
        </w:rPr>
        <w:t>账</w:t>
      </w:r>
      <w:r>
        <w:rPr>
          <w:rFonts w:hint="eastAsia" w:ascii="宋体" w:hAnsi="宋体" w:eastAsia="宋体" w:cs="宋体"/>
          <w:color w:val="auto"/>
          <w:sz w:val="24"/>
          <w:highlight w:val="none"/>
        </w:rPr>
        <w:t>，做到有记录、有检查。</w:t>
      </w:r>
    </w:p>
    <w:p w14:paraId="5DF359EE">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⑥</w:t>
      </w:r>
      <w:r>
        <w:rPr>
          <w:rFonts w:hint="eastAsia" w:ascii="宋体" w:hAnsi="宋体" w:eastAsia="宋体" w:cs="宋体"/>
          <w:color w:val="auto"/>
          <w:sz w:val="24"/>
          <w:szCs w:val="24"/>
          <w:highlight w:val="none"/>
        </w:rPr>
        <w:t>做好每天报纸、信件的收发工作，及时将报刊、信件分发至各处室，不丢缺、不错发</w:t>
      </w:r>
      <w:r>
        <w:rPr>
          <w:rFonts w:hint="eastAsia" w:ascii="宋体" w:hAnsi="宋体" w:eastAsia="宋体" w:cs="宋体"/>
          <w:color w:val="auto"/>
          <w:sz w:val="24"/>
          <w:szCs w:val="24"/>
          <w:highlight w:val="none"/>
          <w:lang w:eastAsia="zh-CN"/>
        </w:rPr>
        <w:t>。</w:t>
      </w:r>
    </w:p>
    <w:p w14:paraId="1E883AD6">
      <w:pPr>
        <w:keepNext w:val="0"/>
        <w:keepLines w:val="0"/>
        <w:pageBreakBefore w:val="0"/>
        <w:widowControl/>
        <w:kinsoku/>
        <w:wordWrap/>
        <w:overflowPunct/>
        <w:topLinePunct w:val="0"/>
        <w:autoSpaceDE/>
        <w:autoSpaceDN/>
        <w:bidi w:val="0"/>
        <w:adjustRightInd/>
        <w:snapToGrid/>
        <w:spacing w:line="500" w:lineRule="exact"/>
        <w:ind w:firstLine="477"/>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⑦</w:t>
      </w:r>
      <w:r>
        <w:rPr>
          <w:rFonts w:hint="eastAsia" w:ascii="宋体" w:hAnsi="宋体" w:eastAsia="宋体" w:cs="宋体"/>
          <w:color w:val="auto"/>
          <w:sz w:val="24"/>
          <w:szCs w:val="24"/>
          <w:highlight w:val="none"/>
        </w:rPr>
        <w:t>做好邮件发送登记，每日下午按时将当天邮件寄出。</w:t>
      </w:r>
    </w:p>
    <w:p w14:paraId="0F448AC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⑧保安员必须形象良好、精神饱满、身强体壮、反应灵敏、严肃认真、本领过硬、能够及时高效妥善处置可能发生的一切突发事件。</w:t>
      </w:r>
    </w:p>
    <w:p w14:paraId="7EC5163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必须按照主管部门相关规定配备保安服装、器械。</w:t>
      </w:r>
    </w:p>
    <w:p w14:paraId="66BBA02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⑩对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提出的更换不合格保安员的要求，</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w:t>
      </w:r>
      <w:r>
        <w:rPr>
          <w:rFonts w:hint="eastAsia" w:ascii="宋体" w:hAnsi="宋体" w:eastAsia="宋体" w:cs="宋体"/>
          <w:color w:val="auto"/>
          <w:sz w:val="24"/>
          <w:highlight w:val="none"/>
          <w:lang w:eastAsia="zh-CN"/>
        </w:rPr>
        <w:t>配合</w:t>
      </w:r>
      <w:r>
        <w:rPr>
          <w:rFonts w:hint="eastAsia" w:ascii="宋体" w:hAnsi="宋体" w:eastAsia="宋体" w:cs="宋体"/>
          <w:color w:val="auto"/>
          <w:sz w:val="24"/>
          <w:highlight w:val="none"/>
        </w:rPr>
        <w:t>并立即调整到位。</w:t>
      </w:r>
    </w:p>
    <w:p w14:paraId="1B487F82">
      <w:pPr>
        <w:pStyle w:val="94"/>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2.3消防安全</w:t>
      </w:r>
    </w:p>
    <w:p w14:paraId="02B406C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bidi="ar-SA"/>
        </w:rPr>
        <w:t>①</w:t>
      </w:r>
      <w:r>
        <w:rPr>
          <w:rFonts w:hint="eastAsia" w:ascii="宋体" w:hAnsi="宋体" w:eastAsia="宋体" w:cs="宋体"/>
          <w:color w:val="auto"/>
          <w:sz w:val="24"/>
          <w:highlight w:val="none"/>
        </w:rPr>
        <w:t>保持监控室整洁、卫生，无杂物堆放。设备摆放有序，方便使用和检查。定期进行卫生清洁和检查，确保符合卫生标准。</w:t>
      </w:r>
    </w:p>
    <w:p w14:paraId="4553433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②</w:t>
      </w:r>
      <w:r>
        <w:rPr>
          <w:rFonts w:hint="eastAsia" w:ascii="宋体" w:hAnsi="宋体" w:eastAsia="宋体" w:cs="宋体"/>
          <w:color w:val="auto"/>
          <w:sz w:val="24"/>
          <w:highlight w:val="none"/>
        </w:rPr>
        <w:t>定期检查监控设备的运行状态，包括摄像头、显示屏、录像机等是否正常工作及时发现并处理设备故障或损坏，确保设备处于良好状态。抽查部分设备进行检查，以验证整体设备运行情况。</w:t>
      </w:r>
    </w:p>
    <w:p w14:paraId="59A8274D">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bidi="ar-SA"/>
        </w:rPr>
        <w:t>③</w:t>
      </w:r>
      <w:r>
        <w:rPr>
          <w:rFonts w:hint="eastAsia" w:ascii="宋体" w:hAnsi="宋体" w:eastAsia="宋体" w:cs="宋体"/>
          <w:color w:val="auto"/>
          <w:sz w:val="24"/>
          <w:szCs w:val="21"/>
          <w:highlight w:val="none"/>
        </w:rPr>
        <w:t>消防监控室实行24小时值班服务，每天不得少于2个班次，不得漏岗、脱岗；发现问题须及时高效妥善处置，并填写好当班记录。</w:t>
      </w:r>
    </w:p>
    <w:p w14:paraId="240107E6">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④</w:t>
      </w:r>
      <w:r>
        <w:rPr>
          <w:rFonts w:hint="eastAsia" w:ascii="宋体" w:hAnsi="宋体" w:eastAsia="宋体" w:cs="宋体"/>
          <w:color w:val="auto"/>
          <w:sz w:val="24"/>
          <w:highlight w:val="none"/>
        </w:rPr>
        <w:t>规范监控记录的管理和保存，确保监控记录的真实性和完整性。定期检查监控记录的存储和管理情况，确保符合相关规定。监控记录应保存一定时间，以备后续查阅和使用。</w:t>
      </w:r>
    </w:p>
    <w:p w14:paraId="2A8CAB0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⑤</w:t>
      </w:r>
      <w:r>
        <w:rPr>
          <w:rFonts w:hint="eastAsia" w:ascii="宋体" w:hAnsi="宋体" w:eastAsia="宋体" w:cs="宋体"/>
          <w:color w:val="auto"/>
          <w:sz w:val="24"/>
          <w:highlight w:val="none"/>
        </w:rPr>
        <w:t>每季度对消防系统进行检查检测。消防泵、消火栓、灭火器每月巡查一次。消防水带每半年检查一次，消防管网压力每半年检查一次。</w:t>
      </w:r>
    </w:p>
    <w:p w14:paraId="349A360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⑥消防值班室制度上墙，定期进行消防法规、消防知识和消防技能培训，定期进行消防演习。</w:t>
      </w:r>
    </w:p>
    <w:p w14:paraId="047FD42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⑦熟练操作安防系统、消防控制系统，随时发现安全隐患、可疑人员及其他可疑情况，及时稳妥处置，确保不出任何差错，每班做好值班记录、交接班记录。</w:t>
      </w:r>
    </w:p>
    <w:p w14:paraId="6668813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⑧</w:t>
      </w:r>
      <w:r>
        <w:rPr>
          <w:rFonts w:hint="eastAsia" w:ascii="宋体" w:hAnsi="宋体" w:eastAsia="宋体" w:cs="宋体"/>
          <w:color w:val="auto"/>
          <w:sz w:val="24"/>
          <w:szCs w:val="21"/>
          <w:highlight w:val="none"/>
        </w:rPr>
        <w:t>配合</w:t>
      </w:r>
      <w:r>
        <w:rPr>
          <w:rFonts w:hint="eastAsia" w:ascii="宋体" w:hAnsi="宋体" w:eastAsia="宋体" w:cs="宋体"/>
          <w:color w:val="auto"/>
          <w:sz w:val="24"/>
          <w:szCs w:val="21"/>
          <w:highlight w:val="none"/>
          <w:lang w:eastAsia="zh-CN"/>
        </w:rPr>
        <w:t>采购人</w:t>
      </w:r>
      <w:r>
        <w:rPr>
          <w:rFonts w:hint="eastAsia" w:ascii="宋体" w:hAnsi="宋体" w:eastAsia="宋体" w:cs="宋体"/>
          <w:color w:val="auto"/>
          <w:sz w:val="24"/>
          <w:szCs w:val="21"/>
          <w:highlight w:val="none"/>
        </w:rPr>
        <w:t>的消防维保单位做好项目消防安全监管工作，定期开展消防安全巡查，确保消防安全设施设备有效使用、年检合格，及时发现并有效排除消防安全隐患。</w:t>
      </w:r>
    </w:p>
    <w:p w14:paraId="52E21CD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确保设备设施正常使用、运行，做到维护到位、响应及时、保障得力。</w:t>
      </w:r>
    </w:p>
    <w:p w14:paraId="2217356B">
      <w:pPr>
        <w:pStyle w:val="252"/>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r>
        <w:rPr>
          <w:rFonts w:ascii="宋体" w:hAnsi="宋体" w:cs="宋体"/>
          <w:b/>
          <w:color w:val="auto"/>
          <w:sz w:val="24"/>
          <w:szCs w:val="24"/>
          <w:highlight w:val="none"/>
        </w:rPr>
        <w:t>会议服务</w:t>
      </w:r>
    </w:p>
    <w:p w14:paraId="626A922D">
      <w:pPr>
        <w:pStyle w:val="252"/>
        <w:keepNext w:val="0"/>
        <w:keepLines w:val="0"/>
        <w:pageBreakBefore w:val="0"/>
        <w:numPr>
          <w:ilvl w:val="0"/>
          <w:numId w:val="0"/>
        </w:numPr>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3.1总体要求</w:t>
      </w:r>
    </w:p>
    <w:p w14:paraId="0D8AEB4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w:t>
      </w:r>
      <w:r>
        <w:rPr>
          <w:rFonts w:hint="eastAsia" w:ascii="宋体" w:hAnsi="宋体" w:cs="宋体"/>
          <w:color w:val="auto"/>
          <w:sz w:val="24"/>
          <w:szCs w:val="24"/>
          <w:highlight w:val="none"/>
        </w:rPr>
        <w:t>仪容仪表整洁、行为规范，文明用语，按规定着装。</w:t>
      </w:r>
    </w:p>
    <w:p w14:paraId="0557432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w:t>
      </w:r>
      <w:r>
        <w:rPr>
          <w:rFonts w:hint="eastAsia" w:ascii="宋体" w:hAnsi="宋体" w:cs="宋体"/>
          <w:color w:val="auto"/>
          <w:sz w:val="24"/>
          <w:szCs w:val="24"/>
          <w:highlight w:val="none"/>
        </w:rPr>
        <w:t>认真履行岗位职责，严格按照岗位规程安全操作。</w:t>
      </w:r>
    </w:p>
    <w:p w14:paraId="075A506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③</w:t>
      </w:r>
      <w:r>
        <w:rPr>
          <w:rFonts w:hint="eastAsia" w:ascii="宋体" w:hAnsi="宋体" w:cs="宋体"/>
          <w:color w:val="auto"/>
          <w:sz w:val="24"/>
          <w:szCs w:val="24"/>
          <w:highlight w:val="none"/>
        </w:rPr>
        <w:t>做好会议服务，包括会场布置、会议期间茶水服务以及会后环境整理。</w:t>
      </w:r>
    </w:p>
    <w:p w14:paraId="4B24E74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④</w:t>
      </w:r>
      <w:r>
        <w:rPr>
          <w:rFonts w:hint="eastAsia" w:ascii="宋体" w:hAnsi="宋体" w:cs="宋体"/>
          <w:color w:val="auto"/>
          <w:sz w:val="24"/>
          <w:szCs w:val="24"/>
          <w:highlight w:val="none"/>
        </w:rPr>
        <w:t>做好会务保密工作，不得随意翻阅会议资料，防止闲杂人员进场，不得在任何场所透露会议的内容。</w:t>
      </w:r>
    </w:p>
    <w:p w14:paraId="5342B5F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⑤</w:t>
      </w:r>
      <w:r>
        <w:rPr>
          <w:rFonts w:hint="eastAsia" w:ascii="宋体" w:hAnsi="宋体" w:cs="宋体"/>
          <w:color w:val="auto"/>
          <w:sz w:val="24"/>
          <w:szCs w:val="24"/>
          <w:highlight w:val="none"/>
          <w:lang w:val="en-US" w:eastAsia="zh-CN"/>
        </w:rPr>
        <w:t>其他由甲方承担的重要会议、重大活动的服务工作。</w:t>
      </w:r>
    </w:p>
    <w:p w14:paraId="0F0ACD1B">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3.2工作要求</w:t>
      </w:r>
    </w:p>
    <w:p w14:paraId="6B1FEB94">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hint="eastAsia" w:cs="宋体"/>
          <w:b w:val="0"/>
          <w:bCs w:val="0"/>
          <w:color w:val="auto"/>
          <w:sz w:val="24"/>
          <w:szCs w:val="24"/>
          <w:highlight w:val="none"/>
          <w:lang w:val="en-US" w:eastAsia="zh-CN"/>
        </w:rPr>
        <w:t>3</w:t>
      </w:r>
      <w:r>
        <w:rPr>
          <w:rFonts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bidi="ar-SA"/>
        </w:rPr>
        <w:t>2.</w:t>
      </w:r>
      <w:r>
        <w:rPr>
          <w:rFonts w:cs="宋体"/>
          <w:b w:val="0"/>
          <w:bCs w:val="0"/>
          <w:color w:val="auto"/>
          <w:sz w:val="24"/>
          <w:szCs w:val="24"/>
          <w:highlight w:val="none"/>
        </w:rPr>
        <w:t>1会前准备工作标准</w:t>
      </w:r>
    </w:p>
    <w:p w14:paraId="64ADAD2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①根据通知的会议室、时间，服务员提前30分钟开启会议室灯光、空调，发现问题及时通知。</w:t>
      </w:r>
    </w:p>
    <w:p w14:paraId="36F2DB0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②发现会议室内空气浑浊，提前</w:t>
      </w:r>
      <w:r>
        <w:rPr>
          <w:rFonts w:hint="eastAsia" w:cs="宋体"/>
          <w:color w:val="auto"/>
          <w:sz w:val="24"/>
          <w:szCs w:val="24"/>
          <w:highlight w:val="none"/>
          <w:lang w:val="en-US" w:eastAsia="zh-CN"/>
        </w:rPr>
        <w:t>1</w:t>
      </w:r>
      <w:r>
        <w:rPr>
          <w:rFonts w:cs="宋体"/>
          <w:color w:val="auto"/>
          <w:sz w:val="24"/>
          <w:szCs w:val="24"/>
          <w:highlight w:val="none"/>
        </w:rPr>
        <w:t>小时开启门窗10-15分钟，随后关闭。</w:t>
      </w:r>
    </w:p>
    <w:p w14:paraId="1BEA310B">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③根据通知的人数、摆放好座椅、茶水等。如有特别要求，按要求执行。会议开始前1小时联系会议使用人对会场进行检查，如有问题，及时调整。</w:t>
      </w:r>
    </w:p>
    <w:p w14:paraId="46761F87">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④茶杯的要求：必须经过消毒，茶杯茶盖无黄斑、无缺口。茶杯必须使用消毒柜进行消毒，消毒时间不低于20分钟。</w:t>
      </w:r>
    </w:p>
    <w:p w14:paraId="2A29A02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⑤热水瓶的要求：热水瓶表面光亮无水迹，水温在90℃以上，冲泡时注意防止水珠外溅烫伤。</w:t>
      </w:r>
    </w:p>
    <w:p w14:paraId="7F4E1A80">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⑥协助会议组织者安排、布置会场工作。</w:t>
      </w:r>
    </w:p>
    <w:p w14:paraId="31225423">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⑦将准备好的茶杯、热水瓶放置在干净的操作台上，便于与会人员到达后即能提供服务。</w:t>
      </w:r>
    </w:p>
    <w:p w14:paraId="73F9BCD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⑧会议开始前15分钟服务员站立在会议室门口迎候与会人员到达。</w:t>
      </w:r>
    </w:p>
    <w:p w14:paraId="2802BA3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⑨服务员要做到精神饱满、仪容、仪表端庄大方、淡妆上岗，微笑迎客。</w:t>
      </w:r>
    </w:p>
    <w:p w14:paraId="67F45D82">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hint="eastAsia" w:cs="宋体"/>
          <w:color w:val="auto"/>
          <w:sz w:val="24"/>
          <w:szCs w:val="24"/>
          <w:highlight w:val="none"/>
          <w:lang w:val="en-US" w:eastAsia="zh-CN"/>
        </w:rPr>
        <w:t>3</w:t>
      </w:r>
      <w:r>
        <w:rPr>
          <w:rFonts w:cs="宋体"/>
          <w:color w:val="auto"/>
          <w:sz w:val="24"/>
          <w:szCs w:val="24"/>
          <w:highlight w:val="none"/>
        </w:rPr>
        <w:t>.</w:t>
      </w:r>
      <w:r>
        <w:rPr>
          <w:rFonts w:hint="eastAsia" w:cs="宋体"/>
          <w:color w:val="auto"/>
          <w:sz w:val="24"/>
          <w:szCs w:val="24"/>
          <w:highlight w:val="none"/>
          <w:lang w:val="en-US" w:eastAsia="zh-CN"/>
        </w:rPr>
        <w:t>2</w:t>
      </w:r>
      <w:r>
        <w:rPr>
          <w:rFonts w:cs="宋体"/>
          <w:color w:val="auto"/>
          <w:sz w:val="24"/>
          <w:szCs w:val="24"/>
          <w:highlight w:val="none"/>
        </w:rPr>
        <w:t>.2会议期间工作标准</w:t>
      </w:r>
    </w:p>
    <w:p w14:paraId="4BC7844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①当2个及以上的会议同时召开时，要问清与会人员参加会议的内容，防止走错会议室。</w:t>
      </w:r>
    </w:p>
    <w:p w14:paraId="3FA96681">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②与会人员到达即面带微笑、举止大方、迎客入座。</w:t>
      </w:r>
    </w:p>
    <w:p w14:paraId="6A08D02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③与会人员入座后，即提供茶水。</w:t>
      </w:r>
    </w:p>
    <w:p w14:paraId="6C50AC26">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④提供茶水的顺序是先主宾后主人，然后顺时针方向提供茶水。</w:t>
      </w:r>
    </w:p>
    <w:p w14:paraId="2976A018">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⑤托盘送茶。托盘距离客人背后30公分左右操作并注意客人动态（以防客人撞翻托盘），先放杯垫，再将茶杯放</w:t>
      </w:r>
      <w:r>
        <w:rPr>
          <w:rFonts w:hint="eastAsia" w:cs="宋体"/>
          <w:color w:val="auto"/>
          <w:sz w:val="24"/>
          <w:szCs w:val="24"/>
          <w:highlight w:val="none"/>
          <w:lang w:val="en-US" w:eastAsia="zh-CN"/>
        </w:rPr>
        <w:t>于</w:t>
      </w:r>
      <w:r>
        <w:rPr>
          <w:rFonts w:cs="宋体"/>
          <w:color w:val="auto"/>
          <w:sz w:val="24"/>
          <w:szCs w:val="24"/>
          <w:highlight w:val="none"/>
        </w:rPr>
        <w:t>杯垫之上。服务中做到忙而不乱，迅速正确</w:t>
      </w:r>
      <w:r>
        <w:rPr>
          <w:rFonts w:hint="eastAsia" w:cs="宋体"/>
          <w:color w:val="auto"/>
          <w:sz w:val="24"/>
          <w:szCs w:val="24"/>
          <w:highlight w:val="none"/>
          <w:lang w:val="en-US" w:eastAsia="zh-CN"/>
        </w:rPr>
        <w:t>地</w:t>
      </w:r>
      <w:r>
        <w:rPr>
          <w:rFonts w:cs="宋体"/>
          <w:color w:val="auto"/>
          <w:sz w:val="24"/>
          <w:szCs w:val="24"/>
          <w:highlight w:val="none"/>
        </w:rPr>
        <w:t>将茶水送到客人面前，茶杯摆放声音要轻，茶柄朝左且成90°角。</w:t>
      </w:r>
    </w:p>
    <w:p w14:paraId="6D6B90DD">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⑥递茶给宾客时，切忌手指接触茶杯口。</w:t>
      </w:r>
    </w:p>
    <w:p w14:paraId="5039A3CA">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⑦服务员在会议期间第一次添加茶水为15分钟，之后为每15-20分钟一次，如有特殊要求的，可根据需要调整添加茶水的频次。</w:t>
      </w:r>
    </w:p>
    <w:p w14:paraId="24AF5240">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⑧服务人员在倒水时仔细观察会议室的灯光、音响、空调，如需调整，及时联系相关人员。</w:t>
      </w:r>
    </w:p>
    <w:p w14:paraId="0C7695C9">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⑨会议开始后一小时在会议室门口提供站立服务，之后在会场外巡视。如有紧急事项</w:t>
      </w:r>
      <w:r>
        <w:rPr>
          <w:rFonts w:hint="eastAsia" w:cs="宋体"/>
          <w:color w:val="auto"/>
          <w:sz w:val="24"/>
          <w:szCs w:val="24"/>
          <w:highlight w:val="none"/>
          <w:lang w:val="en-US" w:eastAsia="zh-CN"/>
        </w:rPr>
        <w:t>需要</w:t>
      </w:r>
      <w:r>
        <w:rPr>
          <w:rFonts w:cs="宋体"/>
          <w:color w:val="auto"/>
          <w:sz w:val="24"/>
          <w:szCs w:val="24"/>
          <w:highlight w:val="none"/>
        </w:rPr>
        <w:t>找人，服务员可用纸条形式传递信息。</w:t>
      </w:r>
    </w:p>
    <w:p w14:paraId="7CB5199C">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hint="eastAsia" w:cs="宋体"/>
          <w:color w:val="auto"/>
          <w:sz w:val="24"/>
          <w:szCs w:val="24"/>
          <w:highlight w:val="none"/>
          <w:lang w:val="en-US" w:eastAsia="zh-CN"/>
        </w:rPr>
        <w:t>3</w:t>
      </w:r>
      <w:r>
        <w:rPr>
          <w:rFonts w:cs="宋体"/>
          <w:color w:val="auto"/>
          <w:sz w:val="24"/>
          <w:szCs w:val="24"/>
          <w:highlight w:val="none"/>
        </w:rPr>
        <w:t>.</w:t>
      </w:r>
      <w:r>
        <w:rPr>
          <w:rFonts w:hint="eastAsia" w:cs="宋体"/>
          <w:color w:val="auto"/>
          <w:sz w:val="24"/>
          <w:szCs w:val="24"/>
          <w:highlight w:val="none"/>
          <w:lang w:val="en-US" w:eastAsia="zh-CN"/>
        </w:rPr>
        <w:t>2</w:t>
      </w:r>
      <w:r>
        <w:rPr>
          <w:rFonts w:cs="宋体"/>
          <w:color w:val="auto"/>
          <w:sz w:val="24"/>
          <w:szCs w:val="24"/>
          <w:highlight w:val="none"/>
        </w:rPr>
        <w:t>.3会议结束后工作标准</w:t>
      </w:r>
    </w:p>
    <w:p w14:paraId="32B55B98">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①会议结束时，服务员应立即开启会议室门并在门口立岗送客。</w:t>
      </w:r>
    </w:p>
    <w:p w14:paraId="6BD9027D">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②检查会议室内是否有遗忘的物品，如发现应及时交还或上交</w:t>
      </w:r>
      <w:r>
        <w:rPr>
          <w:rFonts w:hint="eastAsia" w:cs="宋体"/>
          <w:color w:val="auto"/>
          <w:sz w:val="24"/>
          <w:szCs w:val="24"/>
          <w:highlight w:val="none"/>
          <w:lang w:eastAsia="zh-CN"/>
        </w:rPr>
        <w:t>。</w:t>
      </w:r>
    </w:p>
    <w:p w14:paraId="199DE23F">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③清理会议室桌上的资料、茶杯等物品并将这些物品送入茶水间进行清洗消毒。</w:t>
      </w:r>
    </w:p>
    <w:p w14:paraId="2B1D82BF">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④清洁会议室卫生，为下次会议做好准备工作。</w:t>
      </w:r>
    </w:p>
    <w:p w14:paraId="5521F727">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cs="宋体"/>
          <w:color w:val="auto"/>
          <w:sz w:val="24"/>
          <w:szCs w:val="24"/>
          <w:highlight w:val="none"/>
        </w:rPr>
        <w:t>⑤关闭照明等电器设备，锁好会议室门。</w:t>
      </w:r>
    </w:p>
    <w:p w14:paraId="73BF0F14">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eastAsia="宋体" w:cs="宋体"/>
          <w:color w:val="auto"/>
          <w:sz w:val="24"/>
          <w:szCs w:val="24"/>
          <w:highlight w:val="none"/>
          <w:lang w:eastAsia="zh-CN"/>
        </w:rPr>
      </w:pPr>
      <w:r>
        <w:rPr>
          <w:rFonts w:hint="eastAsia" w:cs="宋体"/>
          <w:color w:val="auto"/>
          <w:sz w:val="24"/>
          <w:szCs w:val="24"/>
          <w:highlight w:val="none"/>
          <w:lang w:val="en-US" w:eastAsia="zh-CN"/>
        </w:rPr>
        <w:t>3</w:t>
      </w:r>
      <w:r>
        <w:rPr>
          <w:rFonts w:cs="宋体"/>
          <w:color w:val="auto"/>
          <w:sz w:val="24"/>
          <w:szCs w:val="24"/>
          <w:highlight w:val="none"/>
        </w:rPr>
        <w:t>.</w:t>
      </w:r>
      <w:r>
        <w:rPr>
          <w:rFonts w:hint="eastAsia" w:cs="宋体"/>
          <w:color w:val="auto"/>
          <w:sz w:val="24"/>
          <w:szCs w:val="24"/>
          <w:highlight w:val="none"/>
          <w:lang w:val="en-US" w:eastAsia="zh-CN"/>
        </w:rPr>
        <w:t>2</w:t>
      </w:r>
      <w:r>
        <w:rPr>
          <w:rFonts w:cs="宋体"/>
          <w:color w:val="auto"/>
          <w:sz w:val="24"/>
          <w:szCs w:val="24"/>
          <w:highlight w:val="none"/>
        </w:rPr>
        <w:t>.4日常清洁工作标准</w:t>
      </w:r>
    </w:p>
    <w:p w14:paraId="78D989B3">
      <w:pPr>
        <w:pStyle w:val="253"/>
        <w:keepNext w:val="0"/>
        <w:keepLines w:val="0"/>
        <w:pageBreakBefore w:val="0"/>
        <w:kinsoku/>
        <w:wordWrap/>
        <w:overflowPunct/>
        <w:topLinePunct w:val="0"/>
        <w:autoSpaceDE/>
        <w:autoSpaceDN/>
        <w:bidi w:val="0"/>
        <w:adjustRightInd/>
        <w:snapToGrid/>
        <w:spacing w:line="500" w:lineRule="exact"/>
        <w:ind w:firstLine="480"/>
        <w:textAlignment w:val="auto"/>
        <w:rPr>
          <w:rFonts w:cs="宋体"/>
          <w:color w:val="auto"/>
          <w:sz w:val="24"/>
          <w:szCs w:val="24"/>
          <w:highlight w:val="none"/>
        </w:rPr>
      </w:pPr>
      <w:r>
        <w:rPr>
          <w:rFonts w:cs="宋体"/>
          <w:color w:val="auto"/>
          <w:sz w:val="24"/>
          <w:szCs w:val="24"/>
          <w:highlight w:val="none"/>
        </w:rPr>
        <w:t>①会议室未进行会议期间，服务人员必须进行日常打扫工作。</w:t>
      </w:r>
    </w:p>
    <w:p w14:paraId="24A032F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cs="宋体"/>
          <w:color w:val="auto"/>
          <w:sz w:val="24"/>
          <w:szCs w:val="24"/>
          <w:highlight w:val="none"/>
        </w:rPr>
        <w:t>②擦拭会议室中的桌、椅、门、茶几、柜、窗台、装饰板，做到无尘、无污渍。</w:t>
      </w:r>
    </w:p>
    <w:p w14:paraId="75D9F89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4</w:t>
      </w:r>
      <w:r>
        <w:rPr>
          <w:rFonts w:ascii="宋体" w:hAnsi="宋体" w:cs="宋体"/>
          <w:b/>
          <w:color w:val="auto"/>
          <w:sz w:val="24"/>
          <w:szCs w:val="24"/>
          <w:highlight w:val="none"/>
        </w:rPr>
        <w:t>、</w:t>
      </w:r>
      <w:r>
        <w:rPr>
          <w:rFonts w:hint="eastAsia" w:ascii="宋体" w:hAnsi="宋体" w:eastAsia="宋体" w:cs="宋体"/>
          <w:b/>
          <w:bCs/>
          <w:color w:val="auto"/>
          <w:sz w:val="24"/>
          <w:highlight w:val="none"/>
        </w:rPr>
        <w:t>工程服务保障</w:t>
      </w:r>
    </w:p>
    <w:p w14:paraId="50087D9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4.1总体要求</w:t>
      </w:r>
    </w:p>
    <w:p w14:paraId="44A7CCE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确保设备设施正常使用、运行，做到维护到位、响应及时、保障得力。</w:t>
      </w:r>
    </w:p>
    <w:p w14:paraId="0B4FA7D3">
      <w:pPr>
        <w:pStyle w:val="252"/>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①负责水、电等设备设施的管理与巡查工作。</w:t>
      </w:r>
    </w:p>
    <w:p w14:paraId="6138B6C8">
      <w:pPr>
        <w:pStyle w:val="252"/>
        <w:keepNext w:val="0"/>
        <w:keepLines w:val="0"/>
        <w:pageBreakBefore w:val="0"/>
        <w:kinsoku/>
        <w:wordWrap/>
        <w:overflowPunct/>
        <w:topLinePunct w:val="0"/>
        <w:autoSpaceDE/>
        <w:autoSpaceDN/>
        <w:bidi w:val="0"/>
        <w:adjustRightInd/>
        <w:snapToGrid/>
        <w:spacing w:line="500" w:lineRule="exact"/>
        <w:textAlignment w:val="auto"/>
        <w:rPr>
          <w:rFonts w:ascii="宋体" w:hAnsi="宋体" w:cs="宋体"/>
          <w:color w:val="auto"/>
          <w:sz w:val="24"/>
          <w:szCs w:val="24"/>
          <w:highlight w:val="none"/>
        </w:rPr>
      </w:pPr>
      <w:r>
        <w:rPr>
          <w:rFonts w:ascii="宋体" w:hAnsi="宋体" w:cs="宋体"/>
          <w:color w:val="auto"/>
          <w:sz w:val="24"/>
          <w:szCs w:val="24"/>
          <w:highlight w:val="none"/>
        </w:rPr>
        <w:t xml:space="preserve">    ②负责水、电、门窗等维修工作。</w:t>
      </w:r>
    </w:p>
    <w:p w14:paraId="3EB029E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③负责组织并督促专业设备设施维保单位定期开展维保工作、及时修复隐患故障。</w:t>
      </w:r>
    </w:p>
    <w:p w14:paraId="6C0B461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rPr>
        <w:t>④</w:t>
      </w:r>
      <w:r>
        <w:rPr>
          <w:rFonts w:ascii="宋体" w:hAnsi="宋体" w:cs="宋体"/>
          <w:color w:val="auto"/>
          <w:sz w:val="24"/>
          <w:szCs w:val="24"/>
          <w:highlight w:val="none"/>
        </w:rPr>
        <w:t>负责督促院内施工单位安全、文明施工，不得影响</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办公秩序。</w:t>
      </w:r>
    </w:p>
    <w:p w14:paraId="6E219DB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w:t>
      </w:r>
      <w:r>
        <w:rPr>
          <w:rFonts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工作要求</w:t>
      </w:r>
    </w:p>
    <w:p w14:paraId="56C36F3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①故障处置要求：通过日常巡查维护保养，保证各类设备设施正常运行，遇突发故障，5分钟赶到现场，一般故障30分钟内处置完毕，较大故障24小时内处置完毕，重大故障1周内处置完毕。</w:t>
      </w:r>
    </w:p>
    <w:p w14:paraId="2E48056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②设备用房卫生要求：每周清扫地面及擦拭设备设施表面1次以上</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要求地面干燥无积灰，设备设施表面无污渍、无锈蚀，玻璃窗户无污迹，无水珠，无手印，所有指示牌标识牌无灰尘无污迹，总体目视设备用房干净、无垃圾、无灰尘、无蛛网。</w:t>
      </w:r>
    </w:p>
    <w:p w14:paraId="64483D4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③强电要求：配电房每天检查1次，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p>
    <w:p w14:paraId="27B1FD5E">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④地下排污泵要求：做好各排污泵的维护保养工作，对排污泵手动开启测试检查平时每周1次，雨季每天检测1次。做好巡查记录，记录需填写端正详细。</w:t>
      </w:r>
    </w:p>
    <w:p w14:paraId="21AB60D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⑤公共照明系统要求：卫生间、茶水间、会议室和各大型会议室照明完好率应达100%，室外照明、楼道照明、过道照明完好率应达100%。</w:t>
      </w:r>
    </w:p>
    <w:p w14:paraId="1357C40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⑥会务保障要求：会前2小时对会议室照明配电系统检查，确保配电设施完好率100%</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重大会议在会前一天对会议室内进行全面检查，并在会议期间要有专业人员现场待命。</w:t>
      </w:r>
    </w:p>
    <w:p w14:paraId="22389AF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⑦消防、给排水系统要求：加强巡查，及时维修，确保无跑、冒、滴、漏现象，管道、阀门无锈蚀。</w:t>
      </w:r>
    </w:p>
    <w:p w14:paraId="55230E22">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⑧协助</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管理各专业维保公司（电梯、</w:t>
      </w:r>
      <w:r>
        <w:rPr>
          <w:rFonts w:hint="eastAsia" w:ascii="宋体" w:hAnsi="宋体" w:cs="宋体"/>
          <w:color w:val="auto"/>
          <w:sz w:val="24"/>
          <w:szCs w:val="24"/>
          <w:highlight w:val="none"/>
          <w:lang w:val="en-US" w:eastAsia="zh-CN"/>
        </w:rPr>
        <w:t>消防</w:t>
      </w:r>
      <w:r>
        <w:rPr>
          <w:rFonts w:ascii="宋体" w:hAnsi="宋体" w:cs="宋体"/>
          <w:color w:val="auto"/>
          <w:sz w:val="24"/>
          <w:szCs w:val="24"/>
          <w:highlight w:val="none"/>
        </w:rPr>
        <w:t>、绿化等第三方服务公司）要求：督促检查相关维保单位进行定期保养与维护、检测与年检等工作，设备设施出现故障，第一时间联系对应维保单位，跟踪维修进度，检查维修结果，确保及时修复。</w:t>
      </w:r>
    </w:p>
    <w:p w14:paraId="30DB6F08">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ascii="宋体" w:hAnsi="宋体" w:cs="宋体"/>
          <w:b/>
          <w:bCs/>
          <w:color w:val="auto"/>
          <w:sz w:val="24"/>
          <w:szCs w:val="24"/>
          <w:highlight w:val="none"/>
        </w:rPr>
        <w:t>.3其它有关说明</w:t>
      </w:r>
    </w:p>
    <w:p w14:paraId="7131BE5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①设施设备维护修复工作以不影响</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办公秩序为前提。在维护修复过程中，相关人员必须在做好维修区域防护及警示措施后方可进行工作。维修完毕，立即清理现场。</w:t>
      </w:r>
    </w:p>
    <w:p w14:paraId="27CD1B25">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auto"/>
          <w:sz w:val="24"/>
          <w:szCs w:val="24"/>
          <w:highlight w:val="none"/>
        </w:rPr>
      </w:pPr>
      <w:r>
        <w:rPr>
          <w:rFonts w:ascii="宋体" w:hAnsi="宋体" w:cs="宋体"/>
          <w:color w:val="auto"/>
          <w:sz w:val="24"/>
          <w:szCs w:val="24"/>
          <w:highlight w:val="none"/>
        </w:rPr>
        <w:t>②设施设备维修或更新的耗材由</w:t>
      </w:r>
      <w:r>
        <w:rPr>
          <w:rFonts w:hint="eastAsia" w:ascii="宋体" w:hAnsi="宋体" w:cs="宋体"/>
          <w:color w:val="auto"/>
          <w:sz w:val="24"/>
          <w:szCs w:val="24"/>
          <w:highlight w:val="none"/>
          <w:lang w:eastAsia="zh-CN"/>
        </w:rPr>
        <w:t>采购人</w:t>
      </w:r>
      <w:r>
        <w:rPr>
          <w:rFonts w:ascii="宋体" w:hAnsi="宋体" w:cs="宋体"/>
          <w:color w:val="auto"/>
          <w:sz w:val="24"/>
          <w:szCs w:val="24"/>
          <w:highlight w:val="none"/>
        </w:rPr>
        <w:t>提供。因物管工作需要的各种维修工具、专业工具、劳保用品均由</w:t>
      </w:r>
      <w:r>
        <w:rPr>
          <w:rFonts w:hint="eastAsia" w:ascii="宋体" w:hAnsi="宋体" w:cs="宋体"/>
          <w:color w:val="auto"/>
          <w:sz w:val="24"/>
          <w:szCs w:val="24"/>
          <w:highlight w:val="none"/>
          <w:lang w:eastAsia="zh-CN"/>
        </w:rPr>
        <w:t>供应商</w:t>
      </w:r>
      <w:r>
        <w:rPr>
          <w:rFonts w:ascii="宋体" w:hAnsi="宋体" w:cs="宋体"/>
          <w:color w:val="auto"/>
          <w:sz w:val="24"/>
          <w:szCs w:val="24"/>
          <w:highlight w:val="none"/>
        </w:rPr>
        <w:t>购置并承担费用。</w:t>
      </w:r>
    </w:p>
    <w:p w14:paraId="2C322BAC">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5</w:t>
      </w:r>
      <w:r>
        <w:rPr>
          <w:rFonts w:hint="eastAsia" w:ascii="宋体" w:hAnsi="宋体" w:eastAsia="宋体" w:cs="宋体"/>
          <w:b/>
          <w:color w:val="auto"/>
          <w:sz w:val="24"/>
          <w:szCs w:val="24"/>
          <w:highlight w:val="none"/>
          <w:lang w:val="en-US" w:eastAsia="zh-CN"/>
        </w:rPr>
        <w:t>、绿化养护</w:t>
      </w:r>
    </w:p>
    <w:p w14:paraId="194761A8">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.1除草</w:t>
      </w:r>
    </w:p>
    <w:p w14:paraId="5FC59004">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①草坪除草：一年5次，分别是2至3月一次、4至5月一次、6月一次、7至8月一次、10月—次。</w:t>
      </w:r>
    </w:p>
    <w:p w14:paraId="2CF2B02B">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质量标准：杂草连根拔除，拔除的杂草及时清除，草坪纯度保持在90％以上；使用化学药剂除草，请教园艺部门技术人员后进行。</w:t>
      </w:r>
    </w:p>
    <w:p w14:paraId="698D1DB2">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②地被植物除草，视杂草生长情况决定除草次数和除草方式(削、拔)。质量：基本控制在无杂草状态；拔、削除的杂草及时清除。</w:t>
      </w:r>
    </w:p>
    <w:p w14:paraId="595394DD">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.2修剪</w:t>
      </w:r>
    </w:p>
    <w:p w14:paraId="2DE01D2F">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①整形树修剪：一年两次，分别是3月中旬一次、8月左右一次。</w:t>
      </w:r>
    </w:p>
    <w:p w14:paraId="28B3C977">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质量标准：剪下的树叶及时清除，保持整形的几何面基本平整，枯枝剪除。</w:t>
      </w:r>
    </w:p>
    <w:p w14:paraId="2B30C930">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②绿篱修剪：一年四次，分别是4月中旬一次、5至6月一次、7至8月一次、9月后一次。</w:t>
      </w:r>
    </w:p>
    <w:p w14:paraId="2B50BC7B">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质量标准：剪下的枝叶及时清除，保持篱面基本平整，大部分枝条长短差不超过2-100px，枯枝剪除，夹于绿篱间杂树及时清除。</w:t>
      </w:r>
    </w:p>
    <w:p w14:paraId="13DB4F62">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③灌木修剪：一年一次。夏季开花的于冬季进行，春季开花的于花后进行。蜡梅、梅花、桃花、红叶李、紫薇等必须每年一次。</w:t>
      </w:r>
    </w:p>
    <w:p w14:paraId="40C2B6A4">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④一般树木修剪，必须按美观原则，随时进行。</w:t>
      </w:r>
    </w:p>
    <w:p w14:paraId="0A5548F5">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.3病虫防治</w:t>
      </w:r>
    </w:p>
    <w:p w14:paraId="0FAA10D4">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视病虫发生情况及时进行，确保无病虫害发生。</w:t>
      </w:r>
    </w:p>
    <w:p w14:paraId="40F7B703">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.4清除枯枝死树</w:t>
      </w:r>
    </w:p>
    <w:p w14:paraId="13ABECD4">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凡清理下的枯枝死树必须放到指定地点，并堆放整齐。</w:t>
      </w:r>
    </w:p>
    <w:p w14:paraId="14EBCDF3">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①乔木的清除枯枝工作：高大行道树的清洁工作及时进行，不得挂树一周以上。</w:t>
      </w:r>
    </w:p>
    <w:p w14:paraId="1E9A8BC7">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②灌木绿篱的清除枯枝工作，应随时进行，不得超过一周以上。</w:t>
      </w:r>
    </w:p>
    <w:p w14:paraId="0C39842E">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③死树：一经发现随时清除。</w:t>
      </w:r>
    </w:p>
    <w:p w14:paraId="5D2D3B00">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.5抗风扶正</w:t>
      </w:r>
    </w:p>
    <w:p w14:paraId="16A423F1">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①由于各种原因，行道树或其它乔木树干倾斜度超过10％以上的必须予以扶正。确实难以扶正的，要加以支撑防止加重倾斜。</w:t>
      </w:r>
    </w:p>
    <w:p w14:paraId="20323949">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②在暴风雨来临之前，及时做好抗风准备工作，对易倒伏的树木予以支撑保护，已被大风倾倒的树木，在一周内予以扶正。</w:t>
      </w:r>
    </w:p>
    <w:p w14:paraId="60F8B90E">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.6浇水施肥</w:t>
      </w:r>
    </w:p>
    <w:p w14:paraId="2342F05E">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①一般树木施肥，在冬季之前施肥一次，开沟施肥，施后覆土。</w:t>
      </w:r>
    </w:p>
    <w:p w14:paraId="6EFC472F">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②地被植物施肥：一年二次，草坪可在下雨之前以化肥为主撒肥，时间在3、5月与10月。天晴施肥必须随后喷水，以防肥伤。</w:t>
      </w:r>
    </w:p>
    <w:p w14:paraId="1C632A5E">
      <w:pPr>
        <w:keepNext w:val="0"/>
        <w:keepLines w:val="0"/>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③各种花草树木的浇水根据天气干旱情况适时进行。</w:t>
      </w:r>
    </w:p>
    <w:p w14:paraId="21AC697F">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rPr>
        <w:t>、档案、资料管理</w:t>
      </w:r>
    </w:p>
    <w:p w14:paraId="7623CFC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加强物业档案和资料管理。包括：业主投诉和意见档案、安全管理记录档案、清洁卫生管理档案、</w:t>
      </w:r>
      <w:r>
        <w:rPr>
          <w:rFonts w:hint="eastAsia" w:ascii="宋体" w:hAnsi="宋体" w:eastAsia="宋体" w:cs="宋体"/>
          <w:b w:val="0"/>
          <w:bCs w:val="0"/>
          <w:color w:val="auto"/>
          <w:sz w:val="24"/>
          <w:szCs w:val="24"/>
          <w:highlight w:val="none"/>
          <w:lang w:val="en-US" w:eastAsia="zh-CN"/>
        </w:rPr>
        <w:t>安全保卫管理档案、</w:t>
      </w:r>
      <w:r>
        <w:rPr>
          <w:rFonts w:hint="eastAsia" w:ascii="宋体" w:hAnsi="宋体" w:eastAsia="宋体" w:cs="宋体"/>
          <w:b w:val="0"/>
          <w:bCs w:val="0"/>
          <w:color w:val="auto"/>
          <w:sz w:val="24"/>
          <w:highlight w:val="none"/>
        </w:rPr>
        <w:t>工程服务保障</w:t>
      </w:r>
      <w:r>
        <w:rPr>
          <w:rFonts w:hint="eastAsia" w:ascii="宋体" w:hAnsi="宋体" w:eastAsia="宋体" w:cs="宋体"/>
          <w:b w:val="0"/>
          <w:bCs w:val="0"/>
          <w:color w:val="auto"/>
          <w:sz w:val="24"/>
          <w:highlight w:val="none"/>
          <w:lang w:val="en-US" w:eastAsia="zh-CN"/>
        </w:rPr>
        <w:t>管理档案、</w:t>
      </w:r>
      <w:r>
        <w:rPr>
          <w:rFonts w:hint="eastAsia" w:ascii="宋体" w:hAnsi="宋体" w:eastAsia="宋体" w:cs="宋体"/>
          <w:color w:val="auto"/>
          <w:sz w:val="24"/>
          <w:szCs w:val="24"/>
          <w:highlight w:val="none"/>
        </w:rPr>
        <w:t>物业人事管理及人员培训档案等，以及具体的管理方案。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必须运用计算机管理，确保所有档案保存完整、管理完善、交接手续完备、检索方便准确。</w:t>
      </w:r>
    </w:p>
    <w:p w14:paraId="34FF072A">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rPr>
        <w:t>、建立健全物业管理制度</w:t>
      </w:r>
    </w:p>
    <w:p w14:paraId="14208267">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具体情况，</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应制定企业详细的内部管理制度、日常服务的运作管理制度等相关制度。项目</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负责物业全面管理工作，督促各项服务（制度）的落实。制度至少应包括：</w:t>
      </w:r>
    </w:p>
    <w:p w14:paraId="40DC1ACC">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①物业管理员工行为规范；</w:t>
      </w:r>
    </w:p>
    <w:p w14:paraId="067BE741">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②管理人员岗位职责；</w:t>
      </w:r>
    </w:p>
    <w:p w14:paraId="1FB40D0B">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③保洁工作职责；</w:t>
      </w:r>
    </w:p>
    <w:p w14:paraId="60D3B06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④会议接待工作职责</w:t>
      </w:r>
      <w:r>
        <w:rPr>
          <w:rFonts w:hint="eastAsia" w:ascii="宋体" w:hAnsi="宋体" w:eastAsia="宋体" w:cs="宋体"/>
          <w:color w:val="auto"/>
          <w:sz w:val="24"/>
          <w:szCs w:val="24"/>
          <w:highlight w:val="none"/>
          <w:lang w:eastAsia="zh-CN"/>
        </w:rPr>
        <w:t>；</w:t>
      </w:r>
    </w:p>
    <w:p w14:paraId="3F27B61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⑤治安保卫</w:t>
      </w:r>
      <w:r>
        <w:rPr>
          <w:rFonts w:hint="eastAsia" w:ascii="宋体" w:hAnsi="宋体" w:eastAsia="宋体" w:cs="宋体"/>
          <w:color w:val="auto"/>
          <w:sz w:val="24"/>
          <w:szCs w:val="24"/>
          <w:highlight w:val="none"/>
          <w:lang w:val="en-US" w:eastAsia="zh-CN"/>
        </w:rPr>
        <w:t>工作职责；</w:t>
      </w:r>
    </w:p>
    <w:p w14:paraId="363385E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⑥工程服务保障</w:t>
      </w:r>
      <w:r>
        <w:rPr>
          <w:rFonts w:hint="eastAsia" w:ascii="宋体" w:hAnsi="宋体" w:eastAsia="宋体" w:cs="宋体"/>
          <w:color w:val="auto"/>
          <w:sz w:val="24"/>
          <w:szCs w:val="24"/>
          <w:highlight w:val="none"/>
          <w:lang w:val="en-US" w:eastAsia="zh-CN"/>
        </w:rPr>
        <w:t>工作职责；</w:t>
      </w:r>
    </w:p>
    <w:p w14:paraId="5BB3EF00">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⑦管理人员、操作人员考核细则（百分考核）；</w:t>
      </w:r>
    </w:p>
    <w:p w14:paraId="03D8CBA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⑧考核奖惩制度；</w:t>
      </w:r>
    </w:p>
    <w:p w14:paraId="22D1C764">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⑨综合服务制度；</w:t>
      </w:r>
    </w:p>
    <w:p w14:paraId="050FBFD3">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⑩工作流程、巡视检查、维护修复、安全管理及交接班等制度；</w:t>
      </w:r>
    </w:p>
    <w:p w14:paraId="21044819">
      <w:pPr>
        <w:pStyle w:val="252"/>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⑪其他制度。</w:t>
      </w:r>
    </w:p>
    <w:p w14:paraId="2464C990">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服务人员要求</w:t>
      </w:r>
    </w:p>
    <w:p w14:paraId="1EB45225">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1、人员数量</w:t>
      </w:r>
      <w:r>
        <w:rPr>
          <w:rFonts w:hint="eastAsia" w:ascii="宋体" w:hAnsi="宋体" w:eastAsia="宋体" w:cs="宋体"/>
          <w:b/>
          <w:color w:val="auto"/>
          <w:sz w:val="24"/>
          <w:szCs w:val="24"/>
          <w:highlight w:val="none"/>
          <w:lang w:eastAsia="zh-CN"/>
        </w:rPr>
        <w:t>、</w:t>
      </w:r>
      <w:r>
        <w:rPr>
          <w:rFonts w:hint="eastAsia" w:ascii="宋体" w:hAnsi="宋体" w:eastAsia="宋体" w:cs="宋体"/>
          <w:b/>
          <w:bCs w:val="0"/>
          <w:color w:val="auto"/>
          <w:sz w:val="24"/>
          <w:highlight w:val="none"/>
        </w:rPr>
        <w:t>综合素质</w:t>
      </w:r>
      <w:r>
        <w:rPr>
          <w:rFonts w:hint="eastAsia" w:ascii="宋体" w:hAnsi="宋体" w:eastAsia="宋体" w:cs="宋体"/>
          <w:b/>
          <w:bCs w:val="0"/>
          <w:color w:val="auto"/>
          <w:sz w:val="24"/>
          <w:highlight w:val="none"/>
          <w:lang w:val="en-US" w:eastAsia="zh-CN"/>
        </w:rPr>
        <w:t>要求</w:t>
      </w:r>
      <w:r>
        <w:rPr>
          <w:rFonts w:hint="eastAsia" w:ascii="宋体" w:hAnsi="宋体" w:eastAsia="宋体" w:cs="宋体"/>
          <w:color w:val="auto"/>
          <w:sz w:val="24"/>
          <w:szCs w:val="24"/>
          <w:highlight w:val="none"/>
        </w:rPr>
        <w:t>（投入本项目的各类人员数量不得小于下表标准，否则作无效标书处理。）</w:t>
      </w:r>
    </w:p>
    <w:tbl>
      <w:tblPr>
        <w:tblStyle w:val="28"/>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5"/>
        <w:gridCol w:w="1394"/>
        <w:gridCol w:w="1421"/>
        <w:gridCol w:w="5191"/>
      </w:tblGrid>
      <w:tr w14:paraId="36761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4" w:hRule="atLeast"/>
          <w:jc w:val="center"/>
        </w:trPr>
        <w:tc>
          <w:tcPr>
            <w:tcW w:w="1065" w:type="dxa"/>
            <w:noWrap w:val="0"/>
            <w:vAlign w:val="center"/>
          </w:tcPr>
          <w:p w14:paraId="558C1D46">
            <w:pPr>
              <w:keepNext w:val="0"/>
              <w:keepLines w:val="0"/>
              <w:pageBreakBefore w:val="0"/>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394" w:type="dxa"/>
            <w:noWrap w:val="0"/>
            <w:vAlign w:val="center"/>
          </w:tcPr>
          <w:p w14:paraId="5CA1430A">
            <w:pPr>
              <w:keepNext w:val="0"/>
              <w:keepLines w:val="0"/>
              <w:pageBreakBefore w:val="0"/>
              <w:spacing w:line="44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岗位</w:t>
            </w:r>
          </w:p>
        </w:tc>
        <w:tc>
          <w:tcPr>
            <w:tcW w:w="1421" w:type="dxa"/>
            <w:noWrap w:val="0"/>
            <w:vAlign w:val="center"/>
          </w:tcPr>
          <w:p w14:paraId="4ACAFD96">
            <w:pPr>
              <w:keepNext w:val="0"/>
              <w:keepLines w:val="0"/>
              <w:pageBreakBefore w:val="0"/>
              <w:spacing w:line="44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数量要求</w:t>
            </w:r>
          </w:p>
        </w:tc>
        <w:tc>
          <w:tcPr>
            <w:tcW w:w="5191" w:type="dxa"/>
            <w:noWrap w:val="0"/>
            <w:vAlign w:val="center"/>
          </w:tcPr>
          <w:p w14:paraId="4AD5EF54">
            <w:pPr>
              <w:keepNext w:val="0"/>
              <w:keepLines w:val="0"/>
              <w:pageBreakBefore w:val="0"/>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综合素质要求</w:t>
            </w:r>
          </w:p>
        </w:tc>
      </w:tr>
      <w:tr w14:paraId="5B719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1065" w:type="dxa"/>
            <w:noWrap w:val="0"/>
            <w:vAlign w:val="center"/>
          </w:tcPr>
          <w:p w14:paraId="44220642">
            <w:pPr>
              <w:keepNext w:val="0"/>
              <w:keepLines w:val="0"/>
              <w:pageBreakBefore w:val="0"/>
              <w:widowControl/>
              <w:spacing w:line="44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1394" w:type="dxa"/>
            <w:noWrap w:val="0"/>
            <w:vAlign w:val="center"/>
          </w:tcPr>
          <w:p w14:paraId="4C2D8E2C">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bidi="ar"/>
              </w:rPr>
              <w:t>项目负责人</w:t>
            </w:r>
          </w:p>
        </w:tc>
        <w:tc>
          <w:tcPr>
            <w:tcW w:w="1421" w:type="dxa"/>
            <w:noWrap w:val="0"/>
            <w:vAlign w:val="center"/>
          </w:tcPr>
          <w:p w14:paraId="3FEA165E">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bidi="ar"/>
              </w:rPr>
              <w:t>1</w:t>
            </w:r>
          </w:p>
        </w:tc>
        <w:tc>
          <w:tcPr>
            <w:tcW w:w="5191" w:type="dxa"/>
            <w:noWrap w:val="0"/>
            <w:vAlign w:val="center"/>
          </w:tcPr>
          <w:p w14:paraId="2D290EF1">
            <w:pPr>
              <w:keepNext w:val="0"/>
              <w:keepLines w:val="0"/>
              <w:pageBreakBefore w:val="0"/>
              <w:spacing w:line="44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男女不限，年龄50周岁</w:t>
            </w:r>
            <w:r>
              <w:rPr>
                <w:rFonts w:hint="eastAsia" w:ascii="宋体" w:hAnsi="宋体" w:eastAsia="宋体" w:cs="宋体"/>
                <w:color w:val="auto"/>
                <w:sz w:val="24"/>
                <w:szCs w:val="24"/>
                <w:highlight w:val="none"/>
                <w:lang w:val="zh-TW" w:eastAsia="zh-CN" w:bidi="ar-SA"/>
              </w:rPr>
              <w:t>（含）</w:t>
            </w:r>
            <w:r>
              <w:rPr>
                <w:rFonts w:hint="eastAsia" w:ascii="宋体" w:hAnsi="宋体" w:eastAsia="宋体" w:cs="宋体"/>
                <w:color w:val="auto"/>
                <w:sz w:val="24"/>
                <w:szCs w:val="24"/>
                <w:highlight w:val="none"/>
                <w:lang w:val="en-US" w:eastAsia="zh-CN" w:bidi="ar-SA"/>
              </w:rPr>
              <w:t>以下，</w:t>
            </w:r>
            <w:r>
              <w:rPr>
                <w:rFonts w:hint="eastAsia" w:ascii="宋体" w:hAnsi="宋体" w:cs="宋体"/>
                <w:color w:val="auto"/>
                <w:sz w:val="24"/>
                <w:szCs w:val="24"/>
                <w:highlight w:val="none"/>
                <w:lang w:val="en-US" w:eastAsia="zh-CN" w:bidi="ar-SA"/>
              </w:rPr>
              <w:t>高中</w:t>
            </w:r>
            <w:r>
              <w:rPr>
                <w:rFonts w:hint="eastAsia" w:ascii="宋体" w:hAnsi="宋体" w:eastAsia="宋体" w:cs="宋体"/>
                <w:color w:val="auto"/>
                <w:sz w:val="24"/>
                <w:szCs w:val="24"/>
                <w:highlight w:val="none"/>
                <w:lang w:val="en-US" w:eastAsia="zh-CN" w:bidi="ar-SA"/>
              </w:rPr>
              <w:t>及以上学历，</w:t>
            </w:r>
            <w:r>
              <w:rPr>
                <w:rFonts w:hint="eastAsia" w:ascii="宋体" w:hAnsi="宋体" w:eastAsia="宋体" w:cs="宋体"/>
                <w:color w:val="auto"/>
                <w:sz w:val="24"/>
                <w:szCs w:val="24"/>
                <w:highlight w:val="none"/>
                <w:lang w:val="zh-CN" w:eastAsia="zh-CN" w:bidi="ar-SA"/>
              </w:rPr>
              <w:t>有一定的</w:t>
            </w:r>
            <w:r>
              <w:rPr>
                <w:rFonts w:hint="eastAsia" w:ascii="宋体" w:hAnsi="宋体" w:eastAsia="宋体" w:cs="宋体"/>
                <w:color w:val="auto"/>
                <w:sz w:val="24"/>
                <w:szCs w:val="24"/>
                <w:highlight w:val="none"/>
                <w:lang w:val="en-US" w:eastAsia="zh-CN" w:bidi="ar-SA"/>
              </w:rPr>
              <w:t>物业管理工作经验，有较强的组织领导能力和协调能力。负责所有区域的工作分配任务。</w:t>
            </w:r>
          </w:p>
        </w:tc>
      </w:tr>
      <w:tr w14:paraId="489A8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65" w:type="dxa"/>
            <w:noWrap w:val="0"/>
            <w:vAlign w:val="center"/>
          </w:tcPr>
          <w:p w14:paraId="2F8E5D1E">
            <w:pPr>
              <w:keepNext w:val="0"/>
              <w:keepLines w:val="0"/>
              <w:pageBreakBefore w:val="0"/>
              <w:widowControl/>
              <w:spacing w:line="44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w:t>
            </w:r>
          </w:p>
        </w:tc>
        <w:tc>
          <w:tcPr>
            <w:tcW w:w="1394" w:type="dxa"/>
            <w:shd w:val="clear" w:color="auto" w:fill="auto"/>
            <w:noWrap w:val="0"/>
            <w:vAlign w:val="center"/>
          </w:tcPr>
          <w:p w14:paraId="1732FEF8">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
              </w:rPr>
              <w:t>保安员</w:t>
            </w:r>
          </w:p>
        </w:tc>
        <w:tc>
          <w:tcPr>
            <w:tcW w:w="1421" w:type="dxa"/>
            <w:shd w:val="clear" w:color="auto" w:fill="auto"/>
            <w:noWrap w:val="0"/>
            <w:vAlign w:val="center"/>
          </w:tcPr>
          <w:p w14:paraId="751A929F">
            <w:pPr>
              <w:keepNext w:val="0"/>
              <w:keepLines w:val="0"/>
              <w:pageBreakBefore w:val="0"/>
              <w:widowControl/>
              <w:spacing w:line="440" w:lineRule="exact"/>
              <w:jc w:val="center"/>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
              </w:rPr>
              <w:t>25</w:t>
            </w:r>
          </w:p>
        </w:tc>
        <w:tc>
          <w:tcPr>
            <w:tcW w:w="5191" w:type="dxa"/>
            <w:shd w:val="clear" w:color="auto" w:fill="auto"/>
            <w:noWrap w:val="0"/>
            <w:vAlign w:val="center"/>
          </w:tcPr>
          <w:p w14:paraId="22154ECF">
            <w:pPr>
              <w:keepNext w:val="0"/>
              <w:keepLines w:val="0"/>
              <w:pageBreakBefore w:val="0"/>
              <w:tabs>
                <w:tab w:val="left" w:pos="2320"/>
              </w:tabs>
              <w:spacing w:line="440" w:lineRule="exact"/>
              <w:ind w:right="-67" w:right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其中1人任保安队长。男性，法定退休年龄以内，初中及以上学历</w:t>
            </w:r>
            <w:r>
              <w:rPr>
                <w:rFonts w:hint="eastAsia" w:ascii="宋体" w:hAnsi="宋体" w:cs="宋体"/>
                <w:color w:val="auto"/>
                <w:sz w:val="24"/>
                <w:szCs w:val="24"/>
                <w:highlight w:val="none"/>
                <w:lang w:val="en-US" w:eastAsia="zh-CN" w:bidi="ar-SA"/>
              </w:rPr>
              <w:t>，</w:t>
            </w:r>
            <w:r>
              <w:rPr>
                <w:rFonts w:hint="eastAsia" w:ascii="宋体" w:hAnsi="宋体" w:eastAsia="宋体" w:cs="宋体"/>
                <w:bCs/>
                <w:color w:val="auto"/>
                <w:sz w:val="24"/>
                <w:szCs w:val="24"/>
                <w:highlight w:val="none"/>
                <w:lang w:bidi="ar"/>
              </w:rPr>
              <w:t>持有公安部门颁发的保安资格证</w:t>
            </w:r>
            <w:r>
              <w:rPr>
                <w:rFonts w:hint="eastAsia" w:ascii="宋体" w:hAnsi="宋体" w:cs="宋体"/>
                <w:bCs/>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SA"/>
              </w:rPr>
              <w:t>具有一定的物业管理安全工作经验，具有一定的突发情况处理经验，退伍军人优先。工作地点服从采购人安排。</w:t>
            </w:r>
          </w:p>
        </w:tc>
      </w:tr>
      <w:tr w14:paraId="12491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1065" w:type="dxa"/>
            <w:noWrap w:val="0"/>
            <w:vAlign w:val="center"/>
          </w:tcPr>
          <w:p w14:paraId="5A2EB9E9">
            <w:pPr>
              <w:keepNext w:val="0"/>
              <w:keepLines w:val="0"/>
              <w:pageBreakBefore w:val="0"/>
              <w:widowControl/>
              <w:spacing w:line="44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w:t>
            </w:r>
          </w:p>
        </w:tc>
        <w:tc>
          <w:tcPr>
            <w:tcW w:w="1394" w:type="dxa"/>
            <w:shd w:val="clear" w:color="auto" w:fill="auto"/>
            <w:noWrap w:val="0"/>
            <w:vAlign w:val="center"/>
          </w:tcPr>
          <w:p w14:paraId="1AC3440E">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
              </w:rPr>
              <w:t>保洁员</w:t>
            </w:r>
          </w:p>
        </w:tc>
        <w:tc>
          <w:tcPr>
            <w:tcW w:w="1421" w:type="dxa"/>
            <w:shd w:val="clear" w:color="auto" w:fill="auto"/>
            <w:noWrap w:val="0"/>
            <w:vAlign w:val="center"/>
          </w:tcPr>
          <w:p w14:paraId="14486107">
            <w:pPr>
              <w:keepNext w:val="0"/>
              <w:keepLines w:val="0"/>
              <w:pageBreakBefore w:val="0"/>
              <w:spacing w:line="440" w:lineRule="exact"/>
              <w:ind w:right="-99" w:rightChars="0"/>
              <w:jc w:val="center"/>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7</w:t>
            </w:r>
          </w:p>
        </w:tc>
        <w:tc>
          <w:tcPr>
            <w:tcW w:w="5191" w:type="dxa"/>
            <w:shd w:val="clear" w:color="auto" w:fill="auto"/>
            <w:noWrap w:val="0"/>
            <w:vAlign w:val="center"/>
          </w:tcPr>
          <w:p w14:paraId="0BFDFD86">
            <w:pPr>
              <w:keepNext w:val="0"/>
              <w:keepLines w:val="0"/>
              <w:pageBreakBefore w:val="0"/>
              <w:spacing w:line="440" w:lineRule="exact"/>
              <w:ind w:right="-189" w:right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男女不限，法定退休年龄以内，初中及以上学历，能吃苦耐劳，责任心强。</w:t>
            </w:r>
          </w:p>
        </w:tc>
      </w:tr>
      <w:tr w14:paraId="1F7C5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1065" w:type="dxa"/>
            <w:noWrap w:val="0"/>
            <w:vAlign w:val="center"/>
          </w:tcPr>
          <w:p w14:paraId="6E04485B">
            <w:pPr>
              <w:keepNext w:val="0"/>
              <w:keepLines w:val="0"/>
              <w:pageBreakBefore w:val="0"/>
              <w:widowControl/>
              <w:spacing w:line="440" w:lineRule="exact"/>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w:t>
            </w:r>
          </w:p>
        </w:tc>
        <w:tc>
          <w:tcPr>
            <w:tcW w:w="1394" w:type="dxa"/>
            <w:shd w:val="clear" w:color="auto" w:fill="auto"/>
            <w:noWrap w:val="0"/>
            <w:vAlign w:val="center"/>
          </w:tcPr>
          <w:p w14:paraId="5712105B">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Cs/>
                <w:color w:val="auto"/>
                <w:sz w:val="24"/>
                <w:szCs w:val="24"/>
                <w:highlight w:val="none"/>
              </w:rPr>
              <w:t>会务客服</w:t>
            </w:r>
          </w:p>
        </w:tc>
        <w:tc>
          <w:tcPr>
            <w:tcW w:w="1421" w:type="dxa"/>
            <w:shd w:val="clear" w:color="auto" w:fill="auto"/>
            <w:noWrap w:val="0"/>
            <w:vAlign w:val="center"/>
          </w:tcPr>
          <w:p w14:paraId="68955C93">
            <w:pPr>
              <w:keepNext w:val="0"/>
              <w:keepLines w:val="0"/>
              <w:pageBreakBefore w:val="0"/>
              <w:spacing w:line="440" w:lineRule="exact"/>
              <w:ind w:right="-99" w:rightChars="0"/>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1</w:t>
            </w:r>
          </w:p>
        </w:tc>
        <w:tc>
          <w:tcPr>
            <w:tcW w:w="5191" w:type="dxa"/>
            <w:shd w:val="clear" w:color="auto" w:fill="auto"/>
            <w:noWrap w:val="0"/>
            <w:vAlign w:val="center"/>
          </w:tcPr>
          <w:p w14:paraId="4A1AD434">
            <w:pPr>
              <w:keepNext w:val="0"/>
              <w:keepLines w:val="0"/>
              <w:pageBreakBefore w:val="0"/>
              <w:spacing w:line="440" w:lineRule="exact"/>
              <w:ind w:right="-99" w:right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女性，年龄40周岁</w:t>
            </w:r>
            <w:r>
              <w:rPr>
                <w:rFonts w:hint="eastAsia" w:ascii="宋体" w:hAnsi="宋体" w:eastAsia="宋体" w:cs="宋体"/>
                <w:color w:val="auto"/>
                <w:sz w:val="24"/>
                <w:szCs w:val="24"/>
                <w:highlight w:val="none"/>
                <w:lang w:val="zh-TW" w:eastAsia="zh-CN" w:bidi="ar-SA"/>
              </w:rPr>
              <w:t>（含）</w:t>
            </w:r>
            <w:r>
              <w:rPr>
                <w:rFonts w:hint="eastAsia" w:ascii="宋体" w:hAnsi="宋体" w:eastAsia="宋体" w:cs="宋体"/>
                <w:color w:val="auto"/>
                <w:sz w:val="24"/>
                <w:szCs w:val="24"/>
                <w:highlight w:val="none"/>
                <w:lang w:val="en-US" w:eastAsia="zh-CN" w:bidi="ar-SA"/>
              </w:rPr>
              <w:t>以下，高中及以上学历，形象好、气质佳、普通话标准，</w:t>
            </w:r>
            <w:r>
              <w:rPr>
                <w:rFonts w:hint="eastAsia" w:ascii="宋体" w:hAnsi="宋体" w:eastAsia="宋体" w:cs="宋体"/>
                <w:color w:val="auto"/>
                <w:sz w:val="24"/>
                <w:szCs w:val="24"/>
                <w:highlight w:val="none"/>
                <w:lang w:val="zh-CN" w:eastAsia="zh-CN" w:bidi="ar-SA"/>
              </w:rPr>
              <w:t>有一定的</w:t>
            </w:r>
            <w:r>
              <w:rPr>
                <w:rFonts w:hint="eastAsia" w:ascii="宋体" w:hAnsi="宋体" w:eastAsia="宋体" w:cs="宋体"/>
                <w:color w:val="auto"/>
                <w:sz w:val="24"/>
                <w:szCs w:val="24"/>
                <w:highlight w:val="none"/>
                <w:lang w:val="en-US" w:eastAsia="zh-CN" w:bidi="ar-SA"/>
              </w:rPr>
              <w:t>酒店、办公楼服务工作经验</w:t>
            </w:r>
            <w:r>
              <w:rPr>
                <w:rFonts w:hint="eastAsia" w:ascii="宋体" w:hAnsi="宋体" w:cs="宋体"/>
                <w:color w:val="auto"/>
                <w:sz w:val="24"/>
                <w:szCs w:val="24"/>
                <w:highlight w:val="none"/>
                <w:lang w:val="en-US" w:eastAsia="zh-CN" w:bidi="ar-SA"/>
              </w:rPr>
              <w:t>。</w:t>
            </w:r>
          </w:p>
        </w:tc>
      </w:tr>
      <w:tr w14:paraId="23284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1065" w:type="dxa"/>
            <w:noWrap w:val="0"/>
            <w:vAlign w:val="center"/>
          </w:tcPr>
          <w:p w14:paraId="41099ED6">
            <w:pPr>
              <w:keepNext w:val="0"/>
              <w:keepLines w:val="0"/>
              <w:pageBreakBefore w:val="0"/>
              <w:widowControl/>
              <w:spacing w:line="44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5</w:t>
            </w:r>
          </w:p>
        </w:tc>
        <w:tc>
          <w:tcPr>
            <w:tcW w:w="1394" w:type="dxa"/>
            <w:noWrap w:val="0"/>
            <w:vAlign w:val="center"/>
          </w:tcPr>
          <w:p w14:paraId="34A11905">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工程维修人员</w:t>
            </w:r>
          </w:p>
        </w:tc>
        <w:tc>
          <w:tcPr>
            <w:tcW w:w="1421" w:type="dxa"/>
            <w:noWrap w:val="0"/>
            <w:vAlign w:val="center"/>
          </w:tcPr>
          <w:p w14:paraId="429C6FF1">
            <w:pPr>
              <w:keepNext w:val="0"/>
              <w:keepLines w:val="0"/>
              <w:pageBreakBefore w:val="0"/>
              <w:spacing w:line="440" w:lineRule="exact"/>
              <w:ind w:right="-99"/>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p>
        </w:tc>
        <w:tc>
          <w:tcPr>
            <w:tcW w:w="5191" w:type="dxa"/>
            <w:noWrap w:val="0"/>
            <w:vAlign w:val="center"/>
          </w:tcPr>
          <w:p w14:paraId="0176BFE3">
            <w:pPr>
              <w:keepNext w:val="0"/>
              <w:keepLines w:val="0"/>
              <w:pageBreakBefore w:val="0"/>
              <w:spacing w:line="440" w:lineRule="exact"/>
              <w:ind w:right="-189"/>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kern w:val="0"/>
                <w:sz w:val="24"/>
                <w:highlight w:val="none"/>
              </w:rPr>
              <w:t>男性，</w:t>
            </w:r>
            <w:r>
              <w:rPr>
                <w:rFonts w:hint="eastAsia" w:ascii="宋体" w:hAnsi="宋体" w:eastAsia="宋体" w:cs="宋体"/>
                <w:color w:val="auto"/>
                <w:sz w:val="24"/>
                <w:szCs w:val="24"/>
                <w:highlight w:val="none"/>
                <w:lang w:val="en-US" w:eastAsia="zh-CN" w:bidi="ar-SA"/>
              </w:rPr>
              <w:t>法定退休年龄以内</w:t>
            </w:r>
            <w:r>
              <w:rPr>
                <w:rFonts w:hint="eastAsia" w:ascii="宋体" w:hAnsi="宋体" w:cs="宋体"/>
                <w:b w:val="0"/>
                <w:bCs w:val="0"/>
                <w:color w:val="auto"/>
                <w:kern w:val="0"/>
                <w:sz w:val="24"/>
                <w:highlight w:val="none"/>
                <w:lang w:val="en-US" w:eastAsia="zh-CN"/>
              </w:rPr>
              <w:t>，初中及以上学历，</w:t>
            </w:r>
            <w:r>
              <w:rPr>
                <w:rFonts w:hint="eastAsia" w:ascii="宋体" w:hAnsi="宋体" w:eastAsia="宋体"/>
                <w:bCs/>
                <w:color w:val="auto"/>
                <w:sz w:val="24"/>
                <w:highlight w:val="none"/>
              </w:rPr>
              <w:t>持有</w:t>
            </w:r>
            <w:r>
              <w:rPr>
                <w:rFonts w:hint="eastAsia" w:ascii="宋体" w:hAnsi="宋体" w:eastAsia="宋体"/>
                <w:bCs/>
                <w:color w:val="auto"/>
                <w:sz w:val="24"/>
                <w:highlight w:val="none"/>
                <w:lang w:val="en-US" w:eastAsia="zh-CN"/>
              </w:rPr>
              <w:t>应急管理部门颁发的</w:t>
            </w:r>
            <w:r>
              <w:rPr>
                <w:rFonts w:hint="eastAsia" w:ascii="宋体" w:hAnsi="宋体" w:eastAsia="宋体"/>
                <w:bCs/>
                <w:color w:val="auto"/>
                <w:sz w:val="24"/>
                <w:highlight w:val="none"/>
              </w:rPr>
              <w:t>低压电工作业证</w:t>
            </w:r>
            <w:r>
              <w:rPr>
                <w:rFonts w:hint="eastAsia" w:ascii="宋体" w:hAnsi="宋体" w:cs="宋体"/>
                <w:b w:val="0"/>
                <w:bCs w:val="0"/>
                <w:color w:val="auto"/>
                <w:kern w:val="0"/>
                <w:sz w:val="24"/>
                <w:highlight w:val="none"/>
                <w:lang w:val="en-US" w:eastAsia="zh-CN"/>
              </w:rPr>
              <w:t>。</w:t>
            </w:r>
            <w:r>
              <w:rPr>
                <w:rFonts w:hint="eastAsia" w:ascii="宋体" w:hAnsi="宋体"/>
                <w:b w:val="0"/>
                <w:bCs w:val="0"/>
                <w:color w:val="auto"/>
                <w:sz w:val="24"/>
                <w:szCs w:val="24"/>
                <w:highlight w:val="none"/>
              </w:rPr>
              <w:t>能够胜任水、电、门窗</w:t>
            </w:r>
            <w:r>
              <w:rPr>
                <w:rFonts w:hint="eastAsia" w:ascii="宋体" w:hAnsi="宋体"/>
                <w:b w:val="0"/>
                <w:bCs w:val="0"/>
                <w:color w:val="auto"/>
                <w:sz w:val="24"/>
                <w:szCs w:val="24"/>
                <w:highlight w:val="none"/>
                <w:lang w:eastAsia="zh-CN"/>
              </w:rPr>
              <w:t>、</w:t>
            </w:r>
            <w:r>
              <w:rPr>
                <w:rFonts w:hint="eastAsia" w:ascii="宋体" w:hAnsi="宋体"/>
                <w:b w:val="0"/>
                <w:bCs w:val="0"/>
                <w:color w:val="auto"/>
                <w:sz w:val="24"/>
                <w:szCs w:val="24"/>
                <w:highlight w:val="none"/>
                <w:lang w:val="en-US" w:eastAsia="zh-CN"/>
              </w:rPr>
              <w:t>空调</w:t>
            </w:r>
            <w:r>
              <w:rPr>
                <w:rFonts w:hint="eastAsia" w:ascii="宋体" w:hAnsi="宋体"/>
                <w:b w:val="0"/>
                <w:bCs w:val="0"/>
                <w:color w:val="auto"/>
                <w:sz w:val="24"/>
                <w:szCs w:val="24"/>
                <w:highlight w:val="none"/>
              </w:rPr>
              <w:t>等维修职责。</w:t>
            </w:r>
            <w:r>
              <w:rPr>
                <w:rFonts w:hint="eastAsia"/>
                <w:b w:val="0"/>
                <w:bCs w:val="0"/>
                <w:color w:val="auto"/>
                <w:sz w:val="24"/>
                <w:szCs w:val="24"/>
                <w:highlight w:val="none"/>
              </w:rPr>
              <w:t>具有</w:t>
            </w:r>
            <w:r>
              <w:rPr>
                <w:rFonts w:hint="eastAsia"/>
                <w:b w:val="0"/>
                <w:bCs w:val="0"/>
                <w:color w:val="auto"/>
                <w:sz w:val="24"/>
                <w:szCs w:val="24"/>
                <w:highlight w:val="none"/>
                <w:lang w:val="en-US" w:eastAsia="zh-CN"/>
              </w:rPr>
              <w:t>一定的相关</w:t>
            </w:r>
            <w:r>
              <w:rPr>
                <w:rFonts w:hint="eastAsia"/>
                <w:b w:val="0"/>
                <w:bCs w:val="0"/>
                <w:color w:val="auto"/>
                <w:sz w:val="24"/>
                <w:szCs w:val="24"/>
                <w:highlight w:val="none"/>
              </w:rPr>
              <w:t>工作经验</w:t>
            </w:r>
            <w:r>
              <w:rPr>
                <w:rFonts w:hint="eastAsia"/>
                <w:b w:val="0"/>
                <w:bCs w:val="0"/>
                <w:color w:val="auto"/>
                <w:sz w:val="24"/>
                <w:szCs w:val="24"/>
                <w:highlight w:val="none"/>
                <w:lang w:eastAsia="zh-CN"/>
              </w:rPr>
              <w:t>，</w:t>
            </w:r>
            <w:r>
              <w:rPr>
                <w:rFonts w:hint="eastAsia"/>
                <w:b w:val="0"/>
                <w:bCs w:val="0"/>
                <w:color w:val="auto"/>
                <w:sz w:val="24"/>
                <w:szCs w:val="24"/>
                <w:highlight w:val="none"/>
                <w:lang w:val="en-US" w:eastAsia="zh-CN"/>
              </w:rPr>
              <w:t>工作范围涵盖所有区域，须服从采购人安排。</w:t>
            </w:r>
          </w:p>
        </w:tc>
      </w:tr>
      <w:tr w14:paraId="05857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1065" w:type="dxa"/>
            <w:noWrap w:val="0"/>
            <w:vAlign w:val="center"/>
          </w:tcPr>
          <w:p w14:paraId="1EB711E2">
            <w:pPr>
              <w:keepNext w:val="0"/>
              <w:keepLines w:val="0"/>
              <w:pageBreakBefore w:val="0"/>
              <w:widowControl/>
              <w:spacing w:line="44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6</w:t>
            </w:r>
          </w:p>
        </w:tc>
        <w:tc>
          <w:tcPr>
            <w:tcW w:w="1394" w:type="dxa"/>
            <w:noWrap w:val="0"/>
            <w:vAlign w:val="center"/>
          </w:tcPr>
          <w:p w14:paraId="6172B891">
            <w:pPr>
              <w:keepNext w:val="0"/>
              <w:keepLines w:val="0"/>
              <w:pageBreakBefore w:val="0"/>
              <w:widowControl/>
              <w:spacing w:line="440" w:lineRule="exact"/>
              <w:jc w:val="center"/>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安检人员</w:t>
            </w:r>
          </w:p>
        </w:tc>
        <w:tc>
          <w:tcPr>
            <w:tcW w:w="1421" w:type="dxa"/>
            <w:noWrap w:val="0"/>
            <w:vAlign w:val="center"/>
          </w:tcPr>
          <w:p w14:paraId="6EDE3D93">
            <w:pPr>
              <w:keepNext w:val="0"/>
              <w:keepLines w:val="0"/>
              <w:pageBreakBefore w:val="0"/>
              <w:spacing w:line="440" w:lineRule="exact"/>
              <w:ind w:right="-99"/>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p>
        </w:tc>
        <w:tc>
          <w:tcPr>
            <w:tcW w:w="5191" w:type="dxa"/>
            <w:noWrap w:val="0"/>
            <w:vAlign w:val="center"/>
          </w:tcPr>
          <w:p w14:paraId="07BA884B">
            <w:pPr>
              <w:keepNext w:val="0"/>
              <w:keepLines w:val="0"/>
              <w:pageBreakBefore w:val="0"/>
              <w:spacing w:line="440" w:lineRule="exact"/>
              <w:ind w:right="-189"/>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男女不限，法定退休年龄以内，初中及以上学历，具有从事安检工作的工作经验，吃苦耐劳。</w:t>
            </w:r>
          </w:p>
        </w:tc>
      </w:tr>
      <w:tr w14:paraId="2ACED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2459" w:type="dxa"/>
            <w:gridSpan w:val="2"/>
            <w:noWrap w:val="0"/>
            <w:vAlign w:val="center"/>
          </w:tcPr>
          <w:p w14:paraId="40995EFE">
            <w:pPr>
              <w:keepNext w:val="0"/>
              <w:keepLines w:val="0"/>
              <w:pageBreakBefore w:val="0"/>
              <w:widowControl/>
              <w:spacing w:line="440" w:lineRule="exact"/>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合计</w:t>
            </w:r>
          </w:p>
        </w:tc>
        <w:tc>
          <w:tcPr>
            <w:tcW w:w="1421" w:type="dxa"/>
            <w:noWrap w:val="0"/>
            <w:vAlign w:val="center"/>
          </w:tcPr>
          <w:p w14:paraId="681EF532">
            <w:pPr>
              <w:keepNext w:val="0"/>
              <w:keepLines w:val="0"/>
              <w:pageBreakBefore w:val="0"/>
              <w:widowControl/>
              <w:spacing w:line="440" w:lineRule="exact"/>
              <w:jc w:val="center"/>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40</w:t>
            </w:r>
          </w:p>
        </w:tc>
        <w:tc>
          <w:tcPr>
            <w:tcW w:w="5191" w:type="dxa"/>
            <w:noWrap w:val="0"/>
            <w:vAlign w:val="center"/>
          </w:tcPr>
          <w:p w14:paraId="164F3454">
            <w:pPr>
              <w:keepNext w:val="0"/>
              <w:keepLines w:val="0"/>
              <w:pageBreakBefore w:val="0"/>
              <w:spacing w:line="440" w:lineRule="exact"/>
              <w:ind w:right="-189"/>
              <w:jc w:val="left"/>
              <w:rPr>
                <w:rFonts w:hint="eastAsia" w:ascii="宋体" w:hAnsi="宋体" w:eastAsia="宋体" w:cs="宋体"/>
                <w:b/>
                <w:bCs/>
                <w:color w:val="auto"/>
                <w:sz w:val="24"/>
                <w:szCs w:val="24"/>
                <w:highlight w:val="none"/>
              </w:rPr>
            </w:pPr>
          </w:p>
        </w:tc>
      </w:tr>
    </w:tbl>
    <w:p w14:paraId="3A072FB4">
      <w:pPr>
        <w:keepNext w:val="0"/>
        <w:keepLines w:val="0"/>
        <w:pageBreakBefore w:val="0"/>
        <w:widowControl/>
        <w:spacing w:line="500" w:lineRule="exact"/>
        <w:ind w:firstLine="480"/>
        <w:jc w:val="left"/>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注</w:t>
      </w:r>
      <w:r>
        <w:rPr>
          <w:rFonts w:hint="eastAsia" w:ascii="宋体" w:hAnsi="宋体" w:eastAsia="宋体" w:cs="宋体"/>
          <w:b w:val="0"/>
          <w:color w:val="auto"/>
          <w:sz w:val="24"/>
          <w:highlight w:val="none"/>
          <w:lang w:eastAsia="zh-CN"/>
        </w:rPr>
        <w:t>：①</w:t>
      </w:r>
      <w:r>
        <w:rPr>
          <w:rFonts w:hint="eastAsia" w:ascii="宋体" w:hAnsi="宋体" w:eastAsia="宋体" w:cs="宋体"/>
          <w:b w:val="0"/>
          <w:color w:val="auto"/>
          <w:sz w:val="24"/>
          <w:highlight w:val="none"/>
        </w:rPr>
        <w:t>中标后</w:t>
      </w:r>
      <w:r>
        <w:rPr>
          <w:rFonts w:hint="eastAsia" w:ascii="宋体" w:hAnsi="宋体" w:eastAsia="宋体" w:cs="宋体"/>
          <w:b w:val="0"/>
          <w:color w:val="auto"/>
          <w:sz w:val="24"/>
          <w:highlight w:val="none"/>
          <w:lang w:val="en-US" w:eastAsia="zh-CN"/>
        </w:rPr>
        <w:t>签订合同前须提供以上人员名单，名单</w:t>
      </w:r>
      <w:r>
        <w:rPr>
          <w:rFonts w:hint="eastAsia" w:ascii="宋体" w:hAnsi="宋体" w:eastAsia="宋体" w:cs="宋体"/>
          <w:b w:val="0"/>
          <w:color w:val="auto"/>
          <w:sz w:val="24"/>
          <w:highlight w:val="none"/>
        </w:rPr>
        <w:t>不得随意调整或更换，确需调整或更换时，必须更换为相同条件相同资质的人员并向</w:t>
      </w:r>
      <w:r>
        <w:rPr>
          <w:rFonts w:hint="eastAsia" w:ascii="宋体" w:hAnsi="宋体" w:eastAsia="宋体" w:cs="宋体"/>
          <w:b w:val="0"/>
          <w:color w:val="auto"/>
          <w:sz w:val="24"/>
          <w:highlight w:val="none"/>
          <w:lang w:eastAsia="zh-CN"/>
        </w:rPr>
        <w:t>采购人</w:t>
      </w:r>
      <w:r>
        <w:rPr>
          <w:rFonts w:hint="eastAsia" w:ascii="宋体" w:hAnsi="宋体" w:eastAsia="宋体" w:cs="宋体"/>
          <w:b w:val="0"/>
          <w:color w:val="auto"/>
          <w:sz w:val="24"/>
          <w:highlight w:val="none"/>
        </w:rPr>
        <w:t>提出书面申请，经过</w:t>
      </w:r>
      <w:r>
        <w:rPr>
          <w:rFonts w:hint="eastAsia" w:ascii="宋体" w:hAnsi="宋体" w:eastAsia="宋体" w:cs="宋体"/>
          <w:b w:val="0"/>
          <w:color w:val="auto"/>
          <w:sz w:val="24"/>
          <w:highlight w:val="none"/>
          <w:lang w:val="en-US" w:eastAsia="zh-CN"/>
        </w:rPr>
        <w:t>采购人</w:t>
      </w:r>
      <w:r>
        <w:rPr>
          <w:rFonts w:hint="eastAsia" w:ascii="宋体" w:hAnsi="宋体" w:eastAsia="宋体" w:cs="宋体"/>
          <w:b w:val="0"/>
          <w:color w:val="auto"/>
          <w:sz w:val="24"/>
          <w:highlight w:val="none"/>
        </w:rPr>
        <w:t>书面同意后方可进行调整及更换。</w:t>
      </w:r>
      <w:r>
        <w:rPr>
          <w:rFonts w:hint="eastAsia" w:ascii="宋体" w:hAnsi="宋体" w:eastAsia="宋体" w:cs="宋体"/>
          <w:b w:val="0"/>
          <w:color w:val="auto"/>
          <w:sz w:val="24"/>
          <w:highlight w:val="none"/>
          <w:lang w:val="en-US" w:eastAsia="zh-CN"/>
        </w:rPr>
        <w:t>采购人</w:t>
      </w:r>
      <w:r>
        <w:rPr>
          <w:rFonts w:hint="eastAsia" w:ascii="宋体" w:hAnsi="宋体" w:eastAsia="宋体" w:cs="宋体"/>
          <w:b w:val="0"/>
          <w:color w:val="auto"/>
          <w:sz w:val="24"/>
          <w:highlight w:val="none"/>
        </w:rPr>
        <w:t>发现有擅自调整或更换的，</w:t>
      </w:r>
      <w:r>
        <w:rPr>
          <w:rFonts w:hint="eastAsia" w:ascii="宋体" w:hAnsi="宋体" w:eastAsia="宋体" w:cs="宋体"/>
          <w:b w:val="0"/>
          <w:color w:val="auto"/>
          <w:sz w:val="24"/>
          <w:highlight w:val="none"/>
          <w:lang w:val="en-US" w:eastAsia="zh-CN"/>
        </w:rPr>
        <w:t>采购人有权解除合同并</w:t>
      </w:r>
      <w:r>
        <w:rPr>
          <w:rFonts w:hint="eastAsia" w:ascii="宋体" w:hAnsi="宋体" w:eastAsia="宋体" w:cs="宋体"/>
          <w:b w:val="0"/>
          <w:color w:val="auto"/>
          <w:sz w:val="24"/>
          <w:highlight w:val="none"/>
        </w:rPr>
        <w:t>扣除履约保证金</w:t>
      </w:r>
      <w:r>
        <w:rPr>
          <w:rFonts w:hint="eastAsia" w:ascii="宋体" w:hAnsi="宋体" w:eastAsia="宋体" w:cs="宋体"/>
          <w:b w:val="0"/>
          <w:color w:val="auto"/>
          <w:sz w:val="24"/>
          <w:highlight w:val="none"/>
          <w:lang w:eastAsia="zh-CN"/>
        </w:rPr>
        <w:t>。</w:t>
      </w:r>
    </w:p>
    <w:p w14:paraId="54A7442B">
      <w:pPr>
        <w:keepNext w:val="0"/>
        <w:keepLines w:val="0"/>
        <w:pageBreakBefore w:val="0"/>
        <w:widowControl/>
        <w:spacing w:line="500" w:lineRule="exact"/>
        <w:ind w:firstLine="480"/>
        <w:jc w:val="left"/>
        <w:rPr>
          <w:rFonts w:hint="eastAsia" w:ascii="宋体" w:hAnsi="宋体" w:cs="宋体"/>
          <w:b w:val="0"/>
          <w:color w:val="auto"/>
          <w:sz w:val="24"/>
          <w:highlight w:val="none"/>
          <w:lang w:eastAsia="zh-CN"/>
        </w:rPr>
      </w:pPr>
      <w:r>
        <w:rPr>
          <w:rFonts w:hint="eastAsia" w:ascii="宋体" w:hAnsi="宋体" w:eastAsia="宋体" w:cs="宋体"/>
          <w:b w:val="0"/>
          <w:color w:val="auto"/>
          <w:sz w:val="24"/>
          <w:highlight w:val="none"/>
        </w:rPr>
        <w:t>②所有岗位人员不得兼职</w:t>
      </w:r>
      <w:r>
        <w:rPr>
          <w:rFonts w:hint="eastAsia" w:ascii="宋体" w:hAnsi="宋体" w:cs="宋体"/>
          <w:b w:val="0"/>
          <w:color w:val="auto"/>
          <w:sz w:val="24"/>
          <w:highlight w:val="none"/>
          <w:lang w:eastAsia="zh-CN"/>
        </w:rPr>
        <w:t>。</w:t>
      </w:r>
    </w:p>
    <w:p w14:paraId="6488262E">
      <w:pPr>
        <w:keepNext w:val="0"/>
        <w:keepLines w:val="0"/>
        <w:pageBreakBefore w:val="0"/>
        <w:widowControl/>
        <w:spacing w:line="500" w:lineRule="exact"/>
        <w:ind w:firstLine="480"/>
        <w:jc w:val="lef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③中标后</w:t>
      </w:r>
      <w:r>
        <w:rPr>
          <w:rFonts w:hint="eastAsia" w:ascii="宋体" w:hAnsi="宋体" w:eastAsia="宋体" w:cs="宋体"/>
          <w:b w:val="0"/>
          <w:color w:val="auto"/>
          <w:sz w:val="24"/>
          <w:highlight w:val="none"/>
          <w:lang w:val="en-US" w:eastAsia="zh-CN"/>
        </w:rPr>
        <w:t>签订合同前</w:t>
      </w:r>
      <w:r>
        <w:rPr>
          <w:rFonts w:hint="eastAsia" w:ascii="宋体" w:hAnsi="宋体" w:eastAsia="宋体" w:cs="宋体"/>
          <w:b w:val="0"/>
          <w:color w:val="auto"/>
          <w:sz w:val="24"/>
          <w:highlight w:val="none"/>
        </w:rPr>
        <w:t>，提供以上人员健康证及近三个月内由</w:t>
      </w:r>
      <w:r>
        <w:rPr>
          <w:rFonts w:hint="eastAsia" w:ascii="宋体" w:hAnsi="宋体" w:cs="宋体"/>
          <w:b w:val="0"/>
          <w:color w:val="auto"/>
          <w:sz w:val="24"/>
          <w:highlight w:val="none"/>
          <w:lang w:val="en-US" w:eastAsia="zh-CN"/>
        </w:rPr>
        <w:t>县级及以上</w:t>
      </w:r>
      <w:r>
        <w:rPr>
          <w:rFonts w:hint="eastAsia" w:ascii="宋体" w:hAnsi="宋体" w:eastAsia="宋体" w:cs="宋体"/>
          <w:b w:val="0"/>
          <w:color w:val="auto"/>
          <w:sz w:val="24"/>
          <w:highlight w:val="none"/>
        </w:rPr>
        <w:t>医院出具的体检报告。</w:t>
      </w:r>
    </w:p>
    <w:p w14:paraId="371202CB">
      <w:pPr>
        <w:keepNext w:val="0"/>
        <w:keepLines w:val="0"/>
        <w:pageBreakBefore w:val="0"/>
        <w:widowControl/>
        <w:spacing w:line="500" w:lineRule="exact"/>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color w:val="auto"/>
          <w:sz w:val="24"/>
          <w:highlight w:val="none"/>
        </w:rPr>
        <w:t>④</w:t>
      </w:r>
      <w:r>
        <w:rPr>
          <w:rFonts w:hint="eastAsia" w:ascii="宋体" w:hAnsi="宋体" w:eastAsia="宋体" w:cs="宋体"/>
          <w:b w:val="0"/>
          <w:bCs w:val="0"/>
          <w:color w:val="auto"/>
          <w:sz w:val="24"/>
          <w:highlight w:val="none"/>
          <w:lang w:eastAsia="zh-CN"/>
        </w:rPr>
        <w:t>中标人</w:t>
      </w:r>
      <w:r>
        <w:rPr>
          <w:rFonts w:hint="eastAsia" w:ascii="宋体" w:hAnsi="宋体" w:eastAsia="宋体" w:cs="宋体"/>
          <w:b w:val="0"/>
          <w:bCs w:val="0"/>
          <w:color w:val="auto"/>
          <w:sz w:val="24"/>
          <w:highlight w:val="none"/>
        </w:rPr>
        <w:t>签订合同前组织</w:t>
      </w:r>
      <w:r>
        <w:rPr>
          <w:rFonts w:hint="eastAsia" w:ascii="宋体" w:hAnsi="宋体" w:eastAsia="宋体" w:cs="宋体"/>
          <w:b w:val="0"/>
          <w:bCs w:val="0"/>
          <w:color w:val="auto"/>
          <w:sz w:val="24"/>
          <w:highlight w:val="none"/>
          <w:lang w:val="en-US" w:eastAsia="zh-CN"/>
        </w:rPr>
        <w:t>全体</w:t>
      </w:r>
      <w:r>
        <w:rPr>
          <w:rFonts w:hint="eastAsia" w:ascii="宋体" w:hAnsi="宋体" w:eastAsia="宋体" w:cs="宋体"/>
          <w:b w:val="0"/>
          <w:bCs w:val="0"/>
          <w:color w:val="auto"/>
          <w:sz w:val="24"/>
          <w:highlight w:val="none"/>
        </w:rPr>
        <w:t>物业工作人员参加相关的专业知识培训，以达到上岗要求。</w:t>
      </w:r>
      <w:r>
        <w:rPr>
          <w:rFonts w:hint="eastAsia" w:ascii="宋体" w:hAnsi="宋体" w:eastAsia="宋体" w:cs="宋体"/>
          <w:b w:val="0"/>
          <w:bCs w:val="0"/>
          <w:color w:val="auto"/>
          <w:sz w:val="24"/>
          <w:highlight w:val="none"/>
          <w:lang w:eastAsia="zh-CN"/>
        </w:rPr>
        <w:t>中标人</w:t>
      </w:r>
      <w:r>
        <w:rPr>
          <w:rFonts w:hint="eastAsia" w:ascii="宋体" w:hAnsi="宋体" w:eastAsia="宋体" w:cs="宋体"/>
          <w:b w:val="0"/>
          <w:bCs w:val="0"/>
          <w:color w:val="auto"/>
          <w:sz w:val="24"/>
          <w:highlight w:val="none"/>
        </w:rPr>
        <w:t>必须对所录用人员严格</w:t>
      </w:r>
      <w:r>
        <w:rPr>
          <w:rFonts w:hint="eastAsia" w:ascii="宋体" w:hAnsi="宋体" w:cs="宋体"/>
          <w:b w:val="0"/>
          <w:bCs w:val="0"/>
          <w:color w:val="auto"/>
          <w:sz w:val="24"/>
          <w:highlight w:val="none"/>
          <w:lang w:val="en-US" w:eastAsia="zh-CN"/>
        </w:rPr>
        <w:t>审查</w:t>
      </w:r>
      <w:r>
        <w:rPr>
          <w:rFonts w:hint="eastAsia" w:ascii="宋体" w:hAnsi="宋体" w:eastAsia="宋体" w:cs="宋体"/>
          <w:b w:val="0"/>
          <w:bCs w:val="0"/>
          <w:color w:val="auto"/>
          <w:sz w:val="24"/>
          <w:highlight w:val="none"/>
        </w:rPr>
        <w:t>，保证录用人员没有任何犯罪记录。</w:t>
      </w:r>
      <w:r>
        <w:rPr>
          <w:rFonts w:hint="eastAsia" w:ascii="宋体" w:hAnsi="宋体" w:eastAsia="宋体" w:cs="宋体"/>
          <w:b w:val="0"/>
          <w:bCs w:val="0"/>
          <w:color w:val="auto"/>
          <w:sz w:val="24"/>
          <w:highlight w:val="none"/>
          <w:lang w:eastAsia="zh-CN"/>
        </w:rPr>
        <w:t>中标人</w:t>
      </w:r>
      <w:r>
        <w:rPr>
          <w:rFonts w:hint="eastAsia" w:ascii="宋体" w:hAnsi="宋体" w:eastAsia="宋体" w:cs="宋体"/>
          <w:b w:val="0"/>
          <w:bCs w:val="0"/>
          <w:color w:val="auto"/>
          <w:sz w:val="24"/>
          <w:highlight w:val="none"/>
        </w:rPr>
        <w:t>所录用人员必须符合国家相关的法律法规的要求（包括国家劳动法和地方相关管理规定）。</w:t>
      </w:r>
    </w:p>
    <w:p w14:paraId="4CA8902C">
      <w:pPr>
        <w:keepNext w:val="0"/>
        <w:keepLines w:val="0"/>
        <w:pageBreakBefore w:val="0"/>
        <w:widowControl/>
        <w:spacing w:line="500" w:lineRule="exact"/>
        <w:ind w:firstLine="480"/>
        <w:jc w:val="left"/>
        <w:rPr>
          <w:rFonts w:hint="eastAsia" w:ascii="宋体" w:hAnsi="宋体" w:eastAsia="宋体" w:cs="宋体"/>
          <w:b/>
          <w:bCs/>
          <w:color w:val="auto"/>
          <w:sz w:val="24"/>
          <w:highlight w:val="none"/>
          <w:lang w:val="en-US" w:eastAsia="zh-CN"/>
        </w:rPr>
      </w:pPr>
      <w:r>
        <w:rPr>
          <w:rFonts w:hint="eastAsia" w:ascii="宋体" w:hAnsi="宋体" w:eastAsia="宋体" w:cs="宋体"/>
          <w:b w:val="0"/>
          <w:color w:val="auto"/>
          <w:sz w:val="24"/>
          <w:highlight w:val="none"/>
          <w:lang w:val="en-US" w:eastAsia="zh-CN"/>
        </w:rPr>
        <w:t>⑤正常情况不得请假，如遇特殊情况请假的，需出示书面申请函，必须经采购人报批同意，同时配合采购人提出的加班要求。</w:t>
      </w:r>
    </w:p>
    <w:p w14:paraId="281F23FE">
      <w:pPr>
        <w:keepNext w:val="0"/>
        <w:keepLines w:val="0"/>
        <w:pageBreakBefore w:val="0"/>
        <w:widowControl/>
        <w:spacing w:line="500" w:lineRule="exact"/>
        <w:ind w:firstLine="480"/>
        <w:jc w:val="lef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⑥如采购人后期</w:t>
      </w:r>
      <w:r>
        <w:rPr>
          <w:rFonts w:hint="eastAsia" w:ascii="宋体" w:hAnsi="宋体" w:eastAsia="宋体" w:cs="宋体"/>
          <w:b w:val="0"/>
          <w:color w:val="auto"/>
          <w:sz w:val="24"/>
          <w:highlight w:val="none"/>
          <w:lang w:val="en-US" w:eastAsia="zh-CN"/>
        </w:rPr>
        <w:t>要求</w:t>
      </w:r>
      <w:r>
        <w:rPr>
          <w:rFonts w:hint="eastAsia" w:ascii="宋体" w:hAnsi="宋体" w:eastAsia="宋体" w:cs="宋体"/>
          <w:b w:val="0"/>
          <w:color w:val="auto"/>
          <w:sz w:val="24"/>
          <w:highlight w:val="none"/>
        </w:rPr>
        <w:t>增加相关工作人员的，相关费用标准须按</w:t>
      </w:r>
      <w:r>
        <w:rPr>
          <w:rFonts w:hint="eastAsia" w:ascii="宋体" w:hAnsi="宋体" w:eastAsia="宋体" w:cs="宋体"/>
          <w:b w:val="0"/>
          <w:color w:val="auto"/>
          <w:sz w:val="24"/>
          <w:highlight w:val="none"/>
          <w:lang w:eastAsia="zh-CN"/>
        </w:rPr>
        <w:t>中标人</w:t>
      </w:r>
      <w:r>
        <w:rPr>
          <w:rFonts w:hint="eastAsia" w:ascii="宋体" w:hAnsi="宋体" w:eastAsia="宋体" w:cs="宋体"/>
          <w:b w:val="0"/>
          <w:color w:val="auto"/>
          <w:sz w:val="24"/>
          <w:highlight w:val="none"/>
        </w:rPr>
        <w:t xml:space="preserve">报价的单项价格核算。 </w:t>
      </w:r>
    </w:p>
    <w:p w14:paraId="48EB98A8">
      <w:pPr>
        <w:keepNext w:val="0"/>
        <w:keepLines w:val="0"/>
        <w:pageBreakBefore w:val="0"/>
        <w:widowControl/>
        <w:tabs>
          <w:tab w:val="left" w:pos="8620"/>
        </w:tabs>
        <w:spacing w:line="500" w:lineRule="exact"/>
        <w:ind w:firstLine="480"/>
        <w:jc w:val="lef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⑦特别说明（要求）：</w:t>
      </w:r>
      <w:r>
        <w:rPr>
          <w:rFonts w:hint="eastAsia" w:ascii="宋体" w:hAnsi="宋体" w:eastAsia="宋体" w:cs="宋体"/>
          <w:b w:val="0"/>
          <w:color w:val="auto"/>
          <w:sz w:val="24"/>
          <w:highlight w:val="none"/>
          <w:lang w:eastAsia="zh-CN"/>
        </w:rPr>
        <w:t>中标人</w:t>
      </w:r>
      <w:r>
        <w:rPr>
          <w:rFonts w:hint="eastAsia" w:ascii="宋体" w:hAnsi="宋体" w:eastAsia="宋体" w:cs="宋体"/>
          <w:b w:val="0"/>
          <w:color w:val="auto"/>
          <w:sz w:val="24"/>
          <w:highlight w:val="none"/>
        </w:rPr>
        <w:t>必须严格遵守有关操作规定（行业服务规范等）与安全规定等相关规定，加强对工作人员的安全教育。服务期内，产生的任何安全事故（含对第三方产生的损害）均由</w:t>
      </w:r>
      <w:r>
        <w:rPr>
          <w:rFonts w:hint="eastAsia" w:ascii="宋体" w:hAnsi="宋体" w:eastAsia="宋体" w:cs="宋体"/>
          <w:b w:val="0"/>
          <w:color w:val="auto"/>
          <w:sz w:val="24"/>
          <w:highlight w:val="none"/>
          <w:lang w:eastAsia="zh-CN"/>
        </w:rPr>
        <w:t>中标人</w:t>
      </w:r>
      <w:r>
        <w:rPr>
          <w:rFonts w:hint="eastAsia" w:ascii="宋体" w:hAnsi="宋体" w:eastAsia="宋体" w:cs="宋体"/>
          <w:b w:val="0"/>
          <w:color w:val="auto"/>
          <w:sz w:val="24"/>
          <w:highlight w:val="none"/>
        </w:rPr>
        <w:t>负责及承担，与采购人无关。</w:t>
      </w:r>
    </w:p>
    <w:p w14:paraId="3ED48C15">
      <w:pPr>
        <w:keepNext w:val="0"/>
        <w:keepLines w:val="0"/>
        <w:pageBreakBefore w:val="0"/>
        <w:widowControl/>
        <w:tabs>
          <w:tab w:val="left" w:pos="8620"/>
        </w:tabs>
        <w:spacing w:line="500" w:lineRule="exact"/>
        <w:ind w:firstLine="480"/>
        <w:jc w:val="left"/>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⑧投标时无须提供以上人员相关证书及证明，中标人必须按岗位定员数量和素质要求配备人员，否则视为违约。</w:t>
      </w:r>
    </w:p>
    <w:p w14:paraId="34805FE4">
      <w:pPr>
        <w:keepNext w:val="0"/>
        <w:keepLines w:val="0"/>
        <w:pageBreakBefore w:val="0"/>
        <w:numPr>
          <w:ilvl w:val="0"/>
          <w:numId w:val="0"/>
        </w:num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身体条件</w:t>
      </w:r>
    </w:p>
    <w:p w14:paraId="11B91016">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2.1无脊柱侧弯、胸廓畸形、驼背、过于肥胖等；</w:t>
      </w:r>
    </w:p>
    <w:p w14:paraId="707E5B8C">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2.2无精神病史，无传染性或者难以治愈的皮肤病（如白癜风、银屑病、血管瘤、斑痣等）；</w:t>
      </w:r>
    </w:p>
    <w:p w14:paraId="11B12879">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2.3五官、体型端正，面容或者身体外观无明显疾病特征（如五官畸形、口眼歪斜、不能自行矫正的斜颈、步态异常等）；</w:t>
      </w:r>
    </w:p>
    <w:p w14:paraId="054A33DD">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2.4无纹身，无重度腋臭，无肢体功能障碍；</w:t>
      </w:r>
    </w:p>
    <w:p w14:paraId="4B8AADFB">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2.5无影响语言正常表达的口吃；</w:t>
      </w:r>
    </w:p>
    <w:p w14:paraId="72BA0407">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2.6</w:t>
      </w:r>
      <w:r>
        <w:rPr>
          <w:rFonts w:hint="eastAsia" w:ascii="宋体" w:hAnsi="宋体" w:eastAsia="宋体" w:cs="宋体"/>
          <w:color w:val="auto"/>
          <w:sz w:val="24"/>
          <w:szCs w:val="24"/>
          <w:highlight w:val="none"/>
          <w:lang w:val="en-US" w:eastAsia="zh-CN"/>
        </w:rPr>
        <w:t>无影响从事</w:t>
      </w:r>
      <w:r>
        <w:rPr>
          <w:rFonts w:hint="eastAsia" w:cs="宋体"/>
          <w:color w:val="auto"/>
          <w:sz w:val="24"/>
          <w:szCs w:val="24"/>
          <w:highlight w:val="none"/>
          <w:lang w:val="en-US" w:eastAsia="zh-CN"/>
        </w:rPr>
        <w:t>物业</w:t>
      </w:r>
      <w:r>
        <w:rPr>
          <w:rFonts w:hint="eastAsia" w:ascii="宋体" w:hAnsi="宋体" w:eastAsia="宋体" w:cs="宋体"/>
          <w:color w:val="auto"/>
          <w:sz w:val="24"/>
          <w:szCs w:val="24"/>
          <w:highlight w:val="none"/>
          <w:lang w:val="en-US" w:eastAsia="zh-CN"/>
        </w:rPr>
        <w:t>工作的其他严重疾病。</w:t>
      </w:r>
    </w:p>
    <w:p w14:paraId="10479125">
      <w:pPr>
        <w:keepNext w:val="0"/>
        <w:keepLines w:val="0"/>
        <w:pageBreakBefore w:val="0"/>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 xml:space="preserve">其他要求（不得存在下列情形）： </w:t>
      </w:r>
    </w:p>
    <w:p w14:paraId="47ABDC43">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3.1参加非法组织、邪教组织或者从事其他危害国家安全活动的；</w:t>
      </w:r>
    </w:p>
    <w:p w14:paraId="5ADAD303">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3.2正在服刑或正在接受调查的；</w:t>
      </w:r>
    </w:p>
    <w:p w14:paraId="15331B5E">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3.3受过刑事处罚或者涉嫌犯罪尚未结案的；</w:t>
      </w:r>
    </w:p>
    <w:p w14:paraId="6DF87419">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3.4编造、散布有损国家声誉、反对党的理论和路线方针政策、违反国家法律法规信息的；</w:t>
      </w:r>
    </w:p>
    <w:p w14:paraId="591C2E05">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3.5因吸毒、吸食危险物质、嫖娼、赌博受到处罚的；</w:t>
      </w:r>
    </w:p>
    <w:p w14:paraId="3E557D75">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3.6被行政拘留、司法拘留或收容教育的；</w:t>
      </w:r>
    </w:p>
    <w:p w14:paraId="035E39D8">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3.7被吊销律师、公证员执业证书的；</w:t>
      </w:r>
    </w:p>
    <w:p w14:paraId="6E7D9601">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3.8被开除公职、开除军籍或者曾因违法违纪被辞退、解除劳动合同的；</w:t>
      </w:r>
    </w:p>
    <w:p w14:paraId="6B792AD9">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3.9有不良征信记录或与他人有财务纠纷尚未解决的；</w:t>
      </w:r>
    </w:p>
    <w:p w14:paraId="627D0806">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3.10被依法列为失信联合惩戒对象的</w:t>
      </w:r>
      <w:r>
        <w:rPr>
          <w:rFonts w:hint="eastAsia" w:cs="宋体"/>
          <w:color w:val="auto"/>
          <w:sz w:val="24"/>
          <w:szCs w:val="24"/>
          <w:highlight w:val="none"/>
          <w:lang w:val="en-US" w:eastAsia="zh-CN"/>
        </w:rPr>
        <w:t>；</w:t>
      </w:r>
    </w:p>
    <w:p w14:paraId="7211A495">
      <w:pPr>
        <w:pStyle w:val="81"/>
        <w:keepNext w:val="0"/>
        <w:keepLines w:val="0"/>
        <w:pageBreakBefore w:val="0"/>
        <w:widowControl w:val="0"/>
        <w:spacing w:before="0" w:beforeAutospacing="0" w:after="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3.11因</w:t>
      </w:r>
      <w:r>
        <w:rPr>
          <w:rFonts w:hint="eastAsia" w:ascii="宋体" w:hAnsi="宋体" w:eastAsia="宋体" w:cs="宋体"/>
          <w:color w:val="auto"/>
          <w:sz w:val="24"/>
          <w:szCs w:val="24"/>
          <w:highlight w:val="none"/>
          <w:lang w:val="en-US" w:eastAsia="zh-CN"/>
        </w:rPr>
        <w:t>拒服兵役、服役期间违法违纪等情形，被部队除名或者开除军籍处理的。</w:t>
      </w:r>
    </w:p>
    <w:p w14:paraId="0907D8EF">
      <w:pPr>
        <w:pStyle w:val="81"/>
        <w:keepNext w:val="0"/>
        <w:keepLines w:val="0"/>
        <w:pageBreakBefore w:val="0"/>
        <w:widowControl w:val="0"/>
        <w:spacing w:before="0" w:beforeAutospacing="0" w:after="0" w:afterAutospacing="0" w:line="500" w:lineRule="exact"/>
        <w:ind w:firstLine="482"/>
        <w:jc w:val="both"/>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4.所有</w:t>
      </w:r>
      <w:r>
        <w:rPr>
          <w:rFonts w:hint="eastAsia" w:cs="宋体"/>
          <w:b w:val="0"/>
          <w:bCs w:val="0"/>
          <w:i w:val="0"/>
          <w:iCs w:val="0"/>
          <w:caps w:val="0"/>
          <w:color w:val="auto"/>
          <w:spacing w:val="0"/>
          <w:sz w:val="24"/>
          <w:szCs w:val="24"/>
          <w:highlight w:val="none"/>
          <w:shd w:val="clear" w:color="auto" w:fill="FFFFFF"/>
          <w:lang w:val="en-US" w:eastAsia="zh-CN"/>
        </w:rPr>
        <w:t>物业</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服务人员须经体检、</w:t>
      </w:r>
      <w:r>
        <w:rPr>
          <w:rFonts w:hint="eastAsia" w:cs="宋体"/>
          <w:b w:val="0"/>
          <w:bCs w:val="0"/>
          <w:i w:val="0"/>
          <w:iCs w:val="0"/>
          <w:caps w:val="0"/>
          <w:color w:val="auto"/>
          <w:spacing w:val="0"/>
          <w:sz w:val="24"/>
          <w:szCs w:val="24"/>
          <w:highlight w:val="none"/>
          <w:shd w:val="clear" w:color="auto" w:fill="FFFFFF"/>
          <w:lang w:val="en-US" w:eastAsia="zh-CN"/>
        </w:rPr>
        <w:t>采购人审核</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合格后方可上岗</w:t>
      </w:r>
      <w:r>
        <w:rPr>
          <w:rFonts w:hint="eastAsia" w:cs="宋体"/>
          <w:b w:val="0"/>
          <w:bCs w:val="0"/>
          <w:i w:val="0"/>
          <w:iCs w:val="0"/>
          <w:caps w:val="0"/>
          <w:color w:val="auto"/>
          <w:spacing w:val="0"/>
          <w:sz w:val="24"/>
          <w:szCs w:val="24"/>
          <w:highlight w:val="none"/>
          <w:shd w:val="clear" w:color="auto" w:fill="FFFFFF"/>
          <w:lang w:val="en-US" w:eastAsia="zh-CN"/>
        </w:rPr>
        <w:t>。</w:t>
      </w:r>
    </w:p>
    <w:p w14:paraId="4CB10DD8">
      <w:pPr>
        <w:keepNext w:val="0"/>
        <w:keepLines w:val="0"/>
        <w:pageBreakBefore w:val="0"/>
        <w:numPr>
          <w:ilvl w:val="0"/>
          <w:numId w:val="0"/>
        </w:numPr>
        <w:spacing w:line="500" w:lineRule="exact"/>
        <w:ind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投标报价要求</w:t>
      </w:r>
    </w:p>
    <w:p w14:paraId="2E25FF25">
      <w:pPr>
        <w:keepNext w:val="0"/>
        <w:keepLines w:val="0"/>
        <w:pageBreakBefore w:val="0"/>
        <w:numPr>
          <w:ilvl w:val="0"/>
          <w:numId w:val="0"/>
        </w:num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报价应包括所有人员的工资、社保、公积金、法定节假日加班费，还应包括：管理、劳务、培训、风险、税金、合理利润及政策性文件规定等各项应有费用，以及为完成招标文件规定的物业服务工作所涉及到的清洁用品、日常消耗品、服装、装备、维修工具及劳保用品等一切相关费用。</w:t>
      </w:r>
    </w:p>
    <w:p w14:paraId="20490478">
      <w:pPr>
        <w:keepNext w:val="0"/>
        <w:keepLines w:val="0"/>
        <w:pageBreakBefore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2、本次招标物业服务范围内的</w:t>
      </w:r>
      <w:r>
        <w:rPr>
          <w:rFonts w:hint="eastAsia" w:ascii="宋体" w:hAnsi="宋体" w:eastAsia="宋体" w:cs="宋体"/>
          <w:color w:val="auto"/>
          <w:sz w:val="24"/>
          <w:szCs w:val="24"/>
          <w:highlight w:val="none"/>
          <w:lang w:val="en-US" w:eastAsia="zh-CN"/>
        </w:rPr>
        <w:t>保洁</w:t>
      </w:r>
      <w:r>
        <w:rPr>
          <w:rFonts w:hint="eastAsia" w:ascii="宋体" w:hAnsi="宋体" w:eastAsia="宋体" w:cs="宋体"/>
          <w:color w:val="auto"/>
          <w:sz w:val="24"/>
          <w:szCs w:val="24"/>
          <w:highlight w:val="none"/>
        </w:rPr>
        <w:t>用具及清洁用品（包含但不限于</w:t>
      </w:r>
      <w:r>
        <w:rPr>
          <w:rFonts w:hint="eastAsia" w:ascii="宋体" w:hAnsi="宋体" w:eastAsia="宋体" w:cs="宋体"/>
          <w:color w:val="auto"/>
          <w:sz w:val="24"/>
          <w:highlight w:val="none"/>
        </w:rPr>
        <w:t>洗衣粉、洗洁精、抹布、拖把、尘推、清洁桶、玻璃清洁剂、小扫帚、大扫帚、簸箕、纸捡夹、板刷、铁铲、云石刀、喷壶、刮水器、涂水器、胶手套、消毒液、水拔子、鸡毛掸、马桶刷、洁厕净、灭鼠药、冲洗地面用水管等等</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购置并承担费用，采购人不另行增加费用。</w:t>
      </w:r>
    </w:p>
    <w:p w14:paraId="603C0C3D">
      <w:pPr>
        <w:keepNext w:val="0"/>
        <w:keepLines w:val="0"/>
        <w:pageBreakBefore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3、所有人员的工作服装和相关装备（含通讯等）等由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购置并承担费用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采购人不另行增加费用。</w:t>
      </w:r>
    </w:p>
    <w:p w14:paraId="4B8EE538">
      <w:pPr>
        <w:keepNext w:val="0"/>
        <w:keepLines w:val="0"/>
        <w:pageBreakBefore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4、报价中不包含电梯、消防</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空调等专业维保费用及检测费用、需更换材料的费用，以及所有设备设施维修服务过程中的材料消耗费用。报价中也不包含房屋及装潢的维修费用。</w:t>
      </w:r>
    </w:p>
    <w:p w14:paraId="79E3DAC2">
      <w:pPr>
        <w:keepNext w:val="0"/>
        <w:keepLines w:val="0"/>
        <w:pageBreakBefore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因物管工作需要的各种</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维修工具、专业工具、劳保用品均由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购置并承担费用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采购人不另行增加费用。</w:t>
      </w:r>
    </w:p>
    <w:p w14:paraId="00949624">
      <w:pPr>
        <w:keepNext w:val="0"/>
        <w:keepLines w:val="0"/>
        <w:pageBreakBefore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提供的服务内容、招标文件及答疑文件等资料要求，并根据市场行情、结合自身公司实力、管理水平等因素，按要求进行报价。</w:t>
      </w:r>
    </w:p>
    <w:p w14:paraId="454E2E1D">
      <w:pPr>
        <w:keepNext w:val="0"/>
        <w:keepLines w:val="0"/>
        <w:pageBreakBefore w:val="0"/>
        <w:spacing w:line="500" w:lineRule="exact"/>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、服务人员须服从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管理，服从采购人安排的短期加班或活动，此项费用由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包含在投标报价中，采购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不再另行增加此项费用。</w:t>
      </w:r>
    </w:p>
    <w:p w14:paraId="017B173E">
      <w:pPr>
        <w:keepNext w:val="0"/>
        <w:keepLines w:val="0"/>
        <w:pageBreakBefore w:val="0"/>
        <w:spacing w:line="500" w:lineRule="exact"/>
        <w:ind w:firstLine="468"/>
        <w:rPr>
          <w:rFonts w:hint="eastAsia" w:ascii="宋体" w:hAnsi="宋体" w:eastAsia="宋体" w:cs="宋体"/>
          <w:color w:val="auto"/>
          <w:highlight w:val="none"/>
        </w:rPr>
      </w:pPr>
      <w:r>
        <w:rPr>
          <w:rFonts w:hint="eastAsia" w:ascii="宋体" w:hAnsi="宋体" w:eastAsia="宋体" w:cs="宋体"/>
          <w:b w:val="0"/>
          <w:bCs w:val="0"/>
          <w:color w:val="auto"/>
          <w:sz w:val="24"/>
          <w:highlight w:val="none"/>
          <w:lang w:val="en-US" w:eastAsia="zh-CN"/>
        </w:rPr>
        <w:t>8、</w:t>
      </w:r>
      <w:r>
        <w:rPr>
          <w:rFonts w:hint="eastAsia" w:ascii="宋体" w:hAnsi="宋体" w:eastAsia="宋体" w:cs="宋体"/>
          <w:color w:val="auto"/>
          <w:sz w:val="24"/>
          <w:szCs w:val="24"/>
          <w:highlight w:val="none"/>
        </w:rPr>
        <w:t>所有人员必须足额缴纳保险费用，缴纳基数与缴纳费率应按照我省、市相关部门颁布的最新文件规定执行。</w:t>
      </w:r>
      <w:r>
        <w:rPr>
          <w:rFonts w:hint="eastAsia" w:ascii="宋体" w:hAnsi="宋体" w:eastAsia="宋体" w:cs="宋体"/>
          <w:b/>
          <w:bCs/>
          <w:color w:val="auto"/>
          <w:sz w:val="24"/>
          <w:highlight w:val="none"/>
          <w:lang w:val="zh-CN"/>
        </w:rPr>
        <w:t>所有人员工资不低于本市最低工资标准，所有人员必须足额缴纳社保费用，社保（企业部分）</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val="en-US" w:eastAsia="zh-CN"/>
        </w:rPr>
        <w:t>法定节假日加班费</w:t>
      </w:r>
      <w:r>
        <w:rPr>
          <w:rFonts w:hint="eastAsia" w:ascii="宋体" w:hAnsi="宋体" w:eastAsia="宋体" w:cs="宋体"/>
          <w:b/>
          <w:bCs/>
          <w:color w:val="auto"/>
          <w:sz w:val="24"/>
          <w:highlight w:val="none"/>
          <w:lang w:val="en-US" w:eastAsia="zh-CN"/>
        </w:rPr>
        <w:t>及税金等均不得低于国家法定标准。</w:t>
      </w:r>
    </w:p>
    <w:p w14:paraId="7E66A632">
      <w:pPr>
        <w:keepNext w:val="0"/>
        <w:keepLines w:val="0"/>
        <w:pageBreakBefore w:val="0"/>
        <w:spacing w:line="500" w:lineRule="exact"/>
        <w:ind w:firstLine="47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供应商</w:t>
      </w:r>
      <w:r>
        <w:rPr>
          <w:rFonts w:hint="eastAsia" w:ascii="宋体" w:hAnsi="宋体" w:eastAsia="宋体" w:cs="宋体"/>
          <w:b/>
          <w:bCs/>
          <w:color w:val="auto"/>
          <w:sz w:val="24"/>
          <w:highlight w:val="none"/>
          <w:lang w:val="zh-CN"/>
        </w:rPr>
        <w:t>所提供人员的费用不得低于上述标准进行测算，</w:t>
      </w:r>
      <w:r>
        <w:rPr>
          <w:rFonts w:hint="eastAsia" w:ascii="宋体" w:hAnsi="宋体" w:eastAsia="宋体" w:cs="宋体"/>
          <w:b/>
          <w:color w:val="auto"/>
          <w:sz w:val="24"/>
          <w:highlight w:val="none"/>
        </w:rPr>
        <w:t>否则</w:t>
      </w:r>
      <w:r>
        <w:rPr>
          <w:rFonts w:hint="eastAsia" w:ascii="宋体" w:hAnsi="宋体" w:eastAsia="宋体" w:cs="宋体"/>
          <w:b/>
          <w:bCs/>
          <w:color w:val="auto"/>
          <w:sz w:val="24"/>
          <w:highlight w:val="none"/>
          <w:lang w:val="zh-CN"/>
        </w:rPr>
        <w:t>视为未实质性响应招标文件要求</w:t>
      </w:r>
      <w:r>
        <w:rPr>
          <w:rFonts w:hint="eastAsia" w:ascii="宋体" w:hAnsi="宋体" w:eastAsia="宋体" w:cs="宋体"/>
          <w:b/>
          <w:color w:val="auto"/>
          <w:sz w:val="24"/>
          <w:highlight w:val="none"/>
        </w:rPr>
        <w:t>。如果招标公告发布之后开标前遇政府调整职工最低工资标准或社会保险缴纳基数，</w:t>
      </w:r>
      <w:r>
        <w:rPr>
          <w:rFonts w:hint="eastAsia" w:ascii="宋体" w:hAnsi="宋体" w:eastAsia="宋体" w:cs="宋体"/>
          <w:b/>
          <w:color w:val="auto"/>
          <w:sz w:val="24"/>
          <w:highlight w:val="none"/>
          <w:lang w:eastAsia="zh-CN"/>
        </w:rPr>
        <w:t>评委会</w:t>
      </w:r>
      <w:r>
        <w:rPr>
          <w:rFonts w:hint="eastAsia" w:ascii="宋体" w:hAnsi="宋体" w:eastAsia="宋体" w:cs="宋体"/>
          <w:b/>
          <w:color w:val="auto"/>
          <w:sz w:val="24"/>
          <w:highlight w:val="none"/>
        </w:rPr>
        <w:t>进行符合性审查时可仍按上述标准审查，中标后，中标人应按照最新政策文件规定执行。</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报价应充分考虑到合同期内各项政策性因素，其人员的最低工资标准、社会保险缴纳基数等在合同期内均不作调整。</w:t>
      </w:r>
    </w:p>
    <w:p w14:paraId="749825D3">
      <w:pPr>
        <w:keepNext w:val="0"/>
        <w:keepLines w:val="0"/>
        <w:pageBreakBefore w:val="0"/>
        <w:widowControl/>
        <w:numPr>
          <w:ilvl w:val="0"/>
          <w:numId w:val="0"/>
        </w:numPr>
        <w:spacing w:line="500" w:lineRule="exact"/>
        <w:jc w:val="left"/>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六</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特别说明</w:t>
      </w:r>
      <w:r>
        <w:rPr>
          <w:rFonts w:hint="eastAsia" w:ascii="宋体" w:hAnsi="宋体" w:eastAsia="宋体" w:cs="宋体"/>
          <w:color w:val="auto"/>
          <w:sz w:val="24"/>
          <w:highlight w:val="none"/>
        </w:rPr>
        <w:t xml:space="preserve"> </w:t>
      </w:r>
    </w:p>
    <w:p w14:paraId="7F66B2BF">
      <w:pPr>
        <w:keepNext w:val="0"/>
        <w:keepLines w:val="0"/>
        <w:pageBreakBefore w:val="0"/>
        <w:widowControl/>
        <w:spacing w:line="500" w:lineRule="exact"/>
        <w:ind w:firstLine="480"/>
        <w:jc w:val="left"/>
        <w:rPr>
          <w:rFonts w:hint="eastAsia" w:ascii="宋体" w:hAnsi="宋体" w:eastAsia="宋体" w:cs="宋体"/>
          <w:b w:val="0"/>
          <w:color w:val="auto"/>
          <w:sz w:val="24"/>
          <w:highlight w:val="none"/>
        </w:rPr>
      </w:pP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b w:val="0"/>
          <w:color w:val="auto"/>
          <w:sz w:val="24"/>
          <w:highlight w:val="none"/>
        </w:rPr>
        <w:t>合同款项的支付方式及进度安排</w:t>
      </w:r>
    </w:p>
    <w:p w14:paraId="182AEDAB">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right="0" w:firstLine="480"/>
        <w:jc w:val="both"/>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①预付款支付时间：合同签订后，采购人收到发票后10个工作日内，预付款支付比例：合同金额的30%。</w:t>
      </w:r>
      <w:r>
        <w:rPr>
          <w:rFonts w:hint="eastAsia" w:ascii="宋体" w:hAnsi="宋体" w:eastAsia="宋体" w:cs="宋体"/>
          <w:color w:val="auto"/>
          <w:sz w:val="24"/>
          <w:highlight w:val="none"/>
        </w:rPr>
        <w:t>在签订合同时，中标、成交供应商明确书面表示无需预付款或者主动要求降低预付款比例的，采购人可就预付款比例作相应调整。</w:t>
      </w:r>
    </w:p>
    <w:p w14:paraId="4C038F75">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highlight w:val="none"/>
          <w:lang w:val="en-US" w:eastAsia="zh-CN"/>
        </w:rPr>
        <w:t>②</w:t>
      </w:r>
      <w:r>
        <w:rPr>
          <w:rFonts w:hint="eastAsia" w:ascii="宋体" w:hAnsi="宋体" w:eastAsia="宋体" w:cs="宋体"/>
          <w:color w:val="auto"/>
          <w:sz w:val="24"/>
          <w:szCs w:val="24"/>
          <w:highlight w:val="none"/>
          <w:lang w:val="en-US" w:eastAsia="zh-CN"/>
        </w:rPr>
        <w:t>尾款支付时间：物业管理费用由甲方经考评后按季度支付，即下季度第一个月支付上一个季度应支付的物业管理费用</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4"/>
          <w:highlight w:val="none"/>
          <w:lang w:val="en-US" w:eastAsia="zh-CN"/>
        </w:rPr>
        <w:t>同时按预付款25%的比例扣回预付款）。甲方在收到发票后10个工作日内支付上个季度的物业管理费。甲方按季度付清乙方的物业费用，不再负责乙方因此产生的债务或其他经济问题。甲方考核时如发现现场人数与乙方投标人数不符的，甲方付款时将按投标工资双倍扣款。</w:t>
      </w:r>
    </w:p>
    <w:p w14:paraId="5C94EA36">
      <w:pPr>
        <w:keepNext w:val="0"/>
        <w:keepLines w:val="0"/>
        <w:pageBreakBefore w:val="0"/>
        <w:spacing w:line="500" w:lineRule="exact"/>
        <w:ind w:firstLine="482"/>
        <w:rPr>
          <w:rFonts w:hint="eastAsia" w:ascii="宋体" w:hAnsi="宋体" w:eastAsia="宋体" w:cs="宋体"/>
          <w:color w:val="auto"/>
          <w:sz w:val="24"/>
          <w:szCs w:val="24"/>
          <w:highlight w:val="none"/>
          <w:lang w:val="en-US" w:eastAsia="zh-CN"/>
        </w:rPr>
      </w:pPr>
      <w:r>
        <w:rPr>
          <w:rFonts w:hint="eastAsia" w:ascii="宋体" w:hAnsi="宋体" w:cs="宋体"/>
          <w:b/>
          <w:color w:val="auto"/>
          <w:sz w:val="24"/>
          <w:highlight w:val="none"/>
          <w:lang w:val="en-US" w:eastAsia="zh-CN"/>
        </w:rPr>
        <w:t>2</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lang w:val="zh-CN"/>
        </w:rPr>
        <w:t>验收标准与考核履约评价</w:t>
      </w:r>
    </w:p>
    <w:p w14:paraId="1F0CEBE3">
      <w:pPr>
        <w:keepNext w:val="0"/>
        <w:keepLines w:val="0"/>
        <w:pageBreakBefore w:val="0"/>
        <w:widowControl/>
        <w:spacing w:line="50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2.1</w:t>
      </w:r>
      <w:r>
        <w:rPr>
          <w:rFonts w:hint="eastAsia" w:ascii="宋体" w:hAnsi="宋体" w:eastAsia="宋体" w:cs="宋体"/>
          <w:color w:val="auto"/>
          <w:sz w:val="24"/>
          <w:highlight w:val="none"/>
        </w:rPr>
        <w:t>考核得分为90分（含）及以上的为合格，</w:t>
      </w:r>
      <w:r>
        <w:rPr>
          <w:rFonts w:hint="eastAsia" w:ascii="宋体" w:hAnsi="宋体" w:eastAsia="宋体" w:cs="宋体"/>
          <w:color w:val="auto"/>
          <w:sz w:val="24"/>
          <w:highlight w:val="none"/>
          <w:lang w:val="en-US" w:eastAsia="zh-CN"/>
        </w:rPr>
        <w:t>考核当月</w:t>
      </w:r>
      <w:r>
        <w:rPr>
          <w:rFonts w:hint="eastAsia" w:ascii="宋体" w:hAnsi="宋体" w:eastAsia="宋体" w:cs="宋体"/>
          <w:color w:val="auto"/>
          <w:sz w:val="24"/>
          <w:highlight w:val="none"/>
        </w:rPr>
        <w:t>物业管理费</w:t>
      </w:r>
      <w:r>
        <w:rPr>
          <w:rFonts w:hint="eastAsia" w:ascii="宋体" w:hAnsi="宋体" w:eastAsia="宋体" w:cs="宋体"/>
          <w:color w:val="auto"/>
          <w:sz w:val="24"/>
          <w:highlight w:val="none"/>
          <w:lang w:val="en-US" w:eastAsia="zh-CN"/>
        </w:rPr>
        <w:t>按</w:t>
      </w:r>
      <w:r>
        <w:rPr>
          <w:rFonts w:hint="eastAsia" w:ascii="宋体" w:hAnsi="宋体" w:eastAsia="宋体" w:cs="宋体"/>
          <w:color w:val="auto"/>
          <w:sz w:val="24"/>
          <w:highlight w:val="none"/>
        </w:rPr>
        <w:t>全额</w:t>
      </w:r>
      <w:r>
        <w:rPr>
          <w:rFonts w:hint="eastAsia" w:ascii="宋体" w:hAnsi="宋体" w:eastAsia="宋体" w:cs="宋体"/>
          <w:color w:val="auto"/>
          <w:sz w:val="24"/>
          <w:highlight w:val="none"/>
          <w:lang w:val="en-US" w:eastAsia="zh-CN"/>
        </w:rPr>
        <w:t>计算；</w:t>
      </w:r>
      <w:r>
        <w:rPr>
          <w:rFonts w:hint="eastAsia" w:ascii="宋体" w:hAnsi="宋体" w:eastAsia="宋体" w:cs="宋体"/>
          <w:color w:val="auto"/>
          <w:sz w:val="24"/>
          <w:highlight w:val="none"/>
        </w:rPr>
        <w:t>考核得分90分以下的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得分转换成比例，考核当月</w:t>
      </w:r>
      <w:r>
        <w:rPr>
          <w:rFonts w:hint="eastAsia" w:ascii="宋体" w:hAnsi="宋体" w:eastAsia="宋体" w:cs="宋体"/>
          <w:color w:val="auto"/>
          <w:sz w:val="24"/>
          <w:highlight w:val="none"/>
          <w:lang w:eastAsia="zh-CN"/>
        </w:rPr>
        <w:t>物业管理费</w:t>
      </w:r>
      <w:r>
        <w:rPr>
          <w:rFonts w:hint="eastAsia" w:ascii="宋体" w:hAnsi="宋体" w:eastAsia="宋体" w:cs="宋体"/>
          <w:color w:val="auto"/>
          <w:sz w:val="24"/>
          <w:highlight w:val="none"/>
          <w:lang w:val="en-US" w:eastAsia="zh-CN"/>
        </w:rPr>
        <w:t>按考核当月</w:t>
      </w:r>
      <w:r>
        <w:rPr>
          <w:rFonts w:hint="eastAsia" w:ascii="宋体" w:hAnsi="宋体" w:eastAsia="宋体" w:cs="宋体"/>
          <w:color w:val="auto"/>
          <w:sz w:val="24"/>
          <w:highlight w:val="none"/>
        </w:rPr>
        <w:t>全额</w:t>
      </w:r>
      <w:r>
        <w:rPr>
          <w:rFonts w:hint="eastAsia" w:ascii="宋体" w:hAnsi="宋体" w:eastAsia="宋体" w:cs="宋体"/>
          <w:color w:val="auto"/>
          <w:sz w:val="24"/>
          <w:highlight w:val="none"/>
          <w:lang w:val="en-US" w:eastAsia="zh-CN"/>
        </w:rPr>
        <w:t>费用乘以比例计算</w:t>
      </w:r>
      <w:r>
        <w:rPr>
          <w:rFonts w:hint="eastAsia" w:ascii="宋体" w:hAnsi="宋体" w:eastAsia="宋体" w:cs="宋体"/>
          <w:color w:val="auto"/>
          <w:sz w:val="24"/>
          <w:highlight w:val="none"/>
        </w:rPr>
        <w:t>（例：考核得分89分的，</w:t>
      </w:r>
      <w:r>
        <w:rPr>
          <w:rFonts w:hint="eastAsia" w:ascii="宋体" w:hAnsi="宋体" w:eastAsia="宋体" w:cs="宋体"/>
          <w:color w:val="auto"/>
          <w:sz w:val="24"/>
          <w:highlight w:val="none"/>
          <w:lang w:val="en-US" w:eastAsia="zh-CN"/>
        </w:rPr>
        <w:t>考核当月</w:t>
      </w:r>
      <w:r>
        <w:rPr>
          <w:rFonts w:hint="eastAsia" w:ascii="宋体" w:hAnsi="宋体" w:eastAsia="宋体" w:cs="宋体"/>
          <w:color w:val="auto"/>
          <w:sz w:val="24"/>
          <w:highlight w:val="none"/>
          <w:lang w:eastAsia="zh-CN"/>
        </w:rPr>
        <w:t>物业管理费</w:t>
      </w:r>
      <w:r>
        <w:rPr>
          <w:rFonts w:hint="eastAsia" w:ascii="宋体" w:hAnsi="宋体" w:eastAsia="宋体" w:cs="宋体"/>
          <w:color w:val="auto"/>
          <w:sz w:val="24"/>
          <w:highlight w:val="none"/>
          <w:lang w:val="en-US" w:eastAsia="zh-CN"/>
        </w:rPr>
        <w:t>按考核当月全额费用</w:t>
      </w:r>
      <w:r>
        <w:rPr>
          <w:rFonts w:hint="eastAsia" w:ascii="宋体" w:hAnsi="宋体" w:eastAsia="宋体" w:cs="宋体"/>
          <w:color w:val="auto"/>
          <w:sz w:val="24"/>
          <w:highlight w:val="none"/>
        </w:rPr>
        <w:t>的89%</w:t>
      </w:r>
      <w:r>
        <w:rPr>
          <w:rFonts w:hint="eastAsia" w:ascii="宋体" w:hAnsi="宋体" w:eastAsia="宋体" w:cs="宋体"/>
          <w:color w:val="auto"/>
          <w:sz w:val="24"/>
          <w:highlight w:val="none"/>
          <w:lang w:val="en-US" w:eastAsia="zh-CN"/>
        </w:rPr>
        <w:t>计算</w:t>
      </w:r>
      <w:r>
        <w:rPr>
          <w:rFonts w:hint="eastAsia" w:ascii="宋体" w:hAnsi="宋体" w:eastAsia="宋体" w:cs="宋体"/>
          <w:color w:val="auto"/>
          <w:sz w:val="24"/>
          <w:highlight w:val="none"/>
        </w:rPr>
        <w:t>）。一年中月度考核合格达十次及以上者，为年度考核合格，方可续签下一年度合同。</w:t>
      </w:r>
    </w:p>
    <w:p w14:paraId="744C22DC">
      <w:pPr>
        <w:keepNext w:val="0"/>
        <w:keepLines w:val="0"/>
        <w:pageBreakBefore w:val="0"/>
        <w:widowControl/>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w:t>
      </w:r>
      <w:r>
        <w:rPr>
          <w:rFonts w:hint="eastAsia" w:ascii="宋体" w:hAnsi="宋体" w:eastAsia="宋体" w:cs="宋体"/>
          <w:color w:val="auto"/>
          <w:sz w:val="24"/>
          <w:highlight w:val="none"/>
          <w:lang w:val="en-US" w:eastAsia="zh-CN"/>
        </w:rPr>
        <w:t>详见附件《</w:t>
      </w:r>
      <w:r>
        <w:rPr>
          <w:rFonts w:hint="eastAsia" w:ascii="宋体" w:hAnsi="宋体" w:eastAsia="宋体" w:cs="宋体"/>
          <w:color w:val="auto"/>
          <w:sz w:val="24"/>
          <w:highlight w:val="none"/>
        </w:rPr>
        <w:t>物业服务质量考核表</w:t>
      </w:r>
      <w:r>
        <w:rPr>
          <w:rFonts w:hint="eastAsia" w:ascii="宋体" w:hAnsi="宋体" w:eastAsia="宋体" w:cs="宋体"/>
          <w:color w:val="auto"/>
          <w:sz w:val="24"/>
          <w:highlight w:val="none"/>
          <w:lang w:eastAsia="zh-CN"/>
        </w:rPr>
        <w:t>》</w:t>
      </w:r>
    </w:p>
    <w:p w14:paraId="717170A0">
      <w:pPr>
        <w:keepNext w:val="0"/>
        <w:keepLines w:val="0"/>
        <w:pageBreakBefore w:val="0"/>
        <w:widowControl/>
        <w:numPr>
          <w:ilvl w:val="0"/>
          <w:numId w:val="0"/>
        </w:numPr>
        <w:spacing w:line="50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须提供全年物业服务。</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根据法律法规自行安排员工休息。</w:t>
      </w:r>
    </w:p>
    <w:p w14:paraId="4A92992D">
      <w:pPr>
        <w:keepNext w:val="0"/>
        <w:keepLines w:val="0"/>
        <w:pageBreakBefore w:val="0"/>
        <w:widowControl/>
        <w:numPr>
          <w:ilvl w:val="0"/>
          <w:numId w:val="0"/>
        </w:numPr>
        <w:spacing w:line="500" w:lineRule="exact"/>
        <w:ind w:firstLine="482"/>
        <w:jc w:val="lef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lang w:val="en-US" w:eastAsia="zh-CN"/>
        </w:rPr>
        <w:t>、项目管理服务方案</w:t>
      </w:r>
    </w:p>
    <w:p w14:paraId="66E2A965">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供应商应根据采购需求和本项目实际，制订相应的服务方案包括但不限于以下内容：</w:t>
      </w:r>
    </w:p>
    <w:p w14:paraId="70148619">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1、项目认知、服务定位、管理理念、整体设想：</w:t>
      </w:r>
    </w:p>
    <w:p w14:paraId="0871CE61">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项目认知：包括管理服务的宗旨、方针、目标、设想与特色，服务的重点及难点，拟采取的高标准高水平的管理模式及措施。秉承“以业主为中心，以服务为根本”的宗旨，坚持“管理无小事、服务无止境”的工作理念，将本物业项目打造成为安全、整洁、高效、温馨的办公环境，为工作人员提供专业化、精细化、人性化的后勤保障服务。</w:t>
      </w:r>
    </w:p>
    <w:p w14:paraId="4286D169">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服务定位</w:t>
      </w:r>
      <w:r>
        <w:rPr>
          <w:rFonts w:hint="eastAsia" w:ascii="宋体" w:hAnsi="宋体" w:cs="宋体"/>
          <w:color w:val="auto"/>
          <w:sz w:val="24"/>
          <w:szCs w:val="24"/>
          <w:highlight w:val="none"/>
          <w:lang w:val="en-US" w:eastAsia="zh-CN"/>
        </w:rPr>
        <w:t>：本项目精准定位为“安全优先、规范专业、高效保障、静默服务”的司法物业服务，以服务法院司法履职为核心目标。坚守司法服务底线，将安保维稳、保密防护、秩序管控作为首要服务准则，筑牢法院办公办案安全防线。摒弃市场化泛化服务模式，适配司法机关庄重、严谨、高效的工作氛围，做到服务不越位、保障不缺位、细节无疏漏，全力打造适配司法场景的高品质、规范化后勤服务体系。</w:t>
      </w:r>
    </w:p>
    <w:p w14:paraId="132AEA64">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管理理念</w:t>
      </w:r>
      <w:r>
        <w:rPr>
          <w:rFonts w:hint="eastAsia" w:ascii="宋体" w:hAnsi="宋体" w:cs="宋体"/>
          <w:color w:val="auto"/>
          <w:sz w:val="24"/>
          <w:szCs w:val="24"/>
          <w:highlight w:val="none"/>
          <w:lang w:val="en-US" w:eastAsia="zh-CN"/>
        </w:rPr>
        <w:t>：本项目秉持“法治赋能、严谨履职、精细运维、初心保障”的核心管理理念，贴合法院工作属性开展全流程管理。以司法工作规范为服务准则，建立标准化、制度化、常态化的物业管理制度体系，所有服务流程、操作标准严格对标法院工作要求。落实全员保密、全员值守、全员应急的管理机制。</w:t>
      </w:r>
    </w:p>
    <w:p w14:paraId="2A3D08B4">
      <w:pPr>
        <w:keepNext w:val="0"/>
        <w:keepLines w:val="0"/>
        <w:pageBreakBefore w:val="0"/>
        <w:widowControl/>
        <w:spacing w:line="500" w:lineRule="exact"/>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整体设想</w:t>
      </w:r>
      <w:r>
        <w:rPr>
          <w:rFonts w:hint="eastAsia" w:ascii="宋体" w:hAnsi="宋体" w:cs="宋体"/>
          <w:color w:val="auto"/>
          <w:sz w:val="24"/>
          <w:szCs w:val="24"/>
          <w:highlight w:val="none"/>
          <w:lang w:val="en-US" w:eastAsia="zh-CN"/>
        </w:rPr>
        <w:t>：结合人民法院物业服务核心需求，本项目整体以“安全为基、规范为纲、精细为要、长效为本”构建全方位服务体系。整体工作分为四大核心板块，一是筑牢安全保密防线，强化区域值守、人员管控、隐患排查，严守司法秘密与场所安全；二是规范日常运维服务，细化保洁消杀、设施维保、会务接待、停车秩序等基础服务；三是优化应急保障机制，针对庭审突发情况、信访维稳、设备故障、突发险情建立快速处置流程；四是建立长效联动机制，专人对接法院后勤部门，定期复盘优化服务，持续提升物业服务专业性、适配性，全方位保障法院司法工作高效、有序、稳定开展。</w:t>
      </w:r>
    </w:p>
    <w:p w14:paraId="64892F83">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highlight w:val="none"/>
        </w:rPr>
        <w:t>卫生保洁、安全保卫、</w:t>
      </w:r>
      <w:r>
        <w:rPr>
          <w:rFonts w:hint="eastAsia" w:ascii="宋体" w:hAnsi="宋体" w:cs="宋体"/>
          <w:color w:val="auto"/>
          <w:sz w:val="24"/>
          <w:highlight w:val="none"/>
          <w:lang w:val="en-US" w:eastAsia="zh-CN"/>
        </w:rPr>
        <w:t>会务服务、安检服务</w:t>
      </w:r>
      <w:r>
        <w:rPr>
          <w:rFonts w:hint="eastAsia" w:ascii="宋体" w:hAnsi="宋体" w:eastAsia="宋体" w:cs="宋体"/>
          <w:color w:val="auto"/>
          <w:sz w:val="24"/>
          <w:highlight w:val="none"/>
        </w:rPr>
        <w:t>方案</w:t>
      </w:r>
      <w:r>
        <w:rPr>
          <w:rFonts w:hint="eastAsia" w:ascii="宋体" w:hAnsi="宋体" w:eastAsia="宋体" w:cs="宋体"/>
          <w:color w:val="auto"/>
          <w:sz w:val="24"/>
          <w:szCs w:val="24"/>
          <w:highlight w:val="none"/>
          <w:lang w:val="en-US" w:eastAsia="zh-CN"/>
        </w:rPr>
        <w:t>：</w:t>
      </w:r>
    </w:p>
    <w:p w14:paraId="5B857968">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highlight w:val="none"/>
        </w:rPr>
        <w:t>卫生保洁</w:t>
      </w:r>
      <w:r>
        <w:rPr>
          <w:rFonts w:hint="eastAsia" w:ascii="宋体" w:hAnsi="宋体" w:eastAsia="宋体" w:cs="宋体"/>
          <w:color w:val="auto"/>
          <w:sz w:val="24"/>
          <w:szCs w:val="24"/>
          <w:highlight w:val="none"/>
          <w:lang w:val="en-US" w:eastAsia="zh-CN"/>
        </w:rPr>
        <w:t>：严格覆盖法院及5处人民法庭全部室内外保洁区域，落实分时段作业。室外每日清扫1次、每日巡视2‑4次，每周清理1次卫生死角；大厅地面每季度抛光1次，卫生间每小时巡视保洁，洁具每周消毒2次，垃圾筒不超1/2容量，电梯每周彻底消毒，全部作业留存完整保洁台账，避开庭审时段作业，保障司法场所干净肃穆。</w:t>
      </w:r>
    </w:p>
    <w:p w14:paraId="6622ED38">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highlight w:val="none"/>
        </w:rPr>
        <w:t>安全保卫</w:t>
      </w:r>
      <w:r>
        <w:rPr>
          <w:rFonts w:hint="eastAsia" w:ascii="宋体" w:hAnsi="宋体" w:cs="宋体"/>
          <w:color w:val="auto"/>
          <w:sz w:val="24"/>
          <w:szCs w:val="24"/>
          <w:highlight w:val="none"/>
          <w:lang w:val="en-US" w:eastAsia="zh-CN"/>
        </w:rPr>
        <w:t>：落实24小时双班次值守，门卫单班次不少于2人，每2小时巡逻1次、节假日每日增加2次巡逻。严格落实来访人车登记，做好报刊信件每日分发。建立安保值班巡逻台账，对突发事件第一时间处置；消防监控室24小时值班，灭火器每月巡查，消防水带每半年检查，及时排查治安、消防各类安全隐患。</w:t>
      </w:r>
    </w:p>
    <w:p w14:paraId="40CBAD63">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③</w:t>
      </w:r>
      <w:r>
        <w:rPr>
          <w:rFonts w:hint="eastAsia" w:ascii="宋体" w:hAnsi="宋体" w:cs="宋体"/>
          <w:color w:val="auto"/>
          <w:sz w:val="24"/>
          <w:highlight w:val="none"/>
          <w:lang w:val="en-US" w:eastAsia="zh-CN"/>
        </w:rPr>
        <w:t>会务服务</w:t>
      </w:r>
      <w:r>
        <w:rPr>
          <w:rFonts w:hint="eastAsia" w:ascii="宋体" w:hAnsi="宋体" w:cs="宋体"/>
          <w:color w:val="auto"/>
          <w:sz w:val="24"/>
          <w:szCs w:val="24"/>
          <w:highlight w:val="none"/>
          <w:lang w:val="en-US" w:eastAsia="zh-CN"/>
        </w:rPr>
        <w:t>：严格执行法院会务全流程标准化保障。会前提前30分钟开启空调灯光，茶杯消毒不少于20分钟；会前15分钟岗位迎候。会中首次15分钟添茶，后续每15‑20分钟添茶；会后及时清场、检查遗留物品，关闭电器锁闭会议室。同步落实会务保密管理，完整做好每次会务服务工作记录，保障大小会议有序开展。</w:t>
      </w:r>
    </w:p>
    <w:p w14:paraId="25F80DD7">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④</w:t>
      </w:r>
      <w:r>
        <w:rPr>
          <w:rFonts w:hint="eastAsia" w:ascii="宋体" w:hAnsi="宋体" w:cs="宋体"/>
          <w:color w:val="auto"/>
          <w:sz w:val="24"/>
          <w:highlight w:val="none"/>
          <w:lang w:val="en-US" w:eastAsia="zh-CN"/>
        </w:rPr>
        <w:t>安检服务</w:t>
      </w:r>
      <w:r>
        <w:rPr>
          <w:rFonts w:hint="eastAsia" w:ascii="宋体" w:hAnsi="宋体" w:cs="宋体"/>
          <w:color w:val="auto"/>
          <w:sz w:val="24"/>
          <w:szCs w:val="24"/>
          <w:highlight w:val="none"/>
          <w:lang w:val="en-US" w:eastAsia="zh-CN"/>
        </w:rPr>
        <w:t>：对所有进入院区人员及随身物品实施全覆盖安检，规范操作安检门、手持探测仪、行李检测仪。严格排查管制刀具、易燃易爆等违禁物品，查获物品登记留存移交。人员文明引导来访群众，建立安检完整登记台账；岗位人员在岗不离岗，发现异常即时处置，筑牢法院入口安全防线，杜绝安全隐患流入办公办案区域</w:t>
      </w:r>
      <w:r>
        <w:rPr>
          <w:rFonts w:hint="eastAsia" w:ascii="宋体" w:hAnsi="宋体" w:eastAsia="宋体" w:cs="宋体"/>
          <w:color w:val="auto"/>
          <w:sz w:val="24"/>
          <w:szCs w:val="24"/>
          <w:highlight w:val="none"/>
          <w:lang w:val="en-US" w:eastAsia="zh-CN"/>
        </w:rPr>
        <w:t>。</w:t>
      </w:r>
    </w:p>
    <w:p w14:paraId="60E605BD">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3、档案资料管理、物业管理制度服务方案：</w:t>
      </w:r>
    </w:p>
    <w:p w14:paraId="5E7CC227">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档案资料管理</w:t>
      </w:r>
      <w:r>
        <w:rPr>
          <w:rFonts w:hint="eastAsia" w:ascii="宋体" w:hAnsi="宋体" w:cs="宋体"/>
          <w:color w:val="auto"/>
          <w:sz w:val="24"/>
          <w:szCs w:val="24"/>
          <w:highlight w:val="none"/>
          <w:lang w:val="en-US" w:eastAsia="zh-CN"/>
        </w:rPr>
        <w:t>：建立物业全品类档案管理体系，落实纸质+电子双存档模式，安排专职岗位人员负责档案管理。做到物业服务台账100%归集，巡检、维修、安保、保洁记录当日归档；电子档案每月备份1次，纸质档案分类专柜存放，档案查阅履行登记审批流程；档案完整率≥98%，交接资料齐全可追溯，每年开展1次档案全面梳理核查，严守司法相关保密管理要求，杜绝档案泄露、丢失。</w:t>
      </w:r>
    </w:p>
    <w:p w14:paraId="27271703">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物业管理制度</w:t>
      </w:r>
      <w:r>
        <w:rPr>
          <w:rFonts w:hint="eastAsia" w:ascii="宋体" w:hAnsi="宋体" w:cs="宋体"/>
          <w:color w:val="auto"/>
          <w:sz w:val="24"/>
          <w:szCs w:val="24"/>
          <w:highlight w:val="none"/>
          <w:lang w:val="en-US" w:eastAsia="zh-CN"/>
        </w:rPr>
        <w:t>：结合法院物业场景搭建全套管理制度，覆盖人员、运维、安全、考核全模块，制度编制等内容。落实月度自查机制，每月开展1次制度执行情况检查；严格人员保密、在岗值守纪律；配套百分考核奖惩细则，考核覆盖率100%；每季度组织1次全员制度学习，对制度缺陷及时修订更新，保障各项物业服务流程100%按制度落地执行，适配司法办公严谨规范要求</w:t>
      </w:r>
      <w:r>
        <w:rPr>
          <w:rFonts w:hint="eastAsia" w:ascii="宋体" w:hAnsi="宋体" w:eastAsia="宋体" w:cs="宋体"/>
          <w:color w:val="auto"/>
          <w:sz w:val="24"/>
          <w:szCs w:val="24"/>
          <w:highlight w:val="none"/>
          <w:lang w:val="en-US" w:eastAsia="zh-CN"/>
        </w:rPr>
        <w:t>。</w:t>
      </w:r>
    </w:p>
    <w:p w14:paraId="00F6F1D2">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4、组织机构设置、人员配备、人员管理：</w:t>
      </w:r>
    </w:p>
    <w:p w14:paraId="7F244FCE">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组织机构设置</w:t>
      </w:r>
      <w:r>
        <w:rPr>
          <w:rFonts w:hint="eastAsia" w:ascii="宋体" w:hAnsi="宋体" w:cs="宋体"/>
          <w:color w:val="auto"/>
          <w:sz w:val="24"/>
          <w:szCs w:val="24"/>
          <w:highlight w:val="none"/>
          <w:lang w:val="en-US" w:eastAsia="zh-CN"/>
        </w:rPr>
        <w:t>：实行项目负责人总负责制，下设安保秩序组、保洁会务组、设施运维组、综合后勤组4个职能小组。明确各组岗位职责、工作边界，杜绝岗位推诿缺岗。建立层级监督机制，指定专人对接采购人后勤部门。落实24小时工作联动，制定组间协同流转台账，台账完整率100%，保障法院各项物业服务落地执行。</w:t>
      </w:r>
    </w:p>
    <w:p w14:paraId="16EE37C8">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人员配备</w:t>
      </w:r>
      <w:r>
        <w:rPr>
          <w:rFonts w:hint="eastAsia" w:ascii="宋体" w:hAnsi="宋体" w:cs="宋体"/>
          <w:color w:val="auto"/>
          <w:sz w:val="24"/>
          <w:szCs w:val="24"/>
          <w:highlight w:val="none"/>
          <w:lang w:val="en-US" w:eastAsia="zh-CN"/>
        </w:rPr>
        <w:t>：严格按照招标文件足额配置工作人员，所有岗位不兼职、不空编，人员全部经采购人审核合格上岗。人员调整须书面报请采购人审批，未经审批调换人员比例控制为0人。</w:t>
      </w:r>
    </w:p>
    <w:p w14:paraId="1D6657E6">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人员管理</w:t>
      </w:r>
      <w:r>
        <w:rPr>
          <w:rFonts w:hint="eastAsia" w:ascii="宋体" w:hAnsi="宋体" w:cs="宋体"/>
          <w:color w:val="auto"/>
          <w:sz w:val="24"/>
          <w:szCs w:val="24"/>
          <w:highlight w:val="none"/>
          <w:lang w:val="en-US" w:eastAsia="zh-CN"/>
        </w:rPr>
        <w:t>：落实岗前背景审查、体检制度，全员建立人事档案。开展岗前及月度常态化培训，每月培训不少于1次。执行人脸识别考勤，迟到早退、脱岗问题月度核查。人员信息全部报备采购人，定期开展背景复核。建立月度考核机制，考核结果与岗位调整挂钩，违规人员处置整改闭环率100%</w:t>
      </w:r>
      <w:r>
        <w:rPr>
          <w:rFonts w:hint="eastAsia" w:ascii="宋体" w:hAnsi="宋体" w:eastAsia="宋体" w:cs="宋体"/>
          <w:color w:val="auto"/>
          <w:sz w:val="24"/>
          <w:szCs w:val="24"/>
          <w:highlight w:val="none"/>
          <w:lang w:val="en-US" w:eastAsia="zh-CN"/>
        </w:rPr>
        <w:t>。</w:t>
      </w:r>
    </w:p>
    <w:p w14:paraId="3FBF43E4">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物资装备配置方案：</w:t>
      </w:r>
    </w:p>
    <w:p w14:paraId="403D6B8B">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物资配置：严格按照法院物业全场景保障需求，分类配置保洁消杀、办公后勤、应急便民类物资。保洁消杀物资按40名在岗人员全年用量测算，每月盘点库存，保洁耗材储备量不低于30天使用量；办公及便民物资按需补给，应急物资储备满足6个服务点位同时启用，建立入库、领用、盘点台账，每季度开展物资效期核查，杜绝过期、短缺问题，保障全院及5个法庭物业服务不间断开展。</w:t>
      </w:r>
    </w:p>
    <w:p w14:paraId="63A0160F">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②装备配置：</w:t>
      </w:r>
      <w:r>
        <w:rPr>
          <w:rFonts w:hint="eastAsia" w:ascii="宋体" w:hAnsi="宋体" w:eastAsia="宋体" w:cs="宋体"/>
          <w:color w:val="auto"/>
          <w:sz w:val="24"/>
          <w:szCs w:val="24"/>
          <w:highlight w:val="none"/>
          <w:lang w:val="en-US" w:eastAsia="zh-CN"/>
        </w:rPr>
        <w:t>按需配齐保洁作业、安防巡查、设施维修、应急救援四大类专业装备。保洁作业装备配置洗地机1台、吸尘器2台及全套保洁工具；安防配备巡查记录仪不少于8台；维修工具全套配齐；消防、防汛应急装备6个服务点各一套。落实装备专人保管，每月开展1次检修维护，建立装备台账，故障装备48小时内完成维修或替换，保障各岗位装备完好可用率达到100%。</w:t>
      </w:r>
    </w:p>
    <w:p w14:paraId="76142A10">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6、员工培训、考核计划：</w:t>
      </w:r>
    </w:p>
    <w:p w14:paraId="44B0A9CA">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员工培训</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建立岗前+常态化轮训机制，全员岗前培训不少于8课时，考核合格方可上岗；每月组织1次专项培训，全年培训不少于12次。培训覆盖保密纪律、司法物业礼仪、消防安防、应急处置、岗位实操。每次培训参训率100%，配套培训台账，培训后开展测试，测试合格率需≥95%，不合格人员开展二次补训直至达标。</w:t>
      </w:r>
    </w:p>
    <w:p w14:paraId="3693598D">
      <w:pPr>
        <w:keepNext w:val="0"/>
        <w:keepLines w:val="0"/>
        <w:pageBreakBefore w:val="0"/>
        <w:widowControl/>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考核计划</w:t>
      </w:r>
      <w:r>
        <w:rPr>
          <w:rFonts w:hint="eastAsia" w:ascii="宋体" w:hAnsi="宋体" w:cs="宋体"/>
          <w:color w:val="auto"/>
          <w:sz w:val="24"/>
          <w:szCs w:val="24"/>
          <w:highlight w:val="none"/>
          <w:lang w:val="en-US" w:eastAsia="zh-CN"/>
        </w:rPr>
        <w:t>：实行月度岗位考核、季度综合考评、年度总评，满分100分。依据物业考核表，从出勤纪律、服务质量、安全保密、应急处置、甲方评价5个维度打分。月度考核覆盖率100分，80分以下人员开展岗位整改；季度考核不合格人员约谈；年度考核结果直接关联薪酬、岗位调整，留存全部考核台账归档。</w:t>
      </w:r>
    </w:p>
    <w:p w14:paraId="0DA046FB">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7、适合本项目的各种突发事件的处理预案：</w:t>
      </w:r>
    </w:p>
    <w:p w14:paraId="0E20256D">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①治安事故应急预案</w:t>
      </w:r>
      <w:r>
        <w:rPr>
          <w:rFonts w:hint="eastAsia" w:ascii="宋体" w:hAnsi="宋体" w:cs="宋体"/>
          <w:color w:val="auto"/>
          <w:sz w:val="24"/>
          <w:szCs w:val="24"/>
          <w:highlight w:val="none"/>
          <w:lang w:val="en-US" w:eastAsia="zh-CN"/>
        </w:rPr>
        <w:t>：建立24小时巡查机制，每2小时开展1次院区巡逻。发生寻衅滋事、闹访斗殴等治安事件，安保人员3分钟内抵达现场，第一时间隔离当事人，控制现场；5分钟内上报甲方后勤部门，事态升级10分钟内联动辖区公安局。事后1小时内完成事件台账登记，24小时完成隐患复盘，留存处置记录归档。</w:t>
      </w:r>
    </w:p>
    <w:p w14:paraId="0CD60304">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②消防安全事故应急预案</w:t>
      </w:r>
      <w:r>
        <w:rPr>
          <w:rFonts w:hint="eastAsia" w:ascii="宋体" w:hAnsi="宋体" w:cs="宋体"/>
          <w:color w:val="auto"/>
          <w:sz w:val="24"/>
          <w:szCs w:val="24"/>
          <w:highlight w:val="none"/>
          <w:lang w:val="en-US" w:eastAsia="zh-CN"/>
        </w:rPr>
        <w:t>：落实每月1次消防器材巡检；火情发生，现场人员1分钟内报警，3分钟内取用就近灭火器开展初期扑救。重点优先保护审判卷宗、档案资料；5分钟内启动人员疏散，重大火情同步拨打119。每季度组织1次消防演练，处置完毕24小时内完成现场排查与复盘归档。</w:t>
      </w:r>
    </w:p>
    <w:p w14:paraId="577F7490">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③自然灾害中的应急预案</w:t>
      </w:r>
      <w:r>
        <w:rPr>
          <w:rFonts w:hint="eastAsia" w:ascii="宋体" w:hAnsi="宋体" w:cs="宋体"/>
          <w:color w:val="auto"/>
          <w:sz w:val="24"/>
          <w:szCs w:val="24"/>
          <w:highlight w:val="none"/>
          <w:lang w:val="en-US" w:eastAsia="zh-CN"/>
        </w:rPr>
        <w:t>：密切跟踪气象预警，收到预警后30分钟内完成排水口清淤、室外设施加固。暴雨洪涝、台风等灾害发生，5分钟启动现场排查；灾害期间每1小时巡查一次院区建筑、配电房。灾害结束后4小时内完成场地清障、设施检修；24小时提交灾害处置报告，重大灾害同步报送采购人。</w:t>
      </w:r>
    </w:p>
    <w:p w14:paraId="0F3E4385">
      <w:pPr>
        <w:keepNext w:val="0"/>
        <w:keepLines w:val="0"/>
        <w:pageBreakBefore w:val="0"/>
        <w:widowControl/>
        <w:spacing w:line="500" w:lineRule="exact"/>
        <w:ind w:firstLine="480"/>
        <w:jc w:val="lef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④重大节日及大型活动应急预案</w:t>
      </w:r>
      <w:r>
        <w:rPr>
          <w:rFonts w:hint="eastAsia" w:ascii="宋体" w:hAnsi="宋体" w:cs="宋体"/>
          <w:color w:val="auto"/>
          <w:sz w:val="24"/>
          <w:szCs w:val="24"/>
          <w:highlight w:val="none"/>
          <w:lang w:val="en-US" w:eastAsia="zh-CN"/>
        </w:rPr>
        <w:t>：节假日、大型活动前完成全覆盖安全隐患排查，活动期间增加50%安保值守力量。人流拥堵、设备故障等突发情况，处置人员3分钟到场处置；大型活动实行每30分钟一次现场巡逻。严格落实24小时双人值班制度，突发险情5分钟内向采购人报备，活动结束当日完成处置资料整理归档。</w:t>
      </w:r>
    </w:p>
    <w:p w14:paraId="5FF57AB6">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8、类似业绩</w:t>
      </w:r>
    </w:p>
    <w:p w14:paraId="3ED02BA4">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供应商需要具备丰富的物业服务相关承接经验，确保本项目的顺利实施，供应商具有2023年1月1日以来承接过类似党政机关、事业单位（不含住宅、工厂）办公楼物业管理项目业绩的优先。</w:t>
      </w:r>
    </w:p>
    <w:p w14:paraId="4DC2D9DA">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9、体系认证</w:t>
      </w:r>
    </w:p>
    <w:p w14:paraId="25F3627F">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具备各种良好的管理体系，规范日常管理与服务流程，确保物业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p>
    <w:p w14:paraId="0854C16E">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10、企业表彰荣誉</w:t>
      </w:r>
    </w:p>
    <w:p w14:paraId="4FCF3C8A">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为更好地体现企业的综合实力，供应商自202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年1月1日以来（以相关证书或文件上注明的日期为准）获得过县、区级及以上</w:t>
      </w:r>
      <w:r>
        <w:rPr>
          <w:rFonts w:hint="eastAsia" w:ascii="宋体" w:hAnsi="宋体" w:eastAsia="宋体" w:cs="宋体"/>
          <w:b w:val="0"/>
          <w:bCs w:val="0"/>
          <w:i w:val="0"/>
          <w:iCs w:val="0"/>
          <w:color w:val="auto"/>
          <w:sz w:val="24"/>
          <w:szCs w:val="20"/>
          <w:highlight w:val="none"/>
          <w:u w:val="none"/>
          <w:lang w:val="en-US" w:eastAsia="zh-CN"/>
        </w:rPr>
        <w:t>政府</w:t>
      </w:r>
      <w:r>
        <w:rPr>
          <w:rFonts w:hint="eastAsia" w:ascii="宋体" w:hAnsi="宋体" w:eastAsia="宋体" w:cs="宋体"/>
          <w:color w:val="auto"/>
          <w:sz w:val="24"/>
          <w:szCs w:val="24"/>
          <w:highlight w:val="none"/>
          <w:lang w:val="en-US" w:eastAsia="zh-CN"/>
        </w:rPr>
        <w:t>部门颁发的</w:t>
      </w:r>
      <w:r>
        <w:rPr>
          <w:rFonts w:hint="eastAsia" w:ascii="宋体" w:hAnsi="宋体" w:cs="宋体"/>
          <w:color w:val="auto"/>
          <w:sz w:val="24"/>
          <w:szCs w:val="24"/>
          <w:highlight w:val="none"/>
          <w:lang w:val="en-US" w:eastAsia="zh-CN"/>
        </w:rPr>
        <w:t>相关的</w:t>
      </w:r>
      <w:r>
        <w:rPr>
          <w:rFonts w:hint="eastAsia" w:ascii="宋体" w:hAnsi="宋体" w:eastAsia="宋体" w:cs="宋体"/>
          <w:color w:val="auto"/>
          <w:sz w:val="24"/>
          <w:szCs w:val="24"/>
          <w:highlight w:val="none"/>
          <w:lang w:val="en-US" w:eastAsia="zh-CN"/>
        </w:rPr>
        <w:t>表彰的优先。</w:t>
      </w:r>
    </w:p>
    <w:p w14:paraId="6D9740A7">
      <w:pPr>
        <w:keepNext w:val="0"/>
        <w:keepLines w:val="0"/>
        <w:pageBreakBefore w:val="0"/>
        <w:widowControl/>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11、人员</w:t>
      </w:r>
    </w:p>
    <w:p w14:paraId="74A3EDAA">
      <w:pPr>
        <w:keepNext w:val="0"/>
        <w:keepLines w:val="0"/>
        <w:pageBreakBefore w:val="0"/>
        <w:widowControl/>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①供应商应为本项目配备具有丰富经验的物业服务团队，供应商拟派项目负责人（1名）具有</w:t>
      </w:r>
      <w:r>
        <w:rPr>
          <w:rFonts w:hint="eastAsia" w:ascii="宋体" w:hAnsi="宋体" w:cs="宋体"/>
          <w:color w:val="auto"/>
          <w:sz w:val="24"/>
          <w:highlight w:val="none"/>
          <w:lang w:val="en-US" w:eastAsia="zh-CN"/>
        </w:rPr>
        <w:t>大专</w:t>
      </w:r>
      <w:r>
        <w:rPr>
          <w:rFonts w:hint="eastAsia" w:ascii="宋体" w:hAnsi="宋体" w:eastAsia="宋体" w:cs="宋体"/>
          <w:color w:val="auto"/>
          <w:sz w:val="24"/>
          <w:highlight w:val="none"/>
          <w:lang w:val="en-US" w:eastAsia="zh-CN"/>
        </w:rPr>
        <w:t>及以上学历的优先</w:t>
      </w:r>
      <w:r>
        <w:rPr>
          <w:rFonts w:hint="eastAsia" w:ascii="宋体" w:hAnsi="宋体" w:cs="宋体"/>
          <w:color w:val="auto"/>
          <w:sz w:val="24"/>
          <w:highlight w:val="none"/>
          <w:lang w:val="en-US" w:eastAsia="zh-CN"/>
        </w:rPr>
        <w:t>。</w:t>
      </w:r>
    </w:p>
    <w:p w14:paraId="6CB8E72A">
      <w:pPr>
        <w:keepNext w:val="0"/>
        <w:keepLines w:val="0"/>
        <w:pageBreakBefore w:val="0"/>
        <w:widowControl/>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②拟派驻的保安队长（1名）具有保安员</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val="en-US" w:eastAsia="zh-CN"/>
        </w:rPr>
        <w:t>级（</w:t>
      </w:r>
      <w:r>
        <w:rPr>
          <w:rFonts w:hint="eastAsia" w:ascii="宋体" w:hAnsi="宋体" w:cs="宋体"/>
          <w:color w:val="auto"/>
          <w:sz w:val="24"/>
          <w:highlight w:val="none"/>
          <w:lang w:val="en-US" w:eastAsia="zh-CN"/>
        </w:rPr>
        <w:t>中</w:t>
      </w:r>
      <w:r>
        <w:rPr>
          <w:rFonts w:hint="eastAsia" w:ascii="宋体" w:hAnsi="宋体" w:eastAsia="宋体" w:cs="宋体"/>
          <w:color w:val="auto"/>
          <w:sz w:val="24"/>
          <w:highlight w:val="none"/>
          <w:lang w:val="en-US" w:eastAsia="zh-CN"/>
        </w:rPr>
        <w:t>级）或以上等级证书的优先</w:t>
      </w:r>
      <w:r>
        <w:rPr>
          <w:rFonts w:hint="eastAsia" w:ascii="宋体" w:hAnsi="宋体" w:cs="宋体"/>
          <w:color w:val="auto"/>
          <w:sz w:val="24"/>
          <w:highlight w:val="none"/>
          <w:lang w:val="en-US" w:eastAsia="zh-CN"/>
        </w:rPr>
        <w:t>。</w:t>
      </w:r>
    </w:p>
    <w:p w14:paraId="51A00539">
      <w:pPr>
        <w:keepNext w:val="0"/>
        <w:keepLines w:val="0"/>
        <w:pageBreakBefore w:val="0"/>
        <w:widowControl/>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③拟派安检人员中持有劳动职业技能鉴定部门核发的安检员证书的优先。</w:t>
      </w:r>
    </w:p>
    <w:p w14:paraId="0861DED8">
      <w:pPr>
        <w:keepNext w:val="0"/>
        <w:keepLines w:val="0"/>
        <w:pageBreakBefore w:val="0"/>
        <w:widowControl/>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④拟派工程维修人员持应急管理部门颁发的高压电工作业证的、四级（中级）或以上电工证书</w:t>
      </w:r>
      <w:r>
        <w:rPr>
          <w:rFonts w:hint="eastAsia" w:ascii="宋体" w:hAnsi="宋体" w:cs="宋体"/>
          <w:color w:val="auto"/>
          <w:sz w:val="24"/>
          <w:highlight w:val="none"/>
          <w:lang w:val="en-US" w:eastAsia="zh-CN"/>
        </w:rPr>
        <w:t>的</w:t>
      </w:r>
      <w:r>
        <w:rPr>
          <w:rFonts w:hint="eastAsia" w:ascii="宋体" w:hAnsi="宋体" w:eastAsia="宋体" w:cs="宋体"/>
          <w:color w:val="auto"/>
          <w:sz w:val="24"/>
          <w:highlight w:val="none"/>
          <w:lang w:val="en-US" w:eastAsia="zh-CN"/>
        </w:rPr>
        <w:t>优先。</w:t>
      </w:r>
    </w:p>
    <w:p w14:paraId="324F47E5">
      <w:pPr>
        <w:spacing w:line="4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以上人员须提供招标文件上网公示之日当月向前1个月在本单位缴纳的养老保险证明材料。</w:t>
      </w:r>
    </w:p>
    <w:p w14:paraId="21864A76">
      <w:pPr>
        <w:keepNext w:val="0"/>
        <w:keepLines w:val="0"/>
        <w:pageBreakBefore w:val="0"/>
        <w:numPr>
          <w:ilvl w:val="0"/>
          <w:numId w:val="0"/>
        </w:numPr>
        <w:spacing w:line="500" w:lineRule="exact"/>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八</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eastAsia="zh-CN"/>
        </w:rPr>
        <w:t>采购标的对应的中小企业划分标准所属行业一览表</w:t>
      </w:r>
    </w:p>
    <w:tbl>
      <w:tblPr>
        <w:tblStyle w:val="85"/>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4230"/>
        <w:gridCol w:w="3798"/>
      </w:tblGrid>
      <w:tr w14:paraId="43DA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443" w:type="dxa"/>
            <w:noWrap w:val="0"/>
            <w:tcMar>
              <w:top w:w="0" w:type="dxa"/>
              <w:left w:w="108" w:type="dxa"/>
              <w:bottom w:w="0" w:type="dxa"/>
              <w:right w:w="108" w:type="dxa"/>
            </w:tcMar>
            <w:vAlign w:val="center"/>
          </w:tcPr>
          <w:p w14:paraId="42CC3D21">
            <w:pPr>
              <w:keepNext w:val="0"/>
              <w:keepLines w:val="0"/>
              <w:pageBreakBefore w:val="0"/>
              <w:spacing w:after="0"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2400" w:type="dxa"/>
            <w:noWrap w:val="0"/>
            <w:tcMar>
              <w:top w:w="0" w:type="dxa"/>
              <w:left w:w="108" w:type="dxa"/>
              <w:bottom w:w="0" w:type="dxa"/>
              <w:right w:w="108" w:type="dxa"/>
            </w:tcMar>
            <w:vAlign w:val="center"/>
          </w:tcPr>
          <w:p w14:paraId="09A429EE">
            <w:pPr>
              <w:keepNext w:val="0"/>
              <w:keepLines w:val="0"/>
              <w:pageBreakBefore w:val="0"/>
              <w:spacing w:after="0"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采购标的</w:t>
            </w:r>
          </w:p>
        </w:tc>
        <w:tc>
          <w:tcPr>
            <w:tcW w:w="2155" w:type="dxa"/>
            <w:noWrap w:val="0"/>
            <w:tcMar>
              <w:top w:w="0" w:type="dxa"/>
              <w:left w:w="108" w:type="dxa"/>
              <w:bottom w:w="0" w:type="dxa"/>
              <w:right w:w="108" w:type="dxa"/>
            </w:tcMar>
            <w:vAlign w:val="center"/>
          </w:tcPr>
          <w:p w14:paraId="59EB3BBE">
            <w:pPr>
              <w:keepNext w:val="0"/>
              <w:keepLines w:val="0"/>
              <w:pageBreakBefore w:val="0"/>
              <w:spacing w:after="0"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对应中小企业划分标准所属行业</w:t>
            </w:r>
          </w:p>
        </w:tc>
      </w:tr>
      <w:tr w14:paraId="0296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3" w:type="dxa"/>
            <w:noWrap w:val="0"/>
            <w:tcMar>
              <w:top w:w="0" w:type="dxa"/>
              <w:left w:w="108" w:type="dxa"/>
              <w:bottom w:w="0" w:type="dxa"/>
              <w:right w:w="108" w:type="dxa"/>
            </w:tcMar>
            <w:vAlign w:val="center"/>
          </w:tcPr>
          <w:p w14:paraId="2E8B22C5">
            <w:pPr>
              <w:keepNext w:val="0"/>
              <w:keepLines w:val="0"/>
              <w:pageBreakBefore w:val="0"/>
              <w:spacing w:after="0"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400" w:type="dxa"/>
            <w:noWrap w:val="0"/>
            <w:tcMar>
              <w:top w:w="0" w:type="dxa"/>
              <w:left w:w="108" w:type="dxa"/>
              <w:bottom w:w="0" w:type="dxa"/>
              <w:right w:w="108" w:type="dxa"/>
            </w:tcMar>
            <w:vAlign w:val="center"/>
          </w:tcPr>
          <w:p w14:paraId="09EFA915">
            <w:pPr>
              <w:keepNext w:val="0"/>
              <w:keepLines w:val="0"/>
              <w:pageBreakBefore w:val="0"/>
              <w:spacing w:after="0"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盐城市盐都区人民法院物业管理服务项目</w:t>
            </w:r>
          </w:p>
        </w:tc>
        <w:tc>
          <w:tcPr>
            <w:tcW w:w="2155" w:type="dxa"/>
            <w:noWrap w:val="0"/>
            <w:tcMar>
              <w:top w:w="0" w:type="dxa"/>
              <w:left w:w="108" w:type="dxa"/>
              <w:bottom w:w="0" w:type="dxa"/>
              <w:right w:w="108" w:type="dxa"/>
            </w:tcMar>
            <w:vAlign w:val="center"/>
          </w:tcPr>
          <w:p w14:paraId="1E039177">
            <w:pPr>
              <w:keepNext w:val="0"/>
              <w:keepLines w:val="0"/>
              <w:pageBreakBefore w:val="0"/>
              <w:spacing w:after="0"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物业管理</w:t>
            </w:r>
          </w:p>
        </w:tc>
      </w:tr>
    </w:tbl>
    <w:p w14:paraId="1AAAB0E0">
      <w:pPr>
        <w:jc w:val="center"/>
        <w:rPr>
          <w:rFonts w:hint="eastAsia" w:ascii="宋体" w:hAnsi="宋体" w:eastAsia="宋体" w:cs="宋体"/>
          <w:color w:val="auto"/>
          <w:sz w:val="44"/>
          <w:szCs w:val="44"/>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lang w:val="en-US" w:eastAsia="zh-CN"/>
        </w:rPr>
        <w:t>五</w:t>
      </w:r>
      <w:r>
        <w:rPr>
          <w:rFonts w:hint="eastAsia" w:ascii="宋体" w:hAnsi="宋体" w:eastAsia="宋体" w:cs="宋体"/>
          <w:b/>
          <w:bCs/>
          <w:color w:val="auto"/>
          <w:sz w:val="36"/>
          <w:szCs w:val="36"/>
          <w:highlight w:val="none"/>
        </w:rPr>
        <w:t>章  定标原则与评标标准</w:t>
      </w:r>
    </w:p>
    <w:p w14:paraId="33E2DB5E">
      <w:pPr>
        <w:keepNext w:val="0"/>
        <w:keepLines w:val="0"/>
        <w:pageBreakBefore w:val="0"/>
        <w:widowControl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3462CB10">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lang w:val="en-US" w:eastAsia="zh-CN"/>
        </w:rPr>
        <w:t>综合评分</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sz w:val="24"/>
          <w:szCs w:val="20"/>
          <w:highlight w:val="none"/>
        </w:rPr>
        <w:t>并列。</w:t>
      </w:r>
      <w:r>
        <w:rPr>
          <w:rFonts w:hint="eastAsia" w:ascii="宋体" w:hAnsi="宋体" w:eastAsia="宋体" w:cs="宋体"/>
          <w:color w:val="auto"/>
          <w:sz w:val="24"/>
          <w:szCs w:val="24"/>
          <w:highlight w:val="none"/>
        </w:rPr>
        <w:t>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为排名第一的中标候选人，本项目选取1名中标候选人。</w:t>
      </w:r>
    </w:p>
    <w:p w14:paraId="0DBDB7D4">
      <w:pPr>
        <w:pStyle w:val="250"/>
        <w:keepNext w:val="0"/>
        <w:keepLines w:val="0"/>
        <w:pageBreakBefore w:val="0"/>
        <w:widowControl w:val="0"/>
        <w:spacing w:before="0" w:after="0" w:line="500" w:lineRule="exact"/>
        <w:ind w:firstLine="441"/>
        <w:rPr>
          <w:rFonts w:hint="eastAsia" w:ascii="宋体" w:hAnsi="宋体" w:eastAsia="宋体" w:cs="宋体"/>
          <w:b/>
          <w:color w:val="auto"/>
          <w:highlight w:val="none"/>
        </w:rPr>
      </w:pPr>
      <w:r>
        <w:rPr>
          <w:rFonts w:hint="eastAsia" w:ascii="宋体" w:hAnsi="宋体" w:eastAsia="宋体" w:cs="宋体"/>
          <w:b/>
          <w:color w:val="auto"/>
          <w:highlight w:val="none"/>
        </w:rPr>
        <w:t>政府采购政策功能落实</w:t>
      </w:r>
    </w:p>
    <w:p w14:paraId="57BA746D">
      <w:pPr>
        <w:pStyle w:val="250"/>
        <w:keepNext w:val="0"/>
        <w:keepLines w:val="0"/>
        <w:pageBreakBefore w:val="0"/>
        <w:widowControl w:val="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1、小微型企业</w:t>
      </w:r>
    </w:p>
    <w:p w14:paraId="6D7CE85D">
      <w:pPr>
        <w:pStyle w:val="250"/>
        <w:keepNext w:val="0"/>
        <w:keepLines w:val="0"/>
        <w:pageBreakBefore w:val="0"/>
        <w:widowControl w:val="0"/>
        <w:spacing w:before="0" w:after="0" w:line="500" w:lineRule="exact"/>
        <w:ind w:firstLine="360"/>
        <w:rPr>
          <w:rFonts w:hint="eastAsia" w:ascii="宋体" w:hAnsi="宋体" w:eastAsia="宋体" w:cs="宋体"/>
          <w:color w:val="auto"/>
          <w:sz w:val="24"/>
          <w:szCs w:val="20"/>
          <w:highlight w:val="none"/>
        </w:rPr>
      </w:pPr>
      <w:r>
        <w:rPr>
          <w:rFonts w:hint="eastAsia" w:ascii="宋体" w:hAnsi="宋体" w:eastAsia="宋体" w:cs="宋体"/>
          <w:color w:val="auto"/>
          <w:highlight w:val="none"/>
        </w:rPr>
        <w:t>（1）</w:t>
      </w:r>
      <w:r>
        <w:rPr>
          <w:rFonts w:hint="eastAsia" w:ascii="宋体" w:hAnsi="宋体" w:eastAsia="宋体" w:cs="宋体"/>
          <w:color w:val="auto"/>
          <w:sz w:val="24"/>
          <w:szCs w:val="20"/>
          <w:highlight w:val="none"/>
        </w:rPr>
        <w:t>本项目专门面向中小企业采购，不再对小型和微型企业服务给予价格扣除。</w:t>
      </w:r>
    </w:p>
    <w:p w14:paraId="7EC7EFFC">
      <w:pPr>
        <w:pStyle w:val="250"/>
        <w:keepNext w:val="0"/>
        <w:keepLines w:val="0"/>
        <w:pageBreakBefore w:val="0"/>
        <w:widowControl w:val="0"/>
        <w:spacing w:before="0" w:after="0" w:line="500" w:lineRule="exact"/>
        <w:ind w:firstLine="360"/>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w:t>
      </w:r>
      <w:r>
        <w:rPr>
          <w:rFonts w:hint="eastAsia" w:ascii="宋体" w:hAnsi="宋体" w:cs="宋体"/>
          <w:color w:val="auto"/>
          <w:highlight w:val="none"/>
          <w:lang w:val="en-US" w:eastAsia="zh-CN"/>
        </w:rPr>
        <w:t>中小</w:t>
      </w:r>
      <w:r>
        <w:rPr>
          <w:rFonts w:hint="eastAsia" w:ascii="宋体" w:hAnsi="宋体" w:eastAsia="宋体" w:cs="宋体"/>
          <w:color w:val="auto"/>
          <w:highlight w:val="none"/>
        </w:rPr>
        <w:t>企业声明函》。</w:t>
      </w:r>
    </w:p>
    <w:p w14:paraId="64D58318">
      <w:pPr>
        <w:pStyle w:val="250"/>
        <w:keepNext w:val="0"/>
        <w:keepLines w:val="0"/>
        <w:pageBreakBefore w:val="0"/>
        <w:widowControl w:val="0"/>
        <w:spacing w:before="0" w:after="0" w:line="500" w:lineRule="exact"/>
        <w:ind w:firstLine="360"/>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4F08C632">
      <w:pPr>
        <w:pStyle w:val="250"/>
        <w:keepNext w:val="0"/>
        <w:keepLines w:val="0"/>
        <w:pageBreakBefore w:val="0"/>
        <w:widowControl w:val="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2、残疾人福利单位</w:t>
      </w:r>
    </w:p>
    <w:p w14:paraId="45391064">
      <w:pPr>
        <w:pStyle w:val="250"/>
        <w:keepNext w:val="0"/>
        <w:keepLines w:val="0"/>
        <w:pageBreakBefore w:val="0"/>
        <w:widowControl w:val="0"/>
        <w:spacing w:before="0" w:after="0" w:line="500" w:lineRule="exact"/>
        <w:ind w:firstLine="36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sz w:val="24"/>
          <w:szCs w:val="20"/>
          <w:highlight w:val="none"/>
        </w:rPr>
        <w:t>本项目对残疾人福利性单位视同小型、微型企业。</w:t>
      </w:r>
    </w:p>
    <w:p w14:paraId="58C6A94A">
      <w:pPr>
        <w:pStyle w:val="250"/>
        <w:keepNext w:val="0"/>
        <w:keepLines w:val="0"/>
        <w:pageBreakBefore w:val="0"/>
        <w:widowControl w:val="0"/>
        <w:spacing w:before="0" w:after="0" w:line="500" w:lineRule="exact"/>
        <w:ind w:firstLine="360"/>
        <w:rPr>
          <w:rFonts w:hint="eastAsia" w:ascii="宋体" w:hAnsi="宋体" w:eastAsia="宋体" w:cs="宋体"/>
          <w:color w:val="auto"/>
          <w:highlight w:val="none"/>
        </w:rPr>
      </w:pPr>
      <w:r>
        <w:rPr>
          <w:rFonts w:hint="eastAsia" w:ascii="宋体" w:hAnsi="宋体" w:eastAsia="宋体" w:cs="宋体"/>
          <w:color w:val="auto"/>
          <w:highlight w:val="none"/>
        </w:rPr>
        <w:t>（2）残疾人福利单位标准请参照《关于促进残疾人就业政府采购政策的通知》（财库〔2017〕141号），需提供《残疾人福利性单位声明函》，格式自拟。</w:t>
      </w:r>
    </w:p>
    <w:p w14:paraId="27E84359">
      <w:pPr>
        <w:pStyle w:val="250"/>
        <w:keepNext w:val="0"/>
        <w:keepLines w:val="0"/>
        <w:pageBreakBefore w:val="0"/>
        <w:widowControl w:val="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3、监狱和戒毒企业</w:t>
      </w:r>
    </w:p>
    <w:p w14:paraId="448078B6">
      <w:pPr>
        <w:pStyle w:val="250"/>
        <w:keepNext w:val="0"/>
        <w:keepLines w:val="0"/>
        <w:pageBreakBefore w:val="0"/>
        <w:widowControl w:val="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sz w:val="24"/>
          <w:szCs w:val="20"/>
          <w:highlight w:val="none"/>
        </w:rPr>
        <w:t>本项目对监狱和戒毒企业（简称监狱企业）视同小型、微型企业</w:t>
      </w:r>
      <w:r>
        <w:rPr>
          <w:rFonts w:hint="eastAsia" w:ascii="宋体" w:hAnsi="宋体" w:eastAsia="宋体" w:cs="宋体"/>
          <w:color w:val="auto"/>
          <w:highlight w:val="none"/>
        </w:rPr>
        <w:t>。</w:t>
      </w:r>
    </w:p>
    <w:p w14:paraId="0003586C">
      <w:pPr>
        <w:pStyle w:val="250"/>
        <w:keepNext w:val="0"/>
        <w:keepLines w:val="0"/>
        <w:pageBreakBefore w:val="0"/>
        <w:widowControl w:val="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w:t>
      </w:r>
    </w:p>
    <w:p w14:paraId="06728391">
      <w:pPr>
        <w:keepNext w:val="0"/>
        <w:keepLines w:val="0"/>
        <w:pageBreakBefore w:val="0"/>
        <w:widowControl w:val="0"/>
        <w:spacing w:line="500" w:lineRule="exact"/>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（3）监狱企业标</w:t>
      </w:r>
      <w:r>
        <w:rPr>
          <w:rFonts w:hint="eastAsia" w:ascii="宋体" w:hAnsi="宋体" w:eastAsia="宋体" w:cs="宋体"/>
          <w:bCs/>
          <w:color w:val="auto"/>
          <w:sz w:val="24"/>
          <w:szCs w:val="24"/>
          <w:highlight w:val="none"/>
        </w:rPr>
        <w:t>准请参照《关于政府采购支持监狱企业发展有关问题的通知》（财库[2014]68号）。</w:t>
      </w:r>
    </w:p>
    <w:p w14:paraId="4A6F7C6A">
      <w:pPr>
        <w:keepNext w:val="0"/>
        <w:keepLines w:val="0"/>
        <w:pageBreakBefore w:val="0"/>
        <w:widowControl w:val="0"/>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5666B119">
      <w:pPr>
        <w:keepNext w:val="0"/>
        <w:keepLines w:val="0"/>
        <w:pageBreakBefore w:val="0"/>
        <w:widowControl w:val="0"/>
        <w:spacing w:line="50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5、采购本国产品的支持政策</w:t>
      </w:r>
    </w:p>
    <w:p w14:paraId="142A54DB">
      <w:pPr>
        <w:keepNext w:val="0"/>
        <w:keepLines w:val="0"/>
        <w:pageBreakBefore w:val="0"/>
        <w:widowControl w:val="0"/>
        <w:spacing w:line="50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（1）本项目政府采购活动中既有本国产品又有非本国产品参与竞争的，依法对本国产品给予价格评审优惠，对本国产品的报价给予 20%的价格扣除，用扣除后的价格参与评审。</w:t>
      </w:r>
    </w:p>
    <w:p w14:paraId="16B1B6CF">
      <w:pPr>
        <w:keepNext w:val="0"/>
        <w:keepLines w:val="0"/>
        <w:pageBreakBefore w:val="0"/>
        <w:widowControl w:val="0"/>
        <w:spacing w:line="50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C8D5743">
      <w:pPr>
        <w:keepNext w:val="0"/>
        <w:keepLines w:val="0"/>
        <w:pageBreakBefore w:val="0"/>
        <w:widowControl w:val="0"/>
        <w:spacing w:line="50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（3）供应商需按照招标文件的要求提供《关于符合本国产品标准的声明函》（以下简称《声明函》），如不提供将不享受本国产品价格评审优惠。</w:t>
      </w:r>
    </w:p>
    <w:p w14:paraId="037063C3">
      <w:pPr>
        <w:keepNext w:val="0"/>
        <w:keepLines w:val="0"/>
        <w:pageBreakBefore w:val="0"/>
        <w:widowControl w:val="0"/>
        <w:spacing w:line="50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18AE5D4">
      <w:pPr>
        <w:keepNext w:val="0"/>
        <w:keepLines w:val="0"/>
        <w:pageBreakBefore w:val="0"/>
        <w:widowControl w:val="0"/>
        <w:spacing w:line="50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E622098">
      <w:pPr>
        <w:keepNext w:val="0"/>
        <w:keepLines w:val="0"/>
        <w:pageBreakBefore w:val="0"/>
        <w:widowControl w:val="0"/>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iCs/>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bCs/>
          <w:color w:val="auto"/>
          <w:sz w:val="24"/>
          <w:szCs w:val="24"/>
          <w:highlight w:val="none"/>
        </w:rPr>
        <w:t>其他条件相同情况下，应当优先采购节能产品、环境标志产品。</w:t>
      </w:r>
    </w:p>
    <w:p w14:paraId="3A68565A">
      <w:pPr>
        <w:keepNext w:val="0"/>
        <w:keepLines w:val="0"/>
        <w:pageBreakBefore w:val="0"/>
        <w:widowControl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二、评标标准</w:t>
      </w:r>
    </w:p>
    <w:p w14:paraId="7018CE17">
      <w:pPr>
        <w:keepNext w:val="0"/>
        <w:keepLines w:val="0"/>
        <w:pageBreakBefore w:val="0"/>
        <w:widowControl w:val="0"/>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本项目评分总分值为100分。</w:t>
      </w:r>
    </w:p>
    <w:tbl>
      <w:tblPr>
        <w:tblStyle w:val="28"/>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2"/>
        <w:gridCol w:w="791"/>
        <w:gridCol w:w="7405"/>
      </w:tblGrid>
      <w:tr w14:paraId="254F5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1442" w:type="dxa"/>
            <w:noWrap w:val="0"/>
            <w:tcMar>
              <w:top w:w="0" w:type="dxa"/>
              <w:left w:w="108" w:type="dxa"/>
              <w:bottom w:w="0" w:type="dxa"/>
              <w:right w:w="108" w:type="dxa"/>
            </w:tcMar>
            <w:vAlign w:val="center"/>
          </w:tcPr>
          <w:p w14:paraId="0099331D">
            <w:pPr>
              <w:spacing w:line="4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评分因素</w:t>
            </w:r>
          </w:p>
        </w:tc>
        <w:tc>
          <w:tcPr>
            <w:tcW w:w="791" w:type="dxa"/>
            <w:noWrap w:val="0"/>
            <w:vAlign w:val="center"/>
          </w:tcPr>
          <w:p w14:paraId="4B539547">
            <w:pPr>
              <w:spacing w:line="4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分值</w:t>
            </w:r>
          </w:p>
        </w:tc>
        <w:tc>
          <w:tcPr>
            <w:tcW w:w="7405" w:type="dxa"/>
            <w:noWrap w:val="0"/>
            <w:tcMar>
              <w:top w:w="0" w:type="dxa"/>
              <w:left w:w="108" w:type="dxa"/>
              <w:bottom w:w="0" w:type="dxa"/>
              <w:right w:w="108" w:type="dxa"/>
            </w:tcMar>
            <w:vAlign w:val="center"/>
          </w:tcPr>
          <w:p w14:paraId="0DB84E3E">
            <w:pPr>
              <w:spacing w:line="4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评分准则</w:t>
            </w:r>
          </w:p>
        </w:tc>
      </w:tr>
      <w:tr w14:paraId="47598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1" w:hRule="atLeast"/>
          <w:jc w:val="center"/>
        </w:trPr>
        <w:tc>
          <w:tcPr>
            <w:tcW w:w="1442" w:type="dxa"/>
            <w:noWrap w:val="0"/>
            <w:tcMar>
              <w:top w:w="0" w:type="dxa"/>
              <w:left w:w="108" w:type="dxa"/>
              <w:bottom w:w="0" w:type="dxa"/>
              <w:right w:w="108" w:type="dxa"/>
            </w:tcMar>
            <w:vAlign w:val="center"/>
          </w:tcPr>
          <w:p w14:paraId="517B1E88">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p w14:paraId="338952BD">
            <w:pPr>
              <w:spacing w:line="4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30分</w:t>
            </w:r>
            <w:r>
              <w:rPr>
                <w:rFonts w:hint="eastAsia" w:ascii="宋体" w:hAnsi="宋体" w:eastAsia="宋体" w:cs="宋体"/>
                <w:color w:val="auto"/>
                <w:sz w:val="24"/>
                <w:highlight w:val="none"/>
                <w:lang w:eastAsia="zh-CN"/>
              </w:rPr>
              <w:t>）</w:t>
            </w:r>
          </w:p>
        </w:tc>
        <w:tc>
          <w:tcPr>
            <w:tcW w:w="791" w:type="dxa"/>
            <w:noWrap w:val="0"/>
            <w:vAlign w:val="center"/>
          </w:tcPr>
          <w:p w14:paraId="4ABF015B">
            <w:pPr>
              <w:spacing w:line="4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top"/>
          </w:tcPr>
          <w:p w14:paraId="2BACC49F">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投标报价分采用低价优先法计算，即满足招标文件要求且报价最低的投标供应商报价为评标基准价，其报价分为满分</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分。其他投标供应商的报价分统一按照以下公式计算：投标报价得分=(评标基准价/投标报价)×</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0分（四舍五入后保留小数点后两位）。</w:t>
            </w:r>
          </w:p>
        </w:tc>
      </w:tr>
      <w:tr w14:paraId="4103A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9" w:hRule="atLeast"/>
          <w:jc w:val="center"/>
        </w:trPr>
        <w:tc>
          <w:tcPr>
            <w:tcW w:w="1442" w:type="dxa"/>
            <w:vMerge w:val="restart"/>
            <w:noWrap w:val="0"/>
            <w:tcMar>
              <w:top w:w="0" w:type="dxa"/>
              <w:left w:w="108" w:type="dxa"/>
              <w:bottom w:w="0" w:type="dxa"/>
              <w:right w:w="108" w:type="dxa"/>
            </w:tcMar>
            <w:vAlign w:val="center"/>
          </w:tcPr>
          <w:p w14:paraId="6FEF58BE">
            <w:pPr>
              <w:spacing w:line="4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服务方案（</w:t>
            </w:r>
            <w:r>
              <w:rPr>
                <w:rFonts w:hint="eastAsia" w:ascii="宋体" w:hAnsi="宋体" w:cs="宋体"/>
                <w:color w:val="auto"/>
                <w:sz w:val="24"/>
                <w:highlight w:val="none"/>
                <w:lang w:val="en-US" w:eastAsia="zh-CN"/>
              </w:rPr>
              <w:t>53</w:t>
            </w:r>
            <w:r>
              <w:rPr>
                <w:rFonts w:hint="eastAsia" w:ascii="宋体" w:hAnsi="宋体" w:eastAsia="宋体" w:cs="宋体"/>
                <w:color w:val="auto"/>
                <w:sz w:val="24"/>
                <w:highlight w:val="none"/>
                <w:lang w:val="en-US" w:eastAsia="zh-CN"/>
              </w:rPr>
              <w:t>分）</w:t>
            </w:r>
          </w:p>
        </w:tc>
        <w:tc>
          <w:tcPr>
            <w:tcW w:w="791" w:type="dxa"/>
            <w:noWrap w:val="0"/>
            <w:vAlign w:val="center"/>
          </w:tcPr>
          <w:p w14:paraId="54682307">
            <w:pPr>
              <w:spacing w:line="4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center"/>
          </w:tcPr>
          <w:p w14:paraId="74D2A943">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项目认知、服务定位、管理理念、整体设想：</w:t>
            </w:r>
          </w:p>
          <w:p w14:paraId="5B5A9658">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供应商根据第四章第</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条第1款中“项目认知、服务定位、管理理念、整体设想”要求制定服务方案。</w:t>
            </w:r>
            <w:r>
              <w:rPr>
                <w:rFonts w:hint="eastAsia" w:ascii="宋体" w:hAnsi="宋体" w:eastAsia="宋体" w:cs="宋体"/>
                <w:color w:val="auto"/>
                <w:sz w:val="24"/>
                <w:highlight w:val="none"/>
              </w:rPr>
              <w:t>至少包含：①本项目认知；②服务定位；③管理理念；④整体设想等</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分；不满足项目需求或不提供得0分。</w:t>
            </w:r>
          </w:p>
          <w:p w14:paraId="1A084887">
            <w:pPr>
              <w:spacing w:line="420" w:lineRule="exact"/>
              <w:ind w:firstLine="48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供应商提供的方案能全部响应要求，提出更为细致、有针对性、切实可行、要求之外且和本项目实施相关的内容的，可视为优于项目需求；方案能响应要求的可视为满足项目需求；方案对于要求的响应不完全或者偏离要求的，视为不满足项目需求。具体由评审委员会评审。 </w:t>
            </w:r>
          </w:p>
        </w:tc>
      </w:tr>
      <w:tr w14:paraId="36E06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9" w:hRule="atLeast"/>
          <w:jc w:val="center"/>
        </w:trPr>
        <w:tc>
          <w:tcPr>
            <w:tcW w:w="1442" w:type="dxa"/>
            <w:vMerge w:val="continue"/>
            <w:noWrap w:val="0"/>
            <w:tcMar>
              <w:top w:w="0" w:type="dxa"/>
              <w:left w:w="108" w:type="dxa"/>
              <w:bottom w:w="0" w:type="dxa"/>
              <w:right w:w="108" w:type="dxa"/>
            </w:tcMar>
            <w:vAlign w:val="center"/>
          </w:tcPr>
          <w:p w14:paraId="157F8974">
            <w:pPr>
              <w:spacing w:line="420" w:lineRule="exact"/>
              <w:ind w:firstLine="480"/>
              <w:jc w:val="center"/>
              <w:rPr>
                <w:rFonts w:hint="eastAsia" w:ascii="宋体" w:hAnsi="宋体" w:eastAsia="宋体" w:cs="宋体"/>
                <w:color w:val="auto"/>
                <w:sz w:val="24"/>
                <w:highlight w:val="none"/>
              </w:rPr>
            </w:pPr>
          </w:p>
        </w:tc>
        <w:tc>
          <w:tcPr>
            <w:tcW w:w="791" w:type="dxa"/>
            <w:noWrap w:val="0"/>
            <w:vAlign w:val="center"/>
          </w:tcPr>
          <w:p w14:paraId="0FCBF446">
            <w:pPr>
              <w:spacing w:line="4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center"/>
          </w:tcPr>
          <w:p w14:paraId="732BDB3E">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卫生保洁、安全保卫、</w:t>
            </w:r>
            <w:r>
              <w:rPr>
                <w:rFonts w:hint="eastAsia" w:ascii="宋体" w:hAnsi="宋体" w:cs="宋体"/>
                <w:color w:val="auto"/>
                <w:sz w:val="24"/>
                <w:highlight w:val="none"/>
                <w:lang w:val="en-US" w:eastAsia="zh-CN"/>
              </w:rPr>
              <w:t>会务服务、安检服务</w:t>
            </w:r>
            <w:r>
              <w:rPr>
                <w:rFonts w:hint="eastAsia" w:ascii="宋体" w:hAnsi="宋体" w:eastAsia="宋体" w:cs="宋体"/>
                <w:color w:val="auto"/>
                <w:sz w:val="24"/>
                <w:highlight w:val="none"/>
              </w:rPr>
              <w:t>方案：</w:t>
            </w:r>
          </w:p>
          <w:p w14:paraId="772FA020">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供应商根据第四章第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条第2款中“卫生保洁、安全保卫、</w:t>
            </w:r>
            <w:r>
              <w:rPr>
                <w:rFonts w:hint="eastAsia" w:ascii="宋体" w:hAnsi="宋体" w:cs="宋体"/>
                <w:color w:val="auto"/>
                <w:sz w:val="24"/>
                <w:highlight w:val="none"/>
                <w:lang w:val="en-US" w:eastAsia="zh-CN"/>
              </w:rPr>
              <w:t>会务服务、安检服务</w:t>
            </w:r>
            <w:r>
              <w:rPr>
                <w:rFonts w:hint="eastAsia" w:ascii="宋体" w:hAnsi="宋体" w:eastAsia="宋体" w:cs="宋体"/>
                <w:color w:val="auto"/>
                <w:sz w:val="24"/>
                <w:highlight w:val="none"/>
              </w:rPr>
              <w:t>方案”要求制定服务方案。</w:t>
            </w:r>
            <w:r>
              <w:rPr>
                <w:rFonts w:hint="eastAsia" w:ascii="宋体" w:hAnsi="宋体" w:eastAsia="宋体" w:cs="宋体"/>
                <w:color w:val="auto"/>
                <w:sz w:val="24"/>
                <w:highlight w:val="none"/>
              </w:rPr>
              <w:t>至少包含：①卫生保洁；②安全保卫；③</w:t>
            </w:r>
            <w:r>
              <w:rPr>
                <w:rFonts w:hint="eastAsia" w:ascii="宋体" w:hAnsi="宋体" w:cs="宋体"/>
                <w:color w:val="auto"/>
                <w:sz w:val="24"/>
                <w:highlight w:val="none"/>
                <w:lang w:val="en-US" w:eastAsia="zh-CN"/>
              </w:rPr>
              <w:t>会务服务</w:t>
            </w:r>
            <w:r>
              <w:rPr>
                <w:rFonts w:hint="eastAsia" w:ascii="宋体" w:hAnsi="宋体" w:eastAsia="宋体" w:cs="宋体"/>
                <w:color w:val="auto"/>
                <w:sz w:val="24"/>
                <w:highlight w:val="none"/>
              </w:rPr>
              <w:t>；④</w:t>
            </w:r>
            <w:r>
              <w:rPr>
                <w:rFonts w:hint="eastAsia" w:ascii="宋体" w:hAnsi="宋体" w:cs="宋体"/>
                <w:color w:val="auto"/>
                <w:sz w:val="24"/>
                <w:highlight w:val="none"/>
                <w:lang w:val="en-US" w:eastAsia="zh-CN"/>
              </w:rPr>
              <w:t>安检服务</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或不提供得0分。</w:t>
            </w:r>
          </w:p>
          <w:p w14:paraId="539E16F2">
            <w:pPr>
              <w:spacing w:line="420" w:lineRule="exact"/>
              <w:ind w:firstLine="48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方案能全部响应要求，提出更为细致、有针对性、切实可行、要求之外且和本项目实施相关的内容的，可视为优于项目需求；方案能响应要求的可视为满足项目需求；方案对于要求的响应不完全或者偏离要求的，视为</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 xml:space="preserve">具体由评审委员会评审。 </w:t>
            </w:r>
          </w:p>
        </w:tc>
      </w:tr>
      <w:tr w14:paraId="5898A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442" w:type="dxa"/>
            <w:vMerge w:val="continue"/>
            <w:noWrap w:val="0"/>
            <w:tcMar>
              <w:top w:w="0" w:type="dxa"/>
              <w:left w:w="108" w:type="dxa"/>
              <w:bottom w:w="0" w:type="dxa"/>
              <w:right w:w="108" w:type="dxa"/>
            </w:tcMar>
            <w:vAlign w:val="center"/>
          </w:tcPr>
          <w:p w14:paraId="4562BB9B">
            <w:pPr>
              <w:spacing w:line="420" w:lineRule="exact"/>
              <w:ind w:firstLine="480"/>
              <w:jc w:val="center"/>
              <w:rPr>
                <w:rFonts w:hint="eastAsia" w:ascii="宋体" w:hAnsi="宋体" w:eastAsia="宋体" w:cs="宋体"/>
                <w:color w:val="auto"/>
                <w:sz w:val="24"/>
                <w:highlight w:val="none"/>
              </w:rPr>
            </w:pPr>
          </w:p>
        </w:tc>
        <w:tc>
          <w:tcPr>
            <w:tcW w:w="791" w:type="dxa"/>
            <w:noWrap w:val="0"/>
            <w:vAlign w:val="center"/>
          </w:tcPr>
          <w:p w14:paraId="7725D945">
            <w:pPr>
              <w:spacing w:line="42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center"/>
          </w:tcPr>
          <w:p w14:paraId="282A5623">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档案资料管理、物业管理制度</w:t>
            </w:r>
            <w:r>
              <w:rPr>
                <w:rFonts w:hint="eastAsia" w:ascii="宋体" w:hAnsi="宋体" w:eastAsia="宋体" w:cs="宋体"/>
                <w:color w:val="auto"/>
                <w:sz w:val="24"/>
                <w:highlight w:val="none"/>
                <w:lang w:eastAsia="zh-CN"/>
              </w:rPr>
              <w:t>服务方案：</w:t>
            </w:r>
          </w:p>
          <w:p w14:paraId="4DFCA979">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供应商根据第四章第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lang w:val="en-US" w:eastAsia="zh-CN"/>
              </w:rPr>
              <w:t>条第3款中“档案资料管理、物业管理制度</w:t>
            </w:r>
            <w:r>
              <w:rPr>
                <w:rFonts w:hint="eastAsia" w:ascii="宋体" w:hAnsi="宋体" w:eastAsia="宋体" w:cs="宋体"/>
                <w:color w:val="auto"/>
                <w:sz w:val="24"/>
                <w:highlight w:val="none"/>
                <w:lang w:eastAsia="zh-CN"/>
              </w:rPr>
              <w:t>服务方案</w:t>
            </w:r>
            <w:r>
              <w:rPr>
                <w:rFonts w:hint="eastAsia" w:ascii="宋体" w:hAnsi="宋体" w:eastAsia="宋体" w:cs="宋体"/>
                <w:color w:val="auto"/>
                <w:sz w:val="24"/>
                <w:highlight w:val="none"/>
                <w:lang w:val="en-US" w:eastAsia="zh-CN"/>
              </w:rPr>
              <w:t>”要求制定服务方案。</w:t>
            </w:r>
            <w:r>
              <w:rPr>
                <w:rFonts w:hint="eastAsia" w:ascii="宋体" w:hAnsi="宋体" w:eastAsia="宋体" w:cs="宋体"/>
                <w:color w:val="auto"/>
                <w:sz w:val="24"/>
                <w:highlight w:val="none"/>
              </w:rPr>
              <w:t>至少包含：①</w:t>
            </w:r>
            <w:r>
              <w:rPr>
                <w:rFonts w:hint="eastAsia" w:ascii="宋体" w:hAnsi="宋体" w:eastAsia="宋体" w:cs="宋体"/>
                <w:color w:val="auto"/>
                <w:sz w:val="24"/>
                <w:highlight w:val="none"/>
                <w:lang w:val="en-US" w:eastAsia="zh-CN"/>
              </w:rPr>
              <w:t>档案资料管理</w:t>
            </w: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en-US" w:eastAsia="zh-CN"/>
              </w:rPr>
              <w:t>物业管理制度</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或不提供得0分。</w:t>
            </w:r>
          </w:p>
          <w:p w14:paraId="3A13ED12">
            <w:pPr>
              <w:spacing w:line="420" w:lineRule="exact"/>
              <w:ind w:firstLine="48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方案能全部响应要求，提出更为细致、有针对性、切实可行、要求之外且和本项目实施相关的内容的，可视为优于项目需求；方案能响应要求的可视为满足项目需求；方案对于要求的响应不完全或者偏离要求的，视为</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 xml:space="preserve">具体由评审委员会评审。 </w:t>
            </w:r>
          </w:p>
        </w:tc>
      </w:tr>
      <w:tr w14:paraId="6408A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442" w:type="dxa"/>
            <w:vMerge w:val="continue"/>
            <w:noWrap w:val="0"/>
            <w:tcMar>
              <w:top w:w="0" w:type="dxa"/>
              <w:left w:w="108" w:type="dxa"/>
              <w:bottom w:w="0" w:type="dxa"/>
              <w:right w:w="108" w:type="dxa"/>
            </w:tcMar>
            <w:vAlign w:val="center"/>
          </w:tcPr>
          <w:p w14:paraId="111FCFF0">
            <w:pPr>
              <w:spacing w:line="420" w:lineRule="exact"/>
              <w:ind w:firstLine="480"/>
              <w:jc w:val="center"/>
              <w:rPr>
                <w:rFonts w:hint="eastAsia" w:ascii="宋体" w:hAnsi="宋体" w:eastAsia="宋体" w:cs="宋体"/>
                <w:color w:val="auto"/>
                <w:sz w:val="24"/>
                <w:highlight w:val="none"/>
              </w:rPr>
            </w:pPr>
          </w:p>
        </w:tc>
        <w:tc>
          <w:tcPr>
            <w:tcW w:w="791" w:type="dxa"/>
            <w:noWrap w:val="0"/>
            <w:vAlign w:val="center"/>
          </w:tcPr>
          <w:p w14:paraId="09EB428D">
            <w:pPr>
              <w:spacing w:line="4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center"/>
          </w:tcPr>
          <w:p w14:paraId="3B408CE6">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组织机构设置、人员配备、人员管理：</w:t>
            </w:r>
          </w:p>
          <w:p w14:paraId="668DB429">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供应商根据第四章第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条第4款中“组织机构设置、人员配备、人员管理”要求制定服务方案。</w:t>
            </w:r>
            <w:r>
              <w:rPr>
                <w:rFonts w:hint="eastAsia" w:ascii="宋体" w:hAnsi="宋体" w:eastAsia="宋体" w:cs="宋体"/>
                <w:color w:val="auto"/>
                <w:sz w:val="24"/>
                <w:highlight w:val="none"/>
              </w:rPr>
              <w:t>至少包含：①组织机构设置；②人员配备；③人员管理等，</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或不提供得0分。</w:t>
            </w:r>
          </w:p>
          <w:p w14:paraId="581206D4">
            <w:pPr>
              <w:spacing w:line="420" w:lineRule="exact"/>
              <w:ind w:firstLine="48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方案能全部响应要求，提出更为细致、有针对性、切实可行、要求之外且和本项目实施相关的内容的，可视为优于项目需求；方案能响应要求的可视为满足项目需求；方案对于要求的响应不完全或者偏离要求的，视为</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 xml:space="preserve">具体由评审委员会评审。 </w:t>
            </w:r>
          </w:p>
        </w:tc>
      </w:tr>
      <w:tr w14:paraId="2AC5E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1442" w:type="dxa"/>
            <w:vMerge w:val="continue"/>
            <w:noWrap w:val="0"/>
            <w:tcMar>
              <w:top w:w="0" w:type="dxa"/>
              <w:left w:w="108" w:type="dxa"/>
              <w:bottom w:w="0" w:type="dxa"/>
              <w:right w:w="108" w:type="dxa"/>
            </w:tcMar>
            <w:vAlign w:val="center"/>
          </w:tcPr>
          <w:p w14:paraId="7AA9F2C5">
            <w:pPr>
              <w:spacing w:line="420" w:lineRule="exact"/>
              <w:ind w:firstLine="480"/>
              <w:jc w:val="center"/>
              <w:rPr>
                <w:rFonts w:hint="eastAsia" w:ascii="宋体" w:hAnsi="宋体" w:eastAsia="宋体" w:cs="宋体"/>
                <w:color w:val="auto"/>
                <w:sz w:val="24"/>
                <w:highlight w:val="none"/>
              </w:rPr>
            </w:pPr>
          </w:p>
        </w:tc>
        <w:tc>
          <w:tcPr>
            <w:tcW w:w="791" w:type="dxa"/>
            <w:noWrap w:val="0"/>
            <w:vAlign w:val="center"/>
          </w:tcPr>
          <w:p w14:paraId="7F99B9C1">
            <w:pPr>
              <w:spacing w:line="4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center"/>
          </w:tcPr>
          <w:p w14:paraId="52ECC238">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物资装备配置方案：</w:t>
            </w:r>
          </w:p>
          <w:p w14:paraId="0003CA8B">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供应商根据第四章第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条第5款中“</w:t>
            </w:r>
            <w:r>
              <w:rPr>
                <w:rFonts w:hint="eastAsia" w:ascii="宋体" w:hAnsi="宋体" w:eastAsia="宋体" w:cs="宋体"/>
                <w:color w:val="auto"/>
                <w:sz w:val="24"/>
                <w:highlight w:val="none"/>
                <w:lang w:val="zh-CN"/>
              </w:rPr>
              <w:t>物资装备配置方案</w:t>
            </w:r>
            <w:r>
              <w:rPr>
                <w:rFonts w:hint="eastAsia" w:ascii="宋体" w:hAnsi="宋体" w:eastAsia="宋体" w:cs="宋体"/>
                <w:color w:val="auto"/>
                <w:sz w:val="24"/>
                <w:highlight w:val="none"/>
              </w:rPr>
              <w:t>”要求制定服务方案。</w:t>
            </w:r>
            <w:r>
              <w:rPr>
                <w:rFonts w:hint="eastAsia" w:ascii="宋体" w:hAnsi="宋体" w:eastAsia="宋体" w:cs="宋体"/>
                <w:color w:val="auto"/>
                <w:sz w:val="24"/>
                <w:highlight w:val="none"/>
              </w:rPr>
              <w:t>至少包含：①</w:t>
            </w:r>
            <w:r>
              <w:rPr>
                <w:rFonts w:hint="eastAsia" w:ascii="宋体" w:hAnsi="宋体" w:cs="宋体"/>
                <w:color w:val="auto"/>
                <w:sz w:val="24"/>
                <w:highlight w:val="none"/>
                <w:lang w:val="en-US" w:eastAsia="zh-CN"/>
              </w:rPr>
              <w:t>物资配置</w:t>
            </w:r>
            <w:r>
              <w:rPr>
                <w:rFonts w:hint="eastAsia" w:ascii="宋体" w:hAnsi="宋体" w:eastAsia="宋体" w:cs="宋体"/>
                <w:color w:val="auto"/>
                <w:sz w:val="24"/>
                <w:highlight w:val="none"/>
              </w:rPr>
              <w:t>；②</w:t>
            </w:r>
            <w:r>
              <w:rPr>
                <w:rFonts w:hint="eastAsia" w:ascii="宋体" w:hAnsi="宋体" w:cs="宋体"/>
                <w:color w:val="auto"/>
                <w:sz w:val="24"/>
                <w:highlight w:val="none"/>
                <w:lang w:val="en-US" w:eastAsia="zh-CN"/>
              </w:rPr>
              <w:t>装备配置</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或不提供得0分。</w:t>
            </w:r>
          </w:p>
          <w:p w14:paraId="67A46831">
            <w:pPr>
              <w:spacing w:line="420" w:lineRule="exact"/>
              <w:ind w:firstLine="48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方案能全部响应要求，提出更为细致、有针对性、切实可行、要求之外且和本项目实施相关的内容的，可视为优于项目需求；方案能响应要求的可视为满足项目需求；方案对于要求的响应不完全或者偏离要求的，视为</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 xml:space="preserve">具体由评审委员会评审。 </w:t>
            </w:r>
          </w:p>
        </w:tc>
      </w:tr>
      <w:tr w14:paraId="509CB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442" w:type="dxa"/>
            <w:vMerge w:val="continue"/>
            <w:noWrap w:val="0"/>
            <w:tcMar>
              <w:top w:w="0" w:type="dxa"/>
              <w:left w:w="108" w:type="dxa"/>
              <w:bottom w:w="0" w:type="dxa"/>
              <w:right w:w="108" w:type="dxa"/>
            </w:tcMar>
            <w:vAlign w:val="center"/>
          </w:tcPr>
          <w:p w14:paraId="66D9E400">
            <w:pPr>
              <w:spacing w:line="420" w:lineRule="exact"/>
              <w:ind w:firstLine="480"/>
              <w:jc w:val="center"/>
              <w:rPr>
                <w:rFonts w:hint="eastAsia" w:ascii="宋体" w:hAnsi="宋体" w:eastAsia="宋体" w:cs="宋体"/>
                <w:color w:val="auto"/>
                <w:sz w:val="24"/>
                <w:highlight w:val="none"/>
                <w:lang w:val="en-US" w:eastAsia="zh-CN"/>
              </w:rPr>
            </w:pPr>
          </w:p>
        </w:tc>
        <w:tc>
          <w:tcPr>
            <w:tcW w:w="791" w:type="dxa"/>
            <w:noWrap w:val="0"/>
            <w:vAlign w:val="center"/>
          </w:tcPr>
          <w:p w14:paraId="1A0BE0C7">
            <w:pPr>
              <w:spacing w:line="42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分</w:t>
            </w:r>
          </w:p>
        </w:tc>
        <w:tc>
          <w:tcPr>
            <w:tcW w:w="7405" w:type="dxa"/>
            <w:noWrap w:val="0"/>
            <w:tcMar>
              <w:top w:w="0" w:type="dxa"/>
              <w:left w:w="108" w:type="dxa"/>
              <w:bottom w:w="0" w:type="dxa"/>
              <w:right w:w="108" w:type="dxa"/>
            </w:tcMar>
            <w:vAlign w:val="center"/>
          </w:tcPr>
          <w:p w14:paraId="2E2EFFB8">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员工培训、考核计划：</w:t>
            </w:r>
          </w:p>
          <w:p w14:paraId="29BB1DB9">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供应商根据第四章第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条第6款中“员工培训、考核计划”要求制定服务方案。</w:t>
            </w:r>
            <w:r>
              <w:rPr>
                <w:rFonts w:hint="eastAsia" w:ascii="宋体" w:hAnsi="宋体" w:eastAsia="宋体" w:cs="宋体"/>
                <w:color w:val="auto"/>
                <w:sz w:val="24"/>
                <w:highlight w:val="none"/>
              </w:rPr>
              <w:t>至少包含：①员工培训；②考核计划等。</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或不提供得0分。</w:t>
            </w:r>
          </w:p>
          <w:p w14:paraId="09E94841">
            <w:pPr>
              <w:spacing w:line="420" w:lineRule="exact"/>
              <w:ind w:firstLine="48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供应商提供的方案能全部响应要求，提出更为细致、有针对性、切实可行、要求之外且和本项目实施相关的内容的，可视为优于项目需求；方案能响应要求的可视为满足项目需求；方案对于要求的响应不完全或者偏离要求的，视为</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 xml:space="preserve">具体由评审委员会评审。 </w:t>
            </w:r>
          </w:p>
        </w:tc>
      </w:tr>
      <w:tr w14:paraId="7397A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42" w:type="dxa"/>
            <w:vMerge w:val="continue"/>
            <w:noWrap w:val="0"/>
            <w:tcMar>
              <w:top w:w="0" w:type="dxa"/>
              <w:left w:w="108" w:type="dxa"/>
              <w:bottom w:w="0" w:type="dxa"/>
              <w:right w:w="108" w:type="dxa"/>
            </w:tcMar>
            <w:vAlign w:val="center"/>
          </w:tcPr>
          <w:p w14:paraId="3328AFF1">
            <w:pPr>
              <w:spacing w:line="420" w:lineRule="exact"/>
              <w:ind w:firstLine="480"/>
              <w:jc w:val="center"/>
              <w:rPr>
                <w:rFonts w:hint="eastAsia" w:ascii="宋体" w:hAnsi="宋体" w:eastAsia="宋体" w:cs="宋体"/>
                <w:color w:val="auto"/>
                <w:sz w:val="24"/>
                <w:highlight w:val="none"/>
                <w:lang w:val="en-US" w:eastAsia="zh-CN"/>
              </w:rPr>
            </w:pPr>
          </w:p>
        </w:tc>
        <w:tc>
          <w:tcPr>
            <w:tcW w:w="791" w:type="dxa"/>
            <w:noWrap w:val="0"/>
            <w:vAlign w:val="center"/>
          </w:tcPr>
          <w:p w14:paraId="3654B22F">
            <w:pPr>
              <w:spacing w:line="4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center"/>
          </w:tcPr>
          <w:p w14:paraId="1F79A321">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适合本项目的各种突发事件的处理预案：</w:t>
            </w:r>
          </w:p>
          <w:p w14:paraId="2482A86A">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供应商根据第四章第</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条第7款中“适合本项目的各种突发事件的处理预案”要求制定服务方案。</w:t>
            </w:r>
            <w:r>
              <w:rPr>
                <w:rFonts w:hint="eastAsia" w:ascii="宋体" w:hAnsi="宋体" w:eastAsia="宋体" w:cs="宋体"/>
                <w:color w:val="auto"/>
                <w:sz w:val="24"/>
                <w:highlight w:val="none"/>
              </w:rPr>
              <w:t>至少包含：①</w:t>
            </w:r>
            <w:r>
              <w:rPr>
                <w:rFonts w:hint="eastAsia" w:ascii="宋体" w:hAnsi="宋体" w:eastAsia="宋体" w:cs="宋体"/>
                <w:color w:val="auto"/>
                <w:sz w:val="24"/>
                <w:szCs w:val="24"/>
                <w:highlight w:val="none"/>
                <w:lang w:val="en-US" w:eastAsia="zh-CN"/>
              </w:rPr>
              <w:t>治安事故应急预案</w:t>
            </w:r>
            <w:r>
              <w:rPr>
                <w:rFonts w:hint="eastAsia" w:ascii="宋体" w:hAnsi="宋体" w:eastAsia="宋体" w:cs="宋体"/>
                <w:color w:val="auto"/>
                <w:sz w:val="24"/>
                <w:highlight w:val="none"/>
              </w:rPr>
              <w:t>；②</w:t>
            </w:r>
            <w:r>
              <w:rPr>
                <w:rFonts w:hint="eastAsia" w:ascii="宋体" w:hAnsi="宋体" w:eastAsia="宋体" w:cs="宋体"/>
                <w:color w:val="auto"/>
                <w:sz w:val="24"/>
                <w:szCs w:val="24"/>
                <w:highlight w:val="none"/>
                <w:lang w:val="en-US" w:eastAsia="zh-CN"/>
              </w:rPr>
              <w:t>消防安全事故应急预案</w:t>
            </w:r>
            <w:r>
              <w:rPr>
                <w:rFonts w:hint="eastAsia" w:ascii="宋体" w:hAnsi="宋体" w:eastAsia="宋体" w:cs="宋体"/>
                <w:color w:val="auto"/>
                <w:sz w:val="24"/>
                <w:highlight w:val="none"/>
              </w:rPr>
              <w:t>；③</w:t>
            </w:r>
            <w:r>
              <w:rPr>
                <w:rFonts w:hint="eastAsia" w:ascii="宋体" w:hAnsi="宋体" w:eastAsia="宋体" w:cs="宋体"/>
                <w:color w:val="auto"/>
                <w:sz w:val="24"/>
                <w:szCs w:val="24"/>
                <w:highlight w:val="none"/>
                <w:lang w:val="en-US" w:eastAsia="zh-CN"/>
              </w:rPr>
              <w:t>自然灾害中的应急预案</w:t>
            </w:r>
            <w:r>
              <w:rPr>
                <w:rFonts w:hint="eastAsia" w:ascii="宋体" w:hAnsi="宋体" w:eastAsia="宋体" w:cs="宋体"/>
                <w:color w:val="auto"/>
                <w:sz w:val="24"/>
                <w:highlight w:val="none"/>
              </w:rPr>
              <w:t>；④</w:t>
            </w:r>
            <w:r>
              <w:rPr>
                <w:rFonts w:hint="eastAsia" w:ascii="宋体" w:hAnsi="宋体" w:eastAsia="宋体" w:cs="宋体"/>
                <w:color w:val="auto"/>
                <w:sz w:val="24"/>
                <w:szCs w:val="24"/>
                <w:highlight w:val="none"/>
                <w:lang w:val="en-US" w:eastAsia="zh-CN"/>
              </w:rPr>
              <w:t>重大节日及大型活动应急预案</w:t>
            </w:r>
            <w:r>
              <w:rPr>
                <w:rFonts w:hint="eastAsia" w:ascii="宋体" w:hAnsi="宋体" w:eastAsia="宋体" w:cs="宋体"/>
                <w:color w:val="auto"/>
                <w:sz w:val="24"/>
                <w:highlight w:val="none"/>
              </w:rPr>
              <w:t>等。</w:t>
            </w:r>
            <w:r>
              <w:rPr>
                <w:rFonts w:hint="eastAsia" w:ascii="宋体" w:hAnsi="宋体" w:eastAsia="宋体" w:cs="宋体"/>
                <w:color w:val="auto"/>
                <w:sz w:val="24"/>
                <w:highlight w:val="none"/>
              </w:rPr>
              <w:t>优于项目需求得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内容全面，满足项目需求的得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或不提供得0分。</w:t>
            </w:r>
          </w:p>
          <w:p w14:paraId="1B120E5C">
            <w:pPr>
              <w:spacing w:line="420" w:lineRule="exact"/>
              <w:ind w:firstLine="48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供应商提供的方案能全部响应要求，提出更为细致、有针对性、切实可行、要求之外且和本项目实施相关的内容的，可视为优于项目需求；方案能响应要求的可视为满足项目需求；方案对于要求的响应不完全或者偏离要求的，视为</w:t>
            </w:r>
            <w:r>
              <w:rPr>
                <w:rFonts w:hint="eastAsia" w:ascii="宋体" w:hAnsi="宋体" w:cs="宋体"/>
                <w:color w:val="auto"/>
                <w:sz w:val="24"/>
                <w:szCs w:val="20"/>
                <w:highlight w:val="none"/>
              </w:rPr>
              <w:t>不满足</w:t>
            </w:r>
            <w:r>
              <w:rPr>
                <w:rFonts w:hint="eastAsia" w:ascii="宋体" w:hAnsi="宋体" w:eastAsia="宋体" w:cs="宋体"/>
                <w:color w:val="auto"/>
                <w:sz w:val="24"/>
                <w:highlight w:val="none"/>
              </w:rPr>
              <w:t>项目需求。</w:t>
            </w:r>
            <w:r>
              <w:rPr>
                <w:rFonts w:hint="eastAsia" w:ascii="宋体" w:hAnsi="宋体" w:cs="宋体"/>
                <w:color w:val="auto"/>
                <w:sz w:val="24"/>
                <w:szCs w:val="20"/>
                <w:highlight w:val="none"/>
              </w:rPr>
              <w:t xml:space="preserve">具体由评审委员会评审。 </w:t>
            </w:r>
          </w:p>
        </w:tc>
      </w:tr>
      <w:tr w14:paraId="68EDC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42" w:type="dxa"/>
            <w:noWrap w:val="0"/>
            <w:vAlign w:val="center"/>
          </w:tcPr>
          <w:p w14:paraId="322FF59C">
            <w:pPr>
              <w:spacing w:line="42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791" w:type="dxa"/>
            <w:noWrap w:val="0"/>
            <w:vAlign w:val="center"/>
          </w:tcPr>
          <w:p w14:paraId="2CC43BB6">
            <w:pPr>
              <w:spacing w:line="4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top"/>
          </w:tcPr>
          <w:p w14:paraId="2B4B191E">
            <w:pPr>
              <w:keepNext w:val="0"/>
              <w:keepLines w:val="0"/>
              <w:pageBreakBefore w:val="0"/>
              <w:widowControl w:val="0"/>
              <w:spacing w:line="4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年1月1日（以合同签订时间为准）以来承接过类似党政机关、事业单位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不含住宅、工厂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办公楼物业管理项目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每提供一个类似</w:t>
            </w:r>
            <w:r>
              <w:rPr>
                <w:rFonts w:hint="eastAsia" w:ascii="宋体" w:hAnsi="宋体" w:eastAsia="宋体" w:cs="宋体"/>
                <w:color w:val="auto"/>
                <w:sz w:val="24"/>
                <w:szCs w:val="24"/>
                <w:highlight w:val="none"/>
              </w:rPr>
              <w:t>业绩得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bidi="ar"/>
              </w:rPr>
              <w:t>本项最</w:t>
            </w:r>
            <w:r>
              <w:rPr>
                <w:rFonts w:hint="eastAsia" w:ascii="宋体" w:hAnsi="宋体" w:eastAsia="宋体" w:cs="宋体"/>
                <w:color w:val="auto"/>
                <w:sz w:val="24"/>
                <w:szCs w:val="24"/>
                <w:highlight w:val="none"/>
                <w:lang w:val="en-US" w:eastAsia="zh-CN" w:bidi="ar"/>
              </w:rPr>
              <w:t>高</w:t>
            </w:r>
            <w:r>
              <w:rPr>
                <w:rFonts w:hint="eastAsia" w:ascii="宋体" w:hAnsi="宋体" w:eastAsia="宋体" w:cs="宋体"/>
                <w:color w:val="auto"/>
                <w:sz w:val="24"/>
                <w:szCs w:val="24"/>
                <w:highlight w:val="none"/>
                <w:lang w:bidi="ar"/>
              </w:rPr>
              <w:t>得</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val="en-US" w:eastAsia="zh-CN" w:bidi="ar"/>
              </w:rPr>
              <w:t>供应商须</w:t>
            </w:r>
            <w:r>
              <w:rPr>
                <w:rFonts w:hint="eastAsia" w:ascii="宋体" w:hAnsi="宋体" w:eastAsia="宋体" w:cs="宋体"/>
                <w:color w:val="auto"/>
                <w:sz w:val="24"/>
                <w:szCs w:val="24"/>
                <w:highlight w:val="none"/>
                <w:lang w:bidi="ar"/>
              </w:rPr>
              <w:t>提供合同原件</w:t>
            </w:r>
            <w:r>
              <w:rPr>
                <w:rFonts w:hint="eastAsia" w:ascii="宋体" w:hAnsi="宋体" w:eastAsia="宋体" w:cs="宋体"/>
                <w:color w:val="auto"/>
                <w:sz w:val="24"/>
                <w:szCs w:val="24"/>
                <w:highlight w:val="none"/>
                <w:lang w:val="en-US" w:eastAsia="zh-CN" w:bidi="ar"/>
              </w:rPr>
              <w:t>彩色</w:t>
            </w:r>
            <w:r>
              <w:rPr>
                <w:rFonts w:hint="eastAsia" w:ascii="宋体" w:hAnsi="宋体" w:eastAsia="宋体" w:cs="宋体"/>
                <w:color w:val="auto"/>
                <w:sz w:val="24"/>
                <w:szCs w:val="24"/>
                <w:highlight w:val="none"/>
              </w:rPr>
              <w:t>扫描件</w:t>
            </w:r>
            <w:r>
              <w:rPr>
                <w:rFonts w:hint="eastAsia" w:ascii="宋体" w:hAnsi="宋体" w:eastAsia="宋体" w:cs="宋体"/>
                <w:color w:val="auto"/>
                <w:sz w:val="24"/>
                <w:szCs w:val="24"/>
                <w:highlight w:val="none"/>
                <w:lang w:val="en-US" w:eastAsia="zh-CN" w:bidi="ar"/>
              </w:rPr>
              <w:t>并加盖供应商CA电子公章，不提供不得分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39F9E114">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注：如合同为一年一签的同一项目年度合同，只认同为一项合同。</w:t>
            </w:r>
          </w:p>
        </w:tc>
      </w:tr>
      <w:tr w14:paraId="5ABEB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42" w:type="dxa"/>
            <w:vMerge w:val="restart"/>
            <w:noWrap w:val="0"/>
            <w:vAlign w:val="center"/>
          </w:tcPr>
          <w:p w14:paraId="578A19F8">
            <w:pPr>
              <w:spacing w:line="4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企业</w:t>
            </w:r>
            <w:r>
              <w:rPr>
                <w:rFonts w:hint="eastAsia" w:ascii="宋体" w:hAnsi="宋体" w:eastAsia="宋体" w:cs="宋体"/>
                <w:color w:val="auto"/>
                <w:sz w:val="24"/>
                <w:highlight w:val="none"/>
                <w:lang w:val="en-US" w:eastAsia="zh-CN"/>
              </w:rPr>
              <w:t>实力</w:t>
            </w:r>
          </w:p>
          <w:p w14:paraId="1331F796">
            <w:pPr>
              <w:spacing w:line="4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tc>
        <w:tc>
          <w:tcPr>
            <w:tcW w:w="791" w:type="dxa"/>
            <w:noWrap w:val="0"/>
            <w:vAlign w:val="center"/>
          </w:tcPr>
          <w:p w14:paraId="79638FA3">
            <w:pPr>
              <w:spacing w:line="4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tc>
        <w:tc>
          <w:tcPr>
            <w:tcW w:w="7405" w:type="dxa"/>
            <w:noWrap w:val="0"/>
            <w:tcMar>
              <w:top w:w="0" w:type="dxa"/>
              <w:left w:w="108" w:type="dxa"/>
              <w:bottom w:w="0" w:type="dxa"/>
              <w:right w:w="108" w:type="dxa"/>
            </w:tcMar>
            <w:vAlign w:val="top"/>
          </w:tcPr>
          <w:p w14:paraId="0355EF45">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供应商持有有效期内的质量管理体系认证证书、环境管理体系认证证书、职业健康安全管理体系认证证书的</w:t>
            </w:r>
            <w:r>
              <w:rPr>
                <w:rFonts w:hint="eastAsia" w:ascii="宋体" w:hAnsi="宋体" w:eastAsia="宋体" w:cs="宋体"/>
                <w:color w:val="auto"/>
                <w:sz w:val="24"/>
                <w:highlight w:val="none"/>
                <w:lang w:val="zh-CN"/>
              </w:rPr>
              <w:t>有一项得1分</w:t>
            </w:r>
            <w:r>
              <w:rPr>
                <w:rFonts w:hint="eastAsia" w:ascii="宋体" w:hAnsi="宋体" w:eastAsia="宋体" w:cs="宋体"/>
                <w:color w:val="auto"/>
                <w:sz w:val="24"/>
                <w:highlight w:val="none"/>
                <w:lang w:val="en-US" w:eastAsia="zh-CN"/>
              </w:rPr>
              <w:t>，本项最高得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分。（供应商须提供证书原件彩色扫描件和官网全国认证认可信息公共服务平台</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"http://cx.cnca.cn/CertECloud/index/index/page"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http://cx.cnca.cn/CertECloud/index/index/page</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查询截图并加盖供应商CA电子公章，提供不全不得分。）</w:t>
            </w:r>
          </w:p>
        </w:tc>
      </w:tr>
      <w:tr w14:paraId="2F6F0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42" w:type="dxa"/>
            <w:vMerge w:val="continue"/>
            <w:noWrap w:val="0"/>
            <w:vAlign w:val="center"/>
          </w:tcPr>
          <w:p w14:paraId="19920211">
            <w:pPr>
              <w:spacing w:line="420" w:lineRule="exact"/>
              <w:ind w:firstLine="480"/>
              <w:jc w:val="center"/>
              <w:rPr>
                <w:rFonts w:hint="eastAsia" w:ascii="宋体" w:hAnsi="宋体" w:eastAsia="宋体" w:cs="宋体"/>
                <w:color w:val="auto"/>
                <w:sz w:val="24"/>
                <w:highlight w:val="none"/>
                <w:lang w:eastAsia="zh-CN"/>
              </w:rPr>
            </w:pPr>
          </w:p>
        </w:tc>
        <w:tc>
          <w:tcPr>
            <w:tcW w:w="791" w:type="dxa"/>
            <w:noWrap w:val="0"/>
            <w:vAlign w:val="center"/>
          </w:tcPr>
          <w:p w14:paraId="6583AFFE">
            <w:pPr>
              <w:spacing w:line="4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3分</w:t>
            </w:r>
          </w:p>
        </w:tc>
        <w:tc>
          <w:tcPr>
            <w:tcW w:w="7405" w:type="dxa"/>
            <w:noWrap w:val="0"/>
            <w:tcMar>
              <w:top w:w="0" w:type="dxa"/>
              <w:left w:w="108" w:type="dxa"/>
              <w:bottom w:w="0" w:type="dxa"/>
              <w:right w:w="108" w:type="dxa"/>
            </w:tcMar>
            <w:vAlign w:val="top"/>
          </w:tcPr>
          <w:p w14:paraId="4F3F4660">
            <w:pPr>
              <w:spacing w:line="42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年1月1日以来（以相关证书或文件上注明的日期为准），获得过县、区级</w:t>
            </w:r>
            <w:r>
              <w:rPr>
                <w:rFonts w:hint="eastAsia" w:ascii="宋体" w:hAnsi="宋体" w:eastAsia="宋体" w:cs="宋体"/>
                <w:b w:val="0"/>
                <w:bCs w:val="0"/>
                <w:i w:val="0"/>
                <w:iCs w:val="0"/>
                <w:color w:val="auto"/>
                <w:sz w:val="24"/>
                <w:szCs w:val="20"/>
                <w:highlight w:val="none"/>
                <w:u w:val="none"/>
                <w:lang w:val="en-US" w:eastAsia="zh-CN"/>
              </w:rPr>
              <w:t>政府部门的相关</w:t>
            </w:r>
            <w:r>
              <w:rPr>
                <w:rFonts w:hint="eastAsia" w:ascii="宋体" w:hAnsi="宋体" w:eastAsia="宋体" w:cs="宋体"/>
                <w:color w:val="auto"/>
                <w:sz w:val="24"/>
                <w:szCs w:val="24"/>
                <w:highlight w:val="none"/>
              </w:rPr>
              <w:t>表彰的得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分；获得过</w:t>
            </w:r>
            <w:r>
              <w:rPr>
                <w:rFonts w:hint="eastAsia" w:ascii="宋体" w:hAnsi="宋体" w:eastAsia="宋体" w:cs="宋体"/>
                <w:color w:val="auto"/>
                <w:sz w:val="24"/>
                <w:szCs w:val="24"/>
                <w:highlight w:val="none"/>
                <w:lang w:val="en-US" w:eastAsia="zh-CN"/>
              </w:rPr>
              <w:t>地</w:t>
            </w:r>
            <w:r>
              <w:rPr>
                <w:rFonts w:hint="eastAsia" w:ascii="宋体" w:hAnsi="宋体" w:eastAsia="宋体" w:cs="宋体"/>
                <w:color w:val="auto"/>
                <w:sz w:val="24"/>
                <w:szCs w:val="24"/>
                <w:highlight w:val="none"/>
              </w:rPr>
              <w:t>市级</w:t>
            </w:r>
            <w:r>
              <w:rPr>
                <w:rFonts w:hint="eastAsia" w:ascii="宋体" w:hAnsi="宋体" w:eastAsia="宋体" w:cs="宋体"/>
                <w:b w:val="0"/>
                <w:bCs w:val="0"/>
                <w:i w:val="0"/>
                <w:iCs w:val="0"/>
                <w:color w:val="auto"/>
                <w:sz w:val="24"/>
                <w:szCs w:val="20"/>
                <w:highlight w:val="none"/>
                <w:u w:val="none"/>
                <w:lang w:val="en-US" w:eastAsia="zh-CN"/>
              </w:rPr>
              <w:t>政府部门的相关</w:t>
            </w:r>
            <w:r>
              <w:rPr>
                <w:rFonts w:hint="eastAsia" w:ascii="宋体" w:hAnsi="宋体" w:eastAsia="宋体" w:cs="宋体"/>
                <w:color w:val="auto"/>
                <w:sz w:val="24"/>
                <w:szCs w:val="24"/>
                <w:highlight w:val="none"/>
              </w:rPr>
              <w:t>表彰的得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获得过</w:t>
            </w:r>
            <w:r>
              <w:rPr>
                <w:rFonts w:hint="eastAsia" w:ascii="宋体" w:hAnsi="宋体" w:eastAsia="宋体" w:cs="宋体"/>
                <w:color w:val="auto"/>
                <w:sz w:val="24"/>
                <w:szCs w:val="24"/>
                <w:highlight w:val="none"/>
                <w:lang w:val="en-US" w:eastAsia="zh-CN"/>
              </w:rPr>
              <w:t>省级及以上</w:t>
            </w:r>
            <w:r>
              <w:rPr>
                <w:rFonts w:hint="eastAsia" w:ascii="宋体" w:hAnsi="宋体" w:eastAsia="宋体" w:cs="宋体"/>
                <w:b w:val="0"/>
                <w:bCs w:val="0"/>
                <w:i w:val="0"/>
                <w:iCs w:val="0"/>
                <w:color w:val="auto"/>
                <w:sz w:val="24"/>
                <w:szCs w:val="20"/>
                <w:highlight w:val="none"/>
                <w:u w:val="none"/>
                <w:lang w:val="en-US" w:eastAsia="zh-CN"/>
              </w:rPr>
              <w:t>政府部门的相关</w:t>
            </w:r>
            <w:r>
              <w:rPr>
                <w:rFonts w:hint="eastAsia" w:ascii="宋体" w:hAnsi="宋体" w:eastAsia="宋体" w:cs="宋体"/>
                <w:color w:val="auto"/>
                <w:sz w:val="24"/>
                <w:szCs w:val="24"/>
                <w:highlight w:val="none"/>
              </w:rPr>
              <w:t>表彰的得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
              </w:rPr>
              <w:t>供应商</w:t>
            </w:r>
            <w:r>
              <w:rPr>
                <w:rFonts w:hint="eastAsia" w:ascii="宋体" w:hAnsi="宋体" w:eastAsia="宋体" w:cs="宋体"/>
                <w:color w:val="auto"/>
                <w:sz w:val="24"/>
                <w:szCs w:val="24"/>
                <w:highlight w:val="none"/>
              </w:rPr>
              <w:t>须提供表彰原件</w:t>
            </w:r>
            <w:r>
              <w:rPr>
                <w:rFonts w:hint="eastAsia" w:ascii="宋体" w:hAnsi="宋体" w:eastAsia="宋体" w:cs="宋体"/>
                <w:color w:val="auto"/>
                <w:sz w:val="24"/>
                <w:szCs w:val="24"/>
                <w:highlight w:val="none"/>
                <w:lang w:val="en-US" w:eastAsia="zh-CN" w:bidi="ar"/>
              </w:rPr>
              <w:t>彩色</w:t>
            </w:r>
            <w:r>
              <w:rPr>
                <w:rFonts w:hint="eastAsia" w:ascii="宋体" w:hAnsi="宋体" w:eastAsia="宋体" w:cs="宋体"/>
                <w:color w:val="auto"/>
                <w:sz w:val="24"/>
                <w:szCs w:val="24"/>
                <w:highlight w:val="none"/>
              </w:rPr>
              <w:t>扫描件</w:t>
            </w:r>
            <w:r>
              <w:rPr>
                <w:rFonts w:hint="eastAsia" w:ascii="宋体" w:hAnsi="宋体" w:eastAsia="宋体" w:cs="宋体"/>
                <w:color w:val="auto"/>
                <w:sz w:val="24"/>
                <w:szCs w:val="24"/>
                <w:highlight w:val="none"/>
                <w:lang w:val="en-US" w:eastAsia="zh-CN"/>
              </w:rPr>
              <w:t>并加盖供应商</w:t>
            </w:r>
            <w:r>
              <w:rPr>
                <w:rFonts w:hint="eastAsia" w:ascii="宋体" w:hAnsi="宋体" w:eastAsia="宋体" w:cs="宋体"/>
                <w:color w:val="auto"/>
                <w:sz w:val="24"/>
                <w:szCs w:val="24"/>
                <w:highlight w:val="none"/>
                <w:lang w:val="en-US" w:eastAsia="zh-CN" w:bidi="ar"/>
              </w:rPr>
              <w:t>CA电子</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，不提供不得分。</w:t>
            </w:r>
            <w:r>
              <w:rPr>
                <w:rFonts w:hint="eastAsia" w:ascii="宋体" w:hAnsi="宋体" w:eastAsia="宋体" w:cs="宋体"/>
                <w:color w:val="auto"/>
                <w:sz w:val="24"/>
                <w:szCs w:val="24"/>
                <w:highlight w:val="none"/>
                <w:lang w:val="en-US" w:eastAsia="zh-CN"/>
              </w:rPr>
              <w:t>）</w:t>
            </w:r>
          </w:p>
        </w:tc>
      </w:tr>
      <w:tr w14:paraId="0BDFE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5" w:hRule="atLeast"/>
          <w:jc w:val="center"/>
        </w:trPr>
        <w:tc>
          <w:tcPr>
            <w:tcW w:w="1442" w:type="dxa"/>
            <w:noWrap w:val="0"/>
            <w:vAlign w:val="center"/>
          </w:tcPr>
          <w:p w14:paraId="2C4FC39D">
            <w:pPr>
              <w:spacing w:line="42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人员实力</w:t>
            </w:r>
          </w:p>
          <w:p w14:paraId="48D5B849">
            <w:pPr>
              <w:spacing w:line="42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分）</w:t>
            </w:r>
          </w:p>
        </w:tc>
        <w:tc>
          <w:tcPr>
            <w:tcW w:w="791" w:type="dxa"/>
            <w:noWrap w:val="0"/>
            <w:vAlign w:val="center"/>
          </w:tcPr>
          <w:p w14:paraId="52FDD9A3">
            <w:pPr>
              <w:spacing w:line="42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分</w:t>
            </w:r>
          </w:p>
        </w:tc>
        <w:tc>
          <w:tcPr>
            <w:tcW w:w="7405" w:type="dxa"/>
            <w:noWrap w:val="0"/>
            <w:tcMar>
              <w:top w:w="0" w:type="dxa"/>
              <w:left w:w="108" w:type="dxa"/>
              <w:bottom w:w="0" w:type="dxa"/>
              <w:right w:w="108" w:type="dxa"/>
            </w:tcMar>
            <w:vAlign w:val="top"/>
          </w:tcPr>
          <w:p w14:paraId="6197E28F">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1、拟派项目负责人持有</w:t>
            </w:r>
            <w:r>
              <w:rPr>
                <w:rFonts w:hint="eastAsia" w:ascii="宋体" w:hAnsi="宋体" w:cs="宋体"/>
                <w:color w:val="auto"/>
                <w:sz w:val="24"/>
                <w:highlight w:val="none"/>
                <w:lang w:val="en-US" w:eastAsia="zh-CN"/>
              </w:rPr>
              <w:t>大专学历的得1分，</w:t>
            </w:r>
            <w:r>
              <w:rPr>
                <w:rFonts w:hint="eastAsia" w:ascii="宋体" w:hAnsi="宋体" w:eastAsia="宋体" w:cs="宋体"/>
                <w:color w:val="auto"/>
                <w:sz w:val="24"/>
                <w:highlight w:val="none"/>
                <w:lang w:val="en-US" w:eastAsia="zh-CN"/>
              </w:rPr>
              <w:t>本科及以上学历的得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本项最高得2分。</w:t>
            </w:r>
          </w:p>
          <w:p w14:paraId="633FB6EA">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、拟派保安队长</w:t>
            </w:r>
            <w:r>
              <w:rPr>
                <w:rFonts w:hint="eastAsia" w:ascii="宋体" w:hAnsi="宋体" w:eastAsia="宋体" w:cs="宋体"/>
                <w:color w:val="auto"/>
                <w:sz w:val="24"/>
                <w:szCs w:val="24"/>
                <w:highlight w:val="none"/>
              </w:rPr>
              <w:t>持有保安员四级（中级）证书的得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分，保安员三级（高级）及以上等级证书的得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本项最高得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w:t>
            </w:r>
          </w:p>
          <w:p w14:paraId="76B89CA9">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、拟派</w:t>
            </w:r>
            <w:r>
              <w:rPr>
                <w:rFonts w:hint="eastAsia" w:ascii="宋体" w:hAnsi="宋体" w:cs="宋体"/>
                <w:color w:val="auto"/>
                <w:sz w:val="24"/>
                <w:highlight w:val="none"/>
                <w:lang w:val="en-US" w:eastAsia="zh-CN"/>
              </w:rPr>
              <w:t>安检</w:t>
            </w:r>
            <w:r>
              <w:rPr>
                <w:rFonts w:hint="eastAsia" w:ascii="宋体" w:hAnsi="宋体" w:eastAsia="宋体" w:cs="宋体"/>
                <w:color w:val="auto"/>
                <w:sz w:val="24"/>
                <w:highlight w:val="none"/>
                <w:lang w:val="en-US" w:eastAsia="zh-CN"/>
              </w:rPr>
              <w:t>人员中持有劳动职业技能鉴定部门核发的安检员证书的得0.5分</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lang w:val="en-US" w:eastAsia="zh-CN"/>
              </w:rPr>
              <w:t>，本项最高得2分。</w:t>
            </w:r>
          </w:p>
          <w:p w14:paraId="1E98E393">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、拟派</w:t>
            </w:r>
            <w:r>
              <w:rPr>
                <w:rFonts w:hint="eastAsia" w:ascii="宋体" w:hAnsi="宋体" w:eastAsia="宋体" w:cs="宋体"/>
                <w:color w:val="auto"/>
                <w:sz w:val="24"/>
                <w:szCs w:val="24"/>
                <w:highlight w:val="none"/>
              </w:rPr>
              <w:t>工程维修人员</w:t>
            </w:r>
            <w:r>
              <w:rPr>
                <w:rFonts w:hint="eastAsia" w:ascii="宋体" w:hAnsi="宋体" w:eastAsia="宋体" w:cs="宋体"/>
                <w:color w:val="auto"/>
                <w:sz w:val="24"/>
                <w:highlight w:val="none"/>
                <w:lang w:val="en-US" w:eastAsia="zh-CN"/>
              </w:rPr>
              <w:t>持有应急管理部门颁发的高压电工作业证的得0.5分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持有四级（中级）或以上电工证书的得0.5分，本项最高得1分。</w:t>
            </w:r>
          </w:p>
          <w:p w14:paraId="150B8684">
            <w:pPr>
              <w:spacing w:line="42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时提供上述证书或相关证明材料的原件彩色扫描件并加盖供应商CA电子公章，毕业证书须同时提供学信网查询截图并加盖供应商CA电子公章，不提供或提供不全的不得分。以上人员必须为本单位正式职工，须提供招标文件上网公示之日当月向前1个月在本单位缴纳的养老保险证明材料加盖供应商CA电子公章，否则不得分。）</w:t>
            </w:r>
          </w:p>
        </w:tc>
      </w:tr>
    </w:tbl>
    <w:p w14:paraId="4D377B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i/>
          <w:iCs/>
          <w:color w:val="auto"/>
          <w:sz w:val="24"/>
          <w:szCs w:val="24"/>
          <w:highlight w:val="none"/>
          <w:u w:val="single"/>
          <w:lang w:eastAsia="zh-CN"/>
        </w:rPr>
      </w:pPr>
      <w:r>
        <w:rPr>
          <w:rFonts w:hint="eastAsia" w:ascii="宋体" w:hAnsi="宋体" w:eastAsia="宋体" w:cs="宋体"/>
          <w:b/>
          <w:bCs/>
          <w:i/>
          <w:iCs/>
          <w:color w:val="auto"/>
          <w:sz w:val="24"/>
          <w:szCs w:val="20"/>
          <w:highlight w:val="none"/>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w:t>
      </w:r>
      <w:r>
        <w:rPr>
          <w:rFonts w:hint="eastAsia" w:ascii="宋体" w:hAnsi="宋体" w:cs="宋体"/>
          <w:b/>
          <w:bCs/>
          <w:i/>
          <w:iCs/>
          <w:color w:val="auto"/>
          <w:sz w:val="24"/>
          <w:szCs w:val="20"/>
          <w:highlight w:val="none"/>
          <w:u w:val="single"/>
          <w:lang w:val="en-US" w:eastAsia="zh-CN"/>
        </w:rPr>
        <w:t>理</w:t>
      </w:r>
      <w:r>
        <w:rPr>
          <w:rFonts w:hint="eastAsia" w:ascii="宋体" w:hAnsi="宋体" w:eastAsia="宋体" w:cs="宋体"/>
          <w:b/>
          <w:bCs/>
          <w:i/>
          <w:iCs/>
          <w:color w:val="auto"/>
          <w:sz w:val="24"/>
          <w:szCs w:val="24"/>
          <w:highlight w:val="none"/>
          <w:u w:val="single"/>
          <w:lang w:eastAsia="zh-CN"/>
        </w:rPr>
        <w:t>。</w:t>
      </w:r>
    </w:p>
    <w:p w14:paraId="4CFA22CC">
      <w:pPr>
        <w:keepNext w:val="0"/>
        <w:keepLines w:val="0"/>
        <w:pageBreakBefore w:val="0"/>
        <w:widowControl w:val="0"/>
        <w:spacing w:line="440" w:lineRule="exact"/>
        <w:rPr>
          <w:rFonts w:hint="eastAsia" w:ascii="宋体" w:hAnsi="宋体" w:eastAsia="宋体" w:cs="宋体"/>
          <w:color w:val="auto"/>
          <w:highlight w:val="none"/>
        </w:rPr>
        <w:sectPr>
          <w:headerReference r:id="rId3" w:type="default"/>
          <w:footerReference r:id="rId4" w:type="default"/>
          <w:pgSz w:w="11906" w:h="16838"/>
          <w:pgMar w:top="1440" w:right="1486" w:bottom="1440" w:left="1800" w:header="851" w:footer="992" w:gutter="0"/>
          <w:cols w:space="1701" w:num="1"/>
          <w:docGrid w:linePitch="360" w:charSpace="0"/>
        </w:sectPr>
      </w:pPr>
    </w:p>
    <w:bookmarkEnd w:id="147"/>
    <w:bookmarkEnd w:id="148"/>
    <w:bookmarkEnd w:id="149"/>
    <w:bookmarkEnd w:id="150"/>
    <w:p w14:paraId="2378BABF">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第六章  投标文件格式 </w:t>
      </w:r>
    </w:p>
    <w:p w14:paraId="5080F2ED">
      <w:pPr>
        <w:pStyle w:val="81"/>
        <w:keepNext/>
        <w:spacing w:beforeAutospacing="0" w:afterAutospacing="0"/>
        <w:jc w:val="center"/>
        <w:rPr>
          <w:rFonts w:hint="eastAsia" w:ascii="宋体" w:hAnsi="宋体" w:eastAsia="宋体" w:cs="宋体"/>
          <w:color w:val="auto"/>
          <w:sz w:val="44"/>
          <w:szCs w:val="44"/>
          <w:highlight w:val="none"/>
        </w:rPr>
      </w:pPr>
    </w:p>
    <w:p w14:paraId="2B6ECE1B">
      <w:pPr>
        <w:pStyle w:val="81"/>
        <w:spacing w:beforeAutospacing="0" w:afterAutospacing="0"/>
        <w:jc w:val="center"/>
        <w:rPr>
          <w:rFonts w:hint="eastAsia" w:ascii="宋体" w:hAnsi="宋体" w:eastAsia="宋体" w:cs="宋体"/>
          <w:color w:val="auto"/>
          <w:highlight w:val="none"/>
        </w:rPr>
      </w:pPr>
      <w:bookmarkStart w:id="152" w:name="_Hlt26955039"/>
      <w:bookmarkEnd w:id="152"/>
      <w:bookmarkStart w:id="153" w:name="_Hlt26671244"/>
      <w:bookmarkEnd w:id="153"/>
      <w:bookmarkStart w:id="154" w:name="_Toc26554094"/>
      <w:bookmarkEnd w:id="154"/>
      <w:r>
        <w:rPr>
          <w:rFonts w:hint="eastAsia" w:ascii="宋体" w:hAnsi="宋体" w:eastAsia="宋体" w:cs="宋体"/>
          <w:b/>
          <w:color w:val="auto"/>
          <w:sz w:val="72"/>
          <w:szCs w:val="72"/>
          <w:highlight w:val="none"/>
        </w:rPr>
        <w:t>投  标  文  件</w:t>
      </w:r>
    </w:p>
    <w:p w14:paraId="3C2BB22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12365B9">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81C0248">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6F2B5B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105FC2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10A2BD2">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731C8870">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58C0E62">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lang w:eastAsia="zh-CN"/>
        </w:rPr>
        <w:t>供应商</w:t>
      </w:r>
      <w:r>
        <w:rPr>
          <w:rFonts w:hint="eastAsia" w:ascii="宋体" w:hAnsi="宋体" w:eastAsia="宋体" w:cs="宋体"/>
          <w:b/>
          <w:color w:val="auto"/>
          <w:sz w:val="36"/>
          <w:szCs w:val="36"/>
          <w:highlight w:val="none"/>
        </w:rPr>
        <w:t>名称 ：</w:t>
      </w:r>
      <w:r>
        <w:rPr>
          <w:rFonts w:hint="eastAsia" w:ascii="宋体" w:hAnsi="宋体" w:eastAsia="宋体" w:cs="宋体"/>
          <w:b/>
          <w:color w:val="auto"/>
          <w:sz w:val="36"/>
          <w:szCs w:val="36"/>
          <w:highlight w:val="none"/>
          <w:u w:val="single"/>
        </w:rPr>
        <w:t xml:space="preserve">（加盖CA电子公章）        </w:t>
      </w:r>
    </w:p>
    <w:p w14:paraId="18608DE4">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rPr>
        <w:t> </w:t>
      </w:r>
    </w:p>
    <w:p w14:paraId="4CE70825">
      <w:pPr>
        <w:pStyle w:val="81"/>
        <w:spacing w:beforeAutospacing="0" w:afterAutospacing="0" w:line="0" w:lineRule="atLeast"/>
        <w:jc w:val="both"/>
        <w:rPr>
          <w:rFonts w:hint="eastAsia" w:ascii="宋体" w:hAnsi="宋体" w:eastAsia="宋体" w:cs="宋体"/>
          <w:b/>
          <w:color w:val="auto"/>
          <w:sz w:val="36"/>
          <w:szCs w:val="36"/>
          <w:highlight w:val="none"/>
          <w:u w:val="single"/>
        </w:rPr>
      </w:pPr>
      <w:r>
        <w:rPr>
          <w:rFonts w:hint="eastAsia" w:ascii="宋体" w:hAnsi="宋体" w:eastAsia="宋体" w:cs="宋体"/>
          <w:color w:val="auto"/>
          <w:highlight w:val="none"/>
        </w:rPr>
        <w:t> </w:t>
      </w:r>
    </w:p>
    <w:p w14:paraId="1527CE12">
      <w:pPr>
        <w:pStyle w:val="81"/>
        <w:spacing w:beforeAutospacing="0" w:afterAutospacing="0" w:line="0" w:lineRule="atLeast"/>
        <w:jc w:val="center"/>
        <w:rPr>
          <w:rFonts w:hint="eastAsia" w:ascii="宋体" w:hAnsi="宋体" w:eastAsia="宋体" w:cs="宋体"/>
          <w:b/>
          <w:color w:val="auto"/>
          <w:sz w:val="32"/>
          <w:szCs w:val="32"/>
          <w:highlight w:val="none"/>
        </w:rPr>
      </w:pPr>
    </w:p>
    <w:p w14:paraId="29864FF6">
      <w:pPr>
        <w:pStyle w:val="81"/>
        <w:spacing w:beforeAutospacing="0" w:afterAutospacing="0" w:line="0" w:lineRule="atLeast"/>
        <w:jc w:val="center"/>
        <w:rPr>
          <w:rFonts w:hint="eastAsia" w:ascii="宋体" w:hAnsi="宋体" w:eastAsia="宋体" w:cs="宋体"/>
          <w:b/>
          <w:color w:val="auto"/>
          <w:sz w:val="32"/>
          <w:szCs w:val="32"/>
          <w:highlight w:val="none"/>
        </w:rPr>
      </w:pPr>
    </w:p>
    <w:p w14:paraId="74BFDAC8">
      <w:pPr>
        <w:pStyle w:val="81"/>
        <w:spacing w:beforeAutospacing="0" w:afterAutospacing="0" w:line="0" w:lineRule="atLeast"/>
        <w:jc w:val="center"/>
        <w:rPr>
          <w:rFonts w:hint="eastAsia" w:ascii="宋体" w:hAnsi="宋体" w:eastAsia="宋体" w:cs="宋体"/>
          <w:b/>
          <w:color w:val="auto"/>
          <w:sz w:val="32"/>
          <w:szCs w:val="32"/>
          <w:highlight w:val="none"/>
        </w:rPr>
      </w:pPr>
    </w:p>
    <w:p w14:paraId="3FF7257B">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投标文件目录</w:t>
      </w:r>
    </w:p>
    <w:p w14:paraId="01EADB61">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56FF0EB">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一、法人或者其他组织的营业执照等证明文件，自然人的身份证明</w:t>
      </w:r>
    </w:p>
    <w:p w14:paraId="44F69E86">
      <w:pPr>
        <w:tabs>
          <w:tab w:val="left" w:pos="1331"/>
        </w:tabs>
        <w:ind w:firstLine="480"/>
        <w:jc w:val="left"/>
        <w:rPr>
          <w:rFonts w:hint="eastAsia" w:ascii="宋体" w:hAnsi="宋体" w:eastAsia="宋体" w:cs="宋体"/>
          <w:i/>
          <w:iCs w:val="0"/>
          <w:strike w:val="0"/>
          <w:color w:val="auto"/>
          <w:sz w:val="24"/>
          <w:szCs w:val="24"/>
          <w:highlight w:val="none"/>
          <w:u w:val="single"/>
        </w:rPr>
      </w:pPr>
      <w:r>
        <w:rPr>
          <w:rFonts w:hint="eastAsia" w:ascii="宋体" w:hAnsi="宋体" w:eastAsia="宋体" w:cs="宋体"/>
          <w:i/>
          <w:iCs w:val="0"/>
          <w:strike w:val="0"/>
          <w:color w:val="auto"/>
          <w:sz w:val="24"/>
          <w:szCs w:val="24"/>
          <w:highlight w:val="none"/>
          <w:u w:val="single"/>
        </w:rPr>
        <w:t>二、上一年度的财务状况报</w:t>
      </w:r>
      <w:r>
        <w:rPr>
          <w:rFonts w:hint="eastAsia" w:ascii="宋体" w:hAnsi="宋体" w:eastAsia="宋体" w:cs="宋体"/>
          <w:i/>
          <w:iCs w:val="0"/>
          <w:strike w:val="0"/>
          <w:color w:val="auto"/>
          <w:sz w:val="24"/>
          <w:szCs w:val="24"/>
          <w:highlight w:val="none"/>
          <w:u w:val="single"/>
          <w:lang w:val="en-US" w:eastAsia="zh-CN"/>
        </w:rPr>
        <w:t>告</w:t>
      </w:r>
      <w:r>
        <w:rPr>
          <w:rFonts w:hint="eastAsia" w:ascii="宋体" w:hAnsi="宋体" w:eastAsia="宋体" w:cs="宋体"/>
          <w:i/>
          <w:strike w:val="0"/>
          <w:color w:val="auto"/>
          <w:sz w:val="24"/>
          <w:szCs w:val="24"/>
          <w:highlight w:val="none"/>
          <w:u w:val="single"/>
          <w:lang w:val="en-US" w:eastAsia="zh-CN" w:bidi="ar-SA"/>
        </w:rPr>
        <w:t>（至少提供资产负债表、利润表、现金流量表，投标人成立不满一年无需提供）</w:t>
      </w:r>
    </w:p>
    <w:p w14:paraId="380F5509">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strike w:val="0"/>
          <w:color w:val="auto"/>
          <w:sz w:val="24"/>
          <w:szCs w:val="24"/>
          <w:highlight w:val="none"/>
          <w:u w:val="single"/>
          <w:lang w:val="en-US" w:eastAsia="zh-CN"/>
        </w:rPr>
        <w:t>三</w:t>
      </w:r>
      <w:r>
        <w:rPr>
          <w:rFonts w:hint="eastAsia" w:ascii="宋体" w:hAnsi="宋体" w:eastAsia="宋体" w:cs="宋体"/>
          <w:i/>
          <w:iCs w:val="0"/>
          <w:strike w:val="0"/>
          <w:color w:val="auto"/>
          <w:sz w:val="24"/>
          <w:szCs w:val="24"/>
          <w:highlight w:val="none"/>
          <w:u w:val="single"/>
        </w:rPr>
        <w:t>、具备履行合同所必需的设备和专业</w:t>
      </w:r>
      <w:r>
        <w:rPr>
          <w:rFonts w:hint="eastAsia" w:ascii="宋体" w:hAnsi="宋体" w:eastAsia="宋体" w:cs="宋体"/>
          <w:i/>
          <w:iCs w:val="0"/>
          <w:color w:val="auto"/>
          <w:sz w:val="24"/>
          <w:szCs w:val="24"/>
          <w:highlight w:val="none"/>
          <w:u w:val="single"/>
        </w:rPr>
        <w:t>技术能力的书面声明</w:t>
      </w:r>
    </w:p>
    <w:p w14:paraId="0E802DA7">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四</w:t>
      </w:r>
      <w:r>
        <w:rPr>
          <w:rFonts w:hint="eastAsia" w:ascii="宋体" w:hAnsi="宋体" w:eastAsia="宋体" w:cs="宋体"/>
          <w:i/>
          <w:iCs w:val="0"/>
          <w:color w:val="auto"/>
          <w:sz w:val="24"/>
          <w:szCs w:val="24"/>
          <w:highlight w:val="none"/>
          <w:u w:val="single"/>
        </w:rPr>
        <w:t>、依法缴纳税收和社会保障资金的相关材料（提供提交投标文件截止时间前一年内至少一个月依法缴纳税收及缴纳社会保障资金的证明材料。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sz w:val="24"/>
          <w:szCs w:val="24"/>
          <w:highlight w:val="none"/>
          <w:u w:val="single"/>
          <w:lang w:eastAsia="zh-CN"/>
        </w:rPr>
        <w:t>供应商</w:t>
      </w:r>
      <w:r>
        <w:rPr>
          <w:rFonts w:hint="eastAsia" w:ascii="宋体" w:hAnsi="宋体" w:eastAsia="宋体" w:cs="宋体"/>
          <w:i/>
          <w:iCs w:val="0"/>
          <w:color w:val="auto"/>
          <w:sz w:val="24"/>
          <w:szCs w:val="24"/>
          <w:highlight w:val="none"/>
          <w:u w:val="single"/>
        </w:rPr>
        <w:t>依法享受缓缴、免缴税收、社会保障资金的提供证明材料）</w:t>
      </w:r>
    </w:p>
    <w:p w14:paraId="1C23C3B6">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五、参加政府采购活动前 3 年内在经营活动中没有重大违法记录的书面声明</w:t>
      </w:r>
    </w:p>
    <w:p w14:paraId="6572D2E7">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六、特定资格要求的证明文件（如果本项目设置特定资格要求，则需要提供）</w:t>
      </w:r>
    </w:p>
    <w:p w14:paraId="0614D24C">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七、法人授权书</w:t>
      </w:r>
    </w:p>
    <w:p w14:paraId="514C8FC4">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八、投标函</w:t>
      </w:r>
    </w:p>
    <w:p w14:paraId="0B23E005">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九、</w:t>
      </w:r>
      <w:r>
        <w:rPr>
          <w:rFonts w:hint="eastAsia" w:ascii="宋体" w:hAnsi="宋体" w:eastAsia="宋体" w:cs="宋体"/>
          <w:i/>
          <w:iCs w:val="0"/>
          <w:color w:val="auto"/>
          <w:sz w:val="24"/>
          <w:szCs w:val="24"/>
          <w:highlight w:val="none"/>
          <w:u w:val="single"/>
          <w:lang w:val="en-US" w:eastAsia="zh-CN"/>
        </w:rPr>
        <w:t>中</w:t>
      </w:r>
      <w:r>
        <w:rPr>
          <w:rFonts w:hint="eastAsia" w:ascii="宋体" w:hAnsi="宋体" w:eastAsia="宋体" w:cs="宋体"/>
          <w:i/>
          <w:iCs w:val="0"/>
          <w:color w:val="auto"/>
          <w:sz w:val="24"/>
          <w:szCs w:val="24"/>
          <w:highlight w:val="none"/>
          <w:u w:val="single"/>
        </w:rPr>
        <w:t>小企业声明函</w:t>
      </w:r>
    </w:p>
    <w:p w14:paraId="2D4B5E66">
      <w:pPr>
        <w:pStyle w:val="81"/>
        <w:spacing w:beforeAutospacing="0" w:afterAutospacing="0"/>
        <w:ind w:left="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十、残疾人福利性单位声明函</w:t>
      </w:r>
    </w:p>
    <w:p w14:paraId="10CE8EF2">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十一、关于符合本国产品标准的声明函</w:t>
      </w:r>
    </w:p>
    <w:p w14:paraId="65C7B878">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eastAsia="宋体" w:cs="宋体"/>
          <w:i/>
          <w:iCs w:val="0"/>
          <w:color w:val="auto"/>
          <w:sz w:val="24"/>
          <w:szCs w:val="24"/>
          <w:highlight w:val="none"/>
          <w:u w:val="single"/>
          <w:lang w:val="en-US" w:eastAsia="zh-CN"/>
        </w:rPr>
        <w:t>二</w:t>
      </w:r>
      <w:r>
        <w:rPr>
          <w:rFonts w:hint="eastAsia" w:ascii="宋体" w:hAnsi="宋体" w:eastAsia="宋体" w:cs="宋体"/>
          <w:i/>
          <w:iCs w:val="0"/>
          <w:color w:val="auto"/>
          <w:sz w:val="24"/>
          <w:szCs w:val="24"/>
          <w:highlight w:val="none"/>
          <w:u w:val="single"/>
        </w:rPr>
        <w:t>、投标分项报价表</w:t>
      </w:r>
    </w:p>
    <w:p w14:paraId="47610EC2">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eastAsia="宋体" w:cs="宋体"/>
          <w:i/>
          <w:iCs w:val="0"/>
          <w:color w:val="auto"/>
          <w:sz w:val="24"/>
          <w:szCs w:val="24"/>
          <w:highlight w:val="none"/>
          <w:u w:val="single"/>
          <w:lang w:val="en-US" w:eastAsia="zh-CN"/>
        </w:rPr>
        <w:t>三</w:t>
      </w:r>
      <w:r>
        <w:rPr>
          <w:rFonts w:hint="eastAsia" w:ascii="宋体" w:hAnsi="宋体" w:eastAsia="宋体" w:cs="宋体"/>
          <w:i/>
          <w:iCs w:val="0"/>
          <w:color w:val="auto"/>
          <w:sz w:val="24"/>
          <w:szCs w:val="24"/>
          <w:highlight w:val="none"/>
          <w:u w:val="single"/>
        </w:rPr>
        <w:t>、技术要求响应及偏离表</w:t>
      </w:r>
    </w:p>
    <w:p w14:paraId="0863CA1B">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eastAsia="宋体" w:cs="宋体"/>
          <w:i/>
          <w:iCs w:val="0"/>
          <w:color w:val="auto"/>
          <w:sz w:val="24"/>
          <w:szCs w:val="24"/>
          <w:highlight w:val="none"/>
          <w:u w:val="single"/>
          <w:lang w:val="en-US" w:eastAsia="zh-CN"/>
        </w:rPr>
        <w:t>四</w:t>
      </w:r>
      <w:r>
        <w:rPr>
          <w:rFonts w:hint="eastAsia" w:ascii="宋体" w:hAnsi="宋体" w:eastAsia="宋体" w:cs="宋体"/>
          <w:i/>
          <w:iCs w:val="0"/>
          <w:color w:val="auto"/>
          <w:sz w:val="24"/>
          <w:szCs w:val="24"/>
          <w:highlight w:val="none"/>
          <w:u w:val="single"/>
        </w:rPr>
        <w:t>、商务要求响应及偏离表</w:t>
      </w:r>
    </w:p>
    <w:p w14:paraId="4CA5CEB2">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eastAsia="宋体" w:cs="宋体"/>
          <w:i/>
          <w:iCs w:val="0"/>
          <w:color w:val="auto"/>
          <w:sz w:val="24"/>
          <w:szCs w:val="24"/>
          <w:highlight w:val="none"/>
          <w:u w:val="single"/>
          <w:lang w:val="en-US" w:eastAsia="zh-CN"/>
        </w:rPr>
        <w:t>五</w:t>
      </w:r>
      <w:r>
        <w:rPr>
          <w:rFonts w:hint="eastAsia" w:ascii="宋体" w:hAnsi="宋体" w:eastAsia="宋体" w:cs="宋体"/>
          <w:i/>
          <w:iCs w:val="0"/>
          <w:color w:val="auto"/>
          <w:sz w:val="24"/>
          <w:szCs w:val="24"/>
          <w:highlight w:val="none"/>
          <w:u w:val="single"/>
        </w:rPr>
        <w:t>、开标一览表</w:t>
      </w:r>
    </w:p>
    <w:p w14:paraId="0704BC94">
      <w:pPr>
        <w:pStyle w:val="81"/>
        <w:spacing w:beforeAutospacing="0" w:afterAutospacing="0"/>
        <w:ind w:left="480"/>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val="en-US" w:eastAsia="zh-CN"/>
        </w:rPr>
        <w:t>六</w:t>
      </w:r>
      <w:r>
        <w:rPr>
          <w:rFonts w:hint="eastAsia" w:ascii="宋体" w:hAnsi="宋体" w:eastAsia="宋体" w:cs="宋体"/>
          <w:i w:val="0"/>
          <w:iCs/>
          <w:color w:val="auto"/>
          <w:sz w:val="24"/>
          <w:szCs w:val="24"/>
          <w:highlight w:val="none"/>
          <w:u w:val="none"/>
        </w:rPr>
        <w:t>、技术方案、服务承诺、培训承诺等</w:t>
      </w:r>
    </w:p>
    <w:p w14:paraId="5DEA6DAD">
      <w:pPr>
        <w:pStyle w:val="81"/>
        <w:spacing w:beforeAutospacing="0" w:afterAutospacing="0"/>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eastAsia="宋体" w:cs="宋体"/>
          <w:i/>
          <w:iCs w:val="0"/>
          <w:color w:val="auto"/>
          <w:sz w:val="24"/>
          <w:szCs w:val="24"/>
          <w:highlight w:val="none"/>
          <w:u w:val="single"/>
          <w:lang w:val="en-US" w:eastAsia="zh-CN"/>
        </w:rPr>
        <w:t>七</w:t>
      </w:r>
      <w:r>
        <w:rPr>
          <w:rFonts w:hint="eastAsia" w:ascii="宋体" w:hAnsi="宋体" w:eastAsia="宋体" w:cs="宋体"/>
          <w:i/>
          <w:iCs w:val="0"/>
          <w:color w:val="auto"/>
          <w:sz w:val="24"/>
          <w:szCs w:val="24"/>
          <w:highlight w:val="none"/>
          <w:u w:val="single"/>
        </w:rPr>
        <w:t>、</w:t>
      </w:r>
      <w:r>
        <w:rPr>
          <w:rFonts w:hint="eastAsia" w:ascii="宋体" w:hAnsi="宋体" w:eastAsia="宋体" w:cs="宋体"/>
          <w:i/>
          <w:iCs w:val="0"/>
          <w:color w:val="auto"/>
          <w:sz w:val="24"/>
          <w:szCs w:val="24"/>
          <w:highlight w:val="none"/>
          <w:u w:val="single"/>
          <w:lang w:val="en-US" w:eastAsia="zh-CN"/>
        </w:rPr>
        <w:t>盐都区</w:t>
      </w:r>
      <w:r>
        <w:rPr>
          <w:rFonts w:hint="eastAsia" w:ascii="宋体" w:hAnsi="宋体" w:eastAsia="宋体" w:cs="宋体"/>
          <w:i/>
          <w:iCs w:val="0"/>
          <w:color w:val="auto"/>
          <w:sz w:val="24"/>
          <w:szCs w:val="24"/>
          <w:highlight w:val="none"/>
          <w:u w:val="single"/>
        </w:rPr>
        <w:t>政府采购事前信用承诺书</w:t>
      </w:r>
    </w:p>
    <w:p w14:paraId="50257F32">
      <w:pPr>
        <w:pStyle w:val="81"/>
        <w:spacing w:beforeAutospacing="0" w:afterAutospacing="0" w:line="0" w:lineRule="atLeast"/>
        <w:ind w:firstLine="480"/>
        <w:jc w:val="both"/>
        <w:rPr>
          <w:rFonts w:hint="eastAsia" w:ascii="宋体" w:hAnsi="宋体" w:eastAsia="宋体" w:cs="宋体"/>
          <w:color w:val="auto"/>
          <w:highlight w:val="none"/>
        </w:rPr>
      </w:pPr>
    </w:p>
    <w:p w14:paraId="387FEBDE">
      <w:pPr>
        <w:pStyle w:val="81"/>
        <w:spacing w:beforeAutospacing="0" w:afterAutospacing="0" w:line="0" w:lineRule="atLeast"/>
        <w:ind w:firstLine="480"/>
        <w:jc w:val="both"/>
        <w:rPr>
          <w:rFonts w:hint="eastAsia" w:ascii="宋体" w:hAnsi="宋体" w:eastAsia="宋体" w:cs="宋体"/>
          <w:color w:val="auto"/>
          <w:highlight w:val="none"/>
        </w:rPr>
      </w:pPr>
    </w:p>
    <w:p w14:paraId="5600818D">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2002E4">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10299D">
      <w:pPr>
        <w:pStyle w:val="81"/>
        <w:spacing w:beforeAutospacing="0" w:afterAutospacing="0" w:line="0" w:lineRule="atLeast"/>
        <w:ind w:firstLine="480"/>
        <w:jc w:val="both"/>
        <w:rPr>
          <w:rFonts w:hint="eastAsia" w:ascii="宋体" w:hAnsi="宋体" w:eastAsia="宋体" w:cs="宋体"/>
          <w:i w:val="0"/>
          <w:iCs/>
          <w:color w:val="auto"/>
          <w:sz w:val="28"/>
          <w:szCs w:val="28"/>
          <w:highlight w:val="none"/>
          <w:u w:val="single"/>
        </w:rPr>
      </w:pPr>
      <w:r>
        <w:rPr>
          <w:rFonts w:hint="eastAsia" w:ascii="宋体" w:hAnsi="宋体" w:eastAsia="宋体" w:cs="宋体"/>
          <w:color w:val="auto"/>
          <w:highlight w:val="none"/>
        </w:rPr>
        <w:t> </w:t>
      </w:r>
    </w:p>
    <w:p w14:paraId="557F63D4">
      <w:pPr>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u w:val="single"/>
        </w:rPr>
        <w:br w:type="page" w:clear="all"/>
      </w:r>
      <w:r>
        <w:rPr>
          <w:rFonts w:hint="eastAsia" w:ascii="宋体" w:hAnsi="宋体" w:eastAsia="宋体" w:cs="宋体"/>
          <w:i/>
          <w:iCs w:val="0"/>
          <w:color w:val="auto"/>
          <w:sz w:val="28"/>
          <w:szCs w:val="28"/>
          <w:highlight w:val="none"/>
          <w:u w:val="single"/>
        </w:rPr>
        <w:t>一、法人或者其他组织的营业执照等证明文件，自然人的身份证明</w:t>
      </w:r>
    </w:p>
    <w:p w14:paraId="78C600A2">
      <w:pPr>
        <w:pStyle w:val="81"/>
        <w:spacing w:beforeAutospacing="0" w:afterAutospacing="0"/>
        <w:jc w:val="both"/>
        <w:rPr>
          <w:rFonts w:hint="eastAsia" w:ascii="宋体" w:hAnsi="宋体" w:eastAsia="宋体" w:cs="宋体"/>
          <w:i w:val="0"/>
          <w:iCs/>
          <w:color w:val="auto"/>
          <w:sz w:val="28"/>
          <w:szCs w:val="28"/>
          <w:highlight w:val="none"/>
          <w:u w:val="single"/>
        </w:rPr>
      </w:pPr>
    </w:p>
    <w:p w14:paraId="0B8DFFD1">
      <w:pPr>
        <w:pStyle w:val="81"/>
        <w:spacing w:beforeAutospacing="0" w:afterAutospacing="0"/>
        <w:jc w:val="both"/>
        <w:rPr>
          <w:rFonts w:hint="eastAsia" w:ascii="宋体" w:hAnsi="宋体" w:eastAsia="宋体" w:cs="宋体"/>
          <w:i/>
          <w:iCs w:val="0"/>
          <w:color w:val="auto"/>
          <w:sz w:val="28"/>
          <w:szCs w:val="28"/>
          <w:highlight w:val="none"/>
          <w:lang w:eastAsia="zh-CN"/>
        </w:rPr>
      </w:pPr>
      <w:r>
        <w:rPr>
          <w:rFonts w:hint="eastAsia" w:ascii="宋体" w:hAnsi="宋体" w:eastAsia="宋体" w:cs="宋体"/>
          <w:i/>
          <w:iCs w:val="0"/>
          <w:color w:val="auto"/>
          <w:sz w:val="28"/>
          <w:szCs w:val="28"/>
          <w:highlight w:val="none"/>
          <w:u w:val="single"/>
        </w:rPr>
        <w:t>二、上一年度的财务状况报</w:t>
      </w:r>
      <w:r>
        <w:rPr>
          <w:rFonts w:hint="eastAsia" w:ascii="宋体" w:hAnsi="宋体" w:eastAsia="宋体" w:cs="宋体"/>
          <w:i/>
          <w:iCs w:val="0"/>
          <w:color w:val="auto"/>
          <w:sz w:val="28"/>
          <w:szCs w:val="28"/>
          <w:highlight w:val="none"/>
          <w:u w:val="single"/>
          <w:lang w:val="en-US" w:eastAsia="zh-CN"/>
        </w:rPr>
        <w:t>告</w:t>
      </w:r>
    </w:p>
    <w:p w14:paraId="5B9A3E4B">
      <w:pPr>
        <w:tabs>
          <w:tab w:val="left" w:pos="1331"/>
        </w:tabs>
        <w:jc w:val="left"/>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w:t>
      </w:r>
      <w:r>
        <w:rPr>
          <w:rFonts w:hint="eastAsia" w:ascii="宋体" w:hAnsi="宋体" w:eastAsia="宋体" w:cs="宋体"/>
          <w:i w:val="0"/>
          <w:iCs/>
          <w:strike w:val="0"/>
          <w:color w:val="auto"/>
          <w:sz w:val="24"/>
          <w:szCs w:val="24"/>
          <w:highlight w:val="none"/>
          <w:u w:val="none"/>
          <w:lang w:val="en-US" w:eastAsia="zh-CN" w:bidi="ar-SA"/>
        </w:rPr>
        <w:t>至少提供上一年度的资产负债表、利润表、现金流量表，投标人成立不满一年无需</w:t>
      </w:r>
      <w:r>
        <w:rPr>
          <w:rFonts w:hint="eastAsia" w:ascii="宋体" w:hAnsi="宋体" w:eastAsia="宋体" w:cs="宋体"/>
          <w:i w:val="0"/>
          <w:iCs/>
          <w:color w:val="auto"/>
          <w:sz w:val="24"/>
          <w:szCs w:val="24"/>
          <w:highlight w:val="none"/>
          <w:u w:val="none"/>
          <w:lang w:val="en-US" w:eastAsia="zh-CN" w:bidi="ar-SA"/>
        </w:rPr>
        <w:t>提供</w:t>
      </w:r>
      <w:r>
        <w:rPr>
          <w:rFonts w:hint="eastAsia" w:ascii="宋体" w:hAnsi="宋体" w:eastAsia="宋体" w:cs="宋体"/>
          <w:i w:val="0"/>
          <w:iCs/>
          <w:color w:val="auto"/>
          <w:highlight w:val="none"/>
          <w:u w:val="none"/>
        </w:rPr>
        <w:t>）</w:t>
      </w:r>
    </w:p>
    <w:p w14:paraId="50027D3C">
      <w:pPr>
        <w:tabs>
          <w:tab w:val="left" w:pos="1331"/>
        </w:tabs>
        <w:ind w:firstLine="420"/>
        <w:jc w:val="left"/>
        <w:rPr>
          <w:rFonts w:hint="eastAsia" w:ascii="宋体" w:hAnsi="宋体" w:eastAsia="宋体" w:cs="宋体"/>
          <w:i w:val="0"/>
          <w:iCs/>
          <w:color w:val="auto"/>
          <w:highlight w:val="none"/>
          <w:u w:val="none"/>
          <w:lang w:val="en-US" w:eastAsia="zh-CN"/>
        </w:rPr>
      </w:pPr>
    </w:p>
    <w:p w14:paraId="3F192DE9">
      <w:pPr>
        <w:pStyle w:val="81"/>
        <w:spacing w:beforeAutospacing="0" w:afterAutospacing="0"/>
        <w:jc w:val="both"/>
        <w:rPr>
          <w:rFonts w:hint="eastAsia" w:ascii="宋体" w:hAnsi="宋体" w:eastAsia="宋体" w:cs="宋体"/>
          <w:i/>
          <w:iCs w:val="0"/>
          <w:color w:val="auto"/>
          <w:sz w:val="28"/>
          <w:szCs w:val="28"/>
          <w:highlight w:val="none"/>
        </w:rPr>
      </w:pPr>
      <w:r>
        <w:rPr>
          <w:rFonts w:hint="eastAsia" w:ascii="宋体" w:hAnsi="宋体" w:eastAsia="宋体" w:cs="宋体"/>
          <w:i/>
          <w:iCs w:val="0"/>
          <w:color w:val="auto"/>
          <w:sz w:val="28"/>
          <w:szCs w:val="28"/>
          <w:highlight w:val="none"/>
          <w:u w:val="single"/>
          <w:lang w:val="en-US" w:eastAsia="zh-CN"/>
        </w:rPr>
        <w:t>三</w:t>
      </w:r>
      <w:r>
        <w:rPr>
          <w:rFonts w:hint="eastAsia" w:ascii="宋体" w:hAnsi="宋体" w:eastAsia="宋体" w:cs="宋体"/>
          <w:i/>
          <w:iCs w:val="0"/>
          <w:color w:val="auto"/>
          <w:sz w:val="28"/>
          <w:szCs w:val="28"/>
          <w:highlight w:val="none"/>
          <w:u w:val="single"/>
        </w:rPr>
        <w:t>、具备履行合同所必需的设备和专业技术能力的书面声明</w:t>
      </w:r>
    </w:p>
    <w:p w14:paraId="235D4680">
      <w:pPr>
        <w:pStyle w:val="81"/>
        <w:spacing w:beforeAutospacing="0" w:afterAutospacing="0" w:line="0" w:lineRule="atLeast"/>
        <w:ind w:firstLine="492"/>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我单位郑重声明：我单位具备履行本项采购合同所必需的设备和专业技术能力，为履行本项采购合同我公司具备如下主要设备和主要专业技术能力：</w:t>
      </w:r>
    </w:p>
    <w:p w14:paraId="3C1C73D2">
      <w:pPr>
        <w:pStyle w:val="81"/>
        <w:spacing w:beforeAutospacing="0" w:afterAutospacing="0" w:line="0" w:lineRule="atLeast"/>
        <w:ind w:firstLine="56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主要设备有：</w:t>
      </w:r>
      <w:r>
        <w:rPr>
          <w:rFonts w:hint="eastAsia" w:ascii="宋体" w:hAnsi="宋体" w:eastAsia="宋体" w:cs="宋体"/>
          <w:i w:val="0"/>
          <w:iCs/>
          <w:color w:val="auto"/>
          <w:sz w:val="28"/>
          <w:szCs w:val="28"/>
          <w:highlight w:val="none"/>
          <w:u w:val="single"/>
        </w:rPr>
        <w:t> </w:t>
      </w:r>
      <w:r>
        <w:rPr>
          <w:rFonts w:hint="eastAsia" w:ascii="宋体" w:hAnsi="宋体" w:eastAsia="宋体" w:cs="宋体"/>
          <w:i w:val="0"/>
          <w:iCs/>
          <w:color w:val="auto"/>
          <w:sz w:val="28"/>
          <w:szCs w:val="28"/>
          <w:highlight w:val="none"/>
          <w:u w:val="single"/>
          <w:lang w:val="en-US" w:eastAsia="zh-CN"/>
        </w:rPr>
        <w:t xml:space="preserve"> </w:t>
      </w:r>
      <w:r>
        <w:rPr>
          <w:rFonts w:hint="eastAsia" w:ascii="宋体" w:hAnsi="宋体" w:eastAsia="宋体" w:cs="宋体"/>
          <w:i w:val="0"/>
          <w:iCs/>
          <w:color w:val="auto"/>
          <w:sz w:val="28"/>
          <w:szCs w:val="28"/>
          <w:highlight w:val="none"/>
          <w:u w:val="single"/>
        </w:rPr>
        <w:t xml:space="preserve"> </w:t>
      </w:r>
      <w:r>
        <w:rPr>
          <w:rFonts w:hint="eastAsia" w:ascii="宋体" w:hAnsi="宋体" w:eastAsia="宋体" w:cs="宋体"/>
          <w:i w:val="0"/>
          <w:iCs/>
          <w:color w:val="auto"/>
          <w:sz w:val="28"/>
          <w:szCs w:val="28"/>
          <w:highlight w:val="none"/>
        </w:rPr>
        <w:t>。</w:t>
      </w:r>
    </w:p>
    <w:p w14:paraId="3E252D74">
      <w:pPr>
        <w:pStyle w:val="81"/>
        <w:spacing w:beforeAutospacing="0" w:afterAutospacing="0"/>
        <w:ind w:firstLine="56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主要专业技术能力有：</w:t>
      </w:r>
      <w:r>
        <w:rPr>
          <w:rFonts w:hint="eastAsia" w:ascii="宋体" w:hAnsi="宋体" w:eastAsia="宋体" w:cs="宋体"/>
          <w:i w:val="0"/>
          <w:iCs/>
          <w:color w:val="auto"/>
          <w:sz w:val="28"/>
          <w:szCs w:val="28"/>
          <w:highlight w:val="none"/>
          <w:u w:val="single"/>
        </w:rPr>
        <w:t xml:space="preserve">   </w:t>
      </w:r>
      <w:r>
        <w:rPr>
          <w:rFonts w:hint="eastAsia" w:ascii="宋体" w:hAnsi="宋体" w:eastAsia="宋体" w:cs="宋体"/>
          <w:i w:val="0"/>
          <w:iCs/>
          <w:color w:val="auto"/>
          <w:sz w:val="28"/>
          <w:szCs w:val="28"/>
          <w:highlight w:val="none"/>
        </w:rPr>
        <w:t>。</w:t>
      </w:r>
    </w:p>
    <w:p w14:paraId="25F38B43">
      <w:pPr>
        <w:pStyle w:val="81"/>
        <w:spacing w:beforeAutospacing="0" w:afterAutospacing="0"/>
        <w:jc w:val="both"/>
        <w:rPr>
          <w:rFonts w:hint="eastAsia" w:ascii="宋体" w:hAnsi="宋体" w:eastAsia="宋体" w:cs="宋体"/>
          <w:i w:val="0"/>
          <w:iCs/>
          <w:color w:val="auto"/>
          <w:sz w:val="28"/>
          <w:szCs w:val="28"/>
          <w:highlight w:val="none"/>
        </w:rPr>
      </w:pPr>
    </w:p>
    <w:p w14:paraId="15F4407A">
      <w:pPr>
        <w:pStyle w:val="81"/>
        <w:spacing w:beforeAutospacing="0" w:afterAutospacing="0" w:line="0" w:lineRule="atLeast"/>
        <w:ind w:firstLine="492"/>
        <w:jc w:val="right"/>
        <w:rPr>
          <w:rFonts w:hint="eastAsia" w:ascii="宋体" w:hAnsi="宋体" w:eastAsia="宋体" w:cs="宋体"/>
          <w:i w:val="0"/>
          <w:iCs/>
          <w:color w:val="auto"/>
          <w:sz w:val="28"/>
          <w:szCs w:val="28"/>
          <w:highlight w:val="none"/>
        </w:rPr>
      </w:pPr>
      <w:r>
        <w:rPr>
          <w:rFonts w:hint="eastAsia" w:ascii="宋体" w:hAnsi="宋体" w:eastAsia="宋体" w:cs="宋体"/>
          <w:color w:val="auto"/>
          <w:sz w:val="30"/>
          <w:szCs w:val="30"/>
          <w:highlight w:val="none"/>
        </w:rPr>
        <w:t> </w:t>
      </w:r>
      <w:r>
        <w:rPr>
          <w:rFonts w:hint="eastAsia" w:ascii="宋体" w:hAnsi="宋体" w:eastAsia="宋体" w:cs="宋体"/>
          <w:i w:val="0"/>
          <w:iCs/>
          <w:color w:val="auto"/>
          <w:sz w:val="28"/>
          <w:szCs w:val="28"/>
          <w:highlight w:val="none"/>
        </w:rPr>
        <w:t>供应商全称（加盖CA电子公章）：</w:t>
      </w:r>
    </w:p>
    <w:p w14:paraId="29C90A7E">
      <w:pPr>
        <w:pStyle w:val="81"/>
        <w:spacing w:beforeAutospacing="0" w:afterAutospacing="0" w:line="0" w:lineRule="atLeast"/>
        <w:ind w:firstLine="492"/>
        <w:jc w:val="center"/>
        <w:rPr>
          <w:rFonts w:hint="eastAsia" w:ascii="宋体" w:hAnsi="宋体" w:eastAsia="宋体" w:cs="宋体"/>
          <w:i w:val="0"/>
          <w:iCs/>
          <w:color w:val="auto"/>
          <w:sz w:val="28"/>
          <w:szCs w:val="28"/>
          <w:highlight w:val="none"/>
          <w:u w:val="single"/>
          <w:lang w:val="en-US" w:eastAsia="zh-CN"/>
        </w:rPr>
      </w:pPr>
      <w:r>
        <w:rPr>
          <w:rFonts w:hint="eastAsia" w:ascii="宋体" w:hAnsi="宋体" w:eastAsia="宋体" w:cs="宋体"/>
          <w:i w:val="0"/>
          <w:iCs/>
          <w:color w:val="auto"/>
          <w:sz w:val="28"/>
          <w:szCs w:val="28"/>
          <w:highlight w:val="none"/>
          <w:lang w:val="en-US" w:eastAsia="zh-CN"/>
        </w:rPr>
        <w:t xml:space="preserve">    </w:t>
      </w:r>
      <w:r>
        <w:rPr>
          <w:rFonts w:hint="eastAsia" w:ascii="宋体" w:hAnsi="宋体" w:eastAsia="宋体" w:cs="宋体"/>
          <w:i w:val="0"/>
          <w:iCs/>
          <w:color w:val="auto"/>
          <w:sz w:val="28"/>
          <w:szCs w:val="28"/>
          <w:highlight w:val="none"/>
        </w:rPr>
        <w:t>日  期：</w:t>
      </w:r>
    </w:p>
    <w:p w14:paraId="7301DB3A">
      <w:pPr>
        <w:pStyle w:val="81"/>
        <w:spacing w:beforeAutospacing="0" w:afterAutospacing="0"/>
        <w:jc w:val="both"/>
        <w:rPr>
          <w:rFonts w:hint="eastAsia" w:ascii="宋体" w:hAnsi="宋体" w:eastAsia="宋体" w:cs="宋体"/>
          <w:i/>
          <w:iCs w:val="0"/>
          <w:color w:val="auto"/>
          <w:sz w:val="28"/>
          <w:szCs w:val="28"/>
          <w:highlight w:val="none"/>
        </w:rPr>
      </w:pPr>
      <w:r>
        <w:rPr>
          <w:rFonts w:hint="eastAsia" w:ascii="宋体" w:hAnsi="宋体" w:eastAsia="宋体" w:cs="宋体"/>
          <w:i/>
          <w:iCs w:val="0"/>
          <w:color w:val="auto"/>
          <w:sz w:val="28"/>
          <w:szCs w:val="28"/>
          <w:highlight w:val="none"/>
          <w:u w:val="single"/>
          <w:lang w:val="en-US" w:eastAsia="zh-CN"/>
        </w:rPr>
        <w:t>四</w:t>
      </w:r>
      <w:r>
        <w:rPr>
          <w:rFonts w:hint="eastAsia" w:ascii="宋体" w:hAnsi="宋体" w:eastAsia="宋体" w:cs="宋体"/>
          <w:i/>
          <w:iCs w:val="0"/>
          <w:color w:val="auto"/>
          <w:sz w:val="28"/>
          <w:szCs w:val="28"/>
          <w:highlight w:val="none"/>
          <w:u w:val="single"/>
        </w:rPr>
        <w:t>、依法缴纳税收和社会保障资金的相关材料</w:t>
      </w:r>
    </w:p>
    <w:p w14:paraId="381B8ADC">
      <w:pPr>
        <w:pStyle w:val="81"/>
        <w:spacing w:beforeAutospacing="0" w:afterAutospacing="0"/>
        <w:ind w:firstLine="480"/>
        <w:jc w:val="both"/>
        <w:rPr>
          <w:rFonts w:hint="eastAsia" w:ascii="宋体" w:hAnsi="宋体" w:eastAsia="宋体" w:cs="宋体"/>
          <w:i w:val="0"/>
          <w:iCs/>
          <w:color w:val="auto"/>
          <w:sz w:val="28"/>
          <w:szCs w:val="28"/>
          <w:highlight w:val="none"/>
        </w:rPr>
      </w:pPr>
      <w:bookmarkStart w:id="155" w:name="_Toc120614284"/>
      <w:r>
        <w:rPr>
          <w:rFonts w:hint="eastAsia" w:ascii="宋体" w:hAnsi="宋体" w:eastAsia="宋体" w:cs="宋体"/>
          <w:i w:val="0"/>
          <w:iCs/>
          <w:color w:val="auto"/>
          <w:sz w:val="28"/>
          <w:szCs w:val="28"/>
          <w:highlight w:val="none"/>
        </w:rPr>
        <w:t>提供提交投标文件截止时间前一年内至少一个月依法缴纳税收及缴纳社会保障资金的证明材料。</w:t>
      </w:r>
      <w:r>
        <w:rPr>
          <w:rFonts w:hint="eastAsia" w:ascii="宋体" w:hAnsi="宋体" w:eastAsia="宋体" w:cs="宋体"/>
          <w:i w:val="0"/>
          <w:iCs/>
          <w:color w:val="auto"/>
          <w:sz w:val="28"/>
          <w:szCs w:val="28"/>
          <w:highlight w:val="none"/>
          <w:lang w:eastAsia="zh-CN"/>
        </w:rPr>
        <w:t>供应商</w:t>
      </w:r>
      <w:r>
        <w:rPr>
          <w:rFonts w:hint="eastAsia" w:ascii="宋体" w:hAnsi="宋体" w:eastAsia="宋体" w:cs="宋体"/>
          <w:i w:val="0"/>
          <w:iCs/>
          <w:color w:val="auto"/>
          <w:sz w:val="28"/>
          <w:szCs w:val="28"/>
          <w:highlight w:val="none"/>
        </w:rPr>
        <w:t>依法享受缓缴、免缴税收、社会保障资金的提供证明材料。</w:t>
      </w:r>
      <w:bookmarkEnd w:id="155"/>
    </w:p>
    <w:p w14:paraId="61E91BB4">
      <w:pPr>
        <w:pStyle w:val="81"/>
        <w:spacing w:beforeAutospacing="0" w:afterAutospacing="0"/>
        <w:jc w:val="both"/>
        <w:rPr>
          <w:rFonts w:hint="eastAsia" w:ascii="宋体" w:hAnsi="宋体" w:eastAsia="宋体" w:cs="宋体"/>
          <w:i w:val="0"/>
          <w:iCs/>
          <w:color w:val="auto"/>
          <w:sz w:val="28"/>
          <w:szCs w:val="28"/>
          <w:highlight w:val="none"/>
          <w:u w:val="single"/>
        </w:rPr>
      </w:pPr>
    </w:p>
    <w:p w14:paraId="1B3255F0">
      <w:pPr>
        <w:pStyle w:val="81"/>
        <w:spacing w:beforeAutospacing="0" w:afterAutospacing="0"/>
        <w:jc w:val="both"/>
        <w:rPr>
          <w:rFonts w:hint="eastAsia" w:ascii="宋体" w:hAnsi="宋体" w:eastAsia="宋体" w:cs="宋体"/>
          <w:i/>
          <w:iCs w:val="0"/>
          <w:color w:val="auto"/>
          <w:sz w:val="28"/>
          <w:szCs w:val="28"/>
          <w:highlight w:val="none"/>
        </w:rPr>
      </w:pPr>
      <w:r>
        <w:rPr>
          <w:rFonts w:hint="eastAsia" w:ascii="宋体" w:hAnsi="宋体" w:eastAsia="宋体" w:cs="宋体"/>
          <w:i/>
          <w:iCs w:val="0"/>
          <w:color w:val="auto"/>
          <w:sz w:val="28"/>
          <w:szCs w:val="28"/>
          <w:highlight w:val="none"/>
          <w:u w:val="single"/>
        </w:rPr>
        <w:t>五、参加政府采购活动前 3 年内在经营活动中没有重大违法记录的书面声明</w:t>
      </w:r>
    </w:p>
    <w:p w14:paraId="78BF002F">
      <w:pPr>
        <w:pStyle w:val="81"/>
        <w:spacing w:beforeAutospacing="0" w:afterAutospacing="0" w:line="0" w:lineRule="atLeast"/>
        <w:jc w:val="left"/>
        <w:rPr>
          <w:rFonts w:hint="eastAsia" w:ascii="宋体" w:hAnsi="宋体" w:eastAsia="宋体" w:cs="宋体"/>
          <w:i w:val="0"/>
          <w:iCs/>
          <w:color w:val="auto"/>
          <w:sz w:val="28"/>
          <w:szCs w:val="28"/>
          <w:highlight w:val="none"/>
        </w:rPr>
      </w:pPr>
      <w:r>
        <w:rPr>
          <w:rFonts w:hint="eastAsia" w:ascii="宋体" w:hAnsi="宋体" w:eastAsia="宋体" w:cs="宋体"/>
          <w:b/>
          <w:i w:val="0"/>
          <w:iCs/>
          <w:color w:val="auto"/>
          <w:sz w:val="28"/>
          <w:szCs w:val="28"/>
          <w:highlight w:val="none"/>
        </w:rPr>
        <w:t>       </w:t>
      </w:r>
      <w:r>
        <w:rPr>
          <w:rFonts w:hint="eastAsia" w:ascii="宋体" w:hAnsi="宋体" w:eastAsia="宋体" w:cs="宋体"/>
          <w:b/>
          <w:i w:val="0"/>
          <w:iCs/>
          <w:color w:val="auto"/>
          <w:sz w:val="28"/>
          <w:szCs w:val="28"/>
          <w:highlight w:val="none"/>
          <w:lang w:val="en-US" w:eastAsia="zh-CN"/>
        </w:rPr>
        <w:t xml:space="preserve">              </w:t>
      </w:r>
      <w:r>
        <w:rPr>
          <w:rFonts w:hint="eastAsia" w:ascii="宋体" w:hAnsi="宋体" w:eastAsia="宋体" w:cs="宋体"/>
          <w:b/>
          <w:i w:val="0"/>
          <w:iCs/>
          <w:color w:val="auto"/>
          <w:sz w:val="28"/>
          <w:szCs w:val="28"/>
          <w:highlight w:val="none"/>
        </w:rPr>
        <w:t>声  明</w:t>
      </w:r>
    </w:p>
    <w:p w14:paraId="7750AC7F">
      <w:pPr>
        <w:pStyle w:val="81"/>
        <w:spacing w:beforeAutospacing="0" w:afterAutospacing="0" w:line="0" w:lineRule="atLeast"/>
        <w:ind w:firstLine="56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2BCA76EB">
      <w:pPr>
        <w:pStyle w:val="81"/>
        <w:spacing w:beforeAutospacing="0" w:afterAutospacing="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 </w:t>
      </w:r>
    </w:p>
    <w:p w14:paraId="5BE7CC28">
      <w:pPr>
        <w:pStyle w:val="81"/>
        <w:spacing w:beforeAutospacing="0" w:afterAutospacing="0" w:line="0" w:lineRule="atLeast"/>
        <w:ind w:firstLine="600"/>
        <w:jc w:val="right"/>
        <w:rPr>
          <w:rFonts w:hint="eastAsia" w:ascii="宋体" w:hAnsi="宋体" w:eastAsia="宋体" w:cs="宋体"/>
          <w:i w:val="0"/>
          <w:iCs/>
          <w:color w:val="auto"/>
          <w:sz w:val="28"/>
          <w:szCs w:val="28"/>
          <w:highlight w:val="none"/>
        </w:rPr>
      </w:pPr>
      <w:r>
        <w:rPr>
          <w:rFonts w:hint="eastAsia" w:ascii="宋体" w:hAnsi="宋体" w:eastAsia="宋体" w:cs="宋体"/>
          <w:color w:val="auto"/>
          <w:sz w:val="30"/>
          <w:szCs w:val="30"/>
          <w:highlight w:val="none"/>
        </w:rPr>
        <w:t> </w:t>
      </w:r>
      <w:r>
        <w:rPr>
          <w:rFonts w:hint="eastAsia" w:ascii="宋体" w:hAnsi="宋体" w:eastAsia="宋体" w:cs="宋体"/>
          <w:i w:val="0"/>
          <w:iCs/>
          <w:color w:val="auto"/>
          <w:sz w:val="28"/>
          <w:szCs w:val="28"/>
          <w:highlight w:val="none"/>
        </w:rPr>
        <w:t>供应商全称（加盖CA电子公章）：</w:t>
      </w:r>
    </w:p>
    <w:p w14:paraId="7C9232CA">
      <w:pPr>
        <w:pStyle w:val="81"/>
        <w:spacing w:beforeAutospacing="0" w:afterAutospacing="0" w:line="0" w:lineRule="atLeast"/>
        <w:ind w:firstLine="560"/>
        <w:jc w:val="center"/>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lang w:val="en-US" w:eastAsia="zh-CN"/>
        </w:rPr>
        <w:t xml:space="preserve">  </w:t>
      </w:r>
      <w:r>
        <w:rPr>
          <w:rFonts w:hint="eastAsia" w:ascii="宋体" w:hAnsi="宋体" w:eastAsia="宋体" w:cs="宋体"/>
          <w:i w:val="0"/>
          <w:iCs/>
          <w:color w:val="auto"/>
          <w:sz w:val="28"/>
          <w:szCs w:val="28"/>
          <w:highlight w:val="none"/>
        </w:rPr>
        <w:t>日  期：</w:t>
      </w:r>
    </w:p>
    <w:p w14:paraId="6A4C6CB6">
      <w:pPr>
        <w:pStyle w:val="81"/>
        <w:spacing w:beforeAutospacing="0" w:afterAutospacing="0"/>
        <w:jc w:val="both"/>
        <w:rPr>
          <w:rFonts w:hint="eastAsia" w:ascii="宋体" w:hAnsi="宋体" w:eastAsia="宋体" w:cs="宋体"/>
          <w:i/>
          <w:iCs w:val="0"/>
          <w:color w:val="auto"/>
          <w:sz w:val="28"/>
          <w:szCs w:val="28"/>
          <w:highlight w:val="none"/>
        </w:rPr>
      </w:pPr>
      <w:r>
        <w:rPr>
          <w:rFonts w:hint="eastAsia" w:ascii="宋体" w:hAnsi="宋体" w:eastAsia="宋体" w:cs="宋体"/>
          <w:i/>
          <w:iCs w:val="0"/>
          <w:color w:val="auto"/>
          <w:sz w:val="28"/>
          <w:szCs w:val="28"/>
          <w:highlight w:val="none"/>
          <w:u w:val="single"/>
        </w:rPr>
        <w:t>六、特定资格要求的证明文件</w:t>
      </w:r>
    </w:p>
    <w:p w14:paraId="5BB648B6">
      <w:pPr>
        <w:pStyle w:val="81"/>
        <w:spacing w:beforeAutospacing="0" w:afterAutospacing="0" w:line="0" w:lineRule="atLeast"/>
        <w:ind w:firstLine="56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如果本项目申请人的特定资格要求中要求提供的，必须提供。</w:t>
      </w:r>
    </w:p>
    <w:p w14:paraId="6F8AB40D">
      <w:pPr>
        <w:pStyle w:val="81"/>
        <w:spacing w:beforeAutospacing="0" w:afterAutospacing="0" w:line="0" w:lineRule="atLeast"/>
        <w:jc w:val="both"/>
        <w:rPr>
          <w:rFonts w:hint="eastAsia" w:ascii="宋体" w:hAnsi="宋体" w:eastAsia="宋体" w:cs="宋体"/>
          <w:i w:val="0"/>
          <w:iCs/>
          <w:color w:val="auto"/>
          <w:sz w:val="28"/>
          <w:szCs w:val="28"/>
          <w:highlight w:val="none"/>
          <w:u w:val="single"/>
        </w:rPr>
      </w:pPr>
      <w:r>
        <w:rPr>
          <w:rFonts w:hint="eastAsia" w:ascii="宋体" w:hAnsi="宋体" w:eastAsia="宋体" w:cs="宋体"/>
          <w:i w:val="0"/>
          <w:iCs/>
          <w:color w:val="auto"/>
          <w:sz w:val="28"/>
          <w:szCs w:val="28"/>
          <w:highlight w:val="none"/>
        </w:rPr>
        <w:t> </w:t>
      </w:r>
    </w:p>
    <w:p w14:paraId="60BFD2ED">
      <w:pPr>
        <w:pStyle w:val="81"/>
        <w:keepNext/>
        <w:keepLines/>
        <w:spacing w:before="260" w:beforeAutospacing="0" w:after="260" w:afterAutospacing="0" w:line="415" w:lineRule="auto"/>
        <w:jc w:val="center"/>
        <w:rPr>
          <w:rFonts w:hint="eastAsia" w:ascii="宋体" w:hAnsi="宋体" w:eastAsia="宋体" w:cs="宋体"/>
          <w:i/>
          <w:iCs w:val="0"/>
          <w:color w:val="auto"/>
          <w:sz w:val="28"/>
          <w:szCs w:val="28"/>
          <w:highlight w:val="none"/>
          <w:u w:val="single"/>
          <w:lang w:val="en-US" w:eastAsia="zh-CN" w:bidi="ar-SA"/>
        </w:rPr>
      </w:pPr>
      <w:r>
        <w:rPr>
          <w:rFonts w:hint="eastAsia" w:ascii="宋体" w:hAnsi="宋体" w:eastAsia="宋体" w:cs="宋体"/>
          <w:i/>
          <w:iCs w:val="0"/>
          <w:color w:val="auto"/>
          <w:sz w:val="28"/>
          <w:szCs w:val="28"/>
          <w:highlight w:val="none"/>
          <w:u w:val="single"/>
          <w:lang w:val="en-US" w:eastAsia="zh-CN" w:bidi="ar-SA"/>
        </w:rPr>
        <w:t>七、法人授权书</w:t>
      </w:r>
    </w:p>
    <w:p w14:paraId="0486AC21">
      <w:pPr>
        <w:pStyle w:val="81"/>
        <w:tabs>
          <w:tab w:val="left" w:pos="360"/>
        </w:tabs>
        <w:spacing w:beforeAutospacing="0" w:afterAutospacing="0"/>
        <w:ind w:firstLine="48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本授权书声明：____________（</w:t>
      </w:r>
      <w:r>
        <w:rPr>
          <w:rFonts w:hint="eastAsia" w:ascii="宋体" w:hAnsi="宋体" w:eastAsia="宋体" w:cs="宋体"/>
          <w:i w:val="0"/>
          <w:iCs/>
          <w:color w:val="auto"/>
          <w:sz w:val="28"/>
          <w:szCs w:val="28"/>
          <w:highlight w:val="none"/>
          <w:lang w:eastAsia="zh-CN"/>
        </w:rPr>
        <w:t>供应商</w:t>
      </w:r>
      <w:r>
        <w:rPr>
          <w:rFonts w:hint="eastAsia" w:ascii="宋体" w:hAnsi="宋体" w:eastAsia="宋体" w:cs="宋体"/>
          <w:i w:val="0"/>
          <w:iCs/>
          <w:color w:val="auto"/>
          <w:sz w:val="28"/>
          <w:szCs w:val="28"/>
          <w:highlight w:val="none"/>
        </w:rPr>
        <w:t>名称）授权________________（被授权人的姓名）为我方就JSZC-</w:t>
      </w:r>
      <w:r>
        <w:rPr>
          <w:rFonts w:hint="eastAsia" w:ascii="宋体" w:hAnsi="宋体" w:eastAsia="宋体" w:cs="宋体"/>
          <w:i w:val="0"/>
          <w:iCs/>
          <w:color w:val="auto"/>
          <w:sz w:val="28"/>
          <w:szCs w:val="28"/>
          <w:highlight w:val="none"/>
          <w:u w:val="single"/>
        </w:rPr>
        <w:t xml:space="preserve">        </w:t>
      </w:r>
      <w:r>
        <w:rPr>
          <w:rFonts w:hint="eastAsia" w:ascii="宋体" w:hAnsi="宋体" w:eastAsia="宋体" w:cs="宋体"/>
          <w:i w:val="0"/>
          <w:iCs/>
          <w:color w:val="auto"/>
          <w:sz w:val="28"/>
          <w:szCs w:val="28"/>
          <w:highlight w:val="none"/>
        </w:rPr>
        <w:t>号项目采购活动的合法代理人，以本单位名义全权处理一切与该项目采购有关的事务。</w:t>
      </w:r>
    </w:p>
    <w:p w14:paraId="412B20A3">
      <w:pPr>
        <w:pStyle w:val="81"/>
        <w:tabs>
          <w:tab w:val="left" w:pos="360"/>
        </w:tabs>
        <w:spacing w:beforeAutospacing="0" w:afterAutospacing="0"/>
        <w:ind w:firstLine="48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本授权书于______年____月____日起生效，特此声明。</w:t>
      </w:r>
    </w:p>
    <w:p w14:paraId="2DF3468D">
      <w:pPr>
        <w:pStyle w:val="81"/>
        <w:tabs>
          <w:tab w:val="left" w:pos="360"/>
        </w:tabs>
        <w:spacing w:beforeAutospacing="0" w:afterAutospacing="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 被授权人身份证号码：</w:t>
      </w:r>
      <w:r>
        <w:rPr>
          <w:rFonts w:hint="eastAsia" w:ascii="宋体" w:hAnsi="宋体" w:eastAsia="宋体" w:cs="宋体"/>
          <w:i w:val="0"/>
          <w:iCs/>
          <w:color w:val="auto"/>
          <w:sz w:val="28"/>
          <w:szCs w:val="28"/>
          <w:highlight w:val="none"/>
          <w:u w:val="single"/>
        </w:rPr>
        <w:t xml:space="preserve">               </w:t>
      </w:r>
    </w:p>
    <w:p w14:paraId="024551C8">
      <w:pPr>
        <w:pStyle w:val="81"/>
        <w:tabs>
          <w:tab w:val="left" w:pos="360"/>
        </w:tabs>
        <w:spacing w:beforeAutospacing="0" w:afterAutospacing="0"/>
        <w:jc w:val="both"/>
        <w:rPr>
          <w:rFonts w:hint="eastAsia" w:ascii="宋体" w:hAnsi="宋体" w:eastAsia="宋体" w:cs="宋体"/>
          <w:i w:val="0"/>
          <w:iCs/>
          <w:color w:val="auto"/>
          <w:sz w:val="28"/>
          <w:szCs w:val="28"/>
          <w:highlight w:val="none"/>
          <w:lang w:val="en-US" w:eastAsia="zh-CN"/>
        </w:rPr>
      </w:pPr>
      <w:r>
        <w:rPr>
          <w:rFonts w:hint="eastAsia" w:ascii="宋体" w:hAnsi="宋体" w:eastAsia="宋体" w:cs="宋体"/>
          <w:i w:val="0"/>
          <w:iCs/>
          <w:color w:val="auto"/>
          <w:sz w:val="28"/>
          <w:szCs w:val="28"/>
          <w:highlight w:val="none"/>
        </w:rPr>
        <w:t> 被授权人联系电话：（手机）</w:t>
      </w:r>
      <w:r>
        <w:rPr>
          <w:rFonts w:hint="eastAsia" w:ascii="宋体" w:hAnsi="宋体" w:eastAsia="宋体" w:cs="宋体"/>
          <w:i w:val="0"/>
          <w:iCs/>
          <w:color w:val="auto"/>
          <w:sz w:val="28"/>
          <w:szCs w:val="28"/>
          <w:highlight w:val="none"/>
          <w:u w:val="single"/>
        </w:rPr>
        <w:t>         </w:t>
      </w:r>
      <w:r>
        <w:rPr>
          <w:rFonts w:hint="eastAsia" w:ascii="宋体" w:hAnsi="宋体" w:eastAsia="宋体" w:cs="宋体"/>
          <w:i w:val="0"/>
          <w:iCs/>
          <w:color w:val="auto"/>
          <w:sz w:val="28"/>
          <w:szCs w:val="28"/>
          <w:highlight w:val="none"/>
          <w:u w:val="single"/>
          <w:lang w:val="en-US" w:eastAsia="zh-CN"/>
        </w:rPr>
        <w:t xml:space="preserve">     </w:t>
      </w:r>
    </w:p>
    <w:p w14:paraId="01083B8E">
      <w:pPr>
        <w:pStyle w:val="81"/>
        <w:tabs>
          <w:tab w:val="left" w:pos="360"/>
        </w:tabs>
        <w:spacing w:beforeAutospacing="0" w:afterAutospacing="0"/>
        <w:ind w:firstLine="28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授权单位名称：</w:t>
      </w:r>
      <w:r>
        <w:rPr>
          <w:rFonts w:hint="eastAsia" w:ascii="宋体" w:hAnsi="宋体" w:eastAsia="宋体" w:cs="宋体"/>
          <w:i w:val="0"/>
          <w:iCs/>
          <w:color w:val="auto"/>
          <w:sz w:val="28"/>
          <w:szCs w:val="28"/>
          <w:highlight w:val="none"/>
          <w:u w:val="single"/>
        </w:rPr>
        <w:t>（加盖CA电子公章）</w:t>
      </w:r>
    </w:p>
    <w:p w14:paraId="5F5CCD45">
      <w:pPr>
        <w:pStyle w:val="81"/>
        <w:tabs>
          <w:tab w:val="left" w:pos="360"/>
        </w:tabs>
        <w:spacing w:beforeAutospacing="0" w:afterAutospacing="0"/>
        <w:ind w:firstLine="28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单位地址：</w:t>
      </w:r>
      <w:r>
        <w:rPr>
          <w:rFonts w:hint="eastAsia" w:ascii="宋体" w:hAnsi="宋体" w:eastAsia="宋体" w:cs="宋体"/>
          <w:i w:val="0"/>
          <w:iCs/>
          <w:color w:val="auto"/>
          <w:sz w:val="28"/>
          <w:szCs w:val="28"/>
          <w:highlight w:val="none"/>
          <w:u w:val="single"/>
        </w:rPr>
        <w:t>         </w:t>
      </w:r>
    </w:p>
    <w:p w14:paraId="6BD9A1AE">
      <w:pPr>
        <w:pStyle w:val="81"/>
        <w:tabs>
          <w:tab w:val="left" w:pos="360"/>
        </w:tabs>
        <w:spacing w:beforeAutospacing="0" w:afterAutospacing="0"/>
        <w:ind w:firstLine="280"/>
        <w:jc w:val="both"/>
        <w:rPr>
          <w:rFonts w:hint="eastAsia" w:ascii="宋体" w:hAnsi="宋体" w:eastAsia="宋体" w:cs="宋体"/>
          <w:i w:val="0"/>
          <w:iCs/>
          <w:color w:val="auto"/>
          <w:sz w:val="28"/>
          <w:szCs w:val="28"/>
          <w:highlight w:val="none"/>
        </w:rPr>
      </w:pPr>
      <w:r>
        <w:rPr>
          <w:rFonts w:hint="eastAsia" w:ascii="宋体" w:hAnsi="宋体" w:eastAsia="宋体" w:cs="宋体"/>
          <w:i w:val="0"/>
          <w:iCs/>
          <w:color w:val="auto"/>
          <w:sz w:val="28"/>
          <w:szCs w:val="28"/>
          <w:highlight w:val="none"/>
        </w:rPr>
        <w:t>日期：</w:t>
      </w:r>
      <w:r>
        <w:rPr>
          <w:rFonts w:hint="eastAsia" w:ascii="宋体" w:hAnsi="宋体" w:eastAsia="宋体" w:cs="宋体"/>
          <w:i w:val="0"/>
          <w:iCs/>
          <w:color w:val="auto"/>
          <w:sz w:val="28"/>
          <w:szCs w:val="28"/>
          <w:highlight w:val="none"/>
          <w:u w:val="single"/>
        </w:rPr>
        <w:t xml:space="preserve">                      </w:t>
      </w:r>
    </w:p>
    <w:p w14:paraId="45B3B5DD">
      <w:pPr>
        <w:pStyle w:val="81"/>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A60CF4">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91E417">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68F087">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7845CE2">
      <w:pPr>
        <w:pStyle w:val="81"/>
        <w:keepNext/>
        <w:keepLines/>
        <w:spacing w:before="260" w:beforeAutospacing="0" w:after="260" w:afterAutospacing="0" w:line="415" w:lineRule="auto"/>
        <w:jc w:val="center"/>
        <w:rPr>
          <w:rFonts w:hint="eastAsia" w:ascii="宋体" w:hAnsi="宋体" w:eastAsia="宋体" w:cs="宋体"/>
          <w:i/>
          <w:iCs w:val="0"/>
          <w:color w:val="auto"/>
          <w:sz w:val="28"/>
          <w:szCs w:val="28"/>
          <w:highlight w:val="none"/>
          <w:u w:val="single"/>
          <w:lang w:val="en-US" w:eastAsia="zh-CN" w:bidi="ar-SA"/>
        </w:rPr>
      </w:pPr>
      <w:r>
        <w:rPr>
          <w:rFonts w:hint="eastAsia" w:ascii="宋体" w:hAnsi="宋体" w:eastAsia="宋体" w:cs="宋体"/>
          <w:b/>
          <w:color w:val="auto"/>
          <w:highlight w:val="none"/>
        </w:rPr>
        <w:br w:type="page" w:clear="all"/>
      </w:r>
      <w:r>
        <w:rPr>
          <w:rFonts w:hint="eastAsia" w:ascii="宋体" w:hAnsi="宋体" w:eastAsia="宋体" w:cs="宋体"/>
          <w:i/>
          <w:iCs w:val="0"/>
          <w:color w:val="auto"/>
          <w:sz w:val="28"/>
          <w:szCs w:val="28"/>
          <w:highlight w:val="none"/>
          <w:u w:val="single"/>
          <w:lang w:val="en-US" w:eastAsia="zh-CN" w:bidi="ar-SA"/>
        </w:rPr>
        <w:t>八、投标函</w:t>
      </w:r>
    </w:p>
    <w:p w14:paraId="13044C39">
      <w:pPr>
        <w:pStyle w:val="8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致：盐城市盐都区公共资源交易中心</w:t>
      </w:r>
    </w:p>
    <w:p w14:paraId="6C4F9F3A">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号招标文件，正式授权下述签字人______(姓名)代表我方______________（</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的名称），全权处理本次项目投标的有关事宜。</w:t>
      </w:r>
    </w:p>
    <w:p w14:paraId="653FA622">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1799F40C">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4A08BE34">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w:t>
      </w:r>
    </w:p>
    <w:p w14:paraId="18D1E3F1">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702D9886">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61389622">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114049A">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6.一旦我方中标</w:t>
      </w:r>
      <w:r>
        <w:rPr>
          <w:rFonts w:hint="eastAsia" w:cs="宋体"/>
          <w:color w:val="auto"/>
          <w:highlight w:val="none"/>
          <w:lang w:eastAsia="zh-CN"/>
        </w:rPr>
        <w:t>，</w:t>
      </w:r>
      <w:r>
        <w:rPr>
          <w:rFonts w:hint="eastAsia" w:ascii="宋体" w:hAnsi="宋体" w:eastAsia="宋体" w:cs="宋体"/>
          <w:color w:val="auto"/>
          <w:highlight w:val="none"/>
        </w:rPr>
        <w:t>我方将根据招标文件的规定，严格履行合同的责任和义务,并保证在招标文件规定的时间完成项目，交付买方验收、使用。</w:t>
      </w:r>
    </w:p>
    <w:p w14:paraId="38CCC8C7">
      <w:pPr>
        <w:pStyle w:val="81"/>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756241CA">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地址：</w:t>
      </w:r>
    </w:p>
    <w:p w14:paraId="0C99F400">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邮编：</w:t>
      </w:r>
    </w:p>
    <w:p w14:paraId="7C57D87E">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电话：</w:t>
      </w:r>
    </w:p>
    <w:p w14:paraId="296B95EA">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传真：</w:t>
      </w:r>
    </w:p>
    <w:p w14:paraId="28B8CF41">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开户行：</w:t>
      </w:r>
    </w:p>
    <w:p w14:paraId="160136A2">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账号： </w:t>
      </w:r>
    </w:p>
    <w:p w14:paraId="31446F12">
      <w:pPr>
        <w:pStyle w:val="81"/>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日期：_____年____月____日</w:t>
      </w:r>
    </w:p>
    <w:p w14:paraId="145A8667">
      <w:pPr>
        <w:pStyle w:val="8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76EFFBB">
      <w:pPr>
        <w:pStyle w:val="8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9B4EBD3">
      <w:pPr>
        <w:pStyle w:val="8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4E4330C">
      <w:pPr>
        <w:pStyle w:val="8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E4AC275">
      <w:pPr>
        <w:pStyle w:val="81"/>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2B963D2">
      <w:pPr>
        <w:pStyle w:val="81"/>
        <w:spacing w:beforeAutospacing="0" w:afterAutospacing="0" w:line="0" w:lineRule="atLeast"/>
        <w:ind w:firstLine="240"/>
        <w:jc w:val="center"/>
        <w:rPr>
          <w:rFonts w:hint="eastAsia" w:ascii="宋体" w:hAnsi="宋体" w:eastAsia="宋体" w:cs="宋体"/>
          <w:color w:val="auto"/>
          <w:highlight w:val="none"/>
        </w:rPr>
      </w:pPr>
    </w:p>
    <w:p w14:paraId="035C4160">
      <w:pPr>
        <w:pStyle w:val="81"/>
        <w:spacing w:beforeAutospacing="0" w:afterAutospacing="0" w:line="0" w:lineRule="atLeast"/>
        <w:ind w:firstLine="240"/>
        <w:jc w:val="center"/>
        <w:rPr>
          <w:rFonts w:hint="eastAsia" w:ascii="宋体" w:hAnsi="宋体" w:eastAsia="宋体" w:cs="宋体"/>
          <w:color w:val="auto"/>
          <w:highlight w:val="none"/>
        </w:rPr>
      </w:pPr>
    </w:p>
    <w:p w14:paraId="4CE1BD7D">
      <w:pPr>
        <w:pStyle w:val="81"/>
        <w:spacing w:beforeAutospacing="0" w:afterAutospacing="0" w:line="0" w:lineRule="atLeast"/>
        <w:ind w:firstLine="240"/>
        <w:jc w:val="center"/>
        <w:rPr>
          <w:rFonts w:hint="eastAsia" w:ascii="宋体" w:hAnsi="宋体" w:eastAsia="宋体" w:cs="宋体"/>
          <w:color w:val="auto"/>
          <w:highlight w:val="none"/>
        </w:rPr>
      </w:pPr>
    </w:p>
    <w:p w14:paraId="1D05AC33">
      <w:pPr>
        <w:pStyle w:val="81"/>
        <w:spacing w:beforeAutospacing="0" w:afterAutospacing="0" w:line="0" w:lineRule="atLeast"/>
        <w:ind w:firstLine="240"/>
        <w:jc w:val="center"/>
        <w:rPr>
          <w:rFonts w:hint="eastAsia" w:ascii="宋体" w:hAnsi="宋体" w:eastAsia="宋体" w:cs="宋体"/>
          <w:color w:val="auto"/>
          <w:highlight w:val="none"/>
        </w:rPr>
      </w:pPr>
    </w:p>
    <w:p w14:paraId="4313B161">
      <w:pPr>
        <w:pStyle w:val="81"/>
        <w:spacing w:beforeAutospacing="0" w:afterAutospacing="0" w:line="0" w:lineRule="atLeast"/>
        <w:jc w:val="center"/>
        <w:rPr>
          <w:rFonts w:hint="eastAsia" w:ascii="宋体" w:hAnsi="宋体" w:eastAsia="宋体" w:cs="宋体"/>
          <w:i/>
          <w:iCs w:val="0"/>
          <w:color w:val="auto"/>
          <w:sz w:val="28"/>
          <w:szCs w:val="28"/>
          <w:highlight w:val="none"/>
          <w:u w:val="single"/>
          <w:lang w:val="en-US" w:eastAsia="zh-CN" w:bidi="ar-SA"/>
        </w:rPr>
      </w:pPr>
      <w:r>
        <w:rPr>
          <w:rFonts w:hint="eastAsia" w:ascii="宋体" w:hAnsi="宋体" w:eastAsia="宋体" w:cs="宋体"/>
          <w:i/>
          <w:iCs w:val="0"/>
          <w:color w:val="auto"/>
          <w:sz w:val="28"/>
          <w:szCs w:val="28"/>
          <w:highlight w:val="none"/>
          <w:u w:val="single"/>
          <w:lang w:val="en-US" w:eastAsia="zh-CN" w:bidi="ar-SA"/>
        </w:rPr>
        <w:t>九、中小企业声明函（服务）（分包号：**）</w:t>
      </w:r>
    </w:p>
    <w:p w14:paraId="15CE32FE">
      <w:p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号）的规定，本公司（联合体）参加盐城市盐都区公共资源交易中心组织的</w:t>
      </w:r>
      <w:r>
        <w:rPr>
          <w:rFonts w:hint="eastAsia" w:ascii="宋体" w:hAnsi="宋体" w:eastAsia="宋体" w:cs="宋体"/>
          <w:i/>
          <w:iCs/>
          <w:color w:val="auto"/>
          <w:sz w:val="24"/>
          <w:szCs w:val="24"/>
          <w:highlight w:val="none"/>
          <w:u w:val="single"/>
        </w:rPr>
        <w:t>盐城市盐都区人民法院</w:t>
      </w:r>
      <w:r>
        <w:rPr>
          <w:rFonts w:hint="eastAsia" w:ascii="宋体" w:hAnsi="宋体" w:eastAsia="宋体" w:cs="宋体"/>
          <w:color w:val="auto"/>
          <w:sz w:val="24"/>
          <w:szCs w:val="20"/>
          <w:highlight w:val="none"/>
        </w:rPr>
        <w:t>，</w:t>
      </w:r>
      <w:r>
        <w:rPr>
          <w:rFonts w:hint="eastAsia" w:ascii="宋体" w:hAnsi="宋体" w:eastAsia="宋体" w:cs="宋体"/>
          <w:color w:val="auto"/>
          <w:sz w:val="24"/>
          <w:highlight w:val="none"/>
        </w:rPr>
        <w:t>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的</w:t>
      </w:r>
      <w:r>
        <w:rPr>
          <w:rFonts w:hint="eastAsia" w:ascii="宋体" w:hAnsi="宋体" w:eastAsia="宋体" w:cs="宋体"/>
          <w:i/>
          <w:iCs/>
          <w:color w:val="auto"/>
          <w:sz w:val="24"/>
          <w:highlight w:val="none"/>
          <w:u w:val="single"/>
        </w:rPr>
        <w:t>（项目名称）</w:t>
      </w:r>
      <w:r>
        <w:rPr>
          <w:rFonts w:hint="eastAsia" w:ascii="宋体" w:hAnsi="宋体" w:eastAsia="宋体" w:cs="宋体"/>
          <w:color w:val="auto"/>
          <w:sz w:val="24"/>
          <w:highlight w:val="none"/>
        </w:rPr>
        <w:t>的采购活动，服务全部由符合政策要求的中小企业承接。相关企业（含联合体中的中小企业、签订分包意向协议的中小企业）的具体情况如下：</w:t>
      </w:r>
    </w:p>
    <w:p w14:paraId="00E21962">
      <w:pPr>
        <w:numPr>
          <w:ilvl w:val="0"/>
          <w:numId w:val="1"/>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361D7CC4">
      <w:pPr>
        <w:numPr>
          <w:ilvl w:val="0"/>
          <w:numId w:val="1"/>
        </w:numPr>
        <w:spacing w:line="500" w:lineRule="exact"/>
        <w:ind w:left="0" w:firstLine="480"/>
        <w:jc w:val="both"/>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2AD9D41D">
      <w:pPr>
        <w:numPr>
          <w:ilvl w:val="0"/>
          <w:numId w:val="0"/>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3D91FA6E">
      <w:pPr>
        <w:numPr>
          <w:ilvl w:val="0"/>
          <w:numId w:val="0"/>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0D5E02B5">
      <w:pPr>
        <w:numPr>
          <w:ilvl w:val="0"/>
          <w:numId w:val="0"/>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5C13463E">
      <w:pPr>
        <w:pStyle w:val="81"/>
        <w:spacing w:beforeAutospacing="0" w:afterAutospacing="0" w:line="0" w:lineRule="atLeas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258D113">
      <w:pPr>
        <w:pStyle w:val="81"/>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587F2CA5">
      <w:pPr>
        <w:pStyle w:val="81"/>
        <w:spacing w:beforeAutospacing="0" w:afterAutospacing="0" w:line="0" w:lineRule="atLeast"/>
        <w:ind w:right="480" w:firstLine="54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11481766">
      <w:pPr>
        <w:pStyle w:val="81"/>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812A19">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6F97487B">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687BBE3E">
      <w:pPr>
        <w:pStyle w:val="81"/>
        <w:spacing w:beforeAutospacing="0" w:afterAutospacing="0" w:line="0" w:lineRule="atLeast"/>
        <w:jc w:val="center"/>
        <w:rPr>
          <w:rFonts w:hint="eastAsia" w:ascii="宋体" w:hAnsi="宋体" w:eastAsia="宋体" w:cs="宋体"/>
          <w:i w:val="0"/>
          <w:iCs/>
          <w:color w:val="auto"/>
          <w:sz w:val="28"/>
          <w:szCs w:val="28"/>
          <w:highlight w:val="none"/>
          <w:u w:val="none"/>
          <w:lang w:val="en-US" w:eastAsia="zh-CN" w:bidi="ar-SA"/>
        </w:rPr>
      </w:pPr>
      <w:r>
        <w:rPr>
          <w:rFonts w:hint="eastAsia" w:ascii="宋体" w:hAnsi="宋体" w:eastAsia="宋体" w:cs="宋体"/>
          <w:b/>
          <w:color w:val="auto"/>
          <w:sz w:val="32"/>
          <w:szCs w:val="32"/>
          <w:highlight w:val="none"/>
        </w:rPr>
        <w:br w:type="page" w:clear="all"/>
      </w:r>
      <w:r>
        <w:rPr>
          <w:rFonts w:hint="eastAsia" w:ascii="宋体" w:hAnsi="宋体" w:eastAsia="宋体" w:cs="宋体"/>
          <w:i w:val="0"/>
          <w:iCs/>
          <w:color w:val="auto"/>
          <w:sz w:val="28"/>
          <w:szCs w:val="28"/>
          <w:highlight w:val="none"/>
          <w:u w:val="none"/>
          <w:lang w:val="en-US" w:eastAsia="zh-CN" w:bidi="ar-SA"/>
        </w:rPr>
        <w:t> 十、残疾人福利性单位声明函（分包号：**）</w:t>
      </w:r>
    </w:p>
    <w:p w14:paraId="6CFA970D">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13E16829">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38B6AAE1">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9B956A7">
      <w:pPr>
        <w:pStyle w:val="81"/>
        <w:spacing w:beforeAutospacing="0" w:afterAutospacing="0" w:line="0" w:lineRule="atLeas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。2、中标人为残疾人福利单位的，此声明函将随中标结果同时公告，接受社会监督</w:t>
      </w:r>
      <w:r>
        <w:rPr>
          <w:rFonts w:hint="eastAsia" w:ascii="宋体" w:hAnsi="宋体" w:eastAsia="宋体" w:cs="宋体"/>
          <w:color w:val="auto"/>
          <w:highlight w:val="none"/>
          <w:lang w:eastAsia="zh-CN"/>
        </w:rPr>
        <w:t>。</w:t>
      </w:r>
    </w:p>
    <w:p w14:paraId="588CCF97">
      <w:pPr>
        <w:pStyle w:val="81"/>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70BEB5A">
      <w:pPr>
        <w:pStyle w:val="81"/>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供应商全称（加盖CA电子公章）：</w:t>
      </w:r>
    </w:p>
    <w:p w14:paraId="22C0F154">
      <w:pPr>
        <w:pStyle w:val="81"/>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360E074F">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D47029F">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F54E193">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464D33E">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31E7028">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B66F216">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3597684">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26CF6DF">
      <w:pPr>
        <w:pStyle w:val="81"/>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F37F65A">
      <w:pPr>
        <w:pStyle w:val="81"/>
        <w:spacing w:beforeAutospacing="0" w:afterAutospacing="0" w:line="0" w:lineRule="atLeast"/>
        <w:jc w:val="center"/>
        <w:rPr>
          <w:rFonts w:hint="eastAsia" w:ascii="宋体" w:hAnsi="宋体" w:eastAsia="宋体" w:cs="宋体"/>
          <w:color w:val="auto"/>
          <w:highlight w:val="none"/>
        </w:rPr>
      </w:pPr>
    </w:p>
    <w:p w14:paraId="4B398E81">
      <w:pPr>
        <w:pStyle w:val="81"/>
        <w:spacing w:beforeAutospacing="0" w:afterAutospacing="0" w:line="0" w:lineRule="atLeast"/>
        <w:jc w:val="center"/>
        <w:rPr>
          <w:rFonts w:hint="eastAsia" w:ascii="宋体" w:hAnsi="宋体" w:eastAsia="宋体" w:cs="宋体"/>
          <w:color w:val="auto"/>
          <w:highlight w:val="none"/>
        </w:rPr>
      </w:pPr>
    </w:p>
    <w:p w14:paraId="2586E66D">
      <w:pPr>
        <w:pStyle w:val="81"/>
        <w:spacing w:beforeAutospacing="0" w:afterAutospacing="0" w:line="0" w:lineRule="atLeast"/>
        <w:jc w:val="center"/>
        <w:rPr>
          <w:rFonts w:hint="eastAsia" w:ascii="宋体" w:hAnsi="宋体" w:eastAsia="宋体" w:cs="宋体"/>
          <w:color w:val="auto"/>
          <w:highlight w:val="none"/>
        </w:rPr>
      </w:pPr>
    </w:p>
    <w:p w14:paraId="6A26996C">
      <w:pPr>
        <w:pStyle w:val="81"/>
        <w:spacing w:beforeAutospacing="0" w:afterAutospacing="0" w:line="0" w:lineRule="atLeast"/>
        <w:jc w:val="center"/>
        <w:rPr>
          <w:rFonts w:hint="eastAsia" w:ascii="宋体" w:hAnsi="宋体" w:eastAsia="宋体" w:cs="宋体"/>
          <w:color w:val="auto"/>
          <w:highlight w:val="none"/>
        </w:rPr>
      </w:pPr>
    </w:p>
    <w:p w14:paraId="51E4438C">
      <w:pPr>
        <w:pStyle w:val="81"/>
        <w:spacing w:beforeAutospacing="0" w:afterAutospacing="0" w:line="0" w:lineRule="atLeast"/>
        <w:jc w:val="center"/>
        <w:rPr>
          <w:rFonts w:hint="eastAsia" w:ascii="宋体" w:hAnsi="宋体" w:eastAsia="宋体" w:cs="宋体"/>
          <w:color w:val="auto"/>
          <w:highlight w:val="none"/>
        </w:rPr>
      </w:pPr>
    </w:p>
    <w:p w14:paraId="1391169F">
      <w:pPr>
        <w:pStyle w:val="81"/>
        <w:spacing w:beforeAutospacing="0" w:afterAutospacing="0" w:line="0" w:lineRule="atLeast"/>
        <w:jc w:val="center"/>
        <w:rPr>
          <w:rFonts w:hint="eastAsia" w:ascii="宋体" w:hAnsi="宋体" w:eastAsia="宋体" w:cs="宋体"/>
          <w:color w:val="auto"/>
          <w:highlight w:val="none"/>
        </w:rPr>
      </w:pPr>
    </w:p>
    <w:p w14:paraId="686B61D8">
      <w:pPr>
        <w:pStyle w:val="81"/>
        <w:spacing w:beforeAutospacing="0" w:afterAutospacing="0" w:line="0" w:lineRule="atLeast"/>
        <w:jc w:val="center"/>
        <w:rPr>
          <w:rFonts w:hint="eastAsia" w:ascii="宋体" w:hAnsi="宋体" w:eastAsia="宋体" w:cs="宋体"/>
          <w:color w:val="auto"/>
          <w:highlight w:val="none"/>
        </w:rPr>
      </w:pPr>
    </w:p>
    <w:p w14:paraId="557DDC65">
      <w:pPr>
        <w:pStyle w:val="81"/>
        <w:spacing w:beforeAutospacing="0" w:afterAutospacing="0" w:line="0" w:lineRule="atLeast"/>
        <w:jc w:val="center"/>
        <w:rPr>
          <w:rFonts w:hint="eastAsia" w:ascii="宋体" w:hAnsi="宋体" w:eastAsia="宋体" w:cs="宋体"/>
          <w:color w:val="auto"/>
          <w:highlight w:val="none"/>
        </w:rPr>
      </w:pPr>
    </w:p>
    <w:p w14:paraId="4211282F">
      <w:pPr>
        <w:pStyle w:val="81"/>
        <w:spacing w:beforeAutospacing="0" w:afterAutospacing="0" w:line="0" w:lineRule="atLeast"/>
        <w:jc w:val="center"/>
        <w:rPr>
          <w:rFonts w:hint="eastAsia" w:ascii="宋体" w:hAnsi="宋体" w:eastAsia="宋体" w:cs="宋体"/>
          <w:color w:val="auto"/>
          <w:highlight w:val="none"/>
        </w:rPr>
      </w:pPr>
    </w:p>
    <w:p w14:paraId="155B6EAB">
      <w:pPr>
        <w:pStyle w:val="81"/>
        <w:spacing w:beforeAutospacing="0" w:afterAutospacing="0" w:line="0" w:lineRule="atLeast"/>
        <w:jc w:val="center"/>
        <w:rPr>
          <w:rFonts w:hint="eastAsia" w:ascii="宋体" w:hAnsi="宋体" w:eastAsia="宋体" w:cs="宋体"/>
          <w:color w:val="auto"/>
          <w:highlight w:val="none"/>
        </w:rPr>
      </w:pPr>
    </w:p>
    <w:p w14:paraId="0F12EE95">
      <w:pPr>
        <w:pStyle w:val="81"/>
        <w:spacing w:beforeAutospacing="0" w:afterAutospacing="0" w:line="0" w:lineRule="atLeast"/>
        <w:jc w:val="center"/>
        <w:rPr>
          <w:rFonts w:hint="eastAsia" w:ascii="宋体" w:hAnsi="宋体" w:eastAsia="宋体" w:cs="宋体"/>
          <w:color w:val="auto"/>
          <w:highlight w:val="none"/>
        </w:rPr>
      </w:pPr>
    </w:p>
    <w:p w14:paraId="58D338B8">
      <w:pPr>
        <w:pStyle w:val="81"/>
        <w:spacing w:beforeAutospacing="0" w:afterAutospacing="0" w:line="0" w:lineRule="atLeast"/>
        <w:jc w:val="center"/>
        <w:rPr>
          <w:rFonts w:hint="eastAsia" w:ascii="宋体" w:hAnsi="宋体" w:eastAsia="宋体" w:cs="宋体"/>
          <w:color w:val="auto"/>
          <w:highlight w:val="none"/>
        </w:rPr>
      </w:pPr>
    </w:p>
    <w:p w14:paraId="6260FE6A">
      <w:pPr>
        <w:pStyle w:val="81"/>
        <w:spacing w:beforeAutospacing="0" w:afterAutospacing="0" w:line="0" w:lineRule="atLeast"/>
        <w:jc w:val="center"/>
        <w:rPr>
          <w:rFonts w:hint="eastAsia" w:ascii="宋体" w:hAnsi="宋体" w:eastAsia="宋体" w:cs="宋体"/>
          <w:color w:val="auto"/>
          <w:highlight w:val="none"/>
        </w:rPr>
      </w:pPr>
    </w:p>
    <w:p w14:paraId="6090C7E0">
      <w:pPr>
        <w:pStyle w:val="8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rFonts w:hint="eastAsia" w:ascii="宋体" w:hAnsi="宋体" w:eastAsia="宋体" w:cs="宋体"/>
          <w:i/>
          <w:iCs w:val="0"/>
          <w:color w:val="auto"/>
          <w:sz w:val="28"/>
          <w:szCs w:val="28"/>
          <w:highlight w:val="none"/>
          <w:u w:val="single"/>
          <w:lang w:val="en-US" w:eastAsia="zh-CN" w:bidi="ar-SA"/>
        </w:rPr>
      </w:pPr>
      <w:r>
        <w:rPr>
          <w:rFonts w:hint="eastAsia" w:ascii="宋体" w:hAnsi="宋体" w:eastAsia="宋体" w:cs="宋体"/>
          <w:i/>
          <w:iCs w:val="0"/>
          <w:color w:val="auto"/>
          <w:sz w:val="28"/>
          <w:szCs w:val="28"/>
          <w:highlight w:val="none"/>
          <w:u w:val="single"/>
          <w:lang w:val="en-US" w:eastAsia="zh-CN" w:bidi="ar-SA"/>
        </w:rPr>
        <w:t>十一、关于符合本国产品标准的声明函</w:t>
      </w:r>
    </w:p>
    <w:p w14:paraId="0FC89A8C">
      <w:pPr>
        <w:pStyle w:val="8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16DB6E7C">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52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AC0A3FD">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strike/>
          <w:color w:val="auto"/>
          <w:sz w:val="24"/>
          <w:szCs w:val="24"/>
          <w:highlight w:val="none"/>
          <w:u w:val="single"/>
          <w:shd w:val="clear" w:color="auto" w:fill="FFFFFF"/>
        </w:rPr>
        <w:t> （产品名称1）</w:t>
      </w:r>
      <w:r>
        <w:rPr>
          <w:rFonts w:hint="eastAsia" w:ascii="宋体" w:hAnsi="宋体" w:eastAsia="宋体" w:cs="宋体"/>
          <w:color w:val="auto"/>
          <w:sz w:val="24"/>
          <w:szCs w:val="24"/>
          <w:highlight w:val="none"/>
          <w:u w:val="single"/>
          <w:shd w:val="clear" w:color="auto" w:fill="FFFFFF"/>
        </w:rPr>
        <w:t>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strike/>
          <w:color w:val="auto"/>
          <w:sz w:val="24"/>
          <w:szCs w:val="24"/>
          <w:highlight w:val="none"/>
          <w:u w:val="single"/>
          <w:shd w:val="clear" w:color="auto" w:fill="FFFFFF"/>
        </w:rPr>
        <w:t>（规定比例）</w:t>
      </w:r>
      <w:r>
        <w:rPr>
          <w:rFonts w:hint="eastAsia" w:ascii="宋体" w:hAnsi="宋体" w:eastAsia="宋体" w:cs="宋体"/>
          <w:strike/>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strike/>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strike/>
          <w:color w:val="auto"/>
          <w:sz w:val="24"/>
          <w:szCs w:val="24"/>
          <w:highlight w:val="none"/>
          <w:u w:val="single"/>
          <w:shd w:val="clear" w:color="auto" w:fill="FFFFFF"/>
        </w:rPr>
        <w:t>（关键组件）</w:t>
      </w:r>
      <w:r>
        <w:rPr>
          <w:rFonts w:hint="eastAsia" w:ascii="宋体" w:hAnsi="宋体" w:eastAsia="宋体" w:cs="宋体"/>
          <w:strike/>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strike/>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strike/>
          <w:color w:val="auto"/>
          <w:sz w:val="24"/>
          <w:szCs w:val="24"/>
          <w:highlight w:val="none"/>
          <w:u w:val="single"/>
          <w:shd w:val="clear" w:color="auto" w:fill="FFFFFF"/>
        </w:rPr>
        <w:t>（关键工序）</w:t>
      </w:r>
      <w:r>
        <w:rPr>
          <w:rFonts w:hint="eastAsia" w:ascii="宋体" w:hAnsi="宋体" w:eastAsia="宋体" w:cs="宋体"/>
          <w:strike/>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36338FE6">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strike/>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strike/>
          <w:color w:val="auto"/>
          <w:sz w:val="24"/>
          <w:szCs w:val="24"/>
          <w:highlight w:val="none"/>
          <w:u w:val="single"/>
          <w:shd w:val="clear" w:color="auto" w:fill="FFFFFF"/>
        </w:rPr>
        <w:t>（规定比例）</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strike/>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strike/>
          <w:color w:val="auto"/>
          <w:sz w:val="24"/>
          <w:szCs w:val="24"/>
          <w:highlight w:val="none"/>
          <w:u w:val="single"/>
          <w:shd w:val="clear" w:color="auto" w:fill="FFFFFF"/>
        </w:rPr>
        <w:t>（关键组件）</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strike/>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strike/>
          <w:color w:val="auto"/>
          <w:sz w:val="24"/>
          <w:szCs w:val="24"/>
          <w:highlight w:val="none"/>
          <w:u w:val="single"/>
          <w:shd w:val="clear" w:color="auto" w:fill="FFFFFF"/>
        </w:rPr>
        <w:t>（关键工序）</w:t>
      </w:r>
      <w:r>
        <w:rPr>
          <w:rFonts w:hint="eastAsia" w:ascii="宋体" w:hAnsi="宋体" w:eastAsia="宋体" w:cs="宋体"/>
          <w:color w:val="auto"/>
          <w:sz w:val="24"/>
          <w:szCs w:val="24"/>
          <w:highlight w:val="none"/>
          <w:shd w:val="clear" w:color="auto" w:fill="FFFFFF"/>
        </w:rPr>
        <w:t>在中国境内完成。</w:t>
      </w:r>
    </w:p>
    <w:p w14:paraId="071304BB">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w:t>
      </w:r>
    </w:p>
    <w:p w14:paraId="0F17678A">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38E4E00E">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w:t>
      </w:r>
    </w:p>
    <w:p w14:paraId="443B1873">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ind w:left="0" w:right="480" w:firstLine="5208"/>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公司（单位）名称（盖章）：　</w:t>
      </w:r>
    </w:p>
    <w:p w14:paraId="50D1EBDB">
      <w:pPr>
        <w:pStyle w:val="81"/>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日期：　   年　  月　</w:t>
      </w:r>
      <w:r>
        <w:rPr>
          <w:rFonts w:hint="eastAsia" w:ascii="宋体" w:hAnsi="宋体" w:eastAsia="宋体" w:cs="宋体"/>
          <w:color w:val="auto"/>
          <w:sz w:val="24"/>
          <w:szCs w:val="24"/>
          <w:highlight w:val="none"/>
          <w:shd w:val="clear" w:color="auto" w:fill="FFFFFF"/>
          <w:lang w:val="en-US" w:eastAsia="zh-CN"/>
        </w:rPr>
        <w:t>日</w:t>
      </w:r>
      <w:r>
        <w:rPr>
          <w:rFonts w:hint="eastAsia" w:ascii="宋体" w:hAnsi="宋体" w:eastAsia="宋体" w:cs="宋体"/>
          <w:color w:val="auto"/>
          <w:sz w:val="24"/>
          <w:szCs w:val="24"/>
          <w:highlight w:val="none"/>
          <w:shd w:val="clear" w:color="auto" w:fill="FFFFFF"/>
        </w:rPr>
        <w:t>           </w:t>
      </w:r>
    </w:p>
    <w:p w14:paraId="46A166BC">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1.产品如有型号，请在“产品名称”栏一并填写。</w:t>
      </w:r>
    </w:p>
    <w:p w14:paraId="4C0AFA4E">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2.生产厂名与厂址应与生产厂营业执照载明的相关信息保持一致。</w:t>
      </w:r>
    </w:p>
    <w:p w14:paraId="2BF949AE">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3.该产品的中国境内生产的组件成本占比相关要求实施前，“规定比例”栏可不填，下同。</w:t>
      </w:r>
    </w:p>
    <w:p w14:paraId="22F2E418">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4.该产品的关键组件要求实施前，“关键组件”栏可不填，下同。</w:t>
      </w:r>
    </w:p>
    <w:p w14:paraId="70830A54">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5.该产品的关键工序要求实施前，“关键工序”栏可不填，下同。</w:t>
      </w:r>
    </w:p>
    <w:p w14:paraId="4ADED7BC">
      <w:pPr>
        <w:pStyle w:val="81"/>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6.用</w:t>
      </w:r>
      <w:r>
        <w:rPr>
          <w:rFonts w:hint="eastAsia" w:ascii="宋体" w:hAnsi="宋体" w:eastAsia="宋体" w:cs="宋体"/>
          <w:color w:val="auto"/>
          <w:sz w:val="24"/>
          <w:highlight w:val="none"/>
          <w:lang w:val="en-US" w:eastAsia="zh-CN"/>
        </w:rPr>
        <w:t>横</w:t>
      </w:r>
      <w:r>
        <w:rPr>
          <w:rFonts w:hint="eastAsia" w:ascii="宋体" w:hAnsi="宋体" w:eastAsia="宋体" w:cs="宋体"/>
          <w:color w:val="auto"/>
          <w:sz w:val="24"/>
          <w:highlight w:val="none"/>
        </w:rPr>
        <w:t>线划除的地方无需填写</w:t>
      </w:r>
    </w:p>
    <w:p w14:paraId="65A665B8">
      <w:pPr>
        <w:pStyle w:val="81"/>
        <w:spacing w:beforeAutospacing="0" w:afterAutospacing="0" w:line="0" w:lineRule="atLeast"/>
        <w:jc w:val="center"/>
        <w:rPr>
          <w:rFonts w:hint="eastAsia" w:ascii="宋体" w:hAnsi="宋体" w:eastAsia="宋体" w:cs="宋体"/>
          <w:b/>
          <w:color w:val="auto"/>
          <w:sz w:val="32"/>
          <w:szCs w:val="32"/>
          <w:highlight w:val="none"/>
          <w:lang w:val="en-US" w:eastAsia="zh-CN"/>
        </w:rPr>
        <w:sectPr>
          <w:footerReference r:id="rId5" w:type="default"/>
          <w:pgSz w:w="11906" w:h="16838"/>
          <w:pgMar w:top="1440" w:right="1800" w:bottom="1440" w:left="1800" w:header="851" w:footer="992" w:gutter="0"/>
          <w:cols w:space="1701" w:num="1"/>
          <w:docGrid w:linePitch="360" w:charSpace="0"/>
        </w:sectPr>
      </w:pPr>
    </w:p>
    <w:p w14:paraId="64781659">
      <w:pPr>
        <w:pStyle w:val="81"/>
        <w:spacing w:beforeAutospacing="0" w:afterAutospacing="0" w:line="0" w:lineRule="atLeast"/>
        <w:jc w:val="center"/>
        <w:rPr>
          <w:rFonts w:hint="eastAsia" w:ascii="宋体" w:hAnsi="宋体" w:eastAsia="宋体" w:cs="宋体"/>
          <w:i/>
          <w:iCs w:val="0"/>
          <w:color w:val="auto"/>
          <w:sz w:val="28"/>
          <w:szCs w:val="28"/>
          <w:highlight w:val="none"/>
          <w:u w:val="single"/>
          <w:lang w:val="en-US" w:eastAsia="zh-CN" w:bidi="ar-SA"/>
        </w:rPr>
      </w:pPr>
      <w:r>
        <w:rPr>
          <w:rFonts w:hint="eastAsia" w:ascii="宋体" w:hAnsi="宋体" w:eastAsia="宋体" w:cs="宋体"/>
          <w:i/>
          <w:iCs w:val="0"/>
          <w:color w:val="auto"/>
          <w:sz w:val="28"/>
          <w:szCs w:val="28"/>
          <w:highlight w:val="none"/>
          <w:u w:val="single"/>
          <w:lang w:val="en-US" w:eastAsia="zh-CN" w:bidi="ar-SA"/>
        </w:rPr>
        <w:t>十二、投标分项报价表（分包号：**）</w:t>
      </w:r>
    </w:p>
    <w:p w14:paraId="6172DDCF">
      <w:pPr>
        <w:pStyle w:val="247"/>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p>
    <w:p w14:paraId="1C1044B1">
      <w:pPr>
        <w:pStyle w:val="247"/>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供应商</w:t>
      </w:r>
      <w:r>
        <w:rPr>
          <w:rFonts w:hint="eastAsia" w:ascii="宋体" w:hAnsi="宋体" w:eastAsia="宋体" w:cs="宋体"/>
          <w:color w:val="auto"/>
          <w:sz w:val="21"/>
          <w:highlight w:val="none"/>
        </w:rPr>
        <w:t>名称（</w:t>
      </w:r>
      <w:r>
        <w:rPr>
          <w:rFonts w:hint="eastAsia" w:ascii="宋体" w:hAnsi="宋体" w:eastAsia="宋体" w:cs="宋体"/>
          <w:color w:val="auto"/>
          <w:sz w:val="21"/>
          <w:highlight w:val="none"/>
          <w:lang w:val="en-US" w:eastAsia="zh-CN"/>
        </w:rPr>
        <w:t>加盖</w:t>
      </w:r>
      <w:r>
        <w:rPr>
          <w:rFonts w:hint="eastAsia" w:ascii="宋体" w:hAnsi="宋体" w:eastAsia="宋体" w:cs="宋体"/>
          <w:color w:val="auto"/>
          <w:sz w:val="21"/>
          <w:highlight w:val="none"/>
        </w:rPr>
        <w:t xml:space="preserve">CA电子公章）：  </w:t>
      </w:r>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734"/>
        <w:gridCol w:w="1928"/>
        <w:gridCol w:w="963"/>
        <w:gridCol w:w="634"/>
        <w:gridCol w:w="806"/>
        <w:gridCol w:w="855"/>
        <w:gridCol w:w="3026"/>
      </w:tblGrid>
      <w:tr w14:paraId="7849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56E8475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序号</w:t>
            </w:r>
          </w:p>
        </w:tc>
        <w:tc>
          <w:tcPr>
            <w:tcW w:w="2662" w:type="dxa"/>
            <w:gridSpan w:val="2"/>
            <w:noWrap w:val="0"/>
            <w:vAlign w:val="center"/>
          </w:tcPr>
          <w:p w14:paraId="54ABD952">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标的物名称</w:t>
            </w:r>
          </w:p>
        </w:tc>
        <w:tc>
          <w:tcPr>
            <w:tcW w:w="963" w:type="dxa"/>
            <w:noWrap w:val="0"/>
            <w:vAlign w:val="center"/>
          </w:tcPr>
          <w:p w14:paraId="7AF5B06D">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单位</w:t>
            </w:r>
          </w:p>
        </w:tc>
        <w:tc>
          <w:tcPr>
            <w:tcW w:w="634" w:type="dxa"/>
            <w:noWrap w:val="0"/>
            <w:vAlign w:val="center"/>
          </w:tcPr>
          <w:p w14:paraId="41F63CC8">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数量</w:t>
            </w:r>
          </w:p>
        </w:tc>
        <w:tc>
          <w:tcPr>
            <w:tcW w:w="806" w:type="dxa"/>
            <w:noWrap w:val="0"/>
            <w:vAlign w:val="center"/>
          </w:tcPr>
          <w:p w14:paraId="4FB3047D">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单价</w:t>
            </w:r>
          </w:p>
        </w:tc>
        <w:tc>
          <w:tcPr>
            <w:tcW w:w="855" w:type="dxa"/>
            <w:noWrap w:val="0"/>
            <w:vAlign w:val="center"/>
          </w:tcPr>
          <w:p w14:paraId="6453D34A">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总价</w:t>
            </w:r>
          </w:p>
        </w:tc>
        <w:tc>
          <w:tcPr>
            <w:tcW w:w="3026" w:type="dxa"/>
            <w:noWrap w:val="0"/>
            <w:vAlign w:val="center"/>
          </w:tcPr>
          <w:p w14:paraId="22593D4E">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备注</w:t>
            </w:r>
          </w:p>
        </w:tc>
      </w:tr>
      <w:tr w14:paraId="4F34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0CB7C00B">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1</w:t>
            </w:r>
          </w:p>
        </w:tc>
        <w:tc>
          <w:tcPr>
            <w:tcW w:w="2662" w:type="dxa"/>
            <w:gridSpan w:val="2"/>
            <w:noWrap w:val="0"/>
            <w:vAlign w:val="center"/>
          </w:tcPr>
          <w:p w14:paraId="1E46E56D">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人员工资、社保、住房公积金、加班费等费用</w:t>
            </w:r>
          </w:p>
        </w:tc>
        <w:tc>
          <w:tcPr>
            <w:tcW w:w="2403" w:type="dxa"/>
            <w:gridSpan w:val="3"/>
            <w:noWrap w:val="0"/>
            <w:vAlign w:val="center"/>
          </w:tcPr>
          <w:p w14:paraId="698F4C2E">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（以下各项合计）</w:t>
            </w:r>
          </w:p>
        </w:tc>
        <w:tc>
          <w:tcPr>
            <w:tcW w:w="855" w:type="dxa"/>
            <w:noWrap w:val="0"/>
            <w:vAlign w:val="center"/>
          </w:tcPr>
          <w:p w14:paraId="40C33A0E">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p>
        </w:tc>
        <w:tc>
          <w:tcPr>
            <w:tcW w:w="3026" w:type="dxa"/>
            <w:noWrap w:val="0"/>
            <w:vAlign w:val="center"/>
          </w:tcPr>
          <w:p w14:paraId="352413EB">
            <w:pPr>
              <w:keepNext w:val="0"/>
              <w:keepLines w:val="0"/>
              <w:widowControl/>
              <w:suppressLineNumbers w:val="0"/>
              <w:jc w:val="both"/>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备注栏内要求必须完全响应否则作无效标书处理。</w:t>
            </w:r>
          </w:p>
        </w:tc>
      </w:tr>
      <w:tr w14:paraId="5EA3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92" w:type="dxa"/>
            <w:vMerge w:val="restart"/>
            <w:noWrap w:val="0"/>
            <w:vAlign w:val="center"/>
          </w:tcPr>
          <w:p w14:paraId="2B344279">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1.1</w:t>
            </w:r>
          </w:p>
        </w:tc>
        <w:tc>
          <w:tcPr>
            <w:tcW w:w="734" w:type="dxa"/>
            <w:vMerge w:val="restart"/>
            <w:noWrap w:val="0"/>
            <w:vAlign w:val="center"/>
          </w:tcPr>
          <w:p w14:paraId="13C0AA5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人员工资</w:t>
            </w:r>
          </w:p>
        </w:tc>
        <w:tc>
          <w:tcPr>
            <w:tcW w:w="1928" w:type="dxa"/>
            <w:noWrap w:val="0"/>
            <w:vAlign w:val="center"/>
          </w:tcPr>
          <w:p w14:paraId="511C02B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项目负责人</w:t>
            </w:r>
          </w:p>
        </w:tc>
        <w:tc>
          <w:tcPr>
            <w:tcW w:w="963" w:type="dxa"/>
            <w:noWrap w:val="0"/>
            <w:vAlign w:val="center"/>
          </w:tcPr>
          <w:p w14:paraId="516FB02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79F5013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w:t>
            </w:r>
          </w:p>
        </w:tc>
        <w:tc>
          <w:tcPr>
            <w:tcW w:w="806" w:type="dxa"/>
            <w:noWrap w:val="0"/>
            <w:vAlign w:val="center"/>
          </w:tcPr>
          <w:p w14:paraId="5590C935">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2D138936">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vMerge w:val="restart"/>
            <w:noWrap w:val="0"/>
            <w:vAlign w:val="center"/>
          </w:tcPr>
          <w:p w14:paraId="3B5A455C">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所有人员工资不得低于盐城市区最低工资标准（2430元/人/月），否则作无效标书处理。</w:t>
            </w:r>
          </w:p>
        </w:tc>
      </w:tr>
      <w:tr w14:paraId="5F26E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92" w:type="dxa"/>
            <w:vMerge w:val="continue"/>
            <w:noWrap w:val="0"/>
            <w:vAlign w:val="center"/>
          </w:tcPr>
          <w:p w14:paraId="2E6EFEBE">
            <w:pPr>
              <w:jc w:val="center"/>
              <w:rPr>
                <w:rFonts w:hint="eastAsia" w:ascii="宋体" w:hAnsi="宋体" w:eastAsia="宋体" w:cs="宋体"/>
                <w:i w:val="0"/>
                <w:iCs w:val="0"/>
                <w:color w:val="auto"/>
                <w:sz w:val="21"/>
                <w:szCs w:val="21"/>
                <w:highlight w:val="none"/>
                <w:u w:val="none"/>
              </w:rPr>
            </w:pPr>
          </w:p>
        </w:tc>
        <w:tc>
          <w:tcPr>
            <w:tcW w:w="734" w:type="dxa"/>
            <w:vMerge w:val="continue"/>
            <w:noWrap w:val="0"/>
            <w:vAlign w:val="center"/>
          </w:tcPr>
          <w:p w14:paraId="4DCFC2BF">
            <w:pPr>
              <w:jc w:val="center"/>
              <w:rPr>
                <w:rFonts w:hint="eastAsia" w:ascii="宋体" w:hAnsi="宋体" w:eastAsia="宋体" w:cs="宋体"/>
                <w:i w:val="0"/>
                <w:iCs w:val="0"/>
                <w:color w:val="auto"/>
                <w:sz w:val="21"/>
                <w:szCs w:val="21"/>
                <w:highlight w:val="none"/>
                <w:u w:val="none"/>
              </w:rPr>
            </w:pPr>
          </w:p>
        </w:tc>
        <w:tc>
          <w:tcPr>
            <w:tcW w:w="1928" w:type="dxa"/>
            <w:noWrap/>
            <w:vAlign w:val="center"/>
          </w:tcPr>
          <w:p w14:paraId="383A024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保安员</w:t>
            </w:r>
          </w:p>
        </w:tc>
        <w:tc>
          <w:tcPr>
            <w:tcW w:w="963" w:type="dxa"/>
            <w:noWrap w:val="0"/>
            <w:vAlign w:val="center"/>
          </w:tcPr>
          <w:p w14:paraId="560AF43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4315FBB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25</w:t>
            </w:r>
          </w:p>
        </w:tc>
        <w:tc>
          <w:tcPr>
            <w:tcW w:w="806" w:type="dxa"/>
            <w:noWrap w:val="0"/>
            <w:vAlign w:val="center"/>
          </w:tcPr>
          <w:p w14:paraId="10A5C9AF">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642C2D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vMerge w:val="continue"/>
            <w:noWrap w:val="0"/>
            <w:vAlign w:val="center"/>
          </w:tcPr>
          <w:p w14:paraId="527ED47B">
            <w:pPr>
              <w:jc w:val="center"/>
              <w:rPr>
                <w:rFonts w:hint="eastAsia" w:ascii="宋体" w:hAnsi="宋体" w:eastAsia="宋体" w:cs="宋体"/>
                <w:i w:val="0"/>
                <w:iCs w:val="0"/>
                <w:color w:val="auto"/>
                <w:sz w:val="21"/>
                <w:szCs w:val="21"/>
                <w:highlight w:val="none"/>
                <w:u w:val="none"/>
              </w:rPr>
            </w:pPr>
          </w:p>
        </w:tc>
      </w:tr>
      <w:tr w14:paraId="16F0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92" w:type="dxa"/>
            <w:vMerge w:val="continue"/>
            <w:noWrap w:val="0"/>
            <w:vAlign w:val="center"/>
          </w:tcPr>
          <w:p w14:paraId="161C305F">
            <w:pPr>
              <w:jc w:val="center"/>
              <w:rPr>
                <w:rFonts w:hint="eastAsia" w:ascii="宋体" w:hAnsi="宋体" w:eastAsia="宋体" w:cs="宋体"/>
                <w:i w:val="0"/>
                <w:iCs w:val="0"/>
                <w:color w:val="auto"/>
                <w:sz w:val="21"/>
                <w:szCs w:val="21"/>
                <w:highlight w:val="none"/>
                <w:u w:val="none"/>
              </w:rPr>
            </w:pPr>
          </w:p>
        </w:tc>
        <w:tc>
          <w:tcPr>
            <w:tcW w:w="734" w:type="dxa"/>
            <w:vMerge w:val="continue"/>
            <w:noWrap w:val="0"/>
            <w:vAlign w:val="center"/>
          </w:tcPr>
          <w:p w14:paraId="049528EC">
            <w:pPr>
              <w:jc w:val="center"/>
              <w:rPr>
                <w:rFonts w:hint="eastAsia" w:ascii="宋体" w:hAnsi="宋体" w:eastAsia="宋体" w:cs="宋体"/>
                <w:i w:val="0"/>
                <w:iCs w:val="0"/>
                <w:color w:val="auto"/>
                <w:sz w:val="21"/>
                <w:szCs w:val="21"/>
                <w:highlight w:val="none"/>
                <w:u w:val="none"/>
              </w:rPr>
            </w:pPr>
          </w:p>
        </w:tc>
        <w:tc>
          <w:tcPr>
            <w:tcW w:w="1928" w:type="dxa"/>
            <w:noWrap w:val="0"/>
            <w:vAlign w:val="center"/>
          </w:tcPr>
          <w:p w14:paraId="20D1DCD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保洁员</w:t>
            </w:r>
          </w:p>
        </w:tc>
        <w:tc>
          <w:tcPr>
            <w:tcW w:w="963" w:type="dxa"/>
            <w:noWrap w:val="0"/>
            <w:vAlign w:val="center"/>
          </w:tcPr>
          <w:p w14:paraId="70403CA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0073D95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7</w:t>
            </w:r>
          </w:p>
        </w:tc>
        <w:tc>
          <w:tcPr>
            <w:tcW w:w="806" w:type="dxa"/>
            <w:noWrap w:val="0"/>
            <w:vAlign w:val="center"/>
          </w:tcPr>
          <w:p w14:paraId="3BF1280E">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76278092">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vMerge w:val="continue"/>
            <w:noWrap w:val="0"/>
            <w:vAlign w:val="center"/>
          </w:tcPr>
          <w:p w14:paraId="351FF887">
            <w:pPr>
              <w:jc w:val="center"/>
              <w:rPr>
                <w:rFonts w:hint="eastAsia" w:ascii="宋体" w:hAnsi="宋体" w:eastAsia="宋体" w:cs="宋体"/>
                <w:i w:val="0"/>
                <w:iCs w:val="0"/>
                <w:color w:val="auto"/>
                <w:sz w:val="21"/>
                <w:szCs w:val="21"/>
                <w:highlight w:val="none"/>
                <w:u w:val="none"/>
              </w:rPr>
            </w:pPr>
          </w:p>
        </w:tc>
      </w:tr>
      <w:tr w14:paraId="508D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92" w:type="dxa"/>
            <w:vMerge w:val="continue"/>
            <w:noWrap w:val="0"/>
            <w:vAlign w:val="center"/>
          </w:tcPr>
          <w:p w14:paraId="05BB95E8">
            <w:pPr>
              <w:jc w:val="center"/>
              <w:rPr>
                <w:rFonts w:hint="eastAsia" w:ascii="宋体" w:hAnsi="宋体" w:eastAsia="宋体" w:cs="宋体"/>
                <w:i w:val="0"/>
                <w:iCs w:val="0"/>
                <w:color w:val="auto"/>
                <w:sz w:val="21"/>
                <w:szCs w:val="21"/>
                <w:highlight w:val="none"/>
                <w:u w:val="none"/>
              </w:rPr>
            </w:pPr>
          </w:p>
        </w:tc>
        <w:tc>
          <w:tcPr>
            <w:tcW w:w="734" w:type="dxa"/>
            <w:vMerge w:val="continue"/>
            <w:noWrap w:val="0"/>
            <w:vAlign w:val="center"/>
          </w:tcPr>
          <w:p w14:paraId="197EC9D2">
            <w:pPr>
              <w:jc w:val="center"/>
              <w:rPr>
                <w:rFonts w:hint="eastAsia" w:ascii="宋体" w:hAnsi="宋体" w:eastAsia="宋体" w:cs="宋体"/>
                <w:i w:val="0"/>
                <w:iCs w:val="0"/>
                <w:color w:val="auto"/>
                <w:sz w:val="21"/>
                <w:szCs w:val="21"/>
                <w:highlight w:val="none"/>
                <w:u w:val="none"/>
              </w:rPr>
            </w:pPr>
          </w:p>
        </w:tc>
        <w:tc>
          <w:tcPr>
            <w:tcW w:w="1928" w:type="dxa"/>
            <w:noWrap w:val="0"/>
            <w:vAlign w:val="center"/>
          </w:tcPr>
          <w:p w14:paraId="67B3110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会务客服</w:t>
            </w:r>
          </w:p>
        </w:tc>
        <w:tc>
          <w:tcPr>
            <w:tcW w:w="963" w:type="dxa"/>
            <w:noWrap w:val="0"/>
            <w:vAlign w:val="center"/>
          </w:tcPr>
          <w:p w14:paraId="08D765A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7CB7971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w:t>
            </w:r>
          </w:p>
        </w:tc>
        <w:tc>
          <w:tcPr>
            <w:tcW w:w="806" w:type="dxa"/>
            <w:noWrap w:val="0"/>
            <w:vAlign w:val="center"/>
          </w:tcPr>
          <w:p w14:paraId="08103184">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7194978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vMerge w:val="continue"/>
            <w:noWrap w:val="0"/>
            <w:vAlign w:val="center"/>
          </w:tcPr>
          <w:p w14:paraId="005F7F34">
            <w:pPr>
              <w:jc w:val="center"/>
              <w:rPr>
                <w:rFonts w:hint="eastAsia" w:ascii="宋体" w:hAnsi="宋体" w:eastAsia="宋体" w:cs="宋体"/>
                <w:i w:val="0"/>
                <w:iCs w:val="0"/>
                <w:color w:val="auto"/>
                <w:sz w:val="21"/>
                <w:szCs w:val="21"/>
                <w:highlight w:val="none"/>
                <w:u w:val="none"/>
              </w:rPr>
            </w:pPr>
          </w:p>
        </w:tc>
      </w:tr>
      <w:tr w14:paraId="66F0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92" w:type="dxa"/>
            <w:vMerge w:val="continue"/>
            <w:noWrap w:val="0"/>
            <w:vAlign w:val="center"/>
          </w:tcPr>
          <w:p w14:paraId="70FFA406">
            <w:pPr>
              <w:jc w:val="center"/>
              <w:rPr>
                <w:rFonts w:hint="eastAsia" w:ascii="宋体" w:hAnsi="宋体" w:eastAsia="宋体" w:cs="宋体"/>
                <w:i w:val="0"/>
                <w:iCs w:val="0"/>
                <w:color w:val="auto"/>
                <w:sz w:val="21"/>
                <w:szCs w:val="21"/>
                <w:highlight w:val="none"/>
                <w:u w:val="none"/>
              </w:rPr>
            </w:pPr>
          </w:p>
        </w:tc>
        <w:tc>
          <w:tcPr>
            <w:tcW w:w="734" w:type="dxa"/>
            <w:vMerge w:val="continue"/>
            <w:noWrap w:val="0"/>
            <w:vAlign w:val="center"/>
          </w:tcPr>
          <w:p w14:paraId="25011D3C">
            <w:pPr>
              <w:jc w:val="center"/>
              <w:rPr>
                <w:rFonts w:hint="eastAsia" w:ascii="宋体" w:hAnsi="宋体" w:eastAsia="宋体" w:cs="宋体"/>
                <w:i w:val="0"/>
                <w:iCs w:val="0"/>
                <w:color w:val="auto"/>
                <w:sz w:val="21"/>
                <w:szCs w:val="21"/>
                <w:highlight w:val="none"/>
                <w:u w:val="none"/>
              </w:rPr>
            </w:pPr>
          </w:p>
        </w:tc>
        <w:tc>
          <w:tcPr>
            <w:tcW w:w="1928" w:type="dxa"/>
            <w:noWrap w:val="0"/>
            <w:vAlign w:val="center"/>
          </w:tcPr>
          <w:p w14:paraId="5674F0F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工程维修人员</w:t>
            </w:r>
          </w:p>
        </w:tc>
        <w:tc>
          <w:tcPr>
            <w:tcW w:w="963" w:type="dxa"/>
            <w:noWrap w:val="0"/>
            <w:vAlign w:val="center"/>
          </w:tcPr>
          <w:p w14:paraId="68DA2F2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3501CAD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1</w:t>
            </w:r>
          </w:p>
        </w:tc>
        <w:tc>
          <w:tcPr>
            <w:tcW w:w="806" w:type="dxa"/>
            <w:noWrap w:val="0"/>
            <w:vAlign w:val="center"/>
          </w:tcPr>
          <w:p w14:paraId="41500E5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2202AAA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73A53D65">
            <w:pPr>
              <w:jc w:val="center"/>
              <w:rPr>
                <w:rFonts w:hint="eastAsia" w:ascii="宋体" w:hAnsi="宋体" w:eastAsia="宋体" w:cs="宋体"/>
                <w:i w:val="0"/>
                <w:iCs w:val="0"/>
                <w:color w:val="auto"/>
                <w:sz w:val="21"/>
                <w:szCs w:val="21"/>
                <w:highlight w:val="none"/>
                <w:u w:val="none"/>
              </w:rPr>
            </w:pPr>
          </w:p>
        </w:tc>
      </w:tr>
      <w:tr w14:paraId="1C67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92" w:type="dxa"/>
            <w:vMerge w:val="continue"/>
            <w:noWrap w:val="0"/>
            <w:vAlign w:val="center"/>
          </w:tcPr>
          <w:p w14:paraId="41E3B313">
            <w:pPr>
              <w:jc w:val="center"/>
              <w:rPr>
                <w:rFonts w:hint="eastAsia" w:ascii="宋体" w:hAnsi="宋体" w:eastAsia="宋体" w:cs="宋体"/>
                <w:i w:val="0"/>
                <w:iCs w:val="0"/>
                <w:color w:val="auto"/>
                <w:sz w:val="21"/>
                <w:szCs w:val="21"/>
                <w:highlight w:val="none"/>
                <w:u w:val="none"/>
              </w:rPr>
            </w:pPr>
          </w:p>
        </w:tc>
        <w:tc>
          <w:tcPr>
            <w:tcW w:w="734" w:type="dxa"/>
            <w:vMerge w:val="continue"/>
            <w:noWrap w:val="0"/>
            <w:vAlign w:val="center"/>
          </w:tcPr>
          <w:p w14:paraId="33C33711">
            <w:pPr>
              <w:jc w:val="center"/>
              <w:rPr>
                <w:rFonts w:hint="eastAsia" w:ascii="宋体" w:hAnsi="宋体" w:eastAsia="宋体" w:cs="宋体"/>
                <w:i w:val="0"/>
                <w:iCs w:val="0"/>
                <w:color w:val="auto"/>
                <w:sz w:val="21"/>
                <w:szCs w:val="21"/>
                <w:highlight w:val="none"/>
                <w:u w:val="none"/>
              </w:rPr>
            </w:pPr>
          </w:p>
        </w:tc>
        <w:tc>
          <w:tcPr>
            <w:tcW w:w="1928" w:type="dxa"/>
            <w:noWrap w:val="0"/>
            <w:vAlign w:val="center"/>
          </w:tcPr>
          <w:p w14:paraId="7AE4E19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安检人员</w:t>
            </w:r>
          </w:p>
        </w:tc>
        <w:tc>
          <w:tcPr>
            <w:tcW w:w="963" w:type="dxa"/>
            <w:noWrap w:val="0"/>
            <w:vAlign w:val="center"/>
          </w:tcPr>
          <w:p w14:paraId="760E1A3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699544A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5</w:t>
            </w:r>
          </w:p>
        </w:tc>
        <w:tc>
          <w:tcPr>
            <w:tcW w:w="806" w:type="dxa"/>
            <w:noWrap w:val="0"/>
            <w:vAlign w:val="center"/>
          </w:tcPr>
          <w:p w14:paraId="7F7107E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2697355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69A20209">
            <w:pPr>
              <w:jc w:val="center"/>
              <w:rPr>
                <w:rFonts w:hint="eastAsia" w:ascii="宋体" w:hAnsi="宋体" w:eastAsia="宋体" w:cs="宋体"/>
                <w:i w:val="0"/>
                <w:iCs w:val="0"/>
                <w:color w:val="auto"/>
                <w:sz w:val="21"/>
                <w:szCs w:val="21"/>
                <w:highlight w:val="none"/>
                <w:u w:val="none"/>
              </w:rPr>
            </w:pPr>
          </w:p>
        </w:tc>
      </w:tr>
      <w:tr w14:paraId="33812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692" w:type="dxa"/>
            <w:noWrap w:val="0"/>
            <w:vAlign w:val="center"/>
          </w:tcPr>
          <w:p w14:paraId="1CD391A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1.2</w:t>
            </w:r>
          </w:p>
        </w:tc>
        <w:tc>
          <w:tcPr>
            <w:tcW w:w="2662" w:type="dxa"/>
            <w:gridSpan w:val="2"/>
            <w:noWrap w:val="0"/>
            <w:vAlign w:val="center"/>
          </w:tcPr>
          <w:p w14:paraId="64CE267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社保</w:t>
            </w:r>
          </w:p>
        </w:tc>
        <w:tc>
          <w:tcPr>
            <w:tcW w:w="963" w:type="dxa"/>
            <w:noWrap w:val="0"/>
            <w:vAlign w:val="center"/>
          </w:tcPr>
          <w:p w14:paraId="5A26A0A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673B30B2">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sz w:val="21"/>
                <w:szCs w:val="21"/>
                <w:highlight w:val="none"/>
                <w:u w:val="none"/>
                <w:lang w:val="en-US" w:eastAsia="zh-CN" w:bidi="ar"/>
              </w:rPr>
              <w:t>40</w:t>
            </w:r>
          </w:p>
        </w:tc>
        <w:tc>
          <w:tcPr>
            <w:tcW w:w="806" w:type="dxa"/>
            <w:noWrap w:val="0"/>
            <w:vAlign w:val="center"/>
          </w:tcPr>
          <w:p w14:paraId="197823AB">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96E839B">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32631A37">
            <w:pPr>
              <w:keepNext w:val="0"/>
              <w:keepLines w:val="0"/>
              <w:widowControl/>
              <w:suppressLineNumbers w:val="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所有人员必须足额缴纳社保费用，社保（企业部分）不得低于1292.47元/人/月，否则作无效标书处理。</w:t>
            </w:r>
          </w:p>
        </w:tc>
      </w:tr>
      <w:tr w14:paraId="56F5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692" w:type="dxa"/>
            <w:noWrap w:val="0"/>
            <w:vAlign w:val="center"/>
          </w:tcPr>
          <w:p w14:paraId="375A190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1.3</w:t>
            </w:r>
          </w:p>
        </w:tc>
        <w:tc>
          <w:tcPr>
            <w:tcW w:w="2662" w:type="dxa"/>
            <w:gridSpan w:val="2"/>
            <w:noWrap w:val="0"/>
            <w:vAlign w:val="center"/>
          </w:tcPr>
          <w:p w14:paraId="7217E54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住房公积金</w:t>
            </w:r>
          </w:p>
        </w:tc>
        <w:tc>
          <w:tcPr>
            <w:tcW w:w="963" w:type="dxa"/>
            <w:noWrap w:val="0"/>
            <w:vAlign w:val="center"/>
          </w:tcPr>
          <w:p w14:paraId="466F741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79081D07">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sz w:val="21"/>
                <w:szCs w:val="21"/>
                <w:highlight w:val="none"/>
                <w:u w:val="none"/>
                <w:lang w:val="en-US" w:eastAsia="zh-CN" w:bidi="ar"/>
              </w:rPr>
              <w:t>40</w:t>
            </w:r>
          </w:p>
        </w:tc>
        <w:tc>
          <w:tcPr>
            <w:tcW w:w="806" w:type="dxa"/>
            <w:noWrap w:val="0"/>
            <w:vAlign w:val="center"/>
          </w:tcPr>
          <w:p w14:paraId="29C0BCF5">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5E64885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6CD81097">
            <w:pPr>
              <w:keepNext w:val="0"/>
              <w:keepLines w:val="0"/>
              <w:widowControl/>
              <w:suppressLineNumbers w:val="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各供应商须按住房公积金不得低于</w:t>
            </w:r>
            <w:r>
              <w:rPr>
                <w:rFonts w:hint="eastAsia" w:ascii="宋体" w:hAnsi="宋体" w:cs="宋体"/>
                <w:i w:val="0"/>
                <w:iCs w:val="0"/>
                <w:color w:val="auto"/>
                <w:sz w:val="21"/>
                <w:szCs w:val="21"/>
                <w:highlight w:val="none"/>
                <w:u w:val="none"/>
                <w:lang w:val="en-US" w:eastAsia="zh-CN" w:bidi="ar"/>
              </w:rPr>
              <w:t>114</w:t>
            </w:r>
            <w:r>
              <w:rPr>
                <w:rFonts w:hint="eastAsia" w:ascii="宋体" w:hAnsi="宋体" w:eastAsia="宋体" w:cs="宋体"/>
                <w:i w:val="0"/>
                <w:iCs w:val="0"/>
                <w:color w:val="auto"/>
                <w:sz w:val="21"/>
                <w:szCs w:val="21"/>
                <w:highlight w:val="none"/>
                <w:u w:val="none"/>
                <w:lang w:val="en-US" w:eastAsia="zh-CN" w:bidi="ar"/>
              </w:rPr>
              <w:t>元/人/月，否则作无效标书处理。</w:t>
            </w:r>
          </w:p>
        </w:tc>
      </w:tr>
      <w:tr w14:paraId="228EE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692" w:type="dxa"/>
            <w:noWrap w:val="0"/>
            <w:vAlign w:val="center"/>
          </w:tcPr>
          <w:p w14:paraId="618A508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1.4</w:t>
            </w:r>
          </w:p>
        </w:tc>
        <w:tc>
          <w:tcPr>
            <w:tcW w:w="2662" w:type="dxa"/>
            <w:gridSpan w:val="2"/>
            <w:noWrap w:val="0"/>
            <w:vAlign w:val="center"/>
          </w:tcPr>
          <w:p w14:paraId="50FC082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国家法定假日加班费</w:t>
            </w:r>
          </w:p>
        </w:tc>
        <w:tc>
          <w:tcPr>
            <w:tcW w:w="963" w:type="dxa"/>
            <w:noWrap w:val="0"/>
            <w:vAlign w:val="center"/>
          </w:tcPr>
          <w:p w14:paraId="45C7810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47C45ECC">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sz w:val="21"/>
                <w:szCs w:val="21"/>
                <w:highlight w:val="none"/>
                <w:u w:val="none"/>
                <w:lang w:val="en-US" w:eastAsia="zh-CN" w:bidi="ar"/>
              </w:rPr>
              <w:t>21</w:t>
            </w:r>
          </w:p>
        </w:tc>
        <w:tc>
          <w:tcPr>
            <w:tcW w:w="806" w:type="dxa"/>
            <w:noWrap w:val="0"/>
            <w:vAlign w:val="center"/>
          </w:tcPr>
          <w:p w14:paraId="075DEE5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00983951">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7BF6CCE1">
            <w:pPr>
              <w:keepNext w:val="0"/>
              <w:keepLines w:val="0"/>
              <w:widowControl/>
              <w:suppressLineNumbers w:val="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法定节假日加班费不得低于4357.25元/人/年，加班人数不少于</w:t>
            </w:r>
            <w:r>
              <w:rPr>
                <w:rFonts w:hint="eastAsia" w:ascii="宋体" w:hAnsi="宋体" w:cs="宋体"/>
                <w:i w:val="0"/>
                <w:iCs w:val="0"/>
                <w:color w:val="auto"/>
                <w:sz w:val="21"/>
                <w:szCs w:val="21"/>
                <w:highlight w:val="none"/>
                <w:u w:val="none"/>
                <w:lang w:val="en-US" w:eastAsia="zh-CN" w:bidi="ar"/>
              </w:rPr>
              <w:t>21</w:t>
            </w:r>
            <w:r>
              <w:rPr>
                <w:rFonts w:hint="eastAsia" w:ascii="宋体" w:hAnsi="宋体" w:eastAsia="宋体" w:cs="宋体"/>
                <w:i w:val="0"/>
                <w:iCs w:val="0"/>
                <w:color w:val="auto"/>
                <w:sz w:val="21"/>
                <w:szCs w:val="21"/>
                <w:highlight w:val="none"/>
                <w:u w:val="none"/>
                <w:lang w:val="en-US" w:eastAsia="zh-CN" w:bidi="ar"/>
              </w:rPr>
              <w:t>人，否则作无效标书处理。</w:t>
            </w:r>
          </w:p>
        </w:tc>
      </w:tr>
      <w:tr w14:paraId="24981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7FF3C2D5">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2</w:t>
            </w:r>
          </w:p>
        </w:tc>
        <w:tc>
          <w:tcPr>
            <w:tcW w:w="2662" w:type="dxa"/>
            <w:gridSpan w:val="2"/>
            <w:noWrap w:val="0"/>
            <w:vAlign w:val="center"/>
          </w:tcPr>
          <w:p w14:paraId="116AC65C">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综合管理杂费</w:t>
            </w:r>
          </w:p>
        </w:tc>
        <w:tc>
          <w:tcPr>
            <w:tcW w:w="2403" w:type="dxa"/>
            <w:gridSpan w:val="3"/>
            <w:noWrap w:val="0"/>
            <w:vAlign w:val="center"/>
          </w:tcPr>
          <w:p w14:paraId="07F64348">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（以下各项合计）</w:t>
            </w:r>
          </w:p>
        </w:tc>
        <w:tc>
          <w:tcPr>
            <w:tcW w:w="855" w:type="dxa"/>
            <w:noWrap w:val="0"/>
            <w:vAlign w:val="center"/>
          </w:tcPr>
          <w:p w14:paraId="16DF3F83">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p>
        </w:tc>
        <w:tc>
          <w:tcPr>
            <w:tcW w:w="3026" w:type="dxa"/>
            <w:noWrap w:val="0"/>
            <w:vAlign w:val="center"/>
          </w:tcPr>
          <w:p w14:paraId="36BEBF69">
            <w:pPr>
              <w:jc w:val="center"/>
              <w:rPr>
                <w:rFonts w:hint="eastAsia" w:ascii="宋体" w:hAnsi="宋体" w:eastAsia="宋体" w:cs="宋体"/>
                <w:i w:val="0"/>
                <w:iCs w:val="0"/>
                <w:color w:val="auto"/>
                <w:sz w:val="21"/>
                <w:szCs w:val="21"/>
                <w:highlight w:val="none"/>
                <w:u w:val="none"/>
              </w:rPr>
            </w:pPr>
          </w:p>
        </w:tc>
      </w:tr>
      <w:tr w14:paraId="23284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1BF42885">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2.1</w:t>
            </w:r>
          </w:p>
        </w:tc>
        <w:tc>
          <w:tcPr>
            <w:tcW w:w="2662" w:type="dxa"/>
            <w:gridSpan w:val="2"/>
            <w:noWrap w:val="0"/>
            <w:vAlign w:val="center"/>
          </w:tcPr>
          <w:p w14:paraId="15420BE9">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服装费</w:t>
            </w:r>
          </w:p>
        </w:tc>
        <w:tc>
          <w:tcPr>
            <w:tcW w:w="963" w:type="dxa"/>
            <w:noWrap w:val="0"/>
            <w:vAlign w:val="center"/>
          </w:tcPr>
          <w:p w14:paraId="4FEF8EEE">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04C5F6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806" w:type="dxa"/>
            <w:noWrap w:val="0"/>
            <w:vAlign w:val="center"/>
          </w:tcPr>
          <w:p w14:paraId="0F4CE2E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601667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32240E9A">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3DDC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441D453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2.2</w:t>
            </w:r>
          </w:p>
        </w:tc>
        <w:tc>
          <w:tcPr>
            <w:tcW w:w="2662" w:type="dxa"/>
            <w:gridSpan w:val="2"/>
            <w:noWrap w:val="0"/>
            <w:vAlign w:val="center"/>
          </w:tcPr>
          <w:p w14:paraId="07B9347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装备（含通讯等）费</w:t>
            </w:r>
          </w:p>
        </w:tc>
        <w:tc>
          <w:tcPr>
            <w:tcW w:w="963" w:type="dxa"/>
            <w:noWrap w:val="0"/>
            <w:vAlign w:val="center"/>
          </w:tcPr>
          <w:p w14:paraId="5B1B524E">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项</w:t>
            </w:r>
          </w:p>
        </w:tc>
        <w:tc>
          <w:tcPr>
            <w:tcW w:w="634" w:type="dxa"/>
            <w:noWrap w:val="0"/>
            <w:vAlign w:val="center"/>
          </w:tcPr>
          <w:p w14:paraId="1BE399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6" w:type="dxa"/>
            <w:noWrap w:val="0"/>
            <w:vAlign w:val="center"/>
          </w:tcPr>
          <w:p w14:paraId="3777CD6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7697ED8E">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020646F2">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263F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364DBA4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2.3</w:t>
            </w:r>
          </w:p>
        </w:tc>
        <w:tc>
          <w:tcPr>
            <w:tcW w:w="2662" w:type="dxa"/>
            <w:gridSpan w:val="2"/>
            <w:noWrap w:val="0"/>
            <w:vAlign w:val="center"/>
          </w:tcPr>
          <w:p w14:paraId="2FF96BC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保洁用具、清洁用品费</w:t>
            </w:r>
          </w:p>
        </w:tc>
        <w:tc>
          <w:tcPr>
            <w:tcW w:w="963" w:type="dxa"/>
            <w:noWrap w:val="0"/>
            <w:vAlign w:val="center"/>
          </w:tcPr>
          <w:p w14:paraId="42C4248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项</w:t>
            </w:r>
          </w:p>
        </w:tc>
        <w:tc>
          <w:tcPr>
            <w:tcW w:w="634" w:type="dxa"/>
            <w:noWrap w:val="0"/>
            <w:vAlign w:val="center"/>
          </w:tcPr>
          <w:p w14:paraId="431098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6" w:type="dxa"/>
            <w:noWrap w:val="0"/>
            <w:vAlign w:val="center"/>
          </w:tcPr>
          <w:p w14:paraId="70CCFF0B">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A97D0F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6A2A0551">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3B7A4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05F987D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2.4</w:t>
            </w:r>
          </w:p>
        </w:tc>
        <w:tc>
          <w:tcPr>
            <w:tcW w:w="2662" w:type="dxa"/>
            <w:gridSpan w:val="2"/>
            <w:noWrap w:val="0"/>
            <w:vAlign w:val="center"/>
          </w:tcPr>
          <w:p w14:paraId="25EE784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办公用品消耗费</w:t>
            </w:r>
          </w:p>
        </w:tc>
        <w:tc>
          <w:tcPr>
            <w:tcW w:w="963" w:type="dxa"/>
            <w:noWrap w:val="0"/>
            <w:vAlign w:val="center"/>
          </w:tcPr>
          <w:p w14:paraId="75A8498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项</w:t>
            </w:r>
          </w:p>
        </w:tc>
        <w:tc>
          <w:tcPr>
            <w:tcW w:w="634" w:type="dxa"/>
            <w:noWrap w:val="0"/>
            <w:vAlign w:val="center"/>
          </w:tcPr>
          <w:p w14:paraId="02C6F7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6" w:type="dxa"/>
            <w:noWrap w:val="0"/>
            <w:vAlign w:val="center"/>
          </w:tcPr>
          <w:p w14:paraId="5BEE7F2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8DCEABF">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17162AFD">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2B1F7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56A7168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2.5</w:t>
            </w:r>
          </w:p>
        </w:tc>
        <w:tc>
          <w:tcPr>
            <w:tcW w:w="2662" w:type="dxa"/>
            <w:gridSpan w:val="2"/>
            <w:noWrap w:val="0"/>
            <w:vAlign w:val="center"/>
          </w:tcPr>
          <w:p w14:paraId="4AA26D2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培训费</w:t>
            </w:r>
          </w:p>
        </w:tc>
        <w:tc>
          <w:tcPr>
            <w:tcW w:w="963" w:type="dxa"/>
            <w:noWrap w:val="0"/>
            <w:vAlign w:val="center"/>
          </w:tcPr>
          <w:p w14:paraId="503FF7F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77510B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806" w:type="dxa"/>
            <w:noWrap w:val="0"/>
            <w:vAlign w:val="center"/>
          </w:tcPr>
          <w:p w14:paraId="4C6117C5">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CA2C315">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3B10846B">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28DF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3AC0B2E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2.6</w:t>
            </w:r>
          </w:p>
        </w:tc>
        <w:tc>
          <w:tcPr>
            <w:tcW w:w="2662" w:type="dxa"/>
            <w:gridSpan w:val="2"/>
            <w:noWrap w:val="0"/>
            <w:vAlign w:val="center"/>
          </w:tcPr>
          <w:p w14:paraId="23714F6C">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体检费</w:t>
            </w:r>
          </w:p>
        </w:tc>
        <w:tc>
          <w:tcPr>
            <w:tcW w:w="963" w:type="dxa"/>
            <w:noWrap w:val="0"/>
            <w:vAlign w:val="center"/>
          </w:tcPr>
          <w:p w14:paraId="38A0FBB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人</w:t>
            </w:r>
          </w:p>
        </w:tc>
        <w:tc>
          <w:tcPr>
            <w:tcW w:w="634" w:type="dxa"/>
            <w:noWrap w:val="0"/>
            <w:vAlign w:val="center"/>
          </w:tcPr>
          <w:p w14:paraId="3D0861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806" w:type="dxa"/>
            <w:noWrap w:val="0"/>
            <w:vAlign w:val="center"/>
          </w:tcPr>
          <w:p w14:paraId="25096CB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B265E1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40472508">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492F4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49475F2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2662" w:type="dxa"/>
            <w:gridSpan w:val="2"/>
            <w:noWrap w:val="0"/>
            <w:vAlign w:val="center"/>
          </w:tcPr>
          <w:p w14:paraId="7FF2FA36">
            <w:pPr>
              <w:keepNext w:val="0"/>
              <w:keepLines w:val="0"/>
              <w:widowControl/>
              <w:suppressLineNumbers w:val="0"/>
              <w:jc w:val="center"/>
              <w:rPr>
                <w:rFonts w:hint="eastAsia" w:cs="Times New Roman"/>
                <w:color w:val="auto"/>
                <w:highlight w:val="none"/>
                <w:lang w:val="en-US" w:eastAsia="zh-CN"/>
              </w:rPr>
            </w:pPr>
            <w:r>
              <w:rPr>
                <w:rFonts w:hint="eastAsia" w:cs="Times New Roman"/>
                <w:color w:val="auto"/>
                <w:highlight w:val="none"/>
                <w:lang w:val="en-US" w:eastAsia="zh-CN"/>
              </w:rPr>
              <w:t>……</w:t>
            </w:r>
          </w:p>
        </w:tc>
        <w:tc>
          <w:tcPr>
            <w:tcW w:w="963" w:type="dxa"/>
            <w:noWrap w:val="0"/>
            <w:vAlign w:val="center"/>
          </w:tcPr>
          <w:p w14:paraId="18563E5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634" w:type="dxa"/>
            <w:noWrap w:val="0"/>
            <w:vAlign w:val="center"/>
          </w:tcPr>
          <w:p w14:paraId="00186F6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p>
        </w:tc>
        <w:tc>
          <w:tcPr>
            <w:tcW w:w="806" w:type="dxa"/>
            <w:noWrap w:val="0"/>
            <w:vAlign w:val="center"/>
          </w:tcPr>
          <w:p w14:paraId="52B489DF">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3ABD8D91">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5325B498">
            <w:pPr>
              <w:jc w:val="center"/>
              <w:rPr>
                <w:rFonts w:hint="eastAsia" w:ascii="宋体" w:hAnsi="宋体" w:eastAsia="宋体" w:cs="宋体"/>
                <w:b w:val="0"/>
                <w:bCs/>
                <w:color w:val="auto"/>
                <w:sz w:val="21"/>
                <w:szCs w:val="24"/>
                <w:highlight w:val="none"/>
                <w:lang w:val="en-US" w:eastAsia="zh-CN" w:bidi="ar-SA"/>
              </w:rPr>
            </w:pPr>
          </w:p>
        </w:tc>
      </w:tr>
      <w:tr w14:paraId="326F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692" w:type="dxa"/>
            <w:noWrap w:val="0"/>
            <w:vAlign w:val="center"/>
          </w:tcPr>
          <w:p w14:paraId="7D0EB567">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3</w:t>
            </w:r>
          </w:p>
        </w:tc>
        <w:tc>
          <w:tcPr>
            <w:tcW w:w="2662" w:type="dxa"/>
            <w:gridSpan w:val="2"/>
            <w:noWrap w:val="0"/>
            <w:vAlign w:val="center"/>
          </w:tcPr>
          <w:p w14:paraId="37D1635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其他费用（其他供应商为完成招标文件规定的服务工作所涉及到的一切相关费用）</w:t>
            </w:r>
          </w:p>
        </w:tc>
        <w:tc>
          <w:tcPr>
            <w:tcW w:w="963" w:type="dxa"/>
            <w:noWrap w:val="0"/>
            <w:vAlign w:val="center"/>
          </w:tcPr>
          <w:p w14:paraId="40FD5574">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年</w:t>
            </w:r>
          </w:p>
        </w:tc>
        <w:tc>
          <w:tcPr>
            <w:tcW w:w="634" w:type="dxa"/>
            <w:noWrap w:val="0"/>
            <w:vAlign w:val="center"/>
          </w:tcPr>
          <w:p w14:paraId="4B191088">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1</w:t>
            </w:r>
          </w:p>
        </w:tc>
        <w:tc>
          <w:tcPr>
            <w:tcW w:w="806" w:type="dxa"/>
            <w:noWrap w:val="0"/>
            <w:vAlign w:val="center"/>
          </w:tcPr>
          <w:p w14:paraId="523CE8F8">
            <w:pPr>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6521B12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0CABEC79">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由各供应商自主报价</w:t>
            </w:r>
          </w:p>
        </w:tc>
      </w:tr>
      <w:tr w14:paraId="59F69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02F5A58C">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4</w:t>
            </w:r>
          </w:p>
        </w:tc>
        <w:tc>
          <w:tcPr>
            <w:tcW w:w="2662" w:type="dxa"/>
            <w:gridSpan w:val="2"/>
            <w:noWrap w:val="0"/>
            <w:vAlign w:val="center"/>
          </w:tcPr>
          <w:p w14:paraId="7776A81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利润（管理费）</w:t>
            </w:r>
          </w:p>
        </w:tc>
        <w:tc>
          <w:tcPr>
            <w:tcW w:w="963" w:type="dxa"/>
            <w:noWrap w:val="0"/>
            <w:vAlign w:val="center"/>
          </w:tcPr>
          <w:p w14:paraId="1D2C969C">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年</w:t>
            </w:r>
          </w:p>
        </w:tc>
        <w:tc>
          <w:tcPr>
            <w:tcW w:w="634" w:type="dxa"/>
            <w:noWrap w:val="0"/>
            <w:vAlign w:val="center"/>
          </w:tcPr>
          <w:p w14:paraId="3233028B">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1</w:t>
            </w:r>
          </w:p>
        </w:tc>
        <w:tc>
          <w:tcPr>
            <w:tcW w:w="806" w:type="dxa"/>
            <w:noWrap w:val="0"/>
            <w:vAlign w:val="center"/>
          </w:tcPr>
          <w:p w14:paraId="21AFBB6D">
            <w:pPr>
              <w:jc w:val="center"/>
              <w:rPr>
                <w:rFonts w:hint="eastAsia" w:ascii="宋体" w:hAnsi="宋体" w:eastAsia="宋体" w:cs="宋体"/>
                <w:i w:val="0"/>
                <w:iCs w:val="0"/>
                <w:color w:val="auto"/>
                <w:sz w:val="21"/>
                <w:szCs w:val="21"/>
                <w:highlight w:val="none"/>
                <w:u w:val="none"/>
              </w:rPr>
            </w:pPr>
          </w:p>
        </w:tc>
        <w:tc>
          <w:tcPr>
            <w:tcW w:w="855" w:type="dxa"/>
            <w:noWrap w:val="0"/>
            <w:vAlign w:val="center"/>
          </w:tcPr>
          <w:p w14:paraId="1C1D6DA2">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4CA8A550">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由各供应商自主报价</w:t>
            </w:r>
          </w:p>
        </w:tc>
      </w:tr>
      <w:tr w14:paraId="0FB7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2" w:type="dxa"/>
            <w:noWrap w:val="0"/>
            <w:vAlign w:val="center"/>
          </w:tcPr>
          <w:p w14:paraId="74C875F5">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5</w:t>
            </w:r>
          </w:p>
        </w:tc>
        <w:tc>
          <w:tcPr>
            <w:tcW w:w="2662" w:type="dxa"/>
            <w:gridSpan w:val="2"/>
            <w:noWrap w:val="0"/>
            <w:vAlign w:val="center"/>
          </w:tcPr>
          <w:p w14:paraId="73843AD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法定税费</w:t>
            </w:r>
          </w:p>
        </w:tc>
        <w:tc>
          <w:tcPr>
            <w:tcW w:w="963" w:type="dxa"/>
            <w:noWrap w:val="0"/>
            <w:vAlign w:val="center"/>
          </w:tcPr>
          <w:p w14:paraId="4235B433">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年</w:t>
            </w:r>
          </w:p>
        </w:tc>
        <w:tc>
          <w:tcPr>
            <w:tcW w:w="634" w:type="dxa"/>
            <w:noWrap w:val="0"/>
            <w:vAlign w:val="center"/>
          </w:tcPr>
          <w:p w14:paraId="60C1AAB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1</w:t>
            </w:r>
          </w:p>
        </w:tc>
        <w:tc>
          <w:tcPr>
            <w:tcW w:w="806" w:type="dxa"/>
            <w:noWrap w:val="0"/>
            <w:vAlign w:val="center"/>
          </w:tcPr>
          <w:p w14:paraId="69C9552A">
            <w:pPr>
              <w:rPr>
                <w:rFonts w:hint="eastAsia" w:ascii="宋体" w:hAnsi="宋体" w:eastAsia="宋体" w:cs="宋体"/>
                <w:i w:val="0"/>
                <w:iCs w:val="0"/>
                <w:color w:val="auto"/>
                <w:sz w:val="21"/>
                <w:szCs w:val="21"/>
                <w:highlight w:val="none"/>
                <w:u w:val="none"/>
              </w:rPr>
            </w:pPr>
          </w:p>
        </w:tc>
        <w:tc>
          <w:tcPr>
            <w:tcW w:w="855" w:type="dxa"/>
            <w:noWrap w:val="0"/>
            <w:vAlign w:val="center"/>
          </w:tcPr>
          <w:p w14:paraId="050FAC0E">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0AB2DA81">
            <w:pPr>
              <w:keepNext w:val="0"/>
              <w:keepLines w:val="0"/>
              <w:widowControl/>
              <w:suppressLineNumbers w:val="0"/>
              <w:jc w:val="both"/>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各投标人填报的税率统一按照</w:t>
            </w:r>
            <w:r>
              <w:rPr>
                <w:rFonts w:hint="eastAsia" w:ascii="宋体" w:hAnsi="宋体" w:cs="宋体"/>
                <w:b/>
                <w:bCs/>
                <w:i w:val="0"/>
                <w:iCs w:val="0"/>
                <w:color w:val="auto"/>
                <w:sz w:val="21"/>
                <w:szCs w:val="21"/>
                <w:highlight w:val="none"/>
                <w:u w:val="none"/>
                <w:lang w:val="en-US" w:eastAsia="zh-CN" w:bidi="ar"/>
              </w:rPr>
              <w:t>不低于</w:t>
            </w:r>
            <w:r>
              <w:rPr>
                <w:rFonts w:hint="eastAsia" w:ascii="宋体" w:hAnsi="宋体" w:eastAsia="宋体" w:cs="宋体"/>
                <w:b/>
                <w:bCs/>
                <w:i w:val="0"/>
                <w:iCs w:val="0"/>
                <w:color w:val="auto"/>
                <w:sz w:val="21"/>
                <w:szCs w:val="21"/>
                <w:highlight w:val="none"/>
                <w:u w:val="none"/>
                <w:lang w:val="en-US" w:eastAsia="zh-CN" w:bidi="ar"/>
              </w:rPr>
              <w:t>6.72%计算。</w:t>
            </w:r>
          </w:p>
        </w:tc>
      </w:tr>
      <w:tr w14:paraId="6203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757" w:type="dxa"/>
            <w:gridSpan w:val="6"/>
            <w:noWrap w:val="0"/>
            <w:vAlign w:val="center"/>
          </w:tcPr>
          <w:p w14:paraId="2315FF3F">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投标总报价（1+2+3+4+5）</w:t>
            </w:r>
          </w:p>
        </w:tc>
        <w:tc>
          <w:tcPr>
            <w:tcW w:w="855" w:type="dxa"/>
            <w:noWrap w:val="0"/>
            <w:vAlign w:val="center"/>
          </w:tcPr>
          <w:p w14:paraId="0853FD0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3026" w:type="dxa"/>
            <w:noWrap w:val="0"/>
            <w:vAlign w:val="center"/>
          </w:tcPr>
          <w:p w14:paraId="4B1FEB6B">
            <w:pPr>
              <w:jc w:val="center"/>
              <w:rPr>
                <w:rFonts w:hint="eastAsia" w:ascii="宋体" w:hAnsi="宋体" w:eastAsia="宋体" w:cs="宋体"/>
                <w:b/>
                <w:bCs/>
                <w:i w:val="0"/>
                <w:iCs w:val="0"/>
                <w:color w:val="auto"/>
                <w:sz w:val="21"/>
                <w:szCs w:val="21"/>
                <w:highlight w:val="none"/>
                <w:u w:val="none"/>
              </w:rPr>
            </w:pPr>
          </w:p>
        </w:tc>
      </w:tr>
    </w:tbl>
    <w:p w14:paraId="587AB2FF">
      <w:pPr>
        <w:pageBreakBefore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供应商</w:t>
      </w:r>
      <w:r>
        <w:rPr>
          <w:rFonts w:hint="eastAsia" w:ascii="宋体" w:hAnsi="宋体" w:eastAsia="宋体" w:cs="宋体"/>
          <w:b/>
          <w:bCs/>
          <w:color w:val="auto"/>
          <w:sz w:val="24"/>
          <w:highlight w:val="none"/>
          <w:lang w:val="zh-CN"/>
        </w:rPr>
        <w:t>所提供人员的费用不得低于上述标准进行测算，</w:t>
      </w:r>
      <w:r>
        <w:rPr>
          <w:rFonts w:hint="eastAsia" w:ascii="宋体" w:hAnsi="宋体" w:eastAsia="宋体" w:cs="宋体"/>
          <w:b/>
          <w:color w:val="auto"/>
          <w:sz w:val="24"/>
          <w:highlight w:val="none"/>
        </w:rPr>
        <w:t>否则</w:t>
      </w:r>
      <w:r>
        <w:rPr>
          <w:rFonts w:hint="eastAsia" w:ascii="宋体" w:hAnsi="宋体" w:eastAsia="宋体" w:cs="宋体"/>
          <w:b/>
          <w:bCs/>
          <w:color w:val="auto"/>
          <w:sz w:val="24"/>
          <w:highlight w:val="none"/>
          <w:lang w:val="zh-CN"/>
        </w:rPr>
        <w:t>视为未实质性响应招标文件要求</w:t>
      </w:r>
      <w:r>
        <w:rPr>
          <w:rFonts w:hint="eastAsia" w:ascii="宋体" w:hAnsi="宋体" w:eastAsia="宋体" w:cs="宋体"/>
          <w:b/>
          <w:color w:val="auto"/>
          <w:sz w:val="24"/>
          <w:highlight w:val="none"/>
        </w:rPr>
        <w:t>。如果招标公告发布之后</w:t>
      </w:r>
      <w:r>
        <w:rPr>
          <w:rFonts w:hint="eastAsia" w:ascii="宋体" w:hAnsi="宋体" w:eastAsia="宋体" w:cs="宋体"/>
          <w:b/>
          <w:color w:val="auto"/>
          <w:sz w:val="24"/>
          <w:highlight w:val="none"/>
          <w:lang w:val="en-US" w:eastAsia="zh-CN"/>
        </w:rPr>
        <w:t>开标前</w:t>
      </w:r>
      <w:r>
        <w:rPr>
          <w:rFonts w:hint="eastAsia" w:ascii="宋体" w:hAnsi="宋体" w:eastAsia="宋体" w:cs="宋体"/>
          <w:b/>
          <w:color w:val="auto"/>
          <w:sz w:val="24"/>
          <w:highlight w:val="none"/>
        </w:rPr>
        <w:t>遇政府调整职工最低工资标准或社会保险缴纳基数，</w:t>
      </w:r>
      <w:r>
        <w:rPr>
          <w:rFonts w:hint="eastAsia" w:ascii="宋体" w:hAnsi="宋体" w:eastAsia="宋体" w:cs="宋体"/>
          <w:b/>
          <w:color w:val="auto"/>
          <w:sz w:val="24"/>
          <w:highlight w:val="none"/>
          <w:lang w:val="en-US" w:eastAsia="zh-CN"/>
        </w:rPr>
        <w:t>评委会进行符合性审查时</w:t>
      </w:r>
      <w:r>
        <w:rPr>
          <w:rFonts w:hint="eastAsia" w:ascii="宋体" w:hAnsi="宋体" w:eastAsia="宋体" w:cs="宋体"/>
          <w:b/>
          <w:color w:val="auto"/>
          <w:sz w:val="24"/>
          <w:highlight w:val="none"/>
        </w:rPr>
        <w:t>可仍按上述标准</w:t>
      </w:r>
      <w:r>
        <w:rPr>
          <w:rFonts w:hint="eastAsia" w:ascii="宋体" w:hAnsi="宋体" w:eastAsia="宋体" w:cs="宋体"/>
          <w:b/>
          <w:color w:val="auto"/>
          <w:sz w:val="24"/>
          <w:highlight w:val="none"/>
          <w:lang w:val="en-US" w:eastAsia="zh-CN"/>
        </w:rPr>
        <w:t>审查</w:t>
      </w:r>
      <w:r>
        <w:rPr>
          <w:rFonts w:hint="eastAsia" w:ascii="宋体" w:hAnsi="宋体" w:eastAsia="宋体" w:cs="宋体"/>
          <w:b/>
          <w:color w:val="auto"/>
          <w:sz w:val="24"/>
          <w:highlight w:val="none"/>
        </w:rPr>
        <w:t>，中标后，</w:t>
      </w:r>
      <w:r>
        <w:rPr>
          <w:rFonts w:hint="eastAsia" w:ascii="宋体" w:hAnsi="宋体" w:eastAsia="宋体" w:cs="宋体"/>
          <w:b/>
          <w:color w:val="auto"/>
          <w:sz w:val="24"/>
          <w:highlight w:val="none"/>
          <w:lang w:val="en-US" w:eastAsia="zh-CN"/>
        </w:rPr>
        <w:t>中标人应按照最新政策文件规定执行</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报价应充分考虑到合同期内各项政策性因素，其人员的最低工资标准、社会保险缴纳基数等在合同期内均不作调整。</w:t>
      </w:r>
    </w:p>
    <w:p w14:paraId="692FB8E0">
      <w:pPr>
        <w:pStyle w:val="81"/>
        <w:spacing w:beforeAutospacing="0" w:afterAutospacing="0"/>
        <w:jc w:val="both"/>
        <w:rPr>
          <w:rFonts w:hint="eastAsia" w:ascii="宋体" w:hAnsi="宋体" w:eastAsia="宋体" w:cs="宋体"/>
          <w:b/>
          <w:color w:val="auto"/>
          <w:sz w:val="24"/>
          <w:highlight w:val="none"/>
        </w:rPr>
      </w:pPr>
    </w:p>
    <w:p w14:paraId="6D5DED11">
      <w:pPr>
        <w:spacing w:line="360" w:lineRule="auto"/>
        <w:ind w:firstLine="470"/>
        <w:rPr>
          <w:rFonts w:hint="eastAsia" w:ascii="宋体" w:hAnsi="宋体" w:eastAsia="宋体" w:cs="宋体"/>
          <w:b/>
          <w:color w:val="auto"/>
          <w:sz w:val="24"/>
          <w:highlight w:val="none"/>
        </w:rPr>
      </w:pPr>
    </w:p>
    <w:p w14:paraId="41AF729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329851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422C87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49F753B">
      <w:pPr>
        <w:jc w:val="center"/>
        <w:rPr>
          <w:rFonts w:hint="eastAsia" w:ascii="宋体" w:hAnsi="宋体" w:eastAsia="宋体" w:cs="宋体"/>
          <w:i/>
          <w:iCs w:val="0"/>
          <w:color w:val="auto"/>
          <w:sz w:val="28"/>
          <w:szCs w:val="28"/>
          <w:highlight w:val="none"/>
          <w:u w:val="single"/>
        </w:rPr>
      </w:pPr>
      <w:r>
        <w:rPr>
          <w:rFonts w:hint="eastAsia" w:ascii="宋体" w:hAnsi="宋体" w:eastAsia="宋体" w:cs="宋体"/>
          <w:b/>
          <w:color w:val="auto"/>
          <w:sz w:val="32"/>
          <w:szCs w:val="32"/>
          <w:highlight w:val="none"/>
        </w:rPr>
        <w:br w:type="page" w:clear="all"/>
      </w:r>
      <w:r>
        <w:rPr>
          <w:rFonts w:hint="eastAsia" w:ascii="宋体" w:hAnsi="宋体" w:eastAsia="宋体" w:cs="宋体"/>
          <w:i/>
          <w:iCs w:val="0"/>
          <w:color w:val="auto"/>
          <w:sz w:val="28"/>
          <w:szCs w:val="28"/>
          <w:highlight w:val="none"/>
          <w:u w:val="single"/>
        </w:rPr>
        <w:t>十</w:t>
      </w:r>
      <w:r>
        <w:rPr>
          <w:rFonts w:hint="eastAsia" w:ascii="宋体" w:hAnsi="宋体" w:eastAsia="宋体" w:cs="宋体"/>
          <w:i/>
          <w:iCs w:val="0"/>
          <w:color w:val="auto"/>
          <w:sz w:val="28"/>
          <w:szCs w:val="28"/>
          <w:highlight w:val="none"/>
          <w:u w:val="single"/>
          <w:lang w:val="en-US" w:eastAsia="zh-CN"/>
        </w:rPr>
        <w:t>三</w:t>
      </w:r>
      <w:r>
        <w:rPr>
          <w:rFonts w:hint="eastAsia" w:ascii="宋体" w:hAnsi="宋体" w:eastAsia="宋体" w:cs="宋体"/>
          <w:i/>
          <w:iCs w:val="0"/>
          <w:color w:val="auto"/>
          <w:sz w:val="28"/>
          <w:szCs w:val="28"/>
          <w:highlight w:val="none"/>
          <w:u w:val="single"/>
        </w:rPr>
        <w:t>、技术要求响应及偏离表（分包号：**）</w:t>
      </w:r>
    </w:p>
    <w:tbl>
      <w:tblPr>
        <w:tblStyle w:val="28"/>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583C65B7">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773180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EB3D9C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845B8F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7D9FC64">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4B8DB9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5CF1F80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29CB54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5475395">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28837A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D0F30D4">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041A599">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3C052E4">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E80227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8B4D4CB">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58286A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9F03B0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9060CB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17CF6F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528EC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D930DD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46B22D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529F9D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B21E83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0D644D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CBD452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F19588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3F54BE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C9BE9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A4D36A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8883E0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EF3F8F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A07556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8D9845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E703CD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C234C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DCE11D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75EAA7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8D0C2F1">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E65B6A8">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A251B5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1CEE93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CD6A4D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C4618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31A7BA1">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53492F1">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13C451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6C0F15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7E834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A4F8C5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4C1051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2D7552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3640C2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27DAE0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635196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2B1D8314">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472257A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BD2EC61">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3DF73D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43E3F0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F4093D2">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51986C">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277E52">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5D960AF">
      <w:pPr>
        <w:pStyle w:val="81"/>
        <w:spacing w:beforeAutospacing="0" w:afterAutospacing="0"/>
        <w:jc w:val="center"/>
        <w:rPr>
          <w:rFonts w:hint="eastAsia" w:ascii="宋体" w:hAnsi="宋体" w:eastAsia="宋体" w:cs="宋体"/>
          <w:i/>
          <w:iCs w:val="0"/>
          <w:color w:val="auto"/>
          <w:sz w:val="28"/>
          <w:szCs w:val="28"/>
          <w:highlight w:val="none"/>
          <w:u w:val="single"/>
          <w:lang w:val="en-US" w:eastAsia="zh-CN" w:bidi="ar-SA"/>
        </w:rPr>
      </w:pPr>
      <w:bookmarkStart w:id="156" w:name="_Hlt26955054"/>
      <w:r>
        <w:rPr>
          <w:rFonts w:hint="eastAsia" w:ascii="宋体" w:hAnsi="宋体" w:eastAsia="宋体" w:cs="宋体"/>
          <w:b/>
          <w:color w:val="auto"/>
          <w:sz w:val="32"/>
          <w:szCs w:val="32"/>
          <w:highlight w:val="none"/>
        </w:rPr>
        <w:br w:type="page" w:clear="all"/>
      </w:r>
      <w:r>
        <w:rPr>
          <w:rFonts w:hint="eastAsia" w:ascii="宋体" w:hAnsi="宋体" w:eastAsia="宋体" w:cs="宋体"/>
          <w:i/>
          <w:iCs w:val="0"/>
          <w:color w:val="auto"/>
          <w:sz w:val="28"/>
          <w:szCs w:val="28"/>
          <w:highlight w:val="none"/>
          <w:u w:val="single"/>
          <w:lang w:val="en-US" w:eastAsia="zh-CN" w:bidi="ar-SA"/>
        </w:rPr>
        <w:t>十四、商务要求响应及偏离表（分包号：**）</w:t>
      </w:r>
    </w:p>
    <w:tbl>
      <w:tblPr>
        <w:tblStyle w:val="28"/>
        <w:tblW w:w="8520" w:type="dxa"/>
        <w:tblCellSpacing w:w="0" w:type="dxa"/>
        <w:tblInd w:w="-108" w:type="dxa"/>
        <w:tblLayout w:type="fixed"/>
        <w:tblCellMar>
          <w:top w:w="0" w:type="dxa"/>
          <w:left w:w="108" w:type="dxa"/>
          <w:bottom w:w="0" w:type="dxa"/>
          <w:right w:w="108" w:type="dxa"/>
        </w:tblCellMar>
      </w:tblPr>
      <w:tblGrid>
        <w:gridCol w:w="661"/>
        <w:gridCol w:w="2469"/>
        <w:gridCol w:w="2645"/>
        <w:gridCol w:w="1244"/>
        <w:gridCol w:w="1501"/>
      </w:tblGrid>
      <w:tr w14:paraId="6C315CA0">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EA7E2EA">
            <w:pPr>
              <w:pStyle w:val="81"/>
              <w:spacing w:beforeAutospacing="0" w:afterAutospacing="0"/>
              <w:jc w:val="center"/>
              <w:rPr>
                <w:rFonts w:hint="eastAsia" w:ascii="宋体" w:hAnsi="宋体" w:eastAsia="宋体" w:cs="宋体"/>
                <w:color w:val="auto"/>
                <w:highlight w:val="none"/>
              </w:rPr>
            </w:pPr>
            <w:bookmarkStart w:id="157" w:name="_Hlt26955064"/>
            <w:bookmarkStart w:id="158" w:name="_Hlt26671343"/>
            <w:bookmarkStart w:id="159" w:name="_Hlt24879081"/>
            <w:bookmarkStart w:id="160" w:name="_Hlt26671372"/>
            <w:bookmarkStart w:id="161" w:name="_Hlt26782999"/>
            <w:bookmarkStart w:id="162" w:name="_Hlt26580838"/>
            <w:bookmarkStart w:id="163" w:name="_Hlt26609391"/>
            <w:bookmarkStart w:id="164" w:name="_Hlt26955056"/>
            <w:r>
              <w:rPr>
                <w:rFonts w:hint="eastAsia" w:ascii="宋体" w:hAnsi="宋体" w:eastAsia="宋体" w:cs="宋体"/>
                <w:color w:val="auto"/>
                <w:highlight w:val="none"/>
              </w:rPr>
              <w:t>序号</w:t>
            </w:r>
            <w:bookmarkEnd w:id="157"/>
            <w:bookmarkEnd w:id="158"/>
            <w:bookmarkEnd w:id="159"/>
            <w:bookmarkEnd w:id="160"/>
            <w:bookmarkEnd w:id="161"/>
            <w:bookmarkEnd w:id="162"/>
            <w:bookmarkEnd w:id="163"/>
            <w:bookmarkEnd w:id="164"/>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11AA48D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E6AE4D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D312F0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710732B">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3925462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779E463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0E8E82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E857D0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6486525">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088713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784E8A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8BBEE7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A617F6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D53C9DD">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47664A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584D94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F8262F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DEA1DD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969023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4386B30">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A8FFA8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6BC340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AB8560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FE4DA9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E533FF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4A3FAE9">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488EBB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156FB5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8EAC8F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03348F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157A72C">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78B274A">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95A3E9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AF9BD2F">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AB66E4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958457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775E925">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BAAC87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C66D1EE">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24FF2C5">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882FE22">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1CD57C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793231F3">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9BEBC45">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B7AC731">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47E988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2F098F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F9F1CE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C40EFF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14E6AE76">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00FCD25">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ADE4A68">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388997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D6F9129">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2A5D6BFC">
      <w:pPr>
        <w:pStyle w:val="81"/>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233BE63">
      <w:pPr>
        <w:pStyle w:val="81"/>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278287F">
      <w:pPr>
        <w:pStyle w:val="81"/>
        <w:spacing w:beforeAutospacing="0" w:afterAutospacing="0"/>
        <w:jc w:val="both"/>
        <w:rPr>
          <w:rFonts w:hint="eastAsia" w:ascii="宋体" w:hAnsi="宋体" w:eastAsia="宋体" w:cs="宋体"/>
          <w:color w:val="auto"/>
          <w:highlight w:val="none"/>
        </w:rPr>
      </w:pPr>
      <w:bookmarkStart w:id="165" w:name="_Hlt26955066"/>
      <w:bookmarkStart w:id="166" w:name="_Hlt26671374"/>
      <w:bookmarkStart w:id="167" w:name="_Toc462564146"/>
      <w:bookmarkStart w:id="168" w:name="_格式2__法定代表人授权书"/>
      <w:bookmarkStart w:id="169" w:name="_Hlt26609389"/>
    </w:p>
    <w:p w14:paraId="1A5E581A">
      <w:pPr>
        <w:pStyle w:val="81"/>
        <w:spacing w:beforeAutospacing="0" w:afterAutospacing="0"/>
        <w:jc w:val="both"/>
        <w:rPr>
          <w:rFonts w:hint="eastAsia" w:ascii="宋体" w:hAnsi="宋体" w:eastAsia="宋体" w:cs="宋体"/>
          <w:color w:val="auto"/>
          <w:highlight w:val="none"/>
        </w:rPr>
      </w:pPr>
    </w:p>
    <w:p w14:paraId="5EF22936">
      <w:pPr>
        <w:pStyle w:val="81"/>
        <w:spacing w:beforeAutospacing="0" w:afterAutospacing="0"/>
        <w:jc w:val="both"/>
        <w:rPr>
          <w:rFonts w:hint="eastAsia" w:ascii="宋体" w:hAnsi="宋体" w:eastAsia="宋体" w:cs="宋体"/>
          <w:color w:val="auto"/>
          <w:highlight w:val="none"/>
        </w:rPr>
      </w:pPr>
    </w:p>
    <w:p w14:paraId="177F60D2">
      <w:pPr>
        <w:pStyle w:val="81"/>
        <w:spacing w:beforeAutospacing="0" w:afterAutospacing="0"/>
        <w:jc w:val="both"/>
        <w:rPr>
          <w:rFonts w:hint="eastAsia" w:ascii="宋体" w:hAnsi="宋体" w:eastAsia="宋体" w:cs="宋体"/>
          <w:color w:val="auto"/>
          <w:highlight w:val="none"/>
        </w:rPr>
      </w:pPr>
    </w:p>
    <w:p w14:paraId="761E8AD8">
      <w:pPr>
        <w:pStyle w:val="81"/>
        <w:spacing w:beforeAutospacing="0" w:afterAutospacing="0"/>
        <w:jc w:val="center"/>
        <w:rPr>
          <w:rFonts w:hint="eastAsia" w:ascii="宋体" w:hAnsi="宋体" w:eastAsia="宋体" w:cs="宋体"/>
          <w:i/>
          <w:iCs w:val="0"/>
          <w:color w:val="auto"/>
          <w:sz w:val="28"/>
          <w:szCs w:val="28"/>
          <w:highlight w:val="none"/>
          <w:u w:val="single"/>
          <w:lang w:val="en-US" w:eastAsia="zh-CN" w:bidi="ar-SA"/>
        </w:rPr>
      </w:pPr>
      <w:r>
        <w:rPr>
          <w:rFonts w:hint="eastAsia" w:ascii="宋体" w:hAnsi="宋体" w:eastAsia="宋体" w:cs="宋体"/>
          <w:b/>
          <w:i w:val="0"/>
          <w:iCs/>
          <w:color w:val="auto"/>
          <w:sz w:val="32"/>
          <w:szCs w:val="32"/>
          <w:highlight w:val="none"/>
          <w:u w:val="single"/>
        </w:rPr>
        <w:br w:type="page" w:clear="all"/>
      </w:r>
      <w:r>
        <w:rPr>
          <w:rFonts w:hint="eastAsia" w:ascii="宋体" w:hAnsi="宋体" w:eastAsia="宋体" w:cs="宋体"/>
          <w:i/>
          <w:iCs w:val="0"/>
          <w:color w:val="auto"/>
          <w:sz w:val="28"/>
          <w:szCs w:val="28"/>
          <w:highlight w:val="none"/>
          <w:u w:val="single"/>
          <w:lang w:val="en-US" w:eastAsia="zh-CN" w:bidi="ar-SA"/>
        </w:rPr>
        <w:t>十五、开标一览表</w:t>
      </w:r>
    </w:p>
    <w:p w14:paraId="3905E42A">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全称（加盖CA电子签章）：</w:t>
      </w:r>
    </w:p>
    <w:p w14:paraId="327CBC26">
      <w:pPr>
        <w:pStyle w:val="81"/>
        <w:spacing w:beforeAutospacing="0" w:afterAutospacing="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cs="宋体"/>
          <w:color w:val="auto"/>
          <w:highlight w:val="none"/>
          <w:lang w:eastAsia="zh-CN"/>
        </w:rPr>
        <w:t>盐城市盐都区人民法院物业管理服务项目</w:t>
      </w:r>
    </w:p>
    <w:p w14:paraId="79040FD8">
      <w:pPr>
        <w:pStyle w:val="81"/>
        <w:spacing w:beforeAutospacing="0" w:afterAutospacing="0"/>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招标编号：</w:t>
      </w:r>
      <w:r>
        <w:rPr>
          <w:rFonts w:hint="eastAsia" w:cs="宋体"/>
          <w:color w:val="auto"/>
          <w:highlight w:val="none"/>
          <w:lang w:eastAsia="zh-CN"/>
        </w:rPr>
        <w:t>JSZC-320903-JZCG-G2026-0004</w:t>
      </w:r>
    </w:p>
    <w:p w14:paraId="1F5B6CA4">
      <w:pPr>
        <w:pStyle w:val="81"/>
        <w:spacing w:beforeAutospacing="0" w:afterAutospacing="0"/>
        <w:jc w:val="left"/>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28"/>
        <w:tblW w:w="8206" w:type="dxa"/>
        <w:tblCellSpacing w:w="0" w:type="dxa"/>
        <w:tblInd w:w="0" w:type="dxa"/>
        <w:tblLayout w:type="fixed"/>
        <w:tblCellMar>
          <w:top w:w="0" w:type="dxa"/>
          <w:left w:w="108" w:type="dxa"/>
          <w:bottom w:w="0" w:type="dxa"/>
          <w:right w:w="108" w:type="dxa"/>
        </w:tblCellMar>
      </w:tblPr>
      <w:tblGrid>
        <w:gridCol w:w="8206"/>
      </w:tblGrid>
      <w:tr w14:paraId="67A5EB07">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6F5E5757">
            <w:pPr>
              <w:pStyle w:val="81"/>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25792D4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F4815A2">
            <w:pPr>
              <w:pStyle w:val="8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小写：           （人民币：元）</w:t>
            </w:r>
          </w:p>
        </w:tc>
      </w:tr>
    </w:tbl>
    <w:p w14:paraId="157EA6D8">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FCAB1F">
      <w:pPr>
        <w:pStyle w:val="8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612C044">
      <w:pPr>
        <w:pStyle w:val="8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5C2F3C">
      <w:pPr>
        <w:widowControl/>
        <w:spacing w:before="50" w:after="50"/>
        <w:jc w:val="center"/>
        <w:rPr>
          <w:rFonts w:hint="eastAsia" w:ascii="宋体" w:hAnsi="宋体" w:eastAsia="宋体" w:cs="宋体"/>
          <w:color w:val="auto"/>
          <w:highlight w:val="none"/>
        </w:rPr>
      </w:pPr>
      <w:r>
        <w:rPr>
          <w:rFonts w:hint="eastAsia" w:ascii="宋体" w:hAnsi="宋体" w:eastAsia="宋体" w:cs="宋体"/>
          <w:color w:val="auto"/>
          <w:highlight w:val="none"/>
        </w:rPr>
        <w:tab/>
      </w:r>
    </w:p>
    <w:p w14:paraId="412E2F09">
      <w:pPr>
        <w:widowControl/>
        <w:spacing w:before="50" w:after="50"/>
        <w:jc w:val="center"/>
        <w:rPr>
          <w:rFonts w:hint="eastAsia" w:ascii="宋体" w:hAnsi="宋体" w:eastAsia="宋体" w:cs="宋体"/>
          <w:color w:val="auto"/>
          <w:highlight w:val="none"/>
        </w:rPr>
      </w:pPr>
    </w:p>
    <w:p w14:paraId="627BED17">
      <w:pPr>
        <w:widowControl/>
        <w:spacing w:before="50" w:after="50"/>
        <w:jc w:val="center"/>
        <w:rPr>
          <w:rFonts w:hint="eastAsia" w:ascii="宋体" w:hAnsi="宋体" w:eastAsia="宋体" w:cs="宋体"/>
          <w:color w:val="auto"/>
          <w:highlight w:val="none"/>
        </w:rPr>
      </w:pPr>
    </w:p>
    <w:p w14:paraId="6E978EAF">
      <w:pPr>
        <w:widowControl/>
        <w:spacing w:before="50" w:after="50"/>
        <w:jc w:val="center"/>
        <w:rPr>
          <w:rFonts w:hint="eastAsia" w:ascii="宋体" w:hAnsi="宋体" w:eastAsia="宋体" w:cs="宋体"/>
          <w:color w:val="auto"/>
          <w:highlight w:val="none"/>
        </w:rPr>
      </w:pPr>
    </w:p>
    <w:p w14:paraId="4C6238EA">
      <w:pPr>
        <w:widowControl/>
        <w:spacing w:before="50" w:after="50"/>
        <w:jc w:val="center"/>
        <w:rPr>
          <w:rFonts w:hint="eastAsia" w:ascii="宋体" w:hAnsi="宋体" w:eastAsia="宋体" w:cs="宋体"/>
          <w:color w:val="auto"/>
          <w:highlight w:val="none"/>
        </w:rPr>
      </w:pPr>
    </w:p>
    <w:p w14:paraId="3702EDD8">
      <w:pPr>
        <w:widowControl/>
        <w:spacing w:before="50" w:after="50"/>
        <w:jc w:val="center"/>
        <w:rPr>
          <w:rFonts w:hint="eastAsia" w:ascii="宋体" w:hAnsi="宋体" w:eastAsia="宋体" w:cs="宋体"/>
          <w:color w:val="auto"/>
          <w:highlight w:val="none"/>
        </w:rPr>
      </w:pPr>
    </w:p>
    <w:p w14:paraId="6BBEF8B2">
      <w:pPr>
        <w:widowControl/>
        <w:spacing w:before="50" w:after="50"/>
        <w:jc w:val="center"/>
        <w:rPr>
          <w:rFonts w:hint="eastAsia" w:ascii="宋体" w:hAnsi="宋体" w:eastAsia="宋体" w:cs="宋体"/>
          <w:color w:val="auto"/>
          <w:highlight w:val="none"/>
        </w:rPr>
      </w:pPr>
    </w:p>
    <w:p w14:paraId="33593769">
      <w:pPr>
        <w:jc w:val="center"/>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、技术方案、服务承诺、培训承诺等</w:t>
      </w:r>
    </w:p>
    <w:p w14:paraId="37E06220">
      <w:pPr>
        <w:pStyle w:val="81"/>
        <w:tabs>
          <w:tab w:val="left" w:pos="2160"/>
        </w:tabs>
        <w:spacing w:beforeAutospacing="0" w:afterAutospacing="0"/>
        <w:jc w:val="both"/>
        <w:rPr>
          <w:rFonts w:hint="eastAsia" w:ascii="宋体" w:hAnsi="宋体" w:eastAsia="宋体" w:cs="宋体"/>
          <w:color w:val="auto"/>
          <w:highlight w:val="none"/>
        </w:rPr>
      </w:pPr>
    </w:p>
    <w:p w14:paraId="757BAA33">
      <w:pPr>
        <w:widowControl/>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i/>
          <w:iCs/>
          <w:color w:val="auto"/>
          <w:sz w:val="24"/>
          <w:szCs w:val="20"/>
          <w:highlight w:val="none"/>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p>
    <w:p w14:paraId="25080E2C">
      <w:pPr>
        <w:widowControl/>
        <w:spacing w:line="499" w:lineRule="atLeast"/>
        <w:ind w:firstLine="1600"/>
        <w:rPr>
          <w:rFonts w:hint="eastAsia" w:ascii="宋体" w:hAnsi="宋体" w:eastAsia="宋体" w:cs="宋体"/>
          <w:color w:val="auto"/>
          <w:sz w:val="32"/>
          <w:szCs w:val="32"/>
          <w:highlight w:val="none"/>
        </w:rPr>
      </w:pPr>
    </w:p>
    <w:p w14:paraId="5FEF5DB2">
      <w:pPr>
        <w:widowControl/>
        <w:spacing w:line="499" w:lineRule="atLeast"/>
        <w:ind w:firstLine="1600"/>
        <w:rPr>
          <w:rFonts w:hint="eastAsia" w:ascii="宋体" w:hAnsi="宋体" w:eastAsia="宋体" w:cs="宋体"/>
          <w:color w:val="auto"/>
          <w:sz w:val="32"/>
          <w:szCs w:val="32"/>
          <w:highlight w:val="none"/>
        </w:rPr>
      </w:pPr>
    </w:p>
    <w:p w14:paraId="07565021">
      <w:pPr>
        <w:widowControl/>
        <w:spacing w:line="499" w:lineRule="atLeast"/>
        <w:ind w:firstLine="1600"/>
        <w:rPr>
          <w:rFonts w:hint="eastAsia" w:ascii="宋体" w:hAnsi="宋体" w:eastAsia="宋体" w:cs="宋体"/>
          <w:color w:val="auto"/>
          <w:sz w:val="32"/>
          <w:szCs w:val="32"/>
          <w:highlight w:val="none"/>
        </w:rPr>
      </w:pPr>
    </w:p>
    <w:p w14:paraId="2B789D9A">
      <w:pPr>
        <w:widowControl/>
        <w:spacing w:line="499" w:lineRule="atLeast"/>
        <w:ind w:firstLine="1600"/>
        <w:rPr>
          <w:rFonts w:hint="eastAsia" w:ascii="宋体" w:hAnsi="宋体" w:eastAsia="宋体" w:cs="宋体"/>
          <w:color w:val="auto"/>
          <w:sz w:val="32"/>
          <w:szCs w:val="32"/>
          <w:highlight w:val="none"/>
        </w:rPr>
      </w:pPr>
    </w:p>
    <w:p w14:paraId="62D2B989">
      <w:pPr>
        <w:widowControl/>
        <w:spacing w:line="499" w:lineRule="atLeast"/>
        <w:ind w:firstLine="1600"/>
        <w:rPr>
          <w:rFonts w:hint="eastAsia" w:ascii="宋体" w:hAnsi="宋体" w:eastAsia="宋体" w:cs="宋体"/>
          <w:color w:val="auto"/>
          <w:sz w:val="32"/>
          <w:szCs w:val="32"/>
          <w:highlight w:val="none"/>
        </w:rPr>
      </w:pPr>
    </w:p>
    <w:p w14:paraId="63081340">
      <w:pPr>
        <w:widowControl/>
        <w:spacing w:line="499" w:lineRule="atLeast"/>
        <w:ind w:firstLine="1600"/>
        <w:rPr>
          <w:rFonts w:hint="eastAsia" w:ascii="宋体" w:hAnsi="宋体" w:eastAsia="宋体" w:cs="宋体"/>
          <w:color w:val="auto"/>
          <w:sz w:val="32"/>
          <w:szCs w:val="32"/>
          <w:highlight w:val="none"/>
        </w:rPr>
      </w:pPr>
    </w:p>
    <w:p w14:paraId="25BB478F">
      <w:pPr>
        <w:widowControl/>
        <w:spacing w:line="499" w:lineRule="atLeast"/>
        <w:ind w:firstLine="1600"/>
        <w:rPr>
          <w:rFonts w:hint="eastAsia" w:ascii="宋体" w:hAnsi="宋体" w:eastAsia="宋体" w:cs="宋体"/>
          <w:color w:val="auto"/>
          <w:sz w:val="32"/>
          <w:szCs w:val="32"/>
          <w:highlight w:val="none"/>
        </w:rPr>
      </w:pPr>
    </w:p>
    <w:p w14:paraId="615EDBC9">
      <w:pPr>
        <w:widowControl/>
        <w:spacing w:line="499" w:lineRule="atLeast"/>
        <w:ind w:firstLine="1600"/>
        <w:rPr>
          <w:rFonts w:hint="eastAsia" w:ascii="宋体" w:hAnsi="宋体" w:eastAsia="宋体" w:cs="宋体"/>
          <w:color w:val="auto"/>
          <w:sz w:val="32"/>
          <w:szCs w:val="32"/>
          <w:highlight w:val="none"/>
        </w:rPr>
      </w:pPr>
    </w:p>
    <w:p w14:paraId="4C9609A6">
      <w:pPr>
        <w:widowControl/>
        <w:spacing w:line="499" w:lineRule="atLeast"/>
        <w:ind w:firstLine="1600"/>
        <w:rPr>
          <w:rFonts w:hint="eastAsia" w:ascii="宋体" w:hAnsi="宋体" w:eastAsia="宋体" w:cs="宋体"/>
          <w:color w:val="auto"/>
          <w:sz w:val="32"/>
          <w:szCs w:val="32"/>
          <w:highlight w:val="none"/>
        </w:rPr>
      </w:pPr>
    </w:p>
    <w:p w14:paraId="665EB681">
      <w:pPr>
        <w:widowControl/>
        <w:spacing w:line="499" w:lineRule="atLeast"/>
        <w:ind w:firstLine="1600"/>
        <w:rPr>
          <w:rFonts w:hint="eastAsia" w:ascii="宋体" w:hAnsi="宋体" w:eastAsia="宋体" w:cs="宋体"/>
          <w:color w:val="auto"/>
          <w:sz w:val="32"/>
          <w:szCs w:val="32"/>
          <w:highlight w:val="none"/>
        </w:rPr>
      </w:pPr>
    </w:p>
    <w:p w14:paraId="72BCE883">
      <w:pPr>
        <w:widowControl/>
        <w:spacing w:line="499" w:lineRule="atLeast"/>
        <w:ind w:firstLine="1600"/>
        <w:rPr>
          <w:rFonts w:hint="eastAsia" w:ascii="宋体" w:hAnsi="宋体" w:eastAsia="宋体" w:cs="宋体"/>
          <w:color w:val="auto"/>
          <w:sz w:val="32"/>
          <w:szCs w:val="32"/>
          <w:highlight w:val="none"/>
        </w:rPr>
      </w:pPr>
    </w:p>
    <w:p w14:paraId="3393B8B9">
      <w:pPr>
        <w:widowControl/>
        <w:spacing w:line="499" w:lineRule="atLeast"/>
        <w:ind w:firstLine="1600"/>
        <w:rPr>
          <w:rFonts w:hint="eastAsia" w:ascii="宋体" w:hAnsi="宋体" w:eastAsia="宋体" w:cs="宋体"/>
          <w:color w:val="auto"/>
          <w:sz w:val="32"/>
          <w:szCs w:val="32"/>
          <w:highlight w:val="none"/>
        </w:rPr>
      </w:pPr>
    </w:p>
    <w:p w14:paraId="488D56B1">
      <w:pPr>
        <w:widowControl/>
        <w:spacing w:line="499" w:lineRule="atLeast"/>
        <w:ind w:firstLine="1600"/>
        <w:rPr>
          <w:rFonts w:hint="eastAsia" w:ascii="宋体" w:hAnsi="宋体" w:eastAsia="宋体" w:cs="宋体"/>
          <w:color w:val="auto"/>
          <w:sz w:val="32"/>
          <w:szCs w:val="32"/>
          <w:highlight w:val="none"/>
        </w:rPr>
      </w:pPr>
    </w:p>
    <w:p w14:paraId="58A6436E">
      <w:pPr>
        <w:widowControl/>
        <w:spacing w:line="499" w:lineRule="atLeast"/>
        <w:ind w:firstLine="1600"/>
        <w:rPr>
          <w:rFonts w:hint="eastAsia" w:ascii="宋体" w:hAnsi="宋体" w:eastAsia="宋体" w:cs="宋体"/>
          <w:color w:val="auto"/>
          <w:sz w:val="32"/>
          <w:szCs w:val="32"/>
          <w:highlight w:val="none"/>
        </w:rPr>
      </w:pPr>
    </w:p>
    <w:p w14:paraId="491A18BF">
      <w:pPr>
        <w:widowControl/>
        <w:spacing w:line="499" w:lineRule="atLeast"/>
        <w:ind w:firstLine="1600"/>
        <w:rPr>
          <w:rFonts w:hint="eastAsia" w:ascii="宋体" w:hAnsi="宋体" w:eastAsia="宋体" w:cs="宋体"/>
          <w:color w:val="auto"/>
          <w:sz w:val="32"/>
          <w:szCs w:val="32"/>
          <w:highlight w:val="none"/>
        </w:rPr>
      </w:pPr>
    </w:p>
    <w:p w14:paraId="7EB4104B">
      <w:pPr>
        <w:jc w:val="center"/>
        <w:rPr>
          <w:rFonts w:hint="eastAsia" w:ascii="宋体" w:hAnsi="宋体" w:eastAsia="宋体" w:cs="宋体"/>
          <w:i/>
          <w:iCs w:val="0"/>
          <w:color w:val="auto"/>
          <w:sz w:val="28"/>
          <w:szCs w:val="28"/>
          <w:highlight w:val="none"/>
          <w:u w:val="single"/>
        </w:rPr>
      </w:pPr>
      <w:r>
        <w:rPr>
          <w:rFonts w:hint="eastAsia" w:ascii="宋体" w:hAnsi="宋体" w:eastAsia="宋体" w:cs="宋体"/>
          <w:color w:val="auto"/>
          <w:sz w:val="32"/>
          <w:szCs w:val="32"/>
          <w:highlight w:val="none"/>
        </w:rPr>
        <w:br w:type="page" w:clear="all"/>
      </w:r>
      <w:r>
        <w:rPr>
          <w:rFonts w:hint="eastAsia" w:ascii="宋体" w:hAnsi="宋体" w:eastAsia="宋体" w:cs="宋体"/>
          <w:i/>
          <w:iCs w:val="0"/>
          <w:color w:val="auto"/>
          <w:sz w:val="28"/>
          <w:szCs w:val="28"/>
          <w:highlight w:val="none"/>
          <w:u w:val="single"/>
        </w:rPr>
        <w:t>十</w:t>
      </w:r>
      <w:r>
        <w:rPr>
          <w:rFonts w:hint="eastAsia" w:ascii="宋体" w:hAnsi="宋体" w:eastAsia="宋体" w:cs="宋体"/>
          <w:i/>
          <w:iCs w:val="0"/>
          <w:color w:val="auto"/>
          <w:sz w:val="28"/>
          <w:szCs w:val="28"/>
          <w:highlight w:val="none"/>
          <w:u w:val="single"/>
          <w:lang w:val="en-US" w:eastAsia="zh-CN"/>
        </w:rPr>
        <w:t>七</w:t>
      </w:r>
      <w:r>
        <w:rPr>
          <w:rFonts w:hint="eastAsia" w:ascii="宋体" w:hAnsi="宋体" w:eastAsia="宋体" w:cs="宋体"/>
          <w:i/>
          <w:iCs w:val="0"/>
          <w:color w:val="auto"/>
          <w:sz w:val="28"/>
          <w:szCs w:val="28"/>
          <w:highlight w:val="none"/>
          <w:u w:val="single"/>
        </w:rPr>
        <w:t>、</w:t>
      </w:r>
      <w:r>
        <w:rPr>
          <w:rFonts w:hint="eastAsia" w:ascii="宋体" w:hAnsi="宋体" w:eastAsia="宋体" w:cs="宋体"/>
          <w:i/>
          <w:iCs w:val="0"/>
          <w:color w:val="auto"/>
          <w:sz w:val="28"/>
          <w:szCs w:val="28"/>
          <w:highlight w:val="none"/>
          <w:u w:val="single"/>
          <w:lang w:val="en-US" w:eastAsia="zh-CN"/>
        </w:rPr>
        <w:t>盐都区</w:t>
      </w:r>
      <w:r>
        <w:rPr>
          <w:rFonts w:hint="eastAsia" w:ascii="宋体" w:hAnsi="宋体" w:eastAsia="宋体" w:cs="宋体"/>
          <w:i/>
          <w:iCs w:val="0"/>
          <w:color w:val="auto"/>
          <w:sz w:val="28"/>
          <w:szCs w:val="28"/>
          <w:highlight w:val="none"/>
          <w:u w:val="single"/>
        </w:rPr>
        <w:t>政府采购事前信用承诺书</w:t>
      </w:r>
    </w:p>
    <w:p w14:paraId="716FD535">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w:t>
      </w:r>
      <w:r>
        <w:rPr>
          <w:rFonts w:hint="eastAsia" w:ascii="宋体" w:hAnsi="宋体" w:eastAsia="宋体" w:cs="宋体"/>
          <w:color w:val="auto"/>
          <w:sz w:val="24"/>
          <w:highlight w:val="none"/>
          <w:lang w:val="en-US" w:eastAsia="zh-CN"/>
        </w:rPr>
        <w:t>市</w:t>
      </w:r>
      <w:r>
        <w:rPr>
          <w:rFonts w:hint="eastAsia" w:ascii="宋体" w:hAnsi="宋体" w:eastAsia="宋体" w:cs="宋体"/>
          <w:color w:val="auto"/>
          <w:sz w:val="24"/>
          <w:highlight w:val="none"/>
        </w:rPr>
        <w:t>公开、公平、公正、诚实守信的政府采购交易环境，树立诚信守法的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形象，本人代表本单位作出以下承诺：</w:t>
      </w:r>
    </w:p>
    <w:p w14:paraId="5447B020">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，并对所提供资料的真实性负责；</w:t>
      </w:r>
    </w:p>
    <w:p w14:paraId="2E4E03C3">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BAC5162">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6436455A">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（四）严格遵守即时信息公示规定，及时维护和更新盐城市政府采购网中与本单位相关的信息；</w:t>
      </w:r>
    </w:p>
    <w:p w14:paraId="39FAD155">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6AE3B7B">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07A053C6">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7701037">
      <w:pPr>
        <w:keepNext w:val="0"/>
        <w:keepLines w:val="0"/>
        <w:pageBreakBefore w:val="0"/>
        <w:widowControl/>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w:t>
      </w:r>
      <w:r>
        <w:rPr>
          <w:rFonts w:hint="eastAsia" w:ascii="宋体" w:hAnsi="宋体" w:eastAsia="宋体" w:cs="宋体"/>
          <w:color w:val="auto"/>
          <w:sz w:val="24"/>
          <w:highlight w:val="none"/>
          <w:lang w:val="en-US" w:eastAsia="zh-CN"/>
        </w:rPr>
        <w:t>做</w:t>
      </w:r>
      <w:r>
        <w:rPr>
          <w:rFonts w:hint="eastAsia" w:ascii="宋体" w:hAnsi="宋体" w:eastAsia="宋体" w:cs="宋体"/>
          <w:color w:val="auto"/>
          <w:sz w:val="24"/>
          <w:highlight w:val="none"/>
        </w:rPr>
        <w:t>了宣传教育。</w:t>
      </w:r>
    </w:p>
    <w:p w14:paraId="2483A0A2">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1E3466E">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59C627F">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年月日</w:t>
      </w:r>
    </w:p>
    <w:bookmarkEnd w:id="156"/>
    <w:bookmarkEnd w:id="165"/>
    <w:bookmarkEnd w:id="166"/>
    <w:bookmarkEnd w:id="167"/>
    <w:bookmarkEnd w:id="168"/>
    <w:bookmarkEnd w:id="169"/>
    <w:p w14:paraId="32E25A2B">
      <w:pPr>
        <w:pStyle w:val="81"/>
        <w:spacing w:beforeAutospacing="0" w:afterAutospacing="0"/>
        <w:jc w:val="center"/>
        <w:rPr>
          <w:rFonts w:hint="eastAsia" w:ascii="宋体" w:hAnsi="宋体" w:eastAsia="宋体" w:cs="宋体"/>
          <w:color w:val="auto"/>
          <w:highlight w:val="none"/>
        </w:rPr>
      </w:pPr>
    </w:p>
    <w:p w14:paraId="1DABC1CC">
      <w:pPr>
        <w:rPr>
          <w:rFonts w:hint="eastAsia" w:ascii="宋体" w:hAnsi="宋体" w:eastAsia="宋体" w:cs="宋体"/>
          <w:color w:val="auto"/>
          <w:highlight w:val="none"/>
        </w:rPr>
      </w:pPr>
    </w:p>
    <w:p w14:paraId="0F03518C">
      <w:pPr>
        <w:pStyle w:val="81"/>
        <w:spacing w:beforeAutospacing="0" w:afterAutospacing="0"/>
        <w:jc w:val="center"/>
        <w:rPr>
          <w:rFonts w:hint="eastAsia" w:ascii="宋体" w:hAnsi="宋体" w:eastAsia="宋体" w:cs="宋体"/>
          <w:b/>
          <w:color w:val="auto"/>
          <w:sz w:val="32"/>
          <w:szCs w:val="32"/>
          <w:highlight w:val="none"/>
        </w:rPr>
      </w:pPr>
    </w:p>
    <w:p w14:paraId="23492956">
      <w:pPr>
        <w:pStyle w:val="81"/>
        <w:spacing w:beforeAutospacing="0" w:afterAutospacing="0"/>
        <w:jc w:val="center"/>
        <w:rPr>
          <w:rFonts w:hint="eastAsia" w:ascii="宋体" w:hAnsi="宋体" w:eastAsia="宋体" w:cs="宋体"/>
          <w:b/>
          <w:color w:val="auto"/>
          <w:sz w:val="32"/>
          <w:szCs w:val="32"/>
          <w:highlight w:val="none"/>
        </w:rPr>
      </w:pPr>
    </w:p>
    <w:p w14:paraId="5F31450E">
      <w:pPr>
        <w:pStyle w:val="8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5B483A8">
      <w:pPr>
        <w:pStyle w:val="81"/>
        <w:keepNext w:val="0"/>
        <w:keepLines w:val="0"/>
        <w:pageBreakBefore w:val="0"/>
        <w:widowControl/>
        <w:spacing w:before="290"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25263992">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57E09FA">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98E2543">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D04E62A">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5CB3F6">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CF1ECCA">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8229E8F">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959AF6">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789E523">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194AC25">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734FB37A">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6B42D02">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3ABC066E">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D1A61A">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70F7DB0">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74E75A3">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74ADAA4E">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1DF25048">
      <w:pPr>
        <w:pStyle w:val="81"/>
        <w:keepNext w:val="0"/>
        <w:keepLines w:val="0"/>
        <w:pageBreakBefore w:val="0"/>
        <w:widowControl/>
        <w:spacing w:beforeAutospacing="0" w:afterAutospacing="0" w:line="300" w:lineRule="exact"/>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5142BA81">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56C46A3">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49116AC6">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291CBAA2">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A1453FA">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3E209A8F">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69F61032">
      <w:pPr>
        <w:pStyle w:val="81"/>
        <w:keepNext w:val="0"/>
        <w:keepLines w:val="0"/>
        <w:pageBreakBefore w:val="0"/>
        <w:widowControl/>
        <w:spacing w:beforeAutospacing="0" w:afterAutospacing="0" w:line="300" w:lineRule="exac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268DFF71">
      <w:pPr>
        <w:pStyle w:val="81"/>
        <w:keepNext w:val="0"/>
        <w:keepLines w:val="0"/>
        <w:pageBreakBefore w:val="0"/>
        <w:widowControl/>
        <w:spacing w:beforeAutospacing="0" w:afterAutospacing="0"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供应商提出质疑时，应提交质疑函和必要的证明材料。2.质疑供应商若委托代理人进行质疑的，质疑函应按要求列明“授权代表”的有关内容，并在附件中提交由质疑供应商签署的授权委托书。授权委托书应载明代理人的姓名或者名称、代理事项、具体权限、期限和相关事项。3.质疑供应商若对项目的某一分包进行质疑，质疑函中应列明具体分包号。4.质疑函的质疑事项应具体、明确，并有必要的事实依据和法律依据。5.质疑函的质疑请求应与质疑事项相关。6.质疑供应商为自然人的，质疑函应由本人签字；质疑供应商为法人或者其他组织的，质疑函应由法定代表人、主要负责人，或者其授权代表签字或者盖章，并加盖</w:t>
      </w:r>
      <w:r>
        <w:rPr>
          <w:rFonts w:hint="eastAsia" w:ascii="宋体" w:hAnsi="宋体" w:eastAsia="宋体" w:cs="宋体"/>
          <w:color w:val="auto"/>
          <w:sz w:val="21"/>
          <w:szCs w:val="21"/>
          <w:highlight w:val="none"/>
          <w:lang w:val="en-US" w:eastAsia="zh-CN"/>
        </w:rPr>
        <w:t>公章。</w:t>
      </w:r>
    </w:p>
    <w:bookmarkEnd w:id="170"/>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DF16">
    <w:pPr>
      <w:pStyle w:val="66"/>
      <w:tabs>
        <w:tab w:val="center" w:pos="4153"/>
        <w:tab w:val="right" w:pos="8306"/>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666BB5">
                          <w:pPr>
                            <w:pStyle w:val="66"/>
                            <w:tabs>
                              <w:tab w:val="clear" w:pos="7143"/>
                              <w:tab w:val="clear" w:pos="14287"/>
                            </w:tabs>
                          </w:pPr>
                          <w:r>
                            <w:fldChar w:fldCharType="begin"/>
                          </w:r>
                          <w:r>
                            <w:instrText xml:space="preserve"> PAGE  \* MERGEFORMAT </w:instrText>
                          </w:r>
                          <w:r>
                            <w:fldChar w:fldCharType="separate"/>
                          </w:r>
                          <w:r>
                            <w:t>2</w:t>
                          </w:r>
                          <w:r>
                            <w:fldChar w:fldCharType="end"/>
                          </w:r>
                        </w:p>
                        <w:p w14:paraId="6BE971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7666BB5">
                    <w:pPr>
                      <w:pStyle w:val="66"/>
                      <w:tabs>
                        <w:tab w:val="clear" w:pos="7143"/>
                        <w:tab w:val="clear" w:pos="14287"/>
                      </w:tabs>
                    </w:pPr>
                    <w:r>
                      <w:fldChar w:fldCharType="begin"/>
                    </w:r>
                    <w:r>
                      <w:instrText xml:space="preserve"> PAGE  \* MERGEFORMAT </w:instrText>
                    </w:r>
                    <w:r>
                      <w:fldChar w:fldCharType="separate"/>
                    </w:r>
                    <w:r>
                      <w:t>2</w:t>
                    </w:r>
                    <w:r>
                      <w:fldChar w:fldCharType="end"/>
                    </w:r>
                  </w:p>
                  <w:p w14:paraId="6BE9715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DFF5C">
    <w:pPr>
      <w:pStyle w:val="23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A430992">
                          <w:pPr>
                            <w:pStyle w:val="66"/>
                            <w:tabs>
                              <w:tab w:val="clear" w:pos="7143"/>
                              <w:tab w:val="clear" w:pos="14287"/>
                            </w:tabs>
                          </w:pPr>
                          <w:r>
                            <w:fldChar w:fldCharType="begin"/>
                          </w:r>
                          <w:r>
                            <w:instrText xml:space="preserve"> PAGE  \* MERGEFORMAT </w:instrText>
                          </w:r>
                          <w:r>
                            <w:fldChar w:fldCharType="separate"/>
                          </w:r>
                          <w:r>
                            <w:t>48</w:t>
                          </w:r>
                          <w:r>
                            <w:fldChar w:fldCharType="end"/>
                          </w:r>
                        </w:p>
                        <w:p w14:paraId="75CC2A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A430992">
                    <w:pPr>
                      <w:pStyle w:val="66"/>
                      <w:tabs>
                        <w:tab w:val="clear" w:pos="7143"/>
                        <w:tab w:val="clear" w:pos="14287"/>
                      </w:tabs>
                    </w:pPr>
                    <w:r>
                      <w:fldChar w:fldCharType="begin"/>
                    </w:r>
                    <w:r>
                      <w:instrText xml:space="preserve"> PAGE  \* MERGEFORMAT </w:instrText>
                    </w:r>
                    <w:r>
                      <w:fldChar w:fldCharType="separate"/>
                    </w:r>
                    <w:r>
                      <w:t>48</w:t>
                    </w:r>
                    <w:r>
                      <w:fldChar w:fldCharType="end"/>
                    </w:r>
                  </w:p>
                  <w:p w14:paraId="75CC2AA1"/>
                </w:txbxContent>
              </v:textbox>
            </v:shape>
          </w:pict>
        </mc:Fallback>
      </mc:AlternateContent>
    </w:r>
  </w:p>
  <w:p w14:paraId="530C7338">
    <w:pPr>
      <w:pStyle w:val="2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95FE0">
    <w:pPr>
      <w:pStyle w:val="68"/>
      <w:pBdr>
        <w:bottom w:val="none" w:color="000000" w:sz="0" w:space="1"/>
      </w:pBdr>
      <w:tabs>
        <w:tab w:val="left" w:pos="3565"/>
      </w:tabs>
      <w:rPr>
        <w:rFonts w:hint="eastAsia"/>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E3ABE"/>
    <w:rsid w:val="044605DF"/>
    <w:rsid w:val="053B2F76"/>
    <w:rsid w:val="08C2594B"/>
    <w:rsid w:val="099455AC"/>
    <w:rsid w:val="0A38067D"/>
    <w:rsid w:val="0AC77248"/>
    <w:rsid w:val="0AF26D2D"/>
    <w:rsid w:val="0B554854"/>
    <w:rsid w:val="0BD36B91"/>
    <w:rsid w:val="0D135892"/>
    <w:rsid w:val="0D1806C6"/>
    <w:rsid w:val="0D7228CF"/>
    <w:rsid w:val="0E8F62CF"/>
    <w:rsid w:val="10DA3AD1"/>
    <w:rsid w:val="110773C4"/>
    <w:rsid w:val="14DC63C6"/>
    <w:rsid w:val="14FE3C87"/>
    <w:rsid w:val="162A4659"/>
    <w:rsid w:val="16A85BB4"/>
    <w:rsid w:val="19272DDF"/>
    <w:rsid w:val="19597C05"/>
    <w:rsid w:val="1BCB6274"/>
    <w:rsid w:val="1CE1589F"/>
    <w:rsid w:val="1FC23D51"/>
    <w:rsid w:val="221C624F"/>
    <w:rsid w:val="23C56DC7"/>
    <w:rsid w:val="2431598C"/>
    <w:rsid w:val="288B3668"/>
    <w:rsid w:val="2B645448"/>
    <w:rsid w:val="2B881826"/>
    <w:rsid w:val="2C442F4F"/>
    <w:rsid w:val="2F411B3A"/>
    <w:rsid w:val="2FE8599B"/>
    <w:rsid w:val="30D40CA4"/>
    <w:rsid w:val="316D2048"/>
    <w:rsid w:val="337954A8"/>
    <w:rsid w:val="337C33A9"/>
    <w:rsid w:val="347F6217"/>
    <w:rsid w:val="366C6D72"/>
    <w:rsid w:val="3767760C"/>
    <w:rsid w:val="38C7067D"/>
    <w:rsid w:val="3B1C4513"/>
    <w:rsid w:val="3D7309E6"/>
    <w:rsid w:val="3F7F3B03"/>
    <w:rsid w:val="4052632E"/>
    <w:rsid w:val="417662C5"/>
    <w:rsid w:val="422A409B"/>
    <w:rsid w:val="42C76507"/>
    <w:rsid w:val="447C2940"/>
    <w:rsid w:val="47B805F0"/>
    <w:rsid w:val="4A2C3466"/>
    <w:rsid w:val="4B3E6E8C"/>
    <w:rsid w:val="4C7F63F5"/>
    <w:rsid w:val="4CA45BD8"/>
    <w:rsid w:val="4F594BCD"/>
    <w:rsid w:val="513517DD"/>
    <w:rsid w:val="536374AD"/>
    <w:rsid w:val="56AE3088"/>
    <w:rsid w:val="59213594"/>
    <w:rsid w:val="5F8A54B4"/>
    <w:rsid w:val="61033D68"/>
    <w:rsid w:val="61BF6DF3"/>
    <w:rsid w:val="656B52E0"/>
    <w:rsid w:val="66676EF2"/>
    <w:rsid w:val="66EF5667"/>
    <w:rsid w:val="68EF6EFE"/>
    <w:rsid w:val="692B4B44"/>
    <w:rsid w:val="6B363574"/>
    <w:rsid w:val="6E130C3C"/>
    <w:rsid w:val="6F297C6B"/>
    <w:rsid w:val="70B7060E"/>
    <w:rsid w:val="70C45593"/>
    <w:rsid w:val="72113D4E"/>
    <w:rsid w:val="72455C32"/>
    <w:rsid w:val="73546F16"/>
    <w:rsid w:val="73617AE3"/>
    <w:rsid w:val="74510D7A"/>
    <w:rsid w:val="754D4D59"/>
    <w:rsid w:val="75976053"/>
    <w:rsid w:val="75FE6CDF"/>
    <w:rsid w:val="767F32E9"/>
    <w:rsid w:val="77BE5F6B"/>
    <w:rsid w:val="77C8577E"/>
    <w:rsid w:val="78061E6D"/>
    <w:rsid w:val="794C11FC"/>
    <w:rsid w:val="7A8F7126"/>
    <w:rsid w:val="7ABB0B81"/>
    <w:rsid w:val="7E10311A"/>
    <w:rsid w:val="7E9737AF"/>
    <w:rsid w:val="7EDC78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5"/>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customStyle="1" w:styleId="34">
    <w:name w:val="标题 11"/>
    <w:basedOn w:val="1"/>
    <w:next w:val="1"/>
    <w:link w:val="45"/>
    <w:qFormat/>
    <w:uiPriority w:val="9"/>
    <w:pPr>
      <w:keepNext/>
      <w:keepLines/>
      <w:spacing w:before="480" w:after="200"/>
      <w:outlineLvl w:val="0"/>
    </w:pPr>
    <w:rPr>
      <w:rFonts w:ascii="Arial" w:hAnsi="Arial" w:eastAsia="Arial" w:cs="Arial"/>
      <w:sz w:val="40"/>
      <w:szCs w:val="40"/>
    </w:rPr>
  </w:style>
  <w:style w:type="paragraph" w:customStyle="1" w:styleId="35">
    <w:name w:val="标题 211"/>
    <w:basedOn w:val="1"/>
    <w:next w:val="1"/>
    <w:link w:val="46"/>
    <w:unhideWhenUsed/>
    <w:qFormat/>
    <w:uiPriority w:val="9"/>
    <w:pPr>
      <w:keepNext/>
      <w:keepLines/>
      <w:spacing w:before="360" w:after="200"/>
      <w:outlineLvl w:val="1"/>
    </w:pPr>
    <w:rPr>
      <w:rFonts w:ascii="Arial" w:hAnsi="Arial" w:eastAsia="Arial" w:cs="Arial"/>
      <w:sz w:val="34"/>
    </w:rPr>
  </w:style>
  <w:style w:type="paragraph" w:customStyle="1" w:styleId="36">
    <w:name w:val="标题 31"/>
    <w:basedOn w:val="1"/>
    <w:next w:val="1"/>
    <w:link w:val="47"/>
    <w:unhideWhenUsed/>
    <w:qFormat/>
    <w:uiPriority w:val="9"/>
    <w:pPr>
      <w:keepNext/>
      <w:keepLines/>
      <w:spacing w:before="260" w:after="260" w:line="416" w:lineRule="auto"/>
      <w:jc w:val="center"/>
      <w:outlineLvl w:val="2"/>
    </w:pPr>
    <w:rPr>
      <w:rFonts w:ascii="Arial" w:hAnsi="Arial" w:eastAsia="Arial" w:cs="Arial"/>
      <w:sz w:val="30"/>
      <w:szCs w:val="30"/>
    </w:rPr>
  </w:style>
  <w:style w:type="paragraph" w:customStyle="1" w:styleId="37">
    <w:name w:val="标题 41"/>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customStyle="1" w:styleId="38">
    <w:name w:val="标题 51"/>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customStyle="1" w:styleId="39">
    <w:name w:val="标题 61"/>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customStyle="1" w:styleId="40">
    <w:name w:val="标题 71"/>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1">
    <w:name w:val="标题 81"/>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customStyle="1" w:styleId="42">
    <w:name w:val="标题 91"/>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customStyle="1" w:styleId="43">
    <w:name w:val="默认段落字体11"/>
    <w:link w:val="1"/>
    <w:unhideWhenUsed/>
    <w:qFormat/>
    <w:uiPriority w:val="1"/>
  </w:style>
  <w:style w:type="table" w:customStyle="1" w:styleId="44">
    <w:name w:val="普通表格11"/>
    <w:unhideWhenUsed/>
    <w:qFormat/>
    <w:uiPriority w:val="99"/>
  </w:style>
  <w:style w:type="character" w:customStyle="1" w:styleId="45">
    <w:name w:val="Heading 1 Char"/>
    <w:link w:val="34"/>
    <w:qFormat/>
    <w:uiPriority w:val="9"/>
    <w:rPr>
      <w:rFonts w:ascii="Arial" w:hAnsi="Arial" w:eastAsia="Arial" w:cs="Arial"/>
      <w:sz w:val="40"/>
      <w:szCs w:val="40"/>
    </w:rPr>
  </w:style>
  <w:style w:type="character" w:customStyle="1" w:styleId="46">
    <w:name w:val="Heading 2 Char"/>
    <w:link w:val="35"/>
    <w:qFormat/>
    <w:uiPriority w:val="9"/>
    <w:rPr>
      <w:rFonts w:ascii="Arial" w:hAnsi="Arial" w:eastAsia="Arial" w:cs="Arial"/>
      <w:sz w:val="34"/>
    </w:rPr>
  </w:style>
  <w:style w:type="character" w:customStyle="1" w:styleId="47">
    <w:name w:val="Heading 3 Char"/>
    <w:basedOn w:val="48"/>
    <w:link w:val="36"/>
    <w:qFormat/>
    <w:uiPriority w:val="9"/>
    <w:rPr>
      <w:rFonts w:ascii="Arial" w:hAnsi="Arial" w:eastAsia="Arial" w:cs="Arial"/>
      <w:sz w:val="30"/>
      <w:szCs w:val="30"/>
    </w:rPr>
  </w:style>
  <w:style w:type="character" w:customStyle="1" w:styleId="48">
    <w:name w:val="默认段落字体1"/>
    <w:link w:val="1"/>
    <w:unhideWhenUsed/>
    <w:qFormat/>
    <w:uiPriority w:val="1"/>
  </w:style>
  <w:style w:type="character" w:customStyle="1" w:styleId="49">
    <w:name w:val="Heading 4 Char"/>
    <w:link w:val="37"/>
    <w:qFormat/>
    <w:uiPriority w:val="9"/>
    <w:rPr>
      <w:rFonts w:ascii="Arial" w:hAnsi="Arial" w:eastAsia="Arial" w:cs="Arial"/>
      <w:b/>
      <w:bCs/>
      <w:sz w:val="26"/>
      <w:szCs w:val="26"/>
    </w:rPr>
  </w:style>
  <w:style w:type="character" w:customStyle="1" w:styleId="50">
    <w:name w:val="Heading 5 Char"/>
    <w:link w:val="38"/>
    <w:qFormat/>
    <w:uiPriority w:val="9"/>
    <w:rPr>
      <w:rFonts w:ascii="Arial" w:hAnsi="Arial" w:eastAsia="Arial" w:cs="Arial"/>
      <w:b/>
      <w:bCs/>
      <w:sz w:val="24"/>
      <w:szCs w:val="24"/>
    </w:rPr>
  </w:style>
  <w:style w:type="character" w:customStyle="1" w:styleId="51">
    <w:name w:val="Heading 6 Char"/>
    <w:link w:val="39"/>
    <w:qFormat/>
    <w:uiPriority w:val="9"/>
    <w:rPr>
      <w:rFonts w:ascii="Arial" w:hAnsi="Arial" w:eastAsia="Arial" w:cs="Arial"/>
      <w:b/>
      <w:bCs/>
      <w:sz w:val="22"/>
      <w:szCs w:val="22"/>
    </w:rPr>
  </w:style>
  <w:style w:type="character" w:customStyle="1" w:styleId="52">
    <w:name w:val="Heading 7 Char"/>
    <w:link w:val="40"/>
    <w:qFormat/>
    <w:uiPriority w:val="9"/>
    <w:rPr>
      <w:rFonts w:ascii="Arial" w:hAnsi="Arial" w:eastAsia="Arial" w:cs="Arial"/>
      <w:b/>
      <w:bCs/>
      <w:i/>
      <w:iCs/>
      <w:sz w:val="22"/>
      <w:szCs w:val="22"/>
    </w:rPr>
  </w:style>
  <w:style w:type="character" w:customStyle="1" w:styleId="53">
    <w:name w:val="Heading 8 Char"/>
    <w:link w:val="41"/>
    <w:qFormat/>
    <w:uiPriority w:val="9"/>
    <w:rPr>
      <w:rFonts w:ascii="Arial" w:hAnsi="Arial" w:eastAsia="Arial" w:cs="Arial"/>
      <w:i/>
      <w:iCs/>
      <w:sz w:val="22"/>
      <w:szCs w:val="22"/>
    </w:rPr>
  </w:style>
  <w:style w:type="character" w:customStyle="1" w:styleId="54">
    <w:name w:val="Heading 9 Char"/>
    <w:link w:val="42"/>
    <w:qFormat/>
    <w:uiPriority w:val="9"/>
    <w:rPr>
      <w:rFonts w:ascii="Arial" w:hAnsi="Arial" w:eastAsia="Arial" w:cs="Arial"/>
      <w:i/>
      <w:iCs/>
      <w:sz w:val="21"/>
      <w:szCs w:val="21"/>
    </w:rPr>
  </w:style>
  <w:style w:type="paragraph" w:customStyle="1" w:styleId="55">
    <w:name w:val="目录 71"/>
    <w:basedOn w:val="1"/>
    <w:next w:val="1"/>
    <w:unhideWhenUsed/>
    <w:qFormat/>
    <w:uiPriority w:val="39"/>
    <w:pPr>
      <w:spacing w:after="57"/>
      <w:ind w:left="1701" w:right="0" w:firstLine="0"/>
    </w:pPr>
  </w:style>
  <w:style w:type="paragraph" w:customStyle="1" w:styleId="56">
    <w:name w:val="题注1"/>
    <w:basedOn w:val="1"/>
    <w:next w:val="1"/>
    <w:unhideWhenUsed/>
    <w:qFormat/>
    <w:uiPriority w:val="35"/>
    <w:pPr>
      <w:spacing w:line="276" w:lineRule="auto"/>
    </w:pPr>
    <w:rPr>
      <w:b/>
      <w:bCs/>
      <w:color w:val="4F81BD"/>
      <w:sz w:val="18"/>
      <w:szCs w:val="18"/>
    </w:rPr>
  </w:style>
  <w:style w:type="paragraph" w:customStyle="1" w:styleId="57">
    <w:name w:val="正文文本11"/>
    <w:basedOn w:val="1"/>
    <w:next w:val="1"/>
    <w:qFormat/>
    <w:uiPriority w:val="0"/>
    <w:rPr>
      <w:rFonts w:ascii="楷体_GB2312" w:hAnsi="Arial" w:eastAsia="楷体_GB2312"/>
      <w:sz w:val="28"/>
      <w:szCs w:val="28"/>
    </w:rPr>
  </w:style>
  <w:style w:type="paragraph" w:customStyle="1" w:styleId="58">
    <w:name w:val="文本块11"/>
    <w:basedOn w:val="1"/>
    <w:next w:val="59"/>
    <w:qFormat/>
    <w:uiPriority w:val="0"/>
    <w:pPr>
      <w:spacing w:after="120"/>
      <w:ind w:left="700" w:right="700"/>
    </w:pPr>
    <w:rPr>
      <w:rFonts w:ascii="仿宋_GB2312" w:eastAsia="仿宋_GB2312" w:cs="Times New Roman"/>
      <w:sz w:val="28"/>
      <w:szCs w:val="24"/>
    </w:rPr>
  </w:style>
  <w:style w:type="paragraph" w:customStyle="1" w:styleId="59">
    <w:name w:val="批注框文本11"/>
    <w:basedOn w:val="1"/>
    <w:semiHidden/>
    <w:qFormat/>
    <w:uiPriority w:val="0"/>
    <w:rPr>
      <w:sz w:val="18"/>
      <w:szCs w:val="18"/>
    </w:rPr>
  </w:style>
  <w:style w:type="paragraph" w:customStyle="1" w:styleId="60">
    <w:name w:val="目录 51"/>
    <w:basedOn w:val="1"/>
    <w:next w:val="1"/>
    <w:unhideWhenUsed/>
    <w:qFormat/>
    <w:uiPriority w:val="39"/>
    <w:pPr>
      <w:spacing w:after="57"/>
      <w:ind w:left="1134" w:right="0" w:firstLine="0"/>
    </w:pPr>
  </w:style>
  <w:style w:type="paragraph" w:customStyle="1" w:styleId="61">
    <w:name w:val="目录 31"/>
    <w:basedOn w:val="1"/>
    <w:next w:val="1"/>
    <w:unhideWhenUsed/>
    <w:qFormat/>
    <w:uiPriority w:val="39"/>
    <w:pPr>
      <w:spacing w:after="57"/>
      <w:ind w:left="567" w:right="0" w:firstLine="0"/>
    </w:pPr>
  </w:style>
  <w:style w:type="paragraph" w:customStyle="1" w:styleId="62">
    <w:name w:val="纯文本12"/>
    <w:basedOn w:val="1"/>
    <w:qFormat/>
    <w:uiPriority w:val="0"/>
    <w:rPr>
      <w:rFonts w:ascii="宋体" w:hAnsi="Courier New" w:cs="Courier New"/>
    </w:rPr>
  </w:style>
  <w:style w:type="paragraph" w:customStyle="1" w:styleId="63">
    <w:name w:val="目录 81"/>
    <w:basedOn w:val="1"/>
    <w:next w:val="1"/>
    <w:unhideWhenUsed/>
    <w:qFormat/>
    <w:uiPriority w:val="39"/>
    <w:pPr>
      <w:spacing w:after="57"/>
      <w:ind w:left="1984" w:right="0" w:firstLine="0"/>
    </w:pPr>
  </w:style>
  <w:style w:type="paragraph" w:customStyle="1" w:styleId="64">
    <w:name w:val="尾注文本1"/>
    <w:basedOn w:val="1"/>
    <w:link w:val="65"/>
    <w:unhideWhenUsed/>
    <w:qFormat/>
    <w:uiPriority w:val="99"/>
    <w:pPr>
      <w:spacing w:after="0" w:line="240" w:lineRule="auto"/>
    </w:pPr>
    <w:rPr>
      <w:sz w:val="20"/>
    </w:rPr>
  </w:style>
  <w:style w:type="character" w:customStyle="1" w:styleId="65">
    <w:name w:val="Endnote Text Char"/>
    <w:link w:val="64"/>
    <w:qFormat/>
    <w:uiPriority w:val="99"/>
    <w:rPr>
      <w:sz w:val="20"/>
    </w:rPr>
  </w:style>
  <w:style w:type="paragraph" w:customStyle="1" w:styleId="66">
    <w:name w:val="页脚11"/>
    <w:basedOn w:val="1"/>
    <w:link w:val="90"/>
    <w:unhideWhenUsed/>
    <w:qFormat/>
    <w:uiPriority w:val="99"/>
    <w:pPr>
      <w:tabs>
        <w:tab w:val="center" w:pos="7143"/>
        <w:tab w:val="right" w:pos="14287"/>
      </w:tabs>
      <w:spacing w:after="0" w:line="240" w:lineRule="auto"/>
    </w:pPr>
  </w:style>
  <w:style w:type="character" w:customStyle="1" w:styleId="67">
    <w:name w:val="Caption Char"/>
    <w:link w:val="66"/>
    <w:qFormat/>
    <w:uiPriority w:val="99"/>
  </w:style>
  <w:style w:type="paragraph" w:customStyle="1" w:styleId="68">
    <w:name w:val="页眉11"/>
    <w:basedOn w:val="1"/>
    <w:link w:val="69"/>
    <w:unhideWhenUsed/>
    <w:qFormat/>
    <w:uiPriority w:val="99"/>
    <w:pPr>
      <w:tabs>
        <w:tab w:val="center" w:pos="7143"/>
        <w:tab w:val="right" w:pos="14287"/>
      </w:tabs>
      <w:spacing w:after="0" w:line="240" w:lineRule="auto"/>
    </w:pPr>
  </w:style>
  <w:style w:type="character" w:customStyle="1" w:styleId="69">
    <w:name w:val="Header Char"/>
    <w:link w:val="68"/>
    <w:qFormat/>
    <w:uiPriority w:val="99"/>
  </w:style>
  <w:style w:type="paragraph" w:customStyle="1" w:styleId="70">
    <w:name w:val="目录 11"/>
    <w:basedOn w:val="1"/>
    <w:next w:val="1"/>
    <w:unhideWhenUsed/>
    <w:qFormat/>
    <w:uiPriority w:val="39"/>
    <w:pPr>
      <w:spacing w:after="57"/>
      <w:ind w:left="0" w:right="0" w:firstLine="0"/>
    </w:pPr>
  </w:style>
  <w:style w:type="paragraph" w:customStyle="1" w:styleId="71">
    <w:name w:val="目录 41"/>
    <w:basedOn w:val="1"/>
    <w:next w:val="1"/>
    <w:unhideWhenUsed/>
    <w:qFormat/>
    <w:uiPriority w:val="39"/>
    <w:pPr>
      <w:spacing w:after="57"/>
      <w:ind w:left="850" w:right="0" w:firstLine="0"/>
    </w:pPr>
  </w:style>
  <w:style w:type="paragraph" w:customStyle="1" w:styleId="72">
    <w:name w:val="副标题1"/>
    <w:basedOn w:val="1"/>
    <w:next w:val="1"/>
    <w:link w:val="73"/>
    <w:qFormat/>
    <w:uiPriority w:val="11"/>
    <w:pPr>
      <w:spacing w:before="200" w:after="200"/>
    </w:pPr>
    <w:rPr>
      <w:sz w:val="24"/>
      <w:szCs w:val="24"/>
    </w:rPr>
  </w:style>
  <w:style w:type="character" w:customStyle="1" w:styleId="73">
    <w:name w:val="Subtitle Char"/>
    <w:link w:val="72"/>
    <w:qFormat/>
    <w:uiPriority w:val="11"/>
    <w:rPr>
      <w:sz w:val="24"/>
      <w:szCs w:val="24"/>
    </w:rPr>
  </w:style>
  <w:style w:type="paragraph" w:customStyle="1" w:styleId="74">
    <w:name w:val="脚注文本1"/>
    <w:basedOn w:val="1"/>
    <w:link w:val="75"/>
    <w:unhideWhenUsed/>
    <w:qFormat/>
    <w:uiPriority w:val="99"/>
    <w:pPr>
      <w:spacing w:after="40" w:line="240" w:lineRule="auto"/>
    </w:pPr>
    <w:rPr>
      <w:sz w:val="18"/>
    </w:rPr>
  </w:style>
  <w:style w:type="character" w:customStyle="1" w:styleId="75">
    <w:name w:val="Footnote Text Char"/>
    <w:link w:val="74"/>
    <w:qFormat/>
    <w:uiPriority w:val="99"/>
    <w:rPr>
      <w:sz w:val="18"/>
    </w:rPr>
  </w:style>
  <w:style w:type="paragraph" w:customStyle="1" w:styleId="76">
    <w:name w:val="目录 61"/>
    <w:basedOn w:val="1"/>
    <w:next w:val="1"/>
    <w:unhideWhenUsed/>
    <w:qFormat/>
    <w:uiPriority w:val="39"/>
    <w:pPr>
      <w:spacing w:after="57"/>
      <w:ind w:left="1417" w:right="0" w:firstLine="0"/>
    </w:pPr>
  </w:style>
  <w:style w:type="paragraph" w:customStyle="1" w:styleId="77">
    <w:name w:val="正文文本缩进 311"/>
    <w:basedOn w:val="1"/>
    <w:qFormat/>
    <w:uiPriority w:val="0"/>
    <w:pPr>
      <w:ind w:left="645" w:firstLine="645"/>
    </w:pPr>
    <w:rPr>
      <w:rFonts w:ascii="Arial" w:hAnsi="Arial" w:eastAsia="仿宋_GB2312" w:cs="Arial"/>
      <w:color w:val="FFFF00"/>
      <w:sz w:val="32"/>
      <w:szCs w:val="32"/>
    </w:rPr>
  </w:style>
  <w:style w:type="paragraph" w:customStyle="1" w:styleId="78">
    <w:name w:val="图表目录1"/>
    <w:basedOn w:val="1"/>
    <w:next w:val="1"/>
    <w:unhideWhenUsed/>
    <w:qFormat/>
    <w:uiPriority w:val="99"/>
    <w:pPr>
      <w:spacing w:after="0" w:afterAutospacing="0"/>
    </w:pPr>
  </w:style>
  <w:style w:type="paragraph" w:customStyle="1" w:styleId="79">
    <w:name w:val="目录 21"/>
    <w:basedOn w:val="1"/>
    <w:next w:val="1"/>
    <w:unhideWhenUsed/>
    <w:qFormat/>
    <w:uiPriority w:val="39"/>
    <w:pPr>
      <w:spacing w:after="57"/>
      <w:ind w:left="283" w:right="0" w:firstLine="0"/>
    </w:pPr>
  </w:style>
  <w:style w:type="paragraph" w:customStyle="1" w:styleId="80">
    <w:name w:val="目录 91"/>
    <w:basedOn w:val="1"/>
    <w:next w:val="1"/>
    <w:unhideWhenUsed/>
    <w:qFormat/>
    <w:uiPriority w:val="39"/>
    <w:pPr>
      <w:spacing w:after="57"/>
      <w:ind w:left="2268" w:right="0" w:firstLine="0"/>
    </w:pPr>
  </w:style>
  <w:style w:type="paragraph" w:customStyle="1" w:styleId="81">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82">
    <w:name w:val="标题1"/>
    <w:basedOn w:val="1"/>
    <w:next w:val="1"/>
    <w:link w:val="83"/>
    <w:qFormat/>
    <w:uiPriority w:val="10"/>
    <w:pPr>
      <w:spacing w:before="300" w:after="200"/>
      <w:contextualSpacing/>
    </w:pPr>
    <w:rPr>
      <w:sz w:val="48"/>
      <w:szCs w:val="48"/>
    </w:rPr>
  </w:style>
  <w:style w:type="character" w:customStyle="1" w:styleId="83">
    <w:name w:val="Title Char"/>
    <w:link w:val="82"/>
    <w:qFormat/>
    <w:uiPriority w:val="10"/>
    <w:rPr>
      <w:sz w:val="48"/>
      <w:szCs w:val="48"/>
    </w:rPr>
  </w:style>
  <w:style w:type="paragraph" w:customStyle="1" w:styleId="84">
    <w:name w:val="正文首行缩进12"/>
    <w:basedOn w:val="57"/>
    <w:qFormat/>
    <w:uiPriority w:val="0"/>
    <w:pPr>
      <w:spacing w:line="360" w:lineRule="auto"/>
      <w:ind w:firstLine="200"/>
    </w:pPr>
    <w:rPr>
      <w:rFonts w:ascii="仿宋_GB2312" w:eastAsia="仿宋_GB2312"/>
      <w:sz w:val="30"/>
      <w:szCs w:val="30"/>
    </w:rPr>
  </w:style>
  <w:style w:type="table" w:customStyle="1" w:styleId="85">
    <w:name w:val="网格型1"/>
    <w:qFormat/>
    <w:uiPriority w:val="59"/>
    <w:pPr>
      <w:spacing w:after="0" w:line="240" w:lineRule="auto"/>
    </w:pPr>
  </w:style>
  <w:style w:type="character" w:customStyle="1" w:styleId="86">
    <w:name w:val="尾注引用1"/>
    <w:link w:val="1"/>
    <w:unhideWhenUsed/>
    <w:qFormat/>
    <w:uiPriority w:val="99"/>
    <w:rPr>
      <w:vertAlign w:val="superscript"/>
    </w:rPr>
  </w:style>
  <w:style w:type="character" w:customStyle="1" w:styleId="87">
    <w:name w:val="页码1"/>
    <w:link w:val="1"/>
    <w:qFormat/>
    <w:uiPriority w:val="0"/>
  </w:style>
  <w:style w:type="character" w:customStyle="1" w:styleId="88">
    <w:name w:val="超链接1"/>
    <w:link w:val="1"/>
    <w:unhideWhenUsed/>
    <w:qFormat/>
    <w:uiPriority w:val="99"/>
    <w:rPr>
      <w:color w:val="0000FF"/>
      <w:u w:val="single"/>
    </w:rPr>
  </w:style>
  <w:style w:type="character" w:customStyle="1" w:styleId="89">
    <w:name w:val="脚注引用1"/>
    <w:link w:val="1"/>
    <w:unhideWhenUsed/>
    <w:qFormat/>
    <w:uiPriority w:val="99"/>
    <w:rPr>
      <w:vertAlign w:val="superscript"/>
    </w:rPr>
  </w:style>
  <w:style w:type="character" w:customStyle="1" w:styleId="90">
    <w:name w:val="Footer Char"/>
    <w:link w:val="66"/>
    <w:qFormat/>
    <w:uiPriority w:val="99"/>
  </w:style>
  <w:style w:type="paragraph" w:customStyle="1" w:styleId="91">
    <w:name w:val="正文首行缩进11"/>
    <w:basedOn w:val="1"/>
    <w:next w:val="1"/>
    <w:unhideWhenUsed/>
    <w:qFormat/>
    <w:uiPriority w:val="99"/>
    <w:pPr>
      <w:ind w:firstLine="420"/>
    </w:pPr>
    <w:rPr>
      <w:rFonts w:ascii="Times New Roman" w:hAnsi="Times New Roman" w:eastAsia="宋体" w:cs="Times New Roman"/>
    </w:rPr>
  </w:style>
  <w:style w:type="paragraph" w:customStyle="1" w:styleId="92">
    <w:name w:val="文本块1"/>
    <w:basedOn w:val="1"/>
    <w:qFormat/>
    <w:uiPriority w:val="99"/>
    <w:pPr>
      <w:spacing w:after="120"/>
      <w:ind w:left="1440" w:right="1440"/>
    </w:pPr>
    <w:rPr>
      <w:rFonts w:ascii="Times New Roman" w:hAnsi="Times New Roman"/>
    </w:rPr>
  </w:style>
  <w:style w:type="character" w:customStyle="1" w:styleId="93">
    <w:name w:val="16"/>
    <w:link w:val="1"/>
    <w:qFormat/>
    <w:uiPriority w:val="0"/>
    <w:rPr>
      <w:rFonts w:ascii="Calibri" w:hAnsi="Calibri" w:eastAsia="宋体"/>
    </w:rPr>
  </w:style>
  <w:style w:type="paragraph" w:customStyle="1" w:styleId="94">
    <w:name w:val="首行缩进"/>
    <w:basedOn w:val="1"/>
    <w:qFormat/>
    <w:uiPriority w:val="0"/>
    <w:pPr>
      <w:spacing w:line="360" w:lineRule="auto"/>
      <w:ind w:firstLine="480"/>
    </w:pPr>
    <w:rPr>
      <w:rFonts w:ascii="宋体" w:hAnsi="宋体" w:cs="宋体"/>
      <w:sz w:val="24"/>
    </w:rPr>
  </w:style>
  <w:style w:type="paragraph" w:styleId="95">
    <w:name w:val="List Paragraph"/>
    <w:basedOn w:val="1"/>
    <w:qFormat/>
    <w:uiPriority w:val="34"/>
    <w:pPr>
      <w:ind w:left="720"/>
      <w:contextualSpacing/>
    </w:pPr>
  </w:style>
  <w:style w:type="paragraph" w:styleId="96">
    <w:name w:val="No Spacing"/>
    <w:qFormat/>
    <w:uiPriority w:val="1"/>
    <w:pPr>
      <w:spacing w:before="0" w:after="0" w:line="240" w:lineRule="auto"/>
    </w:pPr>
    <w:rPr>
      <w:rFonts w:hint="default" w:ascii="Calibri" w:hAnsi="Calibri" w:eastAsia="宋体" w:cs="Times New Roman"/>
    </w:rPr>
  </w:style>
  <w:style w:type="paragraph" w:styleId="97">
    <w:name w:val="Quote"/>
    <w:basedOn w:val="1"/>
    <w:next w:val="1"/>
    <w:link w:val="98"/>
    <w:qFormat/>
    <w:uiPriority w:val="29"/>
    <w:pPr>
      <w:ind w:left="720" w:right="720"/>
    </w:pPr>
    <w:rPr>
      <w:i/>
    </w:rPr>
  </w:style>
  <w:style w:type="character" w:customStyle="1" w:styleId="98">
    <w:name w:val="Quote Char"/>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Intense Quote Char"/>
    <w:link w:val="99"/>
    <w:qFormat/>
    <w:uiPriority w:val="30"/>
    <w:rPr>
      <w:i/>
    </w:rPr>
  </w:style>
  <w:style w:type="table" w:customStyle="1" w:styleId="101">
    <w:name w:val="Table Grid Light"/>
    <w:qFormat/>
    <w:uiPriority w:val="59"/>
    <w:pPr>
      <w:spacing w:after="0" w:line="240" w:lineRule="auto"/>
    </w:pPr>
  </w:style>
  <w:style w:type="table" w:customStyle="1" w:styleId="102">
    <w:name w:val="Plain Table 1"/>
    <w:qFormat/>
    <w:uiPriority w:val="59"/>
    <w:pPr>
      <w:spacing w:after="0" w:line="240" w:lineRule="auto"/>
    </w:pPr>
  </w:style>
  <w:style w:type="table" w:customStyle="1" w:styleId="103">
    <w:name w:val="Plain Table 2"/>
    <w:qFormat/>
    <w:uiPriority w:val="59"/>
    <w:pPr>
      <w:spacing w:after="0" w:line="240" w:lineRule="auto"/>
    </w:pPr>
  </w:style>
  <w:style w:type="table" w:customStyle="1" w:styleId="104">
    <w:name w:val="Plain Table 3"/>
    <w:qFormat/>
    <w:uiPriority w:val="99"/>
    <w:pPr>
      <w:spacing w:after="0" w:line="240" w:lineRule="auto"/>
    </w:pPr>
  </w:style>
  <w:style w:type="table" w:customStyle="1" w:styleId="105">
    <w:name w:val="Plain Table 4"/>
    <w:qFormat/>
    <w:uiPriority w:val="99"/>
    <w:pPr>
      <w:spacing w:after="0" w:line="240" w:lineRule="auto"/>
    </w:pPr>
  </w:style>
  <w:style w:type="table" w:customStyle="1" w:styleId="106">
    <w:name w:val="Plain Table 5"/>
    <w:qFormat/>
    <w:uiPriority w:val="99"/>
    <w:pPr>
      <w:spacing w:after="0" w:line="240" w:lineRule="auto"/>
    </w:pPr>
  </w:style>
  <w:style w:type="table" w:customStyle="1" w:styleId="107">
    <w:name w:val="Grid Table 1 Light"/>
    <w:qFormat/>
    <w:uiPriority w:val="99"/>
    <w:pPr>
      <w:spacing w:after="0" w:line="240" w:lineRule="auto"/>
    </w:pPr>
  </w:style>
  <w:style w:type="table" w:customStyle="1" w:styleId="108">
    <w:name w:val="Grid Table 1 Light - Accent 1"/>
    <w:qFormat/>
    <w:uiPriority w:val="99"/>
    <w:pPr>
      <w:spacing w:after="0" w:line="240" w:lineRule="auto"/>
    </w:pPr>
  </w:style>
  <w:style w:type="table" w:customStyle="1" w:styleId="109">
    <w:name w:val="Grid Table 1 Light - Accent 2"/>
    <w:qFormat/>
    <w:uiPriority w:val="99"/>
    <w:pPr>
      <w:spacing w:after="0" w:line="240" w:lineRule="auto"/>
    </w:pPr>
  </w:style>
  <w:style w:type="table" w:customStyle="1" w:styleId="110">
    <w:name w:val="Grid Table 1 Light - Accent 3"/>
    <w:qFormat/>
    <w:uiPriority w:val="99"/>
    <w:pPr>
      <w:spacing w:after="0" w:line="240" w:lineRule="auto"/>
    </w:pPr>
  </w:style>
  <w:style w:type="table" w:customStyle="1" w:styleId="111">
    <w:name w:val="Grid Table 1 Light - Accent 4"/>
    <w:qFormat/>
    <w:uiPriority w:val="99"/>
    <w:pPr>
      <w:spacing w:after="0" w:line="240" w:lineRule="auto"/>
    </w:pPr>
  </w:style>
  <w:style w:type="table" w:customStyle="1" w:styleId="112">
    <w:name w:val="Grid Table 1 Light - Accent 5"/>
    <w:qFormat/>
    <w:uiPriority w:val="99"/>
    <w:pPr>
      <w:spacing w:after="0" w:line="240" w:lineRule="auto"/>
    </w:pPr>
  </w:style>
  <w:style w:type="table" w:customStyle="1" w:styleId="113">
    <w:name w:val="Grid Table 1 Light - Accent 6"/>
    <w:qFormat/>
    <w:uiPriority w:val="99"/>
    <w:pPr>
      <w:spacing w:after="0" w:line="240" w:lineRule="auto"/>
    </w:pPr>
  </w:style>
  <w:style w:type="table" w:customStyle="1" w:styleId="114">
    <w:name w:val="Grid Table 2"/>
    <w:qFormat/>
    <w:uiPriority w:val="99"/>
    <w:pPr>
      <w:spacing w:after="0" w:line="240" w:lineRule="auto"/>
    </w:pPr>
  </w:style>
  <w:style w:type="table" w:customStyle="1" w:styleId="115">
    <w:name w:val="Grid Table 2 - Accent 1"/>
    <w:qFormat/>
    <w:uiPriority w:val="99"/>
    <w:pPr>
      <w:spacing w:after="0" w:line="240" w:lineRule="auto"/>
    </w:pPr>
  </w:style>
  <w:style w:type="table" w:customStyle="1" w:styleId="116">
    <w:name w:val="Grid Table 2 - Accent 2"/>
    <w:qFormat/>
    <w:uiPriority w:val="99"/>
    <w:pPr>
      <w:spacing w:after="0" w:line="240" w:lineRule="auto"/>
    </w:pPr>
  </w:style>
  <w:style w:type="table" w:customStyle="1" w:styleId="117">
    <w:name w:val="Grid Table 2 - Accent 3"/>
    <w:qFormat/>
    <w:uiPriority w:val="99"/>
    <w:pPr>
      <w:spacing w:after="0" w:line="240" w:lineRule="auto"/>
    </w:pPr>
  </w:style>
  <w:style w:type="table" w:customStyle="1" w:styleId="118">
    <w:name w:val="Grid Table 2 - Accent 4"/>
    <w:qFormat/>
    <w:uiPriority w:val="99"/>
    <w:pPr>
      <w:spacing w:after="0" w:line="240" w:lineRule="auto"/>
    </w:pPr>
  </w:style>
  <w:style w:type="table" w:customStyle="1" w:styleId="119">
    <w:name w:val="Grid Table 2 - Accent 5"/>
    <w:qFormat/>
    <w:uiPriority w:val="99"/>
    <w:pPr>
      <w:spacing w:after="0" w:line="240" w:lineRule="auto"/>
    </w:pPr>
  </w:style>
  <w:style w:type="table" w:customStyle="1" w:styleId="120">
    <w:name w:val="Grid Table 2 - Accent 6"/>
    <w:qFormat/>
    <w:uiPriority w:val="99"/>
    <w:pPr>
      <w:spacing w:after="0" w:line="240" w:lineRule="auto"/>
    </w:pPr>
  </w:style>
  <w:style w:type="table" w:customStyle="1" w:styleId="121">
    <w:name w:val="Grid Table 3"/>
    <w:qFormat/>
    <w:uiPriority w:val="99"/>
    <w:pPr>
      <w:spacing w:after="0" w:line="240" w:lineRule="auto"/>
    </w:pPr>
  </w:style>
  <w:style w:type="table" w:customStyle="1" w:styleId="122">
    <w:name w:val="Grid Table 3 - Accent 1"/>
    <w:qFormat/>
    <w:uiPriority w:val="99"/>
    <w:pPr>
      <w:spacing w:after="0" w:line="240" w:lineRule="auto"/>
    </w:pPr>
  </w:style>
  <w:style w:type="table" w:customStyle="1" w:styleId="123">
    <w:name w:val="Grid Table 3 - Accent 2"/>
    <w:qFormat/>
    <w:uiPriority w:val="99"/>
    <w:pPr>
      <w:spacing w:after="0" w:line="240" w:lineRule="auto"/>
    </w:pPr>
  </w:style>
  <w:style w:type="table" w:customStyle="1" w:styleId="124">
    <w:name w:val="Grid Table 3 - Accent 3"/>
    <w:qFormat/>
    <w:uiPriority w:val="99"/>
    <w:pPr>
      <w:spacing w:after="0" w:line="240" w:lineRule="auto"/>
    </w:pPr>
  </w:style>
  <w:style w:type="table" w:customStyle="1" w:styleId="125">
    <w:name w:val="Grid Table 3 - Accent 4"/>
    <w:qFormat/>
    <w:uiPriority w:val="99"/>
    <w:pPr>
      <w:spacing w:after="0" w:line="240" w:lineRule="auto"/>
    </w:pPr>
  </w:style>
  <w:style w:type="table" w:customStyle="1" w:styleId="126">
    <w:name w:val="Grid Table 3 - Accent 5"/>
    <w:qFormat/>
    <w:uiPriority w:val="99"/>
    <w:pPr>
      <w:spacing w:after="0" w:line="240" w:lineRule="auto"/>
    </w:pPr>
  </w:style>
  <w:style w:type="table" w:customStyle="1" w:styleId="127">
    <w:name w:val="Grid Table 3 - Accent 6"/>
    <w:qFormat/>
    <w:uiPriority w:val="99"/>
    <w:pPr>
      <w:spacing w:after="0" w:line="240" w:lineRule="auto"/>
    </w:pPr>
  </w:style>
  <w:style w:type="table" w:customStyle="1" w:styleId="128">
    <w:name w:val="Grid Table 4"/>
    <w:qFormat/>
    <w:uiPriority w:val="59"/>
    <w:pPr>
      <w:spacing w:after="0" w:line="240" w:lineRule="auto"/>
    </w:pPr>
  </w:style>
  <w:style w:type="table" w:customStyle="1" w:styleId="129">
    <w:name w:val="Grid Table 4 - Accent 1"/>
    <w:qFormat/>
    <w:uiPriority w:val="59"/>
    <w:pPr>
      <w:spacing w:after="0" w:line="240" w:lineRule="auto"/>
    </w:pPr>
  </w:style>
  <w:style w:type="table" w:customStyle="1" w:styleId="130">
    <w:name w:val="Grid Table 4 - Accent 2"/>
    <w:qFormat/>
    <w:uiPriority w:val="59"/>
    <w:pPr>
      <w:spacing w:after="0" w:line="240" w:lineRule="auto"/>
    </w:pPr>
  </w:style>
  <w:style w:type="table" w:customStyle="1" w:styleId="131">
    <w:name w:val="Grid Table 4 - Accent 3"/>
    <w:qFormat/>
    <w:uiPriority w:val="59"/>
    <w:pPr>
      <w:spacing w:after="0" w:line="240" w:lineRule="auto"/>
    </w:pPr>
  </w:style>
  <w:style w:type="table" w:customStyle="1" w:styleId="132">
    <w:name w:val="Grid Table 4 - Accent 4"/>
    <w:qFormat/>
    <w:uiPriority w:val="59"/>
    <w:pPr>
      <w:spacing w:after="0" w:line="240" w:lineRule="auto"/>
    </w:pPr>
  </w:style>
  <w:style w:type="table" w:customStyle="1" w:styleId="133">
    <w:name w:val="Grid Table 4 - Accent 5"/>
    <w:qFormat/>
    <w:uiPriority w:val="59"/>
    <w:pPr>
      <w:spacing w:after="0" w:line="240" w:lineRule="auto"/>
    </w:pPr>
  </w:style>
  <w:style w:type="table" w:customStyle="1" w:styleId="134">
    <w:name w:val="Grid Table 4 - Accent 6"/>
    <w:qFormat/>
    <w:uiPriority w:val="59"/>
    <w:pPr>
      <w:spacing w:after="0" w:line="240" w:lineRule="auto"/>
    </w:pPr>
  </w:style>
  <w:style w:type="table" w:customStyle="1" w:styleId="135">
    <w:name w:val="Grid Table 5 Dark"/>
    <w:qFormat/>
    <w:uiPriority w:val="99"/>
    <w:pPr>
      <w:spacing w:after="0" w:line="240" w:lineRule="auto"/>
    </w:pPr>
  </w:style>
  <w:style w:type="table" w:customStyle="1" w:styleId="136">
    <w:name w:val="Grid Table 5 Dark- Accent 1"/>
    <w:qFormat/>
    <w:uiPriority w:val="99"/>
    <w:pPr>
      <w:spacing w:after="0" w:line="240" w:lineRule="auto"/>
    </w:pPr>
  </w:style>
  <w:style w:type="table" w:customStyle="1" w:styleId="137">
    <w:name w:val="Grid Table 5 Dark - Accent 2"/>
    <w:qFormat/>
    <w:uiPriority w:val="99"/>
    <w:pPr>
      <w:spacing w:after="0" w:line="240" w:lineRule="auto"/>
    </w:pPr>
  </w:style>
  <w:style w:type="table" w:customStyle="1" w:styleId="138">
    <w:name w:val="Grid Table 5 Dark - Accent 3"/>
    <w:qFormat/>
    <w:uiPriority w:val="99"/>
    <w:pPr>
      <w:spacing w:after="0" w:line="240" w:lineRule="auto"/>
    </w:pPr>
  </w:style>
  <w:style w:type="table" w:customStyle="1" w:styleId="139">
    <w:name w:val="Grid Table 5 Dark- Accent 4"/>
    <w:qFormat/>
    <w:uiPriority w:val="99"/>
    <w:pPr>
      <w:spacing w:after="0" w:line="240" w:lineRule="auto"/>
    </w:pPr>
  </w:style>
  <w:style w:type="table" w:customStyle="1" w:styleId="140">
    <w:name w:val="Grid Table 5 Dark - Accent 5"/>
    <w:qFormat/>
    <w:uiPriority w:val="99"/>
    <w:pPr>
      <w:spacing w:after="0" w:line="240" w:lineRule="auto"/>
    </w:pPr>
  </w:style>
  <w:style w:type="table" w:customStyle="1" w:styleId="141">
    <w:name w:val="Grid Table 5 Dark - Accent 6"/>
    <w:qFormat/>
    <w:uiPriority w:val="99"/>
    <w:pPr>
      <w:spacing w:after="0" w:line="240" w:lineRule="auto"/>
    </w:pPr>
  </w:style>
  <w:style w:type="table" w:customStyle="1" w:styleId="142">
    <w:name w:val="Grid Table 6 Colorful"/>
    <w:qFormat/>
    <w:uiPriority w:val="99"/>
    <w:pPr>
      <w:spacing w:after="0" w:line="240" w:lineRule="auto"/>
    </w:pPr>
  </w:style>
  <w:style w:type="table" w:customStyle="1" w:styleId="143">
    <w:name w:val="Grid Table 6 Colorful - Accent 1"/>
    <w:qFormat/>
    <w:uiPriority w:val="99"/>
    <w:pPr>
      <w:spacing w:after="0" w:line="240" w:lineRule="auto"/>
    </w:pPr>
  </w:style>
  <w:style w:type="table" w:customStyle="1" w:styleId="144">
    <w:name w:val="Grid Table 6 Colorful - Accent 2"/>
    <w:qFormat/>
    <w:uiPriority w:val="99"/>
    <w:pPr>
      <w:spacing w:after="0" w:line="240" w:lineRule="auto"/>
    </w:pPr>
  </w:style>
  <w:style w:type="table" w:customStyle="1" w:styleId="145">
    <w:name w:val="Grid Table 6 Colorful - Accent 3"/>
    <w:qFormat/>
    <w:uiPriority w:val="99"/>
    <w:pPr>
      <w:spacing w:after="0" w:line="240" w:lineRule="auto"/>
    </w:pPr>
  </w:style>
  <w:style w:type="table" w:customStyle="1" w:styleId="146">
    <w:name w:val="Grid Table 6 Colorful - Accent 4"/>
    <w:qFormat/>
    <w:uiPriority w:val="99"/>
    <w:pPr>
      <w:spacing w:after="0" w:line="240" w:lineRule="auto"/>
    </w:pPr>
  </w:style>
  <w:style w:type="table" w:customStyle="1" w:styleId="147">
    <w:name w:val="Grid Table 6 Colorful - Accent 5"/>
    <w:qFormat/>
    <w:uiPriority w:val="99"/>
    <w:pPr>
      <w:spacing w:after="0" w:line="240" w:lineRule="auto"/>
    </w:pPr>
  </w:style>
  <w:style w:type="table" w:customStyle="1" w:styleId="148">
    <w:name w:val="Grid Table 6 Colorful - Accent 6"/>
    <w:qFormat/>
    <w:uiPriority w:val="99"/>
    <w:pPr>
      <w:spacing w:after="0" w:line="240" w:lineRule="auto"/>
    </w:pPr>
  </w:style>
  <w:style w:type="table" w:customStyle="1" w:styleId="149">
    <w:name w:val="Grid Table 7 Colorful"/>
    <w:qFormat/>
    <w:uiPriority w:val="99"/>
    <w:pPr>
      <w:spacing w:after="0" w:line="240" w:lineRule="auto"/>
    </w:pPr>
  </w:style>
  <w:style w:type="table" w:customStyle="1" w:styleId="150">
    <w:name w:val="Grid Table 7 Colorful - Accent 1"/>
    <w:qFormat/>
    <w:uiPriority w:val="99"/>
    <w:pPr>
      <w:spacing w:after="0" w:line="240" w:lineRule="auto"/>
    </w:pPr>
  </w:style>
  <w:style w:type="table" w:customStyle="1" w:styleId="151">
    <w:name w:val="Grid Table 7 Colorful - Accent 2"/>
    <w:qFormat/>
    <w:uiPriority w:val="99"/>
    <w:pPr>
      <w:spacing w:after="0" w:line="240" w:lineRule="auto"/>
    </w:pPr>
  </w:style>
  <w:style w:type="table" w:customStyle="1" w:styleId="152">
    <w:name w:val="Grid Table 7 Colorful - Accent 3"/>
    <w:qFormat/>
    <w:uiPriority w:val="99"/>
    <w:pPr>
      <w:spacing w:after="0" w:line="240" w:lineRule="auto"/>
    </w:pPr>
  </w:style>
  <w:style w:type="table" w:customStyle="1" w:styleId="153">
    <w:name w:val="Grid Table 7 Colorful - Accent 4"/>
    <w:qFormat/>
    <w:uiPriority w:val="99"/>
    <w:pPr>
      <w:spacing w:after="0" w:line="240" w:lineRule="auto"/>
    </w:pPr>
  </w:style>
  <w:style w:type="table" w:customStyle="1" w:styleId="154">
    <w:name w:val="Grid Table 7 Colorful - Accent 5"/>
    <w:qFormat/>
    <w:uiPriority w:val="99"/>
    <w:pPr>
      <w:spacing w:after="0" w:line="240" w:lineRule="auto"/>
    </w:pPr>
  </w:style>
  <w:style w:type="table" w:customStyle="1" w:styleId="155">
    <w:name w:val="Grid Table 7 Colorful - Accent 6"/>
    <w:qFormat/>
    <w:uiPriority w:val="99"/>
    <w:pPr>
      <w:spacing w:after="0" w:line="240" w:lineRule="auto"/>
    </w:pPr>
  </w:style>
  <w:style w:type="table" w:customStyle="1" w:styleId="156">
    <w:name w:val="List Table 1 Light"/>
    <w:qFormat/>
    <w:uiPriority w:val="99"/>
    <w:pPr>
      <w:spacing w:after="0" w:line="240" w:lineRule="auto"/>
    </w:pPr>
  </w:style>
  <w:style w:type="table" w:customStyle="1" w:styleId="157">
    <w:name w:val="List Table 1 Light - Accent 1"/>
    <w:qFormat/>
    <w:uiPriority w:val="99"/>
    <w:pPr>
      <w:spacing w:after="0" w:line="240" w:lineRule="auto"/>
    </w:pPr>
  </w:style>
  <w:style w:type="table" w:customStyle="1" w:styleId="158">
    <w:name w:val="List Table 1 Light - Accent 2"/>
    <w:qFormat/>
    <w:uiPriority w:val="99"/>
    <w:pPr>
      <w:spacing w:after="0" w:line="240" w:lineRule="auto"/>
    </w:pPr>
  </w:style>
  <w:style w:type="table" w:customStyle="1" w:styleId="159">
    <w:name w:val="List Table 1 Light - Accent 3"/>
    <w:qFormat/>
    <w:uiPriority w:val="99"/>
    <w:pPr>
      <w:spacing w:after="0" w:line="240" w:lineRule="auto"/>
    </w:pPr>
  </w:style>
  <w:style w:type="table" w:customStyle="1" w:styleId="160">
    <w:name w:val="List Table 1 Light - Accent 4"/>
    <w:qFormat/>
    <w:uiPriority w:val="99"/>
    <w:pPr>
      <w:spacing w:after="0" w:line="240" w:lineRule="auto"/>
    </w:pPr>
  </w:style>
  <w:style w:type="table" w:customStyle="1" w:styleId="161">
    <w:name w:val="List Table 1 Light - Accent 5"/>
    <w:qFormat/>
    <w:uiPriority w:val="99"/>
    <w:pPr>
      <w:spacing w:after="0" w:line="240" w:lineRule="auto"/>
    </w:pPr>
  </w:style>
  <w:style w:type="table" w:customStyle="1" w:styleId="162">
    <w:name w:val="List Table 1 Light - Accent 6"/>
    <w:qFormat/>
    <w:uiPriority w:val="99"/>
    <w:pPr>
      <w:spacing w:after="0" w:line="240" w:lineRule="auto"/>
    </w:pPr>
  </w:style>
  <w:style w:type="table" w:customStyle="1" w:styleId="163">
    <w:name w:val="List Table 2"/>
    <w:qFormat/>
    <w:uiPriority w:val="99"/>
    <w:pPr>
      <w:spacing w:after="0" w:line="240" w:lineRule="auto"/>
    </w:pPr>
  </w:style>
  <w:style w:type="table" w:customStyle="1" w:styleId="164">
    <w:name w:val="List Table 2 - Accent 1"/>
    <w:qFormat/>
    <w:uiPriority w:val="99"/>
    <w:pPr>
      <w:spacing w:after="0" w:line="240" w:lineRule="auto"/>
    </w:pPr>
  </w:style>
  <w:style w:type="table" w:customStyle="1" w:styleId="165">
    <w:name w:val="List Table 2 - Accent 2"/>
    <w:qFormat/>
    <w:uiPriority w:val="99"/>
    <w:pPr>
      <w:spacing w:after="0" w:line="240" w:lineRule="auto"/>
    </w:pPr>
  </w:style>
  <w:style w:type="table" w:customStyle="1" w:styleId="166">
    <w:name w:val="List Table 2 - Accent 3"/>
    <w:qFormat/>
    <w:uiPriority w:val="99"/>
    <w:pPr>
      <w:spacing w:after="0" w:line="240" w:lineRule="auto"/>
    </w:pPr>
  </w:style>
  <w:style w:type="table" w:customStyle="1" w:styleId="167">
    <w:name w:val="List Table 2 - Accent 4"/>
    <w:qFormat/>
    <w:uiPriority w:val="99"/>
    <w:pPr>
      <w:spacing w:after="0" w:line="240" w:lineRule="auto"/>
    </w:pPr>
  </w:style>
  <w:style w:type="table" w:customStyle="1" w:styleId="168">
    <w:name w:val="List Table 2 - Accent 5"/>
    <w:qFormat/>
    <w:uiPriority w:val="99"/>
    <w:pPr>
      <w:spacing w:after="0" w:line="240" w:lineRule="auto"/>
    </w:pPr>
  </w:style>
  <w:style w:type="table" w:customStyle="1" w:styleId="169">
    <w:name w:val="List Table 2 - Accent 6"/>
    <w:qFormat/>
    <w:uiPriority w:val="99"/>
    <w:pPr>
      <w:spacing w:after="0" w:line="240" w:lineRule="auto"/>
    </w:pPr>
  </w:style>
  <w:style w:type="table" w:customStyle="1" w:styleId="170">
    <w:name w:val="List Table 3"/>
    <w:qFormat/>
    <w:uiPriority w:val="99"/>
    <w:pPr>
      <w:spacing w:after="0" w:line="240" w:lineRule="auto"/>
    </w:pPr>
  </w:style>
  <w:style w:type="table" w:customStyle="1" w:styleId="171">
    <w:name w:val="List Table 3 - Accent 1"/>
    <w:qFormat/>
    <w:uiPriority w:val="99"/>
    <w:pPr>
      <w:spacing w:after="0" w:line="240" w:lineRule="auto"/>
    </w:pPr>
  </w:style>
  <w:style w:type="table" w:customStyle="1" w:styleId="172">
    <w:name w:val="List Table 3 - Accent 2"/>
    <w:qFormat/>
    <w:uiPriority w:val="99"/>
    <w:pPr>
      <w:spacing w:after="0" w:line="240" w:lineRule="auto"/>
    </w:pPr>
  </w:style>
  <w:style w:type="table" w:customStyle="1" w:styleId="173">
    <w:name w:val="List Table 3 - Accent 3"/>
    <w:qFormat/>
    <w:uiPriority w:val="99"/>
    <w:pPr>
      <w:spacing w:after="0" w:line="240" w:lineRule="auto"/>
    </w:pPr>
  </w:style>
  <w:style w:type="table" w:customStyle="1" w:styleId="174">
    <w:name w:val="List Table 3 - Accent 4"/>
    <w:qFormat/>
    <w:uiPriority w:val="99"/>
    <w:pPr>
      <w:spacing w:after="0" w:line="240" w:lineRule="auto"/>
    </w:pPr>
  </w:style>
  <w:style w:type="table" w:customStyle="1" w:styleId="175">
    <w:name w:val="List Table 3 - Accent 5"/>
    <w:qFormat/>
    <w:uiPriority w:val="99"/>
    <w:pPr>
      <w:spacing w:after="0" w:line="240" w:lineRule="auto"/>
    </w:pPr>
  </w:style>
  <w:style w:type="table" w:customStyle="1" w:styleId="176">
    <w:name w:val="List Table 3 - Accent 6"/>
    <w:qFormat/>
    <w:uiPriority w:val="99"/>
    <w:pPr>
      <w:spacing w:after="0" w:line="240" w:lineRule="auto"/>
    </w:pPr>
  </w:style>
  <w:style w:type="table" w:customStyle="1" w:styleId="177">
    <w:name w:val="List Table 4"/>
    <w:qFormat/>
    <w:uiPriority w:val="99"/>
    <w:pPr>
      <w:spacing w:after="0" w:line="240" w:lineRule="auto"/>
    </w:pPr>
  </w:style>
  <w:style w:type="table" w:customStyle="1" w:styleId="178">
    <w:name w:val="List Table 4 - Accent 1"/>
    <w:qFormat/>
    <w:uiPriority w:val="99"/>
    <w:pPr>
      <w:spacing w:after="0" w:line="240" w:lineRule="auto"/>
    </w:pPr>
  </w:style>
  <w:style w:type="table" w:customStyle="1" w:styleId="179">
    <w:name w:val="List Table 4 - Accent 2"/>
    <w:qFormat/>
    <w:uiPriority w:val="99"/>
    <w:pPr>
      <w:spacing w:after="0" w:line="240" w:lineRule="auto"/>
    </w:pPr>
  </w:style>
  <w:style w:type="table" w:customStyle="1" w:styleId="180">
    <w:name w:val="List Table 4 - Accent 3"/>
    <w:qFormat/>
    <w:uiPriority w:val="99"/>
    <w:pPr>
      <w:spacing w:after="0" w:line="240" w:lineRule="auto"/>
    </w:pPr>
  </w:style>
  <w:style w:type="table" w:customStyle="1" w:styleId="181">
    <w:name w:val="List Table 4 - Accent 4"/>
    <w:qFormat/>
    <w:uiPriority w:val="99"/>
    <w:pPr>
      <w:spacing w:after="0" w:line="240" w:lineRule="auto"/>
    </w:pPr>
  </w:style>
  <w:style w:type="table" w:customStyle="1" w:styleId="182">
    <w:name w:val="List Table 4 - Accent 5"/>
    <w:qFormat/>
    <w:uiPriority w:val="99"/>
    <w:pPr>
      <w:spacing w:after="0" w:line="240" w:lineRule="auto"/>
    </w:pPr>
  </w:style>
  <w:style w:type="table" w:customStyle="1" w:styleId="183">
    <w:name w:val="List Table 4 - Accent 6"/>
    <w:qFormat/>
    <w:uiPriority w:val="99"/>
    <w:pPr>
      <w:spacing w:after="0" w:line="240" w:lineRule="auto"/>
    </w:pPr>
  </w:style>
  <w:style w:type="table" w:customStyle="1" w:styleId="184">
    <w:name w:val="List Table 5 Dark"/>
    <w:qFormat/>
    <w:uiPriority w:val="99"/>
    <w:pPr>
      <w:spacing w:after="0" w:line="240" w:lineRule="auto"/>
    </w:pPr>
  </w:style>
  <w:style w:type="table" w:customStyle="1" w:styleId="185">
    <w:name w:val="List Table 5 Dark - Accent 1"/>
    <w:qFormat/>
    <w:uiPriority w:val="99"/>
    <w:pPr>
      <w:spacing w:after="0" w:line="240" w:lineRule="auto"/>
    </w:pPr>
  </w:style>
  <w:style w:type="table" w:customStyle="1" w:styleId="186">
    <w:name w:val="List Table 5 Dark - Accent 2"/>
    <w:qFormat/>
    <w:uiPriority w:val="99"/>
    <w:pPr>
      <w:spacing w:after="0" w:line="240" w:lineRule="auto"/>
    </w:pPr>
  </w:style>
  <w:style w:type="table" w:customStyle="1" w:styleId="187">
    <w:name w:val="List Table 5 Dark - Accent 3"/>
    <w:qFormat/>
    <w:uiPriority w:val="99"/>
    <w:pPr>
      <w:spacing w:after="0" w:line="240" w:lineRule="auto"/>
    </w:pPr>
  </w:style>
  <w:style w:type="table" w:customStyle="1" w:styleId="188">
    <w:name w:val="List Table 5 Dark - Accent 4"/>
    <w:qFormat/>
    <w:uiPriority w:val="99"/>
    <w:pPr>
      <w:spacing w:after="0" w:line="240" w:lineRule="auto"/>
    </w:pPr>
  </w:style>
  <w:style w:type="table" w:customStyle="1" w:styleId="189">
    <w:name w:val="List Table 5 Dark - Accent 5"/>
    <w:qFormat/>
    <w:uiPriority w:val="99"/>
    <w:pPr>
      <w:spacing w:after="0" w:line="240" w:lineRule="auto"/>
    </w:pPr>
  </w:style>
  <w:style w:type="table" w:customStyle="1" w:styleId="190">
    <w:name w:val="List Table 5 Dark - Accent 6"/>
    <w:qFormat/>
    <w:uiPriority w:val="99"/>
    <w:pPr>
      <w:spacing w:after="0" w:line="240" w:lineRule="auto"/>
    </w:pPr>
  </w:style>
  <w:style w:type="table" w:customStyle="1" w:styleId="191">
    <w:name w:val="List Table 6 Colorful"/>
    <w:qFormat/>
    <w:uiPriority w:val="99"/>
    <w:pPr>
      <w:spacing w:after="0" w:line="240" w:lineRule="auto"/>
    </w:pPr>
  </w:style>
  <w:style w:type="table" w:customStyle="1" w:styleId="192">
    <w:name w:val="List Table 6 Colorful - Accent 1"/>
    <w:qFormat/>
    <w:uiPriority w:val="99"/>
    <w:pPr>
      <w:spacing w:after="0" w:line="240" w:lineRule="auto"/>
    </w:pPr>
  </w:style>
  <w:style w:type="table" w:customStyle="1" w:styleId="193">
    <w:name w:val="List Table 6 Colorful - Accent 2"/>
    <w:qFormat/>
    <w:uiPriority w:val="99"/>
    <w:pPr>
      <w:spacing w:after="0" w:line="240" w:lineRule="auto"/>
    </w:pPr>
  </w:style>
  <w:style w:type="table" w:customStyle="1" w:styleId="194">
    <w:name w:val="List Table 6 Colorful - Accent 3"/>
    <w:qFormat/>
    <w:uiPriority w:val="99"/>
    <w:pPr>
      <w:spacing w:after="0" w:line="240" w:lineRule="auto"/>
    </w:pPr>
  </w:style>
  <w:style w:type="table" w:customStyle="1" w:styleId="195">
    <w:name w:val="List Table 6 Colorful - Accent 4"/>
    <w:qFormat/>
    <w:uiPriority w:val="99"/>
    <w:pPr>
      <w:spacing w:after="0" w:line="240" w:lineRule="auto"/>
    </w:pPr>
  </w:style>
  <w:style w:type="table" w:customStyle="1" w:styleId="196">
    <w:name w:val="List Table 6 Colorful - Accent 5"/>
    <w:qFormat/>
    <w:uiPriority w:val="99"/>
    <w:pPr>
      <w:spacing w:after="0" w:line="240" w:lineRule="auto"/>
    </w:pPr>
  </w:style>
  <w:style w:type="table" w:customStyle="1" w:styleId="197">
    <w:name w:val="List Table 6 Colorful - Accent 6"/>
    <w:qFormat/>
    <w:uiPriority w:val="99"/>
    <w:pPr>
      <w:spacing w:after="0" w:line="240" w:lineRule="auto"/>
    </w:pPr>
  </w:style>
  <w:style w:type="table" w:customStyle="1" w:styleId="198">
    <w:name w:val="List Table 7 Colorful"/>
    <w:qFormat/>
    <w:uiPriority w:val="99"/>
    <w:pPr>
      <w:spacing w:after="0" w:line="240" w:lineRule="auto"/>
    </w:pPr>
  </w:style>
  <w:style w:type="table" w:customStyle="1" w:styleId="199">
    <w:name w:val="List Table 7 Colorful - Accent 1"/>
    <w:qFormat/>
    <w:uiPriority w:val="99"/>
    <w:pPr>
      <w:spacing w:after="0" w:line="240" w:lineRule="auto"/>
    </w:pPr>
  </w:style>
  <w:style w:type="table" w:customStyle="1" w:styleId="200">
    <w:name w:val="List Table 7 Colorful - Accent 2"/>
    <w:qFormat/>
    <w:uiPriority w:val="99"/>
    <w:pPr>
      <w:spacing w:after="0" w:line="240" w:lineRule="auto"/>
    </w:pPr>
  </w:style>
  <w:style w:type="table" w:customStyle="1" w:styleId="201">
    <w:name w:val="List Table 7 Colorful - Accent 3"/>
    <w:qFormat/>
    <w:uiPriority w:val="99"/>
    <w:pPr>
      <w:spacing w:after="0" w:line="240" w:lineRule="auto"/>
    </w:pPr>
  </w:style>
  <w:style w:type="table" w:customStyle="1" w:styleId="202">
    <w:name w:val="List Table 7 Colorful - Accent 4"/>
    <w:qFormat/>
    <w:uiPriority w:val="99"/>
    <w:pPr>
      <w:spacing w:after="0" w:line="240" w:lineRule="auto"/>
    </w:pPr>
  </w:style>
  <w:style w:type="table" w:customStyle="1" w:styleId="203">
    <w:name w:val="List Table 7 Colorful - Accent 5"/>
    <w:qFormat/>
    <w:uiPriority w:val="99"/>
    <w:pPr>
      <w:spacing w:after="0" w:line="240" w:lineRule="auto"/>
    </w:pPr>
  </w:style>
  <w:style w:type="table" w:customStyle="1" w:styleId="204">
    <w:name w:val="List Table 7 Colorful - Accent 6"/>
    <w:qFormat/>
    <w:uiPriority w:val="99"/>
    <w:pPr>
      <w:spacing w:after="0" w:line="240" w:lineRule="auto"/>
    </w:pPr>
  </w:style>
  <w:style w:type="table" w:customStyle="1" w:styleId="205">
    <w:name w:val="Lined - Accent"/>
    <w:qFormat/>
    <w:uiPriority w:val="99"/>
    <w:pPr>
      <w:spacing w:after="0" w:line="240" w:lineRule="auto"/>
    </w:pPr>
    <w:rPr>
      <w:color w:val="404040"/>
    </w:rPr>
  </w:style>
  <w:style w:type="table" w:customStyle="1" w:styleId="206">
    <w:name w:val="Lined - Accent 1"/>
    <w:qFormat/>
    <w:uiPriority w:val="99"/>
    <w:pPr>
      <w:spacing w:after="0" w:line="240" w:lineRule="auto"/>
    </w:pPr>
    <w:rPr>
      <w:color w:val="404040"/>
    </w:rPr>
  </w:style>
  <w:style w:type="table" w:customStyle="1" w:styleId="207">
    <w:name w:val="Lined - Accent 2"/>
    <w:qFormat/>
    <w:uiPriority w:val="99"/>
    <w:pPr>
      <w:spacing w:after="0" w:line="240" w:lineRule="auto"/>
    </w:pPr>
    <w:rPr>
      <w:color w:val="404040"/>
    </w:rPr>
  </w:style>
  <w:style w:type="table" w:customStyle="1" w:styleId="208">
    <w:name w:val="Lined - Accent 3"/>
    <w:qFormat/>
    <w:uiPriority w:val="99"/>
    <w:pPr>
      <w:spacing w:after="0" w:line="240" w:lineRule="auto"/>
    </w:pPr>
    <w:rPr>
      <w:color w:val="404040"/>
    </w:rPr>
  </w:style>
  <w:style w:type="table" w:customStyle="1" w:styleId="209">
    <w:name w:val="Lined - Accent 4"/>
    <w:qFormat/>
    <w:uiPriority w:val="99"/>
    <w:pPr>
      <w:spacing w:after="0" w:line="240" w:lineRule="auto"/>
    </w:pPr>
    <w:rPr>
      <w:color w:val="404040"/>
    </w:rPr>
  </w:style>
  <w:style w:type="table" w:customStyle="1" w:styleId="210">
    <w:name w:val="Lined - Accent 5"/>
    <w:qFormat/>
    <w:uiPriority w:val="99"/>
    <w:pPr>
      <w:spacing w:after="0" w:line="240" w:lineRule="auto"/>
    </w:pPr>
    <w:rPr>
      <w:color w:val="404040"/>
    </w:rPr>
  </w:style>
  <w:style w:type="table" w:customStyle="1" w:styleId="211">
    <w:name w:val="Lined - Accent 6"/>
    <w:qFormat/>
    <w:uiPriority w:val="99"/>
    <w:pPr>
      <w:spacing w:after="0" w:line="240" w:lineRule="auto"/>
    </w:pPr>
    <w:rPr>
      <w:color w:val="404040"/>
    </w:rPr>
  </w:style>
  <w:style w:type="table" w:customStyle="1" w:styleId="212">
    <w:name w:val="Bordered &amp; Lined - Accent"/>
    <w:qFormat/>
    <w:uiPriority w:val="99"/>
    <w:pPr>
      <w:spacing w:after="0" w:line="240" w:lineRule="auto"/>
    </w:pPr>
    <w:rPr>
      <w:color w:val="404040"/>
    </w:rPr>
  </w:style>
  <w:style w:type="table" w:customStyle="1" w:styleId="213">
    <w:name w:val="Bordered &amp; Lined - Accent 1"/>
    <w:qFormat/>
    <w:uiPriority w:val="99"/>
    <w:pPr>
      <w:spacing w:after="0" w:line="240" w:lineRule="auto"/>
    </w:pPr>
    <w:rPr>
      <w:color w:val="404040"/>
    </w:rPr>
  </w:style>
  <w:style w:type="table" w:customStyle="1" w:styleId="214">
    <w:name w:val="Bordered &amp; Lined - Accent 2"/>
    <w:qFormat/>
    <w:uiPriority w:val="99"/>
    <w:pPr>
      <w:spacing w:after="0" w:line="240" w:lineRule="auto"/>
    </w:pPr>
    <w:rPr>
      <w:color w:val="404040"/>
    </w:rPr>
  </w:style>
  <w:style w:type="table" w:customStyle="1" w:styleId="215">
    <w:name w:val="Bordered &amp; Lined - Accent 3"/>
    <w:qFormat/>
    <w:uiPriority w:val="99"/>
    <w:pPr>
      <w:spacing w:after="0" w:line="240" w:lineRule="auto"/>
    </w:pPr>
    <w:rPr>
      <w:color w:val="404040"/>
    </w:rPr>
  </w:style>
  <w:style w:type="table" w:customStyle="1" w:styleId="216">
    <w:name w:val="Bordered &amp; Lined - Accent 4"/>
    <w:qFormat/>
    <w:uiPriority w:val="99"/>
    <w:pPr>
      <w:spacing w:after="0" w:line="240" w:lineRule="auto"/>
    </w:pPr>
    <w:rPr>
      <w:color w:val="404040"/>
    </w:rPr>
  </w:style>
  <w:style w:type="table" w:customStyle="1" w:styleId="217">
    <w:name w:val="Bordered &amp; Lined - Accent 5"/>
    <w:qFormat/>
    <w:uiPriority w:val="99"/>
    <w:pPr>
      <w:spacing w:after="0" w:line="240" w:lineRule="auto"/>
    </w:pPr>
    <w:rPr>
      <w:color w:val="404040"/>
    </w:rPr>
  </w:style>
  <w:style w:type="table" w:customStyle="1" w:styleId="218">
    <w:name w:val="Bordered &amp; Lined - Accent 6"/>
    <w:qFormat/>
    <w:uiPriority w:val="99"/>
    <w:pPr>
      <w:spacing w:after="0" w:line="240" w:lineRule="auto"/>
    </w:pPr>
    <w:rPr>
      <w:color w:val="404040"/>
    </w:rPr>
  </w:style>
  <w:style w:type="table" w:customStyle="1" w:styleId="219">
    <w:name w:val="Bordered"/>
    <w:qFormat/>
    <w:uiPriority w:val="99"/>
    <w:pPr>
      <w:spacing w:after="0" w:line="240" w:lineRule="auto"/>
    </w:pPr>
  </w:style>
  <w:style w:type="table" w:customStyle="1" w:styleId="220">
    <w:name w:val="Bordered - Accent 1"/>
    <w:qFormat/>
    <w:uiPriority w:val="99"/>
    <w:pPr>
      <w:spacing w:after="0" w:line="240" w:lineRule="auto"/>
    </w:pPr>
  </w:style>
  <w:style w:type="table" w:customStyle="1" w:styleId="221">
    <w:name w:val="Bordered - Accent 2"/>
    <w:qFormat/>
    <w:uiPriority w:val="99"/>
    <w:pPr>
      <w:spacing w:after="0" w:line="240" w:lineRule="auto"/>
    </w:pPr>
  </w:style>
  <w:style w:type="table" w:customStyle="1" w:styleId="222">
    <w:name w:val="Bordered - Accent 3"/>
    <w:qFormat/>
    <w:uiPriority w:val="99"/>
    <w:pPr>
      <w:spacing w:after="0" w:line="240" w:lineRule="auto"/>
    </w:pPr>
  </w:style>
  <w:style w:type="table" w:customStyle="1" w:styleId="223">
    <w:name w:val="Bordered - Accent 4"/>
    <w:qFormat/>
    <w:uiPriority w:val="99"/>
    <w:pPr>
      <w:spacing w:after="0" w:line="240" w:lineRule="auto"/>
    </w:pPr>
  </w:style>
  <w:style w:type="table" w:customStyle="1" w:styleId="224">
    <w:name w:val="Bordered - Accent 5"/>
    <w:qFormat/>
    <w:uiPriority w:val="99"/>
    <w:pPr>
      <w:spacing w:after="0" w:line="240" w:lineRule="auto"/>
    </w:pPr>
  </w:style>
  <w:style w:type="table" w:customStyle="1" w:styleId="225">
    <w:name w:val="Bordered - Accent 6"/>
    <w:qFormat/>
    <w:uiPriority w:val="99"/>
    <w:pPr>
      <w:spacing w:after="0" w:line="240" w:lineRule="auto"/>
    </w:pPr>
  </w:style>
  <w:style w:type="paragraph" w:customStyle="1" w:styleId="226">
    <w:name w:val="TOC Heading"/>
    <w:unhideWhenUsed/>
    <w:qFormat/>
    <w:uiPriority w:val="39"/>
    <w:rPr>
      <w:rFonts w:hint="default" w:ascii="Calibri" w:hAnsi="Calibri" w:eastAsia="宋体" w:cs="Times New Roman"/>
    </w:rPr>
  </w:style>
  <w:style w:type="table" w:customStyle="1" w:styleId="227">
    <w:name w:val="普通表格1"/>
    <w:unhideWhenUsed/>
    <w:qFormat/>
    <w:uiPriority w:val="99"/>
  </w:style>
  <w:style w:type="paragraph" w:customStyle="1" w:styleId="228">
    <w:name w:val="批注文字1"/>
    <w:basedOn w:val="1"/>
    <w:link w:val="229"/>
    <w:qFormat/>
    <w:uiPriority w:val="0"/>
    <w:pPr>
      <w:jc w:val="left"/>
    </w:pPr>
  </w:style>
  <w:style w:type="character" w:customStyle="1" w:styleId="229">
    <w:name w:val="批注文字 Char"/>
    <w:basedOn w:val="48"/>
    <w:link w:val="228"/>
    <w:qFormat/>
    <w:uiPriority w:val="0"/>
    <w:rPr>
      <w:sz w:val="21"/>
      <w:szCs w:val="24"/>
    </w:rPr>
  </w:style>
  <w:style w:type="paragraph" w:customStyle="1" w:styleId="230">
    <w:name w:val="正文文本1"/>
    <w:basedOn w:val="1"/>
    <w:link w:val="231"/>
    <w:qFormat/>
    <w:uiPriority w:val="0"/>
    <w:pPr>
      <w:spacing w:after="120"/>
    </w:pPr>
  </w:style>
  <w:style w:type="character" w:customStyle="1" w:styleId="231">
    <w:name w:val="正文文本 Char"/>
    <w:basedOn w:val="48"/>
    <w:link w:val="230"/>
    <w:qFormat/>
    <w:uiPriority w:val="0"/>
    <w:rPr>
      <w:sz w:val="21"/>
      <w:szCs w:val="24"/>
    </w:rPr>
  </w:style>
  <w:style w:type="paragraph" w:customStyle="1" w:styleId="232">
    <w:name w:val="正文文本缩进1"/>
    <w:basedOn w:val="1"/>
    <w:qFormat/>
    <w:uiPriority w:val="0"/>
    <w:pPr>
      <w:ind w:firstLine="645"/>
    </w:pPr>
    <w:rPr>
      <w:rFonts w:ascii="楷体_GB2312" w:eastAsia="楷体_GB2312"/>
      <w:sz w:val="32"/>
      <w:szCs w:val="32"/>
    </w:rPr>
  </w:style>
  <w:style w:type="paragraph" w:customStyle="1" w:styleId="233">
    <w:name w:val="纯文本11"/>
    <w:basedOn w:val="1"/>
    <w:link w:val="234"/>
    <w:qFormat/>
    <w:uiPriority w:val="0"/>
    <w:rPr>
      <w:rFonts w:ascii="宋体" w:hAnsi="Courier New" w:eastAsia="宋体" w:cs="Times New Roman"/>
      <w:szCs w:val="21"/>
    </w:rPr>
  </w:style>
  <w:style w:type="character" w:customStyle="1" w:styleId="234">
    <w:name w:val="纯文本 Char"/>
    <w:basedOn w:val="48"/>
    <w:link w:val="233"/>
    <w:qFormat/>
    <w:uiPriority w:val="0"/>
    <w:rPr>
      <w:rFonts w:ascii="宋体" w:hAnsi="Courier New" w:eastAsia="宋体" w:cs="Times New Roman"/>
      <w:sz w:val="21"/>
      <w:szCs w:val="21"/>
    </w:rPr>
  </w:style>
  <w:style w:type="paragraph" w:customStyle="1" w:styleId="235">
    <w:name w:val="批注框文本1"/>
    <w:basedOn w:val="1"/>
    <w:link w:val="236"/>
    <w:qFormat/>
    <w:uiPriority w:val="0"/>
    <w:rPr>
      <w:sz w:val="18"/>
      <w:szCs w:val="18"/>
    </w:rPr>
  </w:style>
  <w:style w:type="character" w:customStyle="1" w:styleId="236">
    <w:name w:val="批注框文本 Char"/>
    <w:basedOn w:val="48"/>
    <w:link w:val="235"/>
    <w:qFormat/>
    <w:uiPriority w:val="0"/>
    <w:rPr>
      <w:sz w:val="18"/>
      <w:szCs w:val="18"/>
    </w:rPr>
  </w:style>
  <w:style w:type="paragraph" w:customStyle="1" w:styleId="237">
    <w:name w:val="页脚1"/>
    <w:basedOn w:val="1"/>
    <w:link w:val="238"/>
    <w:qFormat/>
    <w:uiPriority w:val="99"/>
    <w:pPr>
      <w:tabs>
        <w:tab w:val="center" w:pos="4153"/>
        <w:tab w:val="right" w:pos="8306"/>
      </w:tabs>
      <w:jc w:val="left"/>
    </w:pPr>
    <w:rPr>
      <w:sz w:val="18"/>
      <w:szCs w:val="18"/>
    </w:rPr>
  </w:style>
  <w:style w:type="character" w:customStyle="1" w:styleId="238">
    <w:name w:val="页脚 Char"/>
    <w:basedOn w:val="48"/>
    <w:link w:val="237"/>
    <w:qFormat/>
    <w:uiPriority w:val="99"/>
    <w:rPr>
      <w:sz w:val="18"/>
      <w:szCs w:val="18"/>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Char"/>
    <w:basedOn w:val="48"/>
    <w:link w:val="239"/>
    <w:qFormat/>
    <w:uiPriority w:val="0"/>
    <w:rPr>
      <w:sz w:val="18"/>
      <w:szCs w:val="18"/>
    </w:rPr>
  </w:style>
  <w:style w:type="paragraph" w:customStyle="1" w:styleId="241">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2">
    <w:name w:val="普通(网站)1"/>
    <w:basedOn w:val="1"/>
    <w:qFormat/>
    <w:uiPriority w:val="0"/>
    <w:pPr>
      <w:spacing w:beforeAutospacing="1" w:afterAutospacing="1"/>
      <w:jc w:val="left"/>
    </w:pPr>
    <w:rPr>
      <w:rFonts w:cs="Times New Roman"/>
      <w:sz w:val="24"/>
    </w:rPr>
  </w:style>
  <w:style w:type="paragraph" w:customStyle="1" w:styleId="243">
    <w:name w:val="批注主题1"/>
    <w:basedOn w:val="228"/>
    <w:next w:val="228"/>
    <w:link w:val="244"/>
    <w:qFormat/>
    <w:uiPriority w:val="0"/>
    <w:rPr>
      <w:b/>
      <w:bCs/>
    </w:rPr>
  </w:style>
  <w:style w:type="character" w:customStyle="1" w:styleId="244">
    <w:name w:val="批注主题 Char"/>
    <w:basedOn w:val="229"/>
    <w:link w:val="243"/>
    <w:qFormat/>
    <w:uiPriority w:val="0"/>
    <w:rPr>
      <w:b/>
      <w:bCs/>
    </w:rPr>
  </w:style>
  <w:style w:type="character" w:customStyle="1" w:styleId="245">
    <w:name w:val="批注引用1"/>
    <w:basedOn w:val="48"/>
    <w:link w:val="1"/>
    <w:qFormat/>
    <w:uiPriority w:val="0"/>
    <w:rPr>
      <w:sz w:val="21"/>
      <w:szCs w:val="21"/>
    </w:rPr>
  </w:style>
  <w:style w:type="paragraph" w:customStyle="1" w:styleId="246">
    <w:name w:val="4"/>
    <w:basedOn w:val="1"/>
    <w:next w:val="77"/>
    <w:qFormat/>
    <w:uiPriority w:val="0"/>
    <w:pPr>
      <w:spacing w:line="360" w:lineRule="auto"/>
      <w:ind w:firstLine="420"/>
    </w:pPr>
    <w:rPr>
      <w:color w:val="FF0000"/>
      <w:sz w:val="24"/>
    </w:rPr>
  </w:style>
  <w:style w:type="paragraph" w:customStyle="1" w:styleId="247">
    <w:name w:val="纯文本1"/>
    <w:basedOn w:val="1"/>
    <w:qFormat/>
    <w:uiPriority w:val="0"/>
    <w:rPr>
      <w:rFonts w:ascii="宋体" w:hAnsi="Courier New" w:eastAsia="楷体_GB2312"/>
      <w:sz w:val="28"/>
      <w:szCs w:val="20"/>
    </w:rPr>
  </w:style>
  <w:style w:type="paragraph" w:customStyle="1" w:styleId="248">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49">
    <w:name w:val="正文首行缩进1"/>
    <w:basedOn w:val="1"/>
    <w:qFormat/>
    <w:uiPriority w:val="99"/>
    <w:pPr>
      <w:ind w:firstLine="420"/>
    </w:pPr>
    <w:rPr>
      <w:rFonts w:ascii="楷体_GB2312" w:hAnsi="Arial" w:eastAsia="楷体_GB2312"/>
      <w:sz w:val="28"/>
      <w:szCs w:val="28"/>
    </w:rPr>
  </w:style>
  <w:style w:type="paragraph" w:customStyle="1" w:styleId="250">
    <w:name w:val="普通正文"/>
    <w:basedOn w:val="1"/>
    <w:link w:val="251"/>
    <w:qFormat/>
    <w:uiPriority w:val="0"/>
    <w:pPr>
      <w:spacing w:before="120" w:after="120" w:line="360" w:lineRule="auto"/>
      <w:ind w:firstLine="480"/>
      <w:jc w:val="left"/>
    </w:pPr>
    <w:rPr>
      <w:rFonts w:ascii="Arial" w:hAnsi="Arial"/>
      <w:sz w:val="24"/>
      <w:szCs w:val="21"/>
      <w:lang w:val="en-US" w:eastAsia="en-US"/>
    </w:rPr>
  </w:style>
  <w:style w:type="character" w:customStyle="1" w:styleId="251">
    <w:name w:val="普通正文 Char"/>
    <w:link w:val="250"/>
    <w:qFormat/>
    <w:uiPriority w:val="0"/>
    <w:rPr>
      <w:rFonts w:ascii="Arial" w:hAnsi="Arial"/>
      <w:sz w:val="24"/>
      <w:szCs w:val="21"/>
      <w:lang w:eastAsia="en-US"/>
    </w:rPr>
  </w:style>
  <w:style w:type="paragraph" w:customStyle="1" w:styleId="252">
    <w:name w:val="p0"/>
    <w:basedOn w:val="1"/>
    <w:unhideWhenUsed/>
    <w:qFormat/>
    <w:uiPriority w:val="0"/>
    <w:pPr>
      <w:widowControl/>
    </w:pPr>
    <w:rPr>
      <w:rFonts w:hint="eastAsia" w:ascii="Times New Roman" w:hAnsi="Times New Roman"/>
    </w:rPr>
  </w:style>
  <w:style w:type="paragraph" w:customStyle="1" w:styleId="253">
    <w:name w:val="p19"/>
    <w:basedOn w:val="1"/>
    <w:unhideWhenUsed/>
    <w:qFormat/>
    <w:uiPriority w:val="0"/>
    <w:pPr>
      <w:widowControl/>
    </w:pPr>
    <w:rPr>
      <w:rFonts w:hint="eastAsia" w:ascii="宋体" w:hAnsi="宋体"/>
    </w:rPr>
  </w:style>
  <w:style w:type="paragraph" w:customStyle="1" w:styleId="254">
    <w:name w:val="标题 21"/>
    <w:basedOn w:val="1"/>
    <w:next w:val="25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55">
    <w:name w:val="正文缩进1"/>
    <w:basedOn w:val="1"/>
    <w:qFormat/>
    <w:uiPriority w:val="0"/>
    <w:pPr>
      <w:ind w:firstLine="420"/>
    </w:pPr>
    <w:rPr>
      <w:sz w:val="20"/>
      <w:szCs w:val="21"/>
    </w:rPr>
  </w:style>
  <w:style w:type="paragraph" w:customStyle="1" w:styleId="256">
    <w:name w:val="Table Text"/>
    <w:basedOn w:val="1"/>
    <w:qFormat/>
    <w:uiPriority w:val="0"/>
    <w:rPr>
      <w:rFonts w:hint="eastAsia" w:ascii="宋体" w:hAnsi="宋体"/>
      <w:szCs w:val="21"/>
    </w:rPr>
  </w:style>
  <w:style w:type="table" w:customStyle="1" w:styleId="257">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P R</Company>
  <Pages>88</Pages>
  <Words>24862</Words>
  <Characters>26105</Characters>
  <TotalTime>7</TotalTime>
  <ScaleCrop>false</ScaleCrop>
  <LinksUpToDate>false</LinksUpToDate>
  <CharactersWithSpaces>26489</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2024-06-27T01:18:00Z</dcterms:created>
  <dc:creator>Adminis</dc:creator>
  <cp:lastModifiedBy>吉胜1418378764</cp:lastModifiedBy>
  <cp:lastPrinted>2026-08-24T02:05:00Z</cp:lastPrinted>
  <dcterms:modified xsi:type="dcterms:W3CDTF">2026-09-16T01:00:46Z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eyJoZGlkIjoiMTUzYmVjNmQ4YjhjYTVlNTVkNTIxN2EyZTRhZjI3NDYiLCJ1c2VySWQiOiIyNjY5ODk2MiJ9</vt:lpwstr>
  </property>
  <property fmtid="{D5CDD505-2E9C-101B-9397-08002B2CF9AE}" pid="3" name="KSOProductBuildVer">
    <vt:lpwstr>2052-12.1.0.28599</vt:lpwstr>
  </property>
  <property fmtid="{D5CDD505-2E9C-101B-9397-08002B2CF9AE}" pid="4" name="ICV">
    <vt:lpwstr>10F3B012DF95410D86BC2E2C6B7FF8BA_12</vt:lpwstr>
  </property>
</Properties>
</file>