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jc w:val="center"/>
        <w:keepLines w:val="0"/>
        <w:keepNext w:val="0"/>
        <w:pageBreakBefore w:val="0"/>
        <w:spacing w:before="120" w:beforeAutospacing="0" w:after="120" w:afterAutospacing="0" w:line="700" w:lineRule="exact"/>
        <w:widowControl w:val="off"/>
        <w:rPr>
          <w:rFonts w:hint="eastAsia" w:eastAsia="宋体" w:cstheme="minorBidi"/>
          <w:b/>
          <w:color w:val="auto"/>
          <w:sz w:val="56"/>
          <w:szCs w:val="21"/>
          <w:highlight w:val="none"/>
          <w:lang w:eastAsia="zh-CN"/>
        </w:rPr>
      </w:pPr>
      <w:r>
        <w:rPr>
          <w:rFonts w:hint="eastAsia" w:eastAsia="宋体" w:cstheme="minorBidi"/>
          <w:b/>
          <w:color w:val="auto"/>
          <w:sz w:val="56"/>
          <w:szCs w:val="21"/>
          <w:highlight w:val="none"/>
          <w:lang w:eastAsia="zh-CN"/>
        </w:rPr>
      </w:r>
      <w:r/>
    </w:p>
    <w:p>
      <w:pPr>
        <w:pStyle w:val="650"/>
        <w:jc w:val="center"/>
        <w:spacing w:before="120" w:beforeAutospacing="0" w:after="120" w:afterAutospacing="0" w:line="360" w:lineRule="auto"/>
        <w:rPr>
          <w:rFonts w:hint="eastAsia" w:eastAsia="宋体" w:cstheme="minorBidi"/>
          <w:b/>
          <w:color w:val="auto"/>
          <w:sz w:val="52"/>
          <w:szCs w:val="20"/>
          <w:highlight w:val="none"/>
          <w:lang w:eastAsia="zh-CN"/>
        </w:rPr>
      </w:pPr>
      <w:r>
        <w:rPr>
          <w:rFonts w:hint="eastAsia" w:eastAsia="宋体" w:cstheme="minorBidi"/>
          <w:b/>
          <w:color w:val="auto"/>
          <w:sz w:val="56"/>
          <w:szCs w:val="21"/>
          <w:highlight w:val="none"/>
          <w:lang w:eastAsia="zh-CN"/>
        </w:rPr>
        <w:t xml:space="preserve">202</w:t>
      </w:r>
      <w:r>
        <w:rPr>
          <w:rFonts w:hint="eastAsia" w:eastAsia="宋体" w:cstheme="minorBidi"/>
          <w:b/>
          <w:color w:val="auto"/>
          <w:sz w:val="56"/>
          <w:szCs w:val="21"/>
          <w:highlight w:val="none"/>
          <w:lang w:val="en-US" w:eastAsia="zh-CN"/>
        </w:rPr>
        <w:t xml:space="preserve">6</w:t>
      </w:r>
      <w:r>
        <w:rPr>
          <w:rFonts w:hint="eastAsia" w:eastAsia="宋体" w:cstheme="minorBidi"/>
          <w:b/>
          <w:color w:val="auto"/>
          <w:sz w:val="56"/>
          <w:szCs w:val="21"/>
          <w:highlight w:val="none"/>
          <w:lang w:eastAsia="zh-CN"/>
        </w:rPr>
        <w:t xml:space="preserve">年东台市市区建筑装修垃圾处置项目</w:t>
      </w:r>
      <w:r/>
    </w:p>
    <w:p>
      <w:pPr>
        <w:jc w:val="center"/>
        <w:rPr>
          <w:color w:val="auto"/>
          <w:sz w:val="32"/>
          <w:szCs w:val="32"/>
          <w:highlight w:val="none"/>
        </w:rPr>
        <w:outlineLvl w:val="0"/>
      </w:pPr>
      <w:r>
        <w:rPr>
          <w:color w:val="auto"/>
          <w:sz w:val="32"/>
          <w:szCs w:val="32"/>
          <w:highlight w:val="none"/>
        </w:rPr>
      </w:r>
      <w:r/>
    </w:p>
    <w:p>
      <w:pPr>
        <w:rPr>
          <w:color w:val="auto"/>
          <w:highlight w:val="none"/>
        </w:rPr>
      </w:pPr>
      <w:r>
        <w:rPr>
          <w:color w:val="auto"/>
          <w:highlight w:val="none"/>
        </w:rPr>
      </w:r>
      <w:r/>
    </w:p>
    <w:p>
      <w:pPr>
        <w:jc w:val="center"/>
        <w:spacing w:line="856" w:lineRule="atLeast"/>
        <w:tabs>
          <w:tab w:val="left" w:pos="2160" w:leader="none"/>
          <w:tab w:val="left" w:pos="2340" w:leader="none"/>
          <w:tab w:val="left" w:pos="5940" w:leader="none"/>
          <w:tab w:val="left" w:pos="6120" w:leader="none"/>
        </w:tabs>
        <w:rPr>
          <w:color w:val="auto"/>
          <w:sz w:val="84"/>
          <w:highlight w:val="none"/>
        </w:rPr>
        <w:outlineLvl w:val="0"/>
      </w:pPr>
      <w:r>
        <w:rPr>
          <w:rFonts w:hint="eastAsia"/>
          <w:b/>
          <w:color w:val="auto"/>
          <w:sz w:val="84"/>
          <w:highlight w:val="none"/>
        </w:rPr>
        <w:t xml:space="preserve">招 标 文 件</w:t>
      </w:r>
      <w:r/>
    </w:p>
    <w:p>
      <w:pPr>
        <w:jc w:val="center"/>
        <w:spacing w:line="413" w:lineRule="atLeast"/>
        <w:rPr>
          <w:color w:val="auto"/>
          <w:highlight w:val="none"/>
        </w:rPr>
      </w:pPr>
      <w:r>
        <w:rPr>
          <w:color w:val="auto"/>
          <w:highlight w:val="none"/>
        </w:rPr>
      </w:r>
      <w:r/>
    </w:p>
    <w:p>
      <w:pPr>
        <w:jc w:val="center"/>
        <w:spacing w:line="413" w:lineRule="atLeast"/>
        <w:rPr>
          <w:color w:val="auto"/>
          <w:highlight w:val="none"/>
        </w:rPr>
      </w:pPr>
      <w:r>
        <w:rPr>
          <w:color w:val="auto"/>
          <w:highlight w:val="none"/>
        </w:rPr>
      </w:r>
      <w:r/>
    </w:p>
    <w:p>
      <w:pPr>
        <w:jc w:val="center"/>
        <w:spacing w:line="413" w:lineRule="atLeast"/>
        <w:rPr>
          <w:rFonts w:hint="eastAsia" w:eastAsiaTheme="minorEastAsia"/>
          <w:b/>
          <w:bCs/>
          <w:color w:val="auto"/>
          <w:highlight w:val="none"/>
          <w:u w:val="single"/>
          <w:lang w:eastAsia="zh-CN"/>
        </w:rPr>
      </w:pPr>
      <w:r>
        <w:rPr>
          <w:b/>
          <w:bCs/>
          <w:color w:val="auto"/>
          <w:sz w:val="32"/>
          <w:szCs w:val="32"/>
          <w:highlight w:val="none"/>
        </w:rPr>
        <w:t xml:space="preserve">编号：</w:t>
      </w:r>
      <w:r>
        <w:rPr>
          <w:rFonts w:hint="eastAsia"/>
          <w:b/>
          <w:bCs/>
          <w:color w:val="auto"/>
          <w:sz w:val="32"/>
          <w:szCs w:val="32"/>
          <w:highlight w:val="none"/>
        </w:rPr>
        <w:t xml:space="preserve">JSZC-320981-XHZB-G2026-0019</w:t>
      </w:r>
      <w:r>
        <w:rPr>
          <w:rFonts w:hint="eastAsia"/>
          <w:b/>
          <w:bCs/>
          <w:color w:val="auto"/>
          <w:sz w:val="32"/>
          <w:szCs w:val="32"/>
          <w:highlight w:val="none"/>
          <w:lang w:eastAsia="zh-CN"/>
        </w:rPr>
        <w:t xml:space="preserve"> </w:t>
      </w:r>
      <w:r/>
    </w:p>
    <w:p>
      <w:pPr>
        <w:spacing w:line="413" w:lineRule="atLeast"/>
        <w:rPr>
          <w:b/>
          <w:bCs/>
          <w:color w:val="auto"/>
          <w:highlight w:val="none"/>
        </w:rPr>
      </w:pPr>
      <w:r>
        <w:rPr>
          <w:rFonts w:hint="eastAsia"/>
          <w:b/>
          <w:bCs/>
          <w:color w:val="auto"/>
          <w:highlight w:val="none"/>
        </w:rPr>
        <w:t xml:space="preserve"> </w:t>
      </w:r>
      <w:r/>
    </w:p>
    <w:p>
      <w:pPr>
        <w:pStyle w:val="641"/>
        <w:rPr>
          <w:rFonts w:hint="default"/>
          <w:b/>
          <w:bCs/>
          <w:color w:val="auto"/>
          <w:highlight w:val="none"/>
        </w:rPr>
      </w:pPr>
      <w:r>
        <w:rPr>
          <w:rFonts w:hint="default"/>
          <w:b/>
          <w:bCs/>
          <w:color w:val="auto"/>
          <w:highlight w:val="none"/>
        </w:rPr>
      </w:r>
      <w:r/>
    </w:p>
    <w:p>
      <w:pPr>
        <w:pStyle w:val="641"/>
        <w:rPr>
          <w:rFonts w:hint="default"/>
          <w:b/>
          <w:bCs/>
          <w:color w:val="auto"/>
          <w:highlight w:val="none"/>
        </w:rPr>
      </w:pPr>
      <w:r>
        <w:rPr>
          <w:rFonts w:hint="default"/>
          <w:b/>
          <w:bCs/>
          <w:color w:val="auto"/>
          <w:highlight w:val="none"/>
        </w:rPr>
      </w:r>
      <w:r/>
    </w:p>
    <w:p>
      <w:pPr>
        <w:pStyle w:val="641"/>
        <w:rPr>
          <w:rFonts w:hint="default"/>
          <w:b/>
          <w:bCs/>
          <w:color w:val="auto"/>
          <w:highlight w:val="none"/>
        </w:rPr>
      </w:pPr>
      <w:r>
        <w:rPr>
          <w:rFonts w:hint="default"/>
          <w:b/>
          <w:bCs/>
          <w:color w:val="auto"/>
          <w:highlight w:val="none"/>
        </w:rPr>
      </w:r>
      <w:r/>
    </w:p>
    <w:p>
      <w:pPr>
        <w:pStyle w:val="641"/>
        <w:rPr>
          <w:rFonts w:hint="default"/>
          <w:b/>
          <w:bCs/>
          <w:color w:val="auto"/>
          <w:highlight w:val="none"/>
        </w:rPr>
      </w:pPr>
      <w:r>
        <w:rPr>
          <w:rFonts w:hint="default"/>
          <w:b/>
          <w:bCs/>
          <w:color w:val="auto"/>
          <w:highlight w:val="none"/>
        </w:rPr>
      </w:r>
      <w:r/>
    </w:p>
    <w:p>
      <w:pPr>
        <w:pStyle w:val="641"/>
        <w:rPr>
          <w:rFonts w:hint="default"/>
          <w:b/>
          <w:bCs/>
          <w:color w:val="auto"/>
          <w:highlight w:val="none"/>
        </w:rPr>
      </w:pPr>
      <w:r>
        <w:rPr>
          <w:rFonts w:hint="default"/>
          <w:b/>
          <w:bCs/>
          <w:color w:val="auto"/>
          <w:highlight w:val="none"/>
        </w:rPr>
      </w:r>
      <w:r/>
    </w:p>
    <w:p>
      <w:pPr>
        <w:pStyle w:val="641"/>
        <w:rPr>
          <w:rFonts w:hint="default"/>
          <w:b/>
          <w:bCs/>
          <w:color w:val="auto"/>
          <w:highlight w:val="none"/>
        </w:rPr>
      </w:pPr>
      <w:r>
        <w:rPr>
          <w:rFonts w:hint="default"/>
          <w:b/>
          <w:bCs/>
          <w:color w:val="auto"/>
          <w:highlight w:val="none"/>
        </w:rPr>
      </w:r>
      <w:r/>
    </w:p>
    <w:p>
      <w:pPr>
        <w:pStyle w:val="641"/>
        <w:rPr>
          <w:rFonts w:hint="default"/>
          <w:b/>
          <w:bCs/>
          <w:color w:val="auto"/>
          <w:highlight w:val="none"/>
        </w:rPr>
      </w:pPr>
      <w:r>
        <w:rPr>
          <w:rFonts w:hint="default"/>
          <w:b/>
          <w:bCs/>
          <w:color w:val="auto"/>
          <w:highlight w:val="none"/>
        </w:rPr>
      </w:r>
      <w:r/>
    </w:p>
    <w:p>
      <w:pPr>
        <w:spacing w:line="480" w:lineRule="auto"/>
        <w:rPr>
          <w:b/>
          <w:color w:val="auto"/>
          <w:sz w:val="31"/>
          <w:highlight w:val="none"/>
        </w:rPr>
        <w:outlineLvl w:val="0"/>
      </w:pPr>
      <w:r>
        <w:rPr>
          <w:rFonts w:hint="eastAsia"/>
          <w:b/>
          <w:color w:val="auto"/>
          <w:sz w:val="31"/>
          <w:highlight w:val="none"/>
        </w:rPr>
        <w:t xml:space="preserve">采购人</w:t>
      </w:r>
      <w:r>
        <w:rPr>
          <w:b/>
          <w:color w:val="auto"/>
          <w:sz w:val="31"/>
          <w:highlight w:val="none"/>
        </w:rPr>
        <w:t xml:space="preserve">：</w:t>
      </w:r>
      <w:r>
        <w:rPr>
          <w:rFonts w:hint="eastAsia"/>
          <w:b/>
          <w:color w:val="auto"/>
          <w:sz w:val="31"/>
          <w:highlight w:val="none"/>
          <w:u w:val="single"/>
        </w:rPr>
        <w:t xml:space="preserve">       </w:t>
      </w:r>
      <w:r>
        <w:rPr>
          <w:rFonts w:hint="eastAsia" w:eastAsia="宋体"/>
          <w:b/>
          <w:color w:val="auto"/>
          <w:sz w:val="31"/>
          <w:highlight w:val="none"/>
          <w:u w:val="single"/>
          <w:lang w:val="en-US" w:eastAsia="zh-CN"/>
        </w:rPr>
        <w:t xml:space="preserve"> </w:t>
      </w:r>
      <w:r>
        <w:rPr>
          <w:rFonts w:hint="eastAsia" w:eastAsia="宋体"/>
          <w:b/>
          <w:color w:val="auto"/>
          <w:sz w:val="31"/>
          <w:highlight w:val="none"/>
          <w:u w:val="single"/>
          <w:lang w:eastAsia="zh-CN"/>
        </w:rPr>
        <w:t xml:space="preserve">东台市环境卫生管理处</w:t>
      </w:r>
      <w:r>
        <w:rPr>
          <w:rFonts w:hint="eastAsia"/>
          <w:b/>
          <w:color w:val="auto"/>
          <w:sz w:val="31"/>
          <w:highlight w:val="none"/>
          <w:u w:val="single"/>
        </w:rPr>
        <w:t xml:space="preserve">   </w:t>
      </w:r>
      <w:r>
        <w:rPr>
          <w:rFonts w:hint="eastAsia" w:eastAsia="宋体"/>
          <w:b/>
          <w:color w:val="auto"/>
          <w:sz w:val="31"/>
          <w:highlight w:val="none"/>
          <w:u w:val="single"/>
          <w:lang w:val="en-US" w:eastAsia="zh-CN"/>
        </w:rPr>
        <w:t xml:space="preserve"> </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outlineLvl w:val="0"/>
      </w:pPr>
      <w:r>
        <w:rPr>
          <w:rFonts w:hint="eastAsia"/>
          <w:b/>
          <w:color w:val="auto"/>
          <w:sz w:val="31"/>
          <w:highlight w:val="none"/>
        </w:rPr>
        <w:t xml:space="preserve">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（签字或</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pPr>
      <w:r>
        <w:rPr>
          <w:b/>
          <w:color w:val="auto"/>
          <w:sz w:val="31"/>
          <w:highlight w:val="none"/>
        </w:rPr>
      </w:r>
      <w:r/>
    </w:p>
    <w:p>
      <w:pPr>
        <w:spacing w:line="480" w:lineRule="auto"/>
        <w:rPr>
          <w:b/>
          <w:color w:val="auto"/>
          <w:sz w:val="31"/>
          <w:highlight w:val="none"/>
        </w:rPr>
        <w:outlineLvl w:val="0"/>
      </w:pPr>
      <w:r>
        <w:rPr>
          <w:rFonts w:hint="eastAsia"/>
          <w:b/>
          <w:color w:val="auto"/>
          <w:sz w:val="31"/>
          <w:highlight w:val="none"/>
        </w:rPr>
        <w:t xml:space="preserve">采购代理机构</w:t>
      </w:r>
      <w:r>
        <w:rPr>
          <w:b/>
          <w:color w:val="auto"/>
          <w:sz w:val="31"/>
          <w:highlight w:val="none"/>
        </w:rPr>
        <w:t xml:space="preserve">：</w:t>
      </w:r>
      <w:r>
        <w:rPr>
          <w:rFonts w:hint="eastAsia"/>
          <w:b/>
          <w:color w:val="auto"/>
          <w:sz w:val="31"/>
          <w:highlight w:val="none"/>
          <w:u w:val="single"/>
        </w:rPr>
        <w:t xml:space="preserve">  东台市兴华招标代理有限公司  </w:t>
      </w:r>
      <w:r>
        <w:rPr>
          <w:b/>
          <w:color w:val="auto"/>
          <w:sz w:val="31"/>
          <w:highlight w:val="none"/>
          <w:u w:val="single"/>
        </w:rPr>
        <w:t xml:space="preserve"> </w:t>
      </w:r>
      <w:r>
        <w:rPr>
          <w:rFonts w:hint="eastAsia"/>
          <w:b/>
          <w:color w:val="auto"/>
          <w:sz w:val="31"/>
          <w:highlight w:val="none"/>
        </w:rPr>
        <w:t xml:space="preserve">（</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outlineLvl w:val="0"/>
      </w:pPr>
      <w:r>
        <w:rPr>
          <w:rFonts w:hint="eastAsia"/>
          <w:b/>
          <w:color w:val="auto"/>
          <w:sz w:val="31"/>
          <w:highlight w:val="none"/>
        </w:rPr>
        <w:t xml:space="preserve">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（签字或</w:t>
      </w:r>
      <w:r>
        <w:rPr>
          <w:b/>
          <w:color w:val="auto"/>
          <w:sz w:val="31"/>
          <w:highlight w:val="none"/>
        </w:rPr>
        <w:t xml:space="preserve">盖章</w:t>
      </w:r>
      <w:r>
        <w:rPr>
          <w:rFonts w:hint="eastAsia"/>
          <w:b/>
          <w:color w:val="auto"/>
          <w:sz w:val="31"/>
          <w:highlight w:val="none"/>
        </w:rPr>
        <w:t xml:space="preserve">）</w:t>
      </w:r>
      <w:r/>
    </w:p>
    <w:p>
      <w:pPr>
        <w:rPr>
          <w:color w:val="auto"/>
          <w:highlight w:val="none"/>
        </w:rPr>
      </w:pPr>
      <w:r>
        <w:rPr>
          <w:color w:val="auto"/>
          <w:highlight w:val="none"/>
        </w:rPr>
      </w:r>
      <w:r/>
    </w:p>
    <w:p>
      <w:pPr>
        <w:pStyle w:val="650"/>
        <w:jc w:val="center"/>
        <w:keepLines w:val="0"/>
        <w:keepNext w:val="0"/>
        <w:pageBreakBefore w:val="0"/>
        <w:spacing w:beforeAutospacing="0" w:afterAutospacing="0" w:line="200" w:lineRule="exact"/>
        <w:widowControl w:val="off"/>
        <w:rPr>
          <w:rFonts w:hint="eastAsia"/>
          <w:b/>
          <w:color w:val="auto"/>
          <w:sz w:val="31"/>
          <w:highlight w:val="none"/>
          <w:u w:val="single"/>
        </w:rPr>
      </w:pPr>
      <w:r>
        <w:rPr>
          <w:rFonts w:hint="eastAsia"/>
          <w:b/>
          <w:color w:val="auto"/>
          <w:sz w:val="31"/>
          <w:highlight w:val="none"/>
          <w:u w:val="single"/>
        </w:rPr>
      </w:r>
      <w:r/>
    </w:p>
    <w:p>
      <w:pPr>
        <w:pStyle w:val="650"/>
        <w:jc w:val="center"/>
        <w:spacing w:beforeAutospacing="0" w:afterAutospacing="0" w:line="480" w:lineRule="auto"/>
        <w:rPr>
          <w:b/>
          <w:color w:val="auto"/>
          <w:sz w:val="31"/>
          <w:highlight w:val="none"/>
        </w:rPr>
      </w:pPr>
      <w:r>
        <w:rPr>
          <w:rFonts w:hint="eastAsia"/>
          <w:b/>
          <w:color w:val="auto"/>
          <w:sz w:val="31"/>
          <w:highlight w:val="none"/>
          <w:u w:val="single"/>
        </w:rPr>
        <w:t xml:space="preserve"> 202</w:t>
      </w:r>
      <w:r>
        <w:rPr>
          <w:rFonts w:hint="eastAsia"/>
          <w:b/>
          <w:color w:val="auto"/>
          <w:sz w:val="31"/>
          <w:highlight w:val="none"/>
          <w:u w:val="single"/>
          <w:lang w:val="en-US" w:eastAsia="zh-CN"/>
        </w:rPr>
        <w:t xml:space="preserve">6</w:t>
      </w:r>
      <w:r>
        <w:rPr>
          <w:rFonts w:hint="eastAsia"/>
          <w:b/>
          <w:color w:val="auto"/>
          <w:sz w:val="31"/>
          <w:highlight w:val="none"/>
          <w:u w:val="single"/>
        </w:rPr>
        <w:t xml:space="preserve"> </w:t>
      </w:r>
      <w:r>
        <w:rPr>
          <w:rFonts w:hint="eastAsia"/>
          <w:b/>
          <w:color w:val="auto"/>
          <w:sz w:val="31"/>
          <w:highlight w:val="none"/>
        </w:rPr>
        <w:t xml:space="preserve">年</w:t>
      </w:r>
      <w:r>
        <w:rPr>
          <w:rFonts w:hint="eastAsia"/>
          <w:b/>
          <w:color w:val="auto"/>
          <w:sz w:val="31"/>
          <w:highlight w:val="none"/>
          <w:u w:val="single"/>
        </w:rPr>
        <w:t xml:space="preserve"> </w:t>
      </w:r>
      <w:r>
        <w:rPr>
          <w:rFonts w:hint="eastAsia"/>
          <w:b/>
          <w:color w:val="auto"/>
          <w:sz w:val="31"/>
          <w:highlight w:val="none"/>
          <w:u w:val="single"/>
          <w:lang w:val="en-US" w:eastAsia="zh-CN"/>
        </w:rPr>
        <w:t xml:space="preserve">9</w:t>
      </w:r>
      <w:r>
        <w:rPr>
          <w:rFonts w:hint="eastAsia"/>
          <w:b/>
          <w:color w:val="auto"/>
          <w:sz w:val="31"/>
          <w:highlight w:val="none"/>
          <w:u w:val="single"/>
        </w:rPr>
        <w:t xml:space="preserve"> </w:t>
      </w:r>
      <w:r>
        <w:rPr>
          <w:rFonts w:hint="eastAsia"/>
          <w:b/>
          <w:color w:val="auto"/>
          <w:sz w:val="31"/>
          <w:highlight w:val="none"/>
        </w:rPr>
        <w:t xml:space="preserve">月</w:t>
      </w:r>
      <w:r>
        <w:rPr>
          <w:rFonts w:hint="eastAsia"/>
          <w:b/>
          <w:color w:val="auto"/>
          <w:sz w:val="31"/>
          <w:highlight w:val="none"/>
          <w:u w:val="single"/>
        </w:rPr>
        <w:t xml:space="preserve"> </w:t>
      </w:r>
      <w:r>
        <w:rPr>
          <w:rFonts w:hint="eastAsia"/>
          <w:b/>
          <w:color w:val="auto"/>
          <w:sz w:val="31"/>
          <w:highlight w:val="none"/>
          <w:u w:val="single"/>
          <w:lang w:val="en-US" w:eastAsia="zh-CN"/>
        </w:rPr>
        <w:t xml:space="preserve">1</w:t>
      </w:r>
      <w:r>
        <w:rPr>
          <w:rFonts w:hint="eastAsia"/>
          <w:b/>
          <w:color w:val="auto"/>
          <w:sz w:val="31"/>
          <w:highlight w:val="none"/>
          <w:u w:val="single"/>
        </w:rPr>
        <w:t xml:space="preserve"> </w:t>
      </w:r>
      <w:r>
        <w:rPr>
          <w:b/>
          <w:color w:val="auto"/>
          <w:sz w:val="31"/>
          <w:highlight w:val="none"/>
        </w:rPr>
        <w:t xml:space="preserve">日</w:t>
      </w:r>
      <w:r/>
    </w:p>
    <w:p>
      <w:pPr>
        <w:pStyle w:val="650"/>
        <w:jc w:val="center"/>
        <w:spacing w:before="120" w:beforeAutospacing="0" w:after="120" w:afterAutospacing="0" w:line="360" w:lineRule="auto"/>
        <w:rPr>
          <w:rFonts w:hint="default" w:eastAsiaTheme="minorEastAsia"/>
          <w:color w:val="auto"/>
          <w:highlight w:val="none"/>
          <w:u w:val="single"/>
          <w:lang w:val="en-US" w:eastAsia="zh-CN"/>
        </w:rPr>
      </w:pPr>
      <w:r>
        <w:rPr>
          <w:rFonts w:hint="default" w:eastAsiaTheme="minorEastAsia"/>
          <w:color w:val="auto"/>
          <w:highlight w:val="none"/>
          <w:u w:val="single"/>
          <w:lang w:val="en-US" w:eastAsia="zh-CN"/>
        </w:rPr>
      </w:r>
      <w:r/>
    </w:p>
    <w:p>
      <w:pPr>
        <w:pStyle w:val="650"/>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50"/>
        <w:jc w:val="center"/>
        <w:spacing w:beforeAutospacing="0" w:afterAutospacing="0" w:line="480" w:lineRule="auto"/>
        <w:rPr>
          <w:color w:val="auto"/>
          <w:highlight w:val="none"/>
        </w:rPr>
      </w:pPr>
      <w:r/>
      <w:bookmarkStart w:id="0" w:name="_Toc20823272"/>
      <w:r/>
      <w:bookmarkStart w:id="1" w:name="_Toc479757206"/>
      <w:r/>
      <w:bookmarkStart w:id="2" w:name="_Toc523127445"/>
      <w:r/>
      <w:bookmarkStart w:id="3" w:name="_Toc120614210"/>
      <w:r/>
      <w:bookmarkStart w:id="4" w:name="_Toc513029200"/>
      <w:r/>
      <w:bookmarkStart w:id="5" w:name="_Toc1693851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48"/>
        <w:keepLines w:val="0"/>
        <w:keepNext w:val="0"/>
        <w:pageBreakBefore w:val="0"/>
        <w:spacing w:line="1000" w:lineRule="exact"/>
        <w:widowControl w:val="off"/>
        <w:tabs>
          <w:tab w:val="right" w:pos="8306" w:leader="dot"/>
        </w:tabs>
        <w:rPr>
          <w:color w:val="auto"/>
          <w:sz w:val="36"/>
          <w:szCs w:val="44"/>
          <w:highlight w:val="none"/>
        </w:rPr>
      </w:pPr>
      <w:r>
        <w:rPr>
          <w:color w:val="auto"/>
          <w:sz w:val="36"/>
          <w:szCs w:val="44"/>
          <w:highlight w:val="none"/>
        </w:rPr>
        <w:fldChar w:fldCharType="begin"/>
      </w:r>
      <w:r>
        <w:rPr>
          <w:color w:val="auto"/>
          <w:sz w:val="36"/>
          <w:szCs w:val="44"/>
          <w:highlight w:val="none"/>
        </w:rPr>
        <w:instrText xml:space="preserve">TOC \o "1-1" \u </w:instrText>
      </w:r>
      <w:r>
        <w:rPr>
          <w:color w:val="auto"/>
          <w:sz w:val="36"/>
          <w:szCs w:val="44"/>
          <w:highlight w:val="none"/>
        </w:rPr>
        <w:fldChar w:fldCharType="separate"/>
      </w:r>
      <w:r>
        <w:rPr>
          <w:rFonts w:hint="eastAsia" w:ascii="黑体" w:hAnsi="宋体" w:eastAsia="黑体" w:cs="黑体"/>
          <w:color w:val="auto"/>
          <w:sz w:val="36"/>
          <w:szCs w:val="72"/>
          <w:highlight w:val="none"/>
        </w:rPr>
        <w:t xml:space="preserve">第一章 </w:t>
      </w:r>
      <w:r>
        <w:rPr>
          <w:rFonts w:hint="eastAsia" w:ascii="黑体" w:hAnsi="宋体" w:eastAsia="黑体" w:cs="黑体"/>
          <w:color w:val="auto"/>
          <w:sz w:val="36"/>
          <w:szCs w:val="72"/>
          <w:highlight w:val="none"/>
          <w:lang w:val="en-US" w:eastAsia="zh-CN"/>
        </w:rPr>
        <w:t xml:space="preserve">招标公告</w:t>
      </w:r>
      <w:r>
        <w:rPr>
          <w:color w:val="auto"/>
          <w:sz w:val="36"/>
          <w:szCs w:val="44"/>
          <w:highlight w:val="none"/>
        </w:rPr>
        <w:tab/>
      </w:r>
      <w:r/>
    </w:p>
    <w:p>
      <w:pPr>
        <w:pStyle w:val="648"/>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第二章 投标人须知</w:t>
      </w:r>
      <w:r>
        <w:rPr>
          <w:color w:val="auto"/>
          <w:sz w:val="36"/>
          <w:szCs w:val="44"/>
          <w:highlight w:val="none"/>
        </w:rPr>
        <w:tab/>
      </w:r>
      <w:r/>
    </w:p>
    <w:p>
      <w:pPr>
        <w:pStyle w:val="648"/>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第三章 合同文本</w:t>
      </w:r>
      <w:r>
        <w:rPr>
          <w:color w:val="auto"/>
          <w:sz w:val="36"/>
          <w:szCs w:val="44"/>
          <w:highlight w:val="none"/>
        </w:rPr>
        <w:tab/>
      </w:r>
      <w:r/>
    </w:p>
    <w:p>
      <w:pPr>
        <w:pStyle w:val="648"/>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第四章 </w:t>
      </w:r>
      <w:r>
        <w:rPr>
          <w:rFonts w:hint="eastAsia" w:ascii="黑体" w:hAnsi="宋体" w:eastAsia="黑体" w:cs="黑体"/>
          <w:color w:val="auto"/>
          <w:sz w:val="36"/>
          <w:szCs w:val="72"/>
          <w:highlight w:val="none"/>
          <w:lang w:val="en-US" w:eastAsia="zh-CN"/>
        </w:rPr>
        <w:t xml:space="preserve"> </w:t>
      </w:r>
      <w:r>
        <w:rPr>
          <w:rFonts w:hint="eastAsia" w:ascii="黑体" w:hAnsi="宋体" w:eastAsia="黑体" w:cs="黑体"/>
          <w:color w:val="auto"/>
          <w:sz w:val="36"/>
          <w:szCs w:val="72"/>
          <w:highlight w:val="none"/>
        </w:rPr>
        <w:t xml:space="preserve">采购需求</w:t>
      </w:r>
      <w:r>
        <w:rPr>
          <w:color w:val="auto"/>
          <w:sz w:val="36"/>
          <w:szCs w:val="44"/>
          <w:highlight w:val="none"/>
        </w:rPr>
        <w:tab/>
      </w:r>
      <w:r/>
    </w:p>
    <w:p>
      <w:pPr>
        <w:pStyle w:val="648"/>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第五章 评标方法与评标标准</w:t>
      </w:r>
      <w:r>
        <w:rPr>
          <w:color w:val="auto"/>
          <w:sz w:val="36"/>
          <w:szCs w:val="44"/>
          <w:highlight w:val="none"/>
        </w:rPr>
        <w:tab/>
      </w:r>
      <w:r/>
    </w:p>
    <w:p>
      <w:pPr>
        <w:pStyle w:val="648"/>
        <w:keepLines w:val="0"/>
        <w:keepNext w:val="0"/>
        <w:pageBreakBefore w:val="0"/>
        <w:spacing w:line="1000" w:lineRule="exact"/>
        <w:widowControl w:val="off"/>
        <w:tabs>
          <w:tab w:val="right" w:pos="8306" w:leader="dot"/>
        </w:tabs>
        <w:rPr>
          <w:color w:val="auto"/>
          <w:sz w:val="36"/>
          <w:szCs w:val="44"/>
          <w:highlight w:val="none"/>
        </w:rPr>
      </w:pPr>
      <w:r>
        <w:rPr>
          <w:rFonts w:hint="eastAsia" w:ascii="黑体" w:hAnsi="宋体" w:eastAsia="黑体" w:cs="黑体"/>
          <w:color w:val="auto"/>
          <w:sz w:val="36"/>
          <w:szCs w:val="72"/>
          <w:highlight w:val="none"/>
        </w:rPr>
        <w:t xml:space="preserve">第六章 投标文件格式</w:t>
      </w:r>
      <w:r>
        <w:rPr>
          <w:color w:val="auto"/>
          <w:sz w:val="36"/>
          <w:szCs w:val="44"/>
          <w:highlight w:val="none"/>
        </w:rPr>
        <w:tab/>
      </w:r>
      <w:r/>
    </w:p>
    <w:p>
      <w:pPr>
        <w:pStyle w:val="650"/>
        <w:jc w:val="both"/>
        <w:keepLines w:val="0"/>
        <w:keepNext w:val="0"/>
        <w:pageBreakBefore w:val="0"/>
        <w:spacing w:beforeAutospacing="0" w:afterAutospacing="0" w:line="1000" w:lineRule="exact"/>
        <w:widowControl w:val="off"/>
        <w:rPr>
          <w:color w:val="auto"/>
          <w:highlight w:val="none"/>
        </w:rPr>
      </w:pPr>
      <w:r>
        <w:rPr>
          <w:color w:val="auto"/>
          <w:sz w:val="44"/>
          <w:szCs w:val="44"/>
          <w:highlight w:val="none"/>
        </w:rPr>
        <w:fldChar w:fldCharType="end"/>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center"/>
        <w:keepNext/>
        <w:spacing w:beforeAutospacing="0" w:afterAutospacing="0"/>
        <w:rPr>
          <w:rFonts w:hint="default" w:eastAsia="黑体"/>
          <w:color w:val="auto"/>
          <w:highlight w:val="none"/>
          <w:lang w:val="en-US" w:eastAsia="zh-CN"/>
        </w:rPr>
        <w:outlineLvl w:val="0"/>
      </w:pPr>
      <w:r/>
      <w:bookmarkStart w:id="6" w:name="_Toc20851"/>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bookmarkEnd w:id="6"/>
      <w:r/>
      <w:r/>
    </w:p>
    <w:p>
      <w:pPr>
        <w:pStyle w:val="650"/>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50"/>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2026年东台市市区建筑装修垃圾处置项目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non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23</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650"/>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7" w:name="_Hlk24379207"/>
      <w:r/>
      <w:bookmarkStart w:id="8" w:name="_Toc38985263"/>
      <w:r/>
      <w:bookmarkStart w:id="9" w:name="_Toc35393621"/>
      <w:r/>
      <w:bookmarkStart w:id="10" w:name="_Toc28359079"/>
      <w:r/>
      <w:bookmarkStart w:id="11" w:name="_Toc28359002"/>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50"/>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1.项目编号：JSZC-320981-XHZB-G2026-0019</w:t>
      </w:r>
      <w:r/>
    </w:p>
    <w:p>
      <w:pPr>
        <w:pStyle w:val="650"/>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2026年东台市市区建筑装修垃圾处置项目</w:t>
      </w:r>
      <w:r/>
    </w:p>
    <w:p>
      <w:pPr>
        <w:pStyle w:val="650"/>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50"/>
        <w:ind w:left="0"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400万元</w:t>
      </w:r>
      <w:r/>
    </w:p>
    <w:p>
      <w:pPr>
        <w:pStyle w:val="650"/>
        <w:ind w:left="0"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装饰装修垃圾终端处置费人民币84.28元/吨（不含装饰装修垃圾收运费）</w:t>
      </w:r>
      <w:r/>
    </w:p>
    <w:p>
      <w:pPr>
        <w:pStyle w:val="650"/>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.采购需求（简介）：东台市环卫处拟对东台市市区内的装饰装修垃圾进行无害化处置、资源化利用。按实</w:t>
      </w:r>
      <w:r>
        <w:rPr>
          <w:rFonts w:hint="eastAsia" w:ascii="宋体" w:hAnsi="宋体" w:eastAsia="宋体" w:cs="宋体"/>
          <w:color w:val="auto"/>
          <w:sz w:val="24"/>
          <w:szCs w:val="24"/>
          <w:highlight w:val="none"/>
          <w:lang w:val="en-US" w:eastAsia="zh-CN"/>
        </w:rPr>
        <w:t xml:space="preserve">际处置量*中标单价</w:t>
      </w:r>
      <w:r>
        <w:rPr>
          <w:rFonts w:hint="eastAsia" w:ascii="宋体" w:hAnsi="宋体" w:eastAsia="宋体" w:cs="宋体"/>
          <w:color w:val="auto"/>
          <w:sz w:val="24"/>
          <w:szCs w:val="24"/>
          <w:highlight w:val="none"/>
        </w:rPr>
        <w:t xml:space="preserve">结算，如实际结算</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金额超出预算</w:t>
      </w:r>
      <w:r>
        <w:rPr>
          <w:rFonts w:hint="eastAsia" w:ascii="宋体" w:hAnsi="宋体" w:eastAsia="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lang w:val="en-US" w:eastAsia="zh-CN"/>
        </w:rPr>
        <w:t xml:space="preserve">400万元</w:t>
      </w:r>
      <w:r>
        <w:rPr>
          <w:rFonts w:hint="eastAsia" w:ascii="宋体" w:hAnsi="宋体" w:eastAsia="宋体" w:cs="宋体"/>
          <w:color w:val="auto"/>
          <w:sz w:val="24"/>
          <w:szCs w:val="24"/>
          <w:highlight w:val="none"/>
        </w:rPr>
        <w:t xml:space="preserve">，中标单位须无条件免费处理装饰装修垃圾直至履约期满，招标人不再支付预算金额之外的任何费用。（详细内容见本招标文件第四章）</w:t>
      </w:r>
      <w:r/>
    </w:p>
    <w:p>
      <w:pPr>
        <w:pStyle w:val="650"/>
        <w:ind w:left="0"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1年，自签订合同约定起始之日起开始计算。中标单位须在合同约定起始日起开始正常运营，负责东台市市区建筑装修垃圾处置服务。</w:t>
      </w:r>
      <w:r/>
    </w:p>
    <w:p>
      <w:pPr>
        <w:pStyle w:val="650"/>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本项目不接受联合体参与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p>
    <w:p>
      <w:pPr>
        <w:pStyle w:val="650"/>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3" w:name="_Toc28359080"/>
      <w:r/>
      <w:bookmarkStart w:id="14" w:name="_Toc35393622"/>
      <w:r/>
      <w:bookmarkStart w:id="15" w:name="_Toc38985264"/>
      <w:r/>
      <w:bookmarkStart w:id="16" w:name="_Toc35393791"/>
      <w:r/>
      <w:bookmarkStart w:id="17" w:name="_Toc28359003"/>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50"/>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50"/>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50"/>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50"/>
        <w:ind w:left="0"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50"/>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0"/>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50"/>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50"/>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0"/>
        <w:ind w:left="0"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50"/>
        <w:ind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本项目为专门面向小微企业采购的项目,供应商必须为小微企业，不接受非小微型企业参与本项目投标。</w:t>
      </w:r>
      <w:r>
        <w:rPr>
          <w:rFonts w:hint="eastAsia" w:ascii="宋体" w:hAnsi="宋体" w:eastAsia="宋体" w:cs="宋体"/>
          <w:color w:val="auto"/>
          <w:sz w:val="24"/>
          <w:szCs w:val="24"/>
          <w:highlight w:val="none"/>
        </w:rPr>
        <w:t xml:space="preserve">因本项目专门面向小微企业采购，故不再执行价格评审优惠的扶持政策。供应商须提供</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小企业声明函或监狱企业声明函或残疾人福利性单位声明函。</w:t>
      </w:r>
      <w:r/>
    </w:p>
    <w:p>
      <w:pPr>
        <w:pStyle w:val="650"/>
        <w:ind w:firstLine="480"/>
        <w:jc w:val="both"/>
        <w:keepLines w:val="0"/>
        <w:keepNext w:val="0"/>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eastAsia="zh-CN"/>
        </w:rPr>
        <w:t xml:space="preserve">。</w:t>
      </w:r>
      <w:r/>
    </w:p>
    <w:p>
      <w:pPr>
        <w:pStyle w:val="650"/>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bookmarkStart w:id="18" w:name="_Toc38985266"/>
      <w:r/>
      <w:bookmarkStart w:id="19" w:name="_Toc28359005"/>
      <w:r/>
      <w:bookmarkStart w:id="20" w:name="_Toc35393793"/>
      <w:r/>
      <w:bookmarkStart w:id="21" w:name="_Toc28359082"/>
      <w:r/>
      <w:bookmarkStart w:id="22"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50"/>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时间：2026年9月23日8点30分（北京时间）</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650"/>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23" w:name="_Toc28359007"/>
      <w:r/>
      <w:bookmarkStart w:id="24" w:name="_Toc38985267"/>
      <w:r/>
      <w:bookmarkStart w:id="25" w:name="_Toc35393625"/>
      <w:r/>
      <w:bookmarkStart w:id="26" w:name="_Toc28359084"/>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650"/>
        <w:ind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50"/>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50"/>
        <w:ind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jc w:val="both"/>
        <w:pageBreakBefore w:val="0"/>
        <w:spacing w:line="48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left="0"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ind w:left="0" w:firstLine="480"/>
        <w:jc w:val="both"/>
        <w:keepLines w:val="0"/>
        <w:keepNext w:val="0"/>
        <w:pageBreakBefore w:val="0"/>
        <w:spacing w:line="48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jc w:val="both"/>
        <w:keepLines w:val="0"/>
        <w:keepNext w:val="0"/>
        <w:pageBreakBefore w:val="0"/>
        <w:spacing w:line="480" w:lineRule="exact"/>
        <w:widowControl/>
        <w:rPr>
          <w:rFonts w:hint="eastAsia" w:ascii="宋体" w:hAnsi="宋体" w:eastAsia="宋体" w:cs="宋体"/>
          <w:b w:val="0"/>
          <w:bCs w:val="0"/>
          <w:i w:val="0"/>
          <w:iCs w:val="0"/>
          <w:caps w:val="0"/>
          <w:color w:val="auto"/>
          <w:spacing w:val="0"/>
          <w:sz w:val="24"/>
          <w:szCs w:val="24"/>
          <w:highlight w:val="none"/>
          <w:u w:val="none"/>
          <w:shd w:val="clear" w:color="auto" w:fill="ffffff"/>
        </w:rP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bookmarkStart w:id="32" w:name="_Toc28359009"/>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1.采购人信息</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名    称：东台市环境卫生管理处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地    址：东台市东亭中路68号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联系方式：朱先生 18962092680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2.采购代理机构信息（如有）</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名    称：东台市兴华招标代理有限公司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地　　址：东台市东达翰林缘12-104号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联系方式：刘先生 0515-85251218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3.项目联系方式</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项目联系人：刘先生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ffffff"/>
          <w:lang w:val="en-US" w:eastAsia="zh-CN" w:bidi="ar-SA"/>
        </w:rPr>
        <w:suppressLineNumbers w:val="0"/>
      </w:pPr>
      <w:r>
        <w:rPr>
          <w:rFonts w:hint="eastAsia" w:ascii="宋体" w:hAnsi="宋体" w:eastAsia="宋体" w:cs="宋体"/>
          <w:color w:val="auto"/>
          <w:sz w:val="24"/>
          <w:szCs w:val="24"/>
          <w:highlight w:val="none"/>
          <w:shd w:val="clear" w:color="auto" w:fill="ffffff"/>
          <w:lang w:val="en-US" w:eastAsia="zh-CN" w:bidi="ar-SA"/>
        </w:rPr>
        <w:t xml:space="preserve">电　 　 话：13921850520 </w:t>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pStyle w:val="641"/>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p>
      <w:pPr>
        <w:pStyle w:val="650"/>
        <w:ind w:right="840"/>
        <w:jc w:val="both"/>
        <w:spacing w:beforeAutospacing="0" w:afterAutospacing="0"/>
        <w:rPr>
          <w:color w:val="auto"/>
          <w:highlight w:val="none"/>
        </w:rPr>
      </w:pPr>
      <w:r>
        <w:rPr>
          <w:rFonts w:hint="eastAsia" w:ascii="宋体" w:hAnsi="宋体" w:eastAsia="宋体" w:cs="宋体"/>
          <w:color w:val="auto"/>
          <w:sz w:val="24"/>
          <w:szCs w:val="24"/>
          <w:highlight w:val="none"/>
        </w:rPr>
        <w:t xml:space="preserve"> </w:t>
      </w:r>
      <w:r/>
    </w:p>
    <w:p>
      <w:pPr>
        <w:pStyle w:val="650"/>
        <w:jc w:val="center"/>
        <w:keepLines/>
        <w:keepNext/>
        <w:pageBreakBefore w:val="0"/>
        <w:spacing w:beforeAutospacing="0" w:afterAutospacing="0" w:line="416" w:lineRule="auto"/>
        <w:widowControl w:val="off"/>
        <w:rPr>
          <w:color w:val="auto"/>
          <w:highlight w:val="none"/>
        </w:rPr>
        <w:outlineLvl w:val="0"/>
      </w:pPr>
      <w:r/>
      <w:bookmarkStart w:id="33" w:name="_Toc120614211"/>
      <w:r/>
      <w:bookmarkStart w:id="34" w:name="_Toc26954"/>
      <w:r>
        <w:rPr>
          <w:rFonts w:hint="eastAsia" w:ascii="黑体" w:hAnsi="宋体" w:eastAsia="黑体" w:cs="黑体"/>
          <w:b/>
          <w:color w:val="auto"/>
          <w:sz w:val="44"/>
          <w:szCs w:val="44"/>
          <w:highlight w:val="none"/>
        </w:rPr>
        <w:t xml:space="preserve">第二章 </w:t>
      </w:r>
      <w:bookmarkEnd w:id="33"/>
      <w:r/>
      <w:bookmarkStart w:id="35" w:name="_Toc120614213"/>
      <w:r/>
      <w:bookmarkStart w:id="36" w:name="_Toc20823274"/>
      <w:r/>
      <w:bookmarkStart w:id="37" w:name="_Toc513029202"/>
      <w:r/>
      <w:bookmarkStart w:id="38" w:name="_Toc16938518"/>
      <w:r>
        <w:rPr>
          <w:rFonts w:hint="eastAsia" w:ascii="黑体" w:hAnsi="宋体" w:eastAsia="黑体" w:cs="黑体"/>
          <w:b/>
          <w:color w:val="auto"/>
          <w:sz w:val="44"/>
          <w:szCs w:val="44"/>
          <w:highlight w:val="none"/>
        </w:rPr>
        <w:t xml:space="preserve">投标人须知</w:t>
      </w:r>
      <w:bookmarkEnd w:id="34"/>
      <w:r/>
      <w:bookmarkEnd w:id="35"/>
      <w:r/>
      <w:bookmarkEnd w:id="36"/>
      <w:r/>
      <w:bookmarkEnd w:id="37"/>
      <w:r/>
      <w:bookmarkEnd w:id="38"/>
      <w:r/>
      <w:r/>
    </w:p>
    <w:p>
      <w:pPr>
        <w:pStyle w:val="65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39" w:name="_Toc20823275"/>
      <w:r/>
      <w:bookmarkStart w:id="40" w:name="_Toc16938519"/>
      <w:r/>
      <w:bookmarkStart w:id="41" w:name="_Toc120614214"/>
      <w:r/>
      <w:bookmarkStart w:id="42" w:name="_Toc513029203"/>
      <w:r/>
      <w:bookmarkStart w:id="43" w:name="_Hlt26954731"/>
      <w:r/>
      <w:bookmarkStart w:id="44" w:name="_Hlt26954846"/>
      <w:r/>
      <w:bookmarkStart w:id="45" w:name="_Toc513029226"/>
      <w:r/>
      <w:bookmarkStart w:id="46" w:name="_Hlt26954842"/>
      <w:r/>
      <w:bookmarkStart w:id="47" w:name="_Hlt26670489"/>
      <w:r/>
      <w:bookmarkStart w:id="48" w:name="_Hlt26670482"/>
      <w:r/>
      <w:bookmarkStart w:id="49" w:name="_Hlt26668975"/>
      <w:r/>
      <w:bookmarkStart w:id="50" w:name="_Hlt26954848"/>
      <w:r/>
      <w:bookmarkStart w:id="51" w:name="_Hlt16619475"/>
      <w:r/>
      <w:bookmarkStart w:id="52" w:name="_Hlt26670360"/>
      <w:r/>
      <w:bookmarkStart w:id="53" w:name="_Hlt26954844"/>
      <w:r/>
      <w:bookmarkStart w:id="54" w:name="_Hlt26954840"/>
      <w:r/>
      <w:bookmarkStart w:id="55" w:name="_Hlt26670486"/>
      <w:r/>
      <w:bookmarkStart w:id="56" w:name="_Hlt26670403"/>
      <w:r/>
      <w:bookmarkStart w:id="57" w:name="_Hlt26954850"/>
      <w:r/>
      <w:bookmarkStart w:id="58" w:name="_Hlt26670399"/>
      <w:r/>
      <w:bookmarkStart w:id="59" w:name="_Hlt26670373"/>
      <w:r/>
      <w:bookmarkStart w:id="60" w:name="_Hlt26954852"/>
      <w:r/>
      <w:bookmarkStart w:id="61" w:name="_Hlt26668983"/>
      <w:r/>
      <w:bookmarkStart w:id="62" w:name="_Hlt26954739"/>
      <w:r/>
      <w:bookmarkStart w:id="63" w:name="_Hlt26954734"/>
      <w:r/>
      <w:bookmarkStart w:id="64" w:name="_Hlt26670425"/>
      <w:r/>
      <w:bookmarkStart w:id="65" w:name="_Hlt26954838"/>
      <w:r>
        <w:rPr>
          <w:rFonts w:hint="eastAsia" w:ascii="宋体" w:hAnsi="宋体" w:eastAsia="宋体" w:cs="宋体"/>
          <w:b/>
          <w:color w:val="auto"/>
          <w:sz w:val="24"/>
          <w:szCs w:val="24"/>
          <w:highlight w:val="none"/>
        </w:rPr>
        <w:t xml:space="preserve">一、总则</w:t>
      </w:r>
      <w:bookmarkEnd w:id="39"/>
      <w:r/>
      <w:bookmarkEnd w:id="40"/>
      <w:r/>
      <w:bookmarkEnd w:id="41"/>
      <w:r/>
      <w:bookmarkEnd w:id="42"/>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6" w:name="_Toc16938520"/>
      <w:r/>
      <w:bookmarkStart w:id="67" w:name="_Toc513029204"/>
      <w:r/>
      <w:bookmarkStart w:id="68" w:name="_Toc458694821"/>
      <w:r/>
      <w:bookmarkStart w:id="69" w:name="_Toc20823276"/>
      <w:r>
        <w:rPr>
          <w:rFonts w:hint="eastAsia" w:ascii="宋体" w:hAnsi="宋体" w:eastAsia="宋体" w:cs="宋体"/>
          <w:color w:val="auto"/>
          <w:sz w:val="24"/>
          <w:szCs w:val="24"/>
          <w:highlight w:val="none"/>
          <w:lang w:eastAsia="zh-CN"/>
        </w:rPr>
        <w:t xml:space="preserve">1.</w:t>
      </w:r>
      <w:bookmarkEnd w:id="66"/>
      <w:r>
        <w:rPr>
          <w:rFonts w:hint="eastAsia" w:ascii="宋体" w:hAnsi="宋体" w:eastAsia="宋体" w:cs="宋体"/>
          <w:color w:val="auto"/>
          <w:sz w:val="24"/>
          <w:szCs w:val="24"/>
          <w:highlight w:val="none"/>
        </w:rPr>
        <w:t xml:space="preserve">招标方式</w:t>
      </w:r>
      <w:bookmarkEnd w:id="67"/>
      <w:r/>
      <w:bookmarkEnd w:id="68"/>
      <w:r/>
      <w:bookmarkEnd w:id="69"/>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bookmarkStart w:id="70" w:name="_Toc16938521"/>
      <w:r/>
      <w:bookmarkStart w:id="71" w:name="_Toc20823277"/>
      <w:r/>
      <w:bookmarkStart w:id="72" w:name="_Toc513029205"/>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70"/>
      <w:r/>
      <w:bookmarkEnd w:id="71"/>
      <w:r/>
      <w:bookmarkEnd w:id="72"/>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规定。</w:t>
      </w:r>
      <w:bookmarkStart w:id="73" w:name="_Toc20823278"/>
      <w:r/>
      <w:bookmarkStart w:id="74" w:name="_Toc16938522"/>
      <w:r/>
      <w:bookmarkStart w:id="75" w:name="_Toc513029206"/>
      <w:r/>
      <w:bookmarkStart w:id="76" w:name="_Toc16938523"/>
      <w:r/>
      <w:bookmarkStart w:id="77" w:name="_Toc20823279"/>
      <w:r/>
      <w:bookmarkStart w:id="78" w:name="_Toc462564067"/>
      <w:r/>
      <w:bookmarkStart w:id="79" w:name="_Toc513029207"/>
      <w:r/>
      <w:r/>
    </w:p>
    <w:p>
      <w:pPr>
        <w:pStyle w:val="650"/>
        <w:ind w:left="0" w:firstLine="480"/>
        <w:jc w:val="both"/>
        <w:keepLines/>
        <w:keepNext/>
        <w:pageBreakBefore w:val="0"/>
        <w:spacing w:beforeAutospacing="0" w:afterAutospacing="0" w:line="480" w:lineRule="exact"/>
        <w:widowControl w:val="off"/>
        <w:rPr>
          <w:rFonts w:hint="eastAsia" w:ascii="方正魏碑_GBK" w:hAnsi="方正魏碑_GBK" w:eastAsia="方正魏碑_GBK" w:cs="方正魏碑_GBK"/>
          <w:color w:val="auto"/>
          <w:sz w:val="24"/>
          <w:szCs w:val="21"/>
          <w:highlight w:val="none"/>
        </w:rPr>
      </w:pPr>
      <w:r>
        <w:rPr>
          <w:rFonts w:hint="eastAsia" w:ascii="方正魏碑_GBK" w:hAnsi="方正魏碑_GBK" w:eastAsia="方正魏碑_GBK" w:cs="方正魏碑_GBK"/>
          <w:color w:val="auto"/>
          <w:sz w:val="24"/>
          <w:szCs w:val="21"/>
          <w:highlight w:val="none"/>
          <w:lang w:eastAsia="zh-CN"/>
        </w:rPr>
        <w:t xml:space="preserve">3.</w:t>
      </w:r>
      <w:r>
        <w:rPr>
          <w:rFonts w:hint="eastAsia" w:ascii="方正魏碑_GBK" w:hAnsi="方正魏碑_GBK" w:eastAsia="方正魏碑_GBK" w:cs="方正魏碑_GBK"/>
          <w:color w:val="auto"/>
          <w:sz w:val="24"/>
          <w:szCs w:val="21"/>
          <w:highlight w:val="none"/>
        </w:rPr>
        <w:t xml:space="preserve">适用法律</w:t>
      </w:r>
      <w:bookmarkEnd w:id="73"/>
      <w:r/>
      <w:bookmarkEnd w:id="74"/>
      <w:r/>
      <w:bookmarkEnd w:id="75"/>
      <w:r>
        <w:rPr>
          <w:rFonts w:hint="eastAsia" w:ascii="方正魏碑_GBK" w:hAnsi="方正魏碑_GBK" w:eastAsia="方正魏碑_GBK" w:cs="方正魏碑_GBK"/>
          <w:color w:val="auto"/>
          <w:sz w:val="24"/>
          <w:szCs w:val="21"/>
          <w:highlight w:val="none"/>
        </w:rPr>
        <w:t xml:space="preserve">和标准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3.2在本项目政府采购活动过程中，如果所执行的标准有更新的，按照最新标准执行。</w:t>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76"/>
      <w:r/>
      <w:bookmarkEnd w:id="77"/>
      <w:r/>
      <w:bookmarkEnd w:id="78"/>
      <w:r/>
      <w:bookmarkEnd w:id="79"/>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4.1投标人应自行承担所有与参加投标有关的费用，无论投标过程中的做法和结果如何，采购人在任何情况下均无义务和责任承担这些费用。</w:t>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采购人及代理机构不收取标书工本费与中标服务费。</w:t>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5.</w:t>
      </w:r>
      <w:r>
        <w:rPr>
          <w:rFonts w:hint="eastAsia" w:ascii="宋体" w:hAnsi="宋体" w:eastAsia="宋体" w:cs="宋体"/>
          <w:b w:val="0"/>
          <w:bCs/>
          <w:color w:val="auto"/>
          <w:sz w:val="24"/>
          <w:szCs w:val="24"/>
          <w:highlight w:val="none"/>
        </w:rPr>
        <w:t xml:space="preserve">招标文件的约束力</w:t>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5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0" w:name="_Toc20823281"/>
      <w:r/>
      <w:bookmarkStart w:id="81" w:name="_Toc16938525"/>
      <w:r/>
      <w:bookmarkStart w:id="82" w:name="_Toc120614215"/>
      <w:r/>
      <w:bookmarkStart w:id="83" w:name="_Toc513029209"/>
      <w:r>
        <w:rPr>
          <w:rFonts w:hint="eastAsia" w:ascii="宋体" w:hAnsi="宋体" w:eastAsia="宋体" w:cs="宋体"/>
          <w:b/>
          <w:color w:val="auto"/>
          <w:sz w:val="24"/>
          <w:szCs w:val="24"/>
          <w:highlight w:val="none"/>
        </w:rPr>
        <w:t xml:space="preserve">二、招标文件</w:t>
      </w:r>
      <w:bookmarkEnd w:id="80"/>
      <w:r/>
      <w:bookmarkEnd w:id="81"/>
      <w:r/>
      <w:bookmarkEnd w:id="82"/>
      <w:r/>
      <w:bookmarkEnd w:id="83"/>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16938526"/>
      <w:r/>
      <w:bookmarkStart w:id="85" w:name="_Toc20823282"/>
      <w:r/>
      <w:bookmarkStart w:id="86" w:name="_Toc513029210"/>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84"/>
      <w:r/>
      <w:bookmarkEnd w:id="85"/>
      <w:r/>
      <w:bookmarkEnd w:id="86"/>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请仔细检查招标文件是否齐全，如有缺漏请立即与采购人或代理机构联系解决。</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87" w:name="_Toc20823283"/>
      <w:r/>
      <w:bookmarkStart w:id="88" w:name="_Toc16938527"/>
      <w:r/>
      <w:bookmarkStart w:id="89" w:name="_Toc513029211"/>
      <w:r/>
      <w:bookmarkStart w:id="90" w:name="_Toc462564070"/>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87"/>
      <w:r/>
      <w:bookmarkEnd w:id="88"/>
      <w:r/>
      <w:bookmarkEnd w:id="89"/>
      <w:r/>
      <w:bookmarkEnd w:id="90"/>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bookmarkStart w:id="91" w:name="_Toc513029212"/>
      <w:r/>
      <w:bookmarkStart w:id="92" w:name="_Toc20823284"/>
      <w:r/>
      <w:bookmarkStart w:id="93" w:name="_Toc462564071"/>
      <w:r/>
      <w:bookmarkStart w:id="94" w:name="_Toc16938528"/>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91"/>
      <w:r/>
      <w:bookmarkEnd w:id="92"/>
      <w:r/>
      <w:bookmarkEnd w:id="93"/>
      <w:r/>
      <w:bookmarkEnd w:id="94"/>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前，采购人可以对招标文件进行修改。</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8.2采购人有权按照法定的要求推迟投标截止日期和开标日期。</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5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5" w:name="_Toc16938529"/>
      <w:r/>
      <w:bookmarkStart w:id="96" w:name="_Toc513029213"/>
      <w:r/>
      <w:bookmarkStart w:id="97" w:name="_Toc20823285"/>
      <w:r/>
      <w:bookmarkStart w:id="98" w:name="_Toc462564072"/>
      <w:r/>
      <w:bookmarkStart w:id="99" w:name="_Toc120614216"/>
      <w:r>
        <w:rPr>
          <w:rFonts w:hint="eastAsia" w:ascii="宋体" w:hAnsi="宋体" w:eastAsia="宋体" w:cs="宋体"/>
          <w:b/>
          <w:color w:val="auto"/>
          <w:sz w:val="24"/>
          <w:szCs w:val="24"/>
          <w:highlight w:val="none"/>
        </w:rPr>
        <w:t xml:space="preserve">三、投标文件的编制</w:t>
      </w:r>
      <w:bookmarkEnd w:id="95"/>
      <w:r/>
      <w:bookmarkEnd w:id="96"/>
      <w:r/>
      <w:bookmarkEnd w:id="97"/>
      <w:r/>
      <w:bookmarkEnd w:id="98"/>
      <w:r/>
      <w:bookmarkEnd w:id="99"/>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0" w:name="_Toc16938530"/>
      <w:r/>
      <w:bookmarkStart w:id="101" w:name="_Toc462564073"/>
      <w:r/>
      <w:bookmarkStart w:id="102" w:name="_Toc513029214"/>
      <w:r/>
      <w:bookmarkStart w:id="103" w:name="_Toc20823286"/>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100"/>
      <w:r/>
      <w:bookmarkEnd w:id="101"/>
      <w:r/>
      <w:bookmarkEnd w:id="102"/>
      <w:r/>
      <w:bookmarkEnd w:id="103"/>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9.1投标人提交的投标文件以及投标人与采购人就有关投标的所有来往通知、函件和文件均应使用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bookmarkStart w:id="104" w:name="_Toc513029215"/>
      <w:r/>
      <w:bookmarkStart w:id="105" w:name="_Toc16938531"/>
      <w:r/>
      <w:bookmarkStart w:id="106" w:name="_Toc20823287"/>
      <w:r/>
      <w:bookmarkStart w:id="107" w:name="_Toc462564074"/>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104"/>
      <w:r/>
      <w:bookmarkEnd w:id="105"/>
      <w:r/>
      <w:bookmarkEnd w:id="106"/>
      <w:r/>
      <w:bookmarkEnd w:id="107"/>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bookmarkStart w:id="108" w:name="_Toc14577357"/>
      <w:r/>
      <w:bookmarkStart w:id="109" w:name="_Toc513029219"/>
      <w:r/>
      <w:bookmarkStart w:id="110" w:name="_Toc513029216"/>
      <w:r/>
      <w:bookmarkStart w:id="111" w:name="_Toc14577354"/>
      <w:r/>
      <w:bookmarkStart w:id="112" w:name="_Toc49090509"/>
      <w:r/>
      <w:bookmarkStart w:id="113" w:name="_Toc49090507"/>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108"/>
      <w:r/>
      <w:bookmarkEnd w:id="109"/>
      <w:r/>
      <w:bookmarkEnd w:id="110"/>
      <w:r/>
      <w:bookmarkEnd w:id="111"/>
      <w:r/>
      <w:bookmarkEnd w:id="112"/>
      <w:r/>
      <w:bookmarkEnd w:id="113"/>
      <w:r/>
      <w:bookmarkStart w:id="114" w:name="_Toc14577355"/>
      <w:r/>
      <w:bookmarkStart w:id="115" w:name="_Toc49090508"/>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bookmarkEnd w:id="114"/>
      <w:r/>
      <w:bookmarkEnd w:id="115"/>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投标分项报价表</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bookmarkStart w:id="116" w:name="_Toc49090510"/>
      <w:r/>
      <w:bookmarkStart w:id="117" w:name="_Toc14577359"/>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16"/>
      <w:r/>
      <w:bookmarkEnd w:id="117"/>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50"/>
        <w:ind w:left="0" w:firstLine="480"/>
        <w:jc w:val="both"/>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bookmarkStart w:id="118" w:name="_Toc49090511"/>
      <w:r/>
      <w:bookmarkStart w:id="119" w:name="_Toc14577360"/>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18"/>
      <w:r/>
      <w:bookmarkEnd w:id="119"/>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15.1投标有效期为采购人规定的开标之日后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bookmarkStart w:id="120" w:name="_Toc16938540"/>
      <w:r/>
      <w:bookmarkStart w:id="121" w:name="_Toc20823296"/>
      <w:r/>
      <w:bookmarkStart w:id="122" w:name="_Toc120614217"/>
      <w:r/>
      <w:bookmarkStart w:id="123" w:name="_Toc513029224"/>
      <w:r/>
      <w:r/>
    </w:p>
    <w:p>
      <w:pPr>
        <w:pStyle w:val="650"/>
        <w:ind w:left="0" w:firstLine="482"/>
        <w:jc w:val="both"/>
        <w:keepLines/>
        <w:keepNext/>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四、投标文件的递交</w:t>
      </w:r>
      <w:bookmarkEnd w:id="120"/>
      <w:r/>
      <w:bookmarkEnd w:id="121"/>
      <w:r/>
      <w:bookmarkEnd w:id="122"/>
      <w:r/>
      <w:bookmarkEnd w:id="123"/>
      <w:r/>
      <w:bookmarkStart w:id="124" w:name="_Toc462564084"/>
      <w:r/>
      <w:bookmarkStart w:id="125" w:name="_Toc513029225"/>
      <w:r/>
      <w:bookmarkStart w:id="126" w:name="_Toc20823297"/>
      <w:r/>
      <w:bookmarkStart w:id="127" w:name="_Toc16938541"/>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650"/>
        <w:ind w:left="0" w:firstLine="480"/>
        <w:jc w:val="both"/>
        <w:pageBreakBefore w:val="0"/>
        <w:spacing w:beforeAutospacing="0" w:afterAutospacing="0" w:line="480" w:lineRule="exact"/>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18.2采购人可以按照规定，通过修改招标文件酌情延长投标截止时间，在此情况下，投标人的所有权利和义务以及投标人受制的截止时间均应以延长后新的截止时间为准。</w:t>
      </w:r>
      <w:bookmarkStart w:id="130" w:name="_Toc20823299"/>
      <w:r/>
      <w:bookmarkStart w:id="131" w:name="_Toc16938543"/>
      <w:r/>
      <w:bookmarkStart w:id="132" w:name="_Toc513029227"/>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30"/>
      <w:r/>
      <w:bookmarkEnd w:id="131"/>
      <w:r/>
      <w:bookmarkEnd w:id="132"/>
      <w:r>
        <w:rPr>
          <w:rFonts w:hint="eastAsia" w:ascii="宋体" w:hAnsi="宋体" w:eastAsia="宋体" w:cs="宋体"/>
          <w:color w:val="auto"/>
          <w:sz w:val="24"/>
          <w:szCs w:val="24"/>
          <w:highlight w:val="none"/>
        </w:rPr>
        <w:t xml:space="preserve">的拒收</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19.1采购人拒绝接收在其规定的投标截止时间后上传的任何投标文件。</w:t>
      </w:r>
      <w:bookmarkStart w:id="133" w:name="_Toc16938544"/>
      <w:r/>
      <w:bookmarkStart w:id="134" w:name="_Toc513029228"/>
      <w:r/>
      <w:bookmarkStart w:id="135" w:name="_Toc20823300"/>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3"/>
      <w:r/>
      <w:bookmarkEnd w:id="134"/>
      <w:r/>
      <w:bookmarkEnd w:id="135"/>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5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6" w:name="_Toc513029229"/>
      <w:r/>
      <w:bookmarkStart w:id="137" w:name="_Toc120614218"/>
      <w:r/>
      <w:bookmarkStart w:id="138" w:name="_Toc20823301"/>
      <w:r/>
      <w:bookmarkStart w:id="139" w:name="_Toc16938545"/>
      <w:r>
        <w:rPr>
          <w:rFonts w:hint="eastAsia" w:ascii="宋体" w:hAnsi="宋体" w:eastAsia="宋体" w:cs="宋体"/>
          <w:b/>
          <w:color w:val="auto"/>
          <w:sz w:val="24"/>
          <w:szCs w:val="24"/>
          <w:highlight w:val="none"/>
        </w:rPr>
        <w:t xml:space="preserve">五、开标与评标</w:t>
      </w:r>
      <w:bookmarkEnd w:id="136"/>
      <w:r/>
      <w:bookmarkEnd w:id="137"/>
      <w:r/>
      <w:bookmarkEnd w:id="138"/>
      <w:r/>
      <w:bookmarkEnd w:id="139"/>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0" w:name="_Toc513029230"/>
      <w:r/>
      <w:bookmarkStart w:id="141" w:name="_Toc20823302"/>
      <w:r/>
      <w:bookmarkStart w:id="142" w:name="_Toc16938546"/>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40"/>
      <w:r/>
      <w:bookmarkEnd w:id="141"/>
      <w:r/>
      <w:bookmarkEnd w:id="142"/>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21.1采购人将在招标公告中规定的时间和地点组织公开开标。投标人应当按照《操作手册》规定，参加开标活动和在苏采云系统规定的时间内对投标文件进行解密。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21.2开标仪式由采购人或代理机构组织。苏采云系统将自动对项目进行开标，并宣布各投标人名称和投标价格。</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的投标文件解密、开标结果确认等工作，应按照《操作手册》规定执行。</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bookmarkStart w:id="143" w:name="_Toc16938547"/>
      <w:r/>
      <w:bookmarkStart w:id="144" w:name="_Toc513029231"/>
      <w:r/>
      <w:bookmarkStart w:id="145" w:name="_Toc20823303"/>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3"/>
      <w:r/>
      <w:bookmarkEnd w:id="144"/>
      <w:r/>
      <w:bookmarkEnd w:id="145"/>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23.1凡是与审查、澄清、评价和比较投标的有关资料以及授标建议等，采购人、评委、代理机构均不得向投标人或与评标无关的其他人员透露。</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23.3采购人、代理机构和评标委员会不向未中标的投标人解释未中标原因，也不公布评标过程中的相关细节。</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bookmarkStart w:id="146" w:name="_Toc20823304"/>
      <w:r/>
      <w:bookmarkStart w:id="147" w:name="_Toc513029232"/>
      <w:r/>
      <w:bookmarkStart w:id="148" w:name="_Toc16938548"/>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46"/>
      <w:r/>
      <w:bookmarkEnd w:id="147"/>
      <w:r/>
      <w:bookmarkEnd w:id="148"/>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bookmarkStart w:id="149" w:name="_Toc20823305"/>
      <w:r/>
      <w:bookmarkStart w:id="150" w:name="_Toc16938549"/>
      <w:r/>
      <w:bookmarkStart w:id="151" w:name="_Toc513029233"/>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49"/>
      <w:r/>
      <w:bookmarkEnd w:id="150"/>
      <w:r/>
      <w:bookmarkEnd w:id="151"/>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评委会将对确定为实质性响应的投标进行进一步审核，确定其是否有计算上或累加上的算术错误，修正错误的原则如下：</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bookmarkStart w:id="152" w:name="_Toc20823306"/>
      <w:r/>
      <w:bookmarkStart w:id="153" w:name="_Toc16938550"/>
      <w:r/>
      <w:bookmarkStart w:id="154" w:name="_Toc513029234"/>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，及时登录苏采云系统查阅、答复相关信息，并安排专人与采购人及评标委员会联系。</w:t>
      </w:r>
      <w:bookmarkEnd w:id="152"/>
      <w:r/>
      <w:bookmarkEnd w:id="153"/>
      <w:r/>
      <w:bookmarkEnd w:id="154"/>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5" w:name="_Toc513029235"/>
      <w:r/>
      <w:bookmarkStart w:id="156" w:name="_Toc20823307"/>
      <w:r/>
      <w:bookmarkStart w:id="157" w:name="_Toc16938551"/>
      <w:r>
        <w:rPr>
          <w:rFonts w:hint="eastAsia" w:ascii="宋体" w:hAnsi="宋体" w:eastAsia="宋体" w:cs="宋体"/>
          <w:color w:val="auto"/>
          <w:sz w:val="24"/>
          <w:szCs w:val="24"/>
          <w:highlight w:val="none"/>
        </w:rPr>
        <w:t xml:space="preserve">26.1无效投标条款</w:t>
      </w:r>
      <w:bookmarkEnd w:id="155"/>
      <w:r/>
      <w:bookmarkEnd w:id="156"/>
      <w:r/>
      <w:bookmarkEnd w:id="157"/>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0"/>
        <w:ind w:left="0" w:firstLine="482"/>
        <w:jc w:val="both"/>
        <w:keepLines/>
        <w:keepNext/>
        <w:pageBreakBefore w:val="0"/>
        <w:spacing w:beforeAutospacing="0" w:afterAutospacing="0" w:line="480" w:lineRule="exact"/>
        <w:widowControl w:val="off"/>
        <w:rPr>
          <w:rFonts w:hint="eastAsia" w:ascii="宋体" w:hAnsi="宋体" w:eastAsia="宋体" w:cs="宋体"/>
          <w:b/>
          <w:color w:val="auto"/>
          <w:sz w:val="24"/>
          <w:szCs w:val="24"/>
          <w:highlight w:val="none"/>
        </w:rPr>
      </w:pPr>
      <w:r/>
      <w:bookmarkStart w:id="158" w:name="_Toc120614219"/>
      <w:r>
        <w:rPr>
          <w:rFonts w:hint="eastAsia" w:ascii="宋体" w:hAnsi="宋体" w:eastAsia="宋体" w:cs="宋体"/>
          <w:b/>
          <w:color w:val="auto"/>
          <w:sz w:val="24"/>
          <w:szCs w:val="24"/>
          <w:highlight w:val="none"/>
        </w:rPr>
        <w:t xml:space="preserve">六、定标</w:t>
      </w:r>
      <w:bookmarkEnd w:id="158"/>
      <w:r/>
      <w:r/>
    </w:p>
    <w:p>
      <w:pPr>
        <w:pStyle w:val="65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9" w:name="_Toc20823310"/>
      <w:r/>
      <w:bookmarkStart w:id="160" w:name="_Toc513029238"/>
      <w:r/>
      <w:bookmarkStart w:id="161" w:name="_Toc16938554"/>
      <w:r>
        <w:rPr>
          <w:rFonts w:hint="eastAsia" w:ascii="宋体" w:hAnsi="宋体" w:eastAsia="宋体" w:cs="宋体"/>
          <w:color w:val="auto"/>
          <w:sz w:val="24"/>
          <w:szCs w:val="24"/>
          <w:highlight w:val="none"/>
          <w:lang w:eastAsia="zh-CN"/>
        </w:rPr>
        <w:t xml:space="preserve">27.</w:t>
      </w:r>
      <w:bookmarkEnd w:id="159"/>
      <w:r>
        <w:rPr>
          <w:rFonts w:hint="eastAsia" w:ascii="宋体" w:hAnsi="宋体" w:eastAsia="宋体" w:cs="宋体"/>
          <w:color w:val="auto"/>
          <w:sz w:val="24"/>
          <w:szCs w:val="24"/>
          <w:highlight w:val="none"/>
        </w:rPr>
        <w:t xml:space="preserve">确定</w:t>
      </w:r>
      <w:bookmarkEnd w:id="160"/>
      <w:r/>
      <w:bookmarkEnd w:id="161"/>
      <w:r>
        <w:rPr>
          <w:rFonts w:hint="eastAsia" w:ascii="宋体" w:hAnsi="宋体" w:eastAsia="宋体" w:cs="宋体"/>
          <w:color w:val="auto"/>
          <w:sz w:val="24"/>
          <w:szCs w:val="24"/>
          <w:highlight w:val="none"/>
        </w:rPr>
        <w:t xml:space="preserve">中标单位</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出现下列情况之一的，一经查实，将被取消中标资格：</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2" w:name="_Toc200451960"/>
      <w:r>
        <w:rPr>
          <w:rFonts w:hint="eastAsia" w:ascii="宋体" w:hAnsi="宋体" w:eastAsia="宋体" w:cs="宋体"/>
          <w:color w:val="auto"/>
          <w:sz w:val="24"/>
          <w:szCs w:val="24"/>
          <w:highlight w:val="none"/>
        </w:rPr>
        <w:t xml:space="preserve">27.5有下列情形之一的，视为投标人串通投标，投标无效：</w:t>
      </w:r>
      <w:bookmarkEnd w:id="162"/>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28.1提出质疑的供应商应当是参与所质疑项目采购活动的供应商。潜在供应商依法获取其可质疑的招标文件的，可以对招标文件提出质疑。</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采购人只接收以纸质原件形式送达的质疑，采购人不接受未填写快递运单的快件</w:t>
      </w:r>
      <w:r>
        <w:rPr>
          <w:rFonts w:hint="eastAsia" w:ascii="宋体" w:hAnsi="宋体" w:eastAsia="宋体" w:cs="宋体"/>
          <w:color w:val="auto"/>
          <w:sz w:val="24"/>
          <w:szCs w:val="24"/>
          <w:highlight w:val="none"/>
          <w:lang w:val="en-US" w:eastAsia="zh-CN" w:bidi="ar-SA"/>
        </w:rPr>
        <w:t xml:space="preserve">。</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bidi="ar-SA"/>
        </w:rPr>
        <w:t xml:space="preserve">质疑受理部门：</w:t>
      </w:r>
      <w:r>
        <w:rPr>
          <w:rFonts w:hint="eastAsia" w:ascii="宋体" w:hAnsi="宋体" w:eastAsia="宋体" w:cs="宋体"/>
          <w:color w:val="auto"/>
          <w:sz w:val="24"/>
          <w:szCs w:val="24"/>
          <w:highlight w:val="none"/>
          <w:lang w:eastAsia="zh-CN" w:bidi="ar-SA"/>
        </w:rPr>
        <w:t xml:space="preserve">东台市民政局</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bidi="ar-SA"/>
        </w:rPr>
        <w:t xml:space="preserve">联系地址：东台市</w:t>
      </w:r>
      <w:r>
        <w:rPr>
          <w:rFonts w:hint="eastAsia" w:ascii="宋体" w:hAnsi="宋体" w:eastAsia="宋体" w:cs="宋体"/>
          <w:color w:val="auto"/>
          <w:sz w:val="24"/>
          <w:szCs w:val="24"/>
          <w:highlight w:val="none"/>
          <w:lang w:val="en-US" w:eastAsia="zh-CN" w:bidi="ar-SA"/>
        </w:rPr>
        <w:t xml:space="preserve">新民南路</w:t>
      </w:r>
      <w:r>
        <w:rPr>
          <w:rFonts w:hint="eastAsia" w:ascii="宋体" w:hAnsi="宋体" w:eastAsia="宋体" w:cs="宋体"/>
          <w:color w:val="auto"/>
          <w:sz w:val="24"/>
          <w:szCs w:val="24"/>
          <w:highlight w:val="none"/>
          <w:lang w:bidi="ar-SA"/>
        </w:rPr>
        <w:t xml:space="preserve">9号</w:t>
      </w:r>
      <w:r/>
    </w:p>
    <w:p>
      <w:pPr>
        <w:pStyle w:val="650"/>
        <w:ind w:lef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SA"/>
        </w:rPr>
        <w:t xml:space="preserve">联系电话：</w:t>
      </w:r>
      <w:r>
        <w:rPr>
          <w:rFonts w:hint="eastAsia" w:ascii="宋体" w:hAnsi="宋体" w:eastAsia="宋体" w:cs="宋体"/>
          <w:color w:val="auto"/>
          <w:sz w:val="24"/>
          <w:szCs w:val="24"/>
          <w:highlight w:val="none"/>
          <w:lang w:val="en-US" w:eastAsia="zh-CN" w:bidi="ar-SA"/>
        </w:rPr>
        <w:t xml:space="preserve">丁女士</w:t>
      </w:r>
      <w:r>
        <w:rPr>
          <w:rFonts w:hint="default"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val="en-US" w:eastAsia="zh-CN" w:bidi="ar-SA"/>
        </w:rPr>
        <w:t xml:space="preserve">15951864063</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发出中标通知书。请</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自行承担。</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均具有法律效力。中标通知书发出后，采购人改变中标结果的，或者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放弃中标项目的，应当依法承担法律责任。</w:t>
      </w:r>
      <w:bookmarkStart w:id="163" w:name="_Toc20823308"/>
      <w:r/>
      <w:bookmarkStart w:id="164" w:name="_Toc16938552"/>
      <w:r/>
      <w:bookmarkStart w:id="165" w:name="_Toc513029236"/>
      <w:r/>
      <w:bookmarkStart w:id="166" w:name="_Toc120614220"/>
      <w:r/>
      <w:r/>
    </w:p>
    <w:p>
      <w:pPr>
        <w:pStyle w:val="650"/>
        <w:ind w:left="0" w:firstLine="482"/>
        <w:jc w:val="both"/>
        <w:keepLines/>
        <w:keepNext/>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bookmarkEnd w:id="163"/>
      <w:r/>
      <w:bookmarkEnd w:id="164"/>
      <w:r/>
      <w:bookmarkEnd w:id="165"/>
      <w:r/>
      <w:bookmarkEnd w:id="166"/>
      <w:r/>
      <w:bookmarkStart w:id="167" w:name="_Toc16938553"/>
      <w:r/>
      <w:bookmarkStart w:id="168" w:name="_Toc20823309"/>
      <w:r/>
      <w:bookmarkStart w:id="169" w:name="_Toc513029237"/>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30.签订合同</w:t>
      </w:r>
      <w:bookmarkEnd w:id="167"/>
      <w:r/>
      <w:bookmarkEnd w:id="168"/>
      <w:r/>
      <w:bookmarkEnd w:id="169"/>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应当在中标通知书发出之日起三十日内，按照招标文件确定的事项与采购人签订政府采购合同。</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的投标文件及招标过程中有关澄清、承诺文件均应作为合同附件。</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lang w:eastAsia="zh-CN"/>
        </w:rPr>
        <w:t xml:space="preserve">中标单位</w:t>
      </w:r>
      <w:r>
        <w:rPr>
          <w:rFonts w:hint="eastAsia" w:ascii="宋体" w:hAnsi="宋体" w:eastAsia="宋体" w:cs="宋体"/>
          <w:i/>
          <w:color w:val="auto"/>
          <w:sz w:val="24"/>
          <w:szCs w:val="24"/>
          <w:highlight w:val="none"/>
          <w:u w:val="single"/>
        </w:rPr>
        <w:t xml:space="preserve">不得将合同标的进行转包</w:t>
      </w:r>
      <w:r>
        <w:rPr>
          <w:rFonts w:hint="eastAsia" w:ascii="宋体" w:hAnsi="宋体" w:eastAsia="宋体" w:cs="宋体"/>
          <w:color w:val="auto"/>
          <w:sz w:val="24"/>
          <w:szCs w:val="24"/>
          <w:highlight w:val="none"/>
        </w:rPr>
        <w:t xml:space="preserve">。未经采购人同意，</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也不得采用分包的形式履行合同，否则采购人有权终止合同。转包或分包造成采购人损失的，</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应承担相应赔偿责任。</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协商签订补充合同，但所有补充合同的采购金额不超过原合同金额10%。</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lang w:val="en-US" w:eastAsia="zh-CN"/>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32.3.6.1安置的残疾人占本单位在职职工人数的比例不低于25%（含25%），并且安置的残疾人人数不少于10人（含10人）；</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w:t>
      </w:r>
      <w:r/>
    </w:p>
    <w:p>
      <w:pPr>
        <w:pStyle w:val="65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bookmarkStart w:id="200" w:name="_GoBack"/>
      <w:r>
        <w:rPr>
          <w:rFonts w:hint="eastAsia" w:ascii="宋体" w:hAnsi="宋体" w:eastAsia="宋体" w:cs="宋体"/>
          <w:color w:val="auto"/>
          <w:sz w:val="24"/>
          <w:szCs w:val="24"/>
          <w:highlight w:val="none"/>
          <w:lang w:val="en-US" w:eastAsia="zh-CN" w:bidi="ar-SA"/>
        </w:rPr>
        <w:t xml:space="preserve">32.8履约保证金政策</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如以履约保函（保险）形式缴纳履约保证金，供应商可通过政府采购电子履约保函（保险）平台（www.jsdzbh.com）在线申请履约保函（保险）</w:t>
      </w:r>
      <w:bookmarkEnd w:id="200"/>
      <w:r>
        <w:rPr>
          <w:rFonts w:hint="eastAsia" w:ascii="宋体" w:hAnsi="宋体" w:eastAsia="宋体" w:cs="宋体"/>
          <w:color w:val="auto"/>
          <w:sz w:val="24"/>
          <w:szCs w:val="24"/>
          <w:highlight w:val="none"/>
          <w:lang w:val="en-US" w:eastAsia="zh-CN"/>
        </w:rPr>
        <w:t xml:space="preserve">。</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highlight w:val="none"/>
          <w:u w:val="single"/>
          <w:lang w:val="en-US" w:eastAsia="zh-CN"/>
        </w:rPr>
        <w:t xml:space="preserve"> 是 </w:t>
      </w:r>
      <w:r>
        <w:rPr>
          <w:rFonts w:hint="eastAsia" w:ascii="宋体" w:hAnsi="宋体" w:eastAsia="宋体" w:cs="宋体"/>
          <w:color w:val="auto"/>
          <w:sz w:val="24"/>
          <w:szCs w:val="24"/>
          <w:highlight w:val="none"/>
          <w:lang w:val="en-US" w:eastAsia="zh-CN"/>
        </w:rPr>
        <w:t xml:space="preserve">免收 ，降低履约保证金缴纳比例100%。</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合同金额的30%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numPr>
          <w:ilvl w:val="0"/>
          <w:numId w:val="0"/>
        </w:numPr>
        <w:ind w:left="0"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34.招标代理服务费</w:t>
      </w:r>
      <w:r/>
    </w:p>
    <w:p>
      <w:pPr>
        <w:numPr>
          <w:ilvl w:val="0"/>
          <w:numId w:val="0"/>
        </w:numPr>
        <w:ind w:left="0" w:firstLine="480"/>
        <w:pageBreakBefore w:val="0"/>
        <w:spacing w:line="48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本项目招标代理服务费由招标人支付。</w:t>
      </w:r>
      <w:r>
        <w:rPr>
          <w:rFonts w:hint="eastAsia" w:ascii="宋体" w:hAnsi="宋体" w:cs="宋体"/>
          <w:color w:val="auto"/>
          <w:sz w:val="24"/>
          <w:szCs w:val="24"/>
          <w:highlight w:val="none"/>
          <w:lang w:val="en-US" w:eastAsia="zh-CN"/>
        </w:rPr>
        <w:t xml:space="preserve">支付标准：按苏招协〔2022〕2号标准×21.55%收取。</w:t>
      </w:r>
      <w:r/>
    </w:p>
    <w:p>
      <w:pPr>
        <w:pStyle w:val="650"/>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0"/>
        <w:jc w:val="center"/>
        <w:keepLines/>
        <w:keepNext/>
        <w:pageBreakBefore w:val="0"/>
        <w:spacing w:beforeAutospacing="0" w:afterAutospacing="0" w:line="416" w:lineRule="auto"/>
        <w:widowControl w:val="off"/>
        <w:rPr>
          <w:rFonts w:hint="eastAsia" w:ascii="黑体" w:hAnsi="宋体" w:eastAsia="黑体" w:cs="黑体"/>
          <w:b/>
          <w:color w:val="auto"/>
          <w:sz w:val="44"/>
          <w:szCs w:val="44"/>
          <w:highlight w:val="none"/>
        </w:rPr>
        <w:outlineLvl w:val="0"/>
      </w:pPr>
      <w:r/>
      <w:bookmarkStart w:id="170" w:name="_Toc31035"/>
      <w:r>
        <w:rPr>
          <w:rFonts w:hint="eastAsia" w:ascii="黑体" w:hAnsi="宋体" w:eastAsia="黑体" w:cs="黑体"/>
          <w:b/>
          <w:color w:val="auto"/>
          <w:sz w:val="44"/>
          <w:szCs w:val="44"/>
          <w:highlight w:val="none"/>
        </w:rPr>
        <w:t xml:space="preserve">第三章 合同文本</w:t>
      </w:r>
      <w:bookmarkEnd w:id="170"/>
      <w:r/>
      <w:r/>
    </w:p>
    <w:p>
      <w:pPr>
        <w:pStyle w:val="65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71" w:name="_Toc513029243"/>
      <w:r/>
      <w:bookmarkStart w:id="172" w:name="_Toc20823315"/>
      <w:r/>
      <w:bookmarkStart w:id="173" w:name="_Toc1693855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不得提出实质性的修改。</w:t>
      </w:r>
      <w:bookmarkEnd w:id="171"/>
      <w:r/>
      <w:bookmarkEnd w:id="172"/>
      <w:r/>
      <w:bookmarkEnd w:id="173"/>
      <w:r/>
      <w:r/>
    </w:p>
    <w:p>
      <w:pPr>
        <w:pStyle w:val="650"/>
        <w:jc w:val="center"/>
        <w:keepLines w:val="0"/>
        <w:keepNext w:val="0"/>
        <w:pageBreakBefore w:val="0"/>
        <w:spacing w:before="145" w:beforeAutospacing="0" w:after="145" w:afterAutospacing="0" w:line="500" w:lineRule="exact"/>
        <w:widowControl w:val="off"/>
        <w:rPr>
          <w:color w:val="auto"/>
          <w:sz w:val="24"/>
          <w:szCs w:val="24"/>
          <w:highlight w:val="none"/>
        </w:rPr>
      </w:pPr>
      <w:r>
        <w:rPr>
          <w:color w:val="auto"/>
          <w:sz w:val="24"/>
          <w:szCs w:val="24"/>
          <w:highlight w:val="none"/>
        </w:rPr>
        <w:t xml:space="preserve"> </w:t>
      </w:r>
      <w:r/>
    </w:p>
    <w:p>
      <w:pPr>
        <w:pStyle w:val="650"/>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65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2026年东台市市区建筑装修垃圾处置项目</w:t>
      </w:r>
      <w:r/>
    </w:p>
    <w:p>
      <w:pPr>
        <w:pStyle w:val="650"/>
        <w:jc w:val="both"/>
        <w:keepLines w:val="0"/>
        <w:keepNext w:val="0"/>
        <w:pageBreakBefore w:val="0"/>
        <w:spacing w:beforeAutospacing="0" w:afterAutospacing="0" w:line="440" w:lineRule="exact"/>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pStyle w:val="650"/>
        <w:jc w:val="both"/>
        <w:keepLines w:val="0"/>
        <w:keepNext w:val="0"/>
        <w:pageBreakBefore w:val="0"/>
        <w:spacing w:beforeAutospacing="0" w:afterAutospacing="0" w:line="440" w:lineRule="exact"/>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p>
    <w:p>
      <w:pPr>
        <w:pStyle w:val="650"/>
        <w:jc w:val="both"/>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pStyle w:val="650"/>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0"/>
        <w:ind w:left="0" w:firstLine="480"/>
        <w:jc w:val="both"/>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2026年东台市市区建筑装修垃圾处置项目</w:t>
      </w:r>
      <w:r>
        <w:rPr>
          <w:rFonts w:hint="eastAsia" w:ascii="宋体" w:hAnsi="宋体" w:eastAsia="宋体" w:cs="宋体"/>
          <w:color w:val="auto"/>
          <w:sz w:val="24"/>
          <w:szCs w:val="24"/>
          <w:highlight w:val="none"/>
        </w:rPr>
        <w:t xml:space="preserve">公开招标的结果</w:t>
      </w:r>
      <w:r>
        <w:rPr>
          <w:rFonts w:ascii="宋体" w:hAnsi="宋体" w:eastAsia="宋体" w:cs="宋体"/>
          <w:color w:val="auto"/>
          <w:sz w:val="24"/>
          <w:szCs w:val="24"/>
          <w:highlight w:val="none"/>
          <w:lang w:val="en-US" w:eastAsia="zh-CN" w:bidi="ar"/>
        </w:rPr>
        <w:t xml:space="preserve">，本着平等自愿、公平诚信的原则，签订本合同，双方共同遵照执行。</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bookmarkStart w:id="174" w:name="_Toc479757211"/>
      <w:r/>
      <w:bookmarkStart w:id="175" w:name="_Toc20823346"/>
      <w:r/>
      <w:bookmarkStart w:id="176" w:name="_Toc462564139"/>
      <w:r/>
      <w:bookmarkStart w:id="177" w:name="_Toc120614244"/>
      <w:r/>
      <w:bookmarkStart w:id="178" w:name="_Hlt16619350"/>
      <w:r/>
      <w:bookmarkStart w:id="179" w:name="_Toc16938590"/>
      <w:r/>
      <w:bookmarkStart w:id="180" w:name="_Hlt16619369"/>
      <w:r>
        <w:rPr>
          <w:rFonts w:hint="eastAsia" w:ascii="宋体" w:hAnsi="宋体" w:eastAsia="宋体" w:cs="宋体"/>
          <w:b/>
          <w:color w:val="auto"/>
          <w:highlight w:val="none"/>
        </w:rPr>
        <w:t xml:space="preserve">一、合同内容</w:t>
      </w:r>
      <w:r/>
    </w:p>
    <w:p>
      <w:pPr>
        <w:pStyle w:val="650"/>
        <w:ind w:left="0" w:firstLine="480"/>
        <w:jc w:val="both"/>
        <w:keepLines w:val="0"/>
        <w:keepNext w:val="0"/>
        <w:pageBreakBefore w:val="0"/>
        <w:spacing w:beforeAutospacing="0" w:afterAutospacing="0" w:line="44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1.1 标的名称：</w:t>
      </w:r>
      <w:r>
        <w:rPr>
          <w:rFonts w:hint="eastAsia" w:ascii="宋体" w:hAnsi="宋体" w:eastAsia="宋体" w:cs="宋体"/>
          <w:color w:val="auto"/>
          <w:highlight w:val="none"/>
          <w:lang w:eastAsia="zh-CN"/>
        </w:rPr>
        <w:t xml:space="preserve">2026年东台市市区建筑装修垃圾处置项目</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sz w:val="24"/>
          <w:szCs w:val="24"/>
          <w:highlight w:val="none"/>
          <w:lang w:val="en-US" w:eastAsia="zh-CN" w:bidi="ar-SA"/>
        </w:rPr>
        <w:t xml:space="preserve">1.2 质量要求：合格，达到考核标准要求。</w:t>
      </w:r>
      <w:r/>
    </w:p>
    <w:p>
      <w:pPr>
        <w:pStyle w:val="650"/>
        <w:ind w:left="0" w:firstLine="480"/>
        <w:jc w:val="both"/>
        <w:keepLines w:val="0"/>
        <w:keepNext w:val="0"/>
        <w:pageBreakBefore w:val="0"/>
        <w:spacing w:beforeAutospacing="0" w:afterAutospacing="0" w:line="440" w:lineRule="exact"/>
        <w:widowControl w:val="off"/>
        <w:rPr>
          <w:rFonts w:eastAsia="宋体"/>
          <w:color w:val="auto"/>
          <w:highlight w:val="none"/>
        </w:rPr>
      </w:pPr>
      <w:r>
        <w:rPr>
          <w:rFonts w:hint="eastAsia" w:ascii="宋体" w:hAnsi="宋体" w:eastAsia="宋体" w:cs="宋体"/>
          <w:color w:val="auto"/>
          <w:highlight w:val="none"/>
        </w:rPr>
        <w:t xml:space="preserve">1.3 采购内容：详见招标文件</w:t>
      </w:r>
      <w:r/>
    </w:p>
    <w:p>
      <w:pPr>
        <w:pStyle w:val="650"/>
        <w:ind w:left="0" w:firstLine="480"/>
        <w:jc w:val="both"/>
        <w:keepLines w:val="0"/>
        <w:keepNext w:val="0"/>
        <w:pageBreakBefore w:val="0"/>
        <w:spacing w:beforeAutospacing="0" w:afterAutospacing="0" w:line="44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1.4 履行时间（期限）：</w:t>
      </w:r>
      <w:r>
        <w:rPr>
          <w:rFonts w:hint="eastAsia" w:ascii="宋体" w:hAnsi="宋体" w:eastAsia="宋体" w:cs="宋体"/>
          <w:color w:val="auto"/>
          <w:highlight w:val="none"/>
          <w:lang w:val="en-US" w:eastAsia="zh-CN"/>
        </w:rPr>
        <w:t xml:space="preserve">1年</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起止时间：202</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日至202</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日</w:t>
      </w:r>
      <w:r>
        <w:rPr>
          <w:rFonts w:hint="eastAsia" w:ascii="宋体" w:hAnsi="宋体" w:eastAsia="宋体" w:cs="宋体"/>
          <w:color w:val="auto"/>
          <w:highlight w:val="none"/>
          <w:lang w:eastAsia="zh-CN"/>
        </w:rPr>
        <w:t xml:space="preserve">）</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（如服务期满，甲方仍未确定承接后续服务的中标供应商，则合同延续至新的中标供应商确定为止，结算以后续中标单价按实结算）</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1.5 履行地点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东台市</w:t>
      </w:r>
      <w:r>
        <w:rPr>
          <w:rFonts w:hint="eastAsia" w:ascii="宋体" w:hAnsi="宋体" w:eastAsia="宋体" w:cs="宋体"/>
          <w:color w:val="auto"/>
          <w:highlight w:val="none"/>
          <w:lang w:eastAsia="zh-CN"/>
        </w:rPr>
        <w:t xml:space="preserve">。</w:t>
      </w:r>
      <w:r/>
    </w:p>
    <w:p>
      <w:pPr>
        <w:pStyle w:val="650"/>
        <w:ind w:firstLine="482"/>
        <w:jc w:val="both"/>
        <w:keepLines w:val="0"/>
        <w:keepNext w:val="0"/>
        <w:pageBreakBefore w:val="0"/>
        <w:spacing w:beforeAutospacing="0" w:afterAutospacing="0" w:line="440" w:lineRule="exact"/>
        <w:widowControl w:val="off"/>
        <w:rPr>
          <w:color w:val="auto"/>
          <w:highlight w:val="none"/>
        </w:rPr>
      </w:pPr>
      <w:r/>
      <w:bookmarkStart w:id="181" w:name="_Toc28983"/>
      <w:r>
        <w:rPr>
          <w:rFonts w:hint="eastAsia" w:ascii="宋体" w:hAnsi="宋体" w:eastAsia="宋体" w:cs="宋体"/>
          <w:b/>
          <w:color w:val="auto"/>
          <w:highlight w:val="none"/>
        </w:rPr>
        <w:t xml:space="preserve">二、合同金额</w:t>
      </w:r>
      <w:r/>
    </w:p>
    <w:p>
      <w:pPr>
        <w:pStyle w:val="650"/>
        <w:ind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2.1 本合同金额为（大写）：_________圆</w:t>
      </w:r>
      <w:r>
        <w:rPr>
          <w:rFonts w:hint="eastAsia" w:ascii="宋体" w:hAnsi="宋体" w:eastAsia="宋体" w:cs="宋体"/>
          <w:color w:val="auto"/>
          <w:highlight w:val="none"/>
          <w:lang w:val="en-US" w:eastAsia="zh-CN"/>
        </w:rPr>
        <w:t xml:space="preserve">/吨</w:t>
      </w:r>
      <w:r>
        <w:rPr>
          <w:rFonts w:hint="eastAsia" w:ascii="宋体" w:hAnsi="宋体" w:eastAsia="宋体" w:cs="宋体"/>
          <w:color w:val="auto"/>
          <w:highlight w:val="none"/>
        </w:rPr>
        <w:t xml:space="preserve">（__________元</w:t>
      </w:r>
      <w:r>
        <w:rPr>
          <w:rFonts w:hint="eastAsia" w:ascii="宋体" w:hAnsi="宋体" w:eastAsia="宋体" w:cs="宋体"/>
          <w:color w:val="auto"/>
          <w:highlight w:val="none"/>
          <w:lang w:val="en-US" w:eastAsia="zh-CN"/>
        </w:rPr>
        <w:t xml:space="preserve">/吨</w:t>
      </w:r>
      <w:r>
        <w:rPr>
          <w:rFonts w:hint="eastAsia" w:ascii="宋体" w:hAnsi="宋体" w:eastAsia="宋体" w:cs="宋体"/>
          <w:color w:val="auto"/>
          <w:highlight w:val="none"/>
        </w:rPr>
        <w:t xml:space="preserve">）人民币。</w:t>
      </w:r>
      <w:r/>
    </w:p>
    <w:p>
      <w:pPr>
        <w:pStyle w:val="650"/>
        <w:ind w:firstLine="480"/>
        <w:jc w:val="both"/>
        <w:keepLines w:val="0"/>
        <w:keepNext w:val="0"/>
        <w:pageBreakBefore w:val="0"/>
        <w:spacing w:beforeAutospacing="0" w:afterAutospacing="0" w:line="44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 本项目依据中标单价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实</w:t>
      </w:r>
      <w:r>
        <w:rPr>
          <w:rFonts w:hint="eastAsia" w:ascii="宋体" w:hAnsi="宋体" w:eastAsia="宋体" w:cs="宋体"/>
          <w:color w:val="auto"/>
          <w:sz w:val="24"/>
          <w:szCs w:val="24"/>
          <w:highlight w:val="none"/>
          <w:lang w:val="en-US" w:eastAsia="zh-CN"/>
        </w:rPr>
        <w:t xml:space="preserve">际处置量</w:t>
      </w:r>
      <w:r>
        <w:rPr>
          <w:rFonts w:hint="eastAsia" w:ascii="宋体" w:hAnsi="宋体" w:eastAsia="宋体" w:cs="宋体"/>
          <w:color w:val="auto"/>
          <w:sz w:val="24"/>
          <w:szCs w:val="24"/>
          <w:highlight w:val="none"/>
        </w:rPr>
        <w:t xml:space="preserve">结算，如实际结算</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金额超出预算</w:t>
      </w:r>
      <w:r>
        <w:rPr>
          <w:rFonts w:hint="eastAsia" w:ascii="宋体" w:hAnsi="宋体" w:eastAsia="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lang w:val="en-US" w:eastAsia="zh-CN"/>
        </w:rPr>
        <w:t xml:space="preserve">400万元</w:t>
      </w:r>
      <w:r>
        <w:rPr>
          <w:rFonts w:hint="eastAsia" w:ascii="宋体" w:hAnsi="宋体" w:eastAsia="宋体" w:cs="宋体"/>
          <w:color w:val="auto"/>
          <w:sz w:val="24"/>
          <w:szCs w:val="24"/>
          <w:highlight w:val="none"/>
        </w:rPr>
        <w:t xml:space="preserve">，中标单位须无条件免费处理装饰装修垃圾直至履约期满，招标人不再支付预算金额之外的任何费用。</w:t>
      </w:r>
      <w:r>
        <w:rPr>
          <w:rFonts w:hint="eastAsia" w:ascii="宋体" w:hAnsi="宋体" w:eastAsia="宋体" w:cs="宋体"/>
          <w:color w:val="auto"/>
          <w:highlight w:val="none"/>
          <w:lang w:val="en-US" w:eastAsia="zh-CN"/>
        </w:rPr>
        <w:t xml:space="preserve">。</w:t>
      </w:r>
      <w:r/>
    </w:p>
    <w:p>
      <w:pPr>
        <w:pStyle w:val="650"/>
        <w:ind w:firstLine="482"/>
        <w:jc w:val="both"/>
        <w:keepLines w:val="0"/>
        <w:keepNext w:val="0"/>
        <w:pageBreakBefore w:val="0"/>
        <w:spacing w:beforeAutospacing="0" w:afterAutospacing="0" w:line="440" w:lineRule="exact"/>
        <w:widowControl w:val="off"/>
        <w:rPr>
          <w:rFonts w:hint="default" w:eastAsia="宋体"/>
          <w:color w:val="auto"/>
          <w:highlight w:val="none"/>
          <w:lang w:val="en-US" w:eastAsia="zh-CN"/>
        </w:rPr>
      </w:pPr>
      <w:r>
        <w:rPr>
          <w:rFonts w:hint="eastAsia" w:ascii="宋体" w:hAnsi="宋体" w:eastAsia="宋体" w:cs="宋体"/>
          <w:b/>
          <w:color w:val="auto"/>
          <w:highlight w:val="none"/>
        </w:rPr>
        <w:t xml:space="preserve">三、</w:t>
      </w:r>
      <w:r>
        <w:rPr>
          <w:rFonts w:hint="eastAsia" w:ascii="宋体" w:hAnsi="宋体" w:eastAsia="宋体" w:cs="宋体"/>
          <w:b/>
          <w:color w:val="auto"/>
          <w:highlight w:val="none"/>
          <w:lang w:val="en-US" w:eastAsia="zh-CN"/>
        </w:rPr>
        <w:t xml:space="preserve">考核标准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 甲方</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的处置服务进行</w:t>
      </w:r>
      <w:r>
        <w:rPr>
          <w:rFonts w:hint="eastAsia" w:ascii="宋体" w:hAnsi="宋体" w:eastAsia="宋体" w:cs="宋体"/>
          <w:color w:val="auto"/>
          <w:sz w:val="24"/>
          <w:szCs w:val="24"/>
          <w:highlight w:val="none"/>
          <w:lang w:val="en-US" w:eastAsia="zh-CN"/>
        </w:rPr>
        <w:t xml:space="preserve">按季</w:t>
      </w:r>
      <w:r>
        <w:rPr>
          <w:rFonts w:hint="eastAsia" w:ascii="宋体" w:hAnsi="宋体" w:eastAsia="宋体" w:cs="宋体"/>
          <w:color w:val="auto"/>
          <w:sz w:val="24"/>
          <w:szCs w:val="24"/>
          <w:highlight w:val="none"/>
        </w:rPr>
        <w:t xml:space="preserve">考核。考核的内容包括计量、运行、污染控制、内部管理、对外服务、社会责任以及综合利用率等。考核为每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一次，考核以</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考核基金（50万元）作为计算基础，按照百分制进行。百分比构成如下：①计量管理，占10分；②运行管理，占35分；③污染控制，占10分；④内部管理，占5分；⑤对外服务，占10分；⑥社会责任，占5分；⑦综合利用率，占10分；⑧对整改意见的落实，占10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rPr>
        <w:t xml:space="preserve">考核得分在85分之上（含85分）为合格，不予处罚；考核得分在84分之下需进行整改，并相应处罚，处罚标准如下：80-84分的扣减</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度考核基金的10%，75-79分扣减</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度考核基金的15%，70-74分扣减</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度考核基金的20%，69分及以下的扣减</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度考核基金的30%，并终止合同。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运营关键绩效考核指标如下：</w:t>
      </w:r>
      <w:r/>
    </w:p>
    <w:tbl>
      <w:tblPr>
        <w:tblStyle w:val="640"/>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1134"/>
        <w:gridCol w:w="12"/>
        <w:gridCol w:w="5516"/>
      </w:tblGrid>
      <w:tr>
        <w:trPr>
          <w:jc w:val="center"/>
          <w:trHeight w:val="525"/>
          <w:tblHeader/>
        </w:trPr>
        <w:tc>
          <w:tcPr>
            <w:tcW w:w="70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3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113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c>
        <w:tc>
          <w:tcPr>
            <w:gridSpan w:val="2"/>
            <w:tcW w:w="552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r>
      <w:tr>
        <w:trPr>
          <w:jc w:val="center"/>
          <w:trHeight w:val="355"/>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计量管理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垃圾接纳2分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规范接纳拆建垃圾，不得混入生活垃圾、污泥、工业垃圾和危险废物。</w:t>
            </w:r>
            <w:r/>
          </w:p>
        </w:tc>
      </w:tr>
      <w:tr>
        <w:trPr>
          <w:jc w:val="center"/>
          <w:trHeight w:val="1336"/>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称重计量8分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1、垃圾运输车进出厂都必须称重计量，各项数据、信息应详细记录存档，并与监管方系统进行联网，确保称重数据传输正常。若数据传输出现故障，运营方应在60分钟内通知监管方，并立即进行修复处理。</w:t>
            </w:r>
            <w:r/>
          </w:p>
        </w:tc>
      </w:tr>
      <w:tr>
        <w:trPr>
          <w:jc w:val="center"/>
          <w:trHeight w:val="420"/>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2、运营方应保证计量系统的连续稳定和准确，地磅计量仪器出现故障，运营方应在60分钟内通知监管方，并立即进行修复处理，双方协商解决有关计量数据问题。</w:t>
            </w:r>
            <w:r/>
          </w:p>
        </w:tc>
      </w:tr>
      <w:tr>
        <w:trPr>
          <w:jc w:val="center"/>
          <w:trHeight w:val="417"/>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运行管理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35分</w:t>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运营保障15分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实际实际处理能力达到设计能力的 80-100%。</w:t>
            </w:r>
            <w:r/>
          </w:p>
        </w:tc>
      </w:tr>
      <w:tr>
        <w:trPr>
          <w:jc w:val="center"/>
          <w:trHeight w:val="388"/>
        </w:trPr>
        <w:tc>
          <w:tcPr>
            <w:tcW w:w="704"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设备处于良好运行状态，机械化、自动控制水平高。</w:t>
            </w:r>
            <w:r/>
          </w:p>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做好各类仪表设备的检查、保养、校验工作，仪表表面保持清洁、标识齐全清晰。</w:t>
            </w:r>
            <w:r/>
          </w:p>
        </w:tc>
      </w:tr>
      <w:tr>
        <w:trPr>
          <w:jc w:val="center"/>
          <w:trHeight w:val="689"/>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restart"/>
            <w:textDirection w:val="lrTb"/>
            <w:noWrap w:val="false"/>
          </w:tcPr>
          <w:p>
            <w:pPr>
              <w:ind w:left="3" w:hanging="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运行计划5分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运营</w:t>
            </w:r>
            <w:r>
              <w:rPr>
                <w:rFonts w:hint="eastAsia" w:ascii="宋体" w:hAnsi="宋体" w:eastAsia="宋体" w:cs="宋体"/>
                <w:color w:val="auto"/>
                <w:sz w:val="21"/>
                <w:szCs w:val="21"/>
                <w:highlight w:val="none"/>
              </w:rPr>
              <w:t xml:space="preserve">前将</w:t>
            </w:r>
            <w:r>
              <w:rPr>
                <w:rFonts w:hint="eastAsia" w:ascii="宋体" w:hAnsi="宋体" w:eastAsia="宋体" w:cs="宋体"/>
                <w:color w:val="auto"/>
                <w:sz w:val="21"/>
                <w:szCs w:val="21"/>
                <w:highlight w:val="none"/>
                <w:u w:val="single"/>
              </w:rPr>
              <w:t xml:space="preserve">生产计划</w:t>
            </w:r>
            <w:r>
              <w:rPr>
                <w:rFonts w:hint="eastAsia" w:ascii="宋体" w:hAnsi="宋体" w:eastAsia="宋体" w:cs="宋体"/>
                <w:color w:val="auto"/>
                <w:sz w:val="21"/>
                <w:szCs w:val="21"/>
                <w:highlight w:val="none"/>
              </w:rPr>
              <w:t xml:space="preserve">报送监管方，经认可后按计划实施。</w:t>
            </w:r>
            <w:r/>
          </w:p>
        </w:tc>
      </w:tr>
      <w:tr>
        <w:trPr>
          <w:jc w:val="center"/>
          <w:trHeight w:val="180"/>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2、保持设备运行的稳定性，主要运行设备停运需提前报监管方认可。</w:t>
            </w:r>
            <w:r/>
          </w:p>
        </w:tc>
      </w:tr>
      <w:tr>
        <w:trPr>
          <w:jc w:val="center"/>
          <w:trHeight w:val="421"/>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安全管理5分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1、厂内安全标识规范明晰，定期对消防设备进行检查。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2、按规定对作业人员落实劳动安全卫生防护措施。</w:t>
            </w:r>
            <w:r/>
          </w:p>
        </w:tc>
      </w:tr>
      <w:tr>
        <w:trPr>
          <w:jc w:val="center"/>
          <w:trHeight w:val="379"/>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应急管理10分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建立完善运行管理预案及计量、运行、设备故障、突发事件、恶劣天气等</w:t>
            </w:r>
            <w:r>
              <w:rPr>
                <w:rFonts w:hint="eastAsia" w:ascii="宋体" w:hAnsi="宋体" w:eastAsia="宋体" w:cs="宋体"/>
                <w:color w:val="auto"/>
                <w:sz w:val="21"/>
                <w:szCs w:val="21"/>
                <w:highlight w:val="none"/>
                <w:u w:val="single"/>
              </w:rPr>
              <w:t xml:space="preserve">专项预案</w:t>
            </w:r>
            <w:r>
              <w:rPr>
                <w:rFonts w:hint="eastAsia" w:ascii="宋体" w:hAnsi="宋体" w:eastAsia="宋体" w:cs="宋体"/>
                <w:color w:val="auto"/>
                <w:sz w:val="21"/>
                <w:szCs w:val="21"/>
                <w:highlight w:val="none"/>
              </w:rPr>
              <w:t xml:space="preserve">，安全设施、应急 物资配置齐全，遇到突发事件须2小时内报监管方，24小时内提交书面报告，同时采取有效处。</w:t>
            </w:r>
            <w:r/>
          </w:p>
        </w:tc>
      </w:tr>
      <w:tr>
        <w:trPr>
          <w:jc w:val="center"/>
          <w:trHeight w:val="480"/>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污染控制</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噪声控制3分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配置消除噪声系统等防治噪声措施，</w:t>
            </w:r>
            <w:r>
              <w:rPr>
                <w:rFonts w:hint="eastAsia" w:ascii="宋体" w:hAnsi="宋体" w:cs="宋体"/>
                <w:color w:val="auto"/>
                <w:sz w:val="21"/>
                <w:szCs w:val="21"/>
                <w:highlight w:val="none"/>
                <w:lang w:val="en-US" w:eastAsia="zh-CN"/>
              </w:rPr>
              <w:t xml:space="preserve">垃圾处置期</w:t>
            </w:r>
            <w:r>
              <w:rPr>
                <w:rFonts w:hint="eastAsia" w:ascii="宋体" w:hAnsi="宋体" w:eastAsia="宋体" w:cs="宋体"/>
                <w:color w:val="auto"/>
                <w:sz w:val="21"/>
                <w:szCs w:val="21"/>
                <w:highlight w:val="none"/>
              </w:rPr>
              <w:t xml:space="preserve">间应避开周边居民休息时间，有效减少厂界、设备 噪声。</w:t>
            </w:r>
            <w:r/>
          </w:p>
        </w:tc>
      </w:tr>
      <w:tr>
        <w:trPr>
          <w:jc w:val="center"/>
          <w:trHeight w:val="1076"/>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环境</w:t>
            </w:r>
            <w:r>
              <w:rPr>
                <w:rFonts w:hint="eastAsia" w:ascii="宋体" w:hAnsi="宋体" w:eastAsia="宋体" w:cs="宋体"/>
                <w:color w:val="auto"/>
                <w:sz w:val="21"/>
                <w:szCs w:val="21"/>
                <w:highlight w:val="none"/>
                <w:lang w:val="en-US" w:eastAsia="zh-CN"/>
              </w:rPr>
              <w:t xml:space="preserve">污染控制</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环境污染控制</w:t>
            </w:r>
            <w:r>
              <w:rPr>
                <w:rFonts w:hint="eastAsia" w:ascii="宋体" w:hAnsi="宋体" w:eastAsia="宋体" w:cs="宋体"/>
                <w:color w:val="auto"/>
                <w:sz w:val="21"/>
                <w:szCs w:val="21"/>
                <w:highlight w:val="none"/>
              </w:rPr>
              <w:t xml:space="preserve">符合国家和地方相关规范要求。</w:t>
            </w:r>
            <w:r>
              <w:rPr>
                <w:rFonts w:hint="eastAsia" w:ascii="宋体" w:hAnsi="宋体" w:cs="宋体"/>
                <w:color w:val="auto"/>
                <w:sz w:val="21"/>
                <w:szCs w:val="21"/>
                <w:highlight w:val="none"/>
                <w:lang w:val="en-US" w:eastAsia="zh-CN"/>
              </w:rPr>
              <w:t xml:space="preserve">如因工作需要进行环境污染项目检测，</w:t>
            </w:r>
            <w:r>
              <w:rPr>
                <w:rFonts w:hint="eastAsia" w:ascii="宋体" w:hAnsi="宋体" w:eastAsia="宋体" w:cs="宋体"/>
                <w:color w:val="auto"/>
                <w:sz w:val="21"/>
                <w:szCs w:val="21"/>
                <w:highlight w:val="none"/>
              </w:rPr>
              <w:t xml:space="preserve">检测结果以有资质的第三方检测为准，各项指标应符合相关标准。</w:t>
            </w:r>
            <w:r/>
          </w:p>
        </w:tc>
      </w:tr>
      <w:tr>
        <w:trPr>
          <w:jc w:val="center"/>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内部管理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制度建设</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建立健全规章制度、岗位职责、操作规程，运行 作业手册及设备操作维护保养手册规范齐全</w:t>
            </w:r>
            <w:r>
              <w:rPr>
                <w:rFonts w:hint="eastAsia" w:ascii="宋体" w:hAnsi="宋体" w:eastAsia="宋体" w:cs="宋体"/>
                <w:color w:val="auto"/>
                <w:sz w:val="21"/>
                <w:szCs w:val="21"/>
                <w:highlight w:val="none"/>
              </w:rPr>
              <w:t xml:space="preserve">。</w:t>
            </w:r>
            <w:r/>
          </w:p>
        </w:tc>
      </w:tr>
      <w:tr>
        <w:trPr>
          <w:jc w:val="center"/>
          <w:trHeight w:val="352"/>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2、具有完善的</w:t>
            </w:r>
            <w:r>
              <w:rPr>
                <w:rFonts w:hint="eastAsia" w:ascii="宋体" w:hAnsi="宋体" w:eastAsia="宋体" w:cs="宋体"/>
                <w:color w:val="auto"/>
                <w:sz w:val="21"/>
                <w:szCs w:val="21"/>
                <w:highlight w:val="none"/>
                <w:u w:val="single"/>
              </w:rPr>
              <w:t xml:space="preserve">培训制度</w:t>
            </w:r>
            <w:r>
              <w:rPr>
                <w:rFonts w:hint="eastAsia" w:ascii="宋体" w:hAnsi="宋体" w:eastAsia="宋体" w:cs="宋体"/>
                <w:color w:val="auto"/>
                <w:sz w:val="21"/>
                <w:szCs w:val="21"/>
                <w:highlight w:val="none"/>
              </w:rPr>
              <w:t xml:space="preserve">，操作人员100</w:t>
            </w:r>
            <w:r>
              <w:rPr>
                <w:rFonts w:hint="eastAsia" w:ascii="宋体" w:hAnsi="宋体" w:eastAsia="宋体" w:cs="宋体"/>
                <w:color w:val="auto"/>
                <w:sz w:val="21"/>
                <w:szCs w:val="21"/>
                <w:highlight w:val="none"/>
                <w:u w:val="single"/>
              </w:rPr>
              <w:t xml:space="preserve">%持证上岗</w:t>
            </w:r>
            <w:r>
              <w:rPr>
                <w:rFonts w:hint="eastAsia" w:ascii="宋体" w:hAnsi="宋体" w:eastAsia="宋体" w:cs="宋体"/>
                <w:color w:val="auto"/>
                <w:sz w:val="21"/>
                <w:szCs w:val="21"/>
                <w:highlight w:val="none"/>
              </w:rPr>
              <w:t xml:space="preserve">。</w:t>
            </w:r>
            <w:r/>
          </w:p>
        </w:tc>
      </w:tr>
      <w:tr>
        <w:trPr>
          <w:jc w:val="center"/>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资料管理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按照监管方要求及时上报计量、运行、设备故障、计划说明、环保耗材购买及使用、污染排放指标数据等各项运行台账，做到分类清晰、数据真实、记录完整、保管得当。</w:t>
            </w:r>
            <w:r/>
          </w:p>
        </w:tc>
      </w:tr>
      <w:tr>
        <w:trPr>
          <w:jc w:val="center"/>
          <w:trHeight w:val="458"/>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厂区环境</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厂区环境整洁，设施整洁完好、标识明晰。绿化维护到位。</w:t>
            </w:r>
            <w:r/>
          </w:p>
        </w:tc>
      </w:tr>
      <w:tr>
        <w:trPr>
          <w:jc w:val="center"/>
          <w:trHeight w:val="180"/>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信息报送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3、发生群众集访、事故故障等紧急、重大事项应在1个工作日内报送相关信息。</w:t>
            </w:r>
            <w:r/>
          </w:p>
        </w:tc>
      </w:tr>
      <w:tr>
        <w:trPr>
          <w:jc w:val="center"/>
          <w:trHeight w:val="576"/>
        </w:trPr>
        <w:tc>
          <w:tcPr>
            <w:tcW w:w="70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对外服务</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委托合同</w:t>
            </w:r>
            <w:r>
              <w:rPr>
                <w:rFonts w:hint="eastAsia" w:ascii="宋体" w:hAnsi="宋体" w:eastAsia="宋体" w:cs="宋体"/>
                <w:color w:val="auto"/>
                <w:sz w:val="21"/>
                <w:szCs w:val="21"/>
                <w:highlight w:val="none"/>
              </w:rPr>
              <w:t xml:space="preserve">3分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合同文本完整，约定清晰，风险分配合理。</w:t>
            </w:r>
            <w:r/>
          </w:p>
        </w:tc>
      </w:tr>
      <w:tr>
        <w:trPr>
          <w:jc w:val="center"/>
          <w:trHeight w:val="386"/>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规范服务7分</w:t>
            </w:r>
            <w:r/>
          </w:p>
        </w:tc>
        <w:tc>
          <w:tcPr>
            <w:gridSpan w:val="2"/>
            <w:tcW w:w="5528" w:type="dxa"/>
            <w:vAlign w:val="center"/>
            <w:textDirection w:val="lrTb"/>
            <w:noWrap w:val="false"/>
          </w:tcPr>
          <w:p>
            <w:pPr>
              <w:ind w:firstLine="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1、在一个工作日内对接。</w:t>
            </w:r>
            <w:r/>
          </w:p>
        </w:tc>
      </w:tr>
      <w:tr>
        <w:trPr>
          <w:jc w:val="center"/>
          <w:trHeight w:val="393"/>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ind w:firstLine="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2、用语文明，举止规范，亮牌服务。</w:t>
            </w:r>
            <w:r/>
          </w:p>
        </w:tc>
      </w:tr>
      <w:tr>
        <w:trPr>
          <w:jc w:val="center"/>
          <w:trHeight w:val="367"/>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社会责任</w:t>
            </w:r>
            <w:r/>
          </w:p>
          <w:p>
            <w:pPr>
              <w:pStyle w:val="6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公众参与</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ind w:firstLine="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1、积极开展环保宣传，主动接受公众参观。</w:t>
            </w:r>
            <w:r/>
          </w:p>
        </w:tc>
      </w:tr>
      <w:tr>
        <w:trPr>
          <w:jc w:val="center"/>
          <w:trHeight w:val="677"/>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ind w:firstLine="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2、妥善协调周边关系，积极处理各项投诉来访，杜绝有责投诉和媒体曝光。</w:t>
            </w:r>
            <w:r/>
          </w:p>
        </w:tc>
      </w:tr>
      <w:tr>
        <w:trPr>
          <w:jc w:val="center"/>
          <w:trHeight w:val="276"/>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3、自觉履行项目相关协议及各项补充协议，积极配合各级政府管理部门的监管。</w:t>
            </w:r>
            <w:r/>
          </w:p>
        </w:tc>
      </w:tr>
      <w:tr>
        <w:trPr>
          <w:jc w:val="center"/>
          <w:trHeight w:val="529"/>
        </w:trPr>
        <w:tc>
          <w:tcPr>
            <w:tcW w:w="70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w:t>
            </w:r>
            <w:r/>
          </w:p>
        </w:tc>
        <w:tc>
          <w:tcPr>
            <w:gridSpan w:val="3"/>
            <w:tcW w:w="228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资源化利用率</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551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建筑垃圾不低于90%，装修垃圾不低于70%</w:t>
            </w:r>
            <w:r/>
          </w:p>
        </w:tc>
      </w:tr>
      <w:tr>
        <w:trPr>
          <w:jc w:val="center"/>
          <w:trHeight w:val="529"/>
        </w:trPr>
        <w:tc>
          <w:tcPr>
            <w:tcW w:w="70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w:t>
            </w:r>
            <w:r/>
          </w:p>
        </w:tc>
        <w:tc>
          <w:tcPr>
            <w:gridSpan w:val="3"/>
            <w:tcW w:w="228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落实整改意见</w:t>
            </w:r>
            <w:r/>
          </w:p>
          <w:p>
            <w:pPr>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10分</w:t>
            </w:r>
            <w:r/>
          </w:p>
        </w:tc>
        <w:tc>
          <w:tcPr>
            <w:tcW w:w="551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接到监管方的整改意见应及时查找问题、分析原因，制定有力措施，及时落实整改意见。</w:t>
            </w:r>
            <w:r/>
          </w:p>
        </w:tc>
      </w:tr>
      <w:tr>
        <w:trPr>
          <w:jc w:val="center"/>
          <w:trHeight w:val="529"/>
        </w:trPr>
        <w:tc>
          <w:tcPr>
            <w:tcW w:w="70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r/>
          </w:p>
        </w:tc>
        <w:tc>
          <w:tcPr>
            <w:gridSpan w:val="3"/>
            <w:tcW w:w="2280" w:type="dxa"/>
            <w:vAlign w:val="center"/>
            <w:textDirection w:val="lrTb"/>
            <w:noWrap w:val="false"/>
          </w:tcPr>
          <w:p>
            <w:pPr>
              <w:jc w:val="center"/>
              <w:rPr>
                <w:rFonts w:hint="default" w:eastAsia="宋体"/>
                <w:lang w:val="en-US" w:eastAsia="zh-CN"/>
              </w:rPr>
            </w:pPr>
            <w:r>
              <w:rPr>
                <w:rFonts w:hint="eastAsia" w:ascii="宋体" w:hAnsi="宋体" w:eastAsia="宋体" w:cs="宋体"/>
                <w:b/>
                <w:color w:val="auto"/>
                <w:sz w:val="21"/>
                <w:szCs w:val="21"/>
                <w:highlight w:val="none"/>
              </w:rPr>
              <w:t xml:space="preserve">其它</w:t>
            </w:r>
            <w:r/>
          </w:p>
        </w:tc>
        <w:tc>
          <w:tcPr>
            <w:tcW w:w="5516" w:type="dxa"/>
            <w:vAlign w:val="center"/>
            <w:textDirection w:val="lrTb"/>
            <w:noWrap w:val="false"/>
          </w:tcPr>
          <w:p>
            <w:pPr>
              <w:pStyle w:val="660"/>
              <w:numPr>
                <w:ilvl w:val="0"/>
                <w:numId w:val="1"/>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发现运营方将收集的建筑垃圾不经无害化处理直接丢弃，造成二次环境污染的，监管方可直接取消合同。</w:t>
            </w:r>
            <w:r/>
          </w:p>
          <w:p>
            <w:pPr>
              <w:pStyle w:val="660"/>
              <w:numPr>
                <w:ilvl w:val="0"/>
                <w:numId w:val="1"/>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生产场所及设备未经过环保三同时验收的，监管方可直接取消合同。</w:t>
            </w:r>
            <w:r/>
          </w:p>
        </w:tc>
      </w:tr>
    </w:tbl>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rPr>
        <w:t xml:space="preserve">在项目服务期内，</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有权根据项目实施情况和相关法律、法规及规章制度的要求，对上述考核条款进行调整。</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四、知识产权</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乙方应保证甲方在使用、接受本合同标的或其任何一部分时不受第三方提出侵犯其专利权、版权、商标权和工业设计权等知识产权的起诉。一旦出现侵权，由乙方负全部责任。</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五、产权担保</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5.1 乙方保证所交付的合同标的的所有权完全属于乙方且无任何抵押、查封等产权瑕疵。</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六、履约保证金</w:t>
      </w:r>
      <w:r/>
    </w:p>
    <w:p>
      <w:pPr>
        <w:pStyle w:val="650"/>
        <w:ind w:left="0" w:firstLine="480"/>
        <w:jc w:val="both"/>
        <w:keepLines w:val="0"/>
        <w:keepNext w:val="0"/>
        <w:pageBreakBefore w:val="0"/>
        <w:spacing w:beforeAutospacing="0" w:afterAutospacing="0" w:line="44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6.1 乙方交纳人民币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20万元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作为本合同的履约保证金。</w:t>
      </w:r>
      <w:r/>
    </w:p>
    <w:p>
      <w:pPr>
        <w:pStyle w:val="650"/>
        <w:ind w:left="0" w:firstLine="480"/>
        <w:jc w:val="both"/>
        <w:keepLines w:val="0"/>
        <w:keepNext w:val="0"/>
        <w:pageBreakBefore w:val="0"/>
        <w:spacing w:beforeAutospacing="0" w:afterAutospacing="0" w:line="44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6.2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pStyle w:val="650"/>
        <w:ind w:left="0" w:firstLine="480"/>
        <w:jc w:val="both"/>
        <w:keepLines w:val="0"/>
        <w:keepNext w:val="0"/>
        <w:pageBreakBefore w:val="0"/>
        <w:spacing w:beforeAutospacing="0" w:afterAutospacing="0" w:line="44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6.3 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6.4合同履行结束后，甲方应及时退还交纳的履约保证金。</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6.5履约保证金的退还：</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6.5.1方式：无息退还至</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缴纳履约保证金的账户。如为保函，在到期时自行失效。</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6.5.2时间：验收合格且</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highlight w:val="none"/>
        </w:rPr>
        <w:t xml:space="preserve">收到发票后30日内。</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6.5.3条件：按合同要求全部履约完成并经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highlight w:val="none"/>
        </w:rPr>
        <w:t xml:space="preserve">验收合格，且</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highlight w:val="none"/>
        </w:rPr>
        <w:t xml:space="preserve">收到</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出具的发票。</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6.5.4不予退还情形：</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出现下列情形之一的，其履约保证金，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highlight w:val="none"/>
        </w:rPr>
        <w:t xml:space="preserve">将视情节决定不予退还或部分不予退还。</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无正当理由拒绝签订合同的，或者在签订合同时向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highlight w:val="none"/>
        </w:rPr>
        <w:t xml:space="preserve">提出附加条件或者更改合同实质性内容要求的；</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highlight w:val="none"/>
        </w:rPr>
        <w:t xml:space="preserve">订立的合同的；</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所供货物或服务不符合招标文件规定要求的；</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采取欺骗、弄虚作假方式投标的或与其它投标人串通投标的；</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将合同内容转包、违法分包的；</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故意捏造事实或伪造证明材料，进行虚假恶意投诉或反映的。</w:t>
      </w:r>
      <w:r/>
    </w:p>
    <w:p>
      <w:pPr>
        <w:ind w:left="0" w:firstLine="480"/>
        <w:keepLines w:val="0"/>
        <w:keepNext w:val="0"/>
        <w:pageBreakBefore w:val="0"/>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6.5.5逾期退还的违约责任：</w:t>
      </w:r>
      <w:r>
        <w:rPr>
          <w:rFonts w:hint="eastAsia" w:ascii="宋体" w:hAnsi="宋体" w:eastAsia="宋体" w:cs="宋体"/>
          <w:color w:val="auto"/>
          <w:sz w:val="24"/>
          <w:highlight w:val="none"/>
          <w:lang w:val="en-US" w:eastAsia="zh-CN"/>
        </w:rPr>
        <w:t xml:space="preserve">甲方逾期无故未退还履约保证金的，按全国银行间同业拆借中心公布的一年期贷款市场报价利率（LPR）上浮20%支付超期资金占用费，但因乙方自身原因导致无法及时退还的除外。</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七、合同转包或分包</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7.1乙方不得将合同标的转包给他人履行。</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7.2乙方不得将合同标的分包给他人履行。</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八、考核及付款方式</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8.1 </w:t>
      </w:r>
      <w:r>
        <w:rPr>
          <w:rFonts w:hint="eastAsia" w:ascii="宋体" w:hAnsi="宋体" w:eastAsia="宋体" w:cs="宋体"/>
          <w:color w:val="auto"/>
          <w:highlight w:val="none"/>
        </w:rPr>
        <w:t xml:space="preserve">考核方式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每季根据</w:t>
      </w:r>
      <w:r>
        <w:rPr>
          <w:rFonts w:hint="eastAsia" w:ascii="宋体" w:hAnsi="宋体" w:eastAsia="宋体" w:cs="宋体"/>
          <w:color w:val="auto"/>
          <w:highlight w:val="none"/>
          <w:lang w:val="en-US" w:eastAsia="zh-CN"/>
        </w:rPr>
        <w:t xml:space="preserve">甲方的</w:t>
      </w:r>
      <w:r>
        <w:rPr>
          <w:rFonts w:hint="eastAsia" w:ascii="宋体" w:hAnsi="宋体" w:eastAsia="宋体" w:cs="宋体"/>
          <w:color w:val="auto"/>
          <w:highlight w:val="none"/>
        </w:rPr>
        <w:t xml:space="preserve">考核办法进行考核，</w:t>
      </w:r>
      <w:r>
        <w:rPr>
          <w:rFonts w:hint="eastAsia" w:ascii="宋体" w:hAnsi="宋体" w:eastAsia="宋体" w:cs="宋体"/>
          <w:color w:val="auto"/>
          <w:highlight w:val="none"/>
          <w:lang w:val="en-US" w:eastAsia="zh-CN"/>
        </w:rPr>
        <w:t xml:space="preserve">根据考核结果进行当季费用结算</w:t>
      </w:r>
      <w:r>
        <w:rPr>
          <w:rFonts w:hint="eastAsia" w:ascii="宋体" w:hAnsi="宋体" w:eastAsia="宋体" w:cs="宋体"/>
          <w:color w:val="auto"/>
          <w:highlight w:val="none"/>
        </w:rPr>
        <w:t xml:space="preserve">。</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8.2 </w:t>
      </w:r>
      <w:r>
        <w:rPr>
          <w:rFonts w:hint="eastAsia" w:ascii="宋体" w:hAnsi="宋体" w:eastAsia="宋体" w:cs="宋体"/>
          <w:color w:val="auto"/>
          <w:highlight w:val="none"/>
        </w:rPr>
        <w:t xml:space="preserve">付款方式：</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8.2.1</w:t>
      </w:r>
      <w:r>
        <w:rPr>
          <w:rFonts w:hint="eastAsia" w:ascii="宋体" w:hAnsi="宋体" w:eastAsia="宋体" w:cs="宋体"/>
          <w:color w:val="auto"/>
          <w:highlight w:val="none"/>
        </w:rPr>
        <w:t xml:space="preserve">合同签订后支付</w:t>
      </w:r>
      <w:r>
        <w:rPr>
          <w:rFonts w:hint="eastAsia" w:ascii="宋体" w:hAnsi="宋体" w:eastAsia="宋体" w:cs="宋体"/>
          <w:color w:val="auto"/>
          <w:highlight w:val="none"/>
          <w:lang w:val="en-US" w:eastAsia="zh-CN"/>
        </w:rPr>
        <w:t xml:space="preserve">预算金额30%的</w:t>
      </w:r>
      <w:r>
        <w:rPr>
          <w:rFonts w:hint="eastAsia" w:ascii="宋体" w:hAnsi="宋体" w:eastAsia="宋体" w:cs="宋体"/>
          <w:color w:val="auto"/>
          <w:highlight w:val="none"/>
        </w:rPr>
        <w:t xml:space="preserve">预付款</w:t>
      </w:r>
      <w:r>
        <w:rPr>
          <w:rFonts w:hint="eastAsia" w:ascii="宋体" w:hAnsi="宋体" w:eastAsia="宋体" w:cs="宋体"/>
          <w:color w:val="auto"/>
          <w:highlight w:val="none"/>
          <w:lang w:eastAsia="zh-CN"/>
        </w:rPr>
        <w:t xml:space="preserve">；</w:t>
      </w:r>
      <w:r/>
    </w:p>
    <w:p>
      <w:pPr>
        <w:pStyle w:val="650"/>
        <w:ind w:left="0" w:firstLine="480"/>
        <w:jc w:val="both"/>
        <w:keepLines w:val="0"/>
        <w:keepNext w:val="0"/>
        <w:pageBreakBefore w:val="0"/>
        <w:spacing w:beforeAutospacing="0" w:afterAutospacing="0" w:line="44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8.2.2 </w:t>
      </w:r>
      <w:r>
        <w:rPr>
          <w:rFonts w:hint="eastAsia" w:ascii="宋体" w:hAnsi="宋体" w:eastAsia="宋体" w:cs="宋体"/>
          <w:color w:val="auto"/>
          <w:highlight w:val="none"/>
        </w:rPr>
        <w:t xml:space="preserve">经</w:t>
      </w:r>
      <w:r>
        <w:rPr>
          <w:rFonts w:hint="eastAsia" w:ascii="宋体" w:hAnsi="宋体" w:eastAsia="宋体" w:cs="宋体"/>
          <w:color w:val="auto"/>
          <w:highlight w:val="none"/>
          <w:lang w:val="en-US" w:eastAsia="zh-CN"/>
        </w:rPr>
        <w:t xml:space="preserve">甲方季度</w:t>
      </w:r>
      <w:r>
        <w:rPr>
          <w:rFonts w:hint="eastAsia" w:ascii="宋体" w:hAnsi="宋体" w:eastAsia="宋体" w:cs="宋体"/>
          <w:color w:val="auto"/>
          <w:highlight w:val="none"/>
        </w:rPr>
        <w:t xml:space="preserve">考核合格按季度支付，即下一季度第一个月支付上一季度应付运行服务费</w:t>
      </w:r>
      <w:r>
        <w:rPr>
          <w:rFonts w:hint="eastAsia" w:ascii="宋体" w:hAnsi="宋体" w:eastAsia="宋体" w:cs="宋体"/>
          <w:color w:val="auto"/>
          <w:highlight w:val="none"/>
          <w:lang w:eastAsia="zh-CN"/>
        </w:rPr>
        <w:t xml:space="preserve">，服务费根据实际发生处理量*中标单价*80%后按</w:t>
      </w:r>
      <w:r>
        <w:rPr>
          <w:rFonts w:hint="eastAsia" w:ascii="宋体" w:hAnsi="宋体" w:eastAsia="宋体" w:cs="宋体"/>
          <w:color w:val="auto"/>
          <w:highlight w:val="none"/>
          <w:lang w:val="en-US" w:eastAsia="zh-CN"/>
        </w:rPr>
        <w:t xml:space="preserve">季度</w:t>
      </w:r>
      <w:r>
        <w:rPr>
          <w:rFonts w:hint="eastAsia" w:ascii="宋体" w:hAnsi="宋体" w:eastAsia="宋体" w:cs="宋体"/>
          <w:color w:val="auto"/>
          <w:highlight w:val="none"/>
          <w:lang w:eastAsia="zh-CN"/>
        </w:rPr>
        <w:t xml:space="preserve">支付。</w:t>
      </w:r>
      <w:r>
        <w:rPr>
          <w:rFonts w:hint="eastAsia" w:ascii="宋体" w:hAnsi="宋体" w:eastAsia="宋体" w:cs="宋体"/>
          <w:color w:val="auto"/>
          <w:highlight w:val="none"/>
          <w:lang w:val="en-US" w:eastAsia="zh-CN"/>
        </w:rPr>
        <w:t xml:space="preserve">结算时优先扣除预付款部分款项。结算依据为垃圾运输、处置“三联单”（垃圾产生单位、乙方、行业主管部门）及季度考核资料。余款20%待一年服务期满后结清。</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8.2.3 </w:t>
      </w:r>
      <w:r>
        <w:rPr>
          <w:rFonts w:hint="eastAsia" w:ascii="宋体" w:hAnsi="宋体" w:eastAsia="宋体" w:cs="宋体"/>
          <w:color w:val="auto"/>
          <w:highlight w:val="none"/>
        </w:rPr>
        <w:t xml:space="preserve">如经上级部门检查不合格或被环保部门处罚，</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将对</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进行处罚，相关处罚费用直接从应付服务费中予以扣除。情况严重的，将取消乙方的中标资格，没收其履约保证金并将去不良行为予以公示。</w:t>
      </w:r>
      <w:r/>
    </w:p>
    <w:p>
      <w:pPr>
        <w:pStyle w:val="650"/>
        <w:ind w:left="0" w:firstLine="480"/>
        <w:jc w:val="both"/>
        <w:keepLines w:val="0"/>
        <w:keepNext w:val="0"/>
        <w:pageBreakBefore w:val="0"/>
        <w:spacing w:beforeAutospacing="0" w:afterAutospacing="0" w:line="440" w:lineRule="exact"/>
        <w:widowControl w:val="off"/>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8.2.4 </w:t>
      </w:r>
      <w:r>
        <w:rPr>
          <w:rFonts w:hint="eastAsia" w:ascii="宋体" w:hAnsi="宋体" w:eastAsia="宋体" w:cs="宋体"/>
          <w:color w:val="auto"/>
          <w:highlight w:val="none"/>
        </w:rPr>
        <w:t xml:space="preserve">以上付款均无银行利息，且乙方需提供相应金额的有效票据。</w:t>
      </w:r>
      <w:r/>
    </w:p>
    <w:p>
      <w:pPr>
        <w:pStyle w:val="650"/>
        <w:ind w:left="0" w:firstLine="480"/>
        <w:jc w:val="both"/>
        <w:keepLines w:val="0"/>
        <w:keepNext w:val="0"/>
        <w:pageBreakBefore w:val="0"/>
        <w:spacing w:beforeAutospacing="0" w:afterAutospacing="0" w:line="44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 在签订合同时，乙方明确表示无需预付款或者主动要求降低预付款比例的，甲方可不适用上述关于预付款的规定。</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2.6</w:t>
      </w:r>
      <w:r>
        <w:rPr>
          <w:rFonts w:hint="eastAsia" w:ascii="宋体" w:hAnsi="宋体" w:eastAsia="宋体" w:cs="宋体"/>
          <w:color w:val="auto"/>
          <w:highlight w:val="none"/>
        </w:rPr>
        <w:t xml:space="preserve"> 甲方原则上自收到发票后10个工作日内将资金支付到乙方账户。</w:t>
      </w:r>
      <w:r/>
    </w:p>
    <w:p>
      <w:pPr>
        <w:pStyle w:val="650"/>
        <w:ind w:left="0" w:firstLine="480"/>
        <w:jc w:val="both"/>
        <w:keepLines w:val="0"/>
        <w:keepNext w:val="0"/>
        <w:pageBreakBefore w:val="0"/>
        <w:spacing w:beforeAutospacing="0" w:afterAutospacing="0" w:line="44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8.2.7 如实际结算总金额超出预算安排金额400万元，乙方须无条件免费处理装饰装修垃圾直至履约期满，甲方不再支付预算金额之外的任何费用。</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九、税费</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十、项目验收</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10.1 </w:t>
      </w:r>
      <w:r>
        <w:rPr>
          <w:rFonts w:hint="eastAsia" w:ascii="宋体" w:hAnsi="宋体" w:eastAsia="宋体" w:cs="宋体"/>
          <w:color w:val="auto"/>
          <w:highlight w:val="none"/>
          <w:lang w:val="en-US" w:eastAsia="zh-CN"/>
        </w:rPr>
        <w:t xml:space="preserve">每季度甲方将根据甲方的考核办法对乙方进行考核</w:t>
      </w:r>
      <w:r>
        <w:rPr>
          <w:rFonts w:hint="eastAsia" w:ascii="宋体" w:hAnsi="宋体" w:eastAsia="宋体" w:cs="宋体"/>
          <w:color w:val="auto"/>
          <w:highlight w:val="none"/>
        </w:rPr>
        <w:t xml:space="preserve">。</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10.2 </w:t>
      </w:r>
      <w:r>
        <w:rPr>
          <w:rFonts w:hint="eastAsia" w:ascii="宋体" w:hAnsi="宋体" w:eastAsia="宋体" w:cs="宋体"/>
          <w:color w:val="auto"/>
          <w:highlight w:val="none"/>
          <w:lang w:val="en-US" w:eastAsia="zh-CN"/>
        </w:rPr>
        <w:t xml:space="preserve">考核后</w:t>
      </w:r>
      <w:r>
        <w:rPr>
          <w:rFonts w:hint="eastAsia" w:ascii="宋体" w:hAnsi="宋体" w:eastAsia="宋体" w:cs="宋体"/>
          <w:color w:val="auto"/>
          <w:highlight w:val="none"/>
        </w:rPr>
        <w:t xml:space="preserve">甲方根据采购合同的约定及时向乙方支付合同款项、退还履约保证金。</w:t>
      </w:r>
      <w:r>
        <w:rPr>
          <w:rFonts w:hint="eastAsia" w:ascii="宋体" w:hAnsi="宋体" w:eastAsia="宋体" w:cs="宋体"/>
          <w:color w:val="auto"/>
          <w:highlight w:val="none"/>
          <w:lang w:val="en-US" w:eastAsia="zh-CN"/>
        </w:rPr>
        <w:t xml:space="preserve">考核</w:t>
      </w:r>
      <w:r>
        <w:rPr>
          <w:rFonts w:hint="eastAsia" w:ascii="宋体" w:hAnsi="宋体" w:eastAsia="宋体" w:cs="宋体"/>
          <w:color w:val="auto"/>
          <w:highlight w:val="none"/>
        </w:rPr>
        <w:t xml:space="preserve">不合格的项目，甲方</w:t>
      </w:r>
      <w:r>
        <w:rPr>
          <w:rFonts w:hint="eastAsia" w:ascii="宋体" w:hAnsi="宋体" w:eastAsia="宋体" w:cs="宋体"/>
          <w:color w:val="auto"/>
          <w:highlight w:val="none"/>
          <w:lang w:val="en-US" w:eastAsia="zh-CN"/>
        </w:rPr>
        <w:t xml:space="preserve">依据合同相关条款</w:t>
      </w:r>
      <w:r>
        <w:rPr>
          <w:rFonts w:hint="eastAsia" w:ascii="宋体" w:hAnsi="宋体" w:eastAsia="宋体" w:cs="宋体"/>
          <w:color w:val="auto"/>
          <w:highlight w:val="none"/>
        </w:rPr>
        <w:t xml:space="preserve">及时处理。采购合同的履行、违约责任和解决争议的方式等适用《民法典》。乙方在履约过程中有政府采购法律法规规定的违法违规情形的,甲方将及时报告本级财政部门。</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十一、甲方权利义务</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11.1 </w:t>
      </w:r>
      <w:r>
        <w:rPr>
          <w:rFonts w:hint="eastAsia" w:ascii="宋体" w:hAnsi="宋体" w:eastAsia="宋体" w:cs="宋体"/>
          <w:color w:val="auto"/>
          <w:highlight w:val="none"/>
        </w:rPr>
        <w:t xml:space="preserve">依照相关的法律、法规，抓好管理工作，处理乙方日常发现的问题，协调各方面矛盾。</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11.2 </w:t>
      </w:r>
      <w:r>
        <w:rPr>
          <w:rFonts w:hint="eastAsia" w:ascii="宋体" w:hAnsi="宋体" w:eastAsia="宋体" w:cs="宋体"/>
          <w:color w:val="auto"/>
          <w:highlight w:val="none"/>
        </w:rPr>
        <w:t xml:space="preserve">考核人员根据考核细则定期对乙方进行业务指导、考核和安全检查。</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11.3 </w:t>
      </w:r>
      <w:r>
        <w:rPr>
          <w:rFonts w:hint="eastAsia" w:ascii="宋体" w:hAnsi="宋体" w:eastAsia="宋体" w:cs="宋体"/>
          <w:color w:val="auto"/>
          <w:highlight w:val="none"/>
        </w:rPr>
        <w:t xml:space="preserve">每季凭考核人员的考核通知单和税务发票兑现乙方服务经费。</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、乙方权利义务</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12.1 </w:t>
      </w:r>
      <w:r>
        <w:rPr>
          <w:rFonts w:hint="eastAsia" w:ascii="宋体" w:hAnsi="宋体" w:eastAsia="宋体" w:cs="宋体"/>
          <w:color w:val="auto"/>
          <w:highlight w:val="none"/>
        </w:rPr>
        <w:t xml:space="preserve">乙方必须依照合同的服务要求为甲方提供服务。</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12.2 </w:t>
      </w:r>
      <w:r>
        <w:rPr>
          <w:rFonts w:hint="eastAsia" w:ascii="宋体" w:hAnsi="宋体" w:eastAsia="宋体" w:cs="宋体"/>
          <w:color w:val="auto"/>
          <w:highlight w:val="none"/>
        </w:rPr>
        <w:t xml:space="preserve">乙方必须为其提供服务的人员提供安全保障义务，如在工作过程中发生意外情况，均由乙方承担相应的责任。</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12.3 </w:t>
      </w:r>
      <w:r>
        <w:rPr>
          <w:rFonts w:hint="eastAsia" w:ascii="宋体" w:hAnsi="宋体" w:eastAsia="宋体" w:cs="宋体"/>
          <w:color w:val="auto"/>
          <w:highlight w:val="none"/>
        </w:rPr>
        <w:t xml:space="preserve">在年度服务周期中，因特殊情况需要加班加点或工作突击，累计不得超过 10 天，在该期限范围内甲方不另行支付服务费用。</w:t>
      </w:r>
      <w:r/>
    </w:p>
    <w:p>
      <w:pPr>
        <w:pStyle w:val="650"/>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、违约责任</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13.1 乙方不得转包或分包，如发现转包或分包，甲方有权终止合同，乙方的履约保证金不予退还。</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13.2 乙方必须严格按国家、省、市现行法律、法规组织建筑垃圾处置服务，确保安全无事故，同时不得伤害他人，否则由此造成的安全事故由乙方承担一切后果，与甲方无涉。</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13.3 根据相关法律法规及文件要求做好环保工作，在项目服务过程中受到环保部门处罚或引起上访事件所造成的罚款、处罚及相关费用由乙方承担，有关环保责任（含民事、刑事责任）均由乙方承担。</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13.4 作业过程中必须确保安全，发生的一切问题与甲方无关，相关一切费用或民事、刑事责任均由乙方承担。</w:t>
      </w:r>
      <w:r/>
    </w:p>
    <w:p>
      <w:pPr>
        <w:pStyle w:val="650"/>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13.5 发生合同纠纷，由甲方所在地人民法院管辖。</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、不可抗力事件处理</w:t>
      </w:r>
      <w:r/>
    </w:p>
    <w:p>
      <w:pPr>
        <w:pStyle w:val="650"/>
        <w:ind w:left="0" w:firstLine="480"/>
        <w:jc w:val="both"/>
        <w:keepLines w:val="0"/>
        <w:keepNext w:val="0"/>
        <w:pageBreakBefore w:val="0"/>
        <w:spacing w:beforeAutospacing="0" w:afterAutospacing="0" w:line="44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 期相同。</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 不可抗力事件发生后，应立即通知对方，并寄送有关权威机构出具的证明。</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不可抗力事件延续120天以上，双方应通过友好协商，确定是否继续履行合同。</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五</w:t>
      </w:r>
      <w:r>
        <w:rPr>
          <w:rFonts w:hint="eastAsia" w:ascii="宋体" w:hAnsi="宋体" w:eastAsia="宋体" w:cs="宋体"/>
          <w:b/>
          <w:color w:val="auto"/>
          <w:highlight w:val="none"/>
        </w:rPr>
        <w:t xml:space="preserve">、解决争议的方法</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.1双方在签订、履行合同中所发生的一切争议，应通过友好协商解决。如协商不成，由甲方住所地人民法院管辖。</w:t>
      </w:r>
      <w:r/>
    </w:p>
    <w:p>
      <w:pPr>
        <w:pStyle w:val="650"/>
        <w:ind w:left="0" w:firstLine="482"/>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、合同生效及其它</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合同经双方法定代表人或授权委托代表人签字并加盖单位公章后生效。</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.2本合同未尽事宜，遵照《民法典》、《政府采购法》有关条文执行。</w:t>
      </w:r>
      <w:r/>
    </w:p>
    <w:p>
      <w:pPr>
        <w:pStyle w:val="650"/>
        <w:ind w:left="0"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本合同一式</w:t>
      </w:r>
      <w:r>
        <w:rPr>
          <w:rFonts w:hint="eastAsia" w:ascii="宋体" w:hAnsi="宋体" w:eastAsia="宋体" w:cs="宋体"/>
          <w:color w:val="auto"/>
          <w:highlight w:val="none"/>
          <w:u w:val="single"/>
        </w:rPr>
        <w:t xml:space="preserve"> 六 </w:t>
      </w:r>
      <w:r>
        <w:rPr>
          <w:rFonts w:hint="eastAsia" w:ascii="宋体" w:hAnsi="宋体" w:eastAsia="宋体" w:cs="宋体"/>
          <w:color w:val="auto"/>
          <w:highlight w:val="none"/>
        </w:rPr>
        <w:t xml:space="preserve">份，甲乙双方各执两份，其余用于相关单位存档。</w:t>
      </w:r>
      <w:r/>
    </w:p>
    <w:p>
      <w:pPr>
        <w:pStyle w:val="650"/>
        <w:ind w:left="480" w:hanging="480"/>
        <w:jc w:val="both"/>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left="480" w:hanging="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甲方：                乙方： </w:t>
      </w:r>
      <w:r/>
    </w:p>
    <w:p>
      <w:pPr>
        <w:pStyle w:val="65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地址：                地址： </w:t>
      </w:r>
      <w:r/>
    </w:p>
    <w:p>
      <w:pPr>
        <w:pStyle w:val="65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65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联系电话：                 联系电话：          </w:t>
      </w:r>
      <w:r/>
    </w:p>
    <w:p>
      <w:pPr>
        <w:pStyle w:val="650"/>
        <w:jc w:val="both"/>
        <w:spacing w:before="120" w:beforeAutospacing="0" w:after="120" w:afterAutospacing="0" w:line="0" w:lineRule="atLeast"/>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650"/>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签订日期：      年    月   日</w:t>
      </w:r>
      <w:r>
        <w:rPr>
          <w:rFonts w:hint="eastAsia" w:ascii="黑体" w:hAnsi="宋体" w:eastAsia="黑体" w:cs="黑体"/>
          <w:color w:val="auto"/>
          <w:sz w:val="24"/>
          <w:szCs w:val="24"/>
          <w:highlight w:val="none"/>
        </w:rPr>
        <w:br w:type="page" w:clear="all"/>
      </w:r>
      <w:r/>
    </w:p>
    <w:p>
      <w:pPr>
        <w:pStyle w:val="650"/>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keepLines w:val="0"/>
        <w:keepNext w:val="0"/>
        <w:pageBreakBefore w:val="0"/>
        <w:spacing w:beforeAutospacing="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w:t>
      </w:r>
      <w:bookmarkEnd w:id="174"/>
      <w:r>
        <w:rPr>
          <w:rFonts w:hint="eastAsia" w:ascii="黑体" w:hAnsi="宋体" w:eastAsia="黑体" w:cs="黑体"/>
          <w:color w:val="auto"/>
          <w:sz w:val="44"/>
          <w:szCs w:val="44"/>
          <w:highlight w:val="none"/>
        </w:rPr>
        <w:t xml:space="preserve">四章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采购需求</w:t>
      </w:r>
      <w:bookmarkEnd w:id="175"/>
      <w:r/>
      <w:bookmarkEnd w:id="176"/>
      <w:r/>
      <w:bookmarkEnd w:id="177"/>
      <w:r/>
      <w:bookmarkEnd w:id="178"/>
      <w:r/>
      <w:bookmarkEnd w:id="179"/>
      <w:r/>
      <w:bookmarkEnd w:id="181"/>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服务类项目。</w:t>
      </w:r>
      <w:r/>
    </w:p>
    <w:p>
      <w:pPr>
        <w:pStyle w:val="650"/>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pStyle w:val="650"/>
        <w:ind w:firstLine="482"/>
        <w:jc w:val="both"/>
        <w:spacing w:beforeAutospacing="0" w:afterAutospacing="0" w:line="440" w:lineRule="exact"/>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val="en-US" w:eastAsia="zh-CN"/>
        </w:rPr>
        <w:t xml:space="preserve">技术要求</w:t>
      </w:r>
      <w:r/>
    </w:p>
    <w:p>
      <w:pPr>
        <w:pStyle w:val="650"/>
        <w:ind w:firstLine="482"/>
        <w:jc w:val="both"/>
        <w:spacing w:beforeAutospacing="0" w:afterAutospacing="0" w:line="440" w:lineRule="exact"/>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1.招标内容</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（1）处置对象是指房屋拆迁、装修和二次装修产生的装潢垃圾（包括少量钢筋、混凝土、砖瓦等）。</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（2）服务范围为东台市市区(不包含经济开发区、城东高新区及西溪景区）。</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（3）垃圾处置流程：首先由</w:t>
      </w:r>
      <w:r>
        <w:rPr>
          <w:rFonts w:hint="eastAsia" w:ascii="宋体" w:hAnsi="宋体" w:eastAsia="宋体" w:cs="宋体"/>
          <w:color w:val="auto"/>
          <w:highlight w:val="none"/>
        </w:rPr>
        <w:t xml:space="preserve">以上垃圾产生地或垃圾收集点（主要应为住宅小区、学校、企事业机关等）负责运送垃圾至招标人指定垃圾临时调剂场；中标供应商负责临时调剂场内的垃圾堆放管理、垃圾打堆及场内运输、垃圾覆盖、扬尘防治、环境管理等场内基本运营工作，以上运营的具体内容在签订合同时应作为服务合同的组成部分；同时在服务范围内建造或租用通过环保三同时验收的固定生产场所，将调剂场内的垃圾运送至该场所进行分类进行无害化处置和资源化利用，要求各类装饰装修垃圾无害化处置率达到100%，总体资源化利用率不低于90%。其中，轻物质等不可回收利用部分的垃圾，由</w:t>
      </w:r>
      <w:r>
        <w:rPr>
          <w:rFonts w:hint="eastAsia" w:ascii="宋体" w:hAnsi="宋体" w:eastAsia="宋体" w:cs="宋体"/>
          <w:color w:val="auto"/>
          <w:highlight w:val="none"/>
          <w:lang w:eastAsia="zh-CN"/>
        </w:rPr>
        <w:t xml:space="preserve">中标单位</w:t>
      </w:r>
      <w:r>
        <w:rPr>
          <w:rFonts w:hint="eastAsia" w:ascii="宋体" w:hAnsi="宋体" w:eastAsia="宋体" w:cs="宋体"/>
          <w:color w:val="auto"/>
          <w:highlight w:val="none"/>
        </w:rPr>
        <w:t xml:space="preserve">运送至招标人指定的地点后，自行处置或委托招标人处置，处置费用由</w:t>
      </w:r>
      <w:r>
        <w:rPr>
          <w:rFonts w:hint="eastAsia" w:ascii="宋体" w:hAnsi="宋体" w:eastAsia="宋体" w:cs="宋体"/>
          <w:color w:val="auto"/>
          <w:highlight w:val="none"/>
          <w:lang w:eastAsia="zh-CN"/>
        </w:rPr>
        <w:t xml:space="preserve">中标单位</w:t>
      </w:r>
      <w:r>
        <w:rPr>
          <w:rFonts w:hint="eastAsia" w:ascii="宋体" w:hAnsi="宋体" w:eastAsia="宋体" w:cs="宋体"/>
          <w:color w:val="auto"/>
          <w:highlight w:val="none"/>
        </w:rPr>
        <w:t xml:space="preserve">承担。</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本项目所指无害化处置，是指将装饰装修垃圾转化为对环境无害的形式，并在收运、处置和利用过程中，符合各项环保标准，不得挑选、偷排垃圾，造成二次污染。本项目所指资源化利用，是指对装饰装修垃圾进行精细化的中高级利用，需要具备利用再生骨料生产再生产品能力。</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（5）本项目服务费采取各装饰装修垃圾项目实施主体向中标供应商支付结算办法。即</w:t>
      </w:r>
      <w:r>
        <w:rPr>
          <w:rFonts w:hint="eastAsia" w:ascii="宋体" w:hAnsi="宋体" w:eastAsia="宋体" w:cs="宋体"/>
          <w:color w:val="auto"/>
          <w:highlight w:val="none"/>
        </w:rPr>
        <w:t xml:space="preserve">市区居民及居民小区、学校、党政机关等产生的零星装饰装修垃圾由垃圾产生主体负责收集、运输送至临时调剂场，由招标人按中标价向中标供应商支付结算处置费（该部分垃圾送至调剂场时需提供有效的垃圾来历证明）；市区其他装饰装修垃圾产生主体通过招标人监督管理、行政审批、有序引导等工作，规范处置行为并按中标价支付结算处置费；各镇区装饰装修垃圾由辖区管理单位参照招标内容与中标供应商自行签订“装饰装修垃圾处置委托合同”，并结算处置费，镇区装饰装修垃圾原则上不得进入市区建筑装修垃圾调剂场，如确需进场，需经招标人同意并办理相关手续。</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中标单位</w:t>
      </w:r>
      <w:r>
        <w:rPr>
          <w:rFonts w:hint="eastAsia" w:ascii="宋体" w:hAnsi="宋体" w:eastAsia="宋体" w:cs="宋体"/>
          <w:color w:val="auto"/>
          <w:highlight w:val="none"/>
        </w:rPr>
        <w:t xml:space="preserve">中标后需相应政府要求，应及时办理建筑垃圾特许经营手续。</w:t>
      </w:r>
      <w:r/>
    </w:p>
    <w:p>
      <w:pPr>
        <w:pStyle w:val="650"/>
        <w:ind w:firstLine="482"/>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相关技术</w:t>
      </w:r>
      <w:r/>
    </w:p>
    <w:p>
      <w:pPr>
        <w:pStyle w:val="650"/>
        <w:ind w:firstLine="480"/>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2.1 </w:t>
      </w:r>
      <w:r>
        <w:rPr>
          <w:rFonts w:hint="eastAsia" w:ascii="宋体" w:hAnsi="宋体" w:eastAsia="宋体" w:cs="宋体"/>
          <w:b/>
          <w:bCs/>
          <w:color w:val="auto"/>
          <w:highlight w:val="none"/>
        </w:rPr>
        <w:t xml:space="preserve">技术指标</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（1）年处置能力：</w:t>
      </w:r>
      <w:r>
        <w:rPr>
          <w:rFonts w:hint="eastAsia" w:ascii="宋体" w:hAnsi="宋体" w:eastAsia="宋体" w:cs="宋体"/>
          <w:color w:val="auto"/>
          <w:highlight w:val="none"/>
          <w:lang w:val="en-US" w:eastAsia="zh-CN"/>
        </w:rPr>
        <w:t xml:space="preserve">按照市区建筑装修垃圾实际产生量</w:t>
      </w:r>
      <w:r>
        <w:rPr>
          <w:rFonts w:hint="eastAsia" w:ascii="宋体" w:hAnsi="宋体" w:eastAsia="宋体" w:cs="宋体"/>
          <w:color w:val="auto"/>
          <w:highlight w:val="none"/>
        </w:rPr>
        <w:t xml:space="preserve">；</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（2）年运行时间：不少于300天；</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（3）无害化处置率：100%；</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（4）资源化利用率：总体不低于90%；</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（5）扬尘、污（废）水、烟气排放及噪声影响控制：符合“执行标准和规范”的要求。</w:t>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2.2 </w:t>
      </w:r>
      <w:r>
        <w:rPr>
          <w:rFonts w:hint="eastAsia" w:ascii="宋体" w:hAnsi="宋体" w:eastAsia="宋体" w:cs="宋体"/>
          <w:b/>
          <w:bCs/>
          <w:color w:val="auto"/>
          <w:highlight w:val="none"/>
        </w:rPr>
        <w:t xml:space="preserve">执行标准和规范（包括但不限于）</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（1）《拆建垃圾处理技术规范》CJJ134-2017</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（2）《拆建垃圾资源化利用行业规范条件》</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（3）《大气污染物综合排放标准》GB16297</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（4）《工业企业厂界环境噪声排放标准》GB12348</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（5）《废钢铁》GB4223</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（6）《废塑料回收分选技术规范》SB/T11149</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（7）《废弃木质材料回收利用管理规范》GB/T22529</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（8）《混凝土和砂浆用再生细骨料》GB/T25176</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（9）《混凝土用再生粗骨料》GB/T25177</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（10）《道路用拆建垃圾再生骨料无机混合料》JC/T2281</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（11）《再生骨料应用技术规程》JGJ/T240</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（12）《再生骨料透水混凝土应用技术规程》CJJ/T253</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（13）《再生骨料混凝土耐久性控制技术规程》CECS385</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（14）《废混凝土再生技术规范》SB/T11177</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（15）《工程施工废弃物再生利用技术规范》GB/T50743</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（16）《再生骨料地面砖）透水砖》CJ/T400-2012</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（17）《建筑废弃物再生料路基应用技术规程》Q/320412 LUH001-2018</w:t>
      </w:r>
      <w:r/>
    </w:p>
    <w:p>
      <w:pPr>
        <w:pStyle w:val="650"/>
        <w:numPr>
          <w:ilvl w:val="0"/>
          <w:numId w:val="0"/>
        </w:numPr>
        <w:ind w:firstLine="482"/>
        <w:jc w:val="both"/>
        <w:spacing w:beforeAutospacing="0" w:afterAutospacing="0"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3.总体要求 </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中标供应商应在服务范围内或服务范围附近建立固定的生产场所，固定式破碎机应放置在装备环保除尘设备的车间内，如采用移动式破碎机应具有当地环保部门的环评以及三同时验收手续，配套噪声、粉尘控制设施和污水处理设备。</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（2）中标供应商必须在服务期内按照行业安全操作规程、谨慎运营惯例、以及服务合同、招标文件、投标文件等所述的技术方案和标准，运营和维护项目设施。</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（3）中标供应商必须制定保障设备、设施正常运行及保证人身安全的技术操作规程、岗位责任制以及相关的安全制度，并负责组织实施，保证安全生产。</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（4）中标供应商应选用先进的设备和生产工艺，严格制定扬尘控制、污（废）水控制、烟气排放控制和噪声控制的各项制度，规范操作，遵守国家、省市各级环境保护相关法律法规和规章制度的要求。</w:t>
      </w:r>
      <w:r/>
    </w:p>
    <w:p>
      <w:pPr>
        <w:pStyle w:val="650"/>
        <w:numPr>
          <w:ilvl w:val="0"/>
          <w:numId w:val="0"/>
        </w:numPr>
        <w:ind w:firstLine="482"/>
        <w:jc w:val="both"/>
        <w:spacing w:beforeAutospacing="0" w:afterAutospacing="0"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4.工艺流程和技术要求（包括但不限于以下内容）</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（1）收运：中标供应商应保证每年不少于300天接收并处理垃圾，将从接收点接收的垃圾进行处置。无论供应商自行运输，还是将运输外包，均需达到以下要求：</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A、运输车辆应符合国家、省及盐城市、东台市相关建筑垃圾运输处置管理相关规定。</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B、运输车辆具备全密闭运输机械装置或密闭苫盖装置、安装行驶及装卸记录仪，取得城管部门的核准证书，并符合公安、交通运输部门的相关规定后方可上路运输。</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C、运输车辆应当在建筑垃圾产生地按照承载限额装载后封盖平槽，驶出拆建垃圾产生地前将车轮、车身冲洗干净，全程密闭运输，沿途不得带泥行驶、丢弃、遗撒拆建垃圾。</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（2）分拣</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中标供应商必须保证垃圾分类处理设备、设施满足垃圾分类处理工艺的要求。在垃圾分类处理各工序配备相应的质量保障手段，并持续引入和使用提高分类效率的新技术。</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（3）破碎、筛分处理</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中标供应商的工艺设施与设备选型应遵循技术先进、安全高效、环保节能的原则，具有一定的机械化、自动化水平，连续稳定生产，投资和运营成本合理。工艺方案与设施应满足以下条件：</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A、固定式处理工艺:包括入料、除土、除铁除杂、破碎筛分、输送和储存等系统，结合原料情况和再生骨料品质要求还可增设骨料强化系统和再生砂粉、微粉制备系统，各系统能力要相互协调并与设计处理能力相匹配。处理设施应包括：接收储存与预处理、再生处理、再生成品料储存等功能单元。</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生产车间以固定式处理厂房为主体，其它各项设施按照处理流程、功能分区进行合理布置。原料库容量不应低于15d的再生处理量，并根据工艺设计要求将成品料和产品分区堆放。</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B、移动式处理工艺：包括机械预分选、入料、除土、除铁除杂、破碎筛分、输送和储存等系统。场地面积不低于3000平米，生产区域应采用密目围网、波形钢片网或轻钢篷布作临时封闭，原料堆场和再生骨料堆场应及时苫盖。现场应配备洒水车，对原料进行预湿，维持周围场地道路潮湿不起尘。设置污染物在线监测仪，监测数据实时公布。</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C、主要设备的使用寿命不低于10年。</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D、移动式破碎须装备喷淋抑制尘设备，控制扬尘；固定式破碎须配置除尘设备。合理配置破碎、筛分生产线，保障再生骨料品质。</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（4）资源化处理</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再生处理设施的工艺设计应充分考虑预测服务区域内拆建垃圾的特性，适应建筑垃圾不同组分的处理要求。砖瓦、混凝土类建筑垃圾应进行分拣、破碎，资源化利用，除作为骨料等初级再生产品外，必须制作成各类定型再生产品；不可利用物应按照环保规范要求，进行无害化处置；</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工艺设计与设备选型，应遵循技术先进、安全高效、环保节能的原则，提高机械化、自动化水平，以实现连续稳定生产，降低二次污染。</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在服务期内如有项目设施的任何部分需要替换，中标供应商应自行筹资购买、安装替换所需设备，并承担该等重置投资及相应的运营成本。</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（5）紧急预案</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中标供应商应按照招标人的要求及谨慎运营惯例，制定保证在紧急情况下的垃圾处理的应急预案。并在垃圾量激增情况下，严格执行应急预案，服从行业主管部门的调度。</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中标供应商有权就因启动应急预案而增加的合理成本向招标人提出补偿要求，招标人应选择支付补偿金，或调整垃圾处理服务价格，或延长服务期限给予补偿。</w:t>
      </w:r>
      <w:r/>
    </w:p>
    <w:p>
      <w:pPr>
        <w:pStyle w:val="650"/>
        <w:numPr>
          <w:ilvl w:val="0"/>
          <w:numId w:val="0"/>
        </w:numPr>
        <w:ind w:firstLine="482"/>
        <w:jc w:val="both"/>
        <w:spacing w:beforeAutospacing="0" w:afterAutospacing="0"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5.考核要求</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招标人对中标供应商的处置服务进行考核。考核的内容包括计量、运行、污染控制、内部管理、对外服务、社会责任以及综合利用率等。考核为每季一次，考核以年度考核基金（50万元）作为计算基础，按照百分制进行。百分比构成如下：①计量管理，占10分；②运行管理，占35分；③污染控制，占10分；④内部管理，占5分；⑤对外服务，占10分；⑥社会责任，占5分；⑦综合利用率，占10分；⑧对整改意见的落实，占10分。</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考核得分在85分之上（含85分）为合格，不予处罚；考核得分在84分之下需进行整改，并相应处罚，处罚标准如下：80-84分的扣减年度考核基金的10%，75-79分扣减年度考核基金的15%，70-74分扣减年度考核基金的20%，69分及以下的扣减年度考核基金的30%，并终止合同。</w:t>
      </w:r>
      <w:r/>
    </w:p>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运营关键绩效考核指标如下：</w:t>
      </w:r>
      <w:r/>
    </w:p>
    <w:tbl>
      <w:tblPr>
        <w:tblStyle w:val="640"/>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1134"/>
        <w:gridCol w:w="12"/>
        <w:gridCol w:w="5516"/>
      </w:tblGrid>
      <w:tr>
        <w:trPr>
          <w:jc w:val="center"/>
          <w:trHeight w:val="525"/>
          <w:tblHeader/>
        </w:trPr>
        <w:tc>
          <w:tcPr>
            <w:tcW w:w="70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3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113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c>
        <w:tc>
          <w:tcPr>
            <w:gridSpan w:val="2"/>
            <w:tcW w:w="552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r>
      <w:tr>
        <w:trPr>
          <w:jc w:val="center"/>
          <w:trHeight w:val="355"/>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计量管理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垃圾接纳2分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规范接纳拆建垃圾，不得混入生活垃圾、污泥、工业垃圾和危险废物。</w:t>
            </w:r>
            <w:r/>
          </w:p>
        </w:tc>
      </w:tr>
      <w:tr>
        <w:trPr>
          <w:jc w:val="center"/>
          <w:trHeight w:val="1336"/>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称重计量8分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1、垃圾运输车进出厂都必须称重计量，各项数据、信息应详细记录存档，并与监管方系统进行联网，确保称重数据传输正常。若数据传输出现故障，运营方应在60分钟内通知监管方，并立即进行修复处理。</w:t>
            </w:r>
            <w:r/>
          </w:p>
        </w:tc>
      </w:tr>
      <w:tr>
        <w:trPr>
          <w:jc w:val="center"/>
          <w:trHeight w:val="420"/>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2、运营方应保证计量系统的连续稳定和准确，地磅计量仪器出现故障，运营方应在60分钟内通知监管方，并立即进行修复处理，双方协商解决有关计量数据问题。</w:t>
            </w:r>
            <w:r/>
          </w:p>
        </w:tc>
      </w:tr>
      <w:tr>
        <w:trPr>
          <w:jc w:val="center"/>
          <w:trHeight w:val="417"/>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运行管理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35分</w:t>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运营保障15分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实际实际处理能力达到设计能力的 80-100%。</w:t>
            </w:r>
            <w:r/>
          </w:p>
        </w:tc>
      </w:tr>
      <w:tr>
        <w:trPr>
          <w:jc w:val="center"/>
          <w:trHeight w:val="388"/>
        </w:trPr>
        <w:tc>
          <w:tcPr>
            <w:tcW w:w="704"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设备处于良好运行状态，机械化、自动控制水平高。</w:t>
            </w:r>
            <w:r/>
          </w:p>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做好各类仪表设备的检查、保养、校验工作，仪表表面保持清洁、标识齐全清晰。</w:t>
            </w:r>
            <w:r/>
          </w:p>
        </w:tc>
      </w:tr>
      <w:tr>
        <w:trPr>
          <w:jc w:val="center"/>
          <w:trHeight w:val="689"/>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restart"/>
            <w:textDirection w:val="lrTb"/>
            <w:noWrap w:val="false"/>
          </w:tcPr>
          <w:p>
            <w:pPr>
              <w:ind w:left="3" w:hanging="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运行计划5分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运营</w:t>
            </w:r>
            <w:r>
              <w:rPr>
                <w:rFonts w:hint="eastAsia" w:ascii="宋体" w:hAnsi="宋体" w:eastAsia="宋体" w:cs="宋体"/>
                <w:color w:val="auto"/>
                <w:sz w:val="21"/>
                <w:szCs w:val="21"/>
                <w:highlight w:val="none"/>
              </w:rPr>
              <w:t xml:space="preserve">前将</w:t>
            </w:r>
            <w:r>
              <w:rPr>
                <w:rFonts w:hint="eastAsia" w:ascii="宋体" w:hAnsi="宋体" w:eastAsia="宋体" w:cs="宋体"/>
                <w:color w:val="auto"/>
                <w:sz w:val="21"/>
                <w:szCs w:val="21"/>
                <w:highlight w:val="none"/>
                <w:u w:val="single"/>
              </w:rPr>
              <w:t xml:space="preserve">生产计划</w:t>
            </w:r>
            <w:r>
              <w:rPr>
                <w:rFonts w:hint="eastAsia" w:ascii="宋体" w:hAnsi="宋体" w:eastAsia="宋体" w:cs="宋体"/>
                <w:color w:val="auto"/>
                <w:sz w:val="21"/>
                <w:szCs w:val="21"/>
                <w:highlight w:val="none"/>
              </w:rPr>
              <w:t xml:space="preserve">报送监管方，经认可后按计划实施。</w:t>
            </w:r>
            <w:r/>
          </w:p>
        </w:tc>
      </w:tr>
      <w:tr>
        <w:trPr>
          <w:jc w:val="center"/>
          <w:trHeight w:val="180"/>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2、保持设备运行的稳定性，主要运行设备停运需提前报监管方认可。</w:t>
            </w:r>
            <w:r/>
          </w:p>
        </w:tc>
      </w:tr>
      <w:tr>
        <w:trPr>
          <w:jc w:val="center"/>
          <w:trHeight w:val="421"/>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安全管理5分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1、厂内安全标识规范明晰，定期对消防设备进行检查。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2、按规定对作业人员落实劳动安全卫生防护措施。</w:t>
            </w:r>
            <w:r/>
          </w:p>
        </w:tc>
      </w:tr>
      <w:tr>
        <w:trPr>
          <w:jc w:val="center"/>
          <w:trHeight w:val="379"/>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应急管理10分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建立完善运行管理预案及计量、运行、设备故障、突发事件、恶劣天气等</w:t>
            </w:r>
            <w:r>
              <w:rPr>
                <w:rFonts w:hint="eastAsia" w:ascii="宋体" w:hAnsi="宋体" w:eastAsia="宋体" w:cs="宋体"/>
                <w:color w:val="auto"/>
                <w:sz w:val="21"/>
                <w:szCs w:val="21"/>
                <w:highlight w:val="none"/>
                <w:u w:val="single"/>
              </w:rPr>
              <w:t xml:space="preserve">专项预案</w:t>
            </w:r>
            <w:r>
              <w:rPr>
                <w:rFonts w:hint="eastAsia" w:ascii="宋体" w:hAnsi="宋体" w:eastAsia="宋体" w:cs="宋体"/>
                <w:color w:val="auto"/>
                <w:sz w:val="21"/>
                <w:szCs w:val="21"/>
                <w:highlight w:val="none"/>
              </w:rPr>
              <w:t xml:space="preserve">，安全设施、应急 物资配置齐全，遇到突发事件须2小时内报监管方，24小时内提交书面报告，同时采取有效处。</w:t>
            </w:r>
            <w:r/>
          </w:p>
        </w:tc>
      </w:tr>
      <w:tr>
        <w:trPr>
          <w:jc w:val="center"/>
          <w:trHeight w:val="480"/>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污染控制</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噪声控制3分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配置消除噪声系统等防治噪声措施，</w:t>
            </w:r>
            <w:r>
              <w:rPr>
                <w:rFonts w:hint="eastAsia" w:ascii="宋体" w:hAnsi="宋体" w:cs="宋体"/>
                <w:color w:val="auto"/>
                <w:sz w:val="21"/>
                <w:szCs w:val="21"/>
                <w:highlight w:val="none"/>
                <w:lang w:val="en-US" w:eastAsia="zh-CN"/>
              </w:rPr>
              <w:t xml:space="preserve">垃圾处置期</w:t>
            </w:r>
            <w:r>
              <w:rPr>
                <w:rFonts w:hint="eastAsia" w:ascii="宋体" w:hAnsi="宋体" w:eastAsia="宋体" w:cs="宋体"/>
                <w:color w:val="auto"/>
                <w:sz w:val="21"/>
                <w:szCs w:val="21"/>
                <w:highlight w:val="none"/>
              </w:rPr>
              <w:t xml:space="preserve">间应避开周边居民休息时间，有效减少厂界、设备 噪声。</w:t>
            </w:r>
            <w:r/>
          </w:p>
        </w:tc>
      </w:tr>
      <w:tr>
        <w:trPr>
          <w:jc w:val="center"/>
          <w:trHeight w:val="1076"/>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环境</w:t>
            </w:r>
            <w:r>
              <w:rPr>
                <w:rFonts w:hint="eastAsia" w:ascii="宋体" w:hAnsi="宋体" w:eastAsia="宋体" w:cs="宋体"/>
                <w:color w:val="auto"/>
                <w:sz w:val="21"/>
                <w:szCs w:val="21"/>
                <w:highlight w:val="none"/>
                <w:lang w:val="en-US" w:eastAsia="zh-CN"/>
              </w:rPr>
              <w:t xml:space="preserve">污染控制</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环境污染控制</w:t>
            </w:r>
            <w:r>
              <w:rPr>
                <w:rFonts w:hint="eastAsia" w:ascii="宋体" w:hAnsi="宋体" w:eastAsia="宋体" w:cs="宋体"/>
                <w:color w:val="auto"/>
                <w:sz w:val="21"/>
                <w:szCs w:val="21"/>
                <w:highlight w:val="none"/>
              </w:rPr>
              <w:t xml:space="preserve">符合国家和地方相关规范要求。</w:t>
            </w:r>
            <w:r>
              <w:rPr>
                <w:rFonts w:hint="eastAsia" w:ascii="宋体" w:hAnsi="宋体" w:cs="宋体"/>
                <w:color w:val="auto"/>
                <w:sz w:val="21"/>
                <w:szCs w:val="21"/>
                <w:highlight w:val="none"/>
                <w:lang w:val="en-US" w:eastAsia="zh-CN"/>
              </w:rPr>
              <w:t xml:space="preserve">如因工作需要进行环境污染项目检测，</w:t>
            </w:r>
            <w:r>
              <w:rPr>
                <w:rFonts w:hint="eastAsia" w:ascii="宋体" w:hAnsi="宋体" w:eastAsia="宋体" w:cs="宋体"/>
                <w:color w:val="auto"/>
                <w:sz w:val="21"/>
                <w:szCs w:val="21"/>
                <w:highlight w:val="none"/>
              </w:rPr>
              <w:t xml:space="preserve">检测结果以有资质的第三方检测为准，各项指标应符合相关标准。</w:t>
            </w:r>
            <w:r/>
          </w:p>
        </w:tc>
      </w:tr>
      <w:tr>
        <w:trPr>
          <w:jc w:val="center"/>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内部管理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制度建设</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建立健全规章制度、岗位职责、操作规程，运行 作业手册及设备操作维护保养手册规范齐全</w:t>
            </w:r>
            <w:r>
              <w:rPr>
                <w:rFonts w:hint="eastAsia" w:ascii="宋体" w:hAnsi="宋体" w:eastAsia="宋体" w:cs="宋体"/>
                <w:color w:val="auto"/>
                <w:sz w:val="21"/>
                <w:szCs w:val="21"/>
                <w:highlight w:val="none"/>
              </w:rPr>
              <w:t xml:space="preserve">。</w:t>
            </w:r>
            <w:r/>
          </w:p>
        </w:tc>
      </w:tr>
      <w:tr>
        <w:trPr>
          <w:jc w:val="center"/>
          <w:trHeight w:val="352"/>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2、具有完善的</w:t>
            </w:r>
            <w:r>
              <w:rPr>
                <w:rFonts w:hint="eastAsia" w:ascii="宋体" w:hAnsi="宋体" w:eastAsia="宋体" w:cs="宋体"/>
                <w:color w:val="auto"/>
                <w:sz w:val="21"/>
                <w:szCs w:val="21"/>
                <w:highlight w:val="none"/>
                <w:u w:val="single"/>
              </w:rPr>
              <w:t xml:space="preserve">培训制度</w:t>
            </w:r>
            <w:r>
              <w:rPr>
                <w:rFonts w:hint="eastAsia" w:ascii="宋体" w:hAnsi="宋体" w:eastAsia="宋体" w:cs="宋体"/>
                <w:color w:val="auto"/>
                <w:sz w:val="21"/>
                <w:szCs w:val="21"/>
                <w:highlight w:val="none"/>
              </w:rPr>
              <w:t xml:space="preserve">，操作人员100</w:t>
            </w:r>
            <w:r>
              <w:rPr>
                <w:rFonts w:hint="eastAsia" w:ascii="宋体" w:hAnsi="宋体" w:eastAsia="宋体" w:cs="宋体"/>
                <w:color w:val="auto"/>
                <w:sz w:val="21"/>
                <w:szCs w:val="21"/>
                <w:highlight w:val="none"/>
                <w:u w:val="single"/>
              </w:rPr>
              <w:t xml:space="preserve">%持证上岗</w:t>
            </w:r>
            <w:r>
              <w:rPr>
                <w:rFonts w:hint="eastAsia" w:ascii="宋体" w:hAnsi="宋体" w:eastAsia="宋体" w:cs="宋体"/>
                <w:color w:val="auto"/>
                <w:sz w:val="21"/>
                <w:szCs w:val="21"/>
                <w:highlight w:val="none"/>
              </w:rPr>
              <w:t xml:space="preserve">。</w:t>
            </w:r>
            <w:r/>
          </w:p>
        </w:tc>
      </w:tr>
      <w:tr>
        <w:trPr>
          <w:jc w:val="center"/>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资料管理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pStyle w:val="659"/>
              <w:ind w:firstLine="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按照监管方要求及时上报计量、运行、设备故障、计划说明、环保耗材购买及使用、污染排放指标数据等各项运行台账，做到分类清晰、数据真实、记录完整、保管得当。</w:t>
            </w:r>
            <w:r/>
          </w:p>
        </w:tc>
      </w:tr>
      <w:tr>
        <w:trPr>
          <w:jc w:val="center"/>
          <w:trHeight w:val="458"/>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厂区环境</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厂区环境整洁，设施整洁完好、标识明晰。绿化维护到位。</w:t>
            </w:r>
            <w:r/>
          </w:p>
        </w:tc>
      </w:tr>
      <w:tr>
        <w:trPr>
          <w:jc w:val="center"/>
          <w:trHeight w:val="180"/>
        </w:trPr>
        <w:tc>
          <w:tcPr>
            <w:tcW w:w="704"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信息报送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3、发生群众集访、事故故障等紧急、重大事项应在1个工作日内报送相关信息。</w:t>
            </w:r>
            <w:r/>
          </w:p>
        </w:tc>
      </w:tr>
      <w:tr>
        <w:trPr>
          <w:jc w:val="center"/>
          <w:trHeight w:val="576"/>
        </w:trPr>
        <w:tc>
          <w:tcPr>
            <w:tcW w:w="70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对外服务</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委托合同</w:t>
            </w:r>
            <w:r>
              <w:rPr>
                <w:rFonts w:hint="eastAsia" w:ascii="宋体" w:hAnsi="宋体" w:eastAsia="宋体" w:cs="宋体"/>
                <w:color w:val="auto"/>
                <w:sz w:val="21"/>
                <w:szCs w:val="21"/>
                <w:highlight w:val="none"/>
              </w:rPr>
              <w:t xml:space="preserve">3分</w:t>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合同文本完整，约定清晰，风险分配合理。</w:t>
            </w:r>
            <w:r/>
          </w:p>
        </w:tc>
      </w:tr>
      <w:tr>
        <w:trPr>
          <w:jc w:val="center"/>
          <w:trHeight w:val="386"/>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规范服务7分</w:t>
            </w:r>
            <w:r/>
          </w:p>
        </w:tc>
        <w:tc>
          <w:tcPr>
            <w:gridSpan w:val="2"/>
            <w:tcW w:w="5528" w:type="dxa"/>
            <w:vAlign w:val="center"/>
            <w:textDirection w:val="lrTb"/>
            <w:noWrap w:val="false"/>
          </w:tcPr>
          <w:p>
            <w:pPr>
              <w:ind w:firstLine="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1、在一个工作日内对接。</w:t>
            </w:r>
            <w:r/>
          </w:p>
        </w:tc>
      </w:tr>
      <w:tr>
        <w:trPr>
          <w:jc w:val="center"/>
          <w:trHeight w:val="393"/>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ind w:firstLine="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2、用语文明，举止规范，亮牌服务。</w:t>
            </w:r>
            <w:r/>
          </w:p>
        </w:tc>
      </w:tr>
      <w:tr>
        <w:trPr>
          <w:jc w:val="center"/>
          <w:trHeight w:val="367"/>
        </w:trPr>
        <w:tc>
          <w:tcPr>
            <w:tcW w:w="70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w:t>
            </w:r>
            <w:r/>
          </w:p>
        </w:tc>
        <w:tc>
          <w:tcPr>
            <w:tcW w:w="1134"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社会责任</w:t>
            </w:r>
            <w:r/>
          </w:p>
          <w:p>
            <w:pPr>
              <w:pStyle w:val="6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W w:w="1134"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公众参与</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gridSpan w:val="2"/>
            <w:tcW w:w="5528" w:type="dxa"/>
            <w:vAlign w:val="center"/>
            <w:textDirection w:val="lrTb"/>
            <w:noWrap w:val="false"/>
          </w:tcPr>
          <w:p>
            <w:pPr>
              <w:ind w:firstLine="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1、积极开展环保宣传，主动接受公众参观。</w:t>
            </w:r>
            <w:r/>
          </w:p>
        </w:tc>
      </w:tr>
      <w:tr>
        <w:trPr>
          <w:jc w:val="center"/>
          <w:trHeight w:val="677"/>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ind w:firstLine="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2、妥善协调周边关系，积极处理各项投诉来访，杜绝有责投诉和媒体曝光。</w:t>
            </w:r>
            <w:r/>
          </w:p>
        </w:tc>
      </w:tr>
      <w:tr>
        <w:trPr>
          <w:jc w:val="center"/>
          <w:trHeight w:val="276"/>
        </w:trPr>
        <w:tc>
          <w:tcPr>
            <w:tcW w:w="70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5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3、自觉履行项目相关协议及各项补充协议，积极配合各级政府管理部门的监管。</w:t>
            </w:r>
            <w:r/>
          </w:p>
        </w:tc>
      </w:tr>
      <w:tr>
        <w:trPr>
          <w:jc w:val="center"/>
          <w:trHeight w:val="529"/>
        </w:trPr>
        <w:tc>
          <w:tcPr>
            <w:tcW w:w="70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w:t>
            </w:r>
            <w:r/>
          </w:p>
        </w:tc>
        <w:tc>
          <w:tcPr>
            <w:gridSpan w:val="3"/>
            <w:tcW w:w="228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资源化利用率</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551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建筑垃圾不低于90%，装修垃圾不低于70%</w:t>
            </w:r>
            <w:r/>
          </w:p>
        </w:tc>
      </w:tr>
      <w:tr>
        <w:trPr>
          <w:jc w:val="center"/>
          <w:trHeight w:val="529"/>
        </w:trPr>
        <w:tc>
          <w:tcPr>
            <w:tcW w:w="70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w:t>
            </w:r>
            <w:r/>
          </w:p>
        </w:tc>
        <w:tc>
          <w:tcPr>
            <w:gridSpan w:val="3"/>
            <w:tcW w:w="228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落实整改意见</w:t>
            </w:r>
            <w:r/>
          </w:p>
          <w:p>
            <w:pPr>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10分</w:t>
            </w:r>
            <w:r/>
          </w:p>
        </w:tc>
        <w:tc>
          <w:tcPr>
            <w:tcW w:w="551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接到监管方的整改意见应及时查找问题、分析原因，制定有力措施，及时落实整改意见。</w:t>
            </w:r>
            <w:r/>
          </w:p>
        </w:tc>
      </w:tr>
      <w:tr>
        <w:trPr>
          <w:jc w:val="center"/>
          <w:trHeight w:val="529"/>
        </w:trPr>
        <w:tc>
          <w:tcPr>
            <w:tcW w:w="70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r/>
          </w:p>
        </w:tc>
        <w:tc>
          <w:tcPr>
            <w:gridSpan w:val="3"/>
            <w:tcW w:w="2280" w:type="dxa"/>
            <w:vAlign w:val="center"/>
            <w:textDirection w:val="lrTb"/>
            <w:noWrap w:val="false"/>
          </w:tcPr>
          <w:p>
            <w:pPr>
              <w:jc w:val="center"/>
              <w:rPr>
                <w:rFonts w:hint="default" w:eastAsia="宋体"/>
                <w:lang w:val="en-US" w:eastAsia="zh-CN"/>
              </w:rPr>
            </w:pPr>
            <w:r>
              <w:rPr>
                <w:rFonts w:hint="eastAsia" w:ascii="宋体" w:hAnsi="宋体" w:eastAsia="宋体" w:cs="宋体"/>
                <w:b/>
                <w:color w:val="auto"/>
                <w:sz w:val="21"/>
                <w:szCs w:val="21"/>
                <w:highlight w:val="none"/>
              </w:rPr>
              <w:t xml:space="preserve">其它</w:t>
            </w:r>
            <w:r/>
          </w:p>
        </w:tc>
        <w:tc>
          <w:tcPr>
            <w:tcW w:w="5516" w:type="dxa"/>
            <w:vAlign w:val="center"/>
            <w:textDirection w:val="lrTb"/>
            <w:noWrap w:val="false"/>
          </w:tcPr>
          <w:p>
            <w:pPr>
              <w:pStyle w:val="660"/>
              <w:numPr>
                <w:ilvl w:val="0"/>
                <w:numId w:val="1"/>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发现运营方将收集的建筑垃圾不经无害化处理直接丢弃，造成二次环境污染的，监管方可直接取消合同。</w:t>
            </w:r>
            <w:r/>
          </w:p>
          <w:p>
            <w:pPr>
              <w:pStyle w:val="660"/>
              <w:numPr>
                <w:ilvl w:val="0"/>
                <w:numId w:val="1"/>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生产场所及设备未经过环保三同时验收的，监管方可直接取消合同。</w:t>
            </w:r>
            <w:r/>
          </w:p>
        </w:tc>
      </w:tr>
    </w:tbl>
    <w:p>
      <w:pPr>
        <w:pStyle w:val="650"/>
        <w:numPr>
          <w:ilvl w:val="0"/>
          <w:numId w:val="0"/>
        </w:numPr>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（3）在项目服务期内，招标人有权根据项目实施情况和相关法律、法规及规章制度的要求，对上述考核条款进行调整。</w:t>
      </w:r>
      <w:r/>
    </w:p>
    <w:p>
      <w:pPr>
        <w:pStyle w:val="650"/>
        <w:numPr>
          <w:ilvl w:val="0"/>
          <w:numId w:val="0"/>
        </w:numPr>
        <w:ind w:firstLine="482"/>
        <w:jc w:val="both"/>
        <w:spacing w:beforeAutospacing="0" w:afterAutospacing="0"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6.质量要求</w:t>
      </w:r>
      <w:r/>
    </w:p>
    <w:p>
      <w:pPr>
        <w:pStyle w:val="650"/>
        <w:numPr>
          <w:ilvl w:val="0"/>
          <w:numId w:val="0"/>
        </w:numPr>
        <w:ind w:firstLine="482"/>
        <w:jc w:val="both"/>
        <w:spacing w:beforeAutospacing="0" w:afterAutospacing="0"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合格，达到考核标准要求。</w:t>
      </w:r>
      <w:r/>
    </w:p>
    <w:p>
      <w:pPr>
        <w:pStyle w:val="650"/>
        <w:ind w:firstLine="482"/>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、商务要求</w:t>
      </w:r>
      <w:r/>
    </w:p>
    <w:p>
      <w:pPr>
        <w:pStyle w:val="650"/>
        <w:ind w:firstLine="482"/>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1.履约期限</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1年，自签订合同</w:t>
      </w:r>
      <w:r>
        <w:rPr>
          <w:rFonts w:hint="eastAsia" w:ascii="宋体" w:hAnsi="宋体" w:eastAsia="宋体" w:cs="宋体"/>
          <w:color w:val="auto"/>
          <w:highlight w:val="none"/>
          <w:lang w:val="en-US" w:eastAsia="zh-CN"/>
        </w:rPr>
        <w:t xml:space="preserve">约定起始</w:t>
      </w:r>
      <w:r>
        <w:rPr>
          <w:rFonts w:hint="eastAsia" w:ascii="宋体" w:hAnsi="宋体" w:eastAsia="宋体" w:cs="宋体"/>
          <w:color w:val="auto"/>
          <w:highlight w:val="none"/>
        </w:rPr>
        <w:t xml:space="preserve">之日起开始计算。中标单位须在合同</w:t>
      </w:r>
      <w:r>
        <w:rPr>
          <w:rFonts w:hint="eastAsia" w:ascii="宋体" w:hAnsi="宋体" w:eastAsia="宋体" w:cs="宋体"/>
          <w:color w:val="auto"/>
          <w:highlight w:val="none"/>
          <w:lang w:val="en-US" w:eastAsia="zh-CN"/>
        </w:rPr>
        <w:t xml:space="preserve">约定起始</w:t>
      </w:r>
      <w:r>
        <w:rPr>
          <w:rFonts w:hint="eastAsia" w:ascii="宋体" w:hAnsi="宋体" w:eastAsia="宋体" w:cs="宋体"/>
          <w:color w:val="auto"/>
          <w:highlight w:val="none"/>
        </w:rPr>
        <w:t xml:space="preserve">之日起开始正常运营，负责东台市市区建筑装修垃圾处置服务。如未能按要求及时运营，招标人有权利取消其中标资格，并没收其履约保证金，并将该不良行为予以公示。</w:t>
      </w:r>
      <w:r/>
    </w:p>
    <w:p>
      <w:pPr>
        <w:pStyle w:val="650"/>
        <w:ind w:firstLine="482"/>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2.履约地点</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东台市</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b/>
          <w:bCs/>
          <w:color w:val="auto"/>
          <w:highlight w:val="none"/>
        </w:rPr>
        <w:t xml:space="preserve">3.考核及付款方式</w:t>
      </w:r>
      <w:r/>
    </w:p>
    <w:p>
      <w:pPr>
        <w:pStyle w:val="650"/>
        <w:ind w:firstLine="482"/>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3.1 考核方式：每季根据东台市环境卫生管理处考核办法进行考核，如中标单位考核不通过，则服务费用暂停拨付，直至整改到位。</w:t>
      </w:r>
      <w:r/>
    </w:p>
    <w:p>
      <w:pPr>
        <w:pStyle w:val="650"/>
        <w:ind w:firstLine="482"/>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 付款方式：</w:t>
      </w:r>
      <w:r/>
    </w:p>
    <w:p>
      <w:pPr>
        <w:pStyle w:val="650"/>
        <w:ind w:firstLine="482"/>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3.2.1合同签订后支付预算金额30%元预付款；</w:t>
      </w:r>
      <w:r/>
    </w:p>
    <w:p>
      <w:pPr>
        <w:pStyle w:val="650"/>
        <w:ind w:firstLine="482"/>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3.2.2 经招标人季度考核合格按季度支付，即下一季度第一个月支付上一季度应付运行服务费，服务费根据实际发生处理量*中标单价*80%后按季度支付。结算时优先扣除预付款部分款项。结算依据为垃圾运输、处置“三联单”（垃圾产生单位、乙方、行业主管部门）及季度考核资料。余款20%待一年服务满后结清。</w:t>
      </w:r>
      <w:r/>
    </w:p>
    <w:p>
      <w:pPr>
        <w:pStyle w:val="650"/>
        <w:ind w:firstLine="482"/>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 如经上级部门检查不合格或被环保部门处罚，招标人将对中标单位进行处罚，相关处罚费用直接从应付服务费中予以扣除。情况严重的，将取消中标单位的中标资格，没收其履约保证金并将去不良行为予以公示。</w:t>
      </w:r>
      <w:r/>
    </w:p>
    <w:p>
      <w:pPr>
        <w:pStyle w:val="650"/>
        <w:ind w:firstLine="482"/>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 以上付款均无银行利息，且中标单位需提供相应金额的有效票据。</w:t>
      </w:r>
      <w:r/>
    </w:p>
    <w:p>
      <w:pPr>
        <w:pStyle w:val="650"/>
        <w:ind w:firstLine="482"/>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3.2.5 在签订合同时，中标单位明确表示无需预付款或者主动要求降低预付款比例的，招标人可不适用上述关于预付款的规定。</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3.2.6 招标人原则上自收到发票后10个工作日内将资金支付到乙方账户。</w:t>
      </w:r>
      <w:r/>
    </w:p>
    <w:p>
      <w:pPr>
        <w:pStyle w:val="650"/>
        <w:ind w:firstLine="482"/>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4.验收</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履约期满后</w:t>
      </w:r>
      <w:r>
        <w:rPr>
          <w:rFonts w:hint="eastAsia" w:ascii="宋体" w:hAnsi="宋体" w:eastAsia="宋体" w:cs="宋体"/>
          <w:color w:val="auto"/>
          <w:highlight w:val="none"/>
          <w:lang w:val="en-US" w:eastAsia="zh-CN"/>
        </w:rPr>
        <w:t xml:space="preserve">招标人退还履约保证金</w:t>
      </w:r>
      <w:r>
        <w:rPr>
          <w:rFonts w:hint="eastAsia" w:ascii="宋体" w:hAnsi="宋体" w:eastAsia="宋体" w:cs="宋体"/>
          <w:color w:val="auto"/>
          <w:highlight w:val="none"/>
        </w:rPr>
        <w:t xml:space="preserve">。</w:t>
      </w:r>
      <w:r/>
    </w:p>
    <w:p>
      <w:pPr>
        <w:pStyle w:val="650"/>
        <w:ind w:firstLine="480"/>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考核</w:t>
      </w:r>
      <w:r>
        <w:rPr>
          <w:rFonts w:hint="eastAsia" w:ascii="宋体" w:hAnsi="宋体" w:eastAsia="宋体" w:cs="宋体"/>
          <w:color w:val="auto"/>
          <w:highlight w:val="none"/>
        </w:rPr>
        <w:t xml:space="preserve">合格的项目,</w:t>
      </w:r>
      <w:r>
        <w:rPr>
          <w:rFonts w:hint="eastAsia" w:ascii="宋体" w:hAnsi="宋体" w:eastAsia="宋体" w:cs="宋体"/>
          <w:color w:val="auto"/>
          <w:highlight w:val="none"/>
          <w:lang w:val="en-US" w:eastAsia="zh-CN"/>
        </w:rPr>
        <w:t xml:space="preserve">招标人</w:t>
      </w:r>
      <w:r>
        <w:rPr>
          <w:rFonts w:hint="eastAsia" w:ascii="宋体" w:hAnsi="宋体" w:eastAsia="宋体" w:cs="宋体"/>
          <w:color w:val="auto"/>
          <w:highlight w:val="none"/>
        </w:rPr>
        <w:t xml:space="preserve">根据采购合同的约定及时向</w:t>
      </w:r>
      <w:r>
        <w:rPr>
          <w:rFonts w:hint="eastAsia" w:ascii="宋体" w:hAnsi="宋体" w:eastAsia="宋体" w:cs="宋体"/>
          <w:color w:val="auto"/>
          <w:highlight w:val="none"/>
          <w:lang w:val="en-US" w:eastAsia="zh-CN"/>
        </w:rPr>
        <w:t xml:space="preserve">中标单位</w:t>
      </w:r>
      <w:r>
        <w:rPr>
          <w:rFonts w:hint="eastAsia" w:ascii="宋体" w:hAnsi="宋体" w:eastAsia="宋体" w:cs="宋体"/>
          <w:color w:val="auto"/>
          <w:highlight w:val="none"/>
        </w:rPr>
        <w:t xml:space="preserve">支付合同款项、退还履约保证金。</w:t>
      </w:r>
      <w:r>
        <w:rPr>
          <w:rFonts w:hint="eastAsia" w:ascii="宋体" w:hAnsi="宋体" w:eastAsia="宋体" w:cs="宋体"/>
          <w:color w:val="auto"/>
          <w:highlight w:val="none"/>
          <w:lang w:val="en-US" w:eastAsia="zh-CN"/>
        </w:rPr>
        <w:t xml:space="preserve">考核</w:t>
      </w:r>
      <w:r>
        <w:rPr>
          <w:rFonts w:hint="eastAsia" w:ascii="宋体" w:hAnsi="宋体" w:eastAsia="宋体" w:cs="宋体"/>
          <w:color w:val="auto"/>
          <w:highlight w:val="none"/>
        </w:rPr>
        <w:t xml:space="preserve">不合格的项目，</w:t>
      </w:r>
      <w:r>
        <w:rPr>
          <w:rFonts w:hint="eastAsia" w:ascii="宋体" w:hAnsi="宋体" w:eastAsia="宋体" w:cs="宋体"/>
          <w:color w:val="auto"/>
          <w:highlight w:val="none"/>
          <w:lang w:val="en-US" w:eastAsia="zh-CN"/>
        </w:rPr>
        <w:t xml:space="preserve">招标人依据合同相关条款</w:t>
      </w:r>
      <w:r>
        <w:rPr>
          <w:rFonts w:hint="eastAsia" w:ascii="宋体" w:hAnsi="宋体" w:eastAsia="宋体" w:cs="宋体"/>
          <w:color w:val="auto"/>
          <w:highlight w:val="none"/>
        </w:rPr>
        <w:t xml:space="preserve">及时处理。采购合同的履行、违约责任和解决争议的方式等适用《民法典》。</w:t>
      </w:r>
      <w:r>
        <w:rPr>
          <w:rFonts w:hint="eastAsia" w:ascii="宋体" w:hAnsi="宋体" w:eastAsia="宋体" w:cs="宋体"/>
          <w:color w:val="auto"/>
          <w:highlight w:val="none"/>
          <w:lang w:val="en-US" w:eastAsia="zh-CN"/>
        </w:rPr>
        <w:t xml:space="preserve">中标单位</w:t>
      </w:r>
      <w:r>
        <w:rPr>
          <w:rFonts w:hint="eastAsia" w:ascii="宋体" w:hAnsi="宋体" w:eastAsia="宋体" w:cs="宋体"/>
          <w:color w:val="auto"/>
          <w:highlight w:val="none"/>
        </w:rPr>
        <w:t xml:space="preserve">在履约过程中有政府采购法律法规规定的违法违规情形的,</w:t>
      </w:r>
      <w:r>
        <w:rPr>
          <w:rFonts w:hint="eastAsia" w:ascii="宋体" w:hAnsi="宋体" w:eastAsia="宋体" w:cs="宋体"/>
          <w:color w:val="auto"/>
          <w:highlight w:val="none"/>
          <w:lang w:val="en-US" w:eastAsia="zh-CN"/>
        </w:rPr>
        <w:t xml:space="preserve">招标人</w:t>
      </w:r>
      <w:r>
        <w:rPr>
          <w:rFonts w:hint="eastAsia" w:ascii="宋体" w:hAnsi="宋体" w:eastAsia="宋体" w:cs="宋体"/>
          <w:color w:val="auto"/>
          <w:highlight w:val="none"/>
        </w:rPr>
        <w:t xml:space="preserve">将及时报告本级财政部门。</w:t>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、采购标的对应的中小企业划分标准所属行业一览表</w:t>
      </w:r>
      <w:bookmarkStart w:id="182" w:name="_Toc18249"/>
      <w:r/>
      <w:bookmarkStart w:id="183" w:name="_Toc120614281"/>
      <w:r/>
      <w:r/>
    </w:p>
    <w:tbl>
      <w:tblPr>
        <w:tblStyle w:val="640"/>
        <w:tblW w:w="807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9"/>
        <w:gridCol w:w="3337"/>
        <w:gridCol w:w="3856"/>
      </w:tblGrid>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65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pStyle w:val="65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pStyle w:val="65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对应中小微企业划分标准所属行业</w:t>
            </w:r>
            <w:r/>
          </w:p>
        </w:tc>
      </w:tr>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65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2024年东台市市区建筑装修垃圾处置项目</w:t>
            </w:r>
            <w:r/>
          </w:p>
        </w:tc>
        <w:tc>
          <w:tcPr>
            <w:shd w:val="clear" w:color="auto" w:fill="auto"/>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pStyle w:val="65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其他未列明行业</w:t>
            </w:r>
            <w:r/>
          </w:p>
        </w:tc>
      </w:tr>
    </w:tbl>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50"/>
        <w:jc w:val="center"/>
        <w:keepLines w:val="0"/>
        <w:keepNext w:val="0"/>
        <w:pageBreakBefore w:val="0"/>
        <w:spacing w:beforeAutospacing="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第五章 评标方法与评标标准</w:t>
      </w:r>
      <w:bookmarkEnd w:id="182"/>
      <w:r/>
      <w:r/>
    </w:p>
    <w:p>
      <w:pPr>
        <w:pStyle w:val="650"/>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b/>
          <w:bCs/>
          <w:color w:val="auto"/>
          <w:sz w:val="24"/>
          <w:szCs w:val="24"/>
          <w:highlight w:val="none"/>
        </w:rPr>
        <w:t xml:space="preserve">若得分相同，按实施方案得分由高到低排列；实施方案得分也相同则由采购人抽签确定排序。</w:t>
      </w:r>
      <w:r/>
    </w:p>
    <w:p>
      <w:pPr>
        <w:pStyle w:val="650"/>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本项目专门面向中小企业采购，价格将不做相应扣除</w:t>
      </w:r>
      <w:r>
        <w:rPr>
          <w:rFonts w:hint="eastAsia" w:ascii="宋体" w:hAnsi="宋体" w:eastAsia="宋体" w:cs="宋体"/>
          <w:b/>
          <w:color w:val="auto"/>
          <w:highlight w:val="none"/>
          <w:lang w:eastAsia="zh-CN"/>
        </w:rPr>
        <w:t xml:space="preserve">）</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655"/>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w:t>
      </w:r>
      <w:r>
        <w:rPr>
          <w:rFonts w:hint="eastAsia" w:ascii="宋体" w:hAnsi="宋体" w:eastAsia="宋体" w:cs="宋体"/>
          <w:color w:val="auto"/>
          <w:highlight w:val="none"/>
          <w:lang w:val="en-US" w:eastAsia="zh-CN"/>
        </w:rPr>
        <w:t xml:space="preserve">如</w:t>
      </w:r>
      <w:r>
        <w:rPr>
          <w:rFonts w:hint="eastAsia" w:ascii="宋体" w:hAnsi="宋体" w:eastAsia="宋体" w:cs="宋体"/>
          <w:color w:val="auto"/>
          <w:highlight w:val="none"/>
        </w:rPr>
        <w:t xml:space="preserve">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50"/>
        <w:ind w:left="0" w:firstLine="480"/>
        <w:keepLines w:val="0"/>
        <w:keepNext w:val="0"/>
        <w:pageBreakBefore w:val="0"/>
        <w:spacing w:beforeAutospacing="0" w:afterAutospacing="0"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50"/>
        <w:ind w:left="0" w:firstLine="482"/>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评标方法与评标标准</w:t>
      </w:r>
      <w:r/>
    </w:p>
    <w:tbl>
      <w:tblPr>
        <w:tblStyle w:val="640"/>
        <w:tblW w:w="8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116"/>
        <w:gridCol w:w="816"/>
        <w:gridCol w:w="6053"/>
      </w:tblGrid>
      <w:tr>
        <w:trPr>
          <w:trHeight w:val="390"/>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打分要求</w:t>
            </w:r>
            <w:r/>
          </w:p>
        </w:tc>
      </w:tr>
      <w:tr>
        <w:trPr>
          <w:trHeight w:val="447"/>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满足招标文件要求且投标价格最低的投标报价为基准价，其价格分为满分。报价得分=(评标基准价/投标报价)×</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p>
        </w:tc>
      </w:tr>
      <w:tr>
        <w:trPr>
          <w:trHeight w:val="403"/>
        </w:trPr>
        <w:tc>
          <w:tcPr>
            <w:tcBorders>
              <w:left w:val="single" w:color="auto" w:sz="4" w:space="0"/>
              <w:right w:val="single" w:color="auto"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p>
        </w:tc>
        <w:tc>
          <w:tcPr>
            <w:tcBorders>
              <w:left w:val="single" w:color="auto" w:sz="4" w:space="0"/>
              <w:right w:val="single" w:color="auto" w:sz="4" w:space="0"/>
            </w:tcBorders>
            <w:tcW w:w="11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设备保障</w:t>
            </w:r>
            <w:r/>
          </w:p>
        </w:tc>
        <w:tc>
          <w:tcPr>
            <w:tcBorders>
              <w:top w:val="single" w:color="auto" w:sz="4" w:space="0"/>
              <w:left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投标人具备建筑垃圾处理能力所需的设施、设备的：</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具有板链运输机的，得2分；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具有大件筛分机，得2分；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具有高弹筛，得2分；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具有风选机，得2分；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具有布袋除尘主机，得2分；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具有干雾抑尘主机，得2分；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提供设备购买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合同复印件、购买发票复印件、实拍照片和设备说明书复印件。</w:t>
            </w:r>
            <w:r>
              <w:rPr>
                <w:rFonts w:hint="eastAsia" w:ascii="宋体" w:hAnsi="宋体" w:eastAsia="宋体" w:cs="宋体"/>
                <w:color w:val="auto"/>
                <w:sz w:val="21"/>
                <w:szCs w:val="21"/>
                <w:highlight w:val="none"/>
                <w:lang w:val="en-US" w:eastAsia="zh-CN"/>
              </w:rPr>
              <w:t xml:space="preserve">（投标时提供上述材料的扫描件，未提供或提供不全的不得分。如为租赁，则需提供租赁合同或租赁意向书。）</w:t>
            </w:r>
            <w:r/>
          </w:p>
        </w:tc>
      </w:tr>
      <w:tr>
        <w:trPr>
          <w:trHeight w:val="2461"/>
        </w:trPr>
        <w:tc>
          <w:tcPr>
            <w:tcBorders>
              <w:left w:val="single" w:color="auto" w:sz="4" w:space="0"/>
              <w:right w:val="single" w:color="auto"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p>
        </w:tc>
        <w:tc>
          <w:tcPr>
            <w:tcBorders>
              <w:left w:val="single" w:color="auto" w:sz="4" w:space="0"/>
              <w:right w:val="single" w:color="auto" w:sz="4" w:space="0"/>
            </w:tcBorders>
            <w:tcW w:w="11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收运及资源化利用方案</w:t>
            </w:r>
            <w:r/>
          </w:p>
        </w:tc>
        <w:tc>
          <w:tcPr>
            <w:tcBorders>
              <w:top w:val="single" w:color="auto" w:sz="4" w:space="0"/>
              <w:left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收运及资源化利用方案根据投标人的收运及资源化利用方案进行打分，方案应当体现本项目的特点，分析得当、思路清晰、内容完整。</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供应商对本项目是否了解、</w:t>
            </w:r>
            <w:r>
              <w:rPr>
                <w:rFonts w:hint="eastAsia" w:ascii="宋体" w:hAnsi="宋体" w:eastAsia="宋体" w:cs="宋体"/>
                <w:color w:val="auto"/>
                <w:sz w:val="21"/>
                <w:szCs w:val="21"/>
                <w:highlight w:val="none"/>
                <w:lang w:val="en-US" w:eastAsia="zh-CN"/>
              </w:rPr>
              <w:t xml:space="preserve">重难点分析</w:t>
            </w:r>
            <w:r>
              <w:rPr>
                <w:rFonts w:hint="eastAsia" w:ascii="宋体" w:hAnsi="宋体" w:eastAsia="宋体" w:cs="宋体"/>
                <w:color w:val="auto"/>
                <w:sz w:val="21"/>
                <w:szCs w:val="21"/>
                <w:highlight w:val="none"/>
              </w:rPr>
              <w:t xml:space="preserve">是否</w:t>
            </w:r>
            <w:r>
              <w:rPr>
                <w:rFonts w:hint="eastAsia" w:ascii="宋体" w:hAnsi="宋体" w:eastAsia="宋体" w:cs="宋体"/>
                <w:color w:val="auto"/>
                <w:sz w:val="21"/>
                <w:szCs w:val="21"/>
                <w:highlight w:val="none"/>
                <w:lang w:val="en-US" w:eastAsia="zh-CN"/>
              </w:rPr>
              <w:t xml:space="preserve">把握精准</w:t>
            </w:r>
            <w:r>
              <w:rPr>
                <w:rFonts w:hint="eastAsia" w:ascii="宋体" w:hAnsi="宋体" w:eastAsia="宋体" w:cs="宋体"/>
                <w:color w:val="auto"/>
                <w:sz w:val="21"/>
                <w:szCs w:val="21"/>
                <w:highlight w:val="none"/>
              </w:rPr>
              <w:t xml:space="preserve">，评标委员会根据投标人的项目概况方案进行评审：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（1）供应商对工作完全了解、重难点分析把握精准的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（2）供应商对工作较为了解、重难点分析把握</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精准的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（3）供应商对工作简单了解、重难点分析把握模糊的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（4）未提供方案或提供的方案不符合项目要求的</w:t>
            </w:r>
            <w:r>
              <w:rPr>
                <w:rFonts w:hint="eastAsia" w:ascii="宋体" w:hAnsi="宋体" w:eastAsia="宋体" w:cs="宋体"/>
                <w:color w:val="auto"/>
                <w:sz w:val="21"/>
                <w:szCs w:val="21"/>
                <w:highlight w:val="none"/>
                <w:lang w:eastAsia="zh-CN"/>
              </w:rPr>
              <w:t xml:space="preserve">不得分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评标委员会对供应商投入建筑垃圾处理</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设备（破碎、筛选、再生产品生产及产品种类、除杂和环保等）及生产工艺技术情况进行</w:t>
            </w:r>
            <w:r>
              <w:rPr>
                <w:rFonts w:hint="eastAsia" w:ascii="宋体" w:hAnsi="宋体" w:eastAsia="宋体" w:cs="宋体"/>
                <w:color w:val="auto"/>
                <w:sz w:val="21"/>
                <w:szCs w:val="21"/>
                <w:highlight w:val="none"/>
                <w:lang w:val="en-US" w:eastAsia="zh-CN"/>
              </w:rPr>
              <w:t xml:space="preserve">综合评审：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设备齐全、处理能力强、生产工艺先进的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设备能满足基本需求、处理能力尚可，生产工艺一般的，得6分；</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（3）设备不能满足要求、处理能力不足、生产工艺较为落后的，得4分；</w:t>
            </w:r>
            <w:r/>
          </w:p>
          <w:p>
            <w:pPr>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（4）未提供方案或提供的方案不符合项目要求的</w:t>
            </w:r>
            <w:r>
              <w:rPr>
                <w:rFonts w:hint="eastAsia" w:ascii="宋体" w:hAnsi="宋体" w:eastAsia="宋体" w:cs="宋体"/>
                <w:color w:val="auto"/>
                <w:sz w:val="21"/>
                <w:szCs w:val="21"/>
                <w:highlight w:val="none"/>
                <w:lang w:eastAsia="zh-CN"/>
              </w:rPr>
              <w:t xml:space="preserve">不得分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评标委员会根据供应商提供的资源利用化率方案进行</w:t>
            </w:r>
            <w:r>
              <w:rPr>
                <w:rFonts w:hint="eastAsia" w:ascii="宋体" w:hAnsi="宋体" w:eastAsia="宋体" w:cs="宋体"/>
                <w:color w:val="auto"/>
                <w:sz w:val="21"/>
                <w:szCs w:val="21"/>
                <w:highlight w:val="none"/>
                <w:lang w:val="en-US" w:eastAsia="zh-CN"/>
              </w:rPr>
              <w:t xml:space="preserve">综合评审：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产品符合环保要求，资源利用率高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能够对拆建垃圾进行精细化的中高级利用，生产高品质的再生产品</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产品符合环保要求，资源利用率</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能够对拆建垃圾进行</w:t>
            </w:r>
            <w:r>
              <w:rPr>
                <w:rFonts w:hint="eastAsia" w:ascii="宋体" w:hAnsi="宋体" w:eastAsia="宋体" w:cs="宋体"/>
                <w:color w:val="auto"/>
                <w:sz w:val="21"/>
                <w:szCs w:val="21"/>
                <w:highlight w:val="none"/>
                <w:lang w:val="en-US" w:eastAsia="zh-CN"/>
              </w:rPr>
              <w:t xml:space="preserve">有效处理</w:t>
            </w:r>
            <w:r>
              <w:rPr>
                <w:rFonts w:hint="eastAsia" w:ascii="宋体" w:hAnsi="宋体" w:eastAsia="宋体" w:cs="宋体"/>
                <w:color w:val="auto"/>
                <w:sz w:val="21"/>
                <w:szCs w:val="21"/>
                <w:highlight w:val="none"/>
              </w:rPr>
              <w:t xml:space="preserve">，生产再生产品</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产品符合环保要求，资源利用率</w:t>
            </w:r>
            <w:r>
              <w:rPr>
                <w:rFonts w:hint="eastAsia" w:ascii="宋体" w:hAnsi="宋体" w:eastAsia="宋体" w:cs="宋体"/>
                <w:color w:val="auto"/>
                <w:sz w:val="21"/>
                <w:szCs w:val="21"/>
                <w:highlight w:val="none"/>
                <w:lang w:val="en-US" w:eastAsia="zh-CN"/>
              </w:rPr>
              <w:t xml:space="preserve">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能够对拆建垃圾进行</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利用，生产再生产品</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未提供方案或提供的方案不符合项目要求的</w:t>
            </w:r>
            <w:r>
              <w:rPr>
                <w:rFonts w:hint="eastAsia" w:ascii="宋体" w:hAnsi="宋体" w:eastAsia="宋体" w:cs="宋体"/>
                <w:color w:val="auto"/>
                <w:sz w:val="21"/>
                <w:szCs w:val="21"/>
                <w:highlight w:val="none"/>
                <w:lang w:eastAsia="zh-CN"/>
              </w:rPr>
              <w:t xml:space="preserve">不得分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供应商提供的环保方案（含工厂建设、环保措施、噪音、废水废气排放等）进行</w:t>
            </w:r>
            <w:r>
              <w:rPr>
                <w:rFonts w:hint="eastAsia" w:ascii="宋体" w:hAnsi="宋体" w:eastAsia="宋体" w:cs="宋体"/>
                <w:color w:val="auto"/>
                <w:sz w:val="21"/>
                <w:szCs w:val="21"/>
                <w:highlight w:val="none"/>
                <w:lang w:val="en-US" w:eastAsia="zh-CN"/>
              </w:rPr>
              <w:t xml:space="preserve">综合评审：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切实</w:t>
            </w:r>
            <w:r>
              <w:rPr>
                <w:rFonts w:hint="eastAsia" w:ascii="宋体" w:hAnsi="宋体" w:eastAsia="宋体" w:cs="宋体"/>
                <w:color w:val="auto"/>
                <w:sz w:val="21"/>
                <w:szCs w:val="21"/>
                <w:highlight w:val="none"/>
              </w:rPr>
              <w:t xml:space="preserve">可行、科学合理，符合环保要求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得8</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可执行程度一般</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合理，符合环保要求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得6</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可执行程度低</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val="en-US" w:eastAsia="zh-CN"/>
              </w:rPr>
              <w:t xml:space="preserve">性不强</w:t>
            </w:r>
            <w:r>
              <w:rPr>
                <w:rFonts w:hint="eastAsia" w:ascii="宋体" w:hAnsi="宋体" w:eastAsia="宋体" w:cs="宋体"/>
                <w:color w:val="auto"/>
                <w:sz w:val="21"/>
                <w:szCs w:val="21"/>
                <w:highlight w:val="none"/>
              </w:rPr>
              <w:t xml:space="preserve">，符合环保要求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得4</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未提供方案或提供的方案不符合项目要求的</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供应商提供的运营管理方案进行</w:t>
            </w:r>
            <w:r>
              <w:rPr>
                <w:rFonts w:hint="eastAsia" w:ascii="宋体" w:hAnsi="宋体" w:eastAsia="宋体" w:cs="宋体"/>
                <w:color w:val="auto"/>
                <w:sz w:val="21"/>
                <w:szCs w:val="21"/>
                <w:highlight w:val="none"/>
                <w:lang w:val="en-US" w:eastAsia="zh-CN"/>
              </w:rPr>
              <w:t xml:space="preserve">综合评审：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具备标准化的企业运营管理制度，在日常生产运营方面具有丰富经验和有效措施，</w:t>
            </w:r>
            <w:r>
              <w:rPr>
                <w:rFonts w:hint="eastAsia" w:ascii="宋体" w:hAnsi="宋体" w:eastAsia="宋体" w:cs="宋体"/>
                <w:color w:val="auto"/>
                <w:sz w:val="21"/>
                <w:szCs w:val="21"/>
                <w:highlight w:val="none"/>
                <w:lang w:val="en-US" w:eastAsia="zh-CN"/>
              </w:rPr>
              <w:t xml:space="preserve">能够</w:t>
            </w:r>
            <w:r>
              <w:rPr>
                <w:rFonts w:hint="eastAsia" w:ascii="宋体" w:hAnsi="宋体" w:eastAsia="宋体" w:cs="宋体"/>
                <w:color w:val="auto"/>
                <w:sz w:val="21"/>
                <w:szCs w:val="21"/>
                <w:highlight w:val="none"/>
              </w:rPr>
              <w:t xml:space="preserve">保障本项目安全、稳定、高效运营</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得7分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lang w:val="en-US" w:eastAsia="zh-CN"/>
              </w:rPr>
              <w:t xml:space="preserve">基本的</w:t>
            </w:r>
            <w:r>
              <w:rPr>
                <w:rFonts w:hint="eastAsia" w:ascii="宋体" w:hAnsi="宋体" w:eastAsia="宋体" w:cs="宋体"/>
                <w:color w:val="auto"/>
                <w:sz w:val="21"/>
                <w:szCs w:val="21"/>
                <w:highlight w:val="none"/>
              </w:rPr>
              <w:t xml:space="preserve">企业运营管理制度，在日常生产运营方面具有</w:t>
            </w:r>
            <w:r>
              <w:rPr>
                <w:rFonts w:hint="eastAsia" w:ascii="宋体" w:hAnsi="宋体" w:eastAsia="宋体" w:cs="宋体"/>
                <w:color w:val="auto"/>
                <w:sz w:val="21"/>
                <w:szCs w:val="21"/>
                <w:highlight w:val="none"/>
                <w:lang w:val="en-US" w:eastAsia="zh-CN"/>
              </w:rPr>
              <w:t xml:space="preserve">一定的</w:t>
            </w:r>
            <w:r>
              <w:rPr>
                <w:rFonts w:hint="eastAsia" w:ascii="宋体" w:hAnsi="宋体" w:eastAsia="宋体" w:cs="宋体"/>
                <w:color w:val="auto"/>
                <w:sz w:val="21"/>
                <w:szCs w:val="21"/>
                <w:highlight w:val="none"/>
              </w:rPr>
              <w:t xml:space="preserve">经验和</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措施，</w:t>
            </w:r>
            <w:r>
              <w:rPr>
                <w:rFonts w:hint="eastAsia" w:ascii="宋体" w:hAnsi="宋体" w:eastAsia="宋体" w:cs="宋体"/>
                <w:color w:val="auto"/>
                <w:sz w:val="21"/>
                <w:szCs w:val="21"/>
                <w:highlight w:val="none"/>
                <w:lang w:val="en-US" w:eastAsia="zh-CN"/>
              </w:rPr>
              <w:t xml:space="preserve">能够</w:t>
            </w:r>
            <w:r>
              <w:rPr>
                <w:rFonts w:hint="eastAsia" w:ascii="宋体" w:hAnsi="宋体" w:eastAsia="宋体" w:cs="宋体"/>
                <w:color w:val="auto"/>
                <w:sz w:val="21"/>
                <w:szCs w:val="21"/>
                <w:highlight w:val="none"/>
              </w:rPr>
              <w:t xml:space="preserve">保障本项目运营</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得5分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企业运营管理制度</w:t>
            </w:r>
            <w:r>
              <w:rPr>
                <w:rFonts w:hint="eastAsia" w:ascii="宋体" w:hAnsi="宋体" w:eastAsia="宋体" w:cs="宋体"/>
                <w:color w:val="auto"/>
                <w:sz w:val="21"/>
                <w:szCs w:val="21"/>
                <w:highlight w:val="none"/>
                <w:lang w:val="en-US" w:eastAsia="zh-CN"/>
              </w:rPr>
              <w:t xml:space="preserve">不完备</w:t>
            </w:r>
            <w:r>
              <w:rPr>
                <w:rFonts w:hint="eastAsia" w:ascii="宋体" w:hAnsi="宋体" w:eastAsia="宋体" w:cs="宋体"/>
                <w:color w:val="auto"/>
                <w:sz w:val="21"/>
                <w:szCs w:val="21"/>
                <w:highlight w:val="none"/>
              </w:rPr>
              <w:t xml:space="preserve">，在日常生产运营方面经验和措施</w:t>
            </w:r>
            <w:r>
              <w:rPr>
                <w:rFonts w:hint="eastAsia" w:ascii="宋体" w:hAnsi="宋体" w:eastAsia="宋体" w:cs="宋体"/>
                <w:color w:val="auto"/>
                <w:sz w:val="21"/>
                <w:szCs w:val="21"/>
                <w:highlight w:val="none"/>
                <w:lang w:val="en-US" w:eastAsia="zh-CN"/>
              </w:rPr>
              <w:t xml:space="preserve">不足</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能够</w:t>
            </w:r>
            <w:r>
              <w:rPr>
                <w:rFonts w:hint="eastAsia" w:ascii="宋体" w:hAnsi="宋体" w:eastAsia="宋体" w:cs="宋体"/>
                <w:color w:val="auto"/>
                <w:sz w:val="21"/>
                <w:szCs w:val="21"/>
                <w:highlight w:val="none"/>
              </w:rPr>
              <w:t xml:space="preserve">保障本项目</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运营</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未提供方案或提供的方案不符合项目要求的</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供应商提供的应急方案（节假日，各类恶劣、灾害性天气及突发事情的应急）进行</w:t>
            </w:r>
            <w:r>
              <w:rPr>
                <w:rFonts w:hint="eastAsia" w:ascii="宋体" w:hAnsi="宋体" w:eastAsia="宋体" w:cs="宋体"/>
                <w:color w:val="auto"/>
                <w:sz w:val="21"/>
                <w:szCs w:val="21"/>
                <w:highlight w:val="none"/>
                <w:lang w:val="en-US" w:eastAsia="zh-CN"/>
              </w:rPr>
              <w:t xml:space="preserve">综合评审：</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描述</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val="en-US" w:eastAsia="zh-CN"/>
              </w:rPr>
              <w:t xml:space="preserve">处置及时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应急方案</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得7分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描述较为</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val="en-US" w:eastAsia="zh-CN"/>
              </w:rPr>
              <w:t xml:space="preserve">处置时效一般</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应急方案</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得5分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描述存在不足</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处置不及时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应急方案存在漏洞</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未提供方案或提供的方案不符合项目要求的</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tc>
      </w:tr>
      <w:tr>
        <w:trPr>
          <w:trHeight w:val="1416"/>
        </w:trPr>
        <w:tc>
          <w:tcPr>
            <w:tcBorders>
              <w:left w:val="single" w:color="auto" w:sz="4" w:space="0"/>
              <w:right w:val="single" w:color="auto" w:sz="4" w:space="0"/>
            </w:tcBorders>
            <w:tcW w:w="57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w:t>
            </w:r>
            <w:r/>
          </w:p>
        </w:tc>
        <w:tc>
          <w:tcPr>
            <w:tcBorders>
              <w:left w:val="single" w:color="auto" w:sz="4" w:space="0"/>
              <w:right w:val="single" w:color="auto" w:sz="4" w:space="0"/>
            </w:tcBorders>
            <w:tcW w:w="111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企业实力</w:t>
            </w:r>
            <w:r/>
          </w:p>
        </w:tc>
        <w:tc>
          <w:tcPr>
            <w:tcBorders>
              <w:top w:val="single" w:color="auto" w:sz="4" w:space="0"/>
              <w:left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1.投标人具有有效期内的工作场所职业病危害因素检测报告的，得2分，本项最多得2分。（投标时提供检测报告扫描件并加盖投标人公章，未提供的不得分）</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2.投标人生产的资源化利用产品项目具有环保部门出具的环境影响报告批复或审批意见的得3分，本项最多得3分。（投标时提供证书扫描件，未提供的不得分）</w:t>
            </w:r>
            <w:r/>
          </w:p>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3.投标人具有有效期内的安全生产标准化证书的得3分，本项最多得3分。（投标时提供证书扫描件，未提供的不得分）</w:t>
            </w:r>
            <w:r/>
          </w:p>
        </w:tc>
      </w:tr>
      <w:tr>
        <w:trPr>
          <w:trHeight w:val="766"/>
        </w:trPr>
        <w:tc>
          <w:tcPr>
            <w:tcBorders>
              <w:left w:val="single" w:color="auto" w:sz="4" w:space="0"/>
              <w:right w:val="single" w:color="auto" w:sz="4" w:space="0"/>
            </w:tcBorders>
            <w:tcW w:w="57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w:t>
            </w:r>
            <w:r/>
          </w:p>
        </w:tc>
        <w:tc>
          <w:tcPr>
            <w:tcBorders>
              <w:left w:val="single" w:color="auto" w:sz="4" w:space="0"/>
              <w:right w:val="single" w:color="auto" w:sz="4" w:space="0"/>
            </w:tcBorders>
            <w:tcW w:w="111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业绩</w:t>
            </w:r>
            <w:r/>
          </w:p>
        </w:tc>
        <w:tc>
          <w:tcPr>
            <w:tcBorders>
              <w:top w:val="single" w:color="auto" w:sz="4" w:space="0"/>
              <w:left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年1月1日以来（以合同签订时间为准）签订的</w:t>
            </w:r>
            <w:r>
              <w:rPr>
                <w:rFonts w:hint="eastAsia" w:ascii="宋体" w:hAnsi="宋体" w:eastAsia="宋体" w:cs="宋体"/>
                <w:color w:val="auto"/>
                <w:sz w:val="21"/>
                <w:szCs w:val="21"/>
                <w:highlight w:val="none"/>
                <w:lang w:val="en-US" w:eastAsia="zh-CN"/>
              </w:rPr>
              <w:t xml:space="preserve">类似建筑垃圾处置</w:t>
            </w:r>
            <w:r>
              <w:rPr>
                <w:rFonts w:hint="eastAsia" w:ascii="宋体" w:hAnsi="宋体" w:eastAsia="宋体" w:cs="宋体"/>
                <w:color w:val="auto"/>
                <w:sz w:val="21"/>
                <w:szCs w:val="21"/>
                <w:highlight w:val="none"/>
              </w:rPr>
              <w:t xml:space="preserve">业绩的，有一个得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分。（需提供合同复印件、</w:t>
            </w:r>
            <w:r>
              <w:rPr>
                <w:rFonts w:hint="eastAsia" w:ascii="宋体" w:hAnsi="宋体" w:eastAsia="宋体" w:cs="宋体"/>
                <w:color w:val="auto"/>
                <w:sz w:val="21"/>
                <w:szCs w:val="21"/>
                <w:highlight w:val="none"/>
                <w:lang w:val="en-US" w:eastAsia="zh-CN"/>
              </w:rPr>
              <w:t xml:space="preserve">增值税发票</w:t>
            </w:r>
            <w:r>
              <w:rPr>
                <w:rFonts w:hint="eastAsia" w:ascii="宋体" w:hAnsi="宋体" w:eastAsia="宋体" w:cs="宋体"/>
                <w:color w:val="auto"/>
                <w:sz w:val="21"/>
                <w:szCs w:val="21"/>
                <w:highlight w:val="none"/>
              </w:rPr>
              <w:t xml:space="preserve">，未提供或提供不全的不得分）</w:t>
            </w:r>
            <w:r/>
          </w:p>
        </w:tc>
      </w:tr>
      <w:tr>
        <w:trPr>
          <w:trHeight w:val="1987"/>
        </w:trPr>
        <w:tc>
          <w:tcPr>
            <w:tcBorders>
              <w:left w:val="single" w:color="auto" w:sz="4" w:space="0"/>
              <w:right w:val="single" w:color="auto" w:sz="4" w:space="0"/>
            </w:tcBorders>
            <w:tcW w:w="57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六</w:t>
            </w:r>
            <w:r/>
          </w:p>
        </w:tc>
        <w:tc>
          <w:tcPr>
            <w:tcBorders>
              <w:left w:val="single" w:color="auto" w:sz="4" w:space="0"/>
              <w:right w:val="single" w:color="auto" w:sz="4" w:space="0"/>
            </w:tcBorders>
            <w:tcW w:w="11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再生产品生产、销售方案及能力</w:t>
            </w:r>
            <w:r/>
          </w:p>
        </w:tc>
        <w:tc>
          <w:tcPr>
            <w:tcBorders>
              <w:top w:val="single" w:color="auto" w:sz="4" w:space="0"/>
              <w:left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val="en-US" w:eastAsia="zh-CN"/>
              </w:rPr>
              <w:t xml:space="preserve">提供的</w:t>
            </w:r>
            <w:r>
              <w:rPr>
                <w:rFonts w:hint="eastAsia" w:ascii="宋体" w:hAnsi="宋体" w:eastAsia="宋体" w:cs="宋体"/>
                <w:color w:val="auto"/>
                <w:sz w:val="21"/>
                <w:szCs w:val="21"/>
                <w:highlight w:val="none"/>
              </w:rPr>
              <w:t xml:space="preserve">再生产品生产、销售方案及能力进行</w:t>
            </w:r>
            <w:r>
              <w:rPr>
                <w:rFonts w:hint="eastAsia" w:ascii="宋体" w:hAnsi="宋体" w:eastAsia="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eastAsia="zh-CN"/>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描述</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val="en-US" w:eastAsia="zh-CN"/>
              </w:rPr>
              <w:t xml:space="preserve">妥善</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生产及销售能力完善</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得6分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描述较为完整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具有一定的</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生产及销售能力一般的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得4分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描述存在疏漏</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性低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生产及销售能力不足的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rPr>
              <w:t xml:space="preserve">。</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未提供方案或提供的方案不符合项目要求的</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tc>
      </w:tr>
      <w:tr>
        <w:trPr>
          <w:trHeight w:val="204"/>
        </w:trPr>
        <w:tc>
          <w:tcPr>
            <w:tcBorders>
              <w:left w:val="single" w:color="auto" w:sz="4" w:space="0"/>
              <w:right w:val="single" w:color="auto" w:sz="4" w:space="0"/>
            </w:tcBorders>
            <w:tcW w:w="57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七</w:t>
            </w:r>
            <w:r/>
          </w:p>
        </w:tc>
        <w:tc>
          <w:tcPr>
            <w:tcBorders>
              <w:left w:val="single" w:color="auto" w:sz="4" w:space="0"/>
              <w:right w:val="single" w:color="auto" w:sz="4" w:space="0"/>
            </w:tcBorders>
            <w:tcW w:w="11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服务承诺</w:t>
            </w:r>
            <w:r/>
          </w:p>
        </w:tc>
        <w:tc>
          <w:tcPr>
            <w:tcBorders>
              <w:top w:val="single" w:color="auto" w:sz="4" w:space="0"/>
              <w:left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投标人承诺资源化利用率≥90%的，得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r>
    </w:tbl>
    <w:p>
      <w:pPr>
        <w:ind w:firstLine="480"/>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说明：</w:t>
      </w:r>
      <w:r/>
    </w:p>
    <w:p>
      <w:pPr>
        <w:ind w:firstLine="480"/>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（1）所有打分项均以投标人所提供的投标文件进行打分，投标文件中未提及的不予认可，投标文件提交截止时间后不得修改或补充投标文件。</w:t>
      </w:r>
      <w:r/>
    </w:p>
    <w:p>
      <w:pPr>
        <w:ind w:firstLine="48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2"/>
          <w:highlight w:val="none"/>
          <w:lang w:val="en-US" w:eastAsia="zh-CN" w:bidi="ar-SA"/>
        </w:rPr>
        <w:t xml:space="preserve">（2）投标人的最终得分为所有评委打分的平均值，计算结果保留至小数点后两位。</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color w:val="auto"/>
          <w:highlight w:val="none"/>
        </w:rPr>
        <w:t xml:space="preserve"> </w:t>
      </w:r>
      <w:bookmarkStart w:id="184" w:name="_Toc10935"/>
      <w:r/>
      <w:bookmarkStart w:id="185" w:name="_Toc120614282"/>
      <w:r/>
      <w:bookmarkStart w:id="186" w:name="_Toc49090576"/>
      <w:r/>
      <w:r/>
    </w:p>
    <w:p>
      <w:pPr>
        <w:pStyle w:val="650"/>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50"/>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50"/>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50"/>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投标文件格式</w:t>
      </w:r>
      <w:bookmarkEnd w:id="184"/>
      <w:r>
        <w:rPr>
          <w:rFonts w:hint="eastAsia" w:ascii="黑体" w:hAnsi="宋体" w:eastAsia="黑体" w:cs="黑体"/>
          <w:color w:val="auto"/>
          <w:sz w:val="44"/>
          <w:szCs w:val="44"/>
          <w:highlight w:val="none"/>
        </w:rPr>
        <w:t xml:space="preserve"> </w:t>
      </w:r>
      <w:r/>
    </w:p>
    <w:p>
      <w:pPr>
        <w:pStyle w:val="650"/>
        <w:jc w:val="both"/>
        <w:spacing w:beforeAutospacing="0" w:afterAutospacing="0"/>
        <w:rPr>
          <w:rFonts w:hint="eastAsia" w:ascii="宋体" w:hAnsi="宋体" w:eastAsia="宋体" w:cs="宋体"/>
          <w:b/>
          <w:color w:val="auto"/>
          <w:sz w:val="72"/>
          <w:szCs w:val="72"/>
          <w:highlight w:val="none"/>
        </w:rPr>
      </w:pPr>
      <w:r/>
      <w:bookmarkStart w:id="187" w:name="_Hlt26671244"/>
      <w:r/>
      <w:bookmarkEnd w:id="187"/>
      <w:r/>
      <w:bookmarkStart w:id="188" w:name="_Hlt26955039"/>
      <w:r/>
      <w:bookmarkEnd w:id="188"/>
      <w:r/>
      <w:bookmarkStart w:id="189" w:name="_Toc26554094"/>
      <w:r/>
      <w:bookmarkEnd w:id="189"/>
      <w:r/>
      <w:r/>
    </w:p>
    <w:p>
      <w:pPr>
        <w:pStyle w:val="65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0"/>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50"/>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5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rPr>
          <w:rFonts w:hint="eastAsia" w:ascii="宋体" w:hAnsi="宋体" w:eastAsia="宋体" w:cs="宋体"/>
          <w:b/>
          <w:color w:val="auto"/>
          <w:sz w:val="36"/>
          <w:szCs w:val="36"/>
          <w:highlight w:val="none"/>
          <w:u w:val="single"/>
        </w:rPr>
        <w:t xml:space="preserve">  </w:t>
      </w:r>
      <w:r/>
    </w:p>
    <w:p>
      <w:pPr>
        <w:pStyle w:val="65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0"/>
        <w:jc w:val="left"/>
        <w:keepLines w:val="0"/>
        <w:keepNext w:val="0"/>
        <w:pageBreakBefore w:val="0"/>
        <w:spacing w:line="48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二、上一年度的财务状况报告（至少提供资产负债表、利润表、现金流量表，投标人成立不满一年无需提供）</w:t>
      </w:r>
      <w:r/>
    </w:p>
    <w:p>
      <w:pPr>
        <w:pStyle w:val="650"/>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50"/>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0"/>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50"/>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六、法人授权书</w:t>
      </w:r>
      <w:r/>
    </w:p>
    <w:p>
      <w:pPr>
        <w:pStyle w:val="650"/>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、投标函</w:t>
      </w:r>
      <w:r/>
    </w:p>
    <w:p>
      <w:pPr>
        <w:pStyle w:val="650"/>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企业声明函（服务）</w:t>
      </w:r>
      <w:r/>
    </w:p>
    <w:p>
      <w:pPr>
        <w:pStyle w:val="650"/>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、残疾人福利性单位声明函（如有）</w:t>
      </w:r>
      <w:r/>
    </w:p>
    <w:p>
      <w:pPr>
        <w:pStyle w:val="650"/>
        <w:ind w:left="0" w:firstLine="0"/>
        <w:jc w:val="both"/>
        <w:keepLines w:val="0"/>
        <w:keepNext w:val="0"/>
        <w:pageBreakBefore w:val="0"/>
        <w:spacing w:beforeAutospacing="0" w:afterAutospacing="0" w:line="480" w:lineRule="exact"/>
        <w:widowControl w:val="off"/>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w:t>
      </w:r>
      <w:r>
        <w:rPr>
          <w:rFonts w:hint="eastAsia" w:ascii="宋体" w:hAnsi="宋体" w:eastAsia="宋体" w:cs="宋体"/>
          <w:i w:val="0"/>
          <w:iCs/>
          <w:color w:val="auto"/>
          <w:highlight w:val="none"/>
          <w:u w:val="none"/>
        </w:rPr>
        <w:t xml:space="preserve">投标报价表</w:t>
      </w:r>
      <w:r/>
    </w:p>
    <w:p>
      <w:pPr>
        <w:pStyle w:val="650"/>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、盐城市政府采购事前信用承诺书</w:t>
      </w:r>
      <w:r/>
    </w:p>
    <w:p>
      <w:pPr>
        <w:pStyle w:val="650"/>
        <w:ind w:left="0" w:firstLine="0"/>
        <w:jc w:val="both"/>
        <w:keepLines w:val="0"/>
        <w:keepNext w:val="0"/>
        <w:pageBreakBefore w:val="0"/>
        <w:spacing w:beforeAutospacing="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、与评审有关的其他资料</w:t>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5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50"/>
        <w:ind w:firstLine="48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650"/>
        <w:ind w:firstLine="480"/>
        <w:jc w:val="both"/>
        <w:spacing w:beforeAutospacing="0" w:afterAutospacing="0" w:line="0" w:lineRule="atLeast"/>
        <w:rPr>
          <w:color w:val="auto"/>
          <w:highlight w:val="none"/>
        </w:rPr>
      </w:pPr>
      <w:r>
        <w:rPr>
          <w:color w:val="auto"/>
          <w:highlight w:val="none"/>
        </w:rPr>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50"/>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0"/>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650"/>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0"/>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50"/>
        <w:ind w:firstLine="480"/>
        <w:jc w:val="both"/>
        <w:spacing w:beforeAutospacing="0" w:afterAutospacing="0"/>
        <w:rPr>
          <w:rFonts w:hint="eastAsia" w:ascii="宋体" w:hAnsi="宋体" w:eastAsia="宋体" w:cs="宋体"/>
          <w:color w:val="auto"/>
          <w:highlight w:val="none"/>
        </w:rPr>
      </w:pPr>
      <w:r/>
      <w:bookmarkStart w:id="190"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65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50"/>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6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rPr>
          <w:color w:val="auto"/>
          <w:highlight w:val="none"/>
        </w:rPr>
      </w:r>
    </w:p>
    <w:p>
      <w:pPr>
        <w:pStyle w:val="650"/>
        <w:jc w:val="both"/>
        <w:spacing w:beforeAutospacing="0" w:afterAutospacing="0"/>
        <w:rPr>
          <w:color w:val="auto"/>
          <w:highlight w:val="none"/>
        </w:rPr>
      </w:pPr>
      <w:r>
        <w:rPr>
          <w:color w:val="auto"/>
          <w:highlight w:val="none"/>
        </w:rPr>
      </w:r>
      <w:r>
        <w:rPr>
          <w:color w:val="auto"/>
          <w:highlight w:val="none"/>
        </w:rPr>
      </w:r>
    </w:p>
    <w:p>
      <w:pPr>
        <w:pStyle w:val="650"/>
        <w:jc w:val="both"/>
        <w:spacing w:beforeAutospacing="0" w:afterAutospacing="0"/>
        <w:rPr>
          <w:color w:val="auto"/>
          <w:highlight w:val="none"/>
        </w:rPr>
      </w:pPr>
      <w:r>
        <w:rPr>
          <w:color w:val="auto"/>
          <w:highlight w:val="none"/>
        </w:rPr>
      </w:r>
      <w:r>
        <w:rPr>
          <w:color w:val="auto"/>
          <w:highlight w:val="none"/>
        </w:rPr>
      </w:r>
    </w:p>
    <w:p>
      <w:pPr>
        <w:pStyle w:val="650"/>
        <w:jc w:val="both"/>
        <w:spacing w:beforeAutospacing="0" w:afterAutospacing="0"/>
        <w:rPr>
          <w:color w:val="auto"/>
          <w:highlight w:val="none"/>
        </w:rPr>
      </w:pPr>
      <w:r>
        <w:rPr>
          <w:color w:val="auto"/>
          <w:highlight w:val="none"/>
        </w:rPr>
      </w:r>
      <w:r>
        <w:rPr>
          <w:color w:val="auto"/>
          <w:highlight w:val="none"/>
        </w:rP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center"/>
        <w:spacing w:beforeAutospacing="0" w:afterAutospacing="0"/>
        <w:rPr>
          <w:i w:val="0"/>
          <w:iCs/>
          <w:color w:val="auto"/>
          <w:highlight w:val="none"/>
          <w:u w:val="none"/>
        </w:rPr>
      </w:pPr>
      <w:r>
        <w:rPr>
          <w:rFonts w:hint="eastAsia" w:ascii="黑体" w:hAnsi="宋体" w:eastAsia="黑体" w:cs="黑体"/>
          <w:i/>
          <w:color w:val="auto"/>
          <w:sz w:val="32"/>
          <w:szCs w:val="32"/>
          <w:highlight w:val="none"/>
          <w:u w:val="none"/>
        </w:rPr>
        <w:t xml:space="preserve">六、</w:t>
      </w:r>
      <w:r>
        <w:rPr>
          <w:rFonts w:hint="eastAsia" w:ascii="黑体" w:hAnsi="宋体" w:eastAsia="黑体" w:cs="黑体"/>
          <w:i w:val="0"/>
          <w:iCs/>
          <w:color w:val="auto"/>
          <w:sz w:val="32"/>
          <w:szCs w:val="32"/>
          <w:highlight w:val="none"/>
          <w:u w:val="none"/>
        </w:rPr>
        <w:t xml:space="preserve">法人授权书</w:t>
      </w:r>
      <w:r/>
    </w:p>
    <w:p>
      <w:pPr>
        <w:pStyle w:val="650"/>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本授权书声明：____________（投标人名称）授权____________（被授权人的姓名）为我方就</w:t>
      </w:r>
      <w:r>
        <w:rPr>
          <w:rFonts w:hint="eastAsia" w:ascii="Times New Roman" w:hAnsi="Times New Roman"/>
          <w:color w:val="auto"/>
          <w:highlight w:val="none"/>
          <w:lang w:val="en-US" w:eastAsia="zh-CN"/>
        </w:rPr>
        <w:t xml:space="preserve">编号</w:t>
      </w:r>
      <w:r>
        <w:rPr>
          <w:rFonts w:hint="eastAsia" w:ascii="Times New Roman" w:hAnsi="Times New Roman"/>
          <w:color w:val="auto"/>
          <w:highlight w:val="none"/>
          <w:lang w:eastAsia="zh-CN"/>
        </w:rPr>
        <w:t xml:space="preserve">的</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rPr>
        <w:t xml:space="preserve">项目采购活动的合法代理人，以本单位名义全权处理一切与该项目采购有关的事务。</w:t>
      </w:r>
      <w:r/>
    </w:p>
    <w:p>
      <w:pPr>
        <w:pStyle w:val="650"/>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本授权书于______年____月____日起生效，特此声明。</w:t>
      </w:r>
      <w:r/>
    </w:p>
    <w:p>
      <w:pPr>
        <w:pStyle w:val="650"/>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p>
    <w:p>
      <w:pPr>
        <w:pStyle w:val="650"/>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650"/>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hint="eastAsia" w:ascii="Times New Roman" w:hAnsi="Times New Roman"/>
          <w:color w:val="auto"/>
          <w:highlight w:val="none"/>
          <w:u w:val="none"/>
        </w:rPr>
        <w:t xml:space="preserve">法定代表人或被授权人（签字或盖章）：</w:t>
      </w:r>
      <w:r>
        <w:rPr>
          <w:rFonts w:hint="eastAsia" w:ascii="Times New Roman" w:hAnsi="Times New Roman"/>
          <w:color w:val="auto"/>
          <w:highlight w:val="none"/>
          <w:u w:val="single"/>
        </w:rPr>
        <w:t xml:space="preserve">                 </w:t>
      </w:r>
      <w:r/>
    </w:p>
    <w:p>
      <w:pPr>
        <w:pStyle w:val="650"/>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50"/>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650"/>
        <w:ind w:firstLine="480"/>
        <w:jc w:val="both"/>
        <w:keepLines w:val="0"/>
        <w:keepNext w:val="0"/>
        <w:pageBreakBefore w:val="0"/>
        <w:spacing w:beforeAutospacing="0" w:afterAutospacing="0" w:line="480" w:lineRule="exact"/>
        <w:widowControl w:val="off"/>
        <w:tabs>
          <w:tab w:val="left" w:pos="360" w:leader="none"/>
        </w:tabs>
        <w:rPr>
          <w:color w:val="auto"/>
          <w:highlight w:val="none"/>
        </w:rPr>
      </w:pPr>
      <w:r>
        <w:rPr>
          <w:rFonts w:ascii="Times New Roman" w:hAnsi="Times New Roman"/>
          <w:color w:val="auto"/>
          <w:highlight w:val="none"/>
        </w:rPr>
        <w:t xml:space="preserve">日期：</w:t>
      </w:r>
      <w:bookmarkStart w:id="191" w:name="_格式3__银行出具的资信证明"/>
      <w:r/>
      <w:bookmarkStart w:id="192" w:name="_Hlt26671380"/>
      <w:r/>
      <w:bookmarkStart w:id="193" w:name="_Hlt26955070"/>
      <w:r>
        <w:rPr>
          <w:rFonts w:ascii="Times New Roman" w:hAnsi="Times New Roman"/>
          <w:color w:val="auto"/>
          <w:highlight w:val="none"/>
          <w:u w:val="single"/>
        </w:rPr>
        <w:t xml:space="preserve">                                         </w:t>
      </w:r>
      <w:r/>
    </w:p>
    <w:p>
      <w:pPr>
        <w:pStyle w:val="650"/>
        <w:jc w:val="both"/>
        <w:spacing w:beforeAutospacing="0" w:afterAutospacing="0"/>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r>
      <w:r/>
    </w:p>
    <w:p>
      <w:pPr>
        <w:pStyle w:val="650"/>
        <w:jc w:val="both"/>
        <w:spacing w:beforeAutospacing="0" w:afterAutospacing="0"/>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r>
      <w:r/>
    </w:p>
    <w:p>
      <w:pPr>
        <w:pStyle w:val="650"/>
        <w:jc w:val="both"/>
        <w:keepLines w:val="0"/>
        <w:keepNext w:val="0"/>
        <w:pageBreakBefore w:val="0"/>
        <w:spacing w:beforeAutospacing="0" w:afterAutospacing="0" w:line="480" w:lineRule="exact"/>
        <w:widowControl w:val="off"/>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t xml:space="preserve">（附：被授权人身份证正反面复印件）</w:t>
      </w:r>
      <w:r/>
    </w:p>
    <w:p>
      <w:pPr>
        <w:pStyle w:val="650"/>
        <w:ind w:firstLine="960"/>
        <w:jc w:val="both"/>
        <w:keepLines w:val="0"/>
        <w:keepNext w:val="0"/>
        <w:pageBreakBefore w:val="0"/>
        <w:spacing w:beforeAutospacing="0" w:afterAutospacing="0" w:line="480" w:lineRule="exact"/>
        <w:widowControl w:val="off"/>
        <w:tabs>
          <w:tab w:val="left" w:pos="360" w:leader="none"/>
        </w:tabs>
        <w:rPr>
          <w:rFonts w:hint="eastAsia" w:ascii="Times New Roman" w:hAnsi="Times New Roman"/>
          <w:color w:val="auto"/>
          <w:highlight w:val="none"/>
        </w:rPr>
      </w:pPr>
      <w:r>
        <w:rPr>
          <w:rFonts w:hint="eastAsia" w:ascii="Times New Roman" w:hAnsi="Times New Roman"/>
          <w:color w:val="auto"/>
          <w:highlight w:val="none"/>
        </w:rPr>
      </w:r>
      <w:r/>
    </w:p>
    <w:p>
      <w:pPr>
        <w:pStyle w:val="650"/>
        <w:ind w:firstLine="960"/>
        <w:jc w:val="both"/>
        <w:keepLines w:val="0"/>
        <w:keepNext w:val="0"/>
        <w:pageBreakBefore w:val="0"/>
        <w:spacing w:beforeAutospacing="0" w:afterAutospacing="0" w:line="480" w:lineRule="exact"/>
        <w:widowControl w:val="off"/>
        <w:tabs>
          <w:tab w:val="left" w:pos="360" w:leader="none"/>
        </w:tabs>
        <w:rPr>
          <w:rFonts w:hint="default" w:ascii="Times New Roman" w:hAnsi="Times New Roman"/>
          <w:color w:val="auto"/>
          <w:highlight w:val="none"/>
        </w:rPr>
      </w:pPr>
      <w:r>
        <w:rPr>
          <w:rFonts w:hint="eastAsia" w:ascii="Times New Roman" w:hAnsi="Times New Roman"/>
          <w:color w:val="auto"/>
          <w:highlight w:val="none"/>
        </w:rPr>
        <w:t xml:space="preserve">注：法</w:t>
      </w:r>
      <w:r>
        <w:rPr>
          <w:rFonts w:hint="eastAsia" w:ascii="Times New Roman" w:hAnsi="Times New Roman"/>
          <w:color w:val="auto"/>
          <w:highlight w:val="none"/>
          <w:lang w:eastAsia="zh-CN"/>
        </w:rPr>
        <w:t xml:space="preserve">定代表</w:t>
      </w:r>
      <w:r>
        <w:rPr>
          <w:rFonts w:hint="eastAsia" w:ascii="Times New Roman" w:hAnsi="Times New Roman"/>
          <w:color w:val="auto"/>
          <w:highlight w:val="none"/>
        </w:rPr>
        <w:t xml:space="preserve">人亲自参加时无需提供法人授权书</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center"/>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黑体" w:hAnsi="宋体" w:eastAsia="黑体" w:cs="黑体"/>
          <w:b/>
          <w:color w:val="auto"/>
          <w:sz w:val="32"/>
          <w:szCs w:val="32"/>
          <w:highlight w:val="none"/>
          <w:lang w:val="en-US" w:eastAsia="zh-CN"/>
        </w:rPr>
        <w:t xml:space="preserve">七</w:t>
      </w:r>
      <w:r>
        <w:rPr>
          <w:rFonts w:hint="eastAsia" w:ascii="黑体" w:hAnsi="宋体" w:eastAsia="黑体" w:cs="黑体"/>
          <w:b/>
          <w:color w:val="auto"/>
          <w:sz w:val="32"/>
          <w:szCs w:val="32"/>
          <w:highlight w:val="none"/>
        </w:rPr>
        <w:t xml:space="preserve">、投标函</w:t>
      </w:r>
      <w:r/>
    </w:p>
    <w:p>
      <w:pPr>
        <w:pStyle w:val="650"/>
        <w:spacing w:beforeAutospacing="0" w:afterAutospacing="0" w:line="0" w:lineRule="atLeast"/>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 xml:space="preserve">（采购人）</w:t>
      </w:r>
      <w:r/>
    </w:p>
    <w:p>
      <w:pPr>
        <w:pStyle w:val="650"/>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lang w:eastAsia="zh-CN"/>
        </w:rPr>
        <w:t xml:space="preserve">的</w:t>
      </w:r>
      <w:r>
        <w:rPr>
          <w:rFonts w:hint="eastAsia" w:ascii="宋体" w:hAnsi="宋体" w:eastAsia="宋体" w:cs="宋体"/>
          <w:b/>
          <w:color w:val="auto"/>
          <w:sz w:val="36"/>
          <w:szCs w:val="36"/>
          <w:highlight w:val="none"/>
          <w:u w:val="single"/>
        </w:rPr>
        <w:t xml:space="preserve"> </w:t>
      </w:r>
      <w:r>
        <w:rPr>
          <w:rFonts w:hint="eastAsia"/>
          <w:color w:val="auto"/>
          <w:highlight w:val="none"/>
          <w:u w:val="single"/>
        </w:rPr>
        <w:t xml:space="preserve">（项目</w:t>
      </w:r>
      <w:r>
        <w:rPr>
          <w:rFonts w:hint="eastAsia"/>
          <w:color w:val="auto"/>
          <w:highlight w:val="none"/>
          <w:u w:val="single"/>
          <w:lang w:val="en-US" w:eastAsia="zh-CN"/>
        </w:rPr>
        <w:t xml:space="preserve">名称</w:t>
      </w:r>
      <w:r>
        <w:rPr>
          <w:rFonts w:hint="eastAsia"/>
          <w:color w:val="auto"/>
          <w:highlight w:val="none"/>
          <w:u w:val="single"/>
        </w:rPr>
        <w:t xml:space="preserve">）</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lang w:eastAsia="zh-CN"/>
        </w:rPr>
        <w:t xml:space="preserve">的</w:t>
      </w:r>
      <w:r>
        <w:rPr>
          <w:rFonts w:hint="eastAsia" w:ascii="宋体" w:hAnsi="宋体" w:eastAsia="宋体" w:cs="宋体"/>
          <w:color w:val="auto"/>
          <w:highlight w:val="none"/>
        </w:rPr>
        <w:t xml:space="preserve">招标文件，正式授权下述签字人______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650"/>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50"/>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50"/>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50"/>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50"/>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50"/>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50"/>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650"/>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50"/>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p>
      <w:pPr>
        <w:pStyle w:val="650"/>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p>
    <w:p>
      <w:pPr>
        <w:pStyle w:val="650"/>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电话：</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手机号码</w:t>
      </w:r>
      <w:r>
        <w:rPr>
          <w:rFonts w:hint="eastAsia" w:ascii="宋体" w:hAnsi="宋体" w:eastAsia="宋体" w:cs="宋体"/>
          <w:color w:val="auto"/>
          <w:highlight w:val="none"/>
          <w:lang w:eastAsia="zh-CN"/>
        </w:rPr>
        <w:t xml:space="preserve">）</w:t>
      </w:r>
      <w:r/>
    </w:p>
    <w:p>
      <w:pPr>
        <w:pStyle w:val="650"/>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p>
      <w:pPr>
        <w:pStyle w:val="650"/>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650"/>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账号： </w:t>
      </w:r>
      <w:r/>
    </w:p>
    <w:p>
      <w:pPr>
        <w:pStyle w:val="650"/>
        <w:ind w:firstLine="482"/>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日期：________年____月____日</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八</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highlight w:val="none"/>
        </w:rPr>
        <w:t xml:space="preserve">组织的采购编号为</w:t>
      </w:r>
      <w:r>
        <w:rPr>
          <w:rFonts w:hint="eastAsia" w:ascii="Times New Roman" w:eastAsia="宋体"/>
          <w:color w:val="auto"/>
          <w:sz w:val="24"/>
          <w:highlight w:val="none"/>
          <w:u w:val="single"/>
          <w:lang w:val="en-US" w:eastAsia="zh-CN"/>
        </w:rPr>
        <w:t xml:space="preserve">     </w:t>
      </w:r>
      <w:r>
        <w:rPr>
          <w:rFonts w:hint="eastAsia" w:ascii="Times New Roman" w:eastAsia="宋体"/>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0"/>
        <w:ind w:right="720"/>
        <w:jc w:val="both"/>
        <w:spacing w:beforeAutospacing="0" w:afterAutospacing="0" w:line="0" w:lineRule="atLeast"/>
        <w:rPr>
          <w:color w:val="auto"/>
          <w:highlight w:val="none"/>
        </w:rPr>
      </w:pPr>
      <w:r>
        <w:rPr>
          <w:color w:val="auto"/>
          <w:highlight w:val="none"/>
        </w:rPr>
        <w:t xml:space="preserve"> </w:t>
      </w:r>
      <w:r/>
    </w:p>
    <w:p>
      <w:pPr>
        <w:pStyle w:val="650"/>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50"/>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right="480" w:firstLine="48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0"/>
        <w:ind w:firstLine="240"/>
        <w:jc w:val="both"/>
        <w:spacing w:beforeAutospacing="0" w:afterAutospacing="0" w:line="0" w:lineRule="atLeast"/>
        <w:rPr>
          <w:color w:val="auto"/>
          <w:highlight w:val="none"/>
        </w:rPr>
      </w:pPr>
      <w:r>
        <w:rPr>
          <w:color w:val="auto"/>
          <w:highlight w:val="none"/>
        </w:rPr>
        <w:t xml:space="preserve"> </w:t>
      </w:r>
      <w:r/>
    </w:p>
    <w:p>
      <w:pPr>
        <w:pStyle w:val="6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p>
    <w:p>
      <w:pPr>
        <w:pStyle w:val="65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w:t>
      </w: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、残疾人福利性单位声明函（分包号：**）</w:t>
      </w:r>
      <w:r/>
    </w:p>
    <w:p>
      <w:pPr>
        <w:pStyle w:val="65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0"/>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50"/>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0"/>
        <w:ind w:firstLine="480"/>
        <w:jc w:val="both"/>
        <w:keepLines w:val="0"/>
        <w:keepNext w:val="0"/>
        <w:pageBreakBefore w:val="0"/>
        <w:spacing w:beforeAutospacing="0" w:afterAutospacing="0" w:line="500" w:lineRule="atLeas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50"/>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lang w:eastAsia="zh-CN"/>
        </w:rPr>
        <w:t xml:space="preserve">2.中标单位</w:t>
      </w:r>
      <w:r>
        <w:rPr>
          <w:rFonts w:hint="eastAsia" w:ascii="宋体" w:hAnsi="宋体" w:eastAsia="宋体" w:cs="宋体"/>
          <w:color w:val="auto"/>
          <w:highlight w:val="none"/>
        </w:rPr>
        <w:t xml:space="preserve">为残疾人福利单位的，此声明函将随中标结果同时公告，接受社会监督</w:t>
      </w:r>
      <w:r/>
    </w:p>
    <w:p>
      <w:pPr>
        <w:pStyle w:val="650"/>
        <w:ind w:firstLine="624"/>
        <w:jc w:val="both"/>
        <w:keepLines w:val="0"/>
        <w:keepNext w:val="0"/>
        <w:pageBreakBefore w:val="0"/>
        <w:spacing w:beforeAutospacing="0" w:afterAutospacing="0" w:line="500" w:lineRule="atLeast"/>
        <w:widowControl w:val="off"/>
        <w:rPr>
          <w:color w:val="auto"/>
          <w:highlight w:val="none"/>
        </w:rPr>
      </w:pPr>
      <w:r>
        <w:rPr>
          <w:color w:val="auto"/>
          <w:highlight w:val="none"/>
        </w:rPr>
        <w:t xml:space="preserve"> </w:t>
      </w:r>
      <w:r/>
    </w:p>
    <w:p>
      <w:pPr>
        <w:pStyle w:val="650"/>
        <w:ind w:right="1560" w:firstLine="624"/>
        <w:jc w:val="center"/>
        <w:keepLines w:val="0"/>
        <w:keepNext w:val="0"/>
        <w:pageBreakBefore w:val="0"/>
        <w:spacing w:beforeAutospacing="0" w:afterAutospacing="0" w:line="500" w:lineRule="atLeast"/>
        <w:widowControl w:val="off"/>
        <w:tabs>
          <w:tab w:val="left" w:pos="4864" w:leader="none"/>
        </w:tabs>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50"/>
        <w:ind w:right="1560" w:firstLine="624"/>
        <w:jc w:val="center"/>
        <w:keepLines w:val="0"/>
        <w:keepNext w:val="0"/>
        <w:pageBreakBefore w:val="0"/>
        <w:spacing w:beforeAutospacing="0" w:afterAutospacing="0" w:line="500" w:lineRule="atLeas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rPr>
          <w:i w:val="0"/>
          <w:iCs w:val="0"/>
          <w:color w:val="auto"/>
          <w:highlight w:val="none"/>
          <w:u w:val="none"/>
        </w:rPr>
      </w:pPr>
      <w:r>
        <w:rPr>
          <w:rFonts w:ascii="黑体" w:hAnsi="宋体" w:eastAsia="黑体" w:cs="黑体"/>
          <w:b/>
          <w:bCs/>
          <w:color w:val="auto"/>
          <w:sz w:val="32"/>
          <w:szCs w:val="32"/>
          <w:highlight w:val="none"/>
        </w:rPr>
        <w:t xml:space="preserve">十</w:t>
      </w:r>
      <w:r>
        <w:rPr>
          <w:rFonts w:hint="eastAsia" w:ascii="黑体" w:hAnsi="宋体" w:eastAsia="黑体" w:cs="黑体"/>
          <w:b/>
          <w:i w:val="0"/>
          <w:iCs w:val="0"/>
          <w:color w:val="auto"/>
          <w:sz w:val="32"/>
          <w:szCs w:val="32"/>
          <w:highlight w:val="none"/>
          <w:u w:val="none"/>
        </w:rPr>
        <w:t xml:space="preserve">、开标一览表</w:t>
      </w:r>
      <w:r/>
    </w:p>
    <w:p>
      <w:pPr>
        <w:pStyle w:val="650"/>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650"/>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项目名称：</w:t>
      </w:r>
      <w:r/>
    </w:p>
    <w:p>
      <w:pPr>
        <w:pStyle w:val="650"/>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0"/>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分包号：</w:t>
      </w:r>
      <w:r/>
    </w:p>
    <w:tbl>
      <w:tblPr>
        <w:tblStyle w:val="64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圆/吨</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/吨</w:t>
            </w:r>
            <w:r>
              <w:rPr>
                <w:rFonts w:hint="eastAsia" w:ascii="宋体" w:hAnsi="宋体" w:eastAsia="宋体" w:cs="宋体"/>
                <w:color w:val="auto"/>
                <w:highlight w:val="none"/>
              </w:rPr>
              <w:t xml:space="preserve">）</w:t>
            </w:r>
            <w:r/>
          </w:p>
        </w:tc>
      </w:tr>
    </w:tbl>
    <w:p>
      <w:pPr>
        <w:pStyle w:val="650"/>
        <w:jc w:val="both"/>
        <w:spacing w:beforeAutospacing="0" w:afterAutospacing="0"/>
        <w:rPr>
          <w:color w:val="auto"/>
          <w:highlight w:val="none"/>
        </w:rPr>
      </w:pPr>
      <w:r>
        <w:rPr>
          <w:color w:val="auto"/>
          <w:highlight w:val="none"/>
        </w:rPr>
        <w:t xml:space="preserve"> </w:t>
      </w:r>
      <w:r/>
    </w:p>
    <w:p>
      <w:pPr>
        <w:pStyle w:val="65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0"/>
        <w:jc w:val="both"/>
        <w:spacing w:beforeAutospacing="0" w:afterAutospacing="0"/>
        <w:rPr>
          <w:color w:val="auto"/>
          <w:highlight w:val="none"/>
        </w:rPr>
      </w:pPr>
      <w:r>
        <w:rPr>
          <w:color w:val="auto"/>
          <w:highlight w:val="none"/>
        </w:rPr>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rPr>
          <w:color w:val="auto"/>
          <w:highlight w:val="none"/>
        </w:rPr>
      </w:r>
    </w:p>
    <w:p>
      <w:pPr>
        <w:pStyle w:val="650"/>
        <w:jc w:val="both"/>
        <w:spacing w:beforeAutospacing="0" w:afterAutospacing="0"/>
        <w:rPr>
          <w:color w:val="auto"/>
          <w:highlight w:val="none"/>
        </w:rPr>
      </w:pPr>
      <w:r>
        <w:rPr>
          <w:color w:val="auto"/>
          <w:highlight w:val="none"/>
        </w:rPr>
      </w:r>
      <w:r>
        <w:rPr>
          <w:color w:val="auto"/>
          <w:highlight w:val="none"/>
        </w:rPr>
      </w:r>
    </w:p>
    <w:p>
      <w:pPr>
        <w:pStyle w:val="650"/>
        <w:jc w:val="both"/>
        <w:spacing w:beforeAutospacing="0" w:afterAutospacing="0"/>
        <w:rPr>
          <w:color w:val="auto"/>
          <w:highlight w:val="none"/>
        </w:rPr>
      </w:pPr>
      <w:r>
        <w:rPr>
          <w:color w:val="auto"/>
          <w:highlight w:val="none"/>
        </w:rPr>
      </w:r>
      <w:r>
        <w:rPr>
          <w:color w:val="auto"/>
          <w:highlight w:val="none"/>
        </w:rP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ind w:firstLine="1600"/>
        <w:spacing w:line="499" w:lineRule="atLeast"/>
        <w:widowControl/>
        <w:rPr>
          <w:rFonts w:ascii="宋体" w:hAnsi="宋体" w:eastAsia="宋体" w:cs="宋体"/>
          <w:b/>
          <w:bCs/>
          <w:color w:val="auto"/>
          <w:sz w:val="24"/>
          <w:highlight w:val="none"/>
        </w:rPr>
      </w:pPr>
      <w:r/>
      <w:bookmarkStart w:id="194" w:name="_Hlt26955054"/>
      <w:r>
        <w:rPr>
          <w:rFonts w:hint="eastAsia" w:ascii="黑体" w:hAnsi="宋体" w:eastAsia="黑体" w:cs="黑体"/>
          <w:b/>
          <w:color w:val="auto"/>
          <w:sz w:val="32"/>
          <w:szCs w:val="32"/>
          <w:highlight w:val="none"/>
          <w:lang w:val="en-US" w:eastAsia="zh-CN"/>
        </w:rPr>
        <w:t xml:space="preserve">十</w:t>
      </w:r>
      <w:bookmarkStart w:id="195" w:name="_Hlt26609389"/>
      <w:r/>
      <w:bookmarkStart w:id="196" w:name="_格式2__法定代表人授权书"/>
      <w:r/>
      <w:bookmarkStart w:id="197" w:name="_Toc462564146"/>
      <w:r/>
      <w:bookmarkStart w:id="198" w:name="_Hlt26671374"/>
      <w:r/>
      <w:bookmarkStart w:id="199" w:name="_Hlt26955066"/>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i w:val="0"/>
          <w:iCs/>
          <w:color w:val="auto"/>
          <w:sz w:val="32"/>
          <w:szCs w:val="32"/>
          <w:highlight w:val="none"/>
          <w:u w:val="none"/>
        </w:rPr>
        <w:t xml:space="preserve">、</w:t>
      </w:r>
      <w:r>
        <w:rPr>
          <w:rFonts w:hint="eastAsia" w:ascii="宋体" w:hAnsi="宋体" w:eastAsia="宋体" w:cs="宋体"/>
          <w:b/>
          <w:bCs/>
          <w:i w:val="0"/>
          <w:iCs/>
          <w:color w:val="auto"/>
          <w:sz w:val="32"/>
          <w:szCs w:val="32"/>
          <w:highlight w:val="none"/>
          <w:u w:val="none"/>
        </w:rPr>
        <w:t xml:space="preserve">盐</w:t>
      </w:r>
      <w:r>
        <w:rPr>
          <w:rFonts w:hint="eastAsia" w:ascii="宋体" w:hAnsi="宋体" w:eastAsia="宋体" w:cs="宋体"/>
          <w:b/>
          <w:bCs/>
          <w:color w:val="auto"/>
          <w:sz w:val="32"/>
          <w:szCs w:val="32"/>
          <w:highlight w:val="none"/>
        </w:rPr>
        <w:t xml:space="preserve">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eastAsia="宋体" w:cs="宋体"/>
          <w:color w:val="auto"/>
          <w:sz w:val="24"/>
          <w:highlight w:val="none"/>
          <w:lang w:eastAsia="zh-CN"/>
        </w:rPr>
        <w:t xml:space="preserve">发生</w:t>
      </w:r>
      <w:r>
        <w:rPr>
          <w:rFonts w:hint="eastAsia" w:ascii="宋体" w:hAnsi="宋体" w:eastAsia="宋体" w:cs="宋体"/>
          <w:color w:val="auto"/>
          <w:sz w:val="24"/>
          <w:highlight w:val="none"/>
        </w:rPr>
        <w:t xml:space="preserve">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val="en-US" w:eastAsia="zh-CN"/>
        </w:rPr>
        <w:t xml:space="preserve">做</w:t>
      </w:r>
      <w:r>
        <w:rPr>
          <w:rFonts w:hint="eastAsia" w:ascii="宋体" w:hAnsi="宋体" w:eastAsia="宋体" w:cs="宋体"/>
          <w:color w:val="auto"/>
          <w:sz w:val="24"/>
          <w:highlight w:val="none"/>
        </w:rPr>
        <w:t xml:space="preserve">了宣传教育。</w:t>
      </w:r>
      <w:r>
        <w:rPr>
          <w:rFonts w:hint="eastAsia" w:ascii="宋体" w:hAnsi="宋体" w:eastAsia="宋体" w:cs="宋体"/>
          <w:color w:val="auto"/>
          <w:sz w:val="24"/>
          <w:highlight w:val="none"/>
        </w:rPr>
      </w:r>
    </w:p>
    <w:p>
      <w:pPr>
        <w:ind w:firstLine="480"/>
        <w:jc w:val="left"/>
        <w:spacing w:line="499"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r>
    </w:p>
    <w:p>
      <w:pPr>
        <w:ind w:firstLine="480"/>
        <w:jc w:val="left"/>
        <w:spacing w:line="499"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法定代表人签名：</w:t>
      </w:r>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50"/>
        <w:ind w:firstLine="480"/>
        <w:jc w:val="both"/>
        <w:spacing w:beforeAutospacing="0" w:afterAutospacing="0"/>
        <w:rPr>
          <w:color w:val="auto"/>
          <w:highlight w:val="none"/>
        </w:rPr>
      </w:pPr>
      <w:r>
        <w:rPr>
          <w:color w:val="auto"/>
          <w:highlight w:val="none"/>
        </w:rPr>
      </w:r>
      <w:r/>
    </w:p>
    <w:p>
      <w:pPr>
        <w:pStyle w:val="650"/>
        <w:ind w:firstLine="480"/>
        <w:jc w:val="both"/>
        <w:spacing w:beforeAutospacing="0" w:afterAutospacing="0"/>
        <w:rPr>
          <w:color w:val="auto"/>
          <w:highlight w:val="none"/>
        </w:rPr>
      </w:pPr>
      <w:r>
        <w:rPr>
          <w:color w:val="auto"/>
          <w:highlight w:val="none"/>
        </w:rPr>
        <w:t xml:space="preserve"> </w:t>
      </w:r>
      <w:r/>
    </w:p>
    <w:p>
      <w:pPr>
        <w:pStyle w:val="650"/>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before="50" w:after="50"/>
        <w:widowControl/>
        <w:rPr>
          <w:color w:val="auto"/>
          <w:highlight w:val="none"/>
        </w:rPr>
      </w:pPr>
      <w:r>
        <w:rPr>
          <w:color w:val="auto"/>
          <w:highlight w:val="none"/>
        </w:rPr>
        <w:tab/>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、与评审有关的其他资料</w:t>
      </w:r>
      <w:r/>
    </w:p>
    <w:p>
      <w:pPr>
        <w:pStyle w:val="650"/>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bookmarkEnd w:id="3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180"/>
      <w:bookmarkEnd w:id="183"/>
      <w:bookmarkEnd w:id="185"/>
      <w:bookmarkEnd w:id="186"/>
      <w:bookmarkEnd w:id="191"/>
      <w:bookmarkEnd w:id="192"/>
      <w:bookmarkEnd w:id="193"/>
      <w:bookmarkEnd w:id="194"/>
      <w:bookmarkEnd w:id="195"/>
      <w:bookmarkEnd w:id="196"/>
      <w:bookmarkEnd w:id="197"/>
      <w:bookmarkEnd w:id="198"/>
      <w:bookmarkEnd w:id="199"/>
      <w:r/>
    </w:p>
    <w:p>
      <w:pPr>
        <w:pStyle w:val="65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0"/>
        <w:jc w:val="both"/>
        <w:keepLines w:val="0"/>
        <w:keepNext w:val="0"/>
        <w:pageBreakBefore w:val="0"/>
        <w:spacing w:before="290"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0"/>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5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0"/>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0"/>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0"/>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0"/>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0"/>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0"/>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0"/>
        <w:ind w:firstLine="480"/>
        <w:spacing w:beforeAutospacing="0" w:afterAutospacing="0" w:line="0" w:lineRule="atLeast"/>
        <w:widowControl/>
        <w:rPr>
          <w:rFonts w:ascii="宋体" w:hAnsi="宋体" w:eastAsia="宋体" w:cs="宋体"/>
          <w:color w:val="auto"/>
          <w:highlight w:val="none"/>
        </w:rPr>
      </w:pPr>
      <w:r>
        <w:rPr>
          <w:rFonts w:ascii="宋体" w:hAnsi="宋体" w:eastAsia="宋体" w:cs="宋体"/>
          <w:color w:val="auto"/>
          <w:highlight w:val="none"/>
        </w:rPr>
      </w:r>
      <w:r/>
    </w:p>
    <w:p>
      <w:pPr>
        <w:pStyle w:val="650"/>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等线">
    <w:panose1 w:val="02010600030101010101"/>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9"/>
    <w:link w:val="12"/>
    <w:uiPriority w:val="9"/>
    <w:rPr>
      <w:rFonts w:ascii="Arial" w:hAnsi="Arial" w:eastAsia="Arial" w:cs="Arial"/>
      <w:sz w:val="40"/>
      <w:szCs w:val="40"/>
    </w:rPr>
  </w:style>
  <w:style w:type="character" w:styleId="15">
    <w:name w:val="Heading 2 Char"/>
    <w:basedOn w:val="639"/>
    <w:link w:val="638"/>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9"/>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9"/>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9"/>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9"/>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9"/>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9"/>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9"/>
    <w:link w:val="28"/>
    <w:uiPriority w:val="9"/>
    <w:rPr>
      <w:rFonts w:ascii="Arial" w:hAnsi="Arial" w:eastAsia="Arial" w:cs="Arial"/>
      <w:i/>
      <w:iCs/>
      <w:sz w:val="21"/>
      <w:szCs w:val="21"/>
    </w:r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39"/>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39"/>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9"/>
    <w:link w:val="647"/>
    <w:uiPriority w:val="99"/>
  </w:style>
  <w:style w:type="character" w:styleId="44">
    <w:name w:val="Footer Char"/>
    <w:basedOn w:val="639"/>
    <w:link w:val="646"/>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646"/>
    <w:uiPriority w:val="99"/>
  </w:style>
  <w:style w:type="table" w:styleId="47">
    <w:name w:val="Table Grid"/>
    <w:basedOn w:val="64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9"/>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9"/>
    <w:uiPriority w:val="99"/>
    <w:semiHidden/>
    <w:unhideWhenUsed/>
    <w:rPr>
      <w:vertAlign w:val="superscript"/>
    </w:r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4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8">
    <w:name w:val="Heading 2"/>
    <w:basedOn w:val="637"/>
    <w:next w:val="63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39" w:default="1">
    <w:name w:val="Default Paragraph Font"/>
    <w:uiPriority w:val="1"/>
    <w:semiHidden/>
    <w:unhideWhenUsed/>
    <w:qFormat/>
  </w:style>
  <w:style w:type="table" w:styleId="640" w:default="1">
    <w:name w:val="Normal Table"/>
    <w:uiPriority w:val="99"/>
    <w:semiHidden/>
    <w:unhideWhenUsed/>
    <w:qFormat/>
    <w:tblPr>
      <w:tblCellMar>
        <w:left w:w="108" w:type="dxa"/>
        <w:top w:w="0" w:type="dxa"/>
        <w:right w:w="108" w:type="dxa"/>
        <w:bottom w:w="0" w:type="dxa"/>
      </w:tblCellMar>
    </w:tblPr>
  </w:style>
  <w:style w:type="paragraph" w:styleId="641" w:customStyle="1">
    <w:name w:val="Default"/>
    <w:basedOn w:val="637"/>
    <w:uiPriority w:val="0"/>
    <w:semiHidden/>
    <w:qFormat/>
    <w:pPr>
      <w:jc w:val="left"/>
    </w:pPr>
    <w:rPr>
      <w:rFonts w:ascii="宋体" w:hAnsi="Calibri" w:cs="宋体"/>
      <w:color w:val="000000"/>
      <w:sz w:val="24"/>
    </w:rPr>
  </w:style>
  <w:style w:type="paragraph" w:styleId="642">
    <w:name w:val="annotation text"/>
    <w:basedOn w:val="637"/>
    <w:uiPriority w:val="0"/>
    <w:qFormat/>
    <w:pPr>
      <w:jc w:val="left"/>
    </w:pPr>
  </w:style>
  <w:style w:type="paragraph" w:styleId="643">
    <w:name w:val="Body Text"/>
    <w:basedOn w:val="637"/>
    <w:uiPriority w:val="0"/>
    <w:semiHidden/>
    <w:qFormat/>
    <w:rPr>
      <w:rFonts w:ascii="仿宋" w:hAnsi="仿宋" w:eastAsia="仿宋" w:cs="仿宋"/>
      <w:sz w:val="31"/>
      <w:szCs w:val="31"/>
      <w:lang w:val="en-US" w:eastAsia="en-US" w:bidi="ar-SA"/>
    </w:rPr>
  </w:style>
  <w:style w:type="paragraph" w:styleId="644">
    <w:name w:val="Body Text Indent"/>
    <w:basedOn w:val="637"/>
    <w:next w:val="645"/>
    <w:uiPriority w:val="99"/>
    <w:qFormat/>
    <w:pPr>
      <w:ind w:firstLine="645"/>
      <w:jc w:val="both"/>
      <w:widowControl w:val="off"/>
    </w:pPr>
    <w:rPr>
      <w:rFonts w:ascii="楷体_GB2312" w:eastAsia="楷体_GB2312" w:hAnsiTheme="minorHAnsi" w:cstheme="minorBidi"/>
      <w:sz w:val="32"/>
      <w:szCs w:val="32"/>
      <w:lang w:val="en-US" w:eastAsia="zh-CN" w:bidi="ar-SA"/>
    </w:rPr>
  </w:style>
  <w:style w:type="paragraph" w:styleId="645">
    <w:name w:val="envelope return"/>
    <w:basedOn w:val="637"/>
    <w:uiPriority w:val="0"/>
    <w:qFormat/>
    <w:pPr>
      <w:jc w:val="both"/>
      <w:widowControl w:val="off"/>
    </w:pPr>
    <w:rPr>
      <w:rFonts w:ascii="Arial" w:hAnsi="Arial" w:eastAsiaTheme="minorEastAsia" w:cstheme="minorBidi"/>
      <w:sz w:val="21"/>
      <w:szCs w:val="24"/>
      <w:lang w:val="en-US" w:eastAsia="zh-CN" w:bidi="ar-SA"/>
    </w:rPr>
  </w:style>
  <w:style w:type="paragraph" w:styleId="646">
    <w:name w:val="Footer"/>
    <w:basedOn w:val="637"/>
    <w:link w:val="654"/>
    <w:uiPriority w:val="0"/>
    <w:qFormat/>
    <w:pPr>
      <w:jc w:val="left"/>
      <w:tabs>
        <w:tab w:val="center" w:pos="4153" w:leader="none"/>
        <w:tab w:val="right" w:pos="8306" w:leader="none"/>
      </w:tabs>
    </w:pPr>
    <w:rPr>
      <w:sz w:val="18"/>
      <w:szCs w:val="18"/>
    </w:rPr>
  </w:style>
  <w:style w:type="paragraph" w:styleId="647">
    <w:name w:val="Header"/>
    <w:basedOn w:val="637"/>
    <w:link w:val="653"/>
    <w:uiPriority w:val="0"/>
    <w:qFormat/>
    <w:pPr>
      <w:jc w:val="center"/>
      <w:tabs>
        <w:tab w:val="center" w:pos="4153" w:leader="none"/>
        <w:tab w:val="right" w:pos="8306" w:leader="none"/>
      </w:tabs>
      <w:pBdr>
        <w:bottom w:val="single" w:color="auto" w:sz="6" w:space="1"/>
      </w:pBdr>
    </w:pPr>
    <w:rPr>
      <w:sz w:val="18"/>
      <w:szCs w:val="18"/>
    </w:rPr>
  </w:style>
  <w:style w:type="paragraph" w:styleId="648">
    <w:name w:val="toc 1"/>
    <w:basedOn w:val="637"/>
    <w:next w:val="637"/>
    <w:uiPriority w:val="0"/>
    <w:qFormat/>
  </w:style>
  <w:style w:type="paragraph" w:styleId="649">
    <w:name w:val="index 9"/>
    <w:next w:val="637"/>
    <w:uiPriority w:val="0"/>
    <w:qFormat/>
    <w:pPr>
      <w:ind w:left="1600"/>
      <w:jc w:val="both"/>
      <w:widowControl w:val="off"/>
    </w:pPr>
    <w:rPr>
      <w:rFonts w:ascii="Times New Roman" w:hAnsi="Times New Roman" w:eastAsia="宋体" w:cs="Times New Roman"/>
      <w:sz w:val="21"/>
      <w:szCs w:val="21"/>
      <w:lang w:val="en-US" w:eastAsia="zh-CN" w:bidi="ar-SA"/>
    </w:rPr>
  </w:style>
  <w:style w:type="paragraph" w:styleId="650">
    <w:name w:val="Normal (Web)"/>
    <w:basedOn w:val="637"/>
    <w:uiPriority w:val="0"/>
    <w:qFormat/>
    <w:pPr>
      <w:jc w:val="left"/>
      <w:spacing w:beforeAutospacing="1" w:afterAutospacing="1"/>
    </w:pPr>
    <w:rPr>
      <w:rFonts w:cs="Times New Roman"/>
      <w:sz w:val="24"/>
    </w:rPr>
  </w:style>
  <w:style w:type="paragraph" w:styleId="651">
    <w:name w:val="Body Text First Indent 2"/>
    <w:basedOn w:val="644"/>
    <w:uiPriority w:val="99"/>
    <w:qFormat/>
    <w:pPr>
      <w:ind w:firstLine="420"/>
      <w:spacing w:line="360" w:lineRule="auto"/>
    </w:pPr>
    <w:rPr>
      <w:rFonts w:ascii="宋体" w:hAnsi="宋体" w:eastAsia="宋体"/>
      <w:sz w:val="20"/>
      <w:szCs w:val="20"/>
    </w:rPr>
  </w:style>
  <w:style w:type="character" w:styleId="652">
    <w:name w:val="Emphasis"/>
    <w:uiPriority w:val="0"/>
    <w:qFormat/>
    <w:rPr>
      <w:i/>
    </w:rPr>
  </w:style>
  <w:style w:type="character" w:styleId="653" w:customStyle="1">
    <w:name w:val="页眉 Char"/>
    <w:basedOn w:val="639"/>
    <w:link w:val="647"/>
    <w:uiPriority w:val="0"/>
    <w:qFormat/>
    <w:rPr>
      <w:rFonts w:asciiTheme="minorHAnsi" w:hAnsiTheme="minorHAnsi" w:eastAsiaTheme="minorEastAsia" w:cstheme="minorBidi"/>
      <w:sz w:val="18"/>
      <w:szCs w:val="18"/>
    </w:rPr>
  </w:style>
  <w:style w:type="character" w:styleId="654" w:customStyle="1">
    <w:name w:val="页脚 Char"/>
    <w:basedOn w:val="639"/>
    <w:link w:val="646"/>
    <w:uiPriority w:val="0"/>
    <w:qFormat/>
    <w:rPr>
      <w:rFonts w:asciiTheme="minorHAnsi" w:hAnsiTheme="minorHAnsi" w:eastAsiaTheme="minorEastAsia" w:cstheme="minorBidi"/>
      <w:sz w:val="18"/>
      <w:szCs w:val="18"/>
    </w:rPr>
  </w:style>
  <w:style w:type="paragraph" w:styleId="655" w:customStyle="1">
    <w:name w:val="普通正文"/>
    <w:basedOn w:val="637"/>
    <w:uiPriority w:val="0"/>
    <w:qFormat/>
    <w:pPr>
      <w:ind w:firstLine="480"/>
      <w:jc w:val="left"/>
      <w:spacing w:before="120" w:after="120" w:line="360" w:lineRule="auto"/>
    </w:pPr>
    <w:rPr>
      <w:rFonts w:ascii="Arial" w:hAnsi="Arial" w:eastAsia="等线" w:cs="Arial"/>
      <w:sz w:val="24"/>
      <w:szCs w:val="24"/>
    </w:rPr>
  </w:style>
  <w:style w:type="paragraph" w:styleId="656" w:customStyle="1">
    <w:name w:val="正文首行缩进 21"/>
    <w:basedOn w:val="657"/>
    <w:uiPriority w:val="0"/>
    <w:qFormat/>
    <w:pPr>
      <w:ind w:firstLine="420"/>
    </w:pPr>
  </w:style>
  <w:style w:type="paragraph" w:styleId="657" w:customStyle="1">
    <w:name w:val="正文文本缩进11"/>
    <w:basedOn w:val="637"/>
    <w:uiPriority w:val="0"/>
    <w:qFormat/>
    <w:pPr>
      <w:ind w:firstLine="645"/>
    </w:pPr>
    <w:rPr>
      <w:rFonts w:ascii="楷体_GB2312" w:eastAsia="楷体_GB2312" w:cs="Times New Roman"/>
      <w:sz w:val="32"/>
    </w:rPr>
  </w:style>
  <w:style w:type="paragraph" w:styleId="658" w:customStyle="1">
    <w:name w:val="正文文本缩进1"/>
    <w:basedOn w:val="637"/>
    <w:uiPriority w:val="0"/>
    <w:qFormat/>
    <w:pPr>
      <w:ind w:left="420"/>
      <w:spacing w:after="120"/>
    </w:pPr>
  </w:style>
  <w:style w:type="paragraph" w:styleId="659">
    <w:name w:val="No Spacing"/>
    <w:uiPriority w:val="1"/>
    <w:qFormat/>
    <w:pPr>
      <w:spacing w:before="0" w:after="0" w:line="240" w:lineRule="auto"/>
    </w:pPr>
    <w:rPr>
      <w:rFonts w:hint="default" w:ascii="Times New Roman" w:hAnsi="Times New Roman" w:eastAsia="宋体" w:cs="Times New Roman"/>
    </w:rPr>
  </w:style>
  <w:style w:type="paragraph" w:styleId="660">
    <w:name w:val="List Paragraph"/>
    <w:basedOn w:val="637"/>
    <w:uiPriority w:val="34"/>
    <w:qFormat/>
    <w:pPr>
      <w:contextualSpacing/>
      <w:ind w:left="720"/>
    </w:pPr>
  </w:style>
  <w:style w:type="numbering" w:styleId="8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03ab6b6c-d44b-4812-af4a-3b63600b6ca3</errorID>
      <errorWord>证</errorWord>
      <group>L1_Grammar</group>
      <groupName>语法问题</groupName>
      <ability>L2_Order</ability>
      <abilityName>语序不当</abilityName>
      <candidateList>
        <item>（证</item>
      </candidateList>
      <explain>句子可能没有遵循时空、逻辑顺序，或者介词、关联词等位置不当。</explain>
      <paraID>5EBEF3F9</paraID>
      <start>88</start>
      <end>89</end>
      <status>unmodified</status>
      <modifiedWord/>
      <trackRevisions>false</trackRevisions>
    </reviewItem>
    <reviewItem>
      <errorID>198d30c4-9350-4856-8181-efa911c76623</errorID>
      <errorWord>,</errorWord>
      <group>L1_Format</group>
      <groupName>格式问题</groupName>
      <ability>L2_HalfPunc_CN</ability>
      <abilityName>全半角问题</abilityName>
      <candidateList>
        <item>，</item>
      </candidateList>
      <explain>文本全半角错误。</explain>
      <paraID>66A2C58C</paraID>
      <start>37</start>
      <end>38</end>
      <status>unmodified</status>
      <modifiedWord/>
      <trackRevisions>false</trackRevisions>
    </reviewItem>
    <reviewItem>
      <errorID>e5b16066-a9d6-4570-b8bf-f4caae9c08f2</errorID>
      <errorWord>“.</errorWord>
      <group>L1_Punc</group>
      <groupName>标点问题</groupName>
      <ability>L2_Punc_CN</ability>
      <abilityName>标点符号问题</abilityName>
      <candidateList>
        <item>“</item>
      </candidateList>
      <explain/>
      <paraID>30E9772E</paraID>
      <start>57</start>
      <end>59</end>
      <status>unmodified</status>
      <modifiedWord/>
      <trackRevisions>false</trackRevisions>
    </reviewItem>
    <reviewItem>
      <errorID>92687b9b-3115-4133-9fb1-511f55489169</errorID>
      <errorWord>“.</errorWord>
      <group>L1_Punc</group>
      <groupName>标点问题</groupName>
      <ability>L2_Punc_CN</ability>
      <abilityName>标点符号问题</abilityName>
      <candidateList>
        <item>“</item>
      </candidateList>
      <explain/>
      <paraID>30E9772E</paraID>
      <start>72</start>
      <end>74</end>
      <status>unmodified</status>
      <modifiedWord/>
      <trackRevisions>false</trackRevisions>
    </reviewItem>
    <reviewItem>
      <errorID>9ac1dd60-0d0d-4871-881d-6c185fa0ea3a</errorID>
      <errorWord>“.</errorWord>
      <group>L1_Punc</group>
      <groupName>标点问题</groupName>
      <ability>L2_Punc_CN</ability>
      <abilityName>标点符号问题</abilityName>
      <candidateList>
        <item>“</item>
      </candidateList>
      <explain/>
      <paraID> 1990385</paraID>
      <start>13</start>
      <end>15</end>
      <status>unmodified</status>
      <modifiedWord/>
      <trackRevisions>false</trackRevisions>
    </reviewItem>
    <reviewItem>
      <errorID>7062eda8-2481-4fd7-a1cc-d9fa4f8edf74</errorID>
      <errorWord>做无效投标</errorWord>
      <group>L1_Word</group>
      <groupName>字词问题</groupName>
      <ability>L2_Typo</ability>
      <abilityName>字词错误</abilityName>
      <candidateList>
        <item>作无效投标</item>
      </candidateList>
      <explain/>
      <paraID>7B61B203</paraID>
      <start>68</start>
      <end>73</end>
      <status>unmodified</status>
      <modifiedWord/>
      <trackRevisions>false</trackRevisions>
    </reviewItem>
    <reviewItem>
      <errorID>0f932063-bb05-4cd1-a0a1-1ebdf8543b2f</errorID>
      <errorWord>&lt;</errorWord>
      <group>L1_Format</group>
      <groupName>格式问题</groupName>
      <ability>L2_HalfPunc_CN</ability>
      <abilityName>全半角问题</abilityName>
      <candidateList>
        <item>〈</item>
      </candidateList>
      <explain>文本全半角错误。</explain>
      <paraID>6222C02E</paraID>
      <start>49</start>
      <end>50</end>
      <status>unmodified</status>
      <modifiedWord/>
      <trackRevisions>false</trackRevisions>
    </reviewItem>
    <reviewItem>
      <errorID>0b52ea40-f4f7-4476-8740-65d5bf243678</errorID>
      <errorWord>&lt;</errorWord>
      <group>L1_Format</group>
      <groupName>格式问题</groupName>
      <ability>L2_HalfPunc_CN</ability>
      <abilityName>全半角问题</abilityName>
      <candidateList>
        <item>〈</item>
      </candidateList>
      <explain>文本全半角错误。</explain>
      <paraID>136F8BBB</paraID>
      <start>49</start>
      <end>50</end>
      <status>unmodified</status>
      <modifiedWord/>
      <trackRevisions>false</trackRevisions>
    </reviewItem>
    <reviewItem>
      <errorID>7aa4052c-ed56-48da-86b3-62371615ddd5</errorID>
      <errorWord>&lt;</errorWord>
      <group>L1_Format</group>
      <groupName>格式问题</groupName>
      <ability>L2_HalfPunc_CN</ability>
      <abilityName>全半角问题</abilityName>
      <candidateList>
        <item>〈</item>
      </candidateList>
      <explain>文本全半角错误。</explain>
      <paraID>7A9C42C3</paraID>
      <start>34</start>
      <end>35</end>
      <status>unmodified</status>
      <modifiedWord/>
      <trackRevisions>false</trackRevisions>
    </reviewItem>
    <reviewItem>
      <errorID>0a841251-d0f0-464c-a424-a12d8e15cf4a</errorID>
      <errorWord>&lt;</errorWord>
      <group>L1_Format</group>
      <groupName>格式问题</groupName>
      <ability>L2_HalfPunc_CN</ability>
      <abilityName>全半角问题</abilityName>
      <candidateList>
        <item>〈</item>
      </candidateList>
      <explain>文本全半角错误。</explain>
      <paraID>2C30456A</paraID>
      <start>22</start>
      <end>23</end>
      <status>unmodified</status>
      <modifiedWord/>
      <trackRevisions>false</trackRevisions>
    </reviewItem>
    <reviewItem>
      <errorID>fb1f8434-a63b-401f-8710-fff5434cc725</errorID>
      <errorWord>《</errorWord>
      <group>L1_Punc</group>
      <groupName>标点问题</groupName>
      <ability>L2_Punc_CN</ability>
      <abilityName>标点符号问题</abilityName>
      <candidateList/>
      <explain>同一形式括号套用。</explain>
      <paraID>1B9DC784</paraID>
      <start>33</start>
      <end>34</end>
      <status>unmodified</status>
      <modifiedWord/>
      <trackRevisions>false</trackRevisions>
    </reviewItem>
    <reviewItem>
      <errorID>fc9ba6d8-30ef-4cd7-8d9b-760756c902f1</errorID>
      <errorWord>》</errorWord>
      <group>L1_Punc</group>
      <groupName>标点问题</groupName>
      <ability>L2_Punc_CN</ability>
      <abilityName>标点符号问题</abilityName>
      <candidateList/>
      <explain>同一形式括号套用。</explain>
      <paraID>1B9DC784</paraID>
      <start>50</start>
      <end>51</end>
      <status>unmodified</status>
      <modifiedWord/>
      <trackRevisions>false</trackRevisions>
    </reviewItem>
    <reviewItem>
      <errorID>4d396d58-4587-49d8-a264-b81b6cf8c8b7</errorID>
      <errorWord>《</errorWord>
      <group>L1_Punc</group>
      <groupName>标点问题</groupName>
      <ability>L2_Punc_CN</ability>
      <abilityName>标点符号问题</abilityName>
      <candidateList/>
      <explain>同一形式括号套用。</explain>
      <paraID>1B9DC784</paraID>
      <start>51</start>
      <end>52</end>
      <status>unmodified</status>
      <modifiedWord/>
      <trackRevisions>false</trackRevisions>
    </reviewItem>
    <reviewItem>
      <errorID>5267b5dc-c026-42a7-8772-9474277c17f9</errorID>
      <errorWord>》</errorWord>
      <group>L1_Punc</group>
      <groupName>标点问题</groupName>
      <ability>L2_Punc_CN</ability>
      <abilityName>标点符号问题</abilityName>
      <candidateList/>
      <explain>同一形式括号套用。</explain>
      <paraID>1B9DC784</paraID>
      <start>68</start>
      <end>69</end>
      <status>unmodified</status>
      <modifiedWord/>
      <trackRevisions>false</trackRevisions>
    </reviewItem>
    <reviewItem>
      <errorID>ec5b6da7-c683-460c-ad3e-c205e3120de8</errorID>
      <errorWord>[2021]15号</errorWord>
      <group>L1_Knowledge</group>
      <groupName>知识性问题</groupName>
      <ability>L2_Knowledge</ability>
      <abilityName>其他知识</abilityName>
      <candidateList>
        <item>〔2021〕15号</item>
      </candidateList>
      <explain>发文字号格式错误。</explain>
      <paraID>42534D10</paraID>
      <start>63</start>
      <end>72</end>
      <status>unmodified</status>
      <modifiedWord/>
      <trackRevisions>false</trackRevisions>
    </reviewItem>
    <reviewItem>
      <errorID>a0bcdf29-1509-4c06-8258-ec9f9c26569a</errorID>
      <errorWord>超</errorWord>
      <group>L1_Word</group>
      <groupName>字词问题</groupName>
      <ability>L2_Typo</ability>
      <abilityName>字词错误</abilityName>
      <candidateList>
        <item>超过</item>
      </candidateList>
      <explain/>
      <paraID>6EDCA5EA</paraID>
      <start>52</start>
      <end>53</end>
      <status>unmodified</status>
      <modifiedWord/>
      <trackRevisions>false</trackRevisions>
    </reviewItem>
    <reviewItem>
      <errorID>1d7df0cb-62ee-4ed1-a13d-1878fa6fd4ae</errorID>
      <errorWord>）</errorWord>
      <group>L1_Punc</group>
      <groupName>标点问题</groupName>
      <ability>L2_Punc_CN</ability>
      <abilityName>标点符号问题</abilityName>
      <candidateList/>
      <explain>同一形式括号套用。</explain>
      <paraID>2D98D0FD</paraID>
      <start>87</start>
      <end>88</end>
      <status>unmodified</status>
      <modifiedWord/>
      <trackRevisions>false</trackRevisions>
    </reviewItem>
    <reviewItem>
      <errorID>b5ab478a-2a75-455e-bd37-aa2cff4e5ada</errorID>
      <errorWord>）</errorWord>
      <group>L1_Punc</group>
      <groupName>标点问题</groupName>
      <ability>L2_Punc_CN</ability>
      <abilityName>标点符号问题</abilityName>
      <candidateList/>
      <explain>同一形式括号套用。</explain>
      <paraID>2D98D0FD</paraID>
      <start>104</start>
      <end>105</end>
      <status>unmodified</status>
      <modifiedWord/>
      <trackRevisions>false</trackRevisions>
    </reviewItem>
    <reviewItem>
      <errorID>fed822bf-6b02-4580-94f5-c3aa8a1d52b1</errorID>
      <errorWord>(</errorWord>
      <group>L1_Format</group>
      <groupName>格式问题</groupName>
      <ability>L2_HalfPunc_CN</ability>
      <abilityName>全半角问题</abilityName>
      <candidateList>
        <item>（</item>
      </candidateList>
      <explain>文本全半角错误。</explain>
      <paraID>2C70BA65</paraID>
      <start>66</start>
      <end>67</end>
      <status>unmodified</status>
      <modifiedWord/>
      <trackRevisions>false</trackRevisions>
    </reviewItem>
    <reviewItem>
      <errorID>c1117f1f-43f8-4cbc-99f2-de34e824b6b1</errorID>
      <errorWord>)</errorWord>
      <group>L1_Format</group>
      <groupName>格式问题</groupName>
      <ability>L2_HalfPunc_CN</ability>
      <abilityName>全半角问题</abilityName>
      <candidateList>
        <item>）</item>
      </candidateList>
      <explain>文本全半角错误。</explain>
      <paraID>2C70BA65</paraID>
      <start>70</start>
      <end>71</end>
      <status>unmodified</status>
      <modifiedWord/>
      <trackRevisions>false</trackRevisions>
    </reviewItem>
    <reviewItem>
      <errorID>490f6ecb-635a-4ace-94a9-260453b34377</errorID>
      <errorWord>方</errorWord>
      <group>L1_Word</group>
      <groupName>字词问题</groupName>
      <ability>L2_Typo</ability>
      <abilityName>字词错误</abilityName>
      <candidateList>
        <item>方在</item>
      </candidateList>
      <explain/>
      <paraID>75884803</paraID>
      <start>5</start>
      <end>6</end>
      <status>unmodified</status>
      <modifiedWord/>
      <trackRevisions>false</trackRevisions>
    </reviewItem>
    <reviewItem>
      <errorID>4a4b0ebc-58d8-45ec-9ce6-aff0f438e0fd</errorID>
      <errorWord>长期照护保险制度</errorWord>
      <group>L1_Political</group>
      <groupName>政治性问题</groupName>
      <ability>L2_Keyword</ability>
      <abilityName>固定表述</abilityName>
      <candidateList>
        <item>长期护理保险制度</item>
      </candidateList>
      <explain>词汇“长期护理保险制度”在特定场景下为固定表述形式，请确认此处的“长期照护保险制度”是否存在不当。</explain>
      <paraID> F3E8E65</paraID>
      <start>327</start>
      <end>335</end>
      <status>unmodified</status>
      <modifiedWord/>
      <trackRevisions>false</trackRevisions>
    </reviewItem>
    <reviewItem>
      <errorID>a41bb23d-7ae5-4834-a329-c2cced743783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5264D2B8</paraID>
      <start>25</start>
      <end>26</end>
      <status>unmodified</status>
      <modifiedWord/>
      <trackRevisions>false</trackRevisions>
    </reviewItem>
    <reviewItem>
      <errorID>cb1f3488-5d47-4881-8494-5a944d6b5c8d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54433D67</paraID>
      <start>25</start>
      <end>26</end>
      <status>unmodified</status>
      <modifiedWord/>
      <trackRevisions>false</trackRevisions>
    </reviewItem>
    <reviewItem>
      <errorID>04da5627-ae59-47e6-a95f-e5d68b649d21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49BFE153</paraID>
      <start>23</start>
      <end>24</end>
      <status>unmodified</status>
      <modifiedWord/>
      <trackRevisions>false</trackRevisions>
    </reviewItem>
    <reviewItem>
      <errorID>328c9037-513d-45f2-9dd4-b7ee62a9caa1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252AB007</paraID>
      <start>50</start>
      <end>51</end>
      <status>unmodified</status>
      <modifiedWord/>
      <trackRevisions>false</trackRevisions>
    </reviewItem>
    <reviewItem>
      <errorID>a00745ea-3174-40d3-aa45-e0820cd7fc92</errorID>
      <errorWord>失能</errorWord>
      <group>L1_Word</group>
      <groupName>字词问题</groupName>
      <ability>L2_Typo</ability>
      <abilityName>字词错误</abilityName>
      <candidateList>
        <item>智能</item>
      </candidateList>
      <explain/>
      <paraID>4FE55A6E</paraID>
      <start>0</start>
      <end>2</end>
      <status>unmodified</status>
      <modifiedWord/>
      <trackRevisions>false</trackRevisions>
    </reviewItem>
    <reviewItem>
      <errorID>5f0c5146-8591-4f59-9784-218271ced6fb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37CDA6A1</paraID>
      <start>54</start>
      <end>55</end>
      <status>unmodified</status>
      <modifiedWord/>
      <trackRevisions>false</trackRevisions>
    </reviewItem>
    <reviewItem>
      <errorID>3705f4f7-beb1-41a1-9758-4bda33db0050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5D84466F</paraID>
      <start>25</start>
      <end>26</end>
      <status>unmodified</status>
      <modifiedWord/>
      <trackRevisions>false</trackRevisions>
    </reviewItem>
    <reviewItem>
      <errorID>7e175936-f612-4eb6-8a81-5dbd795c48ac</errorID>
      <errorWord>失能</errorWord>
      <group>L1_Word</group>
      <groupName>字词问题</groupName>
      <ability>L2_Typo</ability>
      <abilityName>字词错误</abilityName>
      <candidateList>
        <item>智能</item>
      </candidateList>
      <explain/>
      <paraID>1127EFED</paraID>
      <start>0</start>
      <end>2</end>
      <status>unmodified</status>
      <modifiedWord/>
      <trackRevisions>false</trackRevisions>
    </reviewItem>
    <reviewItem>
      <errorID>05ba0b19-b194-4441-b314-d2b6fcce538c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7B8BA497</paraID>
      <start>54</start>
      <end>55</end>
      <status>unmodified</status>
      <modifiedWord/>
      <trackRevisions>false</trackRevisions>
    </reviewItem>
    <reviewItem>
      <errorID>6d0fc01b-9292-4344-a9e2-300d0f617f1f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43530446</paraID>
      <start>43</start>
      <end>44</end>
      <status>unmodified</status>
      <modifiedWord/>
      <trackRevisions>false</trackRevisions>
    </reviewItem>
    <reviewItem>
      <errorID>7ba47090-9d76-44ac-a277-b77cfce82727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76284C44</paraID>
      <start>25</start>
      <end>26</end>
      <status>unmodified</status>
      <modifiedWord/>
      <trackRevisions>false</trackRevisions>
    </reviewItem>
    <reviewItem>
      <errorID>31a2ced2-da7d-482f-8250-7f387422a24c</errorID>
      <errorWord>失能</errorWord>
      <group>L1_Word</group>
      <groupName>字词问题</groupName>
      <ability>L2_Typo</ability>
      <abilityName>字词错误</abilityName>
      <candidateList>
        <item>智能</item>
      </candidateList>
      <explain/>
      <paraID>4B863247</paraID>
      <start>0</start>
      <end>2</end>
      <status>unmodified</status>
      <modifiedWord/>
      <trackRevisions>false</trackRevisions>
    </reviewItem>
    <reviewItem>
      <errorID>23ea9ed7-4965-4fff-a565-92ae9140123f</errorID>
      <errorWord>‘、</errorWord>
      <group>L1_Punc</group>
      <groupName>标点问题</groupName>
      <ability>L2_Punc_CN</ability>
      <abilityName>标点符号问题</abilityName>
      <candidateList>
        <item>‘</item>
      </candidateList>
      <explain/>
      <paraID>4F474B0A</paraID>
      <start>9</start>
      <end>11</end>
      <status>unmodified</status>
      <modifiedWord/>
      <trackRevisions>false</trackRevisions>
    </reviewItem>
    <reviewItem>
      <errorID>669f02e5-6cb8-4f3b-aa70-ffc37381367d</errorID>
      <errorWord>）</errorWord>
      <group>L1_Punc</group>
      <groupName>标点问题</groupName>
      <ability>L2_Punc_CN</ability>
      <abilityName>标点符号问题</abilityName>
      <candidateList/>
      <explain>同一形式括号套用。</explain>
      <paraID>6D2E49A7</paraID>
      <start>148</start>
      <end>149</end>
      <status>unmodified</status>
      <modifiedWord/>
      <trackRevisions>false</trackRevisions>
    </reviewItem>
    <reviewItem>
      <errorID>0d3e48ac-5ce9-49c4-837e-e00bab958b3b</errorID>
      <errorWord>）</errorWord>
      <group>L1_Punc</group>
      <groupName>标点问题</groupName>
      <ability>L2_Punc_CN</ability>
      <abilityName>标点符号问题</abilityName>
      <candidateList/>
      <explain>同一形式括号套用。</explain>
      <paraID>5876395A</paraID>
      <start>66</start>
      <end>67</end>
      <status>unmodified</status>
      <modifiedWord/>
      <trackRevisions>false</trackRevisions>
    </reviewItem>
    <reviewItem>
      <errorID>37c487d9-e9f2-4607-9af2-8565489a1bf9</errorID>
      <errorWord>）</errorWord>
      <group>L1_Punc</group>
      <groupName>标点问题</groupName>
      <ability>L2_Punc_CN</ability>
      <abilityName>标点符号问题</abilityName>
      <candidateList/>
      <explain>同一形式括号套用。</explain>
      <paraID>5876395A</paraID>
      <start>101</start>
      <end>102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DC0770C-5601-4AB0-8CF0-7AF8682FD37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273</cp:revision>
  <dcterms:created xsi:type="dcterms:W3CDTF">2014-10-29T20:08:00Z</dcterms:created>
  <dcterms:modified xsi:type="dcterms:W3CDTF">2026-09-01T08:44:38Z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DA5CF961278546C4ADCA05D305D8BE27_13</vt:lpwstr>
  </property>
  <property fmtid="{D5CDD505-2E9C-101B-9397-08002B2CF9AE}" pid="4" name="KSOTemplateDocerSaveRecord">
    <vt:lpwstr>eyJoZGlkIjoiYjA5ZGM2ZWEzZTFmMTNmZjQ5MzY5NzkxNDYyYzFhMTYiLCJ1c2VySWQiOiIxMzA2NDU5MDMyIn0=</vt:lpwstr>
  </property>
</Properties>
</file>