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520"/>
        <w:rPr>
          <w:rFonts w:eastAsia="黑体"/>
          <w:b/>
          <w:bCs/>
          <w:color w:val="000000"/>
          <w:sz w:val="52"/>
          <w:szCs w:val="52"/>
        </w:rPr>
      </w:pPr>
      <w:r>
        <w:rPr>
          <w:rFonts w:eastAsia="黑体"/>
          <w:b/>
          <w:bCs/>
          <w:color w:val="000000"/>
          <w:sz w:val="52"/>
          <w:szCs w:val="52"/>
        </w:rPr>
      </w:r>
      <w:r/>
    </w:p>
    <w:p>
      <w:pPr>
        <w:pStyle w:val="979"/>
        <w:ind w:firstLine="520"/>
        <w:rPr>
          <w:rFonts w:eastAsia="黑体"/>
          <w:b/>
          <w:bCs/>
          <w:color w:val="000000"/>
          <w:sz w:val="52"/>
          <w:szCs w:val="52"/>
        </w:rPr>
      </w:pPr>
      <w:r>
        <w:rPr>
          <w:rFonts w:eastAsia="黑体"/>
          <w:b/>
          <w:bCs/>
          <w:color w:val="000000"/>
          <w:sz w:val="52"/>
          <w:szCs w:val="52"/>
        </w:rPr>
      </w:r>
      <w:r/>
    </w:p>
    <w:p>
      <w:pPr>
        <w:pStyle w:val="979"/>
        <w:ind w:firstLine="840"/>
        <w:jc w:val="center"/>
        <w:rPr>
          <w:rFonts w:eastAsia="黑体"/>
          <w:b/>
          <w:bCs/>
          <w:color w:val="000000"/>
          <w:sz w:val="84"/>
        </w:rPr>
      </w:pPr>
      <w:r>
        <w:rPr>
          <w:rFonts w:hint="eastAsia" w:eastAsia="黑体"/>
          <w:b/>
          <w:bCs/>
          <w:color w:val="000000"/>
          <w:sz w:val="84"/>
        </w:rPr>
        <w:t xml:space="preserve">招　标　文　件</w:t>
      </w:r>
      <w:r/>
    </w:p>
    <w:p>
      <w:pPr>
        <w:pStyle w:val="979"/>
        <w:ind w:firstLine="360"/>
        <w:jc w:val="center"/>
        <w:rPr>
          <w:b/>
          <w:bCs/>
          <w:color w:val="000000"/>
          <w:sz w:val="36"/>
          <w:szCs w:val="36"/>
        </w:rPr>
      </w:pPr>
      <w:r>
        <w:rPr>
          <w:b/>
          <w:bCs/>
          <w:color w:val="000000"/>
          <w:sz w:val="36"/>
          <w:szCs w:val="36"/>
        </w:rPr>
      </w:r>
      <w:r/>
    </w:p>
    <w:p>
      <w:pPr>
        <w:pStyle w:val="979"/>
        <w:ind w:firstLine="360"/>
        <w:jc w:val="center"/>
        <w:rPr>
          <w:b/>
          <w:bCs/>
          <w:color w:val="000000"/>
          <w:sz w:val="36"/>
          <w:szCs w:val="36"/>
        </w:rPr>
      </w:pPr>
      <w:r>
        <w:rPr>
          <w:rFonts w:hint="eastAsia"/>
          <w:b/>
          <w:bCs/>
          <w:color w:val="000000"/>
          <w:sz w:val="36"/>
          <w:szCs w:val="36"/>
        </w:rPr>
        <w:t xml:space="preserve">项目名称：响水县中医院磁共振成像系统采购项目</w:t>
      </w:r>
      <w:r/>
    </w:p>
    <w:p>
      <w:pPr>
        <w:pStyle w:val="979"/>
        <w:ind w:firstLine="360"/>
        <w:jc w:val="center"/>
        <w:rPr>
          <w:b/>
          <w:bCs/>
          <w:color w:val="000000"/>
          <w:sz w:val="36"/>
          <w:szCs w:val="36"/>
        </w:rPr>
      </w:pPr>
      <w:r>
        <w:rPr>
          <w:rFonts w:hint="eastAsia"/>
          <w:b/>
          <w:bCs/>
          <w:color w:val="000000"/>
          <w:sz w:val="36"/>
          <w:szCs w:val="36"/>
        </w:rPr>
        <w:t xml:space="preserve">项目编号：</w:t>
      </w:r>
      <w:r>
        <w:rPr>
          <w:rFonts w:hint="eastAsia"/>
          <w:b/>
          <w:bCs/>
          <w:color w:val="000000"/>
          <w:sz w:val="36"/>
          <w:szCs w:val="36"/>
        </w:rPr>
        <w:t xml:space="preserve">JSZC-320921-SHGK-G2025-0189</w:t>
      </w:r>
      <w:r/>
    </w:p>
    <w:p>
      <w:pPr>
        <w:pStyle w:val="979"/>
        <w:ind w:firstLine="360"/>
        <w:jc w:val="center"/>
        <w:rPr>
          <w:b/>
          <w:bCs/>
          <w:color w:val="000000"/>
          <w:sz w:val="36"/>
          <w:szCs w:val="36"/>
        </w:rPr>
      </w:pPr>
      <w:r>
        <w:rPr>
          <w:rFonts w:hint="eastAsia"/>
          <w:b/>
          <w:bCs/>
          <w:color w:val="000000"/>
          <w:sz w:val="36"/>
          <w:szCs w:val="36"/>
        </w:rPr>
        <w:t xml:space="preserve">代理机构编号：</w:t>
      </w:r>
      <w:r>
        <w:rPr>
          <w:rFonts w:hint="eastAsia"/>
          <w:b/>
          <w:bCs/>
          <w:color w:val="000000"/>
          <w:sz w:val="36"/>
          <w:szCs w:val="36"/>
        </w:rPr>
        <w:t xml:space="preserve">1214-254112605WWF</w:t>
      </w:r>
      <w:r/>
    </w:p>
    <w:p>
      <w:pPr>
        <w:pStyle w:val="979"/>
        <w:ind w:firstLine="360"/>
        <w:jc w:val="center"/>
        <w:rPr>
          <w:b/>
          <w:bCs/>
          <w:color w:val="000000"/>
          <w:sz w:val="36"/>
          <w:szCs w:val="36"/>
        </w:rPr>
      </w:pPr>
      <w:r>
        <w:rPr>
          <w:b/>
          <w:bCs/>
          <w:color w:val="000000"/>
          <w:sz w:val="36"/>
          <w:szCs w:val="36"/>
        </w:rPr>
      </w:r>
      <w:r/>
    </w:p>
    <w:p>
      <w:pPr>
        <w:pStyle w:val="979"/>
        <w:ind w:firstLine="241"/>
        <w:spacing w:before="0" w:after="0"/>
        <w:rPr>
          <w:rFonts w:ascii="宋体" w:hAnsi="宋体"/>
          <w:color w:val="000000"/>
        </w:rPr>
      </w:pPr>
      <w:r>
        <w:rPr>
          <w:rFonts w:ascii="宋体" w:hAnsi="宋体"/>
          <w:color w:val="000000"/>
        </w:rPr>
      </w:r>
      <w:r/>
    </w:p>
    <w:p>
      <w:pPr>
        <w:pStyle w:val="979"/>
        <w:ind w:firstLine="241"/>
        <w:spacing w:before="0" w:after="0"/>
        <w:rPr>
          <w:rFonts w:ascii="宋体" w:hAnsi="宋体"/>
          <w:color w:val="000000"/>
        </w:rPr>
      </w:pPr>
      <w:r>
        <w:rPr>
          <w:rFonts w:ascii="宋体" w:hAnsi="宋体"/>
          <w:color w:val="000000"/>
        </w:rPr>
      </w:r>
      <w:r/>
    </w:p>
    <w:p>
      <w:pPr>
        <w:pStyle w:val="979"/>
        <w:ind w:firstLine="241"/>
        <w:spacing w:before="0" w:after="0"/>
        <w:rPr>
          <w:rFonts w:ascii="宋体" w:hAnsi="宋体"/>
          <w:color w:val="000000"/>
        </w:rPr>
      </w:pPr>
      <w:r>
        <w:rPr>
          <w:rFonts w:ascii="宋体" w:hAnsi="宋体"/>
          <w:color w:val="000000"/>
        </w:rPr>
      </w:r>
      <w:r/>
    </w:p>
    <w:p>
      <w:pPr>
        <w:pStyle w:val="979"/>
        <w:ind w:firstLine="241"/>
        <w:spacing w:before="0" w:after="0"/>
        <w:rPr>
          <w:rFonts w:ascii="宋体" w:hAnsi="宋体"/>
          <w:color w:val="000000"/>
        </w:rPr>
      </w:pPr>
      <w:r>
        <w:rPr>
          <w:rFonts w:ascii="宋体" w:hAnsi="宋体"/>
          <w:color w:val="000000"/>
        </w:rPr>
      </w:r>
      <w:r/>
    </w:p>
    <w:p>
      <w:pPr>
        <w:pStyle w:val="979"/>
        <w:ind w:firstLine="241"/>
        <w:spacing w:before="0" w:after="0"/>
        <w:rPr>
          <w:rFonts w:ascii="宋体" w:hAnsi="宋体"/>
          <w:color w:val="000000"/>
        </w:rPr>
      </w:pPr>
      <w:r>
        <w:rPr>
          <w:rFonts w:ascii="宋体" w:hAnsi="宋体"/>
          <w:color w:val="000000"/>
        </w:rPr>
      </w:r>
      <w:r/>
    </w:p>
    <w:p>
      <w:pPr>
        <w:pStyle w:val="979"/>
        <w:ind w:firstLine="241"/>
        <w:spacing w:before="0" w:after="0"/>
        <w:rPr>
          <w:rFonts w:ascii="宋体" w:hAnsi="宋体"/>
          <w:color w:val="000000"/>
        </w:rPr>
      </w:pPr>
      <w:r>
        <w:rPr>
          <w:rFonts w:ascii="宋体" w:hAnsi="宋体"/>
          <w:color w:val="000000"/>
        </w:rPr>
      </w:r>
      <w:r/>
    </w:p>
    <w:p>
      <w:pPr>
        <w:pStyle w:val="979"/>
        <w:ind w:firstLine="320"/>
        <w:jc w:val="center"/>
        <w:rPr>
          <w:b/>
          <w:bCs/>
          <w:color w:val="000000"/>
          <w:sz w:val="32"/>
        </w:rPr>
      </w:pPr>
      <w:r>
        <w:rPr>
          <w:rFonts w:hint="eastAsia"/>
          <w:b/>
          <w:bCs/>
          <w:color w:val="000000"/>
          <w:sz w:val="32"/>
        </w:rPr>
        <w:t xml:space="preserve">采购人：响水县中医院</w:t>
      </w:r>
      <w:r/>
    </w:p>
    <w:p>
      <w:pPr>
        <w:pStyle w:val="979"/>
        <w:ind w:firstLine="320"/>
        <w:jc w:val="center"/>
        <w:rPr>
          <w:b/>
          <w:bCs/>
          <w:color w:val="000000"/>
          <w:sz w:val="32"/>
        </w:rPr>
      </w:pPr>
      <w:r>
        <w:rPr>
          <w:rFonts w:hint="eastAsia"/>
          <w:b/>
          <w:bCs/>
          <w:color w:val="000000"/>
          <w:sz w:val="32"/>
        </w:rPr>
        <w:t xml:space="preserve">采购代理机构：江苏苏豪创新科技集团高科有限公司</w:t>
      </w:r>
      <w:r/>
    </w:p>
    <w:p>
      <w:pPr>
        <w:pStyle w:val="979"/>
        <w:ind w:firstLine="320"/>
        <w:jc w:val="center"/>
        <w:rPr>
          <w:b/>
          <w:bCs/>
          <w:color w:val="000000"/>
          <w:sz w:val="32"/>
        </w:rPr>
      </w:pPr>
      <w:r>
        <w:rPr>
          <w:rFonts w:hint="eastAsia"/>
          <w:b/>
          <w:bCs/>
          <w:color w:val="000000"/>
          <w:sz w:val="32"/>
        </w:rPr>
        <w:t xml:space="preserve">202</w:t>
      </w:r>
      <w:r>
        <w:rPr>
          <w:b/>
          <w:bCs/>
          <w:color w:val="000000"/>
          <w:sz w:val="32"/>
        </w:rPr>
        <w:t xml:space="preserve">5</w:t>
      </w:r>
      <w:r>
        <w:rPr>
          <w:rFonts w:hint="eastAsia"/>
          <w:b/>
          <w:bCs/>
          <w:color w:val="000000"/>
          <w:sz w:val="32"/>
        </w:rPr>
        <w:t xml:space="preserve">年</w:t>
      </w:r>
      <w:r>
        <w:rPr>
          <w:rFonts w:hint="eastAsia"/>
          <w:b/>
          <w:bCs/>
          <w:color w:val="000000"/>
          <w:sz w:val="32"/>
        </w:rPr>
        <w:t xml:space="preserve">12</w:t>
      </w:r>
      <w:r>
        <w:rPr>
          <w:rFonts w:hint="eastAsia"/>
          <w:b/>
          <w:bCs/>
          <w:color w:val="000000"/>
          <w:sz w:val="32"/>
        </w:rPr>
        <w:t xml:space="preserve">月</w:t>
      </w:r>
      <w:r/>
    </w:p>
    <w:p>
      <w:pPr>
        <w:pStyle w:val="979"/>
        <w:ind w:firstLine="241"/>
        <w:rPr>
          <w:color w:val="000000"/>
          <w:u w:val="single"/>
        </w:rPr>
      </w:pPr>
      <w:r>
        <w:rPr>
          <w:rFonts w:hint="eastAsia"/>
          <w:color w:val="000000"/>
        </w:rPr>
        <w:t xml:space="preserve">                        </w:t>
      </w:r>
      <w:r/>
    </w:p>
    <w:p>
      <w:pPr>
        <w:pStyle w:val="979"/>
        <w:ind w:firstLine="241"/>
        <w:jc w:val="center"/>
        <w:rPr>
          <w:color w:val="000000"/>
        </w:rPr>
      </w:pPr>
      <w:r>
        <w:rPr>
          <w:color w:val="000000"/>
        </w:rPr>
      </w:r>
      <w:r/>
    </w:p>
    <w:p>
      <w:pPr>
        <w:jc w:val="center"/>
        <w:spacing w:line="480" w:lineRule="auto"/>
        <w:rPr>
          <w:rFonts w:ascii="黑体" w:hAnsi="宋体" w:eastAsia="黑体"/>
          <w:color w:val="000000"/>
          <w:sz w:val="36"/>
        </w:rPr>
        <w:outlineLvl w:val="0"/>
      </w:pPr>
      <w:r>
        <w:rPr>
          <w:color w:val="000000"/>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color w:val="000000"/>
        </w:rPr>
        <w:t xml:space="preserve"> </w:t>
      </w:r>
      <w:bookmarkStart w:id="6" w:name="_Toc196405124"/>
      <w:r/>
      <w:bookmarkStart w:id="7" w:name="_Toc196405311"/>
      <w:r/>
      <w:bookmarkStart w:id="8" w:name="_Toc26322"/>
      <w:r>
        <w:rPr>
          <w:rFonts w:hint="eastAsia" w:ascii="黑体" w:hAnsi="Arial" w:eastAsia="黑体"/>
          <w:b/>
          <w:color w:val="000000"/>
          <w:sz w:val="44"/>
        </w:rPr>
        <w:t xml:space="preserve">总  目  录</w:t>
      </w:r>
      <w:bookmarkEnd w:id="6"/>
      <w:r/>
      <w:bookmarkEnd w:id="7"/>
      <w:r/>
      <w:bookmarkEnd w:id="8"/>
      <w:r/>
      <w:r/>
    </w:p>
    <w:p>
      <w:pPr>
        <w:pStyle w:val="768"/>
        <w:spacing w:line="480" w:lineRule="auto"/>
        <w:tabs>
          <w:tab w:val="clear" w:pos="8720" w:leader="none"/>
          <w:tab w:val="right" w:pos="8953" w:leader="dot"/>
        </w:tabs>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TOC \o "1-3" \h \z \u </w:instrText>
      </w:r>
      <w:r>
        <w:rPr>
          <w:rFonts w:hint="eastAsia" w:asciiTheme="minorEastAsia" w:hAnsiTheme="minorEastAsia" w:eastAsiaTheme="minorEastAsia" w:cstheme="minorEastAsia"/>
          <w:sz w:val="28"/>
          <w:szCs w:val="28"/>
        </w:rPr>
        <w:fldChar w:fldCharType="separate"/>
      </w:r>
      <w:r/>
    </w:p>
    <w:p>
      <w:pPr>
        <w:pStyle w:val="776"/>
        <w:spacing w:line="480" w:lineRule="auto"/>
        <w:tabs>
          <w:tab w:val="right" w:pos="8953" w:leader="dot"/>
        </w:tabs>
      </w:pPr>
      <w:r/>
      <w:hyperlink w:tooltip="#_Toc23083" w:anchor="_Toc23083" w:history="1">
        <w:r>
          <w:rPr>
            <w:rFonts w:hint="eastAsia"/>
          </w:rPr>
          <w:t xml:space="preserve">第一章  招标公告</w:t>
        </w:r>
        <w:r>
          <w:tab/>
        </w:r>
        <w:r>
          <w:fldChar w:fldCharType="begin"/>
        </w:r>
        <w:r>
          <w:instrText xml:space="preserve"> PAGEREF _Toc23083 \h </w:instrText>
        </w:r>
        <w:r>
          <w:fldChar w:fldCharType="separate"/>
        </w:r>
        <w:r>
          <w:t xml:space="preserve">1</w:t>
        </w:r>
        <w:r>
          <w:fldChar w:fldCharType="end"/>
        </w:r>
      </w:hyperlink>
      <w:r/>
      <w:r/>
    </w:p>
    <w:p>
      <w:pPr>
        <w:pStyle w:val="776"/>
        <w:spacing w:line="480" w:lineRule="auto"/>
        <w:tabs>
          <w:tab w:val="right" w:pos="8953" w:leader="dot"/>
        </w:tabs>
      </w:pPr>
      <w:r/>
      <w:hyperlink w:tooltip="#_Toc23544" w:anchor="_Toc23544" w:history="1">
        <w:r>
          <w:rPr>
            <w:rFonts w:hint="eastAsia"/>
          </w:rPr>
          <w:t xml:space="preserve">第二章  投标人须知</w:t>
        </w:r>
        <w:r>
          <w:tab/>
        </w:r>
        <w:r>
          <w:fldChar w:fldCharType="begin"/>
        </w:r>
        <w:r>
          <w:instrText xml:space="preserve"> PAGEREF _Toc23544 \h </w:instrText>
        </w:r>
        <w:r>
          <w:fldChar w:fldCharType="separate"/>
        </w:r>
        <w:r>
          <w:t xml:space="preserve">5</w:t>
        </w:r>
        <w:r>
          <w:fldChar w:fldCharType="end"/>
        </w:r>
      </w:hyperlink>
      <w:r/>
      <w:r/>
    </w:p>
    <w:p>
      <w:pPr>
        <w:pStyle w:val="776"/>
        <w:spacing w:line="480" w:lineRule="auto"/>
        <w:tabs>
          <w:tab w:val="right" w:pos="8953" w:leader="dot"/>
        </w:tabs>
      </w:pPr>
      <w:r/>
      <w:hyperlink w:tooltip="#_Toc17757" w:anchor="_Toc17757" w:history="1">
        <w:r>
          <w:rPr>
            <w:rFonts w:hint="eastAsia"/>
          </w:rPr>
          <w:t xml:space="preserve">第三章  合同文本</w:t>
        </w:r>
        <w:r>
          <w:tab/>
        </w:r>
        <w:r>
          <w:fldChar w:fldCharType="begin"/>
        </w:r>
        <w:r>
          <w:instrText xml:space="preserve"> PAGEREF _Toc17757 \h </w:instrText>
        </w:r>
        <w:r>
          <w:fldChar w:fldCharType="separate"/>
        </w:r>
        <w:r>
          <w:t xml:space="preserve">16</w:t>
        </w:r>
        <w:r>
          <w:fldChar w:fldCharType="end"/>
        </w:r>
      </w:hyperlink>
      <w:r/>
      <w:r/>
    </w:p>
    <w:p>
      <w:pPr>
        <w:pStyle w:val="776"/>
        <w:spacing w:line="480" w:lineRule="auto"/>
        <w:tabs>
          <w:tab w:val="right" w:pos="8953" w:leader="dot"/>
        </w:tabs>
      </w:pPr>
      <w:r/>
      <w:hyperlink w:tooltip="#_Toc71" w:anchor="_Toc71" w:history="1">
        <w:r>
          <w:rPr>
            <w:rFonts w:hint="eastAsia"/>
          </w:rPr>
          <w:t xml:space="preserve">第四章  采购需求</w:t>
        </w:r>
        <w:r>
          <w:tab/>
        </w:r>
        <w:r>
          <w:fldChar w:fldCharType="begin"/>
        </w:r>
        <w:r>
          <w:instrText xml:space="preserve"> PAGEREF _Toc71 \h </w:instrText>
        </w:r>
        <w:r>
          <w:fldChar w:fldCharType="separate"/>
        </w:r>
        <w:r>
          <w:t xml:space="preserve">20</w:t>
        </w:r>
        <w:r>
          <w:fldChar w:fldCharType="end"/>
        </w:r>
      </w:hyperlink>
      <w:r/>
      <w:r/>
    </w:p>
    <w:p>
      <w:pPr>
        <w:pStyle w:val="776"/>
        <w:spacing w:line="480" w:lineRule="auto"/>
        <w:tabs>
          <w:tab w:val="right" w:pos="8953" w:leader="dot"/>
        </w:tabs>
      </w:pPr>
      <w:r/>
      <w:hyperlink w:tooltip="#_Toc11034" w:anchor="_Toc11034" w:history="1">
        <w:r>
          <w:rPr>
            <w:rFonts w:hint="eastAsia"/>
          </w:rPr>
          <w:t xml:space="preserve">第五章  评标方法与评标标准</w:t>
        </w:r>
        <w:r>
          <w:tab/>
        </w:r>
        <w:r>
          <w:fldChar w:fldCharType="begin"/>
        </w:r>
        <w:r>
          <w:instrText xml:space="preserve"> PAGEREF _Toc11034 \h </w:instrText>
        </w:r>
        <w:r>
          <w:fldChar w:fldCharType="separate"/>
        </w:r>
        <w:r>
          <w:t xml:space="preserve">24</w:t>
        </w:r>
        <w:r>
          <w:fldChar w:fldCharType="end"/>
        </w:r>
      </w:hyperlink>
      <w:r/>
      <w:r/>
    </w:p>
    <w:p>
      <w:pPr>
        <w:pStyle w:val="776"/>
        <w:spacing w:line="480" w:lineRule="auto"/>
        <w:tabs>
          <w:tab w:val="right" w:pos="8953" w:leader="dot"/>
        </w:tabs>
      </w:pPr>
      <w:r/>
      <w:hyperlink w:tooltip="#_Toc30621" w:anchor="_Toc30621" w:history="1">
        <w:r>
          <w:rPr>
            <w:rFonts w:hint="eastAsia"/>
          </w:rPr>
          <w:t xml:space="preserve">第六章  投标文件格式</w:t>
        </w:r>
        <w:r>
          <w:tab/>
        </w:r>
        <w:r>
          <w:fldChar w:fldCharType="begin"/>
        </w:r>
        <w:r>
          <w:instrText xml:space="preserve"> PAGEREF _Toc30621 \h </w:instrText>
        </w:r>
        <w:r>
          <w:fldChar w:fldCharType="separate"/>
        </w:r>
        <w:r>
          <w:t xml:space="preserve">28</w:t>
        </w:r>
        <w:r>
          <w:fldChar w:fldCharType="end"/>
        </w:r>
      </w:hyperlink>
      <w:r/>
      <w:r/>
    </w:p>
    <w:p>
      <w:pPr>
        <w:pStyle w:val="776"/>
        <w:tabs>
          <w:tab w:val="right" w:pos="8953" w:leader="dot"/>
        </w:tabs>
      </w:pPr>
      <w:r/>
      <w:r/>
    </w:p>
    <w:p>
      <w:pPr>
        <w:spacing w:line="480" w:lineRule="auto"/>
        <w:rPr>
          <w:sz w:val="28"/>
          <w:szCs w:val="28"/>
        </w:rPr>
      </w:pPr>
      <w:r>
        <w:rPr>
          <w:rFonts w:hint="eastAsia" w:asciiTheme="minorEastAsia" w:hAnsiTheme="minorEastAsia" w:eastAsiaTheme="minorEastAsia" w:cstheme="minorEastAsia"/>
          <w:bCs/>
          <w:szCs w:val="28"/>
          <w:lang w:val="zh-CN"/>
        </w:rPr>
        <w:fldChar w:fldCharType="end"/>
      </w:r>
      <w:r/>
    </w:p>
    <w:p>
      <w:pPr>
        <w:pStyle w:val="776"/>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pPr>
      <w:r/>
      <w:r/>
    </w:p>
    <w:p>
      <w:pPr>
        <w:pStyle w:val="735"/>
        <w:numPr>
          <w:ilvl w:val="0"/>
          <w:numId w:val="4"/>
        </w:numPr>
        <w:ind w:firstLine="442"/>
        <w:spacing w:before="0" w:after="0" w:line="415" w:lineRule="auto"/>
      </w:pPr>
      <w:r>
        <w:rPr>
          <w:rFonts w:hint="eastAsia"/>
        </w:rPr>
        <w:t xml:space="preserve"> </w:t>
      </w:r>
      <w:bookmarkStart w:id="9" w:name="_Toc23083"/>
      <w:r/>
      <w:bookmarkEnd w:id="0"/>
      <w:r>
        <w:rPr>
          <w:rFonts w:hint="eastAsia"/>
        </w:rPr>
        <w:t xml:space="preserve">招标公告</w:t>
      </w:r>
      <w:bookmarkEnd w:id="9"/>
      <w:r/>
      <w:r/>
    </w:p>
    <w:p>
      <w:pPr>
        <w:pStyle w:val="779"/>
        <w:ind w:firstLine="480"/>
        <w:jc w:val="both"/>
        <w:spacing w:beforeAutospacing="0" w:afterAutospacing="0" w:line="360" w:lineRule="auto"/>
        <w:pBdr>
          <w:top w:val="single" w:color="000000" w:sz="4" w:space="0"/>
          <w:left w:val="single" w:color="000000" w:sz="4" w:space="0"/>
          <w:bottom w:val="single" w:color="000000" w:sz="4" w:space="0"/>
          <w:right w:val="single" w:color="000000" w:sz="4" w:space="25"/>
        </w:pBdr>
      </w:pPr>
      <w:r/>
      <w:bookmarkStart w:id="10" w:name="_Toc35393621"/>
      <w:r/>
      <w:bookmarkStart w:id="11" w:name="_Toc196405125"/>
      <w:r/>
      <w:bookmarkStart w:id="12" w:name="_Toc28359002"/>
      <w:r/>
      <w:bookmarkStart w:id="13" w:name="_Toc38985263"/>
      <w:r/>
      <w:bookmarkStart w:id="14" w:name="_Toc28359079"/>
      <w:r/>
      <w:bookmarkStart w:id="15" w:name="_Toc196405313"/>
      <w:r/>
      <w:bookmarkStart w:id="16" w:name="_Toc35393790"/>
      <w:r/>
      <w:bookmarkStart w:id="17" w:name="_Hlk24379207"/>
      <w:r>
        <w:rPr>
          <w:rFonts w:hint="eastAsia"/>
          <w:color w:val="000000"/>
        </w:rPr>
        <w:t xml:space="preserve">项目概况</w:t>
      </w:r>
      <w:r/>
    </w:p>
    <w:p>
      <w:pPr>
        <w:pStyle w:val="779"/>
        <w:ind w:firstLine="480"/>
        <w:jc w:val="both"/>
        <w:spacing w:beforeAutospacing="0" w:afterAutospacing="0" w:line="360" w:lineRule="auto"/>
        <w:pBdr>
          <w:top w:val="single" w:color="000000" w:sz="4" w:space="0"/>
          <w:left w:val="single" w:color="000000" w:sz="4" w:space="0"/>
          <w:bottom w:val="single" w:color="000000" w:sz="4" w:space="0"/>
          <w:right w:val="single" w:color="000000" w:sz="4" w:space="25"/>
        </w:pBdr>
      </w:pPr>
      <w:r>
        <w:rPr>
          <w:rFonts w:hint="eastAsia"/>
          <w:u w:val="single"/>
          <w:shd w:val="clear" w:color="auto" w:fill="ffffff" w:themeFill="background1"/>
        </w:rPr>
        <w:t xml:space="preserve">响水县中医院磁共振成像系统采购</w:t>
      </w:r>
      <w:r>
        <w:rPr>
          <w:rFonts w:hint="eastAsia"/>
          <w:u w:val="single"/>
          <w:shd w:val="clear" w:color="auto" w:fill="ffffff" w:themeFill="background1"/>
        </w:rPr>
        <w:t xml:space="preserve">JSZC-320921-SHGK-G2025-0189</w:t>
      </w:r>
      <w:r>
        <w:rPr>
          <w:rFonts w:hint="eastAsia"/>
          <w:color w:val="000000"/>
        </w:rPr>
        <w:t xml:space="preserve">招标项目的潜在投标人可在</w:t>
      </w:r>
      <w:r>
        <w:rPr>
          <w:rFonts w:hint="eastAsia"/>
          <w:color w:val="333333"/>
          <w:shd w:val="clear" w:color="auto" w:fill="ffffff"/>
        </w:rPr>
        <w:t xml:space="preserve">“苏采云”系统内免费下载（投标人必须在苏采云系统中获取采购文件，方能参与政府采购项目）</w:t>
      </w:r>
      <w:r>
        <w:rPr>
          <w:rFonts w:hint="eastAsia"/>
          <w:color w:val="000000"/>
        </w:rPr>
        <w:t xml:space="preserve">，并</w:t>
      </w:r>
      <w:r>
        <w:rPr>
          <w:rFonts w:hint="eastAsia"/>
          <w:color w:val="000000"/>
        </w:rPr>
        <w:t xml:space="preserve">于</w:t>
      </w:r>
      <w:r>
        <w:rPr>
          <w:rFonts w:hint="eastAsia"/>
          <w:color w:val="ff0000"/>
          <w:u w:val="single"/>
          <w:shd w:val="clear" w:color="auto" w:fill="ffffff" w:themeFill="background1"/>
        </w:rPr>
        <w:t xml:space="preserve">2026年1月</w:t>
      </w:r>
      <w:r>
        <w:rPr>
          <w:rFonts w:hint="eastAsia"/>
          <w:color w:val="ff0000"/>
          <w:u w:val="single"/>
          <w:shd w:val="clear" w:color="auto" w:fill="ffffff" w:themeFill="background1"/>
        </w:rPr>
        <w:t xml:space="preserve">2</w:t>
      </w:r>
      <w:r>
        <w:rPr>
          <w:color w:val="ff0000"/>
          <w:u w:val="single"/>
          <w:shd w:val="clear" w:color="auto" w:fill="ffffff" w:themeFill="background1"/>
        </w:rPr>
        <w:t xml:space="preserve">6</w:t>
      </w:r>
      <w:r>
        <w:rPr>
          <w:rFonts w:hint="eastAsia"/>
          <w:color w:val="ff0000"/>
          <w:u w:val="single"/>
          <w:shd w:val="clear" w:color="auto" w:fill="ffffff" w:themeFill="background1"/>
        </w:rPr>
        <w:t xml:space="preserve">日10点00分（北京时间）</w:t>
      </w:r>
      <w:r>
        <w:rPr>
          <w:rFonts w:hint="eastAsia"/>
          <w:color w:val="000000"/>
        </w:rPr>
        <w:t xml:space="preserve">前递</w:t>
      </w:r>
      <w:r>
        <w:rPr>
          <w:rFonts w:hint="eastAsia"/>
          <w:color w:val="000000"/>
        </w:rPr>
        <w:t xml:space="preserve">交投标文件。</w:t>
      </w:r>
      <w:r/>
    </w:p>
    <w:p>
      <w:pPr>
        <w:pStyle w:val="736"/>
        <w:ind w:firstLine="320"/>
        <w:spacing w:before="79" w:after="79" w:line="360" w:lineRule="auto"/>
        <w:rPr>
          <w:color w:val="000000"/>
        </w:rPr>
      </w:pPr>
      <w:r/>
      <w:bookmarkStart w:id="18" w:name="_Toc18352"/>
      <w:r>
        <w:rPr>
          <w:rFonts w:hint="eastAsia"/>
          <w:color w:val="000000"/>
        </w:rPr>
        <w:t xml:space="preserve">一、项目基本情况</w:t>
      </w:r>
      <w:bookmarkEnd w:id="10"/>
      <w:r/>
      <w:bookmarkEnd w:id="11"/>
      <w:r/>
      <w:bookmarkEnd w:id="12"/>
      <w:r/>
      <w:bookmarkEnd w:id="13"/>
      <w:r/>
      <w:bookmarkEnd w:id="14"/>
      <w:r/>
      <w:bookmarkEnd w:id="15"/>
      <w:r/>
      <w:bookmarkEnd w:id="16"/>
      <w:r/>
      <w:bookmarkEnd w:id="18"/>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1.项目编号：</w:t>
      </w:r>
      <w:r>
        <w:rPr>
          <w:rFonts w:hint="eastAsia"/>
          <w:color w:val="000000"/>
        </w:rPr>
        <w:t xml:space="preserve">JSZC-320921-SHGK-G2025-0189</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2.项目名称：响水县中医院磁共振成像系统采购项目</w:t>
      </w:r>
      <w:bookmarkEnd w:id="17"/>
      <w:r/>
    </w:p>
    <w:p>
      <w:pPr>
        <w:pStyle w:val="779"/>
        <w:ind w:firstLine="480"/>
        <w:jc w:val="both"/>
        <w:spacing w:before="0" w:beforeAutospacing="0" w:after="0" w:afterAutospacing="0" w:line="360" w:lineRule="auto"/>
        <w:widowControl w:val="off"/>
        <w:rPr>
          <w:color w:val="000000"/>
        </w:rPr>
      </w:pPr>
      <w:r>
        <w:rPr>
          <w:rFonts w:hint="eastAsia"/>
          <w:color w:val="000000"/>
        </w:rPr>
        <w:t xml:space="preserve">3.预算金额：1500万元</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4.采购方式：公开招标</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5.本项目最高限价：1500万元</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6.采购需求（简介）：详见第四章</w:t>
      </w:r>
      <w:r>
        <w:rPr>
          <w:color w:val="000000"/>
        </w:rPr>
        <w:t xml:space="preserve">采购需求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6"/>
        <w:gridCol w:w="936"/>
        <w:gridCol w:w="2352"/>
        <w:gridCol w:w="894"/>
        <w:gridCol w:w="2085"/>
        <w:gridCol w:w="2115"/>
      </w:tblGrid>
      <w:tr>
        <w:trPr>
          <w:jc w:val="center"/>
          <w:trHeight w:val="467"/>
        </w:trPr>
        <w:tc>
          <w:tcPr>
            <w:tcW w:w="69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p>
        </w:tc>
        <w:tc>
          <w:tcPr>
            <w:tcW w:w="93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品目号</w:t>
            </w:r>
            <w:r/>
          </w:p>
        </w:tc>
        <w:tc>
          <w:tcPr>
            <w:tcW w:w="235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设备名称</w:t>
            </w:r>
            <w:r/>
          </w:p>
        </w:tc>
        <w:tc>
          <w:tcPr>
            <w:tcW w:w="8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数量</w:t>
            </w:r>
            <w:r/>
          </w:p>
        </w:tc>
        <w:tc>
          <w:tcPr>
            <w:tcW w:w="208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采购预算</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（人民币）</w:t>
            </w:r>
            <w:r/>
          </w:p>
        </w:tc>
        <w:tc>
          <w:tcPr>
            <w:tcW w:w="211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是否接受进口产品投标</w:t>
            </w:r>
            <w:r/>
          </w:p>
        </w:tc>
      </w:tr>
      <w:tr>
        <w:trPr>
          <w:jc w:val="center"/>
          <w:trHeight w:val="487"/>
        </w:trPr>
        <w:tc>
          <w:tcPr>
            <w:tcW w:w="69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p>
        </w:tc>
        <w:tc>
          <w:tcPr>
            <w:tcW w:w="93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hint="eastAsia" w:ascii="宋体" w:hAnsi="宋体" w:cs="宋体"/>
                <w:color w:val="000000"/>
                <w:sz w:val="24"/>
                <w:szCs w:val="24"/>
              </w:rPr>
              <w:t xml:space="preserve">-1</w:t>
            </w:r>
            <w:r/>
          </w:p>
        </w:tc>
        <w:tc>
          <w:tcPr>
            <w:tcW w:w="2352"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磁共振成像系统</w:t>
            </w:r>
            <w:r/>
          </w:p>
        </w:tc>
        <w:tc>
          <w:tcPr>
            <w:tcW w:w="894"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1套</w:t>
            </w:r>
            <w:r/>
          </w:p>
        </w:tc>
        <w:tc>
          <w:tcPr>
            <w:tcW w:w="208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1500万元</w:t>
            </w:r>
            <w:r/>
          </w:p>
        </w:tc>
        <w:tc>
          <w:tcPr>
            <w:tcW w:w="211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不接受</w:t>
            </w:r>
            <w:r/>
          </w:p>
        </w:tc>
      </w:tr>
    </w:tbl>
    <w:p>
      <w:pPr>
        <w:ind w:firstLine="480"/>
        <w:spacing w:line="360" w:lineRule="auto"/>
        <w:rPr>
          <w:rFonts w:ascii="宋体" w:hAnsi="宋体"/>
          <w:sz w:val="24"/>
          <w:shd w:val="clear" w:color="auto" w:fill="ffffff" w:themeFill="background1"/>
        </w:rPr>
      </w:pPr>
      <w:r/>
      <w:bookmarkStart w:id="19" w:name="_Toc196405314"/>
      <w:r/>
      <w:bookmarkStart w:id="20" w:name="_Toc38985264"/>
      <w:r/>
      <w:bookmarkStart w:id="21" w:name="_Toc28359080"/>
      <w:r/>
      <w:bookmarkStart w:id="22" w:name="_Toc35393791"/>
      <w:r/>
      <w:bookmarkStart w:id="23" w:name="_Toc196405126"/>
      <w:r/>
      <w:bookmarkStart w:id="24" w:name="_Toc35393622"/>
      <w:r/>
      <w:bookmarkStart w:id="25" w:name="_Toc28359003"/>
      <w:r>
        <w:rPr>
          <w:rFonts w:hint="eastAsia" w:ascii="宋体" w:hAnsi="宋体"/>
          <w:sz w:val="24"/>
          <w:shd w:val="clear" w:color="auto" w:fill="ffffff" w:themeFill="background1"/>
        </w:rPr>
        <w:t xml:space="preserve">7.合同履行期限：</w:t>
      </w:r>
      <w:r>
        <w:rPr>
          <w:rFonts w:hint="eastAsia" w:ascii="宋体" w:hAnsi="宋体"/>
          <w:sz w:val="24"/>
          <w:shd w:val="clear" w:color="auto" w:fill="ffffff" w:themeFill="background1"/>
        </w:rPr>
        <w:t xml:space="preserve">详见采购文件</w:t>
      </w:r>
      <w:r/>
    </w:p>
    <w:p>
      <w:pPr>
        <w:ind w:firstLine="480"/>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 xml:space="preserve">8.本项目（是/否）接受联合体投标：否</w:t>
      </w:r>
      <w:r/>
    </w:p>
    <w:p>
      <w:pPr>
        <w:pStyle w:val="736"/>
        <w:ind w:firstLine="320"/>
        <w:spacing w:before="79" w:after="79" w:line="360" w:lineRule="auto"/>
        <w:rPr>
          <w:color w:val="000000"/>
        </w:rPr>
      </w:pPr>
      <w:r/>
      <w:bookmarkStart w:id="26" w:name="_Toc18022"/>
      <w:r>
        <w:rPr>
          <w:rFonts w:hint="eastAsia"/>
          <w:color w:val="000000"/>
        </w:rPr>
        <w:t xml:space="preserve">二、申请人的资格要求：</w:t>
      </w:r>
      <w:bookmarkEnd w:id="19"/>
      <w:r/>
      <w:bookmarkEnd w:id="20"/>
      <w:r/>
      <w:bookmarkEnd w:id="21"/>
      <w:r/>
      <w:bookmarkEnd w:id="22"/>
      <w:r/>
      <w:bookmarkEnd w:id="23"/>
      <w:r/>
      <w:bookmarkEnd w:id="24"/>
      <w:r/>
      <w:bookmarkEnd w:id="25"/>
      <w:r/>
      <w:bookmarkEnd w:id="26"/>
      <w:r/>
      <w:r/>
    </w:p>
    <w:p>
      <w:pPr>
        <w:pStyle w:val="779"/>
        <w:ind w:firstLine="480"/>
        <w:jc w:val="both"/>
        <w:spacing w:before="0" w:beforeAutospacing="0" w:after="0" w:afterAutospacing="0" w:line="360" w:lineRule="auto"/>
        <w:widowControl w:val="off"/>
        <w:rPr>
          <w:color w:val="000000"/>
        </w:rPr>
      </w:pPr>
      <w:r/>
      <w:bookmarkStart w:id="27" w:name="_Toc28359004"/>
      <w:r/>
      <w:bookmarkStart w:id="28" w:name="_Toc28359081"/>
      <w:r/>
      <w:bookmarkStart w:id="29" w:name="_Toc35393792"/>
      <w:r/>
      <w:bookmarkStart w:id="30" w:name="_Toc35393623"/>
      <w:r/>
      <w:bookmarkStart w:id="31" w:name="_Toc38985265"/>
      <w:r>
        <w:rPr>
          <w:rFonts w:hint="eastAsia"/>
          <w:color w:val="000000"/>
        </w:rPr>
        <w:t xml:space="preserve">（一）通用资格要求</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1.满足《中华人民共和国政府采购法》第二十二条规定，并提供下列材料：</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1.1 法人或者其他组织的营业执照等证明文件，自然人的身份证明；</w:t>
      </w:r>
      <w:r/>
    </w:p>
    <w:p>
      <w:pPr>
        <w:ind w:firstLine="480"/>
        <w:spacing w:line="276" w:lineRule="auto"/>
        <w:rPr>
          <w:rFonts w:ascii="宋体" w:hAnsi="宋体" w:cs="宋体"/>
          <w:color w:val="000000"/>
          <w:sz w:val="24"/>
          <w:szCs w:val="24"/>
        </w:rPr>
      </w:pPr>
      <w:r>
        <w:rPr>
          <w:rFonts w:hint="eastAsia" w:ascii="宋体" w:hAnsi="宋体" w:cs="宋体"/>
          <w:color w:val="000000"/>
          <w:sz w:val="24"/>
          <w:szCs w:val="24"/>
        </w:rPr>
        <w:t xml:space="preserve">1.2上一年度的财务状况报表（（至少提供资产负债表、利润表，投标人成立不满一年无需提供）；</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1.4 具备履行合同所必需的设备和专业技术能力的书面声明；</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1.5 参加政府采购活动前3年内在经营活动中没有重大违法记录的书面声明。</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1.6 法律、行政法规规定的其他条件。</w:t>
      </w:r>
      <w:r/>
    </w:p>
    <w:p>
      <w:pPr>
        <w:pStyle w:val="779"/>
        <w:ind w:firstLine="480"/>
        <w:jc w:val="both"/>
        <w:spacing w:before="0" w:beforeAutospacing="0" w:after="0" w:afterAutospacing="0" w:line="360" w:lineRule="auto"/>
        <w:widowControl w:val="off"/>
        <w:rPr>
          <w:color w:val="000000"/>
        </w:rPr>
      </w:pPr>
      <w:r/>
      <w:bookmarkStart w:id="32" w:name="OLE_LINK17"/>
      <w:r>
        <w:rPr>
          <w:rFonts w:hint="eastAsia"/>
          <w:color w:val="000000"/>
        </w:rPr>
        <w:t xml:space="preserve">1.7.</w:t>
      </w:r>
      <w:bookmarkStart w:id="33" w:name="OLE_LINK73"/>
      <w:r>
        <w:rPr>
          <w:rFonts w:hint="eastAsia"/>
          <w:color w:val="000000"/>
        </w:rPr>
        <w:t xml:space="preserve">在“信用中国”网站（www.creditchina.gov.cn）查询，无被列入</w:t>
      </w:r>
      <w:r>
        <w:rPr>
          <w:rFonts w:hint="eastAsia"/>
          <w:color w:val="000000"/>
        </w:rPr>
        <w:t xml:space="preserve">失信被执行人、</w:t>
      </w:r>
      <w:r>
        <w:rPr>
          <w:rFonts w:hint="eastAsia"/>
          <w:color w:val="000000"/>
        </w:rPr>
        <w:t xml:space="preserve">重大税收违法失信主体名单</w:t>
      </w:r>
      <w:r>
        <w:rPr>
          <w:rFonts w:hint="eastAsia"/>
          <w:color w:val="000000"/>
        </w:rPr>
        <w:t xml:space="preserve">、</w:t>
      </w:r>
      <w:r>
        <w:rPr>
          <w:rFonts w:hint="eastAsia"/>
          <w:color w:val="000000"/>
        </w:rPr>
        <w:t xml:space="preserve">严重失信主体名单</w:t>
      </w:r>
      <w:r>
        <w:rPr>
          <w:rFonts w:hint="eastAsia"/>
          <w:color w:val="000000"/>
        </w:rPr>
        <w:t xml:space="preserve">及其他不符合《中华人民共和国政府采购法》第二十二条规定条件的信用记录。（投标文件中无需提供证明材料）</w:t>
      </w:r>
      <w:bookmarkEnd w:id="32"/>
      <w:r/>
      <w:bookmarkEnd w:id="33"/>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1.8</w:t>
      </w:r>
      <w:bookmarkStart w:id="34" w:name="OLE_LINK74"/>
      <w:r>
        <w:rPr>
          <w:rFonts w:hint="eastAsia"/>
          <w:color w:val="000000"/>
        </w:rPr>
        <w:t xml:space="preserve">单位负责人为同一人或者存在直接控股、管理关系的不同供应商，不得参加同一合同项下的政府采购活动。</w:t>
      </w:r>
      <w:bookmarkEnd w:id="34"/>
      <w:r>
        <w:rPr>
          <w:rFonts w:hint="eastAsia"/>
          <w:color w:val="000000"/>
        </w:rPr>
        <w:t xml:space="preserve">（投标时提供承诺，格式自拟）</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（二）落实政府采购政策需满足的资格要求：</w:t>
      </w:r>
      <w:r/>
    </w:p>
    <w:p>
      <w:pPr>
        <w:ind w:firstLine="480"/>
        <w:spacing w:line="360" w:lineRule="auto"/>
        <w:rPr>
          <w:rFonts w:ascii="宋体" w:hAnsi="宋体"/>
          <w:sz w:val="24"/>
          <w:shd w:val="clear" w:color="auto" w:fill="ffffff" w:themeFill="background1"/>
        </w:rPr>
      </w:pPr>
      <w:r/>
      <w:bookmarkStart w:id="35" w:name="OLE_LINK76"/>
      <w:r>
        <w:rPr>
          <w:rFonts w:hint="eastAsia" w:ascii="宋体" w:hAnsi="宋体" w:cs="宋体"/>
          <w:color w:val="000000"/>
          <w:sz w:val="24"/>
        </w:rPr>
        <w:t xml:space="preserve">本项目采购标的所属行业为工业，为非预</w:t>
      </w:r>
      <w:r>
        <w:rPr>
          <w:rFonts w:hint="eastAsia" w:ascii="宋体" w:hAnsi="宋体"/>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35"/>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（三）本项目的特定资格要求</w:t>
      </w:r>
      <w:r/>
    </w:p>
    <w:p>
      <w:pPr>
        <w:ind w:firstLine="480"/>
        <w:spacing w:line="360" w:lineRule="auto"/>
        <w:rPr>
          <w:rFonts w:ascii="宋体" w:hAnsi="宋体" w:cs="宋体"/>
          <w:color w:val="000000"/>
          <w:sz w:val="24"/>
        </w:rPr>
      </w:pPr>
      <w:r/>
      <w:bookmarkStart w:id="36" w:name="_Toc196405315"/>
      <w:r/>
      <w:bookmarkStart w:id="37" w:name="_Toc196405127"/>
      <w:r>
        <w:rPr>
          <w:rFonts w:hint="eastAsia" w:ascii="宋体" w:hAnsi="宋体" w:cs="宋体"/>
          <w:color w:val="000000"/>
          <w:sz w:val="24"/>
        </w:rPr>
        <w:t xml:space="preserve">1、投标供应商为代理商，须提供有效的《医疗器械经营许可证》或《医疗器械经营备案凭证》；若投标供应商为生产商，须提供有效的《医疗器械生产许可证》或生产备案凭证（扫描件）；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2、投标人必须提供所投医疗产品有效的《医疗器械注册证》及附件(证书上的型号必须与所投型号一致，否则将导致无效投标)。</w:t>
      </w:r>
      <w:r/>
    </w:p>
    <w:p>
      <w:pPr>
        <w:pStyle w:val="736"/>
        <w:ind w:firstLine="320"/>
        <w:spacing w:before="79" w:after="79" w:line="360" w:lineRule="auto"/>
        <w:rPr>
          <w:color w:val="000000"/>
        </w:rPr>
      </w:pPr>
      <w:r/>
      <w:bookmarkStart w:id="38" w:name="_Toc23208"/>
      <w:r>
        <w:rPr>
          <w:rFonts w:hint="eastAsia"/>
          <w:color w:val="000000"/>
        </w:rPr>
        <w:t xml:space="preserve">三、获取招标文件</w:t>
      </w:r>
      <w:bookmarkEnd w:id="27"/>
      <w:r/>
      <w:bookmarkEnd w:id="28"/>
      <w:r/>
      <w:bookmarkEnd w:id="29"/>
      <w:r/>
      <w:bookmarkEnd w:id="30"/>
      <w:r/>
      <w:bookmarkEnd w:id="31"/>
      <w:r/>
      <w:bookmarkEnd w:id="36"/>
      <w:r/>
      <w:bookmarkEnd w:id="37"/>
      <w:r/>
      <w:bookmarkEnd w:id="38"/>
      <w:r/>
      <w:r/>
    </w:p>
    <w:p>
      <w:pPr>
        <w:ind w:firstLine="482"/>
        <w:spacing w:line="360" w:lineRule="auto"/>
        <w:rPr>
          <w:rFonts w:ascii="宋体" w:hAnsi="宋体"/>
          <w:sz w:val="24"/>
          <w:shd w:val="clear" w:color="auto" w:fill="ffffff" w:themeFill="background1"/>
        </w:rPr>
      </w:pPr>
      <w:r/>
      <w:bookmarkStart w:id="39" w:name="_Toc28359082"/>
      <w:r/>
      <w:bookmarkStart w:id="40" w:name="_Toc28359005"/>
      <w:r/>
      <w:bookmarkStart w:id="41" w:name="_Toc196405316"/>
      <w:r/>
      <w:bookmarkStart w:id="42" w:name="_Toc35393793"/>
      <w:r/>
      <w:bookmarkStart w:id="43" w:name="_Toc196405128"/>
      <w:r/>
      <w:bookmarkStart w:id="44" w:name="_Toc38985266"/>
      <w:r/>
      <w:bookmarkStart w:id="45" w:name="_Toc35393624"/>
      <w:r>
        <w:rPr>
          <w:rFonts w:hint="eastAsia" w:ascii="宋体" w:hAnsi="宋体"/>
          <w:sz w:val="24"/>
          <w:shd w:val="clear" w:color="auto" w:fill="ffffff" w:themeFill="background1"/>
        </w:rPr>
        <w:t xml:space="preserve">1.时间：自招标文件公告发布之日起5个工作日。</w:t>
      </w:r>
      <w:r/>
    </w:p>
    <w:p>
      <w:pPr>
        <w:ind w:firstLine="482"/>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 xml:space="preserve">2.地点：“苏采云”系统内免费下载（投标人必须在苏采云系统中获取采购文件，方能参与政府采购项目）</w:t>
      </w:r>
      <w:r/>
    </w:p>
    <w:p>
      <w:pPr>
        <w:ind w:firstLine="480"/>
        <w:spacing w:line="360" w:lineRule="auto"/>
        <w:rPr>
          <w:rFonts w:ascii="宋体" w:hAnsi="宋体"/>
          <w:sz w:val="24"/>
          <w:shd w:val="clear" w:color="auto" w:fill="ffffff" w:themeFill="background1"/>
        </w:rPr>
      </w:pPr>
      <w:r>
        <w:rPr>
          <w:rFonts w:hint="eastAsia" w:ascii="宋体" w:hAnsi="宋体"/>
          <w:sz w:val="24"/>
          <w:shd w:val="clear" w:color="auto" w:fill="ffffff" w:themeFill="background1"/>
        </w:rPr>
        <w:t xml:space="preserve">3.方式：本项目采用网上注册登记方式。 </w:t>
      </w:r>
      <w:r/>
    </w:p>
    <w:p>
      <w:pPr>
        <w:ind w:firstLine="480"/>
        <w:jc w:val="left"/>
        <w:spacing w:line="360" w:lineRule="auto"/>
        <w:widowControl/>
        <w:rPr>
          <w:rFonts w:ascii="宋体" w:hAnsi="宋体" w:cs="宋体"/>
          <w:sz w:val="24"/>
        </w:rPr>
      </w:pPr>
      <w:r>
        <w:rPr>
          <w:rFonts w:hint="eastAsia" w:ascii="宋体" w:hAnsi="宋体" w:cs="宋体"/>
          <w:color w:val="000000"/>
          <w:sz w:val="24"/>
        </w:rPr>
        <w:t xml:space="preserve">4.售价：0元</w:t>
      </w:r>
      <w:r/>
    </w:p>
    <w:p>
      <w:pPr>
        <w:pStyle w:val="736"/>
        <w:ind w:firstLine="320"/>
        <w:spacing w:before="79" w:after="79" w:line="360" w:lineRule="auto"/>
        <w:rPr>
          <w:color w:val="000000"/>
        </w:rPr>
      </w:pPr>
      <w:r/>
      <w:bookmarkStart w:id="46" w:name="_Toc31268"/>
      <w:r>
        <w:rPr>
          <w:rFonts w:hint="eastAsia"/>
          <w:color w:val="000000"/>
        </w:rPr>
        <w:t xml:space="preserve">四、提交投标文件</w:t>
      </w:r>
      <w:bookmarkEnd w:id="39"/>
      <w:r/>
      <w:bookmarkEnd w:id="40"/>
      <w:r>
        <w:rPr>
          <w:rFonts w:hint="eastAsia"/>
          <w:color w:val="000000"/>
        </w:rPr>
        <w:t xml:space="preserve">截止时间、开标时间和地点</w:t>
      </w:r>
      <w:bookmarkEnd w:id="41"/>
      <w:r/>
      <w:bookmarkEnd w:id="42"/>
      <w:r/>
      <w:bookmarkEnd w:id="43"/>
      <w:r/>
      <w:bookmarkEnd w:id="44"/>
      <w:r/>
      <w:bookmarkEnd w:id="45"/>
      <w:r/>
      <w:bookmarkEnd w:id="46"/>
      <w:r/>
      <w:r/>
    </w:p>
    <w:p>
      <w:pPr>
        <w:pStyle w:val="779"/>
        <w:ind w:firstLine="540"/>
        <w:jc w:val="both"/>
        <w:spacing w:before="0" w:beforeAutospacing="0" w:after="0" w:afterAutospacing="0" w:line="360" w:lineRule="auto"/>
        <w:widowControl w:val="off"/>
        <w:rPr>
          <w:color w:val="000000"/>
        </w:rPr>
      </w:pPr>
      <w:r>
        <w:rPr>
          <w:rFonts w:hint="eastAsia"/>
          <w:color w:val="000000"/>
        </w:rPr>
        <w:t xml:space="preserve">1.时间：</w:t>
      </w:r>
      <w:r>
        <w:rPr>
          <w:rFonts w:hint="eastAsia"/>
          <w:color w:val="ff0000"/>
          <w:shd w:val="clear" w:color="auto" w:fill="ffffff" w:themeFill="background1"/>
        </w:rPr>
        <w:t xml:space="preserve">2026年1月</w:t>
      </w:r>
      <w:r>
        <w:rPr>
          <w:rFonts w:hint="eastAsia"/>
          <w:color w:val="ff0000"/>
          <w:shd w:val="clear" w:color="auto" w:fill="ffffff" w:themeFill="background1"/>
        </w:rPr>
        <w:t xml:space="preserve">2</w:t>
      </w:r>
      <w:r>
        <w:rPr>
          <w:color w:val="ff0000"/>
          <w:shd w:val="clear" w:color="auto" w:fill="ffffff" w:themeFill="background1"/>
        </w:rPr>
        <w:t xml:space="preserve">6</w:t>
      </w:r>
      <w:r>
        <w:rPr>
          <w:rFonts w:hint="eastAsia"/>
          <w:color w:val="ff0000"/>
          <w:shd w:val="clear" w:color="auto" w:fill="ffffff" w:themeFill="background1"/>
        </w:rPr>
        <w:t xml:space="preserve">日10点00分（北京时间）</w:t>
      </w:r>
      <w:r/>
    </w:p>
    <w:p>
      <w:pPr>
        <w:pStyle w:val="779"/>
        <w:ind w:firstLine="540"/>
        <w:jc w:val="both"/>
        <w:spacing w:before="0" w:beforeAutospacing="0" w:after="0" w:afterAutospacing="0" w:line="360" w:lineRule="auto"/>
        <w:widowControl w:val="off"/>
        <w:rPr>
          <w:color w:val="000000"/>
        </w:rPr>
      </w:pPr>
      <w:r>
        <w:rPr>
          <w:rFonts w:hint="eastAsia"/>
          <w:color w:val="000000"/>
        </w:rPr>
        <w:t xml:space="preserve">2.地点：“苏采云”政府采购交易系统网上开标大厅</w:t>
      </w:r>
      <w:r/>
    </w:p>
    <w:p>
      <w:pPr>
        <w:pStyle w:val="736"/>
        <w:ind w:firstLine="320"/>
        <w:spacing w:before="79" w:after="79" w:line="360" w:lineRule="auto"/>
        <w:rPr>
          <w:color w:val="000000"/>
        </w:rPr>
      </w:pPr>
      <w:r/>
      <w:bookmarkStart w:id="47" w:name="_Toc196405129"/>
      <w:r/>
      <w:bookmarkStart w:id="48" w:name="_Toc196405317"/>
      <w:r/>
      <w:bookmarkStart w:id="49" w:name="_Toc28359084"/>
      <w:r/>
      <w:bookmarkStart w:id="50" w:name="_Toc35393794"/>
      <w:r/>
      <w:bookmarkStart w:id="51" w:name="_Toc38985267"/>
      <w:r/>
      <w:bookmarkStart w:id="52" w:name="_Toc35393625"/>
      <w:r/>
      <w:bookmarkStart w:id="53" w:name="_Toc28359007"/>
      <w:r/>
      <w:bookmarkStart w:id="54" w:name="_Toc7833"/>
      <w:r>
        <w:rPr>
          <w:rFonts w:hint="eastAsia"/>
          <w:color w:val="000000"/>
        </w:rPr>
        <w:t xml:space="preserve">五、公告期限</w:t>
      </w:r>
      <w:bookmarkEnd w:id="47"/>
      <w:r/>
      <w:bookmarkEnd w:id="48"/>
      <w:r/>
      <w:bookmarkEnd w:id="49"/>
      <w:r/>
      <w:bookmarkEnd w:id="50"/>
      <w:r/>
      <w:bookmarkEnd w:id="51"/>
      <w:r/>
      <w:bookmarkEnd w:id="52"/>
      <w:r/>
      <w:bookmarkEnd w:id="53"/>
      <w:r/>
      <w:bookmarkEnd w:id="54"/>
      <w:r/>
      <w:r/>
    </w:p>
    <w:p>
      <w:pPr>
        <w:pStyle w:val="779"/>
        <w:ind w:firstLine="480"/>
        <w:jc w:val="both"/>
        <w:spacing w:before="0" w:beforeAutospacing="0" w:after="0" w:afterAutospacing="0" w:line="360" w:lineRule="auto"/>
        <w:widowControl w:val="off"/>
        <w:rPr>
          <w:color w:val="000000"/>
        </w:rPr>
      </w:pPr>
      <w:r/>
      <w:bookmarkStart w:id="55" w:name="_Toc38985268"/>
      <w:r/>
      <w:bookmarkStart w:id="56" w:name="_Toc35393795"/>
      <w:r/>
      <w:bookmarkStart w:id="57" w:name="_Toc35393626"/>
      <w:r>
        <w:rPr>
          <w:rFonts w:hint="eastAsia"/>
          <w:color w:val="000000"/>
        </w:rPr>
        <w:t xml:space="preserve">招标公告及招标文件公告期限为自本公告发布之日起5个工作日。</w:t>
      </w:r>
      <w:r/>
    </w:p>
    <w:p>
      <w:pPr>
        <w:pStyle w:val="736"/>
        <w:ind w:firstLine="320"/>
        <w:spacing w:before="79" w:after="79" w:line="360" w:lineRule="auto"/>
        <w:rPr>
          <w:color w:val="000000"/>
        </w:rPr>
      </w:pPr>
      <w:r/>
      <w:bookmarkStart w:id="58" w:name="_Toc196405130"/>
      <w:r/>
      <w:bookmarkStart w:id="59" w:name="_Toc196405318"/>
      <w:r/>
      <w:bookmarkStart w:id="60" w:name="_Toc8559"/>
      <w:r>
        <w:rPr>
          <w:rFonts w:hint="eastAsia"/>
          <w:color w:val="000000"/>
        </w:rPr>
        <w:t xml:space="preserve">六、其他补充事宜</w:t>
      </w:r>
      <w:bookmarkEnd w:id="55"/>
      <w:r/>
      <w:bookmarkEnd w:id="56"/>
      <w:r/>
      <w:bookmarkEnd w:id="57"/>
      <w:r/>
      <w:bookmarkEnd w:id="58"/>
      <w:r/>
      <w:bookmarkEnd w:id="59"/>
      <w:r/>
      <w:bookmarkEnd w:id="60"/>
      <w:r/>
      <w:r/>
    </w:p>
    <w:p>
      <w:pPr>
        <w:pStyle w:val="779"/>
        <w:ind w:firstLine="480"/>
        <w:jc w:val="both"/>
        <w:spacing w:before="0" w:beforeAutospacing="0" w:after="0" w:afterAutospacing="0" w:line="360" w:lineRule="auto"/>
        <w:widowControl w:val="off"/>
        <w:rPr>
          <w:bCs/>
          <w:color w:val="000000"/>
        </w:rPr>
      </w:pPr>
      <w:r/>
      <w:bookmarkStart w:id="61" w:name="OLE_LINK5"/>
      <w:r/>
      <w:bookmarkStart w:id="62" w:name="OLE_LINK6"/>
      <w:r/>
      <w:bookmarkStart w:id="63" w:name="_Toc35393627"/>
      <w:r/>
      <w:bookmarkStart w:id="64" w:name="_Toc35393796"/>
      <w:r/>
      <w:bookmarkStart w:id="65" w:name="_Toc28359085"/>
      <w:r/>
      <w:bookmarkStart w:id="66" w:name="_Toc38985269"/>
      <w:r/>
      <w:bookmarkStart w:id="67" w:name="_Toc28359008"/>
      <w:r>
        <w:rPr>
          <w:rFonts w:hint="eastAsia"/>
          <w:bCs/>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2.潜在供应商访问电子招标响应交易平台的网络地址和方法：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2.2 潜在投标人访问“苏采云”系统方法：江苏省政府采购网首页-“苏采云”链接。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2.3 采购文件（后缀名为“.kedt”）、供应商操作手册及政府采购客户端 工具可通过“苏采云”系统相应链接进行下载。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2.4 采购代理机构将数据电文形式的采购文件加载至“苏采云”系统，供潜在供应商下载或者查阅。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2.5 请潜在投标单位提前安装相应的控件（详见《“苏采云”系统供应商操作手册》）并使用谷歌浏览器登录“苏采云”系统参与不见面开评标。 </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如潜在投标人未按上述要求操作，将自行承担所产生的风险。</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3.有关本次招标的事项若存在变动或修改，敬请及时关注采购代理机构在“中国政府采购网”、“江苏政府采购网”、“盐城市政府采购网”发布的更正公告。</w:t>
      </w:r>
      <w:r/>
    </w:p>
    <w:p>
      <w:pPr>
        <w:pStyle w:val="779"/>
        <w:ind w:firstLine="480"/>
        <w:jc w:val="both"/>
        <w:spacing w:before="0" w:beforeAutospacing="0" w:after="0" w:afterAutospacing="0" w:line="360" w:lineRule="auto"/>
        <w:widowControl w:val="off"/>
        <w:rPr>
          <w:bCs/>
          <w:color w:val="000000"/>
        </w:rPr>
      </w:pPr>
      <w:r>
        <w:rPr>
          <w:rFonts w:hint="eastAsia"/>
          <w:bCs/>
          <w:color w:val="000000"/>
        </w:rPr>
        <w:t xml:space="preserve">4.本次招标不收取投标保证金，不收取质量保证金，不收取履约保证金。</w:t>
      </w:r>
      <w:r/>
    </w:p>
    <w:p>
      <w:pPr>
        <w:pStyle w:val="779"/>
        <w:ind w:firstLine="480"/>
        <w:jc w:val="both"/>
        <w:spacing w:before="0" w:beforeAutospacing="0" w:after="0" w:afterAutospacing="0" w:line="360" w:lineRule="auto"/>
        <w:widowControl w:val="off"/>
        <w:rPr>
          <w:b/>
          <w:bCs/>
          <w:color w:val="000000"/>
        </w:rPr>
      </w:pPr>
      <w:r>
        <w:rPr>
          <w:rFonts w:hint="eastAsia"/>
          <w:bCs/>
          <w:color w:val="000000"/>
        </w:rPr>
        <w:t xml:space="preserve">5.本项目严格按照苏财购[2025]62号文的规定，进行异常低价投标的审查程序。。</w:t>
      </w:r>
      <w:bookmarkEnd w:id="61"/>
      <w:r/>
      <w:bookmarkEnd w:id="62"/>
      <w:r/>
      <w:r/>
    </w:p>
    <w:p>
      <w:pPr>
        <w:pStyle w:val="736"/>
        <w:ind w:firstLine="320"/>
        <w:spacing w:before="79" w:after="79" w:line="360" w:lineRule="auto"/>
        <w:rPr>
          <w:color w:val="000000"/>
        </w:rPr>
      </w:pPr>
      <w:r/>
      <w:bookmarkStart w:id="68" w:name="_Toc196405131"/>
      <w:r/>
      <w:bookmarkStart w:id="69" w:name="_Toc196405319"/>
      <w:r/>
      <w:bookmarkStart w:id="70" w:name="_Toc7554"/>
      <w:r>
        <w:rPr>
          <w:rFonts w:hint="eastAsia"/>
          <w:color w:val="000000"/>
        </w:rPr>
        <w:t xml:space="preserve">七、本次招标联系方式</w:t>
      </w:r>
      <w:bookmarkEnd w:id="63"/>
      <w:r/>
      <w:bookmarkEnd w:id="64"/>
      <w:r/>
      <w:bookmarkEnd w:id="65"/>
      <w:r/>
      <w:bookmarkEnd w:id="66"/>
      <w:r/>
      <w:bookmarkEnd w:id="67"/>
      <w:r/>
      <w:bookmarkEnd w:id="68"/>
      <w:r/>
      <w:bookmarkEnd w:id="69"/>
      <w:r/>
      <w:bookmarkEnd w:id="70"/>
      <w:r/>
      <w:r/>
    </w:p>
    <w:p>
      <w:pPr>
        <w:pStyle w:val="779"/>
        <w:ind w:firstLine="480"/>
        <w:jc w:val="both"/>
        <w:spacing w:before="0" w:beforeAutospacing="0" w:after="0" w:afterAutospacing="0" w:line="360" w:lineRule="auto"/>
        <w:widowControl w:val="off"/>
        <w:rPr>
          <w:color w:val="000000"/>
        </w:rPr>
      </w:pPr>
      <w:r/>
      <w:bookmarkStart w:id="71" w:name="_Toc28359010"/>
      <w:r/>
      <w:bookmarkStart w:id="72" w:name="_Toc28359087"/>
      <w:r>
        <w:rPr>
          <w:color w:val="000000"/>
        </w:rPr>
        <w:t xml:space="preserve">1.采购人信息</w:t>
      </w:r>
      <w:r/>
    </w:p>
    <w:p>
      <w:pPr>
        <w:pStyle w:val="779"/>
        <w:ind w:firstLine="480"/>
        <w:jc w:val="both"/>
        <w:spacing w:before="0" w:beforeAutospacing="0" w:after="0" w:afterAutospacing="0" w:line="360" w:lineRule="auto"/>
        <w:widowControl w:val="off"/>
        <w:rPr>
          <w:color w:val="000000"/>
        </w:rPr>
      </w:pPr>
      <w:r>
        <w:rPr>
          <w:color w:val="000000"/>
        </w:rPr>
        <w:t xml:space="preserve">名 称：</w:t>
      </w:r>
      <w:r>
        <w:rPr>
          <w:rFonts w:hint="eastAsia"/>
          <w:color w:val="000000"/>
        </w:rPr>
        <w:t xml:space="preserve">响水县中医院</w:t>
      </w:r>
      <w:r/>
    </w:p>
    <w:p>
      <w:pPr>
        <w:pStyle w:val="779"/>
        <w:ind w:firstLine="480"/>
        <w:jc w:val="both"/>
        <w:spacing w:before="0" w:beforeAutospacing="0" w:after="0" w:afterAutospacing="0" w:line="360" w:lineRule="auto"/>
        <w:widowControl w:val="off"/>
        <w:rPr>
          <w:color w:val="000000"/>
        </w:rPr>
      </w:pPr>
      <w:r>
        <w:rPr>
          <w:color w:val="000000"/>
        </w:rPr>
        <w:t xml:space="preserve">地</w:t>
      </w:r>
      <w:r>
        <w:rPr>
          <w:rFonts w:hint="eastAsia"/>
          <w:color w:val="000000"/>
        </w:rPr>
        <w:t xml:space="preserve"> </w:t>
      </w:r>
      <w:r>
        <w:rPr>
          <w:color w:val="000000"/>
        </w:rPr>
        <w:t xml:space="preserve">址：</w:t>
      </w:r>
      <w:r>
        <w:rPr>
          <w:rFonts w:hint="eastAsia"/>
          <w:color w:val="000000"/>
        </w:rPr>
        <w:t xml:space="preserve">响水县响水镇</w:t>
      </w:r>
      <w:r>
        <w:rPr>
          <w:color w:val="000000"/>
        </w:rPr>
        <w:t xml:space="preserve">黄海路</w:t>
      </w:r>
      <w:r>
        <w:rPr>
          <w:rFonts w:hint="eastAsia"/>
          <w:color w:val="000000"/>
        </w:rPr>
        <w:t xml:space="preserve">101号</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联系人：黄主任</w:t>
      </w:r>
      <w:r/>
    </w:p>
    <w:p>
      <w:pPr>
        <w:pStyle w:val="779"/>
        <w:ind w:firstLine="480"/>
        <w:jc w:val="both"/>
        <w:spacing w:before="0" w:beforeAutospacing="0" w:after="0" w:afterAutospacing="0" w:line="360" w:lineRule="auto"/>
        <w:widowControl w:val="off"/>
        <w:rPr>
          <w:color w:val="000000"/>
        </w:rPr>
      </w:pPr>
      <w:r>
        <w:rPr>
          <w:rFonts w:hint="eastAsia"/>
          <w:color w:val="000000"/>
        </w:rPr>
        <w:t xml:space="preserve">联系方式：0515-86882928</w:t>
      </w:r>
      <w:bookmarkStart w:id="73" w:name="_GoBack"/>
      <w:r/>
      <w:bookmarkEnd w:id="73"/>
      <w:r/>
      <w:r/>
    </w:p>
    <w:p>
      <w:pPr>
        <w:pStyle w:val="779"/>
        <w:ind w:firstLine="480"/>
        <w:jc w:val="both"/>
        <w:spacing w:before="0" w:beforeAutospacing="0" w:after="0" w:afterAutospacing="0" w:line="360" w:lineRule="auto"/>
        <w:widowControl w:val="off"/>
        <w:rPr>
          <w:color w:val="000000"/>
        </w:rPr>
      </w:pPr>
      <w:r>
        <w:rPr>
          <w:color w:val="000000"/>
        </w:rPr>
        <w:t xml:space="preserve">2.</w:t>
      </w:r>
      <w:r>
        <w:rPr>
          <w:rFonts w:hint="eastAsia"/>
          <w:color w:val="000000"/>
        </w:rPr>
        <w:t xml:space="preserve">采购代理机构</w:t>
      </w:r>
      <w:r>
        <w:rPr>
          <w:color w:val="000000"/>
        </w:rPr>
        <w:t xml:space="preserve">信息</w:t>
      </w:r>
      <w:r/>
    </w:p>
    <w:p>
      <w:pPr>
        <w:pStyle w:val="779"/>
        <w:ind w:firstLine="480"/>
        <w:jc w:val="both"/>
        <w:spacing w:before="0" w:beforeAutospacing="0" w:after="0" w:afterAutospacing="0" w:line="360" w:lineRule="auto"/>
        <w:widowControl w:val="off"/>
        <w:rPr>
          <w:color w:val="000000"/>
        </w:rPr>
      </w:pPr>
      <w:r>
        <w:rPr>
          <w:color w:val="000000"/>
        </w:rPr>
        <w:t xml:space="preserve">名 称：</w:t>
      </w:r>
      <w:r>
        <w:rPr>
          <w:rFonts w:hint="eastAsia"/>
          <w:color w:val="000000"/>
        </w:rPr>
        <w:t xml:space="preserve">江苏苏豪创新科技集团高科有限公司</w:t>
      </w:r>
      <w:r/>
    </w:p>
    <w:p>
      <w:pPr>
        <w:pStyle w:val="779"/>
        <w:ind w:firstLine="480"/>
        <w:jc w:val="both"/>
        <w:spacing w:before="0" w:beforeAutospacing="0" w:after="0" w:afterAutospacing="0" w:line="360" w:lineRule="auto"/>
        <w:widowControl w:val="off"/>
        <w:rPr>
          <w:color w:val="000000"/>
        </w:rPr>
      </w:pPr>
      <w:r>
        <w:rPr>
          <w:color w:val="000000"/>
        </w:rPr>
        <w:t xml:space="preserve">地 址：</w:t>
      </w:r>
      <w:r>
        <w:rPr>
          <w:rFonts w:hint="eastAsia"/>
          <w:color w:val="000000"/>
        </w:rPr>
        <w:t xml:space="preserve">南京市雨花台区软件大道21号苏豪国际广场（北园）C座616室</w:t>
      </w:r>
      <w:r/>
    </w:p>
    <w:p>
      <w:pPr>
        <w:pStyle w:val="779"/>
        <w:ind w:firstLine="480"/>
        <w:jc w:val="both"/>
        <w:spacing w:before="0" w:beforeAutospacing="0" w:after="0" w:afterAutospacing="0" w:line="360" w:lineRule="auto"/>
        <w:widowControl w:val="off"/>
        <w:rPr>
          <w:color w:val="000000"/>
        </w:rPr>
      </w:pPr>
      <w:r>
        <w:rPr>
          <w:color w:val="000000"/>
        </w:rPr>
        <w:t xml:space="preserve">联系人：</w:t>
      </w:r>
      <w:r>
        <w:rPr>
          <w:rFonts w:hint="eastAsia"/>
          <w:color w:val="000000"/>
        </w:rPr>
        <w:t xml:space="preserve">王凡（项目经理）、魏欣倩（商务）、王慧（标务）</w:t>
      </w:r>
      <w:r/>
    </w:p>
    <w:p>
      <w:pPr>
        <w:pStyle w:val="779"/>
        <w:ind w:firstLine="480"/>
        <w:jc w:val="both"/>
        <w:spacing w:before="0" w:beforeAutospacing="0" w:after="0" w:afterAutospacing="0" w:line="360" w:lineRule="auto"/>
        <w:widowControl w:val="off"/>
        <w:rPr>
          <w:color w:val="000000"/>
        </w:rPr>
      </w:pPr>
      <w:r>
        <w:rPr>
          <w:color w:val="000000"/>
        </w:rPr>
        <w:t xml:space="preserve">联系方式：025-52874022</w:t>
      </w:r>
      <w:r>
        <w:rPr>
          <w:rFonts w:hint="eastAsia"/>
          <w:color w:val="000000"/>
        </w:rPr>
        <w:t xml:space="preserve">、</w:t>
      </w:r>
      <w:r>
        <w:rPr>
          <w:color w:val="000000"/>
        </w:rPr>
        <w:t xml:space="preserve">52875946</w:t>
      </w:r>
      <w:r>
        <w:rPr>
          <w:rFonts w:hint="eastAsia"/>
          <w:color w:val="000000"/>
        </w:rPr>
        <w:t xml:space="preserve">、52875</w:t>
      </w:r>
      <w:r>
        <w:rPr>
          <w:color w:val="000000"/>
        </w:rPr>
        <w:t xml:space="preserve">825</w:t>
      </w:r>
      <w:bookmarkEnd w:id="71"/>
      <w:bookmarkEnd w:id="72"/>
      <w:r/>
    </w:p>
    <w:p>
      <w:pPr>
        <w:ind w:right="840"/>
        <w:spacing w:line="360" w:lineRule="auto"/>
        <w:rPr>
          <w:color w:val="000000"/>
          <w:sz w:val="24"/>
          <w:szCs w:val="24"/>
        </w:rPr>
      </w:pPr>
      <w:r>
        <w:rPr>
          <w:color w:val="000000"/>
          <w:sz w:val="24"/>
          <w:szCs w:val="24"/>
        </w:rPr>
      </w:r>
      <w:r/>
    </w:p>
    <w:p>
      <w:pPr>
        <w:pStyle w:val="735"/>
        <w:ind w:firstLine="442"/>
        <w:spacing w:before="0" w:after="0" w:line="415" w:lineRule="auto"/>
      </w:pPr>
      <w:r/>
      <w:bookmarkStart w:id="74" w:name="_Toc120614211"/>
      <w:r>
        <w:rPr>
          <w:rFonts w:hint="eastAsia"/>
        </w:rPr>
        <w:br w:type="page" w:clear="all"/>
      </w:r>
      <w:bookmarkStart w:id="75" w:name="_Toc196405133"/>
      <w:r/>
      <w:bookmarkStart w:id="76" w:name="_Toc23544"/>
      <w:r>
        <w:rPr>
          <w:rFonts w:hint="eastAsia"/>
        </w:rPr>
        <w:t xml:space="preserve">第二章</w:t>
      </w:r>
      <w:r>
        <w:rPr>
          <w:rFonts w:hint="eastAsia"/>
        </w:rPr>
        <w:t xml:space="preserve">  </w:t>
      </w:r>
      <w:bookmarkStart w:id="77" w:name="_Toc120614213"/>
      <w:r/>
      <w:bookmarkStart w:id="78" w:name="_Toc513029202"/>
      <w:r/>
      <w:bookmarkStart w:id="79" w:name="_Toc20823274"/>
      <w:r/>
      <w:bookmarkStart w:id="80" w:name="_Toc16938518"/>
      <w:r/>
      <w:bookmarkEnd w:id="1"/>
      <w:r/>
      <w:bookmarkEnd w:id="2"/>
      <w:r/>
      <w:bookmarkEnd w:id="3"/>
      <w:r/>
      <w:bookmarkEnd w:id="4"/>
      <w:r/>
      <w:bookmarkEnd w:id="5"/>
      <w:r/>
      <w:bookmarkEnd w:id="74"/>
      <w:r>
        <w:rPr>
          <w:rFonts w:hint="eastAsia"/>
        </w:rPr>
        <w:t xml:space="preserve">投标人须知</w:t>
      </w:r>
      <w:bookmarkEnd w:id="75"/>
      <w:r/>
      <w:bookmarkEnd w:id="76"/>
      <w:r/>
      <w:bookmarkEnd w:id="77"/>
      <w:r/>
      <w:bookmarkEnd w:id="78"/>
      <w:r/>
      <w:bookmarkEnd w:id="79"/>
      <w:r/>
      <w:bookmarkEnd w:id="80"/>
      <w:r/>
      <w:r/>
    </w:p>
    <w:p>
      <w:pPr>
        <w:pStyle w:val="736"/>
        <w:ind w:firstLine="320"/>
        <w:spacing w:before="145" w:after="145" w:line="300" w:lineRule="exact"/>
        <w:rPr>
          <w:rFonts w:asciiTheme="minorEastAsia" w:hAnsiTheme="minorEastAsia" w:eastAsiaTheme="minorEastAsia" w:cstheme="minorEastAsia"/>
          <w:color w:val="000000"/>
        </w:rPr>
      </w:pPr>
      <w:r/>
      <w:bookmarkStart w:id="81" w:name="_Toc120614214"/>
      <w:r/>
      <w:bookmarkStart w:id="82" w:name="_Toc196405134"/>
      <w:r/>
      <w:bookmarkStart w:id="83" w:name="_Toc196405322"/>
      <w:r/>
      <w:bookmarkStart w:id="84" w:name="_Toc513029203"/>
      <w:r/>
      <w:bookmarkStart w:id="85" w:name="_Toc16938519"/>
      <w:r/>
      <w:bookmarkStart w:id="86" w:name="_Toc20823275"/>
      <w:r/>
      <w:bookmarkStart w:id="87" w:name="_Toc1845"/>
      <w:r>
        <w:rPr>
          <w:rFonts w:hint="eastAsia" w:asciiTheme="minorEastAsia" w:hAnsiTheme="minorEastAsia" w:eastAsiaTheme="minorEastAsia" w:cstheme="minorEastAsia"/>
          <w:color w:val="000000"/>
        </w:rPr>
        <w:t xml:space="preserve">一、总则</w:t>
      </w:r>
      <w:bookmarkEnd w:id="81"/>
      <w:r/>
      <w:bookmarkEnd w:id="82"/>
      <w:r/>
      <w:bookmarkEnd w:id="83"/>
      <w:r/>
      <w:bookmarkEnd w:id="84"/>
      <w:r/>
      <w:bookmarkEnd w:id="85"/>
      <w:r/>
      <w:bookmarkEnd w:id="86"/>
      <w:r/>
      <w:bookmarkEnd w:id="87"/>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88" w:name="_Hlt16619475"/>
      <w:r/>
      <w:bookmarkStart w:id="89" w:name="_Toc20823276"/>
      <w:r/>
      <w:bookmarkStart w:id="90" w:name="_Toc458694821"/>
      <w:r/>
      <w:bookmarkStart w:id="91" w:name="_Toc16938520"/>
      <w:r/>
      <w:bookmarkStart w:id="92" w:name="_Toc513029204"/>
      <w:r/>
      <w:bookmarkStart w:id="93" w:name="_Toc20823279"/>
      <w:r/>
      <w:bookmarkStart w:id="94" w:name="_Toc513029207"/>
      <w:r/>
      <w:bookmarkStart w:id="95" w:name="_Toc16938523"/>
      <w:r/>
      <w:bookmarkStart w:id="96" w:name="_Toc462564067"/>
      <w:r/>
      <w:bookmarkEnd w:id="88"/>
      <w:r>
        <w:rPr>
          <w:rFonts w:hint="eastAsia" w:asciiTheme="minorEastAsia" w:hAnsiTheme="minorEastAsia" w:eastAsiaTheme="minorEastAsia" w:cstheme="minorEastAsia"/>
          <w:color w:val="000000"/>
          <w:sz w:val="28"/>
          <w:szCs w:val="28"/>
        </w:rPr>
        <w:t xml:space="preserve">1</w:t>
      </w:r>
      <w:bookmarkEnd w:id="89"/>
      <w:r>
        <w:rPr>
          <w:rFonts w:hint="eastAsia" w:asciiTheme="minorEastAsia" w:hAnsiTheme="minorEastAsia" w:eastAsiaTheme="minorEastAsia" w:cstheme="minorEastAsia"/>
          <w:color w:val="000000"/>
          <w:sz w:val="28"/>
          <w:szCs w:val="28"/>
        </w:rPr>
        <w:t xml:space="preserve">、招标方式</w:t>
      </w:r>
      <w:bookmarkEnd w:id="90"/>
      <w:r/>
      <w:bookmarkEnd w:id="91"/>
      <w:r/>
      <w:bookmarkEnd w:id="92"/>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 本次招标采取公开招标方式，本招标文件仅适用于招标公告中所述项目。</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97" w:name="_Toc16938521"/>
      <w:r/>
      <w:bookmarkStart w:id="98" w:name="_Toc513029205"/>
      <w:r/>
      <w:bookmarkStart w:id="99" w:name="_Toc20823277"/>
      <w:r>
        <w:rPr>
          <w:rFonts w:hint="eastAsia" w:asciiTheme="minorEastAsia" w:hAnsiTheme="minorEastAsia" w:eastAsiaTheme="minorEastAsia" w:cstheme="minorEastAsia"/>
          <w:color w:val="000000"/>
          <w:sz w:val="28"/>
          <w:szCs w:val="28"/>
        </w:rPr>
        <w:t xml:space="preserve">2、合格的投标人</w:t>
      </w:r>
      <w:bookmarkEnd w:id="97"/>
      <w:r/>
      <w:bookmarkEnd w:id="98"/>
      <w:r/>
      <w:bookmarkEnd w:id="99"/>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2.1满足招标公告中供应商的资格要求的规定。</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2.2 满足本文件实质性要求和条件的规定。</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00" w:name="_Toc16938522"/>
      <w:r/>
      <w:bookmarkStart w:id="101" w:name="_Toc513029206"/>
      <w:r/>
      <w:bookmarkStart w:id="102" w:name="_Toc20823278"/>
      <w:r>
        <w:rPr>
          <w:rFonts w:hint="eastAsia" w:asciiTheme="minorEastAsia" w:hAnsiTheme="minorEastAsia" w:eastAsiaTheme="minorEastAsia" w:cstheme="minorEastAsia"/>
          <w:color w:val="000000"/>
          <w:sz w:val="28"/>
          <w:szCs w:val="28"/>
        </w:rPr>
        <w:t xml:space="preserve">3、适用法律</w:t>
      </w:r>
      <w:bookmarkEnd w:id="100"/>
      <w:r/>
      <w:bookmarkEnd w:id="101"/>
      <w:r/>
      <w:bookmarkEnd w:id="102"/>
      <w:r/>
      <w:r/>
    </w:p>
    <w:p>
      <w:pPr>
        <w:pStyle w:val="779"/>
        <w:ind w:firstLine="42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3.1 本次招标及由此产生的合同受中华人民共和国有关的法律法规制约和保护。</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4、投标费用</w:t>
      </w:r>
      <w:bookmarkEnd w:id="93"/>
      <w:r/>
      <w:bookmarkEnd w:id="94"/>
      <w:r/>
      <w:bookmarkEnd w:id="95"/>
      <w:r/>
      <w:bookmarkEnd w:id="96"/>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4.1 投标人应自行承担所有与参加投标有关的费用，无论投标过程中的做法和结果如何，江苏苏豪创新科技集团高科有限公司（以下简称代理机构）在任何情况下均无义务和责任承担这些费用。但中标供应商须承担采购代理服务费。</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4.2 本次招标代理机构和采购人不收取标书工本费。</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4.3 本项目采购代理服务费按苏招协〔2022〕002号文件标准收取，由中标人自领取通知书时一次性支付。</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（1）开户名：江苏苏豪创新科技集团高科有限公司</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（2）开户行：工行南京市白下支行</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（3）账  号：4301013119100276117</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5、招标文件的约束力</w:t>
      </w:r>
      <w:r/>
    </w:p>
    <w:p>
      <w:pPr>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 投标人一旦参加本项目采购活动，即被认为接受了本招标文件的规定和约束。</w:t>
      </w:r>
      <w:r/>
    </w:p>
    <w:p>
      <w:pPr>
        <w:pStyle w:val="736"/>
        <w:ind w:firstLine="320"/>
        <w:spacing w:before="145" w:after="145" w:line="300" w:lineRule="exact"/>
        <w:rPr>
          <w:rFonts w:asciiTheme="minorEastAsia" w:hAnsiTheme="minorEastAsia" w:eastAsiaTheme="minorEastAsia" w:cstheme="minorEastAsia"/>
          <w:color w:val="000000"/>
        </w:rPr>
      </w:pPr>
      <w:r/>
      <w:bookmarkStart w:id="103" w:name="_Toc513029209"/>
      <w:r/>
      <w:bookmarkStart w:id="104" w:name="_Toc120614215"/>
      <w:r/>
      <w:bookmarkStart w:id="105" w:name="_Toc196405135"/>
      <w:r/>
      <w:bookmarkStart w:id="106" w:name="_Toc196405323"/>
      <w:r/>
      <w:bookmarkStart w:id="107" w:name="_Toc20823281"/>
      <w:r/>
      <w:bookmarkStart w:id="108" w:name="_Toc16938525"/>
      <w:r/>
      <w:bookmarkStart w:id="109" w:name="_Toc5517"/>
      <w:r>
        <w:rPr>
          <w:rFonts w:hint="eastAsia" w:asciiTheme="minorEastAsia" w:hAnsiTheme="minorEastAsia" w:eastAsiaTheme="minorEastAsia" w:cstheme="minorEastAsia"/>
          <w:color w:val="000000"/>
        </w:rPr>
        <w:t xml:space="preserve">二、招标文件</w:t>
      </w:r>
      <w:bookmarkEnd w:id="103"/>
      <w:r/>
      <w:bookmarkEnd w:id="104"/>
      <w:r/>
      <w:bookmarkEnd w:id="105"/>
      <w:r/>
      <w:bookmarkEnd w:id="106"/>
      <w:r/>
      <w:bookmarkEnd w:id="107"/>
      <w:r/>
      <w:bookmarkEnd w:id="108"/>
      <w:r/>
      <w:bookmarkEnd w:id="109"/>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10" w:name="_Toc513029210"/>
      <w:r/>
      <w:bookmarkStart w:id="111" w:name="_Toc16938526"/>
      <w:r/>
      <w:bookmarkStart w:id="112" w:name="_Toc20823282"/>
      <w:r>
        <w:rPr>
          <w:rFonts w:hint="eastAsia" w:asciiTheme="minorEastAsia" w:hAnsiTheme="minorEastAsia" w:eastAsiaTheme="minorEastAsia" w:cstheme="minorEastAsia"/>
          <w:color w:val="000000"/>
          <w:sz w:val="28"/>
          <w:szCs w:val="28"/>
        </w:rPr>
        <w:t xml:space="preserve">6、招标文件构成</w:t>
      </w:r>
      <w:bookmarkEnd w:id="110"/>
      <w:r/>
      <w:bookmarkEnd w:id="111"/>
      <w:r/>
      <w:bookmarkEnd w:id="112"/>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6.1 招标文件由以下部分组成：</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（1）投标邀请</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（2）投标人须知</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（3）合同文本</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（4）采购需求</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（5）评标方法与评标标准</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（6）投标文件格式</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请仔细检查招标文件是否齐全，如有缺漏请立即与代理机构联系解决。</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13" w:name="_Toc16938527"/>
      <w:r/>
      <w:bookmarkStart w:id="114" w:name="_Toc513029211"/>
      <w:r/>
      <w:bookmarkStart w:id="115" w:name="_Toc462564070"/>
      <w:r/>
      <w:bookmarkStart w:id="116" w:name="_Toc20823283"/>
      <w:r>
        <w:rPr>
          <w:rFonts w:hint="eastAsia" w:asciiTheme="minorEastAsia" w:hAnsiTheme="minorEastAsia" w:eastAsiaTheme="minorEastAsia" w:cstheme="minorEastAsia"/>
          <w:color w:val="000000"/>
          <w:sz w:val="28"/>
          <w:szCs w:val="28"/>
        </w:rPr>
        <w:t xml:space="preserve">7、招标文件的澄清</w:t>
      </w:r>
      <w:bookmarkEnd w:id="113"/>
      <w:r/>
      <w:bookmarkEnd w:id="114"/>
      <w:r/>
      <w:bookmarkEnd w:id="115"/>
      <w:r/>
      <w:bookmarkEnd w:id="116"/>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7.1 任何要求对招标文件进行澄清的投标人，应在投标截止期十日前按招标公告中的通讯地址，以书面形式通知代理机构。</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17" w:name="_Toc20823284"/>
      <w:r/>
      <w:bookmarkStart w:id="118" w:name="_Toc16938528"/>
      <w:r/>
      <w:bookmarkStart w:id="119" w:name="_Toc513029212"/>
      <w:r/>
      <w:bookmarkStart w:id="120" w:name="_Toc462564071"/>
      <w:r>
        <w:rPr>
          <w:rFonts w:hint="eastAsia" w:asciiTheme="minorEastAsia" w:hAnsiTheme="minorEastAsia" w:eastAsiaTheme="minorEastAsia" w:cstheme="minorEastAsia"/>
          <w:color w:val="000000"/>
          <w:sz w:val="28"/>
          <w:szCs w:val="28"/>
        </w:rPr>
        <w:t xml:space="preserve">8、招标文件的修改</w:t>
      </w:r>
      <w:bookmarkEnd w:id="117"/>
      <w:r/>
      <w:bookmarkEnd w:id="118"/>
      <w:r/>
      <w:bookmarkEnd w:id="119"/>
      <w:r/>
      <w:bookmarkEnd w:id="120"/>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8.1 在投标截止时间前，代理机构可以对招标文件进行修改。</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8.2 代理机构有权按照法定的要求推迟投标截止日期和开标日期。</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8.3 招标文件的修改将在江苏政府采购网公布，补充文件将作为招标文件的组成部分，并对投标人具有约束力。</w:t>
      </w:r>
      <w:r/>
    </w:p>
    <w:p>
      <w:pPr>
        <w:pStyle w:val="736"/>
        <w:ind w:firstLine="320"/>
        <w:spacing w:before="145" w:after="145" w:line="300" w:lineRule="exact"/>
        <w:rPr>
          <w:rFonts w:asciiTheme="minorEastAsia" w:hAnsiTheme="minorEastAsia" w:eastAsiaTheme="minorEastAsia" w:cstheme="minorEastAsia"/>
          <w:color w:val="000000"/>
        </w:rPr>
      </w:pPr>
      <w:r/>
      <w:bookmarkStart w:id="121" w:name="_Toc20823285"/>
      <w:r/>
      <w:bookmarkStart w:id="122" w:name="_Toc120614216"/>
      <w:r/>
      <w:bookmarkStart w:id="123" w:name="_Toc462564072"/>
      <w:r/>
      <w:bookmarkStart w:id="124" w:name="_Toc513029213"/>
      <w:r/>
      <w:bookmarkStart w:id="125" w:name="_Toc196405136"/>
      <w:r/>
      <w:bookmarkStart w:id="126" w:name="_Toc196405324"/>
      <w:r/>
      <w:bookmarkStart w:id="127" w:name="_Toc16938529"/>
      <w:r/>
      <w:bookmarkStart w:id="128" w:name="_Toc11913"/>
      <w:r>
        <w:rPr>
          <w:rFonts w:hint="eastAsia" w:asciiTheme="minorEastAsia" w:hAnsiTheme="minorEastAsia" w:eastAsiaTheme="minorEastAsia" w:cstheme="minorEastAsia"/>
          <w:color w:val="000000"/>
        </w:rPr>
        <w:t xml:space="preserve">三、投标文件的编制</w:t>
      </w:r>
      <w:bookmarkEnd w:id="121"/>
      <w:r/>
      <w:bookmarkEnd w:id="122"/>
      <w:r/>
      <w:bookmarkEnd w:id="123"/>
      <w:r/>
      <w:bookmarkEnd w:id="124"/>
      <w:r/>
      <w:bookmarkEnd w:id="125"/>
      <w:r/>
      <w:bookmarkEnd w:id="126"/>
      <w:r/>
      <w:bookmarkEnd w:id="127"/>
      <w:r/>
      <w:bookmarkEnd w:id="128"/>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29" w:name="_Toc16938530"/>
      <w:r/>
      <w:bookmarkStart w:id="130" w:name="_Toc513029214"/>
      <w:r/>
      <w:bookmarkStart w:id="131" w:name="_Toc462564073"/>
      <w:r/>
      <w:bookmarkStart w:id="132" w:name="_Toc20823286"/>
      <w:r>
        <w:rPr>
          <w:rFonts w:hint="eastAsia" w:asciiTheme="minorEastAsia" w:hAnsiTheme="minorEastAsia" w:eastAsiaTheme="minorEastAsia" w:cstheme="minorEastAsia"/>
          <w:color w:val="000000"/>
          <w:sz w:val="28"/>
          <w:szCs w:val="28"/>
        </w:rPr>
        <w:t xml:space="preserve">9、投标文件的语言及度量衡单位</w:t>
      </w:r>
      <w:bookmarkEnd w:id="129"/>
      <w:r/>
      <w:bookmarkEnd w:id="130"/>
      <w:r/>
      <w:bookmarkEnd w:id="131"/>
      <w:r/>
      <w:bookmarkEnd w:id="132"/>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9.1 投标人提交的投标文件以及投标人与代理机构就有关投标的所有来往通知、函件和文件均应使用</w:t>
      </w:r>
      <w:r>
        <w:rPr>
          <w:rFonts w:hint="eastAsia" w:asciiTheme="minorEastAsia" w:hAnsiTheme="minorEastAsia" w:eastAsiaTheme="minorEastAsia" w:cstheme="minorEastAsia"/>
          <w:b/>
          <w:color w:val="000000"/>
        </w:rPr>
        <w:t xml:space="preserve">简体中文</w:t>
      </w:r>
      <w:r>
        <w:rPr>
          <w:rFonts w:hint="eastAsia" w:asciiTheme="minorEastAsia" w:hAnsiTheme="minorEastAsia" w:eastAsiaTheme="minorEastAsia" w:cstheme="minorEastAsia"/>
          <w:color w:val="000000"/>
        </w:rPr>
        <w:t xml:space="preserve">。</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9.2 除技术性能另有规定外，投标文件所使用的度量衡单位，均须采用国家法定计量单位。</w:t>
      </w:r>
      <w:bookmarkStart w:id="133" w:name="_Toc16938531"/>
      <w:r/>
      <w:bookmarkStart w:id="134" w:name="_Toc513029215"/>
      <w:r/>
      <w:bookmarkStart w:id="135" w:name="_Toc20823287"/>
      <w:r/>
      <w:bookmarkStart w:id="136" w:name="_Toc462564074"/>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10、投标文件构成</w:t>
      </w:r>
      <w:bookmarkEnd w:id="133"/>
      <w:r/>
      <w:bookmarkEnd w:id="134"/>
      <w:r/>
      <w:bookmarkEnd w:id="135"/>
      <w:r/>
      <w:bookmarkEnd w:id="136"/>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79"/>
        <w:ind w:firstLine="480"/>
        <w:jc w:val="both"/>
        <w:spacing w:before="0" w:beforeAutospacing="0" w:after="0" w:afterAutospacing="0" w:line="300" w:lineRule="exact"/>
        <w:widowControl w:val="off"/>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10.2 如标书制作工具中格式和内容与“江苏政府采购网”发布的招标文件不一致，请以“江苏政府采购网”发布的招标文件为准。</w:t>
      </w:r>
      <w:bookmarkStart w:id="137" w:name="_Hlt26668975"/>
      <w:r/>
      <w:bookmarkStart w:id="138" w:name="_Hlt26954838"/>
      <w:r/>
      <w:bookmarkStart w:id="139" w:name="_Hlt26670360"/>
      <w:r/>
      <w:bookmarkStart w:id="140" w:name="_Toc14577357"/>
      <w:r/>
      <w:bookmarkStart w:id="141" w:name="_Toc513029219"/>
      <w:r/>
      <w:bookmarkStart w:id="142" w:name="_Toc49090509"/>
      <w:r/>
      <w:bookmarkStart w:id="143" w:name="_Toc14577354"/>
      <w:r/>
      <w:bookmarkStart w:id="144" w:name="_Toc49090507"/>
      <w:r/>
      <w:bookmarkStart w:id="145" w:name="_Toc513029216"/>
      <w:r/>
      <w:bookmarkEnd w:id="137"/>
      <w:r/>
      <w:bookmarkEnd w:id="138"/>
      <w:r/>
      <w:bookmarkEnd w:id="139"/>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11、证明投标人及投标标的符合招标文件规定的文件</w:t>
      </w:r>
      <w:bookmarkEnd w:id="140"/>
      <w:r/>
      <w:bookmarkEnd w:id="141"/>
      <w:r/>
      <w:bookmarkEnd w:id="142"/>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146" w:name="_Toc14577355"/>
      <w:r/>
      <w:bookmarkStart w:id="147" w:name="_Toc49090508"/>
      <w:r/>
      <w:bookmarkEnd w:id="143"/>
      <w:r/>
      <w:bookmarkEnd w:id="144"/>
      <w:r/>
      <w:bookmarkEnd w:id="145"/>
      <w:r>
        <w:rPr>
          <w:rFonts w:hint="eastAsia" w:asciiTheme="minorEastAsia" w:hAnsiTheme="minorEastAsia" w:eastAsiaTheme="minorEastAsia" w:cstheme="minorEastAsia"/>
          <w:color w:val="000000"/>
        </w:rPr>
        <w:t xml:space="preserve">11.1 投标人应按照法律、法规、规章和规范性文件以及招标文件要求提交证明文件，证明其及投标标的符合招标文件规定。</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11.2招标文件对证明文件无明确形式要求的，证明文件可以以文字资料、图纸和数据等形式提交。</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12、投标分项报价</w:t>
      </w:r>
      <w:bookmarkStart w:id="148" w:name="_Hlt26670373"/>
      <w:r/>
      <w:bookmarkEnd w:id="146"/>
      <w:r/>
      <w:bookmarkEnd w:id="148"/>
      <w:r>
        <w:rPr>
          <w:rFonts w:hint="eastAsia" w:asciiTheme="minorEastAsia" w:hAnsiTheme="minorEastAsia" w:eastAsiaTheme="minorEastAsia" w:cstheme="minorEastAsia"/>
          <w:color w:val="000000"/>
          <w:sz w:val="28"/>
          <w:szCs w:val="28"/>
        </w:rPr>
        <w:t xml:space="preserve">表</w:t>
      </w:r>
      <w:bookmarkEnd w:id="147"/>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12.1 投标人应按照招标文件规定格式填报投标分项报价表。</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12.2 投标货币。投标文件中的单价和总价无特殊规定的采用人民币报价，以</w:t>
      </w:r>
      <w:r>
        <w:rPr>
          <w:rFonts w:hint="eastAsia" w:asciiTheme="minorEastAsia" w:hAnsiTheme="minorEastAsia" w:eastAsiaTheme="minorEastAsia" w:cstheme="minorEastAsia"/>
          <w:color w:val="ff0000"/>
        </w:rPr>
        <w:t xml:space="preserve">“元”</w:t>
      </w:r>
      <w:r>
        <w:rPr>
          <w:rFonts w:hint="eastAsia" w:asciiTheme="minorEastAsia" w:hAnsiTheme="minorEastAsia" w:eastAsiaTheme="minorEastAsia" w:cstheme="minorEastAsia"/>
          <w:color w:val="000000"/>
        </w:rPr>
        <w:t xml:space="preserve">为单位标注。招标文件中另有规定的按规定执行。</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149" w:name="_Hlt26670403"/>
      <w:r/>
      <w:bookmarkStart w:id="150" w:name="_Hlt26670486"/>
      <w:r/>
      <w:bookmarkStart w:id="151" w:name="_Hlt26954846"/>
      <w:r/>
      <w:bookmarkStart w:id="152" w:name="_Hlt26954731"/>
      <w:r/>
      <w:bookmarkStart w:id="153" w:name="_Hlt26954844"/>
      <w:r/>
      <w:bookmarkStart w:id="154" w:name="_Hlt26670425"/>
      <w:r/>
      <w:bookmarkStart w:id="155" w:name="_Hlt26670482"/>
      <w:r/>
      <w:bookmarkStart w:id="156" w:name="_Hlt26954842"/>
      <w:r/>
      <w:bookmarkStart w:id="157" w:name="_Hlt26668983"/>
      <w:r/>
      <w:bookmarkStart w:id="158" w:name="_Hlt26954848"/>
      <w:r/>
      <w:bookmarkEnd w:id="149"/>
      <w:r/>
      <w:bookmarkEnd w:id="150"/>
      <w:r/>
      <w:bookmarkEnd w:id="151"/>
      <w:r/>
      <w:bookmarkEnd w:id="152"/>
      <w:r/>
      <w:bookmarkEnd w:id="153"/>
      <w:r/>
      <w:bookmarkEnd w:id="154"/>
      <w:r/>
      <w:bookmarkEnd w:id="155"/>
      <w:r/>
      <w:bookmarkEnd w:id="156"/>
      <w:r/>
      <w:bookmarkEnd w:id="157"/>
      <w:r/>
      <w:bookmarkEnd w:id="158"/>
      <w:r>
        <w:rPr>
          <w:rFonts w:hint="eastAsia" w:asciiTheme="minorEastAsia" w:hAnsiTheme="minorEastAsia" w:eastAsiaTheme="minorEastAsia" w:cstheme="minorEastAsia"/>
          <w:color w:val="000000"/>
        </w:rPr>
        <w:t xml:space="preserve">1</w:t>
      </w:r>
      <w:r>
        <w:rPr>
          <w:rFonts w:hint="eastAsia" w:asciiTheme="minorEastAsia" w:hAnsiTheme="minorEastAsia" w:eastAsiaTheme="minorEastAsia" w:cstheme="minorEastAsia"/>
          <w:color w:val="000000"/>
        </w:rPr>
        <w:t xml:space="preserve">2.3 报价包括但不限于对本次采购、安装、调试及其伴随服务各项支付金额的总和。上述金额包括乙方为完成上述采购、安装、调试、产品价格、包装费、上下货力资费、运杂费、保险费、安装布置就位费、随货提供的备品备件费及专用工具费、组装费、维修保养费、售后服务费、培训费、管理费、税金（结算时需提供甲方要求的增值税专用发票）、利润及其验收合格前相关的所有费用，同时还应充分考虑市场风险、国家政策性调整风险系数以及承担的义务、责任、风险等一切因素、不可预见费及其他一切相关费用等全部费用。安装支付使用前的一切费用由供货方承担。</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12.4 投标人所报的各分项投标单价在合同履行过程中是固定不变的，不得以任何理由予以变更。任何包含价格调整要求的投标，将被认为是非响应性投标而予以拒绝。</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12.5 每种货物和服务只能有一个投标报价。</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12.6 如出现不合理的报价，经评标委员会评审报价低于实际运营成本或高于本项目最高限价的，作无效标处理。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12.7 投标人根据招标内容的要求，准确报价，一经报出，不得更改。</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13、技术要求响应及偏离表、商务要求响应及偏离表</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13.1 投标人需对招标文件中的技术要求与商务要求逐项作出响应或偏离，并说明原因。</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159" w:name="_Toc49090510"/>
      <w:r/>
      <w:bookmarkStart w:id="160" w:name="_Toc14577359"/>
      <w:r>
        <w:rPr>
          <w:rFonts w:hint="eastAsia" w:asciiTheme="minorEastAsia" w:hAnsiTheme="minorEastAsia" w:eastAsiaTheme="minorEastAsia" w:cstheme="minorEastAsia"/>
          <w:color w:val="000000"/>
        </w:rPr>
        <w:t xml:space="preserve">13.2 投标人需按照招标文件要求，在投标文件中提供与技术要求和商务要求相关的证明材料。</w:t>
      </w:r>
      <w:bookmarkEnd w:id="159"/>
      <w:bookmarkEnd w:id="160"/>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14、服务承诺、培训计划、人员安排及其他</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14.1 投标人需根据招标文件要求提供有关售后服务的管理制度，售后服务机构的分布情况，售后服务人员的数量、素质、技术水平及售后服务的反应能力等。</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14.2 投标人需根据招标文件要求提供培训计划。</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14.3投标人需根据招标文件要求提供所投标的的主要组成部分、功能设计、实现思路及关键技术等。</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15、投标函和开标一览表</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15.1 投标人应按照招标文件中提供的格式完整、正确填写投标函、开标一览表。</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61" w:name="_Toc49090511"/>
      <w:r/>
      <w:bookmarkStart w:id="162" w:name="_Toc14577360"/>
      <w:r>
        <w:rPr>
          <w:rFonts w:hint="eastAsia" w:asciiTheme="minorEastAsia" w:hAnsiTheme="minorEastAsia" w:eastAsiaTheme="minorEastAsia" w:cstheme="minorEastAsia"/>
          <w:color w:val="000000"/>
          <w:sz w:val="28"/>
          <w:szCs w:val="28"/>
        </w:rPr>
        <w:t xml:space="preserve">16、投标有效期</w:t>
      </w:r>
      <w:bookmarkEnd w:id="161"/>
      <w:r/>
      <w:bookmarkEnd w:id="162"/>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16.1投标有效期为开标之日后</w:t>
      </w:r>
      <w:r>
        <w:rPr>
          <w:rFonts w:hint="eastAsia" w:asciiTheme="minorEastAsia" w:hAnsiTheme="minorEastAsia" w:eastAsiaTheme="minorEastAsia" w:cstheme="minorEastAsia"/>
          <w:b/>
          <w:color w:val="000000"/>
          <w:u w:val="single"/>
        </w:rPr>
        <w:t xml:space="preserve">六十（60）天</w:t>
      </w:r>
      <w:r>
        <w:rPr>
          <w:rFonts w:hint="eastAsia" w:asciiTheme="minorEastAsia" w:hAnsiTheme="minorEastAsia" w:eastAsiaTheme="minorEastAsia" w:cstheme="minorEastAsia"/>
          <w:color w:val="000000"/>
        </w:rPr>
        <w:t xml:space="preserve">。投标有效期比规定短的将被视为未实质性响应招标文件而予以拒绝。</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17、投标有效期的延长</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17.1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36"/>
        <w:ind w:firstLine="320"/>
        <w:spacing w:before="145" w:after="145" w:line="300" w:lineRule="exact"/>
        <w:rPr>
          <w:rFonts w:asciiTheme="minorEastAsia" w:hAnsiTheme="minorEastAsia" w:eastAsiaTheme="minorEastAsia" w:cstheme="minorEastAsia"/>
          <w:color w:val="000000"/>
        </w:rPr>
      </w:pPr>
      <w:r/>
      <w:bookmarkStart w:id="163" w:name="_Hlt26954852"/>
      <w:r/>
      <w:bookmarkStart w:id="164" w:name="_Hlt26954739"/>
      <w:r/>
      <w:bookmarkStart w:id="165" w:name="_Toc196405325"/>
      <w:r/>
      <w:bookmarkStart w:id="166" w:name="_Toc16938540"/>
      <w:r/>
      <w:bookmarkStart w:id="167" w:name="_Toc120614217"/>
      <w:r/>
      <w:bookmarkStart w:id="168" w:name="_Toc513029224"/>
      <w:r/>
      <w:bookmarkStart w:id="169" w:name="_Toc20823296"/>
      <w:r/>
      <w:bookmarkStart w:id="170" w:name="_Toc196405137"/>
      <w:r/>
      <w:bookmarkStart w:id="171" w:name="_Toc31487"/>
      <w:r/>
      <w:bookmarkEnd w:id="163"/>
      <w:r/>
      <w:bookmarkEnd w:id="164"/>
      <w:r>
        <w:rPr>
          <w:rFonts w:hint="eastAsia" w:asciiTheme="minorEastAsia" w:hAnsiTheme="minorEastAsia" w:eastAsiaTheme="minorEastAsia" w:cstheme="minorEastAsia"/>
          <w:color w:val="000000"/>
        </w:rPr>
        <w:t xml:space="preserve">四、投标文件的递交</w:t>
      </w:r>
      <w:bookmarkEnd w:id="165"/>
      <w:r/>
      <w:bookmarkEnd w:id="166"/>
      <w:r/>
      <w:bookmarkEnd w:id="167"/>
      <w:r/>
      <w:bookmarkEnd w:id="168"/>
      <w:r/>
      <w:bookmarkEnd w:id="169"/>
      <w:r/>
      <w:bookmarkEnd w:id="170"/>
      <w:r/>
      <w:bookmarkEnd w:id="171"/>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72" w:name="_Toc16938541"/>
      <w:r/>
      <w:bookmarkStart w:id="173" w:name="_Toc20823297"/>
      <w:r/>
      <w:bookmarkStart w:id="174" w:name="_Toc513029225"/>
      <w:r/>
      <w:bookmarkStart w:id="175" w:name="_Toc462564084"/>
      <w:r/>
      <w:bookmarkStart w:id="176" w:name="_Toc16938542"/>
      <w:r/>
      <w:bookmarkStart w:id="177" w:name="_Toc513029226"/>
      <w:r/>
      <w:bookmarkStart w:id="178" w:name="_Toc20823298"/>
      <w:r>
        <w:rPr>
          <w:rFonts w:hint="eastAsia" w:asciiTheme="minorEastAsia" w:hAnsiTheme="minorEastAsia" w:eastAsiaTheme="minorEastAsia" w:cstheme="minorEastAsia"/>
          <w:color w:val="000000"/>
          <w:sz w:val="28"/>
          <w:szCs w:val="28"/>
        </w:rPr>
        <w:t xml:space="preserve">18、电子投标文件</w:t>
      </w:r>
      <w:bookmarkEnd w:id="172"/>
      <w:r/>
      <w:bookmarkEnd w:id="173"/>
      <w:r/>
      <w:bookmarkEnd w:id="174"/>
      <w:r/>
      <w:bookmarkEnd w:id="175"/>
      <w:r>
        <w:rPr>
          <w:rFonts w:hint="eastAsia" w:asciiTheme="minorEastAsia" w:hAnsiTheme="minorEastAsia" w:eastAsiaTheme="minorEastAsia" w:cstheme="minorEastAsia"/>
          <w:color w:val="000000"/>
          <w:sz w:val="28"/>
          <w:szCs w:val="28"/>
        </w:rPr>
        <w:t xml:space="preserve">的递交</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18.1投标人应当按照《操作手册》规定，在投标截止时间前制作并上传电子投标文件。</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19、投标截止</w:t>
      </w:r>
      <w:bookmarkEnd w:id="176"/>
      <w:r/>
      <w:bookmarkEnd w:id="177"/>
      <w:r/>
      <w:bookmarkEnd w:id="178"/>
      <w:r>
        <w:rPr>
          <w:rFonts w:hint="eastAsia" w:asciiTheme="minorEastAsia" w:hAnsiTheme="minorEastAsia" w:eastAsiaTheme="minorEastAsia" w:cstheme="minorEastAsia"/>
          <w:color w:val="000000"/>
          <w:sz w:val="28"/>
          <w:szCs w:val="28"/>
        </w:rPr>
        <w:t xml:space="preserve">时间</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i/>
          <w:color w:val="000000"/>
          <w:u w:val="single"/>
        </w:rPr>
        <w:t xml:space="preserve">19.1 投标人上传电子投标文件的时间不得迟于招标公告中规定的投标截止时间。</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19.2 采购代理机构可以按照规定，通过修改招标文件酌情延长投标截止日期，在此情况下，投标人的所有权利和义务以及投标人受制的截止日期均应以延长后新的截止日期为准。</w:t>
      </w:r>
      <w:bookmarkStart w:id="179" w:name="_Toc513029227"/>
      <w:r/>
      <w:bookmarkStart w:id="180" w:name="_Toc16938543"/>
      <w:r/>
      <w:bookmarkStart w:id="181" w:name="_Toc20823299"/>
      <w:r/>
      <w:bookmarkEnd w:id="179"/>
      <w:bookmarkEnd w:id="180"/>
      <w:bookmarkEnd w:id="181"/>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 w:val="28"/>
          <w:szCs w:val="28"/>
        </w:rPr>
        <w:t xml:space="preserve">20、投标文件的拒收</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20.1 采购代理机构拒绝接收在其规定的投标截止时间后上传的任何投标文件。</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bookmarkStart w:id="182" w:name="_Toc20823300"/>
      <w:r/>
      <w:bookmarkStart w:id="183" w:name="_Toc16938544"/>
      <w:r/>
      <w:bookmarkStart w:id="184" w:name="_Toc513029228"/>
      <w:r>
        <w:rPr>
          <w:rFonts w:hint="eastAsia" w:asciiTheme="minorEastAsia" w:hAnsiTheme="minorEastAsia" w:eastAsiaTheme="minorEastAsia" w:cstheme="minorEastAsia"/>
          <w:color w:val="000000"/>
          <w:sz w:val="28"/>
          <w:szCs w:val="28"/>
        </w:rPr>
        <w:t xml:space="preserve">21、投标文件的撤回和修改</w:t>
      </w:r>
      <w:bookmarkEnd w:id="182"/>
      <w:r/>
      <w:bookmarkEnd w:id="183"/>
      <w:r/>
      <w:bookmarkEnd w:id="184"/>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21.1 投标文件的撤回</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21.1.1 电子投标文件的撤回</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投标人可在投标截止时间前，撤回其电子投标文件，具体操作方法见《操作手册》。</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21.1.2 投标人撤回电子投标文件，则认为其不再参与本项目投标活动。</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21.2 投标文件的修改</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21.2.1投标人可在投标截止时间前，对其电子投标文件进行修改，具体操作方法见《操作手册》。</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21.2.2 在投标截止时间之后，投标人不得对其电子投标文件作任何修改。</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21.3 在投标截止时间至招标文件中规定的投标有效期满之间的这段时间内，投标人不得撤回其投标。</w:t>
      </w:r>
      <w:r/>
    </w:p>
    <w:p>
      <w:pPr>
        <w:pStyle w:val="736"/>
        <w:ind w:firstLine="320"/>
        <w:spacing w:before="145" w:after="145" w:line="300" w:lineRule="exact"/>
        <w:rPr>
          <w:rFonts w:asciiTheme="minorEastAsia" w:hAnsiTheme="minorEastAsia" w:eastAsiaTheme="minorEastAsia" w:cstheme="minorEastAsia"/>
          <w:color w:val="000000"/>
        </w:rPr>
      </w:pPr>
      <w:r/>
      <w:bookmarkStart w:id="185" w:name="_Toc16938545"/>
      <w:r/>
      <w:bookmarkStart w:id="186" w:name="_Toc513029229"/>
      <w:r/>
      <w:bookmarkStart w:id="187" w:name="_Toc120614218"/>
      <w:r/>
      <w:bookmarkStart w:id="188" w:name="_Toc20823301"/>
      <w:r/>
      <w:bookmarkStart w:id="189" w:name="_Toc25870"/>
      <w:r>
        <w:rPr>
          <w:rFonts w:hint="eastAsia" w:asciiTheme="minorEastAsia" w:hAnsiTheme="minorEastAsia" w:eastAsiaTheme="minorEastAsia" w:cstheme="minorEastAsia"/>
          <w:color w:val="000000"/>
        </w:rPr>
        <w:t xml:space="preserve">五、开标与评标</w:t>
      </w:r>
      <w:bookmarkEnd w:id="185"/>
      <w:r/>
      <w:bookmarkEnd w:id="186"/>
      <w:r/>
      <w:bookmarkEnd w:id="187"/>
      <w:r/>
      <w:bookmarkEnd w:id="188"/>
      <w:r/>
      <w:bookmarkEnd w:id="189"/>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190" w:name="_Toc16938546"/>
      <w:r/>
      <w:bookmarkStart w:id="191" w:name="_Toc513029230"/>
      <w:r/>
      <w:bookmarkStart w:id="192" w:name="_Toc20823302"/>
      <w:r/>
      <w:bookmarkStart w:id="193" w:name="_Toc20823314"/>
      <w:r/>
      <w:bookmarkStart w:id="194" w:name="_Toc513029242"/>
      <w:r/>
      <w:bookmarkStart w:id="195" w:name="_Toc120614221"/>
      <w:r/>
      <w:bookmarkStart w:id="196" w:name="_Toc16938558"/>
      <w:r/>
      <w:bookmarkStart w:id="197" w:name="_Toc479757207"/>
      <w:r>
        <w:rPr>
          <w:rFonts w:hint="eastAsia" w:asciiTheme="minorEastAsia" w:hAnsiTheme="minorEastAsia" w:eastAsiaTheme="minorEastAsia" w:cstheme="minorEastAsia"/>
          <w:color w:val="000000"/>
          <w:sz w:val="28"/>
          <w:szCs w:val="28"/>
        </w:rPr>
        <w:t xml:space="preserve">22、开标</w:t>
      </w:r>
      <w:bookmarkEnd w:id="190"/>
      <w:r/>
      <w:bookmarkEnd w:id="191"/>
      <w:r/>
      <w:bookmarkEnd w:id="192"/>
      <w:r/>
      <w:r/>
    </w:p>
    <w:p>
      <w:pPr>
        <w:pStyle w:val="779"/>
        <w:ind w:firstLine="36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22.1 采购代理机构将在招标公告中规定的时间和地点组织公开开标。投标人应当按照《操作手册》规定，参加开标活动和在苏采云系统规定的时间内对投标文件进行解密。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22.2开标仪式由采购代理机构组织。苏采云系统将自动对项目进行开标，并宣布各投标人名称和投标价格。</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22.3投标人在开标过程中涉及到的投标文件解密、开标结果确认等工作，应按照《操作手册》规定执行。</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22.4投标人如果对开标过程和开标记录有疑义，应当根据《操作手册》规定提出，如 苏采云系统中《开标记录表》宣布后5分钟内未提出的，视同认可开标结果。</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bookmarkStart w:id="198" w:name="_Toc16938547"/>
      <w:r/>
      <w:bookmarkStart w:id="199" w:name="_Toc20823303"/>
      <w:r/>
      <w:bookmarkStart w:id="200" w:name="_Toc513029231"/>
      <w:r>
        <w:rPr>
          <w:rFonts w:hint="eastAsia" w:asciiTheme="minorEastAsia" w:hAnsiTheme="minorEastAsia" w:eastAsiaTheme="minorEastAsia" w:cstheme="minorEastAsia"/>
          <w:color w:val="000000"/>
          <w:sz w:val="28"/>
          <w:szCs w:val="28"/>
        </w:rPr>
        <w:t xml:space="preserve">23、评标委员会</w:t>
      </w:r>
      <w:bookmarkEnd w:id="198"/>
      <w:r/>
      <w:bookmarkEnd w:id="199"/>
      <w:r/>
      <w:bookmarkEnd w:id="200"/>
      <w:r/>
      <w:r/>
    </w:p>
    <w:p>
      <w:pPr>
        <w:pStyle w:val="7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b/>
          <w:color w:val="000000"/>
        </w:rPr>
        <w:t xml:space="preserve">  </w:t>
      </w:r>
      <w:r>
        <w:rPr>
          <w:rFonts w:hint="eastAsia" w:asciiTheme="minorEastAsia" w:hAnsiTheme="minorEastAsia" w:eastAsiaTheme="minorEastAsia" w:cstheme="minorEastAsia"/>
          <w:color w:val="000000"/>
        </w:rPr>
        <w:t xml:space="preserve">23.1</w:t>
      </w:r>
      <w:r>
        <w:rPr>
          <w:rFonts w:hint="eastAsia" w:asciiTheme="minorEastAsia" w:hAnsiTheme="minorEastAsia" w:eastAsiaTheme="minorEastAsia" w:cstheme="minorEastAsia"/>
          <w:b/>
          <w:color w:val="000000"/>
        </w:rPr>
        <w:t xml:space="preserve"> </w:t>
      </w:r>
      <w:r>
        <w:rPr>
          <w:rFonts w:hint="eastAsia" w:asciiTheme="minorEastAsia" w:hAnsiTheme="minorEastAsia" w:eastAsiaTheme="minorEastAsia" w:cstheme="minorEastAsia"/>
          <w:color w:val="000000"/>
        </w:rPr>
        <w:t xml:space="preserve">开标后，采购代理机构将立即组织评标委员会（以下简称评委会）进行评标。</w:t>
      </w:r>
      <w:r/>
    </w:p>
    <w:p>
      <w:pPr>
        <w:pStyle w:val="7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b/>
          <w:color w:val="000000"/>
        </w:rPr>
        <w:t xml:space="preserve">  </w:t>
      </w:r>
      <w:r>
        <w:rPr>
          <w:rFonts w:hint="eastAsia" w:asciiTheme="minorEastAsia" w:hAnsiTheme="minorEastAsia" w:eastAsiaTheme="minorEastAsia" w:cstheme="minorEastAsia"/>
          <w:color w:val="000000"/>
        </w:rPr>
        <w:t xml:space="preserve">23.2 评委会由采购人代表和有关技术、经济等方面的专家组成，且人员构成符合政府采购有关规定。</w:t>
      </w:r>
      <w:r/>
    </w:p>
    <w:p>
      <w:pPr>
        <w:pStyle w:val="7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b/>
          <w:color w:val="000000"/>
        </w:rPr>
        <w:t xml:space="preserve">  </w:t>
      </w:r>
      <w:r>
        <w:rPr>
          <w:rFonts w:hint="eastAsia" w:asciiTheme="minorEastAsia" w:hAnsiTheme="minorEastAsia" w:eastAsiaTheme="minorEastAsia" w:cstheme="minorEastAsia"/>
          <w:color w:val="000000"/>
        </w:rPr>
        <w:t xml:space="preserve">23.3评委会独立工作，负责评审所有投标文件并确定中标侯选人。</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24．评标过程的保密与公正</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24.1凡是与审查、澄清、评价和比较投标的有关资料以及授标建议等，采购人、评委、采购代理机构均不得向投标人或与评标无关的其他人员透露。</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24.2在评标过程中，投标人不得以任何行为影响评标过程，否则其投标文件将被作为无效投标文件。</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24.3 采购代理机构和评标委员会不向未中标的投标人解释未中标原因，也不公布评标过程中的相关细节。</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24.4 采用综合评分法的项目，未中标的投标人可于中标结果公告期限届满之日起通过苏采云系统查看自己的评审得分及排序情况。</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bookmarkStart w:id="201" w:name="_Toc513029232"/>
      <w:r/>
      <w:bookmarkStart w:id="202" w:name="_Toc20823304"/>
      <w:r/>
      <w:bookmarkStart w:id="203" w:name="_Toc16938548"/>
      <w:r>
        <w:rPr>
          <w:rFonts w:hint="eastAsia" w:asciiTheme="minorEastAsia" w:hAnsiTheme="minorEastAsia" w:eastAsiaTheme="minorEastAsia" w:cstheme="minorEastAsia"/>
          <w:color w:val="000000"/>
          <w:sz w:val="28"/>
          <w:szCs w:val="28"/>
        </w:rPr>
        <w:t xml:space="preserve">25．投标文件的澄清</w:t>
      </w:r>
      <w:bookmarkEnd w:id="201"/>
      <w:r/>
      <w:bookmarkEnd w:id="202"/>
      <w:r/>
      <w:bookmarkEnd w:id="203"/>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204" w:name="_Toc20823305"/>
      <w:r/>
      <w:bookmarkStart w:id="205" w:name="_Toc16938549"/>
      <w:r/>
      <w:bookmarkStart w:id="206" w:name="_Toc513029233"/>
      <w:r>
        <w:rPr>
          <w:rFonts w:hint="eastAsia" w:asciiTheme="minorEastAsia" w:hAnsiTheme="minorEastAsia" w:eastAsiaTheme="minorEastAsia" w:cstheme="minorEastAsia"/>
          <w:color w:val="000000"/>
        </w:rPr>
        <w:t xml:space="preserve">25.1评标期间，评委会对投标文件中含义不明确、同类问题表述不一致或者有明显文字和计算错误的内容</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rPr>
        <w:t xml:space="preserve">有权要求投标人作出必要的澄清、说明或者补正。</w:t>
      </w:r>
      <w:bookmarkEnd w:id="204"/>
      <w:r/>
      <w:bookmarkEnd w:id="205"/>
      <w:r/>
      <w:bookmarkEnd w:id="206"/>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投标人的澄清、说明或者补正不得超出投标文件的范围或者改变投标文件的实质性内容。</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评标委员会并非对每个投标人都做澄清要求。</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25.3 接到评委会澄清、说明和补正要求的投标人如未按规定做出澄清、说明和补正，其风险由投标人自行承担。</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 w:val="28"/>
          <w:szCs w:val="28"/>
        </w:rPr>
        <w:t xml:space="preserve">26、对投标文件的初审</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26.1投标文件初审分为资格审查和符合性审查。</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26.1.1 资格审查：依据法律法规和招标文件的规定，由采购人对投标文件中的资格证明文件进行审查。资格审查的结论，采购人以书面形式向评委会进行反馈。</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采购人在进行资格性审查的同时，将在“信用中国”网站（www.creditchina.gov.cn）查询投标人的信用记录，以确定投标人是否具备投标资格,查询结果留存并归档。</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26.1.2 符合性审查：依据招标文件的规定，由评委会从投标文件的有效性、完整性和对招标文件的响应程度进行审查，以确定是否对招标文件的实质性要求作出响应。</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26.3如果投标文件实质上没有响应招标文件的要求，评委会将予以拒绝，投标人不得通过修改或撤销不合要求的偏离或保留而使其投标成为实质性响应的投标。</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26.4评委会将对确定为实质性响应的投标进行进一步审核，看其是否有计算上或累加上的算术错误，修正错误的原则如下：</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（1）投标文件中开标一览表内容与投标文件中相应内容不一致的，以开标一览表为准。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（2）大写金额和小写金额不一致的，以大写金额为准。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（3）单价金额小数点或者百分比有明显错位的，以开标一览表的总价为准，并修改单价。</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（4）总价金额与按单价汇总金额不一致的，以单价金额计算结果为准。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同时出现两种以上错误的，按照前款规定的顺序修正。</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207" w:name="_Toc513029234"/>
      <w:r/>
      <w:bookmarkStart w:id="208" w:name="_Toc20823306"/>
      <w:r/>
      <w:bookmarkStart w:id="209" w:name="_Toc16938550"/>
      <w:r>
        <w:rPr>
          <w:rFonts w:hint="eastAsia" w:asciiTheme="minorEastAsia" w:hAnsiTheme="minorEastAsia" w:eastAsiaTheme="minorEastAsia" w:cstheme="minorEastAsia"/>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207"/>
      <w:r/>
      <w:bookmarkEnd w:id="208"/>
      <w:r/>
      <w:bookmarkEnd w:id="209"/>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79"/>
        <w:ind w:firstLine="42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非单一产品采购项目，招标文件中将载明其中的核心产品。多家投标人提供的核心产品品牌相同的，按前两款规定处理。</w:t>
      </w:r>
      <w:r/>
    </w:p>
    <w:p>
      <w:pPr>
        <w:pStyle w:val="779"/>
        <w:ind w:firstLine="42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26.7投标人在开、评标全过程中应保持通讯畅通，及时登录苏采云系统查阅、答复相关信息，并安排专人与采购代理机构及评标委员会联系。</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sz w:val="28"/>
          <w:szCs w:val="28"/>
        </w:rPr>
        <w:t xml:space="preserve">27、无效投标条款和废标条款</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bookmarkStart w:id="210" w:name="_Toc513029235"/>
      <w:r/>
      <w:bookmarkStart w:id="211" w:name="_Toc16938551"/>
      <w:r/>
      <w:bookmarkStart w:id="212" w:name="_Toc20823307"/>
      <w:r>
        <w:rPr>
          <w:rFonts w:hint="eastAsia" w:asciiTheme="minorEastAsia" w:hAnsiTheme="minorEastAsia" w:eastAsiaTheme="minorEastAsia" w:cstheme="minorEastAsia"/>
          <w:color w:val="000000"/>
        </w:rPr>
        <w:t xml:space="preserve">27.1无效投标条款</w:t>
      </w:r>
      <w:bookmarkEnd w:id="210"/>
      <w:r/>
      <w:bookmarkEnd w:id="211"/>
      <w:r/>
      <w:bookmarkEnd w:id="212"/>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27.1.1 投标人在苏采云系统规定的时间内未成功解密电子投标文件的。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27.1.2 投标人未按照招标文件要求上传电子投标文件的。</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27.1.3同一投标人提交两个（含两个）以上不同的投标报价的。</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27.1.4投标人不具备招标文件中规定资格要求的。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27.1.5投标人的报价超过了采购预算或最高限价的。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27.1.6未通过符合性审查的。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27.1.7不符合招标文件中规定的实质性要求和条件的（</w:t>
      </w:r>
      <w:r>
        <w:rPr>
          <w:rFonts w:hint="eastAsia" w:asciiTheme="minorEastAsia" w:hAnsiTheme="minorEastAsia" w:eastAsiaTheme="minorEastAsia" w:cstheme="minorEastAsia"/>
          <w:i/>
          <w:color w:val="000000"/>
          <w:u w:val="single"/>
        </w:rPr>
        <w:t xml:space="preserve">本招标文件中斜体且有下划线部分为实质性要求和条件）。</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27.1.8 投标人被 “信用中国”网站（www.creditchina.gov.cn）列入失信被执行人或</w:t>
      </w:r>
      <w:r>
        <w:rPr>
          <w:rFonts w:hint="eastAsia" w:asciiTheme="minorEastAsia" w:hAnsiTheme="minorEastAsia" w:eastAsiaTheme="minorEastAsia" w:cstheme="minorEastAsia"/>
          <w:color w:val="000000"/>
        </w:rPr>
        <w:t xml:space="preserve">重大税收违法失信主体名单</w:t>
      </w:r>
      <w:r>
        <w:rPr>
          <w:rFonts w:hint="eastAsia" w:asciiTheme="minorEastAsia" w:hAnsiTheme="minorEastAsia" w:eastAsiaTheme="minorEastAsia" w:cstheme="minorEastAsia"/>
          <w:color w:val="000000"/>
        </w:rPr>
        <w:t xml:space="preserve">或</w:t>
      </w:r>
      <w:r>
        <w:rPr>
          <w:rFonts w:hint="eastAsia" w:asciiTheme="minorEastAsia" w:hAnsiTheme="minorEastAsia" w:eastAsiaTheme="minorEastAsia" w:cstheme="minorEastAsia"/>
          <w:color w:val="000000"/>
        </w:rPr>
        <w:t xml:space="preserve">严重失信主体名单</w:t>
      </w:r>
      <w:r>
        <w:rPr>
          <w:rFonts w:hint="eastAsia" w:asciiTheme="minorEastAsia" w:hAnsiTheme="minorEastAsia" w:eastAsiaTheme="minorEastAsia" w:cstheme="minorEastAsia"/>
          <w:color w:val="000000"/>
        </w:rPr>
        <w:t xml:space="preserve">。或查询“信用中国”网站后发现投标人存在其他不符合《中华人民共和国政府采购法》第二十二条规定条件的信用记录。</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27.1.9  投标文件含有采购人不能接受的附加条件的。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27.1.11 本项目采购产品被财政部、国家发改委、生态环境部等列入“节能产品品目清单”、“环境标志产品品目清单”强制采购范围，而投标人所投标产品不在强制采购范围内的</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color w:val="000000"/>
        </w:rPr>
        <w:t xml:space="preserve">（投标产品如属于政府强制采购节能产品品目清单范围内，投标文件中必须提供国家确定的认证机构出具的、处于有效期之内的该节能产品认证证书图片）</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27.1.12 投标文件未按照招标文件要求加盖CA电子公章的。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27.1.13其他法律、法规及本招标文件规定的属无效投标的情形。</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27.2废标条款</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27.2.1符合专业条件的供应商或者对招标文件作实质响应的供应商不足三家的。27.2.2出现影响采购公正的违法、违规行为的。</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27.2.3因重大变故，采购任务取消的。</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27.2.4评标委员会认定招标文件存在歧义、重大缺陷导致评审工作无法进行。</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27.2.5 因苏采云系统系统故障原因造成开标不成功的。</w:t>
      </w:r>
      <w:r/>
    </w:p>
    <w:p>
      <w:pPr>
        <w:pStyle w:val="779"/>
        <w:ind w:left="479"/>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27.3 投标截止时间结束后参加投标的供应商不足三家的处理：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27.3.1如出现投标截止时间结束后参加投标的供应商或者在评标期间对招标文件做出实质响应的供应商不足三家情况，按政府采购相关规定执行。</w:t>
      </w:r>
      <w:r/>
    </w:p>
    <w:p>
      <w:pPr>
        <w:pStyle w:val="736"/>
        <w:ind w:firstLine="320"/>
        <w:spacing w:before="145" w:after="145" w:line="300" w:lineRule="exact"/>
        <w:rPr>
          <w:rFonts w:asciiTheme="minorEastAsia" w:hAnsiTheme="minorEastAsia" w:eastAsiaTheme="minorEastAsia" w:cstheme="minorEastAsia"/>
          <w:color w:val="000000"/>
        </w:rPr>
      </w:pPr>
      <w:r/>
      <w:bookmarkStart w:id="213" w:name="_Toc120614219"/>
      <w:r/>
      <w:bookmarkStart w:id="214" w:name="_Toc14202"/>
      <w:r>
        <w:rPr>
          <w:rFonts w:hint="eastAsia" w:asciiTheme="minorEastAsia" w:hAnsiTheme="minorEastAsia" w:eastAsiaTheme="minorEastAsia" w:cstheme="minorEastAsia"/>
          <w:color w:val="000000"/>
        </w:rPr>
        <w:t xml:space="preserve">六、定标</w:t>
      </w:r>
      <w:bookmarkEnd w:id="213"/>
      <w:r/>
      <w:bookmarkEnd w:id="214"/>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215" w:name="_Toc20823310"/>
      <w:r/>
      <w:bookmarkStart w:id="216" w:name="_Toc16938554"/>
      <w:r/>
      <w:bookmarkStart w:id="217" w:name="_Toc513029238"/>
      <w:r>
        <w:rPr>
          <w:rFonts w:hint="eastAsia" w:asciiTheme="minorEastAsia" w:hAnsiTheme="minorEastAsia" w:eastAsiaTheme="minorEastAsia" w:cstheme="minorEastAsia"/>
          <w:color w:val="000000"/>
          <w:sz w:val="28"/>
          <w:szCs w:val="28"/>
        </w:rPr>
        <w:t xml:space="preserve">28、</w:t>
      </w:r>
      <w:bookmarkEnd w:id="215"/>
      <w:r>
        <w:rPr>
          <w:rFonts w:hint="eastAsia" w:asciiTheme="minorEastAsia" w:hAnsiTheme="minorEastAsia" w:eastAsiaTheme="minorEastAsia" w:cstheme="minorEastAsia"/>
          <w:color w:val="000000"/>
          <w:sz w:val="28"/>
          <w:szCs w:val="28"/>
        </w:rPr>
        <w:t xml:space="preserve">确定</w:t>
      </w:r>
      <w:bookmarkEnd w:id="216"/>
      <w:r/>
      <w:bookmarkEnd w:id="217"/>
      <w:r>
        <w:rPr>
          <w:rFonts w:hint="eastAsia" w:asciiTheme="minorEastAsia" w:hAnsiTheme="minorEastAsia" w:eastAsiaTheme="minorEastAsia" w:cstheme="minorEastAsia"/>
          <w:color w:val="000000"/>
          <w:sz w:val="28"/>
          <w:szCs w:val="28"/>
        </w:rPr>
        <w:t xml:space="preserve">中标单位</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28.1中标候选人的选取原则和数量见招标文件第五章规定。 </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28.2 采购人应根据评委会推荐的中标候选人确定中标人。</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28.3 采购代理机构将在“江苏政府采购网”发布中标公告，公告期限为1个工作日。</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  若有充分证据证明，中标人出现下列情况之一的，一经查实，将被取消中标资格：</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28.4.1提供虚假材料谋取中标的。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28.4.2向采购人、采购代理机构行贿或者提供其他不正当利益的。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28.4.3属于本文件规定的无效条件，但在评标过程中又未被评委会发现的。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28.4.4与采购人或者其他供应商恶意串通的。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28.4.5采取不正当手段诋毁、排挤其他供应商的。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bookmarkStart w:id="218" w:name="_Toc200451960"/>
      <w:r>
        <w:rPr>
          <w:rFonts w:hint="eastAsia" w:asciiTheme="minorEastAsia" w:hAnsiTheme="minorEastAsia" w:eastAsiaTheme="minorEastAsia" w:cstheme="minorEastAsia"/>
          <w:color w:val="000000"/>
        </w:rPr>
        <w:t xml:space="preserve">28.5.</w:t>
      </w:r>
      <w:r>
        <w:rPr>
          <w:rFonts w:hint="eastAsia" w:asciiTheme="minorEastAsia" w:hAnsiTheme="minorEastAsia" w:eastAsiaTheme="minorEastAsia" w:cstheme="minorEastAsia"/>
          <w:color w:val="000000"/>
          <w:sz w:val="21"/>
          <w:szCs w:val="21"/>
        </w:rPr>
        <w:t xml:space="preserve"> </w:t>
      </w:r>
      <w:r>
        <w:rPr>
          <w:rFonts w:hint="eastAsia" w:asciiTheme="minorEastAsia" w:hAnsiTheme="minorEastAsia" w:eastAsiaTheme="minorEastAsia" w:cstheme="minorEastAsia"/>
          <w:color w:val="000000"/>
        </w:rPr>
        <w:t xml:space="preserve">有下列情形之一的，视为投标人串通投标，投标无效：</w:t>
      </w:r>
      <w:bookmarkEnd w:id="218"/>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28.5.1不同投标人的投标文件由同一单位或者个人编制；</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28.5.2不同投标人委托同一单位或者个人办理投标事宜；</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28.5.3 不同投标人的投标文件载明的项目管理成员或者联系人员为同一人；</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28.5.4不同投标人的投标文件异常一致或者投标报价呈规律性差异；</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29、质疑处理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29.1 提出质疑的供应商应当是参与所质疑项目采购活动的供应商。潜在供应商依法获取其可质疑的采购文件的，可以对采购文件提出质疑。</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29.2.1对可以质疑的采购文件提出质疑的，为收到采购文件之日或者采购文件公告期限届满之日；</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29.2.2对采购过程提出质疑的，为各采购程序环节结束之日；</w:t>
      </w:r>
      <w:r>
        <w:rPr>
          <w:rFonts w:hint="eastAsia" w:asciiTheme="minorEastAsia" w:hAnsiTheme="minorEastAsia" w:eastAsiaTheme="minorEastAsia" w:cstheme="minorEastAsia"/>
          <w:color w:val="000000"/>
        </w:rPr>
        <w:br w:type="textWrapping" w:clear="all"/>
        <w:t xml:space="preserve">     29.2.3对中标或者成交结果提出质疑的，为中标或者成交结果公告期限届满之日。</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采购人及采购代理机构只接收以纸质原件形式送达的质疑,采购人和采购代理机构不接受未填写快递运单的快件。采购代理机构质疑接收部门为受理处，</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联系地址：南京市雨花台区软件大道21号苏豪国际广场（北园）C座612室，</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联系电话：王慧025-52875825。</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 以下情形的质疑不予受理</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29.5.1 内容不符合《政府采购质疑和投诉办法》第十二条规定的质疑。</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29.5.2 超出政府采购法定期限的质疑。</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29.5.3 以传真、电子邮件等方式递交的非原件形式的质疑。</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29.5.4 未参加投标活动的供应商或在投标活动中自身权益未受到损害的供应商所提出的质疑。</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29.5.5供应商组成联合体参加投标，联合体中任何一方或多方未按要求签字、盖章、加盖公章的质疑。</w:t>
      </w:r>
      <w:r/>
    </w:p>
    <w:p>
      <w:pPr>
        <w:pStyle w:val="779"/>
        <w:ind w:firstLine="468"/>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30、中标通知书</w:t>
      </w:r>
      <w:r/>
    </w:p>
    <w:p>
      <w:pPr>
        <w:pStyle w:val="779"/>
        <w:ind w:firstLine="60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9"/>
        <w:ind w:firstLine="60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6"/>
        <w:ind w:firstLine="320"/>
        <w:spacing w:before="145" w:after="145" w:line="300" w:lineRule="exact"/>
        <w:rPr>
          <w:rFonts w:asciiTheme="minorEastAsia" w:hAnsiTheme="minorEastAsia" w:eastAsiaTheme="minorEastAsia" w:cstheme="minorEastAsia"/>
          <w:color w:val="000000"/>
        </w:rPr>
      </w:pPr>
      <w:r/>
      <w:bookmarkStart w:id="219" w:name="_Toc16938552"/>
      <w:r/>
      <w:bookmarkStart w:id="220" w:name="_Toc513029236"/>
      <w:r/>
      <w:bookmarkStart w:id="221" w:name="_Toc20823308"/>
      <w:r/>
      <w:bookmarkStart w:id="222" w:name="_Toc120614220"/>
      <w:r/>
      <w:bookmarkStart w:id="223" w:name="_Toc20896"/>
      <w:r>
        <w:rPr>
          <w:rFonts w:hint="eastAsia" w:asciiTheme="minorEastAsia" w:hAnsiTheme="minorEastAsia" w:eastAsiaTheme="minorEastAsia" w:cstheme="minorEastAsia"/>
          <w:color w:val="000000"/>
        </w:rPr>
        <w:t xml:space="preserve">七、授予合同</w:t>
      </w:r>
      <w:bookmarkEnd w:id="219"/>
      <w:r/>
      <w:bookmarkEnd w:id="220"/>
      <w:r/>
      <w:bookmarkEnd w:id="221"/>
      <w:r/>
      <w:bookmarkEnd w:id="222"/>
      <w:r/>
      <w:bookmarkEnd w:id="223"/>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bookmarkStart w:id="224" w:name="_Toc513029237"/>
      <w:r/>
      <w:bookmarkStart w:id="225" w:name="_Toc16938553"/>
      <w:r/>
      <w:bookmarkStart w:id="226" w:name="_Toc20823309"/>
      <w:r>
        <w:rPr>
          <w:rFonts w:hint="eastAsia" w:asciiTheme="minorEastAsia" w:hAnsiTheme="minorEastAsia" w:eastAsiaTheme="minorEastAsia" w:cstheme="minorEastAsia"/>
          <w:color w:val="000000"/>
          <w:sz w:val="28"/>
          <w:szCs w:val="28"/>
        </w:rPr>
        <w:t xml:space="preserve">31. 签订合同</w:t>
      </w:r>
      <w:bookmarkEnd w:id="224"/>
      <w:r/>
      <w:bookmarkEnd w:id="225"/>
      <w:r/>
      <w:bookmarkEnd w:id="226"/>
      <w:r/>
      <w:r/>
    </w:p>
    <w:p>
      <w:pPr>
        <w:pStyle w:val="779"/>
        <w:ind w:firstLine="60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31.l中标人应当在中标通知书发出之日起三十日内，按照招标文件确定的事项与采购人签订政府采购合同。</w:t>
      </w:r>
      <w:r/>
    </w:p>
    <w:p>
      <w:pPr>
        <w:pStyle w:val="779"/>
        <w:ind w:firstLine="60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31.2</w:t>
      </w:r>
      <w:r>
        <w:rPr>
          <w:rFonts w:hint="eastAsia" w:asciiTheme="minorEastAsia" w:hAnsiTheme="minorEastAsia" w:eastAsiaTheme="minorEastAsia" w:cstheme="minorEastAsia"/>
          <w:b/>
          <w:color w:val="000000"/>
        </w:rPr>
        <w:t xml:space="preserve"> </w:t>
      </w:r>
      <w:r>
        <w:rPr>
          <w:rFonts w:hint="eastAsia" w:asciiTheme="minorEastAsia" w:hAnsiTheme="minorEastAsia" w:eastAsiaTheme="minorEastAsia" w:cstheme="minorEastAsia"/>
          <w:color w:val="000000"/>
        </w:rPr>
        <w:t xml:space="preserve">招标文件、中标人的投标文件及招标过程中有关澄清、承诺文件均应作为合同附件。</w:t>
      </w:r>
      <w:r/>
    </w:p>
    <w:p>
      <w:pPr>
        <w:pStyle w:val="779"/>
        <w:ind w:firstLine="60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31.3 签订合同后，</w:t>
      </w:r>
      <w:r>
        <w:rPr>
          <w:rFonts w:hint="eastAsia" w:asciiTheme="minorEastAsia" w:hAnsiTheme="minorEastAsia" w:eastAsiaTheme="minorEastAsia" w:cstheme="minorEastAsia"/>
          <w:i/>
          <w:color w:val="000000"/>
          <w:u w:val="single"/>
        </w:rPr>
        <w:t xml:space="preserve">中标人不得将合同标的进行转包</w:t>
      </w:r>
      <w:r>
        <w:rPr>
          <w:rFonts w:hint="eastAsia" w:asciiTheme="minorEastAsia" w:hAnsiTheme="minorEastAsia" w:eastAsiaTheme="minorEastAsia" w:cstheme="minorEastAsia"/>
          <w:color w:val="000000"/>
        </w:rPr>
        <w:t xml:space="preserve">。未经采购人同意，中标人也不得采用分包的形式履行合同，否则采购人有权终止合同。转包或分包造成采购人损失的，中标人应承担相应赔偿责任。</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32、货物（包含与货物相关的服务）的追加</w:t>
      </w:r>
      <w:r/>
    </w:p>
    <w:p>
      <w:pPr>
        <w:pStyle w:val="779"/>
        <w:ind w:firstLine="480"/>
        <w:jc w:val="both"/>
        <w:spacing w:beforeAutospacing="0" w:afterAutospacing="0" w:line="300" w:lineRule="exact"/>
        <w:rPr>
          <w:rFonts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9"/>
        <w:ind w:firstLine="420"/>
        <w:jc w:val="both"/>
        <w:keepLines/>
        <w:keepNext/>
        <w:spacing w:beforeAutospacing="0" w:afterAutospacing="0" w:line="300"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33.政府采购政策功能落实</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33.1政府采购线上合同信用融资政策</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33.2进口产品</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33.3中小企业、监狱企业及残疾人福利性单位</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33.3.1中小企业定义：</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中小企业是</w:t>
      </w:r>
      <w:r>
        <w:rPr>
          <w:rFonts w:hint="eastAsia" w:asciiTheme="minorEastAsia" w:hAnsiTheme="minorEastAsia" w:eastAsiaTheme="minorEastAsia" w:cstheme="minorEastAsia"/>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33.3.2供应商提供的货物、工程或者服务符合下列情形的，享受中小企业扶持政策：</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33.3.2.1在货物采购项目中，货物由中小企业制造，即货物由中小企业生产且使用该中小企业商号或者注册商标；</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33.3.2.2在工程采购项目中，工程由中小企业承建，即工程施工单位为中小企业；</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33.3.2.3在服务采购项目中，服务由中小企业承接，即提供服务的人员为中小企</w:t>
      </w:r>
      <w:r>
        <w:rPr>
          <w:rFonts w:hint="eastAsia" w:asciiTheme="minorEastAsia" w:hAnsiTheme="minorEastAsia" w:eastAsiaTheme="minorEastAsia" w:cstheme="minorEastAsia"/>
          <w:color w:val="000000"/>
          <w:sz w:val="24"/>
          <w:szCs w:val="24"/>
        </w:rPr>
        <w:t xml:space="preserve">业依照《中华人民共和国劳动合同法》订立劳动合同的从业人员。</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33.3.3在货物采购项目中，供应商提供的货物既有中小企业制造货物，也有大型企业制造货物的，不享受中小企业扶持政策。</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33.3.4以联合体形式参加政府采购活动，联合体各方均为中小企业的，联合体视同中小企业。其中，联合体各方均为小微企业的，联合体视同小微企业。</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33.3.6残疾人福利单位定义：享受政府采购支持政策的残疾人福利性单位应当同时满足以下条件：</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33.3.6.1安置的残疾人占本单位在职职工人数的比例不低于25%（含25%），并且安置的残疾人人数不少于10 人（含10 人）；</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33.3.6.2依法与安置的每位残疾人签订了一年以上（含一年）的劳动合同或服务协议；</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33.3.6.3为安置的每位残疾人按月足额缴纳了基本养老保险、基本医疗保险、失业保险、工伤保险和生育保险等社会保险费；</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33.3.6.4通过银行等金融机构向安置的每位残疾人，按月支付了不低于单位所在区县适用的经省级人民政府批准的月最低工资标准的工资；</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33.3.6.5提供本单位制造的货物、承担的工程或者服务（以下简称产品），或者提供其他残疾人福利性单位制造的货物（不包括使用非残疾人福利性单位注册商标的货物）；</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33.3.7本项目是否专门面向中小企业预留采购份额见第一章《招标公告》。</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33.3.8采购标的对应的中小企业划分标准所属行业见第四章《采购需求》。</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33.3.9小微企业价格评审优惠的政策：见第五章《评标方法和评标标准》。</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33.4政府采购节能产品、环境标志产品</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33.4.1严格执行政府采购关于支持</w:t>
      </w:r>
      <w:r>
        <w:rPr>
          <w:rFonts w:hint="eastAsia" w:asciiTheme="minorEastAsia" w:hAnsiTheme="minorEastAsia" w:eastAsiaTheme="minorEastAsia" w:cstheme="minorEastAsia"/>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33.5绿色包装</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33.6政府采购创新产品</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采购人优先采购各级政府部门公开发布的有效期内的创新产品、创新服务、首台套、首购首用等《目录》的创新产品。</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33.7绿色数据中心政策 </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33.8履约保证金政策（本项目不收取履约保证金）</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确需收取履约保证金的，履约保证金的缴纳形式：</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如以履约保函（保险）形式缴纳履约保证金，供应商可通过政府采购电子履约保函（保险）平台（www.jsdzbh.com）在线申请履约保函（保险）。</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34.预付款制度</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35.关于异常低价投标（响应）的审查情形和具体要求</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35.1.评审过程中出现下列情形之一的，评审委员会应当启动异常低价投标（响应）审查程序：</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（1）投标（响应）报价低于采购项目预算50%的，即投标（响应）报价＜采购项目预算*50%；</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（2）投标（响应）报价低于采购项目最高限价45%的，即投标（响应）报价＜采购项目最高限价*45%；</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（3）评审委员会认定的供应商报价过低、有可能影响产品质量或者不能诚信履约的其他情形。</w:t>
      </w:r>
      <w:r/>
    </w:p>
    <w:p>
      <w:pPr>
        <w:pStyle w:val="747"/>
        <w:ind w:firstLine="480"/>
        <w:spacing w:line="300" w:lineRule="exact"/>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35.2.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47"/>
        <w:ind w:firstLine="241"/>
        <w:rPr>
          <w:rFonts w:ascii="宋体" w:hAnsi="宋体" w:cs="宋体"/>
          <w:color w:val="000000"/>
          <w:sz w:val="24"/>
          <w:szCs w:val="24"/>
        </w:rPr>
      </w:pPr>
      <w:r>
        <w:rPr>
          <w:rFonts w:ascii="宋体" w:hAnsi="宋体" w:cs="宋体"/>
          <w:color w:val="000000"/>
          <w:sz w:val="24"/>
          <w:szCs w:val="24"/>
        </w:rPr>
      </w:r>
      <w:r/>
    </w:p>
    <w:p>
      <w:pPr>
        <w:pStyle w:val="747"/>
        <w:ind w:firstLine="241"/>
        <w:rPr>
          <w:rFonts w:ascii="宋体" w:hAnsi="宋体" w:cs="宋体"/>
          <w:color w:val="000000"/>
          <w:sz w:val="24"/>
          <w:szCs w:val="24"/>
        </w:rPr>
      </w:pPr>
      <w:r>
        <w:rPr>
          <w:rFonts w:ascii="宋体" w:hAnsi="宋体" w:cs="宋体"/>
          <w:color w:val="000000"/>
          <w:sz w:val="24"/>
          <w:szCs w:val="24"/>
        </w:rPr>
      </w:r>
      <w:r/>
    </w:p>
    <w:p>
      <w:pPr>
        <w:pStyle w:val="747"/>
        <w:ind w:firstLine="241"/>
        <w:rPr>
          <w:rFonts w:ascii="宋体" w:hAnsi="宋体" w:cs="宋体"/>
          <w:color w:val="000000"/>
          <w:sz w:val="24"/>
          <w:szCs w:val="24"/>
        </w:rPr>
      </w:pPr>
      <w:r>
        <w:rPr>
          <w:rFonts w:hint="eastAsia" w:ascii="宋体" w:hAnsi="宋体" w:cs="宋体"/>
          <w:color w:val="000000"/>
          <w:sz w:val="24"/>
          <w:szCs w:val="24"/>
        </w:rPr>
        <w:t xml:space="preserve"> </w:t>
      </w:r>
      <w:r/>
    </w:p>
    <w:p>
      <w:pPr>
        <w:pStyle w:val="747"/>
        <w:ind w:firstLine="241"/>
        <w:rPr>
          <w:color w:val="000000"/>
        </w:rPr>
      </w:pPr>
      <w:r>
        <w:rPr>
          <w:color w:val="000000"/>
        </w:rPr>
      </w:r>
      <w:r/>
    </w:p>
    <w:p>
      <w:pPr>
        <w:pStyle w:val="735"/>
        <w:ind w:firstLine="442"/>
        <w:spacing w:before="0" w:after="0" w:line="415" w:lineRule="auto"/>
        <w:rPr>
          <w:color w:val="000000"/>
        </w:rPr>
      </w:pPr>
      <w:r>
        <w:rPr>
          <w:rFonts w:hint="eastAsia"/>
          <w:color w:val="000000"/>
        </w:rPr>
        <w:br w:type="page" w:clear="all"/>
      </w:r>
      <w:bookmarkStart w:id="227" w:name="_Toc17757"/>
      <w:r/>
      <w:bookmarkStart w:id="228" w:name="_Hlt16619350"/>
      <w:r/>
      <w:bookmarkStart w:id="229" w:name="_Toc20823346"/>
      <w:r/>
      <w:bookmarkStart w:id="230" w:name="_Toc120614244"/>
      <w:r/>
      <w:bookmarkStart w:id="231" w:name="_Toc16938590"/>
      <w:r/>
      <w:bookmarkStart w:id="232" w:name="_Toc462564139"/>
      <w:r/>
      <w:bookmarkStart w:id="233" w:name="_Toc479757211"/>
      <w:r/>
      <w:bookmarkEnd w:id="193"/>
      <w:r/>
      <w:bookmarkEnd w:id="194"/>
      <w:r/>
      <w:bookmarkEnd w:id="195"/>
      <w:r/>
      <w:bookmarkEnd w:id="196"/>
      <w:r/>
      <w:bookmarkEnd w:id="197"/>
      <w:r>
        <w:rPr>
          <w:rFonts w:hint="eastAsia"/>
        </w:rPr>
        <w:t xml:space="preserve">第三章</w:t>
      </w:r>
      <w:r>
        <w:rPr>
          <w:rFonts w:hint="eastAsia"/>
        </w:rPr>
        <w:t xml:space="preserve">  </w:t>
      </w:r>
      <w:r>
        <w:rPr>
          <w:rFonts w:hint="eastAsia"/>
        </w:rPr>
        <w:t xml:space="preserve">合同文本</w:t>
      </w:r>
      <w:bookmarkEnd w:id="227"/>
      <w:r/>
      <w:r/>
    </w:p>
    <w:p>
      <w:pPr>
        <w:pStyle w:val="779"/>
        <w:ind w:firstLine="480"/>
        <w:jc w:val="both"/>
        <w:spacing w:beforeAutospacing="0" w:afterAutospacing="0" w:line="0" w:lineRule="atLeast"/>
        <w:rPr>
          <w:color w:val="000000"/>
        </w:rPr>
      </w:pPr>
      <w:r/>
      <w:bookmarkStart w:id="234" w:name="_Toc20823315"/>
      <w:r/>
      <w:bookmarkStart w:id="235" w:name="_Toc16938559"/>
      <w:r/>
      <w:bookmarkStart w:id="236" w:name="_Toc513029243"/>
      <w:r>
        <w:rPr>
          <w:rFonts w:hint="eastAsia"/>
          <w:color w:val="000000"/>
        </w:rPr>
        <w:t xml:space="preserve">以下为中标后签定本项目合同的通用条款，中标人不得提出实质性的修改。</w:t>
      </w:r>
      <w:bookmarkEnd w:id="234"/>
      <w:r/>
      <w:bookmarkEnd w:id="235"/>
      <w:r/>
      <w:bookmarkEnd w:id="236"/>
      <w:r/>
      <w:r/>
    </w:p>
    <w:p>
      <w:pPr>
        <w:pStyle w:val="779"/>
        <w:jc w:val="center"/>
        <w:spacing w:before="145" w:beforeAutospacing="0" w:after="145" w:afterAutospacing="0"/>
        <w:rPr>
          <w:color w:val="000000"/>
        </w:rPr>
      </w:pPr>
      <w:r>
        <w:rPr>
          <w:rFonts w:hint="eastAsia"/>
          <w:b/>
          <w:color w:val="000000"/>
          <w:sz w:val="30"/>
          <w:szCs w:val="30"/>
        </w:rPr>
        <w:t xml:space="preserve">盐城市政府采购合同（货物）（合同编号）</w:t>
      </w:r>
      <w:r/>
    </w:p>
    <w:p>
      <w:pPr>
        <w:pStyle w:val="779"/>
        <w:jc w:val="both"/>
        <w:spacing w:before="120" w:beforeAutospacing="0" w:after="120" w:afterAutospacing="0"/>
        <w:rPr>
          <w:color w:val="000000"/>
        </w:rPr>
      </w:pPr>
      <w:r>
        <w:rPr>
          <w:rFonts w:hint="eastAsia"/>
          <w:color w:val="000000"/>
        </w:rPr>
        <w:t xml:space="preserve">项目名称：                        </w:t>
      </w:r>
      <w:r/>
    </w:p>
    <w:p>
      <w:pPr>
        <w:pStyle w:val="779"/>
        <w:jc w:val="both"/>
        <w:spacing w:before="120" w:beforeAutospacing="0" w:after="120" w:afterAutospacing="0"/>
        <w:rPr>
          <w:color w:val="000000"/>
        </w:rPr>
      </w:pPr>
      <w:r>
        <w:rPr>
          <w:rFonts w:hint="eastAsia"/>
          <w:color w:val="000000"/>
        </w:rPr>
        <w:t xml:space="preserve">项目编号：</w:t>
      </w:r>
      <w:r/>
    </w:p>
    <w:p>
      <w:pPr>
        <w:pStyle w:val="779"/>
        <w:jc w:val="both"/>
        <w:spacing w:before="120" w:beforeAutospacing="0" w:after="120" w:afterAutospacing="0"/>
        <w:rPr>
          <w:color w:val="000000"/>
        </w:rPr>
      </w:pPr>
      <w:r>
        <w:rPr>
          <w:rFonts w:hint="eastAsia"/>
          <w:color w:val="000000"/>
        </w:rPr>
        <w:t xml:space="preserve">甲方：（买方）_________</w:t>
      </w:r>
      <w:r/>
    </w:p>
    <w:p>
      <w:pPr>
        <w:pStyle w:val="779"/>
        <w:jc w:val="both"/>
        <w:spacing w:before="120" w:beforeAutospacing="0" w:after="120" w:afterAutospacing="0"/>
        <w:rPr>
          <w:color w:val="000000"/>
        </w:rPr>
      </w:pPr>
      <w:r>
        <w:rPr>
          <w:rFonts w:hint="eastAsia"/>
          <w:color w:val="000000"/>
        </w:rPr>
        <w:t xml:space="preserve">乙方：（卖方）_________</w:t>
      </w:r>
      <w:r/>
    </w:p>
    <w:p>
      <w:pPr>
        <w:pStyle w:val="779"/>
        <w:jc w:val="both"/>
        <w:spacing w:before="120" w:beforeAutospacing="0" w:after="120" w:afterAutospacing="0"/>
        <w:rPr>
          <w:color w:val="000000"/>
        </w:rPr>
      </w:pPr>
      <w:r>
        <w:rPr>
          <w:rFonts w:hint="eastAsia"/>
          <w:b/>
          <w:color w:val="000000"/>
        </w:rPr>
        <w:t xml:space="preserve">   </w:t>
      </w:r>
      <w:r>
        <w:rPr>
          <w:rFonts w:hint="eastAsia"/>
          <w:color w:val="000000"/>
        </w:rPr>
        <w:t xml:space="preserve">甲、乙双方根据</w:t>
      </w:r>
      <w:r>
        <w:rPr>
          <w:rFonts w:hint="eastAsia"/>
          <w:color w:val="000000"/>
          <w:u w:val="single"/>
        </w:rPr>
        <w:t xml:space="preserve">响水县中医院磁共振成像系统采购项目</w:t>
      </w:r>
      <w:r>
        <w:rPr>
          <w:rFonts w:hint="eastAsia"/>
          <w:color w:val="000000"/>
        </w:rPr>
        <w:t xml:space="preserve">公开招标的结果，签署本合同。</w:t>
      </w:r>
      <w:r/>
    </w:p>
    <w:p>
      <w:pPr>
        <w:pStyle w:val="779"/>
        <w:ind w:firstLine="482"/>
        <w:jc w:val="both"/>
        <w:spacing w:before="120" w:beforeAutospacing="0" w:after="120" w:afterAutospacing="0"/>
        <w:rPr>
          <w:color w:val="000000"/>
        </w:rPr>
      </w:pPr>
      <w:r>
        <w:rPr>
          <w:rFonts w:hint="eastAsia"/>
          <w:b/>
          <w:color w:val="000000"/>
        </w:rPr>
        <w:t xml:space="preserve">一、合同内容</w:t>
      </w:r>
      <w:r/>
    </w:p>
    <w:p>
      <w:pPr>
        <w:pStyle w:val="779"/>
        <w:ind w:firstLine="480"/>
        <w:jc w:val="both"/>
        <w:spacing w:before="120" w:beforeAutospacing="0" w:after="120" w:afterAutospacing="0"/>
        <w:rPr>
          <w:color w:val="000000"/>
        </w:rPr>
      </w:pPr>
      <w:r>
        <w:rPr>
          <w:rFonts w:hint="eastAsia"/>
          <w:color w:val="000000"/>
        </w:rPr>
        <w:t xml:space="preserve">1.1 标的名称：</w:t>
      </w:r>
      <w:r/>
    </w:p>
    <w:p>
      <w:pPr>
        <w:pStyle w:val="779"/>
        <w:ind w:firstLine="480"/>
        <w:jc w:val="both"/>
        <w:spacing w:before="120" w:beforeAutospacing="0" w:after="120" w:afterAutospacing="0"/>
        <w:rPr>
          <w:color w:val="000000"/>
        </w:rPr>
      </w:pPr>
      <w:r>
        <w:rPr>
          <w:rFonts w:hint="eastAsia"/>
          <w:color w:val="000000"/>
        </w:rPr>
        <w:t xml:space="preserve">1.2 标的质量：</w:t>
      </w:r>
      <w:r/>
    </w:p>
    <w:p>
      <w:pPr>
        <w:pStyle w:val="779"/>
        <w:ind w:firstLine="480"/>
        <w:jc w:val="both"/>
        <w:spacing w:before="120" w:beforeAutospacing="0" w:after="120" w:afterAutospacing="0"/>
        <w:rPr>
          <w:color w:val="000000"/>
        </w:rPr>
      </w:pPr>
      <w:r>
        <w:rPr>
          <w:rFonts w:hint="eastAsia"/>
          <w:color w:val="000000"/>
        </w:rPr>
        <w:t xml:space="preserve">1.3 标的数量（规模）：</w:t>
      </w:r>
      <w:r/>
    </w:p>
    <w:p>
      <w:pPr>
        <w:pStyle w:val="779"/>
        <w:ind w:firstLine="480"/>
        <w:jc w:val="both"/>
        <w:spacing w:before="120" w:beforeAutospacing="0" w:after="120" w:afterAutospacing="0"/>
        <w:rPr>
          <w:color w:val="000000"/>
        </w:rPr>
      </w:pPr>
      <w:r>
        <w:rPr>
          <w:rFonts w:hint="eastAsia"/>
          <w:color w:val="000000"/>
        </w:rPr>
        <w:t xml:space="preserve">1.4 履行时间（期限）：</w:t>
      </w:r>
      <w:r/>
    </w:p>
    <w:p>
      <w:pPr>
        <w:pStyle w:val="779"/>
        <w:ind w:firstLine="480"/>
        <w:jc w:val="both"/>
        <w:spacing w:before="120" w:beforeAutospacing="0" w:after="120" w:afterAutospacing="0"/>
        <w:rPr>
          <w:color w:val="000000"/>
        </w:rPr>
      </w:pPr>
      <w:r>
        <w:rPr>
          <w:rFonts w:hint="eastAsia"/>
          <w:color w:val="000000"/>
        </w:rPr>
        <w:t xml:space="preserve">1.5 履行地点：</w:t>
      </w:r>
      <w:r/>
    </w:p>
    <w:p>
      <w:pPr>
        <w:pStyle w:val="779"/>
        <w:ind w:firstLine="480"/>
        <w:jc w:val="both"/>
        <w:spacing w:before="120" w:beforeAutospacing="0" w:after="120" w:afterAutospacing="0"/>
        <w:rPr>
          <w:color w:val="000000"/>
        </w:rPr>
      </w:pPr>
      <w:r>
        <w:rPr>
          <w:rFonts w:hint="eastAsia"/>
          <w:color w:val="000000"/>
        </w:rPr>
        <w:t xml:space="preserve">1.6 履行方式：</w:t>
      </w:r>
      <w:r/>
    </w:p>
    <w:p>
      <w:pPr>
        <w:pStyle w:val="779"/>
        <w:ind w:firstLine="480"/>
        <w:jc w:val="both"/>
        <w:spacing w:before="120" w:beforeAutospacing="0" w:after="120" w:afterAutospacing="0"/>
        <w:rPr>
          <w:color w:val="000000"/>
        </w:rPr>
      </w:pPr>
      <w:r>
        <w:rPr>
          <w:rFonts w:hint="eastAsia"/>
          <w:color w:val="000000"/>
        </w:rPr>
        <w:t xml:space="preserve">1.7 包装方式：</w:t>
      </w:r>
      <w:r/>
    </w:p>
    <w:p>
      <w:pPr>
        <w:pStyle w:val="779"/>
        <w:ind w:firstLine="482"/>
        <w:jc w:val="both"/>
        <w:spacing w:before="120" w:beforeAutospacing="0" w:after="120" w:afterAutospacing="0"/>
        <w:rPr>
          <w:color w:val="000000"/>
        </w:rPr>
      </w:pPr>
      <w:r>
        <w:rPr>
          <w:rFonts w:hint="eastAsia"/>
          <w:b/>
          <w:color w:val="000000"/>
        </w:rPr>
        <w:t xml:space="preserve">二、合同金额</w:t>
      </w:r>
      <w:r/>
    </w:p>
    <w:p>
      <w:pPr>
        <w:pStyle w:val="779"/>
        <w:ind w:firstLine="480"/>
        <w:jc w:val="both"/>
        <w:spacing w:before="120" w:beforeAutospacing="0" w:after="120" w:afterAutospacing="0"/>
        <w:rPr>
          <w:color w:val="000000"/>
        </w:rPr>
      </w:pPr>
      <w:r>
        <w:rPr>
          <w:rFonts w:hint="eastAsia"/>
          <w:color w:val="000000"/>
        </w:rPr>
        <w:t xml:space="preserve">2.1 本合同金额为（大写）：_______圆（___元）人民币或其他币种。</w:t>
      </w:r>
      <w:r/>
    </w:p>
    <w:p>
      <w:pPr>
        <w:pStyle w:val="779"/>
        <w:ind w:firstLine="482"/>
        <w:jc w:val="both"/>
        <w:spacing w:before="120" w:beforeAutospacing="0" w:after="120" w:afterAutospacing="0"/>
        <w:rPr>
          <w:color w:val="000000"/>
        </w:rPr>
      </w:pPr>
      <w:r>
        <w:rPr>
          <w:rFonts w:hint="eastAsia"/>
          <w:b/>
          <w:color w:val="000000"/>
        </w:rPr>
        <w:t xml:space="preserve">三、技术资料</w:t>
      </w:r>
      <w:r/>
    </w:p>
    <w:p>
      <w:pPr>
        <w:pStyle w:val="779"/>
        <w:ind w:firstLine="480"/>
        <w:jc w:val="both"/>
        <w:spacing w:before="120" w:beforeAutospacing="0" w:after="120" w:afterAutospacing="0"/>
        <w:rPr>
          <w:color w:val="000000"/>
        </w:rPr>
      </w:pPr>
      <w:r>
        <w:rPr>
          <w:rFonts w:hint="eastAsia"/>
          <w:color w:val="000000"/>
        </w:rPr>
        <w:t xml:space="preserve">3.1乙方应按招标文件规定的时间向甲方提供使用货物(包含与货物相关的服务)的有关技术资料。</w:t>
      </w:r>
      <w:r/>
    </w:p>
    <w:p>
      <w:pPr>
        <w:pStyle w:val="779"/>
        <w:ind w:firstLine="480"/>
        <w:jc w:val="both"/>
        <w:spacing w:before="120" w:beforeAutospacing="0" w:after="120" w:afterAutospacing="0"/>
        <w:rPr>
          <w:color w:val="000000"/>
        </w:rPr>
      </w:pPr>
      <w:r>
        <w:rPr>
          <w:rFonts w:hint="eastAsia"/>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9"/>
        <w:ind w:firstLine="482"/>
        <w:jc w:val="both"/>
        <w:spacing w:before="120" w:beforeAutospacing="0" w:after="120" w:afterAutospacing="0"/>
        <w:rPr>
          <w:color w:val="000000"/>
        </w:rPr>
      </w:pPr>
      <w:r>
        <w:rPr>
          <w:rFonts w:hint="eastAsia"/>
          <w:b/>
          <w:color w:val="000000"/>
        </w:rPr>
        <w:t xml:space="preserve">四、知识产权</w:t>
      </w:r>
      <w:r/>
    </w:p>
    <w:p>
      <w:pPr>
        <w:pStyle w:val="779"/>
        <w:ind w:firstLine="480"/>
        <w:jc w:val="both"/>
        <w:spacing w:beforeAutospacing="0" w:afterAutospacing="0" w:line="0" w:lineRule="atLeast"/>
        <w:rPr>
          <w:color w:val="000000"/>
        </w:rPr>
      </w:pPr>
      <w:r>
        <w:rPr>
          <w:color w:val="000000"/>
        </w:rPr>
        <w:t xml:space="preserve">4.1乙</w:t>
      </w:r>
      <w:r>
        <w:rPr>
          <w:rFonts w:hint="eastAsia"/>
          <w:color w:val="000000"/>
        </w:rPr>
        <w:t xml:space="preserve">方应保证甲方在使用、接受本合同货物</w:t>
      </w:r>
      <w:r>
        <w:rPr>
          <w:rFonts w:ascii="Times New Roman" w:hAnsi="Times New Roman"/>
          <w:color w:val="000000"/>
        </w:rPr>
        <w:t xml:space="preserve">（包含与货物相关的服务）</w:t>
      </w:r>
      <w:r>
        <w:rPr>
          <w:rFonts w:hint="eastAsia"/>
          <w:color w:val="000000"/>
        </w:rPr>
        <w:t xml:space="preserve">或其任何一部分时不受第三方提出侵犯其专利权、版权、商标权和工业设计权等知识产权的起诉。一旦出现侵权，由乙方负全部责任。</w:t>
      </w:r>
      <w:r/>
    </w:p>
    <w:p>
      <w:pPr>
        <w:pStyle w:val="779"/>
        <w:ind w:firstLine="482"/>
        <w:jc w:val="both"/>
        <w:spacing w:before="120" w:beforeAutospacing="0" w:after="120" w:afterAutospacing="0"/>
        <w:rPr>
          <w:color w:val="000000"/>
        </w:rPr>
      </w:pPr>
      <w:r>
        <w:rPr>
          <w:rFonts w:hint="eastAsia"/>
          <w:b/>
          <w:color w:val="000000"/>
        </w:rPr>
        <w:t xml:space="preserve">五、产权担保</w:t>
      </w:r>
      <w:r/>
    </w:p>
    <w:p>
      <w:pPr>
        <w:pStyle w:val="779"/>
        <w:ind w:firstLine="480"/>
        <w:jc w:val="both"/>
        <w:spacing w:before="120" w:beforeAutospacing="0" w:after="120" w:afterAutospacing="0"/>
        <w:rPr>
          <w:color w:val="000000"/>
        </w:rPr>
      </w:pPr>
      <w:r>
        <w:rPr>
          <w:rFonts w:hint="eastAsia"/>
          <w:color w:val="000000"/>
        </w:rPr>
        <w:t xml:space="preserve">5.1 乙方保证所交付的货物（包含与货物相关的服务）的所有权完全属于乙方且无任何抵押、查封等产权瑕疵。</w:t>
      </w:r>
      <w:r/>
    </w:p>
    <w:p>
      <w:pPr>
        <w:ind w:firstLine="480"/>
        <w:spacing w:line="360" w:lineRule="auto"/>
        <w:rPr>
          <w:rFonts w:ascii="宋体" w:hAnsi="宋体" w:cs="宋体"/>
          <w:color w:val="000000"/>
          <w:sz w:val="24"/>
        </w:rPr>
      </w:pPr>
      <w:r>
        <w:rPr>
          <w:rFonts w:ascii="宋体" w:hAnsi="宋体" w:cs="宋体"/>
          <w:color w:val="000000"/>
          <w:sz w:val="24"/>
        </w:rPr>
      </w:r>
      <w:r/>
    </w:p>
    <w:p>
      <w:pPr>
        <w:pStyle w:val="779"/>
        <w:ind w:firstLine="482"/>
        <w:jc w:val="both"/>
        <w:spacing w:before="145" w:beforeAutospacing="0" w:after="145" w:afterAutospacing="0"/>
        <w:rPr>
          <w:color w:val="000000"/>
        </w:rPr>
      </w:pPr>
      <w:r>
        <w:rPr>
          <w:rFonts w:hint="eastAsia"/>
          <w:b/>
          <w:color w:val="000000"/>
        </w:rPr>
        <w:t xml:space="preserve">六、合同转包或分包</w:t>
      </w:r>
      <w:r/>
    </w:p>
    <w:p>
      <w:pPr>
        <w:pStyle w:val="779"/>
        <w:ind w:firstLine="480"/>
        <w:jc w:val="both"/>
        <w:spacing w:before="145" w:beforeAutospacing="0" w:after="145" w:afterAutospacing="0"/>
        <w:rPr>
          <w:color w:val="000000"/>
        </w:rPr>
      </w:pPr>
      <w:r>
        <w:rPr>
          <w:color w:val="000000"/>
        </w:rPr>
        <w:t xml:space="preserve">6</w:t>
      </w:r>
      <w:r>
        <w:rPr>
          <w:rFonts w:hint="eastAsia"/>
          <w:color w:val="000000"/>
        </w:rPr>
        <w:t xml:space="preserve">.1乙方不得将合同标的转包给他人履行。</w:t>
      </w:r>
      <w:r/>
    </w:p>
    <w:p>
      <w:pPr>
        <w:pStyle w:val="779"/>
        <w:ind w:firstLine="480"/>
        <w:jc w:val="both"/>
        <w:spacing w:before="145" w:beforeAutospacing="0" w:after="145" w:afterAutospacing="0"/>
        <w:rPr>
          <w:color w:val="000000"/>
        </w:rPr>
      </w:pPr>
      <w:r>
        <w:rPr>
          <w:color w:val="000000"/>
        </w:rPr>
        <w:t xml:space="preserve">6</w:t>
      </w:r>
      <w:r>
        <w:rPr>
          <w:rFonts w:hint="eastAsia"/>
          <w:color w:val="000000"/>
        </w:rPr>
        <w:t xml:space="preserve">.2乙方不得将合同标的分包给他人履行。</w:t>
      </w:r>
      <w:r/>
    </w:p>
    <w:p>
      <w:pPr>
        <w:pStyle w:val="779"/>
        <w:ind w:firstLine="480"/>
        <w:jc w:val="both"/>
        <w:spacing w:before="145" w:beforeAutospacing="0" w:after="145" w:afterAutospacing="0"/>
        <w:rPr>
          <w:color w:val="000000"/>
        </w:rPr>
      </w:pPr>
      <w:r>
        <w:rPr>
          <w:color w:val="000000"/>
        </w:rPr>
        <w:t xml:space="preserve">6</w:t>
      </w:r>
      <w:r>
        <w:rPr>
          <w:rFonts w:hint="eastAsia"/>
          <w:color w:val="000000"/>
        </w:rPr>
        <w:t xml:space="preserve">.</w:t>
      </w:r>
      <w:r>
        <w:rPr>
          <w:color w:val="000000"/>
        </w:rPr>
        <w:t xml:space="preserve">3</w:t>
      </w:r>
      <w:r>
        <w:rPr>
          <w:rFonts w:hint="eastAsia"/>
          <w:color w:val="000000"/>
        </w:rPr>
        <w:t xml:space="preserve"> 乙方应当按照投标文件中提供的分包意向协议履行合同.</w:t>
      </w:r>
      <w:r/>
    </w:p>
    <w:p>
      <w:pPr>
        <w:pStyle w:val="779"/>
        <w:ind w:firstLine="480"/>
        <w:jc w:val="both"/>
        <w:spacing w:before="145" w:beforeAutospacing="0" w:after="145" w:afterAutospacing="0"/>
        <w:rPr>
          <w:color w:val="000000"/>
        </w:rPr>
      </w:pPr>
      <w:r>
        <w:rPr>
          <w:color w:val="000000"/>
        </w:rPr>
        <w:t xml:space="preserve">6</w:t>
      </w:r>
      <w:r>
        <w:rPr>
          <w:rFonts w:hint="eastAsia"/>
          <w:color w:val="000000"/>
        </w:rPr>
        <w:t xml:space="preserve">.</w:t>
      </w:r>
      <w:r>
        <w:rPr>
          <w:color w:val="000000"/>
        </w:rPr>
        <w:t xml:space="preserve">4</w:t>
      </w:r>
      <w:r>
        <w:rPr>
          <w:rFonts w:hint="eastAsia"/>
          <w:color w:val="000000"/>
        </w:rPr>
        <w:t xml:space="preserve">乙方如有转包或未经甲方同意的分包行为，甲方有</w:t>
      </w:r>
      <w:r>
        <w:rPr>
          <w:rFonts w:hint="eastAsia"/>
          <w:color w:val="000000" w:themeColor="text1"/>
        </w:rPr>
        <w:t xml:space="preserve">权给予终止合同。</w:t>
      </w:r>
      <w:r/>
    </w:p>
    <w:p>
      <w:pPr>
        <w:pStyle w:val="779"/>
        <w:ind w:firstLine="482"/>
        <w:jc w:val="both"/>
        <w:spacing w:before="120" w:beforeAutospacing="0" w:after="120" w:afterAutospacing="0"/>
        <w:rPr>
          <w:color w:val="000000"/>
        </w:rPr>
      </w:pPr>
      <w:r>
        <w:rPr>
          <w:rFonts w:hint="eastAsia"/>
          <w:b/>
          <w:color w:val="000000"/>
        </w:rPr>
        <w:t xml:space="preserve">七、合同款项支付</w:t>
      </w:r>
      <w:r/>
    </w:p>
    <w:p>
      <w:pPr>
        <w:pStyle w:val="779"/>
        <w:ind w:firstLine="480"/>
        <w:jc w:val="both"/>
        <w:spacing w:before="120" w:beforeAutospacing="0" w:after="120" w:afterAutospacing="0"/>
        <w:rPr>
          <w:color w:val="000000"/>
        </w:rPr>
      </w:pPr>
      <w:r>
        <w:rPr>
          <w:color w:val="000000"/>
        </w:rPr>
        <w:t xml:space="preserve">7</w:t>
      </w:r>
      <w:r>
        <w:rPr>
          <w:rFonts w:hint="eastAsia"/>
          <w:color w:val="000000"/>
        </w:rPr>
        <w:t xml:space="preserve">.1合同款项的支付方式及进度安排________：。</w:t>
      </w:r>
      <w:r/>
    </w:p>
    <w:p>
      <w:pPr>
        <w:pStyle w:val="779"/>
        <w:ind w:firstLine="480"/>
        <w:jc w:val="both"/>
        <w:spacing w:before="120" w:beforeAutospacing="0" w:after="120" w:afterAutospacing="0"/>
        <w:rPr>
          <w:color w:val="000000"/>
        </w:rPr>
      </w:pPr>
      <w:r>
        <w:rPr>
          <w:color w:val="000000"/>
        </w:rPr>
        <w:t xml:space="preserve">7</w:t>
      </w:r>
      <w:r>
        <w:rPr>
          <w:rFonts w:hint="eastAsia"/>
          <w:color w:val="000000"/>
        </w:rPr>
        <w:t xml:space="preserve">.2当采购数量与实际使用数量不一致时，乙方应根据实际使用量供货，合同的最终结算金额按实际使用量乘以成交单价进行计算。</w:t>
      </w:r>
      <w:r/>
    </w:p>
    <w:p>
      <w:pPr>
        <w:pStyle w:val="779"/>
        <w:ind w:firstLine="482"/>
        <w:jc w:val="both"/>
        <w:spacing w:before="145" w:beforeAutospacing="0" w:after="145" w:afterAutospacing="0"/>
        <w:rPr>
          <w:color w:val="000000"/>
        </w:rPr>
      </w:pPr>
      <w:r>
        <w:rPr>
          <w:rFonts w:hint="eastAsia"/>
          <w:b/>
          <w:color w:val="000000"/>
        </w:rPr>
        <w:t xml:space="preserve">八、税费</w:t>
      </w:r>
      <w:r/>
    </w:p>
    <w:p>
      <w:pPr>
        <w:pStyle w:val="779"/>
        <w:ind w:firstLine="480"/>
        <w:jc w:val="both"/>
        <w:spacing w:before="145" w:beforeAutospacing="0" w:after="145" w:afterAutospacing="0"/>
        <w:rPr>
          <w:color w:val="000000"/>
        </w:rPr>
      </w:pPr>
      <w:r>
        <w:rPr>
          <w:color w:val="000000"/>
        </w:rPr>
        <w:t xml:space="preserve">8</w:t>
      </w:r>
      <w:r>
        <w:rPr>
          <w:rFonts w:hint="eastAsia"/>
          <w:color w:val="000000"/>
        </w:rPr>
        <w:t xml:space="preserve">.1本合同执行中相关的一切税费均由乙方负担。</w:t>
      </w:r>
      <w:r/>
    </w:p>
    <w:p>
      <w:pPr>
        <w:pStyle w:val="779"/>
        <w:ind w:firstLine="482"/>
        <w:jc w:val="both"/>
        <w:spacing w:before="120" w:beforeAutospacing="0" w:after="120" w:afterAutospacing="0"/>
        <w:rPr>
          <w:color w:val="000000"/>
        </w:rPr>
      </w:pPr>
      <w:r>
        <w:rPr>
          <w:rFonts w:hint="eastAsia"/>
          <w:b/>
          <w:color w:val="000000"/>
        </w:rPr>
        <w:t xml:space="preserve">九、质量保修范围和保修期及售后服务</w:t>
      </w:r>
      <w:r/>
    </w:p>
    <w:p>
      <w:pPr>
        <w:pStyle w:val="779"/>
        <w:ind w:firstLine="480"/>
        <w:jc w:val="both"/>
        <w:spacing w:before="120" w:beforeAutospacing="0" w:after="120" w:afterAutospacing="0"/>
        <w:rPr>
          <w:color w:val="000000"/>
        </w:rPr>
      </w:pPr>
      <w:r>
        <w:rPr>
          <w:color w:val="000000"/>
        </w:rPr>
        <w:t xml:space="preserve">9</w:t>
      </w:r>
      <w:r>
        <w:rPr>
          <w:rFonts w:hint="eastAsia"/>
          <w:color w:val="000000"/>
        </w:rPr>
        <w:t xml:space="preserve">.1 乙方应按招标文件规定的货物性能、技术要求、质量标准向甲方提供未经使用的全新产品。</w:t>
      </w:r>
      <w:r/>
    </w:p>
    <w:p>
      <w:pPr>
        <w:pStyle w:val="779"/>
        <w:ind w:firstLine="480"/>
        <w:jc w:val="both"/>
        <w:spacing w:before="120" w:beforeAutospacing="0" w:after="120" w:afterAutospacing="0"/>
        <w:rPr>
          <w:color w:val="000000"/>
        </w:rPr>
      </w:pPr>
      <w:r>
        <w:rPr>
          <w:color w:val="000000"/>
        </w:rPr>
        <w:t xml:space="preserve">9</w:t>
      </w:r>
      <w:r>
        <w:rPr>
          <w:rFonts w:hint="eastAsia"/>
          <w:color w:val="000000"/>
        </w:rPr>
        <w:t xml:space="preserve">.2 乙方提供的货物在质量期内因货物本身的质量问题发生故障，乙方应负责免费更换。对达不到技术要求者，根据实际情况，经双方协商，可按以下办法处理：</w:t>
      </w:r>
      <w:r/>
    </w:p>
    <w:p>
      <w:pPr>
        <w:pStyle w:val="779"/>
        <w:ind w:firstLine="480"/>
        <w:jc w:val="both"/>
        <w:spacing w:before="120" w:beforeAutospacing="0" w:after="120" w:afterAutospacing="0"/>
        <w:rPr>
          <w:color w:val="000000"/>
        </w:rPr>
      </w:pPr>
      <w:r>
        <w:rPr>
          <w:rFonts w:hint="eastAsia"/>
          <w:color w:val="000000"/>
        </w:rPr>
        <w:t xml:space="preserve">⑴更换：由乙方承担所发生的全部费用。</w:t>
      </w:r>
      <w:r/>
    </w:p>
    <w:p>
      <w:pPr>
        <w:pStyle w:val="779"/>
        <w:ind w:firstLine="480"/>
        <w:jc w:val="both"/>
        <w:spacing w:before="120" w:beforeAutospacing="0" w:after="120" w:afterAutospacing="0"/>
        <w:rPr>
          <w:color w:val="000000"/>
        </w:rPr>
      </w:pPr>
      <w:r>
        <w:rPr>
          <w:rFonts w:hint="eastAsia"/>
          <w:color w:val="000000"/>
        </w:rPr>
        <w:t xml:space="preserve">⑵贬值处理：由甲乙双方合议定价。</w:t>
      </w:r>
      <w:r/>
    </w:p>
    <w:p>
      <w:pPr>
        <w:pStyle w:val="779"/>
        <w:ind w:firstLine="480"/>
        <w:jc w:val="both"/>
        <w:spacing w:before="120" w:beforeAutospacing="0" w:after="120" w:afterAutospacing="0"/>
        <w:rPr>
          <w:color w:val="000000" w:themeColor="text1"/>
        </w:rPr>
      </w:pPr>
      <w:r>
        <w:rPr>
          <w:rFonts w:hint="eastAsia"/>
          <w:color w:val="000000"/>
        </w:rPr>
        <w:t xml:space="preserve">⑶退货处理：乙方应退还甲方支付的合同款，同时应承担该货物的直接费用（运输、保险、检验、货款利息及银行手续费等）</w:t>
      </w:r>
      <w:r>
        <w:rPr>
          <w:rFonts w:hint="eastAsia"/>
          <w:color w:val="000000" w:themeColor="text1"/>
        </w:rPr>
        <w:t xml:space="preserve">。</w:t>
      </w:r>
      <w:r/>
    </w:p>
    <w:p>
      <w:pPr>
        <w:pStyle w:val="779"/>
        <w:ind w:firstLine="480"/>
        <w:jc w:val="both"/>
        <w:spacing w:before="120" w:beforeAutospacing="0" w:after="120" w:afterAutospacing="0"/>
        <w:rPr>
          <w:color w:val="000000" w:themeColor="text1"/>
        </w:rPr>
      </w:pPr>
      <w:r>
        <w:rPr>
          <w:color w:val="000000" w:themeColor="text1"/>
        </w:rPr>
        <w:t xml:space="preserve">9</w:t>
      </w:r>
      <w:r>
        <w:rPr>
          <w:rFonts w:hint="eastAsia"/>
          <w:color w:val="000000" w:themeColor="text1"/>
        </w:rPr>
        <w:t xml:space="preserve">.3 如在使用过程中发生质量问题，乙方在接到甲方通知后在_________小时内到达甲方现场。</w:t>
      </w:r>
      <w:r/>
    </w:p>
    <w:p>
      <w:pPr>
        <w:pStyle w:val="779"/>
        <w:ind w:firstLine="480"/>
        <w:jc w:val="both"/>
        <w:spacing w:before="120" w:beforeAutospacing="0" w:after="120" w:afterAutospacing="0"/>
        <w:rPr>
          <w:color w:val="000000" w:themeColor="text1"/>
        </w:rPr>
      </w:pPr>
      <w:r>
        <w:rPr>
          <w:color w:val="000000" w:themeColor="text1"/>
        </w:rPr>
        <w:t xml:space="preserve">9</w:t>
      </w:r>
      <w:r>
        <w:rPr>
          <w:rFonts w:hint="eastAsia"/>
          <w:color w:val="000000" w:themeColor="text1"/>
        </w:rPr>
        <w:t xml:space="preserve">.4 在质保期内，乙方应对货物出现的质量及安全问题负责（，乙方必须要及时进行）处理解决并承担（由此产生的）一切费用。</w:t>
      </w:r>
      <w:r/>
    </w:p>
    <w:p>
      <w:pPr>
        <w:pStyle w:val="779"/>
        <w:ind w:firstLine="480"/>
        <w:jc w:val="both"/>
        <w:spacing w:before="120" w:beforeAutospacing="0" w:after="120" w:afterAutospacing="0"/>
        <w:rPr>
          <w:color w:val="000000"/>
        </w:rPr>
      </w:pPr>
      <w:r>
        <w:rPr>
          <w:color w:val="000000"/>
        </w:rPr>
        <w:t xml:space="preserve">9</w:t>
      </w:r>
      <w:r>
        <w:rPr>
          <w:rFonts w:hint="eastAsia"/>
          <w:color w:val="000000"/>
        </w:rPr>
        <w:t xml:space="preserve">.5上述的货物免费保修期为</w:t>
      </w:r>
      <w:r>
        <w:rPr>
          <w:rFonts w:hint="eastAsia"/>
          <w:color w:val="000000"/>
          <w:u w:val="single"/>
        </w:rPr>
        <w:t xml:space="preserve">     </w:t>
      </w:r>
      <w:r>
        <w:rPr>
          <w:rFonts w:hint="eastAsia"/>
          <w:color w:val="000000"/>
        </w:rPr>
        <w:t xml:space="preserve">年（自交货验收合格之日起计），因人为因素出现的故障不在免费保修范围内。超过保修期的机器设备，终生维修，维修时只收部件成本费。</w:t>
      </w:r>
      <w:r/>
    </w:p>
    <w:p>
      <w:pPr>
        <w:pStyle w:val="779"/>
        <w:ind w:firstLine="482"/>
        <w:jc w:val="both"/>
        <w:spacing w:before="120" w:beforeAutospacing="0" w:after="120" w:afterAutospacing="0"/>
        <w:rPr>
          <w:color w:val="000000"/>
        </w:rPr>
      </w:pPr>
      <w:r>
        <w:rPr>
          <w:rFonts w:hint="eastAsia"/>
          <w:b/>
          <w:color w:val="000000"/>
        </w:rPr>
        <w:t xml:space="preserve">十、项目验收</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.1 甲方依法组织履约验收工作。</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.3 对于实际使用人和甲方分离的项目，甲方邀请实际使用人参与验收。</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.4 如有必要，甲方邀请参加本项目的其他供应商或第三方专业机构及专家参与验收，相关意见将作为验收书的参考资料。</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0</w:t>
      </w:r>
      <w:r>
        <w:rPr>
          <w:rFonts w:hint="eastAsia"/>
          <w:color w:val="000000"/>
        </w:rPr>
        <w:t xml:space="preserve">.6 验收合格的项目,甲方根据采购合同的约定及时向乙方支付合同款项。验收不合格的项目，甲方依法及时处理。采购合同的履行、违约责任和解决争议的方式等适用《</w:t>
      </w:r>
      <w:r>
        <w:rPr>
          <w:rFonts w:hint="eastAsia"/>
        </w:rPr>
        <w:t xml:space="preserve">中华人民共和国民法典</w:t>
      </w:r>
      <w:r>
        <w:rPr>
          <w:rFonts w:hint="eastAsia"/>
          <w:color w:val="000000"/>
        </w:rPr>
        <w:t xml:space="preserve">》。乙方在履约过程中有政府采购法律法规规定的违法违规情形的,甲方将及时报告本级财政部门。</w:t>
      </w:r>
      <w:r/>
    </w:p>
    <w:p>
      <w:pPr>
        <w:pStyle w:val="779"/>
        <w:ind w:firstLine="482"/>
        <w:jc w:val="both"/>
        <w:spacing w:before="120" w:beforeAutospacing="0" w:after="120" w:afterAutospacing="0"/>
        <w:rPr>
          <w:color w:val="000000"/>
        </w:rPr>
      </w:pPr>
      <w:r>
        <w:rPr>
          <w:rFonts w:hint="eastAsia"/>
          <w:b/>
          <w:color w:val="000000"/>
        </w:rPr>
        <w:t xml:space="preserve">十一、货物的包装、发运及运输</w:t>
      </w:r>
      <w:r/>
    </w:p>
    <w:p>
      <w:pPr>
        <w:pStyle w:val="779"/>
        <w:ind w:firstLine="480"/>
        <w:jc w:val="both"/>
        <w:spacing w:before="120" w:beforeAutospacing="0" w:after="120" w:afterAutospacing="0"/>
        <w:rPr>
          <w:color w:val="000000" w:themeColor="text1"/>
        </w:rPr>
      </w:pPr>
      <w:r>
        <w:rPr>
          <w:rFonts w:hint="eastAsia"/>
          <w:color w:val="000000"/>
        </w:rPr>
        <w:t xml:space="preserve">1</w:t>
      </w:r>
      <w:r>
        <w:rPr>
          <w:color w:val="000000"/>
        </w:rPr>
        <w:t xml:space="preserve">1</w:t>
      </w:r>
      <w:r>
        <w:rPr>
          <w:rFonts w:hint="eastAsia"/>
          <w:color w:val="000000"/>
        </w:rPr>
        <w:t xml:space="preserve">.1 乙方应在货物发运前对其进行满足运输距离、防潮、防震、防锈和防破损装卸等要求包装，以保证货物安全运达甲方指定地点。乙方对货物的包装应符合《商品</w:t>
      </w:r>
      <w:r>
        <w:rPr>
          <w:rFonts w:hint="eastAsia"/>
          <w:color w:val="000000" w:themeColor="text1"/>
        </w:rPr>
        <w:t xml:space="preserve">包装政府采购需求标准（试行）》、《快递包装政府采购需求标准（试行）》的规定。</w:t>
      </w:r>
      <w:r/>
    </w:p>
    <w:p>
      <w:pPr>
        <w:pStyle w:val="779"/>
        <w:ind w:firstLine="480"/>
        <w:jc w:val="both"/>
        <w:spacing w:before="120" w:beforeAutospacing="0" w:after="120" w:afterAutospacing="0"/>
        <w:rPr>
          <w:color w:val="000000" w:themeColor="text1"/>
        </w:rPr>
      </w:pPr>
      <w:r>
        <w:rPr>
          <w:rFonts w:hint="eastAsia"/>
          <w:color w:val="000000" w:themeColor="text1"/>
        </w:rPr>
        <w:t xml:space="preserve">1</w:t>
      </w:r>
      <w:r>
        <w:rPr>
          <w:color w:val="000000" w:themeColor="text1"/>
        </w:rPr>
        <w:t xml:space="preserve">1</w:t>
      </w:r>
      <w:r>
        <w:rPr>
          <w:rFonts w:hint="eastAsia"/>
          <w:color w:val="000000" w:themeColor="text1"/>
        </w:rPr>
        <w:t xml:space="preserve">.2 使用说明书、质量检验证明书、随配附件和工具以及清单一并附于货物内。</w:t>
      </w:r>
      <w:r/>
    </w:p>
    <w:p>
      <w:pPr>
        <w:pStyle w:val="779"/>
        <w:ind w:firstLine="480"/>
        <w:jc w:val="both"/>
        <w:spacing w:before="120" w:beforeAutospacing="0" w:after="120" w:afterAutospacing="0"/>
        <w:rPr>
          <w:color w:val="000000" w:themeColor="text1"/>
        </w:rPr>
      </w:pPr>
      <w:r>
        <w:rPr>
          <w:rFonts w:hint="eastAsia"/>
          <w:color w:val="000000" w:themeColor="text1"/>
        </w:rPr>
        <w:t xml:space="preserve">1</w:t>
      </w:r>
      <w:r>
        <w:rPr>
          <w:color w:val="000000" w:themeColor="text1"/>
        </w:rPr>
        <w:t xml:space="preserve">1</w:t>
      </w:r>
      <w:r>
        <w:rPr>
          <w:rFonts w:hint="eastAsia"/>
          <w:color w:val="000000" w:themeColor="text1"/>
        </w:rPr>
        <w:t xml:space="preserve">.3 乙方在货物发运手续办理完毕后24小时内或货到甲方48小时前通知甲方，以（便甲方）准备接货。</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1</w:t>
      </w:r>
      <w:r>
        <w:rPr>
          <w:rFonts w:hint="eastAsia"/>
          <w:color w:val="000000"/>
        </w:rPr>
        <w:t xml:space="preserve">.4 货物在交付甲方前发生的风险均由乙方负责。</w:t>
      </w:r>
      <w:r/>
    </w:p>
    <w:p>
      <w:pPr>
        <w:pStyle w:val="779"/>
        <w:ind w:firstLine="480"/>
        <w:jc w:val="both"/>
        <w:spacing w:before="156" w:beforeAutospacing="0" w:after="156" w:afterAutospacing="0"/>
        <w:rPr>
          <w:color w:val="000000"/>
        </w:rPr>
      </w:pPr>
      <w:r>
        <w:rPr>
          <w:rFonts w:hint="eastAsia"/>
          <w:color w:val="000000"/>
        </w:rPr>
        <w:t xml:space="preserve">1</w:t>
      </w:r>
      <w:r>
        <w:rPr>
          <w:color w:val="000000"/>
        </w:rPr>
        <w:t xml:space="preserve">1</w:t>
      </w:r>
      <w:r>
        <w:rPr>
          <w:rFonts w:hint="eastAsia"/>
          <w:color w:val="000000"/>
        </w:rPr>
        <w:t xml:space="preserve">.5 货物在规定的交付期限内由乙方送达甲方指定的地点视为交付，乙方同时需通知甲方货物已送达。</w:t>
      </w:r>
      <w:r/>
    </w:p>
    <w:p>
      <w:pPr>
        <w:pStyle w:val="779"/>
        <w:ind w:firstLine="482"/>
        <w:jc w:val="both"/>
        <w:spacing w:before="120" w:beforeAutospacing="0" w:after="120" w:afterAutospacing="0"/>
        <w:rPr>
          <w:color w:val="000000"/>
        </w:rPr>
      </w:pPr>
      <w:r>
        <w:rPr>
          <w:rFonts w:hint="eastAsia"/>
          <w:b/>
          <w:color w:val="000000"/>
        </w:rPr>
        <w:t xml:space="preserve">十二、违约责任</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.1 甲方无正当理由拒收货物的，甲方向乙方偿付拒收货款总值</w:t>
      </w:r>
      <w:r>
        <w:rPr>
          <w:rFonts w:hint="eastAsia"/>
          <w:color w:val="000000"/>
          <w:u w:val="single"/>
        </w:rPr>
        <w:t xml:space="preserve">    </w:t>
      </w:r>
      <w:r>
        <w:rPr>
          <w:rFonts w:hint="eastAsia"/>
          <w:color w:val="000000"/>
        </w:rPr>
        <w:t xml:space="preserve">的违约金。</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.2 甲方无故逾期验收和办理货款支付手续的,甲方应按逾期付款总额每日</w:t>
      </w:r>
      <w:r>
        <w:rPr>
          <w:rFonts w:hint="eastAsia"/>
          <w:color w:val="000000"/>
          <w:u w:val="single"/>
        </w:rPr>
        <w:t xml:space="preserve">    </w:t>
      </w:r>
      <w:r>
        <w:rPr>
          <w:rFonts w:hint="eastAsia"/>
          <w:color w:val="000000"/>
        </w:rPr>
        <w:t xml:space="preserve">向乙方支付违约金。</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2</w:t>
      </w:r>
      <w:r>
        <w:rPr>
          <w:rFonts w:hint="eastAsia"/>
          <w:color w:val="000000"/>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000000"/>
          <w:u w:val="single"/>
        </w:rPr>
        <w:t xml:space="preserve">    </w:t>
      </w:r>
      <w:r>
        <w:rPr>
          <w:rFonts w:hint="eastAsia"/>
          <w:color w:val="000000"/>
        </w:rPr>
        <w:t xml:space="preserve">的违约金，如造成甲方损失超过违约金的，超出部分由乙方继续承担赔偿责任。 </w:t>
      </w:r>
      <w:r/>
    </w:p>
    <w:p>
      <w:pPr>
        <w:pStyle w:val="779"/>
        <w:ind w:firstLine="480"/>
        <w:jc w:val="both"/>
        <w:spacing w:before="120" w:beforeAutospacing="0" w:after="120" w:afterAutospacing="0"/>
        <w:rPr>
          <w:color w:val="000000" w:themeColor="text1"/>
        </w:rPr>
      </w:pPr>
      <w:r>
        <w:rPr>
          <w:rFonts w:hint="eastAsia"/>
          <w:color w:val="000000"/>
        </w:rPr>
        <w:t xml:space="preserve">1</w:t>
      </w:r>
      <w:r>
        <w:rPr>
          <w:color w:val="000000"/>
        </w:rPr>
        <w:t xml:space="preserve">2</w:t>
      </w:r>
      <w:r>
        <w:rPr>
          <w:rFonts w:hint="eastAsia"/>
          <w:color w:val="000000"/>
        </w:rPr>
        <w:t xml:space="preserve">.4 乙方所交的货物品种、型号、规格、技术参数、质量不符合合同规定及招标文件规定标准的，甲方有权拒收该货物，乙方愿意更换货</w:t>
      </w:r>
      <w:r>
        <w:rPr>
          <w:rFonts w:hint="eastAsia"/>
          <w:color w:val="000000" w:themeColor="text1"/>
        </w:rPr>
        <w:t xml:space="preserve">物但逾期交货的，按乙方逾期交货处理。乙方拒绝更换货物的，甲方可单方面解除合同（并由乙方承担由此产生的所有费用）。</w:t>
      </w:r>
      <w:r/>
    </w:p>
    <w:p>
      <w:pPr>
        <w:pStyle w:val="779"/>
        <w:ind w:firstLine="482"/>
        <w:jc w:val="both"/>
        <w:spacing w:before="120" w:beforeAutospacing="0" w:after="120" w:afterAutospacing="0"/>
        <w:rPr>
          <w:color w:val="000000"/>
        </w:rPr>
      </w:pPr>
      <w:r>
        <w:rPr>
          <w:rFonts w:hint="eastAsia"/>
          <w:b/>
          <w:color w:val="000000"/>
        </w:rPr>
        <w:t xml:space="preserve">十三、不可抗力事件处理</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.1 在合同有效期内，任何一方因不可抗力事件导致不能履行合同，则合同履行期可延长，其延长期与不可抗力影响期相同。</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.2 不可抗力事件发生后，应立即通知对方，并寄送有关权威机构出具的证明。</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3</w:t>
      </w:r>
      <w:r>
        <w:rPr>
          <w:rFonts w:hint="eastAsia"/>
          <w:color w:val="000000"/>
        </w:rPr>
        <w:t xml:space="preserve">.3 不可抗力事件延续120天以上，双方应通过友好协商，确定是否继续履行合同。</w:t>
      </w:r>
      <w:r/>
    </w:p>
    <w:p>
      <w:pPr>
        <w:pStyle w:val="779"/>
        <w:ind w:firstLine="482"/>
        <w:jc w:val="both"/>
        <w:spacing w:before="120" w:beforeAutospacing="0" w:after="120" w:afterAutospacing="0"/>
        <w:rPr>
          <w:color w:val="000000"/>
        </w:rPr>
      </w:pPr>
      <w:r>
        <w:rPr>
          <w:rFonts w:hint="eastAsia"/>
          <w:b/>
          <w:color w:val="000000"/>
        </w:rPr>
        <w:t xml:space="preserve">十四、解决争议的方法</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4</w:t>
      </w:r>
      <w:r>
        <w:rPr>
          <w:rFonts w:hint="eastAsia"/>
          <w:color w:val="000000"/>
        </w:rPr>
        <w:t xml:space="preserve">.1甲乙双方因合同签订、履行而发生的一切争议，应通过友好协商解决。如协商不成由甲方住所地人民法院管辖。</w:t>
      </w:r>
      <w:r/>
    </w:p>
    <w:p>
      <w:pPr>
        <w:pStyle w:val="779"/>
        <w:ind w:firstLine="482"/>
        <w:jc w:val="both"/>
        <w:spacing w:before="120" w:beforeAutospacing="0" w:after="120" w:afterAutospacing="0"/>
        <w:rPr>
          <w:color w:val="000000"/>
        </w:rPr>
      </w:pPr>
      <w:r>
        <w:rPr>
          <w:rFonts w:hint="eastAsia"/>
          <w:b/>
          <w:color w:val="000000"/>
        </w:rPr>
        <w:t xml:space="preserve">十五、合同生效及其它</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.1 合同经双方法定代表人或授权委托代表人签字并加盖单位公章后生效。</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.2本合同未尽事宜，遵照《中华人民共和国民法典》、《政府采购法》有关条文执行。</w:t>
      </w:r>
      <w:r/>
    </w:p>
    <w:p>
      <w:pPr>
        <w:pStyle w:val="779"/>
        <w:ind w:firstLine="480"/>
        <w:jc w:val="both"/>
        <w:spacing w:before="120" w:beforeAutospacing="0" w:after="120" w:afterAutospacing="0"/>
        <w:rPr>
          <w:color w:val="000000"/>
        </w:rPr>
      </w:pPr>
      <w:r>
        <w:rPr>
          <w:rFonts w:hint="eastAsia"/>
          <w:color w:val="000000"/>
        </w:rPr>
        <w:t xml:space="preserve">1</w:t>
      </w:r>
      <w:r>
        <w:rPr>
          <w:color w:val="000000"/>
        </w:rPr>
        <w:t xml:space="preserve">5</w:t>
      </w:r>
      <w:r>
        <w:rPr>
          <w:rFonts w:hint="eastAsia"/>
          <w:color w:val="000000"/>
        </w:rPr>
        <w:t xml:space="preserve">.3 本合同正本一式两份，具有同等法律效力，甲方、乙方各执一份。</w:t>
      </w:r>
      <w:r/>
    </w:p>
    <w:p>
      <w:pPr>
        <w:pStyle w:val="779"/>
        <w:ind w:firstLine="480"/>
        <w:jc w:val="both"/>
        <w:spacing w:before="120" w:beforeAutospacing="0" w:after="120" w:afterAutospacing="0"/>
        <w:rPr>
          <w:color w:val="000000"/>
        </w:rPr>
      </w:pPr>
      <w:r>
        <w:rPr>
          <w:color w:val="000000"/>
        </w:rPr>
      </w:r>
      <w:r/>
    </w:p>
    <w:p>
      <w:pPr>
        <w:pStyle w:val="779"/>
        <w:ind w:left="480" w:hanging="480"/>
        <w:jc w:val="both"/>
        <w:spacing w:before="120" w:beforeAutospacing="0" w:after="120" w:afterAutospacing="0" w:line="0" w:lineRule="atLeast"/>
        <w:rPr>
          <w:color w:val="000000"/>
        </w:rPr>
      </w:pPr>
      <w:r>
        <w:rPr>
          <w:rFonts w:hint="eastAsia"/>
          <w:color w:val="000000"/>
        </w:rPr>
        <w:t xml:space="preserve">  甲方：               乙方： </w:t>
      </w:r>
      <w:r/>
    </w:p>
    <w:p>
      <w:pPr>
        <w:pStyle w:val="779"/>
        <w:jc w:val="both"/>
        <w:spacing w:before="120" w:beforeAutospacing="0" w:after="120" w:afterAutospacing="0" w:line="0" w:lineRule="atLeast"/>
        <w:rPr>
          <w:color w:val="000000"/>
        </w:rPr>
      </w:pPr>
      <w:r>
        <w:rPr>
          <w:rFonts w:hint="eastAsia"/>
          <w:color w:val="000000"/>
        </w:rPr>
        <w:t xml:space="preserve">  地址：               地址： </w:t>
      </w:r>
      <w:r/>
    </w:p>
    <w:p>
      <w:pPr>
        <w:pStyle w:val="779"/>
        <w:jc w:val="both"/>
        <w:spacing w:before="120" w:beforeAutospacing="0" w:after="120" w:afterAutospacing="0" w:line="0" w:lineRule="atLeast"/>
        <w:rPr>
          <w:color w:val="000000"/>
        </w:rPr>
      </w:pPr>
      <w:r>
        <w:rPr>
          <w:rFonts w:hint="eastAsia"/>
          <w:color w:val="000000"/>
        </w:rPr>
        <w:t xml:space="preserve">  法定代表人或授权代表：       法定代表人或授权代表：</w:t>
      </w:r>
      <w:r/>
    </w:p>
    <w:p>
      <w:pPr>
        <w:pStyle w:val="779"/>
        <w:ind w:firstLine="360"/>
        <w:jc w:val="both"/>
        <w:spacing w:before="120" w:beforeAutospacing="0" w:after="120" w:afterAutospacing="0" w:line="0" w:lineRule="atLeast"/>
        <w:rPr>
          <w:color w:val="000000"/>
        </w:rPr>
      </w:pPr>
      <w:r>
        <w:rPr>
          <w:rFonts w:hint="eastAsia"/>
          <w:color w:val="000000"/>
        </w:rPr>
        <w:t xml:space="preserve">联系电话：         </w:t>
      </w:r>
      <w:r>
        <w:rPr>
          <w:color w:val="000000"/>
        </w:rPr>
        <w:t xml:space="preserve">        </w:t>
      </w:r>
      <w:r>
        <w:rPr>
          <w:rFonts w:hint="eastAsia"/>
          <w:color w:val="000000"/>
        </w:rPr>
        <w:t xml:space="preserve">联系电话：      </w:t>
      </w:r>
      <w:r/>
    </w:p>
    <w:p>
      <w:pPr>
        <w:pStyle w:val="779"/>
        <w:jc w:val="center"/>
        <w:spacing w:before="120" w:beforeAutospacing="0" w:after="120" w:afterAutospacing="0" w:line="0" w:lineRule="atLeast"/>
        <w:rPr>
          <w:color w:val="000000"/>
        </w:rPr>
      </w:pPr>
      <w:r>
        <w:rPr>
          <w:rFonts w:hint="eastAsia"/>
          <w:color w:val="000000"/>
          <w:sz w:val="21"/>
          <w:szCs w:val="21"/>
        </w:rPr>
        <w:t xml:space="preserve">                 </w:t>
      </w:r>
      <w:r>
        <w:rPr>
          <w:rFonts w:hint="eastAsia"/>
          <w:color w:val="000000"/>
        </w:rPr>
        <w:t xml:space="preserve">   </w:t>
      </w:r>
      <w:r/>
    </w:p>
    <w:p>
      <w:pPr>
        <w:pStyle w:val="779"/>
        <w:jc w:val="center"/>
        <w:spacing w:before="120" w:beforeAutospacing="0" w:after="120" w:afterAutospacing="0" w:line="0" w:lineRule="atLeast"/>
        <w:rPr>
          <w:color w:val="000000"/>
        </w:rPr>
      </w:pPr>
      <w:r>
        <w:rPr>
          <w:color w:val="000000"/>
        </w:rPr>
        <w:t xml:space="preserve"> </w:t>
      </w:r>
      <w:r/>
    </w:p>
    <w:p>
      <w:pPr>
        <w:pStyle w:val="779"/>
        <w:ind w:firstLine="360"/>
        <w:jc w:val="both"/>
        <w:spacing w:before="120" w:beforeAutospacing="0" w:after="120" w:afterAutospacing="0"/>
        <w:rPr>
          <w:color w:val="000000"/>
        </w:rPr>
      </w:pPr>
      <w:r>
        <w:rPr>
          <w:rFonts w:hint="eastAsia"/>
          <w:color w:val="000000"/>
        </w:rPr>
        <w:t xml:space="preserve">签订日期：      年    月   日</w:t>
      </w:r>
      <w:r/>
    </w:p>
    <w:p>
      <w:pPr>
        <w:pStyle w:val="735"/>
        <w:ind w:firstLine="442"/>
        <w:spacing w:before="0" w:after="0" w:line="415" w:lineRule="auto"/>
        <w:rPr>
          <w:rFonts w:hAnsi="宋体"/>
          <w:color w:val="000000"/>
          <w:sz w:val="24"/>
          <w:szCs w:val="24"/>
        </w:rPr>
      </w:pPr>
      <w:r>
        <w:rPr>
          <w:rFonts w:ascii="黑体" w:eastAsia="黑体"/>
          <w:color w:val="000000"/>
        </w:rPr>
        <w:br w:type="page" w:clear="all"/>
      </w:r>
      <w:bookmarkStart w:id="237" w:name="_Toc71"/>
      <w:r>
        <w:rPr>
          <w:rFonts w:hint="eastAsia"/>
        </w:rPr>
        <w:t xml:space="preserve">第</w:t>
      </w:r>
      <w:bookmarkEnd w:id="228"/>
      <w:r>
        <w:rPr>
          <w:rFonts w:hint="eastAsia"/>
        </w:rPr>
        <w:t xml:space="preserve">四章</w:t>
      </w:r>
      <w:r>
        <w:rPr>
          <w:rFonts w:hint="eastAsia"/>
        </w:rPr>
        <w:t xml:space="preserve">  </w:t>
      </w:r>
      <w:r>
        <w:rPr>
          <w:rFonts w:hint="eastAsia"/>
        </w:rPr>
        <w:t xml:space="preserve">采购需求</w:t>
      </w:r>
      <w:bookmarkEnd w:id="229"/>
      <w:r/>
      <w:bookmarkEnd w:id="230"/>
      <w:r/>
      <w:bookmarkEnd w:id="231"/>
      <w:r/>
      <w:bookmarkEnd w:id="237"/>
      <w:r/>
      <w:r/>
    </w:p>
    <w:p>
      <w:pPr>
        <w:pStyle w:val="783"/>
        <w:ind w:firstLine="241"/>
        <w:spacing w:before="73" w:after="73" w:line="420" w:lineRule="exact"/>
        <w:rPr>
          <w:rFonts w:ascii="宋体" w:hAnsi="宋体" w:eastAsia="宋体" w:cs="宋体"/>
          <w:color w:val="000000"/>
          <w:sz w:val="24"/>
          <w:szCs w:val="24"/>
        </w:rPr>
      </w:pPr>
      <w:r/>
      <w:bookmarkStart w:id="238" w:name="_Toc26554093"/>
      <w:r/>
      <w:bookmarkStart w:id="239" w:name="_Toc49090575"/>
      <w:r>
        <w:rPr>
          <w:rFonts w:hint="eastAsia" w:ascii="宋体" w:hAnsi="宋体" w:eastAsia="宋体" w:cs="宋体"/>
          <w:color w:val="000000"/>
          <w:sz w:val="24"/>
          <w:szCs w:val="24"/>
        </w:rPr>
        <w:t xml:space="preserve">项目属性:货物类项目。</w:t>
      </w:r>
      <w:r/>
    </w:p>
    <w:p>
      <w:pPr>
        <w:pStyle w:val="977"/>
        <w:numPr>
          <w:ilvl w:val="0"/>
          <w:numId w:val="0"/>
        </w:numPr>
        <w:ind w:left="907" w:hanging="907"/>
        <w:rPr>
          <w:sz w:val="24"/>
          <w:szCs w:val="24"/>
        </w:rPr>
      </w:pPr>
      <w:r/>
      <w:bookmarkStart w:id="240" w:name="_Toc14100"/>
      <w:r>
        <w:rPr>
          <w:rFonts w:hint="eastAsia"/>
          <w:sz w:val="24"/>
          <w:szCs w:val="24"/>
        </w:rPr>
        <w:t xml:space="preserve">一、采购清单</w:t>
      </w:r>
      <w:bookmarkEnd w:id="240"/>
      <w:r/>
      <w:r/>
    </w:p>
    <w:tbl>
      <w:tblPr>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8"/>
        <w:gridCol w:w="1134"/>
        <w:gridCol w:w="3269"/>
        <w:gridCol w:w="851"/>
        <w:gridCol w:w="1831"/>
        <w:gridCol w:w="1475"/>
      </w:tblGrid>
      <w:tr>
        <w:trPr>
          <w:jc w:val="center"/>
          <w:trHeight w:val="467"/>
        </w:trPr>
        <w:tc>
          <w:tcPr>
            <w:tcW w:w="78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品目号</w:t>
            </w:r>
            <w:r/>
          </w:p>
        </w:tc>
        <w:tc>
          <w:tcPr>
            <w:tcW w:w="326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设备名称</w:t>
            </w:r>
            <w:r/>
          </w:p>
        </w:tc>
        <w:tc>
          <w:tcPr>
            <w:tcW w:w="85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c>
          <w:tcPr>
            <w:tcW w:w="183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采购预算</w:t>
            </w:r>
            <w:r/>
          </w:p>
          <w:p>
            <w:pPr>
              <w:jc w:val="center"/>
              <w:rPr>
                <w:rFonts w:ascii="宋体" w:hAnsi="宋体" w:cs="宋体"/>
                <w:color w:val="000000"/>
                <w:sz w:val="24"/>
                <w:szCs w:val="24"/>
              </w:rPr>
            </w:pPr>
            <w:r>
              <w:rPr>
                <w:rFonts w:hint="eastAsia" w:ascii="宋体" w:hAnsi="宋体" w:cs="宋体"/>
                <w:color w:val="000000"/>
                <w:sz w:val="24"/>
                <w:szCs w:val="24"/>
              </w:rPr>
              <w:t xml:space="preserve">（人民币）</w:t>
            </w:r>
            <w:r/>
          </w:p>
        </w:tc>
        <w:tc>
          <w:tcPr>
            <w:tcW w:w="14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是否接受进口产品投标</w:t>
            </w:r>
            <w:r/>
          </w:p>
        </w:tc>
      </w:tr>
      <w:tr>
        <w:trPr>
          <w:jc w:val="center"/>
          <w:trHeight w:val="487"/>
        </w:trPr>
        <w:tc>
          <w:tcPr>
            <w:tcW w:w="78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p>
        </w:tc>
        <w:tc>
          <w:tcPr>
            <w:tcW w:w="113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0</w:t>
            </w:r>
            <w:r>
              <w:rPr>
                <w:rFonts w:ascii="宋体" w:hAnsi="宋体" w:cs="宋体"/>
                <w:color w:val="000000"/>
                <w:sz w:val="24"/>
                <w:szCs w:val="24"/>
              </w:rPr>
              <w:t xml:space="preserve">1</w:t>
            </w:r>
            <w:r>
              <w:rPr>
                <w:rFonts w:hint="eastAsia" w:ascii="宋体" w:hAnsi="宋体" w:cs="宋体"/>
                <w:color w:val="000000"/>
                <w:sz w:val="24"/>
                <w:szCs w:val="24"/>
              </w:rPr>
              <w:t xml:space="preserve">-1</w:t>
            </w:r>
            <w:r/>
          </w:p>
        </w:tc>
        <w:tc>
          <w:tcPr>
            <w:tcW w:w="326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磁共振成像系统</w:t>
            </w:r>
            <w:r/>
          </w:p>
        </w:tc>
        <w:tc>
          <w:tcPr>
            <w:tcW w:w="85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1台</w:t>
            </w:r>
            <w:r/>
          </w:p>
        </w:tc>
        <w:tc>
          <w:tcPr>
            <w:tcW w:w="183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1500万元</w:t>
            </w:r>
            <w:r/>
          </w:p>
        </w:tc>
        <w:tc>
          <w:tcPr>
            <w:tcW w:w="147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不接受</w:t>
            </w:r>
            <w:r/>
          </w:p>
        </w:tc>
      </w:tr>
    </w:tbl>
    <w:p>
      <w:pPr>
        <w:pStyle w:val="783"/>
        <w:ind w:firstLine="0"/>
        <w:spacing w:before="73" w:after="73" w:line="420" w:lineRule="exact"/>
        <w:rPr>
          <w:rFonts w:ascii="宋体" w:hAnsi="宋体" w:eastAsia="宋体" w:cs="宋体"/>
          <w:color w:val="000000"/>
          <w:sz w:val="24"/>
          <w:szCs w:val="24"/>
        </w:rPr>
      </w:pPr>
      <w:r>
        <w:rPr>
          <w:rFonts w:ascii="宋体" w:hAnsi="宋体" w:eastAsia="宋体" w:cs="宋体"/>
          <w:color w:val="000000"/>
          <w:sz w:val="24"/>
          <w:szCs w:val="24"/>
        </w:rPr>
      </w:r>
      <w:r/>
    </w:p>
    <w:p>
      <w:pPr>
        <w:pStyle w:val="977"/>
        <w:numPr>
          <w:ilvl w:val="0"/>
          <w:numId w:val="0"/>
        </w:numPr>
        <w:ind w:left="907" w:hanging="907"/>
        <w:rPr>
          <w:sz w:val="24"/>
          <w:szCs w:val="24"/>
        </w:rPr>
      </w:pPr>
      <w:r/>
      <w:bookmarkStart w:id="241" w:name="_Toc7741"/>
      <w:r>
        <w:rPr>
          <w:rFonts w:hint="eastAsia"/>
          <w:sz w:val="24"/>
          <w:szCs w:val="24"/>
        </w:rPr>
        <w:t xml:space="preserve">二、技术要求</w:t>
      </w:r>
      <w:bookmarkEnd w:id="241"/>
      <w:r/>
      <w:r/>
    </w:p>
    <w:tbl>
      <w:tblPr>
        <w:tblW w:w="4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39"/>
        <w:gridCol w:w="4849"/>
        <w:gridCol w:w="2739"/>
      </w:tblGrid>
      <w:tr>
        <w:trPr>
          <w:jc w:val="center"/>
        </w:trPr>
        <w:tc>
          <w:tcPr>
            <w:tcW w:w="797" w:type="pct"/>
            <w:vAlign w:val="center"/>
            <w:textDirection w:val="lrTb"/>
            <w:noWrap w:val="false"/>
          </w:tcPr>
          <w:p>
            <w:pPr>
              <w:jc w:val="center"/>
              <w:rPr>
                <w:rFonts w:asciiTheme="minorEastAsia" w:hAnsiTheme="minorEastAsia" w:eastAsiaTheme="minorEastAsia" w:cstheme="minorEastAsia"/>
                <w:b/>
                <w:caps/>
                <w:color w:val="000000" w:themeColor="text1"/>
                <w:sz w:val="24"/>
                <w:szCs w:val="24"/>
              </w:rPr>
            </w:pPr>
            <w:r>
              <w:rPr>
                <w:rFonts w:hint="eastAsia" w:asciiTheme="minorEastAsia" w:hAnsiTheme="minorEastAsia" w:eastAsiaTheme="minorEastAsia" w:cstheme="minorEastAsia"/>
                <w:b/>
                <w:caps/>
                <w:color w:val="000000" w:themeColor="text1"/>
                <w:sz w:val="24"/>
                <w:szCs w:val="24"/>
              </w:rPr>
              <w:t xml:space="preserve">序号</w:t>
            </w:r>
            <w:r/>
          </w:p>
        </w:tc>
        <w:tc>
          <w:tcPr>
            <w:tcW w:w="2686" w:type="pct"/>
            <w:vAlign w:val="center"/>
            <w:textDirection w:val="lrTb"/>
            <w:noWrap w:val="false"/>
          </w:tcPr>
          <w:p>
            <w:pPr>
              <w:jc w:val="center"/>
              <w:rPr>
                <w:rFonts w:asciiTheme="minorEastAsia" w:hAnsiTheme="minorEastAsia" w:eastAsiaTheme="minorEastAsia" w:cstheme="minorEastAsia"/>
                <w:b/>
                <w:caps/>
                <w:color w:val="000000" w:themeColor="text1"/>
                <w:sz w:val="24"/>
                <w:szCs w:val="24"/>
              </w:rPr>
            </w:pPr>
            <w:r>
              <w:rPr>
                <w:rFonts w:hint="eastAsia" w:asciiTheme="minorEastAsia" w:hAnsiTheme="minorEastAsia" w:eastAsiaTheme="minorEastAsia" w:cstheme="minorEastAsia"/>
                <w:b/>
                <w:caps/>
                <w:color w:val="000000" w:themeColor="text1"/>
                <w:sz w:val="24"/>
                <w:szCs w:val="24"/>
              </w:rPr>
              <w:t xml:space="preserve">技术参数</w:t>
            </w:r>
            <w:r/>
          </w:p>
        </w:tc>
        <w:tc>
          <w:tcPr>
            <w:tcW w:w="1516" w:type="pct"/>
            <w:vAlign w:val="center"/>
            <w:textDirection w:val="lrTb"/>
            <w:noWrap w:val="false"/>
          </w:tcPr>
          <w:p>
            <w:pPr>
              <w:jc w:val="center"/>
              <w:rPr>
                <w:rFonts w:asciiTheme="minorEastAsia" w:hAnsiTheme="minorEastAsia" w:eastAsiaTheme="minorEastAsia" w:cstheme="minorEastAsia"/>
                <w:b/>
                <w:caps/>
                <w:color w:val="000000" w:themeColor="text1"/>
                <w:sz w:val="24"/>
                <w:szCs w:val="24"/>
              </w:rPr>
            </w:pPr>
            <w:r>
              <w:rPr>
                <w:rFonts w:hint="eastAsia" w:asciiTheme="minorEastAsia" w:hAnsiTheme="minorEastAsia" w:eastAsiaTheme="minorEastAsia" w:cstheme="minorEastAsia"/>
                <w:b/>
                <w:caps/>
                <w:color w:val="000000" w:themeColor="text1"/>
                <w:sz w:val="24"/>
                <w:szCs w:val="24"/>
              </w:rPr>
              <w:t xml:space="preserve">招标要求</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aps/>
                <w:color w:val="000000" w:themeColor="text1"/>
                <w:sz w:val="24"/>
                <w:szCs w:val="24"/>
              </w:rPr>
            </w:pPr>
            <w:r>
              <w:rPr>
                <w:rFonts w:hint="eastAsia" w:asciiTheme="minorEastAsia" w:hAnsiTheme="minorEastAsia" w:eastAsiaTheme="minorEastAsia" w:cstheme="minorEastAsia"/>
                <w:b/>
                <w:caps/>
                <w:color w:val="000000" w:themeColor="text1"/>
                <w:sz w:val="24"/>
                <w:szCs w:val="24"/>
              </w:rPr>
              <w:t xml:space="preserve">1总体要求</w:t>
            </w:r>
            <w:r/>
          </w:p>
        </w:tc>
        <w:tc>
          <w:tcPr>
            <w:tcW w:w="2686" w:type="pct"/>
            <w:vAlign w:val="center"/>
            <w:textDirection w:val="lrTb"/>
            <w:noWrap w:val="false"/>
          </w:tcPr>
          <w:p>
            <w:pPr>
              <w:jc w:val="left"/>
              <w:rPr>
                <w:rFonts w:asciiTheme="minorEastAsia" w:hAnsiTheme="minorEastAsia" w:eastAsiaTheme="minorEastAsia" w:cstheme="minorEastAsia"/>
                <w:caps/>
                <w:color w:val="ff0000"/>
                <w:sz w:val="24"/>
                <w:szCs w:val="24"/>
                <w:highlight w:val="yellow"/>
              </w:rPr>
            </w:pPr>
            <w:r>
              <w:rPr>
                <w:rFonts w:hint="eastAsia" w:asciiTheme="minorEastAsia" w:hAnsiTheme="minorEastAsia" w:eastAsiaTheme="minorEastAsia" w:cstheme="minorEastAsia"/>
                <w:color w:val="000000"/>
                <w:sz w:val="24"/>
                <w:szCs w:val="24"/>
              </w:rPr>
              <w:t xml:space="preserve">为保证设备先进性，投标机型为各公司3T磁共振最新机型。</w:t>
            </w:r>
            <w:r/>
          </w:p>
        </w:tc>
        <w:tc>
          <w:tcPr>
            <w:tcW w:w="1516" w:type="pct"/>
            <w:vAlign w:val="center"/>
            <w:textDirection w:val="lrTb"/>
            <w:noWrap w:val="false"/>
          </w:tcPr>
          <w:p>
            <w:pPr>
              <w:jc w:val="left"/>
              <w:rPr>
                <w:rFonts w:asciiTheme="minorEastAsia" w:hAnsi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投标人提供制造商出具的机型发布官方证明文件或产品技术白皮书。</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2 磁体系统 </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磁体类型</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超导磁体</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磁场强度</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≥3T</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屏蔽方式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主动屏蔽</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抗外界电磁干扰屏蔽技术</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匀场方式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主动+被动</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2.6</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磁场稳定度</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&lt;0.1ppm/h</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2.7</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三维动态匀场</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2.8</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液氦腔最大容量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≤1800升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2.9</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磁体长度（不含外壳）</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≥170 cm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★2.10</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磁体最小孔径</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≥70 cm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五高斯磁力线X,Y轴</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≤3.1m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五高斯磁力线Z 轴</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2.13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磁体成像范围</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≥55 × 55 × 50 cm3</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磁体重量(含液氦)</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≤7吨</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3 梯度系统</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单轴梯度场强</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de-DE"/>
              </w:rPr>
              <w:t xml:space="preserve">45mT/m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单轴梯度切换率</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≥200T</w:t>
            </w:r>
            <w:r>
              <w:rPr>
                <w:rFonts w:hint="eastAsia" w:asciiTheme="minorEastAsia" w:hAnsiTheme="minorEastAsia" w:eastAsiaTheme="minorEastAsia" w:cstheme="minorEastAsia"/>
                <w:color w:val="000000" w:themeColor="text1"/>
                <w:sz w:val="24"/>
                <w:szCs w:val="24"/>
                <w:lang w:val="de-DE"/>
              </w:rPr>
              <w:t xml:space="preserve">/m/s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3.3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最短爬升时间</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≤0.225ms</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3.3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单轴梯度放大器最大输出电压</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≥2250V</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工作周期中的最大占空比</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100%</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软件降噪技术</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硬件降噪技术</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3.6</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梯度线圈冷却</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梯度放大器冷却</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水冷</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3.7</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梯度控制技术</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全数字实时发射接收</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3.8</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梯度工作方式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非共振式</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4 射频系统</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射频类型</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全数字实时控制系统</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射频发射功率</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≥36 kW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4.3</w:t>
            </w:r>
            <w:r/>
          </w:p>
        </w:tc>
        <w:tc>
          <w:tcPr>
            <w:tcW w:w="268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射频发射带宽</w:t>
            </w:r>
            <w:r/>
          </w:p>
        </w:tc>
        <w:tc>
          <w:tcPr>
            <w:tcW w:w="151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bCs/>
                <w:color w:val="000000" w:themeColor="text1"/>
                <w:sz w:val="24"/>
                <w:szCs w:val="24"/>
              </w:rPr>
              <w:t xml:space="preserve">500kHz</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4.4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最大射频通道数</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ff0000"/>
                <w:sz w:val="24"/>
                <w:szCs w:val="24"/>
              </w:rPr>
              <w:t xml:space="preserve">≥145个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各通道接收带宽</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≥1MHz</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4.6</w:t>
            </w:r>
            <w:r/>
          </w:p>
        </w:tc>
        <w:tc>
          <w:tcPr>
            <w:tcW w:w="2686" w:type="pct"/>
            <w:vAlign w:val="center"/>
            <w:textDirection w:val="lrTb"/>
            <w:noWrap w:val="false"/>
          </w:tcPr>
          <w:p>
            <w:pPr>
              <w:jc w:val="left"/>
              <w:spacing w:line="300" w:lineRule="atLeast"/>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射频放大器</w:t>
            </w:r>
            <w:r/>
          </w:p>
          <w:p>
            <w:pPr>
              <w:jc w:val="left"/>
              <w:spacing w:line="300" w:lineRule="atLeast"/>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射频发射路径位置</w:t>
            </w:r>
            <w:r/>
          </w:p>
          <w:p>
            <w:pPr>
              <w:jc w:val="left"/>
              <w:spacing w:line="300" w:lineRule="atLeas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射频接收路径位置</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磁体机壳内</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4.7</w:t>
            </w:r>
            <w:r/>
          </w:p>
        </w:tc>
        <w:tc>
          <w:tcPr>
            <w:tcW w:w="2686" w:type="pct"/>
            <w:vAlign w:val="center"/>
            <w:textDirection w:val="lrTb"/>
            <w:noWrap w:val="false"/>
          </w:tcPr>
          <w:p>
            <w:pPr>
              <w:jc w:val="left"/>
              <w:spacing w:line="300" w:lineRule="atLeast"/>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ADC模数转换器位置</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磁体机壳内（非线圈内）</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5 全身各部位射频接收线圈 </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5.1</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主机原装配套头颈联合（神经血管）矩阵线圈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ff0000"/>
                <w:sz w:val="24"/>
                <w:szCs w:val="24"/>
              </w:rPr>
              <w:t xml:space="preserve">≥20通道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5.2</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主机原装配套全脊柱矩阵线圈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≥24通道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5.2.1</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主机原装配套脊柱线圈物理长度</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≥100cm</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5.3</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主机原装配套体部矩阵线圈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≥20通道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5.4</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主机原装配套小号柔线圈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5.5</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主机原装配套大号柔线圈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5.6</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主机原装配套膝关节线圈</w:t>
            </w:r>
            <w:r/>
          </w:p>
        </w:tc>
        <w:tc>
          <w:tcPr>
            <w:tcW w:w="151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5.7</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主机原装配套乳腺线圈</w:t>
            </w:r>
            <w:r/>
          </w:p>
        </w:tc>
        <w:tc>
          <w:tcPr>
            <w:tcW w:w="1516" w:type="pct"/>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5.8</w:t>
            </w:r>
            <w:r/>
          </w:p>
        </w:tc>
        <w:tc>
          <w:tcPr>
            <w:tcW w:w="268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主机原装配套肩关节线圈</w:t>
            </w:r>
            <w:r/>
          </w:p>
        </w:tc>
        <w:tc>
          <w:tcPr>
            <w:tcW w:w="1516" w:type="pct"/>
            <w:textDirection w:val="lrTb"/>
            <w:noWrap w:val="false"/>
          </w:tcPr>
          <w:p>
            <w:pPr>
              <w:jc w:val="left"/>
              <w:spacing w:line="360" w:lineRule="auto"/>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≥16通道</w:t>
            </w:r>
            <w:r/>
          </w:p>
        </w:tc>
      </w:tr>
      <w:tr>
        <w:trPr>
          <w:jc w:val="center"/>
        </w:trPr>
        <w:tc>
          <w:tcPr>
            <w:tcW w:w="797" w:type="pct"/>
            <w:vAlign w:val="center"/>
            <w:textDirection w:val="lrTb"/>
            <w:noWrap w:val="false"/>
          </w:tcPr>
          <w:p>
            <w:pPr>
              <w:jc w:val="left"/>
              <w:spacing w:line="360" w:lineRule="auto"/>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6</w:t>
            </w:r>
            <w:r/>
          </w:p>
        </w:tc>
        <w:tc>
          <w:tcPr>
            <w:tcW w:w="268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静音平台</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提供</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7主控计算机系统</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主计算机CPU</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lang w:val="de-DE"/>
              </w:rPr>
              <w:t xml:space="preserve"> Intel Xeon</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CPU核心，CPU位数</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核心≥4个，位数≥64位</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主频大小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≥3.6GHz</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内存大小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≥64GB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计算机显示器，显示器分辨率</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≥24英寸彩色LCD，分辨率≥1920×1200</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7.6</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硬盘容量</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ff0000"/>
                <w:sz w:val="24"/>
                <w:szCs w:val="24"/>
              </w:rPr>
              <w:t xml:space="preserve">≥1TB</w:t>
            </w:r>
            <w:r>
              <w:rPr>
                <w:rFonts w:hint="eastAsia" w:asciiTheme="minorEastAsia" w:hAnsiTheme="minorEastAsia" w:eastAsiaTheme="minorEastAsia" w:cstheme="minorEastAsia"/>
                <w:color w:val="000000" w:themeColor="text1"/>
                <w:sz w:val="24"/>
                <w:szCs w:val="24"/>
              </w:rPr>
              <w:t xml:space="preserve">  </w:t>
            </w:r>
            <w:r>
              <w:rPr>
                <w:rFonts w:hint="eastAsia" w:asciiTheme="minorEastAsia" w:hAnsiTheme="minorEastAsia" w:eastAsiaTheme="minorEastAsia" w:cstheme="minorEastAsia"/>
                <w:b/>
                <w:color w:val="000000" w:themeColor="text1"/>
                <w:sz w:val="24"/>
                <w:szCs w:val="24"/>
              </w:rPr>
              <w:t xml:space="preserve">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8</w:t>
            </w:r>
            <w:r/>
          </w:p>
        </w:tc>
        <w:tc>
          <w:tcPr>
            <w:tcW w:w="268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系统后处理功能</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9操作台、扫描床及环境调节系统</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垂直移动时扫描床最大承重</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≥250Kg</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9.2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扫描床移动精度</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≤0.5mm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病人监视系统</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照明、通风、通话、背景音乐</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9.5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扫描床最低床位</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≤52cm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9.6</w:t>
            </w:r>
            <w:r/>
          </w:p>
        </w:tc>
        <w:tc>
          <w:tcPr>
            <w:tcW w:w="268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最大水平移动范围</w:t>
            </w:r>
            <w:r/>
          </w:p>
        </w:tc>
        <w:tc>
          <w:tcPr>
            <w:tcW w:w="1516"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color w:val="ff0000"/>
                <w:sz w:val="24"/>
                <w:szCs w:val="24"/>
              </w:rPr>
              <w:t xml:space="preserve">≥</w:t>
            </w:r>
            <w:r>
              <w:rPr>
                <w:rFonts w:hint="eastAsia" w:asciiTheme="minorEastAsia" w:hAnsiTheme="minorEastAsia" w:eastAsiaTheme="minorEastAsia" w:cstheme="minorEastAsia"/>
                <w:bCs/>
                <w:color w:val="ff0000"/>
                <w:sz w:val="24"/>
                <w:szCs w:val="24"/>
              </w:rPr>
              <w:t xml:space="preserve">275cm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9.7</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患者专用防磁耳机、呼叫按钮</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9.8</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特定吸收率SAR实时连续监控显示装置</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10</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具备完整DICOM3.0接口及 与PACS 网络连接（包括Query/Retrieve、Send/Receive、Print、Worklist）的功能</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11</w:t>
            </w:r>
            <w:r/>
          </w:p>
        </w:tc>
        <w:tc>
          <w:tcPr>
            <w:tcW w:w="2686"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智能操作平台：</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头部自动定位功能</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脊柱自动定位功能</w:t>
            </w:r>
            <w:r/>
          </w:p>
          <w:p>
            <w:pPr>
              <w:pStyle w:val="746"/>
            </w:pPr>
            <w:r>
              <w:rPr>
                <w:rFonts w:hint="eastAsia" w:asciiTheme="minorEastAsia" w:hAnsiTheme="minorEastAsia" w:eastAsiaTheme="minorEastAsia" w:cstheme="minorEastAsia"/>
                <w:color w:val="000000" w:themeColor="text1"/>
                <w:szCs w:val="24"/>
              </w:rPr>
              <w:t xml:space="preserve">关节自动定位功能</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12扫描参数</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12.1</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最小二维层厚</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≤0.1mm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12.2</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最小三维层厚</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≤0.05mm</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val="en-GB" w:bidi="en-GB"/>
              </w:rPr>
              <w:t xml:space="preserve">▲</w:t>
            </w:r>
            <w:r>
              <w:rPr>
                <w:rFonts w:hint="eastAsia" w:asciiTheme="minorEastAsia" w:hAnsiTheme="minorEastAsia" w:eastAsiaTheme="minorEastAsia" w:cstheme="minorEastAsia"/>
                <w:color w:val="000000" w:themeColor="text1"/>
                <w:sz w:val="24"/>
                <w:szCs w:val="24"/>
              </w:rPr>
              <w:t xml:space="preserve">12.3</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最大扫描视野</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≥55cm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最小扫描视野</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≤0.5cm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TSE最大回波链长度</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≥512        </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12.6</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EPI最大因子</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≥256</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12.7</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最大采集矩阵</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lang w:val="de-DE"/>
              </w:rPr>
              <w:t xml:space="preserve">≥</w:t>
            </w:r>
            <w:r>
              <w:rPr>
                <w:rFonts w:hint="eastAsia" w:asciiTheme="minorEastAsia" w:hAnsiTheme="minorEastAsia" w:eastAsiaTheme="minorEastAsia" w:cstheme="minorEastAsia"/>
                <w:color w:val="000000" w:themeColor="text1"/>
                <w:sz w:val="24"/>
                <w:szCs w:val="24"/>
              </w:rPr>
              <w:t xml:space="preserve">1024×1024</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12.8</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lang w:val="de-DE"/>
              </w:rPr>
            </w:pPr>
            <w:r>
              <w:rPr>
                <w:rFonts w:hint="eastAsia" w:asciiTheme="minorEastAsia" w:hAnsiTheme="minorEastAsia" w:eastAsiaTheme="minorEastAsia" w:cstheme="minorEastAsia"/>
                <w:color w:val="000000" w:themeColor="text1"/>
                <w:sz w:val="24"/>
                <w:szCs w:val="24"/>
                <w:lang w:val="de-DE"/>
              </w:rPr>
              <w:t xml:space="preserve">弥散加权B值</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lang w:val="de-DE"/>
              </w:rPr>
            </w:pPr>
            <w:r>
              <w:rPr>
                <w:rFonts w:hint="eastAsia" w:asciiTheme="minorEastAsia" w:hAnsiTheme="minorEastAsia" w:eastAsiaTheme="minorEastAsia" w:cstheme="minorEastAsia"/>
                <w:color w:val="000000" w:themeColor="text1"/>
                <w:sz w:val="24"/>
                <w:szCs w:val="24"/>
                <w:lang w:val="de-DE"/>
              </w:rPr>
              <w:t xml:space="preserve">≥10000   </w:t>
            </w:r>
            <w:r/>
          </w:p>
        </w:tc>
      </w:tr>
      <w:tr>
        <w:trPr>
          <w:jc w:val="center"/>
        </w:trPr>
        <w:tc>
          <w:tcPr>
            <w:gridSpan w:val="3"/>
            <w:tcW w:w="5000" w:type="pct"/>
            <w:vAlign w:val="center"/>
            <w:textDirection w:val="lrTb"/>
            <w:noWrap w:val="false"/>
          </w:tcPr>
          <w:p>
            <w:pPr>
              <w:jc w:val="left"/>
              <w:rPr>
                <w:rFonts w:asciiTheme="minorEastAsia" w:hAnsiTheme="minorEastAsia" w:eastAsiaTheme="minorEastAsia" w:cstheme="minorEastAsia"/>
                <w:color w:val="000000" w:themeColor="text1"/>
                <w:sz w:val="24"/>
                <w:szCs w:val="24"/>
                <w:lang w:val="de-DE"/>
              </w:rPr>
            </w:pPr>
            <w:r>
              <w:rPr>
                <w:rFonts w:hint="eastAsia" w:asciiTheme="minorEastAsia" w:hAnsiTheme="minorEastAsia" w:eastAsiaTheme="minorEastAsia" w:cstheme="minorEastAsia"/>
                <w:b/>
                <w:color w:val="000000" w:themeColor="text1"/>
                <w:sz w:val="24"/>
                <w:szCs w:val="24"/>
              </w:rPr>
              <w:t xml:space="preserve">13成像序列和技术</w:t>
            </w:r>
            <w:r>
              <w:rPr>
                <w:rFonts w:ascii="宋体" w:hAnsi="宋体" w:cs="宋体"/>
                <w:sz w:val="24"/>
                <w:szCs w:val="24"/>
              </w:rPr>
              <w:t xml:space="preserve">（本条目为分类标题，不纳入评审，投标人无需点对点响应）</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bCs/>
                <w:color w:val="ff0000"/>
                <w:sz w:val="24"/>
                <w:szCs w:val="24"/>
                <w:lang w:val="de-DE"/>
              </w:rPr>
            </w:pPr>
            <w:r>
              <w:rPr>
                <w:rFonts w:hint="eastAsia" w:asciiTheme="minorEastAsia" w:hAnsiTheme="minorEastAsia" w:eastAsiaTheme="minorEastAsia" w:cstheme="minorEastAsia"/>
                <w:bCs/>
                <w:color w:val="000000" w:themeColor="text1"/>
                <w:sz w:val="24"/>
                <w:szCs w:val="24"/>
              </w:rPr>
              <w:t xml:space="preserve">13.1</w:t>
            </w:r>
            <w:r/>
          </w:p>
        </w:tc>
        <w:tc>
          <w:tcPr>
            <w:tcW w:w="2686" w:type="pct"/>
            <w:vAlign w:val="center"/>
            <w:textDirection w:val="lrTb"/>
            <w:noWrap w:val="false"/>
          </w:tcPr>
          <w:p>
            <w:pPr>
              <w:jc w:val="left"/>
              <w:rPr>
                <w:rFonts w:asciiTheme="minorEastAsia" w:hAnsiTheme="minorEastAsia" w:eastAsiaTheme="minorEastAsia" w:cstheme="minorEastAsia"/>
                <w:bCs/>
                <w:color w:val="ff0000"/>
                <w:sz w:val="24"/>
                <w:szCs w:val="24"/>
                <w:lang w:val="de-DE"/>
              </w:rPr>
            </w:pPr>
            <w:r>
              <w:rPr>
                <w:rFonts w:hint="eastAsia" w:asciiTheme="minorEastAsia" w:hAnsiTheme="minorEastAsia" w:eastAsiaTheme="minorEastAsia" w:cstheme="minorEastAsia"/>
                <w:bCs/>
                <w:color w:val="000000" w:themeColor="text1"/>
                <w:sz w:val="24"/>
                <w:szCs w:val="24"/>
              </w:rPr>
              <w:t xml:space="preserve">自旋回波</w:t>
            </w:r>
            <w:r>
              <w:rPr>
                <w:rFonts w:hint="eastAsia" w:asciiTheme="minorEastAsia" w:hAnsiTheme="minorEastAsia" w:eastAsiaTheme="minorEastAsia" w:cstheme="minorEastAsia"/>
                <w:bCs/>
                <w:color w:val="000000" w:themeColor="text1"/>
                <w:sz w:val="24"/>
                <w:szCs w:val="24"/>
                <w:lang w:val="de-DE"/>
              </w:rPr>
              <w:t xml:space="preserve">（SE）</w:t>
            </w:r>
            <w:r>
              <w:rPr>
                <w:rFonts w:hint="eastAsia" w:asciiTheme="minorEastAsia" w:hAnsiTheme="minorEastAsia" w:eastAsiaTheme="minorEastAsia" w:cstheme="minorEastAsia"/>
                <w:bCs/>
                <w:color w:val="000000" w:themeColor="text1"/>
                <w:sz w:val="24"/>
                <w:szCs w:val="24"/>
              </w:rPr>
              <w:t xml:space="preserve">序列</w:t>
            </w:r>
            <w:r/>
          </w:p>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反转恢复（IR）序列</w:t>
            </w:r>
            <w:r/>
          </w:p>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梯度回波(GRE) 序列</w:t>
            </w:r>
            <w:r/>
          </w:p>
          <w:p>
            <w:pPr>
              <w:jc w:val="left"/>
              <w:rPr>
                <w:rFonts w:asciiTheme="minorEastAsia" w:hAnsiTheme="minorEastAsia" w:eastAsiaTheme="minorEastAsia" w:cstheme="minorEastAsia"/>
                <w:bCs/>
                <w:color w:val="ff0000"/>
                <w:sz w:val="24"/>
                <w:szCs w:val="24"/>
                <w:lang w:val="de-DE"/>
              </w:rPr>
            </w:pPr>
            <w:r>
              <w:rPr>
                <w:rFonts w:hint="eastAsia" w:asciiTheme="minorEastAsia" w:hAnsiTheme="minorEastAsia" w:eastAsiaTheme="minorEastAsia" w:cstheme="minorEastAsia"/>
                <w:bCs/>
                <w:color w:val="000000" w:themeColor="text1"/>
                <w:sz w:val="24"/>
                <w:szCs w:val="24"/>
              </w:rPr>
              <w:t xml:space="preserve">平面回波(EPI)序列</w:t>
            </w:r>
            <w:r/>
          </w:p>
        </w:tc>
        <w:tc>
          <w:tcPr>
            <w:tcW w:w="1516" w:type="pct"/>
            <w:textDirection w:val="lrTb"/>
            <w:noWrap w:val="false"/>
          </w:tcPr>
          <w:p>
            <w:pPr>
              <w:jc w:val="left"/>
              <w:rPr>
                <w:rFonts w:asciiTheme="minorEastAsia" w:hAnsiTheme="minorEastAsia" w:eastAsiaTheme="minorEastAsia" w:cstheme="minorEastAsia"/>
                <w:color w:val="ff0000"/>
                <w:sz w:val="24"/>
                <w:szCs w:val="24"/>
                <w:lang w:val="de-DE"/>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13.2</w:t>
            </w:r>
            <w:r/>
          </w:p>
        </w:tc>
        <w:tc>
          <w:tcPr>
            <w:tcW w:w="2686" w:type="pct"/>
            <w:vAlign w:val="center"/>
            <w:textDirection w:val="lrTb"/>
            <w:noWrap w:val="false"/>
          </w:tcPr>
          <w:p>
            <w:pPr>
              <w:jc w:val="left"/>
              <w:rPr>
                <w:rFonts w:asciiTheme="minorEastAsia" w:hAnsiTheme="minorEastAsia" w:eastAsiaTheme="minorEastAsia" w:cstheme="minorEastAsia"/>
                <w:bCs/>
                <w:color w:val="ff0000"/>
                <w:sz w:val="24"/>
                <w:szCs w:val="24"/>
              </w:rPr>
            </w:pPr>
            <w:r>
              <w:rPr>
                <w:rFonts w:hint="eastAsia" w:asciiTheme="minorEastAsia" w:hAnsiTheme="minorEastAsia" w:eastAsiaTheme="minorEastAsia" w:cstheme="minorEastAsia"/>
                <w:bCs/>
                <w:color w:val="ff0000"/>
                <w:sz w:val="24"/>
                <w:szCs w:val="24"/>
              </w:rPr>
              <w:t xml:space="preserve">临床应用软件包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体部成像和评价软件包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神经成像和评价软件包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乳腺成像软件包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肿瘤成像软件包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骨关节成像和评价软件包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血管成像软件包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心脏成像软件包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灌注成像高级分析软件包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妇产成像软件包</w:t>
            </w:r>
            <w:r/>
          </w:p>
          <w:p>
            <w:pPr>
              <w:pStyle w:val="746"/>
              <w:rPr>
                <w:rFonts w:asciiTheme="minorEastAsia" w:hAnsiTheme="minorEastAsia" w:eastAsiaTheme="minorEastAsia" w:cstheme="minorEastAsia"/>
                <w:bCs/>
                <w:color w:val="ff0000"/>
                <w:szCs w:val="24"/>
              </w:rPr>
            </w:pPr>
            <w:r>
              <w:rPr>
                <w:rFonts w:hint="eastAsia" w:asciiTheme="minorEastAsia" w:hAnsiTheme="minorEastAsia" w:eastAsiaTheme="minorEastAsia" w:cstheme="minorEastAsia"/>
                <w:bCs/>
                <w:color w:val="ff0000"/>
                <w:szCs w:val="24"/>
              </w:rPr>
              <w:t xml:space="preserve">儿科成像软件包</w:t>
            </w:r>
            <w:r/>
          </w:p>
        </w:tc>
        <w:tc>
          <w:tcPr>
            <w:tcW w:w="1516" w:type="pct"/>
            <w:textDirection w:val="lrTb"/>
            <w:noWrap w:val="false"/>
          </w:tcPr>
          <w:p>
            <w:pPr>
              <w:jc w:val="left"/>
              <w:rPr>
                <w:rFonts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14</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高级影像后处理工作站</w:t>
            </w:r>
            <w:r/>
          </w:p>
        </w:tc>
        <w:tc>
          <w:tcPr>
            <w:tcW w:w="1516" w:type="pct"/>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15</w:t>
            </w:r>
            <w:r/>
          </w:p>
        </w:tc>
        <w:tc>
          <w:tcPr>
            <w:tcW w:w="268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外围设备：</w:t>
            </w:r>
            <w:r>
              <w:rPr>
                <w:rFonts w:hint="eastAsia" w:asciiTheme="minorEastAsia" w:hAnsiTheme="minorEastAsia" w:eastAsiaTheme="minorEastAsia" w:cstheme="minorEastAsia"/>
                <w:color w:val="000000" w:themeColor="text1"/>
                <w:sz w:val="24"/>
                <w:szCs w:val="24"/>
              </w:rPr>
              <w:t xml:space="preserve">不间断电源UPS</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tc>
      </w:tr>
      <w:tr>
        <w:trPr>
          <w:jc w:val="center"/>
        </w:trPr>
        <w:tc>
          <w:tcPr>
            <w:tcW w:w="797"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★16</w:t>
            </w:r>
            <w:r/>
          </w:p>
          <w:p>
            <w:pPr>
              <w:jc w:val="left"/>
              <w:rPr>
                <w:rFonts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r>
            <w:r/>
          </w:p>
        </w:tc>
        <w:tc>
          <w:tcPr>
            <w:tcW w:w="2686" w:type="pct"/>
            <w:vAlign w:val="center"/>
            <w:textDirection w:val="lrTb"/>
            <w:noWrap w:val="false"/>
          </w:tcPr>
          <w:p>
            <w:pPr>
              <w:jc w:val="left"/>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配套设备：</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bidi="ar"/>
              </w:rPr>
              <w:t xml:space="preserve">核磁机房交钥匙工程1套</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bidi="ar"/>
              </w:rPr>
              <w:t xml:space="preserve">水冷机组精密空调各1套</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bidi="ar"/>
              </w:rPr>
              <w:t xml:space="preserve">核磁专用高压注射器1套</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sz w:val="24"/>
                <w:szCs w:val="24"/>
                <w:lang w:bidi="ar"/>
              </w:rPr>
              <w:t xml:space="preserve">紫外线消毒器1套</w:t>
            </w:r>
            <w:r/>
          </w:p>
          <w:p>
            <w:pPr>
              <w:jc w:val="left"/>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铁磁探测系统（带显示器）1套</w:t>
            </w:r>
            <w:r/>
          </w:p>
          <w:p>
            <w:pPr>
              <w:jc w:val="left"/>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无磁轮椅2辆、3kg水基型无磁灭火器 2个 </w:t>
            </w:r>
            <w:r/>
          </w:p>
          <w:p>
            <w:pPr>
              <w:jc w:val="left"/>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sz w:val="24"/>
                <w:szCs w:val="24"/>
                <w:lang w:bidi="ar"/>
              </w:rPr>
              <w:t xml:space="preserve">高能负离子层流空气消毒器1台</w:t>
            </w:r>
            <w:r/>
          </w:p>
          <w:p>
            <w:pPr>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color w:val="ff0000"/>
                <w:sz w:val="24"/>
                <w:szCs w:val="24"/>
                <w:lang w:bidi="ar"/>
              </w:rPr>
              <w:t xml:space="preserve">6M医用显示器</w:t>
            </w:r>
            <w:r>
              <w:rPr>
                <w:rFonts w:hint="eastAsia" w:asciiTheme="minorEastAsia" w:hAnsiTheme="minorEastAsia" w:eastAsiaTheme="minorEastAsia" w:cstheme="minorEastAsia"/>
                <w:sz w:val="24"/>
                <w:szCs w:val="24"/>
                <w:lang w:bidi="ar"/>
              </w:rPr>
              <w:t xml:space="preserve"> 1套，4M医用显示器 2套</w:t>
            </w:r>
            <w:r/>
          </w:p>
          <w:p>
            <w:pPr>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5台23寸显示屏台式电脑和配套桌椅</w:t>
            </w:r>
            <w:r/>
          </w:p>
          <w:p>
            <w:pPr>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color w:val="ff0000"/>
                <w:sz w:val="24"/>
                <w:szCs w:val="24"/>
                <w:lang w:bidi="ar"/>
              </w:rPr>
              <w:t xml:space="preserve">120寸电视机</w:t>
            </w:r>
            <w:r/>
          </w:p>
          <w:p>
            <w:pPr>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除湿机及医用观片灯三联各2台</w:t>
            </w:r>
            <w:r/>
          </w:p>
          <w:p>
            <w:pPr>
              <w:pStyle w:val="746"/>
              <w:rPr>
                <w:rFonts w:asciiTheme="minorEastAsia" w:hAnsiTheme="minorEastAsia" w:eastAsiaTheme="minorEastAsia" w:cstheme="minorEastAsia"/>
                <w:color w:val="ff0000"/>
                <w:szCs w:val="24"/>
                <w:lang w:bidi="ar"/>
              </w:rPr>
            </w:pPr>
            <w:r>
              <w:rPr>
                <w:rFonts w:hint="eastAsia" w:asciiTheme="minorEastAsia" w:hAnsiTheme="minorEastAsia" w:eastAsiaTheme="minorEastAsia" w:cstheme="minorEastAsia"/>
                <w:color w:val="ff0000"/>
                <w:szCs w:val="24"/>
                <w:lang w:bidi="ar"/>
              </w:rPr>
              <w:t xml:space="preserve">心脏MR AI辅助诊断系统1套</w:t>
            </w:r>
            <w:r/>
          </w:p>
          <w:p>
            <w:pPr>
              <w:pStyle w:val="746"/>
              <w:rPr>
                <w:rFonts w:asciiTheme="minorEastAsia" w:hAnsiTheme="minorEastAsia" w:eastAsiaTheme="minorEastAsia" w:cstheme="minorEastAsia"/>
                <w:color w:val="ff0000"/>
                <w:szCs w:val="24"/>
                <w:lang w:bidi="ar"/>
              </w:rPr>
            </w:pPr>
            <w:r>
              <w:rPr>
                <w:rFonts w:hint="eastAsia" w:asciiTheme="minorEastAsia" w:hAnsiTheme="minorEastAsia" w:eastAsiaTheme="minorEastAsia" w:cstheme="minorEastAsia"/>
                <w:color w:val="ff0000"/>
                <w:szCs w:val="24"/>
                <w:lang w:bidi="ar"/>
              </w:rPr>
              <w:t xml:space="preserve">踝关节线圈1个</w:t>
            </w:r>
            <w:r/>
          </w:p>
        </w:tc>
        <w:tc>
          <w:tcPr>
            <w:tcW w:w="1516" w:type="pct"/>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具备</w:t>
            </w:r>
            <w:r/>
          </w:p>
          <w:p>
            <w:pPr>
              <w:jc w:val="left"/>
              <w:rPr>
                <w:rFonts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r>
            <w:r/>
          </w:p>
        </w:tc>
      </w:tr>
    </w:tbl>
    <w:p>
      <w:pPr>
        <w:pStyle w:val="776"/>
      </w:pPr>
      <w:r/>
      <w:r/>
    </w:p>
    <w:p>
      <w:pPr>
        <w:pStyle w:val="977"/>
        <w:numPr>
          <w:ilvl w:val="0"/>
          <w:numId w:val="5"/>
        </w:numPr>
        <w:rPr>
          <w:sz w:val="24"/>
          <w:szCs w:val="24"/>
        </w:rPr>
      </w:pPr>
      <w:r/>
      <w:bookmarkStart w:id="242" w:name="_Toc16260"/>
      <w:r>
        <w:rPr>
          <w:rFonts w:hint="eastAsia"/>
          <w:sz w:val="24"/>
          <w:szCs w:val="24"/>
        </w:rPr>
        <w:t xml:space="preserve">商务要求</w:t>
      </w:r>
      <w:bookmarkEnd w:id="242"/>
      <w:r/>
      <w:r/>
    </w:p>
    <w:p>
      <w:pPr>
        <w:spacing w:line="360" w:lineRule="auto"/>
        <w:rPr>
          <w:rFonts w:ascii="宋体" w:hAnsi="宋体"/>
          <w:i/>
          <w:iCs/>
          <w:sz w:val="24"/>
          <w:u w:val="single"/>
        </w:rPr>
      </w:pPr>
      <w:r>
        <w:rPr>
          <w:rFonts w:hint="eastAsia" w:ascii="宋体" w:hAnsi="宋体"/>
          <w:i/>
          <w:iCs/>
          <w:sz w:val="24"/>
          <w:u w:val="single"/>
        </w:rPr>
        <w:t xml:space="preserve">1</w:t>
      </w:r>
      <w:r>
        <w:rPr>
          <w:rFonts w:ascii="宋体" w:hAnsi="宋体"/>
          <w:i/>
          <w:iCs/>
          <w:sz w:val="24"/>
          <w:u w:val="single"/>
        </w:rPr>
        <w:t xml:space="preserve">.</w:t>
      </w:r>
      <w:r>
        <w:rPr>
          <w:rFonts w:hint="eastAsia" w:ascii="宋体" w:hAnsi="宋体"/>
          <w:i/>
          <w:iCs/>
          <w:sz w:val="24"/>
          <w:u w:val="single"/>
        </w:rPr>
        <w:t xml:space="preserve">交货时间：自采购人通知之日起</w:t>
      </w:r>
      <w:r>
        <w:rPr>
          <w:rFonts w:ascii="宋体" w:hAnsi="宋体"/>
          <w:i/>
          <w:iCs/>
          <w:sz w:val="24"/>
          <w:u w:val="single"/>
        </w:rPr>
        <w:t xml:space="preserve">90</w:t>
      </w:r>
      <w:r>
        <w:rPr>
          <w:rFonts w:hint="eastAsia" w:ascii="宋体" w:hAnsi="宋体"/>
          <w:i/>
          <w:iCs/>
          <w:sz w:val="24"/>
          <w:u w:val="single"/>
        </w:rPr>
        <w:t xml:space="preserve">天内。</w:t>
      </w:r>
      <w:r/>
    </w:p>
    <w:p>
      <w:pPr>
        <w:spacing w:line="360" w:lineRule="auto"/>
        <w:rPr>
          <w:rFonts w:ascii="宋体" w:hAnsi="宋体" w:cs="宋体"/>
          <w:b/>
          <w:i/>
          <w:iCs/>
          <w:sz w:val="24"/>
          <w:u w:val="single"/>
        </w:rPr>
      </w:pPr>
      <w:r>
        <w:rPr>
          <w:rFonts w:ascii="宋体" w:hAnsi="宋体"/>
          <w:i/>
          <w:iCs/>
          <w:sz w:val="24"/>
          <w:u w:val="single"/>
        </w:rPr>
        <w:t xml:space="preserve">2.</w:t>
      </w:r>
      <w:r>
        <w:rPr>
          <w:rFonts w:hint="eastAsia" w:ascii="宋体" w:hAnsi="宋体"/>
          <w:i/>
          <w:iCs/>
          <w:sz w:val="24"/>
          <w:u w:val="single"/>
        </w:rPr>
        <w:t xml:space="preserve">交货地点：根据采购人要求送达指定地点</w:t>
      </w:r>
      <w:r>
        <w:rPr>
          <w:rFonts w:hint="eastAsia" w:ascii="宋体" w:hAnsi="宋体" w:cs="宋体"/>
          <w:b/>
          <w:i/>
          <w:iCs/>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宋体" w:hAnsi="宋体"/>
          <w:i/>
          <w:iCs/>
          <w:sz w:val="24"/>
          <w:u w:val="single"/>
        </w:rPr>
        <w:t xml:space="preserve">。</w:t>
      </w:r>
      <w:r/>
    </w:p>
    <w:p>
      <w:pPr>
        <w:spacing w:line="360" w:lineRule="auto"/>
        <w:rPr>
          <w:rFonts w:ascii="宋体" w:hAnsi="宋体"/>
          <w:i/>
          <w:iCs/>
          <w:sz w:val="24"/>
          <w:u w:val="single"/>
        </w:rPr>
      </w:pPr>
      <w:r>
        <w:rPr>
          <w:rFonts w:ascii="宋体" w:hAnsi="宋体"/>
          <w:i/>
          <w:iCs/>
          <w:sz w:val="24"/>
          <w:u w:val="single"/>
        </w:rPr>
        <w:t xml:space="preserve">3.</w:t>
      </w:r>
      <w:r>
        <w:rPr>
          <w:rFonts w:hint="eastAsia" w:ascii="宋体" w:hAnsi="宋体"/>
          <w:i/>
          <w:iCs/>
          <w:sz w:val="24"/>
          <w:u w:val="single"/>
        </w:rPr>
        <w:t xml:space="preserve">付款方式：</w:t>
      </w:r>
      <w:r>
        <w:rPr>
          <w:rFonts w:hint="eastAsia" w:ascii="宋体" w:hAnsi="宋体" w:cs="宋体"/>
          <w:bCs/>
          <w:i/>
          <w:iCs/>
          <w:sz w:val="24"/>
          <w:u w:val="single"/>
        </w:rPr>
        <w:t xml:space="preserve">合同签订后，采购人支付合同金额的30%作为预付款，货物验收合格后，采购人支付至合同金额的90％，剩余的10％尾款，货物验收合格并正常运行满12个月后付清</w:t>
      </w:r>
      <w:r>
        <w:rPr>
          <w:rFonts w:hint="eastAsia" w:ascii="宋体" w:hAnsi="宋体"/>
          <w:i/>
          <w:iCs/>
          <w:sz w:val="24"/>
          <w:u w:val="single"/>
        </w:rPr>
        <w:t xml:space="preserve">。</w:t>
      </w:r>
      <w:r/>
    </w:p>
    <w:p>
      <w:pPr>
        <w:spacing w:line="360" w:lineRule="auto"/>
        <w:rPr>
          <w:rFonts w:ascii="宋体" w:hAnsi="宋体" w:cs="宋体"/>
          <w:b/>
          <w:i/>
          <w:iCs/>
          <w:sz w:val="24"/>
          <w:u w:val="single"/>
        </w:rPr>
      </w:pPr>
      <w:r>
        <w:rPr>
          <w:rFonts w:hint="eastAsia" w:ascii="宋体" w:hAnsi="宋体" w:cs="宋体"/>
          <w:b/>
          <w:i/>
          <w:iCs/>
          <w:sz w:val="24"/>
          <w:u w:val="single"/>
        </w:rPr>
        <w:t xml:space="preserve">（本项目落实预付款制度，预付款比例为合同金额的30%。在签订合同时，中标供应商明确书面表示无需预付款或者主动要求降低预付款比例的，采购人可就预付款比例作相应调整）。</w:t>
      </w:r>
      <w:r/>
    </w:p>
    <w:p>
      <w:pPr>
        <w:spacing w:after="120" w:line="360" w:lineRule="auto"/>
        <w:rPr>
          <w:rFonts w:ascii="宋体" w:hAnsi="宋体"/>
          <w:i/>
          <w:iCs/>
          <w:sz w:val="24"/>
          <w:u w:val="single"/>
        </w:rPr>
      </w:pPr>
      <w:r>
        <w:rPr>
          <w:rFonts w:hint="eastAsia" w:ascii="宋体" w:hAnsi="宋体"/>
          <w:i/>
          <w:iCs/>
          <w:sz w:val="24"/>
          <w:u w:val="single"/>
        </w:rPr>
        <w:t xml:space="preserve">4</w:t>
      </w:r>
      <w:r>
        <w:rPr>
          <w:rFonts w:ascii="宋体" w:hAnsi="宋体"/>
          <w:i/>
          <w:iCs/>
          <w:sz w:val="24"/>
          <w:u w:val="single"/>
        </w:rPr>
        <w:t xml:space="preserve">.</w:t>
      </w:r>
      <w:r>
        <w:rPr>
          <w:rFonts w:hint="eastAsia" w:ascii="宋体" w:hAnsi="宋体"/>
          <w:i/>
          <w:iCs/>
          <w:sz w:val="24"/>
          <w:u w:val="single"/>
        </w:rPr>
        <w:t xml:space="preserve">质保期：整机原厂免费保修≥</w:t>
      </w:r>
      <w:r>
        <w:rPr>
          <w:rFonts w:ascii="宋体" w:hAnsi="宋体"/>
          <w:i/>
          <w:iCs/>
          <w:sz w:val="24"/>
          <w:u w:val="single"/>
        </w:rPr>
        <w:t xml:space="preserve">3</w:t>
      </w:r>
      <w:r>
        <w:rPr>
          <w:rFonts w:hint="eastAsia" w:ascii="宋体" w:hAnsi="宋体"/>
          <w:i/>
          <w:iCs/>
          <w:sz w:val="24"/>
          <w:u w:val="single"/>
        </w:rPr>
        <w:t xml:space="preserve">年，保修期自采购人验收合格之日算起，保修范围包括合同中所有配置。保修期外投标人对本设备终身负责维修。保修期外故障待修复后只收配件费、人工费，免收上门费。</w:t>
      </w:r>
      <w:r/>
    </w:p>
    <w:p>
      <w:pPr>
        <w:spacing w:line="360" w:lineRule="auto"/>
        <w:rPr>
          <w:rFonts w:ascii="宋体" w:hAnsi="宋体"/>
          <w:sz w:val="24"/>
        </w:rPr>
      </w:pPr>
      <w:r/>
      <w:bookmarkStart w:id="243" w:name="OLE_LINK109"/>
      <w:r>
        <w:rPr>
          <w:rFonts w:ascii="宋体" w:hAnsi="宋体"/>
          <w:sz w:val="24"/>
        </w:rPr>
        <w:t xml:space="preserve">5.</w:t>
      </w:r>
      <w:r>
        <w:rPr>
          <w:rFonts w:hint="eastAsia" w:ascii="宋体" w:hAnsi="宋体"/>
          <w:sz w:val="24"/>
        </w:rPr>
        <w:t xml:space="preserve">需提供项目实施方案，</w:t>
      </w:r>
      <w:r>
        <w:rPr>
          <w:rFonts w:hint="eastAsia" w:ascii="宋体" w:hAnsi="宋体" w:cs="宋体"/>
          <w:sz w:val="24"/>
          <w:shd w:val="clear" w:color="auto" w:fill="ffffff"/>
        </w:rPr>
        <w:t xml:space="preserve">包括但不限于关于</w:t>
      </w:r>
      <w:r>
        <w:rPr>
          <w:rFonts w:hint="eastAsia" w:ascii="宋体" w:hAnsi="宋体" w:cs="宋体"/>
          <w:sz w:val="24"/>
          <w:shd w:val="clear" w:color="auto" w:fill="ffffff" w:themeFill="background1"/>
        </w:rPr>
        <w:t xml:space="preserve">供货周期及进度计划</w:t>
      </w:r>
      <w:r>
        <w:rPr>
          <w:rFonts w:hint="eastAsia" w:ascii="宋体" w:hAnsi="宋体"/>
          <w:sz w:val="24"/>
        </w:rPr>
        <w:t xml:space="preserve">、</w:t>
      </w:r>
      <w:r>
        <w:rPr>
          <w:rFonts w:hint="eastAsia" w:ascii="宋体" w:hAnsi="宋体" w:cs="宋体"/>
          <w:sz w:val="24"/>
          <w:shd w:val="clear" w:color="auto" w:fill="ffffff" w:themeFill="background1"/>
        </w:rPr>
        <w:t xml:space="preserve">进度保证措施、安装调试方案</w:t>
      </w:r>
      <w:r>
        <w:rPr>
          <w:rFonts w:hint="eastAsia" w:ascii="宋体" w:hAnsi="宋体" w:cs="宋体"/>
          <w:sz w:val="24"/>
          <w:shd w:val="clear" w:color="auto" w:fill="ffffff"/>
        </w:rPr>
        <w:t xml:space="preserve">等</w:t>
      </w:r>
      <w:r>
        <w:rPr>
          <w:rFonts w:hint="eastAsia" w:ascii="宋体" w:hAnsi="宋体"/>
          <w:sz w:val="24"/>
        </w:rPr>
        <w:t xml:space="preserve">。</w:t>
      </w:r>
      <w:r/>
    </w:p>
    <w:p>
      <w:pPr>
        <w:spacing w:line="360" w:lineRule="auto"/>
        <w:rPr>
          <w:rFonts w:ascii="宋体" w:hAnsi="宋体"/>
          <w:sz w:val="24"/>
        </w:rPr>
      </w:pPr>
      <w:r>
        <w:rPr>
          <w:rFonts w:ascii="宋体" w:hAnsi="宋体"/>
          <w:sz w:val="24"/>
        </w:rPr>
        <w:t xml:space="preserve">6.</w:t>
      </w:r>
      <w:r>
        <w:rPr>
          <w:rFonts w:hint="eastAsia" w:ascii="宋体" w:hAnsi="宋体"/>
          <w:sz w:val="24"/>
        </w:rPr>
        <w:t xml:space="preserve">需提供售后服务方案，</w:t>
      </w:r>
      <w:r>
        <w:rPr>
          <w:rFonts w:hint="eastAsia" w:ascii="宋体" w:hAnsi="宋体" w:cs="宋体"/>
          <w:bCs/>
          <w:sz w:val="24"/>
          <w:shd w:val="clear" w:color="auto" w:fill="ffffff"/>
        </w:rPr>
        <w:t xml:space="preserve">包括但不限于</w:t>
      </w:r>
      <w:r>
        <w:rPr>
          <w:rFonts w:hint="eastAsia" w:ascii="宋体" w:hAnsi="宋体" w:cs="宋体"/>
          <w:bCs/>
          <w:sz w:val="24"/>
        </w:rPr>
        <w:t xml:space="preserve">服务体系、</w:t>
      </w:r>
      <w:r>
        <w:rPr>
          <w:rFonts w:hint="eastAsia" w:ascii="宋体" w:hAnsi="宋体" w:cs="宋体"/>
          <w:sz w:val="24"/>
          <w:shd w:val="clear" w:color="auto" w:fill="ffffff" w:themeFill="background1"/>
        </w:rPr>
        <w:t xml:space="preserve">回访巡检方案</w:t>
      </w:r>
      <w:r>
        <w:rPr>
          <w:rFonts w:hint="eastAsia" w:ascii="宋体" w:hAnsi="宋体" w:cs="宋体"/>
          <w:bCs/>
          <w:sz w:val="24"/>
        </w:rPr>
        <w:t xml:space="preserve">、</w:t>
      </w:r>
      <w:r>
        <w:rPr>
          <w:rFonts w:hint="eastAsia" w:ascii="宋体" w:hAnsi="宋体" w:cs="宋体"/>
          <w:sz w:val="24"/>
          <w:shd w:val="clear" w:color="auto" w:fill="ffffff" w:themeFill="background1"/>
        </w:rPr>
        <w:t xml:space="preserve">突发故障解决措施</w:t>
      </w:r>
      <w:r>
        <w:rPr>
          <w:rFonts w:hint="eastAsia" w:ascii="宋体" w:hAnsi="宋体" w:cs="宋体"/>
          <w:bCs/>
          <w:sz w:val="24"/>
          <w:shd w:val="clear" w:color="auto" w:fill="ffffff"/>
        </w:rPr>
        <w:t xml:space="preserve">等</w:t>
      </w:r>
      <w:r>
        <w:rPr>
          <w:rFonts w:hint="eastAsia" w:ascii="宋体" w:hAnsi="宋体"/>
          <w:sz w:val="24"/>
        </w:rPr>
        <w:t xml:space="preserve">。</w:t>
      </w:r>
      <w:r/>
    </w:p>
    <w:p>
      <w:pPr>
        <w:spacing w:line="360" w:lineRule="auto"/>
        <w:rPr>
          <w:rFonts w:ascii="宋体" w:hAnsi="宋体"/>
          <w:sz w:val="24"/>
        </w:rPr>
      </w:pPr>
      <w:r>
        <w:rPr>
          <w:rFonts w:ascii="宋体" w:hAnsi="宋体"/>
          <w:sz w:val="24"/>
        </w:rPr>
        <w:t xml:space="preserve">7.</w:t>
      </w:r>
      <w:r>
        <w:rPr>
          <w:rFonts w:hint="eastAsia" w:ascii="宋体" w:hAnsi="宋体"/>
          <w:sz w:val="24"/>
        </w:rPr>
        <w:t xml:space="preserve">需提供人员培训方案，</w:t>
      </w:r>
      <w:r>
        <w:rPr>
          <w:rFonts w:hint="eastAsia" w:ascii="宋体" w:hAnsi="宋体" w:cs="宋体"/>
          <w:bCs/>
          <w:sz w:val="24"/>
          <w:shd w:val="clear" w:color="auto" w:fill="ffffff"/>
        </w:rPr>
        <w:t xml:space="preserve">包括但不限于</w:t>
      </w:r>
      <w:r>
        <w:rPr>
          <w:rFonts w:hint="eastAsia" w:ascii="宋体" w:hAnsi="宋体" w:cs="宋体"/>
          <w:bCs/>
          <w:sz w:val="24"/>
          <w:shd w:val="clear" w:color="auto" w:fill="ffffff" w:themeFill="background1"/>
        </w:rPr>
        <w:t xml:space="preserve">日常保养和定期保养培训</w:t>
      </w:r>
      <w:r>
        <w:rPr>
          <w:rFonts w:hint="eastAsia" w:ascii="宋体" w:hAnsi="宋体"/>
          <w:sz w:val="24"/>
        </w:rPr>
        <w:t xml:space="preserve">、</w:t>
      </w:r>
      <w:r>
        <w:rPr>
          <w:rFonts w:hint="eastAsia" w:ascii="宋体" w:hAnsi="宋体" w:cs="宋体"/>
          <w:bCs/>
          <w:sz w:val="24"/>
          <w:shd w:val="clear" w:color="auto" w:fill="ffffff" w:themeFill="background1"/>
        </w:rPr>
        <w:t xml:space="preserve">业务技术功能培训</w:t>
      </w:r>
      <w:r>
        <w:rPr>
          <w:rFonts w:hint="eastAsia" w:ascii="宋体" w:hAnsi="宋体"/>
          <w:sz w:val="24"/>
        </w:rPr>
        <w:t xml:space="preserve">、</w:t>
      </w:r>
      <w:r>
        <w:rPr>
          <w:rFonts w:hint="eastAsia" w:ascii="宋体" w:hAnsi="宋体" w:cs="宋体"/>
          <w:bCs/>
          <w:sz w:val="24"/>
          <w:shd w:val="clear" w:color="auto" w:fill="ffffff" w:themeFill="background1"/>
        </w:rPr>
        <w:t xml:space="preserve">常见故障处理培训</w:t>
      </w:r>
      <w:r>
        <w:rPr>
          <w:rFonts w:hint="eastAsia" w:ascii="宋体" w:hAnsi="宋体"/>
          <w:sz w:val="24"/>
        </w:rPr>
        <w:t xml:space="preserve">等</w:t>
      </w:r>
      <w:bookmarkEnd w:id="243"/>
      <w:r>
        <w:rPr>
          <w:rFonts w:hint="eastAsia" w:ascii="宋体" w:hAnsi="宋体"/>
          <w:sz w:val="24"/>
        </w:rPr>
        <w:t xml:space="preserve">。</w:t>
      </w:r>
      <w:r/>
    </w:p>
    <w:p>
      <w:pPr>
        <w:rPr>
          <w:rFonts w:ascii="Calibri" w:hAnsi="Calibri"/>
        </w:rPr>
      </w:pPr>
      <w:r>
        <w:rPr>
          <w:rFonts w:ascii="Calibri" w:hAnsi="Calibri"/>
        </w:rPr>
      </w:r>
      <w:r/>
    </w:p>
    <w:p>
      <w:pPr>
        <w:rPr>
          <w:rFonts w:ascii="Calibri" w:hAnsi="Calibri"/>
        </w:rPr>
      </w:pPr>
      <w:r>
        <w:rPr>
          <w:rFonts w:ascii="Calibri" w:hAnsi="Calibri"/>
        </w:rPr>
      </w:r>
      <w:r/>
    </w:p>
    <w:p>
      <w:pPr>
        <w:pStyle w:val="746"/>
        <w:spacing w:line="360" w:lineRule="auto"/>
      </w:pPr>
      <w:r>
        <w:rPr>
          <w:rFonts w:hint="eastAsia" w:hAnsi="宋体" w:cs="Times New Roman"/>
          <w:b/>
          <w:bCs/>
          <w:i/>
          <w:iCs/>
          <w:color w:val="auto"/>
          <w:u w:val="single"/>
        </w:rPr>
        <w:t xml:space="preserve">注：上述商务需求中的实质性要求</w:t>
      </w:r>
      <w:r>
        <w:rPr>
          <w:rFonts w:hint="eastAsia" w:hAnsi="宋体" w:cs="Times New Roman"/>
          <w:b/>
          <w:bCs/>
          <w:i/>
          <w:iCs/>
          <w:color w:val="ff0000"/>
          <w:u w:val="single"/>
        </w:rPr>
        <w:t xml:space="preserve">（1-</w:t>
      </w:r>
      <w:r>
        <w:rPr>
          <w:rFonts w:hAnsi="宋体" w:cs="Times New Roman"/>
          <w:b/>
          <w:bCs/>
          <w:i/>
          <w:iCs/>
          <w:color w:val="ff0000"/>
          <w:u w:val="single"/>
        </w:rPr>
        <w:t xml:space="preserve">4</w:t>
      </w:r>
      <w:r>
        <w:rPr>
          <w:rFonts w:hint="eastAsia" w:hAnsi="宋体" w:cs="Times New Roman"/>
          <w:b/>
          <w:bCs/>
          <w:i/>
          <w:iCs/>
          <w:color w:val="ff0000"/>
          <w:u w:val="single"/>
        </w:rPr>
        <w:t xml:space="preserve">项，斜体且有下划线部分）</w:t>
      </w:r>
      <w:r>
        <w:rPr>
          <w:rFonts w:hint="eastAsia" w:hAnsi="宋体" w:cs="Times New Roman"/>
          <w:b/>
          <w:bCs/>
          <w:i/>
          <w:iCs/>
          <w:color w:val="auto"/>
          <w:u w:val="single"/>
        </w:rPr>
        <w:t xml:space="preserve">需在商务要求及响应偏离表中逐条响应具体内容，且不允许负偏离，否则视为无效投标</w:t>
      </w:r>
      <w:r>
        <w:rPr>
          <w:rFonts w:hint="eastAsia" w:hAnsi="宋体"/>
          <w:b/>
          <w:bCs/>
          <w:i/>
          <w:iCs/>
          <w:u w:val="single"/>
        </w:rPr>
        <w:t xml:space="preserve">。</w:t>
      </w:r>
      <w:r/>
    </w:p>
    <w:p>
      <w:pPr>
        <w:pStyle w:val="735"/>
        <w:ind w:firstLine="0"/>
        <w:spacing w:before="0" w:after="0" w:line="415" w:lineRule="auto"/>
        <w:rPr>
          <w:color w:val="000000"/>
        </w:rPr>
      </w:pPr>
      <w:r/>
      <w:bookmarkStart w:id="244" w:name="_Toc196405139"/>
      <w:r/>
      <w:bookmarkStart w:id="245" w:name="_Toc11034"/>
      <w:r/>
      <w:bookmarkStart w:id="246" w:name="_Toc120614281"/>
      <w:r>
        <w:rPr>
          <w:rFonts w:hint="eastAsia"/>
        </w:rPr>
        <w:t xml:space="preserve">第五章</w:t>
      </w:r>
      <w:r>
        <w:rPr>
          <w:rFonts w:hint="eastAsia"/>
        </w:rPr>
        <w:t xml:space="preserve">  </w:t>
      </w:r>
      <w:r>
        <w:rPr>
          <w:rFonts w:hint="eastAsia"/>
        </w:rPr>
        <w:t xml:space="preserve">评标方法与评标标准</w:t>
      </w:r>
      <w:bookmarkEnd w:id="244"/>
      <w:r/>
      <w:bookmarkEnd w:id="245"/>
      <w:r/>
      <w:r/>
    </w:p>
    <w:p>
      <w:pPr>
        <w:ind w:firstLine="482"/>
        <w:spacing w:before="120" w:after="120"/>
        <w:rPr>
          <w:b/>
          <w:sz w:val="24"/>
          <w:szCs w:val="24"/>
        </w:rPr>
        <w:outlineLvl w:val="1"/>
      </w:pPr>
      <w:r/>
      <w:bookmarkStart w:id="247" w:name="_Toc16132"/>
      <w:r>
        <w:rPr>
          <w:rFonts w:hint="eastAsia"/>
          <w:b/>
          <w:sz w:val="24"/>
          <w:szCs w:val="24"/>
        </w:rPr>
        <w:t xml:space="preserve">一、定标原则</w:t>
      </w:r>
      <w:bookmarkEnd w:id="247"/>
      <w:r/>
      <w:r/>
    </w:p>
    <w:p>
      <w:pPr>
        <w:pStyle w:val="97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。本项目选取</w:t>
      </w:r>
      <w:r>
        <w:rPr>
          <w:rFonts w:hint="eastAsia" w:cs="Arial"/>
          <w:color w:val="000000"/>
        </w:rPr>
        <w:t xml:space="preserve">3</w:t>
      </w:r>
      <w:r>
        <w:rPr>
          <w:rFonts w:hint="eastAsia" w:cs="Arial"/>
          <w:color w:val="000000"/>
        </w:rPr>
        <w:t xml:space="preserve">名中标候选人。</w:t>
      </w:r>
      <w:r/>
    </w:p>
    <w:p>
      <w:pPr>
        <w:pStyle w:val="979"/>
        <w:ind w:firstLine="482"/>
        <w:rPr>
          <w:rFonts w:ascii="宋体" w:hAnsi="宋体"/>
          <w:b/>
          <w:color w:val="000000"/>
        </w:rPr>
      </w:pPr>
      <w:r>
        <w:rPr>
          <w:rFonts w:hint="eastAsia" w:ascii="宋体" w:hAnsi="宋体"/>
          <w:b/>
          <w:color w:val="000000"/>
        </w:rPr>
        <w:t xml:space="preserve">二、政府采购政策功能落实</w:t>
      </w:r>
      <w:r/>
    </w:p>
    <w:p>
      <w:pPr>
        <w:pStyle w:val="779"/>
        <w:ind w:firstLine="480"/>
        <w:spacing w:before="120" w:beforeAutospacing="0" w:after="120" w:afterAutospacing="0" w:line="0" w:lineRule="atLeast"/>
        <w:rPr>
          <w:color w:val="000000"/>
        </w:rPr>
      </w:pPr>
      <w:r>
        <w:rPr>
          <w:rFonts w:hint="eastAsia"/>
          <w:color w:val="000000"/>
        </w:rPr>
        <w:t xml:space="preserve">1、小微型企业价格扣除</w:t>
      </w:r>
      <w:r/>
    </w:p>
    <w:p>
      <w:pPr>
        <w:pStyle w:val="779"/>
        <w:ind w:firstLine="480"/>
        <w:spacing w:before="120" w:beforeAutospacing="0" w:after="120" w:afterAutospacing="0" w:line="0" w:lineRule="atLeast"/>
        <w:rPr>
          <w:color w:val="000000"/>
        </w:rPr>
      </w:pPr>
      <w:r>
        <w:rPr>
          <w:rFonts w:hint="eastAsia"/>
          <w:color w:val="000000"/>
        </w:rPr>
        <w:t xml:space="preserve">（1）本项目为非专门面向中小企业采购，采购标的所属行业为</w:t>
      </w:r>
      <w:r>
        <w:rPr>
          <w:rFonts w:hint="eastAsia"/>
          <w:b/>
          <w:bCs/>
          <w:color w:val="ff0000"/>
          <w:u w:val="single"/>
        </w:rPr>
        <w:t xml:space="preserve">工业</w:t>
      </w:r>
      <w:r>
        <w:rPr>
          <w:rFonts w:hint="eastAsia"/>
          <w:color w:val="000000"/>
        </w:rPr>
        <w:t xml:space="preserve">，对符合规定的小型和微型企业报价给予20%的扣除价格，用扣除后的价格参与评审。</w:t>
      </w:r>
      <w:r/>
    </w:p>
    <w:p>
      <w:pPr>
        <w:pStyle w:val="779"/>
        <w:ind w:firstLine="480"/>
        <w:spacing w:before="120" w:beforeAutospacing="0" w:after="120" w:afterAutospacing="0" w:line="0" w:lineRule="atLeast"/>
        <w:rPr>
          <w:color w:val="000000"/>
        </w:rPr>
      </w:pPr>
      <w:r>
        <w:rPr>
          <w:rFonts w:hint="eastAsia"/>
          <w:color w:val="000000"/>
        </w:rPr>
        <w:t xml:space="preserve">（2）供应商需按照采购文件的要求提供相应的《小微企业声明函》。</w:t>
      </w:r>
      <w:r/>
    </w:p>
    <w:p>
      <w:pPr>
        <w:pStyle w:val="779"/>
        <w:ind w:firstLine="480"/>
        <w:spacing w:before="120" w:beforeAutospacing="0" w:after="120" w:afterAutospacing="0" w:line="0" w:lineRule="atLeast"/>
        <w:rPr>
          <w:color w:val="000000"/>
        </w:rPr>
      </w:pPr>
      <w:r>
        <w:rPr>
          <w:rFonts w:hint="eastAsia"/>
          <w:color w:val="000000"/>
        </w:rPr>
        <w:t xml:space="preserve">（3）企业标准请参照《关于印发中小企业划型标准规定的通知》（工信部联企业[2011]300号）文件规定自行填写。</w:t>
      </w:r>
      <w:r/>
    </w:p>
    <w:p>
      <w:pPr>
        <w:pStyle w:val="779"/>
        <w:ind w:firstLine="480"/>
        <w:spacing w:before="120" w:beforeAutospacing="0" w:after="120" w:afterAutospacing="0" w:line="0" w:lineRule="atLeast"/>
        <w:rPr>
          <w:color w:val="000000"/>
        </w:rPr>
      </w:pPr>
      <w:r>
        <w:rPr>
          <w:rFonts w:hint="eastAsia"/>
          <w:color w:val="000000"/>
        </w:rPr>
        <w:t xml:space="preserve">2、残疾人福利单位价格扣除</w:t>
      </w:r>
      <w:r/>
    </w:p>
    <w:p>
      <w:pPr>
        <w:pStyle w:val="779"/>
        <w:ind w:firstLine="480"/>
        <w:spacing w:before="120" w:beforeAutospacing="0" w:after="120" w:afterAutospacing="0" w:line="0" w:lineRule="atLeast"/>
        <w:rPr>
          <w:color w:val="000000"/>
          <w:u w:val="single"/>
        </w:rPr>
      </w:pPr>
      <w:r>
        <w:rPr>
          <w:rFonts w:hint="eastAsia"/>
          <w:color w:val="000000"/>
        </w:rPr>
        <w:t xml:space="preserve">（1）本项目对残疾人福利性单位视同小型、微型企业，给予</w:t>
      </w:r>
      <w:r>
        <w:rPr>
          <w:rFonts w:hint="eastAsia"/>
          <w:color w:val="000000"/>
          <w:u w:val="single"/>
        </w:rPr>
        <w:t xml:space="preserve">20%</w:t>
      </w:r>
      <w:r/>
    </w:p>
    <w:p>
      <w:pPr>
        <w:pStyle w:val="779"/>
        <w:ind w:firstLine="480"/>
        <w:spacing w:before="120" w:beforeAutospacing="0" w:after="120" w:afterAutospacing="0" w:line="0" w:lineRule="atLeast"/>
        <w:rPr>
          <w:color w:val="000000"/>
        </w:rPr>
      </w:pPr>
      <w:r>
        <w:rPr>
          <w:rFonts w:hint="eastAsia"/>
          <w:color w:val="000000"/>
        </w:rPr>
        <w:t xml:space="preserve">（2）残疾人福利单位需按照采购文件的要求提供《残疾人福利性单位声明函》。</w:t>
      </w:r>
      <w:r/>
    </w:p>
    <w:p>
      <w:pPr>
        <w:pStyle w:val="779"/>
        <w:ind w:firstLine="480"/>
        <w:spacing w:before="120" w:beforeAutospacing="0" w:after="120" w:afterAutospacing="0" w:line="0" w:lineRule="atLeast"/>
        <w:rPr>
          <w:color w:val="000000"/>
        </w:rPr>
      </w:pPr>
      <w:r>
        <w:rPr>
          <w:rFonts w:hint="eastAsia"/>
          <w:color w:val="000000"/>
        </w:rPr>
        <w:t xml:space="preserve">（3）残疾人福利单位标准请参照《关于促进残疾人就业政府采购政策的通知》（财库〔2017〕141号）。</w:t>
      </w:r>
      <w:r/>
    </w:p>
    <w:p>
      <w:pPr>
        <w:pStyle w:val="779"/>
        <w:ind w:firstLine="480"/>
        <w:spacing w:before="120" w:beforeAutospacing="0" w:after="120" w:afterAutospacing="0" w:line="0" w:lineRule="atLeast"/>
        <w:rPr>
          <w:color w:val="000000"/>
        </w:rPr>
      </w:pPr>
      <w:r>
        <w:rPr>
          <w:rFonts w:hint="eastAsia"/>
          <w:color w:val="000000"/>
        </w:rPr>
        <w:t xml:space="preserve">3、监狱和戒毒企业价格扣除</w:t>
      </w:r>
      <w:r/>
    </w:p>
    <w:p>
      <w:pPr>
        <w:pStyle w:val="779"/>
        <w:ind w:firstLine="480"/>
        <w:spacing w:before="120" w:beforeAutospacing="0" w:after="120" w:afterAutospacing="0" w:line="0" w:lineRule="atLeast"/>
        <w:rPr>
          <w:color w:val="000000"/>
          <w:u w:val="single"/>
        </w:rPr>
      </w:pPr>
      <w:r>
        <w:rPr>
          <w:rFonts w:hint="eastAsia"/>
          <w:color w:val="000000"/>
        </w:rPr>
        <w:t xml:space="preserve">（1）本项目对监狱和戒毒企业（简称监狱企业）视同小型、微型企业，给予</w:t>
      </w:r>
      <w:r>
        <w:rPr>
          <w:rFonts w:hint="eastAsia"/>
          <w:color w:val="000000"/>
          <w:u w:val="single"/>
        </w:rPr>
        <w:t xml:space="preserve">20%</w:t>
      </w:r>
      <w:r/>
    </w:p>
    <w:p>
      <w:pPr>
        <w:pStyle w:val="779"/>
        <w:ind w:firstLine="480"/>
        <w:spacing w:before="120" w:beforeAutospacing="0" w:after="120" w:afterAutospacing="0" w:line="0" w:lineRule="atLeast"/>
        <w:rPr>
          <w:color w:val="000000"/>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9"/>
        <w:ind w:firstLine="480"/>
        <w:spacing w:before="120" w:beforeAutospacing="0" w:after="120" w:afterAutospacing="0" w:line="0" w:lineRule="atLeast"/>
        <w:rPr>
          <w:color w:val="000000"/>
        </w:rPr>
      </w:pPr>
      <w:r>
        <w:rPr>
          <w:rFonts w:hint="eastAsia"/>
          <w:color w:val="000000"/>
        </w:rPr>
        <w:t xml:space="preserve">（3）监狱企业标准请参照《关于政府采购支持监狱企业发展有关问题的通知》（财库[2014]68号）。</w:t>
      </w:r>
      <w:r/>
    </w:p>
    <w:p>
      <w:pPr>
        <w:pStyle w:val="779"/>
        <w:ind w:firstLine="480"/>
        <w:spacing w:before="120" w:beforeAutospacing="0" w:after="120" w:afterAutospacing="0" w:line="0" w:lineRule="atLeast"/>
        <w:rPr>
          <w:color w:val="000000"/>
        </w:rPr>
      </w:pPr>
      <w:r>
        <w:rPr>
          <w:rFonts w:hint="eastAsia"/>
          <w:color w:val="000000"/>
        </w:rPr>
        <w:t xml:space="preserve">4、残疾人福利单位、监狱企业属于小型、微型企业的，不重复享受政策。</w:t>
      </w:r>
      <w:r/>
    </w:p>
    <w:p>
      <w:pPr>
        <w:pStyle w:val="779"/>
        <w:ind w:firstLine="480"/>
        <w:spacing w:before="120" w:beforeAutospacing="0" w:after="120" w:afterAutospacing="0" w:line="0" w:lineRule="atLeast"/>
        <w:rPr>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u w:val="single"/>
        </w:rPr>
        <w:t xml:space="preserve">6%</w:t>
      </w:r>
      <w:r>
        <w:rPr>
          <w:rFonts w:hint="eastAsia"/>
          <w:color w:val="000000"/>
        </w:rPr>
        <w:t xml:space="preserve">的价格扣除，用扣除后的价格参与评审。</w:t>
      </w:r>
      <w:r/>
    </w:p>
    <w:p>
      <w:pPr>
        <w:pStyle w:val="779"/>
        <w:ind w:firstLine="480"/>
        <w:spacing w:before="120" w:beforeAutospacing="0" w:after="120" w:afterAutospacing="0" w:line="0" w:lineRule="atLeast"/>
        <w:rPr>
          <w:color w:val="000000"/>
          <w:u w:val="single"/>
        </w:rPr>
      </w:pPr>
      <w:r>
        <w:rPr>
          <w:rFonts w:hint="eastAsia"/>
          <w:color w:val="000000"/>
        </w:rPr>
        <w:t xml:space="preserve">6、联合体各方均为小型、微型企业（残疾人福利单位、监狱企业）的，联合体享受</w:t>
      </w:r>
      <w:r>
        <w:rPr>
          <w:rFonts w:hint="eastAsia"/>
          <w:color w:val="000000"/>
          <w:u w:val="single"/>
        </w:rPr>
        <w:t xml:space="preserve">20%。</w:t>
      </w:r>
      <w:r/>
    </w:p>
    <w:p>
      <w:pPr>
        <w:ind w:firstLine="480"/>
        <w:rPr>
          <w:rFonts w:ascii="宋体" w:hAnsi="宋体" w:cs="宋体"/>
          <w:color w:val="000000"/>
          <w:sz w:val="24"/>
        </w:rPr>
      </w:pPr>
      <w:r>
        <w:rPr>
          <w:rFonts w:hint="eastAsia" w:ascii="宋体" w:hAnsi="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rPr>
        <w:t xml:space="preserve">如属政府强制采购产品未提供认证证书的或认证证书提供不全的将视为未实质性响应采购要求</w:t>
      </w:r>
      <w:r>
        <w:rPr>
          <w:rFonts w:hint="eastAsia" w:ascii="宋体" w:hAnsi="宋体" w:cs="宋体"/>
          <w:i/>
          <w:color w:val="000000"/>
          <w:sz w:val="24"/>
        </w:rPr>
        <w:t xml:space="preserve">。</w:t>
      </w:r>
      <w:r>
        <w:rPr>
          <w:rFonts w:hint="eastAsia" w:ascii="宋体" w:hAnsi="宋体" w:cs="宋体"/>
          <w:color w:val="000000"/>
          <w:sz w:val="24"/>
        </w:rPr>
        <w:t xml:space="preserve">其他条件相同情况下，应当优先采购节能产品、环境标志产品。</w:t>
      </w:r>
      <w:r/>
    </w:p>
    <w:p>
      <w:pPr>
        <w:ind w:firstLine="480"/>
        <w:rPr>
          <w:rFonts w:ascii="宋体" w:hAnsi="宋体" w:cs="宋体"/>
          <w:color w:val="000000"/>
          <w:sz w:val="24"/>
        </w:rPr>
      </w:pPr>
      <w:r>
        <w:rPr>
          <w:rFonts w:hint="eastAsia" w:ascii="宋体" w:hAnsi="宋体" w:cs="宋体"/>
          <w:color w:val="000000"/>
          <w:sz w:val="24"/>
        </w:rPr>
        <w:t xml:space="preserve">8、供应商对于投标产品的商品包装、快递包装应按照“财办库〔2020〕123号《关于印发《商品包装政府采购需求标准（试行）》、《快递包装政府采购需求标准（试行）》的通知》”执行。</w:t>
      </w:r>
      <w:r/>
    </w:p>
    <w:p>
      <w:pPr>
        <w:ind w:firstLine="480"/>
        <w:rPr>
          <w:rFonts w:ascii="宋体" w:hAnsi="宋体" w:cs="宋体"/>
          <w:color w:val="000000"/>
          <w:sz w:val="24"/>
        </w:rPr>
      </w:pPr>
      <w:r>
        <w:rPr>
          <w:rFonts w:hint="eastAsia" w:ascii="宋体" w:hAnsi="宋体" w:cs="宋体"/>
          <w:color w:val="000000"/>
          <w:sz w:val="24"/>
        </w:rPr>
        <w:t xml:space="preserve">9、本文件中若涉及到数据中心采购，应按照《&lt;绿色数据中心政府采购需求标准（试行）&gt;的通知》（财库〔2023〕7号）执行。</w:t>
      </w:r>
      <w:r/>
    </w:p>
    <w:p>
      <w:pPr>
        <w:ind w:firstLine="482"/>
        <w:spacing w:before="120" w:after="120"/>
        <w:rPr>
          <w:b/>
          <w:sz w:val="24"/>
          <w:szCs w:val="24"/>
        </w:rPr>
        <w:outlineLvl w:val="1"/>
      </w:pPr>
      <w:r/>
      <w:bookmarkStart w:id="248" w:name="_Toc28791"/>
      <w:r>
        <w:rPr>
          <w:rFonts w:hint="eastAsia"/>
          <w:b/>
          <w:sz w:val="24"/>
          <w:szCs w:val="24"/>
        </w:rPr>
        <w:t xml:space="preserve">三、评标方法与评标标准</w:t>
      </w:r>
      <w:bookmarkEnd w:id="248"/>
      <w:r/>
      <w:r/>
    </w:p>
    <w:p>
      <w:pPr>
        <w:ind w:firstLine="482"/>
        <w:spacing w:line="420" w:lineRule="exact"/>
        <w:rPr>
          <w:rFonts w:ascii="宋体" w:hAnsi="宋体" w:cs="宋体"/>
          <w:b/>
          <w:sz w:val="24"/>
        </w:rPr>
      </w:pPr>
      <w:r>
        <w:rPr>
          <w:rFonts w:hint="eastAsia" w:ascii="宋体" w:hAnsi="宋体" w:cs="宋体"/>
          <w:b/>
          <w:sz w:val="24"/>
        </w:rPr>
        <w:t xml:space="preserve">本项目评分总分值为100分。</w:t>
      </w:r>
      <w:r>
        <w:rPr>
          <w:rFonts w:hint="eastAsia" w:ascii="宋体" w:hAnsi="宋体" w:cs="宋体"/>
          <w:bCs/>
          <w:sz w:val="24"/>
        </w:rPr>
        <w:t xml:space="preserve">评标时，评标委员会各成员独立对每个有效供应商的标书进行评价、打分，然后汇总，按算术平均方法，计算出每个供应商的得分。</w:t>
      </w:r>
      <w:r/>
    </w:p>
    <w:tbl>
      <w:tblPr>
        <w:tblW w:w="9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7"/>
        <w:gridCol w:w="7093"/>
        <w:gridCol w:w="763"/>
      </w:tblGrid>
      <w:tr>
        <w:trPr>
          <w:jc w:val="center"/>
          <w:tblHeader/>
        </w:trPr>
        <w:tc>
          <w:tcPr>
            <w:tcW w:w="1257" w:type="dxa"/>
            <w:vAlign w:val="center"/>
            <w:textDirection w:val="lrTb"/>
            <w:noWrap w:val="false"/>
          </w:tcPr>
          <w:p>
            <w:pPr>
              <w:jc w:val="center"/>
              <w:rPr>
                <w:rFonts w:ascii="仿宋" w:hAnsi="仿宋" w:eastAsia="仿宋" w:cs="宋体"/>
                <w:b/>
                <w:sz w:val="24"/>
              </w:rPr>
            </w:pPr>
            <w:r>
              <w:rPr>
                <w:rFonts w:hint="eastAsia" w:ascii="仿宋" w:hAnsi="仿宋" w:eastAsia="仿宋" w:cs="宋体"/>
                <w:b/>
                <w:sz w:val="24"/>
              </w:rPr>
              <w:t xml:space="preserve">评分因素</w:t>
            </w:r>
            <w:r/>
          </w:p>
        </w:tc>
        <w:tc>
          <w:tcPr>
            <w:tcW w:w="7093" w:type="dxa"/>
            <w:vAlign w:val="center"/>
            <w:textDirection w:val="lrTb"/>
            <w:noWrap/>
          </w:tcPr>
          <w:p>
            <w:pPr>
              <w:jc w:val="center"/>
              <w:rPr>
                <w:rFonts w:ascii="仿宋" w:hAnsi="仿宋" w:eastAsia="仿宋" w:cs="宋体"/>
                <w:b/>
                <w:sz w:val="24"/>
              </w:rPr>
            </w:pPr>
            <w:r>
              <w:rPr>
                <w:rFonts w:hint="eastAsia" w:ascii="仿宋" w:hAnsi="仿宋" w:eastAsia="仿宋" w:cs="宋体"/>
                <w:b/>
                <w:sz w:val="24"/>
              </w:rPr>
              <w:t xml:space="preserve">评分标准</w:t>
            </w:r>
            <w:r/>
          </w:p>
        </w:tc>
        <w:tc>
          <w:tcPr>
            <w:tcW w:w="763" w:type="dxa"/>
            <w:vAlign w:val="center"/>
            <w:textDirection w:val="lrTb"/>
            <w:noWrap/>
          </w:tcPr>
          <w:p>
            <w:pPr>
              <w:jc w:val="center"/>
              <w:rPr>
                <w:rFonts w:ascii="仿宋" w:hAnsi="仿宋" w:eastAsia="仿宋" w:cs="宋体"/>
                <w:b/>
                <w:sz w:val="24"/>
              </w:rPr>
            </w:pPr>
            <w:r>
              <w:rPr>
                <w:rFonts w:hint="eastAsia" w:ascii="仿宋" w:hAnsi="仿宋" w:eastAsia="仿宋" w:cs="宋体"/>
                <w:b/>
                <w:sz w:val="24"/>
              </w:rPr>
              <w:t xml:space="preserve">满分分值</w:t>
            </w:r>
            <w:r/>
          </w:p>
        </w:tc>
      </w:tr>
      <w:tr>
        <w:trPr>
          <w:jc w:val="center"/>
        </w:trPr>
        <w:tc>
          <w:tcPr>
            <w:tcW w:w="1257"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投标报价</w:t>
            </w:r>
            <w:r/>
          </w:p>
        </w:tc>
        <w:tc>
          <w:tcPr>
            <w:tcW w:w="7093" w:type="dxa"/>
            <w:vAlign w:val="center"/>
            <w:textDirection w:val="lrTb"/>
            <w:noWrap w:val="false"/>
          </w:tcPr>
          <w:p>
            <w:pPr>
              <w:tabs>
                <w:tab w:val="left" w:pos="6619" w:leader="none"/>
              </w:tabs>
              <w:rPr>
                <w:rFonts w:ascii="仿宋" w:hAnsi="仿宋" w:eastAsia="仿宋" w:cs="宋体"/>
                <w:sz w:val="24"/>
              </w:rPr>
            </w:pPr>
            <w:r>
              <w:rPr>
                <w:rFonts w:hint="eastAsia" w:ascii="仿宋" w:hAnsi="仿宋" w:eastAsia="仿宋" w:cs="宋体"/>
                <w:sz w:val="24"/>
              </w:rPr>
              <w:t xml:space="preserve">1.评标总价是指通过“投标文件初审”的投标人的经商务性评审（修正小微企业、</w:t>
            </w:r>
            <w:r>
              <w:rPr>
                <w:rFonts w:hint="eastAsia" w:ascii="仿宋" w:hAnsi="仿宋" w:eastAsia="仿宋"/>
                <w:sz w:val="24"/>
              </w:rPr>
              <w:t xml:space="preserve">节能产品和环保产品</w:t>
            </w:r>
            <w:r>
              <w:rPr>
                <w:rFonts w:hint="eastAsia" w:ascii="仿宋" w:hAnsi="仿宋" w:eastAsia="仿宋" w:cs="宋体"/>
                <w:sz w:val="24"/>
              </w:rPr>
              <w:t xml:space="preserve">扣除等）后的总价。</w:t>
            </w:r>
            <w:r/>
          </w:p>
          <w:p>
            <w:pPr>
              <w:rPr>
                <w:rFonts w:ascii="仿宋" w:hAnsi="仿宋" w:eastAsia="仿宋" w:cs="宋体"/>
                <w:sz w:val="24"/>
              </w:rPr>
            </w:pPr>
            <w:r>
              <w:rPr>
                <w:rFonts w:hint="eastAsia" w:ascii="仿宋" w:hAnsi="仿宋" w:eastAsia="仿宋" w:cs="宋体"/>
                <w:sz w:val="24"/>
              </w:rPr>
              <w:t xml:space="preserve">2.评标基准价=评标总价中的最低总价。</w:t>
            </w:r>
            <w:r/>
          </w:p>
          <w:p>
            <w:pPr>
              <w:rPr>
                <w:rFonts w:ascii="仿宋" w:hAnsi="仿宋" w:eastAsia="仿宋" w:cs="宋体"/>
                <w:sz w:val="24"/>
              </w:rPr>
            </w:pPr>
            <w:r>
              <w:rPr>
                <w:rFonts w:hint="eastAsia" w:ascii="仿宋" w:hAnsi="仿宋" w:eastAsia="仿宋" w:cs="宋体"/>
                <w:sz w:val="24"/>
              </w:rPr>
              <w:t xml:space="preserve">3.当投标人的评标总价等于评标基准价的得30分，其他投标人的价格分按照下列公式计算：评标总价得分=（评标基准价/评标总价）×30分（计算结果保留2位小数，第三位四舍五入）。</w:t>
            </w:r>
            <w:r/>
          </w:p>
        </w:tc>
        <w:tc>
          <w:tcPr>
            <w:tcW w:w="763" w:type="dxa"/>
            <w:vAlign w:val="center"/>
            <w:textDirection w:val="lrTb"/>
            <w:noWrap w:val="false"/>
          </w:tcPr>
          <w:p>
            <w:pPr>
              <w:jc w:val="center"/>
              <w:rPr>
                <w:rFonts w:ascii="仿宋" w:hAnsi="仿宋" w:eastAsia="仿宋" w:cs="宋体"/>
                <w:sz w:val="24"/>
              </w:rPr>
            </w:pPr>
            <w:r>
              <w:rPr>
                <w:rFonts w:hint="eastAsia" w:ascii="仿宋" w:hAnsi="仿宋" w:eastAsia="仿宋" w:cs="宋体"/>
                <w:bCs/>
                <w:sz w:val="24"/>
              </w:rPr>
              <w:t xml:space="preserve">30分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技术响应</w:t>
            </w:r>
            <w:r/>
          </w:p>
        </w:tc>
        <w:tc>
          <w:tcPr>
            <w:tcW w:w="7093" w:type="dxa"/>
            <w:vAlign w:val="center"/>
            <w:textDirection w:val="lrTb"/>
            <w:noWrap/>
          </w:tcPr>
          <w:p>
            <w:pPr>
              <w:pStyle w:val="1029"/>
              <w:spacing w:line="240" w:lineRule="auto"/>
              <w:rPr>
                <w:rFonts w:ascii="仿宋" w:hAnsi="仿宋" w:eastAsia="仿宋" w:cs="宋体"/>
                <w:bCs/>
                <w:color w:val="000000" w:themeColor="text1"/>
                <w:sz w:val="24"/>
              </w:rPr>
            </w:pPr>
            <w:r>
              <w:rPr>
                <w:rFonts w:hint="eastAsia" w:ascii="仿宋" w:hAnsi="仿宋" w:eastAsia="仿宋" w:cs="宋体"/>
                <w:bCs/>
                <w:color w:val="000000" w:themeColor="text1"/>
                <w:sz w:val="24"/>
              </w:rPr>
              <w:t xml:space="preserve">根据所投产品技术参数要求的响应程度进行评分。全部响应招标文件&lt;第四部分 采购需求&gt;中技术要求的，得44分；</w:t>
            </w:r>
            <w:r/>
          </w:p>
          <w:p>
            <w:pPr>
              <w:rPr>
                <w:rFonts w:ascii="仿宋" w:hAnsi="仿宋" w:eastAsia="仿宋" w:cs="Calibri"/>
                <w:bCs/>
                <w:color w:val="000000" w:themeColor="text1"/>
                <w:sz w:val="24"/>
                <w:u w:val="single"/>
              </w:rPr>
            </w:pPr>
            <w:r>
              <w:rPr>
                <w:rFonts w:hint="eastAsia" w:ascii="仿宋" w:hAnsi="仿宋" w:eastAsia="仿宋" w:cs="Calibri"/>
                <w:bCs/>
                <w:color w:val="000000" w:themeColor="text1"/>
                <w:sz w:val="24"/>
                <w:u w:val="single"/>
              </w:rPr>
              <w:t xml:space="preserve">①加注“★”符号的关键指标（4条）有一项负偏离或不满足投标无效；</w:t>
            </w:r>
            <w:r/>
          </w:p>
          <w:p>
            <w:pPr>
              <w:rPr>
                <w:rFonts w:ascii="仿宋" w:hAnsi="仿宋" w:eastAsia="仿宋" w:cs="Calibri"/>
                <w:bCs/>
                <w:color w:val="000000" w:themeColor="text1"/>
                <w:sz w:val="24"/>
                <w:u w:val="single"/>
              </w:rPr>
            </w:pPr>
            <w:r>
              <w:rPr>
                <w:rFonts w:hint="eastAsia" w:ascii="仿宋" w:hAnsi="仿宋" w:eastAsia="仿宋" w:cs="Calibri"/>
                <w:bCs/>
                <w:color w:val="000000" w:themeColor="text1"/>
                <w:sz w:val="24"/>
                <w:u w:val="single"/>
              </w:rPr>
              <w:t xml:space="preserve">②加注“▲”符号的重要指标（11条）有一项负偏离或不满足扣1.5分；</w:t>
            </w:r>
            <w:r/>
          </w:p>
          <w:p>
            <w:pPr>
              <w:rPr>
                <w:rFonts w:ascii="仿宋" w:hAnsi="仿宋" w:eastAsia="仿宋" w:cs="Calibri"/>
                <w:bCs/>
                <w:color w:val="000000" w:themeColor="text1"/>
                <w:sz w:val="24"/>
                <w:u w:val="single"/>
              </w:rPr>
            </w:pPr>
            <w:r>
              <w:rPr>
                <w:rFonts w:hint="eastAsia" w:ascii="仿宋" w:hAnsi="仿宋" w:eastAsia="仿宋" w:cs="Calibri"/>
                <w:bCs/>
                <w:color w:val="000000" w:themeColor="text1"/>
                <w:sz w:val="24"/>
                <w:u w:val="single"/>
              </w:rPr>
              <w:t xml:space="preserve">③未加注“▲”符号的为一般指标（55条）有一项负偏离或不满足扣0.5分；扣完为止。</w:t>
            </w:r>
            <w:r/>
          </w:p>
          <w:p>
            <w:pPr>
              <w:pStyle w:val="746"/>
              <w:jc w:val="both"/>
              <w:rPr>
                <w:rFonts w:ascii="仿宋" w:hAnsi="仿宋" w:eastAsia="仿宋"/>
                <w:b/>
                <w:color w:val="000000" w:themeColor="text1"/>
                <w:u w:val="single"/>
              </w:rPr>
            </w:pPr>
            <w:r>
              <w:rPr>
                <w:rFonts w:hint="eastAsia" w:ascii="仿宋" w:hAnsi="仿宋" w:eastAsia="仿宋"/>
                <w:b/>
                <w:color w:val="000000" w:themeColor="text1"/>
                <w:u w:val="single"/>
              </w:rPr>
              <w:t xml:space="preserve">技术部分负偏离超过半数的，或本项响应得0分或经评委会评议负偏离可能实质性影响使用的，将判定为实质性不符合招标要求，做无效投标处理。</w:t>
            </w:r>
            <w:r/>
          </w:p>
          <w:p>
            <w:pPr>
              <w:rPr>
                <w:rFonts w:ascii="仿宋" w:hAnsi="仿宋" w:eastAsia="仿宋" w:cs="Calibri"/>
                <w:bCs/>
                <w:color w:val="000000" w:themeColor="text1"/>
                <w:sz w:val="24"/>
              </w:rPr>
            </w:pPr>
            <w:r>
              <w:rPr>
                <w:rFonts w:hint="eastAsia" w:ascii="仿宋" w:hAnsi="仿宋" w:eastAsia="仿宋" w:cs="Calibri"/>
                <w:bCs/>
                <w:color w:val="000000" w:themeColor="text1"/>
                <w:sz w:val="24"/>
              </w:rPr>
              <w:t xml:space="preserve">注：</w:t>
            </w:r>
            <w:r/>
          </w:p>
          <w:p>
            <w:pPr>
              <w:rPr>
                <w:rFonts w:ascii="仿宋" w:hAnsi="仿宋" w:eastAsia="仿宋" w:cs="Calibri"/>
                <w:bCs/>
                <w:color w:val="000000" w:themeColor="text1"/>
                <w:sz w:val="24"/>
              </w:rPr>
            </w:pPr>
            <w:r>
              <w:rPr>
                <w:rFonts w:hint="eastAsia" w:ascii="仿宋" w:hAnsi="仿宋" w:eastAsia="仿宋" w:cs="Calibri"/>
                <w:bCs/>
                <w:color w:val="000000" w:themeColor="text1"/>
                <w:sz w:val="24"/>
              </w:rPr>
              <w:t xml:space="preserve">“技术需求”中标★及▲指标，均需提供技术证明材料，证明材料包括但不限于公开发行的产品彩页或产品说明书或第三方检测机构出具的检测报告或设备照片或加盖制造商公章的产品说明等，如技术需求中明确技术证明材料类型的，以具体要求为准。所有的技术证明材料均需在《技术需求响应及偏离表》中清楚标注每一证明材料对应项的具体页码，未提供或提供的不符合要求的，自行承担被视为负偏离的风险。</w:t>
            </w:r>
            <w:r/>
          </w:p>
          <w:p>
            <w:pPr>
              <w:rPr>
                <w:rFonts w:ascii="仿宋" w:hAnsi="仿宋" w:eastAsia="仿宋"/>
                <w:sz w:val="24"/>
              </w:rPr>
            </w:pPr>
            <w:r>
              <w:rPr>
                <w:rFonts w:hint="eastAsia" w:ascii="仿宋" w:hAnsi="仿宋" w:eastAsia="仿宋" w:cs="Calibri"/>
                <w:bCs/>
                <w:color w:val="000000" w:themeColor="text1"/>
                <w:sz w:val="24"/>
              </w:rPr>
              <w:t xml:space="preserve">投标人如虚假相应或提供虚假证明材料，一经发现将取消中标资格，并上报财政主管部门。</w:t>
            </w:r>
            <w:r/>
          </w:p>
        </w:tc>
        <w:tc>
          <w:tcPr>
            <w:tcW w:w="763"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44分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项目实施方案</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投标人根据本项目第四章商务需求中“5.项目实施方案”要求，提供有针对性的、科学有效的项目实施方案，至少包含：①供货周期及进度计划；②进度保证措施；③安装调试方案。</w:t>
            </w:r>
            <w:r/>
          </w:p>
          <w:p>
            <w:pPr>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c>
          <w:tcPr>
            <w:tcW w:w="763"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6分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售后服务方案</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投标人根据本项目第四章商务需求中“6.售后服务方案”要求，提供有针对性的、科学高效的售后服务方案，至少包含：①服务体系；②回访巡检方案；③突发故障解决措施。</w:t>
            </w:r>
            <w:r/>
          </w:p>
          <w:p>
            <w:pPr>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c>
          <w:tcPr>
            <w:tcW w:w="763"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9分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人员培训方案</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投标人根据本项目第四章商务需求中“7.人员培训方案”要求，提供有针对性的、科学高效的人员培训方案，至少包含：①日常保养和定期保养培训；②业务技术功能培训；③常见故障处理培训等。</w:t>
            </w:r>
            <w:r/>
          </w:p>
          <w:p>
            <w:pPr>
              <w:rPr>
                <w:rFonts w:ascii="仿宋" w:hAnsi="仿宋" w:eastAsia="仿宋" w:cs="宋体"/>
                <w:bCs/>
                <w:sz w:val="24"/>
              </w:rPr>
            </w:pPr>
            <w:r>
              <w:rPr>
                <w:rFonts w:hint="eastAsia" w:ascii="仿宋" w:hAnsi="仿宋" w:eastAsia="仿宋" w:cs="宋体"/>
                <w:bCs/>
                <w:sz w:val="24"/>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c>
          <w:tcPr>
            <w:tcW w:w="763"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6分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所投产品业绩</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2022年1月1日（含，以合同签订时间为准）以来与所投产品同类产品的类似业绩，需提供业绩合同扫描件。</w:t>
            </w:r>
            <w:r/>
          </w:p>
          <w:p>
            <w:pPr>
              <w:rPr>
                <w:rFonts w:ascii="仿宋" w:hAnsi="仿宋" w:eastAsia="仿宋" w:cs="宋体"/>
                <w:bCs/>
                <w:sz w:val="24"/>
              </w:rPr>
            </w:pPr>
            <w:r>
              <w:rPr>
                <w:rFonts w:hint="eastAsia" w:ascii="仿宋" w:hAnsi="仿宋" w:eastAsia="仿宋" w:cs="宋体"/>
                <w:bCs/>
                <w:sz w:val="24"/>
              </w:rPr>
              <w:t xml:space="preserve">合同扫描件需体现合同签订时间、产品名称，并提供采购人联系人及联系方式。满足前述要求的业绩证明材料，有一份得1分，否则不得分，本项最多得</w:t>
            </w:r>
            <w:r>
              <w:rPr>
                <w:rFonts w:ascii="仿宋" w:hAnsi="仿宋" w:eastAsia="仿宋" w:cs="宋体"/>
                <w:bCs/>
                <w:sz w:val="24"/>
              </w:rPr>
              <w:t xml:space="preserve">3</w:t>
            </w:r>
            <w:r>
              <w:rPr>
                <w:rFonts w:hint="eastAsia" w:ascii="仿宋" w:hAnsi="仿宋" w:eastAsia="仿宋" w:cs="宋体"/>
                <w:bCs/>
                <w:sz w:val="24"/>
              </w:rPr>
              <w:t xml:space="preserve">分。</w:t>
            </w:r>
            <w:r/>
          </w:p>
        </w:tc>
        <w:tc>
          <w:tcPr>
            <w:tcW w:w="763" w:type="dxa"/>
            <w:vAlign w:val="center"/>
            <w:textDirection w:val="lrTb"/>
            <w:noWrap w:val="false"/>
          </w:tcPr>
          <w:p>
            <w:pPr>
              <w:jc w:val="center"/>
              <w:rPr>
                <w:rFonts w:ascii="仿宋" w:hAnsi="仿宋" w:eastAsia="仿宋" w:cs="宋体"/>
                <w:bCs/>
                <w:sz w:val="24"/>
              </w:rPr>
            </w:pPr>
            <w:r>
              <w:rPr>
                <w:rFonts w:ascii="仿宋" w:hAnsi="仿宋" w:eastAsia="仿宋" w:cs="宋体"/>
                <w:bCs/>
                <w:sz w:val="24"/>
              </w:rPr>
              <w:t xml:space="preserve">3</w:t>
            </w:r>
            <w:r>
              <w:rPr>
                <w:rFonts w:hint="eastAsia" w:ascii="仿宋" w:hAnsi="仿宋" w:eastAsia="仿宋" w:cs="宋体"/>
                <w:bCs/>
                <w:sz w:val="24"/>
              </w:rPr>
              <w:t xml:space="preserve">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节能产品</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rPr>
                <w:rFonts w:ascii="仿宋" w:hAnsi="仿宋" w:eastAsia="仿宋" w:cs="宋体"/>
                <w:bCs/>
                <w:sz w:val="24"/>
              </w:rPr>
            </w:pPr>
            <w:r>
              <w:rPr>
                <w:rFonts w:hint="eastAsia" w:ascii="仿宋" w:hAnsi="仿宋" w:eastAsia="仿宋" w:cs="宋体"/>
                <w:bCs/>
                <w:sz w:val="24"/>
              </w:rPr>
              <w:t xml:space="preserve">特别说明：本项目采购产品未被财政部、国家发改委等列入“节能产品品目清单”强制采购范围。</w:t>
            </w:r>
            <w:r/>
          </w:p>
        </w:tc>
        <w:tc>
          <w:tcPr>
            <w:tcW w:w="763"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1分</w:t>
            </w:r>
            <w:r/>
          </w:p>
        </w:tc>
      </w:tr>
      <w:tr>
        <w:trPr>
          <w:jc w:val="center"/>
        </w:trPr>
        <w:tc>
          <w:tcPr>
            <w:tcW w:w="1257" w:type="dxa"/>
            <w:vAlign w:val="center"/>
            <w:textDirection w:val="lrTb"/>
            <w:noWrap/>
          </w:tcPr>
          <w:p>
            <w:pPr>
              <w:jc w:val="center"/>
              <w:rPr>
                <w:rFonts w:ascii="仿宋" w:hAnsi="仿宋" w:eastAsia="仿宋" w:cs="宋体"/>
                <w:bCs/>
                <w:sz w:val="24"/>
              </w:rPr>
            </w:pPr>
            <w:r>
              <w:rPr>
                <w:rFonts w:hint="eastAsia" w:ascii="仿宋" w:hAnsi="仿宋" w:eastAsia="仿宋" w:cs="宋体"/>
                <w:bCs/>
                <w:sz w:val="24"/>
              </w:rPr>
              <w:t xml:space="preserve">环境标志产品</w:t>
            </w:r>
            <w:r/>
          </w:p>
        </w:tc>
        <w:tc>
          <w:tcPr>
            <w:tcW w:w="7093" w:type="dxa"/>
            <w:vAlign w:val="center"/>
            <w:textDirection w:val="lrTb"/>
            <w:noWrap w:val="false"/>
          </w:tcPr>
          <w:p>
            <w:pPr>
              <w:rPr>
                <w:rFonts w:ascii="仿宋" w:hAnsi="仿宋" w:eastAsia="仿宋" w:cs="宋体"/>
                <w:bCs/>
                <w:sz w:val="24"/>
              </w:rPr>
            </w:pPr>
            <w:r>
              <w:rPr>
                <w:rFonts w:hint="eastAsia" w:ascii="仿宋" w:hAnsi="仿宋" w:eastAsia="仿宋" w:cs="宋体"/>
                <w:bCs/>
                <w:sz w:val="24"/>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rPr>
                <w:rFonts w:ascii="仿宋" w:hAnsi="仿宋" w:eastAsia="仿宋" w:cs="宋体"/>
                <w:bCs/>
                <w:sz w:val="24"/>
              </w:rPr>
            </w:pPr>
            <w:r>
              <w:rPr>
                <w:rFonts w:hint="eastAsia" w:ascii="仿宋" w:hAnsi="仿宋" w:eastAsia="仿宋" w:cs="宋体"/>
                <w:bCs/>
                <w:sz w:val="24"/>
              </w:rPr>
              <w:t xml:space="preserve">特别说明：本项目采购产品未被财政部、生态环境部等列入 “环境标志产品品目清单”强制采购范围。</w:t>
            </w:r>
            <w:r/>
          </w:p>
        </w:tc>
        <w:tc>
          <w:tcPr>
            <w:tcW w:w="763" w:type="dxa"/>
            <w:vAlign w:val="center"/>
            <w:textDirection w:val="lrTb"/>
            <w:noWrap w:val="false"/>
          </w:tcPr>
          <w:p>
            <w:pPr>
              <w:jc w:val="center"/>
              <w:rPr>
                <w:rFonts w:ascii="仿宋" w:hAnsi="仿宋" w:eastAsia="仿宋" w:cs="宋体"/>
                <w:bCs/>
                <w:sz w:val="24"/>
              </w:rPr>
            </w:pPr>
            <w:r>
              <w:rPr>
                <w:rFonts w:hint="eastAsia" w:ascii="仿宋" w:hAnsi="仿宋" w:eastAsia="仿宋" w:cs="宋体"/>
                <w:bCs/>
                <w:sz w:val="24"/>
              </w:rPr>
              <w:t xml:space="preserve">1分</w:t>
            </w:r>
            <w:r/>
          </w:p>
        </w:tc>
      </w:tr>
    </w:tbl>
    <w:p>
      <w:pPr>
        <w:ind w:firstLine="482"/>
        <w:spacing w:before="120" w:after="120"/>
        <w:rPr>
          <w:b/>
          <w:sz w:val="24"/>
          <w:szCs w:val="24"/>
        </w:rPr>
        <w:outlineLvl w:val="1"/>
      </w:pPr>
      <w:r/>
      <w:bookmarkStart w:id="249" w:name="_Toc251"/>
      <w:r>
        <w:rPr>
          <w:rFonts w:hint="eastAsia"/>
          <w:b/>
          <w:sz w:val="24"/>
          <w:szCs w:val="24"/>
        </w:rPr>
        <w:t xml:space="preserve">三、其它</w:t>
      </w:r>
      <w:bookmarkEnd w:id="249"/>
      <w:r/>
      <w:r/>
    </w:p>
    <w:p>
      <w:pPr>
        <w:ind w:firstLine="480"/>
        <w:rPr>
          <w:sz w:val="24"/>
          <w:szCs w:val="24"/>
        </w:rPr>
      </w:pPr>
      <w:r>
        <w:rPr>
          <w:rFonts w:hint="eastAsia"/>
          <w:sz w:val="24"/>
          <w:szCs w:val="24"/>
        </w:rPr>
        <w:t xml:space="preserve">1</w:t>
      </w:r>
      <w:r>
        <w:rPr>
          <w:rFonts w:hint="eastAsia"/>
          <w:sz w:val="24"/>
          <w:szCs w:val="24"/>
        </w:rPr>
        <w:t xml:space="preserve">、本办法未述及的事宜，由评标委员会依据法律法规处置。</w:t>
      </w:r>
      <w:r/>
    </w:p>
    <w:p>
      <w:pPr>
        <w:ind w:firstLine="480"/>
        <w:rPr>
          <w:sz w:val="24"/>
          <w:szCs w:val="24"/>
        </w:rPr>
      </w:pPr>
      <w:r>
        <w:rPr>
          <w:rFonts w:hint="eastAsia"/>
          <w:sz w:val="24"/>
          <w:szCs w:val="24"/>
        </w:rPr>
        <w:t xml:space="preserve">2</w:t>
      </w:r>
      <w:r>
        <w:rPr>
          <w:rFonts w:hint="eastAsia"/>
          <w:sz w:val="24"/>
          <w:szCs w:val="24"/>
        </w:rPr>
        <w:t xml:space="preserve">、经审查为虚假材料的，按无效标书处理。</w:t>
      </w:r>
      <w:r/>
    </w:p>
    <w:p>
      <w:pPr>
        <w:ind w:firstLine="480"/>
        <w:rPr>
          <w:sz w:val="24"/>
          <w:szCs w:val="24"/>
        </w:rPr>
      </w:pPr>
      <w:r>
        <w:rPr>
          <w:rFonts w:hint="eastAsia"/>
          <w:sz w:val="24"/>
          <w:szCs w:val="24"/>
        </w:rPr>
        <w:t xml:space="preserve">3</w:t>
      </w:r>
      <w:r>
        <w:rPr>
          <w:rFonts w:hint="eastAsia"/>
          <w:sz w:val="24"/>
          <w:szCs w:val="24"/>
        </w:rPr>
        <w:t xml:space="preserve">、若供应商提供虚假资料，一经查实取消其中标候选人资格，并向相关主管部门汇报。</w:t>
      </w:r>
      <w:r/>
    </w:p>
    <w:p>
      <w:pPr>
        <w:ind w:firstLine="480"/>
        <w:rPr>
          <w:sz w:val="24"/>
          <w:szCs w:val="24"/>
        </w:rPr>
      </w:pPr>
      <w:r>
        <w:rPr>
          <w:rFonts w:hint="eastAsia"/>
          <w:sz w:val="24"/>
          <w:szCs w:val="24"/>
        </w:rPr>
        <w:t xml:space="preserve">4</w:t>
      </w:r>
      <w:r>
        <w:rPr>
          <w:rFonts w:hint="eastAsia"/>
          <w:sz w:val="24"/>
          <w:szCs w:val="24"/>
        </w:rPr>
        <w:t xml:space="preserve">、中标单位不得转包、分包，如果发现有转包、分包情况，则取消其中标候选人资格，并向相关主管部门汇报。</w:t>
      </w:r>
      <w:r/>
    </w:p>
    <w:p>
      <w:pPr>
        <w:ind w:firstLine="480"/>
        <w:rPr>
          <w:sz w:val="24"/>
          <w:szCs w:val="24"/>
        </w:rPr>
      </w:pPr>
      <w:r>
        <w:rPr>
          <w:rFonts w:hint="eastAsia"/>
          <w:sz w:val="24"/>
          <w:szCs w:val="24"/>
        </w:rPr>
        <w:t xml:space="preserve">5</w:t>
      </w:r>
      <w:r>
        <w:rPr>
          <w:rFonts w:hint="eastAsia"/>
          <w:sz w:val="24"/>
          <w:szCs w:val="24"/>
        </w:rPr>
        <w:t xml:space="preserve">、对不中标的投标人，采购人有权不作任何解释。</w:t>
      </w:r>
      <w:r/>
    </w:p>
    <w:p>
      <w:pPr>
        <w:ind w:firstLine="482"/>
        <w:spacing w:before="120" w:after="120"/>
        <w:rPr>
          <w:b/>
          <w:sz w:val="24"/>
          <w:szCs w:val="24"/>
        </w:rPr>
        <w:outlineLvl w:val="1"/>
      </w:pPr>
      <w:r/>
      <w:bookmarkStart w:id="250" w:name="_Toc23429"/>
      <w:r>
        <w:rPr>
          <w:rFonts w:hint="eastAsia"/>
          <w:b/>
          <w:sz w:val="24"/>
          <w:szCs w:val="24"/>
        </w:rPr>
        <w:t xml:space="preserve">四、通用评标规则</w:t>
      </w:r>
      <w:bookmarkEnd w:id="250"/>
      <w:r/>
      <w:r/>
    </w:p>
    <w:p>
      <w:pPr>
        <w:ind w:firstLine="480"/>
        <w:rPr>
          <w:sz w:val="24"/>
          <w:szCs w:val="24"/>
        </w:rPr>
      </w:pPr>
      <w:r>
        <w:rPr>
          <w:rFonts w:hint="eastAsia"/>
          <w:sz w:val="24"/>
          <w:szCs w:val="24"/>
        </w:rPr>
        <w:t xml:space="preserve">1</w:t>
      </w:r>
      <w:r>
        <w:rPr>
          <w:rFonts w:hint="eastAsia"/>
          <w:sz w:val="24"/>
          <w:szCs w:val="24"/>
        </w:rPr>
        <w:t xml:space="preserve">、评标程序</w:t>
      </w:r>
      <w:r/>
    </w:p>
    <w:p>
      <w:pPr>
        <w:ind w:firstLine="480"/>
        <w:rPr>
          <w:sz w:val="24"/>
          <w:szCs w:val="24"/>
        </w:rPr>
      </w:pPr>
      <w:r>
        <w:rPr>
          <w:rFonts w:hint="eastAsia"/>
          <w:sz w:val="24"/>
          <w:szCs w:val="24"/>
        </w:rPr>
        <w:t xml:space="preserve">资质标、商务标、技术标应分别评审，评审后不得更改。</w:t>
      </w:r>
      <w:r/>
    </w:p>
    <w:p>
      <w:pPr>
        <w:ind w:firstLine="480"/>
        <w:rPr>
          <w:sz w:val="24"/>
          <w:szCs w:val="24"/>
        </w:rPr>
      </w:pPr>
      <w:r>
        <w:rPr>
          <w:rFonts w:hint="eastAsia"/>
          <w:sz w:val="24"/>
          <w:szCs w:val="24"/>
        </w:rPr>
        <w:t xml:space="preserve">2</w:t>
      </w:r>
      <w:r>
        <w:rPr>
          <w:rFonts w:hint="eastAsia"/>
          <w:sz w:val="24"/>
          <w:szCs w:val="24"/>
        </w:rPr>
        <w:t xml:space="preserve">、计价文件评审规定</w:t>
      </w:r>
      <w:r/>
    </w:p>
    <w:p>
      <w:pPr>
        <w:ind w:firstLine="480"/>
        <w:rPr>
          <w:sz w:val="24"/>
          <w:szCs w:val="24"/>
        </w:rPr>
      </w:pPr>
      <w:r>
        <w:rPr>
          <w:rFonts w:hint="eastAsia"/>
          <w:sz w:val="24"/>
          <w:szCs w:val="24"/>
        </w:rPr>
        <w:t xml:space="preserve">评标委员会认为投标人的投标报价有可能低于其个别成本时，应当要求投标人以书面方式作出澄清，并提供相关证明材料后再进行认定。</w:t>
      </w:r>
      <w:r/>
    </w:p>
    <w:p>
      <w:pPr>
        <w:ind w:firstLine="480"/>
        <w:rPr>
          <w:sz w:val="24"/>
          <w:szCs w:val="24"/>
        </w:rPr>
      </w:pPr>
      <w:r>
        <w:rPr>
          <w:rFonts w:hint="eastAsia"/>
          <w:sz w:val="24"/>
          <w:szCs w:val="24"/>
        </w:rPr>
        <w:t xml:space="preserve">3</w:t>
      </w:r>
      <w:r>
        <w:rPr>
          <w:rFonts w:hint="eastAsia"/>
          <w:sz w:val="24"/>
          <w:szCs w:val="24"/>
        </w:rPr>
        <w:t xml:space="preserve">、打分</w:t>
      </w:r>
      <w:r/>
    </w:p>
    <w:p>
      <w:pPr>
        <w:ind w:firstLine="480"/>
        <w:rPr>
          <w:sz w:val="24"/>
          <w:szCs w:val="24"/>
        </w:rPr>
      </w:pPr>
      <w:r>
        <w:rPr>
          <w:rFonts w:hint="eastAsia"/>
          <w:sz w:val="24"/>
          <w:szCs w:val="24"/>
        </w:rPr>
        <w:t xml:space="preserve">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r/>
    </w:p>
    <w:p>
      <w:pPr>
        <w:ind w:firstLine="480"/>
        <w:rPr>
          <w:sz w:val="24"/>
          <w:szCs w:val="24"/>
        </w:rPr>
      </w:pPr>
      <w:r>
        <w:rPr>
          <w:rFonts w:hint="eastAsia"/>
          <w:sz w:val="24"/>
          <w:szCs w:val="24"/>
        </w:rPr>
        <w:t xml:space="preserve">4</w:t>
      </w:r>
      <w:r>
        <w:rPr>
          <w:rFonts w:hint="eastAsia"/>
          <w:sz w:val="24"/>
          <w:szCs w:val="24"/>
        </w:rPr>
        <w:t xml:space="preserve">、争议处理</w:t>
      </w:r>
      <w:r/>
    </w:p>
    <w:p>
      <w:pPr>
        <w:ind w:firstLine="480"/>
        <w:rPr>
          <w:sz w:val="24"/>
          <w:szCs w:val="24"/>
        </w:rPr>
      </w:pPr>
      <w:r>
        <w:rPr>
          <w:rFonts w:hint="eastAsia"/>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rPr>
          <w:sz w:val="24"/>
          <w:szCs w:val="24"/>
        </w:rPr>
      </w:pPr>
      <w:r>
        <w:rPr>
          <w:rFonts w:hint="eastAsia"/>
          <w:sz w:val="24"/>
          <w:szCs w:val="24"/>
        </w:rPr>
        <w:t xml:space="preserve">5</w:t>
      </w:r>
      <w:r>
        <w:rPr>
          <w:rFonts w:hint="eastAsia"/>
          <w:sz w:val="24"/>
          <w:szCs w:val="24"/>
        </w:rPr>
        <w:t xml:space="preserve">、违法违纪行为</w:t>
      </w:r>
      <w:r/>
    </w:p>
    <w:p>
      <w:pPr>
        <w:ind w:firstLine="480"/>
        <w:rPr>
          <w:sz w:val="24"/>
          <w:szCs w:val="24"/>
        </w:rPr>
      </w:pPr>
      <w:r>
        <w:rPr>
          <w:rFonts w:hint="eastAsia"/>
          <w:sz w:val="24"/>
          <w:szCs w:val="24"/>
        </w:rPr>
        <w:t xml:space="preserve">在招投标过程中发生行贿受贿、扰乱招投标活动秩序及其他严重违法违纪行为的，一律取消有关责任人参与招投标活动的资格；影响评审结果的，应宣布评审结果无效。</w:t>
      </w:r>
      <w:r/>
    </w:p>
    <w:p>
      <w:pPr>
        <w:ind w:firstLine="480"/>
        <w:rPr>
          <w:sz w:val="24"/>
          <w:szCs w:val="24"/>
        </w:rPr>
      </w:pPr>
      <w:r>
        <w:rPr>
          <w:rFonts w:hint="eastAsia"/>
          <w:sz w:val="24"/>
          <w:szCs w:val="24"/>
        </w:rPr>
        <w:t xml:space="preserve">6</w:t>
      </w:r>
      <w:r>
        <w:rPr>
          <w:rFonts w:hint="eastAsia"/>
          <w:sz w:val="24"/>
          <w:szCs w:val="24"/>
        </w:rPr>
        <w:t xml:space="preserve">、其它</w:t>
      </w:r>
      <w:r/>
    </w:p>
    <w:p>
      <w:pPr>
        <w:ind w:firstLine="480"/>
        <w:rPr>
          <w:sz w:val="24"/>
          <w:szCs w:val="24"/>
        </w:rPr>
      </w:pPr>
      <w:r>
        <w:rPr>
          <w:rFonts w:hint="eastAsia"/>
          <w:sz w:val="24"/>
          <w:szCs w:val="24"/>
        </w:rPr>
        <w:t xml:space="preserve">在评审过程中，一旦发现招标文件中发现以下现象的，经评标委员会认定，删除该项评审或记分。</w:t>
      </w:r>
      <w:r/>
    </w:p>
    <w:p>
      <w:pPr>
        <w:ind w:firstLine="480"/>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）招标文件内容中某项条款，有明显倾向或歧视的；</w:t>
      </w:r>
      <w:r/>
    </w:p>
    <w:p>
      <w:pPr>
        <w:ind w:firstLine="480"/>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）招标文件内容中某项条款有多种解释的。</w:t>
      </w:r>
      <w:r/>
    </w:p>
    <w:p>
      <w:pPr>
        <w:pStyle w:val="735"/>
        <w:ind w:firstLine="442"/>
        <w:spacing w:before="0" w:after="0" w:line="415" w:lineRule="auto"/>
        <w:rPr>
          <w:rFonts w:ascii="黑体" w:eastAsia="黑体" w:cs="黑体"/>
          <w:color w:val="000000"/>
        </w:rPr>
      </w:pPr>
      <w:r>
        <w:rPr>
          <w:rFonts w:hint="eastAsia"/>
          <w:color w:val="000000"/>
        </w:rPr>
        <w:br w:type="page" w:clear="all"/>
      </w:r>
      <w:bookmarkStart w:id="251" w:name="_Toc196405332"/>
      <w:r/>
      <w:bookmarkStart w:id="252" w:name="_Toc30621"/>
      <w:r>
        <w:rPr>
          <w:rFonts w:hint="eastAsia"/>
        </w:rPr>
        <w:t xml:space="preserve">第六章</w:t>
      </w:r>
      <w:r>
        <w:rPr>
          <w:rFonts w:hint="eastAsia"/>
        </w:rPr>
        <w:t xml:space="preserve">  </w:t>
      </w:r>
      <w:r>
        <w:rPr>
          <w:rFonts w:hint="eastAsia"/>
        </w:rPr>
        <w:t xml:space="preserve">投标</w:t>
      </w:r>
      <w:bookmarkEnd w:id="238"/>
      <w:r/>
      <w:bookmarkEnd w:id="239"/>
      <w:r/>
      <w:bookmarkEnd w:id="246"/>
      <w:r>
        <w:rPr>
          <w:rFonts w:hint="eastAsia"/>
        </w:rPr>
        <w:t xml:space="preserve">文件格式</w:t>
      </w:r>
      <w:bookmarkEnd w:id="251"/>
      <w:r/>
      <w:bookmarkEnd w:id="252"/>
      <w:r>
        <w:rPr>
          <w:rFonts w:hint="eastAsia"/>
        </w:rPr>
        <w:t xml:space="preserve"> </w:t>
      </w:r>
      <w:r/>
    </w:p>
    <w:p>
      <w:pPr>
        <w:ind w:firstLine="720"/>
        <w:jc w:val="center"/>
        <w:rPr>
          <w:rFonts w:ascii="宋体" w:hAnsi="宋体"/>
          <w:b/>
          <w:color w:val="000000"/>
          <w:sz w:val="72"/>
        </w:rPr>
      </w:pPr>
      <w:r/>
      <w:bookmarkStart w:id="253" w:name="_Hlt26955039"/>
      <w:r/>
      <w:bookmarkStart w:id="254" w:name="_Hlt26671244"/>
      <w:r/>
      <w:bookmarkStart w:id="255" w:name="_Toc120614282"/>
      <w:r/>
      <w:bookmarkStart w:id="256" w:name="_Toc26554094"/>
      <w:r/>
      <w:bookmarkStart w:id="257" w:name="_Toc49090576"/>
      <w:r/>
      <w:bookmarkEnd w:id="253"/>
      <w:r/>
      <w:bookmarkEnd w:id="254"/>
      <w:r/>
      <w:r/>
    </w:p>
    <w:p>
      <w:pPr>
        <w:ind w:firstLine="723"/>
        <w:jc w:val="center"/>
        <w:rPr>
          <w:rFonts w:ascii="宋体" w:hAnsi="宋体"/>
          <w:b/>
          <w:color w:val="000000"/>
          <w:sz w:val="72"/>
        </w:rPr>
      </w:pPr>
      <w:r>
        <w:rPr>
          <w:rFonts w:hint="eastAsia" w:ascii="宋体" w:hAnsi="宋体"/>
          <w:b/>
          <w:color w:val="000000"/>
          <w:sz w:val="72"/>
        </w:rPr>
        <w:t xml:space="preserve">投  标  文  件</w:t>
      </w:r>
      <w:r/>
    </w:p>
    <w:p>
      <w:pPr>
        <w:ind w:firstLine="720"/>
        <w:jc w:val="center"/>
        <w:rPr>
          <w:rFonts w:ascii="宋体" w:hAnsi="宋体"/>
          <w:b/>
          <w:color w:val="000000"/>
          <w:sz w:val="72"/>
        </w:rPr>
      </w:pPr>
      <w:r>
        <w:rPr>
          <w:rFonts w:ascii="宋体" w:hAnsi="宋体"/>
          <w:b/>
          <w:color w:val="000000"/>
          <w:sz w:val="72"/>
        </w:rPr>
      </w:r>
      <w:r/>
    </w:p>
    <w:p>
      <w:pPr>
        <w:ind w:firstLine="720"/>
        <w:jc w:val="center"/>
        <w:rPr>
          <w:rFonts w:ascii="宋体" w:hAnsi="宋体"/>
          <w:b/>
          <w:color w:val="000000"/>
          <w:sz w:val="72"/>
        </w:rPr>
      </w:pPr>
      <w:r>
        <w:rPr>
          <w:rFonts w:ascii="宋体" w:hAnsi="宋体"/>
          <w:b/>
          <w:color w:val="000000"/>
          <w:sz w:val="72"/>
        </w:rPr>
      </w:r>
      <w:r/>
    </w:p>
    <w:p>
      <w:pPr>
        <w:ind w:firstLine="360"/>
        <w:jc w:val="center"/>
        <w:rPr>
          <w:rFonts w:ascii="宋体" w:hAnsi="宋体"/>
          <w:b/>
          <w:color w:val="000000"/>
          <w:sz w:val="36"/>
        </w:rPr>
      </w:pPr>
      <w:r>
        <w:rPr>
          <w:rFonts w:ascii="宋体" w:hAnsi="宋体"/>
          <w:b/>
          <w:color w:val="000000"/>
          <w:sz w:val="36"/>
        </w:rPr>
      </w:r>
      <w:r/>
    </w:p>
    <w:p>
      <w:pPr>
        <w:ind w:firstLine="360"/>
        <w:jc w:val="center"/>
        <w:rPr>
          <w:rFonts w:ascii="宋体" w:hAnsi="宋体"/>
          <w:b/>
          <w:color w:val="000000"/>
          <w:sz w:val="36"/>
        </w:rPr>
      </w:pPr>
      <w:r>
        <w:rPr>
          <w:rFonts w:ascii="宋体" w:hAnsi="宋体"/>
          <w:b/>
          <w:color w:val="000000"/>
          <w:sz w:val="36"/>
        </w:rPr>
      </w:r>
      <w:r/>
    </w:p>
    <w:p>
      <w:pPr>
        <w:ind w:firstLine="360"/>
        <w:jc w:val="center"/>
        <w:rPr>
          <w:rFonts w:ascii="宋体" w:hAnsi="宋体"/>
          <w:b/>
          <w:color w:val="000000"/>
          <w:sz w:val="36"/>
        </w:rPr>
      </w:pPr>
      <w:r>
        <w:rPr>
          <w:rFonts w:ascii="宋体" w:hAnsi="宋体"/>
          <w:b/>
          <w:color w:val="000000"/>
          <w:sz w:val="36"/>
        </w:rPr>
      </w:r>
      <w:r/>
    </w:p>
    <w:p>
      <w:pPr>
        <w:ind w:firstLine="1446"/>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ind w:firstLine="36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ind w:firstLine="361"/>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320"/>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361"/>
        <w:rPr>
          <w:rFonts w:ascii="宋体" w:hAnsi="宋体"/>
          <w:b/>
          <w:bCs/>
          <w:color w:val="000000"/>
          <w:sz w:val="32"/>
          <w:szCs w:val="32"/>
        </w:rPr>
      </w:pPr>
      <w:r>
        <w:rPr>
          <w:rFonts w:ascii="宋体" w:hAnsi="宋体"/>
          <w:b/>
          <w:color w:val="000000"/>
          <w:sz w:val="36"/>
          <w:u w:val="single"/>
        </w:rPr>
        <w:br w:type="page" w:clear="all"/>
      </w:r>
      <w:r/>
    </w:p>
    <w:p>
      <w:pPr>
        <w:pStyle w:val="779"/>
        <w:jc w:val="center"/>
        <w:spacing w:beforeAutospacing="0" w:afterAutospacing="0" w:line="0" w:lineRule="atLeast"/>
        <w:rPr>
          <w:color w:val="000000"/>
        </w:rPr>
      </w:pPr>
      <w:r/>
      <w:bookmarkStart w:id="258" w:name="_Toc120614284"/>
      <w:r/>
      <w:bookmarkEnd w:id="255"/>
      <w:r/>
      <w:bookmarkEnd w:id="256"/>
      <w:r/>
      <w:bookmarkEnd w:id="257"/>
      <w:r>
        <w:rPr>
          <w:rFonts w:hint="eastAsia"/>
          <w:b/>
          <w:color w:val="000000"/>
          <w:sz w:val="32"/>
          <w:szCs w:val="32"/>
        </w:rPr>
        <w:t xml:space="preserve">投标文件目录</w:t>
      </w:r>
      <w:r/>
    </w:p>
    <w:p>
      <w:pPr>
        <w:pStyle w:val="779"/>
        <w:jc w:val="center"/>
        <w:spacing w:beforeAutospacing="0" w:afterAutospacing="0" w:line="0" w:lineRule="atLeast"/>
        <w:rPr>
          <w:color w:val="000000"/>
        </w:rPr>
      </w:pPr>
      <w:r>
        <w:rPr>
          <w:color w:val="000000"/>
        </w:rPr>
        <w:t xml:space="preserve"> </w:t>
      </w:r>
      <w:r/>
    </w:p>
    <w:p>
      <w:pPr>
        <w:pStyle w:val="779"/>
        <w:ind w:left="480"/>
        <w:jc w:val="both"/>
        <w:spacing w:beforeAutospacing="0" w:afterAutospacing="0"/>
        <w:rPr>
          <w:iCs/>
          <w:color w:val="000000"/>
        </w:rPr>
      </w:pPr>
      <w:r>
        <w:rPr>
          <w:rFonts w:hint="eastAsia"/>
          <w:iCs/>
          <w:color w:val="000000"/>
        </w:rPr>
        <w:t xml:space="preserve">一、法人或者其他组织的营业执照等证明文件，自然人的身份证明</w:t>
      </w:r>
      <w:r/>
    </w:p>
    <w:p>
      <w:pPr>
        <w:pStyle w:val="779"/>
        <w:ind w:left="480"/>
        <w:jc w:val="both"/>
        <w:spacing w:beforeAutospacing="0" w:afterAutospacing="0"/>
        <w:rPr>
          <w:iCs/>
          <w:color w:val="000000"/>
        </w:rPr>
      </w:pPr>
      <w:r>
        <w:rPr>
          <w:rFonts w:hint="eastAsia"/>
          <w:iCs/>
          <w:color w:val="000000"/>
        </w:rPr>
        <w:t xml:space="preserve">二、上一年度的财务状况报表（投标人成立不满一年无需提供）</w:t>
      </w:r>
      <w:r/>
    </w:p>
    <w:p>
      <w:pPr>
        <w:pStyle w:val="779"/>
        <w:ind w:left="480"/>
        <w:jc w:val="both"/>
        <w:spacing w:beforeAutospacing="0" w:afterAutospacing="0"/>
        <w:rPr>
          <w:iCs/>
          <w:color w:val="000000"/>
        </w:rPr>
      </w:pPr>
      <w:r>
        <w:rPr>
          <w:rFonts w:hint="eastAsia"/>
          <w:iCs/>
          <w:color w:val="000000"/>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9"/>
        <w:ind w:left="480"/>
        <w:jc w:val="both"/>
        <w:spacing w:beforeAutospacing="0" w:afterAutospacing="0"/>
        <w:rPr>
          <w:iCs/>
          <w:color w:val="000000"/>
        </w:rPr>
      </w:pPr>
      <w:r>
        <w:rPr>
          <w:rFonts w:hint="eastAsia"/>
          <w:iCs/>
          <w:color w:val="000000"/>
        </w:rPr>
        <w:t xml:space="preserve">四、具备履行合同所必需的设备和专业技术能力的书面声明</w:t>
      </w:r>
      <w:r/>
    </w:p>
    <w:p>
      <w:pPr>
        <w:pStyle w:val="779"/>
        <w:ind w:firstLine="480"/>
        <w:jc w:val="both"/>
        <w:spacing w:beforeAutospacing="0" w:afterAutospacing="0" w:line="0" w:lineRule="atLeast"/>
        <w:rPr>
          <w:iCs/>
          <w:color w:val="000000"/>
        </w:rPr>
      </w:pPr>
      <w:r>
        <w:rPr>
          <w:rFonts w:hint="eastAsia"/>
          <w:iCs/>
          <w:color w:val="000000"/>
        </w:rPr>
        <w:t xml:space="preserve">五、参加政府采购活动前 3 年内在经营活动中没有重大违法记录的书面声明</w:t>
      </w:r>
      <w:r/>
    </w:p>
    <w:p>
      <w:pPr>
        <w:pStyle w:val="779"/>
        <w:ind w:firstLine="480"/>
        <w:jc w:val="both"/>
        <w:spacing w:beforeAutospacing="0" w:afterAutospacing="0" w:line="0" w:lineRule="atLeast"/>
        <w:rPr>
          <w:iCs/>
          <w:color w:val="000000"/>
        </w:rPr>
      </w:pPr>
      <w:r>
        <w:rPr>
          <w:rFonts w:hint="eastAsia"/>
          <w:iCs/>
          <w:color w:val="000000"/>
        </w:rPr>
        <w:t xml:space="preserve">六、特定资格要求的证明文件（如果本项目设置特定资格要求，则需要提供）</w:t>
      </w:r>
      <w:r/>
    </w:p>
    <w:p>
      <w:pPr>
        <w:pStyle w:val="779"/>
        <w:ind w:firstLine="480"/>
        <w:jc w:val="both"/>
        <w:spacing w:beforeAutospacing="0" w:afterAutospacing="0" w:line="0" w:lineRule="atLeast"/>
        <w:rPr>
          <w:iCs/>
          <w:color w:val="000000"/>
        </w:rPr>
      </w:pPr>
      <w:r>
        <w:rPr>
          <w:rFonts w:hint="eastAsia"/>
          <w:iCs/>
          <w:color w:val="000000"/>
        </w:rPr>
        <w:t xml:space="preserve">七、法人授权书</w:t>
      </w:r>
      <w:r/>
    </w:p>
    <w:p>
      <w:pPr>
        <w:pStyle w:val="779"/>
        <w:ind w:firstLine="480"/>
        <w:jc w:val="both"/>
        <w:spacing w:beforeAutospacing="0" w:afterAutospacing="0" w:line="0" w:lineRule="atLeast"/>
        <w:rPr>
          <w:iCs/>
          <w:color w:val="000000"/>
        </w:rPr>
      </w:pPr>
      <w:r>
        <w:rPr>
          <w:rFonts w:hint="eastAsia"/>
          <w:iCs/>
          <w:color w:val="000000"/>
        </w:rPr>
        <w:t xml:space="preserve">八、投标函</w:t>
      </w:r>
      <w:r/>
    </w:p>
    <w:p>
      <w:pPr>
        <w:pStyle w:val="779"/>
        <w:ind w:firstLine="480"/>
        <w:jc w:val="both"/>
        <w:spacing w:beforeAutospacing="0" w:afterAutospacing="0" w:line="0" w:lineRule="atLeast"/>
        <w:rPr>
          <w:iCs/>
          <w:color w:val="000000"/>
        </w:rPr>
      </w:pPr>
      <w:r>
        <w:rPr>
          <w:rFonts w:hint="eastAsia"/>
          <w:iCs/>
          <w:color w:val="000000"/>
        </w:rPr>
        <w:t xml:space="preserve">九、小微企业声明函</w:t>
      </w:r>
      <w:r/>
    </w:p>
    <w:p>
      <w:pPr>
        <w:pStyle w:val="779"/>
        <w:ind w:firstLine="480"/>
        <w:jc w:val="both"/>
        <w:spacing w:beforeAutospacing="0" w:afterAutospacing="0" w:line="0" w:lineRule="atLeast"/>
        <w:rPr>
          <w:iCs/>
          <w:color w:val="000000"/>
        </w:rPr>
      </w:pPr>
      <w:r>
        <w:rPr>
          <w:rFonts w:hint="eastAsia"/>
          <w:iCs/>
          <w:color w:val="000000"/>
        </w:rPr>
        <w:t xml:space="preserve">十、残疾人福利性单位声明函</w:t>
      </w:r>
      <w:r/>
    </w:p>
    <w:p>
      <w:pPr>
        <w:pStyle w:val="779"/>
        <w:ind w:firstLine="480"/>
        <w:jc w:val="both"/>
        <w:spacing w:beforeAutospacing="0" w:afterAutospacing="0" w:line="0" w:lineRule="atLeast"/>
        <w:rPr>
          <w:iCs/>
          <w:color w:val="000000"/>
        </w:rPr>
      </w:pPr>
      <w:r>
        <w:rPr>
          <w:rFonts w:hint="eastAsia"/>
          <w:iCs/>
          <w:color w:val="000000"/>
        </w:rPr>
        <w:t xml:space="preserve">十一、投标分项报价表</w:t>
      </w:r>
      <w:r/>
    </w:p>
    <w:p>
      <w:pPr>
        <w:pStyle w:val="779"/>
        <w:ind w:firstLine="480"/>
        <w:jc w:val="both"/>
        <w:spacing w:beforeAutospacing="0" w:afterAutospacing="0" w:line="0" w:lineRule="atLeast"/>
        <w:rPr>
          <w:iCs/>
          <w:color w:val="000000"/>
        </w:rPr>
      </w:pPr>
      <w:r>
        <w:rPr>
          <w:rFonts w:hint="eastAsia"/>
          <w:iCs/>
          <w:color w:val="000000"/>
        </w:rPr>
        <w:t xml:space="preserve">十二、技术要求响应及偏离表</w:t>
      </w:r>
      <w:r/>
    </w:p>
    <w:p>
      <w:pPr>
        <w:pStyle w:val="779"/>
        <w:ind w:firstLine="480"/>
        <w:jc w:val="both"/>
        <w:spacing w:beforeAutospacing="0" w:afterAutospacing="0" w:line="0" w:lineRule="atLeast"/>
        <w:rPr>
          <w:iCs/>
          <w:color w:val="000000"/>
        </w:rPr>
      </w:pPr>
      <w:r>
        <w:rPr>
          <w:rFonts w:hint="eastAsia"/>
          <w:iCs/>
          <w:color w:val="000000"/>
        </w:rPr>
        <w:t xml:space="preserve">十三、商务要求响应及偏离表</w:t>
      </w:r>
      <w:r/>
    </w:p>
    <w:p>
      <w:pPr>
        <w:pStyle w:val="779"/>
        <w:ind w:firstLine="480"/>
        <w:jc w:val="both"/>
        <w:spacing w:beforeAutospacing="0" w:afterAutospacing="0" w:line="0" w:lineRule="atLeast"/>
        <w:rPr>
          <w:iCs/>
          <w:color w:val="000000"/>
        </w:rPr>
      </w:pPr>
      <w:r>
        <w:rPr>
          <w:rFonts w:hint="eastAsia"/>
          <w:iCs/>
          <w:color w:val="000000"/>
        </w:rPr>
        <w:t xml:space="preserve">十四、开标一览表</w:t>
      </w:r>
      <w:r/>
    </w:p>
    <w:p>
      <w:pPr>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十五、服务方案</w:t>
      </w:r>
      <w:r/>
    </w:p>
    <w:p>
      <w:pPr>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十六、配置清单</w:t>
      </w:r>
      <w:r/>
    </w:p>
    <w:p>
      <w:pPr>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十七、项目业绩</w:t>
      </w:r>
      <w:r/>
    </w:p>
    <w:p>
      <w:pPr>
        <w:ind w:firstLine="480"/>
        <w:spacing w:before="50" w:after="50"/>
        <w:widowControl/>
        <w:rPr>
          <w:rFonts w:ascii="宋体" w:hAnsi="宋体" w:cs="宋体"/>
          <w:iCs/>
          <w:color w:val="000000"/>
          <w:sz w:val="24"/>
        </w:rPr>
      </w:pPr>
      <w:r>
        <w:rPr>
          <w:rFonts w:hint="eastAsia" w:ascii="宋体" w:hAnsi="宋体" w:cs="宋体"/>
          <w:iCs/>
          <w:color w:val="000000"/>
          <w:sz w:val="24"/>
        </w:rPr>
        <w:t xml:space="preserve">十六、响水县政府采购事前信用承诺书</w:t>
      </w:r>
      <w:r/>
    </w:p>
    <w:p>
      <w:pPr>
        <w:pStyle w:val="1013"/>
        <w:jc w:val="left"/>
        <w:spacing w:before="0" w:after="0" w:line="240" w:lineRule="auto"/>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bookmarkStart w:id="259" w:name="_Toc28769"/>
      <w:r>
        <w:rPr>
          <w:rFonts w:hint="eastAsia" w:ascii="黑体" w:hAnsi="黑体" w:eastAsia="黑体" w:cs="Times New Roman"/>
          <w:b w:val="0"/>
          <w:bCs w:val="0"/>
          <w:i/>
          <w:color w:val="000000"/>
          <w:sz w:val="32"/>
          <w:szCs w:val="32"/>
          <w:u w:val="single"/>
        </w:rPr>
        <w:t xml:space="preserve">一、法人或者其他组织的营业执照等证明文件，自然人的身份证明</w:t>
      </w:r>
      <w:bookmarkEnd w:id="259"/>
      <w:r/>
      <w:r/>
    </w:p>
    <w:p>
      <w:pPr>
        <w:ind w:firstLine="241"/>
        <w:spacing w:line="440" w:lineRule="exact"/>
        <w:rPr>
          <w:rFonts w:ascii="宋体" w:hAnsi="宋体"/>
          <w:color w:val="000000"/>
          <w:sz w:val="24"/>
        </w:rPr>
      </w:pPr>
      <w:r>
        <w:rPr>
          <w:rFonts w:ascii="宋体" w:hAnsi="宋体"/>
          <w:color w:val="000000"/>
          <w:sz w:val="24"/>
        </w:rPr>
      </w:r>
      <w:r/>
    </w:p>
    <w:p>
      <w:pPr>
        <w:pStyle w:val="1013"/>
        <w:jc w:val="left"/>
        <w:spacing w:before="0" w:after="0" w:line="240" w:lineRule="auto"/>
        <w:rPr>
          <w:rFonts w:ascii="黑体" w:hAnsi="黑体" w:eastAsia="黑体" w:cs="Times New Roman"/>
          <w:b w:val="0"/>
          <w:bCs w:val="0"/>
          <w:i/>
          <w:color w:val="000000"/>
          <w:sz w:val="32"/>
          <w:szCs w:val="32"/>
          <w:u w:val="single"/>
        </w:rPr>
      </w:pPr>
      <w:r/>
      <w:bookmarkStart w:id="260" w:name="_Toc28253"/>
      <w:r>
        <w:rPr>
          <w:rFonts w:hint="eastAsia" w:ascii="黑体" w:hAnsi="黑体" w:eastAsia="黑体" w:cs="Times New Roman"/>
          <w:b w:val="0"/>
          <w:bCs w:val="0"/>
          <w:i/>
          <w:color w:val="000000"/>
          <w:sz w:val="32"/>
          <w:szCs w:val="32"/>
          <w:u w:val="single"/>
        </w:rPr>
        <w:t xml:space="preserve">二、上一年度的财务状况报表</w:t>
      </w:r>
      <w:bookmarkEnd w:id="260"/>
      <w:r/>
      <w:r/>
    </w:p>
    <w:p>
      <w:pPr>
        <w:ind w:firstLine="480"/>
        <w:rPr>
          <w:rFonts w:ascii="宋体" w:hAnsi="宋体"/>
          <w:bCs/>
          <w:color w:val="000000"/>
          <w:sz w:val="24"/>
        </w:rPr>
      </w:pPr>
      <w:r>
        <w:rPr>
          <w:rFonts w:hint="eastAsia" w:ascii="宋体" w:hAnsi="宋体"/>
          <w:bCs/>
          <w:color w:val="000000"/>
          <w:sz w:val="24"/>
        </w:rPr>
        <w:t xml:space="preserve">至少提供资产负债表、利润表，投标人成立不满一年无需提供。</w:t>
      </w:r>
      <w:r/>
    </w:p>
    <w:p>
      <w:pPr>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1013"/>
        <w:jc w:val="left"/>
        <w:spacing w:before="0" w:after="0" w:line="240" w:lineRule="auto"/>
        <w:rPr>
          <w:rFonts w:ascii="黑体" w:hAnsi="黑体" w:eastAsia="黑体" w:cs="Times New Roman"/>
          <w:b w:val="0"/>
          <w:bCs w:val="0"/>
          <w:i/>
          <w:color w:val="000000"/>
          <w:sz w:val="32"/>
          <w:szCs w:val="32"/>
          <w:u w:val="single"/>
        </w:rPr>
      </w:pPr>
      <w:r/>
      <w:bookmarkStart w:id="261" w:name="_Toc3391"/>
      <w:r>
        <w:rPr>
          <w:rFonts w:hint="eastAsia" w:ascii="黑体" w:hAnsi="黑体" w:eastAsia="黑体" w:cs="Times New Roman"/>
          <w:b w:val="0"/>
          <w:bCs w:val="0"/>
          <w:i/>
          <w:color w:val="000000"/>
          <w:sz w:val="32"/>
          <w:szCs w:val="32"/>
          <w:u w:val="single"/>
        </w:rPr>
        <w:t xml:space="preserve">三、依法缴纳税收和社会保障资金的相关材料</w:t>
      </w:r>
      <w:bookmarkEnd w:id="261"/>
      <w:r/>
      <w:r/>
    </w:p>
    <w:p>
      <w:pPr>
        <w:ind w:firstLine="480"/>
        <w:rPr>
          <w:rFonts w:ascii="宋体" w:hAnsi="宋体"/>
          <w:bCs/>
          <w:color w:val="000000"/>
          <w:sz w:val="24"/>
        </w:rPr>
      </w:pPr>
      <w:r>
        <w:rPr>
          <w:rFonts w:hint="eastAsia" w:ascii="宋体" w:hAnsi="宋体"/>
          <w:bCs/>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1013"/>
        <w:jc w:val="left"/>
        <w:spacing w:before="0" w:after="0" w:line="240" w:lineRule="auto"/>
        <w:rPr>
          <w:rFonts w:ascii="黑体" w:hAnsi="黑体" w:eastAsia="黑体" w:cs="Times New Roman"/>
          <w:b w:val="0"/>
          <w:bCs w:val="0"/>
          <w:i/>
          <w:color w:val="000000"/>
          <w:sz w:val="32"/>
          <w:szCs w:val="32"/>
          <w:u w:val="single"/>
        </w:rPr>
      </w:pPr>
      <w:r/>
      <w:bookmarkStart w:id="262" w:name="_Toc12550"/>
      <w:r>
        <w:rPr>
          <w:rFonts w:hint="eastAsia" w:ascii="黑体" w:hAnsi="黑体" w:eastAsia="黑体" w:cs="Times New Roman"/>
          <w:b w:val="0"/>
          <w:bCs w:val="0"/>
          <w:i/>
          <w:color w:val="000000"/>
          <w:sz w:val="32"/>
          <w:szCs w:val="32"/>
          <w:u w:val="single"/>
        </w:rPr>
        <w:t xml:space="preserve">四、具备履行合同所必需的设备和专业技术能力的书面声明</w:t>
      </w:r>
      <w:bookmarkEnd w:id="262"/>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pStyle w:val="1012"/>
        <w:ind w:firstLine="241"/>
        <w:rPr>
          <w:color w:val="000000"/>
        </w:rPr>
      </w:pPr>
      <w:r>
        <w:rPr>
          <w:color w:val="000000"/>
        </w:rPr>
      </w:r>
      <w:r/>
    </w:p>
    <w:p>
      <w:pPr>
        <w:pStyle w:val="1013"/>
        <w:jc w:val="left"/>
        <w:spacing w:before="0" w:after="0" w:line="240" w:lineRule="auto"/>
        <w:rPr>
          <w:rFonts w:ascii="黑体" w:hAnsi="黑体" w:eastAsia="黑体" w:cs="Times New Roman"/>
          <w:b w:val="0"/>
          <w:bCs w:val="0"/>
          <w:i/>
          <w:color w:val="000000"/>
          <w:sz w:val="32"/>
          <w:szCs w:val="32"/>
          <w:u w:val="single"/>
        </w:rPr>
      </w:pPr>
      <w:r/>
      <w:bookmarkStart w:id="263" w:name="_Toc9111"/>
      <w:r>
        <w:rPr>
          <w:rFonts w:hint="eastAsia" w:ascii="黑体" w:hAnsi="黑体" w:eastAsia="黑体" w:cs="Times New Roman"/>
          <w:b w:val="0"/>
          <w:bCs w:val="0"/>
          <w:i/>
          <w:color w:val="000000"/>
          <w:sz w:val="32"/>
          <w:szCs w:val="32"/>
          <w:u w:val="single"/>
        </w:rPr>
        <w:t xml:space="preserve">五、参加政府采购活动前 3 年内在经营活动中没有重大违法记录的书面声明</w:t>
      </w:r>
      <w:bookmarkEnd w:id="263"/>
      <w:r/>
      <w:r/>
    </w:p>
    <w:p>
      <w:pPr>
        <w:ind w:firstLine="442"/>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321"/>
        <w:rPr>
          <w:rFonts w:ascii="黑体" w:hAnsi="黑体" w:eastAsia="黑体"/>
          <w:i/>
          <w:color w:val="000000"/>
          <w:sz w:val="32"/>
          <w:szCs w:val="32"/>
          <w:u w:val="single"/>
        </w:rPr>
      </w:pPr>
      <w:r>
        <w:rPr>
          <w:rFonts w:ascii="黑体" w:hAnsi="黑体" w:eastAsia="黑体"/>
          <w:i/>
          <w:color w:val="000000"/>
          <w:sz w:val="32"/>
          <w:szCs w:val="32"/>
          <w:u w:val="single"/>
        </w:rPr>
      </w:r>
      <w:r/>
    </w:p>
    <w:p>
      <w:pPr>
        <w:pStyle w:val="1013"/>
        <w:jc w:val="left"/>
        <w:spacing w:before="0" w:after="0" w:line="415" w:lineRule="auto"/>
        <w:rPr>
          <w:rFonts w:ascii="黑体" w:hAnsi="黑体" w:eastAsia="黑体" w:cs="Times New Roman"/>
          <w:b w:val="0"/>
          <w:bCs w:val="0"/>
          <w:i/>
          <w:color w:val="000000"/>
          <w:sz w:val="32"/>
          <w:szCs w:val="32"/>
          <w:u w:val="single"/>
        </w:rPr>
      </w:pPr>
      <w:r/>
      <w:bookmarkStart w:id="264" w:name="_Toc21668"/>
      <w:r>
        <w:rPr>
          <w:rFonts w:hint="eastAsia" w:ascii="黑体" w:hAnsi="黑体" w:eastAsia="黑体" w:cs="Times New Roman"/>
          <w:b w:val="0"/>
          <w:bCs w:val="0"/>
          <w:i/>
          <w:color w:val="000000"/>
          <w:sz w:val="32"/>
          <w:szCs w:val="32"/>
          <w:u w:val="single"/>
        </w:rPr>
        <w:t xml:space="preserve">六、特定资格要求的证明文件</w:t>
      </w:r>
      <w:bookmarkEnd w:id="264"/>
      <w:r/>
      <w:r/>
    </w:p>
    <w:p>
      <w:pPr>
        <w:spacing w:line="460" w:lineRule="exact"/>
        <w:rPr>
          <w:rFonts w:ascii="宋体" w:hAnsi="宋体"/>
          <w:bCs/>
          <w:color w:val="000000"/>
          <w:sz w:val="24"/>
        </w:rPr>
      </w:pPr>
      <w:r>
        <w:rPr>
          <w:rFonts w:hint="eastAsia" w:ascii="宋体" w:hAnsi="宋体"/>
          <w:color w:val="000000"/>
          <w:sz w:val="24"/>
        </w:rPr>
        <w:t xml:space="preserve">    如果本项目申请人的特定资格要求中要求提供的，必须提供。</w:t>
      </w:r>
      <w:r/>
    </w:p>
    <w:p>
      <w:pPr>
        <w:pStyle w:val="1013"/>
        <w:ind w:firstLine="240"/>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bookmarkStart w:id="265" w:name="_Toc32753"/>
      <w:r>
        <w:rPr>
          <w:rFonts w:hint="eastAsia" w:ascii="黑体" w:hAnsi="黑体" w:eastAsia="黑体" w:cs="Times New Roman"/>
          <w:b w:val="0"/>
          <w:bCs w:val="0"/>
          <w:i/>
          <w:color w:val="000000"/>
          <w:sz w:val="32"/>
          <w:szCs w:val="32"/>
          <w:u w:val="single"/>
        </w:rPr>
        <w:t xml:space="preserve">七、法人授权书</w:t>
      </w:r>
      <w:bookmarkEnd w:id="265"/>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本授权书声明：____________（投标人名称）授权________________（被授权人的姓名）为我方就</w:t>
      </w:r>
      <w:r>
        <w:rPr>
          <w:rFonts w:hint="eastAsia"/>
          <w:u w:val="single"/>
          <w:shd w:val="clear" w:color="auto" w:fill="ffffff" w:themeFill="background1"/>
        </w:rPr>
        <w:t xml:space="preserve">JSZC-320921-SHGK-G2025-0189</w:t>
      </w:r>
      <w:r>
        <w:rPr>
          <w:shd w:val="clear" w:color="auto" w:fill="ffffff" w:themeFill="background1"/>
        </w:rPr>
        <w:t xml:space="preserve">项目采购活动的合法代理人，以本单位名义全权处理一切与该项目采购有关的事务。</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本授权书于______年____月____日起生效，特此声明。</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（加盖CA电子公章）</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79"/>
        <w:ind w:firstLine="480"/>
        <w:jc w:val="both"/>
        <w:spacing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pStyle w:val="779"/>
        <w:jc w:val="both"/>
        <w:spacing w:line="360" w:lineRule="auto"/>
        <w:rPr>
          <w:shd w:val="clear" w:color="auto" w:fill="ffffff" w:themeFill="background1"/>
        </w:rPr>
      </w:pPr>
      <w:r/>
      <w:bookmarkStart w:id="266"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66"/>
      <w:r/>
      <w:r/>
    </w:p>
    <w:p>
      <w:pPr>
        <w:pStyle w:val="1012"/>
        <w:ind w:firstLine="241"/>
        <w:rPr>
          <w:color w:val="000000"/>
        </w:rPr>
      </w:pPr>
      <w:r>
        <w:rPr>
          <w:color w:val="000000"/>
        </w:rPr>
      </w:r>
      <w:r/>
    </w:p>
    <w:p>
      <w:pPr>
        <w:spacing w:line="460" w:lineRule="exact"/>
        <w:rPr>
          <w:rFonts w:ascii="宋体" w:hAnsi="宋体"/>
          <w:bCs/>
          <w:color w:val="000000"/>
          <w:sz w:val="24"/>
        </w:rPr>
      </w:pPr>
      <w:r>
        <w:rPr>
          <w:rFonts w:ascii="宋体" w:hAnsi="宋体"/>
          <w:bCs/>
          <w:color w:val="000000"/>
          <w:sz w:val="24"/>
        </w:rPr>
      </w:r>
      <w:r/>
    </w:p>
    <w:p>
      <w:pPr>
        <w:pStyle w:val="1013"/>
        <w:ind w:firstLine="240"/>
        <w:rPr>
          <w:rFonts w:ascii="黑体" w:hAnsi="黑体" w:eastAsia="黑体" w:cs="Times New Roman"/>
          <w:b w:val="0"/>
          <w:bCs w:val="0"/>
          <w:i/>
          <w:color w:val="000000"/>
          <w:sz w:val="32"/>
          <w:szCs w:val="32"/>
          <w:u w:val="single"/>
        </w:rPr>
      </w:pPr>
      <w:r>
        <w:rPr>
          <w:rFonts w:ascii="宋体" w:hAnsi="宋体"/>
          <w:bCs w:val="0"/>
          <w:color w:val="000000"/>
          <w:sz w:val="24"/>
        </w:rPr>
        <w:br w:type="page" w:clear="all"/>
      </w:r>
      <w:bookmarkStart w:id="267" w:name="_Toc196405142"/>
      <w:r/>
      <w:bookmarkStart w:id="268" w:name="_Toc196405333"/>
      <w:r/>
      <w:bookmarkStart w:id="269" w:name="_Toc30876"/>
      <w:r>
        <w:rPr>
          <w:rFonts w:hint="eastAsia" w:ascii="黑体" w:hAnsi="黑体" w:eastAsia="黑体" w:cs="Times New Roman"/>
          <w:b w:val="0"/>
          <w:bCs w:val="0"/>
          <w:i/>
          <w:color w:val="000000"/>
          <w:sz w:val="32"/>
          <w:szCs w:val="32"/>
          <w:u w:val="single"/>
        </w:rPr>
        <w:t xml:space="preserve">八、投标函</w:t>
      </w:r>
      <w:bookmarkEnd w:id="267"/>
      <w:r/>
      <w:bookmarkEnd w:id="268"/>
      <w:r/>
      <w:bookmarkEnd w:id="269"/>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致（采购人）：</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rPr>
        <w:t xml:space="preserve">JSZC-320921-SHGK-G2025-0189</w:t>
      </w:r>
      <w:r>
        <w:rPr>
          <w:rFonts w:hint="eastAsia" w:ascii="宋体" w:hAnsi="宋体"/>
          <w:color w:val="000000"/>
          <w:szCs w:val="21"/>
        </w:rPr>
        <w:t xml:space="preserve">号招标文件，正式授权下述签字人______（姓名）代表我方______________（投标人的名称），全权处理本次项目投标的有关事宜。</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79"/>
        <w:ind w:firstLine="241"/>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79"/>
        <w:ind w:firstLine="241"/>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79"/>
        <w:ind w:firstLine="241"/>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79"/>
        <w:ind w:firstLine="241"/>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账          号： </w:t>
      </w:r>
      <w:r/>
    </w:p>
    <w:p>
      <w:pPr>
        <w:pStyle w:val="979"/>
        <w:ind w:left="420" w:firstLine="241"/>
        <w:spacing w:before="0" w:after="0" w:line="420" w:lineRule="exact"/>
        <w:rPr>
          <w:rFonts w:ascii="宋体" w:hAnsi="宋体"/>
          <w:color w:val="000000"/>
          <w:szCs w:val="21"/>
        </w:rPr>
      </w:pPr>
      <w:r>
        <w:rPr>
          <w:rFonts w:hint="eastAsia" w:ascii="宋体" w:hAnsi="宋体"/>
          <w:color w:val="000000"/>
          <w:szCs w:val="21"/>
        </w:rPr>
        <w:t xml:space="preserve">日           期：________年____月____日</w:t>
      </w:r>
      <w:r/>
    </w:p>
    <w:p>
      <w:pPr>
        <w:pStyle w:val="1013"/>
        <w:ind w:firstLine="240"/>
        <w:rPr>
          <w:rFonts w:ascii="黑体" w:hAnsi="黑体" w:eastAsia="黑体"/>
          <w:b w:val="0"/>
          <w:color w:val="000000"/>
          <w:sz w:val="32"/>
          <w:szCs w:val="32"/>
        </w:rPr>
      </w:pPr>
      <w:r>
        <w:rPr>
          <w:rFonts w:ascii="黑体" w:hAnsi="黑体" w:eastAsia="黑体"/>
          <w:b w:val="0"/>
          <w:color w:val="000000"/>
          <w:sz w:val="32"/>
          <w:szCs w:val="32"/>
        </w:rPr>
        <w:br w:type="page" w:clear="all"/>
      </w:r>
      <w:bookmarkStart w:id="270" w:name="_Toc15638"/>
      <w:r>
        <w:rPr>
          <w:rFonts w:hint="eastAsia" w:ascii="黑体" w:hAnsi="黑体" w:eastAsia="黑体" w:cs="Times New Roman"/>
          <w:b w:val="0"/>
          <w:bCs w:val="0"/>
          <w:i/>
          <w:color w:val="000000"/>
          <w:sz w:val="32"/>
          <w:szCs w:val="32"/>
          <w:u w:val="single"/>
        </w:rPr>
        <w:t xml:space="preserve">九、小微企业声明函（货物）</w:t>
      </w:r>
      <w:bookmarkEnd w:id="270"/>
      <w:r/>
      <w:r/>
    </w:p>
    <w:p>
      <w:pPr>
        <w:ind w:firstLine="241"/>
        <w:jc w:val="left"/>
        <w:widowControl/>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 号）的规定，本公司（联合体）参加</w:t>
      </w:r>
      <w:r>
        <w:rPr>
          <w:rFonts w:hint="eastAsia" w:ascii="宋体" w:hAnsi="宋体"/>
          <w:i/>
          <w:iCs/>
          <w:color w:val="000000"/>
          <w:sz w:val="24"/>
          <w:szCs w:val="24"/>
          <w:u w:val="single"/>
        </w:rPr>
        <w:t xml:space="preserve">（采购人名称）</w:t>
      </w:r>
      <w:r>
        <w:rPr>
          <w:rFonts w:hint="eastAsia" w:ascii="宋体" w:hAnsi="宋体"/>
          <w:color w:val="000000"/>
          <w:sz w:val="24"/>
          <w:szCs w:val="24"/>
        </w:rPr>
        <w:t xml:space="preserve">的</w:t>
      </w:r>
      <w:r>
        <w:rPr>
          <w:rFonts w:hint="eastAsia" w:ascii="宋体" w:hAnsi="宋体"/>
          <w:i/>
          <w:iCs/>
          <w:color w:val="000000"/>
          <w:sz w:val="24"/>
          <w:szCs w:val="24"/>
          <w:u w:val="single"/>
        </w:rPr>
        <w:t xml:space="preserve">（项目名称）</w:t>
      </w:r>
      <w:r>
        <w:rPr>
          <w:rFonts w:hint="eastAsia" w:ascii="宋体" w:hAnsi="宋体"/>
          <w:color w:val="000000"/>
          <w:sz w:val="24"/>
          <w:szCs w:val="24"/>
        </w:rPr>
        <w:t xml:space="preserve">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241"/>
        <w:jc w:val="lef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iCs/>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iCs/>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i/>
          <w:iCs/>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iCs/>
          <w:color w:val="000000"/>
          <w:sz w:val="24"/>
          <w:szCs w:val="24"/>
          <w:u w:val="single"/>
        </w:rPr>
        <w:t xml:space="preserve">（中型企业、小型企业、微型企业）</w:t>
      </w:r>
      <w:r>
        <w:rPr>
          <w:rFonts w:hint="eastAsia" w:ascii="宋体" w:hAnsi="宋体"/>
          <w:color w:val="000000"/>
          <w:sz w:val="24"/>
          <w:szCs w:val="24"/>
        </w:rPr>
        <w:t xml:space="preserve">；</w:t>
      </w:r>
      <w:r/>
    </w:p>
    <w:p>
      <w:pPr>
        <w:numPr>
          <w:ilvl w:val="0"/>
          <w:numId w:val="6"/>
        </w:numPr>
        <w:ind w:firstLine="241"/>
        <w:jc w:val="left"/>
        <w:widowControl/>
        <w:rPr>
          <w:rFonts w:ascii="宋体" w:hAnsi="宋体"/>
          <w:i/>
          <w:iCs/>
          <w:color w:val="000000"/>
          <w:sz w:val="24"/>
          <w:szCs w:val="24"/>
          <w:u w:val="single"/>
        </w:rPr>
      </w:pPr>
      <w:r>
        <w:rPr>
          <w:rFonts w:hint="eastAsia" w:ascii="宋体" w:hAnsi="宋体"/>
          <w:i/>
          <w:iCs/>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iCs/>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i/>
          <w:iCs/>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i/>
          <w:iCs/>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iCs/>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241"/>
        <w:jc w:val="left"/>
        <w:widowControl/>
        <w:rPr>
          <w:rFonts w:ascii="宋体" w:hAnsi="宋体"/>
          <w:color w:val="000000"/>
          <w:sz w:val="24"/>
          <w:szCs w:val="24"/>
        </w:rPr>
      </w:pPr>
      <w:r>
        <w:rPr>
          <w:rFonts w:hint="eastAsia" w:ascii="宋体" w:hAnsi="宋体"/>
          <w:color w:val="000000"/>
          <w:sz w:val="24"/>
          <w:szCs w:val="24"/>
        </w:rPr>
        <w:t xml:space="preserve">……</w:t>
      </w:r>
      <w:r/>
    </w:p>
    <w:p>
      <w:pPr>
        <w:ind w:firstLine="241"/>
        <w:jc w:val="left"/>
        <w:widowControl/>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241"/>
        <w:jc w:val="left"/>
        <w:widowControl/>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241"/>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241"/>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241"/>
        <w:spacing w:line="560" w:lineRule="exact"/>
        <w:rPr>
          <w:rFonts w:ascii="宋体" w:hAnsi="宋体"/>
          <w:color w:val="000000"/>
          <w:sz w:val="24"/>
          <w:szCs w:val="24"/>
        </w:rPr>
      </w:pPr>
      <w:r>
        <w:rPr>
          <w:rFonts w:ascii="宋体" w:hAnsi="宋体"/>
          <w:color w:val="000000"/>
          <w:sz w:val="24"/>
          <w:szCs w:val="24"/>
        </w:rPr>
      </w:r>
      <w:r/>
    </w:p>
    <w:p>
      <w:pPr>
        <w:ind w:firstLine="241"/>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241"/>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1013"/>
        <w:ind w:firstLine="240"/>
        <w:rPr>
          <w:rFonts w:ascii="黑体" w:hAnsi="黑体" w:eastAsia="黑体"/>
          <w:b w:val="0"/>
          <w:color w:val="000000"/>
          <w:sz w:val="32"/>
          <w:szCs w:val="32"/>
        </w:rPr>
      </w:pPr>
      <w:r>
        <w:rPr>
          <w:rFonts w:ascii="黑体" w:hAnsi="黑体" w:eastAsia="黑体"/>
          <w:b w:val="0"/>
          <w:color w:val="000000"/>
          <w:sz w:val="32"/>
          <w:szCs w:val="32"/>
        </w:rPr>
        <w:br w:type="page" w:clear="all"/>
      </w:r>
      <w:bookmarkStart w:id="271" w:name="_Toc18855"/>
      <w:r>
        <w:rPr>
          <w:rFonts w:hint="eastAsia" w:ascii="黑体" w:hAnsi="黑体" w:eastAsia="黑体" w:cs="Times New Roman"/>
          <w:b w:val="0"/>
          <w:bCs w:val="0"/>
          <w:i/>
          <w:color w:val="000000"/>
          <w:sz w:val="32"/>
          <w:szCs w:val="32"/>
          <w:u w:val="single"/>
        </w:rPr>
        <w:t xml:space="preserve">十、残疾人福利性单位声明函</w:t>
      </w:r>
      <w:bookmarkEnd w:id="271"/>
      <w:r/>
      <w:r/>
    </w:p>
    <w:p>
      <w:pPr>
        <w:ind w:firstLine="241"/>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项目采购活动由本单位提供服务。</w:t>
      </w:r>
      <w:r/>
    </w:p>
    <w:p>
      <w:pPr>
        <w:ind w:firstLine="241"/>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241"/>
        <w:spacing w:line="588" w:lineRule="exact"/>
        <w:rPr>
          <w:rFonts w:ascii="宋体" w:hAnsi="宋体"/>
          <w:color w:val="000000"/>
          <w:sz w:val="24"/>
        </w:rPr>
      </w:pPr>
      <w:r>
        <w:rPr>
          <w:rFonts w:ascii="宋体" w:hAnsi="宋体"/>
          <w:color w:val="000000"/>
          <w:sz w:val="24"/>
        </w:rPr>
      </w:r>
      <w:r/>
    </w:p>
    <w:p>
      <w:pPr>
        <w:ind w:firstLine="241"/>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p>
    <w:p>
      <w:pPr>
        <w:ind w:firstLine="313"/>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313"/>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60" w:firstLine="241"/>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p>
    <w:p>
      <w:pPr>
        <w:pStyle w:val="1013"/>
        <w:ind w:firstLine="240"/>
        <w:rPr>
          <w:rFonts w:ascii="黑体" w:hAnsi="黑体" w:eastAsia="黑体"/>
          <w:b w:val="0"/>
          <w:color w:val="000000"/>
          <w:sz w:val="32"/>
          <w:szCs w:val="32"/>
        </w:rPr>
      </w:pPr>
      <w:r>
        <w:rPr>
          <w:rFonts w:hint="eastAsia" w:ascii="黑体" w:hAnsi="黑体" w:eastAsia="黑体"/>
          <w:b w:val="0"/>
          <w:color w:val="000000"/>
          <w:sz w:val="32"/>
          <w:szCs w:val="32"/>
        </w:rPr>
        <w:br w:type="page" w:clear="all"/>
      </w:r>
      <w:bookmarkStart w:id="272" w:name="_Toc9635"/>
      <w:r>
        <w:rPr>
          <w:rFonts w:hint="eastAsia" w:ascii="黑体" w:hAnsi="黑体" w:eastAsia="黑体" w:cs="Times New Roman"/>
          <w:b w:val="0"/>
          <w:bCs w:val="0"/>
          <w:i/>
          <w:color w:val="000000"/>
          <w:sz w:val="32"/>
          <w:szCs w:val="32"/>
          <w:u w:val="single"/>
        </w:rPr>
        <w:t xml:space="preserve">十一、投标分项报价表（分包号：***）</w:t>
      </w:r>
      <w:bookmarkEnd w:id="272"/>
      <w:r/>
      <w:r/>
    </w:p>
    <w:p>
      <w:pPr>
        <w:ind w:firstLine="241"/>
        <w:rPr>
          <w:rFonts w:ascii="宋体" w:hAnsi="宋体"/>
          <w:color w:val="000000"/>
          <w:sz w:val="24"/>
          <w:szCs w:val="24"/>
        </w:rPr>
      </w:pPr>
      <w:r>
        <w:rPr>
          <w:rFonts w:hint="eastAsia" w:ascii="宋体" w:hAnsi="宋体"/>
          <w:color w:val="000000"/>
          <w:sz w:val="24"/>
          <w:szCs w:val="24"/>
        </w:rPr>
        <w:t xml:space="preserve">按照采购清单内容，自行填报，金额单位：人民币元。</w:t>
      </w:r>
      <w:r/>
    </w:p>
    <w:tbl>
      <w:tblPr>
        <w:tblW w:w="9257" w:type="dxa"/>
        <w:tblCellSpacing w:w="0" w:type="dxa"/>
        <w:tblInd w:w="10" w:type="dxa"/>
        <w:tblLayout w:type="fixed"/>
        <w:tblLook w:val="04A0" w:firstRow="1" w:lastRow="0" w:firstColumn="1" w:lastColumn="0" w:noHBand="0" w:noVBand="1"/>
      </w:tblPr>
      <w:tblGrid>
        <w:gridCol w:w="593"/>
        <w:gridCol w:w="1082"/>
        <w:gridCol w:w="983"/>
        <w:gridCol w:w="1410"/>
        <w:gridCol w:w="810"/>
        <w:gridCol w:w="997"/>
        <w:gridCol w:w="756"/>
        <w:gridCol w:w="1375"/>
        <w:gridCol w:w="1251"/>
      </w:tblGrid>
      <w:tr>
        <w:trPr>
          <w:tblCellSpacing w:w="0" w:type="dxa"/>
          <w:trHeight w:val="507"/>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6</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7</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8</w:t>
            </w:r>
            <w:r/>
          </w:p>
        </w:tc>
      </w:tr>
      <w:tr>
        <w:trPr>
          <w:tblCellSpacing w:w="0" w:type="dxa"/>
          <w:trHeight w:val="274"/>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产品</w:t>
            </w:r>
            <w:r/>
          </w:p>
          <w:p>
            <w:pPr>
              <w:pStyle w:val="779"/>
              <w:jc w:val="center"/>
              <w:spacing w:beforeAutospacing="0" w:afterAutospacing="0" w:line="0" w:lineRule="atLeast"/>
              <w:rPr>
                <w:color w:val="000000"/>
              </w:rPr>
            </w:pPr>
            <w:r>
              <w:rPr>
                <w:rFonts w:hint="eastAsia"/>
                <w:color w:val="000000"/>
              </w:rPr>
              <w:t xml:space="preserve">名称</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品牌</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规格</w:t>
            </w:r>
            <w:r/>
          </w:p>
          <w:p>
            <w:pPr>
              <w:pStyle w:val="779"/>
              <w:jc w:val="center"/>
              <w:spacing w:beforeAutospacing="0" w:afterAutospacing="0" w:line="0" w:lineRule="atLeast"/>
              <w:rPr>
                <w:color w:val="000000"/>
              </w:rPr>
            </w:pPr>
            <w:r>
              <w:rPr>
                <w:rFonts w:hint="eastAsia"/>
                <w:color w:val="000000"/>
              </w:rPr>
              <w:t xml:space="preserve">型号</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产地</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分项总价</w:t>
            </w:r>
            <w:r/>
          </w:p>
        </w:tc>
      </w:tr>
      <w:tr>
        <w:trPr>
          <w:tblCellSpacing w:w="0" w:type="dxa"/>
          <w:trHeight w:val="648"/>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r>
      <w:tr>
        <w:trPr>
          <w:tblCellSpacing w:w="0" w:type="dxa"/>
          <w:trHeight w:val="674"/>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r>
      <w:tr>
        <w:trPr>
          <w:tblCellSpacing w:w="0" w:type="dxa"/>
          <w:trHeight w:val="596"/>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779"/>
              <w:jc w:val="center"/>
              <w:spacing w:beforeAutospacing="0" w:afterAutospacing="0" w:line="0" w:lineRule="atLeast"/>
              <w:rPr>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779"/>
              <w:jc w:val="both"/>
              <w:spacing w:beforeAutospacing="0" w:afterAutospacing="0" w:line="0" w:lineRule="atLeast"/>
              <w:rPr>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both"/>
              <w:spacing w:beforeAutospacing="0" w:afterAutospacing="0" w:line="0" w:lineRule="atLeast"/>
              <w:rPr>
                <w:color w:val="000000"/>
              </w:rPr>
            </w:pPr>
            <w:r>
              <w:rPr>
                <w:color w:val="000000"/>
              </w:rPr>
              <w:t xml:space="preserve"> </w:t>
            </w:r>
            <w:r/>
          </w:p>
        </w:tc>
      </w:tr>
      <w:tr>
        <w:trPr>
          <w:tblCellSpacing w:w="0" w:type="dxa"/>
          <w:trHeight w:val="960"/>
        </w:trPr>
        <w:tc>
          <w:tcPr>
            <w:gridSpan w:val="8"/>
            <w:tcBorders>
              <w:top w:val="single" w:color="000000" w:sz="4" w:space="0"/>
              <w:left w:val="single" w:color="000000" w:sz="4" w:space="0"/>
              <w:bottom w:val="single" w:color="000000" w:sz="4" w:space="0"/>
              <w:right w:val="single" w:color="000000" w:sz="4" w:space="0"/>
            </w:tcBorders>
            <w:tcW w:w="8006" w:type="dxa"/>
            <w:vAlign w:val="center"/>
            <w:textDirection w:val="lrTb"/>
            <w:noWrap w:val="false"/>
          </w:tcPr>
          <w:p>
            <w:pPr>
              <w:pStyle w:val="779"/>
              <w:jc w:val="center"/>
              <w:spacing w:beforeAutospacing="0" w:afterAutospacing="0"/>
              <w:rPr>
                <w:color w:val="000000"/>
              </w:rPr>
            </w:pPr>
            <w:r>
              <w:rPr>
                <w:rFonts w:hint="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779"/>
              <w:jc w:val="both"/>
              <w:spacing w:beforeAutospacing="0" w:afterAutospacing="0"/>
              <w:rPr>
                <w:color w:val="000000"/>
              </w:rPr>
            </w:pPr>
            <w:r>
              <w:rPr>
                <w:color w:val="000000"/>
              </w:rPr>
              <w:t xml:space="preserve"> </w:t>
            </w:r>
            <w:r/>
          </w:p>
        </w:tc>
      </w:tr>
    </w:tbl>
    <w:p>
      <w:pPr>
        <w:pStyle w:val="776"/>
      </w:pPr>
      <w:r>
        <w:rPr>
          <w:rFonts w:hint="eastAsi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szCs w:val="21"/>
        </w:rPr>
        <w:t xml:space="preserve"> “</w:t>
      </w:r>
      <w:r>
        <w:rPr>
          <w:rFonts w:hint="eastAsia"/>
        </w:rPr>
        <w:t xml:space="preserve">投标分项报价表</w:t>
      </w:r>
      <w:r>
        <w:rPr>
          <w:szCs w:val="21"/>
        </w:rPr>
        <w:t xml:space="preserve">”</w:t>
      </w:r>
      <w:r>
        <w:rPr>
          <w:rFonts w:hint="eastAsia"/>
        </w:rPr>
        <w:t xml:space="preserve">中“投标总报价”数额应当与“开标一览表”中“投标总报价”数额一致。</w:t>
      </w:r>
      <w:r/>
    </w:p>
    <w:p>
      <w:r/>
      <w:r/>
    </w:p>
    <w:p>
      <w:pPr>
        <w:pStyle w:val="776"/>
      </w:pPr>
      <w:r/>
      <w:r/>
    </w:p>
    <w:p>
      <w:pPr>
        <w:ind w:right="1560" w:firstLine="313"/>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供应商全称（加盖CA电子公章）：</w:t>
      </w:r>
      <w:r/>
    </w:p>
    <w:p>
      <w:pPr>
        <w:ind w:right="1560" w:firstLine="241"/>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p>
    <w:p>
      <w:r/>
      <w:r/>
    </w:p>
    <w:p>
      <w:pPr>
        <w:pStyle w:val="1013"/>
        <w:ind w:firstLine="240"/>
      </w:pPr>
      <w:r>
        <w:rPr>
          <w:rFonts w:hint="eastAsia"/>
        </w:rPr>
        <w:br w:type="page" w:clear="all"/>
      </w:r>
      <w:bookmarkStart w:id="273" w:name="_Toc7570"/>
      <w:r>
        <w:rPr>
          <w:rFonts w:hint="eastAsia" w:ascii="黑体" w:hAnsi="黑体" w:eastAsia="黑体" w:cs="Times New Roman"/>
          <w:b w:val="0"/>
          <w:bCs w:val="0"/>
          <w:i/>
          <w:color w:val="000000"/>
          <w:sz w:val="32"/>
          <w:szCs w:val="32"/>
          <w:u w:val="single"/>
        </w:rPr>
        <w:t xml:space="preserve">十二、技术要求响应及偏离表（分包号：**）</w:t>
      </w:r>
      <w:bookmarkEnd w:id="273"/>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注：行数不够，可自行添加。</w:t>
      </w:r>
      <w:r/>
    </w:p>
    <w:p>
      <w:pPr>
        <w:rPr>
          <w:rFonts w:ascii="黑体" w:hAnsi="Arial" w:eastAsia="黑体"/>
          <w:b/>
          <w:color w:val="000000"/>
          <w:sz w:val="36"/>
        </w:rPr>
      </w:pPr>
      <w:r>
        <w:rPr>
          <w:rFonts w:ascii="黑体" w:hAnsi="Arial" w:eastAsia="黑体"/>
          <w:b/>
          <w:color w:val="000000"/>
          <w:sz w:val="36"/>
        </w:rPr>
      </w:r>
      <w:r/>
    </w:p>
    <w:p>
      <w:pPr>
        <w:pStyle w:val="1024"/>
        <w:spacing w:line="276" w:lineRule="auto"/>
        <w:rPr>
          <w:rFonts w:hAnsi="宋体"/>
          <w:b/>
          <w:bCs/>
          <w:sz w:val="24"/>
          <w:szCs w:val="28"/>
        </w:rPr>
      </w:pPr>
      <w:r>
        <w:rPr>
          <w:rFonts w:hint="eastAsia" w:hAnsi="宋体"/>
          <w:b/>
          <w:bCs/>
          <w:sz w:val="24"/>
          <w:szCs w:val="28"/>
        </w:rPr>
        <w:t xml:space="preserve">1、凡投标文件中所投货物或服务与招标文件有偏差的（包括正偏差，负偏差），均应在此表中详细列出并说明理由。第四部分技术要求须逐条应答。</w:t>
      </w:r>
      <w:r/>
    </w:p>
    <w:p>
      <w:pPr>
        <w:pStyle w:val="1023"/>
        <w:spacing w:line="276" w:lineRule="auto"/>
        <w:rPr>
          <w:rFonts w:ascii="宋体" w:hAnsi="宋体"/>
          <w:b/>
          <w:bCs/>
          <w:sz w:val="24"/>
          <w:szCs w:val="28"/>
        </w:rPr>
      </w:pPr>
      <w:r>
        <w:rPr>
          <w:rFonts w:hint="eastAsia" w:ascii="宋体" w:hAnsi="宋体"/>
          <w:b/>
          <w:bCs/>
          <w:sz w:val="24"/>
          <w:szCs w:val="28"/>
        </w:rPr>
        <w:t xml:space="preserve">2、投标人所投产品如与招标文件要求的规格及配置不一致，则须在上表偏离说明中详细注明。</w:t>
      </w:r>
      <w:r/>
    </w:p>
    <w:p>
      <w:pPr>
        <w:pStyle w:val="1025"/>
        <w:spacing w:line="276" w:lineRule="auto"/>
      </w:pPr>
      <w:r>
        <w:rPr>
          <w:rFonts w:hint="eastAsia" w:ascii="宋体" w:hAnsi="宋体"/>
          <w:b/>
          <w:bCs/>
          <w:sz w:val="24"/>
          <w:szCs w:val="28"/>
        </w:rPr>
        <w:t xml:space="preserve">3、响应部分可后附详细说明及技术资料，并注明投标文件中对应的页码范围。</w:t>
      </w:r>
      <w:r/>
    </w:p>
    <w:p>
      <w:pPr>
        <w:pStyle w:val="776"/>
      </w:pPr>
      <w:r/>
      <w:r/>
    </w:p>
    <w:p>
      <w:pPr>
        <w:ind w:right="1560" w:firstLine="313"/>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供应商全称（加盖CA电子公章）：</w:t>
      </w:r>
      <w:r/>
    </w:p>
    <w:p>
      <w:pPr>
        <w:ind w:right="1560" w:firstLine="241"/>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p>
    <w:p>
      <w:pPr>
        <w:ind w:firstLine="360"/>
        <w:jc w:val="center"/>
        <w:rPr>
          <w:rFonts w:ascii="黑体" w:hAnsi="Arial" w:eastAsia="黑体"/>
          <w:b/>
          <w:color w:val="000000"/>
          <w:sz w:val="36"/>
        </w:rPr>
      </w:pPr>
      <w:r>
        <w:rPr>
          <w:rFonts w:ascii="黑体" w:hAnsi="Arial" w:eastAsia="黑体"/>
          <w:b/>
          <w:color w:val="000000"/>
          <w:sz w:val="36"/>
        </w:rPr>
      </w:r>
      <w:r/>
    </w:p>
    <w:p>
      <w:pPr>
        <w:ind w:firstLine="360"/>
        <w:jc w:val="center"/>
        <w:rPr>
          <w:rFonts w:ascii="黑体" w:hAnsi="Arial" w:eastAsia="黑体"/>
          <w:b/>
          <w:color w:val="000000"/>
          <w:sz w:val="36"/>
        </w:rPr>
      </w:pPr>
      <w:r>
        <w:rPr>
          <w:rFonts w:ascii="黑体" w:hAnsi="Arial" w:eastAsia="黑体"/>
          <w:b/>
          <w:color w:val="000000"/>
          <w:sz w:val="36"/>
        </w:rPr>
      </w:r>
      <w:r/>
    </w:p>
    <w:p>
      <w:pPr>
        <w:ind w:firstLine="321"/>
        <w:rPr>
          <w:rFonts w:ascii="黑体" w:hAnsi="Arial" w:eastAsia="黑体"/>
          <w:color w:val="000000"/>
          <w:sz w:val="32"/>
        </w:rPr>
      </w:pPr>
      <w:r>
        <w:rPr>
          <w:rFonts w:ascii="黑体" w:hAnsi="Arial" w:eastAsia="黑体"/>
          <w:color w:val="000000"/>
          <w:sz w:val="32"/>
        </w:rPr>
      </w:r>
      <w:r/>
    </w:p>
    <w:p>
      <w:pPr>
        <w:ind w:firstLine="321"/>
        <w:rPr>
          <w:rFonts w:ascii="黑体" w:hAnsi="Arial" w:eastAsia="黑体"/>
          <w:color w:val="000000"/>
          <w:sz w:val="32"/>
        </w:rPr>
      </w:pPr>
      <w:r>
        <w:rPr>
          <w:rFonts w:ascii="黑体" w:hAnsi="Arial" w:eastAsia="黑体"/>
          <w:color w:val="000000"/>
          <w:sz w:val="32"/>
        </w:rPr>
      </w:r>
      <w:r/>
    </w:p>
    <w:p>
      <w:pPr>
        <w:ind w:firstLine="321"/>
        <w:rPr>
          <w:rFonts w:ascii="黑体" w:hAnsi="Arial" w:eastAsia="黑体"/>
          <w:color w:val="000000"/>
          <w:sz w:val="32"/>
        </w:rPr>
      </w:pPr>
      <w:r>
        <w:rPr>
          <w:rFonts w:ascii="黑体" w:hAnsi="Arial" w:eastAsia="黑体"/>
          <w:color w:val="000000"/>
          <w:sz w:val="32"/>
        </w:rPr>
      </w:r>
      <w:r/>
    </w:p>
    <w:p>
      <w:pPr>
        <w:rPr>
          <w:rFonts w:ascii="黑体" w:hAnsi="Arial" w:eastAsia="黑体"/>
          <w:color w:val="000000"/>
          <w:sz w:val="32"/>
        </w:rPr>
      </w:pPr>
      <w:r>
        <w:rPr>
          <w:rFonts w:ascii="黑体" w:hAnsi="Arial" w:eastAsia="黑体"/>
          <w:color w:val="000000"/>
          <w:sz w:val="32"/>
        </w:rPr>
      </w:r>
      <w:r/>
    </w:p>
    <w:p>
      <w:pPr>
        <w:pStyle w:val="1013"/>
        <w:ind w:firstLine="240"/>
        <w:rPr>
          <w:rFonts w:ascii="黑体" w:hAnsi="黑体" w:eastAsia="黑体"/>
          <w:b w:val="0"/>
          <w:color w:val="000000"/>
          <w:sz w:val="32"/>
          <w:szCs w:val="32"/>
        </w:rPr>
      </w:pPr>
      <w:r/>
      <w:bookmarkStart w:id="274" w:name="_Hlt26955054"/>
      <w:r/>
      <w:bookmarkEnd w:id="274"/>
      <w:r>
        <w:rPr>
          <w:rFonts w:hint="eastAsia" w:ascii="黑体" w:hAnsi="黑体" w:eastAsia="黑体"/>
          <w:b w:val="0"/>
          <w:color w:val="000000"/>
          <w:sz w:val="32"/>
          <w:szCs w:val="32"/>
        </w:rPr>
        <w:br w:type="page" w:clear="all"/>
      </w:r>
      <w:bookmarkStart w:id="275" w:name="_Toc8017"/>
      <w:r>
        <w:rPr>
          <w:rFonts w:hint="eastAsia" w:ascii="黑体" w:hAnsi="黑体" w:eastAsia="黑体" w:cs="Times New Roman"/>
          <w:b w:val="0"/>
          <w:bCs w:val="0"/>
          <w:i/>
          <w:color w:val="000000"/>
          <w:sz w:val="32"/>
          <w:szCs w:val="32"/>
          <w:u w:val="single"/>
        </w:rPr>
        <w:t xml:space="preserve">十三、商务要求响应及偏离表（分包号：**）</w:t>
      </w:r>
      <w:bookmarkEnd w:id="27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color w:val="000000"/>
                <w:sz w:val="24"/>
                <w:szCs w:val="24"/>
              </w:rPr>
            </w:pPr>
            <w:r/>
            <w:bookmarkStart w:id="276" w:name="_Hlt26580838"/>
            <w:r/>
            <w:bookmarkStart w:id="277" w:name="_Hlt26955064"/>
            <w:r/>
            <w:bookmarkStart w:id="278" w:name="_Hlt26671372"/>
            <w:r/>
            <w:bookmarkStart w:id="279" w:name="_Hlt26782999"/>
            <w:r/>
            <w:bookmarkStart w:id="280" w:name="_Hlt26955056"/>
            <w:r/>
            <w:bookmarkStart w:id="281" w:name="_Hlt26671343"/>
            <w:r/>
            <w:bookmarkStart w:id="282" w:name="_Hlt26609391"/>
            <w:r/>
            <w:bookmarkStart w:id="283" w:name="_Hlt24879081"/>
            <w:r/>
            <w:bookmarkEnd w:id="276"/>
            <w:r/>
            <w:bookmarkEnd w:id="277"/>
            <w:r/>
            <w:bookmarkEnd w:id="278"/>
            <w:r/>
            <w:bookmarkEnd w:id="279"/>
            <w:r/>
            <w:bookmarkEnd w:id="280"/>
            <w:r/>
            <w:bookmarkEnd w:id="281"/>
            <w:r/>
            <w:bookmarkEnd w:id="282"/>
            <w:r/>
            <w:bookmarkEnd w:id="283"/>
            <w:r>
              <w:rPr>
                <w:rFonts w:hint="eastAsia" w:ascii="宋体" w:hAnsi="宋体"/>
                <w:color w:val="000000"/>
                <w:sz w:val="24"/>
                <w:szCs w:val="24"/>
              </w:rPr>
              <w:t xml:space="preserve">序号</w:t>
            </w:r>
            <w:r/>
          </w:p>
        </w:tc>
        <w:tc>
          <w:tcPr>
            <w:tcW w:w="268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vAlign w:val="center"/>
            <w:textDirection w:val="lrTb"/>
            <w:noWrap w:val="false"/>
          </w:tcPr>
          <w:p>
            <w:pPr>
              <w:pStyle w:val="779"/>
              <w:jc w:val="center"/>
              <w:spacing w:before="156"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注：行数不够，可自行添加。</w:t>
      </w:r>
      <w:r/>
    </w:p>
    <w:p>
      <w:pPr>
        <w:spacing w:line="480" w:lineRule="auto"/>
        <w:rPr>
          <w:rFonts w:ascii="宋体" w:hAnsi="宋体"/>
          <w:color w:val="000000"/>
          <w:sz w:val="24"/>
        </w:rPr>
      </w:pPr>
      <w:r>
        <w:rPr>
          <w:rFonts w:ascii="宋体" w:hAnsi="宋体"/>
          <w:color w:val="000000"/>
          <w:sz w:val="24"/>
        </w:rPr>
      </w:r>
      <w:r/>
    </w:p>
    <w:p>
      <w:pPr>
        <w:ind w:right="1560" w:firstLine="313"/>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供应商全称（加盖CA电子公章）：</w:t>
      </w:r>
      <w:r/>
    </w:p>
    <w:p>
      <w:pPr>
        <w:ind w:right="1560" w:firstLine="241"/>
        <w:jc w:val="left"/>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p>
    <w:p>
      <w:pPr>
        <w:ind w:firstLine="301"/>
        <w:spacing w:line="480" w:lineRule="auto"/>
        <w:rPr>
          <w:rFonts w:ascii="仿宋_GB2312" w:hAnsi="Arial"/>
          <w:color w:val="000000"/>
          <w:sz w:val="30"/>
        </w:rPr>
      </w:pPr>
      <w:r>
        <w:rPr>
          <w:rFonts w:ascii="仿宋_GB2312" w:hAnsi="Arial"/>
          <w:color w:val="000000"/>
          <w:sz w:val="30"/>
        </w:rPr>
      </w:r>
      <w:r/>
    </w:p>
    <w:p>
      <w:pPr>
        <w:pStyle w:val="1012"/>
        <w:ind w:firstLine="241"/>
        <w:rPr>
          <w:rFonts w:ascii="宋体" w:hAnsi="宋体"/>
          <w:color w:val="000000"/>
          <w:sz w:val="24"/>
        </w:rPr>
      </w:pPr>
      <w:r/>
      <w:bookmarkStart w:id="284" w:name="_Hlt26955066"/>
      <w:r/>
      <w:bookmarkStart w:id="285" w:name="_Hlt26609389"/>
      <w:r/>
      <w:bookmarkStart w:id="286" w:name="_Hlt26671374"/>
      <w:r/>
      <w:bookmarkStart w:id="287" w:name="_Toc462564146"/>
      <w:r/>
      <w:bookmarkEnd w:id="284"/>
      <w:r/>
      <w:bookmarkEnd w:id="285"/>
      <w:r/>
      <w:bookmarkEnd w:id="286"/>
      <w:r/>
      <w:r/>
    </w:p>
    <w:p>
      <w:pPr>
        <w:ind w:firstLine="320"/>
        <w:jc w:val="center"/>
        <w:rPr>
          <w:rFonts w:ascii="黑体" w:hAnsi="黑体" w:eastAsia="黑体"/>
          <w:b/>
          <w:color w:val="000000"/>
          <w:sz w:val="32"/>
          <w:szCs w:val="32"/>
        </w:rPr>
      </w:pPr>
      <w:r/>
      <w:bookmarkStart w:id="288" w:name="_格式2__法定代表人授权书"/>
      <w:r/>
      <w:bookmarkEnd w:id="287"/>
      <w:r/>
      <w:bookmarkEnd w:id="288"/>
      <w:r/>
      <w:r/>
    </w:p>
    <w:p>
      <w:pPr>
        <w:ind w:firstLine="320"/>
        <w:jc w:val="center"/>
        <w:rPr>
          <w:rFonts w:ascii="黑体" w:hAnsi="黑体" w:eastAsia="黑体"/>
          <w:b/>
          <w:color w:val="000000"/>
          <w:sz w:val="32"/>
          <w:szCs w:val="32"/>
        </w:rPr>
      </w:pPr>
      <w:r>
        <w:rPr>
          <w:rFonts w:ascii="黑体" w:hAnsi="黑体" w:eastAsia="黑体"/>
          <w:b/>
          <w:color w:val="000000"/>
          <w:sz w:val="32"/>
          <w:szCs w:val="32"/>
        </w:rPr>
      </w:r>
      <w:r/>
    </w:p>
    <w:p>
      <w:pPr>
        <w:ind w:firstLine="320"/>
        <w:rPr>
          <w:rFonts w:ascii="黑体" w:hAnsi="黑体" w:eastAsia="黑体"/>
          <w:b/>
          <w:color w:val="000000"/>
          <w:sz w:val="32"/>
          <w:szCs w:val="32"/>
        </w:rPr>
      </w:pPr>
      <w:r>
        <w:rPr>
          <w:rFonts w:ascii="黑体" w:hAnsi="黑体" w:eastAsia="黑体"/>
          <w:b/>
          <w:color w:val="000000"/>
          <w:sz w:val="32"/>
          <w:szCs w:val="32"/>
        </w:rPr>
      </w:r>
      <w:r/>
    </w:p>
    <w:p>
      <w:pPr>
        <w:ind w:firstLine="320"/>
        <w:rPr>
          <w:rFonts w:ascii="黑体" w:hAnsi="黑体" w:eastAsia="黑体"/>
          <w:b/>
          <w:color w:val="000000"/>
          <w:sz w:val="32"/>
          <w:szCs w:val="32"/>
        </w:rPr>
      </w:pPr>
      <w:r>
        <w:rPr>
          <w:rFonts w:ascii="黑体" w:hAnsi="黑体" w:eastAsia="黑体"/>
          <w:b/>
          <w:color w:val="000000"/>
          <w:sz w:val="32"/>
          <w:szCs w:val="32"/>
        </w:rPr>
      </w:r>
      <w:r/>
    </w:p>
    <w:p>
      <w:pPr>
        <w:pStyle w:val="1013"/>
        <w:ind w:firstLine="240"/>
        <w:rPr>
          <w:rFonts w:ascii="黑体" w:hAnsi="黑体" w:eastAsia="黑体"/>
          <w:b w:val="0"/>
          <w:color w:val="000000"/>
          <w:sz w:val="32"/>
          <w:szCs w:val="32"/>
        </w:rPr>
      </w:pPr>
      <w:r>
        <w:rPr>
          <w:rFonts w:hint="eastAsia" w:ascii="黑体" w:hAnsi="黑体" w:eastAsia="黑体"/>
          <w:b w:val="0"/>
          <w:i/>
          <w:color w:val="000000"/>
          <w:sz w:val="32"/>
          <w:szCs w:val="32"/>
          <w:u w:val="single"/>
        </w:rPr>
        <w:br w:type="page" w:clear="all"/>
      </w:r>
      <w:bookmarkStart w:id="289" w:name="_Toc30178"/>
      <w:r>
        <w:rPr>
          <w:rFonts w:hint="eastAsia" w:ascii="黑体" w:hAnsi="黑体" w:eastAsia="黑体" w:cs="Times New Roman"/>
          <w:b w:val="0"/>
          <w:bCs w:val="0"/>
          <w:i/>
          <w:color w:val="000000"/>
          <w:sz w:val="32"/>
          <w:szCs w:val="32"/>
          <w:u w:val="single"/>
        </w:rPr>
        <w:t xml:space="preserve">十四、开标一览表（总价）</w:t>
      </w:r>
      <w:bookmarkEnd w:id="289"/>
      <w:r/>
      <w:r/>
    </w:p>
    <w:p>
      <w:pPr>
        <w:ind w:firstLine="480"/>
        <w:spacing w:line="360" w:lineRule="auto"/>
        <w:rPr>
          <w:rFonts w:ascii="仿宋" w:hAnsi="仿宋" w:eastAsia="仿宋" w:cs="宋体"/>
          <w:sz w:val="24"/>
        </w:rPr>
      </w:pPr>
      <w:r>
        <w:rPr>
          <w:rFonts w:hint="eastAsia" w:ascii="仿宋" w:hAnsi="仿宋" w:eastAsia="仿宋" w:cs="宋体"/>
          <w:sz w:val="24"/>
        </w:rPr>
        <w:t xml:space="preserve">项目编号:</w:t>
      </w:r>
      <w:r>
        <w:t xml:space="preserve"> </w:t>
      </w:r>
      <w:r/>
    </w:p>
    <w:p>
      <w:pPr>
        <w:ind w:firstLine="480"/>
        <w:spacing w:line="360" w:lineRule="auto"/>
        <w:rPr>
          <w:rFonts w:ascii="仿宋" w:hAnsi="仿宋" w:eastAsia="仿宋" w:cs="宋体"/>
          <w:sz w:val="24"/>
        </w:rPr>
      </w:pPr>
      <w:r>
        <w:rPr>
          <w:rFonts w:hint="eastAsia" w:ascii="仿宋" w:hAnsi="仿宋" w:eastAsia="仿宋" w:cs="宋体"/>
          <w:sz w:val="24"/>
        </w:rPr>
        <w:t xml:space="preserve">货币单位：人民币元</w:t>
      </w:r>
      <w:r/>
    </w:p>
    <w:tbl>
      <w:tblPr>
        <w:tblStyle w:val="78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262"/>
        <w:gridCol w:w="2867"/>
        <w:gridCol w:w="2921"/>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总价（小写）</w:t>
            </w:r>
            <w:r/>
          </w:p>
        </w:tc>
      </w:tr>
      <w:tr>
        <w:trPr>
          <w:trHeight w:val="6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项目名称</w:t>
            </w:r>
            <w:r>
              <w:rPr>
                <w:rFonts w:ascii="Calibri" w:hAnsi="Calibri" w:eastAsia="仿宋" w:cs="Calibri"/>
                <w:sz w:val="24"/>
              </w:rPr>
              <w:t xml:space="preserve"> </w:t>
            </w:r>
            <w:r/>
          </w:p>
        </w:tc>
        <w:tc>
          <w:tcPr>
            <w:tcBorders>
              <w:top w:val="single" w:color="000000" w:sz="8" w:space="0"/>
              <w:left w:val="single" w:color="000000" w:sz="8" w:space="0"/>
              <w:bottom w:val="single" w:color="000000" w:sz="8" w:space="0"/>
              <w:right w:val="single" w:color="000000" w:sz="8" w:space="0"/>
            </w:tcBorders>
            <w:tcW w:w="2868"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详见投标文件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92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u w:val="single"/>
              </w:rPr>
              <w:t xml:space="preserve">             </w:t>
            </w:r>
            <w:r>
              <w:rPr>
                <w:rFonts w:hint="eastAsia" w:ascii="仿宋" w:hAnsi="仿宋" w:eastAsia="仿宋" w:cs="Calibri"/>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62" w:type="dxa"/>
            <w:vAlign w:val="bottom"/>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W w:w="5790" w:type="dxa"/>
            <w:textDirection w:val="lrTb"/>
            <w:noWrap w:val="false"/>
          </w:tcPr>
          <w:p>
            <w:pPr>
              <w:jc w:val="left"/>
              <w:spacing w:before="100" w:after="100" w:line="480" w:lineRule="auto"/>
              <w:rPr>
                <w:rFonts w:ascii="仿宋" w:hAnsi="仿宋" w:eastAsia="仿宋" w:cs="Calibri"/>
                <w:sz w:val="24"/>
              </w:rPr>
              <w:pBdr>
                <w:top w:val="none" w:color="000000" w:sz="0" w:space="0"/>
                <w:left w:val="none" w:color="000000" w:sz="0" w:space="0"/>
                <w:bottom w:val="none" w:color="000000" w:sz="0" w:space="0"/>
                <w:right w:val="none" w:color="000000" w:sz="0" w:space="0"/>
              </w:pBdr>
            </w:pPr>
            <w:r>
              <w:rPr>
                <w:rFonts w:hint="eastAsia" w:ascii="仿宋" w:hAnsi="仿宋" w:eastAsia="仿宋" w:cs="Calibri"/>
                <w:sz w:val="24"/>
              </w:rPr>
              <w:t xml:space="preserve">金额大写</w:t>
            </w:r>
            <w:r>
              <w:rPr>
                <w:rFonts w:ascii="Calibri" w:hAnsi="Calibri" w:eastAsia="仿宋" w:cs="Calibri"/>
                <w:sz w:val="24"/>
              </w:rPr>
              <w:t xml:space="preserve">  </w:t>
            </w:r>
            <w:r>
              <w:rPr>
                <w:rFonts w:hint="eastAsia" w:ascii="Calibri" w:hAnsi="Calibri" w:eastAsia="仿宋" w:cs="Calibri"/>
                <w:sz w:val="24"/>
              </w:rPr>
              <w:t xml:space="preserve">：</w:t>
            </w:r>
            <w:r/>
          </w:p>
        </w:tc>
      </w:tr>
    </w:tbl>
    <w:p>
      <w:pPr>
        <w:spacing w:line="276" w:lineRule="auto"/>
        <w:rPr>
          <w:rFonts w:ascii="仿宋" w:hAnsi="仿宋" w:eastAsia="仿宋"/>
          <w:sz w:val="24"/>
        </w:rPr>
      </w:pPr>
      <w:r>
        <w:rPr>
          <w:rFonts w:hint="eastAsia" w:ascii="仿宋" w:hAnsi="仿宋" w:eastAsia="仿宋"/>
          <w:sz w:val="24"/>
        </w:rPr>
        <w:t xml:space="preserve">投标人公章：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w:t>
      </w:r>
      <w:r>
        <w:rPr>
          <w:rFonts w:ascii="Calibri" w:hAnsi="Calibri" w:eastAsia="仿宋" w:cs="Calibri"/>
          <w:sz w:val="24"/>
        </w:rPr>
        <w:t xml:space="preserve"> </w:t>
      </w:r>
      <w:r>
        <w:rPr>
          <w:rFonts w:hint="eastAsia" w:ascii="仿宋" w:hAnsi="仿宋" w:eastAsia="仿宋"/>
          <w:sz w:val="24"/>
        </w:rPr>
        <w:t xml:space="preserve"> （电子签章）</w:t>
      </w:r>
      <w:r/>
    </w:p>
    <w:p>
      <w:pPr>
        <w:ind w:firstLine="480"/>
        <w:spacing w:line="276" w:lineRule="auto"/>
        <w:rPr>
          <w:rFonts w:ascii="仿宋" w:hAnsi="仿宋" w:eastAsia="仿宋"/>
          <w:sz w:val="24"/>
        </w:rPr>
      </w:pPr>
      <w:r>
        <w:rPr>
          <w:rFonts w:hint="eastAsia" w:ascii="仿宋" w:hAnsi="仿宋" w:eastAsia="仿宋"/>
          <w:sz w:val="24"/>
        </w:rPr>
        <w:t xml:space="preserve">                                        </w:t>
      </w:r>
      <w:r/>
    </w:p>
    <w:p>
      <w:pPr>
        <w:ind w:firstLine="5760"/>
        <w:spacing w:line="276" w:lineRule="auto"/>
        <w:rPr>
          <w:rFonts w:ascii="仿宋" w:hAnsi="仿宋" w:eastAsia="仿宋"/>
          <w:sz w:val="24"/>
        </w:rPr>
      </w:pPr>
      <w:r>
        <w:rPr>
          <w:rFonts w:hint="eastAsia" w:ascii="仿宋" w:hAnsi="仿宋" w:eastAsia="仿宋"/>
          <w:sz w:val="24"/>
        </w:rPr>
        <w:t xml:space="preserve">日期：       年   月   日</w:t>
      </w:r>
      <w:r/>
    </w:p>
    <w:p>
      <w:pPr>
        <w:pStyle w:val="1013"/>
        <w:ind w:firstLine="240"/>
        <w:rPr>
          <w:rFonts w:ascii="黑体" w:hAnsi="黑体" w:eastAsia="黑体" w:cs="Times New Roman"/>
          <w:b w:val="0"/>
          <w:bCs w:val="0"/>
          <w:i/>
          <w:color w:val="000000"/>
          <w:sz w:val="32"/>
          <w:szCs w:val="32"/>
          <w:u w:val="single"/>
        </w:rPr>
      </w:pPr>
      <w:r>
        <w:rPr>
          <w:rFonts w:hint="eastAsia" w:ascii="宋体" w:hAnsi="宋体" w:cs="仿宋"/>
          <w:b w:val="0"/>
          <w:bCs w:val="0"/>
          <w:color w:val="000000"/>
          <w:sz w:val="32"/>
          <w:szCs w:val="32"/>
        </w:rPr>
        <w:br w:type="page" w:clear="all"/>
      </w:r>
      <w:bookmarkStart w:id="290" w:name="_Toc21876"/>
      <w:r>
        <w:rPr>
          <w:rFonts w:hint="eastAsia" w:ascii="黑体" w:hAnsi="黑体" w:eastAsia="黑体" w:cs="Times New Roman"/>
          <w:b w:val="0"/>
          <w:bCs w:val="0"/>
          <w:i/>
          <w:color w:val="000000"/>
          <w:sz w:val="32"/>
          <w:szCs w:val="32"/>
          <w:u w:val="single"/>
        </w:rPr>
        <w:t xml:space="preserve">十五、服务</w:t>
      </w:r>
      <w:r>
        <w:rPr>
          <w:rFonts w:ascii="黑体" w:hAnsi="黑体" w:eastAsia="黑体" w:cs="Times New Roman"/>
          <w:b w:val="0"/>
          <w:bCs w:val="0"/>
          <w:i/>
          <w:color w:val="000000"/>
          <w:sz w:val="32"/>
          <w:szCs w:val="32"/>
          <w:u w:val="single"/>
        </w:rPr>
        <w:t xml:space="preserve">方案</w:t>
      </w:r>
      <w:bookmarkEnd w:id="290"/>
      <w:r/>
      <w:r/>
    </w:p>
    <w:p>
      <w:pPr>
        <w:jc w:val="center"/>
        <w:rPr>
          <w:sz w:val="28"/>
          <w:szCs w:val="28"/>
        </w:rPr>
      </w:pPr>
      <w:r/>
      <w:bookmarkStart w:id="291" w:name="_Toc2882_WPSOffice_Level2"/>
      <w:r/>
      <w:r/>
    </w:p>
    <w:p>
      <w:pPr>
        <w:jc w:val="center"/>
        <w:rPr>
          <w:sz w:val="28"/>
          <w:szCs w:val="28"/>
        </w:rPr>
      </w:pPr>
      <w:r>
        <w:rPr>
          <w:rFonts w:hint="eastAsia"/>
          <w:sz w:val="28"/>
          <w:szCs w:val="28"/>
        </w:rPr>
        <w:t xml:space="preserve">按照招标文件要求，格式自拟</w:t>
      </w:r>
      <w:bookmarkEnd w:id="291"/>
      <w:r>
        <w:rPr>
          <w:rFonts w:hint="eastAsia"/>
          <w:sz w:val="28"/>
          <w:szCs w:val="28"/>
        </w:rPr>
        <w:t xml:space="preserve">，需与评分标准相对应</w:t>
      </w:r>
      <w:r/>
    </w:p>
    <w:p>
      <w:pPr>
        <w:pStyle w:val="776"/>
      </w:pPr>
      <w:r/>
      <w:r/>
    </w:p>
    <w:p>
      <w:r/>
      <w:r/>
    </w:p>
    <w:p>
      <w:pPr>
        <w:pStyle w:val="776"/>
      </w:pPr>
      <w:r/>
      <w:r/>
    </w:p>
    <w:p>
      <w:r/>
      <w:r/>
    </w:p>
    <w:p>
      <w:pPr>
        <w:pStyle w:val="776"/>
      </w:pPr>
      <w:r/>
      <w:r/>
    </w:p>
    <w:p>
      <w:r/>
      <w:r/>
    </w:p>
    <w:p>
      <w:pPr>
        <w:pStyle w:val="776"/>
      </w:pPr>
      <w:r/>
      <w:r/>
    </w:p>
    <w:p>
      <w:r/>
      <w:r/>
    </w:p>
    <w:p>
      <w:pPr>
        <w:pStyle w:val="1013"/>
        <w:ind w:firstLine="240"/>
        <w:rPr>
          <w:rFonts w:ascii="黑体" w:hAnsi="黑体" w:eastAsia="黑体" w:cs="Times New Roman"/>
          <w:b w:val="0"/>
          <w:bCs w:val="0"/>
          <w:i/>
          <w:color w:val="000000"/>
          <w:sz w:val="32"/>
          <w:szCs w:val="32"/>
          <w:u w:val="single"/>
        </w:rPr>
      </w:pPr>
      <w:r/>
      <w:bookmarkStart w:id="292" w:name="_Toc26842"/>
      <w:r>
        <w:rPr>
          <w:rFonts w:hint="eastAsia" w:ascii="黑体" w:hAnsi="黑体" w:eastAsia="黑体" w:cs="Times New Roman"/>
          <w:b w:val="0"/>
          <w:bCs w:val="0"/>
          <w:i/>
          <w:color w:val="000000"/>
          <w:sz w:val="32"/>
          <w:szCs w:val="32"/>
          <w:u w:val="single"/>
        </w:rPr>
        <w:t xml:space="preserve">十六、配置清单</w:t>
      </w:r>
      <w:bookmarkEnd w:id="292"/>
      <w:r/>
      <w:r/>
    </w:p>
    <w:p>
      <w:pPr>
        <w:pStyle w:val="776"/>
      </w:pPr>
      <w:r/>
      <w:r/>
    </w:p>
    <w:p>
      <w:pPr>
        <w:jc w:val="center"/>
        <w:rPr>
          <w:rFonts w:ascii="宋体" w:hAnsi="宋体" w:cs="宋体"/>
          <w:b/>
          <w:sz w:val="28"/>
          <w:szCs w:val="28"/>
        </w:rPr>
      </w:pPr>
      <w:r>
        <w:rPr>
          <w:rFonts w:hint="eastAsia" w:ascii="宋体" w:hAnsi="宋体" w:cs="宋体"/>
          <w:b/>
          <w:sz w:val="28"/>
          <w:szCs w:val="28"/>
        </w:rPr>
        <w:t xml:space="preserve">配置清单</w:t>
      </w:r>
      <w:r/>
    </w:p>
    <w:p>
      <w:pPr>
        <w:jc w:val="center"/>
        <w:rPr>
          <w:rFonts w:ascii="宋体" w:hAnsi="宋体" w:cs="宋体"/>
          <w:b/>
          <w:sz w:val="28"/>
          <w:szCs w:val="28"/>
        </w:rPr>
      </w:pPr>
      <w:r>
        <w:rPr>
          <w:rFonts w:hint="eastAsia" w:ascii="宋体" w:hAnsi="宋体" w:cs="宋体"/>
          <w:b/>
          <w:sz w:val="28"/>
          <w:szCs w:val="28"/>
        </w:rPr>
        <w:t xml:space="preserve">（格式自拟）</w:t>
      </w:r>
      <w:r/>
    </w:p>
    <w:p>
      <w:pPr>
        <w:pStyle w:val="1013"/>
        <w:ind w:firstLine="240"/>
      </w:pPr>
      <w:r>
        <w:rPr>
          <w:rFonts w:ascii="黑体" w:hAnsi="黑体" w:eastAsia="黑体"/>
          <w:b w:val="0"/>
          <w:color w:val="000000"/>
          <w:sz w:val="32"/>
          <w:szCs w:val="32"/>
        </w:rPr>
        <w:br w:type="page" w:clear="all"/>
      </w:r>
      <w:bookmarkStart w:id="293" w:name="_Toc17537"/>
      <w:r>
        <w:rPr>
          <w:rFonts w:ascii="黑体" w:hAnsi="黑体" w:eastAsia="黑体" w:cs="Times New Roman"/>
          <w:b w:val="0"/>
          <w:bCs w:val="0"/>
          <w:i/>
          <w:color w:val="000000"/>
          <w:sz w:val="32"/>
          <w:szCs w:val="32"/>
          <w:u w:val="single"/>
        </w:rPr>
        <w:t xml:space="preserve">十</w:t>
      </w:r>
      <w:r>
        <w:rPr>
          <w:rFonts w:hint="eastAsia" w:ascii="黑体" w:hAnsi="黑体" w:eastAsia="黑体" w:cs="Times New Roman"/>
          <w:b w:val="0"/>
          <w:bCs w:val="0"/>
          <w:i/>
          <w:color w:val="000000"/>
          <w:sz w:val="32"/>
          <w:szCs w:val="32"/>
          <w:u w:val="single"/>
        </w:rPr>
        <w:t xml:space="preserve">七</w:t>
      </w:r>
      <w:r>
        <w:rPr>
          <w:rFonts w:ascii="黑体" w:hAnsi="黑体" w:eastAsia="黑体" w:cs="Times New Roman"/>
          <w:b w:val="0"/>
          <w:bCs w:val="0"/>
          <w:i/>
          <w:color w:val="000000"/>
          <w:sz w:val="32"/>
          <w:szCs w:val="32"/>
          <w:u w:val="single"/>
        </w:rPr>
        <w:t xml:space="preserve">、项目业绩一览表</w:t>
      </w:r>
      <w:bookmarkEnd w:id="293"/>
      <w:r/>
      <w:r/>
    </w:p>
    <w:p>
      <w:pPr>
        <w:jc w:val="center"/>
        <w:rPr>
          <w:b/>
          <w:sz w:val="30"/>
          <w:szCs w:val="30"/>
        </w:rPr>
      </w:pPr>
      <w:r/>
      <w:bookmarkStart w:id="294" w:name="_Toc10294_WPSOffice_Level2"/>
      <w:r>
        <w:rPr>
          <w:rFonts w:hint="eastAsia"/>
          <w:b/>
          <w:sz w:val="30"/>
          <w:szCs w:val="30"/>
        </w:rPr>
        <w:t xml:space="preserve">项目业绩一览表</w:t>
      </w:r>
      <w:bookmarkEnd w:id="29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273"/>
        <w:gridCol w:w="2433"/>
        <w:gridCol w:w="1826"/>
      </w:tblGrid>
      <w:tr>
        <w:trPr>
          <w:jc w:val="center"/>
          <w:trHeight w:val="753"/>
        </w:trPr>
        <w:tc>
          <w:tcPr>
            <w:tcW w:w="1229" w:type="dxa"/>
            <w:textDirection w:val="lrTb"/>
            <w:noWrap w:val="false"/>
          </w:tcPr>
          <w:p>
            <w:pPr>
              <w:pStyle w:val="1022"/>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273" w:type="dxa"/>
            <w:vAlign w:val="center"/>
            <w:textDirection w:val="lrTb"/>
            <w:noWrap w:val="false"/>
          </w:tcPr>
          <w:p>
            <w:pPr>
              <w:pStyle w:val="1022"/>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022"/>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826" w:type="dxa"/>
            <w:vAlign w:val="center"/>
            <w:textDirection w:val="lrTb"/>
            <w:noWrap w:val="false"/>
          </w:tcPr>
          <w:p>
            <w:pPr>
              <w:pStyle w:val="1022"/>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327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1826"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327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1826"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327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1826"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327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c>
          <w:tcPr>
            <w:tcW w:w="1826" w:type="dxa"/>
            <w:vAlign w:val="center"/>
            <w:textDirection w:val="lrTb"/>
            <w:noWrap w:val="false"/>
          </w:tcPr>
          <w:p>
            <w:pPr>
              <w:pStyle w:val="1022"/>
              <w:jc w:val="center"/>
              <w:spacing w:line="560" w:lineRule="exact"/>
              <w:rPr>
                <w:rFonts w:ascii="仿宋_GB2312" w:eastAsia="仿宋_GB2312"/>
                <w:sz w:val="28"/>
              </w:rPr>
            </w:pPr>
            <w:r>
              <w:rPr>
                <w:rFonts w:ascii="仿宋_GB2312" w:eastAsia="仿宋_GB2312"/>
                <w:sz w:val="28"/>
              </w:rPr>
            </w:r>
            <w:r/>
          </w:p>
        </w:tc>
      </w:tr>
    </w:tbl>
    <w:p>
      <w:pPr>
        <w:pStyle w:val="1013"/>
        <w:ind w:firstLine="240"/>
        <w:rPr>
          <w:rFonts w:ascii="黑体" w:hAnsi="黑体" w:eastAsia="黑体"/>
          <w:b w:val="0"/>
          <w:color w:val="000000"/>
          <w:sz w:val="32"/>
          <w:szCs w:val="32"/>
        </w:rPr>
      </w:pPr>
      <w:r>
        <w:rPr>
          <w:rFonts w:ascii="黑体" w:hAnsi="黑体" w:eastAsia="黑体"/>
          <w:b w:val="0"/>
          <w:color w:val="000000"/>
          <w:sz w:val="32"/>
          <w:szCs w:val="32"/>
        </w:rPr>
        <w:br w:type="page" w:clear="all"/>
      </w:r>
      <w:bookmarkStart w:id="295" w:name="_Toc11126"/>
      <w:r>
        <w:rPr>
          <w:rFonts w:hint="eastAsia" w:ascii="黑体" w:hAnsi="黑体" w:eastAsia="黑体" w:cs="Times New Roman"/>
          <w:b w:val="0"/>
          <w:bCs w:val="0"/>
          <w:color w:val="000000"/>
          <w:sz w:val="32"/>
          <w:szCs w:val="32"/>
          <w:u w:val="single"/>
        </w:rPr>
        <w:t xml:space="preserve">十八、响水县政府采购事前信用承诺书</w:t>
      </w:r>
      <w:bookmarkEnd w:id="295"/>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为营造我县公开、公平、公正、诚实守信的政府采购交易环境，树立诚信守法的投标人形象，本人代表本单位作出以下承诺：</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（三）严格依照国家和省、市关于政府采购的法律、法规、规章、规范性文件，参加政府采购投标活动；积极履行社会责任，促进廉政建设； </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（四）严格遵守即时信息公示规定，及时维护和更新盐城市政府采购网中与本单位相关的信息；</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（六）自觉接受政府、行业组织、社会公众、新闻舆论的监督；</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（八）本人已认真阅读了上述承诺，并向本单位员工作了宣传教育。</w:t>
      </w:r>
      <w:r/>
    </w:p>
    <w:p>
      <w:pPr>
        <w:jc w:val="left"/>
        <w:spacing w:line="500" w:lineRule="exact"/>
        <w:widowControl/>
        <w:rPr>
          <w:rFonts w:ascii="宋体" w:hAnsi="宋体"/>
          <w:color w:val="000000"/>
          <w:sz w:val="24"/>
          <w:szCs w:val="24"/>
        </w:rPr>
      </w:pPr>
      <w:r>
        <w:rPr>
          <w:rFonts w:ascii="宋体" w:hAnsi="宋体"/>
          <w:color w:val="000000"/>
          <w:sz w:val="24"/>
          <w:szCs w:val="24"/>
        </w:rPr>
      </w:r>
      <w:r/>
    </w:p>
    <w:p>
      <w:pPr>
        <w:jc w:val="center"/>
        <w:spacing w:line="500" w:lineRule="exact"/>
        <w:widowControl/>
        <w:rPr>
          <w:rFonts w:ascii="宋体" w:hAnsi="宋体"/>
          <w:color w:val="000000"/>
          <w:sz w:val="24"/>
          <w:szCs w:val="24"/>
        </w:rPr>
      </w:pPr>
      <w:r>
        <w:rPr>
          <w:rFonts w:hint="eastAsia" w:ascii="宋体" w:hAnsi="宋体"/>
          <w:color w:val="000000"/>
          <w:sz w:val="24"/>
          <w:szCs w:val="24"/>
        </w:rPr>
        <w:t xml:space="preserve">                 法定代表人签名：</w:t>
      </w:r>
      <w:r/>
    </w:p>
    <w:p>
      <w:pPr>
        <w:jc w:val="center"/>
        <w:spacing w:line="500" w:lineRule="exact"/>
        <w:widowControl/>
        <w:rPr>
          <w:rFonts w:ascii="宋体" w:hAnsi="宋体"/>
          <w:color w:val="000000"/>
          <w:sz w:val="24"/>
          <w:szCs w:val="24"/>
        </w:rPr>
      </w:pPr>
      <w:r>
        <w:rPr>
          <w:rFonts w:hint="eastAsia" w:ascii="宋体" w:hAnsi="宋体"/>
          <w:color w:val="000000"/>
          <w:sz w:val="24"/>
          <w:szCs w:val="24"/>
        </w:rPr>
        <w:t xml:space="preserve">                   单位名称（盖章）：</w:t>
      </w:r>
      <w:r/>
    </w:p>
    <w:p>
      <w:r>
        <w:rPr>
          <w:rFonts w:hint="eastAsia" w:ascii="宋体" w:hAnsi="宋体"/>
          <w:color w:val="000000"/>
          <w:sz w:val="24"/>
          <w:szCs w:val="24"/>
        </w:rPr>
        <w:t xml:space="preserve">                   </w:t>
      </w:r>
      <w:r>
        <w:rPr>
          <w:rFonts w:hint="eastAsia" w:ascii="宋体" w:hAnsi="宋体"/>
          <w:color w:val="ff0000"/>
          <w:sz w:val="24"/>
          <w:szCs w:val="24"/>
        </w:rPr>
        <w:t xml:space="preserve">   年    月    日</w:t>
      </w:r>
      <w:bookmarkEnd w:id="232"/>
      <w:bookmarkEnd w:id="233"/>
      <w:bookmarkEnd w:id="258"/>
      <w:r/>
    </w:p>
    <w:p>
      <w:pPr>
        <w:pStyle w:val="1013"/>
        <w:ind w:firstLine="240"/>
        <w:rPr>
          <w:rFonts w:ascii="宋体" w:hAnsi="宋体" w:cs="仿宋"/>
          <w:b w:val="0"/>
          <w:bCs w:val="0"/>
          <w:color w:val="000000"/>
          <w:sz w:val="32"/>
          <w:szCs w:val="32"/>
        </w:rPr>
      </w:pPr>
      <w:r>
        <w:rPr>
          <w:rFonts w:hint="eastAsia" w:ascii="宋体" w:hAnsi="宋体" w:cs="仿宋"/>
          <w:b w:val="0"/>
          <w:bCs w:val="0"/>
          <w:color w:val="000000"/>
          <w:sz w:val="32"/>
          <w:szCs w:val="32"/>
        </w:rPr>
        <w:br w:type="page" w:clear="all"/>
      </w:r>
      <w:bookmarkStart w:id="296" w:name="_Toc5775"/>
      <w:r>
        <w:rPr>
          <w:rFonts w:hint="eastAsia" w:ascii="黑体" w:hAnsi="黑体" w:eastAsia="黑体" w:cs="Times New Roman"/>
          <w:b w:val="0"/>
          <w:bCs w:val="0"/>
          <w:color w:val="000000"/>
          <w:sz w:val="32"/>
          <w:szCs w:val="32"/>
          <w:u w:val="single"/>
        </w:rPr>
        <w:t xml:space="preserve">质疑函范本</w:t>
      </w:r>
      <w:bookmarkEnd w:id="296"/>
      <w:r/>
      <w:r/>
    </w:p>
    <w:p>
      <w:pPr>
        <w:pStyle w:val="779"/>
        <w:jc w:val="both"/>
        <w:spacing w:before="290" w:beforeAutospacing="0" w:afterAutospacing="0" w:line="360" w:lineRule="auto"/>
        <w:rPr>
          <w:color w:val="000000"/>
        </w:rPr>
      </w:pPr>
      <w:r>
        <w:rPr>
          <w:rFonts w:hint="eastAsia"/>
          <w:color w:val="000000"/>
        </w:rPr>
        <w:t xml:space="preserve">一、质疑供应商基本信息</w:t>
      </w:r>
      <w:r/>
    </w:p>
    <w:p>
      <w:pPr>
        <w:pStyle w:val="779"/>
        <w:jc w:val="both"/>
        <w:spacing w:beforeAutospacing="0" w:afterAutospacing="0" w:line="360" w:lineRule="auto"/>
        <w:rPr>
          <w:color w:val="000000"/>
        </w:rPr>
      </w:pPr>
      <w:r>
        <w:rPr>
          <w:rFonts w:hint="eastAsia"/>
          <w:color w:val="000000"/>
        </w:rPr>
        <w:t xml:space="preserve">质疑供应商：</w:t>
      </w:r>
      <w:r>
        <w:rPr>
          <w:rFonts w:hint="eastAsia"/>
          <w:color w:val="000000"/>
          <w:u w:val="single"/>
        </w:rPr>
        <w:t xml:space="preserve">                    </w:t>
      </w:r>
      <w:r>
        <w:rPr>
          <w:rFonts w:hint="eastAsia"/>
          <w:color w:val="000000"/>
          <w:u w:val="single"/>
        </w:rPr>
        <w:tab/>
        <w:t xml:space="preserve"> </w:t>
      </w:r>
      <w:r>
        <w:rPr>
          <w:rFonts w:hint="eastAsia"/>
          <w:color w:val="000000"/>
          <w:u w:val="single"/>
        </w:rPr>
        <w:tab/>
        <w:t xml:space="preserve">       </w:t>
      </w:r>
      <w:r/>
    </w:p>
    <w:p>
      <w:pPr>
        <w:pStyle w:val="779"/>
        <w:jc w:val="both"/>
        <w:spacing w:beforeAutospacing="0" w:afterAutospacing="0"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rPr>
      </w:pPr>
      <w:r>
        <w:rPr>
          <w:rFonts w:hint="eastAsia"/>
          <w:color w:val="000000"/>
        </w:rPr>
        <w:t xml:space="preserve">联系电话：</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rPr>
      </w:pPr>
      <w:r>
        <w:rPr>
          <w:rFonts w:hint="eastAsia"/>
          <w:color w:val="000000"/>
        </w:rPr>
        <w:t xml:space="preserve">邮编：</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二、质疑项目基本情况</w:t>
      </w:r>
      <w:r/>
    </w:p>
    <w:p>
      <w:pPr>
        <w:pStyle w:val="779"/>
        <w:jc w:val="both"/>
        <w:spacing w:beforeAutospacing="0" w:afterAutospacing="0" w:line="360" w:lineRule="auto"/>
        <w:rPr>
          <w:color w:val="000000"/>
        </w:rPr>
      </w:pPr>
      <w:r>
        <w:rPr>
          <w:rFonts w:hint="eastAsia"/>
          <w:color w:val="000000"/>
        </w:rPr>
        <w:t xml:space="preserve">质疑项目的名称：</w:t>
      </w:r>
      <w:r>
        <w:rPr>
          <w:rFonts w:hint="eastAsia"/>
          <w:color w:val="000000"/>
          <w:u w:val="single"/>
        </w:rPr>
        <w:t xml:space="preserve">                            </w:t>
      </w:r>
      <w:r/>
    </w:p>
    <w:p>
      <w:pPr>
        <w:pStyle w:val="779"/>
        <w:jc w:val="both"/>
        <w:spacing w:beforeAutospacing="0" w:afterAutospacing="0"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79"/>
        <w:jc w:val="both"/>
        <w:spacing w:beforeAutospacing="0" w:afterAutospacing="0" w:line="360" w:lineRule="auto"/>
        <w:rPr>
          <w:color w:val="000000"/>
        </w:rPr>
      </w:pPr>
      <w:r>
        <w:rPr>
          <w:rFonts w:hint="eastAsia"/>
          <w:color w:val="000000"/>
        </w:rPr>
        <w:t xml:space="preserve">采购人名称：</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采购文件获取日期：</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三、质疑事项具体内容</w:t>
      </w:r>
      <w:r/>
    </w:p>
    <w:p>
      <w:pPr>
        <w:pStyle w:val="779"/>
        <w:jc w:val="both"/>
        <w:spacing w:beforeAutospacing="0" w:afterAutospacing="0" w:line="360" w:lineRule="auto"/>
        <w:rPr>
          <w:color w:val="000000"/>
        </w:rPr>
      </w:pPr>
      <w:r>
        <w:rPr>
          <w:rFonts w:hint="eastAsia"/>
          <w:color w:val="000000"/>
        </w:rPr>
        <w:t xml:space="preserve">质疑事项1：</w:t>
      </w:r>
      <w:r>
        <w:rPr>
          <w:rFonts w:hint="eastAsia"/>
          <w:color w:val="000000"/>
          <w:u w:val="single"/>
        </w:rPr>
        <w:t xml:space="preserve">                             </w:t>
      </w:r>
      <w:r/>
    </w:p>
    <w:p>
      <w:pPr>
        <w:pStyle w:val="779"/>
        <w:spacing w:beforeAutospacing="0" w:afterAutospacing="0" w:line="360" w:lineRule="auto"/>
        <w:rPr>
          <w:color w:val="000000"/>
        </w:rPr>
      </w:pPr>
      <w:r>
        <w:rPr>
          <w:rFonts w:hint="eastAsia"/>
          <w:color w:val="000000"/>
        </w:rPr>
        <w:t xml:space="preserve">事实依据：</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法律依据：</w:t>
      </w:r>
      <w:r>
        <w:rPr>
          <w:rFonts w:hint="eastAsia"/>
          <w:color w:val="000000"/>
          <w:u w:val="single"/>
        </w:rPr>
        <w:t xml:space="preserve">                                                    </w:t>
      </w:r>
      <w:r/>
    </w:p>
    <w:p>
      <w:pPr>
        <w:pStyle w:val="779"/>
        <w:jc w:val="both"/>
        <w:spacing w:beforeAutospacing="0" w:afterAutospacing="0" w:line="360" w:lineRule="auto"/>
        <w:rPr>
          <w:color w:val="000000"/>
        </w:rPr>
      </w:pPr>
      <w:r>
        <w:rPr>
          <w:rFonts w:hint="eastAsia"/>
          <w:color w:val="000000"/>
        </w:rPr>
        <w:t xml:space="preserve">质疑事项2</w:t>
      </w:r>
      <w:r/>
    </w:p>
    <w:p>
      <w:pPr>
        <w:pStyle w:val="779"/>
        <w:jc w:val="both"/>
        <w:spacing w:beforeAutospacing="0" w:afterAutospacing="0" w:line="360" w:lineRule="auto"/>
        <w:rPr>
          <w:color w:val="000000"/>
        </w:rPr>
      </w:pPr>
      <w:r>
        <w:rPr>
          <w:rFonts w:hint="eastAsia"/>
          <w:color w:val="000000"/>
        </w:rPr>
        <w:t xml:space="preserve">……</w:t>
      </w:r>
      <w:r/>
    </w:p>
    <w:p>
      <w:pPr>
        <w:pStyle w:val="779"/>
        <w:jc w:val="both"/>
        <w:spacing w:beforeAutospacing="0" w:afterAutospacing="0" w:line="360" w:lineRule="auto"/>
        <w:rPr>
          <w:color w:val="000000"/>
        </w:rPr>
      </w:pPr>
      <w:r>
        <w:rPr>
          <w:rFonts w:hint="eastAsia"/>
          <w:color w:val="000000"/>
        </w:rPr>
        <w:t xml:space="preserve">四、与质疑事项相关的质疑请求</w:t>
      </w:r>
      <w:r/>
    </w:p>
    <w:p>
      <w:pPr>
        <w:pStyle w:val="779"/>
        <w:jc w:val="both"/>
        <w:spacing w:beforeAutospacing="0" w:afterAutospacing="0" w:line="360" w:lineRule="auto"/>
        <w:rPr>
          <w:color w:val="000000"/>
        </w:rPr>
      </w:pPr>
      <w:r>
        <w:rPr>
          <w:rFonts w:hint="eastAsia"/>
          <w:color w:val="000000"/>
        </w:rPr>
        <w:t xml:space="preserve">请求：</w:t>
      </w:r>
      <w:r>
        <w:rPr>
          <w:rFonts w:hint="eastAsia"/>
          <w:color w:val="000000"/>
          <w:u w:val="single"/>
        </w:rPr>
        <w:t xml:space="preserve">                                                          </w:t>
      </w:r>
      <w:r/>
    </w:p>
    <w:p>
      <w:pPr>
        <w:pStyle w:val="779"/>
        <w:jc w:val="both"/>
        <w:spacing w:beforeAutospacing="0" w:afterAutospacing="0"/>
        <w:rPr>
          <w:color w:val="000000"/>
        </w:rPr>
      </w:pPr>
      <w:r>
        <w:rPr>
          <w:rFonts w:hint="eastAsia"/>
          <w:color w:val="000000"/>
        </w:rPr>
        <w:t xml:space="preserve">签字(签章)：                 公章：               日期：    </w:t>
      </w:r>
      <w:r/>
    </w:p>
    <w:p>
      <w:pPr>
        <w:pStyle w:val="779"/>
        <w:jc w:val="both"/>
        <w:spacing w:beforeAutospacing="0" w:afterAutospacing="0" w:line="0" w:lineRule="atLeast"/>
        <w:rPr>
          <w:color w:val="000000"/>
        </w:rPr>
      </w:pPr>
      <w:r>
        <w:rPr>
          <w:rFonts w:hint="eastAsia"/>
          <w:b/>
          <w:color w:val="000000"/>
        </w:rPr>
        <w:t xml:space="preserve">质疑函制作说明：</w:t>
      </w:r>
      <w:r/>
    </w:p>
    <w:p>
      <w:pPr>
        <w:pStyle w:val="779"/>
        <w:ind w:firstLine="480"/>
        <w:spacing w:beforeAutospacing="0" w:afterAutospacing="0" w:line="0" w:lineRule="atLeast"/>
        <w:rPr>
          <w:color w:val="000000"/>
        </w:rPr>
      </w:pPr>
      <w:r>
        <w:rPr>
          <w:rFonts w:hint="eastAsia"/>
          <w:color w:val="000000"/>
        </w:rPr>
        <w:t xml:space="preserve">1.供应商提出质疑时，应提交质疑函和必要的证明材料。</w:t>
      </w:r>
      <w:r/>
    </w:p>
    <w:p>
      <w:pPr>
        <w:pStyle w:val="779"/>
        <w:ind w:firstLine="480"/>
        <w:spacing w:beforeAutospacing="0" w:afterAutospacing="0" w:line="0" w:lineRule="atLeast"/>
        <w:rPr>
          <w:color w:val="000000"/>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ind w:firstLine="480"/>
        <w:spacing w:beforeAutospacing="0" w:afterAutospacing="0" w:line="0" w:lineRule="atLeast"/>
        <w:rPr>
          <w:color w:val="000000"/>
        </w:rPr>
      </w:pPr>
      <w:r>
        <w:rPr>
          <w:rFonts w:hint="eastAsia"/>
          <w:color w:val="000000"/>
        </w:rPr>
        <w:t xml:space="preserve">3.质疑供应商若对项目的某一分包进行质疑，质疑函中应列明具体分包号。</w:t>
      </w:r>
      <w:r/>
    </w:p>
    <w:p>
      <w:pPr>
        <w:pStyle w:val="779"/>
        <w:ind w:firstLine="480"/>
        <w:spacing w:beforeAutospacing="0" w:afterAutospacing="0" w:line="0" w:lineRule="atLeast"/>
        <w:rPr>
          <w:color w:val="000000"/>
        </w:rPr>
      </w:pPr>
      <w:r>
        <w:rPr>
          <w:rFonts w:hint="eastAsia"/>
          <w:color w:val="000000"/>
        </w:rPr>
        <w:t xml:space="preserve">4.质疑函的质疑事项应具体、明确，并有必要的事实依据和法律依据。</w:t>
      </w:r>
      <w:r/>
    </w:p>
    <w:p>
      <w:pPr>
        <w:pStyle w:val="779"/>
        <w:ind w:firstLine="480"/>
        <w:spacing w:beforeAutospacing="0" w:afterAutospacing="0" w:line="0" w:lineRule="atLeast"/>
        <w:rPr>
          <w:color w:val="000000"/>
        </w:rPr>
      </w:pPr>
      <w:r>
        <w:rPr>
          <w:rFonts w:hint="eastAsia"/>
          <w:color w:val="000000"/>
        </w:rPr>
        <w:t xml:space="preserve">5.质疑函的质疑请求应与质疑事项相关。</w:t>
      </w:r>
      <w:r/>
    </w:p>
    <w:p>
      <w:pPr>
        <w:ind w:firstLine="449"/>
        <w:jc w:val="left"/>
        <w:spacing w:line="400" w:lineRule="exact"/>
        <w:widowControl/>
        <w:rPr>
          <w:rFonts w:ascii="宋体" w:hAnsi="宋体"/>
          <w:color w:val="000000"/>
          <w:sz w:val="24"/>
          <w:szCs w:val="24"/>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47"/>
        <w:ind w:firstLine="241"/>
        <w:rPr>
          <w:color w:val="000000"/>
          <w:sz w:val="24"/>
          <w:szCs w:val="24"/>
        </w:rPr>
      </w:pPr>
      <w:r>
        <w:rPr>
          <w:color w:val="000000"/>
          <w:sz w:val="24"/>
          <w:szCs w:val="24"/>
        </w:rPr>
      </w:r>
      <w:r/>
    </w:p>
    <w:sectPr>
      <w:footnotePr/>
      <w:endnotePr/>
      <w:type w:val="nextPage"/>
      <w:pgSz w:w="11906" w:h="16838" w:orient="portrait"/>
      <w:pgMar w:top="1418" w:right="1418" w:bottom="1418" w:left="1418"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76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6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9"/>
      <w:isLgl w:val="false"/>
      <w:suff w:val="nothing"/>
      <w:lvlText w:val=""/>
      <w:lvlJc w:val="left"/>
      <w:pPr>
        <w:ind w:left="0" w:firstLine="0"/>
      </w:pPr>
      <w:rPr>
        <w:rFonts w:hint="eastAsia"/>
      </w:rPr>
    </w:lvl>
    <w:lvl w:ilvl="6">
      <w:start w:val="1"/>
      <w:numFmt w:val="decimal"/>
      <w:pStyle w:val="740"/>
      <w:isLgl w:val="false"/>
      <w:suff w:val="nothing"/>
      <w:lvlText w:val=""/>
      <w:lvlJc w:val="left"/>
      <w:pPr>
        <w:ind w:left="0" w:firstLine="0"/>
      </w:pPr>
      <w:rPr>
        <w:rFonts w:hint="eastAsia"/>
      </w:rPr>
    </w:lvl>
    <w:lvl w:ilvl="7">
      <w:start w:val="1"/>
      <w:numFmt w:val="decimal"/>
      <w:pStyle w:val="741"/>
      <w:isLgl w:val="false"/>
      <w:suff w:val="nothing"/>
      <w:lvlText w:val=""/>
      <w:lvlJc w:val="left"/>
      <w:pPr>
        <w:ind w:left="0" w:firstLine="0"/>
      </w:pPr>
      <w:rPr>
        <w:rFonts w:hint="eastAsia"/>
      </w:rPr>
    </w:lvl>
    <w:lvl w:ilvl="8">
      <w:start w:val="1"/>
      <w:numFmt w:val="decimal"/>
      <w:pStyle w:val="742"/>
      <w:isLgl w:val="false"/>
      <w:suff w:val="nothing"/>
      <w:lvlText w:val=""/>
      <w:lvlJc w:val="left"/>
      <w:pPr>
        <w:ind w:left="0" w:firstLine="0"/>
      </w:pPr>
      <w:rPr>
        <w:rFonts w:hint="eastAsia"/>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3" w:default="1">
    <w:name w:val="Normal"/>
    <w:next w:val="746"/>
    <w:qFormat/>
    <w:pPr>
      <w:jc w:val="both"/>
      <w:widowControl w:val="off"/>
    </w:pPr>
    <w:rPr>
      <w:sz w:val="21"/>
      <w:szCs w:val="21"/>
    </w:rPr>
  </w:style>
  <w:style w:type="paragraph" w:styleId="734">
    <w:name w:val="Heading 1"/>
    <w:basedOn w:val="733"/>
    <w:next w:val="733"/>
    <w:link w:val="822"/>
    <w:qFormat/>
    <w:pPr>
      <w:jc w:val="center"/>
      <w:keepNext/>
      <w:spacing w:line="360" w:lineRule="auto"/>
      <w:outlineLvl w:val="0"/>
    </w:pPr>
    <w:rPr>
      <w:rFonts w:ascii="宋体" w:hAnsi="宋体"/>
      <w:b/>
      <w:sz w:val="28"/>
      <w:szCs w:val="28"/>
    </w:rPr>
  </w:style>
  <w:style w:type="paragraph" w:styleId="735">
    <w:name w:val="Heading 2"/>
    <w:basedOn w:val="733"/>
    <w:next w:val="747"/>
    <w:link w:val="823"/>
    <w:qFormat/>
    <w:pPr>
      <w:ind w:firstLine="440"/>
      <w:jc w:val="center"/>
      <w:keepLines/>
      <w:keepNext/>
      <w:spacing w:before="260" w:after="260" w:line="416" w:lineRule="auto"/>
      <w:outlineLvl w:val="1"/>
    </w:pPr>
    <w:rPr>
      <w:rFonts w:ascii="Arial" w:hAnsi="Arial" w:eastAsia="幼圆" w:cs="Arial"/>
      <w:b/>
      <w:bCs/>
      <w:sz w:val="44"/>
      <w:szCs w:val="44"/>
    </w:rPr>
  </w:style>
  <w:style w:type="paragraph" w:styleId="736">
    <w:name w:val="Heading 3"/>
    <w:basedOn w:val="733"/>
    <w:next w:val="747"/>
    <w:link w:val="825"/>
    <w:qFormat/>
    <w:pPr>
      <w:keepLines/>
      <w:keepNext/>
      <w:spacing w:before="260" w:after="260" w:line="416" w:lineRule="auto"/>
      <w:outlineLvl w:val="2"/>
    </w:pPr>
    <w:rPr>
      <w:b/>
      <w:bCs/>
      <w:sz w:val="32"/>
      <w:szCs w:val="32"/>
    </w:rPr>
  </w:style>
  <w:style w:type="paragraph" w:styleId="737">
    <w:name w:val="Heading 4"/>
    <w:basedOn w:val="733"/>
    <w:next w:val="733"/>
    <w:link w:val="826"/>
    <w:qFormat/>
    <w:pPr>
      <w:keepLines/>
      <w:keepNext/>
      <w:spacing w:before="280" w:after="290" w:line="376" w:lineRule="auto"/>
      <w:outlineLvl w:val="3"/>
    </w:pPr>
    <w:rPr>
      <w:rFonts w:ascii="Arial" w:hAnsi="Arial" w:eastAsia="黑体" w:cs="Arial"/>
      <w:b/>
      <w:bCs/>
      <w:sz w:val="28"/>
      <w:szCs w:val="28"/>
    </w:rPr>
  </w:style>
  <w:style w:type="paragraph" w:styleId="738">
    <w:name w:val="Heading 5"/>
    <w:basedOn w:val="733"/>
    <w:next w:val="747"/>
    <w:link w:val="827"/>
    <w:qFormat/>
    <w:pPr>
      <w:keepNext/>
      <w:outlineLvl w:val="4"/>
    </w:pPr>
    <w:rPr>
      <w:rFonts w:ascii="宋体"/>
      <w:color w:val="000000"/>
      <w:sz w:val="28"/>
      <w:szCs w:val="28"/>
    </w:rPr>
  </w:style>
  <w:style w:type="paragraph" w:styleId="739">
    <w:name w:val="Heading 6"/>
    <w:basedOn w:val="733"/>
    <w:next w:val="733"/>
    <w:link w:val="828"/>
    <w:qFormat/>
    <w:pPr>
      <w:numPr>
        <w:ilvl w:val="5"/>
        <w:numId w:val="1"/>
      </w:numPr>
      <w:keepLines/>
      <w:keepNext/>
      <w:spacing w:before="240" w:after="64" w:line="320" w:lineRule="auto"/>
      <w:outlineLvl w:val="5"/>
    </w:pPr>
    <w:rPr>
      <w:rFonts w:ascii="Arial" w:hAnsi="Arial" w:eastAsia="黑体"/>
      <w:b/>
      <w:bCs/>
      <w:sz w:val="24"/>
      <w:szCs w:val="24"/>
    </w:rPr>
  </w:style>
  <w:style w:type="paragraph" w:styleId="740">
    <w:name w:val="Heading 7"/>
    <w:basedOn w:val="733"/>
    <w:next w:val="733"/>
    <w:link w:val="829"/>
    <w:qFormat/>
    <w:pPr>
      <w:numPr>
        <w:ilvl w:val="6"/>
        <w:numId w:val="1"/>
      </w:numPr>
      <w:keepLines/>
      <w:keepNext/>
      <w:spacing w:before="240" w:after="64" w:line="320" w:lineRule="auto"/>
      <w:outlineLvl w:val="6"/>
    </w:pPr>
    <w:rPr>
      <w:b/>
      <w:bCs/>
      <w:sz w:val="24"/>
      <w:szCs w:val="24"/>
    </w:rPr>
  </w:style>
  <w:style w:type="paragraph" w:styleId="741">
    <w:name w:val="Heading 8"/>
    <w:basedOn w:val="733"/>
    <w:next w:val="733"/>
    <w:link w:val="830"/>
    <w:qFormat/>
    <w:pPr>
      <w:numPr>
        <w:ilvl w:val="7"/>
        <w:numId w:val="1"/>
      </w:numPr>
      <w:keepLines/>
      <w:keepNext/>
      <w:spacing w:before="240" w:after="64" w:line="320" w:lineRule="auto"/>
      <w:outlineLvl w:val="7"/>
    </w:pPr>
    <w:rPr>
      <w:rFonts w:ascii="Arial" w:hAnsi="Arial" w:eastAsia="黑体"/>
      <w:sz w:val="24"/>
      <w:szCs w:val="24"/>
    </w:rPr>
  </w:style>
  <w:style w:type="paragraph" w:styleId="742">
    <w:name w:val="Heading 9"/>
    <w:basedOn w:val="733"/>
    <w:next w:val="733"/>
    <w:link w:val="831"/>
    <w:qFormat/>
    <w:pPr>
      <w:numPr>
        <w:ilvl w:val="8"/>
        <w:numId w:val="1"/>
      </w:numPr>
      <w:keepLines/>
      <w:keepNext/>
      <w:spacing w:before="240" w:after="64" w:line="320" w:lineRule="auto"/>
      <w:outlineLvl w:val="8"/>
    </w:pPr>
    <w:rPr>
      <w:rFonts w:ascii="Arial" w:hAnsi="Arial" w:eastAsia="黑体"/>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customStyle="1">
    <w:name w:val="Default"/>
    <w:basedOn w:val="733"/>
    <w:semiHidden/>
    <w:qFormat/>
    <w:pPr>
      <w:jc w:val="left"/>
    </w:pPr>
    <w:rPr>
      <w:rFonts w:ascii="宋体" w:hAnsi="Calibri" w:cs="宋体"/>
      <w:color w:val="000000"/>
      <w:sz w:val="24"/>
    </w:rPr>
  </w:style>
  <w:style w:type="paragraph" w:styleId="747">
    <w:name w:val="Normal Indent"/>
    <w:basedOn w:val="733"/>
    <w:link w:val="824"/>
    <w:qFormat/>
    <w:pPr>
      <w:ind w:firstLine="420"/>
    </w:pPr>
  </w:style>
  <w:style w:type="paragraph" w:styleId="748">
    <w:name w:val="List 3"/>
    <w:basedOn w:val="733"/>
    <w:qFormat/>
    <w:pPr>
      <w:ind w:left="100" w:hanging="200"/>
    </w:pPr>
  </w:style>
  <w:style w:type="paragraph" w:styleId="749">
    <w:name w:val="toc 7"/>
    <w:basedOn w:val="733"/>
    <w:next w:val="733"/>
    <w:semiHidden/>
    <w:qFormat/>
    <w:pPr>
      <w:ind w:left="1260"/>
      <w:jc w:val="left"/>
    </w:pPr>
  </w:style>
  <w:style w:type="paragraph" w:styleId="750">
    <w:name w:val="Caption"/>
    <w:basedOn w:val="733"/>
    <w:next w:val="733"/>
    <w:uiPriority w:val="35"/>
    <w:qFormat/>
    <w:pPr>
      <w:spacing w:line="276" w:lineRule="auto"/>
    </w:pPr>
    <w:rPr>
      <w:b/>
      <w:bCs/>
      <w:color w:val="4f81bd"/>
      <w:sz w:val="18"/>
      <w:szCs w:val="18"/>
    </w:rPr>
  </w:style>
  <w:style w:type="paragraph" w:styleId="751">
    <w:name w:val="Document Map"/>
    <w:basedOn w:val="733"/>
    <w:link w:val="832"/>
    <w:semiHidden/>
    <w:qFormat/>
    <w:pPr>
      <w:shd w:val="clear" w:color="auto" w:fill="000080"/>
    </w:pPr>
  </w:style>
  <w:style w:type="paragraph" w:styleId="752">
    <w:name w:val="annotation text"/>
    <w:basedOn w:val="733"/>
    <w:link w:val="833"/>
    <w:semiHidden/>
    <w:qFormat/>
    <w:pPr>
      <w:jc w:val="left"/>
    </w:pPr>
  </w:style>
  <w:style w:type="paragraph" w:styleId="753">
    <w:name w:val="Body Text 3"/>
    <w:basedOn w:val="733"/>
    <w:link w:val="834"/>
    <w:qFormat/>
    <w:rPr>
      <w:rFonts w:ascii="仿宋_GB2312" w:hAnsi="Arial" w:eastAsia="仿宋_GB2312"/>
      <w:sz w:val="32"/>
      <w:szCs w:val="32"/>
    </w:rPr>
  </w:style>
  <w:style w:type="paragraph" w:styleId="754">
    <w:name w:val="Body Text"/>
    <w:basedOn w:val="733"/>
    <w:next w:val="733"/>
    <w:link w:val="835"/>
    <w:qFormat/>
    <w:rPr>
      <w:rFonts w:ascii="楷体_GB2312" w:hAnsi="Arial" w:eastAsia="楷体_GB2312"/>
      <w:sz w:val="28"/>
      <w:szCs w:val="28"/>
    </w:rPr>
  </w:style>
  <w:style w:type="paragraph" w:styleId="755">
    <w:name w:val="Body Text Indent"/>
    <w:basedOn w:val="733"/>
    <w:next w:val="756"/>
    <w:link w:val="836"/>
    <w:qFormat/>
    <w:pPr>
      <w:ind w:firstLine="645"/>
    </w:pPr>
    <w:rPr>
      <w:rFonts w:ascii="楷体_GB2312" w:eastAsia="楷体_GB2312"/>
      <w:sz w:val="32"/>
      <w:szCs w:val="32"/>
    </w:rPr>
  </w:style>
  <w:style w:type="paragraph" w:styleId="756">
    <w:name w:val="envelope return"/>
    <w:basedOn w:val="733"/>
    <w:qFormat/>
    <w:rPr>
      <w:rFonts w:ascii="Cambria" w:hAnsi="Cambria"/>
    </w:rPr>
  </w:style>
  <w:style w:type="paragraph" w:styleId="757">
    <w:name w:val="List 2"/>
    <w:basedOn w:val="733"/>
    <w:qFormat/>
    <w:pPr>
      <w:ind w:left="100" w:hanging="200"/>
    </w:pPr>
  </w:style>
  <w:style w:type="paragraph" w:styleId="758">
    <w:name w:val="toc 5"/>
    <w:basedOn w:val="733"/>
    <w:next w:val="733"/>
    <w:semiHidden/>
    <w:qFormat/>
    <w:pPr>
      <w:ind w:left="840"/>
      <w:jc w:val="left"/>
    </w:pPr>
  </w:style>
  <w:style w:type="paragraph" w:styleId="759">
    <w:name w:val="toc 3"/>
    <w:basedOn w:val="733"/>
    <w:next w:val="733"/>
    <w:uiPriority w:val="39"/>
    <w:qFormat/>
    <w:pPr>
      <w:ind w:left="420"/>
      <w:jc w:val="left"/>
    </w:pPr>
    <w:rPr>
      <w:i/>
      <w:iCs/>
      <w:szCs w:val="24"/>
    </w:rPr>
  </w:style>
  <w:style w:type="paragraph" w:styleId="760">
    <w:name w:val="Plain Text"/>
    <w:basedOn w:val="733"/>
    <w:link w:val="837"/>
    <w:qFormat/>
    <w:rPr>
      <w:rFonts w:ascii="宋体" w:hAnsi="Courier New" w:cs="Courier New"/>
    </w:rPr>
  </w:style>
  <w:style w:type="paragraph" w:styleId="761">
    <w:name w:val="toc 8"/>
    <w:basedOn w:val="733"/>
    <w:next w:val="733"/>
    <w:semiHidden/>
    <w:qFormat/>
    <w:pPr>
      <w:ind w:left="1470"/>
      <w:jc w:val="left"/>
    </w:pPr>
  </w:style>
  <w:style w:type="paragraph" w:styleId="762">
    <w:name w:val="Date"/>
    <w:basedOn w:val="733"/>
    <w:next w:val="733"/>
    <w:link w:val="838"/>
    <w:qFormat/>
    <w:rPr>
      <w:sz w:val="24"/>
      <w:szCs w:val="24"/>
    </w:rPr>
  </w:style>
  <w:style w:type="paragraph" w:styleId="763">
    <w:name w:val="Body Text Indent 2"/>
    <w:basedOn w:val="733"/>
    <w:link w:val="839"/>
    <w:qFormat/>
    <w:pPr>
      <w:ind w:left="630" w:firstLine="645"/>
    </w:pPr>
    <w:rPr>
      <w:rFonts w:ascii="Arial" w:hAnsi="Arial" w:eastAsia="仿宋_GB2312" w:cs="Arial"/>
      <w:sz w:val="32"/>
      <w:szCs w:val="32"/>
    </w:rPr>
  </w:style>
  <w:style w:type="paragraph" w:styleId="764">
    <w:name w:val="endnote text"/>
    <w:basedOn w:val="733"/>
    <w:link w:val="840"/>
    <w:uiPriority w:val="99"/>
    <w:unhideWhenUsed/>
    <w:qFormat/>
    <w:rPr>
      <w:sz w:val="20"/>
    </w:rPr>
  </w:style>
  <w:style w:type="paragraph" w:styleId="765">
    <w:name w:val="Balloon Text"/>
    <w:basedOn w:val="733"/>
    <w:link w:val="841"/>
    <w:semiHidden/>
    <w:qFormat/>
    <w:rPr>
      <w:sz w:val="18"/>
      <w:szCs w:val="18"/>
    </w:rPr>
  </w:style>
  <w:style w:type="paragraph" w:styleId="766">
    <w:name w:val="Footer"/>
    <w:basedOn w:val="733"/>
    <w:link w:val="842"/>
    <w:qFormat/>
    <w:pPr>
      <w:jc w:val="left"/>
      <w:tabs>
        <w:tab w:val="center" w:pos="4153" w:leader="none"/>
        <w:tab w:val="right" w:pos="8306" w:leader="none"/>
      </w:tabs>
    </w:pPr>
    <w:rPr>
      <w:sz w:val="18"/>
      <w:szCs w:val="18"/>
    </w:rPr>
  </w:style>
  <w:style w:type="paragraph" w:styleId="767">
    <w:name w:val="Header"/>
    <w:basedOn w:val="733"/>
    <w:link w:val="843"/>
    <w:qFormat/>
    <w:pPr>
      <w:jc w:val="center"/>
      <w:tabs>
        <w:tab w:val="center" w:pos="4153" w:leader="none"/>
        <w:tab w:val="right" w:pos="8306" w:leader="none"/>
      </w:tabs>
      <w:pBdr>
        <w:bottom w:val="single" w:color="000000" w:sz="6" w:space="1"/>
      </w:pBdr>
    </w:pPr>
    <w:rPr>
      <w:sz w:val="18"/>
      <w:szCs w:val="18"/>
    </w:rPr>
  </w:style>
  <w:style w:type="paragraph" w:styleId="768">
    <w:name w:val="toc 1"/>
    <w:basedOn w:val="733"/>
    <w:next w:val="733"/>
    <w:uiPriority w:val="39"/>
    <w:qFormat/>
    <w:pPr>
      <w:jc w:val="left"/>
      <w:spacing w:before="120" w:after="120" w:line="400" w:lineRule="exact"/>
      <w:tabs>
        <w:tab w:val="right" w:pos="8720" w:leader="dot"/>
      </w:tabs>
    </w:pPr>
    <w:rPr>
      <w:rFonts w:ascii="宋体" w:hAnsi="宋体"/>
      <w:caps/>
      <w:sz w:val="24"/>
      <w:szCs w:val="24"/>
    </w:rPr>
  </w:style>
  <w:style w:type="paragraph" w:styleId="769">
    <w:name w:val="toc 4"/>
    <w:basedOn w:val="733"/>
    <w:next w:val="733"/>
    <w:semiHidden/>
    <w:qFormat/>
    <w:pPr>
      <w:ind w:left="630"/>
      <w:jc w:val="left"/>
    </w:pPr>
  </w:style>
  <w:style w:type="paragraph" w:styleId="770">
    <w:name w:val="Subtitle"/>
    <w:basedOn w:val="733"/>
    <w:next w:val="733"/>
    <w:link w:val="844"/>
    <w:uiPriority w:val="11"/>
    <w:qFormat/>
    <w:pPr>
      <w:spacing w:before="200" w:after="200"/>
    </w:pPr>
    <w:rPr>
      <w:sz w:val="24"/>
      <w:szCs w:val="24"/>
    </w:rPr>
  </w:style>
  <w:style w:type="paragraph" w:styleId="771">
    <w:name w:val="List"/>
    <w:basedOn w:val="733"/>
    <w:qFormat/>
    <w:pPr>
      <w:ind w:left="200" w:hanging="200"/>
    </w:pPr>
  </w:style>
  <w:style w:type="paragraph" w:styleId="772">
    <w:name w:val="footnote text"/>
    <w:basedOn w:val="733"/>
    <w:link w:val="845"/>
    <w:uiPriority w:val="99"/>
    <w:unhideWhenUsed/>
    <w:qFormat/>
    <w:pPr>
      <w:spacing w:after="40"/>
    </w:pPr>
    <w:rPr>
      <w:sz w:val="18"/>
    </w:rPr>
  </w:style>
  <w:style w:type="paragraph" w:styleId="773">
    <w:name w:val="toc 6"/>
    <w:basedOn w:val="733"/>
    <w:next w:val="733"/>
    <w:semiHidden/>
    <w:qFormat/>
    <w:pPr>
      <w:ind w:left="1050"/>
      <w:jc w:val="left"/>
    </w:pPr>
  </w:style>
  <w:style w:type="paragraph" w:styleId="774">
    <w:name w:val="Body Text Indent 3"/>
    <w:basedOn w:val="733"/>
    <w:link w:val="846"/>
    <w:qFormat/>
    <w:pPr>
      <w:ind w:left="645" w:firstLine="645"/>
    </w:pPr>
    <w:rPr>
      <w:rFonts w:ascii="Arial" w:hAnsi="Arial" w:eastAsia="仿宋_GB2312" w:cs="Arial"/>
      <w:color w:val="ffff00"/>
      <w:sz w:val="32"/>
      <w:szCs w:val="32"/>
    </w:rPr>
  </w:style>
  <w:style w:type="paragraph" w:styleId="775">
    <w:name w:val="table of figures"/>
    <w:basedOn w:val="733"/>
    <w:next w:val="733"/>
    <w:semiHidden/>
    <w:qFormat/>
    <w:pPr>
      <w:ind w:left="840" w:hanging="420"/>
    </w:pPr>
  </w:style>
  <w:style w:type="paragraph" w:styleId="776">
    <w:name w:val="toc 2"/>
    <w:basedOn w:val="733"/>
    <w:next w:val="733"/>
    <w:uiPriority w:val="39"/>
    <w:qFormat/>
    <w:pPr>
      <w:jc w:val="left"/>
    </w:pPr>
    <w:rPr>
      <w:rFonts w:ascii="宋体" w:hAnsi="宋体"/>
      <w:b/>
      <w:smallCaps/>
      <w:color w:val="000000"/>
      <w:szCs w:val="24"/>
      <w:u w:val="single"/>
    </w:rPr>
  </w:style>
  <w:style w:type="paragraph" w:styleId="777">
    <w:name w:val="toc 9"/>
    <w:basedOn w:val="733"/>
    <w:next w:val="733"/>
    <w:semiHidden/>
    <w:qFormat/>
    <w:pPr>
      <w:ind w:left="1680"/>
      <w:jc w:val="left"/>
    </w:pPr>
  </w:style>
  <w:style w:type="paragraph" w:styleId="778">
    <w:name w:val="Body Text 2"/>
    <w:basedOn w:val="733"/>
    <w:link w:val="847"/>
    <w:qFormat/>
    <w:pPr>
      <w:jc w:val="center"/>
      <w:widowControl/>
    </w:pPr>
    <w:rPr>
      <w:rFonts w:ascii="楷体_GB2312" w:eastAsia="楷体_GB2312"/>
      <w:sz w:val="28"/>
      <w:szCs w:val="28"/>
    </w:rPr>
  </w:style>
  <w:style w:type="paragraph" w:styleId="779">
    <w:name w:val="Normal (Web)"/>
    <w:basedOn w:val="733"/>
    <w:qFormat/>
    <w:pPr>
      <w:jc w:val="left"/>
      <w:spacing w:before="100" w:beforeAutospacing="1" w:after="100" w:afterAutospacing="1"/>
      <w:widowControl/>
    </w:pPr>
    <w:rPr>
      <w:rFonts w:ascii="宋体" w:hAnsi="宋体" w:cs="宋体"/>
      <w:sz w:val="24"/>
      <w:szCs w:val="24"/>
    </w:rPr>
  </w:style>
  <w:style w:type="paragraph" w:styleId="780">
    <w:name w:val="index 1"/>
    <w:basedOn w:val="733"/>
    <w:next w:val="733"/>
    <w:semiHidden/>
    <w:qFormat/>
    <w:pPr>
      <w:spacing w:line="240" w:lineRule="atLeast"/>
    </w:pPr>
    <w:rPr>
      <w:b/>
      <w:bCs/>
    </w:rPr>
  </w:style>
  <w:style w:type="paragraph" w:styleId="781">
    <w:name w:val="Title"/>
    <w:basedOn w:val="733"/>
    <w:next w:val="733"/>
    <w:link w:val="848"/>
    <w:uiPriority w:val="10"/>
    <w:qFormat/>
    <w:pPr>
      <w:contextualSpacing/>
      <w:spacing w:before="300" w:after="200"/>
    </w:pPr>
    <w:rPr>
      <w:sz w:val="48"/>
      <w:szCs w:val="48"/>
    </w:rPr>
  </w:style>
  <w:style w:type="paragraph" w:styleId="782">
    <w:name w:val="annotation subject"/>
    <w:basedOn w:val="752"/>
    <w:next w:val="752"/>
    <w:link w:val="849"/>
    <w:semiHidden/>
    <w:qFormat/>
    <w:rPr>
      <w:b/>
      <w:bCs/>
    </w:rPr>
  </w:style>
  <w:style w:type="paragraph" w:styleId="783">
    <w:name w:val="Body Text First Indent"/>
    <w:basedOn w:val="754"/>
    <w:link w:val="850"/>
    <w:qFormat/>
    <w:pPr>
      <w:ind w:firstLine="200"/>
      <w:spacing w:line="360" w:lineRule="auto"/>
    </w:pPr>
    <w:rPr>
      <w:rFonts w:ascii="仿宋_GB2312" w:eastAsia="仿宋_GB2312"/>
      <w:sz w:val="30"/>
      <w:szCs w:val="30"/>
    </w:rPr>
  </w:style>
  <w:style w:type="paragraph" w:styleId="784">
    <w:name w:val="Body Text First Indent 2"/>
    <w:basedOn w:val="755"/>
    <w:next w:val="733"/>
    <w:link w:val="851"/>
    <w:qFormat/>
    <w:pPr>
      <w:ind w:firstLine="420"/>
      <w:spacing w:line="360" w:lineRule="auto"/>
    </w:pPr>
    <w:rPr>
      <w:rFonts w:ascii="宋体" w:hAnsi="宋体" w:eastAsia="宋体"/>
      <w:sz w:val="21"/>
      <w:szCs w:val="20"/>
    </w:rPr>
  </w:style>
  <w:style w:type="table" w:styleId="785">
    <w:name w:val="Table Grid"/>
    <w:basedOn w:val="74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qFormat/>
    <w:rPr>
      <w:b/>
      <w:bCs/>
    </w:rPr>
  </w:style>
  <w:style w:type="character" w:styleId="787">
    <w:name w:val="endnote reference"/>
    <w:uiPriority w:val="99"/>
    <w:unhideWhenUsed/>
    <w:qFormat/>
    <w:rPr>
      <w:vertAlign w:val="superscript"/>
    </w:rPr>
  </w:style>
  <w:style w:type="character" w:styleId="788">
    <w:name w:val="page number"/>
    <w:uiPriority w:val="99"/>
    <w:qFormat/>
  </w:style>
  <w:style w:type="character" w:styleId="789">
    <w:name w:val="Hyperlink"/>
    <w:uiPriority w:val="99"/>
    <w:qFormat/>
    <w:rPr>
      <w:color w:val="0000ff"/>
      <w:u w:val="single"/>
    </w:rPr>
  </w:style>
  <w:style w:type="character" w:styleId="790">
    <w:name w:val="annotation reference"/>
    <w:semiHidden/>
    <w:qFormat/>
    <w:rPr>
      <w:sz w:val="21"/>
      <w:szCs w:val="21"/>
    </w:rPr>
  </w:style>
  <w:style w:type="character" w:styleId="791">
    <w:name w:val="footnote reference"/>
    <w:uiPriority w:val="99"/>
    <w:unhideWhenUsed/>
    <w:qFormat/>
    <w:rPr>
      <w:vertAlign w:val="superscript"/>
    </w:rPr>
  </w:style>
  <w:style w:type="paragraph" w:styleId="792">
    <w:name w:val="List Paragraph"/>
    <w:basedOn w:val="733"/>
    <w:uiPriority w:val="34"/>
    <w:qFormat/>
    <w:pPr>
      <w:contextualSpacing/>
      <w:ind w:left="720"/>
      <w:jc w:val="left"/>
      <w:widowControl/>
    </w:pPr>
    <w:rPr>
      <w:rFonts w:ascii="Calibri" w:hAnsi="Calibri"/>
      <w:sz w:val="24"/>
      <w:szCs w:val="24"/>
      <w:lang w:eastAsia="en-US" w:bidi="en-US"/>
    </w:rPr>
  </w:style>
  <w:style w:type="paragraph" w:styleId="793">
    <w:name w:val="No Spacing"/>
    <w:uiPriority w:val="99"/>
    <w:qFormat/>
    <w:pPr>
      <w:jc w:val="both"/>
      <w:widowControl w:val="off"/>
    </w:pPr>
    <w:rPr>
      <w:sz w:val="21"/>
      <w:szCs w:val="21"/>
    </w:rPr>
  </w:style>
  <w:style w:type="character" w:styleId="794" w:customStyle="1">
    <w:name w:val="Title Char"/>
    <w:uiPriority w:val="10"/>
    <w:qFormat/>
    <w:rPr>
      <w:sz w:val="48"/>
      <w:szCs w:val="48"/>
    </w:rPr>
  </w:style>
  <w:style w:type="character" w:styleId="795" w:customStyle="1">
    <w:name w:val="Subtitle Char"/>
    <w:uiPriority w:val="11"/>
    <w:qFormat/>
    <w:rPr>
      <w:sz w:val="24"/>
      <w:szCs w:val="24"/>
    </w:rPr>
  </w:style>
  <w:style w:type="paragraph" w:styleId="796">
    <w:name w:val="Quote"/>
    <w:basedOn w:val="733"/>
    <w:next w:val="733"/>
    <w:link w:val="861"/>
    <w:uiPriority w:val="29"/>
    <w:qFormat/>
    <w:pPr>
      <w:ind w:left="720" w:right="720"/>
    </w:pPr>
    <w:rPr>
      <w:i/>
    </w:rPr>
  </w:style>
  <w:style w:type="character" w:styleId="797" w:customStyle="1">
    <w:name w:val="Quote Char"/>
    <w:uiPriority w:val="29"/>
    <w:qFormat/>
    <w:rPr>
      <w:i/>
    </w:rPr>
  </w:style>
  <w:style w:type="paragraph" w:styleId="798">
    <w:name w:val="Intense Quote"/>
    <w:basedOn w:val="733"/>
    <w:next w:val="733"/>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uiPriority w:val="30"/>
    <w:qFormat/>
    <w:rPr>
      <w:i/>
    </w:rPr>
  </w:style>
  <w:style w:type="table" w:styleId="800" w:customStyle="1">
    <w:name w:val="无格式表格 11"/>
    <w:uiPriority w:val="59"/>
    <w:qFormat/>
    <w:tblPr>
      <w:tblCellMar>
        <w:left w:w="0" w:type="dxa"/>
        <w:top w:w="0" w:type="dxa"/>
        <w:right w:w="0" w:type="dxa"/>
        <w:bottom w:w="0" w:type="dxa"/>
      </w:tblCellMar>
    </w:tblPr>
  </w:style>
  <w:style w:type="table" w:styleId="801" w:customStyle="1">
    <w:name w:val="无格式表格 21"/>
    <w:uiPriority w:val="59"/>
    <w:qFormat/>
    <w:tblPr>
      <w:tblCellMar>
        <w:left w:w="0" w:type="dxa"/>
        <w:top w:w="0" w:type="dxa"/>
        <w:right w:w="0" w:type="dxa"/>
        <w:bottom w:w="0" w:type="dxa"/>
      </w:tblCellMar>
    </w:tblPr>
  </w:style>
  <w:style w:type="table" w:styleId="802" w:customStyle="1">
    <w:name w:val="无格式表格 31"/>
    <w:uiPriority w:val="99"/>
    <w:qFormat/>
    <w:tblPr>
      <w:tblCellMar>
        <w:left w:w="0" w:type="dxa"/>
        <w:top w:w="0" w:type="dxa"/>
        <w:right w:w="0" w:type="dxa"/>
        <w:bottom w:w="0" w:type="dxa"/>
      </w:tblCellMar>
    </w:tblPr>
  </w:style>
  <w:style w:type="table" w:styleId="803" w:customStyle="1">
    <w:name w:val="无格式表格 41"/>
    <w:uiPriority w:val="99"/>
    <w:qFormat/>
    <w:tblPr>
      <w:tblCellMar>
        <w:left w:w="0" w:type="dxa"/>
        <w:top w:w="0" w:type="dxa"/>
        <w:right w:w="0" w:type="dxa"/>
        <w:bottom w:w="0" w:type="dxa"/>
      </w:tblCellMar>
    </w:tblPr>
  </w:style>
  <w:style w:type="table" w:styleId="804" w:customStyle="1">
    <w:name w:val="无格式表格 51"/>
    <w:uiPriority w:val="99"/>
    <w:qFormat/>
    <w:tblPr>
      <w:tblCellMar>
        <w:left w:w="0" w:type="dxa"/>
        <w:top w:w="0" w:type="dxa"/>
        <w:right w:w="0" w:type="dxa"/>
        <w:bottom w:w="0" w:type="dxa"/>
      </w:tblCellMar>
    </w:tblPr>
  </w:style>
  <w:style w:type="table" w:styleId="805" w:customStyle="1">
    <w:name w:val="网格表 1 浅色1"/>
    <w:uiPriority w:val="99"/>
    <w:qFormat/>
    <w:tblPr>
      <w:tblCellMar>
        <w:left w:w="0" w:type="dxa"/>
        <w:top w:w="0" w:type="dxa"/>
        <w:right w:w="0" w:type="dxa"/>
        <w:bottom w:w="0" w:type="dxa"/>
      </w:tblCellMar>
    </w:tblPr>
  </w:style>
  <w:style w:type="table" w:styleId="806" w:customStyle="1">
    <w:name w:val="网格表 21"/>
    <w:uiPriority w:val="99"/>
    <w:qFormat/>
    <w:tblPr>
      <w:tblCellMar>
        <w:left w:w="0" w:type="dxa"/>
        <w:top w:w="0" w:type="dxa"/>
        <w:right w:w="0" w:type="dxa"/>
        <w:bottom w:w="0" w:type="dxa"/>
      </w:tblCellMar>
    </w:tblPr>
  </w:style>
  <w:style w:type="table" w:styleId="807" w:customStyle="1">
    <w:name w:val="网格表 31"/>
    <w:uiPriority w:val="99"/>
    <w:qFormat/>
    <w:tblPr>
      <w:tblCellMar>
        <w:left w:w="0" w:type="dxa"/>
        <w:top w:w="0" w:type="dxa"/>
        <w:right w:w="0" w:type="dxa"/>
        <w:bottom w:w="0" w:type="dxa"/>
      </w:tblCellMar>
    </w:tblPr>
  </w:style>
  <w:style w:type="table" w:styleId="808" w:customStyle="1">
    <w:name w:val="网格表 41"/>
    <w:uiPriority w:val="59"/>
    <w:qFormat/>
    <w:tblPr>
      <w:tblCellMar>
        <w:left w:w="0" w:type="dxa"/>
        <w:top w:w="0" w:type="dxa"/>
        <w:right w:w="0" w:type="dxa"/>
        <w:bottom w:w="0" w:type="dxa"/>
      </w:tblCellMar>
    </w:tblPr>
  </w:style>
  <w:style w:type="table" w:styleId="809" w:customStyle="1">
    <w:name w:val="网格表 5 深色1"/>
    <w:uiPriority w:val="99"/>
    <w:qFormat/>
    <w:tblPr>
      <w:tblCellMar>
        <w:left w:w="0" w:type="dxa"/>
        <w:top w:w="0" w:type="dxa"/>
        <w:right w:w="0" w:type="dxa"/>
        <w:bottom w:w="0" w:type="dxa"/>
      </w:tblCellMar>
    </w:tblPr>
  </w:style>
  <w:style w:type="table" w:styleId="810" w:customStyle="1">
    <w:name w:val="网格表 6 彩色1"/>
    <w:uiPriority w:val="99"/>
    <w:qFormat/>
    <w:tblPr>
      <w:tblCellMar>
        <w:left w:w="0" w:type="dxa"/>
        <w:top w:w="0" w:type="dxa"/>
        <w:right w:w="0" w:type="dxa"/>
        <w:bottom w:w="0" w:type="dxa"/>
      </w:tblCellMar>
    </w:tblPr>
  </w:style>
  <w:style w:type="table" w:styleId="811" w:customStyle="1">
    <w:name w:val="网格表 7 彩色1"/>
    <w:uiPriority w:val="99"/>
    <w:qFormat/>
    <w:tblPr>
      <w:tblCellMar>
        <w:left w:w="0" w:type="dxa"/>
        <w:top w:w="0" w:type="dxa"/>
        <w:right w:w="0" w:type="dxa"/>
        <w:bottom w:w="0" w:type="dxa"/>
      </w:tblCellMar>
    </w:tblPr>
  </w:style>
  <w:style w:type="table" w:styleId="812" w:customStyle="1">
    <w:name w:val="清单表 1 浅色1"/>
    <w:uiPriority w:val="99"/>
    <w:qFormat/>
    <w:tblPr>
      <w:tblCellMar>
        <w:left w:w="0" w:type="dxa"/>
        <w:top w:w="0" w:type="dxa"/>
        <w:right w:w="0" w:type="dxa"/>
        <w:bottom w:w="0" w:type="dxa"/>
      </w:tblCellMar>
    </w:tblPr>
  </w:style>
  <w:style w:type="table" w:styleId="813" w:customStyle="1">
    <w:name w:val="清单表 21"/>
    <w:uiPriority w:val="99"/>
    <w:qFormat/>
    <w:tblPr>
      <w:tblCellMar>
        <w:left w:w="0" w:type="dxa"/>
        <w:top w:w="0" w:type="dxa"/>
        <w:right w:w="0" w:type="dxa"/>
        <w:bottom w:w="0" w:type="dxa"/>
      </w:tblCellMar>
    </w:tblPr>
  </w:style>
  <w:style w:type="table" w:styleId="814" w:customStyle="1">
    <w:name w:val="清单表 31"/>
    <w:uiPriority w:val="99"/>
    <w:qFormat/>
    <w:tblPr>
      <w:tblCellMar>
        <w:left w:w="0" w:type="dxa"/>
        <w:top w:w="0" w:type="dxa"/>
        <w:right w:w="0" w:type="dxa"/>
        <w:bottom w:w="0" w:type="dxa"/>
      </w:tblCellMar>
    </w:tblPr>
  </w:style>
  <w:style w:type="table" w:styleId="815" w:customStyle="1">
    <w:name w:val="清单表 41"/>
    <w:uiPriority w:val="99"/>
    <w:qFormat/>
    <w:tblPr>
      <w:tblCellMar>
        <w:left w:w="0" w:type="dxa"/>
        <w:top w:w="0" w:type="dxa"/>
        <w:right w:w="0" w:type="dxa"/>
        <w:bottom w:w="0" w:type="dxa"/>
      </w:tblCellMar>
    </w:tblPr>
  </w:style>
  <w:style w:type="table" w:styleId="816" w:customStyle="1">
    <w:name w:val="清单表 5 深色1"/>
    <w:uiPriority w:val="99"/>
    <w:qFormat/>
    <w:tblPr>
      <w:tblCellMar>
        <w:left w:w="0" w:type="dxa"/>
        <w:top w:w="0" w:type="dxa"/>
        <w:right w:w="0" w:type="dxa"/>
        <w:bottom w:w="0" w:type="dxa"/>
      </w:tblCellMar>
    </w:tblPr>
  </w:style>
  <w:style w:type="table" w:styleId="817" w:customStyle="1">
    <w:name w:val="清单表 6 彩色1"/>
    <w:uiPriority w:val="99"/>
    <w:qFormat/>
    <w:tblPr>
      <w:tblCellMar>
        <w:left w:w="0" w:type="dxa"/>
        <w:top w:w="0" w:type="dxa"/>
        <w:right w:w="0" w:type="dxa"/>
        <w:bottom w:w="0" w:type="dxa"/>
      </w:tblCellMar>
    </w:tblPr>
  </w:style>
  <w:style w:type="table" w:styleId="818" w:customStyle="1">
    <w:name w:val="清单表 7 彩色1"/>
    <w:uiPriority w:val="99"/>
    <w:qFormat/>
    <w:tblPr>
      <w:tblCellMar>
        <w:left w:w="0" w:type="dxa"/>
        <w:top w:w="0" w:type="dxa"/>
        <w:right w:w="0" w:type="dxa"/>
        <w:bottom w:w="0" w:type="dxa"/>
      </w:tblCellMar>
    </w:tbl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标题1"/>
    <w:uiPriority w:val="39"/>
    <w:unhideWhenUsed/>
    <w:qFormat/>
  </w:style>
  <w:style w:type="character" w:styleId="822" w:customStyle="1">
    <w:name w:val="标题 1 字符"/>
    <w:link w:val="734"/>
    <w:qFormat/>
    <w:rPr>
      <w:rFonts w:ascii="宋体" w:hAnsi="宋体"/>
      <w:b/>
      <w:sz w:val="28"/>
      <w:szCs w:val="28"/>
    </w:rPr>
  </w:style>
  <w:style w:type="character" w:styleId="823" w:customStyle="1">
    <w:name w:val="标题 2 字符"/>
    <w:link w:val="735"/>
    <w:qFormat/>
    <w:rPr>
      <w:rFonts w:ascii="Arial" w:hAnsi="Arial" w:eastAsia="幼圆" w:cs="Arial"/>
      <w:b/>
      <w:bCs/>
      <w:sz w:val="44"/>
      <w:szCs w:val="44"/>
    </w:rPr>
  </w:style>
  <w:style w:type="character" w:styleId="824" w:customStyle="1">
    <w:name w:val="正文缩进 字符"/>
    <w:link w:val="747"/>
    <w:qFormat/>
    <w:rPr>
      <w:rFonts w:ascii="Times New Roman" w:hAnsi="Times New Roman" w:eastAsia="宋体" w:cs="Times New Roman"/>
      <w:szCs w:val="21"/>
    </w:rPr>
  </w:style>
  <w:style w:type="character" w:styleId="825" w:customStyle="1">
    <w:name w:val="标题 3 字符"/>
    <w:link w:val="736"/>
    <w:qFormat/>
    <w:rPr>
      <w:rFonts w:ascii="Times New Roman" w:hAnsi="Times New Roman" w:eastAsia="宋体" w:cs="Times New Roman"/>
      <w:b/>
      <w:bCs/>
      <w:sz w:val="32"/>
      <w:szCs w:val="32"/>
    </w:rPr>
  </w:style>
  <w:style w:type="character" w:styleId="826" w:customStyle="1">
    <w:name w:val="标题 4 字符"/>
    <w:link w:val="737"/>
    <w:qFormat/>
    <w:rPr>
      <w:rFonts w:ascii="Arial" w:hAnsi="Arial" w:eastAsia="黑体" w:cs="Arial"/>
      <w:b/>
      <w:bCs/>
      <w:sz w:val="28"/>
      <w:szCs w:val="28"/>
    </w:rPr>
  </w:style>
  <w:style w:type="character" w:styleId="827" w:customStyle="1">
    <w:name w:val="标题 5 字符"/>
    <w:link w:val="738"/>
    <w:qFormat/>
    <w:rPr>
      <w:rFonts w:ascii="宋体" w:hAnsi="Times New Roman" w:eastAsia="宋体" w:cs="Times New Roman"/>
      <w:color w:val="000000"/>
      <w:sz w:val="28"/>
      <w:szCs w:val="28"/>
    </w:rPr>
  </w:style>
  <w:style w:type="character" w:styleId="828" w:customStyle="1">
    <w:name w:val="标题 6 字符"/>
    <w:link w:val="739"/>
    <w:qFormat/>
    <w:rPr>
      <w:rFonts w:ascii="Arial" w:hAnsi="Arial" w:eastAsia="黑体" w:cs="Times New Roman"/>
      <w:b/>
      <w:bCs/>
      <w:sz w:val="24"/>
      <w:szCs w:val="24"/>
    </w:rPr>
  </w:style>
  <w:style w:type="character" w:styleId="829" w:customStyle="1">
    <w:name w:val="标题 7 字符"/>
    <w:link w:val="740"/>
    <w:qFormat/>
    <w:rPr>
      <w:rFonts w:ascii="Times New Roman" w:hAnsi="Times New Roman" w:eastAsia="宋体" w:cs="Times New Roman"/>
      <w:b/>
      <w:bCs/>
      <w:sz w:val="24"/>
      <w:szCs w:val="24"/>
    </w:rPr>
  </w:style>
  <w:style w:type="character" w:styleId="830" w:customStyle="1">
    <w:name w:val="标题 8 字符"/>
    <w:link w:val="741"/>
    <w:qFormat/>
    <w:rPr>
      <w:rFonts w:ascii="Arial" w:hAnsi="Arial" w:eastAsia="黑体" w:cs="Times New Roman"/>
      <w:sz w:val="24"/>
      <w:szCs w:val="24"/>
    </w:rPr>
  </w:style>
  <w:style w:type="character" w:styleId="831" w:customStyle="1">
    <w:name w:val="标题 9 字符"/>
    <w:link w:val="742"/>
    <w:qFormat/>
    <w:rPr>
      <w:rFonts w:ascii="Arial" w:hAnsi="Arial" w:eastAsia="黑体" w:cs="Times New Roman"/>
      <w:szCs w:val="21"/>
    </w:rPr>
  </w:style>
  <w:style w:type="character" w:styleId="832" w:customStyle="1">
    <w:name w:val="文档结构图 字符"/>
    <w:link w:val="751"/>
    <w:semiHidden/>
    <w:qFormat/>
    <w:rPr>
      <w:rFonts w:ascii="Times New Roman" w:hAnsi="Times New Roman" w:eastAsia="宋体" w:cs="Times New Roman"/>
      <w:szCs w:val="21"/>
      <w:shd w:val="clear" w:color="auto" w:fill="000080"/>
    </w:rPr>
  </w:style>
  <w:style w:type="character" w:styleId="833" w:customStyle="1">
    <w:name w:val="批注文字 字符"/>
    <w:link w:val="752"/>
    <w:semiHidden/>
    <w:qFormat/>
    <w:rPr>
      <w:rFonts w:ascii="Times New Roman" w:hAnsi="Times New Roman" w:eastAsia="宋体" w:cs="Times New Roman"/>
      <w:szCs w:val="21"/>
    </w:rPr>
  </w:style>
  <w:style w:type="character" w:styleId="834" w:customStyle="1">
    <w:name w:val="正文文本 3 字符"/>
    <w:link w:val="753"/>
    <w:qFormat/>
    <w:rPr>
      <w:rFonts w:ascii="仿宋_GB2312" w:hAnsi="Arial" w:eastAsia="仿宋_GB2312" w:cs="Times New Roman"/>
      <w:sz w:val="32"/>
      <w:szCs w:val="32"/>
    </w:rPr>
  </w:style>
  <w:style w:type="character" w:styleId="835" w:customStyle="1">
    <w:name w:val="正文文本 字符"/>
    <w:link w:val="754"/>
    <w:qFormat/>
    <w:rPr>
      <w:rFonts w:ascii="楷体_GB2312" w:hAnsi="Arial" w:eastAsia="楷体_GB2312" w:cs="Times New Roman"/>
      <w:sz w:val="28"/>
      <w:szCs w:val="28"/>
    </w:rPr>
  </w:style>
  <w:style w:type="character" w:styleId="836" w:customStyle="1">
    <w:name w:val="正文文本缩进 字符"/>
    <w:link w:val="755"/>
    <w:qFormat/>
    <w:rPr>
      <w:rFonts w:ascii="楷体_GB2312" w:hAnsi="Times New Roman" w:eastAsia="楷体_GB2312" w:cs="Times New Roman"/>
      <w:sz w:val="32"/>
      <w:szCs w:val="32"/>
    </w:rPr>
  </w:style>
  <w:style w:type="character" w:styleId="837" w:customStyle="1">
    <w:name w:val="纯文本 字符"/>
    <w:link w:val="760"/>
    <w:qFormat/>
    <w:rPr>
      <w:rFonts w:ascii="宋体" w:hAnsi="Courier New" w:eastAsia="宋体" w:cs="Courier New"/>
      <w:szCs w:val="21"/>
    </w:rPr>
  </w:style>
  <w:style w:type="character" w:styleId="838" w:customStyle="1">
    <w:name w:val="日期 字符"/>
    <w:link w:val="762"/>
    <w:qFormat/>
    <w:rPr>
      <w:rFonts w:ascii="Times New Roman" w:hAnsi="Times New Roman" w:eastAsia="宋体" w:cs="Times New Roman"/>
      <w:sz w:val="24"/>
      <w:szCs w:val="24"/>
    </w:rPr>
  </w:style>
  <w:style w:type="character" w:styleId="839" w:customStyle="1">
    <w:name w:val="正文文本缩进 2 字符"/>
    <w:link w:val="763"/>
    <w:qFormat/>
    <w:rPr>
      <w:rFonts w:ascii="Arial" w:hAnsi="Arial" w:eastAsia="仿宋_GB2312" w:cs="Arial"/>
      <w:sz w:val="32"/>
      <w:szCs w:val="32"/>
    </w:rPr>
  </w:style>
  <w:style w:type="character" w:styleId="840" w:customStyle="1">
    <w:name w:val="尾注文本 字符"/>
    <w:link w:val="764"/>
    <w:uiPriority w:val="99"/>
    <w:qFormat/>
    <w:rPr>
      <w:sz w:val="20"/>
    </w:rPr>
  </w:style>
  <w:style w:type="character" w:styleId="841" w:customStyle="1">
    <w:name w:val="批注框文本 字符"/>
    <w:link w:val="765"/>
    <w:semiHidden/>
    <w:qFormat/>
    <w:rPr>
      <w:rFonts w:ascii="Times New Roman" w:hAnsi="Times New Roman" w:eastAsia="宋体" w:cs="Times New Roman"/>
      <w:sz w:val="18"/>
      <w:szCs w:val="18"/>
    </w:rPr>
  </w:style>
  <w:style w:type="character" w:styleId="842" w:customStyle="1">
    <w:name w:val="页脚 字符"/>
    <w:link w:val="766"/>
    <w:qFormat/>
    <w:rPr>
      <w:rFonts w:ascii="Times New Roman" w:hAnsi="Times New Roman" w:eastAsia="宋体" w:cs="Times New Roman"/>
      <w:sz w:val="18"/>
      <w:szCs w:val="18"/>
    </w:rPr>
  </w:style>
  <w:style w:type="character" w:styleId="843" w:customStyle="1">
    <w:name w:val="页眉 字符"/>
    <w:link w:val="767"/>
    <w:qFormat/>
    <w:rPr>
      <w:rFonts w:ascii="Times New Roman" w:hAnsi="Times New Roman" w:eastAsia="宋体" w:cs="Times New Roman"/>
      <w:sz w:val="18"/>
      <w:szCs w:val="18"/>
    </w:rPr>
  </w:style>
  <w:style w:type="character" w:styleId="844" w:customStyle="1">
    <w:name w:val="副标题 字符"/>
    <w:link w:val="770"/>
    <w:uiPriority w:val="11"/>
    <w:qFormat/>
    <w:rPr>
      <w:sz w:val="24"/>
      <w:szCs w:val="24"/>
    </w:rPr>
  </w:style>
  <w:style w:type="character" w:styleId="845" w:customStyle="1">
    <w:name w:val="脚注文本 字符"/>
    <w:link w:val="772"/>
    <w:uiPriority w:val="99"/>
    <w:qFormat/>
    <w:rPr>
      <w:sz w:val="18"/>
    </w:rPr>
  </w:style>
  <w:style w:type="character" w:styleId="846" w:customStyle="1">
    <w:name w:val="正文文本缩进 3 字符"/>
    <w:link w:val="774"/>
    <w:qFormat/>
    <w:rPr>
      <w:rFonts w:ascii="Arial" w:hAnsi="Arial" w:eastAsia="仿宋_GB2312" w:cs="Arial"/>
      <w:color w:val="ffff00"/>
      <w:sz w:val="32"/>
      <w:szCs w:val="32"/>
    </w:rPr>
  </w:style>
  <w:style w:type="character" w:styleId="847" w:customStyle="1">
    <w:name w:val="正文文本 2 字符"/>
    <w:link w:val="778"/>
    <w:qFormat/>
    <w:rPr>
      <w:rFonts w:ascii="楷体_GB2312" w:hAnsi="Times New Roman" w:eastAsia="楷体_GB2312" w:cs="Times New Roman"/>
      <w:sz w:val="28"/>
      <w:szCs w:val="28"/>
    </w:rPr>
  </w:style>
  <w:style w:type="character" w:styleId="848" w:customStyle="1">
    <w:name w:val="标题 字符"/>
    <w:link w:val="781"/>
    <w:uiPriority w:val="10"/>
    <w:qFormat/>
    <w:rPr>
      <w:sz w:val="48"/>
      <w:szCs w:val="48"/>
    </w:rPr>
  </w:style>
  <w:style w:type="character" w:styleId="849" w:customStyle="1">
    <w:name w:val="批注主题 字符"/>
    <w:link w:val="782"/>
    <w:semiHidden/>
    <w:qFormat/>
    <w:rPr>
      <w:rFonts w:ascii="Times New Roman" w:hAnsi="Times New Roman" w:eastAsia="宋体" w:cs="Times New Roman"/>
      <w:b/>
      <w:bCs/>
      <w:szCs w:val="21"/>
    </w:rPr>
  </w:style>
  <w:style w:type="character" w:styleId="850" w:customStyle="1">
    <w:name w:val="正文首行缩进 字符"/>
    <w:link w:val="783"/>
    <w:qFormat/>
    <w:rPr>
      <w:rFonts w:ascii="仿宋_GB2312" w:hAnsi="Times New Roman" w:eastAsia="仿宋_GB2312" w:cs="Times New Roman"/>
      <w:sz w:val="30"/>
      <w:szCs w:val="30"/>
    </w:rPr>
  </w:style>
  <w:style w:type="character" w:styleId="851" w:customStyle="1">
    <w:name w:val="正文首行缩进 2 字符"/>
    <w:link w:val="784"/>
    <w:qFormat/>
    <w:rPr>
      <w:rFonts w:ascii="宋体" w:hAnsi="宋体" w:eastAsia="宋体" w:cs="Times New Roman"/>
      <w:sz w:val="32"/>
      <w:szCs w:val="20"/>
    </w:rPr>
  </w:style>
  <w:style w:type="character" w:styleId="852" w:customStyle="1">
    <w:name w:val="Heading 1 Char"/>
    <w:uiPriority w:val="9"/>
    <w:qFormat/>
    <w:rPr>
      <w:rFonts w:ascii="Arial" w:hAnsi="Arial" w:eastAsia="Arial" w:cs="Arial"/>
      <w:sz w:val="40"/>
      <w:szCs w:val="40"/>
    </w:rPr>
  </w:style>
  <w:style w:type="character" w:styleId="853" w:customStyle="1">
    <w:name w:val="Heading 2 Char"/>
    <w:uiPriority w:val="9"/>
    <w:qFormat/>
    <w:rPr>
      <w:rFonts w:ascii="Arial" w:hAnsi="Arial" w:eastAsia="Arial" w:cs="Arial"/>
      <w:sz w:val="34"/>
    </w:rPr>
  </w:style>
  <w:style w:type="character" w:styleId="854" w:customStyle="1">
    <w:name w:val="Heading 3 Char"/>
    <w:uiPriority w:val="9"/>
    <w:qFormat/>
    <w:rPr>
      <w:rFonts w:ascii="Arial" w:hAnsi="Arial" w:eastAsia="Arial" w:cs="Arial"/>
      <w:sz w:val="30"/>
      <w:szCs w:val="30"/>
    </w:rPr>
  </w:style>
  <w:style w:type="character" w:styleId="855" w:customStyle="1">
    <w:name w:val="Heading 4 Char"/>
    <w:uiPriority w:val="9"/>
    <w:qFormat/>
    <w:rPr>
      <w:rFonts w:ascii="Arial" w:hAnsi="Arial" w:eastAsia="Arial" w:cs="Arial"/>
      <w:b/>
      <w:bCs/>
      <w:sz w:val="26"/>
      <w:szCs w:val="26"/>
    </w:rPr>
  </w:style>
  <w:style w:type="character" w:styleId="856" w:customStyle="1">
    <w:name w:val="Heading 5 Char"/>
    <w:uiPriority w:val="9"/>
    <w:qFormat/>
    <w:rPr>
      <w:rFonts w:ascii="Arial" w:hAnsi="Arial" w:eastAsia="Arial" w:cs="Arial"/>
      <w:b/>
      <w:bCs/>
      <w:sz w:val="24"/>
      <w:szCs w:val="24"/>
    </w:rPr>
  </w:style>
  <w:style w:type="character" w:styleId="857" w:customStyle="1">
    <w:name w:val="Heading 6 Char"/>
    <w:uiPriority w:val="9"/>
    <w:qFormat/>
    <w:rPr>
      <w:rFonts w:ascii="Arial" w:hAnsi="Arial" w:eastAsia="Arial" w:cs="Arial"/>
      <w:b/>
      <w:bCs/>
      <w:sz w:val="22"/>
      <w:szCs w:val="22"/>
    </w:rPr>
  </w:style>
  <w:style w:type="character" w:styleId="858" w:customStyle="1">
    <w:name w:val="Heading 7 Char"/>
    <w:uiPriority w:val="9"/>
    <w:qFormat/>
    <w:rPr>
      <w:rFonts w:ascii="Arial" w:hAnsi="Arial" w:eastAsia="Arial" w:cs="Arial"/>
      <w:b/>
      <w:bCs/>
      <w:i/>
      <w:iCs/>
      <w:sz w:val="22"/>
      <w:szCs w:val="22"/>
    </w:rPr>
  </w:style>
  <w:style w:type="character" w:styleId="859" w:customStyle="1">
    <w:name w:val="Heading 8 Char"/>
    <w:uiPriority w:val="9"/>
    <w:qFormat/>
    <w:rPr>
      <w:rFonts w:ascii="Arial" w:hAnsi="Arial" w:eastAsia="Arial" w:cs="Arial"/>
      <w:i/>
      <w:iCs/>
      <w:sz w:val="22"/>
      <w:szCs w:val="22"/>
    </w:rPr>
  </w:style>
  <w:style w:type="character" w:styleId="860" w:customStyle="1">
    <w:name w:val="Heading 9 Char"/>
    <w:uiPriority w:val="9"/>
    <w:qFormat/>
    <w:rPr>
      <w:rFonts w:ascii="Arial" w:hAnsi="Arial" w:eastAsia="Arial" w:cs="Arial"/>
      <w:i/>
      <w:iCs/>
      <w:sz w:val="21"/>
      <w:szCs w:val="21"/>
    </w:rPr>
  </w:style>
  <w:style w:type="character" w:styleId="861" w:customStyle="1">
    <w:name w:val="引用 字符"/>
    <w:link w:val="796"/>
    <w:uiPriority w:val="29"/>
    <w:qFormat/>
    <w:rPr>
      <w:i/>
    </w:rPr>
  </w:style>
  <w:style w:type="character" w:styleId="862" w:customStyle="1">
    <w:name w:val="明显引用 字符"/>
    <w:link w:val="798"/>
    <w:uiPriority w:val="30"/>
    <w:qFormat/>
    <w:rPr>
      <w:i/>
    </w:rPr>
  </w:style>
  <w:style w:type="character" w:styleId="863" w:customStyle="1">
    <w:name w:val="Header Char"/>
    <w:uiPriority w:val="99"/>
    <w:qFormat/>
  </w:style>
  <w:style w:type="character" w:styleId="864" w:customStyle="1">
    <w:name w:val="Footer Char"/>
    <w:uiPriority w:val="99"/>
    <w:qFormat/>
  </w:style>
  <w:style w:type="character" w:styleId="865" w:customStyle="1">
    <w:name w:val="Caption Char"/>
    <w:uiPriority w:val="99"/>
    <w:qFormat/>
  </w:style>
  <w:style w:type="table" w:styleId="866" w:customStyle="1">
    <w:name w:val="Table Grid Light"/>
    <w:uiPriority w:val="59"/>
    <w:qFormat/>
    <w:tblPr>
      <w:tblCellMar>
        <w:left w:w="0" w:type="dxa"/>
        <w:top w:w="0" w:type="dxa"/>
        <w:right w:w="0" w:type="dxa"/>
        <w:bottom w:w="0" w:type="dxa"/>
      </w:tblCellMar>
    </w:tblPr>
  </w:style>
  <w:style w:type="table" w:styleId="867" w:customStyle="1">
    <w:name w:val="Grid Table 1 Light - Accent 1"/>
    <w:uiPriority w:val="99"/>
    <w:qFormat/>
    <w:tblPr>
      <w:tblCellMar>
        <w:left w:w="0" w:type="dxa"/>
        <w:top w:w="0" w:type="dxa"/>
        <w:right w:w="0" w:type="dxa"/>
        <w:bottom w:w="0" w:type="dxa"/>
      </w:tblCellMar>
    </w:tblPr>
  </w:style>
  <w:style w:type="table" w:styleId="868" w:customStyle="1">
    <w:name w:val="Grid Table 1 Light - Accent 2"/>
    <w:uiPriority w:val="99"/>
    <w:qFormat/>
    <w:tblPr>
      <w:tblCellMar>
        <w:left w:w="0" w:type="dxa"/>
        <w:top w:w="0" w:type="dxa"/>
        <w:right w:w="0" w:type="dxa"/>
        <w:bottom w:w="0" w:type="dxa"/>
      </w:tblCellMar>
    </w:tblPr>
  </w:style>
  <w:style w:type="table" w:styleId="869" w:customStyle="1">
    <w:name w:val="Grid Table 1 Light - Accent 3"/>
    <w:uiPriority w:val="99"/>
    <w:qFormat/>
    <w:tblPr>
      <w:tblCellMar>
        <w:left w:w="0" w:type="dxa"/>
        <w:top w:w="0" w:type="dxa"/>
        <w:right w:w="0" w:type="dxa"/>
        <w:bottom w:w="0" w:type="dxa"/>
      </w:tblCellMar>
    </w:tblPr>
  </w:style>
  <w:style w:type="table" w:styleId="870" w:customStyle="1">
    <w:name w:val="Grid Table 1 Light - Accent 4"/>
    <w:uiPriority w:val="99"/>
    <w:qFormat/>
    <w:tblPr>
      <w:tblCellMar>
        <w:left w:w="0" w:type="dxa"/>
        <w:top w:w="0" w:type="dxa"/>
        <w:right w:w="0" w:type="dxa"/>
        <w:bottom w:w="0" w:type="dxa"/>
      </w:tblCellMar>
    </w:tblPr>
  </w:style>
  <w:style w:type="table" w:styleId="871" w:customStyle="1">
    <w:name w:val="Grid Table 1 Light - Accent 5"/>
    <w:uiPriority w:val="99"/>
    <w:qFormat/>
    <w:tblPr>
      <w:tblCellMar>
        <w:left w:w="0" w:type="dxa"/>
        <w:top w:w="0" w:type="dxa"/>
        <w:right w:w="0" w:type="dxa"/>
        <w:bottom w:w="0" w:type="dxa"/>
      </w:tblCellMar>
    </w:tblPr>
  </w:style>
  <w:style w:type="table" w:styleId="872" w:customStyle="1">
    <w:name w:val="Grid Table 1 Light - Accent 6"/>
    <w:uiPriority w:val="99"/>
    <w:qFormat/>
    <w:tblPr>
      <w:tblCellMar>
        <w:left w:w="0" w:type="dxa"/>
        <w:top w:w="0" w:type="dxa"/>
        <w:right w:w="0" w:type="dxa"/>
        <w:bottom w:w="0" w:type="dxa"/>
      </w:tblCellMar>
    </w:tblPr>
  </w:style>
  <w:style w:type="table" w:styleId="873" w:customStyle="1">
    <w:name w:val="Grid Table 2 - Accent 1"/>
    <w:uiPriority w:val="99"/>
    <w:qFormat/>
    <w:tblPr>
      <w:tblCellMar>
        <w:left w:w="0" w:type="dxa"/>
        <w:top w:w="0" w:type="dxa"/>
        <w:right w:w="0" w:type="dxa"/>
        <w:bottom w:w="0" w:type="dxa"/>
      </w:tblCellMar>
    </w:tblPr>
  </w:style>
  <w:style w:type="table" w:styleId="874" w:customStyle="1">
    <w:name w:val="Grid Table 2 - Accent 2"/>
    <w:uiPriority w:val="99"/>
    <w:qFormat/>
    <w:tblPr>
      <w:tblCellMar>
        <w:left w:w="0" w:type="dxa"/>
        <w:top w:w="0" w:type="dxa"/>
        <w:right w:w="0" w:type="dxa"/>
        <w:bottom w:w="0" w:type="dxa"/>
      </w:tblCellMar>
    </w:tblPr>
  </w:style>
  <w:style w:type="table" w:styleId="875" w:customStyle="1">
    <w:name w:val="Grid Table 2 - Accent 3"/>
    <w:uiPriority w:val="99"/>
    <w:qFormat/>
    <w:tblPr>
      <w:tblCellMar>
        <w:left w:w="0" w:type="dxa"/>
        <w:top w:w="0" w:type="dxa"/>
        <w:right w:w="0" w:type="dxa"/>
        <w:bottom w:w="0" w:type="dxa"/>
      </w:tblCellMar>
    </w:tblPr>
  </w:style>
  <w:style w:type="table" w:styleId="876" w:customStyle="1">
    <w:name w:val="Grid Table 2 - Accent 4"/>
    <w:uiPriority w:val="99"/>
    <w:qFormat/>
    <w:tblPr>
      <w:tblCellMar>
        <w:left w:w="0" w:type="dxa"/>
        <w:top w:w="0" w:type="dxa"/>
        <w:right w:w="0" w:type="dxa"/>
        <w:bottom w:w="0" w:type="dxa"/>
      </w:tblCellMar>
    </w:tblPr>
  </w:style>
  <w:style w:type="table" w:styleId="877" w:customStyle="1">
    <w:name w:val="Grid Table 2 - Accent 5"/>
    <w:uiPriority w:val="99"/>
    <w:qFormat/>
    <w:tblPr>
      <w:tblCellMar>
        <w:left w:w="0" w:type="dxa"/>
        <w:top w:w="0" w:type="dxa"/>
        <w:right w:w="0" w:type="dxa"/>
        <w:bottom w:w="0" w:type="dxa"/>
      </w:tblCellMar>
    </w:tblPr>
  </w:style>
  <w:style w:type="table" w:styleId="878" w:customStyle="1">
    <w:name w:val="Grid Table 2 - Accent 6"/>
    <w:uiPriority w:val="99"/>
    <w:qFormat/>
    <w:tblPr>
      <w:tblCellMar>
        <w:left w:w="0" w:type="dxa"/>
        <w:top w:w="0" w:type="dxa"/>
        <w:right w:w="0" w:type="dxa"/>
        <w:bottom w:w="0" w:type="dxa"/>
      </w:tblCellMar>
    </w:tblPr>
  </w:style>
  <w:style w:type="table" w:styleId="879" w:customStyle="1">
    <w:name w:val="Grid Table 3 - Accent 1"/>
    <w:uiPriority w:val="99"/>
    <w:qFormat/>
    <w:tblPr>
      <w:tblCellMar>
        <w:left w:w="0" w:type="dxa"/>
        <w:top w:w="0" w:type="dxa"/>
        <w:right w:w="0" w:type="dxa"/>
        <w:bottom w:w="0" w:type="dxa"/>
      </w:tblCellMar>
    </w:tblPr>
  </w:style>
  <w:style w:type="table" w:styleId="880" w:customStyle="1">
    <w:name w:val="Grid Table 3 - Accent 2"/>
    <w:uiPriority w:val="99"/>
    <w:qFormat/>
    <w:tblPr>
      <w:tblCellMar>
        <w:left w:w="0" w:type="dxa"/>
        <w:top w:w="0" w:type="dxa"/>
        <w:right w:w="0" w:type="dxa"/>
        <w:bottom w:w="0" w:type="dxa"/>
      </w:tblCellMar>
    </w:tblPr>
  </w:style>
  <w:style w:type="table" w:styleId="881" w:customStyle="1">
    <w:name w:val="Grid Table 3 - Accent 3"/>
    <w:uiPriority w:val="99"/>
    <w:qFormat/>
    <w:tblPr>
      <w:tblCellMar>
        <w:left w:w="0" w:type="dxa"/>
        <w:top w:w="0" w:type="dxa"/>
        <w:right w:w="0" w:type="dxa"/>
        <w:bottom w:w="0" w:type="dxa"/>
      </w:tblCellMar>
    </w:tblPr>
  </w:style>
  <w:style w:type="table" w:styleId="882" w:customStyle="1">
    <w:name w:val="Grid Table 3 - Accent 4"/>
    <w:uiPriority w:val="99"/>
    <w:qFormat/>
    <w:tblPr>
      <w:tblCellMar>
        <w:left w:w="0" w:type="dxa"/>
        <w:top w:w="0" w:type="dxa"/>
        <w:right w:w="0" w:type="dxa"/>
        <w:bottom w:w="0" w:type="dxa"/>
      </w:tblCellMar>
    </w:tblPr>
  </w:style>
  <w:style w:type="table" w:styleId="883" w:customStyle="1">
    <w:name w:val="Grid Table 3 - Accent 5"/>
    <w:uiPriority w:val="99"/>
    <w:qFormat/>
    <w:tblPr>
      <w:tblCellMar>
        <w:left w:w="0" w:type="dxa"/>
        <w:top w:w="0" w:type="dxa"/>
        <w:right w:w="0" w:type="dxa"/>
        <w:bottom w:w="0" w:type="dxa"/>
      </w:tblCellMar>
    </w:tblPr>
  </w:style>
  <w:style w:type="table" w:styleId="884" w:customStyle="1">
    <w:name w:val="Grid Table 3 - Accent 6"/>
    <w:uiPriority w:val="99"/>
    <w:qFormat/>
    <w:tblPr>
      <w:tblCellMar>
        <w:left w:w="0" w:type="dxa"/>
        <w:top w:w="0" w:type="dxa"/>
        <w:right w:w="0" w:type="dxa"/>
        <w:bottom w:w="0" w:type="dxa"/>
      </w:tblCellMar>
    </w:tblPr>
  </w:style>
  <w:style w:type="table" w:styleId="885" w:customStyle="1">
    <w:name w:val="Grid Table 4 - Accent 1"/>
    <w:uiPriority w:val="59"/>
    <w:qFormat/>
    <w:tblPr>
      <w:tblCellMar>
        <w:left w:w="0" w:type="dxa"/>
        <w:top w:w="0" w:type="dxa"/>
        <w:right w:w="0" w:type="dxa"/>
        <w:bottom w:w="0" w:type="dxa"/>
      </w:tblCellMar>
    </w:tblPr>
  </w:style>
  <w:style w:type="table" w:styleId="886" w:customStyle="1">
    <w:name w:val="Grid Table 4 - Accent 2"/>
    <w:uiPriority w:val="59"/>
    <w:qFormat/>
    <w:tblPr>
      <w:tblCellMar>
        <w:left w:w="0" w:type="dxa"/>
        <w:top w:w="0" w:type="dxa"/>
        <w:right w:w="0" w:type="dxa"/>
        <w:bottom w:w="0" w:type="dxa"/>
      </w:tblCellMar>
    </w:tblPr>
  </w:style>
  <w:style w:type="table" w:styleId="887" w:customStyle="1">
    <w:name w:val="Grid Table 4 - Accent 3"/>
    <w:uiPriority w:val="59"/>
    <w:qFormat/>
    <w:tblPr>
      <w:tblCellMar>
        <w:left w:w="0" w:type="dxa"/>
        <w:top w:w="0" w:type="dxa"/>
        <w:right w:w="0" w:type="dxa"/>
        <w:bottom w:w="0" w:type="dxa"/>
      </w:tblCellMar>
    </w:tblPr>
  </w:style>
  <w:style w:type="table" w:styleId="888" w:customStyle="1">
    <w:name w:val="Grid Table 4 - Accent 4"/>
    <w:uiPriority w:val="59"/>
    <w:qFormat/>
    <w:tblPr>
      <w:tblCellMar>
        <w:left w:w="0" w:type="dxa"/>
        <w:top w:w="0" w:type="dxa"/>
        <w:right w:w="0" w:type="dxa"/>
        <w:bottom w:w="0" w:type="dxa"/>
      </w:tblCellMar>
    </w:tblPr>
  </w:style>
  <w:style w:type="table" w:styleId="889" w:customStyle="1">
    <w:name w:val="Grid Table 4 - Accent 5"/>
    <w:uiPriority w:val="59"/>
    <w:qFormat/>
    <w:tblPr>
      <w:tblCellMar>
        <w:left w:w="0" w:type="dxa"/>
        <w:top w:w="0" w:type="dxa"/>
        <w:right w:w="0" w:type="dxa"/>
        <w:bottom w:w="0" w:type="dxa"/>
      </w:tblCellMar>
    </w:tblPr>
  </w:style>
  <w:style w:type="table" w:styleId="890" w:customStyle="1">
    <w:name w:val="Grid Table 4 - Accent 6"/>
    <w:uiPriority w:val="59"/>
    <w:qFormat/>
    <w:tblPr>
      <w:tblCellMar>
        <w:left w:w="0" w:type="dxa"/>
        <w:top w:w="0" w:type="dxa"/>
        <w:right w:w="0" w:type="dxa"/>
        <w:bottom w:w="0" w:type="dxa"/>
      </w:tblCellMar>
    </w:tblPr>
  </w:style>
  <w:style w:type="table" w:styleId="891" w:customStyle="1">
    <w:name w:val="Grid Table 5 Dark- Accent 1"/>
    <w:uiPriority w:val="99"/>
    <w:qFormat/>
    <w:tblPr>
      <w:tblCellMar>
        <w:left w:w="0" w:type="dxa"/>
        <w:top w:w="0" w:type="dxa"/>
        <w:right w:w="0" w:type="dxa"/>
        <w:bottom w:w="0" w:type="dxa"/>
      </w:tblCellMar>
    </w:tblPr>
  </w:style>
  <w:style w:type="table" w:styleId="892" w:customStyle="1">
    <w:name w:val="Grid Table 5 Dark - Accent 2"/>
    <w:uiPriority w:val="99"/>
    <w:qFormat/>
    <w:tblPr>
      <w:tblCellMar>
        <w:left w:w="0" w:type="dxa"/>
        <w:top w:w="0" w:type="dxa"/>
        <w:right w:w="0" w:type="dxa"/>
        <w:bottom w:w="0" w:type="dxa"/>
      </w:tblCellMar>
    </w:tblPr>
  </w:style>
  <w:style w:type="table" w:styleId="893" w:customStyle="1">
    <w:name w:val="Grid Table 5 Dark - Accent 3"/>
    <w:uiPriority w:val="99"/>
    <w:qFormat/>
    <w:tblPr>
      <w:tblCellMar>
        <w:left w:w="0" w:type="dxa"/>
        <w:top w:w="0" w:type="dxa"/>
        <w:right w:w="0" w:type="dxa"/>
        <w:bottom w:w="0" w:type="dxa"/>
      </w:tblCellMar>
    </w:tblPr>
  </w:style>
  <w:style w:type="table" w:styleId="894" w:customStyle="1">
    <w:name w:val="Grid Table 5 Dark- Accent 4"/>
    <w:uiPriority w:val="99"/>
    <w:qFormat/>
    <w:tblPr>
      <w:tblCellMar>
        <w:left w:w="0" w:type="dxa"/>
        <w:top w:w="0" w:type="dxa"/>
        <w:right w:w="0" w:type="dxa"/>
        <w:bottom w:w="0" w:type="dxa"/>
      </w:tblCellMar>
    </w:tblPr>
  </w:style>
  <w:style w:type="table" w:styleId="895" w:customStyle="1">
    <w:name w:val="Grid Table 5 Dark - Accent 5"/>
    <w:uiPriority w:val="99"/>
    <w:qFormat/>
    <w:tblPr>
      <w:tblCellMar>
        <w:left w:w="0" w:type="dxa"/>
        <w:top w:w="0" w:type="dxa"/>
        <w:right w:w="0" w:type="dxa"/>
        <w:bottom w:w="0" w:type="dxa"/>
      </w:tblCellMar>
    </w:tblPr>
  </w:style>
  <w:style w:type="table" w:styleId="896" w:customStyle="1">
    <w:name w:val="Grid Table 5 Dark - Accent 6"/>
    <w:uiPriority w:val="99"/>
    <w:qFormat/>
    <w:tblPr>
      <w:tblCellMar>
        <w:left w:w="0" w:type="dxa"/>
        <w:top w:w="0" w:type="dxa"/>
        <w:right w:w="0" w:type="dxa"/>
        <w:bottom w:w="0" w:type="dxa"/>
      </w:tblCellMar>
    </w:tblPr>
  </w:style>
  <w:style w:type="table" w:styleId="897" w:customStyle="1">
    <w:name w:val="Grid Table 6 Colorful - Accent 1"/>
    <w:uiPriority w:val="99"/>
    <w:qFormat/>
    <w:tblPr>
      <w:tblCellMar>
        <w:left w:w="0" w:type="dxa"/>
        <w:top w:w="0" w:type="dxa"/>
        <w:right w:w="0" w:type="dxa"/>
        <w:bottom w:w="0" w:type="dxa"/>
      </w:tblCellMar>
    </w:tblPr>
  </w:style>
  <w:style w:type="table" w:styleId="898" w:customStyle="1">
    <w:name w:val="Grid Table 6 Colorful - Accent 2"/>
    <w:uiPriority w:val="99"/>
    <w:qFormat/>
    <w:tblPr>
      <w:tblCellMar>
        <w:left w:w="0" w:type="dxa"/>
        <w:top w:w="0" w:type="dxa"/>
        <w:right w:w="0" w:type="dxa"/>
        <w:bottom w:w="0" w:type="dxa"/>
      </w:tblCellMar>
    </w:tblPr>
  </w:style>
  <w:style w:type="table" w:styleId="899" w:customStyle="1">
    <w:name w:val="Grid Table 6 Colorful - Accent 3"/>
    <w:uiPriority w:val="99"/>
    <w:qFormat/>
    <w:tblPr>
      <w:tblCellMar>
        <w:left w:w="0" w:type="dxa"/>
        <w:top w:w="0" w:type="dxa"/>
        <w:right w:w="0" w:type="dxa"/>
        <w:bottom w:w="0" w:type="dxa"/>
      </w:tblCellMar>
    </w:tblPr>
  </w:style>
  <w:style w:type="table" w:styleId="900" w:customStyle="1">
    <w:name w:val="Grid Table 6 Colorful - Accent 4"/>
    <w:uiPriority w:val="99"/>
    <w:qFormat/>
    <w:tblPr>
      <w:tblCellMar>
        <w:left w:w="0" w:type="dxa"/>
        <w:top w:w="0" w:type="dxa"/>
        <w:right w:w="0" w:type="dxa"/>
        <w:bottom w:w="0" w:type="dxa"/>
      </w:tblCellMar>
    </w:tblPr>
  </w:style>
  <w:style w:type="table" w:styleId="901" w:customStyle="1">
    <w:name w:val="Grid Table 6 Colorful - Accent 5"/>
    <w:uiPriority w:val="99"/>
    <w:qFormat/>
    <w:tblPr>
      <w:tblCellMar>
        <w:left w:w="0" w:type="dxa"/>
        <w:top w:w="0" w:type="dxa"/>
        <w:right w:w="0" w:type="dxa"/>
        <w:bottom w:w="0" w:type="dxa"/>
      </w:tblCellMar>
    </w:tblPr>
  </w:style>
  <w:style w:type="table" w:styleId="902" w:customStyle="1">
    <w:name w:val="Grid Table 6 Colorful - Accent 6"/>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7 Colorful - Accent 2"/>
    <w:uiPriority w:val="99"/>
    <w:qFormat/>
    <w:tblPr>
      <w:tblCellMar>
        <w:left w:w="0" w:type="dxa"/>
        <w:top w:w="0" w:type="dxa"/>
        <w:right w:w="0" w:type="dxa"/>
        <w:bottom w:w="0" w:type="dxa"/>
      </w:tblCellMar>
    </w:tblPr>
  </w:style>
  <w:style w:type="table" w:styleId="905" w:customStyle="1">
    <w:name w:val="Grid Table 7 Colorful - Accent 3"/>
    <w:uiPriority w:val="99"/>
    <w:qFormat/>
    <w:tblPr>
      <w:tblCellMar>
        <w:left w:w="0" w:type="dxa"/>
        <w:top w:w="0" w:type="dxa"/>
        <w:right w:w="0" w:type="dxa"/>
        <w:bottom w:w="0" w:type="dxa"/>
      </w:tblCellMar>
    </w:tblPr>
  </w:style>
  <w:style w:type="table" w:styleId="906" w:customStyle="1">
    <w:name w:val="Grid Table 7 Colorful - Accent 4"/>
    <w:uiPriority w:val="99"/>
    <w:qFormat/>
    <w:tblPr>
      <w:tblCellMar>
        <w:left w:w="0" w:type="dxa"/>
        <w:top w:w="0" w:type="dxa"/>
        <w:right w:w="0" w:type="dxa"/>
        <w:bottom w:w="0" w:type="dxa"/>
      </w:tblCellMar>
    </w:tblPr>
  </w:style>
  <w:style w:type="table" w:styleId="907" w:customStyle="1">
    <w:name w:val="Grid Table 7 Colorful - Accent 5"/>
    <w:uiPriority w:val="99"/>
    <w:qFormat/>
    <w:tblPr>
      <w:tblCellMar>
        <w:left w:w="0" w:type="dxa"/>
        <w:top w:w="0" w:type="dxa"/>
        <w:right w:w="0" w:type="dxa"/>
        <w:bottom w:w="0" w:type="dxa"/>
      </w:tblCellMar>
    </w:tblPr>
  </w:style>
  <w:style w:type="table" w:styleId="908" w:customStyle="1">
    <w:name w:val="Grid Table 7 Colorful - Accent 6"/>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List Table 2 - Accent 1"/>
    <w:uiPriority w:val="99"/>
    <w:qFormat/>
    <w:tblPr>
      <w:tblCellMar>
        <w:left w:w="0" w:type="dxa"/>
        <w:top w:w="0" w:type="dxa"/>
        <w:right w:w="0" w:type="dxa"/>
        <w:bottom w:w="0" w:type="dxa"/>
      </w:tblCellMar>
    </w:tblPr>
  </w:style>
  <w:style w:type="table" w:styleId="916" w:customStyle="1">
    <w:name w:val="List Table 2 - Accent 2"/>
    <w:uiPriority w:val="99"/>
    <w:qFormat/>
    <w:tblPr>
      <w:tblCellMar>
        <w:left w:w="0" w:type="dxa"/>
        <w:top w:w="0" w:type="dxa"/>
        <w:right w:w="0" w:type="dxa"/>
        <w:bottom w:w="0" w:type="dxa"/>
      </w:tblCellMar>
    </w:tblPr>
  </w:style>
  <w:style w:type="table" w:styleId="917" w:customStyle="1">
    <w:name w:val="List Table 2 - Accent 3"/>
    <w:uiPriority w:val="99"/>
    <w:qFormat/>
    <w:tblPr>
      <w:tblCellMar>
        <w:left w:w="0" w:type="dxa"/>
        <w:top w:w="0" w:type="dxa"/>
        <w:right w:w="0" w:type="dxa"/>
        <w:bottom w:w="0" w:type="dxa"/>
      </w:tblCellMar>
    </w:tblPr>
  </w:style>
  <w:style w:type="table" w:styleId="918" w:customStyle="1">
    <w:name w:val="List Table 2 - Accent 4"/>
    <w:uiPriority w:val="99"/>
    <w:qFormat/>
    <w:tblPr>
      <w:tblCellMar>
        <w:left w:w="0" w:type="dxa"/>
        <w:top w:w="0" w:type="dxa"/>
        <w:right w:w="0" w:type="dxa"/>
        <w:bottom w:w="0" w:type="dxa"/>
      </w:tblCellMar>
    </w:tblPr>
  </w:style>
  <w:style w:type="table" w:styleId="919" w:customStyle="1">
    <w:name w:val="List Table 2 - Accent 5"/>
    <w:uiPriority w:val="99"/>
    <w:qFormat/>
    <w:tblPr>
      <w:tblCellMar>
        <w:left w:w="0" w:type="dxa"/>
        <w:top w:w="0" w:type="dxa"/>
        <w:right w:w="0" w:type="dxa"/>
        <w:bottom w:w="0" w:type="dxa"/>
      </w:tblCellMar>
    </w:tblPr>
  </w:style>
  <w:style w:type="table" w:styleId="920" w:customStyle="1">
    <w:name w:val="List Table 2 - Accent 6"/>
    <w:uiPriority w:val="99"/>
    <w:qFormat/>
    <w:tblPr>
      <w:tblCellMar>
        <w:left w:w="0" w:type="dxa"/>
        <w:top w:w="0" w:type="dxa"/>
        <w:right w:w="0" w:type="dxa"/>
        <w:bottom w:w="0" w:type="dxa"/>
      </w:tblCellMar>
    </w:tblPr>
  </w:style>
  <w:style w:type="table" w:styleId="921" w:customStyle="1">
    <w:name w:val="List Table 3 - Accent 1"/>
    <w:uiPriority w:val="99"/>
    <w:qFormat/>
    <w:tblPr>
      <w:tblCellMar>
        <w:left w:w="0" w:type="dxa"/>
        <w:top w:w="0" w:type="dxa"/>
        <w:right w:w="0" w:type="dxa"/>
        <w:bottom w:w="0" w:type="dxa"/>
      </w:tblCellMar>
    </w:tblPr>
  </w:style>
  <w:style w:type="table" w:styleId="922" w:customStyle="1">
    <w:name w:val="List Table 3 - Accent 2"/>
    <w:uiPriority w:val="99"/>
    <w:qFormat/>
    <w:tblPr>
      <w:tblCellMar>
        <w:left w:w="0" w:type="dxa"/>
        <w:top w:w="0" w:type="dxa"/>
        <w:right w:w="0" w:type="dxa"/>
        <w:bottom w:w="0" w:type="dxa"/>
      </w:tblCellMar>
    </w:tblPr>
  </w:style>
  <w:style w:type="table" w:styleId="923" w:customStyle="1">
    <w:name w:val="List Table 3 - Accent 3"/>
    <w:uiPriority w:val="99"/>
    <w:qFormat/>
    <w:tblPr>
      <w:tblCellMar>
        <w:left w:w="0" w:type="dxa"/>
        <w:top w:w="0" w:type="dxa"/>
        <w:right w:w="0" w:type="dxa"/>
        <w:bottom w:w="0" w:type="dxa"/>
      </w:tblCellMar>
    </w:tblPr>
  </w:style>
  <w:style w:type="table" w:styleId="924" w:customStyle="1">
    <w:name w:val="List Table 3 - Accent 4"/>
    <w:uiPriority w:val="99"/>
    <w:qFormat/>
    <w:tblPr>
      <w:tblCellMar>
        <w:left w:w="0" w:type="dxa"/>
        <w:top w:w="0" w:type="dxa"/>
        <w:right w:w="0" w:type="dxa"/>
        <w:bottom w:w="0" w:type="dxa"/>
      </w:tblCellMar>
    </w:tblPr>
  </w:style>
  <w:style w:type="table" w:styleId="925" w:customStyle="1">
    <w:name w:val="List Table 3 - Accent 5"/>
    <w:uiPriority w:val="99"/>
    <w:qFormat/>
    <w:tblPr>
      <w:tblCellMar>
        <w:left w:w="0" w:type="dxa"/>
        <w:top w:w="0" w:type="dxa"/>
        <w:right w:w="0" w:type="dxa"/>
        <w:bottom w:w="0" w:type="dxa"/>
      </w:tblCellMar>
    </w:tblPr>
  </w:style>
  <w:style w:type="table" w:styleId="926" w:customStyle="1">
    <w:name w:val="List Table 3 - Accent 6"/>
    <w:uiPriority w:val="99"/>
    <w:qFormat/>
    <w:tblPr>
      <w:tblCellMar>
        <w:left w:w="0" w:type="dxa"/>
        <w:top w:w="0" w:type="dxa"/>
        <w:right w:w="0" w:type="dxa"/>
        <w:bottom w:w="0" w:type="dxa"/>
      </w:tblCellMar>
    </w:tblPr>
  </w:style>
  <w:style w:type="table" w:styleId="927" w:customStyle="1">
    <w:name w:val="List Table 4 - Accent 1"/>
    <w:uiPriority w:val="99"/>
    <w:qFormat/>
    <w:tblPr>
      <w:tblCellMar>
        <w:left w:w="0" w:type="dxa"/>
        <w:top w:w="0" w:type="dxa"/>
        <w:right w:w="0" w:type="dxa"/>
        <w:bottom w:w="0" w:type="dxa"/>
      </w:tblCellMar>
    </w:tblPr>
  </w:style>
  <w:style w:type="table" w:styleId="928" w:customStyle="1">
    <w:name w:val="List Table 4 - Accent 2"/>
    <w:uiPriority w:val="99"/>
    <w:qFormat/>
    <w:tblPr>
      <w:tblCellMar>
        <w:left w:w="0" w:type="dxa"/>
        <w:top w:w="0" w:type="dxa"/>
        <w:right w:w="0" w:type="dxa"/>
        <w:bottom w:w="0" w:type="dxa"/>
      </w:tblCellMar>
    </w:tblPr>
  </w:style>
  <w:style w:type="table" w:styleId="929" w:customStyle="1">
    <w:name w:val="List Table 4 - Accent 3"/>
    <w:uiPriority w:val="99"/>
    <w:qFormat/>
    <w:tblPr>
      <w:tblCellMar>
        <w:left w:w="0" w:type="dxa"/>
        <w:top w:w="0" w:type="dxa"/>
        <w:right w:w="0" w:type="dxa"/>
        <w:bottom w:w="0" w:type="dxa"/>
      </w:tblCellMar>
    </w:tblPr>
  </w:style>
  <w:style w:type="table" w:styleId="930" w:customStyle="1">
    <w:name w:val="List Table 4 - Accent 4"/>
    <w:uiPriority w:val="99"/>
    <w:qFormat/>
    <w:tblPr>
      <w:tblCellMar>
        <w:left w:w="0" w:type="dxa"/>
        <w:top w:w="0" w:type="dxa"/>
        <w:right w:w="0" w:type="dxa"/>
        <w:bottom w:w="0" w:type="dxa"/>
      </w:tblCellMar>
    </w:tblPr>
  </w:style>
  <w:style w:type="table" w:styleId="931" w:customStyle="1">
    <w:name w:val="List Table 4 - Accent 5"/>
    <w:uiPriority w:val="99"/>
    <w:qFormat/>
    <w:tblPr>
      <w:tblCellMar>
        <w:left w:w="0" w:type="dxa"/>
        <w:top w:w="0" w:type="dxa"/>
        <w:right w:w="0" w:type="dxa"/>
        <w:bottom w:w="0" w:type="dxa"/>
      </w:tblCellMar>
    </w:tblPr>
  </w:style>
  <w:style w:type="table" w:styleId="932" w:customStyle="1">
    <w:name w:val="List Table 4 - Accent 6"/>
    <w:uiPriority w:val="99"/>
    <w:qFormat/>
    <w:tblPr>
      <w:tblCellMar>
        <w:left w:w="0" w:type="dxa"/>
        <w:top w:w="0" w:type="dxa"/>
        <w:right w:w="0" w:type="dxa"/>
        <w:bottom w:w="0" w:type="dxa"/>
      </w:tblCellMar>
    </w:tblPr>
  </w:style>
  <w:style w:type="table" w:styleId="933" w:customStyle="1">
    <w:name w:val="List Table 5 Dark - Accent 1"/>
    <w:uiPriority w:val="99"/>
    <w:qFormat/>
    <w:tblPr>
      <w:tblCellMar>
        <w:left w:w="0" w:type="dxa"/>
        <w:top w:w="0" w:type="dxa"/>
        <w:right w:w="0" w:type="dxa"/>
        <w:bottom w:w="0" w:type="dxa"/>
      </w:tblCellMar>
    </w:tblPr>
  </w:style>
  <w:style w:type="table" w:styleId="934" w:customStyle="1">
    <w:name w:val="List Table 5 Dark - Accent 2"/>
    <w:uiPriority w:val="99"/>
    <w:qFormat/>
    <w:tblPr>
      <w:tblCellMar>
        <w:left w:w="0" w:type="dxa"/>
        <w:top w:w="0" w:type="dxa"/>
        <w:right w:w="0" w:type="dxa"/>
        <w:bottom w:w="0" w:type="dxa"/>
      </w:tblCellMar>
    </w:tblPr>
  </w:style>
  <w:style w:type="table" w:styleId="935" w:customStyle="1">
    <w:name w:val="List Table 5 Dark - Accent 3"/>
    <w:uiPriority w:val="99"/>
    <w:qFormat/>
    <w:tblPr>
      <w:tblCellMar>
        <w:left w:w="0" w:type="dxa"/>
        <w:top w:w="0" w:type="dxa"/>
        <w:right w:w="0" w:type="dxa"/>
        <w:bottom w:w="0" w:type="dxa"/>
      </w:tblCellMar>
    </w:tblPr>
  </w:style>
  <w:style w:type="table" w:styleId="936" w:customStyle="1">
    <w:name w:val="List Table 5 Dark - Accent 4"/>
    <w:uiPriority w:val="99"/>
    <w:qFormat/>
    <w:tblPr>
      <w:tblCellMar>
        <w:left w:w="0" w:type="dxa"/>
        <w:top w:w="0" w:type="dxa"/>
        <w:right w:w="0" w:type="dxa"/>
        <w:bottom w:w="0" w:type="dxa"/>
      </w:tblCellMar>
    </w:tblPr>
  </w:style>
  <w:style w:type="table" w:styleId="937" w:customStyle="1">
    <w:name w:val="List Table 5 Dark - Accent 5"/>
    <w:uiPriority w:val="99"/>
    <w:qFormat/>
    <w:tblPr>
      <w:tblCellMar>
        <w:left w:w="0" w:type="dxa"/>
        <w:top w:w="0" w:type="dxa"/>
        <w:right w:w="0" w:type="dxa"/>
        <w:bottom w:w="0" w:type="dxa"/>
      </w:tblCellMar>
    </w:tblPr>
  </w:style>
  <w:style w:type="table" w:styleId="938" w:customStyle="1">
    <w:name w:val="List Table 5 Dark - Accent 6"/>
    <w:uiPriority w:val="99"/>
    <w:qFormat/>
    <w:tblPr>
      <w:tblCellMar>
        <w:left w:w="0" w:type="dxa"/>
        <w:top w:w="0" w:type="dxa"/>
        <w:right w:w="0" w:type="dxa"/>
        <w:bottom w:w="0" w:type="dxa"/>
      </w:tblCellMar>
    </w:tblPr>
  </w:style>
  <w:style w:type="table" w:styleId="939" w:customStyle="1">
    <w:name w:val="List Table 6 Colorful - Accent 1"/>
    <w:uiPriority w:val="99"/>
    <w:qFormat/>
    <w:tblPr>
      <w:tblCellMar>
        <w:left w:w="0" w:type="dxa"/>
        <w:top w:w="0" w:type="dxa"/>
        <w:right w:w="0" w:type="dxa"/>
        <w:bottom w:w="0" w:type="dxa"/>
      </w:tblCellMar>
    </w:tblPr>
  </w:style>
  <w:style w:type="table" w:styleId="940" w:customStyle="1">
    <w:name w:val="List Table 6 Colorful - Accent 2"/>
    <w:uiPriority w:val="99"/>
    <w:qFormat/>
    <w:tblPr>
      <w:tblCellMar>
        <w:left w:w="0" w:type="dxa"/>
        <w:top w:w="0" w:type="dxa"/>
        <w:right w:w="0" w:type="dxa"/>
        <w:bottom w:w="0" w:type="dxa"/>
      </w:tblCellMar>
    </w:tblPr>
  </w:style>
  <w:style w:type="table" w:styleId="941" w:customStyle="1">
    <w:name w:val="List Table 6 Colorful - Accent 3"/>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List Table 6 Colorful - Accent 5"/>
    <w:uiPriority w:val="99"/>
    <w:qFormat/>
    <w:tblPr>
      <w:tblCellMar>
        <w:left w:w="0" w:type="dxa"/>
        <w:top w:w="0" w:type="dxa"/>
        <w:right w:w="0" w:type="dxa"/>
        <w:bottom w:w="0" w:type="dxa"/>
      </w:tblCellMar>
    </w:tblPr>
  </w:style>
  <w:style w:type="table" w:styleId="944" w:customStyle="1">
    <w:name w:val="List Table 6 Colorful - Accent 6"/>
    <w:uiPriority w:val="99"/>
    <w:qFormat/>
    <w:tblPr>
      <w:tblCellMar>
        <w:left w:w="0" w:type="dxa"/>
        <w:top w:w="0" w:type="dxa"/>
        <w:right w:w="0" w:type="dxa"/>
        <w:bottom w:w="0" w:type="dxa"/>
      </w:tblCellMar>
    </w:tblPr>
  </w:style>
  <w:style w:type="table" w:styleId="945" w:customStyle="1">
    <w:name w:val="List Table 7 Colorful - Accent 1"/>
    <w:uiPriority w:val="99"/>
    <w:qFormat/>
    <w:tblPr>
      <w:tblCellMar>
        <w:left w:w="0" w:type="dxa"/>
        <w:top w:w="0" w:type="dxa"/>
        <w:right w:w="0" w:type="dxa"/>
        <w:bottom w:w="0" w:type="dxa"/>
      </w:tblCellMar>
    </w:tblPr>
  </w:style>
  <w:style w:type="table" w:styleId="946" w:customStyle="1">
    <w:name w:val="List Table 7 Colorful - Accent 2"/>
    <w:uiPriority w:val="99"/>
    <w:qFormat/>
    <w:tblPr>
      <w:tblCellMar>
        <w:left w:w="0" w:type="dxa"/>
        <w:top w:w="0" w:type="dxa"/>
        <w:right w:w="0" w:type="dxa"/>
        <w:bottom w:w="0" w:type="dxa"/>
      </w:tblCellMar>
    </w:tblPr>
  </w:style>
  <w:style w:type="table" w:styleId="947" w:customStyle="1">
    <w:name w:val="List Table 7 Colorful - Accent 3"/>
    <w:uiPriority w:val="99"/>
    <w:qFormat/>
    <w:tblPr>
      <w:tblCellMar>
        <w:left w:w="0" w:type="dxa"/>
        <w:top w:w="0" w:type="dxa"/>
        <w:right w:w="0" w:type="dxa"/>
        <w:bottom w:w="0" w:type="dxa"/>
      </w:tblCellMar>
    </w:tblPr>
  </w:style>
  <w:style w:type="table" w:styleId="948" w:customStyle="1">
    <w:name w:val="List Table 7 Colorful - Accent 4"/>
    <w:uiPriority w:val="99"/>
    <w:qFormat/>
    <w:tblPr>
      <w:tblCellMar>
        <w:left w:w="0" w:type="dxa"/>
        <w:top w:w="0" w:type="dxa"/>
        <w:right w:w="0" w:type="dxa"/>
        <w:bottom w:w="0" w:type="dxa"/>
      </w:tblCellMar>
    </w:tblPr>
  </w:style>
  <w:style w:type="table" w:styleId="949" w:customStyle="1">
    <w:name w:val="List Table 7 Colorful - Accent 5"/>
    <w:uiPriority w:val="99"/>
    <w:qFormat/>
    <w:tblPr>
      <w:tblCellMar>
        <w:left w:w="0" w:type="dxa"/>
        <w:top w:w="0" w:type="dxa"/>
        <w:right w:w="0" w:type="dxa"/>
        <w:bottom w:w="0" w:type="dxa"/>
      </w:tblCellMar>
    </w:tblPr>
  </w:style>
  <w:style w:type="table" w:styleId="950" w:customStyle="1">
    <w:name w:val="List Table 7 Colorful - Accent 6"/>
    <w:uiPriority w:val="99"/>
    <w:qFormat/>
    <w:tblPr>
      <w:tblCellMar>
        <w:left w:w="0" w:type="dxa"/>
        <w:top w:w="0" w:type="dxa"/>
        <w:right w:w="0" w:type="dxa"/>
        <w:bottom w:w="0" w:type="dxa"/>
      </w:tblCellMar>
    </w:tblPr>
  </w:style>
  <w:style w:type="table" w:styleId="951" w:customStyle="1">
    <w:name w:val="Lined - Accent"/>
    <w:uiPriority w:val="99"/>
    <w:qFormat/>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qFormat/>
    <w:rPr>
      <w:color w:val="404040"/>
    </w:rPr>
    <w:tblPr>
      <w:tblCellMar>
        <w:left w:w="0" w:type="dxa"/>
        <w:top w:w="0" w:type="dxa"/>
        <w:right w:w="0" w:type="dxa"/>
        <w:bottom w:w="0" w:type="dxa"/>
      </w:tblCellMar>
    </w:tblPr>
  </w:style>
  <w:style w:type="table" w:styleId="955" w:customStyle="1">
    <w:name w:val="Lined - Accent 4"/>
    <w:uiPriority w:val="99"/>
    <w:qFormat/>
    <w:rPr>
      <w:color w:val="404040"/>
    </w:rPr>
    <w:tblPr>
      <w:tblCellMar>
        <w:left w:w="0" w:type="dxa"/>
        <w:top w:w="0" w:type="dxa"/>
        <w:right w:w="0" w:type="dxa"/>
        <w:bottom w:w="0" w:type="dxa"/>
      </w:tblCellMar>
    </w:tblPr>
  </w:style>
  <w:style w:type="table" w:styleId="956" w:customStyle="1">
    <w:name w:val="Lined - Accent 5"/>
    <w:uiPriority w:val="99"/>
    <w:qFormat/>
    <w:rPr>
      <w:color w:val="404040"/>
    </w:rPr>
    <w:tblPr>
      <w:tblCellMar>
        <w:left w:w="0" w:type="dxa"/>
        <w:top w:w="0" w:type="dxa"/>
        <w:right w:w="0" w:type="dxa"/>
        <w:bottom w:w="0" w:type="dxa"/>
      </w:tblCellMar>
    </w:tblPr>
  </w:style>
  <w:style w:type="table" w:styleId="957" w:customStyle="1">
    <w:name w:val="Lined - Accent 6"/>
    <w:uiPriority w:val="99"/>
    <w:qFormat/>
    <w:rPr>
      <w:color w:val="404040"/>
    </w:rPr>
    <w:tblPr>
      <w:tblCellMar>
        <w:left w:w="0" w:type="dxa"/>
        <w:top w:w="0" w:type="dxa"/>
        <w:right w:w="0" w:type="dxa"/>
        <w:bottom w:w="0" w:type="dxa"/>
      </w:tblCellMar>
    </w:tblPr>
  </w:style>
  <w:style w:type="table" w:styleId="958" w:customStyle="1">
    <w:name w:val="Bordered &amp; Lined - Accent"/>
    <w:uiPriority w:val="99"/>
    <w:qFormat/>
    <w:rPr>
      <w:color w:val="404040"/>
    </w:rPr>
    <w:tblPr>
      <w:tblCellMar>
        <w:left w:w="0" w:type="dxa"/>
        <w:top w:w="0" w:type="dxa"/>
        <w:right w:w="0" w:type="dxa"/>
        <w:bottom w:w="0" w:type="dxa"/>
      </w:tblCellMar>
    </w:tblPr>
  </w:style>
  <w:style w:type="table" w:styleId="959" w:customStyle="1">
    <w:name w:val="Bordered &amp; Lined - Accent 1"/>
    <w:uiPriority w:val="99"/>
    <w:qFormat/>
    <w:rPr>
      <w:color w:val="404040"/>
    </w:rPr>
    <w:tblPr>
      <w:tblCellMar>
        <w:left w:w="0" w:type="dxa"/>
        <w:top w:w="0" w:type="dxa"/>
        <w:right w:w="0" w:type="dxa"/>
        <w:bottom w:w="0" w:type="dxa"/>
      </w:tblCellMar>
    </w:tblPr>
  </w:style>
  <w:style w:type="table" w:styleId="960" w:customStyle="1">
    <w:name w:val="Bordered &amp; Lined - Accent 2"/>
    <w:uiPriority w:val="99"/>
    <w:qFormat/>
    <w:rPr>
      <w:color w:val="404040"/>
    </w:rPr>
    <w:tblPr>
      <w:tblCellMar>
        <w:left w:w="0" w:type="dxa"/>
        <w:top w:w="0" w:type="dxa"/>
        <w:right w:w="0" w:type="dxa"/>
        <w:bottom w:w="0" w:type="dxa"/>
      </w:tblCellMar>
    </w:tblPr>
  </w:style>
  <w:style w:type="table" w:styleId="961" w:customStyle="1">
    <w:name w:val="Bordered &amp; Lined - Accent 3"/>
    <w:uiPriority w:val="99"/>
    <w:qFormat/>
    <w:rPr>
      <w:color w:val="404040"/>
    </w:rPr>
    <w:tblPr>
      <w:tblCellMar>
        <w:left w:w="0" w:type="dxa"/>
        <w:top w:w="0" w:type="dxa"/>
        <w:right w:w="0" w:type="dxa"/>
        <w:bottom w:w="0" w:type="dxa"/>
      </w:tblCellMar>
    </w:tblPr>
  </w:style>
  <w:style w:type="table" w:styleId="962" w:customStyle="1">
    <w:name w:val="Bordered &amp; Lined - Accent 4"/>
    <w:uiPriority w:val="99"/>
    <w:qFormat/>
    <w:rPr>
      <w:color w:val="404040"/>
    </w:rPr>
    <w:tblPr>
      <w:tblCellMar>
        <w:left w:w="0" w:type="dxa"/>
        <w:top w:w="0" w:type="dxa"/>
        <w:right w:w="0" w:type="dxa"/>
        <w:bottom w:w="0" w:type="dxa"/>
      </w:tblCellMar>
    </w:tblPr>
  </w:style>
  <w:style w:type="table" w:styleId="963" w:customStyle="1">
    <w:name w:val="Bordered &amp; Lined - Accent 5"/>
    <w:uiPriority w:val="99"/>
    <w:qFormat/>
    <w:rPr>
      <w:color w:val="404040"/>
    </w:rPr>
    <w:tblPr>
      <w:tblCellMar>
        <w:left w:w="0" w:type="dxa"/>
        <w:top w:w="0" w:type="dxa"/>
        <w:right w:w="0" w:type="dxa"/>
        <w:bottom w:w="0" w:type="dxa"/>
      </w:tblCellMar>
    </w:tblPr>
  </w:style>
  <w:style w:type="table" w:styleId="964" w:customStyle="1">
    <w:name w:val="Bordered &amp; Lined - Accent 6"/>
    <w:uiPriority w:val="99"/>
    <w:qFormat/>
    <w:rPr>
      <w:color w:val="404040"/>
    </w:rPr>
    <w:tblPr>
      <w:tblCellMar>
        <w:left w:w="0" w:type="dxa"/>
        <w:top w:w="0" w:type="dxa"/>
        <w:right w:w="0" w:type="dxa"/>
        <w:bottom w:w="0" w:type="dxa"/>
      </w:tblCellMar>
    </w:tblPr>
  </w:style>
  <w:style w:type="table" w:styleId="965" w:customStyle="1">
    <w:name w:val="Bordered"/>
    <w:uiPriority w:val="99"/>
    <w:qFormat/>
    <w:tblPr>
      <w:tblCellMar>
        <w:left w:w="0" w:type="dxa"/>
        <w:top w:w="0" w:type="dxa"/>
        <w:right w:w="0" w:type="dxa"/>
        <w:bottom w:w="0" w:type="dxa"/>
      </w:tblCellMar>
    </w:tblPr>
  </w:style>
  <w:style w:type="table" w:styleId="966" w:customStyle="1">
    <w:name w:val="Bordered - Accent 1"/>
    <w:uiPriority w:val="99"/>
    <w:qFormat/>
    <w:tblPr>
      <w:tblCellMar>
        <w:left w:w="0" w:type="dxa"/>
        <w:top w:w="0" w:type="dxa"/>
        <w:right w:w="0" w:type="dxa"/>
        <w:bottom w:w="0" w:type="dxa"/>
      </w:tblCellMar>
    </w:tblPr>
  </w:style>
  <w:style w:type="table" w:styleId="967" w:customStyle="1">
    <w:name w:val="Bordered - Accent 2"/>
    <w:uiPriority w:val="99"/>
    <w:qFormat/>
    <w:tblPr>
      <w:tblCellMar>
        <w:left w:w="0" w:type="dxa"/>
        <w:top w:w="0" w:type="dxa"/>
        <w:right w:w="0" w:type="dxa"/>
        <w:bottom w:w="0" w:type="dxa"/>
      </w:tblCellMar>
    </w:tblPr>
  </w:style>
  <w:style w:type="table" w:styleId="968" w:customStyle="1">
    <w:name w:val="Bordered - Accent 3"/>
    <w:uiPriority w:val="99"/>
    <w:qFormat/>
    <w:tblPr>
      <w:tblCellMar>
        <w:left w:w="0" w:type="dxa"/>
        <w:top w:w="0" w:type="dxa"/>
        <w:right w:w="0" w:type="dxa"/>
        <w:bottom w:w="0" w:type="dxa"/>
      </w:tblCellMar>
    </w:tblPr>
  </w:style>
  <w:style w:type="table" w:styleId="969" w:customStyle="1">
    <w:name w:val="Bordered - Accent 4"/>
    <w:uiPriority w:val="99"/>
    <w:qFormat/>
    <w:tblPr>
      <w:tblCellMar>
        <w:left w:w="0" w:type="dxa"/>
        <w:top w:w="0" w:type="dxa"/>
        <w:right w:w="0" w:type="dxa"/>
        <w:bottom w:w="0" w:type="dxa"/>
      </w:tblCellMar>
    </w:tblPr>
  </w:style>
  <w:style w:type="table" w:styleId="970" w:customStyle="1">
    <w:name w:val="Bordered - Accent 5"/>
    <w:uiPriority w:val="99"/>
    <w:qFormat/>
    <w:tblPr>
      <w:tblCellMar>
        <w:left w:w="0" w:type="dxa"/>
        <w:top w:w="0" w:type="dxa"/>
        <w:right w:w="0" w:type="dxa"/>
        <w:bottom w:w="0" w:type="dxa"/>
      </w:tblCellMar>
    </w:tblPr>
  </w:style>
  <w:style w:type="table" w:styleId="971" w:customStyle="1">
    <w:name w:val="Bordered - Accent 6"/>
    <w:uiPriority w:val="99"/>
    <w:qFormat/>
    <w:tblPr>
      <w:tblCellMar>
        <w:left w:w="0" w:type="dxa"/>
        <w:top w:w="0" w:type="dxa"/>
        <w:right w:w="0" w:type="dxa"/>
        <w:bottom w:w="0" w:type="dxa"/>
      </w:tblCellMar>
    </w:tblPr>
  </w:style>
  <w:style w:type="paragraph" w:styleId="972" w:customStyle="1">
    <w:name w:val="TOC 标题11"/>
    <w:uiPriority w:val="39"/>
    <w:unhideWhenUsed/>
    <w:qFormat/>
  </w:style>
  <w:style w:type="character" w:styleId="973" w:customStyle="1">
    <w:name w:val="已访问的超链接1"/>
    <w:qFormat/>
    <w:rPr>
      <w:color w:val="800080"/>
      <w:u w:val="single"/>
    </w:rPr>
  </w:style>
  <w:style w:type="character" w:styleId="974" w:customStyle="1">
    <w:name w:val="列出段落 Char"/>
    <w:link w:val="975"/>
    <w:qFormat/>
    <w:rPr>
      <w:rFonts w:ascii="Calibri" w:hAnsi="Calibri"/>
      <w:sz w:val="24"/>
      <w:szCs w:val="24"/>
      <w:lang w:eastAsia="en-US" w:bidi="en-US"/>
    </w:rPr>
  </w:style>
  <w:style w:type="paragraph" w:styleId="975" w:customStyle="1">
    <w:name w:val="列出段落1"/>
    <w:basedOn w:val="733"/>
    <w:link w:val="974"/>
    <w:qFormat/>
    <w:pPr>
      <w:contextualSpacing/>
      <w:ind w:left="720"/>
      <w:jc w:val="left"/>
      <w:widowControl/>
    </w:pPr>
    <w:rPr>
      <w:rFonts w:ascii="Calibri" w:hAnsi="Calibri"/>
      <w:sz w:val="24"/>
      <w:szCs w:val="24"/>
      <w:lang w:eastAsia="en-US" w:bidi="en-US"/>
    </w:rPr>
  </w:style>
  <w:style w:type="character" w:styleId="976" w:customStyle="1">
    <w:name w:val="二级目录 Char"/>
    <w:link w:val="977"/>
    <w:qFormat/>
    <w:rPr>
      <w:b/>
      <w:sz w:val="30"/>
      <w:szCs w:val="28"/>
    </w:rPr>
  </w:style>
  <w:style w:type="paragraph" w:styleId="977" w:customStyle="1">
    <w:name w:val="二级目录"/>
    <w:next w:val="733"/>
    <w:link w:val="976"/>
    <w:qFormat/>
    <w:pPr>
      <w:numPr>
        <w:numId w:val="2"/>
      </w:numPr>
      <w:tabs>
        <w:tab w:val="left" w:pos="1145" w:leader="none"/>
      </w:tabs>
      <w:outlineLvl w:val="1"/>
    </w:pPr>
    <w:rPr>
      <w:b/>
      <w:sz w:val="30"/>
      <w:szCs w:val="28"/>
    </w:rPr>
  </w:style>
  <w:style w:type="character" w:styleId="978" w:customStyle="1">
    <w:name w:val="font5 Char"/>
    <w:qFormat/>
    <w:rPr>
      <w:rFonts w:ascii="宋体" w:hAnsi="宋体" w:eastAsia="宋体"/>
      <w:sz w:val="28"/>
      <w:szCs w:val="28"/>
      <w:lang w:val="en-US" w:eastAsia="zh-CN" w:bidi="ar-SA"/>
    </w:rPr>
  </w:style>
  <w:style w:type="paragraph" w:styleId="979" w:customStyle="1">
    <w:name w:val="普通正文"/>
    <w:basedOn w:val="733"/>
    <w:qFormat/>
    <w:pPr>
      <w:ind w:firstLine="480"/>
      <w:jc w:val="left"/>
      <w:spacing w:before="120" w:after="120" w:line="360" w:lineRule="auto"/>
    </w:pPr>
    <w:rPr>
      <w:rFonts w:ascii="Arial" w:hAnsi="Arial"/>
      <w:sz w:val="24"/>
      <w:szCs w:val="24"/>
    </w:rPr>
  </w:style>
  <w:style w:type="paragraph" w:styleId="980" w:customStyle="1">
    <w:name w:val="标题1"/>
    <w:basedOn w:val="733"/>
    <w:next w:val="73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Char Char Char Char"/>
    <w:basedOn w:val="751"/>
    <w:qFormat/>
    <w:pPr>
      <w:spacing w:line="360" w:lineRule="auto"/>
    </w:pPr>
    <w:rPr>
      <w:rFonts w:ascii="Tahoma" w:hAnsi="Tahoma"/>
      <w:sz w:val="24"/>
      <w:szCs w:val="24"/>
    </w:rPr>
  </w:style>
  <w:style w:type="paragraph" w:styleId="982" w:customStyle="1">
    <w:name w:val="table_lines"/>
    <w:basedOn w:val="733"/>
    <w:qFormat/>
    <w:pPr>
      <w:jc w:val="left"/>
      <w:widowControl/>
    </w:pPr>
    <w:rPr>
      <w:sz w:val="20"/>
      <w:szCs w:val="20"/>
      <w:lang w:val="de-DE" w:eastAsia="de-DE"/>
    </w:rPr>
  </w:style>
  <w:style w:type="paragraph" w:styleId="983" w:customStyle="1">
    <w:name w:val="标题3"/>
    <w:basedOn w:val="733"/>
    <w:next w:val="733"/>
    <w:qFormat/>
    <w:pPr>
      <w:ind w:firstLine="624"/>
      <w:spacing w:line="590" w:lineRule="atLeast"/>
    </w:pPr>
    <w:rPr>
      <w:rFonts w:ascii="方正黑体_GBK" w:eastAsia="方正黑体_GBK"/>
      <w:sz w:val="32"/>
      <w:szCs w:val="32"/>
    </w:rPr>
  </w:style>
  <w:style w:type="paragraph" w:styleId="984" w:customStyle="1">
    <w:name w:val="Char"/>
    <w:basedOn w:val="751"/>
    <w:qFormat/>
    <w:rPr>
      <w:rFonts w:ascii="Tahoma" w:hAnsi="Tahoma"/>
      <w:sz w:val="24"/>
      <w:szCs w:val="24"/>
    </w:rPr>
  </w:style>
  <w:style w:type="paragraph" w:styleId="985" w:customStyle="1">
    <w:name w:val="xl27"/>
    <w:basedOn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Char1"/>
    <w:basedOn w:val="733"/>
    <w:qFormat/>
    <w:pPr>
      <w:ind w:firstLine="200"/>
      <w:tabs>
        <w:tab w:val="left" w:pos="360" w:leader="none"/>
      </w:tabs>
    </w:pPr>
    <w:rPr>
      <w:sz w:val="28"/>
      <w:szCs w:val="30"/>
    </w:rPr>
  </w:style>
  <w:style w:type="paragraph" w:styleId="987" w:customStyle="1">
    <w:name w:val="4"/>
    <w:basedOn w:val="733"/>
    <w:next w:val="774"/>
    <w:qFormat/>
    <w:pPr>
      <w:ind w:firstLine="420"/>
      <w:spacing w:line="360" w:lineRule="auto"/>
    </w:pPr>
    <w:rPr>
      <w:color w:val="ff0000"/>
      <w:sz w:val="24"/>
      <w:szCs w:val="24"/>
    </w:rPr>
  </w:style>
  <w:style w:type="paragraph" w:styleId="988" w:customStyle="1">
    <w:name w:val="附录1"/>
    <w:qFormat/>
    <w:pPr>
      <w:ind w:left="907" w:hanging="907"/>
      <w:spacing w:before="240" w:line="600" w:lineRule="atLeast"/>
      <w:tabs>
        <w:tab w:val="left" w:pos="907" w:leader="none"/>
      </w:tabs>
    </w:pPr>
    <w:rPr>
      <w:b/>
      <w:i/>
      <w:sz w:val="28"/>
    </w:rPr>
  </w:style>
  <w:style w:type="paragraph" w:styleId="989" w:customStyle="1">
    <w:name w:val="xl26"/>
    <w:basedOn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修订1"/>
    <w:uiPriority w:val="99"/>
    <w:semiHidden/>
    <w:qFormat/>
    <w:rPr>
      <w:sz w:val="21"/>
      <w:szCs w:val="21"/>
    </w:rPr>
  </w:style>
  <w:style w:type="paragraph" w:styleId="991" w:customStyle="1">
    <w:name w:val="Body Text(ch)"/>
    <w:basedOn w:val="733"/>
    <w:next w:val="754"/>
    <w:qFormat/>
    <w:pPr>
      <w:spacing w:after="120"/>
    </w:pPr>
    <w:rPr>
      <w:rFonts w:ascii="宋体" w:hAnsi="Arial"/>
      <w:bCs/>
      <w:iCs/>
      <w:szCs w:val="24"/>
    </w:rPr>
  </w:style>
  <w:style w:type="paragraph" w:styleId="992" w:customStyle="1">
    <w:name w:val="Char Char Char Char Char Char Char Char Char Char"/>
    <w:basedOn w:val="733"/>
    <w:qFormat/>
    <w:pPr>
      <w:spacing w:line="360" w:lineRule="auto"/>
    </w:pPr>
    <w:rPr>
      <w:sz w:val="24"/>
      <w:szCs w:val="20"/>
    </w:rPr>
  </w:style>
  <w:style w:type="paragraph" w:styleId="993" w:customStyle="1">
    <w:name w:val="font7"/>
    <w:basedOn w:val="733"/>
    <w:qFormat/>
    <w:pPr>
      <w:jc w:val="left"/>
      <w:spacing w:before="100" w:beforeAutospacing="1" w:after="100" w:afterAutospacing="1"/>
      <w:widowControl/>
    </w:pPr>
    <w:rPr>
      <w:rFonts w:hint="eastAsia" w:ascii="宋体" w:hAnsi="宋体"/>
      <w:sz w:val="18"/>
      <w:szCs w:val="18"/>
    </w:rPr>
  </w:style>
  <w:style w:type="paragraph" w:styleId="994" w:customStyle="1">
    <w:name w:val="普通 (Web)"/>
    <w:basedOn w:val="733"/>
    <w:qFormat/>
    <w:pPr>
      <w:jc w:val="left"/>
      <w:spacing w:before="100" w:beforeAutospacing="1" w:after="100" w:afterAutospacing="1"/>
      <w:widowControl/>
    </w:pPr>
    <w:rPr>
      <w:rFonts w:ascii="宋体" w:hAnsi="宋体"/>
      <w:sz w:val="24"/>
      <w:szCs w:val="24"/>
    </w:rPr>
  </w:style>
  <w:style w:type="paragraph" w:styleId="995" w:customStyle="1">
    <w:name w:val="样式1"/>
    <w:basedOn w:val="733"/>
    <w:qFormat/>
    <w:pPr>
      <w:numPr>
        <w:numId w:val="3"/>
      </w:numPr>
    </w:pPr>
    <w:rPr>
      <w:rFonts w:ascii="宋体" w:hAnsi="宋体"/>
    </w:rPr>
  </w:style>
  <w:style w:type="paragraph" w:styleId="996" w:customStyle="1">
    <w:name w:val="font6"/>
    <w:basedOn w:val="733"/>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3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33"/>
    <w:next w:val="73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4"/>
    <w:basedOn w:val="7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3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33"/>
    <w:qFormat/>
    <w:pPr>
      <w:jc w:val="left"/>
      <w:spacing w:after="160" w:line="240" w:lineRule="exact"/>
      <w:widowControl/>
    </w:pPr>
    <w:rPr>
      <w:rFonts w:ascii="Verdana" w:hAnsi="Verdana"/>
      <w:sz w:val="20"/>
      <w:szCs w:val="20"/>
      <w:lang w:eastAsia="en-US"/>
    </w:rPr>
  </w:style>
  <w:style w:type="paragraph" w:styleId="1002" w:customStyle="1">
    <w:name w:val="xl28"/>
    <w:basedOn w:val="7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1"/>
    <w:basedOn w:val="733"/>
    <w:qFormat/>
    <w:pPr>
      <w:jc w:val="left"/>
      <w:spacing w:after="160" w:line="240" w:lineRule="exact"/>
      <w:widowControl/>
    </w:pPr>
    <w:rPr>
      <w:rFonts w:ascii="Verdana" w:hAnsi="Verdana"/>
      <w:sz w:val="20"/>
      <w:szCs w:val="20"/>
      <w:lang w:eastAsia="en-US"/>
    </w:rPr>
  </w:style>
  <w:style w:type="paragraph" w:styleId="1004" w:customStyle="1">
    <w:name w:val="xl30"/>
    <w:basedOn w:val="733"/>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751"/>
    <w:qFormat/>
    <w:pPr>
      <w:spacing w:line="360" w:lineRule="auto"/>
    </w:pPr>
    <w:rPr>
      <w:rFonts w:ascii="Tahoma" w:hAnsi="Tahoma"/>
      <w:sz w:val="24"/>
      <w:szCs w:val="24"/>
    </w:rPr>
  </w:style>
  <w:style w:type="paragraph" w:styleId="1006" w:customStyle="1">
    <w:name w:val="table_1stline"/>
    <w:basedOn w:val="733"/>
    <w:qFormat/>
    <w:pPr>
      <w:jc w:val="left"/>
      <w:spacing w:before="120"/>
      <w:widowControl/>
    </w:pPr>
    <w:rPr>
      <w:bCs/>
      <w:sz w:val="20"/>
      <w:szCs w:val="20"/>
      <w:lang w:val="de-DE" w:eastAsia="de-DE"/>
    </w:rPr>
  </w:style>
  <w:style w:type="paragraph" w:styleId="1007" w:customStyle="1">
    <w:name w:val="font5"/>
    <w:basedOn w:val="733"/>
    <w:qFormat/>
    <w:pPr>
      <w:jc w:val="left"/>
      <w:spacing w:before="100" w:beforeAutospacing="1" w:after="100" w:afterAutospacing="1"/>
      <w:widowControl/>
    </w:pPr>
    <w:rPr>
      <w:rFonts w:hint="eastAsia" w:ascii="宋体" w:hAnsi="宋体"/>
      <w:sz w:val="28"/>
      <w:szCs w:val="28"/>
    </w:rPr>
  </w:style>
  <w:style w:type="paragraph" w:styleId="1008" w:customStyle="1">
    <w:name w:val="纯文本1"/>
    <w:basedOn w:val="733"/>
    <w:qFormat/>
    <w:rPr>
      <w:rFonts w:ascii="宋体" w:hAnsi="Courier New" w:cs="Courier New"/>
    </w:rPr>
  </w:style>
  <w:style w:type="paragraph" w:styleId="1009" w:customStyle="1">
    <w:name w:val="Body Text First Indent 21"/>
    <w:basedOn w:val="1010"/>
    <w:qFormat/>
    <w:pPr>
      <w:ind w:left="420" w:firstLine="420"/>
      <w:spacing w:after="120" w:line="240" w:lineRule="auto"/>
    </w:pPr>
    <w:rPr>
      <w:sz w:val="21"/>
    </w:rPr>
  </w:style>
  <w:style w:type="paragraph" w:styleId="1010" w:customStyle="1">
    <w:name w:val="Body Text Indent1"/>
    <w:basedOn w:val="733"/>
    <w:next w:val="1011"/>
    <w:qFormat/>
    <w:pPr>
      <w:ind w:firstLine="515"/>
      <w:spacing w:line="400" w:lineRule="exact"/>
    </w:pPr>
    <w:rPr>
      <w:rFonts w:ascii="楷体_GB2312" w:eastAsia="楷体_GB2312"/>
      <w:b/>
      <w:bCs/>
      <w:sz w:val="24"/>
      <w:szCs w:val="24"/>
    </w:rPr>
  </w:style>
  <w:style w:type="paragraph" w:styleId="1011" w:customStyle="1">
    <w:name w:val="envelope return1"/>
    <w:basedOn w:val="733"/>
    <w:qFormat/>
    <w:rPr>
      <w:rFonts w:ascii="Arial" w:hAnsi="Arial"/>
    </w:rPr>
  </w:style>
  <w:style w:type="paragraph" w:styleId="1012" w:customStyle="1">
    <w:name w:val="正文缩进1"/>
    <w:basedOn w:val="733"/>
    <w:qFormat/>
    <w:pPr>
      <w:ind w:firstLine="420"/>
    </w:pPr>
  </w:style>
  <w:style w:type="paragraph" w:styleId="1013" w:customStyle="1">
    <w:name w:val="标题 21"/>
    <w:basedOn w:val="733"/>
    <w:next w:val="1012"/>
    <w:qFormat/>
    <w:pPr>
      <w:jc w:val="center"/>
      <w:keepLines/>
      <w:keepNext/>
      <w:spacing w:before="260" w:after="260" w:line="416" w:lineRule="auto"/>
      <w:outlineLvl w:val="1"/>
    </w:pPr>
    <w:rPr>
      <w:rFonts w:ascii="Arial" w:hAnsi="Arial" w:eastAsia="幼圆" w:cs="Arial"/>
      <w:b/>
      <w:bCs/>
      <w:sz w:val="44"/>
      <w:szCs w:val="44"/>
    </w:rPr>
  </w:style>
  <w:style w:type="character" w:styleId="1014" w:customStyle="1">
    <w:name w:val="font21"/>
    <w:qFormat/>
    <w:rPr>
      <w:rFonts w:ascii="Times New Roman" w:hAnsi="Times New Roman" w:cs="Times New Roman"/>
      <w:color w:val="000000"/>
      <w:sz w:val="24"/>
      <w:szCs w:val="24"/>
      <w:u w:val="none"/>
    </w:rPr>
  </w:style>
  <w:style w:type="character" w:styleId="1015" w:customStyle="1">
    <w:name w:val="font11"/>
    <w:qFormat/>
    <w:rPr>
      <w:rFonts w:hint="eastAsia" w:ascii="宋体" w:hAnsi="宋体" w:eastAsia="宋体" w:cs="宋体"/>
      <w:color w:val="000000"/>
      <w:sz w:val="24"/>
      <w:szCs w:val="24"/>
      <w:u w:val="none"/>
    </w:rPr>
  </w:style>
  <w:style w:type="character" w:styleId="1016" w:customStyle="1">
    <w:name w:val="font51"/>
    <w:qFormat/>
    <w:rPr>
      <w:rFonts w:hint="eastAsia" w:ascii="宋体" w:hAnsi="宋体" w:eastAsia="宋体" w:cs="宋体"/>
      <w:color w:val="000000"/>
      <w:sz w:val="24"/>
      <w:szCs w:val="24"/>
      <w:u w:val="none"/>
    </w:rPr>
  </w:style>
  <w:style w:type="table" w:styleId="1017" w:customStyle="1">
    <w:name w:val="Table Normal"/>
    <w:unhideWhenUsed/>
    <w:qFormat/>
    <w:rPr>
      <w:rFonts w:ascii="Arial" w:hAnsi="Arial" w:cs="Arial"/>
    </w:rPr>
    <w:tblPr>
      <w:tblCellMar>
        <w:left w:w="0" w:type="dxa"/>
        <w:top w:w="0" w:type="dxa"/>
        <w:right w:w="0" w:type="dxa"/>
        <w:bottom w:w="0" w:type="dxa"/>
      </w:tblCellMar>
    </w:tblPr>
  </w:style>
  <w:style w:type="paragraph" w:styleId="1018" w:customStyle="1">
    <w:name w:val="Table Text"/>
    <w:basedOn w:val="733"/>
    <w:semiHidden/>
    <w:qFormat/>
    <w:pPr>
      <w:jc w:val="left"/>
      <w:widowControl/>
    </w:pPr>
    <w:rPr>
      <w:rFonts w:ascii="微软雅黑" w:hAnsi="微软雅黑" w:eastAsia="微软雅黑" w:cs="微软雅黑"/>
      <w:color w:val="000000"/>
      <w:sz w:val="18"/>
      <w:szCs w:val="18"/>
      <w:lang w:eastAsia="en-US"/>
    </w:rPr>
  </w:style>
  <w:style w:type="paragraph" w:styleId="1019" w:customStyle="1">
    <w:name w:val="正文_10_1_0"/>
    <w:qFormat/>
    <w:pPr>
      <w:jc w:val="both"/>
      <w:widowControl w:val="off"/>
    </w:pPr>
    <w:rPr>
      <w:sz w:val="21"/>
      <w:szCs w:val="24"/>
    </w:rPr>
  </w:style>
  <w:style w:type="paragraph" w:styleId="1020" w:customStyle="1">
    <w:name w:val="Normal_17_0"/>
    <w:qFormat/>
    <w:rPr>
      <w:rFonts w:ascii="黑体" w:hAnsi="黑体" w:eastAsia="黑体"/>
      <w:b/>
      <w:sz w:val="32"/>
      <w:szCs w:val="24"/>
    </w:rPr>
  </w:style>
  <w:style w:type="paragraph" w:styleId="1021" w:customStyle="1">
    <w:name w:val="正文_18"/>
    <w:qFormat/>
    <w:pPr>
      <w:jc w:val="both"/>
      <w:widowControl w:val="off"/>
    </w:pPr>
    <w:rPr>
      <w:sz w:val="21"/>
      <w:szCs w:val="22"/>
    </w:rPr>
  </w:style>
  <w:style w:type="paragraph" w:styleId="1022" w:customStyle="1">
    <w:name w:val="正文_14_0_0"/>
    <w:qFormat/>
    <w:pPr>
      <w:jc w:val="both"/>
      <w:widowControl w:val="off"/>
    </w:pPr>
    <w:rPr>
      <w:sz w:val="21"/>
      <w:szCs w:val="24"/>
    </w:rPr>
  </w:style>
  <w:style w:type="paragraph" w:styleId="1023" w:customStyle="1">
    <w:name w:val="正文_7_1_0"/>
    <w:qFormat/>
    <w:pPr>
      <w:jc w:val="both"/>
      <w:widowControl w:val="off"/>
    </w:pPr>
    <w:rPr>
      <w:sz w:val="21"/>
      <w:szCs w:val="22"/>
    </w:rPr>
  </w:style>
  <w:style w:type="paragraph" w:styleId="1024" w:customStyle="1">
    <w:name w:val="纯文本_0_0"/>
    <w:basedOn w:val="1023"/>
    <w:unhideWhenUsed/>
    <w:qFormat/>
    <w:rPr>
      <w:rFonts w:ascii="宋体" w:hAnsi="Courier New"/>
      <w:szCs w:val="21"/>
    </w:rPr>
  </w:style>
  <w:style w:type="paragraph" w:styleId="1025" w:customStyle="1">
    <w:name w:val="正文_12_0"/>
    <w:qFormat/>
    <w:pPr>
      <w:jc w:val="both"/>
      <w:widowControl w:val="off"/>
    </w:pPr>
    <w:rPr>
      <w:sz w:val="21"/>
      <w:szCs w:val="22"/>
    </w:rPr>
  </w:style>
  <w:style w:type="paragraph" w:styleId="1026" w:customStyle="1">
    <w:name w:val="正文首行缩进 21"/>
    <w:basedOn w:val="1027"/>
    <w:qFormat/>
    <w:pPr>
      <w:ind w:firstLine="420"/>
    </w:pPr>
  </w:style>
  <w:style w:type="paragraph" w:styleId="1027" w:customStyle="1">
    <w:name w:val="正文文本缩进1"/>
    <w:basedOn w:val="733"/>
    <w:qFormat/>
    <w:pPr>
      <w:ind w:left="420"/>
      <w:spacing w:after="120"/>
    </w:pPr>
  </w:style>
  <w:style w:type="paragraph" w:styleId="1028" w:customStyle="1">
    <w:name w:val="彩色列表1"/>
    <w:basedOn w:val="733"/>
    <w:qFormat/>
    <w:pPr>
      <w:ind w:firstLine="420"/>
    </w:pPr>
  </w:style>
  <w:style w:type="paragraph" w:styleId="1029" w:customStyle="1">
    <w:name w:val="正文文本1"/>
    <w:basedOn w:val="733"/>
    <w:next w:val="733"/>
    <w:qFormat/>
    <w:pPr>
      <w:spacing w:line="60" w:lineRule="auto"/>
    </w:pPr>
    <w:rPr>
      <w:rFonts w:ascii="仿宋_GB2312" w:eastAsia="仿宋_GB2312"/>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702B461-A0EA-4FB5-94F5-A83896FE50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一个</dc:creator>
  <cp:lastModifiedBy>梅军</cp:lastModifiedBy>
  <cp:revision>40</cp:revision>
  <dcterms:created xsi:type="dcterms:W3CDTF">2025-05-16T02:17:00Z</dcterms:created>
  <dcterms:modified xsi:type="dcterms:W3CDTF">2025-12-30T08:27:37Z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eyJoZGlkIjoiNmRjMTg3ZjVkMjAxODI5YzAxMWEwNjQ0YmJlMTYwMjgiLCJ1c2VySWQiOiI1NTAwODM5MzUifQ==</vt:lpwstr>
  </property>
  <property fmtid="{D5CDD505-2E9C-101B-9397-08002B2CF9AE}" pid="3" name="KSOProductBuildVer">
    <vt:lpwstr>2052-12.1.0.24034</vt:lpwstr>
  </property>
  <property fmtid="{D5CDD505-2E9C-101B-9397-08002B2CF9AE}" pid="4" name="ICV">
    <vt:lpwstr>9F93F0150AE148A8BEB876D7C9B0B5EE_13</vt:lpwstr>
  </property>
</Properties>
</file>