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72EB8">
      <w:pPr>
        <w:spacing w:before="120" w:after="120" w:line="360" w:lineRule="auto"/>
        <w:jc w:val="center"/>
        <w:rPr>
          <w:rFonts w:hint="eastAsia" w:ascii="黑体" w:hAnsi="黑体" w:eastAsia="黑体"/>
          <w:bCs/>
          <w:color w:val="auto"/>
          <w:sz w:val="72"/>
          <w:szCs w:val="24"/>
          <w:highlight w:val="none"/>
        </w:rPr>
      </w:pPr>
    </w:p>
    <w:p w14:paraId="4ADD6A14">
      <w:pPr>
        <w:spacing w:before="120" w:after="120" w:line="360" w:lineRule="auto"/>
        <w:jc w:val="center"/>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招 标 文 件</w:t>
      </w:r>
    </w:p>
    <w:p w14:paraId="1EBCBF05">
      <w:pPr>
        <w:spacing w:before="120" w:after="120" w:line="360" w:lineRule="auto"/>
        <w:ind w:firstLine="2249"/>
        <w:jc w:val="left"/>
        <w:rPr>
          <w:rFonts w:hint="eastAsia" w:ascii="黑体" w:hAnsi="黑体" w:eastAsia="黑体"/>
          <w:b/>
          <w:bCs/>
          <w:color w:val="auto"/>
          <w:sz w:val="32"/>
          <w:szCs w:val="24"/>
          <w:highlight w:val="none"/>
        </w:rPr>
      </w:pPr>
    </w:p>
    <w:p w14:paraId="79039E2E">
      <w:pPr>
        <w:spacing w:before="120" w:after="120" w:line="480" w:lineRule="auto"/>
        <w:jc w:val="center"/>
        <w:rPr>
          <w:rFonts w:hint="eastAsia" w:ascii="黑体" w:hAnsi="黑体" w:eastAsia="黑体"/>
          <w:bCs/>
          <w:color w:val="auto"/>
          <w:spacing w:val="-17"/>
          <w:sz w:val="40"/>
          <w:szCs w:val="40"/>
          <w:highlight w:val="none"/>
          <w:lang w:eastAsia="zh-CN"/>
        </w:rPr>
      </w:pPr>
      <w:r>
        <w:rPr>
          <w:rFonts w:hint="eastAsia" w:ascii="黑体" w:hAnsi="黑体" w:eastAsia="黑体"/>
          <w:bCs/>
          <w:color w:val="auto"/>
          <w:spacing w:val="-17"/>
          <w:sz w:val="40"/>
          <w:szCs w:val="40"/>
          <w:highlight w:val="none"/>
        </w:rPr>
        <w:t>项目名称：</w:t>
      </w:r>
      <w:r>
        <w:rPr>
          <w:rFonts w:hint="eastAsia" w:ascii="黑体" w:hAnsi="黑体" w:eastAsia="黑体"/>
          <w:bCs/>
          <w:color w:val="auto"/>
          <w:spacing w:val="-17"/>
          <w:sz w:val="40"/>
          <w:szCs w:val="40"/>
          <w:highlight w:val="none"/>
          <w:lang w:eastAsia="zh-CN"/>
        </w:rPr>
        <w:t>盐城市阜宁生态环境局16个乡镇（街道）</w:t>
      </w:r>
    </w:p>
    <w:p w14:paraId="0134C6BB">
      <w:pPr>
        <w:spacing w:before="120" w:after="120" w:line="480" w:lineRule="auto"/>
        <w:jc w:val="center"/>
        <w:rPr>
          <w:rFonts w:hint="eastAsia" w:ascii="黑体" w:hAnsi="黑体" w:eastAsia="黑体"/>
          <w:bCs/>
          <w:color w:val="auto"/>
          <w:sz w:val="40"/>
          <w:szCs w:val="40"/>
          <w:highlight w:val="none"/>
          <w:lang w:eastAsia="zh-CN"/>
        </w:rPr>
      </w:pPr>
      <w:r>
        <w:rPr>
          <w:rFonts w:hint="eastAsia" w:ascii="黑体" w:hAnsi="黑体" w:eastAsia="黑体"/>
          <w:bCs/>
          <w:color w:val="auto"/>
          <w:spacing w:val="-17"/>
          <w:sz w:val="40"/>
          <w:szCs w:val="40"/>
          <w:highlight w:val="none"/>
          <w:lang w:eastAsia="zh-CN"/>
        </w:rPr>
        <w:t>空气质量监测站运维服务</w:t>
      </w:r>
    </w:p>
    <w:p w14:paraId="422E4C47">
      <w:pPr>
        <w:spacing w:before="120" w:after="120" w:line="480" w:lineRule="auto"/>
        <w:ind w:firstLine="400" w:firstLineChars="100"/>
        <w:jc w:val="both"/>
        <w:rPr>
          <w:rFonts w:hint="eastAsia" w:ascii="黑体" w:hAnsi="黑体" w:eastAsia="黑体"/>
          <w:bCs/>
          <w:color w:val="auto"/>
          <w:spacing w:val="-17"/>
          <w:sz w:val="40"/>
          <w:szCs w:val="40"/>
          <w:highlight w:val="none"/>
          <w:lang w:eastAsia="zh-CN"/>
        </w:rPr>
      </w:pPr>
      <w:r>
        <w:rPr>
          <w:rFonts w:hint="eastAsia" w:ascii="黑体" w:hAnsi="黑体" w:eastAsia="黑体"/>
          <w:bCs/>
          <w:color w:val="auto"/>
          <w:sz w:val="40"/>
          <w:szCs w:val="40"/>
          <w:highlight w:val="none"/>
        </w:rPr>
        <w:t>项目编号</w:t>
      </w:r>
      <w:r>
        <w:rPr>
          <w:rFonts w:hint="eastAsia" w:ascii="黑体" w:hAnsi="黑体" w:eastAsia="黑体"/>
          <w:bCs/>
          <w:color w:val="auto"/>
          <w:spacing w:val="-17"/>
          <w:sz w:val="40"/>
          <w:szCs w:val="40"/>
          <w:highlight w:val="none"/>
          <w:lang w:eastAsia="zh-CN"/>
        </w:rPr>
        <w:t>：JSZC-320923-SWGC-G2026-0061</w:t>
      </w:r>
    </w:p>
    <w:p w14:paraId="645E5965">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p>
    <w:p w14:paraId="37CD94BF">
      <w:pPr>
        <w:spacing w:line="360" w:lineRule="auto"/>
        <w:jc w:val="left"/>
        <w:rPr>
          <w:rFonts w:hint="eastAsia" w:ascii="宋体" w:hAnsi="宋体"/>
          <w:color w:val="auto"/>
          <w:sz w:val="24"/>
          <w:szCs w:val="24"/>
          <w:highlight w:val="none"/>
        </w:rPr>
      </w:pPr>
    </w:p>
    <w:p w14:paraId="2638804B">
      <w:pPr>
        <w:spacing w:line="360" w:lineRule="auto"/>
        <w:jc w:val="left"/>
        <w:rPr>
          <w:rFonts w:hint="eastAsia" w:ascii="宋体" w:hAnsi="宋体"/>
          <w:color w:val="auto"/>
          <w:sz w:val="24"/>
          <w:szCs w:val="24"/>
          <w:highlight w:val="none"/>
        </w:rPr>
      </w:pPr>
    </w:p>
    <w:p w14:paraId="396E10E0">
      <w:pPr>
        <w:spacing w:before="120" w:after="120" w:line="600" w:lineRule="auto"/>
        <w:jc w:val="both"/>
        <w:rPr>
          <w:rFonts w:hint="eastAsia" w:ascii="黑体" w:hAnsi="黑体" w:eastAsia="黑体"/>
          <w:bCs/>
          <w:color w:val="auto"/>
          <w:sz w:val="36"/>
          <w:szCs w:val="24"/>
          <w:highlight w:val="none"/>
        </w:rPr>
      </w:pPr>
    </w:p>
    <w:p w14:paraId="7CD43564">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rPr>
        <w:t>采购单位：</w:t>
      </w:r>
      <w:r>
        <w:rPr>
          <w:rStyle w:val="323"/>
          <w:rFonts w:hint="eastAsia" w:ascii="黑体" w:hAnsi="黑体" w:eastAsia="黑体"/>
          <w:color w:val="auto"/>
          <w:sz w:val="36"/>
          <w:szCs w:val="30"/>
          <w:highlight w:val="none"/>
          <w:lang w:eastAsia="zh-CN"/>
        </w:rPr>
        <w:t>盐城市阜宁生态环境局</w:t>
      </w:r>
    </w:p>
    <w:p w14:paraId="4F4502C6">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2026年</w:t>
      </w:r>
      <w:r>
        <w:rPr>
          <w:rFonts w:hint="eastAsia" w:ascii="黑体" w:hAnsi="黑体" w:eastAsia="黑体"/>
          <w:bCs/>
          <w:color w:val="auto"/>
          <w:sz w:val="36"/>
          <w:szCs w:val="24"/>
          <w:highlight w:val="none"/>
          <w:lang w:val="en-US" w:eastAsia="zh-CN"/>
        </w:rPr>
        <w:t>05</w:t>
      </w:r>
      <w:r>
        <w:rPr>
          <w:rFonts w:hint="eastAsia" w:ascii="黑体" w:hAnsi="黑体" w:eastAsia="黑体"/>
          <w:bCs/>
          <w:color w:val="auto"/>
          <w:sz w:val="36"/>
          <w:szCs w:val="24"/>
          <w:highlight w:val="none"/>
          <w:lang w:eastAsia="zh-CN"/>
        </w:rPr>
        <w:t>月</w:t>
      </w:r>
      <w:r>
        <w:rPr>
          <w:rFonts w:hint="eastAsia" w:ascii="黑体" w:hAnsi="黑体" w:eastAsia="黑体"/>
          <w:bCs/>
          <w:color w:val="auto"/>
          <w:sz w:val="36"/>
          <w:szCs w:val="24"/>
          <w:highlight w:val="none"/>
          <w:lang w:val="en-US" w:eastAsia="zh-CN"/>
        </w:rPr>
        <w:t>09</w:t>
      </w:r>
      <w:r>
        <w:rPr>
          <w:rFonts w:hint="eastAsia" w:ascii="黑体" w:hAnsi="黑体" w:eastAsia="黑体"/>
          <w:bCs/>
          <w:color w:val="auto"/>
          <w:sz w:val="36"/>
          <w:szCs w:val="24"/>
          <w:highlight w:val="none"/>
          <w:lang w:eastAsia="zh-CN"/>
        </w:rPr>
        <w:t>日</w:t>
      </w:r>
    </w:p>
    <w:p w14:paraId="427C40CE">
      <w:pPr>
        <w:rPr>
          <w:color w:val="auto"/>
          <w:highlight w:val="none"/>
        </w:rPr>
      </w:pPr>
    </w:p>
    <w:p w14:paraId="2E887663">
      <w:pPr>
        <w:rPr>
          <w:color w:val="auto"/>
          <w:highlight w:val="none"/>
        </w:rPr>
      </w:pPr>
    </w:p>
    <w:p w14:paraId="7F10B28D">
      <w:pPr>
        <w:rPr>
          <w:color w:val="auto"/>
          <w:highlight w:val="none"/>
        </w:rPr>
      </w:pPr>
    </w:p>
    <w:p w14:paraId="308A53C6">
      <w:pPr>
        <w:jc w:val="center"/>
        <w:rPr>
          <w:rFonts w:ascii="黑体" w:hAnsi="Arial" w:eastAsia="黑体"/>
          <w:b/>
          <w:color w:val="auto"/>
          <w:sz w:val="44"/>
          <w:szCs w:val="21"/>
          <w:highlight w:val="none"/>
        </w:rPr>
      </w:pPr>
    </w:p>
    <w:p w14:paraId="68E91E9C">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总  目  录</w:t>
      </w:r>
    </w:p>
    <w:p w14:paraId="5EE247EE">
      <w:pPr>
        <w:jc w:val="center"/>
        <w:rPr>
          <w:rFonts w:ascii="黑体" w:hAnsi="Arial" w:eastAsia="黑体"/>
          <w:b/>
          <w:color w:val="auto"/>
          <w:sz w:val="44"/>
          <w:szCs w:val="21"/>
          <w:highlight w:val="none"/>
        </w:rPr>
      </w:pPr>
    </w:p>
    <w:p w14:paraId="5F72E5E1">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第一章  招标公告</w:t>
      </w:r>
    </w:p>
    <w:p w14:paraId="0C5CBB16">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21"/>
          <w:highlight w:val="none"/>
        </w:rPr>
        <w:t xml:space="preserve"> </w:t>
      </w:r>
    </w:p>
    <w:p w14:paraId="0F2B7B2E">
      <w:pPr>
        <w:spacing w:line="480" w:lineRule="auto"/>
        <w:ind w:firstLine="720"/>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第三章  合同文本</w:t>
      </w:r>
    </w:p>
    <w:p w14:paraId="7F2A6C42">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第四章  采购需求</w:t>
      </w:r>
    </w:p>
    <w:p w14:paraId="0043B5E9">
      <w:pPr>
        <w:spacing w:line="480" w:lineRule="auto"/>
        <w:ind w:firstLine="720"/>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评标方法与评标标准</w:t>
      </w:r>
    </w:p>
    <w:p w14:paraId="4E9685AD">
      <w:pPr>
        <w:spacing w:line="480" w:lineRule="auto"/>
        <w:ind w:firstLine="720"/>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投标文件格式</w:t>
      </w:r>
    </w:p>
    <w:p w14:paraId="246017CF">
      <w:pPr>
        <w:spacing w:line="720" w:lineRule="auto"/>
        <w:ind w:firstLine="720"/>
        <w:rPr>
          <w:rFonts w:hint="eastAsia" w:ascii="黑体" w:hAnsi="宋体" w:eastAsia="黑体"/>
          <w:color w:val="auto"/>
          <w:sz w:val="36"/>
          <w:szCs w:val="21"/>
          <w:highlight w:val="none"/>
        </w:rPr>
      </w:pPr>
    </w:p>
    <w:p w14:paraId="799F2E32">
      <w:pPr>
        <w:spacing w:line="720" w:lineRule="auto"/>
        <w:ind w:firstLine="720"/>
        <w:rPr>
          <w:rFonts w:hint="eastAsia" w:ascii="黑体" w:hAnsi="宋体" w:eastAsia="黑体"/>
          <w:color w:val="auto"/>
          <w:sz w:val="36"/>
          <w:szCs w:val="21"/>
          <w:highlight w:val="none"/>
        </w:rPr>
      </w:pPr>
    </w:p>
    <w:p w14:paraId="041B6A50">
      <w:pPr>
        <w:keepNext/>
        <w:spacing w:line="360" w:lineRule="auto"/>
        <w:jc w:val="center"/>
        <w:outlineLvl w:val="0"/>
        <w:rPr>
          <w:rFonts w:ascii="黑体" w:eastAsia="黑体"/>
          <w:bCs/>
          <w:color w:val="auto"/>
          <w:sz w:val="44"/>
          <w:szCs w:val="44"/>
          <w:highlight w:val="none"/>
        </w:rPr>
      </w:pPr>
      <w:r>
        <w:rPr>
          <w:rFonts w:ascii="黑体" w:eastAsia="黑体"/>
          <w:color w:val="auto"/>
          <w:sz w:val="44"/>
          <w:szCs w:val="44"/>
          <w:highlight w:val="none"/>
        </w:rPr>
        <w:br w:type="page" w:clear="all"/>
      </w:r>
      <w:r>
        <w:rPr>
          <w:rFonts w:hint="eastAsia" w:ascii="黑体" w:eastAsia="黑体"/>
          <w:color w:val="auto"/>
          <w:sz w:val="44"/>
          <w:szCs w:val="44"/>
          <w:highlight w:val="none"/>
        </w:rPr>
        <w:t>第一章 招标公告</w:t>
      </w:r>
    </w:p>
    <w:p w14:paraId="77283765">
      <w:pPr>
        <w:pBdr>
          <w:top w:val="single" w:color="000000" w:sz="4" w:space="1"/>
          <w:left w:val="single" w:color="000000" w:sz="4" w:space="4"/>
          <w:bottom w:val="single" w:color="000000" w:sz="4" w:space="1"/>
          <w:right w:val="single" w:color="000000" w:sz="4" w:space="4"/>
        </w:pBdr>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项目概况</w:t>
      </w:r>
    </w:p>
    <w:p w14:paraId="3BBC2DBA">
      <w:pPr>
        <w:pBdr>
          <w:top w:val="single" w:color="000000" w:sz="4" w:space="1"/>
          <w:left w:val="single" w:color="000000" w:sz="4" w:space="4"/>
          <w:bottom w:val="single" w:color="000000" w:sz="4" w:space="1"/>
          <w:right w:val="single" w:color="000000" w:sz="4" w:space="4"/>
        </w:pBd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u w:val="single"/>
          <w:lang w:eastAsia="zh-CN"/>
        </w:rPr>
        <w:t>盐城市阜宁生态环境局16个乡镇（街道）空气质量监测站运维服务</w:t>
      </w:r>
      <w:r>
        <w:rPr>
          <w:rFonts w:hint="eastAsia" w:ascii="宋体" w:hAnsi="宋体"/>
          <w:color w:val="auto"/>
          <w:sz w:val="24"/>
          <w:szCs w:val="24"/>
          <w:highlight w:val="none"/>
        </w:rPr>
        <w:t>招标项目的潜在投标人</w:t>
      </w:r>
      <w:r>
        <w:rPr>
          <w:rFonts w:hint="eastAsia" w:ascii="宋体" w:hAnsi="宋体"/>
          <w:color w:val="auto"/>
          <w:sz w:val="24"/>
          <w:szCs w:val="24"/>
          <w:highlight w:val="none"/>
          <w:lang w:val="en-US" w:eastAsia="zh-CN"/>
        </w:rPr>
        <w:t>应</w:t>
      </w:r>
      <w:r>
        <w:rPr>
          <w:rFonts w:hint="eastAsia" w:ascii="宋体" w:hAnsi="宋体"/>
          <w:color w:val="auto"/>
          <w:sz w:val="24"/>
          <w:szCs w:val="24"/>
          <w:highlight w:val="none"/>
        </w:rPr>
        <w:t>在“苏采云”系统内免费下载（投标人必须在苏采云系统中获取采购文件，方能参与政府采购项目），并于</w:t>
      </w:r>
      <w:r>
        <w:rPr>
          <w:rFonts w:hint="eastAsia" w:ascii="宋体" w:hAnsi="宋体"/>
          <w:color w:val="auto"/>
          <w:sz w:val="24"/>
          <w:szCs w:val="24"/>
          <w:highlight w:val="none"/>
          <w:u w:val="single"/>
          <w:lang w:eastAsia="zh-CN"/>
        </w:rPr>
        <w:t>2026年0</w:t>
      </w:r>
      <w:r>
        <w:rPr>
          <w:rFonts w:hint="eastAsia" w:ascii="宋体" w:hAnsi="宋体"/>
          <w:color w:val="auto"/>
          <w:sz w:val="24"/>
          <w:szCs w:val="24"/>
          <w:highlight w:val="none"/>
          <w:u w:val="single"/>
          <w:lang w:val="en-US" w:eastAsia="zh-CN"/>
        </w:rPr>
        <w:t>6</w:t>
      </w:r>
      <w:r>
        <w:rPr>
          <w:rFonts w:hint="eastAsia" w:ascii="宋体" w:hAnsi="宋体"/>
          <w:color w:val="auto"/>
          <w:sz w:val="24"/>
          <w:szCs w:val="24"/>
          <w:highlight w:val="none"/>
          <w:u w:val="single"/>
          <w:lang w:eastAsia="zh-CN"/>
        </w:rPr>
        <w:t>月</w:t>
      </w:r>
      <w:r>
        <w:rPr>
          <w:rFonts w:hint="eastAsia" w:ascii="宋体" w:hAnsi="宋体"/>
          <w:color w:val="auto"/>
          <w:sz w:val="24"/>
          <w:szCs w:val="24"/>
          <w:highlight w:val="none"/>
          <w:u w:val="single"/>
          <w:lang w:val="en-US" w:eastAsia="zh-CN"/>
        </w:rPr>
        <w:t>01</w:t>
      </w:r>
      <w:r>
        <w:rPr>
          <w:rFonts w:hint="eastAsia" w:ascii="宋体" w:hAnsi="宋体"/>
          <w:color w:val="auto"/>
          <w:sz w:val="24"/>
          <w:szCs w:val="24"/>
          <w:highlight w:val="none"/>
          <w:u w:val="single"/>
          <w:lang w:eastAsia="zh-CN"/>
        </w:rPr>
        <w:t>日</w:t>
      </w:r>
      <w:r>
        <w:rPr>
          <w:rFonts w:hint="eastAsia" w:ascii="宋体" w:hAnsi="宋体"/>
          <w:color w:val="auto"/>
          <w:sz w:val="24"/>
          <w:szCs w:val="24"/>
          <w:highlight w:val="none"/>
          <w:u w:val="single"/>
          <w:lang w:val="en-US" w:eastAsia="zh-CN"/>
        </w:rPr>
        <w:t>09</w:t>
      </w:r>
      <w:r>
        <w:rPr>
          <w:rFonts w:hint="eastAsia" w:ascii="宋体" w:hAnsi="宋体"/>
          <w:color w:val="auto"/>
          <w:sz w:val="24"/>
          <w:szCs w:val="24"/>
          <w:highlight w:val="none"/>
          <w:u w:val="single"/>
          <w:lang w:eastAsia="zh-CN"/>
        </w:rPr>
        <w:t>点00分</w:t>
      </w:r>
      <w:r>
        <w:rPr>
          <w:rFonts w:hint="eastAsia" w:ascii="宋体" w:hAnsi="宋体"/>
          <w:bCs/>
          <w:color w:val="auto"/>
          <w:sz w:val="24"/>
          <w:szCs w:val="24"/>
          <w:highlight w:val="none"/>
          <w:u w:val="single"/>
        </w:rPr>
        <w:t>（</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672AB000">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
          <w:color w:val="auto"/>
          <w:sz w:val="24"/>
          <w:szCs w:val="24"/>
          <w:highlight w:val="none"/>
        </w:rPr>
      </w:pPr>
      <w:bookmarkStart w:id="0" w:name="_Toc28359079"/>
      <w:bookmarkStart w:id="1" w:name="_Toc35393621"/>
      <w:bookmarkStart w:id="2" w:name="_Toc35393790"/>
      <w:bookmarkStart w:id="3" w:name="_Toc38985263"/>
      <w:bookmarkStart w:id="4" w:name="_Toc28359002"/>
      <w:bookmarkStart w:id="5" w:name="_Hlk24379207"/>
      <w:r>
        <w:rPr>
          <w:rFonts w:hint="eastAsia" w:ascii="宋体" w:hAnsi="宋体"/>
          <w:b/>
          <w:color w:val="auto"/>
          <w:sz w:val="24"/>
          <w:szCs w:val="24"/>
          <w:highlight w:val="none"/>
        </w:rPr>
        <w:t>一、项目基本情况</w:t>
      </w:r>
      <w:bookmarkEnd w:id="0"/>
      <w:bookmarkEnd w:id="1"/>
      <w:bookmarkEnd w:id="2"/>
      <w:bookmarkEnd w:id="3"/>
      <w:bookmarkEnd w:id="4"/>
    </w:p>
    <w:bookmarkEnd w:id="5"/>
    <w:p w14:paraId="1A3E8DD4">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olor w:val="auto"/>
          <w:sz w:val="24"/>
          <w:szCs w:val="24"/>
          <w:highlight w:val="none"/>
          <w:lang w:eastAsia="zh-CN"/>
        </w:rPr>
      </w:pPr>
      <w:bookmarkStart w:id="6" w:name="_Toc38985264"/>
      <w:bookmarkStart w:id="7" w:name="_Toc28359080"/>
      <w:bookmarkStart w:id="8" w:name="_Toc35393791"/>
      <w:bookmarkStart w:id="9" w:name="_Toc35393622"/>
      <w:bookmarkStart w:id="10" w:name="_Toc28359003"/>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JSZC-320923-SWGC-G2026-0061</w:t>
      </w:r>
    </w:p>
    <w:p w14:paraId="7BBC1929">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盐城市阜宁生态环境局16个乡镇（街道）空气质量监测站运维服务</w:t>
      </w:r>
      <w:r>
        <w:rPr>
          <w:rFonts w:hint="eastAsia" w:ascii="宋体" w:hAnsi="宋体"/>
          <w:color w:val="auto"/>
          <w:sz w:val="24"/>
          <w:szCs w:val="24"/>
          <w:highlight w:val="none"/>
        </w:rPr>
        <w:tab/>
      </w:r>
    </w:p>
    <w:p w14:paraId="620852E8">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3.采购方式：公开招标</w:t>
      </w:r>
    </w:p>
    <w:p w14:paraId="26DA8BA9">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4.预算金额：350.00万元（采购包1:165.00万元；采购包2:185.00万元）</w:t>
      </w:r>
    </w:p>
    <w:p w14:paraId="6B9FD888">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5.最高限价：340.00万元（采购包1:160.00万元；采购包2:180.00万元）</w:t>
      </w:r>
    </w:p>
    <w:p w14:paraId="41074193">
      <w:pPr>
        <w:pStyle w:val="45"/>
        <w:pageBreakBefore w:val="0"/>
        <w:numPr>
          <w:ilvl w:val="0"/>
          <w:numId w:val="4"/>
        </w:numPr>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采购需求（简介）：盐城市阜宁生态环境局16个乡镇（街道）空气质量监测站运维服务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主要内容</w:t>
      </w:r>
      <w:r>
        <w:rPr>
          <w:rFonts w:hint="eastAsia" w:ascii="宋体" w:hAnsi="宋体" w:eastAsia="宋体" w:cs="宋体"/>
          <w:color w:val="000000"/>
          <w:sz w:val="24"/>
          <w:szCs w:val="24"/>
          <w:highlight w:val="none"/>
        </w:rPr>
        <w:t>为保证阜宁县16个乡镇（街道）环境空气自动监测站点高质量运行，及时、准确、全面地获取空气环境质量监测数据，客观反映空气环境质量状况和变化趋势，根据国家相关技术规范要求，本项目主要内容是对全县16个乡镇（街道）空气自动监测站开展日常运行、维护、巡检、故障检修服务和数据审核上报</w:t>
      </w:r>
      <w:r>
        <w:rPr>
          <w:rFonts w:hint="eastAsia" w:ascii="宋体" w:hAnsi="宋体" w:eastAsia="宋体" w:cs="宋体"/>
          <w:color w:val="000000"/>
          <w:sz w:val="24"/>
          <w:szCs w:val="24"/>
          <w:highlight w:val="none"/>
          <w:lang w:eastAsia="zh-CN"/>
        </w:rPr>
        <w:t>至</w:t>
      </w:r>
      <w:r>
        <w:rPr>
          <w:rFonts w:hint="eastAsia" w:ascii="宋体" w:hAnsi="宋体" w:eastAsia="宋体" w:cs="宋体"/>
          <w:color w:val="000000"/>
          <w:sz w:val="24"/>
          <w:szCs w:val="24"/>
          <w:highlight w:val="none"/>
        </w:rPr>
        <w:t>阜宁县环境空气质量联网管理平台（中标方提供环境空气质量联网管理平台</w:t>
      </w:r>
      <w:r>
        <w:rPr>
          <w:rFonts w:hint="eastAsia" w:ascii="宋体" w:hAnsi="宋体" w:eastAsia="宋体" w:cs="宋体"/>
          <w:color w:val="000000"/>
          <w:sz w:val="24"/>
          <w:szCs w:val="24"/>
          <w:highlight w:val="none"/>
          <w:lang w:eastAsia="zh-CN"/>
        </w:rPr>
        <w:t>，如</w:t>
      </w:r>
      <w:r>
        <w:rPr>
          <w:rFonts w:hint="eastAsia" w:ascii="宋体" w:hAnsi="宋体" w:eastAsia="宋体" w:cs="宋体"/>
          <w:color w:val="000000"/>
          <w:sz w:val="24"/>
          <w:szCs w:val="24"/>
          <w:highlight w:val="none"/>
        </w:rPr>
        <w:t>采购</w:t>
      </w:r>
      <w:r>
        <w:rPr>
          <w:rFonts w:hint="eastAsia" w:ascii="宋体" w:hAnsi="宋体" w:eastAsia="宋体" w:cs="宋体"/>
          <w:color w:val="000000"/>
          <w:sz w:val="24"/>
          <w:szCs w:val="24"/>
          <w:highlight w:val="none"/>
          <w:lang w:eastAsia="zh-CN"/>
        </w:rPr>
        <w:t>方需要</w:t>
      </w:r>
      <w:r>
        <w:rPr>
          <w:rFonts w:hint="eastAsia" w:ascii="宋体" w:hAnsi="宋体" w:eastAsia="宋体" w:cs="宋体"/>
          <w:color w:val="000000"/>
          <w:sz w:val="24"/>
          <w:szCs w:val="24"/>
          <w:highlight w:val="none"/>
        </w:rPr>
        <w:t>接入其他站点中标方无条件</w:t>
      </w:r>
      <w:r>
        <w:rPr>
          <w:rFonts w:hint="eastAsia" w:ascii="宋体" w:hAnsi="宋体" w:eastAsia="宋体" w:cs="宋体"/>
          <w:color w:val="000000"/>
          <w:sz w:val="24"/>
          <w:szCs w:val="24"/>
          <w:highlight w:val="none"/>
          <w:lang w:eastAsia="zh-CN"/>
        </w:rPr>
        <w:t>允许</w:t>
      </w:r>
      <w:r>
        <w:rPr>
          <w:rFonts w:hint="eastAsia" w:ascii="宋体" w:hAnsi="宋体" w:eastAsia="宋体" w:cs="宋体"/>
          <w:color w:val="000000"/>
          <w:sz w:val="24"/>
          <w:szCs w:val="24"/>
          <w:highlight w:val="none"/>
        </w:rPr>
        <w:t>接入其他站点</w:t>
      </w:r>
      <w:r>
        <w:rPr>
          <w:rFonts w:hint="eastAsia" w:ascii="宋体" w:hAnsi="宋体" w:eastAsia="宋体" w:cs="宋体"/>
          <w:color w:val="000000"/>
          <w:sz w:val="24"/>
          <w:szCs w:val="24"/>
          <w:highlight w:val="none"/>
          <w:lang w:eastAsia="zh-CN"/>
        </w:rPr>
        <w:t>信息</w:t>
      </w:r>
      <w:r>
        <w:rPr>
          <w:rFonts w:hint="eastAsia" w:ascii="宋体" w:hAnsi="宋体" w:eastAsia="宋体" w:cs="宋体"/>
          <w:color w:val="000000"/>
          <w:sz w:val="24"/>
          <w:szCs w:val="24"/>
          <w:highlight w:val="none"/>
        </w:rPr>
        <w:t>）等工作</w:t>
      </w:r>
      <w:r>
        <w:rPr>
          <w:rFonts w:hint="eastAsia" w:ascii="宋体" w:hAnsi="宋体"/>
          <w:color w:val="auto"/>
          <w:sz w:val="24"/>
          <w:szCs w:val="24"/>
          <w:highlight w:val="none"/>
          <w:lang w:eastAsia="zh-CN"/>
        </w:rPr>
        <w:t>（详细内容见本招标文件第四章）</w:t>
      </w:r>
      <w:r>
        <w:rPr>
          <w:rFonts w:hint="eastAsia" w:ascii="宋体" w:hAnsi="宋体" w:eastAsia="宋体" w:cs="宋体"/>
          <w:color w:val="000000"/>
          <w:sz w:val="24"/>
          <w:szCs w:val="24"/>
          <w:highlight w:val="none"/>
        </w:rPr>
        <w:t>。</w:t>
      </w:r>
    </w:p>
    <w:p w14:paraId="35F808D7">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本次招标项目划分为2个包，采用兼投不兼中原则，同一供应商同时参与2个采购包投标，若该供应商经评审后成为采购包</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成交候选供应商排名的第一名时，则不再推荐该供应商为采购包</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的成交候选供应商,开标、评标、定标顺序按采购包</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至采购包</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顺序依次进行。不因前面开标、评标确认的第一中标候选供应商因质疑、投诉、复议被取消第一中标候选供应商（或中标人）资格，而改变后面开标、评标确定的中标候选人结果。</w:t>
      </w:r>
    </w:p>
    <w:p w14:paraId="32FF608F">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★中标单位不得转包（如发现转包甲方有权终止合同并扣除运维期间所有费用）</w:t>
      </w:r>
    </w:p>
    <w:p w14:paraId="71E59D54">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.合同履行期限：本项目服务期限为</w:t>
      </w:r>
      <w:r>
        <w:rPr>
          <w:rFonts w:hint="eastAsia" w:cs="宋体"/>
          <w:color w:val="000000"/>
          <w:sz w:val="24"/>
          <w:szCs w:val="24"/>
          <w:highlight w:val="none"/>
          <w:lang w:eastAsia="zh-CN"/>
        </w:rPr>
        <w:t>24个月</w:t>
      </w:r>
      <w:r>
        <w:rPr>
          <w:rFonts w:hint="eastAsia" w:ascii="宋体" w:hAnsi="宋体" w:eastAsia="宋体" w:cs="宋体"/>
          <w:color w:val="000000"/>
          <w:sz w:val="24"/>
          <w:szCs w:val="24"/>
          <w:highlight w:val="none"/>
          <w:lang w:eastAsia="zh-CN"/>
        </w:rPr>
        <w:t>。</w:t>
      </w:r>
    </w:p>
    <w:p w14:paraId="421469B9">
      <w:pPr>
        <w:pStyle w:val="45"/>
        <w:keepNext/>
        <w:keepLines/>
        <w:pageBreakBefore w:val="0"/>
        <w:kinsoku/>
        <w:wordWrap/>
        <w:overflowPunct/>
        <w:topLinePunct w:val="0"/>
        <w:autoSpaceDE/>
        <w:autoSpaceDN/>
        <w:bidi w:val="0"/>
        <w:adjustRightInd/>
        <w:snapToGrid/>
        <w:spacing w:before="145" w:beforeAutospacing="0" w:after="145" w:afterAutospacing="0" w:line="400" w:lineRule="exact"/>
        <w:ind w:firstLine="498"/>
        <w:jc w:val="both"/>
        <w:textAlignment w:val="auto"/>
        <w:rPr>
          <w:rFonts w:hint="eastAsia" w:ascii="宋体" w:hAnsi="宋体"/>
          <w:color w:val="auto"/>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color w:val="auto"/>
          <w:sz w:val="24"/>
          <w:szCs w:val="24"/>
          <w:highlight w:val="none"/>
        </w:rPr>
        <w:t>本项目（是/否）接受联合体：否。</w:t>
      </w:r>
    </w:p>
    <w:p w14:paraId="16AE1AF4">
      <w:pPr>
        <w:pStyle w:val="45"/>
        <w:keepNext/>
        <w:keepLines/>
        <w:pageBreakBefore w:val="0"/>
        <w:kinsoku/>
        <w:wordWrap/>
        <w:overflowPunct/>
        <w:topLinePunct w:val="0"/>
        <w:autoSpaceDE/>
        <w:autoSpaceDN/>
        <w:bidi w:val="0"/>
        <w:adjustRightInd/>
        <w:snapToGrid/>
        <w:spacing w:before="145" w:beforeAutospacing="0" w:after="145" w:afterAutospacing="0" w:line="400" w:lineRule="exact"/>
        <w:ind w:firstLine="498"/>
        <w:jc w:val="both"/>
        <w:textAlignment w:val="auto"/>
        <w:rPr>
          <w:rFonts w:hint="eastAsia" w:ascii="宋体" w:hAnsi="宋体"/>
          <w:b/>
          <w:color w:val="auto"/>
          <w:sz w:val="24"/>
          <w:szCs w:val="24"/>
          <w:highlight w:val="none"/>
        </w:rPr>
      </w:pPr>
      <w:r>
        <w:rPr>
          <w:rFonts w:hint="eastAsia" w:ascii="宋体" w:hAnsi="宋体"/>
          <w:b/>
          <w:color w:val="auto"/>
          <w:sz w:val="24"/>
          <w:szCs w:val="24"/>
          <w:highlight w:val="none"/>
        </w:rPr>
        <w:t>二、申请人的资格要求：</w:t>
      </w:r>
      <w:bookmarkEnd w:id="6"/>
      <w:bookmarkEnd w:id="7"/>
      <w:bookmarkEnd w:id="8"/>
      <w:bookmarkEnd w:id="9"/>
      <w:bookmarkEnd w:id="10"/>
    </w:p>
    <w:p w14:paraId="4D7715DF">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b/>
          <w:color w:val="auto"/>
          <w:highlight w:val="none"/>
        </w:rPr>
      </w:pPr>
      <w:bookmarkStart w:id="11" w:name="_Toc35393792"/>
      <w:bookmarkStart w:id="12" w:name="_Toc38985265"/>
      <w:bookmarkStart w:id="13" w:name="_Toc28359004"/>
      <w:bookmarkStart w:id="14" w:name="_Toc35393623"/>
      <w:bookmarkStart w:id="15" w:name="_Toc28359081"/>
      <w:r>
        <w:rPr>
          <w:rFonts w:hint="eastAsia"/>
          <w:b/>
          <w:color w:val="auto"/>
          <w:highlight w:val="none"/>
        </w:rPr>
        <w:t>（一）满足《中华人民共和国政府采购法》第二十二条规定：</w:t>
      </w:r>
    </w:p>
    <w:p w14:paraId="1072384D">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4DDDE6ED">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5"/>
      <w:bookmarkStart w:id="17" w:name="OLE_LINK4"/>
      <w:r>
        <w:rPr>
          <w:rFonts w:hint="eastAsia" w:ascii="宋体" w:hAnsi="宋体"/>
          <w:color w:val="auto"/>
          <w:sz w:val="24"/>
          <w:szCs w:val="24"/>
          <w:highlight w:val="none"/>
        </w:rPr>
        <w:t>法人或者其他组织</w:t>
      </w:r>
      <w:r>
        <w:rPr>
          <w:rFonts w:hint="eastAsia" w:ascii="宋体" w:hAnsi="宋体" w:eastAsia="宋体" w:cs="Times New Roman"/>
          <w:color w:val="auto"/>
          <w:sz w:val="24"/>
          <w:szCs w:val="24"/>
          <w:highlight w:val="none"/>
        </w:rPr>
        <w:t>的营业执照等证明文件，自然人的身份证明</w:t>
      </w:r>
      <w:bookmarkEnd w:id="16"/>
      <w:bookmarkEnd w:id="17"/>
      <w:r>
        <w:rPr>
          <w:rFonts w:hint="eastAsia" w:ascii="宋体" w:hAnsi="宋体" w:eastAsia="宋体" w:cs="Times New Roman"/>
          <w:color w:val="auto"/>
          <w:sz w:val="24"/>
          <w:szCs w:val="24"/>
          <w:highlight w:val="none"/>
        </w:rPr>
        <w:t>；</w:t>
      </w:r>
    </w:p>
    <w:p w14:paraId="63D9A5C9">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bookmarkStart w:id="18" w:name="OLE_LINK6"/>
      <w:bookmarkStart w:id="19" w:name="OLE_LINK7"/>
      <w:bookmarkStart w:id="20" w:name="OLE_LINK9"/>
      <w:bookmarkStart w:id="21" w:name="OLE_LINK8"/>
      <w:r>
        <w:rPr>
          <w:rFonts w:hint="eastAsia" w:ascii="宋体" w:hAnsi="宋体" w:cs="Times New Roman"/>
          <w:color w:val="auto"/>
          <w:sz w:val="24"/>
          <w:szCs w:val="24"/>
          <w:highlight w:val="none"/>
          <w:lang w:eastAsia="zh-CN"/>
        </w:rPr>
        <w:t>上一年度（2024年度或2025年度）的财务状况报告</w:t>
      </w:r>
      <w:r>
        <w:rPr>
          <w:rFonts w:hint="eastAsia" w:ascii="宋体" w:hAnsi="宋体" w:eastAsia="宋体" w:cs="Times New Roman"/>
          <w:color w:val="auto"/>
          <w:sz w:val="24"/>
          <w:szCs w:val="24"/>
          <w:highlight w:val="none"/>
        </w:rPr>
        <w:t>（财务报告至少应包括资产负债表、利润表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距投标截止之日止，成立不满一年的</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无需提供）；</w:t>
      </w:r>
      <w:bookmarkEnd w:id="18"/>
      <w:bookmarkEnd w:id="19"/>
      <w:bookmarkEnd w:id="20"/>
      <w:bookmarkEnd w:id="21"/>
    </w:p>
    <w:p w14:paraId="5F81C2DC">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1.3</w:t>
      </w:r>
      <w:bookmarkStart w:id="22" w:name="OLE_LINK11"/>
      <w:bookmarkStart w:id="23" w:name="OLE_LINK10"/>
      <w:r>
        <w:rPr>
          <w:rFonts w:hint="eastAsia" w:ascii="宋体" w:hAnsi="宋体"/>
          <w:color w:val="auto"/>
          <w:sz w:val="24"/>
          <w:szCs w:val="24"/>
          <w:highlight w:val="none"/>
        </w:rPr>
        <w:t>具备履行合同所必需的设备和专业技术能力的书面声明</w:t>
      </w:r>
      <w:bookmarkEnd w:id="22"/>
      <w:bookmarkEnd w:id="23"/>
      <w:r>
        <w:rPr>
          <w:rFonts w:hint="eastAsia" w:ascii="宋体" w:hAnsi="宋体"/>
          <w:color w:val="auto"/>
          <w:sz w:val="24"/>
          <w:szCs w:val="24"/>
          <w:highlight w:val="none"/>
        </w:rPr>
        <w:t>；</w:t>
      </w:r>
    </w:p>
    <w:p w14:paraId="35B86EA2">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1.4</w:t>
      </w:r>
      <w:bookmarkStart w:id="24" w:name="OLE_LINK12"/>
      <w:bookmarkStart w:id="25" w:name="OLE_LINK13"/>
      <w:r>
        <w:rPr>
          <w:rFonts w:hint="eastAsia" w:ascii="宋体" w:hAnsi="宋体"/>
          <w:color w:val="auto"/>
          <w:sz w:val="24"/>
          <w:szCs w:val="24"/>
          <w:highlight w:val="none"/>
        </w:rPr>
        <w:t>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依法享受缓缴、免缴税收、社会保障资金的提供证明材料。）；</w:t>
      </w:r>
      <w:bookmarkEnd w:id="24"/>
      <w:bookmarkEnd w:id="25"/>
    </w:p>
    <w:p w14:paraId="1B90267B">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1.5参加政府采购活动前3年内在经营活动中没有重大违法记录的书面声明；</w:t>
      </w:r>
    </w:p>
    <w:p w14:paraId="77B06C45">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1.6法律、行政法规规定的其他条件；</w:t>
      </w:r>
    </w:p>
    <w:p w14:paraId="68721EA0">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785555C">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1.8单位负责人为同一人或者存在直接控股、管理关系的不同</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，不得参加同一合同项下的政府采购活动。</w:t>
      </w:r>
    </w:p>
    <w:bookmarkEnd w:id="11"/>
    <w:bookmarkEnd w:id="12"/>
    <w:bookmarkEnd w:id="13"/>
    <w:bookmarkEnd w:id="14"/>
    <w:bookmarkEnd w:id="15"/>
    <w:p w14:paraId="62458B6E">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olor w:val="auto"/>
          <w:sz w:val="24"/>
          <w:szCs w:val="24"/>
          <w:highlight w:val="none"/>
          <w:lang w:eastAsia="zh-CN"/>
        </w:rPr>
      </w:pPr>
      <w:bookmarkStart w:id="26" w:name="_Toc28359005"/>
      <w:bookmarkStart w:id="27" w:name="_Toc28359082"/>
      <w:bookmarkStart w:id="28" w:name="_Toc35393624"/>
      <w:bookmarkStart w:id="29" w:name="_Toc35393793"/>
      <w:bookmarkStart w:id="30" w:name="_Toc38985266"/>
      <w:r>
        <w:rPr>
          <w:rFonts w:hint="eastAsia" w:ascii="宋体" w:hAnsi="宋体" w:eastAsia="宋体"/>
          <w:color w:val="auto"/>
          <w:sz w:val="24"/>
          <w:szCs w:val="24"/>
          <w:highlight w:val="none"/>
        </w:rPr>
        <w:t>2.落实政府采购政策需满足的资格要求：详见招标文件要求</w:t>
      </w:r>
      <w:r>
        <w:rPr>
          <w:rFonts w:hint="eastAsia" w:ascii="宋体" w:hAnsi="宋体" w:eastAsia="宋体"/>
          <w:color w:val="auto"/>
          <w:sz w:val="24"/>
          <w:szCs w:val="24"/>
          <w:highlight w:val="none"/>
          <w:lang w:eastAsia="zh-CN"/>
        </w:rPr>
        <w:t>。</w:t>
      </w:r>
    </w:p>
    <w:p w14:paraId="3EEB2A71">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3.本项目的特定资格要求：无</w:t>
      </w:r>
    </w:p>
    <w:p w14:paraId="5DFC357F">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
          <w:color w:val="auto"/>
          <w:sz w:val="24"/>
          <w:szCs w:val="24"/>
          <w:highlight w:val="none"/>
        </w:rPr>
      </w:pPr>
      <w:r>
        <w:rPr>
          <w:rFonts w:hint="eastAsia" w:ascii="宋体" w:hAnsi="宋体"/>
          <w:b/>
          <w:color w:val="auto"/>
          <w:sz w:val="24"/>
          <w:szCs w:val="24"/>
          <w:highlight w:val="none"/>
        </w:rPr>
        <w:t>三、获取招标文件</w:t>
      </w:r>
    </w:p>
    <w:p w14:paraId="22BA10E3">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1.时间：自招标文件公告发布之日起5个工作日 。</w:t>
      </w:r>
    </w:p>
    <w:p w14:paraId="33683C04">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2.地点：</w:t>
      </w:r>
      <w:r>
        <w:rPr>
          <w:rFonts w:hint="eastAsia" w:ascii="宋体" w:hAnsi="宋体"/>
          <w:bCs/>
          <w:color w:val="auto"/>
          <w:sz w:val="24"/>
          <w:szCs w:val="24"/>
          <w:highlight w:val="none"/>
          <w:lang w:val="en-US" w:eastAsia="zh-CN"/>
        </w:rPr>
        <w:t>在</w:t>
      </w:r>
      <w:r>
        <w:rPr>
          <w:rFonts w:hint="eastAsia" w:ascii="宋体" w:hAnsi="宋体"/>
          <w:bCs/>
          <w:color w:val="auto"/>
          <w:sz w:val="24"/>
          <w:szCs w:val="24"/>
          <w:highlight w:val="none"/>
        </w:rPr>
        <w:t>“苏采云”系统内免费下载(投标人必须在苏采云系统中获取采购文件，方能参与政府采购项目)</w:t>
      </w:r>
      <w:r>
        <w:rPr>
          <w:rFonts w:hint="eastAsia" w:ascii="宋体" w:hAnsi="宋体"/>
          <w:bCs/>
          <w:color w:val="auto"/>
          <w:sz w:val="24"/>
          <w:szCs w:val="24"/>
          <w:highlight w:val="none"/>
          <w:lang w:eastAsia="zh-CN"/>
        </w:rPr>
        <w:t>。</w:t>
      </w:r>
    </w:p>
    <w:p w14:paraId="5313D40D">
      <w:pPr>
        <w:pStyle w:val="45"/>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color w:val="auto"/>
          <w:highlight w:val="none"/>
        </w:rPr>
      </w:pPr>
      <w:r>
        <w:rPr>
          <w:rFonts w:hint="eastAsia"/>
          <w:bCs/>
          <w:color w:val="auto"/>
          <w:highlight w:val="none"/>
        </w:rPr>
        <w:t>3.方式：</w:t>
      </w:r>
      <w:r>
        <w:rPr>
          <w:rFonts w:hint="eastAsia"/>
          <w:bCs/>
          <w:color w:val="auto"/>
          <w:highlight w:val="none"/>
          <w:lang w:val="en-US" w:eastAsia="zh-CN"/>
        </w:rPr>
        <w:t>本项目采用网上注册登记方式。</w:t>
      </w:r>
    </w:p>
    <w:p w14:paraId="01857330">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4.售价：0元</w:t>
      </w:r>
    </w:p>
    <w:p w14:paraId="29A8268B">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
          <w:color w:val="auto"/>
          <w:sz w:val="24"/>
          <w:szCs w:val="24"/>
          <w:highlight w:val="none"/>
        </w:rPr>
      </w:pPr>
      <w:r>
        <w:rPr>
          <w:rFonts w:hint="eastAsia" w:ascii="宋体" w:hAnsi="宋体"/>
          <w:b/>
          <w:color w:val="auto"/>
          <w:sz w:val="24"/>
          <w:szCs w:val="24"/>
          <w:highlight w:val="none"/>
        </w:rPr>
        <w:t>四、提交投标文件</w:t>
      </w:r>
      <w:bookmarkEnd w:id="26"/>
      <w:bookmarkEnd w:id="27"/>
      <w:r>
        <w:rPr>
          <w:rFonts w:hint="eastAsia" w:ascii="宋体" w:hAnsi="宋体"/>
          <w:b/>
          <w:color w:val="auto"/>
          <w:sz w:val="24"/>
          <w:szCs w:val="24"/>
          <w:highlight w:val="none"/>
        </w:rPr>
        <w:t>截止时间、开标时间和地点</w:t>
      </w:r>
      <w:bookmarkEnd w:id="28"/>
      <w:bookmarkEnd w:id="29"/>
      <w:bookmarkEnd w:id="30"/>
    </w:p>
    <w:p w14:paraId="18873036">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1、时间：</w:t>
      </w:r>
      <w:r>
        <w:rPr>
          <w:rFonts w:hint="eastAsia" w:ascii="宋体" w:hAnsi="宋体"/>
          <w:color w:val="auto"/>
          <w:sz w:val="24"/>
          <w:szCs w:val="24"/>
          <w:highlight w:val="none"/>
          <w:lang w:eastAsia="zh-CN"/>
        </w:rPr>
        <w:t>2026年0</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01</w:t>
      </w:r>
      <w:r>
        <w:rPr>
          <w:rFonts w:hint="eastAsia" w:ascii="宋体" w:hAnsi="宋体"/>
          <w:color w:val="auto"/>
          <w:sz w:val="24"/>
          <w:szCs w:val="24"/>
          <w:highlight w:val="none"/>
          <w:lang w:eastAsia="zh-CN"/>
        </w:rPr>
        <w:t>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lang w:eastAsia="zh-CN"/>
        </w:rPr>
        <w:t>点00分</w:t>
      </w:r>
      <w:r>
        <w:rPr>
          <w:rFonts w:hint="eastAsia" w:ascii="宋体" w:hAnsi="宋体"/>
          <w:color w:val="auto"/>
          <w:sz w:val="24"/>
          <w:szCs w:val="24"/>
          <w:highlight w:val="none"/>
        </w:rPr>
        <w:t>（北京时间）</w:t>
      </w:r>
    </w:p>
    <w:p w14:paraId="3CCB8E33">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2、地点：“苏采云”政府采购交易系统网上开标大厅。</w:t>
      </w:r>
    </w:p>
    <w:p w14:paraId="7388D762">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
          <w:color w:val="auto"/>
          <w:sz w:val="24"/>
          <w:szCs w:val="24"/>
          <w:highlight w:val="none"/>
        </w:rPr>
      </w:pPr>
      <w:bookmarkStart w:id="31" w:name="_Toc28359084"/>
      <w:bookmarkStart w:id="32" w:name="_Toc28359007"/>
      <w:bookmarkStart w:id="33" w:name="_Toc35393794"/>
      <w:bookmarkStart w:id="34" w:name="_Toc38985267"/>
      <w:bookmarkStart w:id="35" w:name="_Toc35393625"/>
      <w:r>
        <w:rPr>
          <w:rFonts w:hint="eastAsia" w:ascii="宋体" w:hAnsi="宋体"/>
          <w:b/>
          <w:color w:val="auto"/>
          <w:sz w:val="24"/>
          <w:szCs w:val="24"/>
          <w:highlight w:val="none"/>
        </w:rPr>
        <w:t>五、公告期限</w:t>
      </w:r>
      <w:bookmarkEnd w:id="31"/>
      <w:bookmarkEnd w:id="32"/>
      <w:bookmarkEnd w:id="33"/>
      <w:bookmarkEnd w:id="34"/>
      <w:bookmarkEnd w:id="35"/>
    </w:p>
    <w:p w14:paraId="56E7588F">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bookmarkStart w:id="36" w:name="_Toc35393626"/>
      <w:bookmarkStart w:id="37" w:name="_Toc35393795"/>
      <w:bookmarkStart w:id="38" w:name="_Toc38985268"/>
      <w:r>
        <w:rPr>
          <w:rFonts w:hint="eastAsia" w:ascii="宋体" w:hAnsi="宋体"/>
          <w:color w:val="auto"/>
          <w:sz w:val="24"/>
          <w:szCs w:val="24"/>
          <w:highlight w:val="none"/>
        </w:rPr>
        <w:t>自本公告发布之日起5个工作日。</w:t>
      </w:r>
    </w:p>
    <w:p w14:paraId="30AB5C28">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
          <w:color w:val="auto"/>
          <w:sz w:val="24"/>
          <w:szCs w:val="24"/>
          <w:highlight w:val="none"/>
        </w:rPr>
      </w:pPr>
      <w:r>
        <w:rPr>
          <w:rFonts w:hint="eastAsia" w:ascii="宋体" w:hAnsi="宋体"/>
          <w:b/>
          <w:color w:val="auto"/>
          <w:sz w:val="24"/>
          <w:szCs w:val="24"/>
          <w:highlight w:val="none"/>
        </w:rPr>
        <w:t>六、其他补充事宜</w:t>
      </w:r>
      <w:bookmarkEnd w:id="36"/>
      <w:bookmarkEnd w:id="37"/>
      <w:bookmarkEnd w:id="38"/>
    </w:p>
    <w:p w14:paraId="297C9D71">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bookmarkStart w:id="39" w:name="_Toc35393796"/>
      <w:bookmarkStart w:id="40" w:name="_Toc28359085"/>
      <w:bookmarkStart w:id="41" w:name="_Toc28359008"/>
      <w:bookmarkStart w:id="42" w:name="_Toc35393627"/>
      <w:bookmarkStart w:id="43" w:name="_Toc38985269"/>
      <w:r>
        <w:rPr>
          <w:rFonts w:hint="eastAsia" w:ascii="宋体" w:hAnsi="宋体"/>
          <w:bCs/>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参与政府采购活动相关资料】。</w:t>
      </w:r>
    </w:p>
    <w:p w14:paraId="19D0C450">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领取CA和办理电子签章（请至</w:t>
      </w:r>
      <w:r>
        <w:rPr>
          <w:rFonts w:hint="eastAsia" w:ascii="宋体" w:hAnsi="宋体" w:eastAsia="宋体" w:cs="宋体"/>
          <w:i w:val="0"/>
          <w:iCs w:val="0"/>
          <w:caps w:val="0"/>
          <w:color w:val="333333"/>
          <w:spacing w:val="0"/>
          <w:sz w:val="24"/>
          <w:szCs w:val="24"/>
          <w:highlight w:val="none"/>
          <w:shd w:val="clear" w:fill="FFFFFF"/>
          <w:lang w:val="en-US" w:eastAsia="zh-CN"/>
        </w:rPr>
        <w:t>盐城市盐都区府西路1号四楼盐城市公共资源交易中心</w:t>
      </w:r>
      <w:r>
        <w:rPr>
          <w:rFonts w:hint="eastAsia" w:ascii="宋体" w:hAnsi="宋体"/>
          <w:bCs/>
          <w:color w:val="auto"/>
          <w:sz w:val="24"/>
          <w:szCs w:val="24"/>
          <w:highlight w:val="none"/>
        </w:rPr>
        <w:t>办理，联系电话：15051556883，办理邮箱：yancheng@ideabank.net.cn，具体联系方式见《苏采云系统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操作手册》（以下简称《操作手册》））、进行注册并按《操作手册》要求制作、上传电子投标文件,《苏采云系统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操作手册》：在盐城市政府采购网点击【办事指南】-【</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参与政府采购活动相关资料】。</w:t>
      </w:r>
    </w:p>
    <w:p w14:paraId="70434DAA">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投标人在使用系统进行投标的过程中如遇到涉及“苏采云”系统使用的任何问题，应在工作日期间致电技术支持热线咨询，联系电话：0519-86722805、0519-86722801。</w:t>
      </w:r>
    </w:p>
    <w:p w14:paraId="1182F370">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2.有关本次招标的事项若存在变动或修改，敬请及时关注采购人及采购代理机构在“中国政府采购网”、“江苏政府采购网”、“盐城市政府采购网”、“阜宁县公共资源电子化服务平台”发布的更正公告。</w:t>
      </w:r>
    </w:p>
    <w:p w14:paraId="3B35F21E">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3.本次招标不收取投标保证金，不收取质量保证金</w:t>
      </w:r>
      <w:r>
        <w:rPr>
          <w:rFonts w:hint="eastAsia" w:ascii="宋体" w:hAnsi="宋体"/>
          <w:bCs/>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fill="FFFFFF"/>
          <w:lang w:val="en-US" w:eastAsia="zh-CN"/>
        </w:rPr>
        <w:t>不收履约保证金</w:t>
      </w:r>
      <w:r>
        <w:rPr>
          <w:rFonts w:hint="eastAsia" w:ascii="宋体" w:hAnsi="宋体"/>
          <w:bCs/>
          <w:color w:val="auto"/>
          <w:sz w:val="24"/>
          <w:szCs w:val="24"/>
          <w:highlight w:val="none"/>
        </w:rPr>
        <w:t>。</w:t>
      </w:r>
    </w:p>
    <w:p w14:paraId="4A8C49C2">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4.因</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的系统环境、操作等原因导致报名、开评标过程中出现问题由</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自行承担负责。</w:t>
      </w:r>
    </w:p>
    <w:p w14:paraId="50452203">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七、本次招标联系方式</w:t>
      </w:r>
      <w:bookmarkEnd w:id="39"/>
      <w:bookmarkEnd w:id="40"/>
      <w:bookmarkEnd w:id="41"/>
      <w:bookmarkEnd w:id="42"/>
      <w:bookmarkEnd w:id="43"/>
    </w:p>
    <w:p w14:paraId="55CA4DEF">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名 称：盐城市阜宁生态环境局  </w:t>
      </w:r>
    </w:p>
    <w:p w14:paraId="08D4FC63">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地 址：阜宁县城南大厦C座 </w:t>
      </w:r>
    </w:p>
    <w:p w14:paraId="5A684D1F">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w:t>
      </w:r>
      <w:r>
        <w:rPr>
          <w:rFonts w:hint="eastAsia" w:cs="宋体"/>
          <w:i w:val="0"/>
          <w:iCs w:val="0"/>
          <w:caps w:val="0"/>
          <w:color w:val="333333"/>
          <w:spacing w:val="0"/>
          <w:sz w:val="24"/>
          <w:szCs w:val="24"/>
          <w:highlight w:val="none"/>
          <w:shd w:val="clear" w:fill="FFFFFF"/>
          <w:lang w:val="en-US" w:eastAsia="zh-CN"/>
        </w:rPr>
        <w:t>黄源</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4DF85116">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r>
        <w:rPr>
          <w:rFonts w:hint="eastAsia" w:cs="宋体"/>
          <w:i w:val="0"/>
          <w:iCs w:val="0"/>
          <w:caps w:val="0"/>
          <w:color w:val="333333"/>
          <w:spacing w:val="0"/>
          <w:sz w:val="24"/>
          <w:szCs w:val="24"/>
          <w:highlight w:val="none"/>
          <w:shd w:val="clear" w:fill="FFFFFF"/>
          <w:lang w:val="en-US" w:eastAsia="zh-CN"/>
        </w:rPr>
        <w:t>18361170088</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11C95B6E">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34EDFDE9">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w:t>
      </w:r>
      <w:r>
        <w:rPr>
          <w:rStyle w:val="338"/>
          <w:rFonts w:hint="eastAsia" w:ascii="宋体" w:hAnsi="宋体"/>
          <w:color w:val="auto"/>
          <w:sz w:val="24"/>
          <w:highlight w:val="none"/>
        </w:rPr>
        <w:t>江苏苏维工程管理有限公司</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5D55BDE5">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址：阜宁县城南大厦A座10层</w:t>
      </w:r>
    </w:p>
    <w:p w14:paraId="754FC733">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联系人：陈婷                  </w:t>
      </w:r>
    </w:p>
    <w:p w14:paraId="12BA20D9">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44" w:name="_Toc28359087"/>
      <w:bookmarkStart w:id="45" w:name="_Toc28359010"/>
      <w:r>
        <w:rPr>
          <w:rFonts w:hint="eastAsia" w:ascii="宋体" w:hAnsi="宋体" w:eastAsia="宋体" w:cs="宋体"/>
          <w:i w:val="0"/>
          <w:iCs w:val="0"/>
          <w:caps w:val="0"/>
          <w:color w:val="333333"/>
          <w:spacing w:val="0"/>
          <w:sz w:val="24"/>
          <w:szCs w:val="24"/>
          <w:highlight w:val="none"/>
          <w:shd w:val="clear" w:fill="FFFFFF"/>
          <w:lang w:val="en-US" w:eastAsia="zh-CN"/>
        </w:rPr>
        <w:t>15251035050  </w:t>
      </w:r>
      <w:bookmarkEnd w:id="44"/>
      <w:bookmarkEnd w:id="45"/>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7C2E1534">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46"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46"/>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62DBEEC8">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w:t>
      </w:r>
      <w:r>
        <w:rPr>
          <w:rFonts w:hint="eastAsia" w:cs="宋体"/>
          <w:i w:val="0"/>
          <w:iCs w:val="0"/>
          <w:caps w:val="0"/>
          <w:color w:val="333333"/>
          <w:spacing w:val="0"/>
          <w:sz w:val="24"/>
          <w:szCs w:val="24"/>
          <w:highlight w:val="none"/>
          <w:shd w:val="clear" w:fill="FFFFFF"/>
          <w:lang w:val="en-US" w:eastAsia="zh-CN"/>
        </w:rPr>
        <w:t>黄源</w:t>
      </w:r>
      <w:r>
        <w:rPr>
          <w:rFonts w:hint="eastAsia" w:ascii="宋体" w:hAnsi="宋体" w:eastAsia="宋体" w:cs="宋体"/>
          <w:i w:val="0"/>
          <w:iCs w:val="0"/>
          <w:caps w:val="0"/>
          <w:color w:val="333333"/>
          <w:spacing w:val="0"/>
          <w:sz w:val="24"/>
          <w:szCs w:val="24"/>
          <w:highlight w:val="none"/>
          <w:shd w:val="clear" w:fill="FFFFFF"/>
          <w:lang w:val="en-US" w:eastAsia="zh-CN"/>
        </w:rPr>
        <w:t> 、陈婷</w:t>
      </w:r>
    </w:p>
    <w:p w14:paraId="371D8A0F">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default"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w:t>
      </w:r>
      <w:r>
        <w:rPr>
          <w:rFonts w:hint="eastAsia" w:cs="宋体"/>
          <w:i w:val="0"/>
          <w:iCs w:val="0"/>
          <w:caps w:val="0"/>
          <w:color w:val="333333"/>
          <w:spacing w:val="0"/>
          <w:sz w:val="24"/>
          <w:szCs w:val="24"/>
          <w:highlight w:val="none"/>
          <w:shd w:val="clear" w:fill="FFFFFF"/>
          <w:lang w:val="en-US" w:eastAsia="zh-CN"/>
        </w:rPr>
        <w:t>18361170088</w:t>
      </w:r>
      <w:r>
        <w:rPr>
          <w:rFonts w:hint="eastAsia" w:ascii="宋体" w:hAnsi="宋体" w:eastAsia="宋体" w:cs="宋体"/>
          <w:i w:val="0"/>
          <w:iCs w:val="0"/>
          <w:caps w:val="0"/>
          <w:color w:val="333333"/>
          <w:spacing w:val="0"/>
          <w:sz w:val="24"/>
          <w:szCs w:val="24"/>
          <w:highlight w:val="none"/>
          <w:shd w:val="clear" w:fill="FFFFFF"/>
          <w:lang w:val="en-US" w:eastAsia="zh-CN"/>
        </w:rPr>
        <w:t>、15251035050</w:t>
      </w:r>
    </w:p>
    <w:p w14:paraId="516CEC03">
      <w:pPr>
        <w:pageBreakBefore w:val="0"/>
        <w:kinsoku/>
        <w:wordWrap/>
        <w:overflowPunct/>
        <w:topLinePunct w:val="0"/>
        <w:autoSpaceDE/>
        <w:autoSpaceDN/>
        <w:bidi w:val="0"/>
        <w:adjustRightInd/>
        <w:snapToGrid/>
        <w:spacing w:line="400" w:lineRule="exact"/>
        <w:ind w:firstLine="480"/>
        <w:jc w:val="right"/>
        <w:textAlignment w:val="auto"/>
        <w:rPr>
          <w:rFonts w:hint="eastAsia" w:ascii="宋体" w:hAnsi="宋体"/>
          <w:color w:val="auto"/>
          <w:sz w:val="24"/>
          <w:szCs w:val="24"/>
          <w:highlight w:val="none"/>
        </w:rPr>
      </w:pPr>
    </w:p>
    <w:p w14:paraId="6602015B">
      <w:pPr>
        <w:pageBreakBefore w:val="0"/>
        <w:kinsoku/>
        <w:wordWrap/>
        <w:overflowPunct/>
        <w:topLinePunct w:val="0"/>
        <w:autoSpaceDE/>
        <w:autoSpaceDN/>
        <w:bidi w:val="0"/>
        <w:adjustRightInd/>
        <w:snapToGrid/>
        <w:spacing w:line="400" w:lineRule="exact"/>
        <w:ind w:firstLine="480"/>
        <w:jc w:val="righ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2026年0</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lang w:eastAsia="zh-CN"/>
        </w:rPr>
        <w:t>日</w:t>
      </w:r>
    </w:p>
    <w:p w14:paraId="24BE7929">
      <w:pPr>
        <w:spacing w:line="450" w:lineRule="exact"/>
        <w:rPr>
          <w:rFonts w:hint="eastAsia" w:ascii="楷体_GB2312" w:hAnsi="楷体_GB2312" w:cs="楷体_GB2312"/>
          <w:color w:val="auto"/>
          <w:sz w:val="24"/>
          <w:highlight w:val="none"/>
        </w:rPr>
      </w:pPr>
    </w:p>
    <w:p w14:paraId="1ADEEE32">
      <w:pPr>
        <w:spacing w:line="450" w:lineRule="exact"/>
        <w:rPr>
          <w:rFonts w:hint="eastAsia" w:ascii="楷体_GB2312" w:hAnsi="楷体_GB2312" w:cs="楷体_GB2312"/>
          <w:color w:val="auto"/>
          <w:sz w:val="24"/>
          <w:highlight w:val="none"/>
        </w:rPr>
      </w:pPr>
    </w:p>
    <w:p w14:paraId="6F4BDCEE">
      <w:pPr>
        <w:spacing w:line="450" w:lineRule="exact"/>
        <w:rPr>
          <w:rFonts w:hint="eastAsia" w:ascii="楷体_GB2312" w:hAnsi="楷体_GB2312" w:cs="楷体_GB2312"/>
          <w:color w:val="auto"/>
          <w:sz w:val="24"/>
          <w:highlight w:val="none"/>
        </w:rPr>
      </w:pPr>
    </w:p>
    <w:p w14:paraId="77B3D347">
      <w:pPr>
        <w:spacing w:line="450" w:lineRule="exact"/>
        <w:jc w:val="center"/>
        <w:rPr>
          <w:rFonts w:hint="eastAsia" w:ascii="黑体" w:hAnsi="Arial" w:eastAsia="黑体" w:cs="Arial"/>
          <w:b/>
          <w:bCs/>
          <w:color w:val="auto"/>
          <w:sz w:val="44"/>
          <w:szCs w:val="44"/>
          <w:highlight w:val="none"/>
        </w:rPr>
      </w:pPr>
      <w:bookmarkStart w:id="47" w:name="_Toc120614211"/>
    </w:p>
    <w:p w14:paraId="6289A0AE">
      <w:pPr>
        <w:spacing w:line="450" w:lineRule="exact"/>
        <w:jc w:val="center"/>
        <w:rPr>
          <w:rFonts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47"/>
      <w:bookmarkStart w:id="48" w:name="_Toc513029202"/>
      <w:bookmarkStart w:id="49" w:name="_Toc16938518"/>
      <w:bookmarkStart w:id="50" w:name="_Toc120614213"/>
      <w:bookmarkStart w:id="51" w:name="_Toc20823274"/>
      <w:r>
        <w:rPr>
          <w:rFonts w:hint="eastAsia" w:ascii="黑体" w:hAnsi="Arial" w:eastAsia="黑体" w:cs="Arial"/>
          <w:b/>
          <w:bCs/>
          <w:color w:val="auto"/>
          <w:sz w:val="44"/>
          <w:szCs w:val="44"/>
          <w:highlight w:val="none"/>
        </w:rPr>
        <w:t>投标人须知</w:t>
      </w:r>
      <w:bookmarkEnd w:id="48"/>
      <w:bookmarkEnd w:id="49"/>
      <w:bookmarkEnd w:id="50"/>
      <w:bookmarkEnd w:id="51"/>
    </w:p>
    <w:p w14:paraId="5FFAC026">
      <w:pPr>
        <w:spacing w:line="460" w:lineRule="exact"/>
        <w:ind w:firstLine="480"/>
        <w:rPr>
          <w:rFonts w:hint="eastAsia" w:ascii="宋体" w:hAnsi="宋体"/>
          <w:b/>
          <w:color w:val="auto"/>
          <w:sz w:val="24"/>
          <w:szCs w:val="24"/>
          <w:highlight w:val="none"/>
        </w:rPr>
      </w:pPr>
      <w:bookmarkStart w:id="52" w:name="_Toc120614214"/>
      <w:bookmarkStart w:id="53" w:name="_Toc513029203"/>
      <w:bookmarkStart w:id="54" w:name="_Toc20823275"/>
      <w:bookmarkStart w:id="55" w:name="_Toc16938519"/>
      <w:r>
        <w:rPr>
          <w:rFonts w:hint="eastAsia" w:ascii="宋体" w:hAnsi="宋体"/>
          <w:b/>
          <w:color w:val="auto"/>
          <w:sz w:val="24"/>
          <w:szCs w:val="24"/>
          <w:highlight w:val="none"/>
        </w:rPr>
        <w:t>一、总则</w:t>
      </w:r>
      <w:bookmarkEnd w:id="52"/>
      <w:bookmarkEnd w:id="53"/>
      <w:bookmarkEnd w:id="54"/>
      <w:bookmarkEnd w:id="55"/>
    </w:p>
    <w:p w14:paraId="6726628E">
      <w:pPr>
        <w:spacing w:line="460" w:lineRule="exact"/>
        <w:ind w:firstLine="480"/>
        <w:rPr>
          <w:rFonts w:hint="eastAsia" w:ascii="宋体" w:hAnsi="宋体"/>
          <w:b/>
          <w:color w:val="auto"/>
          <w:sz w:val="24"/>
          <w:szCs w:val="24"/>
          <w:highlight w:val="none"/>
        </w:rPr>
      </w:pPr>
      <w:bookmarkStart w:id="56" w:name="_Hlt16619475"/>
      <w:bookmarkEnd w:id="56"/>
      <w:bookmarkStart w:id="57" w:name="_Toc458694821"/>
      <w:bookmarkStart w:id="58" w:name="_Toc20823276"/>
      <w:bookmarkStart w:id="59" w:name="_Toc16938520"/>
      <w:bookmarkStart w:id="60" w:name="_Toc513029204"/>
      <w:r>
        <w:rPr>
          <w:rFonts w:hint="eastAsia" w:ascii="宋体" w:hAnsi="宋体"/>
          <w:b/>
          <w:color w:val="auto"/>
          <w:sz w:val="24"/>
          <w:szCs w:val="24"/>
          <w:highlight w:val="none"/>
        </w:rPr>
        <w:t>1</w:t>
      </w:r>
      <w:bookmarkEnd w:id="57"/>
      <w:r>
        <w:rPr>
          <w:rFonts w:hint="eastAsia" w:ascii="宋体" w:hAnsi="宋体"/>
          <w:b/>
          <w:color w:val="auto"/>
          <w:sz w:val="24"/>
          <w:szCs w:val="24"/>
          <w:highlight w:val="none"/>
        </w:rPr>
        <w:t>、招标方式</w:t>
      </w:r>
      <w:bookmarkEnd w:id="58"/>
      <w:bookmarkEnd w:id="59"/>
      <w:bookmarkEnd w:id="60"/>
    </w:p>
    <w:p w14:paraId="4174CE2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本次招标采取公开招标方式，本招标文件仅适用于招标公告中所述项目。</w:t>
      </w:r>
    </w:p>
    <w:p w14:paraId="5B55CBB3">
      <w:pPr>
        <w:spacing w:line="460" w:lineRule="exact"/>
        <w:ind w:firstLine="480"/>
        <w:rPr>
          <w:rFonts w:hint="eastAsia" w:ascii="宋体" w:hAnsi="宋体"/>
          <w:b/>
          <w:color w:val="auto"/>
          <w:sz w:val="24"/>
          <w:szCs w:val="24"/>
          <w:highlight w:val="none"/>
        </w:rPr>
      </w:pPr>
      <w:bookmarkStart w:id="61" w:name="_Toc513029205"/>
      <w:bookmarkStart w:id="62" w:name="_Toc16938521"/>
      <w:bookmarkStart w:id="63" w:name="_Toc20823277"/>
      <w:r>
        <w:rPr>
          <w:rFonts w:hint="eastAsia" w:ascii="宋体" w:hAnsi="宋体"/>
          <w:b/>
          <w:color w:val="auto"/>
          <w:sz w:val="24"/>
          <w:szCs w:val="24"/>
          <w:highlight w:val="none"/>
        </w:rPr>
        <w:t>2、合格的投标人</w:t>
      </w:r>
      <w:bookmarkEnd w:id="61"/>
      <w:bookmarkEnd w:id="62"/>
      <w:bookmarkEnd w:id="63"/>
    </w:p>
    <w:p w14:paraId="013DDF5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的资格要求的规定。</w:t>
      </w:r>
    </w:p>
    <w:p w14:paraId="0A8234F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0C32B31C">
      <w:pPr>
        <w:spacing w:line="460" w:lineRule="exact"/>
        <w:ind w:firstLine="480"/>
        <w:rPr>
          <w:rFonts w:hint="eastAsia" w:ascii="宋体" w:hAnsi="宋体"/>
          <w:b/>
          <w:color w:val="auto"/>
          <w:sz w:val="24"/>
          <w:szCs w:val="24"/>
          <w:highlight w:val="none"/>
        </w:rPr>
      </w:pPr>
      <w:bookmarkStart w:id="64" w:name="_Toc513029206"/>
      <w:bookmarkStart w:id="65" w:name="_Toc16938522"/>
      <w:bookmarkStart w:id="66" w:name="_Toc20823278"/>
      <w:r>
        <w:rPr>
          <w:rFonts w:hint="eastAsia" w:ascii="宋体" w:hAnsi="宋体"/>
          <w:b/>
          <w:color w:val="auto"/>
          <w:sz w:val="24"/>
          <w:szCs w:val="24"/>
          <w:highlight w:val="none"/>
        </w:rPr>
        <w:t>3、适用法律</w:t>
      </w:r>
      <w:bookmarkEnd w:id="64"/>
      <w:bookmarkEnd w:id="65"/>
      <w:bookmarkEnd w:id="66"/>
    </w:p>
    <w:p w14:paraId="1AC32FC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46C88D5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 在本项目政府采购活动过程中，如果所执行的标准有更新的，按照最新标准执行。</w:t>
      </w:r>
    </w:p>
    <w:p w14:paraId="54A743EC">
      <w:pPr>
        <w:spacing w:line="460" w:lineRule="exact"/>
        <w:ind w:firstLine="480"/>
        <w:rPr>
          <w:rFonts w:hint="eastAsia" w:ascii="宋体" w:hAnsi="宋体"/>
          <w:b/>
          <w:color w:val="auto"/>
          <w:sz w:val="24"/>
          <w:szCs w:val="24"/>
          <w:highlight w:val="none"/>
        </w:rPr>
      </w:pPr>
      <w:bookmarkStart w:id="67" w:name="_Toc16938523"/>
      <w:bookmarkStart w:id="68" w:name="_Toc513029207"/>
      <w:bookmarkStart w:id="69" w:name="_Toc462564067"/>
      <w:bookmarkStart w:id="70" w:name="_Toc20823279"/>
      <w:r>
        <w:rPr>
          <w:rFonts w:hint="eastAsia" w:ascii="宋体" w:hAnsi="宋体"/>
          <w:b/>
          <w:color w:val="auto"/>
          <w:sz w:val="24"/>
          <w:szCs w:val="24"/>
          <w:highlight w:val="none"/>
        </w:rPr>
        <w:t>4、投标费用</w:t>
      </w:r>
      <w:bookmarkEnd w:id="67"/>
      <w:bookmarkEnd w:id="68"/>
      <w:bookmarkEnd w:id="69"/>
      <w:bookmarkEnd w:id="70"/>
    </w:p>
    <w:p w14:paraId="2BC5C1F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 投标人应自行承担所有与参加投标有关的费用，无论投标过程中的做法和结果如何，采购人或采购代理机构在任何情况下均无义务和责任承担这些费用。</w:t>
      </w:r>
    </w:p>
    <w:p w14:paraId="45AE5D78">
      <w:pPr>
        <w:tabs>
          <w:tab w:val="left" w:pos="3262"/>
        </w:tabs>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4.2代理</w:t>
      </w:r>
      <w:r>
        <w:rPr>
          <w:rFonts w:hint="eastAsia" w:ascii="宋体" w:hAnsi="宋体"/>
          <w:color w:val="000000" w:themeColor="text1"/>
          <w:sz w:val="24"/>
          <w:szCs w:val="24"/>
          <w:highlight w:val="none"/>
          <w14:textFill>
            <w14:solidFill>
              <w14:schemeClr w14:val="tx1"/>
            </w14:solidFill>
          </w14:textFill>
        </w:rPr>
        <w:t>机构将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代理合同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向中标人收取服务费用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潜在供应商在报价时充分考虑其费用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auto"/>
          <w:sz w:val="24"/>
          <w:szCs w:val="24"/>
          <w:highlight w:val="none"/>
        </w:rPr>
        <w:t>由中标人在</w:t>
      </w:r>
      <w:bookmarkStart w:id="205" w:name="_GoBack"/>
      <w:bookmarkEnd w:id="205"/>
      <w:r>
        <w:rPr>
          <w:rFonts w:hint="eastAsia" w:asciiTheme="minorEastAsia" w:hAnsiTheme="minorEastAsia" w:eastAsiaTheme="minorEastAsia" w:cstheme="minorEastAsia"/>
          <w:color w:val="auto"/>
          <w:sz w:val="24"/>
          <w:szCs w:val="24"/>
          <w:highlight w:val="none"/>
        </w:rPr>
        <w:t>领取中标通知书前一次性支付</w:t>
      </w:r>
      <w:r>
        <w:rPr>
          <w:rFonts w:hint="eastAsia" w:ascii="宋体" w:hAnsi="宋体"/>
          <w:color w:val="auto"/>
          <w:sz w:val="24"/>
          <w:szCs w:val="24"/>
          <w:highlight w:val="none"/>
        </w:rPr>
        <w:t>。</w:t>
      </w:r>
    </w:p>
    <w:p w14:paraId="24C6FF26">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5、招标文件的约束力</w:t>
      </w:r>
    </w:p>
    <w:p w14:paraId="574C1A9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投标人一旦参加本项目采购活动，即被认为接受了本招标文件的规定和约束。</w:t>
      </w:r>
    </w:p>
    <w:p w14:paraId="0C27CFF8">
      <w:pPr>
        <w:spacing w:line="460" w:lineRule="exact"/>
        <w:ind w:firstLine="480"/>
        <w:rPr>
          <w:rFonts w:hint="eastAsia" w:ascii="宋体" w:hAnsi="宋体"/>
          <w:b/>
          <w:color w:val="auto"/>
          <w:sz w:val="24"/>
          <w:szCs w:val="24"/>
          <w:highlight w:val="none"/>
        </w:rPr>
      </w:pPr>
      <w:bookmarkStart w:id="71" w:name="_Toc16938525"/>
      <w:bookmarkStart w:id="72" w:name="_Toc120614215"/>
      <w:bookmarkStart w:id="73" w:name="_Toc513029209"/>
      <w:bookmarkStart w:id="74" w:name="_Toc20823281"/>
      <w:r>
        <w:rPr>
          <w:rFonts w:hint="eastAsia" w:ascii="宋体" w:hAnsi="宋体"/>
          <w:b/>
          <w:color w:val="auto"/>
          <w:sz w:val="24"/>
          <w:szCs w:val="24"/>
          <w:highlight w:val="none"/>
        </w:rPr>
        <w:t>二、招标文件</w:t>
      </w:r>
      <w:bookmarkEnd w:id="71"/>
      <w:bookmarkEnd w:id="72"/>
      <w:bookmarkEnd w:id="73"/>
      <w:bookmarkEnd w:id="74"/>
    </w:p>
    <w:p w14:paraId="4509ED31">
      <w:pPr>
        <w:spacing w:line="460" w:lineRule="exact"/>
        <w:ind w:firstLine="480"/>
        <w:rPr>
          <w:rFonts w:hint="eastAsia" w:ascii="宋体" w:hAnsi="宋体"/>
          <w:b/>
          <w:color w:val="auto"/>
          <w:sz w:val="24"/>
          <w:szCs w:val="24"/>
          <w:highlight w:val="none"/>
        </w:rPr>
      </w:pPr>
      <w:bookmarkStart w:id="75" w:name="_Toc16938526"/>
      <w:bookmarkStart w:id="76" w:name="_Toc20823282"/>
      <w:bookmarkStart w:id="77" w:name="_Toc513029210"/>
      <w:r>
        <w:rPr>
          <w:rFonts w:hint="eastAsia" w:ascii="宋体" w:hAnsi="宋体"/>
          <w:b/>
          <w:color w:val="auto"/>
          <w:sz w:val="24"/>
          <w:szCs w:val="24"/>
          <w:highlight w:val="none"/>
        </w:rPr>
        <w:t>6、招标文件构成</w:t>
      </w:r>
      <w:bookmarkEnd w:id="75"/>
      <w:bookmarkEnd w:id="76"/>
      <w:bookmarkEnd w:id="77"/>
    </w:p>
    <w:p w14:paraId="24631D6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6.1 招标文件由以下部分组成：</w:t>
      </w:r>
    </w:p>
    <w:p w14:paraId="6316896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（1）招标公告</w:t>
      </w:r>
    </w:p>
    <w:p w14:paraId="022305F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41B469B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5617952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6D51635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782AA0C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1DAD38ED">
      <w:pPr>
        <w:spacing w:line="460" w:lineRule="exact"/>
        <w:ind w:firstLine="480"/>
        <w:rPr>
          <w:rFonts w:hint="eastAsia" w:ascii="宋体" w:hAnsi="宋体"/>
          <w:color w:val="auto"/>
          <w:sz w:val="24"/>
          <w:szCs w:val="21"/>
          <w:highlight w:val="none"/>
        </w:rPr>
      </w:pPr>
      <w:r>
        <w:rPr>
          <w:rFonts w:hint="eastAsia" w:ascii="宋体" w:hAnsi="宋体"/>
          <w:color w:val="auto"/>
          <w:sz w:val="24"/>
          <w:szCs w:val="24"/>
          <w:highlight w:val="none"/>
        </w:rPr>
        <w:t>请仔细检查招标文</w:t>
      </w:r>
      <w:r>
        <w:rPr>
          <w:rFonts w:hint="eastAsia" w:ascii="宋体" w:hAnsi="宋体"/>
          <w:color w:val="auto"/>
          <w:sz w:val="24"/>
          <w:szCs w:val="21"/>
          <w:highlight w:val="none"/>
        </w:rPr>
        <w:t>件是否齐全，如有缺漏请立即与采购人或采购代理机构联系解决。</w:t>
      </w:r>
    </w:p>
    <w:p w14:paraId="6DF592F1">
      <w:pPr>
        <w:spacing w:line="460" w:lineRule="exact"/>
        <w:ind w:firstLine="480"/>
        <w:rPr>
          <w:rFonts w:hint="eastAsia" w:ascii="宋体" w:hAnsi="宋体"/>
          <w:color w:val="auto"/>
          <w:sz w:val="24"/>
          <w:szCs w:val="24"/>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 xml:space="preserve"> </w:t>
      </w:r>
      <w:r>
        <w:rPr>
          <w:rFonts w:hint="eastAsia" w:ascii="宋体" w:hAnsi="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B6100B5">
      <w:pPr>
        <w:spacing w:line="460" w:lineRule="exact"/>
        <w:ind w:firstLine="480"/>
        <w:rPr>
          <w:rFonts w:hint="eastAsia" w:ascii="宋体" w:hAnsi="宋体"/>
          <w:b/>
          <w:bCs/>
          <w:color w:val="auto"/>
          <w:sz w:val="24"/>
          <w:szCs w:val="24"/>
          <w:highlight w:val="none"/>
        </w:rPr>
      </w:pPr>
      <w:bookmarkStart w:id="78" w:name="_Toc16938527"/>
      <w:bookmarkStart w:id="79" w:name="_Toc513029211"/>
      <w:bookmarkStart w:id="80" w:name="_Toc462564070"/>
      <w:bookmarkStart w:id="81" w:name="_Toc20823283"/>
      <w:r>
        <w:rPr>
          <w:rFonts w:hint="eastAsia" w:ascii="宋体" w:hAnsi="宋体"/>
          <w:b/>
          <w:bCs/>
          <w:color w:val="auto"/>
          <w:sz w:val="24"/>
          <w:szCs w:val="24"/>
          <w:highlight w:val="none"/>
        </w:rPr>
        <w:t>7、招标文件的澄清</w:t>
      </w:r>
      <w:bookmarkEnd w:id="78"/>
      <w:bookmarkEnd w:id="79"/>
      <w:bookmarkEnd w:id="80"/>
      <w:bookmarkEnd w:id="81"/>
    </w:p>
    <w:p w14:paraId="6147265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 任何要求对招标文件进行澄清的投标人，应在投标截止期十日前按招标公告中的通讯地址，以书面形式通知采购人或采购代理机构。</w:t>
      </w:r>
    </w:p>
    <w:p w14:paraId="5858F3EA">
      <w:pPr>
        <w:spacing w:line="460" w:lineRule="exact"/>
        <w:ind w:firstLine="480"/>
        <w:rPr>
          <w:rFonts w:hint="eastAsia" w:ascii="宋体" w:hAnsi="宋体"/>
          <w:b/>
          <w:bCs/>
          <w:color w:val="auto"/>
          <w:sz w:val="24"/>
          <w:szCs w:val="24"/>
          <w:highlight w:val="none"/>
        </w:rPr>
      </w:pPr>
      <w:bookmarkStart w:id="82" w:name="_Toc462564071"/>
      <w:bookmarkStart w:id="83" w:name="_Toc16938528"/>
      <w:bookmarkStart w:id="84" w:name="_Toc513029212"/>
      <w:bookmarkStart w:id="85" w:name="_Toc20823284"/>
      <w:r>
        <w:rPr>
          <w:rFonts w:hint="eastAsia" w:ascii="宋体" w:hAnsi="宋体"/>
          <w:b/>
          <w:bCs/>
          <w:color w:val="auto"/>
          <w:sz w:val="24"/>
          <w:szCs w:val="24"/>
          <w:highlight w:val="none"/>
        </w:rPr>
        <w:t>8、招标文件的修改</w:t>
      </w:r>
      <w:bookmarkEnd w:id="82"/>
      <w:bookmarkEnd w:id="83"/>
      <w:bookmarkEnd w:id="84"/>
      <w:bookmarkEnd w:id="85"/>
    </w:p>
    <w:p w14:paraId="3892F0D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8.1 在投标截止时间前，采购人或采购代理机构可以对招标文件进行修改。</w:t>
      </w:r>
    </w:p>
    <w:p w14:paraId="792E050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8.2 采购人或采购代理机构有权按照法定的要求推迟投标截止日期和开标日期。</w:t>
      </w:r>
    </w:p>
    <w:p w14:paraId="514F9B3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8.3 招标文件的修改将在中国政府采购网、江苏政府采购网、盐城市政府采购网、阜宁县公共资源电子化服务平台公布，补充文件将作为招标文件的组成部分，并对投标人具有约束力。</w:t>
      </w:r>
    </w:p>
    <w:p w14:paraId="6BC0DCBE">
      <w:pPr>
        <w:spacing w:line="460" w:lineRule="exact"/>
        <w:ind w:firstLine="480"/>
        <w:rPr>
          <w:rFonts w:hint="eastAsia" w:ascii="宋体" w:hAnsi="宋体"/>
          <w:b/>
          <w:bCs/>
          <w:color w:val="auto"/>
          <w:sz w:val="24"/>
          <w:szCs w:val="24"/>
          <w:highlight w:val="none"/>
        </w:rPr>
      </w:pPr>
      <w:bookmarkStart w:id="86" w:name="_Toc16938529"/>
      <w:bookmarkStart w:id="87" w:name="_Toc120614216"/>
      <w:bookmarkStart w:id="88" w:name="_Toc20823285"/>
      <w:bookmarkStart w:id="89" w:name="_Toc513029213"/>
      <w:bookmarkStart w:id="90" w:name="_Toc462564072"/>
      <w:r>
        <w:rPr>
          <w:rFonts w:hint="eastAsia" w:ascii="宋体" w:hAnsi="宋体"/>
          <w:b/>
          <w:bCs/>
          <w:color w:val="auto"/>
          <w:sz w:val="24"/>
          <w:szCs w:val="24"/>
          <w:highlight w:val="none"/>
        </w:rPr>
        <w:t>三、投标文件的编制</w:t>
      </w:r>
      <w:bookmarkEnd w:id="86"/>
      <w:bookmarkEnd w:id="87"/>
      <w:bookmarkEnd w:id="88"/>
      <w:bookmarkEnd w:id="89"/>
      <w:bookmarkEnd w:id="90"/>
    </w:p>
    <w:p w14:paraId="129C107A">
      <w:pPr>
        <w:spacing w:line="460" w:lineRule="exact"/>
        <w:ind w:firstLine="480"/>
        <w:rPr>
          <w:rFonts w:hint="eastAsia" w:ascii="宋体" w:hAnsi="宋体"/>
          <w:color w:val="auto"/>
          <w:sz w:val="24"/>
          <w:szCs w:val="24"/>
          <w:highlight w:val="none"/>
        </w:rPr>
      </w:pPr>
      <w:bookmarkStart w:id="91" w:name="_Toc462564073"/>
      <w:bookmarkStart w:id="92" w:name="_Toc20823286"/>
      <w:bookmarkStart w:id="93" w:name="_Toc16938530"/>
      <w:bookmarkStart w:id="94" w:name="_Toc513029214"/>
      <w:r>
        <w:rPr>
          <w:rFonts w:hint="eastAsia" w:ascii="宋体" w:hAnsi="宋体"/>
          <w:color w:val="auto"/>
          <w:sz w:val="24"/>
          <w:szCs w:val="24"/>
          <w:highlight w:val="none"/>
        </w:rPr>
        <w:t>9、投标文件的语言及度量衡单位</w:t>
      </w:r>
      <w:bookmarkEnd w:id="91"/>
      <w:bookmarkEnd w:id="92"/>
      <w:bookmarkEnd w:id="93"/>
      <w:bookmarkEnd w:id="94"/>
      <w:r>
        <w:rPr>
          <w:rFonts w:hint="eastAsia" w:ascii="宋体" w:hAnsi="宋体"/>
          <w:color w:val="auto"/>
          <w:sz w:val="24"/>
          <w:szCs w:val="24"/>
          <w:highlight w:val="none"/>
        </w:rPr>
        <w:tab/>
      </w:r>
    </w:p>
    <w:p w14:paraId="65F63DA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简体中文。</w:t>
      </w:r>
    </w:p>
    <w:p w14:paraId="27326AC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9.2 除技术性能另有规定外，投标文件所使用的度量衡单位，均须采用国家法定计量单位。</w:t>
      </w:r>
    </w:p>
    <w:p w14:paraId="4B376FD9">
      <w:pPr>
        <w:spacing w:line="460" w:lineRule="exact"/>
        <w:ind w:firstLine="480"/>
        <w:rPr>
          <w:rFonts w:hint="eastAsia" w:ascii="宋体" w:hAnsi="宋体"/>
          <w:b/>
          <w:bCs/>
          <w:color w:val="auto"/>
          <w:sz w:val="24"/>
          <w:szCs w:val="24"/>
          <w:highlight w:val="none"/>
        </w:rPr>
      </w:pPr>
      <w:bookmarkStart w:id="95" w:name="_Toc20823287"/>
      <w:bookmarkStart w:id="96" w:name="_Toc462564074"/>
      <w:bookmarkStart w:id="97" w:name="_Toc16938531"/>
      <w:bookmarkStart w:id="98" w:name="_Toc513029215"/>
      <w:r>
        <w:rPr>
          <w:rFonts w:hint="eastAsia" w:ascii="宋体" w:hAnsi="宋体"/>
          <w:b/>
          <w:bCs/>
          <w:color w:val="auto"/>
          <w:sz w:val="24"/>
          <w:szCs w:val="24"/>
          <w:highlight w:val="none"/>
        </w:rPr>
        <w:t>10、投标文件构成</w:t>
      </w:r>
      <w:bookmarkEnd w:id="95"/>
      <w:bookmarkEnd w:id="96"/>
      <w:bookmarkEnd w:id="97"/>
      <w:bookmarkEnd w:id="98"/>
    </w:p>
    <w:p w14:paraId="5AEED12E">
      <w:pPr>
        <w:spacing w:line="460" w:lineRule="exact"/>
        <w:ind w:firstLine="480"/>
        <w:rPr>
          <w:rFonts w:hint="eastAsia" w:ascii="宋体" w:hAnsi="宋体"/>
          <w:color w:val="auto"/>
          <w:sz w:val="24"/>
          <w:szCs w:val="24"/>
          <w:highlight w:val="none"/>
        </w:rPr>
      </w:pPr>
      <w:bookmarkStart w:id="99" w:name="_Hlt26954838"/>
      <w:bookmarkEnd w:id="99"/>
      <w:bookmarkStart w:id="100" w:name="_Hlt26668975"/>
      <w:bookmarkEnd w:id="100"/>
      <w:bookmarkStart w:id="101" w:name="_Hlt26670360"/>
      <w:bookmarkEnd w:id="101"/>
      <w:bookmarkStart w:id="102" w:name="_Toc49090507"/>
      <w:bookmarkStart w:id="103" w:name="_Toc14577354"/>
      <w:bookmarkStart w:id="104" w:name="_Toc513029219"/>
      <w:bookmarkStart w:id="105" w:name="_Toc49090509"/>
      <w:bookmarkStart w:id="106" w:name="_Toc513029216"/>
      <w:bookmarkStart w:id="107" w:name="_Toc14577357"/>
      <w:bookmarkStart w:id="108" w:name="_Toc49090508"/>
      <w:bookmarkStart w:id="109" w:name="_Toc14577355"/>
      <w:r>
        <w:rPr>
          <w:rFonts w:hint="eastAsia" w:ascii="宋体" w:hAnsi="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41361A9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10.2 如标书制作工具中格式和内容与“中国政府采购网”、“江苏政府采购网”、“盐城市政府采购网”发布的招标文件不一致，请以中国政府采购网”、“江苏政府采购网”、“盐城市政府采购网”发布的招标文件为准。</w:t>
      </w:r>
    </w:p>
    <w:p w14:paraId="056F9DD5">
      <w:pPr>
        <w:spacing w:line="460" w:lineRule="exact"/>
        <w:ind w:firstLine="480"/>
        <w:rPr>
          <w:rFonts w:hint="eastAsia" w:ascii="宋体" w:hAnsi="宋体"/>
          <w:color w:val="auto"/>
          <w:sz w:val="24"/>
          <w:szCs w:val="24"/>
          <w:highlight w:val="none"/>
        </w:rPr>
      </w:pPr>
      <w:r>
        <w:rPr>
          <w:rFonts w:hint="eastAsia" w:ascii="宋体" w:hAnsi="宋体"/>
          <w:b/>
          <w:bCs/>
          <w:color w:val="auto"/>
          <w:sz w:val="24"/>
          <w:szCs w:val="24"/>
          <w:highlight w:val="none"/>
        </w:rPr>
        <w:t>11、证明投标人及投标标的符合招标文件规定的文件</w:t>
      </w:r>
      <w:bookmarkEnd w:id="102"/>
      <w:bookmarkEnd w:id="103"/>
      <w:bookmarkEnd w:id="104"/>
      <w:bookmarkEnd w:id="105"/>
      <w:bookmarkEnd w:id="106"/>
      <w:bookmarkEnd w:id="107"/>
    </w:p>
    <w:p w14:paraId="6D7C588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 投标人应按照招标文件要求提交证明文件，证明其及投标标的符合招标文件规定。</w:t>
      </w:r>
    </w:p>
    <w:p w14:paraId="1A387F6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bookmarkEnd w:id="108"/>
      <w:bookmarkEnd w:id="109"/>
    </w:p>
    <w:p w14:paraId="283252F9">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12、投标分项报价表（如有）</w:t>
      </w:r>
    </w:p>
    <w:p w14:paraId="79D6480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12.1 投标人应按照招标文件规定格式填报投标分项报价表。</w:t>
      </w:r>
    </w:p>
    <w:p w14:paraId="2182B99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12.2投标货币。投标文件中的单价和总价无特殊规定的采用人民币报价，以元为单位标注。招标文件中另有规定的按规定执行。</w:t>
      </w:r>
    </w:p>
    <w:p w14:paraId="27F013D4">
      <w:pPr>
        <w:spacing w:line="460" w:lineRule="exact"/>
        <w:ind w:firstLine="480"/>
        <w:rPr>
          <w:rFonts w:hint="eastAsia" w:ascii="宋体" w:hAnsi="宋体"/>
          <w:b/>
          <w:color w:val="auto"/>
          <w:sz w:val="24"/>
          <w:szCs w:val="24"/>
          <w:highlight w:val="none"/>
        </w:rPr>
      </w:pPr>
      <w:bookmarkStart w:id="110" w:name="_Hlt26954848"/>
      <w:bookmarkEnd w:id="110"/>
      <w:bookmarkStart w:id="111" w:name="_Hlt26670486"/>
      <w:bookmarkEnd w:id="111"/>
      <w:bookmarkStart w:id="112" w:name="_Hlt26954846"/>
      <w:bookmarkEnd w:id="112"/>
      <w:bookmarkStart w:id="113" w:name="_Hlt26670482"/>
      <w:bookmarkEnd w:id="113"/>
      <w:bookmarkStart w:id="114" w:name="_Hlt26954731"/>
      <w:bookmarkEnd w:id="114"/>
      <w:r>
        <w:rPr>
          <w:rFonts w:hint="eastAsia" w:ascii="宋体" w:hAnsi="宋体"/>
          <w:b/>
          <w:color w:val="auto"/>
          <w:sz w:val="24"/>
          <w:szCs w:val="24"/>
          <w:highlight w:val="none"/>
        </w:rPr>
        <w:t>13、技术要求响应及偏离表、商务要求响应及偏离表</w:t>
      </w:r>
    </w:p>
    <w:p w14:paraId="4A7B5822">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 xml:space="preserve"> 投标人需对招标文件中的技术要求与商务要求逐项作出响应或偏离，并说明原因。</w:t>
      </w:r>
    </w:p>
    <w:p w14:paraId="1385431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13.2 投标人可在投标文件中提供认为需要的其他技术文件或说明。</w:t>
      </w:r>
    </w:p>
    <w:p w14:paraId="551D69B5">
      <w:pPr>
        <w:spacing w:line="460" w:lineRule="exact"/>
        <w:ind w:firstLine="480"/>
        <w:rPr>
          <w:rFonts w:hint="eastAsia" w:ascii="宋体" w:hAnsi="宋体"/>
          <w:b/>
          <w:color w:val="auto"/>
          <w:sz w:val="24"/>
          <w:szCs w:val="24"/>
          <w:highlight w:val="none"/>
        </w:rPr>
      </w:pPr>
      <w:bookmarkStart w:id="115" w:name="_Toc49090510"/>
      <w:bookmarkStart w:id="116" w:name="_Toc14577359"/>
      <w:r>
        <w:rPr>
          <w:rFonts w:hint="eastAsia" w:ascii="宋体" w:hAnsi="宋体"/>
          <w:b/>
          <w:color w:val="auto"/>
          <w:sz w:val="24"/>
          <w:szCs w:val="24"/>
          <w:highlight w:val="none"/>
        </w:rPr>
        <w:t>14、投标函和开标一览表</w:t>
      </w:r>
    </w:p>
    <w:p w14:paraId="631EAAA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14.1 投标人应按照招标文件中提供的格式完整、正确填写投标函、开标一览表。</w:t>
      </w:r>
    </w:p>
    <w:p w14:paraId="7F43EB3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对于采用货币报价的项目，开标一览表中的投标总报价应与投标分项报价表中的投标总报价一致，如不一致，不作为无效投标处理，但评标时按开标一览表中价格为准。</w:t>
      </w:r>
      <w:bookmarkEnd w:id="115"/>
      <w:bookmarkEnd w:id="116"/>
    </w:p>
    <w:p w14:paraId="42078F59">
      <w:pPr>
        <w:spacing w:line="460" w:lineRule="exact"/>
        <w:ind w:firstLine="480"/>
        <w:rPr>
          <w:rFonts w:hint="eastAsia" w:ascii="宋体" w:hAnsi="宋体"/>
          <w:b/>
          <w:color w:val="auto"/>
          <w:sz w:val="24"/>
          <w:szCs w:val="24"/>
          <w:highlight w:val="none"/>
        </w:rPr>
      </w:pPr>
      <w:bookmarkStart w:id="117" w:name="_Toc14577360"/>
      <w:bookmarkStart w:id="118" w:name="_Toc49090511"/>
      <w:r>
        <w:rPr>
          <w:rFonts w:hint="eastAsia" w:ascii="宋体" w:hAnsi="宋体"/>
          <w:b/>
          <w:color w:val="auto"/>
          <w:sz w:val="24"/>
          <w:szCs w:val="24"/>
          <w:highlight w:val="none"/>
        </w:rPr>
        <w:t>15、投标有效期</w:t>
      </w:r>
      <w:bookmarkEnd w:id="117"/>
      <w:bookmarkEnd w:id="118"/>
    </w:p>
    <w:p w14:paraId="0205DA6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六十（60）</w:t>
      </w:r>
      <w:r>
        <w:rPr>
          <w:rFonts w:hint="eastAsia" w:ascii="宋体" w:hAnsi="宋体"/>
          <w:b/>
          <w:bCs/>
          <w:color w:val="auto"/>
          <w:sz w:val="24"/>
          <w:szCs w:val="24"/>
          <w:highlight w:val="none"/>
        </w:rPr>
        <w:t>天</w:t>
      </w:r>
      <w:r>
        <w:rPr>
          <w:rFonts w:hint="eastAsia" w:ascii="宋体" w:hAnsi="宋体"/>
          <w:color w:val="auto"/>
          <w:sz w:val="24"/>
          <w:szCs w:val="24"/>
          <w:highlight w:val="none"/>
        </w:rPr>
        <w:t>。投标有效期比规定短的将被视为未实质性响应招标文件而予以拒绝。</w:t>
      </w:r>
    </w:p>
    <w:p w14:paraId="0202AB90">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16、投标有效期的延长</w:t>
      </w:r>
    </w:p>
    <w:p w14:paraId="6893372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C07F1EB">
      <w:pPr>
        <w:spacing w:line="460" w:lineRule="exact"/>
        <w:ind w:firstLine="480"/>
        <w:rPr>
          <w:rFonts w:hint="eastAsia" w:ascii="宋体" w:hAnsi="宋体"/>
          <w:b/>
          <w:color w:val="auto"/>
          <w:sz w:val="24"/>
          <w:szCs w:val="24"/>
          <w:highlight w:val="none"/>
        </w:rPr>
      </w:pPr>
      <w:bookmarkStart w:id="119" w:name="_Hlt26954739"/>
      <w:bookmarkEnd w:id="119"/>
      <w:bookmarkStart w:id="120" w:name="_Hlt26954852"/>
      <w:bookmarkEnd w:id="120"/>
      <w:bookmarkStart w:id="121" w:name="_Toc16938540"/>
      <w:bookmarkStart w:id="122" w:name="_Toc120614217"/>
      <w:bookmarkStart w:id="123" w:name="_Toc20823296"/>
      <w:bookmarkStart w:id="124" w:name="_Toc513029224"/>
      <w:r>
        <w:rPr>
          <w:rFonts w:hint="eastAsia" w:ascii="宋体" w:hAnsi="宋体"/>
          <w:b/>
          <w:color w:val="auto"/>
          <w:sz w:val="24"/>
          <w:szCs w:val="24"/>
          <w:highlight w:val="none"/>
        </w:rPr>
        <w:t>四、投标文件的递交</w:t>
      </w:r>
      <w:bookmarkEnd w:id="121"/>
      <w:bookmarkEnd w:id="122"/>
      <w:bookmarkEnd w:id="123"/>
      <w:bookmarkEnd w:id="124"/>
    </w:p>
    <w:p w14:paraId="62874BCF">
      <w:pPr>
        <w:spacing w:line="460" w:lineRule="exact"/>
        <w:ind w:firstLine="480"/>
        <w:rPr>
          <w:rFonts w:hint="eastAsia" w:ascii="宋体" w:hAnsi="宋体"/>
          <w:b/>
          <w:color w:val="auto"/>
          <w:sz w:val="24"/>
          <w:szCs w:val="24"/>
          <w:highlight w:val="none"/>
        </w:rPr>
      </w:pPr>
      <w:bookmarkStart w:id="125" w:name="_Toc20823297"/>
      <w:bookmarkStart w:id="126" w:name="_Toc462564084"/>
      <w:bookmarkStart w:id="127" w:name="_Toc16938541"/>
      <w:bookmarkStart w:id="128" w:name="_Toc513029225"/>
      <w:r>
        <w:rPr>
          <w:rFonts w:hint="eastAsia" w:ascii="宋体" w:hAnsi="宋体"/>
          <w:b/>
          <w:color w:val="auto"/>
          <w:sz w:val="24"/>
          <w:szCs w:val="24"/>
          <w:highlight w:val="none"/>
        </w:rPr>
        <w:t>17、电子投标文件</w:t>
      </w:r>
      <w:bookmarkEnd w:id="125"/>
      <w:bookmarkEnd w:id="126"/>
      <w:bookmarkEnd w:id="127"/>
      <w:bookmarkEnd w:id="128"/>
      <w:r>
        <w:rPr>
          <w:rFonts w:hint="eastAsia" w:ascii="宋体" w:hAnsi="宋体"/>
          <w:b/>
          <w:color w:val="auto"/>
          <w:sz w:val="24"/>
          <w:szCs w:val="24"/>
          <w:highlight w:val="none"/>
        </w:rPr>
        <w:t>的递交</w:t>
      </w:r>
    </w:p>
    <w:p w14:paraId="25E1689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17.1投标人应当按照《操作手册》规定，在投标截止时间前</w:t>
      </w:r>
      <w:r>
        <w:rPr>
          <w:rFonts w:ascii="宋体" w:hAnsi="宋体"/>
          <w:color w:val="auto"/>
          <w:sz w:val="24"/>
          <w:szCs w:val="24"/>
          <w:highlight w:val="none"/>
        </w:rPr>
        <w:t>制作</w:t>
      </w:r>
      <w:r>
        <w:rPr>
          <w:rFonts w:hint="eastAsia" w:ascii="宋体" w:hAnsi="宋体"/>
          <w:color w:val="auto"/>
          <w:sz w:val="24"/>
          <w:szCs w:val="24"/>
          <w:highlight w:val="none"/>
        </w:rPr>
        <w:t>并上传电子投标文件。</w:t>
      </w:r>
      <w:bookmarkStart w:id="129" w:name="_Toc20823298"/>
      <w:bookmarkStart w:id="130" w:name="_Toc513029226"/>
      <w:bookmarkStart w:id="131" w:name="_Toc16938542"/>
    </w:p>
    <w:p w14:paraId="7525DAF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17.2</w:t>
      </w:r>
      <w:r>
        <w:rPr>
          <w:rFonts w:hint="eastAsia" w:ascii="宋体" w:hAnsi="宋体"/>
          <w:b/>
          <w:color w:val="auto"/>
          <w:sz w:val="24"/>
          <w:szCs w:val="24"/>
          <w:highlight w:val="none"/>
        </w:rPr>
        <w:t>中标人在领取中标通知书之前，必须提供</w:t>
      </w: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份与电子投标文件一致的纸质打印投标文件并且加盖投标人公章。</w:t>
      </w:r>
    </w:p>
    <w:p w14:paraId="1C858EAC">
      <w:pPr>
        <w:spacing w:line="460" w:lineRule="exact"/>
        <w:ind w:firstLine="480"/>
        <w:rPr>
          <w:rFonts w:hint="eastAsia" w:ascii="宋体" w:hAnsi="宋体"/>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8、投标截止日期</w:t>
      </w:r>
      <w:bookmarkEnd w:id="129"/>
      <w:bookmarkEnd w:id="130"/>
      <w:bookmarkEnd w:id="131"/>
    </w:p>
    <w:p w14:paraId="1B69856F">
      <w:pPr>
        <w:spacing w:line="460" w:lineRule="exact"/>
        <w:ind w:firstLine="480"/>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1</w:t>
      </w:r>
      <w:r>
        <w:rPr>
          <w:rFonts w:hint="eastAsia" w:ascii="宋体" w:hAnsi="宋体"/>
          <w:b/>
          <w:i/>
          <w:iCs/>
          <w:color w:val="auto"/>
          <w:sz w:val="24"/>
          <w:szCs w:val="24"/>
          <w:highlight w:val="none"/>
          <w:u w:val="single"/>
        </w:rPr>
        <w:t>8.1 投标人上传电子投标文件的时间不得迟于招标公告中规定的投标截止时间。</w:t>
      </w:r>
    </w:p>
    <w:p w14:paraId="4BE9B8B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26</w:t>
      </w:r>
      <w:r>
        <w:rPr>
          <w:rFonts w:hint="eastAsia" w:ascii="宋体" w:hAnsi="宋体"/>
          <w:color w:val="auto"/>
          <w:sz w:val="24"/>
          <w:szCs w:val="24"/>
          <w:highlight w:val="none"/>
        </w:rPr>
        <w:t>.1.2条规定做无效投标处理。</w:t>
      </w:r>
    </w:p>
    <w:p w14:paraId="0DD700D0">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8.2 采购人及采购代理机构可以按照规定，通过修改招标文件酌情延长投标截止日期，在此情况下，投标人的所有权利和义务以及投标人受制的截止日期均应以延长后新的截止日期为准。</w:t>
      </w:r>
    </w:p>
    <w:p w14:paraId="07A6BC2A">
      <w:pPr>
        <w:spacing w:line="460" w:lineRule="exact"/>
        <w:ind w:firstLine="480"/>
        <w:rPr>
          <w:rFonts w:hint="eastAsia" w:ascii="宋体" w:hAnsi="宋体"/>
          <w:b/>
          <w:color w:val="auto"/>
          <w:sz w:val="24"/>
          <w:szCs w:val="24"/>
          <w:highlight w:val="none"/>
        </w:rPr>
      </w:pPr>
      <w:bookmarkStart w:id="132" w:name="_Toc20823299"/>
      <w:bookmarkStart w:id="133" w:name="_Toc513029227"/>
      <w:bookmarkStart w:id="134" w:name="_Toc16938543"/>
      <w:r>
        <w:rPr>
          <w:rFonts w:hint="eastAsia" w:ascii="宋体" w:hAnsi="宋体"/>
          <w:b/>
          <w:color w:val="auto"/>
          <w:sz w:val="24"/>
          <w:szCs w:val="24"/>
          <w:highlight w:val="none"/>
        </w:rPr>
        <w:t>19、投标文件</w:t>
      </w:r>
      <w:bookmarkEnd w:id="132"/>
      <w:bookmarkEnd w:id="133"/>
      <w:bookmarkEnd w:id="134"/>
      <w:r>
        <w:rPr>
          <w:rFonts w:hint="eastAsia" w:ascii="宋体" w:hAnsi="宋体"/>
          <w:b/>
          <w:color w:val="auto"/>
          <w:sz w:val="24"/>
          <w:szCs w:val="24"/>
          <w:highlight w:val="none"/>
        </w:rPr>
        <w:t>的拒收</w:t>
      </w:r>
    </w:p>
    <w:p w14:paraId="3CCCC0C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19.1 采购人及采购代理机构拒绝接收在其规定的投标截止时间后上传的任何投标文件。</w:t>
      </w:r>
    </w:p>
    <w:p w14:paraId="62CF3CA2">
      <w:pPr>
        <w:spacing w:line="460" w:lineRule="exact"/>
        <w:ind w:firstLine="480"/>
        <w:rPr>
          <w:rFonts w:hint="eastAsia" w:ascii="宋体" w:hAnsi="宋体"/>
          <w:b/>
          <w:color w:val="auto"/>
          <w:sz w:val="24"/>
          <w:szCs w:val="24"/>
          <w:highlight w:val="none"/>
        </w:rPr>
      </w:pPr>
      <w:bookmarkStart w:id="135" w:name="_Toc513029228"/>
      <w:bookmarkStart w:id="136" w:name="_Toc16938544"/>
      <w:bookmarkStart w:id="137" w:name="_Toc20823300"/>
      <w:r>
        <w:rPr>
          <w:rFonts w:hint="eastAsia" w:ascii="宋体" w:hAnsi="宋体"/>
          <w:b/>
          <w:color w:val="auto"/>
          <w:sz w:val="24"/>
          <w:szCs w:val="24"/>
          <w:highlight w:val="none"/>
        </w:rPr>
        <w:t>20、投标文件的撤回和修改</w:t>
      </w:r>
      <w:bookmarkEnd w:id="135"/>
      <w:bookmarkEnd w:id="136"/>
      <w:bookmarkEnd w:id="137"/>
    </w:p>
    <w:p w14:paraId="3948628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 投标文件的撤回</w:t>
      </w:r>
    </w:p>
    <w:p w14:paraId="7B98F49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20.1.1 电子投标文件的撤回</w:t>
      </w:r>
    </w:p>
    <w:p w14:paraId="3A49EDF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投标人可在投标截止时间前，撤回其电子投标文件，具体操作方法见《操作手册》。</w:t>
      </w:r>
    </w:p>
    <w:p w14:paraId="3310F0E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6980DE5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76C6C4F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20.2.1投标人可在投标截止时间前，对其电子投标文件进行修改，具体操作方法见《操作手册》。</w:t>
      </w:r>
    </w:p>
    <w:p w14:paraId="2A901E9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w:t>
      </w:r>
      <w:r>
        <w:rPr>
          <w:rFonts w:ascii="宋体" w:hAnsi="宋体"/>
          <w:color w:val="auto"/>
          <w:sz w:val="24"/>
          <w:szCs w:val="24"/>
          <w:highlight w:val="none"/>
        </w:rPr>
        <w:t>2.2</w:t>
      </w:r>
      <w:r>
        <w:rPr>
          <w:rFonts w:hint="eastAsia" w:ascii="宋体" w:hAnsi="宋体"/>
          <w:color w:val="auto"/>
          <w:sz w:val="24"/>
          <w:szCs w:val="24"/>
          <w:highlight w:val="none"/>
        </w:rPr>
        <w:t xml:space="preserve"> 在投标截止时间之后，投标人不得对其电子投标文件作任何修改。</w:t>
      </w:r>
    </w:p>
    <w:p w14:paraId="45D6EC1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20.3 在投标截止时间至招标文件中规定的投标有效期满之间的这段时间内，投标人不得撤回其投标。</w:t>
      </w:r>
    </w:p>
    <w:p w14:paraId="5023F194">
      <w:pPr>
        <w:spacing w:line="460" w:lineRule="exact"/>
        <w:ind w:firstLine="480"/>
        <w:rPr>
          <w:rFonts w:hint="eastAsia" w:ascii="宋体" w:hAnsi="宋体"/>
          <w:b/>
          <w:color w:val="auto"/>
          <w:sz w:val="24"/>
          <w:szCs w:val="24"/>
          <w:highlight w:val="none"/>
        </w:rPr>
      </w:pPr>
      <w:bookmarkStart w:id="138" w:name="_Toc20823301"/>
      <w:bookmarkStart w:id="139" w:name="_Toc120614218"/>
      <w:bookmarkStart w:id="140" w:name="_Toc513029229"/>
      <w:bookmarkStart w:id="141" w:name="_Toc16938545"/>
      <w:r>
        <w:rPr>
          <w:rFonts w:hint="eastAsia" w:ascii="宋体" w:hAnsi="宋体"/>
          <w:b/>
          <w:color w:val="auto"/>
          <w:sz w:val="24"/>
          <w:szCs w:val="24"/>
          <w:highlight w:val="none"/>
        </w:rPr>
        <w:t>五、开标与评标</w:t>
      </w:r>
      <w:bookmarkEnd w:id="138"/>
      <w:bookmarkEnd w:id="139"/>
      <w:bookmarkEnd w:id="140"/>
      <w:bookmarkEnd w:id="141"/>
    </w:p>
    <w:p w14:paraId="5217FFA4">
      <w:pPr>
        <w:spacing w:line="460" w:lineRule="exact"/>
        <w:ind w:firstLine="480"/>
        <w:rPr>
          <w:rFonts w:hint="eastAsia" w:ascii="宋体" w:hAnsi="宋体"/>
          <w:b/>
          <w:color w:val="auto"/>
          <w:sz w:val="24"/>
          <w:szCs w:val="24"/>
          <w:highlight w:val="none"/>
        </w:rPr>
      </w:pPr>
      <w:bookmarkStart w:id="142" w:name="_Toc20823302"/>
      <w:bookmarkStart w:id="143" w:name="_Toc513029230"/>
      <w:bookmarkStart w:id="144" w:name="_Toc16938546"/>
      <w:r>
        <w:rPr>
          <w:rFonts w:hint="eastAsia" w:ascii="宋体" w:hAnsi="宋体"/>
          <w:b/>
          <w:color w:val="auto"/>
          <w:sz w:val="24"/>
          <w:szCs w:val="24"/>
          <w:highlight w:val="none"/>
        </w:rPr>
        <w:t>21、开标</w:t>
      </w:r>
      <w:bookmarkEnd w:id="142"/>
      <w:bookmarkEnd w:id="143"/>
      <w:bookmarkEnd w:id="144"/>
    </w:p>
    <w:p w14:paraId="08ECC34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 采购人或采购代理机构将在招标公告中规定的时间和地点组织公开开标。投标人应当按照《操作手册》规定，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2534B2C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21.2开标仪式由采购代理机构组织。苏采云系统将自动对</w:t>
      </w:r>
      <w:r>
        <w:rPr>
          <w:rFonts w:ascii="宋体" w:hAnsi="宋体"/>
          <w:color w:val="auto"/>
          <w:sz w:val="24"/>
          <w:szCs w:val="24"/>
          <w:highlight w:val="none"/>
        </w:rPr>
        <w:t>项目进行开标，</w:t>
      </w:r>
      <w:r>
        <w:rPr>
          <w:rFonts w:hint="eastAsia" w:ascii="宋体" w:hAnsi="宋体"/>
          <w:color w:val="auto"/>
          <w:sz w:val="24"/>
          <w:szCs w:val="24"/>
          <w:highlight w:val="none"/>
        </w:rPr>
        <w:t>并宣布各投标人名称和投标价格。</w:t>
      </w:r>
    </w:p>
    <w:p w14:paraId="6B2EBF6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21.3投标人在开标过程中涉及到的投标文件解密、开标结果确认等工作，应按照《操作手册》规定执行。</w:t>
      </w:r>
    </w:p>
    <w:p w14:paraId="614E13A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21.4投标人如果对开标过程和开标记录有疑义，应当根据《操作手册》规定提出，如苏采云系统中《开标记录表》宣布后5分钟内未提出的，视同认可开标结果。</w:t>
      </w:r>
    </w:p>
    <w:p w14:paraId="5EEF746D">
      <w:pPr>
        <w:spacing w:line="460" w:lineRule="exact"/>
        <w:ind w:firstLine="480"/>
        <w:rPr>
          <w:rFonts w:hint="eastAsia" w:ascii="宋体" w:hAnsi="宋体"/>
          <w:b/>
          <w:color w:val="auto"/>
          <w:sz w:val="24"/>
          <w:szCs w:val="24"/>
          <w:highlight w:val="none"/>
        </w:rPr>
      </w:pPr>
      <w:bookmarkStart w:id="145" w:name="_Toc20823303"/>
      <w:bookmarkStart w:id="146" w:name="_Toc513029231"/>
      <w:bookmarkStart w:id="147" w:name="_Toc16938547"/>
      <w:r>
        <w:rPr>
          <w:rFonts w:hint="eastAsia" w:ascii="宋体" w:hAnsi="宋体"/>
          <w:b/>
          <w:color w:val="auto"/>
          <w:sz w:val="24"/>
          <w:szCs w:val="24"/>
          <w:highlight w:val="none"/>
        </w:rPr>
        <w:t>22、评标委员会</w:t>
      </w:r>
    </w:p>
    <w:p w14:paraId="51F76979">
      <w:pPr>
        <w:spacing w:line="46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 开标后，采购人将立即组织评标委员会（以下简称评委会）进行评标。</w:t>
      </w:r>
    </w:p>
    <w:p w14:paraId="174F1AA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 评委会由采购人代表和有关技术、经济等方面的专家组成，且人员构成符合政府采购有关规定。</w:t>
      </w:r>
    </w:p>
    <w:p w14:paraId="31EEAE8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15481E82">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23、评标过程的保密与公正</w:t>
      </w:r>
      <w:bookmarkEnd w:id="145"/>
      <w:bookmarkEnd w:id="146"/>
      <w:bookmarkEnd w:id="147"/>
    </w:p>
    <w:p w14:paraId="3666D69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23.1凡是与审查、澄清、评价和比较投标的有关资料以及授标建议等，采购人、评委、采购代理机构均不得向投标人或与评标无关的其他人员透露。</w:t>
      </w:r>
    </w:p>
    <w:p w14:paraId="660A067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23.2在评标过程中，投标人不得以任何行为影响评标过程，否则其投标文件将被作为无效投标文件。</w:t>
      </w:r>
    </w:p>
    <w:p w14:paraId="53AA42FF">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3.</w:t>
      </w:r>
      <w:r>
        <w:rPr>
          <w:rFonts w:ascii="宋体" w:hAnsi="宋体"/>
          <w:color w:val="auto"/>
          <w:sz w:val="24"/>
          <w:szCs w:val="24"/>
          <w:highlight w:val="none"/>
        </w:rPr>
        <w:t>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p>
    <w:p w14:paraId="71D8444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p>
    <w:p w14:paraId="38BB8211">
      <w:pPr>
        <w:spacing w:line="460" w:lineRule="exact"/>
        <w:ind w:firstLine="480"/>
        <w:rPr>
          <w:rFonts w:hint="eastAsia" w:ascii="宋体" w:hAnsi="宋体"/>
          <w:b/>
          <w:color w:val="auto"/>
          <w:sz w:val="24"/>
          <w:szCs w:val="24"/>
          <w:highlight w:val="none"/>
        </w:rPr>
      </w:pPr>
      <w:bookmarkStart w:id="148" w:name="_Toc20823304"/>
      <w:bookmarkStart w:id="149" w:name="_Toc16938548"/>
      <w:bookmarkStart w:id="150" w:name="_Toc513029232"/>
      <w:r>
        <w:rPr>
          <w:rFonts w:hint="eastAsia" w:ascii="宋体" w:hAnsi="宋体"/>
          <w:b/>
          <w:color w:val="auto"/>
          <w:sz w:val="24"/>
          <w:szCs w:val="24"/>
          <w:highlight w:val="none"/>
        </w:rPr>
        <w:t>24、投标文件的澄清</w:t>
      </w:r>
      <w:bookmarkEnd w:id="148"/>
      <w:bookmarkEnd w:id="149"/>
      <w:bookmarkEnd w:id="150"/>
    </w:p>
    <w:p w14:paraId="5AE9F929">
      <w:pPr>
        <w:spacing w:line="460" w:lineRule="exact"/>
        <w:ind w:firstLine="480"/>
        <w:rPr>
          <w:rFonts w:hint="eastAsia" w:ascii="宋体" w:hAnsi="宋体"/>
          <w:color w:val="auto"/>
          <w:sz w:val="24"/>
          <w:szCs w:val="24"/>
          <w:highlight w:val="none"/>
        </w:rPr>
      </w:pPr>
      <w:bookmarkStart w:id="151" w:name="_Toc513029233"/>
      <w:bookmarkStart w:id="152" w:name="_Toc20823305"/>
      <w:bookmarkStart w:id="153" w:name="_Toc16938549"/>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3965CB6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362CE32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48AB216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进行澄清、说明和补正的，评委会将通过苏采云系统向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2E5D17C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 接到评委会澄清、说明和补正要求的投标人如未按规定做出澄清、说明和补正，其风险由投标人自行承担。</w:t>
      </w:r>
    </w:p>
    <w:p w14:paraId="7501C59F">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25、对投标文件的初审</w:t>
      </w:r>
      <w:bookmarkEnd w:id="151"/>
      <w:bookmarkEnd w:id="152"/>
      <w:bookmarkEnd w:id="153"/>
    </w:p>
    <w:p w14:paraId="2D7B33C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25.1投标文件初审分为资格审查和符合性审查。</w:t>
      </w:r>
    </w:p>
    <w:p w14:paraId="26337D1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25.1.1 资格审查：依据法律法规和招标文件的规定，由采购人或采购代理机构对投标文件中的资格证明文件进行审查。资格审查的结论，采购人以书面形式向评委会进行反馈。</w:t>
      </w:r>
    </w:p>
    <w:p w14:paraId="09D97E4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采购人或采购代理机构在进行资格性审查的同时，将在“信用中国”网站（www.creditchina.gov.cn）查询投标人的信用记录，以确定投标人是否具备投标资格,查询结果留存并归档。</w:t>
      </w:r>
    </w:p>
    <w:p w14:paraId="3124778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接受联合体的项目，两个以上的自然人、法人或者其他组织组成一个联合体，以一个</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的身份共同参加政府采购活动的,联合体成员中任何一方存在不良信用记录的，视同联合体存在不良应用记录。</w:t>
      </w:r>
    </w:p>
    <w:p w14:paraId="6387239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25.1.2 符合性审查：依据招标文件的规定，由评委会从投标文件的有效性、完整性和对招标文件的响应程度进行审查，以确定是否对招标文件的实质性要求作出响应。</w:t>
      </w:r>
    </w:p>
    <w:p w14:paraId="08AEECC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25.1.3 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4D44529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00A77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E571F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163FAF8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25.4评委会将对确定为实质性响应的投标进行进一步审核，看其是否有计算上或累加上的算术错误，修正错误的原则如下：</w:t>
      </w:r>
    </w:p>
    <w:p w14:paraId="077687E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（1）投标文件中开标一览表内容与投标文件中相应内容不一致的，以开标一览表为准。</w:t>
      </w:r>
    </w:p>
    <w:p w14:paraId="197C87B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5BD73D9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（3）单价金额小数点或者百分比有明显错位的，以开标一览表的总价为准，并修改单价。</w:t>
      </w:r>
    </w:p>
    <w:p w14:paraId="1E90EB0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5640BA1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同时出现两种以上错误的，按照前款规定的顺序修正。</w:t>
      </w:r>
    </w:p>
    <w:p w14:paraId="3E9F5FF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25.5评委会将按上述修正错误的方法调整投标文件中的投标报价，并</w:t>
      </w:r>
      <w:r>
        <w:rPr>
          <w:rFonts w:ascii="宋体" w:hAnsi="宋体"/>
          <w:color w:val="auto"/>
          <w:sz w:val="24"/>
          <w:szCs w:val="24"/>
          <w:highlight w:val="none"/>
        </w:rPr>
        <w:t>通过</w:t>
      </w:r>
      <w:r>
        <w:rPr>
          <w:rFonts w:hint="eastAsia" w:ascii="宋体" w:hAnsi="宋体"/>
          <w:color w:val="auto"/>
          <w:sz w:val="24"/>
          <w:szCs w:val="24"/>
          <w:highlight w:val="none"/>
        </w:rPr>
        <w:t>苏采云系统告知</w:t>
      </w:r>
      <w:r>
        <w:rPr>
          <w:rFonts w:ascii="宋体" w:hAnsi="宋体"/>
          <w:color w:val="auto"/>
          <w:sz w:val="24"/>
          <w:szCs w:val="24"/>
          <w:highlight w:val="none"/>
        </w:rPr>
        <w:t>投标人，</w:t>
      </w:r>
      <w:r>
        <w:rPr>
          <w:rFonts w:hint="eastAsia" w:ascii="宋体" w:hAnsi="宋体"/>
          <w:color w:val="auto"/>
          <w:sz w:val="24"/>
          <w:szCs w:val="24"/>
          <w:highlight w:val="none"/>
        </w:rPr>
        <w:t>调整后的价格应对投标人具有约束力。如果投标人不接受修正后的价格，则其投标将被拒绝。</w:t>
      </w:r>
    </w:p>
    <w:p w14:paraId="1A9148AB">
      <w:pPr>
        <w:spacing w:line="460" w:lineRule="exact"/>
        <w:ind w:firstLine="480"/>
        <w:rPr>
          <w:rFonts w:hint="eastAsia" w:ascii="宋体" w:hAnsi="宋体"/>
          <w:color w:val="auto"/>
          <w:sz w:val="24"/>
          <w:szCs w:val="24"/>
          <w:highlight w:val="none"/>
        </w:rPr>
      </w:pPr>
      <w:bookmarkStart w:id="154" w:name="_Toc20823306"/>
      <w:bookmarkStart w:id="155" w:name="_Toc16938550"/>
      <w:bookmarkStart w:id="156" w:name="_Toc513029234"/>
      <w:r>
        <w:rPr>
          <w:rFonts w:hint="eastAsia" w:ascii="宋体" w:hAnsi="宋体"/>
          <w:color w:val="auto"/>
          <w:sz w:val="24"/>
          <w:szCs w:val="24"/>
          <w:highlight w:val="none"/>
        </w:rPr>
        <w:t>25.6投标人在开、评标全过程中应保持通讯畅通，及时登录苏采云系统查阅</w:t>
      </w:r>
      <w:r>
        <w:rPr>
          <w:rFonts w:ascii="宋体" w:hAnsi="宋体"/>
          <w:color w:val="auto"/>
          <w:sz w:val="24"/>
          <w:szCs w:val="24"/>
          <w:highlight w:val="none"/>
        </w:rPr>
        <w:t>、答复相关</w:t>
      </w:r>
      <w:r>
        <w:rPr>
          <w:rFonts w:hint="eastAsia" w:ascii="宋体" w:hAnsi="宋体"/>
          <w:color w:val="auto"/>
          <w:sz w:val="24"/>
          <w:szCs w:val="24"/>
          <w:highlight w:val="none"/>
        </w:rPr>
        <w:t>信息</w:t>
      </w:r>
      <w:r>
        <w:rPr>
          <w:rFonts w:ascii="宋体" w:hAnsi="宋体"/>
          <w:color w:val="auto"/>
          <w:sz w:val="24"/>
          <w:szCs w:val="24"/>
          <w:highlight w:val="none"/>
        </w:rPr>
        <w:t>，</w:t>
      </w:r>
      <w:r>
        <w:rPr>
          <w:rFonts w:hint="eastAsia" w:ascii="宋体" w:hAnsi="宋体"/>
          <w:color w:val="auto"/>
          <w:sz w:val="24"/>
          <w:szCs w:val="24"/>
          <w:highlight w:val="none"/>
        </w:rPr>
        <w:t>并安排专人与采购代理机构及评标委员会联系。</w:t>
      </w:r>
    </w:p>
    <w:p w14:paraId="17636BB8">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26、</w:t>
      </w:r>
      <w:bookmarkEnd w:id="154"/>
      <w:bookmarkEnd w:id="155"/>
      <w:bookmarkEnd w:id="156"/>
      <w:r>
        <w:rPr>
          <w:rFonts w:hint="eastAsia" w:ascii="宋体" w:hAnsi="宋体"/>
          <w:b/>
          <w:color w:val="auto"/>
          <w:sz w:val="24"/>
          <w:szCs w:val="24"/>
          <w:highlight w:val="none"/>
        </w:rPr>
        <w:t>无效投标条款和废标条款</w:t>
      </w:r>
    </w:p>
    <w:p w14:paraId="33483E24">
      <w:pPr>
        <w:spacing w:line="460" w:lineRule="exact"/>
        <w:ind w:firstLine="480"/>
        <w:rPr>
          <w:rFonts w:hint="eastAsia" w:ascii="宋体" w:hAnsi="宋体"/>
          <w:color w:val="auto"/>
          <w:sz w:val="24"/>
          <w:szCs w:val="24"/>
          <w:highlight w:val="none"/>
        </w:rPr>
      </w:pPr>
      <w:bookmarkStart w:id="157" w:name="_Toc20823307"/>
      <w:bookmarkStart w:id="158" w:name="_Toc16938551"/>
      <w:bookmarkStart w:id="159" w:name="_Toc513029235"/>
      <w:r>
        <w:rPr>
          <w:rFonts w:hint="eastAsia" w:ascii="宋体" w:hAnsi="宋体"/>
          <w:color w:val="auto"/>
          <w:sz w:val="24"/>
          <w:szCs w:val="24"/>
          <w:highlight w:val="none"/>
        </w:rPr>
        <w:t>26.1无效投标条款</w:t>
      </w:r>
    </w:p>
    <w:p w14:paraId="5F6FEE0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 投标人在苏采云系统规定的时间内未成功解密电子投标文件的。</w:t>
      </w:r>
    </w:p>
    <w:p w14:paraId="481F984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2</w:t>
      </w:r>
      <w:r>
        <w:rPr>
          <w:rFonts w:hint="eastAsia" w:ascii="宋体" w:hAnsi="宋体"/>
          <w:color w:val="auto"/>
          <w:sz w:val="24"/>
          <w:szCs w:val="24"/>
          <w:highlight w:val="none"/>
        </w:rPr>
        <w:t xml:space="preserve"> 投标人未按照招标文件要求上传电子投标文件的。</w:t>
      </w:r>
    </w:p>
    <w:p w14:paraId="7B0CCC1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3</w:t>
      </w:r>
      <w:r>
        <w:rPr>
          <w:rFonts w:hint="eastAsia" w:ascii="宋体" w:hAnsi="宋体"/>
          <w:color w:val="auto"/>
          <w:sz w:val="24"/>
          <w:szCs w:val="24"/>
          <w:highlight w:val="none"/>
        </w:rPr>
        <w:t>同一投标人提交两个</w:t>
      </w:r>
      <w:r>
        <w:rPr>
          <w:rFonts w:ascii="宋体" w:hAnsi="宋体"/>
          <w:color w:val="auto"/>
          <w:sz w:val="24"/>
          <w:szCs w:val="24"/>
          <w:highlight w:val="none"/>
        </w:rPr>
        <w:t>（</w:t>
      </w:r>
      <w:r>
        <w:rPr>
          <w:rFonts w:hint="eastAsia" w:ascii="宋体" w:hAnsi="宋体"/>
          <w:color w:val="auto"/>
          <w:sz w:val="24"/>
          <w:szCs w:val="24"/>
          <w:highlight w:val="none"/>
        </w:rPr>
        <w:t>含</w:t>
      </w:r>
      <w:r>
        <w:rPr>
          <w:rFonts w:ascii="宋体" w:hAnsi="宋体"/>
          <w:color w:val="auto"/>
          <w:sz w:val="24"/>
          <w:szCs w:val="24"/>
          <w:highlight w:val="none"/>
        </w:rPr>
        <w:t>两个）</w:t>
      </w:r>
      <w:r>
        <w:rPr>
          <w:rFonts w:hint="eastAsia" w:ascii="宋体" w:hAnsi="宋体"/>
          <w:color w:val="auto"/>
          <w:sz w:val="24"/>
          <w:szCs w:val="24"/>
          <w:highlight w:val="none"/>
        </w:rPr>
        <w:t>以上不同的</w:t>
      </w:r>
      <w:r>
        <w:rPr>
          <w:rFonts w:ascii="宋体" w:hAnsi="宋体"/>
          <w:color w:val="auto"/>
          <w:sz w:val="24"/>
          <w:szCs w:val="24"/>
          <w:highlight w:val="none"/>
        </w:rPr>
        <w:t>投标报价的。</w:t>
      </w:r>
    </w:p>
    <w:p w14:paraId="72218BD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4</w:t>
      </w:r>
      <w:r>
        <w:rPr>
          <w:rFonts w:hint="eastAsia" w:ascii="宋体" w:hAnsi="宋体"/>
          <w:color w:val="auto"/>
          <w:sz w:val="24"/>
          <w:szCs w:val="24"/>
          <w:highlight w:val="none"/>
        </w:rPr>
        <w:t>投标人不具备招标文件中规定资格要求的。</w:t>
      </w:r>
    </w:p>
    <w:p w14:paraId="408E86D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5</w:t>
      </w:r>
      <w:r>
        <w:rPr>
          <w:rFonts w:hint="eastAsia" w:ascii="宋体" w:hAnsi="宋体"/>
          <w:color w:val="auto"/>
          <w:sz w:val="24"/>
          <w:szCs w:val="24"/>
          <w:highlight w:val="none"/>
        </w:rPr>
        <w:t>投标人的报价超过了采购预算或最高限价的。</w:t>
      </w:r>
    </w:p>
    <w:p w14:paraId="736C371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6</w:t>
      </w:r>
      <w:r>
        <w:rPr>
          <w:rFonts w:hint="eastAsia" w:ascii="宋体" w:hAnsi="宋体"/>
          <w:color w:val="auto"/>
          <w:sz w:val="24"/>
          <w:szCs w:val="24"/>
          <w:highlight w:val="none"/>
        </w:rPr>
        <w:t>未通过符合性审查的。</w:t>
      </w:r>
    </w:p>
    <w:p w14:paraId="5D0F3767">
      <w:pPr>
        <w:spacing w:line="460" w:lineRule="exact"/>
        <w:ind w:firstLine="480"/>
        <w:rPr>
          <w:rFonts w:hint="eastAsia" w:ascii="宋体" w:hAnsi="宋体"/>
          <w:i/>
          <w:iCs/>
          <w:color w:val="auto"/>
          <w:sz w:val="24"/>
          <w:szCs w:val="24"/>
          <w:highlight w:val="none"/>
          <w:u w:val="single"/>
        </w:rPr>
      </w:pPr>
      <w:r>
        <w:rPr>
          <w:rFonts w:hint="eastAsia" w:ascii="宋体" w:hAnsi="宋体"/>
          <w:color w:val="auto"/>
          <w:sz w:val="24"/>
          <w:szCs w:val="24"/>
          <w:highlight w:val="none"/>
        </w:rPr>
        <w:t>26.1.</w:t>
      </w:r>
      <w:r>
        <w:rPr>
          <w:rFonts w:ascii="宋体" w:hAnsi="宋体"/>
          <w:color w:val="auto"/>
          <w:sz w:val="24"/>
          <w:szCs w:val="24"/>
          <w:highlight w:val="none"/>
        </w:rPr>
        <w:t>7</w:t>
      </w:r>
      <w:r>
        <w:rPr>
          <w:rFonts w:hint="eastAsia" w:ascii="宋体" w:hAnsi="宋体"/>
          <w:color w:val="auto"/>
          <w:sz w:val="24"/>
          <w:szCs w:val="24"/>
          <w:highlight w:val="none"/>
        </w:rPr>
        <w:t>不符合招标文件中规定的实质性要求和条件的</w:t>
      </w:r>
      <w:r>
        <w:rPr>
          <w:rFonts w:hint="eastAsia" w:ascii="宋体" w:hAnsi="宋体"/>
          <w:i/>
          <w:iCs/>
          <w:color w:val="auto"/>
          <w:sz w:val="24"/>
          <w:szCs w:val="24"/>
          <w:highlight w:val="none"/>
          <w:u w:val="single"/>
        </w:rPr>
        <w:t>（本招标文件中斜体且有下划线部分为实质性要求和条件）。</w:t>
      </w:r>
    </w:p>
    <w:p w14:paraId="05D2B86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94B77C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9</w:t>
      </w:r>
      <w:r>
        <w:rPr>
          <w:rFonts w:hint="eastAsia" w:ascii="宋体" w:hAnsi="宋体"/>
          <w:color w:val="auto"/>
          <w:sz w:val="24"/>
          <w:szCs w:val="24"/>
          <w:highlight w:val="none"/>
        </w:rPr>
        <w:t xml:space="preserve">  投标文件含有采购人不能接受的附加条件的。</w:t>
      </w:r>
    </w:p>
    <w:p w14:paraId="57892C9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10</w:t>
      </w:r>
      <w:r>
        <w:rPr>
          <w:rFonts w:hint="eastAsia" w:ascii="宋体" w:hAnsi="宋体"/>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671458B">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根据江苏省财政厅《关于推动解决政府采购异常低价问题相关工作的通知》（苏财购〔2025〕62号）的规定要求：</w:t>
      </w:r>
    </w:p>
    <w:p w14:paraId="7C8AA04C">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26.1.10.1评审过程中出现下列情形之一的，评审委员会应当启动异常低价投标（响应）审查程序：</w:t>
      </w:r>
    </w:p>
    <w:p w14:paraId="0C0FA918">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26.1.10.1.1投标（响应）报价低于采购项目预算 50% 的，即投标（响应）报价&lt;采购项目预算×50% ；</w:t>
      </w:r>
    </w:p>
    <w:p w14:paraId="044927BC">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26.1.10.1.2投标（响应）报价低于采购项目最高限价 45% 的，即投标（响应）报价&lt;采购项目最高限价×45% ；</w:t>
      </w:r>
    </w:p>
    <w:p w14:paraId="12112CA4">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26.1.10.1.3评审委员会认定的</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报价过低、有可能影响产品质量或者不能诚信履约的其他情形。</w:t>
      </w:r>
    </w:p>
    <w:p w14:paraId="1CD082CB">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26.1.10.2启动异常低价投标（响应）审查后，评审委员会应当要求相关</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报价合理性进行判断。投标（响应）</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不提供书面说明、证明材料，或者提供的书面说明、证明材料不能证明其报价合理性的，评审委员会应当将其作为无效投标（响应）处理。审查相关情况应当在评审报告中进行记录。</w:t>
      </w:r>
    </w:p>
    <w:p w14:paraId="041E77C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26.1.11 投标文件未按照招标文件要求加盖CA电子公章的。</w:t>
      </w:r>
    </w:p>
    <w:p w14:paraId="012FE06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26.1.12其他法律、法规及本招标文件规定的属无效投标的情形。</w:t>
      </w:r>
    </w:p>
    <w:p w14:paraId="2594C5A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26.2废标条款</w:t>
      </w:r>
    </w:p>
    <w:p w14:paraId="22D59B28">
      <w:pPr>
        <w:spacing w:line="460" w:lineRule="exact"/>
        <w:ind w:left="479"/>
        <w:rPr>
          <w:rFonts w:hint="eastAsia" w:ascii="宋体" w:hAnsi="宋体"/>
          <w:color w:val="auto"/>
          <w:sz w:val="24"/>
          <w:szCs w:val="24"/>
          <w:highlight w:val="none"/>
        </w:rPr>
      </w:pPr>
      <w:r>
        <w:rPr>
          <w:rFonts w:hint="eastAsia" w:ascii="宋体" w:hAnsi="宋体"/>
          <w:color w:val="auto"/>
          <w:sz w:val="24"/>
          <w:szCs w:val="24"/>
          <w:highlight w:val="none"/>
        </w:rPr>
        <w:t>26.2.1符合专业条件的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或者对招标文件作实质响应的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不足三家的。26.2.2出现影响采购公正的违法、违规行为的。</w:t>
      </w:r>
    </w:p>
    <w:p w14:paraId="39BA095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26.2.3因重大变故，采购任务取消的。</w:t>
      </w:r>
    </w:p>
    <w:p w14:paraId="7836F03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26.2.4评标委员会认定招标文件存在歧义、重大缺陷导致评审工作无法进行。</w:t>
      </w:r>
    </w:p>
    <w:p w14:paraId="78AC088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26.2.5 因苏采云系统</w:t>
      </w:r>
      <w:r>
        <w:rPr>
          <w:rFonts w:ascii="宋体" w:hAnsi="宋体"/>
          <w:color w:val="auto"/>
          <w:sz w:val="24"/>
          <w:szCs w:val="24"/>
          <w:highlight w:val="none"/>
        </w:rPr>
        <w:t>系统故障原因造成开标不成功</w:t>
      </w:r>
      <w:r>
        <w:rPr>
          <w:rFonts w:hint="eastAsia" w:ascii="宋体" w:hAnsi="宋体"/>
          <w:color w:val="auto"/>
          <w:sz w:val="24"/>
          <w:szCs w:val="24"/>
          <w:highlight w:val="none"/>
        </w:rPr>
        <w:t>的</w:t>
      </w:r>
      <w:r>
        <w:rPr>
          <w:rFonts w:ascii="宋体" w:hAnsi="宋体"/>
          <w:color w:val="auto"/>
          <w:sz w:val="24"/>
          <w:szCs w:val="24"/>
          <w:highlight w:val="none"/>
        </w:rPr>
        <w:t>。</w:t>
      </w:r>
    </w:p>
    <w:p w14:paraId="1E38C6F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 投标截止时间结束后参加投标的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不足三家的处理：</w:t>
      </w:r>
    </w:p>
    <w:p w14:paraId="4328BDC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26.3.1如出现投标截止时间结束后参加投标的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或者在评标期间对招标文件做出实质响应的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不足三家情况，按政府采购相关规定执行。</w:t>
      </w:r>
    </w:p>
    <w:p w14:paraId="2E155037">
      <w:pPr>
        <w:spacing w:line="460" w:lineRule="exact"/>
        <w:ind w:firstLine="480"/>
        <w:rPr>
          <w:rFonts w:hint="eastAsia" w:ascii="宋体" w:hAnsi="宋体"/>
          <w:b/>
          <w:color w:val="auto"/>
          <w:sz w:val="24"/>
          <w:szCs w:val="24"/>
          <w:highlight w:val="none"/>
        </w:rPr>
      </w:pPr>
      <w:bookmarkStart w:id="160" w:name="_Toc120614219"/>
      <w:r>
        <w:rPr>
          <w:rFonts w:hint="eastAsia" w:ascii="宋体" w:hAnsi="宋体"/>
          <w:b/>
          <w:color w:val="auto"/>
          <w:sz w:val="24"/>
          <w:szCs w:val="24"/>
          <w:highlight w:val="none"/>
        </w:rPr>
        <w:t>六、</w:t>
      </w:r>
      <w:bookmarkEnd w:id="157"/>
      <w:bookmarkEnd w:id="158"/>
      <w:bookmarkEnd w:id="159"/>
      <w:r>
        <w:rPr>
          <w:rFonts w:hint="eastAsia" w:ascii="宋体" w:hAnsi="宋体"/>
          <w:b/>
          <w:color w:val="auto"/>
          <w:sz w:val="24"/>
          <w:szCs w:val="24"/>
          <w:highlight w:val="none"/>
        </w:rPr>
        <w:t>定标</w:t>
      </w:r>
      <w:bookmarkEnd w:id="160"/>
    </w:p>
    <w:p w14:paraId="5084EED5">
      <w:pPr>
        <w:spacing w:line="460" w:lineRule="exact"/>
        <w:ind w:firstLine="480"/>
        <w:rPr>
          <w:rFonts w:hint="eastAsia" w:ascii="宋体" w:hAnsi="宋体"/>
          <w:b/>
          <w:color w:val="auto"/>
          <w:sz w:val="24"/>
          <w:szCs w:val="24"/>
          <w:highlight w:val="none"/>
        </w:rPr>
      </w:pPr>
      <w:bookmarkStart w:id="161" w:name="_Toc513029238"/>
      <w:bookmarkStart w:id="162" w:name="_Toc16938554"/>
      <w:bookmarkStart w:id="163" w:name="_Toc20823310"/>
      <w:r>
        <w:rPr>
          <w:rFonts w:hint="eastAsia" w:ascii="宋体" w:hAnsi="宋体"/>
          <w:b/>
          <w:color w:val="auto"/>
          <w:sz w:val="24"/>
          <w:szCs w:val="24"/>
          <w:highlight w:val="none"/>
        </w:rPr>
        <w:t>27、</w:t>
      </w:r>
      <w:bookmarkEnd w:id="161"/>
      <w:r>
        <w:rPr>
          <w:rFonts w:hint="eastAsia" w:ascii="宋体" w:hAnsi="宋体"/>
          <w:b/>
          <w:color w:val="auto"/>
          <w:sz w:val="24"/>
          <w:szCs w:val="24"/>
          <w:highlight w:val="none"/>
        </w:rPr>
        <w:t>确定</w:t>
      </w:r>
      <w:bookmarkEnd w:id="162"/>
      <w:bookmarkEnd w:id="163"/>
      <w:r>
        <w:rPr>
          <w:rFonts w:hint="eastAsia" w:ascii="宋体" w:hAnsi="宋体"/>
          <w:b/>
          <w:color w:val="auto"/>
          <w:sz w:val="24"/>
          <w:szCs w:val="24"/>
          <w:highlight w:val="none"/>
        </w:rPr>
        <w:t>中标单位</w:t>
      </w:r>
    </w:p>
    <w:p w14:paraId="04F79F5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p>
    <w:p w14:paraId="7DA6D0E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27.2 采购人应根据评委会推荐的中标候选人确定中标人。</w:t>
      </w:r>
    </w:p>
    <w:p w14:paraId="7CE0CC1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27.3 采购代理机构将在中国政府采购网”、“江苏政府采购网”、“盐城市政府采购网”、“阜宁县公共资源电子化服务平台“发布中标公告，公告期限为1个工作日。</w:t>
      </w:r>
    </w:p>
    <w:p w14:paraId="678F4F0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14:paraId="2A10036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1D06041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27.4.2向采购人、采购中心行贿或者提供其他不正当利益的。</w:t>
      </w:r>
    </w:p>
    <w:p w14:paraId="79839EF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27.4.3属于本文件规定的无效条件，但在评标过程中又未被评委会发现的。</w:t>
      </w:r>
    </w:p>
    <w:p w14:paraId="51D060A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恶意串通的。</w:t>
      </w:r>
    </w:p>
    <w:p w14:paraId="3C55307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w:t>
      </w:r>
    </w:p>
    <w:p w14:paraId="50E5234C">
      <w:pPr>
        <w:spacing w:line="460" w:lineRule="exact"/>
        <w:ind w:firstLine="480"/>
        <w:rPr>
          <w:rFonts w:hint="eastAsia" w:ascii="宋体" w:hAnsi="宋体"/>
          <w:color w:val="auto"/>
          <w:sz w:val="24"/>
          <w:szCs w:val="24"/>
          <w:highlight w:val="none"/>
        </w:rPr>
      </w:pPr>
      <w:bookmarkStart w:id="164" w:name="_Toc200451960"/>
      <w:r>
        <w:rPr>
          <w:rFonts w:hint="eastAsia" w:ascii="宋体" w:hAnsi="宋体"/>
          <w:color w:val="auto"/>
          <w:sz w:val="24"/>
          <w:szCs w:val="24"/>
          <w:highlight w:val="none"/>
        </w:rPr>
        <w:t xml:space="preserve">27.5. </w:t>
      </w:r>
      <w:r>
        <w:rPr>
          <w:rFonts w:ascii="宋体" w:hAnsi="宋体"/>
          <w:color w:val="auto"/>
          <w:sz w:val="24"/>
          <w:szCs w:val="24"/>
          <w:highlight w:val="none"/>
        </w:rPr>
        <w:t>有下列情形之一的，</w:t>
      </w:r>
      <w:r>
        <w:rPr>
          <w:rFonts w:hint="eastAsia" w:ascii="宋体" w:hAnsi="宋体"/>
          <w:color w:val="auto"/>
          <w:sz w:val="24"/>
          <w:szCs w:val="24"/>
          <w:highlight w:val="none"/>
        </w:rPr>
        <w:t>视为投标人</w:t>
      </w:r>
      <w:r>
        <w:rPr>
          <w:rFonts w:ascii="宋体" w:hAnsi="宋体"/>
          <w:color w:val="auto"/>
          <w:sz w:val="24"/>
          <w:szCs w:val="24"/>
          <w:highlight w:val="none"/>
        </w:rPr>
        <w:t>串通</w:t>
      </w:r>
      <w:r>
        <w:rPr>
          <w:rFonts w:hint="eastAsia" w:ascii="宋体" w:hAnsi="宋体"/>
          <w:color w:val="auto"/>
          <w:sz w:val="24"/>
          <w:szCs w:val="24"/>
          <w:highlight w:val="none"/>
        </w:rPr>
        <w:t>投标，投标无效：</w:t>
      </w:r>
    </w:p>
    <w:p w14:paraId="4D586C5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11725B6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4EEA7F6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663A80E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490F0B3E">
      <w:pPr>
        <w:spacing w:line="460" w:lineRule="exact"/>
        <w:ind w:firstLine="480"/>
        <w:rPr>
          <w:rFonts w:hint="eastAsia"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8、质疑处理</w:t>
      </w:r>
      <w:bookmarkEnd w:id="164"/>
    </w:p>
    <w:p w14:paraId="515D8CA3">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8.1 提出质疑的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应当是参与所质疑项目采购活动的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依法获取其可质疑的采购文件的，可以对采购文件提出质疑。</w:t>
      </w:r>
    </w:p>
    <w:p w14:paraId="6DCC8CF9">
      <w:pPr>
        <w:spacing w:line="460" w:lineRule="exact"/>
        <w:ind w:firstLine="480"/>
        <w:rPr>
          <w:rFonts w:hint="eastAsia" w:ascii="宋体" w:hAnsi="宋体"/>
          <w:color w:val="auto"/>
          <w:sz w:val="24"/>
          <w:szCs w:val="24"/>
          <w:highlight w:val="none"/>
          <w:lang w:eastAsia="zh-CN"/>
        </w:rPr>
      </w:pPr>
      <w:r>
        <w:rPr>
          <w:rFonts w:ascii="宋体" w:hAnsi="宋体"/>
          <w:color w:val="auto"/>
          <w:sz w:val="24"/>
          <w:szCs w:val="24"/>
          <w:highlight w:val="none"/>
        </w:rPr>
        <w:t>2</w:t>
      </w:r>
      <w:r>
        <w:rPr>
          <w:rFonts w:hint="eastAsia" w:ascii="宋体" w:hAnsi="宋体"/>
          <w:color w:val="auto"/>
          <w:sz w:val="24"/>
          <w:szCs w:val="24"/>
          <w:highlight w:val="none"/>
        </w:rPr>
        <w:t>8.2参加投标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认为采购文件、采购过程和中标结果使自己的权益受到损害的，可以在知道或应知其权益受到损害之日起七个工作日</w:t>
      </w:r>
      <w:r>
        <w:rPr>
          <w:rFonts w:hint="eastAsia" w:ascii="宋体" w:hAnsi="宋体"/>
          <w:color w:val="auto"/>
          <w:sz w:val="24"/>
          <w:szCs w:val="24"/>
          <w:highlight w:val="none"/>
          <w:lang w:eastAsia="zh-CN"/>
        </w:rPr>
        <w:t>内，以书面形式根据下述29.4条款的规定向采购代理机构或采购人提出质疑。上述应知其权益受到损害之日，是指：</w:t>
      </w:r>
    </w:p>
    <w:p w14:paraId="066AA6A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w:t>
      </w:r>
      <w:r>
        <w:rPr>
          <w:rFonts w:hint="eastAsia" w:ascii="宋体" w:hAnsi="宋体"/>
          <w:color w:val="auto"/>
          <w:sz w:val="24"/>
          <w:szCs w:val="24"/>
          <w:highlight w:val="none"/>
        </w:rPr>
        <w:t>招标</w:t>
      </w:r>
      <w:r>
        <w:rPr>
          <w:rFonts w:ascii="宋体" w:hAnsi="宋体"/>
          <w:color w:val="auto"/>
          <w:sz w:val="24"/>
          <w:szCs w:val="24"/>
          <w:highlight w:val="none"/>
        </w:rPr>
        <w:t>文件提出质疑的，为收到</w:t>
      </w:r>
      <w:r>
        <w:rPr>
          <w:rFonts w:hint="eastAsia" w:ascii="宋体" w:hAnsi="宋体"/>
          <w:color w:val="auto"/>
          <w:sz w:val="24"/>
          <w:szCs w:val="24"/>
          <w:highlight w:val="none"/>
        </w:rPr>
        <w:t>招标</w:t>
      </w:r>
      <w:r>
        <w:rPr>
          <w:rFonts w:ascii="宋体" w:hAnsi="宋体"/>
          <w:color w:val="auto"/>
          <w:sz w:val="24"/>
          <w:szCs w:val="24"/>
          <w:highlight w:val="none"/>
        </w:rPr>
        <w:t>文件之日或者</w:t>
      </w:r>
      <w:r>
        <w:rPr>
          <w:rFonts w:hint="eastAsia" w:ascii="宋体" w:hAnsi="宋体"/>
          <w:color w:val="auto"/>
          <w:sz w:val="24"/>
          <w:szCs w:val="24"/>
          <w:highlight w:val="none"/>
        </w:rPr>
        <w:t>招标</w:t>
      </w:r>
      <w:r>
        <w:rPr>
          <w:rFonts w:ascii="宋体" w:hAnsi="宋体"/>
          <w:color w:val="auto"/>
          <w:sz w:val="24"/>
          <w:szCs w:val="24"/>
          <w:highlight w:val="none"/>
        </w:rPr>
        <w:t>文件公告期限届满之日；</w:t>
      </w:r>
    </w:p>
    <w:p w14:paraId="4832E0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3C489F9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对中标结果提出质疑的，为中标结果公告期限届满之日。</w:t>
      </w:r>
    </w:p>
    <w:p w14:paraId="30B3B2D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应当在法定质疑期内一次性提出针对同一采购程序环节的质疑。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如在法定期限内对同一采购程序环节提出多次质疑的，采购代理机构、采购人将只对</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第一次质疑作出答复。</w:t>
      </w:r>
    </w:p>
    <w:p w14:paraId="4ADF86C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如组成联合体参加投标，则《质疑函范本》中要求签字、盖章、加盖公章之处，联合体各方均须按要求签字、盖章、加盖公章。</w:t>
      </w:r>
    </w:p>
    <w:p w14:paraId="0BA54FF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28.4</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（含潜在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）对采购方式、招标文件中采购需求、</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对其他事项的询问、质疑请向采购代理机构提出，由采购代理机构负责答复。</w:t>
      </w:r>
    </w:p>
    <w:p w14:paraId="1C579C4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采购人及采购代理机构只接收以纸质原件形式送达的质疑,采购人和采购代理机构不接受未填写快递运单的快件。</w:t>
      </w:r>
    </w:p>
    <w:p w14:paraId="739F97C9">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 以下情形的质疑不予受理</w:t>
      </w:r>
    </w:p>
    <w:p w14:paraId="189B2F3D">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28.5.1 内容不符合《政府采购质疑和投诉办法》第十二条规定的质疑。</w:t>
      </w:r>
    </w:p>
    <w:p w14:paraId="283CE550">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28.5.2 超出政府采购法定期限的质疑。</w:t>
      </w:r>
    </w:p>
    <w:p w14:paraId="60585051">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28.5.3 以传真、电子邮件等方式递交的非原件形式的质疑。</w:t>
      </w:r>
    </w:p>
    <w:p w14:paraId="3AC5A0E9">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28.5.4 未参加投标活动的</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或在投标活动中自身权益未受到损害的</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所提出的质疑。</w:t>
      </w:r>
    </w:p>
    <w:p w14:paraId="6680EA4E">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28.5.5</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组成联合体参加投标，联合体中任何一方或多方未按要求签字、盖章、加盖公章的质疑。</w:t>
      </w:r>
    </w:p>
    <w:p w14:paraId="1D3BB7AA">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28.6</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进行相应的行政处罚和记录该</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的失信信息。</w:t>
      </w:r>
    </w:p>
    <w:p w14:paraId="7AB9ECA4">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29、中标通知书</w:t>
      </w:r>
    </w:p>
    <w:p w14:paraId="4642CBD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1EEF1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29.2中标通知书将是合同的一个组成部分。对采购人和中标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均具有法律效力。中标通知书发出后，采购人改变中标结果的，或者中标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放弃中标项目的，应当依法承担法律责任。</w:t>
      </w:r>
    </w:p>
    <w:p w14:paraId="7A1DD511">
      <w:pPr>
        <w:spacing w:line="460" w:lineRule="exact"/>
        <w:ind w:firstLine="480"/>
        <w:rPr>
          <w:rFonts w:hint="eastAsia" w:ascii="宋体" w:hAnsi="宋体"/>
          <w:b/>
          <w:color w:val="auto"/>
          <w:sz w:val="24"/>
          <w:szCs w:val="24"/>
          <w:highlight w:val="none"/>
        </w:rPr>
      </w:pPr>
      <w:bookmarkStart w:id="165" w:name="_Toc513029236"/>
      <w:bookmarkStart w:id="166" w:name="_Toc120614220"/>
      <w:bookmarkStart w:id="167" w:name="_Toc16938552"/>
      <w:bookmarkStart w:id="168" w:name="_Toc20823308"/>
      <w:r>
        <w:rPr>
          <w:rFonts w:hint="eastAsia" w:ascii="宋体" w:hAnsi="宋体"/>
          <w:b/>
          <w:color w:val="auto"/>
          <w:sz w:val="24"/>
          <w:szCs w:val="24"/>
          <w:highlight w:val="none"/>
        </w:rPr>
        <w:t>七、授予合同</w:t>
      </w:r>
      <w:bookmarkEnd w:id="165"/>
      <w:bookmarkEnd w:id="166"/>
      <w:bookmarkEnd w:id="167"/>
      <w:bookmarkEnd w:id="168"/>
    </w:p>
    <w:p w14:paraId="522B5D61">
      <w:pPr>
        <w:spacing w:line="460" w:lineRule="exact"/>
        <w:ind w:firstLine="480"/>
        <w:rPr>
          <w:rFonts w:hint="eastAsia" w:ascii="宋体" w:hAnsi="宋体"/>
          <w:b/>
          <w:color w:val="auto"/>
          <w:sz w:val="24"/>
          <w:szCs w:val="24"/>
          <w:highlight w:val="none"/>
        </w:rPr>
      </w:pPr>
      <w:bookmarkStart w:id="169" w:name="_Toc16938553"/>
      <w:bookmarkStart w:id="170" w:name="_Toc20823309"/>
      <w:bookmarkStart w:id="171" w:name="_Toc513029237"/>
      <w:r>
        <w:rPr>
          <w:rFonts w:hint="eastAsia" w:ascii="宋体" w:hAnsi="宋体"/>
          <w:b/>
          <w:color w:val="auto"/>
          <w:sz w:val="24"/>
          <w:szCs w:val="24"/>
          <w:highlight w:val="none"/>
        </w:rPr>
        <w:t>30、签订合同</w:t>
      </w:r>
    </w:p>
    <w:p w14:paraId="44ABA28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30.l中标人应当在中标通知书发出之日起30日内，按照招标文件确定的事项与采购人签订政府采购合同。</w:t>
      </w:r>
    </w:p>
    <w:p w14:paraId="00D6C18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 招标文件、中标人的投标文件及招标过程中有关澄清、承诺文件均应作为合同附件。</w:t>
      </w:r>
    </w:p>
    <w:p w14:paraId="6E84517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30.3 签订合同后，</w:t>
      </w:r>
      <w:r>
        <w:rPr>
          <w:rFonts w:hint="eastAsia" w:ascii="宋体" w:hAnsi="宋体"/>
          <w:i/>
          <w:iCs/>
          <w:color w:val="auto"/>
          <w:sz w:val="24"/>
          <w:szCs w:val="24"/>
          <w:highlight w:val="none"/>
          <w:u w:val="single"/>
        </w:rPr>
        <w:t>中标人不得将合同标的进行转包。</w:t>
      </w:r>
      <w:r>
        <w:rPr>
          <w:rFonts w:hint="eastAsia" w:ascii="宋体" w:hAnsi="宋体"/>
          <w:color w:val="auto"/>
          <w:sz w:val="24"/>
          <w:szCs w:val="24"/>
          <w:highlight w:val="none"/>
        </w:rPr>
        <w:t>未经采购人同意，中标人也不得采用分包的形式履行合同，否则采购人有权终止合同。转包或分包造成采购人损失的，中标人应承担相应赔偿责任。</w:t>
      </w:r>
    </w:p>
    <w:p w14:paraId="0536B895">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31、服务（包含与服务相关的货物）的追加</w:t>
      </w:r>
    </w:p>
    <w:p w14:paraId="49ABFF1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w:t>
      </w:r>
      <w:bookmarkEnd w:id="169"/>
      <w:bookmarkEnd w:id="170"/>
      <w:bookmarkEnd w:id="171"/>
      <w:r>
        <w:rPr>
          <w:rFonts w:hint="eastAsia" w:ascii="宋体" w:hAnsi="宋体"/>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spacing w:line="460" w:lineRule="exact"/>
        <w:ind w:firstLine="48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32.政府采购政策功能落实</w:t>
      </w:r>
    </w:p>
    <w:p w14:paraId="3EA2C724">
      <w:pPr>
        <w:pStyle w:val="45"/>
        <w:keepNext/>
        <w:keepLines/>
        <w:spacing w:beforeAutospacing="0" w:afterAutospacing="0"/>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22C6CD26">
      <w:p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w:t>
      </w:r>
    </w:p>
    <w:p w14:paraId="10D17B6A">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33、履约保证金政策</w:t>
      </w:r>
    </w:p>
    <w:p w14:paraId="4D671DE8">
      <w:pPr>
        <w:pStyle w:val="327"/>
        <w:spacing w:after="0" w:line="360" w:lineRule="auto"/>
        <w:ind w:left="0" w:firstLine="560"/>
        <w:rPr>
          <w:rFonts w:ascii="宋体" w:hAnsi="宋体" w:eastAsia="宋体" w:cs="宋体"/>
          <w:kern w:val="0"/>
          <w:sz w:val="24"/>
        </w:rPr>
      </w:pPr>
      <w:r>
        <w:rPr>
          <w:rFonts w:hint="eastAsia" w:ascii="宋体" w:hAnsi="宋体" w:eastAsia="宋体" w:cs="宋体"/>
          <w:kern w:val="0"/>
          <w:sz w:val="24"/>
        </w:rPr>
        <w:t>履约保证金的缴纳形式：</w:t>
      </w:r>
    </w:p>
    <w:p w14:paraId="6F197998">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本项目免收履约保证金。</w:t>
      </w:r>
    </w:p>
    <w:p w14:paraId="59D8F0A8">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34、 预付款制度</w:t>
      </w:r>
    </w:p>
    <w:p w14:paraId="014EF84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30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%。在签订合同时，中标、成交</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明确书面表示无需预付款或者主动要求降低预付款比例的，采购人可就预付款比例作相应调整。</w:t>
      </w:r>
    </w:p>
    <w:p w14:paraId="5A4D7FF8">
      <w:pPr>
        <w:keepNext/>
        <w:keepLines/>
        <w:pageBreakBefore w:val="0"/>
        <w:widowControl/>
        <w:kinsoku/>
        <w:wordWrap/>
        <w:overflowPunct/>
        <w:topLinePunct w:val="0"/>
        <w:autoSpaceDE/>
        <w:autoSpaceDN/>
        <w:bidi w:val="0"/>
        <w:adjustRightInd/>
        <w:snapToGrid/>
        <w:spacing w:after="156"/>
        <w:jc w:val="center"/>
        <w:textAlignment w:val="auto"/>
        <w:outlineLvl w:val="0"/>
        <w:rPr>
          <w:rFonts w:ascii="黑体" w:eastAsia="黑体"/>
          <w:bCs/>
          <w:color w:val="auto"/>
          <w:sz w:val="44"/>
          <w:szCs w:val="28"/>
          <w:highlight w:val="none"/>
        </w:rPr>
      </w:pPr>
      <w:bookmarkStart w:id="172" w:name="_Hlt16619350"/>
      <w:bookmarkStart w:id="173" w:name="_Toc120614244"/>
      <w:bookmarkStart w:id="174" w:name="_Toc20823346"/>
      <w:bookmarkStart w:id="175" w:name="_Toc16938590"/>
      <w:r>
        <w:rPr>
          <w:rFonts w:hint="eastAsia" w:ascii="黑体" w:eastAsia="黑体"/>
          <w:bCs/>
          <w:color w:val="auto"/>
          <w:sz w:val="44"/>
          <w:szCs w:val="28"/>
          <w:highlight w:val="none"/>
        </w:rPr>
        <w:t>第三章 合同文本</w:t>
      </w:r>
    </w:p>
    <w:p w14:paraId="113B7340">
      <w:pPr>
        <w:pStyle w:val="333"/>
        <w:keepNext/>
        <w:keepLines/>
        <w:pageBreakBefore w:val="0"/>
        <w:widowControl/>
        <w:kinsoku/>
        <w:wordWrap/>
        <w:overflowPunct/>
        <w:topLinePunct w:val="0"/>
        <w:autoSpaceDE/>
        <w:autoSpaceDN/>
        <w:bidi w:val="0"/>
        <w:adjustRightInd/>
        <w:snapToGrid/>
        <w:spacing w:beforeAutospacing="0" w:afterAutospacing="0" w:line="0" w:lineRule="atLeast"/>
        <w:ind w:firstLine="480"/>
        <w:jc w:val="both"/>
        <w:textAlignment w:val="auto"/>
        <w:rPr>
          <w:color w:val="auto"/>
          <w:highlight w:val="none"/>
        </w:rPr>
      </w:pPr>
      <w:bookmarkStart w:id="176" w:name="_Toc20823315"/>
      <w:bookmarkStart w:id="177" w:name="_Toc16938559"/>
      <w:bookmarkStart w:id="178" w:name="_Toc513029243"/>
      <w:r>
        <w:rPr>
          <w:rFonts w:hint="eastAsia" w:ascii="宋体" w:hAnsi="宋体" w:eastAsia="宋体" w:cs="宋体"/>
          <w:color w:val="auto"/>
          <w:highlight w:val="none"/>
        </w:rPr>
        <w:t>以下为中标后签定本项目合同的通用条款，中标人不得提出实质性的修改。</w:t>
      </w:r>
      <w:bookmarkEnd w:id="176"/>
      <w:bookmarkEnd w:id="177"/>
      <w:bookmarkEnd w:id="178"/>
    </w:p>
    <w:p w14:paraId="7DA59CEE">
      <w:pPr>
        <w:keepNext/>
        <w:keepLines/>
        <w:pageBreakBefore w:val="0"/>
        <w:widowControl/>
        <w:kinsoku/>
        <w:wordWrap/>
        <w:overflowPunct/>
        <w:topLinePunct w:val="0"/>
        <w:autoSpaceDE/>
        <w:autoSpaceDN/>
        <w:bidi w:val="0"/>
        <w:adjustRightInd/>
        <w:snapToGrid/>
        <w:spacing w:after="156"/>
        <w:jc w:val="center"/>
        <w:textAlignment w:val="auto"/>
        <w:outlineLvl w:val="0"/>
        <w:rPr>
          <w:rFonts w:hint="eastAsia" w:ascii="宋体" w:hAnsi="宋体" w:cs="宋体"/>
          <w:b/>
          <w:color w:val="auto"/>
          <w:sz w:val="30"/>
          <w:szCs w:val="30"/>
          <w:highlight w:val="none"/>
        </w:rPr>
      </w:pPr>
    </w:p>
    <w:p w14:paraId="525FBDB5">
      <w:pPr>
        <w:keepNext/>
        <w:keepLines/>
        <w:pageBreakBefore w:val="0"/>
        <w:widowControl/>
        <w:kinsoku/>
        <w:wordWrap/>
        <w:overflowPunct/>
        <w:topLinePunct w:val="0"/>
        <w:autoSpaceDE/>
        <w:autoSpaceDN/>
        <w:bidi w:val="0"/>
        <w:adjustRightInd/>
        <w:snapToGrid/>
        <w:spacing w:after="156"/>
        <w:jc w:val="center"/>
        <w:textAlignment w:val="auto"/>
        <w:outlineLvl w:val="0"/>
        <w:rPr>
          <w:rFonts w:ascii="黑体" w:eastAsia="黑体"/>
          <w:bCs/>
          <w:color w:val="auto"/>
          <w:sz w:val="44"/>
          <w:szCs w:val="28"/>
          <w:highlight w:val="none"/>
        </w:rPr>
      </w:pPr>
      <w:r>
        <w:rPr>
          <w:rFonts w:hint="eastAsia" w:ascii="宋体" w:hAnsi="宋体" w:cs="宋体"/>
          <w:b/>
          <w:color w:val="auto"/>
          <w:sz w:val="30"/>
          <w:szCs w:val="30"/>
          <w:highlight w:val="none"/>
        </w:rPr>
        <w:t>盐城市政府采购合同（服务）</w:t>
      </w:r>
    </w:p>
    <w:p w14:paraId="200C2D5C">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eastAsia="宋体"/>
          <w:color w:val="auto"/>
          <w:highlight w:val="none"/>
          <w:lang w:eastAsia="zh-CN"/>
        </w:rPr>
      </w:pPr>
      <w:r>
        <w:rPr>
          <w:rFonts w:hint="eastAsia"/>
          <w:color w:val="auto"/>
          <w:highlight w:val="none"/>
        </w:rPr>
        <w:t>项目名称：</w:t>
      </w:r>
      <w:r>
        <w:rPr>
          <w:rFonts w:hint="eastAsia"/>
          <w:color w:val="auto"/>
          <w:sz w:val="24"/>
          <w:highlight w:val="none"/>
          <w:lang w:eastAsia="zh-CN"/>
        </w:rPr>
        <w:t>盐城市阜宁生态环境局16个乡镇（街道）空气质量监测站运维服务</w:t>
      </w:r>
    </w:p>
    <w:p w14:paraId="542D6976">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eastAsia="宋体"/>
          <w:color w:val="auto"/>
          <w:highlight w:val="white"/>
        </w:rPr>
      </w:pPr>
      <w:r>
        <w:rPr>
          <w:rFonts w:hint="eastAsia"/>
          <w:color w:val="auto"/>
          <w:highlight w:val="none"/>
        </w:rPr>
        <w:t>项目编号</w:t>
      </w:r>
      <w:r>
        <w:rPr>
          <w:rFonts w:hint="eastAsia"/>
          <w:color w:val="auto"/>
          <w:highlight w:val="white"/>
        </w:rPr>
        <w:t>：</w:t>
      </w:r>
      <w:r>
        <w:rPr>
          <w:rFonts w:hint="eastAsia"/>
          <w:color w:val="auto"/>
          <w:highlight w:val="white"/>
          <w:lang w:eastAsia="zh-CN"/>
        </w:rPr>
        <w:t>JSZC-320923-SWGC-G2026-0061</w:t>
      </w:r>
    </w:p>
    <w:p w14:paraId="79FD7368">
      <w:pPr>
        <w:keepNext/>
        <w:keepLines/>
        <w:pageBreakBefore w:val="0"/>
        <w:widowControl/>
        <w:kinsoku/>
        <w:wordWrap/>
        <w:overflowPunct/>
        <w:topLinePunct w:val="0"/>
        <w:autoSpaceDE/>
        <w:autoSpaceDN/>
        <w:bidi w:val="0"/>
        <w:adjustRightInd/>
        <w:snapToGrid/>
        <w:spacing w:line="460" w:lineRule="exact"/>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甲方（采购人）：</w:t>
      </w:r>
      <w:r>
        <w:rPr>
          <w:rFonts w:hint="eastAsia" w:ascii="宋体" w:hAnsi="宋体" w:cs="宋体"/>
          <w:bCs/>
          <w:color w:val="auto"/>
          <w:sz w:val="24"/>
          <w:szCs w:val="24"/>
          <w:highlight w:val="none"/>
          <w:u w:val="single"/>
          <w:lang w:eastAsia="zh-CN"/>
        </w:rPr>
        <w:t>盐城市阜宁生态环境局</w:t>
      </w:r>
      <w:r>
        <w:rPr>
          <w:rFonts w:hint="eastAsia" w:ascii="宋体" w:hAnsi="宋体" w:cs="宋体"/>
          <w:bCs/>
          <w:color w:val="auto"/>
          <w:sz w:val="24"/>
          <w:szCs w:val="24"/>
          <w:highlight w:val="none"/>
          <w:u w:val="single"/>
        </w:rPr>
        <w:t xml:space="preserve"> </w:t>
      </w:r>
    </w:p>
    <w:p w14:paraId="00D94F5B">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color w:val="auto"/>
          <w:highlight w:val="none"/>
        </w:rPr>
      </w:pPr>
      <w:r>
        <w:rPr>
          <w:rFonts w:hint="eastAsia"/>
          <w:color w:val="auto"/>
          <w:highlight w:val="none"/>
        </w:rPr>
        <w:t>乙方（</w:t>
      </w:r>
      <w:r>
        <w:rPr>
          <w:rFonts w:hint="eastAsia"/>
          <w:color w:val="auto"/>
          <w:highlight w:val="none"/>
          <w:lang w:eastAsia="zh-CN"/>
        </w:rPr>
        <w:t>投标人</w:t>
      </w:r>
      <w:r>
        <w:rPr>
          <w:rFonts w:hint="eastAsia"/>
          <w:color w:val="auto"/>
          <w:highlight w:val="none"/>
        </w:rPr>
        <w:t>）：</w:t>
      </w:r>
      <w:r>
        <w:rPr>
          <w:rFonts w:hint="eastAsia"/>
          <w:color w:val="auto"/>
          <w:highlight w:val="none"/>
          <w:u w:val="single"/>
        </w:rPr>
        <w:t xml:space="preserve">                       </w:t>
      </w:r>
      <w:r>
        <w:rPr>
          <w:rFonts w:hint="eastAsia"/>
          <w:color w:val="auto"/>
          <w:highlight w:val="none"/>
        </w:rPr>
        <w:t>（本次采购招标活动的成交</w:t>
      </w:r>
      <w:r>
        <w:rPr>
          <w:rFonts w:hint="eastAsia"/>
          <w:color w:val="auto"/>
          <w:highlight w:val="none"/>
          <w:lang w:eastAsia="zh-CN"/>
        </w:rPr>
        <w:t>投标人</w:t>
      </w:r>
      <w:r>
        <w:rPr>
          <w:rFonts w:hint="eastAsia"/>
          <w:color w:val="auto"/>
          <w:highlight w:val="none"/>
        </w:rPr>
        <w:t>）</w:t>
      </w:r>
    </w:p>
    <w:p w14:paraId="47AD355B">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color w:val="auto"/>
          <w:highlight w:val="none"/>
        </w:rPr>
      </w:pPr>
      <w:r>
        <w:rPr>
          <w:rFonts w:hint="eastAsia"/>
          <w:b/>
          <w:color w:val="auto"/>
          <w:highlight w:val="none"/>
        </w:rPr>
        <w:t xml:space="preserve">   </w:t>
      </w:r>
      <w:r>
        <w:rPr>
          <w:rFonts w:hint="eastAsia"/>
          <w:bCs/>
          <w:color w:val="auto"/>
          <w:highlight w:val="none"/>
        </w:rPr>
        <w:t>根据《中华人民共和国政府采购法》、《中华人民共和国民法典》等法律法规的规定，甲、乙双方根据</w:t>
      </w:r>
      <w:r>
        <w:rPr>
          <w:rFonts w:hint="eastAsia"/>
          <w:bCs/>
          <w:color w:val="auto"/>
          <w:highlight w:val="none"/>
          <w:u w:val="single"/>
          <w:lang w:eastAsia="zh-CN"/>
        </w:rPr>
        <w:t>盐城市阜宁生态环境局16个乡镇（街道）空气质量监测站运维服务</w:t>
      </w:r>
      <w:r>
        <w:rPr>
          <w:rFonts w:hint="eastAsia"/>
          <w:bCs/>
          <w:color w:val="auto"/>
          <w:highlight w:val="none"/>
        </w:rPr>
        <w:t>公开招标的结果，签署本合同。</w:t>
      </w:r>
    </w:p>
    <w:p w14:paraId="10F60803">
      <w:pPr>
        <w:pStyle w:val="26"/>
        <w:keepNext/>
        <w:keepLines/>
        <w:pageBreakBefore w:val="0"/>
        <w:widowControl/>
        <w:kinsoku/>
        <w:wordWrap/>
        <w:overflowPunct/>
        <w:topLinePunct w:val="0"/>
        <w:autoSpaceDE/>
        <w:autoSpaceDN/>
        <w:bidi w:val="0"/>
        <w:adjustRightInd/>
        <w:snapToGrid/>
        <w:spacing w:line="460" w:lineRule="exact"/>
        <w:ind w:firstLine="482"/>
        <w:jc w:val="both"/>
        <w:textAlignment w:val="auto"/>
        <w:rPr>
          <w:rFonts w:hint="eastAsia" w:hAnsi="宋体" w:cs="宋体"/>
          <w:color w:val="auto"/>
          <w:sz w:val="24"/>
          <w:szCs w:val="24"/>
          <w:highlight w:val="none"/>
        </w:rPr>
      </w:pPr>
      <w:r>
        <w:rPr>
          <w:rFonts w:hint="eastAsia" w:hAnsi="宋体" w:cs="宋体"/>
          <w:b/>
          <w:color w:val="auto"/>
          <w:sz w:val="24"/>
          <w:szCs w:val="24"/>
          <w:highlight w:val="none"/>
        </w:rPr>
        <w:t>一、合同内容</w:t>
      </w:r>
    </w:p>
    <w:p w14:paraId="7E24C17C">
      <w:pPr>
        <w:pStyle w:val="26"/>
        <w:keepNext/>
        <w:keepLines/>
        <w:pageBreakBefore w:val="0"/>
        <w:widowControl/>
        <w:kinsoku/>
        <w:wordWrap/>
        <w:overflowPunct/>
        <w:topLinePunct w:val="0"/>
        <w:autoSpaceDE/>
        <w:autoSpaceDN/>
        <w:bidi w:val="0"/>
        <w:adjustRightInd/>
        <w:snapToGrid/>
        <w:spacing w:line="460" w:lineRule="exact"/>
        <w:ind w:firstLine="480"/>
        <w:jc w:val="both"/>
        <w:textAlignment w:val="auto"/>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1.1 标的名称：</w:t>
      </w:r>
      <w:r>
        <w:rPr>
          <w:rFonts w:hint="eastAsia" w:hAnsi="宋体" w:cs="宋体"/>
          <w:b w:val="0"/>
          <w:bCs w:val="0"/>
          <w:color w:val="auto"/>
          <w:sz w:val="24"/>
          <w:szCs w:val="24"/>
          <w:highlight w:val="none"/>
          <w:lang w:eastAsia="zh-CN"/>
        </w:rPr>
        <w:t>盐城市阜宁生态环境局16个乡镇（街道）空气质量监测站运维服务</w:t>
      </w:r>
    </w:p>
    <w:p w14:paraId="53A335D2">
      <w:pPr>
        <w:pStyle w:val="26"/>
        <w:keepNext/>
        <w:keepLines/>
        <w:pageBreakBefore w:val="0"/>
        <w:widowControl/>
        <w:kinsoku/>
        <w:wordWrap/>
        <w:overflowPunct/>
        <w:topLinePunct w:val="0"/>
        <w:autoSpaceDE/>
        <w:autoSpaceDN/>
        <w:bidi w:val="0"/>
        <w:adjustRightInd/>
        <w:snapToGrid/>
        <w:spacing w:line="460" w:lineRule="exact"/>
        <w:ind w:firstLine="480"/>
        <w:jc w:val="both"/>
        <w:textAlignment w:val="auto"/>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1.2 质量</w:t>
      </w:r>
      <w:r>
        <w:rPr>
          <w:rFonts w:hint="eastAsia" w:hAnsi="宋体" w:cs="宋体"/>
          <w:b w:val="0"/>
          <w:bCs w:val="0"/>
          <w:color w:val="auto"/>
          <w:sz w:val="24"/>
          <w:szCs w:val="24"/>
          <w:highlight w:val="none"/>
          <w:lang w:val="en-US" w:eastAsia="zh-CN"/>
        </w:rPr>
        <w:t>要求</w:t>
      </w:r>
      <w:r>
        <w:rPr>
          <w:rFonts w:hint="eastAsia" w:hAnsi="宋体" w:cs="宋体"/>
          <w:b w:val="0"/>
          <w:bCs w:val="0"/>
          <w:color w:val="auto"/>
          <w:sz w:val="24"/>
          <w:szCs w:val="24"/>
          <w:highlight w:val="none"/>
        </w:rPr>
        <w:t>：</w:t>
      </w:r>
      <w:r>
        <w:rPr>
          <w:rFonts w:hint="eastAsia" w:hAnsi="宋体" w:cs="宋体"/>
          <w:b w:val="0"/>
          <w:bCs w:val="0"/>
          <w:color w:val="auto"/>
          <w:sz w:val="24"/>
          <w:szCs w:val="24"/>
          <w:highlight w:val="none"/>
          <w:lang w:eastAsia="zh-CN"/>
        </w:rPr>
        <w:t>合格标准，符合相关国家标准及招标文件的要求</w:t>
      </w:r>
      <w:r>
        <w:rPr>
          <w:rFonts w:hint="eastAsia" w:hAnsi="宋体" w:cs="宋体"/>
          <w:b w:val="0"/>
          <w:bCs w:val="0"/>
          <w:color w:val="auto"/>
          <w:sz w:val="24"/>
          <w:szCs w:val="24"/>
          <w:highlight w:val="none"/>
          <w:lang w:val="en-US" w:eastAsia="zh-CN"/>
        </w:rPr>
        <w:t>。</w:t>
      </w:r>
    </w:p>
    <w:p w14:paraId="1CBA791D">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1.3 标的数量（规模）：本次招标项目划分为2个包:</w:t>
      </w:r>
    </w:p>
    <w:p w14:paraId="5034A0B7">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rPr>
        <w:t>1.4 履行时间（期限）：</w:t>
      </w:r>
      <w:r>
        <w:rPr>
          <w:rFonts w:ascii="Times New Roman" w:hAnsi="Times New Roman" w:eastAsia="宋体"/>
        </w:rPr>
        <w:t>本项目服务期限为</w:t>
      </w:r>
      <w:r>
        <w:rPr>
          <w:rFonts w:hint="eastAsia" w:ascii="Times New Roman" w:hAnsi="Times New Roman"/>
          <w:lang w:eastAsia="zh-CN"/>
        </w:rPr>
        <w:t>24个月</w:t>
      </w:r>
    </w:p>
    <w:p w14:paraId="41B94B71">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1.5 履行地点：</w:t>
      </w:r>
      <w:r>
        <w:rPr>
          <w:rFonts w:hint="eastAsia" w:ascii="宋体" w:hAnsi="宋体" w:eastAsia="宋体" w:cs="宋体"/>
          <w:color w:val="000000"/>
          <w:sz w:val="24"/>
          <w:szCs w:val="24"/>
          <w:highlight w:val="none"/>
          <w:lang w:val="en-US" w:eastAsia="zh-CN"/>
        </w:rPr>
        <w:t>阜宁县境内。</w:t>
      </w:r>
    </w:p>
    <w:p w14:paraId="393CE3F6">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1.6履行方式：</w:t>
      </w:r>
      <w:r>
        <w:rPr>
          <w:rFonts w:hint="eastAsia" w:hAnsi="宋体" w:cs="宋体"/>
          <w:b w:val="0"/>
          <w:bCs w:val="0"/>
          <w:color w:val="auto"/>
          <w:sz w:val="24"/>
          <w:szCs w:val="24"/>
          <w:highlight w:val="none"/>
        </w:rPr>
        <w:t>符合</w:t>
      </w:r>
      <w:r>
        <w:rPr>
          <w:rFonts w:hint="eastAsia" w:hAnsi="宋体" w:cs="宋体"/>
          <w:b w:val="0"/>
          <w:bCs w:val="0"/>
          <w:color w:val="auto"/>
          <w:sz w:val="24"/>
          <w:szCs w:val="24"/>
          <w:highlight w:val="none"/>
          <w:lang w:eastAsia="zh-CN"/>
        </w:rPr>
        <w:t>招标文件</w:t>
      </w:r>
      <w:r>
        <w:rPr>
          <w:rFonts w:hint="eastAsia" w:hAnsi="宋体" w:cs="宋体"/>
          <w:b w:val="0"/>
          <w:bCs w:val="0"/>
          <w:color w:val="auto"/>
          <w:sz w:val="24"/>
          <w:szCs w:val="24"/>
          <w:highlight w:val="none"/>
        </w:rPr>
        <w:t>文件相关要求。</w:t>
      </w:r>
    </w:p>
    <w:p w14:paraId="0E250869">
      <w:pPr>
        <w:pStyle w:val="26"/>
        <w:keepNext w:val="0"/>
        <w:keepLines/>
        <w:pageBreakBefore w:val="0"/>
        <w:kinsoku/>
        <w:wordWrap/>
        <w:overflowPunct/>
        <w:topLinePunct w:val="0"/>
        <w:autoSpaceDE/>
        <w:autoSpaceDN/>
        <w:bidi w:val="0"/>
        <w:adjustRightInd/>
        <w:snapToGrid/>
        <w:spacing w:line="460" w:lineRule="exact"/>
        <w:ind w:firstLine="482"/>
        <w:jc w:val="both"/>
        <w:textAlignment w:val="auto"/>
        <w:rPr>
          <w:rFonts w:hint="eastAsia" w:hAnsi="宋体" w:cs="宋体"/>
          <w:color w:val="auto"/>
          <w:sz w:val="24"/>
          <w:szCs w:val="24"/>
          <w:highlight w:val="none"/>
        </w:rPr>
      </w:pPr>
      <w:r>
        <w:rPr>
          <w:rFonts w:hint="eastAsia" w:hAnsi="宋体" w:cs="宋体"/>
          <w:b/>
          <w:bCs/>
          <w:color w:val="auto"/>
          <w:sz w:val="24"/>
          <w:szCs w:val="24"/>
          <w:highlight w:val="none"/>
        </w:rPr>
        <w:t>二、合同金额</w:t>
      </w:r>
    </w:p>
    <w:p w14:paraId="7BBAA9C0">
      <w:pPr>
        <w:pStyle w:val="26"/>
        <w:keepNext w:val="0"/>
        <w:keepLines/>
        <w:pageBreakBefore w:val="0"/>
        <w:kinsoku/>
        <w:wordWrap/>
        <w:overflowPunct/>
        <w:topLinePunct w:val="0"/>
        <w:autoSpaceDE/>
        <w:autoSpaceDN/>
        <w:bidi w:val="0"/>
        <w:adjustRightInd/>
        <w:snapToGrid/>
        <w:spacing w:line="460" w:lineRule="exact"/>
        <w:ind w:left="479" w:leftChars="228" w:firstLine="64" w:firstLineChars="27"/>
        <w:jc w:val="both"/>
        <w:textAlignment w:val="auto"/>
        <w:rPr>
          <w:rFonts w:hint="default"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rPr>
        <w:t>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w:t>
      </w:r>
    </w:p>
    <w:p w14:paraId="077D65C1">
      <w:pPr>
        <w:pStyle w:val="26"/>
        <w:keepNext w:val="0"/>
        <w:keepLines/>
        <w:pageBreakBefore w:val="0"/>
        <w:kinsoku/>
        <w:wordWrap/>
        <w:overflowPunct/>
        <w:topLinePunct w:val="0"/>
        <w:autoSpaceDE/>
        <w:autoSpaceDN/>
        <w:bidi w:val="0"/>
        <w:adjustRightInd/>
        <w:snapToGrid/>
        <w:spacing w:line="460" w:lineRule="exact"/>
        <w:ind w:firstLine="480"/>
        <w:jc w:val="both"/>
        <w:textAlignment w:val="auto"/>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2、上述金额是乙方对本次采</w:t>
      </w:r>
      <w:r>
        <w:rPr>
          <w:rFonts w:hint="eastAsia" w:ascii="宋体" w:hAnsi="宋体" w:eastAsia="宋体" w:cs="宋体"/>
          <w:color w:val="auto"/>
          <w:sz w:val="24"/>
          <w:szCs w:val="24"/>
          <w:highlight w:val="none"/>
        </w:rPr>
        <w:t>购及其伴随服务各项支付金额的总和。合同总金额</w:t>
      </w:r>
      <w:r>
        <w:rPr>
          <w:rFonts w:hint="eastAsia" w:hAnsi="宋体" w:cs="宋体"/>
          <w:color w:val="auto"/>
          <w:sz w:val="24"/>
          <w:szCs w:val="24"/>
          <w:highlight w:val="none"/>
          <w:lang w:eastAsia="zh-CN"/>
        </w:rPr>
        <w:t>包括采购人需求的服务（包含与服务相关的货物）价格、质量保证费用、</w:t>
      </w:r>
      <w:r>
        <w:rPr>
          <w:rFonts w:hint="eastAsia" w:hAnsi="宋体" w:cs="宋体"/>
          <w:color w:val="auto"/>
          <w:sz w:val="24"/>
          <w:szCs w:val="24"/>
          <w:highlight w:val="none"/>
          <w:lang w:val="en-US" w:eastAsia="zh-CN"/>
        </w:rPr>
        <w:t>招标代理费、</w:t>
      </w:r>
      <w:r>
        <w:rPr>
          <w:rFonts w:hint="eastAsia" w:hAnsi="宋体" w:cs="宋体"/>
          <w:color w:val="auto"/>
          <w:sz w:val="24"/>
          <w:szCs w:val="24"/>
          <w:highlight w:val="none"/>
          <w:lang w:eastAsia="zh-CN"/>
        </w:rPr>
        <w:t>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auto"/>
          <w:sz w:val="24"/>
          <w:szCs w:val="24"/>
          <w:highlight w:val="none"/>
        </w:rPr>
        <w:t>。采购人不再支付其他款项。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报价已充分考虑项目完成的政策性调整、各种市场价格的浮动等因素造成的价格变动，项目完成期内的合同价格不作调整。</w:t>
      </w:r>
    </w:p>
    <w:p w14:paraId="01E0D5E3">
      <w:pPr>
        <w:pStyle w:val="26"/>
        <w:keepNext w:val="0"/>
        <w:keepLines/>
        <w:pageBreakBefore w:val="0"/>
        <w:kinsoku/>
        <w:wordWrap/>
        <w:overflowPunct/>
        <w:topLinePunct w:val="0"/>
        <w:autoSpaceDE/>
        <w:autoSpaceDN/>
        <w:bidi w:val="0"/>
        <w:adjustRightInd/>
        <w:snapToGrid/>
        <w:spacing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3、乙方在履行合同过程中,所发生的全部生产、生活、安全等费用均由乙方负责。</w:t>
      </w:r>
    </w:p>
    <w:p w14:paraId="6E6946AE">
      <w:pPr>
        <w:keepNext w:val="0"/>
        <w:keepLines/>
        <w:pageBreakBefore w:val="0"/>
        <w:widowControl/>
        <w:kinsoku/>
        <w:wordWrap/>
        <w:overflowPunct/>
        <w:topLinePunct w:val="0"/>
        <w:autoSpaceDE/>
        <w:autoSpaceDN/>
        <w:bidi w:val="0"/>
        <w:adjustRightInd/>
        <w:snapToGrid/>
        <w:spacing w:line="460" w:lineRule="exact"/>
        <w:ind w:firstLine="562"/>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三、税费</w:t>
      </w:r>
    </w:p>
    <w:p w14:paraId="0D9C5AF7">
      <w:pPr>
        <w:keepNext w:val="0"/>
        <w:keepLines/>
        <w:pageBreakBefore w:val="0"/>
        <w:kinsoku/>
        <w:wordWrap/>
        <w:overflowPunct/>
        <w:topLinePunct w:val="0"/>
        <w:autoSpaceDE/>
        <w:autoSpaceDN/>
        <w:bidi w:val="0"/>
        <w:adjustRightInd/>
        <w:snapToGrid/>
        <w:spacing w:line="4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3.1中国政府根据现行税法规定对乙方征收的、与本合同有关的一切税费，均由乙方负担。</w:t>
      </w:r>
    </w:p>
    <w:p w14:paraId="49C2D7F4">
      <w:pPr>
        <w:keepNext w:val="0"/>
        <w:keepLines/>
        <w:pageBreakBefore w:val="0"/>
        <w:kinsoku/>
        <w:wordWrap/>
        <w:overflowPunct/>
        <w:topLinePunct w:val="0"/>
        <w:autoSpaceDE/>
        <w:autoSpaceDN/>
        <w:bidi w:val="0"/>
        <w:adjustRightInd/>
        <w:snapToGrid/>
        <w:spacing w:line="4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3.2在中国境外发生的与本合同执行过程的一切税费由乙方负担。</w:t>
      </w:r>
    </w:p>
    <w:p w14:paraId="02F9B273">
      <w:pPr>
        <w:keepNext w:val="0"/>
        <w:keepLines/>
        <w:pageBreakBefore w:val="0"/>
        <w:kinsoku/>
        <w:wordWrap/>
        <w:overflowPunct/>
        <w:topLinePunct w:val="0"/>
        <w:autoSpaceDE/>
        <w:autoSpaceDN/>
        <w:bidi w:val="0"/>
        <w:adjustRightInd/>
        <w:snapToGrid/>
        <w:spacing w:line="460" w:lineRule="exact"/>
        <w:ind w:firstLine="562"/>
        <w:jc w:val="both"/>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四、</w:t>
      </w:r>
      <w:r>
        <w:rPr>
          <w:rFonts w:hint="eastAsia" w:ascii="宋体" w:hAnsi="宋体" w:cs="宋体"/>
          <w:b/>
          <w:bCs/>
          <w:color w:val="auto"/>
          <w:sz w:val="24"/>
          <w:szCs w:val="24"/>
          <w:lang w:eastAsia="zh-CN"/>
        </w:rPr>
        <w:t>合同履行期限：本项目服务期限为24个月</w:t>
      </w:r>
      <w:r>
        <w:rPr>
          <w:rFonts w:hint="eastAsia" w:cs="宋体"/>
          <w:color w:val="auto"/>
          <w:sz w:val="24"/>
          <w:szCs w:val="24"/>
          <w:lang w:eastAsia="zh-CN"/>
        </w:rPr>
        <w:t>。</w:t>
      </w:r>
    </w:p>
    <w:p w14:paraId="6E4F45D1">
      <w:pPr>
        <w:pStyle w:val="45"/>
        <w:keepNext w:val="0"/>
        <w:keepLines/>
        <w:pageBreakBefore w:val="0"/>
        <w:kinsoku/>
        <w:wordWrap/>
        <w:overflowPunct/>
        <w:topLinePunct w:val="0"/>
        <w:autoSpaceDE/>
        <w:autoSpaceDN/>
        <w:bidi w:val="0"/>
        <w:adjustRightInd/>
        <w:snapToGrid/>
        <w:spacing w:before="120" w:beforeAutospacing="0" w:after="120" w:afterAutospacing="0" w:line="460" w:lineRule="exact"/>
        <w:ind w:firstLine="482"/>
        <w:jc w:val="both"/>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五、质量要求</w:t>
      </w:r>
      <w:r>
        <w:rPr>
          <w:rFonts w:hint="eastAsia" w:ascii="宋体" w:hAnsi="宋体" w:eastAsia="宋体" w:cs="宋体"/>
          <w:b/>
          <w:bCs/>
          <w:color w:val="auto"/>
          <w:sz w:val="24"/>
          <w:szCs w:val="24"/>
          <w:lang w:eastAsia="zh-CN"/>
        </w:rPr>
        <w:t>：</w:t>
      </w:r>
      <w:r>
        <w:rPr>
          <w:rFonts w:hint="eastAsia" w:cs="宋体"/>
          <w:color w:val="auto"/>
          <w:sz w:val="24"/>
          <w:szCs w:val="24"/>
          <w:lang w:eastAsia="zh-CN"/>
        </w:rPr>
        <w:t>合格标准，符合相关国家标准及招标文件的要求</w:t>
      </w:r>
      <w:r>
        <w:rPr>
          <w:rFonts w:hint="eastAsia" w:ascii="宋体" w:hAnsi="宋体" w:eastAsia="宋体" w:cs="宋体"/>
          <w:color w:val="auto"/>
          <w:sz w:val="24"/>
          <w:szCs w:val="24"/>
        </w:rPr>
        <w:t>。</w:t>
      </w:r>
    </w:p>
    <w:p w14:paraId="7516320A">
      <w:pPr>
        <w:keepNext w:val="0"/>
        <w:keepLines/>
        <w:pageBreakBefore w:val="0"/>
        <w:kinsoku/>
        <w:wordWrap/>
        <w:overflowPunct/>
        <w:topLinePunct w:val="0"/>
        <w:autoSpaceDE/>
        <w:autoSpaceDN/>
        <w:bidi w:val="0"/>
        <w:adjustRightInd/>
        <w:snapToGrid/>
        <w:spacing w:line="460" w:lineRule="exact"/>
        <w:ind w:firstLine="562"/>
        <w:jc w:val="both"/>
        <w:textAlignment w:val="auto"/>
        <w:rPr>
          <w:rFonts w:hint="eastAsia" w:ascii="宋体" w:hAnsi="宋体" w:eastAsia="宋体" w:cs="宋体"/>
          <w:sz w:val="24"/>
          <w:szCs w:val="24"/>
        </w:rPr>
      </w:pPr>
      <w:r>
        <w:rPr>
          <w:rFonts w:hint="eastAsia" w:ascii="宋体" w:hAnsi="宋体" w:eastAsia="宋体" w:cs="宋体"/>
          <w:b/>
          <w:bCs/>
          <w:sz w:val="24"/>
          <w:szCs w:val="24"/>
        </w:rPr>
        <w:t>六、付款</w:t>
      </w:r>
    </w:p>
    <w:p w14:paraId="07631687">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240" w:firstLineChars="100"/>
        <w:jc w:val="both"/>
        <w:textAlignment w:val="auto"/>
        <w:rPr>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.1合同款项的支付方式及进度安排</w:t>
      </w:r>
    </w:p>
    <w:p w14:paraId="7E91B042">
      <w:pPr>
        <w:pStyle w:val="45"/>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ascii="Times New Roman" w:hAnsi="Times New Roman" w:eastAsia="宋体"/>
        </w:rPr>
      </w:pPr>
      <w:r>
        <w:rPr>
          <w:rFonts w:hint="eastAsia" w:ascii="Times New Roman" w:hAnsi="Times New Roman" w:eastAsia="宋体"/>
          <w:lang w:val="en-US" w:eastAsia="zh-CN"/>
        </w:rPr>
        <w:t>6</w:t>
      </w:r>
      <w:r>
        <w:rPr>
          <w:rFonts w:ascii="Times New Roman" w:hAnsi="Times New Roman" w:eastAsia="宋体"/>
        </w:rPr>
        <w:t>.1</w:t>
      </w:r>
      <w:r>
        <w:rPr>
          <w:rFonts w:hint="eastAsia" w:ascii="Times New Roman" w:hAnsi="Times New Roman" w:eastAsia="宋体"/>
          <w:lang w:val="en-US" w:eastAsia="zh-CN"/>
        </w:rPr>
        <w:t>.1</w:t>
      </w:r>
      <w:r>
        <w:rPr>
          <w:rFonts w:ascii="Times New Roman" w:hAnsi="Times New Roman" w:eastAsia="宋体"/>
        </w:rPr>
        <w:t>合同签订后，甲方向乙方支付合同价的30%为预付款。（签订合同时，如乙方明确表示无需预付款或者主动要求降低预付款比例的，甲方可不适用前述规定）。</w:t>
      </w:r>
    </w:p>
    <w:p w14:paraId="3623DFCB">
      <w:pPr>
        <w:pStyle w:val="45"/>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ascii="Times New Roman" w:hAnsi="Times New Roman" w:eastAsia="宋体"/>
        </w:rPr>
      </w:pPr>
      <w:r>
        <w:rPr>
          <w:rFonts w:hint="eastAsia" w:ascii="Times New Roman" w:hAnsi="Times New Roman" w:eastAsia="宋体"/>
          <w:lang w:val="en-US" w:eastAsia="zh-CN"/>
        </w:rPr>
        <w:t>6</w:t>
      </w:r>
      <w:r>
        <w:rPr>
          <w:rFonts w:ascii="Times New Roman" w:hAnsi="Times New Roman" w:eastAsia="宋体"/>
        </w:rPr>
        <w:t>.2</w:t>
      </w:r>
      <w:r>
        <w:rPr>
          <w:rFonts w:hint="eastAsia" w:ascii="Times New Roman" w:hAnsi="Times New Roman" w:eastAsia="宋体"/>
          <w:lang w:val="en-US" w:eastAsia="zh-CN"/>
        </w:rPr>
        <w:t>.2</w:t>
      </w:r>
      <w:r>
        <w:rPr>
          <w:rFonts w:ascii="Times New Roman" w:hAnsi="Times New Roman" w:eastAsia="宋体"/>
        </w:rPr>
        <w:t>乙方按照采购要求服务期满</w:t>
      </w:r>
      <w:r>
        <w:rPr>
          <w:rFonts w:hint="eastAsia" w:ascii="Times New Roman" w:hAnsi="Times New Roman"/>
          <w:lang w:val="en-US" w:eastAsia="zh-CN"/>
        </w:rPr>
        <w:t>12</w:t>
      </w:r>
      <w:r>
        <w:rPr>
          <w:rFonts w:ascii="Times New Roman" w:hAnsi="Times New Roman" w:eastAsia="宋体"/>
        </w:rPr>
        <w:t>个月后，甲方根据对乙方的考核结果进行付款，</w:t>
      </w:r>
      <w:r>
        <w:rPr>
          <w:rFonts w:hint="eastAsia" w:ascii="Times New Roman" w:hAnsi="Times New Roman"/>
          <w:lang w:val="en-US" w:eastAsia="zh-CN"/>
          <w14:textFill>
            <w14:gradFill>
              <w14:gsLst>
                <w14:gs w14:pos="51300">
                  <w14:srgbClr w14:val="FE5F4A"/>
                </w14:gs>
                <w14:gs w14:pos="0">
                  <w14:srgbClr w14:val="DF0303"/>
                </w14:gs>
                <w14:gs w14:pos="100000">
                  <w14:srgbClr w14:val="FEA06E"/>
                </w14:gs>
              </w14:gsLst>
              <w14:lin w14:ang="5400000" w14:scaled="1"/>
            </w14:gradFill>
          </w14:textFill>
        </w:rPr>
        <w:t>收到发票后待财政资金到账后</w:t>
      </w:r>
      <w:r>
        <w:rPr>
          <w:rFonts w:ascii="Times New Roman" w:hAnsi="Times New Roman" w:eastAsia="宋体"/>
        </w:rPr>
        <w:t>付至合同金额的60％；服务期满</w:t>
      </w:r>
      <w:r>
        <w:rPr>
          <w:rFonts w:hint="eastAsia" w:ascii="Times New Roman" w:hAnsi="Times New Roman"/>
          <w:lang w:val="en-US" w:eastAsia="zh-CN"/>
        </w:rPr>
        <w:t>24个月</w:t>
      </w:r>
      <w:r>
        <w:rPr>
          <w:rFonts w:ascii="Times New Roman" w:hAnsi="Times New Roman" w:eastAsia="宋体"/>
        </w:rPr>
        <w:t>后，甲方根据对乙方的考核结果</w:t>
      </w:r>
      <w:r>
        <w:rPr>
          <w:rFonts w:hint="eastAsia" w:ascii="Times New Roman" w:hAnsi="Times New Roman"/>
          <w:lang w:eastAsia="zh-CN"/>
        </w:rPr>
        <w:t>，</w:t>
      </w:r>
      <w:r>
        <w:rPr>
          <w:rFonts w:hint="eastAsia" w:ascii="Times New Roman" w:hAnsi="Times New Roman"/>
          <w:lang w:val="en-US" w:eastAsia="zh-CN"/>
          <w14:textFill>
            <w14:gradFill>
              <w14:gsLst>
                <w14:gs w14:pos="51300">
                  <w14:srgbClr w14:val="FE5F4A"/>
                </w14:gs>
                <w14:gs w14:pos="0">
                  <w14:srgbClr w14:val="DF0303"/>
                </w14:gs>
                <w14:gs w14:pos="100000">
                  <w14:srgbClr w14:val="FEA06E"/>
                </w14:gs>
              </w14:gsLst>
              <w14:lin w14:ang="5400000" w14:scaled="1"/>
            </w14:gradFill>
          </w14:textFill>
        </w:rPr>
        <w:t>收到发票后待财政资金到账后</w:t>
      </w:r>
      <w:r>
        <w:rPr>
          <w:rFonts w:ascii="Times New Roman" w:hAnsi="Times New Roman" w:eastAsia="宋体"/>
        </w:rPr>
        <w:t>结算项目余款）。</w:t>
      </w:r>
    </w:p>
    <w:p w14:paraId="194D467D">
      <w:pPr>
        <w:pStyle w:val="45"/>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ascii="Times New Roman" w:hAnsi="Times New Roman" w:eastAsia="宋体"/>
        </w:rPr>
      </w:pPr>
      <w:r>
        <w:rPr>
          <w:rFonts w:ascii="Times New Roman" w:hAnsi="Times New Roman" w:eastAsia="宋体"/>
        </w:rPr>
        <w:t>注:以上付款均不计任何利息和相关费用。由于合同款项的拨付需经财政部门审批实际支付时间可能滞后于合同约定的时限,中标人不能因费用拨付滞后而影响正常工作开展和服务质量。</w:t>
      </w:r>
    </w:p>
    <w:p w14:paraId="0967E897">
      <w:pPr>
        <w:keepNext w:val="0"/>
        <w:keepLines w:val="0"/>
        <w:pageBreakBefore w:val="0"/>
        <w:widowControl/>
        <w:kinsoku/>
        <w:wordWrap/>
        <w:overflowPunct/>
        <w:topLinePunct w:val="0"/>
        <w:autoSpaceDE/>
        <w:autoSpaceDN/>
        <w:bidi w:val="0"/>
        <w:adjustRightInd/>
        <w:snapToGrid/>
        <w:spacing w:line="360" w:lineRule="exact"/>
        <w:ind w:firstLine="562"/>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p>
    <w:p w14:paraId="2712CAA7">
      <w:pPr>
        <w:keepNext w:val="0"/>
        <w:keepLines w:val="0"/>
        <w:pageBreakBefore w:val="0"/>
        <w:widowControl/>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7.1负责本项目的组织协调，配合乙方做好相关资料收集和准备工作。</w:t>
      </w:r>
    </w:p>
    <w:p w14:paraId="7BF4A6FB">
      <w:pPr>
        <w:keepNext w:val="0"/>
        <w:keepLines w:val="0"/>
        <w:pageBreakBefore w:val="0"/>
        <w:widowControl/>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7.2对乙方成果进行检查，按时足额向乙方支付工作经费。</w:t>
      </w:r>
    </w:p>
    <w:p w14:paraId="4A144407">
      <w:pPr>
        <w:keepNext w:val="0"/>
        <w:keepLines w:val="0"/>
        <w:pageBreakBefore w:val="0"/>
        <w:widowControl/>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八、乙方义务</w:t>
      </w:r>
    </w:p>
    <w:p w14:paraId="4B27B4F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bCs/>
          <w:sz w:val="24"/>
          <w:szCs w:val="24"/>
        </w:rPr>
        <w:t>严格按照甲方的委托要求独立开展工作并保证及时保质保量完成本委托业务，</w:t>
      </w:r>
      <w:r>
        <w:rPr>
          <w:rFonts w:hint="eastAsia" w:ascii="宋体" w:hAnsi="宋体" w:eastAsia="宋体" w:cs="宋体"/>
          <w:sz w:val="24"/>
          <w:szCs w:val="24"/>
        </w:rPr>
        <w:t>根据甲方要求提交的成果格式及文件交付时间，提交相关文字及电子数据成果资料。</w:t>
      </w:r>
    </w:p>
    <w:p w14:paraId="12B8B0A8">
      <w:pPr>
        <w:keepNext w:val="0"/>
        <w:keepLines w:val="0"/>
        <w:pageBreakBefore w:val="0"/>
        <w:widowControl/>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九、双方权利</w:t>
      </w:r>
    </w:p>
    <w:p w14:paraId="0E93EEC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（一）甲方权利</w:t>
      </w:r>
    </w:p>
    <w:p w14:paraId="249FD28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9.1.1甲方有权要求乙方按合同规定提供咨询服务。</w:t>
      </w:r>
    </w:p>
    <w:p w14:paraId="40CE221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9.1.2乙方违反合同任何条款，甲方有权提前3天以书面形式通知乙方终止合同。</w:t>
      </w:r>
    </w:p>
    <w:p w14:paraId="1E069C1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9.1.3非经甲方书面同意，乙方不得向任何第三方透露咨询项目的任何内容。</w:t>
      </w:r>
    </w:p>
    <w:p w14:paraId="35CBAC9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9.1.4乙方不得向任何第三方透露从甲方得到或研究发现的甲方内部信息。</w:t>
      </w:r>
    </w:p>
    <w:p w14:paraId="21B6EF8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9.1.5乙方人员在甲方活动时，需听从甲方有关人员安排和引导。</w:t>
      </w:r>
    </w:p>
    <w:p w14:paraId="7EDBB13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9.1.6甲方提出收回向乙方提供的有关资料时，乙方应按照甲方要求将有关资料及其复制件返还甲方。</w:t>
      </w:r>
    </w:p>
    <w:p w14:paraId="37CAF0B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9.1.7甲方在项目结束后，有权要求乙方提供招标文件和合同要求中约定的全部资料。</w:t>
      </w:r>
    </w:p>
    <w:p w14:paraId="31D119D1">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9.1.8甲方委托乙方研究形成的工作报告书及相应成果知识产权归甲方所有。</w:t>
      </w:r>
    </w:p>
    <w:p w14:paraId="71B1D4B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（二）乙方权利</w:t>
      </w:r>
    </w:p>
    <w:p w14:paraId="537579D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9.2.1乙方有权要求甲方遵守本合同规定及其附件。</w:t>
      </w:r>
    </w:p>
    <w:p w14:paraId="703CAEC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9.2.2未经乙方书面同意，甲方不得向任何第三方透露咨询项目合同、咨询费用等相关的信息。</w:t>
      </w:r>
    </w:p>
    <w:p w14:paraId="1A4F41BF">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十、双方责任</w:t>
      </w:r>
    </w:p>
    <w:p w14:paraId="0412014E">
      <w:pPr>
        <w:keepNext w:val="0"/>
        <w:keepLines w:val="0"/>
        <w:pageBreakBefore w:val="0"/>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（一）甲方责任</w:t>
      </w:r>
    </w:p>
    <w:p w14:paraId="396BA753">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10.1.1甲方必须遵守本合同之规定及相关法律规定。</w:t>
      </w:r>
    </w:p>
    <w:p w14:paraId="3DC6D31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10.1.2甲方向乙方提供可靠、详细的资料，并保证资料的真实性、准确性。</w:t>
      </w:r>
    </w:p>
    <w:p w14:paraId="6252C04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（二）乙方责任</w:t>
      </w:r>
    </w:p>
    <w:p w14:paraId="63333E2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10.2.1乙方必须遵守本合同之规定及相关法律规定。</w:t>
      </w:r>
    </w:p>
    <w:p w14:paraId="545EB47C">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10.2.2乙方不得拒绝甲方委托乙方研究内容的相关咨询，对甲方的咨询乙方必须给予正式的书面答复，并应具有科学性和适用性。</w:t>
      </w:r>
    </w:p>
    <w:p w14:paraId="233DBEFB">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10.2.3乙方按照本合同及附件为甲方提供服务工作，乙方需要对项目组主要成员进行调整时，须书面征得甲方同意。</w:t>
      </w:r>
    </w:p>
    <w:p w14:paraId="4FC798D2">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十一、违约</w:t>
      </w:r>
    </w:p>
    <w:p w14:paraId="47573A26">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的违约金。</w:t>
      </w:r>
    </w:p>
    <w:p w14:paraId="0088C9F2">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eastAsia="宋体" w:cs="宋体"/>
          <w:u w:val="single"/>
        </w:rPr>
        <w:t> </w:t>
      </w:r>
      <w:r>
        <w:rPr>
          <w:rFonts w:hint="eastAsia" w:cs="宋体"/>
          <w:u w:val="single"/>
          <w:lang w:val="en-US" w:eastAsia="zh-CN"/>
        </w:rPr>
        <w:t>1</w:t>
      </w:r>
      <w:r>
        <w:rPr>
          <w:rFonts w:hint="eastAsia" w:cs="宋体"/>
          <w:u w:val="single"/>
          <w:lang w:eastAsia="zh-CN"/>
        </w:rPr>
        <w:t>‱</w:t>
      </w:r>
      <w:r>
        <w:rPr>
          <w:rFonts w:hint="eastAsia" w:ascii="宋体" w:hAnsi="宋体" w:eastAsia="宋体" w:cs="宋体"/>
          <w:u w:val="single"/>
        </w:rPr>
        <w:t xml:space="preserve">  </w:t>
      </w:r>
      <w:r>
        <w:rPr>
          <w:rFonts w:hint="eastAsia" w:ascii="宋体" w:hAnsi="宋体" w:eastAsia="宋体" w:cs="宋体"/>
          <w:color w:val="000000"/>
          <w:sz w:val="24"/>
          <w:szCs w:val="24"/>
          <w:highlight w:val="none"/>
        </w:rPr>
        <w:t>每日向乙方支付违约金。</w:t>
      </w:r>
    </w:p>
    <w:p w14:paraId="1AF79638">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52212B84">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7E692E78">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十二、转让</w:t>
      </w:r>
    </w:p>
    <w:p w14:paraId="5BCA332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除甲方事先书面同意外，乙方不得转让任何其应履行的合同义务。</w:t>
      </w:r>
    </w:p>
    <w:p w14:paraId="0673A549">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十三、履约保证金</w:t>
      </w:r>
    </w:p>
    <w:p w14:paraId="511731A1">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本项目免收履约保证金。</w:t>
      </w:r>
    </w:p>
    <w:p w14:paraId="4D63B62B">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十四、索赔</w:t>
      </w:r>
    </w:p>
    <w:p w14:paraId="1CCAFC9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1、乙方可按以下规定向甲方索赔：</w:t>
      </w:r>
    </w:p>
    <w:p w14:paraId="7F05AAA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（1）有正当索赔理由，且有索赔事件发生时的有关证据；</w:t>
      </w:r>
    </w:p>
    <w:p w14:paraId="7B241DCA">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（2）索赔事件发生后20天内，向甲方发出要求索赔的通知，超出20天，作自动放弃索赔处理；</w:t>
      </w:r>
    </w:p>
    <w:p w14:paraId="300A8ED8">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（3）甲方在接到索赔通知后10天内给予响应，或要求乙方进一步补充索赔理由和证据，甲方在10天内未予答复，应视为该项索赔已经认可。</w:t>
      </w:r>
    </w:p>
    <w:p w14:paraId="022F9FEB">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2、甲方可按以下规定向乙方索赔：</w:t>
      </w:r>
    </w:p>
    <w:p w14:paraId="2F82003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（1）有正当索赔理由，且有索赔事件发生时的有关证据；</w:t>
      </w:r>
    </w:p>
    <w:p w14:paraId="7A31B5B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（2）索赔事件发生后20天内，向乙方发出要求索赔的通知；</w:t>
      </w:r>
    </w:p>
    <w:p w14:paraId="26A9983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（3）乙方在接到索赔通知后10天内给予响应，或要求甲方进一步补充索赔理由或证据，乙方在10天内未予答复，应视为该项索赔已经认可。</w:t>
      </w:r>
    </w:p>
    <w:p w14:paraId="0B87BF79">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十五、知识产权：</w:t>
      </w:r>
    </w:p>
    <w:p w14:paraId="0C4DCE43">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乙方应保障甲方免于承担乙方所用的任何技术、软件、设备、文章及音像作品等方面因侵犯专利权等知识产权引起的一切索赔和诉讼，保障甲方免于承担由此导致或与此有关的一切损害赔偿费、诉讼费和其它有关费用。</w:t>
      </w:r>
    </w:p>
    <w:p w14:paraId="40642B7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p>
    <w:p w14:paraId="01CF9A56">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sz w:val="24"/>
          <w:szCs w:val="24"/>
        </w:rPr>
        <w:t>十六、产权担保：</w:t>
      </w:r>
      <w:r>
        <w:rPr>
          <w:rFonts w:hint="eastAsia" w:ascii="宋体" w:hAnsi="宋体" w:eastAsia="宋体" w:cs="宋体"/>
          <w:sz w:val="24"/>
          <w:szCs w:val="24"/>
        </w:rPr>
        <w:t>乙方保证所交付的服务的所有权完全属于乙方且无任何抵押、查封等产权瑕疵。</w:t>
      </w:r>
    </w:p>
    <w:p w14:paraId="2F3E61D3">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十七、违约责任：</w:t>
      </w:r>
    </w:p>
    <w:p w14:paraId="33696BC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按照标书的规定和国家的有关规定处理。</w:t>
      </w:r>
    </w:p>
    <w:p w14:paraId="05EDD2A5">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十八、不可抗力事件处理</w:t>
      </w:r>
    </w:p>
    <w:p w14:paraId="6C27EC8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18.1如果甲、乙双方因不可抗力而导致合同实施延误或不能履行合同义务，在不可抗力影响的范围内不应该被没收合同履约及维护保证金或已支付的款项，也不应该承担误期赔偿或延期付款赔偿或终止合同的责任。</w:t>
      </w:r>
    </w:p>
    <w:p w14:paraId="3C08D84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18.2本条所述的“不可抗力”系指那些双方不能预见、不能克服并无法避免的事件，但不包括任何一方的违约或疏忽。不可预见的事件包括战争、严重火灾、洪水、台风、地震及其他双方同意的情况。</w:t>
      </w:r>
    </w:p>
    <w:p w14:paraId="06851DA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p>
    <w:p w14:paraId="4E960010">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sz w:val="24"/>
          <w:szCs w:val="24"/>
        </w:rPr>
        <w:t>十九、争议的解决：</w:t>
      </w:r>
      <w:r>
        <w:rPr>
          <w:rFonts w:hint="eastAsia" w:ascii="宋体" w:hAnsi="宋体" w:eastAsia="宋体" w:cs="宋体"/>
          <w:sz w:val="24"/>
          <w:szCs w:val="24"/>
        </w:rPr>
        <w:t>本合同在履行过程中发生争议，由当事人双方协商解决，协商不成，双方同意将争议提交甲方所在地有管辖权的人民法院解决。</w:t>
      </w:r>
    </w:p>
    <w:p w14:paraId="48DF5480">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二十、其他</w:t>
      </w:r>
    </w:p>
    <w:p w14:paraId="085D1CAD">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20.1合同双方可以就本合同主要内容以外的事项进行协商。</w:t>
      </w:r>
    </w:p>
    <w:p w14:paraId="31D1A961">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20.2 本合同自双方签字盖章之日起生效。合同生效后如需变更合同条款，须经双方协商同意。</w:t>
      </w:r>
    </w:p>
    <w:p w14:paraId="7F4F483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20.3 本合同任何条款不能认定为任何一方提供的格式条款。</w:t>
      </w:r>
    </w:p>
    <w:p w14:paraId="6B13322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20.4本合同若有未尽事宜，双方可协商解决。</w:t>
      </w:r>
    </w:p>
    <w:p w14:paraId="0E24D87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20.5本合同一式捌份，甲、乙双方各执叁份，财政监管部门执贰份。</w:t>
      </w:r>
    </w:p>
    <w:p w14:paraId="5B83112A">
      <w:pPr>
        <w:keepNext w:val="0"/>
        <w:keepLines w:val="0"/>
        <w:pageBreakBefore w:val="0"/>
        <w:spacing w:line="460" w:lineRule="exact"/>
        <w:ind w:firstLine="560"/>
        <w:jc w:val="both"/>
        <w:rPr>
          <w:rFonts w:hint="eastAsia"/>
          <w:color w:val="auto"/>
          <w:highlight w:val="none"/>
        </w:rPr>
      </w:pPr>
      <w:r>
        <w:rPr>
          <w:rFonts w:hint="eastAsia" w:ascii="宋体" w:hAnsi="宋体" w:eastAsia="宋体" w:cs="宋体"/>
          <w:sz w:val="24"/>
          <w:szCs w:val="24"/>
        </w:rPr>
        <w:t>20.6本合同未注明事项</w:t>
      </w:r>
      <w:r>
        <w:rPr>
          <w:rFonts w:hint="eastAsia" w:ascii="宋体" w:hAnsi="宋体" w:eastAsia="宋体" w:cs="宋体"/>
          <w:sz w:val="24"/>
          <w:szCs w:val="24"/>
          <w:lang w:eastAsia="zh-CN"/>
        </w:rPr>
        <w:t>招标文件</w:t>
      </w:r>
      <w:r>
        <w:rPr>
          <w:rFonts w:hint="eastAsia" w:ascii="宋体" w:hAnsi="宋体" w:eastAsia="宋体" w:cs="宋体"/>
          <w:sz w:val="24"/>
          <w:szCs w:val="24"/>
        </w:rPr>
        <w:t>文件中有规定的，按</w:t>
      </w:r>
      <w:r>
        <w:rPr>
          <w:rFonts w:hint="eastAsia" w:ascii="宋体" w:hAnsi="宋体" w:eastAsia="宋体" w:cs="宋体"/>
          <w:sz w:val="24"/>
          <w:szCs w:val="24"/>
          <w:lang w:eastAsia="zh-CN"/>
        </w:rPr>
        <w:t>招标文件</w:t>
      </w:r>
      <w:r>
        <w:rPr>
          <w:rFonts w:hint="eastAsia" w:ascii="宋体" w:hAnsi="宋体" w:eastAsia="宋体" w:cs="宋体"/>
          <w:sz w:val="24"/>
          <w:szCs w:val="24"/>
        </w:rPr>
        <w:t>文件中的规定处理，没有规定的，按照国家有关规定处理。</w:t>
      </w:r>
    </w:p>
    <w:p w14:paraId="32724109">
      <w:pPr>
        <w:keepNext w:val="0"/>
        <w:keepLines w:val="0"/>
        <w:pageBreakBefore w:val="0"/>
        <w:spacing w:line="460" w:lineRule="exact"/>
        <w:ind w:firstLine="560"/>
        <w:jc w:val="both"/>
        <w:rPr>
          <w:rFonts w:hint="eastAsia" w:ascii="宋体" w:hAnsi="宋体" w:eastAsia="宋体" w:cs="宋体"/>
          <w:sz w:val="24"/>
          <w:szCs w:val="24"/>
        </w:rPr>
      </w:pPr>
    </w:p>
    <w:p w14:paraId="187818F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p>
    <w:p w14:paraId="54EB00E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法定代表人或授权代</w:t>
      </w:r>
      <w:r>
        <w:rPr>
          <w:rFonts w:hint="eastAsia" w:ascii="宋体" w:hAnsi="宋体" w:eastAsia="宋体" w:cs="宋体"/>
          <w:sz w:val="24"/>
          <w:szCs w:val="24"/>
          <w:lang w:val="en-US" w:eastAsia="zh-CN"/>
        </w:rPr>
        <w:t>理人（签字）</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法定代表人或授权代</w:t>
      </w:r>
      <w:r>
        <w:rPr>
          <w:rFonts w:hint="eastAsia" w:ascii="宋体" w:hAnsi="宋体" w:eastAsia="宋体" w:cs="宋体"/>
          <w:sz w:val="24"/>
          <w:szCs w:val="24"/>
          <w:lang w:val="en-US" w:eastAsia="zh-CN"/>
        </w:rPr>
        <w:t>理人（签字）</w:t>
      </w:r>
      <w:r>
        <w:rPr>
          <w:rFonts w:hint="eastAsia" w:ascii="宋体" w:hAnsi="宋体" w:eastAsia="宋体" w:cs="宋体"/>
          <w:sz w:val="24"/>
          <w:szCs w:val="24"/>
        </w:rPr>
        <w:t>：</w:t>
      </w:r>
    </w:p>
    <w:p w14:paraId="2F59E9D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p>
    <w:p w14:paraId="7D41B11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286FCBE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开户银行：</w:t>
      </w:r>
    </w:p>
    <w:p w14:paraId="095E098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帐    号：</w:t>
      </w:r>
    </w:p>
    <w:p w14:paraId="7B90358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签订日期：  年 月 日</w:t>
      </w:r>
    </w:p>
    <w:p w14:paraId="23FDF3A9">
      <w:pPr>
        <w:numPr>
          <w:ilvl w:val="0"/>
          <w:numId w:val="5"/>
        </w:numPr>
        <w:spacing w:before="120" w:after="120" w:line="0" w:lineRule="atLeast"/>
        <w:jc w:val="center"/>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bookmarkEnd w:id="172"/>
      <w:r>
        <w:rPr>
          <w:rFonts w:hint="eastAsia" w:ascii="黑体" w:hAnsi="Courier New" w:eastAsia="黑体" w:cs="Courier New"/>
          <w:bCs/>
          <w:color w:val="auto"/>
          <w:sz w:val="44"/>
          <w:szCs w:val="21"/>
          <w:highlight w:val="none"/>
        </w:rPr>
        <w:t>采购需求</w:t>
      </w:r>
      <w:bookmarkEnd w:id="173"/>
      <w:bookmarkEnd w:id="174"/>
      <w:bookmarkEnd w:id="175"/>
    </w:p>
    <w:p w14:paraId="3AD5C2D3">
      <w:pPr>
        <w:spacing w:line="360" w:lineRule="auto"/>
        <w:ind w:firstLine="482"/>
        <w:jc w:val="left"/>
        <w:rPr>
          <w:rFonts w:hint="eastAsia" w:ascii="宋体" w:hAnsi="宋体" w:eastAsia="宋体" w:cs="宋体"/>
          <w:b/>
          <w:bCs/>
          <w:color w:val="auto"/>
          <w:sz w:val="24"/>
          <w:szCs w:val="24"/>
          <w:highlight w:val="none"/>
        </w:rPr>
      </w:pPr>
    </w:p>
    <w:p w14:paraId="39211FCB">
      <w:pPr>
        <w:pStyle w:val="45"/>
        <w:spacing w:beforeAutospacing="0" w:afterAutospacing="0" w:line="360" w:lineRule="auto"/>
        <w:ind w:firstLine="482" w:firstLineChars="200"/>
        <w:jc w:val="both"/>
        <w:rPr>
          <w:b/>
          <w:bCs/>
        </w:rPr>
      </w:pPr>
      <w:bookmarkStart w:id="179" w:name="_Toc26554093"/>
      <w:bookmarkStart w:id="180" w:name="_Toc49090575"/>
      <w:r>
        <w:rPr>
          <w:rFonts w:hint="eastAsia" w:ascii="宋体" w:hAnsi="宋体" w:eastAsia="宋体" w:cs="宋体"/>
          <w:b/>
          <w:bCs/>
          <w:color w:val="000000"/>
        </w:rPr>
        <w:t>项目属性:服务类项目</w:t>
      </w:r>
      <w:bookmarkEnd w:id="179"/>
      <w:bookmarkEnd w:id="180"/>
    </w:p>
    <w:p w14:paraId="6D045078">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rPr>
      </w:pPr>
      <w:r>
        <w:rPr>
          <w:rFonts w:eastAsia="宋体"/>
          <w:sz w:val="32"/>
          <w:szCs w:val="32"/>
        </w:rPr>
        <w:t>一、项目概况</w:t>
      </w:r>
    </w:p>
    <w:p w14:paraId="599004D4">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为保证阜宁县16个乡镇（街道）环境空气自动监测站点高质量运行，及时、准确、全面地获取空气环境质量监测数据，客观反映空气环境质量状况和变化趋势，根据国家相关技术规范要求，本项目主要内容是对全县16个乡镇（街道）空气自动监测站开展日常运行、维护、巡检、故障检修服务和数据审核上报及阜宁县环境空气质量联网管理平台运维等工作，项目服务期为</w:t>
      </w:r>
      <w:r>
        <w:rPr>
          <w:rFonts w:hint="eastAsia" w:cs="Times New Roman"/>
          <w:sz w:val="24"/>
          <w:lang w:eastAsia="zh-CN"/>
        </w:rPr>
        <w:t>24个月</w:t>
      </w:r>
      <w:r>
        <w:rPr>
          <w:rFonts w:ascii="Times New Roman" w:hAnsi="Times New Roman" w:eastAsia="宋体" w:cs="Times New Roman"/>
          <w:sz w:val="24"/>
        </w:rPr>
        <w:t>。</w:t>
      </w:r>
    </w:p>
    <w:p w14:paraId="05160EF6">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本次招标项目划分为2个包:</w:t>
      </w:r>
    </w:p>
    <w:p w14:paraId="3A48B3F5">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采购包1：最高限价为</w:t>
      </w:r>
      <w:r>
        <w:rPr>
          <w:rFonts w:hint="eastAsia" w:cs="Times New Roman"/>
          <w:sz w:val="24"/>
          <w:highlight w:val="none"/>
          <w:lang w:val="en-US" w:eastAsia="zh-CN"/>
        </w:rPr>
        <w:t>160</w:t>
      </w:r>
      <w:r>
        <w:rPr>
          <w:rFonts w:ascii="Times New Roman" w:hAnsi="Times New Roman" w:eastAsia="宋体" w:cs="Times New Roman"/>
          <w:sz w:val="24"/>
          <w:highlight w:val="none"/>
        </w:rPr>
        <w:t>万元；服务站点：</w:t>
      </w:r>
      <w:r>
        <w:rPr>
          <w:rFonts w:ascii="Times New Roman" w:hAnsi="Times New Roman" w:eastAsia="宋体" w:cs="Times New Roman"/>
          <w:b/>
          <w:sz w:val="24"/>
          <w:highlight w:val="none"/>
        </w:rPr>
        <w:t>表1-1</w:t>
      </w:r>
      <w:r>
        <w:rPr>
          <w:rFonts w:ascii="Times New Roman" w:hAnsi="Times New Roman" w:eastAsia="宋体" w:cs="Times New Roman"/>
          <w:sz w:val="24"/>
          <w:highlight w:val="none"/>
        </w:rPr>
        <w:t>，本标段共计对8个空气站提供运维服务。</w:t>
      </w:r>
    </w:p>
    <w:p w14:paraId="122C8783">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采购包2：最高限价为</w:t>
      </w:r>
      <w:r>
        <w:rPr>
          <w:rFonts w:hint="eastAsia" w:cs="Times New Roman"/>
          <w:sz w:val="24"/>
          <w:highlight w:val="none"/>
          <w:lang w:val="en-US" w:eastAsia="zh-CN"/>
        </w:rPr>
        <w:t>180</w:t>
      </w:r>
      <w:r>
        <w:rPr>
          <w:rFonts w:ascii="Times New Roman" w:hAnsi="Times New Roman" w:eastAsia="宋体" w:cs="Times New Roman"/>
          <w:sz w:val="24"/>
          <w:highlight w:val="none"/>
        </w:rPr>
        <w:t>万元；服务站点：</w:t>
      </w:r>
      <w:r>
        <w:rPr>
          <w:rFonts w:ascii="Times New Roman" w:hAnsi="Times New Roman" w:eastAsia="宋体" w:cs="Times New Roman"/>
          <w:b/>
          <w:sz w:val="24"/>
          <w:highlight w:val="none"/>
        </w:rPr>
        <w:t>表1-2</w:t>
      </w:r>
      <w:r>
        <w:rPr>
          <w:rFonts w:ascii="Times New Roman" w:hAnsi="Times New Roman" w:eastAsia="宋体" w:cs="Times New Roman"/>
          <w:sz w:val="24"/>
          <w:highlight w:val="none"/>
        </w:rPr>
        <w:t>，本标段共计对8个空气站</w:t>
      </w:r>
      <w:r>
        <w:rPr>
          <w:rFonts w:hint="eastAsia" w:cs="Times New Roman"/>
          <w:sz w:val="24"/>
          <w:highlight w:val="none"/>
          <w:lang w:val="en-US" w:eastAsia="zh-CN"/>
        </w:rPr>
        <w:t>和1个备用站</w:t>
      </w:r>
      <w:r>
        <w:rPr>
          <w:rFonts w:ascii="Times New Roman" w:hAnsi="Times New Roman" w:eastAsia="宋体" w:cs="Times New Roman"/>
          <w:sz w:val="24"/>
          <w:highlight w:val="none"/>
        </w:rPr>
        <w:t>提供运维服务。</w:t>
      </w:r>
    </w:p>
    <w:p w14:paraId="51576755">
      <w:pPr>
        <w:keepNext w:val="0"/>
        <w:keepLines w:val="0"/>
        <w:pageBreakBefore w:val="0"/>
        <w:kinsoku/>
        <w:wordWrap/>
        <w:overflowPunct/>
        <w:topLinePunct w:val="0"/>
        <w:autoSpaceDE/>
        <w:autoSpaceDN/>
        <w:bidi w:val="0"/>
        <w:adjustRightInd/>
        <w:snapToGrid/>
        <w:spacing w:line="400" w:lineRule="exact"/>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具体运维子站名称及设施设备见表1和表2：</w:t>
      </w:r>
    </w:p>
    <w:p w14:paraId="2124114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表1-1采购包1站点情况</w:t>
      </w:r>
    </w:p>
    <w:tbl>
      <w:tblPr>
        <w:tblStyle w:val="5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8"/>
        <w:gridCol w:w="2731"/>
        <w:gridCol w:w="3836"/>
        <w:gridCol w:w="1965"/>
      </w:tblGrid>
      <w:tr w14:paraId="21617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14" w:type="pct"/>
            <w:vAlign w:val="center"/>
          </w:tcPr>
          <w:p w14:paraId="7FB8A69D">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1436" w:type="pct"/>
            <w:vAlign w:val="center"/>
          </w:tcPr>
          <w:p w14:paraId="69DCC79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站点名称</w:t>
            </w:r>
          </w:p>
        </w:tc>
        <w:tc>
          <w:tcPr>
            <w:tcW w:w="2017" w:type="pct"/>
            <w:vAlign w:val="center"/>
          </w:tcPr>
          <w:p w14:paraId="55E22E7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详细地址</w:t>
            </w:r>
          </w:p>
        </w:tc>
        <w:tc>
          <w:tcPr>
            <w:tcW w:w="1033" w:type="pct"/>
            <w:vAlign w:val="center"/>
          </w:tcPr>
          <w:p w14:paraId="611C9A8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备注</w:t>
            </w:r>
          </w:p>
        </w:tc>
      </w:tr>
      <w:tr w14:paraId="44073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327D238C">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1</w:t>
            </w:r>
          </w:p>
        </w:tc>
        <w:tc>
          <w:tcPr>
            <w:tcW w:w="1436" w:type="pct"/>
            <w:vAlign w:val="center"/>
          </w:tcPr>
          <w:p w14:paraId="05C970E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阜宁高新技术产业开发区</w:t>
            </w:r>
          </w:p>
        </w:tc>
        <w:tc>
          <w:tcPr>
            <w:tcW w:w="2017" w:type="pct"/>
            <w:vAlign w:val="center"/>
          </w:tcPr>
          <w:p w14:paraId="1BFC120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郭墅镇镇政府</w:t>
            </w:r>
          </w:p>
        </w:tc>
        <w:tc>
          <w:tcPr>
            <w:tcW w:w="1033" w:type="pct"/>
            <w:vMerge w:val="restart"/>
            <w:vAlign w:val="center"/>
          </w:tcPr>
          <w:p w14:paraId="5411A581">
            <w:pPr>
              <w:keepNext w:val="0"/>
              <w:keepLines w:val="0"/>
              <w:pageBreakBefore w:val="0"/>
              <w:widowControl/>
              <w:kinsoku/>
              <w:wordWrap/>
              <w:overflowPunct/>
              <w:topLinePunct w:val="0"/>
              <w:autoSpaceDE/>
              <w:autoSpaceDN/>
              <w:bidi w:val="0"/>
              <w:adjustRightInd/>
              <w:snapToGrid/>
              <w:spacing w:line="400" w:lineRule="exact"/>
              <w:textAlignment w:val="center"/>
              <w:rPr>
                <w:rFonts w:ascii="Times New Roman" w:hAnsi="Times New Roman" w:eastAsia="宋体" w:cs="Times New Roman"/>
                <w:sz w:val="24"/>
                <w:highlight w:val="none"/>
              </w:rPr>
            </w:pPr>
          </w:p>
        </w:tc>
      </w:tr>
      <w:tr w14:paraId="290AE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63322D36">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2</w:t>
            </w:r>
          </w:p>
        </w:tc>
        <w:tc>
          <w:tcPr>
            <w:tcW w:w="1436" w:type="pct"/>
            <w:vAlign w:val="center"/>
          </w:tcPr>
          <w:p w14:paraId="16FD65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羊寨镇</w:t>
            </w:r>
          </w:p>
        </w:tc>
        <w:tc>
          <w:tcPr>
            <w:tcW w:w="2017" w:type="pct"/>
            <w:vAlign w:val="center"/>
          </w:tcPr>
          <w:p w14:paraId="12290D9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羊寨司法所</w:t>
            </w:r>
          </w:p>
        </w:tc>
        <w:tc>
          <w:tcPr>
            <w:tcW w:w="1033" w:type="pct"/>
            <w:vMerge w:val="continue"/>
          </w:tcPr>
          <w:p w14:paraId="4BFC4C60">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6A797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2162080F">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3</w:t>
            </w:r>
          </w:p>
        </w:tc>
        <w:tc>
          <w:tcPr>
            <w:tcW w:w="1436" w:type="pct"/>
            <w:vAlign w:val="center"/>
          </w:tcPr>
          <w:p w14:paraId="48DBE5A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益林镇</w:t>
            </w:r>
          </w:p>
        </w:tc>
        <w:tc>
          <w:tcPr>
            <w:tcW w:w="2017" w:type="pct"/>
            <w:vAlign w:val="center"/>
          </w:tcPr>
          <w:p w14:paraId="3705954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益林镇政府食堂</w:t>
            </w:r>
          </w:p>
        </w:tc>
        <w:tc>
          <w:tcPr>
            <w:tcW w:w="1033" w:type="pct"/>
            <w:vMerge w:val="continue"/>
          </w:tcPr>
          <w:p w14:paraId="6C3C9051">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32F19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50DFB307">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4</w:t>
            </w:r>
          </w:p>
        </w:tc>
        <w:tc>
          <w:tcPr>
            <w:tcW w:w="1436" w:type="pct"/>
            <w:vAlign w:val="center"/>
          </w:tcPr>
          <w:p w14:paraId="30E3EDE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东沟镇</w:t>
            </w:r>
          </w:p>
        </w:tc>
        <w:tc>
          <w:tcPr>
            <w:tcW w:w="2017" w:type="pct"/>
            <w:vAlign w:val="center"/>
          </w:tcPr>
          <w:p w14:paraId="332AB95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东沟镇镇政府</w:t>
            </w:r>
          </w:p>
        </w:tc>
        <w:tc>
          <w:tcPr>
            <w:tcW w:w="1033" w:type="pct"/>
            <w:vMerge w:val="continue"/>
          </w:tcPr>
          <w:p w14:paraId="09162E0F">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7B907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7A916D4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5</w:t>
            </w:r>
          </w:p>
        </w:tc>
        <w:tc>
          <w:tcPr>
            <w:tcW w:w="1436" w:type="pct"/>
            <w:vAlign w:val="center"/>
          </w:tcPr>
          <w:p w14:paraId="381A85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板湖镇</w:t>
            </w:r>
          </w:p>
        </w:tc>
        <w:tc>
          <w:tcPr>
            <w:tcW w:w="2017" w:type="pct"/>
            <w:vAlign w:val="center"/>
          </w:tcPr>
          <w:p w14:paraId="6C7017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板湖初级中学</w:t>
            </w:r>
          </w:p>
        </w:tc>
        <w:tc>
          <w:tcPr>
            <w:tcW w:w="1033" w:type="pct"/>
            <w:vMerge w:val="continue"/>
          </w:tcPr>
          <w:p w14:paraId="23547EC8">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3CAF8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6F60550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6</w:t>
            </w:r>
          </w:p>
        </w:tc>
        <w:tc>
          <w:tcPr>
            <w:tcW w:w="1436" w:type="pct"/>
            <w:vAlign w:val="center"/>
          </w:tcPr>
          <w:p w14:paraId="5DABF49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古河镇</w:t>
            </w:r>
          </w:p>
        </w:tc>
        <w:tc>
          <w:tcPr>
            <w:tcW w:w="2017" w:type="pct"/>
            <w:vAlign w:val="center"/>
          </w:tcPr>
          <w:p w14:paraId="28D3447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古河污水处理站</w:t>
            </w:r>
          </w:p>
        </w:tc>
        <w:tc>
          <w:tcPr>
            <w:tcW w:w="1033" w:type="pct"/>
            <w:vMerge w:val="continue"/>
          </w:tcPr>
          <w:p w14:paraId="4BF62328">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7B971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353BCB46">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7</w:t>
            </w:r>
          </w:p>
        </w:tc>
        <w:tc>
          <w:tcPr>
            <w:tcW w:w="1436" w:type="pct"/>
            <w:vAlign w:val="center"/>
          </w:tcPr>
          <w:p w14:paraId="51F1FDF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罗桥镇</w:t>
            </w:r>
          </w:p>
        </w:tc>
        <w:tc>
          <w:tcPr>
            <w:tcW w:w="2017" w:type="pct"/>
            <w:vAlign w:val="center"/>
          </w:tcPr>
          <w:p w14:paraId="4BA9D0A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罗桥派出所</w:t>
            </w:r>
          </w:p>
        </w:tc>
        <w:tc>
          <w:tcPr>
            <w:tcW w:w="1033" w:type="pct"/>
            <w:vMerge w:val="continue"/>
          </w:tcPr>
          <w:p w14:paraId="4CB5F579">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6F11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6D7DAC7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8</w:t>
            </w:r>
          </w:p>
        </w:tc>
        <w:tc>
          <w:tcPr>
            <w:tcW w:w="1436" w:type="pct"/>
            <w:vAlign w:val="center"/>
          </w:tcPr>
          <w:p w14:paraId="094E91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芦蒲镇</w:t>
            </w:r>
          </w:p>
        </w:tc>
        <w:tc>
          <w:tcPr>
            <w:tcW w:w="2017" w:type="pct"/>
            <w:vAlign w:val="center"/>
          </w:tcPr>
          <w:p w14:paraId="2627F2E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芦蒲左范村部二楼</w:t>
            </w:r>
          </w:p>
        </w:tc>
        <w:tc>
          <w:tcPr>
            <w:tcW w:w="1033" w:type="pct"/>
            <w:vMerge w:val="continue"/>
          </w:tcPr>
          <w:p w14:paraId="659DBABD">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bl>
    <w:p w14:paraId="6D09D00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表1-2采购包2站点情况</w:t>
      </w:r>
    </w:p>
    <w:tbl>
      <w:tblPr>
        <w:tblStyle w:val="5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
        <w:gridCol w:w="2766"/>
        <w:gridCol w:w="3797"/>
        <w:gridCol w:w="1950"/>
      </w:tblGrid>
      <w:tr w14:paraId="02AB4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2C7F97E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1454" w:type="pct"/>
            <w:vAlign w:val="center"/>
          </w:tcPr>
          <w:p w14:paraId="35F38290">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站点名称</w:t>
            </w:r>
          </w:p>
        </w:tc>
        <w:tc>
          <w:tcPr>
            <w:tcW w:w="1996" w:type="pct"/>
            <w:vAlign w:val="center"/>
          </w:tcPr>
          <w:p w14:paraId="59E49BA3">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详细地址</w:t>
            </w:r>
          </w:p>
        </w:tc>
        <w:tc>
          <w:tcPr>
            <w:tcW w:w="1025" w:type="pct"/>
            <w:vAlign w:val="center"/>
          </w:tcPr>
          <w:p w14:paraId="3233A770">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备注</w:t>
            </w:r>
          </w:p>
        </w:tc>
      </w:tr>
      <w:tr w14:paraId="0AF87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005FAA8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1</w:t>
            </w:r>
          </w:p>
        </w:tc>
        <w:tc>
          <w:tcPr>
            <w:tcW w:w="1454" w:type="pct"/>
            <w:vAlign w:val="center"/>
          </w:tcPr>
          <w:p w14:paraId="711CC8E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阜宁经济开发区</w:t>
            </w:r>
          </w:p>
        </w:tc>
        <w:tc>
          <w:tcPr>
            <w:tcW w:w="1996" w:type="pct"/>
            <w:vAlign w:val="center"/>
          </w:tcPr>
          <w:p w14:paraId="7854B6B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经济开发区管委会</w:t>
            </w:r>
          </w:p>
        </w:tc>
        <w:tc>
          <w:tcPr>
            <w:tcW w:w="1025" w:type="pct"/>
            <w:vMerge w:val="restart"/>
          </w:tcPr>
          <w:p w14:paraId="5B208E1A">
            <w:pPr>
              <w:pStyle w:val="339"/>
              <w:keepNext w:val="0"/>
              <w:keepLines w:val="0"/>
              <w:pageBreakBefore w:val="0"/>
              <w:kinsoku/>
              <w:wordWrap/>
              <w:overflowPunct/>
              <w:topLinePunct w:val="0"/>
              <w:autoSpaceDE/>
              <w:autoSpaceDN/>
              <w:bidi w:val="0"/>
              <w:adjustRightInd/>
              <w:snapToGrid/>
              <w:spacing w:line="400" w:lineRule="exact"/>
              <w:rPr>
                <w:sz w:val="24"/>
                <w:szCs w:val="24"/>
                <w:highlight w:val="none"/>
              </w:rPr>
            </w:pPr>
          </w:p>
        </w:tc>
      </w:tr>
      <w:tr w14:paraId="44730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784AD0E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2</w:t>
            </w:r>
          </w:p>
        </w:tc>
        <w:tc>
          <w:tcPr>
            <w:tcW w:w="1454" w:type="pct"/>
            <w:vAlign w:val="center"/>
          </w:tcPr>
          <w:p w14:paraId="693C4FA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三灶镇</w:t>
            </w:r>
          </w:p>
        </w:tc>
        <w:tc>
          <w:tcPr>
            <w:tcW w:w="1996" w:type="pct"/>
            <w:vAlign w:val="center"/>
          </w:tcPr>
          <w:p w14:paraId="49C8CD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三灶农村商业银行</w:t>
            </w:r>
          </w:p>
        </w:tc>
        <w:tc>
          <w:tcPr>
            <w:tcW w:w="1025" w:type="pct"/>
            <w:vMerge w:val="continue"/>
          </w:tcPr>
          <w:p w14:paraId="376F5094">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0EF02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0B6C48D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3</w:t>
            </w:r>
          </w:p>
        </w:tc>
        <w:tc>
          <w:tcPr>
            <w:tcW w:w="1454" w:type="pct"/>
            <w:vAlign w:val="center"/>
          </w:tcPr>
          <w:p w14:paraId="5434253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陈集镇</w:t>
            </w:r>
          </w:p>
        </w:tc>
        <w:tc>
          <w:tcPr>
            <w:tcW w:w="1996" w:type="pct"/>
            <w:vAlign w:val="center"/>
          </w:tcPr>
          <w:p w14:paraId="6F84B48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陈集镇政府</w:t>
            </w:r>
          </w:p>
        </w:tc>
        <w:tc>
          <w:tcPr>
            <w:tcW w:w="1025" w:type="pct"/>
            <w:vMerge w:val="continue"/>
          </w:tcPr>
          <w:p w14:paraId="510D8690">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2A214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2E8B7DC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4</w:t>
            </w:r>
          </w:p>
        </w:tc>
        <w:tc>
          <w:tcPr>
            <w:tcW w:w="1454" w:type="pct"/>
            <w:vAlign w:val="center"/>
          </w:tcPr>
          <w:p w14:paraId="3865622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沟墩镇</w:t>
            </w:r>
          </w:p>
        </w:tc>
        <w:tc>
          <w:tcPr>
            <w:tcW w:w="1996" w:type="pct"/>
            <w:vAlign w:val="center"/>
          </w:tcPr>
          <w:p w14:paraId="247386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沟墩镇政府</w:t>
            </w:r>
          </w:p>
        </w:tc>
        <w:tc>
          <w:tcPr>
            <w:tcW w:w="1025" w:type="pct"/>
            <w:vMerge w:val="continue"/>
          </w:tcPr>
          <w:p w14:paraId="7EEB762B">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7B4E8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597C14C8">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5</w:t>
            </w:r>
          </w:p>
        </w:tc>
        <w:tc>
          <w:tcPr>
            <w:tcW w:w="1454" w:type="pct"/>
            <w:vAlign w:val="center"/>
          </w:tcPr>
          <w:p w14:paraId="0836294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吴滩街道</w:t>
            </w:r>
          </w:p>
        </w:tc>
        <w:tc>
          <w:tcPr>
            <w:tcW w:w="1996" w:type="pct"/>
            <w:vAlign w:val="center"/>
          </w:tcPr>
          <w:p w14:paraId="20DB57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合利镇政府院内</w:t>
            </w:r>
          </w:p>
        </w:tc>
        <w:tc>
          <w:tcPr>
            <w:tcW w:w="1025" w:type="pct"/>
            <w:vMerge w:val="continue"/>
          </w:tcPr>
          <w:p w14:paraId="19B2CC26">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57DF0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0E9CEF0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6</w:t>
            </w:r>
          </w:p>
        </w:tc>
        <w:tc>
          <w:tcPr>
            <w:tcW w:w="1454" w:type="pct"/>
            <w:vAlign w:val="center"/>
          </w:tcPr>
          <w:p w14:paraId="3589A63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陈良镇</w:t>
            </w:r>
          </w:p>
        </w:tc>
        <w:tc>
          <w:tcPr>
            <w:tcW w:w="1996" w:type="pct"/>
            <w:vAlign w:val="center"/>
          </w:tcPr>
          <w:p w14:paraId="7CBB912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陈良镇政府</w:t>
            </w:r>
          </w:p>
        </w:tc>
        <w:tc>
          <w:tcPr>
            <w:tcW w:w="1025" w:type="pct"/>
            <w:vMerge w:val="continue"/>
          </w:tcPr>
          <w:p w14:paraId="42BC964E">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4BAC2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215DC2A0">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7</w:t>
            </w:r>
          </w:p>
        </w:tc>
        <w:tc>
          <w:tcPr>
            <w:tcW w:w="1454" w:type="pct"/>
            <w:vAlign w:val="center"/>
          </w:tcPr>
          <w:p w14:paraId="2500462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新沟镇</w:t>
            </w:r>
          </w:p>
        </w:tc>
        <w:tc>
          <w:tcPr>
            <w:tcW w:w="1996" w:type="pct"/>
            <w:vAlign w:val="center"/>
          </w:tcPr>
          <w:p w14:paraId="1690DB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新沟农村商业银行</w:t>
            </w:r>
          </w:p>
        </w:tc>
        <w:tc>
          <w:tcPr>
            <w:tcW w:w="1025" w:type="pct"/>
            <w:vMerge w:val="continue"/>
          </w:tcPr>
          <w:p w14:paraId="4E4F1A2E">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12D89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4539385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highlight w:val="none"/>
              </w:rPr>
            </w:pPr>
            <w:r>
              <w:rPr>
                <w:rFonts w:ascii="Times New Roman" w:hAnsi="Times New Roman" w:eastAsia="宋体" w:cs="Times New Roman"/>
                <w:bCs/>
                <w:sz w:val="24"/>
                <w:highlight w:val="none"/>
              </w:rPr>
              <w:t>8</w:t>
            </w:r>
          </w:p>
        </w:tc>
        <w:tc>
          <w:tcPr>
            <w:tcW w:w="1454" w:type="pct"/>
            <w:vAlign w:val="center"/>
          </w:tcPr>
          <w:p w14:paraId="3F33937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hint="eastAsia" w:ascii="Times New Roman" w:hAnsi="Times New Roman" w:eastAsia="宋体" w:cs="Times New Roman"/>
                <w:kern w:val="0"/>
                <w:sz w:val="24"/>
                <w:highlight w:val="none"/>
                <w:lang w:bidi="ar"/>
              </w:rPr>
              <w:t>金沙湖街道</w:t>
            </w:r>
          </w:p>
        </w:tc>
        <w:tc>
          <w:tcPr>
            <w:tcW w:w="1996" w:type="pct"/>
            <w:vAlign w:val="center"/>
          </w:tcPr>
          <w:p w14:paraId="38ADDE2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hint="eastAsia" w:ascii="Times New Roman" w:hAnsi="Times New Roman" w:eastAsia="宋体" w:cs="Times New Roman"/>
                <w:kern w:val="0"/>
                <w:sz w:val="24"/>
                <w:highlight w:val="none"/>
                <w:lang w:bidi="ar"/>
              </w:rPr>
              <w:t>金沙湖盆摘园</w:t>
            </w:r>
          </w:p>
        </w:tc>
        <w:tc>
          <w:tcPr>
            <w:tcW w:w="1025" w:type="pct"/>
            <w:vMerge w:val="continue"/>
          </w:tcPr>
          <w:p w14:paraId="012F68EA">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r w14:paraId="7DCF7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6C8B902B">
            <w:pPr>
              <w:keepNext w:val="0"/>
              <w:keepLines w:val="0"/>
              <w:pageBreakBefore w:val="0"/>
              <w:kinsoku/>
              <w:wordWrap/>
              <w:overflowPunct/>
              <w:topLinePunct w:val="0"/>
              <w:autoSpaceDE/>
              <w:autoSpaceDN/>
              <w:bidi w:val="0"/>
              <w:adjustRightInd/>
              <w:snapToGrid/>
              <w:spacing w:line="400" w:lineRule="exact"/>
              <w:jc w:val="center"/>
              <w:rPr>
                <w:rFonts w:hint="default" w:ascii="Times New Roman" w:hAnsi="Times New Roman" w:eastAsia="宋体" w:cs="Times New Roman"/>
                <w:bCs/>
                <w:sz w:val="24"/>
                <w:highlight w:val="none"/>
                <w:lang w:val="en-US" w:eastAsia="zh-CN"/>
              </w:rPr>
            </w:pPr>
            <w:r>
              <w:rPr>
                <w:rFonts w:hint="eastAsia" w:cs="Times New Roman"/>
                <w:bCs/>
                <w:sz w:val="24"/>
                <w:highlight w:val="none"/>
                <w:lang w:val="en-US" w:eastAsia="zh-CN"/>
              </w:rPr>
              <w:t>*</w:t>
            </w:r>
          </w:p>
        </w:tc>
        <w:tc>
          <w:tcPr>
            <w:tcW w:w="1454" w:type="pct"/>
            <w:vAlign w:val="center"/>
          </w:tcPr>
          <w:p w14:paraId="063BB07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kern w:val="0"/>
                <w:sz w:val="24"/>
                <w:highlight w:val="none"/>
                <w:lang w:val="en-US" w:eastAsia="zh-CN" w:bidi="ar"/>
              </w:rPr>
            </w:pPr>
            <w:r>
              <w:rPr>
                <w:rFonts w:hint="eastAsia" w:cs="Times New Roman"/>
                <w:kern w:val="0"/>
                <w:sz w:val="24"/>
                <w:highlight w:val="none"/>
                <w:lang w:val="en-US" w:eastAsia="zh-CN" w:bidi="ar"/>
              </w:rPr>
              <w:t>备用站</w:t>
            </w:r>
          </w:p>
        </w:tc>
        <w:tc>
          <w:tcPr>
            <w:tcW w:w="1996" w:type="pct"/>
            <w:vAlign w:val="center"/>
          </w:tcPr>
          <w:p w14:paraId="7D39CA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kern w:val="0"/>
                <w:sz w:val="24"/>
                <w:highlight w:val="none"/>
                <w:lang w:val="en-US" w:eastAsia="zh-CN" w:bidi="ar"/>
              </w:rPr>
            </w:pPr>
            <w:r>
              <w:rPr>
                <w:rFonts w:hint="eastAsia" w:cs="Times New Roman"/>
                <w:kern w:val="0"/>
                <w:sz w:val="24"/>
                <w:highlight w:val="none"/>
                <w:lang w:val="en-US" w:eastAsia="zh-CN" w:bidi="ar"/>
              </w:rPr>
              <w:t>阜城滤料产业园区</w:t>
            </w:r>
          </w:p>
        </w:tc>
        <w:tc>
          <w:tcPr>
            <w:tcW w:w="1025" w:type="pct"/>
          </w:tcPr>
          <w:p w14:paraId="1987D370">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highlight w:val="none"/>
              </w:rPr>
            </w:pPr>
          </w:p>
        </w:tc>
      </w:tr>
    </w:tbl>
    <w:p w14:paraId="25FAD7FA">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表2主要设备情况</w:t>
      </w:r>
    </w:p>
    <w:tbl>
      <w:tblPr>
        <w:tblStyle w:val="51"/>
        <w:tblW w:w="49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2"/>
        <w:gridCol w:w="1662"/>
        <w:gridCol w:w="903"/>
        <w:gridCol w:w="1829"/>
        <w:gridCol w:w="1603"/>
        <w:gridCol w:w="1716"/>
      </w:tblGrid>
      <w:tr w14:paraId="3F2AF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233C5868">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序号</w:t>
            </w:r>
          </w:p>
        </w:tc>
        <w:tc>
          <w:tcPr>
            <w:tcW w:w="1489" w:type="dxa"/>
            <w:vAlign w:val="center"/>
          </w:tcPr>
          <w:p w14:paraId="5D18454D">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设备名称</w:t>
            </w:r>
          </w:p>
        </w:tc>
        <w:tc>
          <w:tcPr>
            <w:tcW w:w="809" w:type="dxa"/>
            <w:vAlign w:val="center"/>
          </w:tcPr>
          <w:p w14:paraId="07278BAB">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数量</w:t>
            </w:r>
          </w:p>
        </w:tc>
        <w:tc>
          <w:tcPr>
            <w:tcW w:w="1638" w:type="dxa"/>
            <w:vAlign w:val="center"/>
          </w:tcPr>
          <w:p w14:paraId="1325D9CB">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品牌</w:t>
            </w:r>
          </w:p>
        </w:tc>
        <w:tc>
          <w:tcPr>
            <w:tcW w:w="1436" w:type="dxa"/>
            <w:vAlign w:val="center"/>
          </w:tcPr>
          <w:p w14:paraId="2E20FCD7">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型号</w:t>
            </w:r>
          </w:p>
        </w:tc>
        <w:tc>
          <w:tcPr>
            <w:tcW w:w="1537" w:type="dxa"/>
            <w:vAlign w:val="center"/>
          </w:tcPr>
          <w:p w14:paraId="42909182">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备注</w:t>
            </w:r>
          </w:p>
        </w:tc>
      </w:tr>
      <w:tr w14:paraId="307E3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489" w:type="dxa"/>
            <w:vAlign w:val="center"/>
          </w:tcPr>
          <w:p w14:paraId="6DE1900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489" w:type="dxa"/>
            <w:vAlign w:val="center"/>
          </w:tcPr>
          <w:p w14:paraId="015F5F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PM</w:t>
            </w:r>
            <w:r>
              <w:rPr>
                <w:rFonts w:ascii="Times New Roman" w:hAnsi="Times New Roman" w:eastAsia="宋体" w:cs="Times New Roman"/>
                <w:kern w:val="0"/>
                <w:sz w:val="24"/>
                <w:highlight w:val="none"/>
                <w:vertAlign w:val="subscript"/>
                <w:lang w:bidi="ar"/>
              </w:rPr>
              <w:t>2.5</w:t>
            </w:r>
          </w:p>
        </w:tc>
        <w:tc>
          <w:tcPr>
            <w:tcW w:w="809" w:type="dxa"/>
            <w:vAlign w:val="center"/>
          </w:tcPr>
          <w:p w14:paraId="42E5F82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0B6E435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赛默飞</w:t>
            </w:r>
          </w:p>
        </w:tc>
        <w:tc>
          <w:tcPr>
            <w:tcW w:w="1436" w:type="dxa"/>
            <w:vAlign w:val="center"/>
          </w:tcPr>
          <w:p w14:paraId="20195A7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5030i</w:t>
            </w:r>
          </w:p>
        </w:tc>
        <w:tc>
          <w:tcPr>
            <w:tcW w:w="1537" w:type="dxa"/>
            <w:vMerge w:val="restart"/>
            <w:vAlign w:val="center"/>
          </w:tcPr>
          <w:p w14:paraId="07B11BA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highlight w:val="none"/>
              </w:rPr>
            </w:pPr>
            <w:r>
              <w:rPr>
                <w:rFonts w:ascii="Times New Roman" w:hAnsi="Times New Roman" w:eastAsia="宋体" w:cs="Times New Roman"/>
                <w:kern w:val="0"/>
                <w:sz w:val="24"/>
                <w:highlight w:val="none"/>
                <w:lang w:bidi="ar"/>
              </w:rPr>
              <w:t>所有站点设备</w:t>
            </w:r>
            <w:r>
              <w:rPr>
                <w:rFonts w:hint="eastAsia" w:ascii="Times New Roman" w:hAnsi="Times New Roman" w:eastAsia="宋体" w:cs="Times New Roman"/>
                <w:kern w:val="0"/>
                <w:sz w:val="24"/>
                <w:highlight w:val="none"/>
                <w:lang w:eastAsia="zh-CN" w:bidi="ar"/>
              </w:rPr>
              <w:t>品牌、</w:t>
            </w:r>
            <w:r>
              <w:rPr>
                <w:rFonts w:ascii="Times New Roman" w:hAnsi="Times New Roman" w:eastAsia="宋体" w:cs="Times New Roman"/>
                <w:kern w:val="0"/>
                <w:sz w:val="24"/>
                <w:highlight w:val="none"/>
                <w:lang w:bidi="ar"/>
              </w:rPr>
              <w:t>型号一致</w:t>
            </w:r>
          </w:p>
        </w:tc>
      </w:tr>
      <w:tr w14:paraId="07F5D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764B01C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2</w:t>
            </w:r>
          </w:p>
        </w:tc>
        <w:tc>
          <w:tcPr>
            <w:tcW w:w="1489" w:type="dxa"/>
            <w:vAlign w:val="center"/>
          </w:tcPr>
          <w:p w14:paraId="368F49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PM</w:t>
            </w:r>
            <w:r>
              <w:rPr>
                <w:rFonts w:ascii="Times New Roman" w:hAnsi="Times New Roman" w:eastAsia="宋体" w:cs="Times New Roman"/>
                <w:kern w:val="0"/>
                <w:sz w:val="24"/>
                <w:highlight w:val="none"/>
                <w:vertAlign w:val="subscript"/>
                <w:lang w:bidi="ar"/>
              </w:rPr>
              <w:t>10</w:t>
            </w:r>
          </w:p>
        </w:tc>
        <w:tc>
          <w:tcPr>
            <w:tcW w:w="809" w:type="dxa"/>
            <w:vAlign w:val="center"/>
          </w:tcPr>
          <w:p w14:paraId="3210995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41D78F7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赛默飞</w:t>
            </w:r>
          </w:p>
        </w:tc>
        <w:tc>
          <w:tcPr>
            <w:tcW w:w="1436" w:type="dxa"/>
            <w:noWrap/>
            <w:vAlign w:val="center"/>
          </w:tcPr>
          <w:p w14:paraId="05A6F7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5030i</w:t>
            </w:r>
          </w:p>
        </w:tc>
        <w:tc>
          <w:tcPr>
            <w:tcW w:w="1537" w:type="dxa"/>
            <w:vMerge w:val="continue"/>
            <w:noWrap/>
            <w:vAlign w:val="center"/>
          </w:tcPr>
          <w:p w14:paraId="716D44D0">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71F21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7CD5C8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3</w:t>
            </w:r>
          </w:p>
        </w:tc>
        <w:tc>
          <w:tcPr>
            <w:tcW w:w="1489" w:type="dxa"/>
            <w:vAlign w:val="center"/>
          </w:tcPr>
          <w:p w14:paraId="306B4AB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NO</w:t>
            </w:r>
            <w:r>
              <w:rPr>
                <w:rFonts w:ascii="Times New Roman" w:hAnsi="Times New Roman" w:eastAsia="宋体" w:cs="Times New Roman"/>
                <w:kern w:val="0"/>
                <w:sz w:val="24"/>
                <w:highlight w:val="none"/>
                <w:vertAlign w:val="subscript"/>
                <w:lang w:bidi="ar"/>
              </w:rPr>
              <w:t>x</w:t>
            </w:r>
          </w:p>
        </w:tc>
        <w:tc>
          <w:tcPr>
            <w:tcW w:w="809" w:type="dxa"/>
            <w:vAlign w:val="center"/>
          </w:tcPr>
          <w:p w14:paraId="1F1D44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40E6AC1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赛默飞</w:t>
            </w:r>
          </w:p>
        </w:tc>
        <w:tc>
          <w:tcPr>
            <w:tcW w:w="1436" w:type="dxa"/>
            <w:vAlign w:val="center"/>
          </w:tcPr>
          <w:p w14:paraId="6C64F33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42i</w:t>
            </w:r>
          </w:p>
        </w:tc>
        <w:tc>
          <w:tcPr>
            <w:tcW w:w="1537" w:type="dxa"/>
            <w:vMerge w:val="continue"/>
            <w:vAlign w:val="center"/>
          </w:tcPr>
          <w:p w14:paraId="77D2ED9A">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04C81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6EDE090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4</w:t>
            </w:r>
          </w:p>
        </w:tc>
        <w:tc>
          <w:tcPr>
            <w:tcW w:w="1489" w:type="dxa"/>
            <w:vAlign w:val="center"/>
          </w:tcPr>
          <w:p w14:paraId="570DA34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SO</w:t>
            </w:r>
            <w:r>
              <w:rPr>
                <w:rFonts w:ascii="Times New Roman" w:hAnsi="Times New Roman" w:eastAsia="宋体" w:cs="Times New Roman"/>
                <w:kern w:val="0"/>
                <w:sz w:val="24"/>
                <w:highlight w:val="none"/>
                <w:vertAlign w:val="subscript"/>
                <w:lang w:bidi="ar"/>
              </w:rPr>
              <w:t>2</w:t>
            </w:r>
          </w:p>
        </w:tc>
        <w:tc>
          <w:tcPr>
            <w:tcW w:w="809" w:type="dxa"/>
            <w:vAlign w:val="center"/>
          </w:tcPr>
          <w:p w14:paraId="413D516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6869A7C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赛默飞</w:t>
            </w:r>
          </w:p>
        </w:tc>
        <w:tc>
          <w:tcPr>
            <w:tcW w:w="1436" w:type="dxa"/>
            <w:vAlign w:val="center"/>
          </w:tcPr>
          <w:p w14:paraId="385552D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43i</w:t>
            </w:r>
          </w:p>
        </w:tc>
        <w:tc>
          <w:tcPr>
            <w:tcW w:w="1537" w:type="dxa"/>
            <w:vMerge w:val="continue"/>
            <w:vAlign w:val="center"/>
          </w:tcPr>
          <w:p w14:paraId="3C57864D">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01420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0B5D1E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5</w:t>
            </w:r>
          </w:p>
        </w:tc>
        <w:tc>
          <w:tcPr>
            <w:tcW w:w="1489" w:type="dxa"/>
            <w:vAlign w:val="center"/>
          </w:tcPr>
          <w:p w14:paraId="0E757F9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CO</w:t>
            </w:r>
          </w:p>
        </w:tc>
        <w:tc>
          <w:tcPr>
            <w:tcW w:w="809" w:type="dxa"/>
            <w:vAlign w:val="center"/>
          </w:tcPr>
          <w:p w14:paraId="4CABA68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701F91F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赛默飞</w:t>
            </w:r>
          </w:p>
        </w:tc>
        <w:tc>
          <w:tcPr>
            <w:tcW w:w="1436" w:type="dxa"/>
            <w:noWrap/>
            <w:vAlign w:val="center"/>
          </w:tcPr>
          <w:p w14:paraId="0630325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48i</w:t>
            </w:r>
          </w:p>
        </w:tc>
        <w:tc>
          <w:tcPr>
            <w:tcW w:w="1537" w:type="dxa"/>
            <w:vMerge w:val="continue"/>
            <w:noWrap/>
            <w:vAlign w:val="center"/>
          </w:tcPr>
          <w:p w14:paraId="0207D34E">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183CA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5CB14A3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6</w:t>
            </w:r>
          </w:p>
        </w:tc>
        <w:tc>
          <w:tcPr>
            <w:tcW w:w="1489" w:type="dxa"/>
            <w:vAlign w:val="center"/>
          </w:tcPr>
          <w:p w14:paraId="1879887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O</w:t>
            </w:r>
            <w:r>
              <w:rPr>
                <w:rFonts w:ascii="Times New Roman" w:hAnsi="Times New Roman" w:eastAsia="宋体" w:cs="Times New Roman"/>
                <w:kern w:val="0"/>
                <w:sz w:val="24"/>
                <w:highlight w:val="none"/>
                <w:vertAlign w:val="subscript"/>
                <w:lang w:bidi="ar"/>
              </w:rPr>
              <w:t>3</w:t>
            </w:r>
          </w:p>
        </w:tc>
        <w:tc>
          <w:tcPr>
            <w:tcW w:w="809" w:type="dxa"/>
            <w:vAlign w:val="center"/>
          </w:tcPr>
          <w:p w14:paraId="09758F4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7E058F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赛默飞</w:t>
            </w:r>
          </w:p>
        </w:tc>
        <w:tc>
          <w:tcPr>
            <w:tcW w:w="1436" w:type="dxa"/>
            <w:vAlign w:val="center"/>
          </w:tcPr>
          <w:p w14:paraId="36696CA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49i</w:t>
            </w:r>
          </w:p>
        </w:tc>
        <w:tc>
          <w:tcPr>
            <w:tcW w:w="1537" w:type="dxa"/>
            <w:vMerge w:val="continue"/>
            <w:vAlign w:val="center"/>
          </w:tcPr>
          <w:p w14:paraId="05794445">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7883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6AF1287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7</w:t>
            </w:r>
          </w:p>
        </w:tc>
        <w:tc>
          <w:tcPr>
            <w:tcW w:w="1489" w:type="dxa"/>
            <w:vAlign w:val="center"/>
          </w:tcPr>
          <w:p w14:paraId="40AB30F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气象五参数</w:t>
            </w:r>
          </w:p>
        </w:tc>
        <w:tc>
          <w:tcPr>
            <w:tcW w:w="809" w:type="dxa"/>
            <w:vAlign w:val="center"/>
          </w:tcPr>
          <w:p w14:paraId="0281F0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4DE34D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智翔宇</w:t>
            </w:r>
          </w:p>
        </w:tc>
        <w:tc>
          <w:tcPr>
            <w:tcW w:w="1436" w:type="dxa"/>
            <w:vAlign w:val="center"/>
          </w:tcPr>
          <w:p w14:paraId="241206F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MULTI-5P</w:t>
            </w:r>
          </w:p>
        </w:tc>
        <w:tc>
          <w:tcPr>
            <w:tcW w:w="1537" w:type="dxa"/>
            <w:vMerge w:val="continue"/>
            <w:vAlign w:val="center"/>
          </w:tcPr>
          <w:p w14:paraId="62A1E967">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4D070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781BCE5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8</w:t>
            </w:r>
          </w:p>
        </w:tc>
        <w:tc>
          <w:tcPr>
            <w:tcW w:w="1489" w:type="dxa"/>
            <w:vAlign w:val="center"/>
          </w:tcPr>
          <w:p w14:paraId="5DC8A9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动态校准仪</w:t>
            </w:r>
          </w:p>
        </w:tc>
        <w:tc>
          <w:tcPr>
            <w:tcW w:w="809" w:type="dxa"/>
            <w:vAlign w:val="center"/>
          </w:tcPr>
          <w:p w14:paraId="760ABE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153DFF9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赛默飞</w:t>
            </w:r>
          </w:p>
        </w:tc>
        <w:tc>
          <w:tcPr>
            <w:tcW w:w="1436" w:type="dxa"/>
            <w:vAlign w:val="center"/>
          </w:tcPr>
          <w:p w14:paraId="06833D2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111</w:t>
            </w:r>
          </w:p>
        </w:tc>
        <w:tc>
          <w:tcPr>
            <w:tcW w:w="1537" w:type="dxa"/>
            <w:vMerge w:val="continue"/>
            <w:vAlign w:val="center"/>
          </w:tcPr>
          <w:p w14:paraId="73CE5104">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r w14:paraId="339BB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20D9755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9</w:t>
            </w:r>
          </w:p>
        </w:tc>
        <w:tc>
          <w:tcPr>
            <w:tcW w:w="1489" w:type="dxa"/>
            <w:vAlign w:val="center"/>
          </w:tcPr>
          <w:p w14:paraId="517661D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零气发生器</w:t>
            </w:r>
          </w:p>
        </w:tc>
        <w:tc>
          <w:tcPr>
            <w:tcW w:w="809" w:type="dxa"/>
            <w:vAlign w:val="center"/>
          </w:tcPr>
          <w:p w14:paraId="4595596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w:t>
            </w:r>
          </w:p>
        </w:tc>
        <w:tc>
          <w:tcPr>
            <w:tcW w:w="1638" w:type="dxa"/>
            <w:noWrap/>
            <w:vAlign w:val="center"/>
          </w:tcPr>
          <w:p w14:paraId="0D931FB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eastAsia="en-US" w:bidi="ar"/>
              </w:rPr>
            </w:pPr>
            <w:r>
              <w:rPr>
                <w:rFonts w:ascii="Times New Roman" w:hAnsi="Times New Roman" w:eastAsia="宋体" w:cs="Times New Roman"/>
                <w:kern w:val="0"/>
                <w:sz w:val="24"/>
                <w:highlight w:val="none"/>
                <w:lang w:bidi="ar"/>
              </w:rPr>
              <w:t>赛默飞</w:t>
            </w:r>
          </w:p>
        </w:tc>
        <w:tc>
          <w:tcPr>
            <w:tcW w:w="1436" w:type="dxa"/>
            <w:vAlign w:val="center"/>
          </w:tcPr>
          <w:p w14:paraId="603416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highlight w:val="none"/>
                <w:lang w:bidi="ar"/>
              </w:rPr>
            </w:pPr>
            <w:r>
              <w:rPr>
                <w:rFonts w:ascii="Times New Roman" w:hAnsi="Times New Roman" w:eastAsia="宋体" w:cs="Times New Roman"/>
                <w:kern w:val="0"/>
                <w:sz w:val="24"/>
                <w:highlight w:val="none"/>
                <w:lang w:bidi="ar"/>
              </w:rPr>
              <w:t>146i</w:t>
            </w:r>
          </w:p>
        </w:tc>
        <w:tc>
          <w:tcPr>
            <w:tcW w:w="1537" w:type="dxa"/>
            <w:vMerge w:val="continue"/>
            <w:vAlign w:val="center"/>
          </w:tcPr>
          <w:p w14:paraId="493FE75D">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highlight w:val="none"/>
              </w:rPr>
            </w:pPr>
          </w:p>
        </w:tc>
      </w:tr>
    </w:tbl>
    <w:p w14:paraId="78982258">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highlight w:val="none"/>
        </w:rPr>
      </w:pPr>
    </w:p>
    <w:p w14:paraId="7F6A8320">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highlight w:val="none"/>
        </w:rPr>
      </w:pPr>
      <w:r>
        <w:rPr>
          <w:rFonts w:eastAsia="宋体"/>
          <w:sz w:val="32"/>
          <w:szCs w:val="32"/>
          <w:highlight w:val="none"/>
        </w:rPr>
        <w:t>二、项目内容</w:t>
      </w:r>
    </w:p>
    <w:p w14:paraId="343557E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1、设备设施</w:t>
      </w:r>
    </w:p>
    <w:p w14:paraId="7D7983A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投标人负责运维的设备主要包括监测设备、质控设备、气象设备、数据采集与传输设备和辅助设备设施五部分。其中，监测设备主要包括SO</w:t>
      </w:r>
      <w:r>
        <w:rPr>
          <w:rFonts w:ascii="Times New Roman" w:hAnsi="Times New Roman" w:eastAsia="宋体"/>
          <w:highlight w:val="none"/>
          <w:vertAlign w:val="subscript"/>
        </w:rPr>
        <w:t>2</w:t>
      </w:r>
      <w:r>
        <w:rPr>
          <w:rFonts w:ascii="Times New Roman" w:hAnsi="Times New Roman" w:eastAsia="宋体"/>
          <w:highlight w:val="none"/>
        </w:rPr>
        <w:t>、NO</w:t>
      </w:r>
      <w:r>
        <w:rPr>
          <w:rFonts w:ascii="Times New Roman" w:hAnsi="Times New Roman" w:eastAsia="宋体"/>
          <w:highlight w:val="none"/>
          <w:vertAlign w:val="subscript"/>
        </w:rPr>
        <w:t>x</w:t>
      </w:r>
      <w:r>
        <w:rPr>
          <w:rFonts w:ascii="Times New Roman" w:hAnsi="Times New Roman" w:eastAsia="宋体"/>
          <w:highlight w:val="none"/>
        </w:rPr>
        <w:t>、CO、O</w:t>
      </w:r>
      <w:r>
        <w:rPr>
          <w:rFonts w:ascii="Times New Roman" w:hAnsi="Times New Roman" w:eastAsia="宋体"/>
          <w:highlight w:val="none"/>
          <w:vertAlign w:val="subscript"/>
        </w:rPr>
        <w:t>3</w:t>
      </w:r>
      <w:r>
        <w:rPr>
          <w:rFonts w:ascii="Times New Roman" w:hAnsi="Times New Roman" w:eastAsia="宋体"/>
          <w:highlight w:val="none"/>
        </w:rPr>
        <w:t>、PM</w:t>
      </w:r>
      <w:r>
        <w:rPr>
          <w:rFonts w:ascii="Times New Roman" w:hAnsi="Times New Roman" w:eastAsia="宋体"/>
          <w:highlight w:val="none"/>
          <w:vertAlign w:val="subscript"/>
        </w:rPr>
        <w:t>10</w:t>
      </w:r>
      <w:r>
        <w:rPr>
          <w:rFonts w:ascii="Times New Roman" w:hAnsi="Times New Roman" w:eastAsia="宋体"/>
          <w:highlight w:val="none"/>
        </w:rPr>
        <w:t>、PM</w:t>
      </w:r>
      <w:r>
        <w:rPr>
          <w:rFonts w:ascii="Times New Roman" w:hAnsi="Times New Roman" w:eastAsia="宋体"/>
          <w:highlight w:val="none"/>
          <w:vertAlign w:val="subscript"/>
        </w:rPr>
        <w:t>2.5</w:t>
      </w:r>
      <w:r>
        <w:rPr>
          <w:rFonts w:ascii="Times New Roman" w:hAnsi="Times New Roman" w:eastAsia="宋体"/>
          <w:highlight w:val="none"/>
        </w:rPr>
        <w:t>六项指标监测仪。质控设备主要包括零气发生器、动态校准仪。气象设备主要包括风速、风向、温度、湿度、气压等气象五参数监测设备。数据采集与传输设备主要包括工控机及其配备的软件系统（含阜宁县环境空气质量联网管理平台）。辅助设备设施主要包括UPS、空调、供电系统、消防系统、通讯系统、防雷系统、视频监控系统、子站站房主体、安防设施等。</w:t>
      </w:r>
    </w:p>
    <w:p w14:paraId="39BC252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2、监测项目</w:t>
      </w:r>
    </w:p>
    <w:p w14:paraId="01EA760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各站点均监测O</w:t>
      </w:r>
      <w:r>
        <w:rPr>
          <w:rFonts w:ascii="Times New Roman" w:hAnsi="Times New Roman" w:eastAsia="宋体"/>
          <w:highlight w:val="none"/>
          <w:vertAlign w:val="subscript"/>
        </w:rPr>
        <w:t>2</w:t>
      </w:r>
      <w:r>
        <w:rPr>
          <w:rFonts w:ascii="Times New Roman" w:hAnsi="Times New Roman" w:eastAsia="宋体"/>
          <w:highlight w:val="none"/>
        </w:rPr>
        <w:t>、NO</w:t>
      </w:r>
      <w:r>
        <w:rPr>
          <w:rFonts w:ascii="Times New Roman" w:hAnsi="Times New Roman" w:eastAsia="宋体"/>
          <w:highlight w:val="none"/>
          <w:vertAlign w:val="subscript"/>
        </w:rPr>
        <w:t>x</w:t>
      </w:r>
      <w:r>
        <w:rPr>
          <w:rFonts w:ascii="Times New Roman" w:hAnsi="Times New Roman" w:eastAsia="宋体"/>
          <w:highlight w:val="none"/>
        </w:rPr>
        <w:t>、CO、O</w:t>
      </w:r>
      <w:r>
        <w:rPr>
          <w:rFonts w:ascii="Times New Roman" w:hAnsi="Times New Roman" w:eastAsia="宋体"/>
          <w:highlight w:val="none"/>
          <w:vertAlign w:val="subscript"/>
        </w:rPr>
        <w:t>3</w:t>
      </w:r>
      <w:r>
        <w:rPr>
          <w:rFonts w:ascii="Times New Roman" w:hAnsi="Times New Roman" w:eastAsia="宋体"/>
          <w:highlight w:val="none"/>
        </w:rPr>
        <w:t>、PM</w:t>
      </w:r>
      <w:r>
        <w:rPr>
          <w:rFonts w:ascii="Times New Roman" w:hAnsi="Times New Roman" w:eastAsia="宋体"/>
          <w:highlight w:val="none"/>
          <w:vertAlign w:val="subscript"/>
        </w:rPr>
        <w:t>10</w:t>
      </w:r>
      <w:r>
        <w:rPr>
          <w:rFonts w:ascii="Times New Roman" w:hAnsi="Times New Roman" w:eastAsia="宋体"/>
          <w:highlight w:val="none"/>
        </w:rPr>
        <w:t>、PM</w:t>
      </w:r>
      <w:r>
        <w:rPr>
          <w:rFonts w:ascii="Times New Roman" w:hAnsi="Times New Roman" w:eastAsia="宋体"/>
          <w:highlight w:val="none"/>
          <w:vertAlign w:val="subscript"/>
        </w:rPr>
        <w:t>2.5</w:t>
      </w:r>
      <w:r>
        <w:rPr>
          <w:rFonts w:ascii="Times New Roman" w:hAnsi="Times New Roman" w:eastAsia="宋体"/>
          <w:highlight w:val="none"/>
        </w:rPr>
        <w:t>六项指标，以及气象五参数（风速、风向、温度、湿度、气压）。</w:t>
      </w:r>
    </w:p>
    <w:p w14:paraId="1ABEC61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3、监测频次及数据传输</w:t>
      </w:r>
    </w:p>
    <w:p w14:paraId="23C2D24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各站点监测工作方式为24小时不间断连续自动监测，通过网络向省、市、县各平台实时上传监测数据，上传数据包括站点各监测设备的实时监测分钟值、小时值。</w:t>
      </w:r>
    </w:p>
    <w:p w14:paraId="040AB250">
      <w:pPr>
        <w:pStyle w:val="3"/>
        <w:keepNext w:val="0"/>
        <w:keepLines w:val="0"/>
        <w:pageBreakBefore w:val="0"/>
        <w:kinsoku/>
        <w:wordWrap/>
        <w:overflowPunct/>
        <w:topLinePunct w:val="0"/>
        <w:autoSpaceDE/>
        <w:autoSpaceDN/>
        <w:bidi w:val="0"/>
        <w:adjustRightInd/>
        <w:snapToGrid/>
        <w:spacing w:line="400" w:lineRule="exact"/>
        <w:ind w:firstLine="200"/>
        <w:jc w:val="both"/>
        <w:rPr>
          <w:rFonts w:eastAsia="宋体"/>
          <w:sz w:val="32"/>
          <w:szCs w:val="32"/>
          <w:highlight w:val="none"/>
        </w:rPr>
      </w:pPr>
      <w:r>
        <w:rPr>
          <w:rFonts w:eastAsia="宋体"/>
          <w:sz w:val="32"/>
          <w:szCs w:val="32"/>
          <w:highlight w:val="none"/>
        </w:rPr>
        <w:t>三、技术要求</w:t>
      </w:r>
    </w:p>
    <w:p w14:paraId="61C3BA20">
      <w:pPr>
        <w:pStyle w:val="4"/>
        <w:keepNext w:val="0"/>
        <w:keepLines w:val="0"/>
        <w:pageBreakBefore w:val="0"/>
        <w:kinsoku/>
        <w:wordWrap/>
        <w:overflowPunct/>
        <w:topLinePunct w:val="0"/>
        <w:autoSpaceDE/>
        <w:autoSpaceDN/>
        <w:bidi w:val="0"/>
        <w:adjustRightInd/>
        <w:snapToGrid/>
        <w:spacing w:line="400" w:lineRule="exact"/>
        <w:rPr>
          <w:rFonts w:eastAsia="宋体"/>
          <w:highlight w:val="none"/>
        </w:rPr>
      </w:pPr>
      <w:r>
        <w:rPr>
          <w:rFonts w:eastAsia="宋体"/>
          <w:highlight w:val="none"/>
        </w:rPr>
        <w:t>1、总体要求</w:t>
      </w:r>
    </w:p>
    <w:p w14:paraId="7F8392F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需根据环境空气自动监测站运维工作实际，制定项目实施方案，方案内容包括但不限于日常维护方案、质控方案、数据管理方案、应急预案、售后服务方案、安全保障方案、站点交接方案的等，需针对项目需求搭建高效的组织机构，建立完善的管理规章制度，提供有力的保障措施，对空气站点运维服务各过程环节进行有效的组织实施和管理。</w:t>
      </w:r>
    </w:p>
    <w:p w14:paraId="7A1471A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1.1投标人中标后，在合同签订后15个自然日内，按照采购方要求完成相关站点运维交接工作并接手相关站点的运维工作，当站点监测设备无法满足性能指标要求或检测不合格时，投标人应提供备用设备。在服务周期结束时或合同终止执行时，按照采购方要求与新运维单位完成交接工作。</w:t>
      </w:r>
    </w:p>
    <w:p w14:paraId="6879E35C">
      <w:pPr>
        <w:pStyle w:val="45"/>
        <w:keepNext w:val="0"/>
        <w:keepLines w:val="0"/>
        <w:pageBreakBefore w:val="0"/>
        <w:kinsoku/>
        <w:wordWrap/>
        <w:overflowPunct/>
        <w:topLinePunct w:val="0"/>
        <w:autoSpaceDE/>
        <w:autoSpaceDN/>
        <w:bidi w:val="0"/>
        <w:adjustRightInd/>
        <w:snapToGrid/>
        <w:spacing w:line="400" w:lineRule="exact"/>
        <w:ind w:firstLine="482"/>
        <w:rPr>
          <w:rFonts w:ascii="Times New Roman" w:hAnsi="Times New Roman" w:eastAsia="宋体"/>
        </w:rPr>
      </w:pPr>
      <w:r>
        <w:rPr>
          <w:rFonts w:ascii="Segoe UI Symbol" w:hAnsi="Segoe UI Symbol" w:eastAsia="宋体" w:cs="Segoe UI Symbol"/>
          <w:b/>
          <w:bCs/>
        </w:rPr>
        <w:t>★</w:t>
      </w:r>
      <w:r>
        <w:rPr>
          <w:rFonts w:ascii="Times New Roman" w:hAnsi="Times New Roman" w:eastAsia="宋体"/>
        </w:rPr>
        <w:t>1.2投标人中标后1个月内，须在盐城市范围内设立1个运维办事处及备机备件库，以满足项目实施需求。</w:t>
      </w:r>
    </w:p>
    <w:p w14:paraId="6343FCE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olor w:val="auto"/>
        </w:rPr>
      </w:pPr>
      <w:r>
        <w:rPr>
          <w:rFonts w:ascii="Times New Roman" w:hAnsi="Times New Roman" w:eastAsia="宋体"/>
          <w:color w:val="auto"/>
        </w:rPr>
        <w:t>1.3相关站点的场地租赁费、站房租赁费、电费、通讯费，阜宁县环境空气质量联网管理平台运维费，以及站房基础设施、电力设施、通讯设施和防雷设施</w:t>
      </w:r>
      <w:r>
        <w:rPr>
          <w:rFonts w:hint="eastAsia" w:ascii="Times New Roman" w:hAnsi="Times New Roman" w:eastAsia="宋体"/>
          <w:color w:val="auto"/>
          <w:lang w:eastAsia="zh-CN"/>
        </w:rPr>
        <w:t>（检测报告</w:t>
      </w:r>
      <w:r>
        <w:rPr>
          <w:rFonts w:hint="eastAsia" w:ascii="Times New Roman" w:hAnsi="Times New Roman" w:eastAsia="宋体"/>
          <w:color w:val="auto"/>
          <w:lang w:val="en-US" w:eastAsia="zh-CN"/>
        </w:rPr>
        <w:t>/年</w:t>
      </w:r>
      <w:r>
        <w:rPr>
          <w:rFonts w:hint="eastAsia" w:ascii="Times New Roman" w:hAnsi="Times New Roman" w:eastAsia="宋体"/>
          <w:color w:val="auto"/>
          <w:lang w:eastAsia="zh-CN"/>
        </w:rPr>
        <w:t>）</w:t>
      </w:r>
      <w:r>
        <w:rPr>
          <w:rFonts w:ascii="Times New Roman" w:hAnsi="Times New Roman" w:eastAsia="宋体"/>
          <w:color w:val="auto"/>
        </w:rPr>
        <w:t>的日常维护费全部由投标人承担，并包含在本项目投标报价中。</w:t>
      </w:r>
    </w:p>
    <w:p w14:paraId="1F2FC36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1.4投标人应保证本项目各类国有资产安全，配合采购人开展资产清点和管理工作。投标人蓄意破坏或私自外借、出租、抵押国有资产的，将交由相关机构处理，出现国有资产损失或流失的，相关责任人要按原价赔偿，并追究法律责任。</w:t>
      </w:r>
    </w:p>
    <w:p w14:paraId="2CD1DE3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1.5投标人应遵守国家、省关于环境空气自动监测站点运行管理的各项技术规范和相关规定，如运维期间出台新的技术规范和运行管理规定，则运维工作按最新技术规范和规定执行。</w:t>
      </w:r>
    </w:p>
    <w:p w14:paraId="259C96D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1.6</w:t>
      </w:r>
      <w:r>
        <w:rPr>
          <w:rFonts w:ascii="Times New Roman" w:hAnsi="Times New Roman" w:eastAsia="宋体"/>
        </w:rPr>
        <w:t>在空气自动监测系统运维及管理期间，投标人应严格按照相关技术规范要求，对所管理的系统及仪器设备进行规范操作和精心维护及必要维修，保证系统及仪器设备的正常运行。同时投标人必须接受业主和第三方质控核查单位的定期、不定期检查和考核。</w:t>
      </w:r>
    </w:p>
    <w:p w14:paraId="3F58006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1.7</w:t>
      </w:r>
      <w:r>
        <w:rPr>
          <w:rFonts w:ascii="Times New Roman" w:hAnsi="Times New Roman" w:eastAsia="宋体"/>
        </w:rPr>
        <w:t>本项目所形成各类数据信息及相关文档资料归采购人所有，未经采购人授权，任何人无权使用、公开或泄漏给第三方。</w:t>
      </w:r>
    </w:p>
    <w:p w14:paraId="4654A603">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ascii="Segoe UI Symbol" w:hAnsi="Segoe UI Symbol" w:eastAsia="宋体" w:cs="Segoe UI Symbol"/>
        </w:rPr>
        <w:t>★</w:t>
      </w:r>
      <w:r>
        <w:rPr>
          <w:rFonts w:eastAsia="宋体"/>
        </w:rPr>
        <w:t>2、人员要求</w:t>
      </w:r>
    </w:p>
    <w:p w14:paraId="4855626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2.1项目负责人</w:t>
      </w:r>
    </w:p>
    <w:p w14:paraId="06674D3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负责投标人实施本项目的日常管理和协调工作，统筹配置充足的人员、车辆、设备及耗材备件等资源以满足项目需求。投标人为本项目派遣的项目负责人须具备环保类中级及以上技术职称证书和</w:t>
      </w:r>
      <w:r>
        <w:rPr>
          <w:rFonts w:hint="eastAsia" w:ascii="Times New Roman" w:hAnsi="Times New Roman" w:eastAsia="宋体" w:cs="Times New Roman"/>
          <w:sz w:val="24"/>
        </w:rPr>
        <w:t>中国环境监测总站</w:t>
      </w:r>
      <w:r>
        <w:rPr>
          <w:rFonts w:ascii="Times New Roman" w:hAnsi="Times New Roman" w:eastAsia="宋体" w:cs="Times New Roman"/>
          <w:sz w:val="24"/>
        </w:rPr>
        <w:t>的环境空气自动监测运维</w:t>
      </w:r>
      <w:r>
        <w:rPr>
          <w:rFonts w:hint="eastAsia" w:ascii="Times New Roman" w:hAnsi="Times New Roman" w:eastAsia="宋体" w:cs="Times New Roman"/>
          <w:sz w:val="24"/>
        </w:rPr>
        <w:t>与质控</w:t>
      </w:r>
      <w:r>
        <w:rPr>
          <w:rFonts w:ascii="Times New Roman" w:hAnsi="Times New Roman" w:eastAsia="宋体" w:cs="Times New Roman"/>
          <w:sz w:val="24"/>
        </w:rPr>
        <w:t>技术培训</w:t>
      </w:r>
      <w:r>
        <w:rPr>
          <w:rFonts w:hint="eastAsia" w:ascii="Times New Roman" w:hAnsi="Times New Roman" w:eastAsia="宋体" w:cs="Times New Roman"/>
          <w:sz w:val="24"/>
        </w:rPr>
        <w:t>班</w:t>
      </w:r>
      <w:r>
        <w:rPr>
          <w:rFonts w:ascii="Times New Roman" w:hAnsi="Times New Roman" w:eastAsia="宋体" w:cs="Times New Roman"/>
          <w:sz w:val="24"/>
        </w:rPr>
        <w:t>合格证书，在项目期限内需专职投入本项目，在履约期间未经采购人许可不得更换。</w:t>
      </w:r>
    </w:p>
    <w:p w14:paraId="74F1926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b/>
          <w:bCs/>
          <w:sz w:val="24"/>
        </w:rPr>
      </w:pPr>
      <w:r>
        <w:rPr>
          <w:rFonts w:ascii="Times New Roman" w:hAnsi="Times New Roman" w:eastAsia="宋体" w:cs="Times New Roman"/>
          <w:b/>
          <w:bCs/>
          <w:sz w:val="24"/>
        </w:rPr>
        <w:t>2.2技术人员</w:t>
      </w:r>
    </w:p>
    <w:p w14:paraId="635B97C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投标人应保证配备足够的专业技术人员，包括现场运维人员、运维质控人员、运维技术支持人员、数据审核及分析人员。投标人为本项目派遣的现场运维人员</w:t>
      </w:r>
      <w:r>
        <w:rPr>
          <w:rFonts w:hint="eastAsia" w:ascii="Times New Roman" w:hAnsi="Times New Roman" w:eastAsia="宋体" w:cs="Times New Roman"/>
          <w:sz w:val="24"/>
          <w:lang w:eastAsia="zh-CN"/>
        </w:rPr>
        <w:t>每标断</w:t>
      </w:r>
      <w:r>
        <w:rPr>
          <w:rFonts w:ascii="Times New Roman" w:hAnsi="Times New Roman" w:eastAsia="宋体" w:cs="Times New Roman"/>
          <w:sz w:val="24"/>
        </w:rPr>
        <w:t>不少于</w:t>
      </w:r>
      <w:r>
        <w:rPr>
          <w:rFonts w:hint="eastAsia" w:ascii="Times New Roman" w:hAnsi="Times New Roman" w:eastAsia="宋体" w:cs="Times New Roman"/>
          <w:sz w:val="24"/>
        </w:rPr>
        <w:t>3</w:t>
      </w:r>
      <w:r>
        <w:rPr>
          <w:rFonts w:ascii="Times New Roman" w:hAnsi="Times New Roman" w:eastAsia="宋体" w:cs="Times New Roman"/>
          <w:sz w:val="24"/>
        </w:rPr>
        <w:t>人</w:t>
      </w:r>
      <w:r>
        <w:rPr>
          <w:rFonts w:hint="eastAsia" w:ascii="Times New Roman" w:hAnsi="Times New Roman" w:eastAsia="宋体" w:cs="Times New Roman"/>
          <w:color w:val="auto"/>
          <w:sz w:val="24"/>
        </w:rPr>
        <w:t>，</w:t>
      </w:r>
      <w:r>
        <w:rPr>
          <w:rFonts w:hint="eastAsia" w:cs="Times New Roman"/>
          <w:color w:val="000000" w:themeColor="text1"/>
          <w:sz w:val="24"/>
          <w:lang w:eastAsia="zh-CN"/>
          <w14:textFill>
            <w14:solidFill>
              <w14:schemeClr w14:val="tx1"/>
            </w14:solidFill>
          </w14:textFill>
        </w:rPr>
        <w:t>现场巡查及数据审核人员</w:t>
      </w:r>
      <w:r>
        <w:rPr>
          <w:rFonts w:hint="eastAsia" w:ascii="Times New Roman" w:hAnsi="Times New Roman" w:eastAsia="宋体" w:cs="Times New Roman"/>
          <w:color w:val="000000" w:themeColor="text1"/>
          <w:sz w:val="24"/>
          <w14:textFill>
            <w14:solidFill>
              <w14:schemeClr w14:val="tx1"/>
            </w14:solidFill>
          </w14:textFill>
        </w:rPr>
        <w:t>不</w:t>
      </w:r>
      <w:r>
        <w:rPr>
          <w:rFonts w:hint="eastAsia" w:ascii="Times New Roman" w:hAnsi="Times New Roman" w:eastAsia="宋体" w:cs="Times New Roman"/>
          <w:color w:val="auto"/>
          <w:sz w:val="24"/>
        </w:rPr>
        <w:t>少于1人（运维人员须同</w:t>
      </w:r>
      <w:r>
        <w:rPr>
          <w:rFonts w:hint="eastAsia" w:ascii="Times New Roman" w:hAnsi="Times New Roman" w:eastAsia="宋体" w:cs="Times New Roman"/>
          <w:color w:val="auto"/>
          <w:sz w:val="24"/>
          <w:lang w:eastAsia="zh-CN"/>
        </w:rPr>
        <w:t>投</w:t>
      </w:r>
      <w:r>
        <w:rPr>
          <w:rFonts w:hint="eastAsia" w:ascii="Times New Roman" w:hAnsi="Times New Roman" w:eastAsia="宋体" w:cs="Times New Roman"/>
          <w:color w:val="auto"/>
          <w:sz w:val="24"/>
        </w:rPr>
        <w:t>标</w:t>
      </w:r>
      <w:r>
        <w:rPr>
          <w:rFonts w:hint="eastAsia" w:ascii="Times New Roman" w:hAnsi="Times New Roman" w:eastAsia="宋体" w:cs="Times New Roman"/>
          <w:color w:val="auto"/>
          <w:sz w:val="24"/>
          <w:lang w:eastAsia="zh-CN"/>
        </w:rPr>
        <w:t>文件</w:t>
      </w:r>
      <w:r>
        <w:rPr>
          <w:rFonts w:hint="eastAsia" w:ascii="Times New Roman" w:hAnsi="Times New Roman" w:eastAsia="宋体" w:cs="Times New Roman"/>
          <w:color w:val="auto"/>
          <w:sz w:val="24"/>
        </w:rPr>
        <w:t>一致</w:t>
      </w:r>
      <w:r>
        <w:rPr>
          <w:rFonts w:hint="eastAsia" w:ascii="Times New Roman" w:hAnsi="Times New Roman" w:eastAsia="宋体" w:cs="Times New Roman"/>
          <w:color w:val="auto"/>
          <w:sz w:val="24"/>
          <w:lang w:eastAsia="zh-CN"/>
        </w:rPr>
        <w:t>，如中标方人员调整必须符合相关条件并取得相应证书人员调换</w:t>
      </w:r>
      <w:r>
        <w:rPr>
          <w:rFonts w:hint="eastAsia" w:ascii="Times New Roman" w:hAnsi="Times New Roman" w:eastAsia="宋体" w:cs="Times New Roman"/>
          <w:color w:val="auto"/>
          <w:sz w:val="24"/>
        </w:rPr>
        <w:t>）</w:t>
      </w:r>
      <w:r>
        <w:rPr>
          <w:rFonts w:ascii="Times New Roman" w:hAnsi="Times New Roman" w:eastAsia="宋体" w:cs="Times New Roman"/>
          <w:color w:val="auto"/>
          <w:sz w:val="24"/>
        </w:rPr>
        <w:t>，须取得</w:t>
      </w:r>
      <w:r>
        <w:rPr>
          <w:rFonts w:hint="eastAsia" w:ascii="Times New Roman" w:hAnsi="Times New Roman" w:eastAsia="宋体" w:cs="Times New Roman"/>
          <w:color w:val="auto"/>
          <w:sz w:val="24"/>
        </w:rPr>
        <w:t>中国环境监测总站</w:t>
      </w:r>
      <w:r>
        <w:rPr>
          <w:rFonts w:ascii="Times New Roman" w:hAnsi="Times New Roman" w:eastAsia="宋体" w:cs="Times New Roman"/>
          <w:color w:val="auto"/>
          <w:sz w:val="24"/>
        </w:rPr>
        <w:t>的环境空气自动监测运维</w:t>
      </w:r>
      <w:r>
        <w:rPr>
          <w:rFonts w:hint="eastAsia" w:ascii="Times New Roman" w:hAnsi="Times New Roman" w:eastAsia="宋体" w:cs="Times New Roman"/>
          <w:color w:val="auto"/>
          <w:sz w:val="24"/>
        </w:rPr>
        <w:t>与质控</w:t>
      </w:r>
      <w:r>
        <w:rPr>
          <w:rFonts w:ascii="Times New Roman" w:hAnsi="Times New Roman" w:eastAsia="宋体" w:cs="Times New Roman"/>
          <w:color w:val="auto"/>
          <w:sz w:val="24"/>
        </w:rPr>
        <w:t>技术培训</w:t>
      </w:r>
      <w:r>
        <w:rPr>
          <w:rFonts w:hint="eastAsia" w:ascii="Times New Roman" w:hAnsi="Times New Roman" w:eastAsia="宋体" w:cs="Times New Roman"/>
          <w:color w:val="auto"/>
          <w:sz w:val="24"/>
        </w:rPr>
        <w:t>班</w:t>
      </w:r>
      <w:r>
        <w:rPr>
          <w:rFonts w:ascii="Times New Roman" w:hAnsi="Times New Roman" w:eastAsia="宋体" w:cs="Times New Roman"/>
          <w:color w:val="auto"/>
          <w:sz w:val="24"/>
        </w:rPr>
        <w:t>合格证书，在项目期</w:t>
      </w:r>
      <w:r>
        <w:rPr>
          <w:rFonts w:ascii="Times New Roman" w:hAnsi="Times New Roman" w:eastAsia="宋体" w:cs="Times New Roman"/>
          <w:sz w:val="24"/>
        </w:rPr>
        <w:t>限内需专职投入本项目，在履约期间未经采购人许可不得更换；其他专业技术人员须取得</w:t>
      </w:r>
      <w:r>
        <w:rPr>
          <w:rFonts w:hint="eastAsia" w:ascii="Times New Roman" w:hAnsi="Times New Roman" w:eastAsia="宋体" w:cs="Times New Roman"/>
          <w:sz w:val="24"/>
        </w:rPr>
        <w:t>中国环境监测总站</w:t>
      </w:r>
      <w:r>
        <w:rPr>
          <w:rFonts w:ascii="Times New Roman" w:hAnsi="Times New Roman" w:eastAsia="宋体" w:cs="Times New Roman"/>
          <w:sz w:val="24"/>
        </w:rPr>
        <w:t>的环境空气自动监测运维</w:t>
      </w:r>
      <w:r>
        <w:rPr>
          <w:rFonts w:hint="eastAsia" w:ascii="Times New Roman" w:hAnsi="Times New Roman" w:eastAsia="宋体" w:cs="Times New Roman"/>
          <w:sz w:val="24"/>
        </w:rPr>
        <w:t>与质控</w:t>
      </w:r>
      <w:r>
        <w:rPr>
          <w:rFonts w:ascii="Times New Roman" w:hAnsi="Times New Roman" w:eastAsia="宋体" w:cs="Times New Roman"/>
          <w:sz w:val="24"/>
        </w:rPr>
        <w:t>技术培训</w:t>
      </w:r>
      <w:r>
        <w:rPr>
          <w:rFonts w:hint="eastAsia" w:ascii="Times New Roman" w:hAnsi="Times New Roman" w:eastAsia="宋体" w:cs="Times New Roman"/>
          <w:sz w:val="24"/>
        </w:rPr>
        <w:t>班</w:t>
      </w:r>
      <w:r>
        <w:rPr>
          <w:rFonts w:ascii="Times New Roman" w:hAnsi="Times New Roman" w:eastAsia="宋体" w:cs="Times New Roman"/>
          <w:sz w:val="24"/>
        </w:rPr>
        <w:t>合格证书。</w:t>
      </w:r>
    </w:p>
    <w:p w14:paraId="6902A46A">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3、设备、耗材配件及车辆</w:t>
      </w:r>
    </w:p>
    <w:p w14:paraId="6A7DE0AB">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3.1备机</w:t>
      </w:r>
    </w:p>
    <w:p w14:paraId="42AF539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投标人须为本项目配备SO</w:t>
      </w:r>
      <w:r>
        <w:rPr>
          <w:rFonts w:ascii="Times New Roman" w:hAnsi="Times New Roman" w:eastAsia="宋体"/>
          <w:kern w:val="2"/>
          <w:vertAlign w:val="subscript"/>
        </w:rPr>
        <w:t>2</w:t>
      </w:r>
      <w:r>
        <w:rPr>
          <w:rFonts w:ascii="Times New Roman" w:hAnsi="Times New Roman" w:eastAsia="宋体"/>
          <w:kern w:val="2"/>
        </w:rPr>
        <w:t>、NOx、CO、O</w:t>
      </w:r>
      <w:r>
        <w:rPr>
          <w:rFonts w:ascii="Times New Roman" w:hAnsi="Times New Roman" w:eastAsia="宋体"/>
          <w:kern w:val="2"/>
          <w:vertAlign w:val="subscript"/>
        </w:rPr>
        <w:t>3</w:t>
      </w:r>
      <w:r>
        <w:rPr>
          <w:rFonts w:ascii="Times New Roman" w:hAnsi="Times New Roman" w:eastAsia="宋体"/>
          <w:kern w:val="2"/>
        </w:rPr>
        <w:t>、PM</w:t>
      </w:r>
      <w:r>
        <w:rPr>
          <w:rFonts w:ascii="Times New Roman" w:hAnsi="Times New Roman" w:eastAsia="宋体"/>
          <w:kern w:val="2"/>
          <w:vertAlign w:val="subscript"/>
        </w:rPr>
        <w:t>2.5</w:t>
      </w:r>
      <w:r>
        <w:rPr>
          <w:rFonts w:ascii="Times New Roman" w:hAnsi="Times New Roman" w:eastAsia="宋体"/>
          <w:kern w:val="2"/>
        </w:rPr>
        <w:t>、PM</w:t>
      </w:r>
      <w:r>
        <w:rPr>
          <w:rFonts w:ascii="Times New Roman" w:hAnsi="Times New Roman" w:eastAsia="宋体"/>
          <w:kern w:val="2"/>
          <w:vertAlign w:val="subscript"/>
        </w:rPr>
        <w:t>10</w:t>
      </w:r>
      <w:r>
        <w:rPr>
          <w:rFonts w:ascii="Times New Roman" w:hAnsi="Times New Roman" w:eastAsia="宋体"/>
          <w:kern w:val="2"/>
        </w:rPr>
        <w:t>六项指标自动监测仪器各1套用作备机，</w:t>
      </w:r>
      <w:r>
        <w:rPr>
          <w:rFonts w:ascii="Times New Roman" w:hAnsi="Times New Roman" w:eastAsia="宋体"/>
        </w:rPr>
        <w:t>原则上备机应与站点原设备同品牌，若非同品牌的，备机监测原理须与原机匹配，性能及功能应满足相关国家标准和技术要求。投标人提供承诺函，承诺中标后1个月内配备到位。</w:t>
      </w:r>
    </w:p>
    <w:p w14:paraId="0D55F7A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3.2质控设备（物资）</w:t>
      </w:r>
    </w:p>
    <w:p w14:paraId="659EAEB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须为本项目配备必要的质量控制设备和标准气体：流量计（高、低流量各1套）、标准气压计、标准温湿度计至少各配备1套；每个站点配备标准气体，标准气体须为国家一级标准物质或国家标准样品。投标人提供承诺函，承诺中标后1个月内配备到位。</w:t>
      </w:r>
    </w:p>
    <w:p w14:paraId="1519B21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3.3耗材备件</w:t>
      </w:r>
    </w:p>
    <w:p w14:paraId="429572B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须配齐本项目需求中所涉及设备的耗材和备件。耗材按照不少于半年的消耗量配置，备件按照1年使用量配置。严禁使用劣质备品备件，必须使用原厂生产的备品备件，使用非原厂备品备件须提供达到或高于原厂备品备件的性能测试报告。投标人提供承诺函，承诺中标后2个月内配备到位。</w:t>
      </w:r>
    </w:p>
    <w:p w14:paraId="0369CD6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3.4车辆</w:t>
      </w:r>
    </w:p>
    <w:p w14:paraId="5E0A19C7">
      <w:pPr>
        <w:pStyle w:val="45"/>
        <w:keepNext w:val="0"/>
        <w:keepLines w:val="0"/>
        <w:pageBreakBefore w:val="0"/>
        <w:kinsoku/>
        <w:wordWrap/>
        <w:overflowPunct/>
        <w:topLinePunct w:val="0"/>
        <w:autoSpaceDE/>
        <w:autoSpaceDN/>
        <w:bidi w:val="0"/>
        <w:adjustRightInd/>
        <w:snapToGrid/>
        <w:spacing w:line="400" w:lineRule="exact"/>
        <w:rPr>
          <w:rFonts w:hint="eastAsia" w:ascii="Times New Roman" w:hAnsi="Times New Roman" w:eastAsia="宋体"/>
          <w:color w:val="000000" w:themeColor="text1"/>
          <w:lang w:eastAsia="zh-CN"/>
          <w14:textFill>
            <w14:solidFill>
              <w14:schemeClr w14:val="tx1"/>
            </w14:solidFill>
          </w14:textFill>
        </w:rPr>
      </w:pPr>
      <w:r>
        <w:rPr>
          <w:rFonts w:ascii="Times New Roman" w:hAnsi="Times New Roman" w:eastAsia="宋体"/>
          <w:color w:val="auto"/>
          <w:kern w:val="2"/>
        </w:rPr>
        <w:t>投标人应保证配备足够的</w:t>
      </w:r>
      <w:r>
        <w:rPr>
          <w:rFonts w:ascii="Times New Roman" w:hAnsi="Times New Roman" w:eastAsia="宋体"/>
          <w:color w:val="auto"/>
        </w:rPr>
        <w:t>自有</w:t>
      </w:r>
      <w:r>
        <w:rPr>
          <w:rFonts w:ascii="Times New Roman" w:hAnsi="Times New Roman" w:eastAsia="宋体"/>
          <w:color w:val="auto"/>
          <w:kern w:val="2"/>
        </w:rPr>
        <w:t>专用运维车辆，</w:t>
      </w:r>
      <w:r>
        <w:rPr>
          <w:rFonts w:ascii="Times New Roman" w:hAnsi="Times New Roman" w:eastAsia="宋体"/>
          <w:color w:val="auto"/>
        </w:rPr>
        <w:t>数量不少于</w:t>
      </w:r>
      <w:r>
        <w:rPr>
          <w:rFonts w:hint="eastAsia" w:ascii="Times New Roman" w:hAnsi="Times New Roman" w:eastAsia="宋体"/>
          <w:color w:val="auto"/>
        </w:rPr>
        <w:t>3</w:t>
      </w:r>
      <w:r>
        <w:rPr>
          <w:rFonts w:ascii="Times New Roman" w:hAnsi="Times New Roman" w:eastAsia="宋体"/>
          <w:color w:val="auto"/>
        </w:rPr>
        <w:t>台。</w:t>
      </w:r>
      <w:r>
        <w:rPr>
          <w:rFonts w:hint="eastAsia" w:ascii="Times New Roman" w:hAnsi="Times New Roman" w:eastAsia="宋体"/>
          <w:color w:val="auto"/>
          <w:lang w:eastAsia="zh-CN"/>
        </w:rPr>
        <w:t>（其中</w:t>
      </w:r>
      <w:r>
        <w:rPr>
          <w:rFonts w:hint="eastAsia" w:ascii="Times New Roman" w:hAnsi="Times New Roman"/>
          <w:color w:val="000000" w:themeColor="text1"/>
          <w:lang w:eastAsia="zh-CN"/>
          <w14:textFill>
            <w14:solidFill>
              <w14:schemeClr w14:val="tx1"/>
            </w14:solidFill>
          </w14:textFill>
        </w:rPr>
        <w:t>现场巡查及数据审核人员</w:t>
      </w:r>
      <w:r>
        <w:rPr>
          <w:rFonts w:hint="eastAsia" w:ascii="Times New Roman" w:hAnsi="Times New Roman" w:eastAsia="宋体"/>
          <w:color w:val="000000" w:themeColor="text1"/>
          <w:lang w:eastAsia="zh-CN"/>
          <w14:textFill>
            <w14:solidFill>
              <w14:schemeClr w14:val="tx1"/>
            </w14:solidFill>
          </w14:textFill>
        </w:rPr>
        <w:t>配备专用车辆</w:t>
      </w:r>
      <w:r>
        <w:rPr>
          <w:rFonts w:hint="eastAsia" w:ascii="Times New Roman" w:hAnsi="Times New Roman" w:eastAsia="宋体"/>
          <w:color w:val="000000" w:themeColor="text1"/>
          <w:lang w:val="en-US" w:eastAsia="zh-CN"/>
          <w14:textFill>
            <w14:solidFill>
              <w14:schemeClr w14:val="tx1"/>
            </w14:solidFill>
          </w14:textFill>
        </w:rPr>
        <w:t>1台</w:t>
      </w:r>
      <w:r>
        <w:rPr>
          <w:rFonts w:hint="eastAsia" w:ascii="Times New Roman" w:hAnsi="Times New Roman" w:eastAsia="宋体"/>
          <w:color w:val="000000" w:themeColor="text1"/>
          <w:lang w:eastAsia="zh-CN"/>
          <w14:textFill>
            <w14:solidFill>
              <w14:schemeClr w14:val="tx1"/>
            </w14:solidFill>
          </w14:textFill>
        </w:rPr>
        <w:t>）</w:t>
      </w:r>
    </w:p>
    <w:p w14:paraId="7C603AE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3.5其他</w:t>
      </w:r>
    </w:p>
    <w:p w14:paraId="2DFC6CB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投标人应</w:t>
      </w:r>
      <w:r>
        <w:rPr>
          <w:rFonts w:ascii="Times New Roman" w:hAnsi="Times New Roman" w:eastAsia="宋体"/>
        </w:rPr>
        <w:t>至少配备1套专用仪器维护维修工具。</w:t>
      </w:r>
    </w:p>
    <w:p w14:paraId="05413450">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4.运维工作内容</w:t>
      </w:r>
    </w:p>
    <w:p w14:paraId="6D29CFC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运维过程中主要完成以下工作：</w:t>
      </w:r>
    </w:p>
    <w:p w14:paraId="73AE19C8">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4.1空气自动监测站的日常运行维护；</w:t>
      </w:r>
    </w:p>
    <w:p w14:paraId="6DE83319">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4.2空气自动监测站的日常质量管理；</w:t>
      </w:r>
    </w:p>
    <w:p w14:paraId="0A53EC90">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4.3空气自动监测站的日常安全管理；</w:t>
      </w:r>
    </w:p>
    <w:p w14:paraId="4DE4EE57">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4.4空气自动监测站监测数据的日常审核、上报；</w:t>
      </w:r>
    </w:p>
    <w:p w14:paraId="74485B4C">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4.5空气自动监测站的仪器设备及其他相关辅助设备设施的维护保养及故障维修；</w:t>
      </w:r>
    </w:p>
    <w:p w14:paraId="32270969">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4.6根据工作需要开展空气自动监测站PM10与PM2.5自动监测的手工比对；</w:t>
      </w:r>
    </w:p>
    <w:p w14:paraId="56563246">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4.7当仪器出现故障不能及时修复时，应在24小时之内使用备机开展监测；</w:t>
      </w:r>
    </w:p>
    <w:p w14:paraId="7C3020EA">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4.8仪器报废后（包括因洪水、地震、台风、站房外部火灾、爆炸、恐怖袭击、武装冲突、蓄意破坏等不可抗力导致），投标人须先行及时使用备机开展监测，同时报告业主；</w:t>
      </w:r>
    </w:p>
    <w:p w14:paraId="24D42BED">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4.9当点位需要新增、撤销、变更时，由业主按照点位管理程序向上级生态环境厅报批。涉及站点迁移的，投标人应做好迁移前后监测仪器设备检查工作并做好相关记录。</w:t>
      </w:r>
    </w:p>
    <w:p w14:paraId="22073E59">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color w:val="000000" w:themeColor="text1"/>
          <w:sz w:val="24"/>
          <w:shd w:val="clear" w:color="auto" w:fill="auto"/>
          <w14:textFill>
            <w14:solidFill>
              <w14:schemeClr w14:val="tx1"/>
            </w14:solidFill>
          </w14:textFill>
        </w:rPr>
      </w:pPr>
      <w:r>
        <w:rPr>
          <w:rFonts w:ascii="Times New Roman" w:hAnsi="Times New Roman" w:eastAsia="宋体" w:cs="Times New Roman"/>
          <w:color w:val="000000" w:themeColor="text1"/>
          <w:sz w:val="24"/>
          <w:shd w:val="clear" w:color="auto" w:fill="auto"/>
          <w14:textFill>
            <w14:solidFill>
              <w14:schemeClr w14:val="tx1"/>
            </w14:solidFill>
          </w14:textFill>
        </w:rPr>
        <w:t>4.10阜宁县环境空气质量联网管理平台的日常运行维护及安全管理，当系统平台出现安全风险或需要迁移时，由投标人负责与系统平台开发商对接，按要求完成相关工作并承担相应费用。</w:t>
      </w:r>
    </w:p>
    <w:p w14:paraId="76C502D7">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5.运维工作目标</w:t>
      </w:r>
    </w:p>
    <w:p w14:paraId="4235DD0A">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投标人必须建立完善的运行维护工作规范与质量管理体系，确保提供及时、准确、有效的监测数据，子站的运行质量应达到以下指标：每日9:00前，将各乡镇环境空气质量监测站审核数据上传省、市、县各级数据管理平台，每月数据联网率≥98%，确保联网后每月实时数据和审核后有效数据入库率≥95%。</w:t>
      </w:r>
    </w:p>
    <w:p w14:paraId="0EEB57E3">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6.运维工作要求</w:t>
      </w:r>
    </w:p>
    <w:p w14:paraId="1C4C800A">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6.1运维工作一般要求如下：</w:t>
      </w:r>
    </w:p>
    <w:p w14:paraId="367E9B6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(1)保持站房内部环境清洁，布置整齐，各仪器设备干净清洁，设备标识清楚；</w:t>
      </w:r>
    </w:p>
    <w:p w14:paraId="24849EBC">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(2)保持站房外20m</w:t>
      </w:r>
      <w:r>
        <w:rPr>
          <w:rFonts w:hint="eastAsia" w:ascii="Times New Roman" w:hAnsi="Times New Roman" w:eastAsia="宋体" w:cs="Times New Roman"/>
          <w:color w:val="000000" w:themeColor="text1"/>
          <w:sz w:val="24"/>
          <w14:textFill>
            <w14:solidFill>
              <w14:schemeClr w14:val="tx1"/>
            </w14:solidFill>
          </w14:textFill>
        </w:rPr>
        <w:t>范围</w:t>
      </w:r>
      <w:r>
        <w:rPr>
          <w:rFonts w:ascii="Times New Roman" w:hAnsi="Times New Roman" w:eastAsia="宋体" w:cs="Times New Roman"/>
          <w:color w:val="000000" w:themeColor="text1"/>
          <w:sz w:val="24"/>
          <w14:textFill>
            <w14:solidFill>
              <w14:schemeClr w14:val="tx1"/>
            </w14:solidFill>
          </w14:textFill>
        </w:rPr>
        <w:t>以</w:t>
      </w:r>
      <w:r>
        <w:rPr>
          <w:rFonts w:ascii="Times New Roman" w:hAnsi="Times New Roman" w:eastAsia="宋体" w:cs="Times New Roman"/>
          <w:sz w:val="24"/>
        </w:rPr>
        <w:t>内的环境清洁；</w:t>
      </w:r>
    </w:p>
    <w:p w14:paraId="3C7043A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(3)检查供电和网络通讯情况，保证系统的正常运行;</w:t>
      </w:r>
    </w:p>
    <w:p w14:paraId="503F680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(4)保证空调正常工作，站房内温度25±5℃，相对湿度保持在80%RH以下；</w:t>
      </w:r>
    </w:p>
    <w:p w14:paraId="779F12E5">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(5)指派专人维护，设备固定牢固，门窗关闭良好，人走关门，非工作人员未经许可不得入内；</w:t>
      </w:r>
    </w:p>
    <w:p w14:paraId="13BE1555">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(6)定期检查消防和安全设施；</w:t>
      </w:r>
    </w:p>
    <w:p w14:paraId="6FC67AE1">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(7)每次维护后做好系统运行维护记录；</w:t>
      </w:r>
    </w:p>
    <w:p w14:paraId="5C6E07A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(8)进行维护时，应规范操作，注意安全，防止意外发生。</w:t>
      </w:r>
    </w:p>
    <w:p w14:paraId="429F62F4">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6.2每日工作内容如下：</w:t>
      </w:r>
    </w:p>
    <w:p w14:paraId="66D06E19">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每天上午和下午两次远程查看空气自动监测站数据并形成记录，分析监测数据，对站点运行情况进行远程诊断和运行管理，内容包括：</w:t>
      </w:r>
    </w:p>
    <w:p w14:paraId="59CEE3B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(1)判断系统数据采集与传输情况；</w:t>
      </w:r>
    </w:p>
    <w:p w14:paraId="2579665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(2)根据电源电压、站房温度、湿度数据判断站房内部情况；</w:t>
      </w:r>
    </w:p>
    <w:p w14:paraId="33DA0BC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(3)发现监测数据异常，应立即通知业主，在每日6时～23时出现的异常，应在4小时内解决（通信线路、电力线路故障除外，但应及时与相关部门联系积极解决），每日0—6时出现的异常，应在次日上午10时前解决；</w:t>
      </w:r>
    </w:p>
    <w:p w14:paraId="7DEC0CB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(4)发生重污染天气等特殊情况后，应在4小时内开展相应的运维工作；</w:t>
      </w:r>
    </w:p>
    <w:p w14:paraId="4C7A6A6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(5)根据数据分析结果、设备状态参数和仪器故障报警信号，判断仪器运行情况和现场状况；</w:t>
      </w:r>
    </w:p>
    <w:p w14:paraId="09126A4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(6)每日检查数据是否及时审核上传并正常发布，发现数据断网及时恢复。</w:t>
      </w:r>
    </w:p>
    <w:p w14:paraId="11A3078B">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6.3每周工作内容如下：</w:t>
      </w:r>
    </w:p>
    <w:p w14:paraId="51B2D24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每周至少巡检空气自动监测站1次（最大间隔期不得超过8天，且14天内必须完成2次维护），并做好巡查记录，巡检时需要完成的工作包括：</w:t>
      </w:r>
    </w:p>
    <w:p w14:paraId="5917509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(1)查看空气自动监测站设备是否齐备，无丢失和损坏；检查接地线路是否可靠，排风排气装置工作是否正常，标准气钢瓶阀门是否漏气，标准气的消耗情况；</w:t>
      </w:r>
    </w:p>
    <w:p w14:paraId="3F9FF45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(2)检查采样和排气管路是否有漏气或堵塞现象，各监测仪器采样流量是否正常；</w:t>
      </w:r>
    </w:p>
    <w:p w14:paraId="2776470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(3)检查各监测仪器的运行状况和工作参数，判断是否正常，如有异常情况及时处理，保证仪器运行正常；</w:t>
      </w:r>
    </w:p>
    <w:p w14:paraId="30E7405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(4)检查PM10和PM2.5监测仪动态加热装置及采样总管加热装置是否正常工作；</w:t>
      </w:r>
    </w:p>
    <w:p w14:paraId="32291FB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(5)对二氧化硫、一氧化碳、臭氧、氮氧化物监测仪进行零点、跨度检查，如果漂移超过国家相关规范要求，需要进行校准或维修；</w:t>
      </w:r>
    </w:p>
    <w:p w14:paraId="2A990AC9">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(6)按照仪器说明书要求，对零气发生器进行维护；</w:t>
      </w:r>
    </w:p>
    <w:p w14:paraId="644CF13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(7)检查外部环境是否正常，有没有对测定结果或运行环境存在明显影响的污染源；</w:t>
      </w:r>
    </w:p>
    <w:p w14:paraId="27A73213">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(8)检查电路系统和通讯系统，保证系统供电正常，电压稳定；</w:t>
      </w:r>
    </w:p>
    <w:p w14:paraId="1F3661EB">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(9)检查空气自动监测站的通讯系统，保证空气自动监测站与相关数据监控平台的连接正常，数据传输正常；确保无远程控制软件；</w:t>
      </w:r>
    </w:p>
    <w:p w14:paraId="331244D1">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(10)对仪器显示数据、时间与数据采集仪之间的一致性进行检查和校准；</w:t>
      </w:r>
    </w:p>
    <w:p w14:paraId="5F3A93EE">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(11)检查监测仪器的采样入口与采样支路管线结合部之间安装的过滤膜的污染情况，每周更换滤膜并检查监测仪器散热风扇污染情况，及时清洗；</w:t>
      </w:r>
    </w:p>
    <w:p w14:paraId="66A4BDF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(12)在冬、夏季节应注意空气自动监测站站房室内外温差，若温差较大，应及时改变站房温度或对采样总管采取适当的控制措施，防止冷凝现象；</w:t>
      </w:r>
    </w:p>
    <w:p w14:paraId="0238312F">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(13)应及时清除空气自动监测站站房周围的杂草和积水，当周围树木生长超过规范规定的控制限时，应及时剪除对采样或监测光束有影响的树枝；</w:t>
      </w:r>
    </w:p>
    <w:p w14:paraId="755ED2E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(14)应经常检查避雷设施是否可靠，空气自动监测站房屋是否有漏雨现象，气象杆和天线是否被刮坏，站房外围的其它设施是否有损坏或被水淹，如遇到以上问题应及时处理，保证系统安全运行；</w:t>
      </w:r>
    </w:p>
    <w:p w14:paraId="3737F02B">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(15)检查站房的安全设施，做好防火防盗工作；</w:t>
      </w:r>
    </w:p>
    <w:p w14:paraId="53C9518C">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(16)每周对气象仪器的运行情况进行检查；</w:t>
      </w:r>
    </w:p>
    <w:p w14:paraId="644DC7D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(17)每周对颗粒物的采样纸带或滤膜进行检查，如纸带即将用尽或滤膜负载超过规定要求，及时进行更换；</w:t>
      </w:r>
    </w:p>
    <w:p w14:paraId="42B2229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(18)每周检查视频监控系统，并做好视频系统的日常维护。若发现人为干扰干预环境空气质量监测的行为，及时向业主汇报；</w:t>
      </w:r>
    </w:p>
    <w:p w14:paraId="46926854">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（19）每周对站房内外环境卫生进行检查，及时保洁。</w:t>
      </w:r>
    </w:p>
    <w:p w14:paraId="40DB92B8">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6.4每月工作内容如下：</w:t>
      </w:r>
    </w:p>
    <w:p w14:paraId="1736BA2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（1）每月更换尘过滤膜2-3次，清洗防尘罩1-2次，及时更换干燥剂。</w:t>
      </w:r>
    </w:p>
    <w:p w14:paraId="6C66A1F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（2）光电法监测仪器每月进行一次精密度测试。测尘仪每月进行流量校准。</w:t>
      </w:r>
    </w:p>
    <w:p w14:paraId="58D36DC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（3）清洗PM10及PM2.5切割器，检查β法颗粒物分析仪仪器喷嘴、压环等部件；</w:t>
      </w:r>
    </w:p>
    <w:p w14:paraId="3571E64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（4）检查PM10及PM2.5监测仪、气态分析仪、动态气体校准仪流量，超过国家相关规范要求，及时进行校准。</w:t>
      </w:r>
    </w:p>
    <w:p w14:paraId="173063A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（5）对仪器显示数据和数据采集仪之间的一致性进行检查。</w:t>
      </w:r>
    </w:p>
    <w:p w14:paraId="7106C8B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（6）每月对数据进行备份。</w:t>
      </w:r>
    </w:p>
    <w:p w14:paraId="0DE70E0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每两个月清洗PM10、PM2.5切割头。检查各气体分析仪器采样流量。更换PM10、颗粒物（PM2.5）分析仪滤纸带（必要时），进行系统自检；校准和检查PM10及颗粒物（PM2.5）分析仪的温度、气压和时钟；用标准气压计、温度计、湿度计、手持式风速风向仪，校准相关的自动仪器。</w:t>
      </w:r>
    </w:p>
    <w:p w14:paraId="4C1EFFFC">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6.5每季度工作内容如下：</w:t>
      </w:r>
    </w:p>
    <w:p w14:paraId="46FA23A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（1）光电法监测仪器每季度进行一次多点校准。</w:t>
      </w:r>
    </w:p>
    <w:p w14:paraId="0A50140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（2）测尘仪每季度标准膜校准和气密性检查。</w:t>
      </w:r>
    </w:p>
    <w:p w14:paraId="1022D5C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（3）采样总管及采样风机每季度至少清洗一次。</w:t>
      </w:r>
    </w:p>
    <w:p w14:paraId="2E8A406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（4）每季度对PM10和PM2.5监测仪器进行标准膜校准或K0值检查，超过国家相关规范要求时，及时进行校准。</w:t>
      </w:r>
    </w:p>
    <w:p w14:paraId="2B23254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（5）每季度进行校准器光度计及臭氧发生器校准传递。</w:t>
      </w:r>
    </w:p>
    <w:p w14:paraId="408B7F1A">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6.6每半年工作内容如下：</w:t>
      </w:r>
    </w:p>
    <w:p w14:paraId="1C57E78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（1）清洗采样总管。清洗或更换采样支管。</w:t>
      </w:r>
    </w:p>
    <w:p w14:paraId="1A720D7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（2）更换零气源活性炭。更换NOX仪辅助进气口活性炭和氧化剂。更换NOX仪泵前吸臭氧活性炭。</w:t>
      </w:r>
    </w:p>
    <w:p w14:paraId="7C55B06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（3）检查PM2.5、PM10分析仪相对湿度、温度传感器和动态加热装置是否正常工作。</w:t>
      </w:r>
    </w:p>
    <w:p w14:paraId="68A81E6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（4）对气态污染物监测仪进行多点校准，绘制校准曲线，检验相关系数、斜率和截距。</w:t>
      </w:r>
    </w:p>
    <w:p w14:paraId="7353463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（5）动态气体校准仪流量进行20点检查，必要时校准。</w:t>
      </w:r>
    </w:p>
    <w:p w14:paraId="67A1E69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（6）采用臭氧传递标准对空气站臭氧工作标准进行标准传递。</w:t>
      </w:r>
    </w:p>
    <w:p w14:paraId="6507FD7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（7）更换零气源净化剂和氧化剂，对零气性能进行检查。</w:t>
      </w:r>
    </w:p>
    <w:p w14:paraId="33BE47B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（8）对氮氧化物分析仪钼炉转化率进行检查。</w:t>
      </w:r>
    </w:p>
    <w:p w14:paraId="539CECF3">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6.7每年工作内容如下：</w:t>
      </w:r>
    </w:p>
    <w:p w14:paraId="78C770EB">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(1)按照仪器说明书对动态校准仪流量进行多点检查；</w:t>
      </w:r>
    </w:p>
    <w:p w14:paraId="0357D49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(2)对所有的仪器（包括采样泵）进行预防性维护，按说明书的要求更换备件。</w:t>
      </w:r>
    </w:p>
    <w:p w14:paraId="108F7005">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6.8日常运维其他相关要求如下：</w:t>
      </w:r>
    </w:p>
    <w:p w14:paraId="13A282AE">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(1)每周更换的气态污染物监测仪器所用滤膜，必须为聚四氟乙烯材质；</w:t>
      </w:r>
    </w:p>
    <w:p w14:paraId="37A1266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(2)应及时制定每月工作计划并将进出空气自动监测站的具体日期上报业主备案，并严格按计划执行，若有变更或临时突发情况处理等应及时上报业主备案；</w:t>
      </w:r>
    </w:p>
    <w:p w14:paraId="1D66DFA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运维单位保证满足生态环境部门对空气自动监测站仪器设备故障的响应时间要求，当仪器设备每日6时～23时出现故障，应在1小时之内响应，4小时内到达现场解决（通信线路、电力线路故障除外，但应及时与相关部门联系积极解决）。若仪器故障无法排除，运维单位必须在24小时内提供并更换相应的备机，保证自动站正常运行；</w:t>
      </w:r>
    </w:p>
    <w:p w14:paraId="710B2D5D">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(4)当仪器损坏不能修复时，应在24小时之内使用备机开展监测，并同时报告业主，由业主组织确认仪器损坏情况及原因，酌情处理；</w:t>
      </w:r>
    </w:p>
    <w:p w14:paraId="5C7FC11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(5)仪器报废后（包括使用超过8年导致，或因洪水、地震、台风、站房外部火灾、爆炸、恐怖袭击、武装冲突、蓄意破坏等不可抗力导致），运维单位须先行及时使用备机开展监测，同时报告业主；</w:t>
      </w:r>
    </w:p>
    <w:p w14:paraId="7B69F15E">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(6)严禁擅自改变采样管路连接方式和更改仪器参数设置。</w:t>
      </w:r>
    </w:p>
    <w:p w14:paraId="5661CC59">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6.9质量控制要求</w:t>
      </w:r>
    </w:p>
    <w:p w14:paraId="607DB12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运维单位需认真落实质量管理制度，建立完善的运行维护工作质量管理体系，安排专职质量控制管理人员。</w:t>
      </w:r>
    </w:p>
    <w:p w14:paraId="6E47B60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p>
    <w:p w14:paraId="126CA96D">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p>
    <w:p w14:paraId="575AC803">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（2）日常质量控制要求</w:t>
      </w:r>
    </w:p>
    <w:p w14:paraId="1FDDA3B6">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监测仪在以下情况下需进行校准：</w:t>
      </w:r>
    </w:p>
    <w:p w14:paraId="19AF0AAD">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①</w:t>
      </w:r>
      <w:r>
        <w:rPr>
          <w:rFonts w:ascii="Times New Roman" w:hAnsi="Times New Roman" w:eastAsia="宋体" w:cs="Times New Roman"/>
          <w:sz w:val="24"/>
        </w:rPr>
        <w:t>安装时</w:t>
      </w:r>
    </w:p>
    <w:p w14:paraId="08D8054B">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②</w:t>
      </w:r>
      <w:r>
        <w:rPr>
          <w:rFonts w:ascii="Times New Roman" w:hAnsi="Times New Roman" w:eastAsia="宋体" w:cs="Times New Roman"/>
          <w:sz w:val="24"/>
        </w:rPr>
        <w:t>移动位置时</w:t>
      </w:r>
    </w:p>
    <w:p w14:paraId="3600E1C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③</w:t>
      </w:r>
      <w:r>
        <w:rPr>
          <w:rFonts w:ascii="Times New Roman" w:hAnsi="Times New Roman" w:eastAsia="宋体" w:cs="Times New Roman"/>
          <w:sz w:val="24"/>
        </w:rPr>
        <w:t>进行可能影响校准结果的维修或维护后</w:t>
      </w:r>
    </w:p>
    <w:p w14:paraId="755C9791">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④</w:t>
      </w:r>
      <w:r>
        <w:rPr>
          <w:rFonts w:ascii="Times New Roman" w:hAnsi="Times New Roman" w:eastAsia="宋体" w:cs="Times New Roman"/>
          <w:sz w:val="24"/>
        </w:rPr>
        <w:t>监测仪暂停工作一段时间后</w:t>
      </w:r>
    </w:p>
    <w:p w14:paraId="58D2B686">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⑤</w:t>
      </w:r>
      <w:r>
        <w:rPr>
          <w:rFonts w:ascii="Times New Roman" w:hAnsi="Times New Roman" w:eastAsia="宋体" w:cs="Times New Roman"/>
          <w:sz w:val="24"/>
        </w:rPr>
        <w:t>有迹象表明监测仪工作不正常或校准结果出现变化</w:t>
      </w:r>
    </w:p>
    <w:p w14:paraId="2CFB8EFC">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⑥</w:t>
      </w:r>
      <w:r>
        <w:rPr>
          <w:rFonts w:ascii="Times New Roman" w:hAnsi="Times New Roman" w:eastAsia="宋体" w:cs="Times New Roman"/>
          <w:sz w:val="24"/>
        </w:rPr>
        <w:t>超过国家规范或本招标文件要求的校准周期或校准要求的。</w:t>
      </w:r>
    </w:p>
    <w:p w14:paraId="76664F3B">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（3）质量检查</w:t>
      </w:r>
    </w:p>
    <w:p w14:paraId="0512D76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运维单位必须安排专人严格按照国家相关技术规范要求开展内部质控自查，同时接受业主及其委托单位和人员的质量检查。</w:t>
      </w:r>
    </w:p>
    <w:p w14:paraId="051F3C9F">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6.10系统设备维修要求</w:t>
      </w:r>
    </w:p>
    <w:p w14:paraId="7D6C58D6">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维修更换工作要求运维单位负责系统所有设备和仪器的维护、维修和部件更换（包括空调设备等附属设施），并将维修费用计算在运维报价中。本服务内容同样包括由于外部原因意外丢失和损坏设备的更换或维修。</w:t>
      </w:r>
    </w:p>
    <w:p w14:paraId="66AC97C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10和PM2.5）连续自动监测系统运行和质控技术规范》(HJ817-2018）中准确度审核要求实施，并遵守《环境空气颗粒物(PM2.5)手工监测方法(重量法)技术规范》（HJ656-2013）、《环境空气中PM10和PM2.5的测定重量法》（HJ618-2011）和《环境空气质量手工监测技术规范》（HJ194-2017）等相关规范要求，同时提交相应报告。</w:t>
      </w:r>
    </w:p>
    <w:p w14:paraId="2C4EB68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6.11数据管理要求</w:t>
      </w:r>
    </w:p>
    <w:p w14:paraId="16A7EB0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（1）数据要求</w:t>
      </w:r>
    </w:p>
    <w:p w14:paraId="28DCAA1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运维单位应采取措施保证监测数据的准确性、连续性和完整性，确保得到全面、客观的监测结果，及时</w:t>
      </w:r>
      <w:r>
        <w:rPr>
          <w:rFonts w:ascii="Times New Roman" w:hAnsi="Times New Roman" w:eastAsia="宋体"/>
          <w:kern w:val="2"/>
        </w:rPr>
        <w:t>审核监测数据，</w:t>
      </w:r>
      <w:r>
        <w:rPr>
          <w:rFonts w:ascii="Times New Roman" w:hAnsi="Times New Roman" w:eastAsia="宋体"/>
        </w:rPr>
        <w:t>不得选择性地舍弃数据以及人为干预监测和评价结果。</w:t>
      </w:r>
    </w:p>
    <w:p w14:paraId="4F6ECF3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监测仪器应全年连续运行。在监测仪器校准、停电和设备故障，以及其他不可抗拒的因素导致不能获得连续监测数据时，应采取有效措施及时恢复。</w:t>
      </w:r>
    </w:p>
    <w:p w14:paraId="27FB015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自动监测数据异常值的判定参照国家或省级相关技术规定要求。</w:t>
      </w:r>
    </w:p>
    <w:p w14:paraId="5B7B5EC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监测仪器应保证24小时连续运行，每天因校准、仪器故障等原因导致数据无效或缺失数据时间不超过3小时，夜间或特殊情况下导致数据无效或缺失数据时间不超过12小时。</w:t>
      </w:r>
    </w:p>
    <w:p w14:paraId="117ABD6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监测仪器受临时停电、断电或其他不可抗力影响，从出现状况时起到恢复正常时止，此期间数据不参与统计。</w:t>
      </w:r>
    </w:p>
    <w:p w14:paraId="2613B5B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（2）空气质量报告要求</w:t>
      </w:r>
    </w:p>
    <w:p w14:paraId="3122E2E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重点针对PM2.5、O3_8h、优良率三个指标进行分析，并提供相应统计报表。</w:t>
      </w:r>
    </w:p>
    <w:p w14:paraId="7EEE5B6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每日10时前，提供前一天空气质量日报表，包含每天PM2.5、O3_8h浓度值及达标情况；</w:t>
      </w:r>
    </w:p>
    <w:p w14:paraId="5558E1B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每月5日前，提供上一月空气质量月报表，包含每月PM2.5、O3_8h浓度值及优良率；</w:t>
      </w:r>
    </w:p>
    <w:p w14:paraId="787F13E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每年1月15日前，提供上一年度空气质量年度报表，年报需包含每个月空气质量SO2、NO2、CO、PM2.5、PM10和O3的浓度变化，优良天数情况及同比变化。</w:t>
      </w:r>
    </w:p>
    <w:p w14:paraId="1AD7B3B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（3）数据管理平台要求</w:t>
      </w:r>
    </w:p>
    <w:p w14:paraId="04D7F81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shd w:val="clear" w:color="auto" w:fill="FFFFFF"/>
        </w:rPr>
      </w:pPr>
      <w:r>
        <w:rPr>
          <w:rFonts w:ascii="Cambria Math" w:hAnsi="Cambria Math" w:eastAsia="宋体" w:cs="Cambria Math"/>
        </w:rPr>
        <w:t>①</w:t>
      </w:r>
      <w:r>
        <w:rPr>
          <w:rFonts w:ascii="Times New Roman" w:hAnsi="Times New Roman" w:eastAsia="宋体"/>
        </w:rPr>
        <w:t>与系统平台开发商对接，定期对阜宁县环境空气质量联网管理平台运行情况进行分析，同时进行系统漏洞扫描与修复，确保平台的安全稳定运行</w:t>
      </w:r>
      <w:r>
        <w:rPr>
          <w:rFonts w:ascii="Times New Roman" w:hAnsi="Times New Roman" w:eastAsia="宋体"/>
          <w:shd w:val="clear" w:color="auto" w:fill="FFFFFF"/>
        </w:rPr>
        <w:t>。</w:t>
      </w:r>
    </w:p>
    <w:p w14:paraId="056F095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Cambria Math" w:hAnsi="Cambria Math" w:eastAsia="宋体" w:cs="Cambria Math"/>
        </w:rPr>
        <w:t>②</w:t>
      </w:r>
      <w:r>
        <w:rPr>
          <w:rFonts w:ascii="Times New Roman" w:hAnsi="Times New Roman" w:eastAsia="宋体"/>
        </w:rPr>
        <w:t>与系统平台开发商对接，及时针对网信办、数据局、财政局等部门提出的关于阜宁县环境空气质量联网管理平台整改问题进行整改。</w:t>
      </w:r>
    </w:p>
    <w:p w14:paraId="0D454E7F">
      <w:pPr>
        <w:pStyle w:val="45"/>
        <w:keepNext w:val="0"/>
        <w:keepLines w:val="0"/>
        <w:pageBreakBefore w:val="0"/>
        <w:kinsoku/>
        <w:wordWrap/>
        <w:overflowPunct/>
        <w:topLinePunct w:val="0"/>
        <w:autoSpaceDE/>
        <w:autoSpaceDN/>
        <w:bidi w:val="0"/>
        <w:adjustRightInd/>
        <w:snapToGrid/>
        <w:spacing w:line="400" w:lineRule="exact"/>
        <w:rPr>
          <w:rFonts w:hint="eastAsia" w:ascii="Times New Roman" w:hAnsi="Times New Roman"/>
          <w:lang w:eastAsia="zh-CN"/>
        </w:rPr>
      </w:pPr>
      <w:r>
        <w:rPr>
          <w:rFonts w:ascii="Cambria Math" w:hAnsi="Cambria Math" w:eastAsia="宋体" w:cs="Cambria Math"/>
        </w:rPr>
        <w:t>③</w:t>
      </w:r>
      <w:r>
        <w:rPr>
          <w:rFonts w:ascii="Times New Roman" w:hAnsi="Times New Roman" w:eastAsia="宋体"/>
        </w:rPr>
        <w:t>与系统平台开发商对接，积极配合第三方单位开展信息系统数据安全风险评估、等保测评等工作</w:t>
      </w:r>
      <w:r>
        <w:rPr>
          <w:rFonts w:hint="eastAsia" w:ascii="Times New Roman" w:hAnsi="Times New Roman"/>
          <w:lang w:eastAsia="zh-CN"/>
        </w:rPr>
        <w:t>。</w:t>
      </w:r>
    </w:p>
    <w:p w14:paraId="5E03910A">
      <w:pPr>
        <w:pStyle w:val="45"/>
        <w:keepNext w:val="0"/>
        <w:keepLines w:val="0"/>
        <w:pageBreakBefore w:val="0"/>
        <w:kinsoku/>
        <w:wordWrap/>
        <w:overflowPunct/>
        <w:topLinePunct w:val="0"/>
        <w:autoSpaceDE/>
        <w:autoSpaceDN/>
        <w:bidi w:val="0"/>
        <w:adjustRightInd/>
        <w:snapToGrid/>
        <w:spacing w:line="400" w:lineRule="exact"/>
        <w:rPr>
          <w:rFonts w:hint="default" w:ascii="Times New Roman" w:hAnsi="Times New Roman" w:eastAsia="宋体"/>
          <w:lang w:val="en-US" w:eastAsia="zh-CN"/>
        </w:rPr>
      </w:pPr>
      <w:r>
        <w:rPr>
          <w:rFonts w:ascii="Cambria Math" w:hAnsi="Cambria Math" w:eastAsia="宋体" w:cs="Cambria Math"/>
          <w:sz w:val="24"/>
        </w:rPr>
        <w:t>④</w:t>
      </w:r>
      <w:r>
        <w:rPr>
          <w:rFonts w:hint="eastAsia" w:ascii="Cambria Math" w:hAnsi="Cambria Math" w:cs="Cambria Math"/>
          <w:sz w:val="24"/>
          <w:lang w:eastAsia="zh-CN"/>
        </w:rPr>
        <w:t>中标单位提供</w:t>
      </w:r>
      <w:r>
        <w:rPr>
          <w:rFonts w:hint="eastAsia" w:ascii="Cambria Math" w:hAnsi="Cambria Math" w:cs="Cambria Math"/>
          <w:sz w:val="24"/>
          <w:lang w:val="en-US" w:eastAsia="zh-CN"/>
        </w:rPr>
        <w:t>1个数据终端采集系统。</w:t>
      </w:r>
    </w:p>
    <w:p w14:paraId="1C9491E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7、交接要求</w:t>
      </w:r>
    </w:p>
    <w:p w14:paraId="4C2EA3A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7.1投标人需根据运维站点情况制定交接实施方案，内容包括但不限于人员安排、职责分工、时间安排、交接内容、交接流程等，经采购人审核确认后，开展运维交接工作。</w:t>
      </w:r>
    </w:p>
    <w:p w14:paraId="69FA01E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（1）对需要交接的相关的文档、资料、系统、设备等形成清单；</w:t>
      </w:r>
    </w:p>
    <w:p w14:paraId="155B5D8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（2）设备性能开展测试，对基础设施具体情况进行确认；</w:t>
      </w:r>
    </w:p>
    <w:p w14:paraId="415358C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（3）需要更换备机的，相关备机性能测试和功能检查均须合格，需征得采购人同意后才能更换备机：</w:t>
      </w:r>
    </w:p>
    <w:p w14:paraId="3CD7E0EB">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（4）确认交接工作全部完成后，向采购人提交完整交接记录。</w:t>
      </w:r>
    </w:p>
    <w:p w14:paraId="27746E5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7.2在合同签订后15个自然日内完成站点交接工作，因投标人原因导致交接工作未能按时完成的，应由投标人承担站点运行产生的相关费用。</w:t>
      </w:r>
    </w:p>
    <w:p w14:paraId="46D1EBC8">
      <w:pPr>
        <w:pStyle w:val="45"/>
        <w:keepNext w:val="0"/>
        <w:keepLines w:val="0"/>
        <w:pageBreakBefore w:val="0"/>
        <w:kinsoku/>
        <w:wordWrap/>
        <w:overflowPunct/>
        <w:topLinePunct w:val="0"/>
        <w:autoSpaceDE/>
        <w:autoSpaceDN/>
        <w:bidi w:val="0"/>
        <w:adjustRightInd/>
        <w:snapToGrid/>
        <w:spacing w:line="400" w:lineRule="exact"/>
        <w:rPr>
          <w:rFonts w:hint="default" w:ascii="Times New Roman" w:hAnsi="Times New Roman" w:eastAsia="宋体"/>
          <w:lang w:val="en-US" w:eastAsia="zh-CN"/>
        </w:rPr>
      </w:pPr>
      <w:r>
        <w:rPr>
          <w:rFonts w:hint="eastAsia" w:ascii="Times New Roman" w:hAnsi="Times New Roman"/>
          <w:lang w:val="en-US" w:eastAsia="zh-CN"/>
        </w:rPr>
        <w:t>7.3中标单位在服务期满前一个月对所有站点的仪器仪表进行性能测试，确保仪器仪表完好、性能稳定，服务期满后交付甲方。</w:t>
      </w:r>
    </w:p>
    <w:p w14:paraId="0DDB1939">
      <w:pPr>
        <w:pStyle w:val="45"/>
        <w:keepNext w:val="0"/>
        <w:keepLines w:val="0"/>
        <w:pageBreakBefore w:val="0"/>
        <w:spacing w:line="400" w:lineRule="exact"/>
        <w:rPr>
          <w:rFonts w:hint="eastAsia" w:ascii="Times New Roman" w:hAnsi="Times New Roman"/>
          <w:highlight w:val="none"/>
          <w:lang w:val="en-US" w:eastAsia="zh-CN"/>
        </w:rPr>
      </w:pPr>
      <w:r>
        <w:rPr>
          <w:rFonts w:hint="eastAsia" w:ascii="Times New Roman" w:hAnsi="Times New Roman"/>
          <w:highlight w:val="none"/>
          <w:lang w:val="en-US" w:eastAsia="zh-CN"/>
        </w:rPr>
        <w:t>8、颗粒物手工比对</w:t>
      </w:r>
    </w:p>
    <w:p w14:paraId="3F93FD38">
      <w:pPr>
        <w:pStyle w:val="45"/>
        <w:keepNext w:val="0"/>
        <w:keepLines w:val="0"/>
        <w:pageBreakBefore w:val="0"/>
        <w:spacing w:line="400" w:lineRule="exact"/>
        <w:ind w:firstLine="480" w:firstLineChars="200"/>
        <w:rPr>
          <w:rFonts w:ascii="Times New Roman" w:hAnsi="Times New Roman" w:eastAsia="宋体"/>
          <w:highlight w:val="none"/>
        </w:rPr>
      </w:pPr>
      <w:r>
        <w:rPr>
          <w:rFonts w:hint="eastAsia" w:ascii="Times New Roman" w:hAnsi="Times New Roman"/>
          <w:highlight w:val="none"/>
          <w:lang w:val="en-US" w:eastAsia="zh-CN"/>
        </w:rPr>
        <w:t>在运维期间，为保证颗粒物监测数据的准确、真实、有效，甲方根据天气污染情况，安排中标单位在甲方任意指定一个子站/年做为期五天及以上的颗粒物手工比对。</w:t>
      </w:r>
    </w:p>
    <w:p w14:paraId="68E52883">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highlight w:val="none"/>
        </w:rPr>
      </w:pPr>
      <w:r>
        <w:rPr>
          <w:rFonts w:hint="eastAsia" w:eastAsia="宋体"/>
          <w:sz w:val="32"/>
          <w:szCs w:val="32"/>
          <w:highlight w:val="none"/>
          <w:lang w:val="en-US" w:eastAsia="zh-CN"/>
        </w:rPr>
        <w:t>四</w:t>
      </w:r>
      <w:r>
        <w:rPr>
          <w:rFonts w:eastAsia="宋体"/>
          <w:sz w:val="32"/>
          <w:szCs w:val="32"/>
          <w:highlight w:val="none"/>
        </w:rPr>
        <w:t>、监督考核</w:t>
      </w:r>
    </w:p>
    <w:p w14:paraId="3A50229A">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p>
    <w:p w14:paraId="2F4C2ED6">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设备运行率是指已上传数据量与应上传数据量之比，数据有效率是指有效数据量与应上传数据量之比。</w:t>
      </w:r>
    </w:p>
    <w:p w14:paraId="18AD86C2">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每日各项目应获得小时值数据量均按24个计，考核时段天数按考核时段内日历天数计。计算应获得小时值数据量时，应扣除因不可抗力造成的停止监测的小时数。</w:t>
      </w:r>
    </w:p>
    <w:p w14:paraId="45B56DDB">
      <w:pPr>
        <w:pStyle w:val="45"/>
        <w:keepNext w:val="0"/>
        <w:keepLines w:val="0"/>
        <w:pageBreakBefore w:val="0"/>
        <w:spacing w:line="400" w:lineRule="exact"/>
        <w:rPr>
          <w:rFonts w:ascii="Times New Roman" w:hAnsi="Times New Roman" w:eastAsia="宋体"/>
          <w:highlight w:val="none"/>
        </w:rPr>
      </w:pPr>
      <w:r>
        <w:rPr>
          <w:rFonts w:ascii="Times New Roman" w:hAnsi="Times New Roman" w:eastAsia="宋体"/>
          <w:highlight w:val="none"/>
        </w:rPr>
        <w:t>1.数据有效性</w:t>
      </w:r>
    </w:p>
    <w:p w14:paraId="5C62452A">
      <w:pPr>
        <w:pStyle w:val="45"/>
        <w:keepNext w:val="0"/>
        <w:keepLines w:val="0"/>
        <w:pageBreakBefore w:val="0"/>
        <w:spacing w:line="400" w:lineRule="exact"/>
        <w:ind w:firstLine="480" w:firstLineChars="200"/>
        <w:rPr>
          <w:rFonts w:ascii="Times New Roman" w:hAnsi="Times New Roman" w:eastAsia="宋体"/>
          <w:highlight w:val="none"/>
        </w:rPr>
      </w:pPr>
      <w:r>
        <w:rPr>
          <w:rFonts w:ascii="Times New Roman" w:hAnsi="Times New Roman" w:eastAsia="宋体"/>
          <w:highlight w:val="none"/>
        </w:rPr>
        <w:t>考核时段内单个站点任一监测项目有效数据量应满足《环境空气质量标准》（GB3095-2012）中规定的污染物浓度数据有效性的最低要求，否则考核总分为0分。</w:t>
      </w:r>
    </w:p>
    <w:p w14:paraId="69C0337A">
      <w:pPr>
        <w:pStyle w:val="45"/>
        <w:keepNext w:val="0"/>
        <w:keepLines w:val="0"/>
        <w:pageBreakBefore w:val="0"/>
        <w:spacing w:line="400" w:lineRule="exact"/>
        <w:rPr>
          <w:rFonts w:ascii="Times New Roman" w:hAnsi="Times New Roman" w:eastAsia="宋体"/>
          <w:highlight w:val="none"/>
        </w:rPr>
      </w:pPr>
      <w:r>
        <w:rPr>
          <w:rFonts w:ascii="Times New Roman" w:hAnsi="Times New Roman" w:eastAsia="宋体"/>
          <w:highlight w:val="none"/>
        </w:rPr>
        <w:t>2.两率及运行维护</w:t>
      </w:r>
    </w:p>
    <w:p w14:paraId="5B9C750D">
      <w:pPr>
        <w:pStyle w:val="45"/>
        <w:keepNext w:val="0"/>
        <w:keepLines w:val="0"/>
        <w:pageBreakBefore w:val="0"/>
        <w:spacing w:line="400" w:lineRule="exact"/>
        <w:ind w:firstLine="480" w:firstLineChars="200"/>
        <w:rPr>
          <w:rFonts w:ascii="Times New Roman" w:hAnsi="Times New Roman" w:eastAsia="宋体"/>
          <w:highlight w:val="none"/>
        </w:rPr>
      </w:pPr>
      <w:r>
        <w:rPr>
          <w:rFonts w:ascii="Times New Roman" w:hAnsi="Times New Roman" w:eastAsia="宋体"/>
          <w:highlight w:val="none"/>
        </w:rPr>
        <w:t>符合数据有效性要求后，参照本部分执行。</w:t>
      </w:r>
    </w:p>
    <w:p w14:paraId="6223C463">
      <w:pPr>
        <w:pStyle w:val="45"/>
        <w:keepNext w:val="0"/>
        <w:keepLines w:val="0"/>
        <w:pageBreakBefore w:val="0"/>
        <w:spacing w:line="400" w:lineRule="exact"/>
        <w:rPr>
          <w:rFonts w:ascii="Times New Roman" w:hAnsi="Times New Roman" w:eastAsia="宋体"/>
          <w:highlight w:val="none"/>
        </w:rPr>
      </w:pPr>
      <w:r>
        <w:rPr>
          <w:rFonts w:ascii="Times New Roman" w:hAnsi="Times New Roman" w:eastAsia="宋体"/>
          <w:highlight w:val="none"/>
        </w:rPr>
        <w:t>（1）两率部分(50分)</w:t>
      </w:r>
    </w:p>
    <w:p w14:paraId="57F3F5FF">
      <w:pPr>
        <w:pStyle w:val="45"/>
        <w:keepNext w:val="0"/>
        <w:keepLines w:val="0"/>
        <w:pageBreakBefore w:val="0"/>
        <w:spacing w:line="400" w:lineRule="exact"/>
        <w:ind w:firstLine="480" w:firstLineChars="200"/>
        <w:rPr>
          <w:rFonts w:hint="eastAsia" w:ascii="Times New Roman" w:hAnsi="Times New Roman" w:eastAsia="宋体"/>
          <w:highlight w:val="none"/>
        </w:rPr>
      </w:pPr>
      <w:r>
        <w:rPr>
          <w:rFonts w:hint="eastAsia" w:ascii="Times New Roman" w:hAnsi="Times New Roman" w:eastAsia="宋体"/>
          <w:highlight w:val="none"/>
        </w:rPr>
        <w:t>当单站设备运行率高于90%(含)时，才能按照以下条款对数据有效率进行考核，否则两率部分直接0分。</w:t>
      </w:r>
    </w:p>
    <w:p w14:paraId="71203E86">
      <w:pPr>
        <w:pStyle w:val="45"/>
        <w:keepNext w:val="0"/>
        <w:keepLines w:val="0"/>
        <w:pageBreakBefore w:val="0"/>
        <w:spacing w:line="400" w:lineRule="exact"/>
        <w:rPr>
          <w:rFonts w:hint="eastAsia" w:ascii="Times New Roman" w:hAnsi="Times New Roman" w:eastAsia="宋体"/>
          <w:highlight w:val="none"/>
        </w:rPr>
      </w:pPr>
      <w:r>
        <w:rPr>
          <w:rFonts w:hint="eastAsia" w:ascii="Times New Roman" w:hAnsi="Times New Roman"/>
          <w:highlight w:val="none"/>
          <w:lang w:val="en-US" w:eastAsia="zh-CN"/>
        </w:rPr>
        <w:t xml:space="preserve">① </w:t>
      </w:r>
      <w:r>
        <w:rPr>
          <w:rFonts w:hint="eastAsia" w:ascii="Times New Roman" w:hAnsi="Times New Roman" w:eastAsia="宋体"/>
          <w:highlight w:val="none"/>
        </w:rPr>
        <w:t>单站监测数据有效率高于95%(含)的，两率得分=50分。</w:t>
      </w:r>
    </w:p>
    <w:p w14:paraId="4C44147F">
      <w:pPr>
        <w:pStyle w:val="45"/>
        <w:keepNext w:val="0"/>
        <w:keepLines w:val="0"/>
        <w:pageBreakBefore w:val="0"/>
        <w:spacing w:line="400" w:lineRule="exact"/>
        <w:rPr>
          <w:rFonts w:hint="eastAsia" w:ascii="Times New Roman" w:hAnsi="Times New Roman" w:eastAsia="宋体"/>
          <w:highlight w:val="none"/>
        </w:rPr>
      </w:pPr>
      <w:r>
        <w:rPr>
          <w:rFonts w:hint="eastAsia" w:ascii="Times New Roman" w:hAnsi="Times New Roman"/>
          <w:highlight w:val="none"/>
          <w:lang w:val="en-US" w:eastAsia="zh-CN"/>
        </w:rPr>
        <w:t xml:space="preserve">② </w:t>
      </w:r>
      <w:r>
        <w:rPr>
          <w:rFonts w:hint="eastAsia" w:ascii="Times New Roman" w:hAnsi="Times New Roman" w:eastAsia="宋体"/>
          <w:highlight w:val="none"/>
        </w:rPr>
        <w:t>有效率在90%(含)-95%的，两率得分=实际有效率X50分。</w:t>
      </w:r>
    </w:p>
    <w:p w14:paraId="42076F57">
      <w:pPr>
        <w:pStyle w:val="45"/>
        <w:keepNext w:val="0"/>
        <w:keepLines w:val="0"/>
        <w:pageBreakBefore w:val="0"/>
        <w:spacing w:line="400" w:lineRule="exact"/>
        <w:rPr>
          <w:rFonts w:hint="eastAsia" w:ascii="Times New Roman" w:hAnsi="Times New Roman" w:eastAsia="宋体"/>
          <w:highlight w:val="none"/>
        </w:rPr>
      </w:pPr>
      <w:r>
        <w:rPr>
          <w:rFonts w:hint="eastAsia" w:ascii="Times New Roman" w:hAnsi="Times New Roman"/>
          <w:highlight w:val="none"/>
          <w:lang w:val="en-US" w:eastAsia="zh-CN"/>
        </w:rPr>
        <w:t xml:space="preserve">③ </w:t>
      </w:r>
      <w:r>
        <w:rPr>
          <w:rFonts w:hint="eastAsia" w:ascii="Times New Roman" w:hAnsi="Times New Roman" w:eastAsia="宋体"/>
          <w:highlight w:val="none"/>
        </w:rPr>
        <w:t>有效率在80%(含)-90%的，两率得分=实际有效率X90%X50分。</w:t>
      </w:r>
    </w:p>
    <w:p w14:paraId="2CA0855C">
      <w:pPr>
        <w:pStyle w:val="45"/>
        <w:keepNext w:val="0"/>
        <w:keepLines w:val="0"/>
        <w:pageBreakBefore w:val="0"/>
        <w:spacing w:line="400" w:lineRule="exact"/>
        <w:rPr>
          <w:rFonts w:ascii="Times New Roman" w:hAnsi="Times New Roman" w:eastAsia="宋体"/>
          <w:highlight w:val="none"/>
        </w:rPr>
      </w:pPr>
      <w:r>
        <w:rPr>
          <w:rFonts w:ascii="Times New Roman" w:hAnsi="Times New Roman" w:eastAsia="宋体"/>
          <w:highlight w:val="none"/>
        </w:rPr>
        <w:t>（2）运行维护部分(50分)</w:t>
      </w:r>
    </w:p>
    <w:p w14:paraId="42610706">
      <w:pPr>
        <w:pStyle w:val="45"/>
        <w:keepNext w:val="0"/>
        <w:keepLines w:val="0"/>
        <w:pageBreakBefore w:val="0"/>
        <w:spacing w:line="400" w:lineRule="exact"/>
        <w:rPr>
          <w:rFonts w:hint="default" w:ascii="Times New Roman" w:hAnsi="Times New Roman" w:eastAsia="宋体" w:cs="Times New Roman"/>
          <w:szCs w:val="21"/>
          <w:highlight w:val="none"/>
        </w:rPr>
      </w:pPr>
      <w:r>
        <w:rPr>
          <w:rFonts w:hint="eastAsia" w:ascii="Times New Roman" w:hAnsi="Times New Roman" w:eastAsia="宋体"/>
          <w:highlight w:val="none"/>
        </w:rPr>
        <w:t>运行维护部分每季度由</w:t>
      </w:r>
      <w:r>
        <w:rPr>
          <w:rFonts w:ascii="Times New Roman" w:hAnsi="Times New Roman" w:eastAsia="宋体"/>
          <w:highlight w:val="none"/>
        </w:rPr>
        <w:t>采购方</w:t>
      </w:r>
      <w:r>
        <w:rPr>
          <w:rFonts w:hint="eastAsia" w:ascii="Times New Roman" w:hAnsi="Times New Roman" w:eastAsia="宋体"/>
          <w:highlight w:val="none"/>
        </w:rPr>
        <w:t>组织核查，内容包括日常运维操作、质量保证与控制、档案和管理3部分，其中，日常运维操作和质量保证与控制各占20分，档案和管理占10分，满分50分，采用扣分制。</w:t>
      </w:r>
      <w:r>
        <w:rPr>
          <w:rFonts w:hint="default" w:ascii="Times New Roman" w:hAnsi="Times New Roman" w:eastAsia="宋体" w:cs="Times New Roman"/>
          <w:szCs w:val="21"/>
          <w:highlight w:val="none"/>
        </w:rPr>
        <w:t>扣分细则如下表：</w:t>
      </w:r>
    </w:p>
    <w:p w14:paraId="3A56C1F3">
      <w:pPr>
        <w:pStyle w:val="45"/>
        <w:keepNext w:val="0"/>
        <w:keepLines w:val="0"/>
        <w:pageBreakBefore w:val="0"/>
        <w:spacing w:line="400" w:lineRule="exact"/>
        <w:jc w:val="center"/>
        <w:rPr>
          <w:rFonts w:hint="eastAsia" w:ascii="Times New Roman" w:hAnsi="Times New Roman" w:eastAsia="宋体" w:cs="Times New Roman"/>
          <w:szCs w:val="21"/>
          <w:highlight w:val="none"/>
        </w:rPr>
      </w:pPr>
      <w:r>
        <w:rPr>
          <w:rFonts w:hint="default" w:ascii="Times New Roman" w:hAnsi="Times New Roman" w:eastAsia="宋体" w:cs="Times New Roman"/>
          <w:bCs/>
          <w:szCs w:val="21"/>
          <w:highlight w:val="none"/>
        </w:rPr>
        <w:t>空气自动站运行维护考核明细表</w:t>
      </w:r>
    </w:p>
    <w:tbl>
      <w:tblPr>
        <w:tblStyle w:val="51"/>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
        <w:gridCol w:w="920"/>
        <w:gridCol w:w="4728"/>
        <w:gridCol w:w="455"/>
        <w:gridCol w:w="2260"/>
      </w:tblGrid>
      <w:tr w14:paraId="7F825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blHeader/>
        </w:trPr>
        <w:tc>
          <w:tcPr>
            <w:tcW w:w="914" w:type="dxa"/>
            <w:tcBorders>
              <w:top w:val="single" w:color="000000" w:sz="4" w:space="0"/>
            </w:tcBorders>
            <w:vAlign w:val="center"/>
          </w:tcPr>
          <w:p w14:paraId="5078F557">
            <w:pPr>
              <w:pStyle w:val="106"/>
              <w:pageBreakBefore w:val="0"/>
              <w:kinsoku/>
              <w:wordWrap/>
              <w:overflowPunct/>
              <w:topLinePunct w:val="0"/>
              <w:bidi w:val="0"/>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项目</w:t>
            </w:r>
          </w:p>
        </w:tc>
        <w:tc>
          <w:tcPr>
            <w:tcW w:w="920" w:type="dxa"/>
            <w:tcBorders>
              <w:top w:val="single" w:color="000000" w:sz="4" w:space="0"/>
            </w:tcBorders>
            <w:vAlign w:val="center"/>
          </w:tcPr>
          <w:p w14:paraId="0F794AB6">
            <w:pPr>
              <w:pStyle w:val="106"/>
              <w:pageBreakBefore w:val="0"/>
              <w:kinsoku/>
              <w:wordWrap/>
              <w:overflowPunct/>
              <w:topLinePunct w:val="0"/>
              <w:bidi w:val="0"/>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明细</w:t>
            </w:r>
          </w:p>
        </w:tc>
        <w:tc>
          <w:tcPr>
            <w:tcW w:w="4728" w:type="dxa"/>
            <w:tcBorders>
              <w:top w:val="single" w:color="000000" w:sz="4" w:space="0"/>
            </w:tcBorders>
            <w:vAlign w:val="center"/>
          </w:tcPr>
          <w:p w14:paraId="4739AAD4">
            <w:pPr>
              <w:pStyle w:val="106"/>
              <w:pageBreakBefore w:val="0"/>
              <w:kinsoku/>
              <w:wordWrap/>
              <w:overflowPunct/>
              <w:topLinePunct w:val="0"/>
              <w:bidi w:val="0"/>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检查要点</w:t>
            </w:r>
          </w:p>
        </w:tc>
        <w:tc>
          <w:tcPr>
            <w:tcW w:w="455" w:type="dxa"/>
            <w:tcBorders>
              <w:top w:val="single" w:color="000000" w:sz="4" w:space="0"/>
            </w:tcBorders>
            <w:vAlign w:val="center"/>
          </w:tcPr>
          <w:p w14:paraId="38D70BE7">
            <w:pPr>
              <w:pStyle w:val="106"/>
              <w:pageBreakBefore w:val="0"/>
              <w:kinsoku/>
              <w:wordWrap/>
              <w:overflowPunct/>
              <w:topLinePunct w:val="0"/>
              <w:bidi w:val="0"/>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得分</w:t>
            </w:r>
          </w:p>
        </w:tc>
        <w:tc>
          <w:tcPr>
            <w:tcW w:w="2260" w:type="dxa"/>
            <w:tcBorders>
              <w:top w:val="single" w:color="000000" w:sz="4" w:space="0"/>
            </w:tcBorders>
            <w:vAlign w:val="center"/>
          </w:tcPr>
          <w:p w14:paraId="60AC6FF7">
            <w:pPr>
              <w:pStyle w:val="106"/>
              <w:pageBreakBefore w:val="0"/>
              <w:kinsoku/>
              <w:wordWrap/>
              <w:overflowPunct/>
              <w:topLinePunct w:val="0"/>
              <w:bidi w:val="0"/>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评分说明</w:t>
            </w:r>
          </w:p>
        </w:tc>
      </w:tr>
      <w:tr w14:paraId="419AF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14" w:type="dxa"/>
            <w:vMerge w:val="restart"/>
            <w:vAlign w:val="center"/>
          </w:tcPr>
          <w:p w14:paraId="11079E0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日常运维操作</w:t>
            </w:r>
          </w:p>
          <w:p w14:paraId="0AC0A13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20</w:t>
            </w:r>
            <w:r>
              <w:rPr>
                <w:rFonts w:hint="eastAsia" w:ascii="Times New Roman" w:hAnsi="Times New Roman" w:eastAsia="宋体" w:cs="Times New Roman"/>
                <w:sz w:val="24"/>
                <w:szCs w:val="24"/>
                <w:highlight w:val="none"/>
                <w:lang w:eastAsia="zh-CN"/>
              </w:rPr>
              <w:t>）</w:t>
            </w:r>
          </w:p>
        </w:tc>
        <w:tc>
          <w:tcPr>
            <w:tcW w:w="920" w:type="dxa"/>
            <w:vAlign w:val="center"/>
          </w:tcPr>
          <w:p w14:paraId="7E0FC80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站房环境保障情况</w:t>
            </w:r>
          </w:p>
        </w:tc>
        <w:tc>
          <w:tcPr>
            <w:tcW w:w="4728" w:type="dxa"/>
            <w:tcBorders>
              <w:bottom w:val="single" w:color="000000" w:sz="4" w:space="0"/>
            </w:tcBorders>
            <w:vAlign w:val="center"/>
          </w:tcPr>
          <w:p w14:paraId="1341F68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站房环境是否清洁，有无漏水现象，是否符合监测要求，站房温湿度是否正常，空调、照明等是否正常</w:t>
            </w:r>
          </w:p>
        </w:tc>
        <w:tc>
          <w:tcPr>
            <w:tcW w:w="455" w:type="dxa"/>
            <w:tcBorders>
              <w:bottom w:val="single" w:color="000000" w:sz="4" w:space="0"/>
            </w:tcBorders>
            <w:vAlign w:val="center"/>
          </w:tcPr>
          <w:p w14:paraId="00E34AB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restart"/>
            <w:vAlign w:val="center"/>
          </w:tcPr>
          <w:p w14:paraId="1216A0C7">
            <w:pPr>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p w14:paraId="14155282">
            <w:pPr>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1、</w:t>
            </w:r>
            <w:r>
              <w:rPr>
                <w:rFonts w:hint="default" w:ascii="Times New Roman" w:hAnsi="Times New Roman" w:eastAsia="宋体" w:cs="Times New Roman"/>
                <w:sz w:val="24"/>
                <w:szCs w:val="24"/>
                <w:highlight w:val="none"/>
              </w:rPr>
              <w:t>针对站房环境保障情况、采样系统维护效果、仪器日常维护效果等检查结果，根据影响数据质量的严重程度扣分，每项0.5～1分，第二季度出现上季度同一故障的加倍扣分</w:t>
            </w:r>
          </w:p>
          <w:p w14:paraId="3E7FA7DF">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p w14:paraId="5F98249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rPr>
              <w:t>、出现以下情况者，一经发现当月每次(项)扣5分。主要包括使用过期标气；气态污染物使用非聚四氟乙烯材质滤膜等。</w:t>
            </w:r>
          </w:p>
        </w:tc>
      </w:tr>
      <w:tr w14:paraId="07F9E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12E2C1F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restart"/>
            <w:vAlign w:val="center"/>
          </w:tcPr>
          <w:p w14:paraId="5FADF34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采样系统维护效果</w:t>
            </w:r>
          </w:p>
        </w:tc>
        <w:tc>
          <w:tcPr>
            <w:tcW w:w="4728" w:type="dxa"/>
            <w:tcBorders>
              <w:bottom w:val="single" w:color="000000" w:sz="4" w:space="0"/>
            </w:tcBorders>
            <w:vAlign w:val="center"/>
          </w:tcPr>
          <w:p w14:paraId="382BEABF">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采样总管和采样支管材质是否满足《规范》要求</w:t>
            </w:r>
          </w:p>
        </w:tc>
        <w:tc>
          <w:tcPr>
            <w:tcW w:w="455" w:type="dxa"/>
            <w:tcBorders>
              <w:bottom w:val="single" w:color="000000" w:sz="4" w:space="0"/>
            </w:tcBorders>
            <w:vAlign w:val="center"/>
          </w:tcPr>
          <w:p w14:paraId="05D5307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7813568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0F3AD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6957622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053DC10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52D1735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采样系统清洁程度：采样头、采样管道是否清洁，有无积灰、积水或障碍物，</w:t>
            </w:r>
            <w:r>
              <w:rPr>
                <w:rFonts w:hint="default" w:ascii="Times New Roman" w:hAnsi="Times New Roman" w:eastAsia="宋体" w:cs="Times New Roman"/>
                <w:bCs/>
                <w:sz w:val="24"/>
                <w:szCs w:val="24"/>
                <w:highlight w:val="none"/>
              </w:rPr>
              <w:t>采样风机是否正常工作</w:t>
            </w:r>
          </w:p>
        </w:tc>
        <w:tc>
          <w:tcPr>
            <w:tcW w:w="455" w:type="dxa"/>
            <w:tcBorders>
              <w:bottom w:val="single" w:color="000000" w:sz="4" w:space="0"/>
            </w:tcBorders>
            <w:vAlign w:val="center"/>
          </w:tcPr>
          <w:p w14:paraId="7279F72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1C5B52F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67624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0CE17A6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622D253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2E4ABA8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气态污染物采样支管是否插入采样总管的中心，监测仪器与支管接头连接的管线长度是否小于3m</w:t>
            </w:r>
          </w:p>
        </w:tc>
        <w:tc>
          <w:tcPr>
            <w:tcW w:w="455" w:type="dxa"/>
            <w:tcBorders>
              <w:bottom w:val="single" w:color="000000" w:sz="4" w:space="0"/>
            </w:tcBorders>
            <w:vAlign w:val="center"/>
          </w:tcPr>
          <w:p w14:paraId="65F9DF8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61D8F21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5B2F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1061B72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4712F2D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74FB219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采样管路连接是否规范，</w:t>
            </w:r>
          </w:p>
        </w:tc>
        <w:tc>
          <w:tcPr>
            <w:tcW w:w="455" w:type="dxa"/>
            <w:tcBorders>
              <w:bottom w:val="single" w:color="000000" w:sz="4" w:space="0"/>
            </w:tcBorders>
            <w:vAlign w:val="center"/>
          </w:tcPr>
          <w:p w14:paraId="27259A3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617C510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2BA14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3816619B">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tcBorders>
              <w:bottom w:val="single" w:color="000000" w:sz="4" w:space="0"/>
            </w:tcBorders>
            <w:vAlign w:val="center"/>
          </w:tcPr>
          <w:p w14:paraId="466C6CE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6332589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采样总管是否有加热装置，加热功能是否正常</w:t>
            </w:r>
          </w:p>
        </w:tc>
        <w:tc>
          <w:tcPr>
            <w:tcW w:w="455" w:type="dxa"/>
            <w:tcBorders>
              <w:bottom w:val="single" w:color="000000" w:sz="4" w:space="0"/>
            </w:tcBorders>
            <w:vAlign w:val="center"/>
          </w:tcPr>
          <w:p w14:paraId="6F09DB5B">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7F683CB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150CA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trPr>
        <w:tc>
          <w:tcPr>
            <w:tcW w:w="914" w:type="dxa"/>
            <w:vMerge w:val="continue"/>
            <w:vAlign w:val="center"/>
          </w:tcPr>
          <w:p w14:paraId="1E18708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restart"/>
            <w:vAlign w:val="center"/>
          </w:tcPr>
          <w:p w14:paraId="62C511B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仪器日常维护效果</w:t>
            </w:r>
          </w:p>
        </w:tc>
        <w:tc>
          <w:tcPr>
            <w:tcW w:w="4728" w:type="dxa"/>
            <w:tcBorders>
              <w:bottom w:val="single" w:color="000000" w:sz="4" w:space="0"/>
            </w:tcBorders>
            <w:vAlign w:val="center"/>
          </w:tcPr>
          <w:p w14:paraId="50B51D1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仪器工作状态是否正常，是否存在报警信息</w:t>
            </w:r>
          </w:p>
        </w:tc>
        <w:tc>
          <w:tcPr>
            <w:tcW w:w="455" w:type="dxa"/>
            <w:tcBorders>
              <w:bottom w:val="single" w:color="000000" w:sz="4" w:space="0"/>
            </w:tcBorders>
            <w:vAlign w:val="center"/>
          </w:tcPr>
          <w:p w14:paraId="491C929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603991F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2D0EF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6" w:hRule="atLeast"/>
        </w:trPr>
        <w:tc>
          <w:tcPr>
            <w:tcW w:w="914" w:type="dxa"/>
            <w:vMerge w:val="continue"/>
            <w:vAlign w:val="center"/>
          </w:tcPr>
          <w:p w14:paraId="3084267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3375F8C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0B80E45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仪器过滤膜是否及时更换，散热风扇是否及时清洗</w:t>
            </w:r>
          </w:p>
        </w:tc>
        <w:tc>
          <w:tcPr>
            <w:tcW w:w="455" w:type="dxa"/>
            <w:tcBorders>
              <w:bottom w:val="single" w:color="000000" w:sz="4" w:space="0"/>
            </w:tcBorders>
            <w:vAlign w:val="center"/>
          </w:tcPr>
          <w:p w14:paraId="2B65E5B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04A35E8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7A78E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4" w:hRule="atLeast"/>
        </w:trPr>
        <w:tc>
          <w:tcPr>
            <w:tcW w:w="914" w:type="dxa"/>
            <w:vMerge w:val="continue"/>
            <w:vAlign w:val="center"/>
          </w:tcPr>
          <w:p w14:paraId="23A0506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64174B0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45F99CA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颗粒物采样管加热装置是否工作正常</w:t>
            </w:r>
          </w:p>
        </w:tc>
        <w:tc>
          <w:tcPr>
            <w:tcW w:w="455" w:type="dxa"/>
            <w:tcBorders>
              <w:bottom w:val="single" w:color="000000" w:sz="4" w:space="0"/>
            </w:tcBorders>
            <w:vAlign w:val="center"/>
          </w:tcPr>
          <w:p w14:paraId="66276C3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21A8D2C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3459A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4" w:hRule="atLeast"/>
        </w:trPr>
        <w:tc>
          <w:tcPr>
            <w:tcW w:w="914" w:type="dxa"/>
            <w:vMerge w:val="continue"/>
            <w:vAlign w:val="center"/>
          </w:tcPr>
          <w:p w14:paraId="34B1833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1831579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7CC6779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零气发生器相关耗材是否及时更换</w:t>
            </w:r>
          </w:p>
        </w:tc>
        <w:tc>
          <w:tcPr>
            <w:tcW w:w="455" w:type="dxa"/>
            <w:tcBorders>
              <w:bottom w:val="single" w:color="000000" w:sz="4" w:space="0"/>
            </w:tcBorders>
            <w:vAlign w:val="center"/>
          </w:tcPr>
          <w:p w14:paraId="016CE10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228E7B84">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158AE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0" w:hRule="atLeast"/>
        </w:trPr>
        <w:tc>
          <w:tcPr>
            <w:tcW w:w="914" w:type="dxa"/>
            <w:vMerge w:val="continue"/>
            <w:vAlign w:val="center"/>
          </w:tcPr>
          <w:p w14:paraId="4E5FFBE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3CC7190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tcBorders>
              <w:bottom w:val="single" w:color="000000" w:sz="4" w:space="0"/>
            </w:tcBorders>
            <w:vAlign w:val="center"/>
          </w:tcPr>
          <w:p w14:paraId="2F01F1FF">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采样泵相关耗材是否及时更换</w:t>
            </w:r>
          </w:p>
        </w:tc>
        <w:tc>
          <w:tcPr>
            <w:tcW w:w="455" w:type="dxa"/>
            <w:tcBorders>
              <w:bottom w:val="single" w:color="000000" w:sz="4" w:space="0"/>
            </w:tcBorders>
            <w:vAlign w:val="center"/>
          </w:tcPr>
          <w:p w14:paraId="47CD65C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2A36DDA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59752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13" w:hRule="atLeast"/>
        </w:trPr>
        <w:tc>
          <w:tcPr>
            <w:tcW w:w="914" w:type="dxa"/>
            <w:vMerge w:val="continue"/>
            <w:vAlign w:val="center"/>
          </w:tcPr>
          <w:p w14:paraId="489699C4">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253915F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7BE81C6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采样纸带或滤膜是否及时更换</w:t>
            </w:r>
          </w:p>
        </w:tc>
        <w:tc>
          <w:tcPr>
            <w:tcW w:w="455" w:type="dxa"/>
            <w:vAlign w:val="center"/>
          </w:tcPr>
          <w:p w14:paraId="2E2F661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0E831BC4">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3F644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8" w:hRule="atLeast"/>
        </w:trPr>
        <w:tc>
          <w:tcPr>
            <w:tcW w:w="914" w:type="dxa"/>
            <w:vMerge w:val="restart"/>
            <w:vAlign w:val="center"/>
          </w:tcPr>
          <w:p w14:paraId="36758EEB">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质量保证与质量控制（20）</w:t>
            </w:r>
          </w:p>
          <w:p w14:paraId="2BC2DB2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p w14:paraId="3104269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restart"/>
            <w:vAlign w:val="center"/>
          </w:tcPr>
          <w:p w14:paraId="08807E0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仪器运维状态核查</w:t>
            </w:r>
          </w:p>
        </w:tc>
        <w:tc>
          <w:tcPr>
            <w:tcW w:w="4728" w:type="dxa"/>
            <w:vAlign w:val="center"/>
          </w:tcPr>
          <w:p w14:paraId="3512563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标气压力低于1.5Mpa；</w:t>
            </w:r>
          </w:p>
        </w:tc>
        <w:tc>
          <w:tcPr>
            <w:tcW w:w="455" w:type="dxa"/>
            <w:vAlign w:val="center"/>
          </w:tcPr>
          <w:p w14:paraId="0DDC8DE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restart"/>
            <w:vAlign w:val="center"/>
          </w:tcPr>
          <w:p w14:paraId="1BA5131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根据</w:t>
            </w:r>
            <w:r>
              <w:rPr>
                <w:rFonts w:hint="eastAsia" w:cs="Times New Roman"/>
                <w:sz w:val="24"/>
                <w:szCs w:val="24"/>
                <w:highlight w:val="none"/>
                <w:lang w:val="en-US" w:eastAsia="zh-CN"/>
              </w:rPr>
              <w:t>采购方</w:t>
            </w:r>
            <w:r>
              <w:rPr>
                <w:rFonts w:hint="default" w:ascii="Times New Roman" w:hAnsi="Times New Roman" w:eastAsia="宋体" w:cs="Times New Roman"/>
                <w:sz w:val="24"/>
                <w:szCs w:val="24"/>
                <w:highlight w:val="none"/>
              </w:rPr>
              <w:t>QA/QC质控核查情况打分，出现此类现象的，根据影响数据质量的严重程度扣分，每项0.5～1分，1、根据实际情况扣0.5～1分，第二季度出现上季度同一故障的加倍扣分</w:t>
            </w:r>
          </w:p>
          <w:p w14:paraId="68DFE68F">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40622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0" w:hRule="atLeast"/>
        </w:trPr>
        <w:tc>
          <w:tcPr>
            <w:tcW w:w="914" w:type="dxa"/>
            <w:vMerge w:val="continue"/>
            <w:vAlign w:val="center"/>
          </w:tcPr>
          <w:p w14:paraId="4D46593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0A39225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571633A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气态污染物分析仪内部性能参数超过标准要求，如机体内部温度，反应室温度、压力等；</w:t>
            </w:r>
          </w:p>
        </w:tc>
        <w:tc>
          <w:tcPr>
            <w:tcW w:w="455" w:type="dxa"/>
            <w:vAlign w:val="center"/>
          </w:tcPr>
          <w:p w14:paraId="79EE41F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520DFBB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78335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2C76A29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0867CD1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1C9F16D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颗粒物分析仪密封圈缺失，温度、压力偏差，气态污染物分析仪散热风扇故障</w:t>
            </w:r>
          </w:p>
        </w:tc>
        <w:tc>
          <w:tcPr>
            <w:tcW w:w="455" w:type="dxa"/>
            <w:vAlign w:val="center"/>
          </w:tcPr>
          <w:p w14:paraId="62DCD9B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6576840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715E6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6" w:hRule="atLeast"/>
        </w:trPr>
        <w:tc>
          <w:tcPr>
            <w:tcW w:w="914" w:type="dxa"/>
            <w:vMerge w:val="continue"/>
            <w:vAlign w:val="center"/>
          </w:tcPr>
          <w:p w14:paraId="0F1D43E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08D8A43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0DCAF25F">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零气和校准仪性能参数超过偏差允许范围</w:t>
            </w:r>
          </w:p>
        </w:tc>
        <w:tc>
          <w:tcPr>
            <w:tcW w:w="455" w:type="dxa"/>
            <w:vAlign w:val="center"/>
          </w:tcPr>
          <w:p w14:paraId="5C49074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3035991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08D99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471AB4BB">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5E7AC05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0B6D71E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气态污染物分析仪斜率、截距超过标准要求</w:t>
            </w:r>
          </w:p>
        </w:tc>
        <w:tc>
          <w:tcPr>
            <w:tcW w:w="455" w:type="dxa"/>
            <w:vAlign w:val="center"/>
          </w:tcPr>
          <w:p w14:paraId="0AF4A2A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4174066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4D33D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0A6070B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23C6CF8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757DD54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气态污染物或颗粒物分析仪采样流量或标况流量偏差</w:t>
            </w:r>
          </w:p>
        </w:tc>
        <w:tc>
          <w:tcPr>
            <w:tcW w:w="455" w:type="dxa"/>
            <w:vAlign w:val="center"/>
          </w:tcPr>
          <w:p w14:paraId="4BE0C02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69FD69F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32AFA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914" w:type="dxa"/>
            <w:vMerge w:val="continue"/>
            <w:vAlign w:val="center"/>
          </w:tcPr>
          <w:p w14:paraId="73E72C9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36990B14">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3CE623F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气态污染物分析仪零点、20%（或其他点）全幅测试未通过或T90响应时间未通过</w:t>
            </w:r>
          </w:p>
        </w:tc>
        <w:tc>
          <w:tcPr>
            <w:tcW w:w="455" w:type="dxa"/>
            <w:vAlign w:val="center"/>
          </w:tcPr>
          <w:p w14:paraId="483BA66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0946C40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3CB07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1" w:hRule="atLeast"/>
        </w:trPr>
        <w:tc>
          <w:tcPr>
            <w:tcW w:w="914" w:type="dxa"/>
            <w:vMerge w:val="continue"/>
            <w:vAlign w:val="center"/>
          </w:tcPr>
          <w:p w14:paraId="159BBF7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71C917EF">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5F94C6A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颗粒物分析仪采样斑点有残缺或穿孔现象</w:t>
            </w:r>
          </w:p>
        </w:tc>
        <w:tc>
          <w:tcPr>
            <w:tcW w:w="455" w:type="dxa"/>
            <w:vAlign w:val="center"/>
          </w:tcPr>
          <w:p w14:paraId="7AF8C2D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2FAF60C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0750A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539DA86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2DE83F1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71036D7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颗粒物分析仪采样斑点试漏测试未通过</w:t>
            </w:r>
          </w:p>
        </w:tc>
        <w:tc>
          <w:tcPr>
            <w:tcW w:w="455" w:type="dxa"/>
            <w:vAlign w:val="center"/>
          </w:tcPr>
          <w:p w14:paraId="150C1443">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Merge w:val="continue"/>
            <w:vAlign w:val="center"/>
          </w:tcPr>
          <w:p w14:paraId="1852D8B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r>
      <w:tr w14:paraId="369D1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restart"/>
            <w:vAlign w:val="center"/>
          </w:tcPr>
          <w:p w14:paraId="05F83205">
            <w:pPr>
              <w:pStyle w:val="106"/>
              <w:pageBreakBefore w:val="0"/>
              <w:kinsoku/>
              <w:wordWrap/>
              <w:overflowPunct/>
              <w:topLinePunct w:val="0"/>
              <w:bidi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档案和管理（10）</w:t>
            </w:r>
          </w:p>
        </w:tc>
        <w:tc>
          <w:tcPr>
            <w:tcW w:w="920" w:type="dxa"/>
            <w:vMerge w:val="restart"/>
            <w:vAlign w:val="center"/>
          </w:tcPr>
          <w:p w14:paraId="2EE1BC9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记录及故障响应时间等核查</w:t>
            </w:r>
          </w:p>
        </w:tc>
        <w:tc>
          <w:tcPr>
            <w:tcW w:w="4728" w:type="dxa"/>
            <w:vAlign w:val="center"/>
          </w:tcPr>
          <w:p w14:paraId="20EDBC44">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未经同意在工控机中加装各类远程软件，qq、微信等数据传输、聊天软件等</w:t>
            </w:r>
          </w:p>
        </w:tc>
        <w:tc>
          <w:tcPr>
            <w:tcW w:w="455" w:type="dxa"/>
            <w:vAlign w:val="center"/>
          </w:tcPr>
          <w:p w14:paraId="6CF5C15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3617109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发生网络安全问题，当季度每月扣5分，因网络安全漏洞，被有关部门通报的，当季度每月扣10分，扣站点运维经费。</w:t>
            </w:r>
          </w:p>
        </w:tc>
      </w:tr>
      <w:tr w14:paraId="68FF8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1E3BC0F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517241F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6056B6D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现场运维每周例行巡检记录，包括标气使用状况记录、用电记录、仪器运行参数记录等</w:t>
            </w:r>
          </w:p>
        </w:tc>
        <w:tc>
          <w:tcPr>
            <w:tcW w:w="455" w:type="dxa"/>
            <w:vAlign w:val="center"/>
          </w:tcPr>
          <w:p w14:paraId="6FE2CC3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52144FC1">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缺失每次（项)扣0.5分</w:t>
            </w:r>
          </w:p>
        </w:tc>
      </w:tr>
      <w:tr w14:paraId="3780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2116A9FB">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76DB838D">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646B715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每周现场进行手工校零校标检查和校准，并填写相关记录</w:t>
            </w:r>
          </w:p>
        </w:tc>
        <w:tc>
          <w:tcPr>
            <w:tcW w:w="455" w:type="dxa"/>
            <w:vAlign w:val="center"/>
          </w:tcPr>
          <w:p w14:paraId="7205A8D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4D35DCF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缺失每参数当月扣2分</w:t>
            </w:r>
          </w:p>
        </w:tc>
      </w:tr>
      <w:tr w14:paraId="5B63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6D45F85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01FE9EB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09FC5F3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每月至少检查一次气态污染物、颗粒物监测仪流量并填写相关记录</w:t>
            </w:r>
          </w:p>
        </w:tc>
        <w:tc>
          <w:tcPr>
            <w:tcW w:w="455" w:type="dxa"/>
            <w:vAlign w:val="center"/>
          </w:tcPr>
          <w:p w14:paraId="15162FB0">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79B90E6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缺失每参数当季度每月扣2分</w:t>
            </w:r>
          </w:p>
        </w:tc>
      </w:tr>
      <w:tr w14:paraId="0454A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387C8D3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2D054C9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7FD65CCA">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每季度进行气态污染物多点线性检查、精密度检查；颗粒物监测仪膜片检查和试漏检查并填写相关记录</w:t>
            </w:r>
          </w:p>
        </w:tc>
        <w:tc>
          <w:tcPr>
            <w:tcW w:w="455" w:type="dxa"/>
            <w:vAlign w:val="center"/>
          </w:tcPr>
          <w:p w14:paraId="4E64F43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69286C35">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缺失每参数当季度每月扣3分</w:t>
            </w:r>
          </w:p>
        </w:tc>
      </w:tr>
      <w:tr w14:paraId="1727E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29E02F5E">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385FDA4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447D6F9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每半年对NOx设备钼炉转换率和精密度进行检查并填写相关记录，</w:t>
            </w:r>
          </w:p>
        </w:tc>
        <w:tc>
          <w:tcPr>
            <w:tcW w:w="455" w:type="dxa"/>
            <w:vAlign w:val="center"/>
          </w:tcPr>
          <w:p w14:paraId="219BEF8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6B33DC18">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缺失当季度每月扣3分</w:t>
            </w:r>
          </w:p>
        </w:tc>
      </w:tr>
      <w:tr w14:paraId="37B7B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73022C5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53EE6D1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567C7CA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每年开展现场臭氧工作标准量值溯源工作，每半年提交子站臭氧传递报告，</w:t>
            </w:r>
          </w:p>
        </w:tc>
        <w:tc>
          <w:tcPr>
            <w:tcW w:w="455" w:type="dxa"/>
            <w:vAlign w:val="center"/>
          </w:tcPr>
          <w:p w14:paraId="7144802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3735C779">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缺失当季度每月扣3分</w:t>
            </w:r>
          </w:p>
        </w:tc>
      </w:tr>
      <w:tr w14:paraId="1952B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914" w:type="dxa"/>
            <w:vMerge w:val="continue"/>
            <w:vAlign w:val="center"/>
          </w:tcPr>
          <w:p w14:paraId="499D21CC">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920" w:type="dxa"/>
            <w:vMerge w:val="continue"/>
            <w:vAlign w:val="center"/>
          </w:tcPr>
          <w:p w14:paraId="0E74B557">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4728" w:type="dxa"/>
            <w:vAlign w:val="center"/>
          </w:tcPr>
          <w:p w14:paraId="1873E9AB">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当站点每日8时～22时出现故障，应在1小时之内响应，2小时内到达现场、4小时解决或提出解决方案</w:t>
            </w:r>
          </w:p>
        </w:tc>
        <w:tc>
          <w:tcPr>
            <w:tcW w:w="455" w:type="dxa"/>
            <w:vAlign w:val="center"/>
          </w:tcPr>
          <w:p w14:paraId="60B6D186">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p>
        </w:tc>
        <w:tc>
          <w:tcPr>
            <w:tcW w:w="2260" w:type="dxa"/>
            <w:vAlign w:val="center"/>
          </w:tcPr>
          <w:p w14:paraId="3C27B712">
            <w:pPr>
              <w:pStyle w:val="106"/>
              <w:pageBreakBefore w:val="0"/>
              <w:kinsoku/>
              <w:wordWrap/>
              <w:overflowPunct/>
              <w:topLinePunct w:val="0"/>
              <w:bidi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未做到的每次扣3分</w:t>
            </w:r>
          </w:p>
        </w:tc>
      </w:tr>
    </w:tbl>
    <w:p w14:paraId="648B68A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3.考核总分（100分）</w:t>
      </w:r>
    </w:p>
    <w:p w14:paraId="5339EF8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考核总分=两率得分+运维得分</w:t>
      </w:r>
    </w:p>
    <w:p w14:paraId="70A6343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4.运维费核算方法</w:t>
      </w:r>
    </w:p>
    <w:p w14:paraId="332D90E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1）考核总分低于80分的，不予支付该站点当期运维费；绩效考核总分95（含）分以上的，支付该站点当期全额运维费；绩效考核总分在80（含）-95分的，该站点当期运维费=(实际考核总分/100)×单站点当期全额运维费。</w:t>
      </w:r>
    </w:p>
    <w:p w14:paraId="761C918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（2）其他规定</w:t>
      </w:r>
    </w:p>
    <w:p w14:paraId="41070CC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Cambria Math" w:hAnsi="Cambria Math" w:eastAsia="宋体" w:cs="Cambria Math"/>
          <w:highlight w:val="none"/>
        </w:rPr>
        <w:t>①</w:t>
      </w:r>
      <w:r>
        <w:rPr>
          <w:rFonts w:ascii="Times New Roman" w:hAnsi="Times New Roman" w:eastAsia="宋体"/>
          <w:highlight w:val="none"/>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46822581">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Cambria Math" w:hAnsi="Cambria Math" w:eastAsia="宋体" w:cs="Cambria Math"/>
          <w:highlight w:val="none"/>
        </w:rPr>
        <w:t>②</w:t>
      </w:r>
      <w:r>
        <w:rPr>
          <w:rFonts w:ascii="Times New Roman" w:hAnsi="Times New Roman" w:eastAsia="宋体"/>
          <w:highlight w:val="none"/>
        </w:rPr>
        <w:t>在质量检查中，发现运维单位未达到运维质控要求时，根据对数据质量造成的影响程度，扣减相应站点当季度10%～100%运维经费；如未及时整改，加倍扣款。</w:t>
      </w:r>
      <w:bookmarkStart w:id="181" w:name="_Toc514309948"/>
    </w:p>
    <w:p w14:paraId="09E59F55">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highlight w:val="none"/>
        </w:rPr>
      </w:pPr>
      <w:r>
        <w:rPr>
          <w:rFonts w:hint="eastAsia" w:eastAsia="宋体"/>
          <w:sz w:val="32"/>
          <w:szCs w:val="32"/>
          <w:highlight w:val="none"/>
          <w:lang w:val="en-US" w:eastAsia="zh-CN"/>
        </w:rPr>
        <w:t>五</w:t>
      </w:r>
      <w:r>
        <w:rPr>
          <w:rFonts w:eastAsia="宋体"/>
          <w:sz w:val="32"/>
          <w:szCs w:val="32"/>
          <w:highlight w:val="none"/>
        </w:rPr>
        <w:t>、</w:t>
      </w:r>
      <w:bookmarkEnd w:id="181"/>
      <w:r>
        <w:rPr>
          <w:rFonts w:eastAsia="宋体"/>
          <w:sz w:val="32"/>
          <w:szCs w:val="32"/>
          <w:highlight w:val="none"/>
        </w:rPr>
        <w:t>现场勘查</w:t>
      </w:r>
    </w:p>
    <w:p w14:paraId="491E2EB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highlight w:val="none"/>
        </w:rPr>
      </w:pPr>
      <w:r>
        <w:rPr>
          <w:rFonts w:ascii="Times New Roman" w:hAnsi="Times New Roman" w:eastAsia="宋体"/>
          <w:highlight w:val="none"/>
        </w:rPr>
        <w:t>投标人需自行协调项目现场勘查，现场勘查联系电话详见招标公告采购人联系方式。</w:t>
      </w:r>
    </w:p>
    <w:p w14:paraId="25F2C3C0">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highlight w:val="none"/>
        </w:rPr>
      </w:pPr>
      <w:r>
        <w:rPr>
          <w:rFonts w:hint="eastAsia" w:eastAsia="宋体"/>
          <w:sz w:val="32"/>
          <w:szCs w:val="32"/>
          <w:highlight w:val="none"/>
          <w:lang w:val="en-US" w:eastAsia="zh-CN"/>
        </w:rPr>
        <w:t>六</w:t>
      </w:r>
      <w:r>
        <w:rPr>
          <w:rFonts w:eastAsia="宋体"/>
          <w:sz w:val="32"/>
          <w:szCs w:val="32"/>
          <w:highlight w:val="none"/>
        </w:rPr>
        <w:t>、安全责任</w:t>
      </w:r>
    </w:p>
    <w:p w14:paraId="1CF652EA">
      <w:pPr>
        <w:pStyle w:val="45"/>
        <w:rPr>
          <w:rFonts w:ascii="Times New Roman" w:hAnsi="Times New Roman" w:eastAsia="宋体"/>
          <w:highlight w:val="none"/>
        </w:rPr>
      </w:pPr>
      <w:r>
        <w:rPr>
          <w:rFonts w:ascii="Times New Roman" w:hAnsi="Times New Roman" w:eastAsia="宋体"/>
          <w:highlight w:val="none"/>
        </w:rPr>
        <w:t>投标人应对项目组成员做好安全培训，在项目实施过程中应注意人员和财产安全，如造成相关人员安全和财产损失问题的，一律由投标人全权承担负责，采购人不承担任何责任。</w:t>
      </w:r>
    </w:p>
    <w:p w14:paraId="24C95CD2">
      <w:pPr>
        <w:spacing w:line="360" w:lineRule="auto"/>
        <w:rPr>
          <w:rFonts w:hint="eastAsia" w:ascii="宋体" w:hAnsi="宋体" w:eastAsia="宋体" w:cs="宋体"/>
          <w:b/>
          <w:bCs/>
          <w:kern w:val="0"/>
          <w:sz w:val="32"/>
          <w:szCs w:val="32"/>
          <w:highlight w:val="none"/>
          <w:lang w:val="en-US" w:eastAsia="zh-CN" w:bidi="ar"/>
        </w:rPr>
      </w:pPr>
      <w:r>
        <w:rPr>
          <w:rFonts w:hint="eastAsia" w:ascii="宋体" w:hAnsi="宋体" w:eastAsia="宋体" w:cs="宋体"/>
          <w:b/>
          <w:bCs/>
          <w:kern w:val="0"/>
          <w:sz w:val="32"/>
          <w:szCs w:val="32"/>
          <w:highlight w:val="none"/>
          <w:lang w:val="en-US" w:eastAsia="zh-CN" w:bidi="ar"/>
        </w:rPr>
        <w:t>七、付款方式</w:t>
      </w:r>
    </w:p>
    <w:p w14:paraId="67ADF73C">
      <w:pPr>
        <w:spacing w:line="360" w:lineRule="auto"/>
        <w:ind w:firstLine="480" w:firstLineChars="200"/>
        <w:rPr>
          <w:rFonts w:ascii="宋体" w:hAnsi="宋体"/>
          <w:sz w:val="24"/>
          <w:highlight w:val="none"/>
        </w:rPr>
      </w:pPr>
      <w:r>
        <w:rPr>
          <w:rFonts w:hint="eastAsia" w:ascii="宋体" w:hAnsi="宋体"/>
          <w:sz w:val="24"/>
          <w:highlight w:val="none"/>
        </w:rPr>
        <w:t>按本文件第三章合同条款中的相关条款执行。</w:t>
      </w:r>
    </w:p>
    <w:p w14:paraId="455C5578">
      <w:pPr>
        <w:spacing w:line="360" w:lineRule="auto"/>
        <w:rPr>
          <w:rFonts w:hint="eastAsia" w:ascii="宋体" w:hAnsi="宋体" w:eastAsia="宋体" w:cs="宋体"/>
          <w:b/>
          <w:bCs/>
          <w:kern w:val="0"/>
          <w:sz w:val="32"/>
          <w:szCs w:val="32"/>
          <w:highlight w:val="none"/>
          <w:lang w:val="en-US" w:eastAsia="zh-CN" w:bidi="ar"/>
        </w:rPr>
      </w:pPr>
      <w:r>
        <w:rPr>
          <w:rFonts w:hint="eastAsia" w:ascii="宋体" w:hAnsi="宋体" w:eastAsia="宋体" w:cs="宋体"/>
          <w:b/>
          <w:bCs/>
          <w:kern w:val="0"/>
          <w:sz w:val="32"/>
          <w:szCs w:val="32"/>
          <w:highlight w:val="none"/>
          <w:lang w:val="en-US" w:eastAsia="zh-CN" w:bidi="ar"/>
        </w:rPr>
        <w:t>八、应充分响应的技术规范和商务条款</w:t>
      </w:r>
    </w:p>
    <w:p w14:paraId="4170992E">
      <w:pPr>
        <w:pStyle w:val="82"/>
        <w:spacing w:line="360" w:lineRule="auto"/>
        <w:ind w:firstLine="480" w:firstLineChars="200"/>
        <w:rPr>
          <w:rFonts w:ascii="Times New Roman" w:hAnsi="Times New Roman" w:eastAsia="宋体"/>
          <w:highlight w:val="none"/>
        </w:rPr>
      </w:pPr>
      <w:r>
        <w:rPr>
          <w:rFonts w:hint="eastAsia" w:ascii="宋体" w:hAnsi="宋体" w:eastAsia="宋体" w:cs="宋体"/>
          <w:sz w:val="24"/>
          <w:szCs w:val="24"/>
          <w:highlight w:val="none"/>
        </w:rPr>
        <w:t>本</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所提出的各项要求、付款方式、合同履行期限、服务内容、服务要求等重要商务要求，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应充分响应，否则</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有权酌情认定为实质性或重大负偏离。</w:t>
      </w:r>
      <w:r>
        <w:rPr>
          <w:highlight w:val="none"/>
        </w:rPr>
        <w:t> </w:t>
      </w:r>
    </w:p>
    <w:p w14:paraId="1987873B">
      <w:pPr>
        <w:pStyle w:val="45"/>
        <w:spacing w:beforeAutospacing="0" w:afterAutospacing="0" w:line="500" w:lineRule="exact"/>
        <w:jc w:val="both"/>
        <w:rPr>
          <w:rFonts w:hint="eastAsia" w:ascii="宋体" w:hAnsi="宋体" w:eastAsia="宋体" w:cs="宋体"/>
          <w:b/>
          <w:bCs/>
          <w:kern w:val="0"/>
          <w:sz w:val="32"/>
          <w:szCs w:val="32"/>
          <w:highlight w:val="none"/>
          <w:lang w:val="en-US" w:eastAsia="zh-CN" w:bidi="ar"/>
        </w:rPr>
      </w:pPr>
      <w:r>
        <w:rPr>
          <w:rFonts w:hint="eastAsia" w:ascii="宋体" w:hAnsi="宋体" w:eastAsia="宋体" w:cs="宋体"/>
          <w:b/>
          <w:bCs/>
          <w:kern w:val="0"/>
          <w:sz w:val="32"/>
          <w:szCs w:val="32"/>
          <w:highlight w:val="none"/>
          <w:lang w:val="en-US" w:eastAsia="zh-CN" w:bidi="ar"/>
        </w:rPr>
        <w:t>九、服务期限</w:t>
      </w:r>
    </w:p>
    <w:p w14:paraId="6067EFFC">
      <w:pPr>
        <w:pStyle w:val="45"/>
        <w:spacing w:beforeAutospacing="0" w:afterAutospacing="0" w:line="500" w:lineRule="exact"/>
        <w:ind w:firstLine="480" w:firstLineChars="200"/>
        <w:jc w:val="both"/>
        <w:rPr>
          <w:rFonts w:ascii="宋体" w:hAnsi="宋体" w:eastAsia="宋体" w:cs="宋体"/>
          <w:highlight w:val="none"/>
        </w:rPr>
      </w:pPr>
      <w:r>
        <w:rPr>
          <w:rFonts w:hint="eastAsia" w:ascii="宋体" w:hAnsi="宋体" w:eastAsia="宋体" w:cs="宋体"/>
          <w:color w:val="000000"/>
          <w:sz w:val="24"/>
          <w:szCs w:val="24"/>
          <w:highlight w:val="none"/>
        </w:rPr>
        <w:t>本项目服务期限为</w:t>
      </w:r>
      <w:r>
        <w:rPr>
          <w:rFonts w:hint="eastAsia" w:cs="宋体"/>
          <w:color w:val="000000"/>
          <w:sz w:val="24"/>
          <w:szCs w:val="24"/>
          <w:highlight w:val="none"/>
          <w:lang w:eastAsia="zh-CN"/>
        </w:rPr>
        <w:t>24个月</w:t>
      </w:r>
      <w:r>
        <w:rPr>
          <w:rFonts w:hint="eastAsia" w:ascii="宋体" w:hAnsi="宋体" w:eastAsia="宋体" w:cs="宋体"/>
          <w:highlight w:val="none"/>
        </w:rPr>
        <w:t>。</w:t>
      </w:r>
    </w:p>
    <w:p w14:paraId="734E988D">
      <w:pPr>
        <w:pStyle w:val="4"/>
        <w:spacing w:before="0" w:after="0" w:line="360" w:lineRule="auto"/>
        <w:ind w:left="0" w:leftChars="0" w:firstLine="0" w:firstLineChars="0"/>
        <w:rPr>
          <w:rFonts w:hint="eastAsia" w:ascii="宋体" w:hAnsi="宋体" w:eastAsia="宋体" w:cs="宋体"/>
          <w:b/>
          <w:bCs/>
          <w:kern w:val="0"/>
          <w:sz w:val="32"/>
          <w:szCs w:val="32"/>
          <w:lang w:val="en-US" w:eastAsia="zh-CN" w:bidi="ar"/>
        </w:rPr>
      </w:pPr>
      <w:bookmarkStart w:id="182" w:name="_Toc187054180"/>
      <w:r>
        <w:rPr>
          <w:rFonts w:hint="eastAsia" w:ascii="宋体" w:hAnsi="宋体" w:eastAsia="宋体" w:cs="宋体"/>
          <w:b/>
          <w:bCs/>
          <w:kern w:val="0"/>
          <w:sz w:val="32"/>
          <w:szCs w:val="32"/>
          <w:lang w:val="en-US" w:eastAsia="zh-CN" w:bidi="ar"/>
        </w:rPr>
        <w:t>十、履约能力要求</w:t>
      </w:r>
      <w:bookmarkEnd w:id="182"/>
    </w:p>
    <w:p w14:paraId="3D4FE6C1">
      <w:pPr>
        <w:pStyle w:val="340"/>
        <w:numPr>
          <w:ilvl w:val="0"/>
          <w:numId w:val="0"/>
        </w:numPr>
        <w:tabs>
          <w:tab w:val="left" w:pos="1440"/>
        </w:tabs>
        <w:spacing w:line="360" w:lineRule="auto"/>
        <w:ind w:firstLine="480" w:firstLineChars="200"/>
        <w:rPr>
          <w:rFonts w:hint="eastAsia"/>
          <w:b w:val="0"/>
          <w:bCs w:val="0"/>
          <w:sz w:val="24"/>
          <w:szCs w:val="24"/>
        </w:rPr>
      </w:pPr>
      <w:r>
        <w:rPr>
          <w:rFonts w:hint="eastAsia"/>
          <w:b w:val="0"/>
          <w:bCs w:val="0"/>
          <w:sz w:val="24"/>
          <w:szCs w:val="24"/>
        </w:rPr>
        <w:t>1、投标人从2023年1月1日至本项目投标截止日期（以合同签订时间为准）承担的环境空气自动监测站运维服务类似业绩；</w:t>
      </w:r>
    </w:p>
    <w:p w14:paraId="40ED3F91">
      <w:pPr>
        <w:pStyle w:val="340"/>
        <w:numPr>
          <w:ilvl w:val="0"/>
          <w:numId w:val="6"/>
        </w:numPr>
        <w:tabs>
          <w:tab w:val="left" w:pos="1440"/>
        </w:tabs>
        <w:spacing w:line="360" w:lineRule="auto"/>
        <w:ind w:firstLine="480" w:firstLineChars="200"/>
        <w:rPr>
          <w:rFonts w:hint="eastAsia"/>
          <w:b w:val="0"/>
          <w:bCs w:val="0"/>
          <w:sz w:val="24"/>
          <w:szCs w:val="24"/>
        </w:rPr>
      </w:pPr>
      <w:r>
        <w:rPr>
          <w:rFonts w:hint="eastAsia"/>
          <w:b w:val="0"/>
          <w:bCs w:val="0"/>
          <w:sz w:val="24"/>
          <w:szCs w:val="24"/>
        </w:rPr>
        <w:t>服务项目团队要求：项目负责人具备环保类中级及以上技术职称证书，具备中国环境监测总站的环境空气自动监测运维与质控技术培训班合格证书，组建的团队人员中国环境监测总站的环境空气自动监测运维与质控技术培训班合格证书；</w:t>
      </w:r>
    </w:p>
    <w:p w14:paraId="705037CB">
      <w:pPr>
        <w:pStyle w:val="340"/>
        <w:numPr>
          <w:ilvl w:val="0"/>
          <w:numId w:val="6"/>
        </w:numPr>
        <w:tabs>
          <w:tab w:val="left" w:pos="1440"/>
        </w:tabs>
        <w:spacing w:line="360" w:lineRule="auto"/>
        <w:ind w:firstLine="480" w:firstLineChars="200"/>
        <w:rPr>
          <w:rFonts w:hint="eastAsia"/>
          <w:b w:val="0"/>
          <w:bCs w:val="0"/>
          <w:sz w:val="24"/>
          <w:szCs w:val="24"/>
        </w:rPr>
      </w:pPr>
      <w:r>
        <w:rPr>
          <w:rFonts w:hint="eastAsia"/>
          <w:b w:val="0"/>
          <w:bCs w:val="0"/>
          <w:sz w:val="24"/>
          <w:szCs w:val="24"/>
          <w:lang w:val="en-US" w:eastAsia="zh-CN"/>
        </w:rPr>
        <w:t>具有履约车辆；</w:t>
      </w:r>
    </w:p>
    <w:p w14:paraId="17A9F8D4">
      <w:pPr>
        <w:pStyle w:val="340"/>
        <w:numPr>
          <w:ilvl w:val="0"/>
          <w:numId w:val="6"/>
        </w:numPr>
        <w:tabs>
          <w:tab w:val="left" w:pos="1440"/>
        </w:tabs>
        <w:spacing w:line="360" w:lineRule="auto"/>
        <w:ind w:firstLine="480" w:firstLineChars="200"/>
        <w:rPr>
          <w:rFonts w:hint="eastAsia"/>
          <w:b w:val="0"/>
          <w:bCs w:val="0"/>
          <w:sz w:val="24"/>
          <w:szCs w:val="24"/>
        </w:rPr>
      </w:pPr>
      <w:r>
        <w:rPr>
          <w:rFonts w:hint="eastAsia"/>
          <w:b w:val="0"/>
          <w:bCs w:val="0"/>
          <w:sz w:val="24"/>
          <w:szCs w:val="24"/>
          <w:lang w:val="en-US" w:eastAsia="zh-CN"/>
        </w:rPr>
        <w:t>公司实力具有完善的认证体系及自有平台或系统。</w:t>
      </w:r>
    </w:p>
    <w:p w14:paraId="17C821D3">
      <w:pPr>
        <w:pStyle w:val="340"/>
        <w:tabs>
          <w:tab w:val="left" w:pos="1440"/>
        </w:tabs>
        <w:spacing w:line="360" w:lineRule="auto"/>
        <w:ind w:firstLine="321" w:firstLineChars="100"/>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十一、报价要求</w:t>
      </w:r>
    </w:p>
    <w:p w14:paraId="7769BFCD">
      <w:pPr>
        <w:spacing w:line="480" w:lineRule="exact"/>
        <w:ind w:firstLine="482" w:firstLineChars="200"/>
        <w:rPr>
          <w:rFonts w:ascii="宋体" w:hAnsi="宋体" w:cs="宋体"/>
          <w:sz w:val="24"/>
        </w:rPr>
      </w:pPr>
      <w:r>
        <w:rPr>
          <w:rFonts w:hint="eastAsia" w:ascii="宋体" w:hAnsi="宋体" w:cs="宋体"/>
          <w:b/>
          <w:snapToGrid w:val="0"/>
          <w:kern w:val="0"/>
          <w:sz w:val="24"/>
        </w:rPr>
        <w:t>1、本项目采购人设定的投标报价最高限价为</w:t>
      </w:r>
      <w:r>
        <w:rPr>
          <w:rFonts w:hint="eastAsia" w:ascii="宋体" w:hAnsi="宋体" w:cs="宋体"/>
          <w:b/>
          <w:snapToGrid w:val="0"/>
          <w:kern w:val="0"/>
          <w:sz w:val="24"/>
          <w:lang w:val="en-US" w:eastAsia="zh-CN"/>
        </w:rPr>
        <w:t>采购包1：160</w:t>
      </w:r>
      <w:r>
        <w:rPr>
          <w:rFonts w:hint="eastAsia" w:ascii="宋体" w:hAnsi="宋体" w:cs="宋体"/>
          <w:b/>
          <w:snapToGrid w:val="0"/>
          <w:kern w:val="0"/>
          <w:sz w:val="24"/>
        </w:rPr>
        <w:t>万元</w:t>
      </w:r>
      <w:r>
        <w:rPr>
          <w:rFonts w:hint="eastAsia" w:ascii="宋体" w:hAnsi="宋体" w:cs="宋体"/>
          <w:b/>
          <w:snapToGrid w:val="0"/>
          <w:kern w:val="0"/>
          <w:sz w:val="24"/>
          <w:lang w:eastAsia="zh-CN"/>
        </w:rPr>
        <w:t>，</w:t>
      </w:r>
      <w:r>
        <w:rPr>
          <w:rFonts w:hint="eastAsia" w:ascii="宋体" w:hAnsi="宋体" w:cs="宋体"/>
          <w:b/>
          <w:snapToGrid w:val="0"/>
          <w:kern w:val="0"/>
          <w:sz w:val="24"/>
          <w:lang w:val="en-US" w:eastAsia="zh-CN"/>
        </w:rPr>
        <w:t>采购包2：180万元</w:t>
      </w:r>
      <w:r>
        <w:rPr>
          <w:rFonts w:hint="eastAsia" w:ascii="宋体" w:hAnsi="宋体" w:cs="宋体"/>
          <w:b/>
          <w:bCs/>
          <w:sz w:val="24"/>
        </w:rPr>
        <w:t>，</w:t>
      </w:r>
      <w:r>
        <w:rPr>
          <w:rFonts w:hint="eastAsia" w:ascii="宋体" w:hAnsi="宋体" w:cs="宋体"/>
          <w:b/>
          <w:bCs/>
          <w:snapToGrid w:val="0"/>
          <w:kern w:val="0"/>
          <w:sz w:val="24"/>
        </w:rPr>
        <w:t>投标人的投标分项报价</w:t>
      </w:r>
      <w:r>
        <w:rPr>
          <w:rFonts w:hint="eastAsia" w:ascii="宋体" w:hAnsi="宋体" w:cs="宋体"/>
          <w:sz w:val="24"/>
        </w:rPr>
        <w:t>不得超出采购设定的分项最高限价上限，否则，其投标文件按无效投标处理。</w:t>
      </w:r>
    </w:p>
    <w:p w14:paraId="473A5F25">
      <w:pPr>
        <w:spacing w:line="420" w:lineRule="exact"/>
        <w:ind w:firstLine="480" w:firstLineChars="200"/>
        <w:rPr>
          <w:rFonts w:ascii="宋体" w:hAnsi="宋体" w:cs="宋体"/>
          <w:sz w:val="24"/>
        </w:rPr>
      </w:pPr>
      <w:r>
        <w:rPr>
          <w:rFonts w:hint="eastAsia" w:ascii="宋体" w:hAnsi="宋体" w:cs="宋体"/>
          <w:sz w:val="24"/>
        </w:rPr>
        <w:t>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rFonts w:ascii="Times New Roman" w:hAnsi="Times New Roman" w:eastAsia="宋体" w:cs="Times New Roman"/>
          <w:sz w:val="24"/>
        </w:rPr>
        <w:t>中标单位须承担专家评审费用和会务费用</w:t>
      </w:r>
      <w:r>
        <w:rPr>
          <w:rFonts w:hint="eastAsia" w:ascii="Times New Roman" w:hAnsi="Times New Roman" w:eastAsia="宋体" w:cs="Times New Roman"/>
          <w:sz w:val="24"/>
        </w:rPr>
        <w:t>，</w:t>
      </w:r>
      <w:r>
        <w:rPr>
          <w:rFonts w:hint="eastAsia" w:ascii="宋体" w:hAnsi="宋体" w:cs="宋体"/>
          <w:sz w:val="24"/>
        </w:rPr>
        <w:t>除中标价外，采购单位不再支付其他任何费用。</w:t>
      </w:r>
    </w:p>
    <w:p w14:paraId="0B333A81">
      <w:pPr>
        <w:spacing w:line="420" w:lineRule="exact"/>
        <w:ind w:left="-1" w:firstLine="480" w:firstLineChars="200"/>
        <w:rPr>
          <w:rFonts w:ascii="宋体" w:hAnsi="宋体" w:cs="宋体"/>
          <w:sz w:val="24"/>
        </w:rPr>
      </w:pPr>
      <w:r>
        <w:rPr>
          <w:rFonts w:hint="eastAsia" w:ascii="宋体" w:hAnsi="宋体" w:cs="宋体"/>
          <w:sz w:val="24"/>
        </w:rPr>
        <w:t>3、供应商根据自己的经营状况和掌握的市场信息自主报价。决定供应商响应文件的响应性只根据响应文件本身的内容，而不寻求外部的证据。</w:t>
      </w:r>
    </w:p>
    <w:p w14:paraId="08A24827">
      <w:pPr>
        <w:spacing w:line="400" w:lineRule="exact"/>
        <w:ind w:firstLine="480" w:firstLineChars="200"/>
        <w:rPr>
          <w:rFonts w:ascii="宋体" w:hAnsi="宋体" w:cs="宋体"/>
          <w:sz w:val="24"/>
        </w:rPr>
      </w:pPr>
      <w:r>
        <w:rPr>
          <w:rFonts w:hint="eastAsia" w:ascii="宋体" w:hAnsi="宋体" w:cs="宋体"/>
          <w:sz w:val="24"/>
        </w:rPr>
        <w:t>4、要求报价单的每一页都必须盖投标供应商公章。</w:t>
      </w:r>
    </w:p>
    <w:p w14:paraId="792EE61A">
      <w:pPr>
        <w:spacing w:line="480" w:lineRule="exact"/>
        <w:ind w:firstLine="480" w:firstLineChars="200"/>
        <w:rPr>
          <w:rFonts w:ascii="宋体" w:hAnsi="宋体" w:cs="宋体"/>
          <w:b/>
          <w:bCs/>
          <w:sz w:val="24"/>
        </w:rPr>
      </w:pPr>
      <w:r>
        <w:rPr>
          <w:rFonts w:hint="eastAsia" w:ascii="宋体" w:hAnsi="宋体" w:cs="宋体"/>
          <w:sz w:val="24"/>
        </w:rPr>
        <w:t>注：采购人保留对工作量进行变更或增减的权利。</w:t>
      </w:r>
    </w:p>
    <w:p w14:paraId="15EDAC47">
      <w:pPr>
        <w:pStyle w:val="45"/>
        <w:spacing w:beforeAutospacing="0" w:afterAutospacing="0" w:line="0" w:lineRule="atLeast"/>
        <w:ind w:firstLine="480"/>
        <w:jc w:val="both"/>
        <w:rPr>
          <w:rFonts w:hint="eastAsia" w:ascii="宋体" w:hAnsi="宋体" w:eastAsia="宋体" w:cs="宋体"/>
          <w:b/>
          <w:bCs/>
          <w:kern w:val="0"/>
          <w:sz w:val="32"/>
          <w:szCs w:val="32"/>
          <w:lang w:val="en-US" w:eastAsia="zh-CN" w:bidi="ar"/>
        </w:rPr>
      </w:pPr>
    </w:p>
    <w:p w14:paraId="267EB695">
      <w:pPr>
        <w:pStyle w:val="45"/>
        <w:spacing w:beforeAutospacing="0" w:afterAutospacing="0" w:line="0" w:lineRule="atLeast"/>
        <w:ind w:firstLine="480"/>
        <w:jc w:val="both"/>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十二、采购标的对应的中小企业划分标准所属行业一览表</w:t>
      </w:r>
    </w:p>
    <w:tbl>
      <w:tblPr>
        <w:tblStyle w:val="51"/>
        <w:tblW w:w="7962" w:type="dxa"/>
        <w:jc w:val="center"/>
        <w:tblCellSpacing w:w="0" w:type="dxa"/>
        <w:tblLayout w:type="fixed"/>
        <w:tblCellMar>
          <w:top w:w="0" w:type="dxa"/>
          <w:left w:w="108" w:type="dxa"/>
          <w:bottom w:w="0" w:type="dxa"/>
          <w:right w:w="108" w:type="dxa"/>
        </w:tblCellMar>
      </w:tblPr>
      <w:tblGrid>
        <w:gridCol w:w="466"/>
        <w:gridCol w:w="3823"/>
        <w:gridCol w:w="3673"/>
      </w:tblGrid>
      <w:tr w14:paraId="32BAC4B7">
        <w:tblPrEx>
          <w:tblCellMar>
            <w:top w:w="0" w:type="dxa"/>
            <w:left w:w="108" w:type="dxa"/>
            <w:bottom w:w="0" w:type="dxa"/>
            <w:right w:w="108" w:type="dxa"/>
          </w:tblCellMar>
        </w:tblPrEx>
        <w:trPr>
          <w:trHeight w:val="634" w:hRule="atLeast"/>
          <w:tblCellSpacing w:w="0" w:type="dxa"/>
          <w:jc w:val="center"/>
        </w:trPr>
        <w:tc>
          <w:tcPr>
            <w:tcW w:w="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7BA3">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序号</w:t>
            </w:r>
          </w:p>
        </w:tc>
        <w:tc>
          <w:tcPr>
            <w:tcW w:w="3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9050">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采购标的</w:t>
            </w:r>
          </w:p>
        </w:tc>
        <w:tc>
          <w:tcPr>
            <w:tcW w:w="3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2B2D">
            <w:pPr>
              <w:pStyle w:val="45"/>
              <w:spacing w:beforeAutospacing="0" w:afterAutospacing="0" w:line="0" w:lineRule="atLeas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对应中小企业划分标准所属行业</w:t>
            </w:r>
          </w:p>
        </w:tc>
      </w:tr>
      <w:tr w14:paraId="4DA909A9">
        <w:tblPrEx>
          <w:tblCellMar>
            <w:top w:w="0" w:type="dxa"/>
            <w:left w:w="108" w:type="dxa"/>
            <w:bottom w:w="0" w:type="dxa"/>
            <w:right w:w="108" w:type="dxa"/>
          </w:tblCellMar>
        </w:tblPrEx>
        <w:trPr>
          <w:trHeight w:val="634" w:hRule="atLeast"/>
          <w:tblCellSpacing w:w="0" w:type="dxa"/>
          <w:jc w:val="center"/>
        </w:trPr>
        <w:tc>
          <w:tcPr>
            <w:tcW w:w="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C53C">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3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5D4C">
            <w:pPr>
              <w:pStyle w:val="45"/>
              <w:spacing w:beforeAutospacing="0" w:afterAutospacing="0" w:line="0" w:lineRule="atLeas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盐城市阜宁生态环境局16个乡镇（街道）空气质量监测站运维服务</w:t>
            </w:r>
          </w:p>
        </w:tc>
        <w:tc>
          <w:tcPr>
            <w:tcW w:w="3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B1EA">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r>
              <w:rPr>
                <w:rFonts w:hint="eastAsia"/>
                <w:b/>
                <w:bCs/>
                <w:lang w:val="en-US" w:eastAsia="zh-CN"/>
              </w:rPr>
              <w:t>其他未列明行业</w:t>
            </w:r>
          </w:p>
        </w:tc>
      </w:tr>
    </w:tbl>
    <w:p w14:paraId="689B40AD">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2802A5F0">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8D67005">
      <w:pPr>
        <w:spacing w:before="120" w:after="120" w:line="360" w:lineRule="auto"/>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t>第五章  评标方法与评标标准</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511C5593">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lang w:val="en-US" w:eastAsia="zh-CN"/>
        </w:rPr>
        <w:t>本项目采购包1、采购包2均</w:t>
      </w:r>
      <w:r>
        <w:rPr>
          <w:rFonts w:hint="eastAsia" w:ascii="宋体" w:hAnsi="宋体" w:eastAsia="宋体" w:cs="宋体"/>
          <w:bCs/>
          <w:color w:val="000000"/>
          <w:sz w:val="24"/>
          <w:szCs w:val="24"/>
          <w:highlight w:val="none"/>
        </w:rPr>
        <w:t>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3F03BC51">
      <w:pPr>
        <w:snapToGrid w:val="0"/>
        <w:spacing w:line="360" w:lineRule="auto"/>
        <w:ind w:firstLine="480" w:firstLineChars="20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注：同一供应商可同时参与上述2个采购包的投标，兼投不兼中，开、评定标顺序先采购包1→采购包2。</w:t>
      </w:r>
    </w:p>
    <w:p w14:paraId="7A676DAE">
      <w:pPr>
        <w:pStyle w:val="45"/>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1、中小企业价格扣除</w:t>
      </w:r>
    </w:p>
    <w:p w14:paraId="5A19E5A0">
      <w:pPr>
        <w:pStyle w:val="281"/>
        <w:ind w:firstLine="360" w:firstLineChars="150"/>
        <w:rPr>
          <w:rFonts w:hint="eastAsia" w:ascii="宋体" w:hAnsi="宋体" w:eastAsia="宋体" w:cs="宋体"/>
          <w:highlight w:val="none"/>
        </w:rPr>
      </w:pPr>
      <w:r>
        <w:rPr>
          <w:rFonts w:hint="eastAsia" w:ascii="宋体" w:hAnsi="宋体" w:eastAsia="宋体" w:cs="宋体"/>
          <w:highlight w:val="none"/>
        </w:rPr>
        <w:t>（1）本项目若不专门面向中小企业采购，对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给予20%的扣除价格，用扣除后的价格参与评审；若专门面向中小企业采购，不再对小型和微型企业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73B3C08A">
      <w:pPr>
        <w:pStyle w:val="45"/>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73ACDBA4">
      <w:pPr>
        <w:pStyle w:val="45"/>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123A9836">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48BAD8C1">
      <w:pPr>
        <w:pStyle w:val="45"/>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6DDC4FB5">
      <w:pPr>
        <w:pStyle w:val="45"/>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45"/>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7D3DF823">
      <w:pPr>
        <w:pStyle w:val="45"/>
        <w:spacing w:before="120" w:beforeAutospacing="0" w:after="120" w:afterAutospacing="0" w:line="0" w:lineRule="atLeast"/>
        <w:ind w:left="120" w:firstLine="36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70D78B33">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018A8531">
      <w:pPr>
        <w:pStyle w:val="45"/>
        <w:spacing w:before="120" w:beforeAutospacing="0" w:after="12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795098B7">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5A355A0F">
      <w:pPr>
        <w:pStyle w:val="45"/>
        <w:spacing w:before="120" w:beforeAutospacing="0" w:after="120" w:afterAutospacing="0" w:line="0" w:lineRule="atLeast"/>
        <w:ind w:firstLine="482"/>
        <w:rPr>
          <w:rFonts w:hint="eastAsia" w:ascii="宋体" w:hAnsi="宋体" w:eastAsia="宋体" w:cs="宋体"/>
          <w:b/>
          <w:color w:val="000000"/>
          <w:highlight w:val="none"/>
        </w:rPr>
      </w:pPr>
    </w:p>
    <w:p w14:paraId="1D0A8FF1">
      <w:pPr>
        <w:pStyle w:val="45"/>
        <w:spacing w:before="120" w:beforeAutospacing="0" w:after="120" w:afterAutospacing="0" w:line="0" w:lineRule="atLeast"/>
        <w:ind w:firstLine="482"/>
        <w:rPr>
          <w:rFonts w:hint="eastAsia" w:ascii="宋体" w:hAnsi="宋体" w:eastAsia="宋体" w:cs="宋体"/>
          <w:b/>
          <w:color w:val="000000"/>
          <w:highlight w:val="none"/>
        </w:rPr>
      </w:pPr>
    </w:p>
    <w:p w14:paraId="0A3836BB">
      <w:pPr>
        <w:pStyle w:val="45"/>
        <w:spacing w:before="120" w:beforeAutospacing="0" w:after="120" w:afterAutospacing="0" w:line="0" w:lineRule="atLeast"/>
        <w:ind w:firstLine="482"/>
        <w:rPr>
          <w:rFonts w:hint="eastAsia" w:ascii="宋体" w:hAnsi="宋体" w:eastAsia="宋体" w:cs="宋体"/>
          <w:b/>
          <w:color w:val="000000"/>
          <w:highlight w:val="none"/>
        </w:rPr>
      </w:pPr>
    </w:p>
    <w:p w14:paraId="52420140">
      <w:pPr>
        <w:pStyle w:val="45"/>
        <w:spacing w:before="120" w:beforeAutospacing="0" w:after="120" w:afterAutospacing="0" w:line="0" w:lineRule="atLeast"/>
        <w:ind w:firstLine="482"/>
        <w:rPr>
          <w:rFonts w:hint="eastAsia" w:ascii="宋体" w:hAnsi="宋体" w:eastAsia="宋体" w:cs="宋体"/>
          <w:b/>
          <w:color w:val="000000"/>
          <w:highlight w:val="none"/>
        </w:rPr>
      </w:pPr>
    </w:p>
    <w:p w14:paraId="28BF4BAC">
      <w:pPr>
        <w:pStyle w:val="45"/>
        <w:spacing w:before="120" w:beforeAutospacing="0" w:after="120" w:afterAutospacing="0" w:line="0" w:lineRule="atLeast"/>
        <w:ind w:firstLine="482"/>
        <w:rPr>
          <w:rFonts w:hint="eastAsia" w:ascii="宋体" w:hAnsi="宋体" w:eastAsia="宋体" w:cs="宋体"/>
          <w:b/>
          <w:color w:val="000000"/>
          <w:highlight w:val="none"/>
        </w:rPr>
      </w:pPr>
    </w:p>
    <w:p w14:paraId="44E7417D">
      <w:pPr>
        <w:pStyle w:val="45"/>
        <w:spacing w:before="120" w:beforeAutospacing="0" w:after="120" w:afterAutospacing="0" w:line="0" w:lineRule="atLeast"/>
        <w:ind w:firstLine="482"/>
        <w:rPr>
          <w:rFonts w:hint="eastAsia" w:ascii="宋体" w:hAnsi="宋体" w:eastAsia="宋体" w:cs="宋体"/>
          <w:b/>
          <w:color w:val="000000"/>
          <w:highlight w:val="none"/>
        </w:rPr>
      </w:pPr>
    </w:p>
    <w:p w14:paraId="5E2E0826">
      <w:pPr>
        <w:pStyle w:val="45"/>
        <w:spacing w:before="120" w:beforeAutospacing="0" w:after="120" w:afterAutospacing="0" w:line="0" w:lineRule="atLeast"/>
        <w:ind w:firstLine="482"/>
        <w:rPr>
          <w:rFonts w:hint="eastAsia" w:ascii="宋体" w:hAnsi="宋体" w:eastAsia="宋体" w:cs="宋体"/>
          <w:b/>
          <w:color w:val="000000"/>
          <w:highlight w:val="none"/>
        </w:rPr>
      </w:pPr>
    </w:p>
    <w:p w14:paraId="6E88F7B6">
      <w:pPr>
        <w:pStyle w:val="45"/>
        <w:spacing w:before="120" w:beforeAutospacing="0" w:after="120" w:afterAutospacing="0" w:line="0" w:lineRule="atLeast"/>
        <w:ind w:firstLine="482"/>
        <w:rPr>
          <w:rFonts w:hint="eastAsia" w:ascii="宋体" w:hAnsi="宋体" w:eastAsia="宋体" w:cs="宋体"/>
          <w:b/>
          <w:color w:val="000000"/>
          <w:highlight w:val="none"/>
        </w:rPr>
      </w:pPr>
    </w:p>
    <w:p w14:paraId="567B8B63">
      <w:pPr>
        <w:pStyle w:val="45"/>
        <w:spacing w:before="120" w:beforeAutospacing="0" w:after="120" w:afterAutospacing="0" w:line="0" w:lineRule="atLeast"/>
        <w:ind w:firstLine="482"/>
        <w:rPr>
          <w:rFonts w:hint="eastAsia" w:ascii="宋体" w:hAnsi="宋体" w:eastAsia="宋体" w:cs="宋体"/>
          <w:b/>
          <w:color w:val="000000"/>
          <w:highlight w:val="none"/>
        </w:rPr>
      </w:pPr>
    </w:p>
    <w:p w14:paraId="35B8C630">
      <w:pPr>
        <w:pStyle w:val="45"/>
        <w:spacing w:before="120" w:beforeAutospacing="0" w:after="120" w:afterAutospacing="0" w:line="0" w:lineRule="atLeast"/>
        <w:ind w:firstLine="482"/>
        <w:rPr>
          <w:rFonts w:hint="eastAsia" w:ascii="宋体" w:hAnsi="宋体" w:eastAsia="宋体" w:cs="宋体"/>
          <w:b/>
          <w:color w:val="000000"/>
          <w:highlight w:val="none"/>
        </w:rPr>
      </w:pPr>
    </w:p>
    <w:p w14:paraId="136AB4FD">
      <w:pPr>
        <w:pStyle w:val="45"/>
        <w:spacing w:before="120" w:beforeAutospacing="0" w:after="120" w:afterAutospacing="0" w:line="0" w:lineRule="atLeast"/>
        <w:ind w:firstLine="482"/>
        <w:rPr>
          <w:rFonts w:hint="eastAsia" w:ascii="宋体" w:hAnsi="宋体" w:eastAsia="宋体" w:cs="宋体"/>
          <w:b/>
          <w:color w:val="000000"/>
          <w:highlight w:val="none"/>
        </w:rPr>
      </w:pPr>
    </w:p>
    <w:p w14:paraId="47D41658">
      <w:pPr>
        <w:pStyle w:val="45"/>
        <w:spacing w:before="120" w:beforeAutospacing="0" w:after="120" w:afterAutospacing="0" w:line="0" w:lineRule="atLeast"/>
        <w:ind w:firstLine="482"/>
        <w:rPr>
          <w:rFonts w:hint="eastAsia" w:ascii="宋体" w:hAnsi="宋体" w:eastAsia="宋体" w:cs="宋体"/>
          <w:b/>
          <w:color w:val="000000"/>
          <w:highlight w:val="none"/>
        </w:rPr>
      </w:pPr>
    </w:p>
    <w:p w14:paraId="672E0B47">
      <w:pPr>
        <w:pStyle w:val="45"/>
        <w:spacing w:before="120" w:beforeAutospacing="0" w:after="120" w:afterAutospacing="0" w:line="0" w:lineRule="atLeast"/>
        <w:ind w:firstLine="482"/>
        <w:rPr>
          <w:rFonts w:hint="eastAsia" w:ascii="宋体" w:hAnsi="宋体" w:eastAsia="宋体" w:cs="宋体"/>
          <w:b/>
          <w:color w:val="000000"/>
          <w:highlight w:val="none"/>
        </w:rPr>
      </w:pPr>
    </w:p>
    <w:p w14:paraId="209A26FA">
      <w:pPr>
        <w:pStyle w:val="45"/>
        <w:spacing w:before="120" w:beforeAutospacing="0" w:after="120" w:afterAutospacing="0" w:line="0" w:lineRule="atLeast"/>
        <w:ind w:firstLine="482"/>
        <w:rPr>
          <w:rFonts w:hint="eastAsia" w:ascii="宋体" w:hAnsi="宋体" w:eastAsia="宋体" w:cs="宋体"/>
          <w:b/>
          <w:color w:val="000000"/>
          <w:highlight w:val="none"/>
        </w:rPr>
      </w:pPr>
    </w:p>
    <w:p w14:paraId="62119601">
      <w:pPr>
        <w:pStyle w:val="45"/>
        <w:spacing w:before="120" w:beforeAutospacing="0" w:after="120" w:afterAutospacing="0" w:line="0" w:lineRule="atLeast"/>
        <w:ind w:firstLine="482"/>
        <w:rPr>
          <w:rFonts w:hint="eastAsia" w:ascii="宋体" w:hAnsi="宋体" w:eastAsia="宋体" w:cs="宋体"/>
          <w:b/>
          <w:color w:val="000000"/>
          <w:highlight w:val="none"/>
        </w:rPr>
      </w:pPr>
    </w:p>
    <w:p w14:paraId="4AF3E749">
      <w:pPr>
        <w:pStyle w:val="45"/>
        <w:spacing w:before="120" w:beforeAutospacing="0" w:after="120" w:afterAutospacing="0" w:line="0" w:lineRule="atLeast"/>
        <w:ind w:firstLine="482"/>
        <w:rPr>
          <w:rFonts w:hint="eastAsia" w:ascii="宋体" w:hAnsi="宋体" w:eastAsia="宋体" w:cs="宋体"/>
          <w:b/>
          <w:color w:val="000000"/>
          <w:highlight w:val="none"/>
        </w:rPr>
      </w:pPr>
    </w:p>
    <w:p w14:paraId="184C69AD">
      <w:pPr>
        <w:pStyle w:val="45"/>
        <w:spacing w:before="120" w:beforeAutospacing="0" w:after="120" w:afterAutospacing="0" w:line="0" w:lineRule="atLeast"/>
        <w:ind w:firstLine="482"/>
        <w:rPr>
          <w:rFonts w:hint="eastAsia" w:ascii="宋体" w:hAnsi="宋体" w:eastAsia="宋体" w:cs="宋体"/>
          <w:b/>
          <w:color w:val="000000"/>
          <w:highlight w:val="none"/>
        </w:rPr>
      </w:pPr>
    </w:p>
    <w:p w14:paraId="599281A2">
      <w:pPr>
        <w:pStyle w:val="45"/>
        <w:spacing w:before="120" w:beforeAutospacing="0" w:after="120" w:afterAutospacing="0" w:line="0" w:lineRule="atLeast"/>
        <w:ind w:firstLine="482"/>
        <w:rPr>
          <w:rFonts w:hint="eastAsia" w:ascii="宋体" w:hAnsi="宋体" w:eastAsia="宋体" w:cs="宋体"/>
          <w:b/>
          <w:color w:val="000000"/>
          <w:highlight w:val="none"/>
        </w:rPr>
      </w:pPr>
    </w:p>
    <w:p w14:paraId="5B8AA94F">
      <w:pPr>
        <w:pStyle w:val="45"/>
        <w:spacing w:before="120" w:beforeAutospacing="0" w:after="120" w:afterAutospacing="0" w:line="0" w:lineRule="atLeast"/>
        <w:ind w:firstLine="482"/>
        <w:rPr>
          <w:rFonts w:hint="eastAsia" w:ascii="宋体" w:hAnsi="宋体" w:eastAsia="宋体" w:cs="宋体"/>
          <w:b/>
          <w:color w:val="000000"/>
          <w:highlight w:val="none"/>
        </w:rPr>
      </w:pPr>
    </w:p>
    <w:p w14:paraId="77D8AC53">
      <w:pPr>
        <w:pStyle w:val="45"/>
        <w:spacing w:before="120" w:beforeAutospacing="0" w:after="120" w:afterAutospacing="0" w:line="0" w:lineRule="atLeast"/>
        <w:ind w:firstLine="482"/>
        <w:rPr>
          <w:rFonts w:hint="eastAsia" w:ascii="宋体" w:hAnsi="宋体" w:eastAsia="宋体" w:cs="宋体"/>
          <w:b/>
          <w:color w:val="000000"/>
          <w:highlight w:val="none"/>
        </w:rPr>
      </w:pPr>
    </w:p>
    <w:p w14:paraId="135D293C">
      <w:pPr>
        <w:pStyle w:val="45"/>
        <w:spacing w:before="120" w:beforeAutospacing="0" w:after="120" w:afterAutospacing="0" w:line="0" w:lineRule="atLeast"/>
        <w:ind w:firstLine="482"/>
        <w:rPr>
          <w:rFonts w:hint="eastAsia" w:ascii="宋体" w:hAnsi="宋体" w:eastAsia="宋体" w:cs="宋体"/>
          <w:b/>
          <w:color w:val="000000"/>
          <w:highlight w:val="none"/>
        </w:rPr>
      </w:pPr>
    </w:p>
    <w:p w14:paraId="41DF4FF9">
      <w:pPr>
        <w:pStyle w:val="45"/>
        <w:spacing w:before="120" w:beforeAutospacing="0" w:after="120" w:afterAutospacing="0" w:line="0" w:lineRule="atLeast"/>
        <w:ind w:firstLine="482"/>
        <w:rPr>
          <w:rFonts w:hint="eastAsia" w:ascii="宋体" w:hAnsi="宋体" w:eastAsia="宋体" w:cs="宋体"/>
          <w:b/>
          <w:color w:val="000000"/>
          <w:highlight w:val="none"/>
        </w:rPr>
      </w:pPr>
    </w:p>
    <w:p w14:paraId="7CC0C503">
      <w:pPr>
        <w:pStyle w:val="45"/>
        <w:spacing w:before="120" w:beforeAutospacing="0" w:after="120" w:afterAutospacing="0" w:line="0" w:lineRule="atLeast"/>
        <w:ind w:firstLine="482"/>
        <w:rPr>
          <w:rFonts w:hint="eastAsia" w:ascii="宋体" w:hAnsi="宋体" w:eastAsia="宋体" w:cs="宋体"/>
          <w:highlight w:val="none"/>
        </w:rPr>
      </w:pPr>
      <w:r>
        <w:rPr>
          <w:rFonts w:hint="eastAsia" w:ascii="宋体" w:hAnsi="宋体" w:eastAsia="宋体" w:cs="宋体"/>
          <w:b/>
          <w:color w:val="000000"/>
          <w:highlight w:val="none"/>
        </w:rPr>
        <w:t>评标方法与评标标准</w:t>
      </w:r>
    </w:p>
    <w:tbl>
      <w:tblPr>
        <w:tblStyle w:val="52"/>
        <w:tblpPr w:leftFromText="180" w:rightFromText="180" w:vertAnchor="text" w:horzAnchor="page" w:tblpX="1734" w:tblpY="455"/>
        <w:tblOverlap w:val="never"/>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095"/>
        <w:gridCol w:w="774"/>
        <w:gridCol w:w="5901"/>
      </w:tblGrid>
      <w:tr w14:paraId="2A32E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743" w:type="dxa"/>
            <w:vAlign w:val="center"/>
          </w:tcPr>
          <w:p w14:paraId="1E33B733">
            <w:pPr>
              <w:wordWrap w:val="0"/>
              <w:topLinePunct/>
              <w:spacing w:line="320" w:lineRule="exact"/>
              <w:rPr>
                <w:rFonts w:ascii="Times New Roman" w:hAnsi="Times New Roman" w:eastAsia="宋体" w:cs="Times New Roman"/>
                <w:sz w:val="24"/>
              </w:rPr>
            </w:pPr>
            <w:r>
              <w:rPr>
                <w:rFonts w:ascii="Times New Roman" w:hAnsi="Times New Roman" w:eastAsia="宋体" w:cs="Times New Roman"/>
                <w:sz w:val="24"/>
              </w:rPr>
              <w:t>序号</w:t>
            </w:r>
          </w:p>
        </w:tc>
        <w:tc>
          <w:tcPr>
            <w:tcW w:w="1095" w:type="dxa"/>
            <w:vAlign w:val="center"/>
          </w:tcPr>
          <w:p w14:paraId="3B0F1F94">
            <w:pPr>
              <w:wordWrap w:val="0"/>
              <w:topLinePunct/>
              <w:spacing w:line="320" w:lineRule="exact"/>
              <w:rPr>
                <w:rFonts w:ascii="Times New Roman" w:hAnsi="Times New Roman" w:eastAsia="宋体" w:cs="Times New Roman"/>
                <w:sz w:val="24"/>
              </w:rPr>
            </w:pPr>
            <w:r>
              <w:rPr>
                <w:rFonts w:ascii="Times New Roman" w:hAnsi="Times New Roman" w:eastAsia="宋体" w:cs="Times New Roman"/>
                <w:sz w:val="24"/>
              </w:rPr>
              <w:t>评分项</w:t>
            </w:r>
          </w:p>
        </w:tc>
        <w:tc>
          <w:tcPr>
            <w:tcW w:w="774" w:type="dxa"/>
            <w:vAlign w:val="center"/>
          </w:tcPr>
          <w:p w14:paraId="6E88A0C6">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分值</w:t>
            </w:r>
          </w:p>
        </w:tc>
        <w:tc>
          <w:tcPr>
            <w:tcW w:w="5901" w:type="dxa"/>
            <w:vAlign w:val="center"/>
          </w:tcPr>
          <w:p w14:paraId="7C6C817B">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评分细则</w:t>
            </w:r>
          </w:p>
        </w:tc>
      </w:tr>
      <w:tr w14:paraId="6211B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7" w:hRule="atLeast"/>
        </w:trPr>
        <w:tc>
          <w:tcPr>
            <w:tcW w:w="743" w:type="dxa"/>
            <w:vAlign w:val="center"/>
          </w:tcPr>
          <w:p w14:paraId="1AFBF3E9">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1095" w:type="dxa"/>
            <w:vAlign w:val="center"/>
          </w:tcPr>
          <w:p w14:paraId="504FE6FB">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价格</w:t>
            </w:r>
          </w:p>
        </w:tc>
        <w:tc>
          <w:tcPr>
            <w:tcW w:w="774" w:type="dxa"/>
            <w:vAlign w:val="center"/>
          </w:tcPr>
          <w:p w14:paraId="4DCA9EEC">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1</w:t>
            </w:r>
            <w:r>
              <w:rPr>
                <w:rFonts w:ascii="Times New Roman" w:hAnsi="Times New Roman" w:eastAsia="宋体" w:cs="Times New Roman"/>
                <w:sz w:val="24"/>
              </w:rPr>
              <w:t>0分</w:t>
            </w:r>
          </w:p>
        </w:tc>
        <w:tc>
          <w:tcPr>
            <w:tcW w:w="5901" w:type="dxa"/>
            <w:vAlign w:val="center"/>
          </w:tcPr>
          <w:p w14:paraId="0E66B7FB">
            <w:pPr>
              <w:pStyle w:val="32"/>
              <w:spacing w:line="320" w:lineRule="exact"/>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采用最低价优先法计算，即满足招标文件要求且响应价格最低的响应报价为评标基准价，其价格分为满分10分。</w:t>
            </w:r>
          </w:p>
          <w:p w14:paraId="0D379E93">
            <w:pPr>
              <w:pStyle w:val="32"/>
              <w:spacing w:line="320" w:lineRule="exact"/>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其他供应商的价格分统一按照下列公式计算：响应报价得分=(评标基准价/响应报价)×10，（保留小数点后两位第三位四舍五入）。</w:t>
            </w:r>
          </w:p>
        </w:tc>
      </w:tr>
      <w:tr w14:paraId="6BACB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743" w:type="dxa"/>
            <w:shd w:val="clear" w:color="auto" w:fill="auto"/>
            <w:vAlign w:val="center"/>
          </w:tcPr>
          <w:p w14:paraId="2137AC42">
            <w:pPr>
              <w:wordWrap w:val="0"/>
              <w:topLinePunct/>
              <w:spacing w:line="320" w:lineRule="exact"/>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lang w:val="en-US" w:eastAsia="zh-CN"/>
              </w:rPr>
              <w:t>2</w:t>
            </w:r>
          </w:p>
        </w:tc>
        <w:tc>
          <w:tcPr>
            <w:tcW w:w="1095" w:type="dxa"/>
            <w:shd w:val="clear" w:color="auto" w:fill="auto"/>
            <w:vAlign w:val="center"/>
          </w:tcPr>
          <w:p w14:paraId="617A47DE">
            <w:pPr>
              <w:wordWrap w:val="0"/>
              <w:topLinePunct/>
              <w:spacing w:line="320" w:lineRule="exact"/>
              <w:jc w:val="both"/>
              <w:rPr>
                <w:rFonts w:hint="default"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企业实力</w:t>
            </w:r>
          </w:p>
        </w:tc>
        <w:tc>
          <w:tcPr>
            <w:tcW w:w="774" w:type="dxa"/>
            <w:shd w:val="clear" w:color="auto" w:fill="auto"/>
            <w:vAlign w:val="center"/>
          </w:tcPr>
          <w:p w14:paraId="3D34A47D">
            <w:pPr>
              <w:wordWrap w:val="0"/>
              <w:topLinePunct/>
              <w:spacing w:line="320" w:lineRule="exact"/>
              <w:jc w:val="center"/>
              <w:rPr>
                <w:rFonts w:hint="eastAsia" w:ascii="Times New Roman" w:hAnsi="Times New Roman" w:eastAsia="宋体" w:cs="Times New Roman"/>
                <w:bCs/>
                <w:kern w:val="2"/>
                <w:sz w:val="24"/>
                <w:szCs w:val="24"/>
                <w:lang w:val="en-US" w:eastAsia="zh-CN" w:bidi="ar-SA"/>
              </w:rPr>
            </w:pPr>
            <w:r>
              <w:rPr>
                <w:rFonts w:hint="eastAsia" w:ascii="Times New Roman" w:hAnsi="Times New Roman" w:eastAsia="宋体" w:cs="Times New Roman"/>
                <w:bCs/>
                <w:sz w:val="24"/>
                <w:lang w:val="en-US" w:eastAsia="zh-CN"/>
              </w:rPr>
              <w:t>8</w:t>
            </w:r>
            <w:r>
              <w:rPr>
                <w:rFonts w:hint="eastAsia" w:ascii="Times New Roman" w:hAnsi="Times New Roman" w:eastAsia="宋体" w:cs="Times New Roman"/>
                <w:bCs/>
                <w:sz w:val="24"/>
              </w:rPr>
              <w:t>分</w:t>
            </w:r>
          </w:p>
        </w:tc>
        <w:tc>
          <w:tcPr>
            <w:tcW w:w="5901" w:type="dxa"/>
            <w:shd w:val="clear" w:color="auto" w:fill="auto"/>
            <w:vAlign w:val="center"/>
          </w:tcPr>
          <w:p w14:paraId="48D1E32B">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1.投标人提供有效的并可在全国认证认可信息公共服务平台官网查询的下列证书的：</w:t>
            </w:r>
          </w:p>
          <w:p w14:paraId="12071C18">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（1）有效的质量管理体系认证证书，得1分；</w:t>
            </w:r>
          </w:p>
          <w:p w14:paraId="5AEDF26D">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（2）有效的环境管理体系认证证书，得1分；</w:t>
            </w:r>
          </w:p>
          <w:p w14:paraId="0BA307FA">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（3）有效的职业健康安全管理体系认证证书，得1分；</w:t>
            </w:r>
          </w:p>
          <w:p w14:paraId="61C12257">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（4）有效的售后服务认证证书，得1分；</w:t>
            </w:r>
          </w:p>
          <w:p w14:paraId="68D8A8AA">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（5）有效的信息安全管理体系认证证书，得1分。</w:t>
            </w:r>
          </w:p>
          <w:p w14:paraId="4594D814">
            <w:pPr>
              <w:jc w:val="left"/>
              <w:rPr>
                <w:rFonts w:hint="eastAsia" w:cs="Times New Roman"/>
                <w:kern w:val="0"/>
                <w:sz w:val="24"/>
                <w:highlight w:val="none"/>
                <w:lang w:val="en-US" w:eastAsia="zh-CN" w:bidi="ar"/>
              </w:rPr>
            </w:pPr>
            <w:r>
              <w:rPr>
                <w:rFonts w:hint="eastAsia" w:ascii="Times New Roman" w:hAnsi="Times New Roman" w:eastAsia="宋体" w:cs="Times New Roman"/>
                <w:sz w:val="24"/>
                <w:szCs w:val="24"/>
              </w:rPr>
              <w:t>注</w:t>
            </w:r>
            <w:r>
              <w:rPr>
                <w:rFonts w:hint="eastAsia" w:cs="Times New Roman"/>
                <w:kern w:val="0"/>
                <w:sz w:val="24"/>
                <w:lang w:val="en-US" w:eastAsia="zh-CN" w:bidi="ar"/>
              </w:rPr>
              <w:t>：本项最多得5分，以投标文件中提供的有效证书（认证范围须包含环保监测仪器等相关内容）及官网证书信息查询截图为评审依据。须同时提供相关认证证书的原件彩色扫描件和全国认证认可信息公共服务平台官网（网址：http://cx.cnca.cn/）查询截图，未按</w:t>
            </w:r>
            <w:r>
              <w:rPr>
                <w:rFonts w:hint="eastAsia" w:cs="Times New Roman"/>
                <w:kern w:val="0"/>
                <w:sz w:val="24"/>
                <w:highlight w:val="none"/>
                <w:lang w:val="en-US" w:eastAsia="zh-CN" w:bidi="ar"/>
              </w:rPr>
              <w:t>要求提供或提供不全的不得分。</w:t>
            </w:r>
          </w:p>
          <w:p w14:paraId="0F2432FD">
            <w:pPr>
              <w:jc w:val="left"/>
              <w:rPr>
                <w:rFonts w:ascii="Times New Roman" w:hAnsi="Times New Roman" w:eastAsia="宋体" w:cs="Times New Roman"/>
                <w:kern w:val="2"/>
                <w:sz w:val="24"/>
                <w:szCs w:val="24"/>
                <w:lang w:val="en-US" w:eastAsia="zh-CN" w:bidi="ar-SA"/>
              </w:rPr>
            </w:pPr>
            <w:r>
              <w:rPr>
                <w:rFonts w:hint="eastAsia" w:cs="Times New Roman"/>
                <w:kern w:val="0"/>
                <w:sz w:val="24"/>
                <w:highlight w:val="none"/>
                <w:lang w:val="en-US" w:eastAsia="zh-CN" w:bidi="ar"/>
              </w:rPr>
              <w:t>2.投标人具有自建数据采集分析汇总平台或系统的得3分；未按要求提供或提供不全的不得分；本项最多得3分。（无条件按甲方需求接入其他站点到平台或系统），中标后未有此能力按废标处理，并追究虚假承诺责任。</w:t>
            </w:r>
          </w:p>
        </w:tc>
      </w:tr>
      <w:tr w14:paraId="0175D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743" w:type="dxa"/>
            <w:vAlign w:val="center"/>
          </w:tcPr>
          <w:p w14:paraId="21D1D6F0">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3</w:t>
            </w:r>
          </w:p>
        </w:tc>
        <w:tc>
          <w:tcPr>
            <w:tcW w:w="1095" w:type="dxa"/>
            <w:vAlign w:val="center"/>
          </w:tcPr>
          <w:p w14:paraId="6259F5ED">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团队配置及保障能力</w:t>
            </w:r>
          </w:p>
        </w:tc>
        <w:tc>
          <w:tcPr>
            <w:tcW w:w="774" w:type="dxa"/>
            <w:vAlign w:val="center"/>
          </w:tcPr>
          <w:p w14:paraId="639DC158">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26</w:t>
            </w:r>
            <w:r>
              <w:rPr>
                <w:rFonts w:ascii="Times New Roman" w:hAnsi="Times New Roman" w:eastAsia="宋体" w:cs="Times New Roman"/>
                <w:sz w:val="24"/>
              </w:rPr>
              <w:t>分</w:t>
            </w:r>
          </w:p>
        </w:tc>
        <w:tc>
          <w:tcPr>
            <w:tcW w:w="5901" w:type="dxa"/>
            <w:vAlign w:val="center"/>
          </w:tcPr>
          <w:p w14:paraId="65CE8DE7">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1、投标人为本项目派遣的项目负责人具备环保类中级及以上技术职称证书</w:t>
            </w:r>
            <w:r>
              <w:rPr>
                <w:rFonts w:hint="eastAsia" w:ascii="Times New Roman" w:hAnsi="Times New Roman" w:eastAsia="宋体" w:cs="Times New Roman"/>
                <w:sz w:val="24"/>
                <w:szCs w:val="24"/>
              </w:rPr>
              <w:t>得2分，同时具备中国环境监测总站</w:t>
            </w:r>
            <w:r>
              <w:rPr>
                <w:rFonts w:ascii="Times New Roman" w:hAnsi="Times New Roman" w:eastAsia="宋体" w:cs="Times New Roman"/>
                <w:sz w:val="24"/>
                <w:szCs w:val="24"/>
              </w:rPr>
              <w:t>的环境空气自动监测运维</w:t>
            </w:r>
            <w:r>
              <w:rPr>
                <w:rFonts w:hint="eastAsia" w:ascii="Times New Roman" w:hAnsi="Times New Roman" w:eastAsia="宋体" w:cs="Times New Roman"/>
                <w:sz w:val="24"/>
                <w:szCs w:val="24"/>
              </w:rPr>
              <w:t>与质控</w:t>
            </w:r>
            <w:r>
              <w:rPr>
                <w:rFonts w:ascii="Times New Roman" w:hAnsi="Times New Roman" w:eastAsia="宋体" w:cs="Times New Roman"/>
                <w:sz w:val="24"/>
                <w:szCs w:val="24"/>
              </w:rPr>
              <w:t>技术培训</w:t>
            </w:r>
            <w:r>
              <w:rPr>
                <w:rFonts w:hint="eastAsia" w:ascii="Times New Roman" w:hAnsi="Times New Roman" w:eastAsia="宋体" w:cs="Times New Roman"/>
                <w:sz w:val="24"/>
                <w:szCs w:val="24"/>
              </w:rPr>
              <w:t>班</w:t>
            </w:r>
            <w:r>
              <w:rPr>
                <w:rFonts w:ascii="Times New Roman" w:hAnsi="Times New Roman" w:eastAsia="宋体" w:cs="Times New Roman"/>
                <w:sz w:val="24"/>
                <w:szCs w:val="24"/>
              </w:rPr>
              <w:t>合格证书</w:t>
            </w:r>
            <w:r>
              <w:rPr>
                <w:rFonts w:hint="eastAsia" w:ascii="Times New Roman" w:hAnsi="Times New Roman" w:eastAsia="宋体" w:cs="Times New Roman"/>
                <w:sz w:val="24"/>
                <w:szCs w:val="24"/>
              </w:rPr>
              <w:t>（且证书须在有效期内）</w:t>
            </w:r>
            <w:r>
              <w:rPr>
                <w:rFonts w:ascii="Times New Roman" w:hAnsi="Times New Roman" w:eastAsia="宋体" w:cs="Times New Roman"/>
                <w:sz w:val="24"/>
                <w:szCs w:val="24"/>
              </w:rPr>
              <w:t>的，得</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分；</w:t>
            </w:r>
            <w:r>
              <w:rPr>
                <w:rFonts w:hint="eastAsia" w:ascii="Times New Roman" w:hAnsi="Times New Roman" w:eastAsia="宋体" w:cs="Times New Roman"/>
                <w:sz w:val="24"/>
                <w:szCs w:val="24"/>
              </w:rPr>
              <w:t>本</w:t>
            </w:r>
            <w:r>
              <w:rPr>
                <w:rFonts w:hint="eastAsia" w:ascii="Times New Roman" w:hAnsi="Times New Roman" w:eastAsia="宋体" w:cs="Times New Roman"/>
                <w:sz w:val="24"/>
                <w:szCs w:val="24"/>
                <w:lang w:eastAsia="zh-CN"/>
              </w:rPr>
              <w:t>项</w:t>
            </w:r>
            <w:r>
              <w:rPr>
                <w:rFonts w:hint="eastAsia" w:ascii="Times New Roman" w:hAnsi="Times New Roman" w:eastAsia="宋体" w:cs="Times New Roman"/>
                <w:sz w:val="24"/>
                <w:szCs w:val="24"/>
              </w:rPr>
              <w:t>最高得5分，</w:t>
            </w:r>
            <w:r>
              <w:rPr>
                <w:rFonts w:ascii="Times New Roman" w:hAnsi="Times New Roman" w:eastAsia="宋体" w:cs="Times New Roman"/>
                <w:sz w:val="24"/>
                <w:szCs w:val="24"/>
              </w:rPr>
              <w:t>未提供的不得分。</w:t>
            </w:r>
          </w:p>
          <w:p w14:paraId="1B369164">
            <w:pPr>
              <w:pStyle w:val="32"/>
              <w:spacing w:line="32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b/>
                <w:bCs/>
                <w:sz w:val="24"/>
                <w:szCs w:val="24"/>
              </w:rPr>
              <w:t>注：</w:t>
            </w:r>
            <w:r>
              <w:rPr>
                <w:rFonts w:hint="eastAsia" w:ascii="Times New Roman" w:hAnsi="Times New Roman" w:eastAsia="宋体" w:cs="Times New Roman"/>
                <w:sz w:val="24"/>
                <w:szCs w:val="24"/>
              </w:rPr>
              <w:t>上述人员须提供相应的证书原件彩色扫描件</w:t>
            </w:r>
            <w:r>
              <w:rPr>
                <w:rFonts w:ascii="Times New Roman" w:hAnsi="Times New Roman" w:eastAsia="宋体" w:cs="Times New Roman"/>
                <w:color w:val="000000" w:themeColor="text1"/>
                <w:sz w:val="24"/>
                <w:szCs w:val="24"/>
                <w14:textFill>
                  <w14:solidFill>
                    <w14:schemeClr w14:val="tx1"/>
                  </w14:solidFill>
                </w14:textFill>
              </w:rPr>
              <w:t>并加盖投标人公章</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14:paraId="70031368">
            <w:pPr>
              <w:pStyle w:val="32"/>
              <w:spacing w:line="320" w:lineRule="exact"/>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2、投标人为本项目派遣的现场运维人员不少于</w:t>
            </w:r>
            <w:r>
              <w:rPr>
                <w:rFonts w:hint="eastAsia" w:ascii="Times New Roman" w:hAnsi="Times New Roman" w:eastAsia="宋体" w:cs="Times New Roman"/>
                <w:sz w:val="24"/>
                <w:szCs w:val="24"/>
              </w:rPr>
              <w:t>3</w:t>
            </w:r>
            <w:r>
              <w:rPr>
                <w:rFonts w:ascii="Times New Roman" w:hAnsi="Times New Roman" w:eastAsia="宋体" w:cs="Times New Roman"/>
                <w:sz w:val="24"/>
                <w:szCs w:val="24"/>
              </w:rPr>
              <w:t>人</w:t>
            </w:r>
            <w:r>
              <w:rPr>
                <w:rFonts w:hint="eastAsia" w:ascii="Times New Roman" w:hAnsi="Times New Roman" w:eastAsia="宋体" w:cs="Times New Roman"/>
                <w:sz w:val="24"/>
                <w:szCs w:val="24"/>
              </w:rPr>
              <w:t>，</w:t>
            </w:r>
            <w:r>
              <w:rPr>
                <w:rFonts w:hint="eastAsia" w:cs="Times New Roman"/>
                <w:sz w:val="24"/>
                <w:szCs w:val="24"/>
                <w:lang w:eastAsia="zh-CN"/>
              </w:rPr>
              <w:t>现场巡查及数据审核人员</w:t>
            </w:r>
            <w:r>
              <w:rPr>
                <w:rFonts w:hint="eastAsia" w:ascii="Times New Roman" w:hAnsi="Times New Roman" w:eastAsia="宋体" w:cs="Times New Roman"/>
                <w:sz w:val="24"/>
                <w:szCs w:val="24"/>
              </w:rPr>
              <w:t>不少于1人</w:t>
            </w:r>
            <w:r>
              <w:rPr>
                <w:rFonts w:ascii="Times New Roman" w:hAnsi="Times New Roman" w:eastAsia="宋体" w:cs="Times New Roman"/>
                <w:sz w:val="24"/>
                <w:szCs w:val="24"/>
              </w:rPr>
              <w:t>，须取得</w:t>
            </w:r>
            <w:r>
              <w:rPr>
                <w:rFonts w:hint="eastAsia" w:ascii="Times New Roman" w:hAnsi="Times New Roman" w:eastAsia="宋体" w:cs="Times New Roman"/>
                <w:sz w:val="24"/>
                <w:szCs w:val="24"/>
              </w:rPr>
              <w:t>中国环境监测总站</w:t>
            </w:r>
            <w:r>
              <w:rPr>
                <w:rFonts w:ascii="Times New Roman" w:hAnsi="Times New Roman" w:eastAsia="宋体" w:cs="Times New Roman"/>
                <w:sz w:val="24"/>
                <w:szCs w:val="24"/>
              </w:rPr>
              <w:t>的环境空气自动监测运维</w:t>
            </w:r>
            <w:r>
              <w:rPr>
                <w:rFonts w:hint="eastAsia" w:ascii="Times New Roman" w:hAnsi="Times New Roman" w:eastAsia="宋体" w:cs="Times New Roman"/>
                <w:sz w:val="24"/>
                <w:szCs w:val="24"/>
              </w:rPr>
              <w:t>与质控</w:t>
            </w:r>
            <w:r>
              <w:rPr>
                <w:rFonts w:ascii="Times New Roman" w:hAnsi="Times New Roman" w:eastAsia="宋体" w:cs="Times New Roman"/>
                <w:sz w:val="24"/>
                <w:szCs w:val="24"/>
              </w:rPr>
              <w:t>技术培训</w:t>
            </w:r>
            <w:r>
              <w:rPr>
                <w:rFonts w:hint="eastAsia" w:ascii="Times New Roman" w:hAnsi="Times New Roman" w:eastAsia="宋体" w:cs="Times New Roman"/>
                <w:sz w:val="24"/>
                <w:szCs w:val="24"/>
              </w:rPr>
              <w:t>班</w:t>
            </w:r>
            <w:r>
              <w:rPr>
                <w:rFonts w:ascii="Times New Roman" w:hAnsi="Times New Roman" w:eastAsia="宋体" w:cs="Times New Roman"/>
                <w:sz w:val="24"/>
                <w:szCs w:val="24"/>
              </w:rPr>
              <w:t>合格证书</w:t>
            </w:r>
            <w:r>
              <w:rPr>
                <w:rFonts w:hint="eastAsia" w:ascii="Times New Roman" w:hAnsi="Times New Roman" w:eastAsia="宋体" w:cs="Times New Roman"/>
                <w:sz w:val="24"/>
                <w:szCs w:val="24"/>
              </w:rPr>
              <w:t>（且证书须在有效期内）</w:t>
            </w:r>
            <w:r>
              <w:rPr>
                <w:rFonts w:ascii="Times New Roman" w:hAnsi="Times New Roman" w:eastAsia="宋体" w:cs="Times New Roman"/>
                <w:sz w:val="24"/>
                <w:szCs w:val="24"/>
              </w:rPr>
              <w:t>，每提供1人得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分，本项最高得</w:t>
            </w:r>
            <w:r>
              <w:rPr>
                <w:rFonts w:hint="eastAsia" w:ascii="Times New Roman" w:hAnsi="Times New Roman" w:eastAsia="宋体" w:cs="Times New Roman"/>
                <w:sz w:val="24"/>
                <w:szCs w:val="24"/>
              </w:rPr>
              <w:t>10</w:t>
            </w:r>
            <w:r>
              <w:rPr>
                <w:rFonts w:ascii="Times New Roman" w:hAnsi="Times New Roman" w:eastAsia="宋体" w:cs="Times New Roman"/>
                <w:sz w:val="24"/>
                <w:szCs w:val="24"/>
              </w:rPr>
              <w:t>分；未提供的不得分。</w:t>
            </w:r>
            <w:r>
              <w:rPr>
                <w:rFonts w:hint="eastAsia" w:ascii="Times New Roman" w:hAnsi="Times New Roman" w:eastAsia="宋体" w:cs="Times New Roman"/>
                <w:sz w:val="24"/>
                <w:szCs w:val="24"/>
                <w:lang w:eastAsia="zh-CN"/>
              </w:rPr>
              <w:t>少于</w:t>
            </w:r>
            <w:r>
              <w:rPr>
                <w:rFonts w:hint="eastAsia" w:ascii="Times New Roman" w:hAnsi="Times New Roman" w:eastAsia="宋体" w:cs="Times New Roman"/>
                <w:sz w:val="24"/>
                <w:szCs w:val="24"/>
                <w:lang w:val="en-US" w:eastAsia="zh-CN"/>
              </w:rPr>
              <w:t>3人不得分。</w:t>
            </w:r>
          </w:p>
          <w:p w14:paraId="195245D8">
            <w:pPr>
              <w:pStyle w:val="32"/>
              <w:spacing w:line="32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b/>
                <w:bCs/>
                <w:sz w:val="24"/>
                <w:szCs w:val="24"/>
              </w:rPr>
              <w:t>注：</w:t>
            </w:r>
            <w:r>
              <w:rPr>
                <w:rFonts w:hint="eastAsia" w:ascii="Times New Roman" w:hAnsi="Times New Roman" w:eastAsia="宋体" w:cs="Times New Roman"/>
                <w:sz w:val="24"/>
                <w:szCs w:val="24"/>
              </w:rPr>
              <w:t>上述人员须提供相应的证书原件彩色扫描件</w:t>
            </w:r>
            <w:r>
              <w:rPr>
                <w:rFonts w:ascii="Times New Roman" w:hAnsi="Times New Roman" w:eastAsia="宋体" w:cs="Times New Roman"/>
                <w:color w:val="000000" w:themeColor="text1"/>
                <w:sz w:val="24"/>
                <w:szCs w:val="24"/>
                <w14:textFill>
                  <w14:solidFill>
                    <w14:schemeClr w14:val="tx1"/>
                  </w14:solidFill>
                </w14:textFill>
              </w:rPr>
              <w:t>并加盖投标人公章</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14:paraId="744D437D">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3、投标人应为本项目提供不少于</w:t>
            </w:r>
            <w:r>
              <w:rPr>
                <w:rFonts w:hint="eastAsia" w:ascii="Times New Roman" w:hAnsi="Times New Roman" w:eastAsia="宋体" w:cs="Times New Roman"/>
                <w:sz w:val="24"/>
                <w:szCs w:val="24"/>
              </w:rPr>
              <w:t>3</w:t>
            </w:r>
            <w:r>
              <w:rPr>
                <w:rFonts w:ascii="Times New Roman" w:hAnsi="Times New Roman" w:eastAsia="宋体" w:cs="Times New Roman"/>
                <w:sz w:val="24"/>
                <w:szCs w:val="24"/>
              </w:rPr>
              <w:t>辆运维车辆，每提供1辆得</w:t>
            </w:r>
            <w:r>
              <w:rPr>
                <w:rFonts w:hint="eastAsia" w:cs="Times New Roman"/>
                <w:sz w:val="24"/>
                <w:szCs w:val="24"/>
                <w:lang w:val="en-US" w:eastAsia="zh-CN"/>
              </w:rPr>
              <w:t>0.5</w:t>
            </w:r>
            <w:r>
              <w:rPr>
                <w:rFonts w:ascii="Times New Roman" w:hAnsi="Times New Roman" w:eastAsia="宋体" w:cs="Times New Roman"/>
                <w:sz w:val="24"/>
                <w:szCs w:val="24"/>
              </w:rPr>
              <w:t>分，本项最高得</w:t>
            </w:r>
            <w:r>
              <w:rPr>
                <w:rFonts w:hint="eastAsia" w:cs="Times New Roman"/>
                <w:sz w:val="24"/>
                <w:szCs w:val="24"/>
                <w:lang w:val="en-US" w:eastAsia="zh-CN"/>
              </w:rPr>
              <w:t>2</w:t>
            </w:r>
            <w:r>
              <w:rPr>
                <w:rFonts w:ascii="Times New Roman" w:hAnsi="Times New Roman" w:eastAsia="宋体" w:cs="Times New Roman"/>
                <w:sz w:val="24"/>
                <w:szCs w:val="24"/>
              </w:rPr>
              <w:t>分，未提供的不得分</w:t>
            </w:r>
            <w:r>
              <w:rPr>
                <w:rFonts w:hint="eastAsia" w:ascii="Times New Roman" w:hAnsi="Times New Roman" w:eastAsia="宋体" w:cs="Times New Roman"/>
                <w:sz w:val="24"/>
                <w:szCs w:val="24"/>
                <w:lang w:eastAsia="zh-CN"/>
              </w:rPr>
              <w:t>，少于</w:t>
            </w:r>
            <w:r>
              <w:rPr>
                <w:rFonts w:hint="eastAsia" w:ascii="Times New Roman" w:hAnsi="Times New Roman" w:eastAsia="宋体" w:cs="Times New Roman"/>
                <w:sz w:val="24"/>
                <w:szCs w:val="24"/>
                <w:lang w:val="en-US" w:eastAsia="zh-CN"/>
              </w:rPr>
              <w:t>3辆不得分。</w:t>
            </w:r>
          </w:p>
          <w:p w14:paraId="368ED77A">
            <w:pPr>
              <w:pStyle w:val="32"/>
              <w:spacing w:line="320" w:lineRule="exact"/>
              <w:rPr>
                <w:rFonts w:ascii="Times New Roman" w:hAnsi="Times New Roman" w:eastAsia="宋体" w:cs="Times New Roman"/>
                <w:sz w:val="24"/>
                <w:szCs w:val="24"/>
              </w:rPr>
            </w:pPr>
            <w:r>
              <w:rPr>
                <w:rFonts w:ascii="Times New Roman" w:hAnsi="Times New Roman" w:eastAsia="宋体" w:cs="Times New Roman"/>
                <w:b/>
                <w:bCs/>
                <w:sz w:val="24"/>
                <w:szCs w:val="24"/>
              </w:rPr>
              <w:t>注：</w:t>
            </w:r>
            <w:r>
              <w:rPr>
                <w:rFonts w:ascii="Times New Roman" w:hAnsi="Times New Roman" w:eastAsia="宋体" w:cs="Times New Roman"/>
                <w:sz w:val="24"/>
                <w:szCs w:val="24"/>
              </w:rPr>
              <w:t>投标时须提供投标人自有车辆行驶证原件彩色扫描</w:t>
            </w:r>
            <w:r>
              <w:rPr>
                <w:rFonts w:ascii="Times New Roman" w:hAnsi="Times New Roman" w:eastAsia="宋体" w:cs="Times New Roman"/>
                <w:color w:val="000000" w:themeColor="text1"/>
                <w:sz w:val="24"/>
                <w:szCs w:val="24"/>
                <w14:textFill>
                  <w14:solidFill>
                    <w14:schemeClr w14:val="tx1"/>
                  </w14:solidFill>
                </w14:textFill>
              </w:rPr>
              <w:t>件并加盖投标人公章</w:t>
            </w:r>
            <w:r>
              <w:rPr>
                <w:rFonts w:hint="eastAsia" w:cs="Times New Roman"/>
                <w:color w:val="000000" w:themeColor="text1"/>
                <w:sz w:val="24"/>
                <w:szCs w:val="24"/>
                <w:lang w:val="en-US" w:eastAsia="zh-CN"/>
                <w14:textFill>
                  <w14:solidFill>
                    <w14:schemeClr w14:val="tx1"/>
                  </w14:solidFill>
                </w14:textFill>
              </w:rPr>
              <w:t>或租赁车辆合同及</w:t>
            </w:r>
            <w:r>
              <w:rPr>
                <w:rFonts w:ascii="Times New Roman" w:hAnsi="Times New Roman" w:eastAsia="宋体" w:cs="Times New Roman"/>
                <w:sz w:val="24"/>
                <w:szCs w:val="24"/>
              </w:rPr>
              <w:t>车辆行驶证原件彩色扫描</w:t>
            </w:r>
            <w:r>
              <w:rPr>
                <w:rFonts w:ascii="Times New Roman" w:hAnsi="Times New Roman" w:eastAsia="宋体" w:cs="Times New Roman"/>
                <w:color w:val="000000" w:themeColor="text1"/>
                <w:sz w:val="24"/>
                <w:szCs w:val="24"/>
                <w14:textFill>
                  <w14:solidFill>
                    <w14:schemeClr w14:val="tx1"/>
                  </w14:solidFill>
                </w14:textFill>
              </w:rPr>
              <w:t>件并加盖投标人公章，</w:t>
            </w:r>
            <w:r>
              <w:rPr>
                <w:rFonts w:ascii="Times New Roman" w:hAnsi="Times New Roman" w:eastAsia="宋体" w:cs="Times New Roman"/>
                <w:sz w:val="24"/>
                <w:szCs w:val="24"/>
              </w:rPr>
              <w:t>否则不得分。</w:t>
            </w:r>
          </w:p>
          <w:p w14:paraId="259FB081">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4、投标人针对本项目能够提供PM2.5、PM10、O3、CO、SO2、NO2六项指标自动监测仪器备机的（原则上备机应与站点原设备同品牌，若非同品牌的，备机监测原理须与原机匹配，性能及功能应满足相关国家标准和技术要求），</w:t>
            </w:r>
            <w:r>
              <w:rPr>
                <w:rFonts w:hint="eastAsia" w:cs="Times New Roman"/>
                <w:kern w:val="0"/>
                <w:sz w:val="24"/>
                <w:lang w:val="en-US" w:eastAsia="zh-CN" w:bidi="ar"/>
              </w:rPr>
              <w:t>本项最多得</w:t>
            </w:r>
            <w:r>
              <w:rPr>
                <w:rFonts w:hint="eastAsia" w:cs="Times New Roman"/>
                <w:sz w:val="24"/>
                <w:szCs w:val="24"/>
                <w:lang w:val="en-US" w:eastAsia="zh-CN"/>
              </w:rPr>
              <w:t>9</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eastAsia="zh-CN"/>
              </w:rPr>
              <w:t>上述</w:t>
            </w:r>
            <w:r>
              <w:rPr>
                <w:rFonts w:hint="eastAsia" w:ascii="Times New Roman" w:hAnsi="Times New Roman" w:eastAsia="宋体" w:cs="Times New Roman"/>
                <w:sz w:val="24"/>
                <w:szCs w:val="24"/>
                <w:lang w:val="en-US" w:eastAsia="zh-CN"/>
              </w:rPr>
              <w:t>6项指标</w:t>
            </w:r>
            <w:r>
              <w:rPr>
                <w:rFonts w:hint="eastAsia" w:ascii="Times New Roman" w:hAnsi="Times New Roman" w:eastAsia="宋体" w:cs="Times New Roman"/>
                <w:sz w:val="24"/>
                <w:szCs w:val="24"/>
                <w:lang w:eastAsia="zh-CN"/>
              </w:rPr>
              <w:t>要求的</w:t>
            </w:r>
            <w:r>
              <w:rPr>
                <w:rFonts w:hint="eastAsia" w:ascii="Times New Roman" w:hAnsi="Times New Roman" w:eastAsia="宋体" w:cs="Times New Roman"/>
                <w:sz w:val="24"/>
                <w:szCs w:val="24"/>
                <w:lang w:val="en-US" w:eastAsia="zh-CN"/>
              </w:rPr>
              <w:t>备机数量不足</w:t>
            </w:r>
            <w:r>
              <w:rPr>
                <w:rFonts w:ascii="Times New Roman" w:hAnsi="Times New Roman" w:eastAsia="宋体" w:cs="Times New Roman"/>
                <w:sz w:val="24"/>
                <w:szCs w:val="24"/>
              </w:rPr>
              <w:t>或</w:t>
            </w:r>
            <w:r>
              <w:rPr>
                <w:rFonts w:hint="eastAsia" w:ascii="Times New Roman" w:hAnsi="Times New Roman" w:eastAsia="宋体" w:cs="Times New Roman"/>
                <w:sz w:val="24"/>
                <w:szCs w:val="24"/>
                <w:lang w:eastAsia="zh-CN"/>
              </w:rPr>
              <w:t>提供</w:t>
            </w:r>
            <w:r>
              <w:rPr>
                <w:rFonts w:ascii="Times New Roman" w:hAnsi="Times New Roman" w:eastAsia="宋体" w:cs="Times New Roman"/>
                <w:sz w:val="24"/>
                <w:szCs w:val="24"/>
              </w:rPr>
              <w:t>不符合要求的</w:t>
            </w:r>
            <w:r>
              <w:rPr>
                <w:rFonts w:hint="eastAsia" w:ascii="Times New Roman" w:hAnsi="Times New Roman" w:eastAsia="宋体" w:cs="Times New Roman"/>
                <w:sz w:val="24"/>
                <w:szCs w:val="24"/>
                <w:lang w:eastAsia="zh-CN"/>
              </w:rPr>
              <w:t>备机</w:t>
            </w:r>
            <w:r>
              <w:rPr>
                <w:rFonts w:ascii="Times New Roman" w:hAnsi="Times New Roman" w:eastAsia="宋体" w:cs="Times New Roman"/>
                <w:sz w:val="24"/>
                <w:szCs w:val="24"/>
              </w:rPr>
              <w:t>均不得分。</w:t>
            </w:r>
          </w:p>
          <w:p w14:paraId="653C34F9">
            <w:pPr>
              <w:pStyle w:val="32"/>
              <w:spacing w:line="320" w:lineRule="exact"/>
              <w:rPr>
                <w:rFonts w:ascii="Times New Roman" w:hAnsi="Times New Roman" w:eastAsia="宋体" w:cs="Times New Roman"/>
                <w:sz w:val="24"/>
                <w:szCs w:val="24"/>
              </w:rPr>
            </w:pPr>
            <w:r>
              <w:rPr>
                <w:rFonts w:ascii="Times New Roman" w:hAnsi="Times New Roman" w:eastAsia="宋体" w:cs="Times New Roman"/>
                <w:b/>
                <w:bCs/>
                <w:sz w:val="24"/>
                <w:szCs w:val="24"/>
              </w:rPr>
              <w:t>注：</w:t>
            </w:r>
            <w:r>
              <w:rPr>
                <w:rFonts w:ascii="Times New Roman" w:hAnsi="Times New Roman" w:eastAsia="宋体" w:cs="Times New Roman"/>
                <w:sz w:val="24"/>
                <w:szCs w:val="24"/>
              </w:rPr>
              <w:t>投标人提供拟作为本项目备机的仪器设备清单：包括但不限于备机种类、数量、品牌、型号、原理、购置合同、发票（合同、发票名称须与投标人名称一致）及设备图片等原件彩色扫描件并加盖投标人公章，若非同品牌的，须额外提供该仪器设备有效期内的生态环境部环境监测仪器质量监督检验中心适用性检测证书原件彩色扫描件并加盖投标人公章，否则不得分。</w:t>
            </w:r>
          </w:p>
        </w:tc>
      </w:tr>
      <w:tr w14:paraId="11081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743" w:type="dxa"/>
            <w:vAlign w:val="center"/>
          </w:tcPr>
          <w:p w14:paraId="4B4A208E">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4</w:t>
            </w:r>
          </w:p>
        </w:tc>
        <w:tc>
          <w:tcPr>
            <w:tcW w:w="1095" w:type="dxa"/>
            <w:vAlign w:val="center"/>
          </w:tcPr>
          <w:p w14:paraId="34035139">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运维服务方案</w:t>
            </w:r>
          </w:p>
        </w:tc>
        <w:tc>
          <w:tcPr>
            <w:tcW w:w="774" w:type="dxa"/>
            <w:vAlign w:val="center"/>
          </w:tcPr>
          <w:p w14:paraId="2BB7581C">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28</w:t>
            </w:r>
            <w:r>
              <w:rPr>
                <w:rFonts w:ascii="Times New Roman" w:hAnsi="Times New Roman" w:eastAsia="宋体" w:cs="Times New Roman"/>
                <w:sz w:val="24"/>
              </w:rPr>
              <w:t>分</w:t>
            </w:r>
          </w:p>
        </w:tc>
        <w:tc>
          <w:tcPr>
            <w:tcW w:w="5901" w:type="dxa"/>
            <w:vAlign w:val="center"/>
          </w:tcPr>
          <w:p w14:paraId="0BC0E453">
            <w:pPr>
              <w:wordWrap w:val="0"/>
              <w:topLinePunct/>
              <w:spacing w:line="320" w:lineRule="exact"/>
              <w:rPr>
                <w:rFonts w:ascii="Times New Roman" w:hAnsi="Times New Roman" w:eastAsia="宋体" w:cs="Times New Roman"/>
                <w:sz w:val="24"/>
              </w:rPr>
            </w:pPr>
            <w:r>
              <w:rPr>
                <w:rFonts w:ascii="Times New Roman" w:hAnsi="Times New Roman" w:eastAsia="宋体" w:cs="Times New Roman"/>
                <w:sz w:val="24"/>
              </w:rPr>
              <w:t>1、日常维护方案。内容包括但不限于制定监测设备操作规程、制定规章制度、日常维护、定期巡检、故障维修及运维台账管理等。由评委根据投标人提供方案的完整性、针对性、可操作性等情况进行综合评分</w:t>
            </w:r>
            <w:r>
              <w:rPr>
                <w:rFonts w:hint="eastAsia" w:cs="Times New Roman"/>
                <w:sz w:val="24"/>
                <w:lang w:eastAsia="zh-CN"/>
              </w:rPr>
              <w:t>（</w:t>
            </w:r>
            <w:r>
              <w:rPr>
                <w:rFonts w:hint="eastAsia" w:cs="Times New Roman"/>
                <w:kern w:val="0"/>
                <w:sz w:val="24"/>
                <w:lang w:val="en-US" w:eastAsia="zh-CN" w:bidi="ar"/>
              </w:rPr>
              <w:t>本项最多得8分）</w:t>
            </w:r>
            <w:r>
              <w:rPr>
                <w:rFonts w:ascii="Times New Roman" w:hAnsi="Times New Roman" w:eastAsia="宋体" w:cs="Times New Roman"/>
                <w:sz w:val="24"/>
              </w:rPr>
              <w:t>：</w:t>
            </w:r>
          </w:p>
          <w:p w14:paraId="734548DF">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5C80DA8E">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43BE5EB8">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1C4B1B28">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（4）方案未提供或提供不符合要求的不得分。</w:t>
            </w:r>
          </w:p>
          <w:p w14:paraId="6FBEEE15">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2、数据管理方案。内容包括但不限于数据审核、异常数据识别、相应处理</w:t>
            </w:r>
            <w:r>
              <w:rPr>
                <w:rFonts w:ascii="Times New Roman" w:hAnsi="Times New Roman" w:eastAsia="宋体" w:cs="Times New Roman"/>
                <w:sz w:val="24"/>
              </w:rPr>
              <w:t>措施及</w:t>
            </w:r>
            <w:r>
              <w:rPr>
                <w:rFonts w:ascii="Times New Roman" w:hAnsi="Times New Roman" w:eastAsia="宋体" w:cs="Times New Roman"/>
                <w:kern w:val="0"/>
                <w:sz w:val="24"/>
                <w:lang w:bidi="ar"/>
              </w:rPr>
              <w:t>数据统计分析等。由评委根据投标人提供方案的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r>
              <w:rPr>
                <w:rFonts w:hint="eastAsia" w:cs="Times New Roman"/>
                <w:sz w:val="24"/>
                <w:lang w:eastAsia="zh-CN"/>
              </w:rPr>
              <w:t>（</w:t>
            </w:r>
            <w:r>
              <w:rPr>
                <w:rFonts w:hint="eastAsia" w:cs="Times New Roman"/>
                <w:kern w:val="0"/>
                <w:sz w:val="24"/>
                <w:lang w:val="en-US" w:eastAsia="zh-CN" w:bidi="ar"/>
              </w:rPr>
              <w:t>本项最多得8分）</w:t>
            </w:r>
            <w:r>
              <w:rPr>
                <w:rFonts w:ascii="Times New Roman" w:hAnsi="Times New Roman" w:eastAsia="宋体" w:cs="Times New Roman"/>
                <w:kern w:val="0"/>
                <w:sz w:val="24"/>
                <w:lang w:bidi="ar"/>
              </w:rPr>
              <w:t>：</w:t>
            </w:r>
          </w:p>
          <w:p w14:paraId="4EA0ADEF">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1F425FC5">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123519FC">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3CC076CF">
            <w:p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kern w:val="0"/>
                <w:sz w:val="24"/>
                <w:lang w:bidi="ar"/>
              </w:rPr>
              <w:t>（4）方案未提供或提供不符合要求的不得分。</w:t>
            </w:r>
          </w:p>
          <w:p w14:paraId="7689B0DE">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3、站点交接方案。内容包括但不限于人员安排、职责分工、时间安排、交接内容、交接流程等。由评委根据投标人提供方案的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r>
              <w:rPr>
                <w:rFonts w:hint="eastAsia" w:cs="Times New Roman"/>
                <w:sz w:val="24"/>
                <w:lang w:eastAsia="zh-CN"/>
              </w:rPr>
              <w:t>（</w:t>
            </w:r>
            <w:r>
              <w:rPr>
                <w:rFonts w:hint="eastAsia" w:cs="Times New Roman"/>
                <w:kern w:val="0"/>
                <w:sz w:val="24"/>
                <w:lang w:val="en-US" w:eastAsia="zh-CN" w:bidi="ar"/>
              </w:rPr>
              <w:t>本项最多得8分）</w:t>
            </w:r>
            <w:r>
              <w:rPr>
                <w:rFonts w:ascii="Times New Roman" w:hAnsi="Times New Roman" w:eastAsia="宋体" w:cs="Times New Roman"/>
                <w:kern w:val="0"/>
                <w:sz w:val="24"/>
                <w:lang w:bidi="ar"/>
              </w:rPr>
              <w:t>：</w:t>
            </w:r>
          </w:p>
          <w:p w14:paraId="7A667079">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p>
          <w:p w14:paraId="2F2976D8">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p>
          <w:p w14:paraId="760037CB">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57A2FBD1">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（4）方案未提供或提供不符合要求的不得分。</w:t>
            </w:r>
          </w:p>
          <w:p w14:paraId="3B8EF07E">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4、售后服务方案。内容包括但不限于提供</w:t>
            </w:r>
            <w:r>
              <w:rPr>
                <w:rFonts w:ascii="Times New Roman" w:hAnsi="Times New Roman" w:eastAsia="宋体" w:cs="Times New Roman"/>
                <w:sz w:val="24"/>
              </w:rPr>
              <w:t>专业咨询、人员培训、备品备件及耗材配置等其他伴随性服务。</w:t>
            </w:r>
            <w:r>
              <w:rPr>
                <w:rFonts w:ascii="Times New Roman" w:hAnsi="Times New Roman" w:eastAsia="宋体" w:cs="Times New Roman"/>
                <w:kern w:val="0"/>
                <w:sz w:val="24"/>
                <w:lang w:bidi="ar"/>
              </w:rPr>
              <w:t>由评委根据投标人提供后续服务的响应程度、服务质量、备品备件及耗材的全面性等方面进行综合评分</w:t>
            </w:r>
            <w:r>
              <w:rPr>
                <w:rFonts w:hint="eastAsia" w:cs="Times New Roman"/>
                <w:sz w:val="24"/>
                <w:lang w:eastAsia="zh-CN"/>
              </w:rPr>
              <w:t>（</w:t>
            </w:r>
            <w:r>
              <w:rPr>
                <w:rFonts w:hint="eastAsia" w:cs="Times New Roman"/>
                <w:kern w:val="0"/>
                <w:sz w:val="24"/>
                <w:lang w:val="en-US" w:eastAsia="zh-CN" w:bidi="ar"/>
              </w:rPr>
              <w:t>本项最多得4分）</w:t>
            </w:r>
            <w:r>
              <w:rPr>
                <w:rFonts w:ascii="Times New Roman" w:hAnsi="Times New Roman" w:eastAsia="宋体" w:cs="Times New Roman"/>
                <w:kern w:val="0"/>
                <w:sz w:val="24"/>
                <w:lang w:bidi="ar"/>
              </w:rPr>
              <w:t>：</w:t>
            </w:r>
          </w:p>
          <w:p w14:paraId="4E93CDDC">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22CD71FF">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ascii="Times New Roman" w:hAnsi="Times New Roman" w:eastAsia="宋体" w:cs="Times New Roman"/>
                <w:sz w:val="24"/>
                <w:lang w:val="en-US" w:eastAsia="zh-CN"/>
              </w:rPr>
              <w:t>3</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4EEFC493">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ascii="Times New Roman" w:hAnsi="Times New Roman" w:eastAsia="宋体" w:cs="Times New Roman"/>
                <w:kern w:val="0"/>
                <w:sz w:val="24"/>
                <w:lang w:val="en-US" w:eastAsia="zh-CN" w:bidi="ar"/>
              </w:rPr>
              <w:t>2</w:t>
            </w:r>
            <w:r>
              <w:rPr>
                <w:rFonts w:hint="eastAsia" w:ascii="Times New Roman" w:hAnsi="Times New Roman" w:eastAsia="宋体" w:cs="Times New Roman"/>
                <w:kern w:val="0"/>
                <w:sz w:val="24"/>
                <w:lang w:bidi="ar"/>
              </w:rPr>
              <w:t>分；</w:t>
            </w:r>
          </w:p>
          <w:p w14:paraId="054D465A">
            <w:pPr>
              <w:wordWrap w:val="0"/>
              <w:topLinePunct/>
              <w:spacing w:line="320" w:lineRule="exact"/>
              <w:rPr>
                <w:rFonts w:ascii="Times New Roman" w:hAnsi="Times New Roman" w:eastAsia="宋体" w:cs="Times New Roman"/>
                <w:kern w:val="0"/>
                <w:sz w:val="24"/>
                <w:szCs w:val="24"/>
                <w:lang w:bidi="ar"/>
              </w:rPr>
            </w:pPr>
            <w:r>
              <w:rPr>
                <w:rFonts w:hint="eastAsia" w:ascii="Times New Roman" w:hAnsi="Times New Roman" w:eastAsia="宋体" w:cs="Times New Roman"/>
                <w:kern w:val="0"/>
                <w:sz w:val="24"/>
                <w:lang w:bidi="ar"/>
              </w:rPr>
              <w:t>（4）方案未提供或提供不符合要求的不得分。</w:t>
            </w:r>
          </w:p>
        </w:tc>
      </w:tr>
      <w:tr w14:paraId="3C2A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3" w:type="dxa"/>
            <w:vAlign w:val="center"/>
          </w:tcPr>
          <w:p w14:paraId="5AA80A39">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5</w:t>
            </w:r>
          </w:p>
        </w:tc>
        <w:tc>
          <w:tcPr>
            <w:tcW w:w="1095" w:type="dxa"/>
            <w:vAlign w:val="center"/>
          </w:tcPr>
          <w:p w14:paraId="638222E9">
            <w:pPr>
              <w:wordWrap w:val="0"/>
              <w:topLinePunct/>
              <w:spacing w:line="320" w:lineRule="exact"/>
              <w:jc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质控体</w:t>
            </w:r>
          </w:p>
          <w:p w14:paraId="138195FD">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kern w:val="0"/>
                <w:sz w:val="24"/>
                <w:lang w:bidi="ar"/>
              </w:rPr>
              <w:t>系建设</w:t>
            </w:r>
          </w:p>
        </w:tc>
        <w:tc>
          <w:tcPr>
            <w:tcW w:w="774" w:type="dxa"/>
            <w:vAlign w:val="center"/>
          </w:tcPr>
          <w:p w14:paraId="0F620244">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8</w:t>
            </w:r>
          </w:p>
        </w:tc>
        <w:tc>
          <w:tcPr>
            <w:tcW w:w="5901" w:type="dxa"/>
            <w:vAlign w:val="center"/>
          </w:tcPr>
          <w:p w14:paraId="41BF9FEF">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内容包括但不限于质控目标的制定，质量保证和质量控制体系的建立，从质量监督、仪器设备等方面描述如何实现质控目标。由评委根据投标人提供质控措施的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r>
              <w:rPr>
                <w:rFonts w:hint="eastAsia" w:cs="Times New Roman"/>
                <w:sz w:val="24"/>
                <w:lang w:eastAsia="zh-CN"/>
              </w:rPr>
              <w:t>（</w:t>
            </w:r>
            <w:r>
              <w:rPr>
                <w:rFonts w:hint="eastAsia" w:cs="Times New Roman"/>
                <w:kern w:val="0"/>
                <w:sz w:val="24"/>
                <w:lang w:val="en-US" w:eastAsia="zh-CN" w:bidi="ar"/>
              </w:rPr>
              <w:t>本项最多得8分）</w:t>
            </w:r>
            <w:r>
              <w:rPr>
                <w:rFonts w:ascii="Times New Roman" w:hAnsi="Times New Roman" w:eastAsia="宋体" w:cs="Times New Roman"/>
                <w:kern w:val="0"/>
                <w:sz w:val="24"/>
                <w:lang w:bidi="ar"/>
              </w:rPr>
              <w:t>：</w:t>
            </w:r>
          </w:p>
          <w:p w14:paraId="71A97A07">
            <w:pPr>
              <w:numPr>
                <w:ilvl w:val="0"/>
                <w:numId w:val="0"/>
              </w:numPr>
              <w:wordWrap w:val="0"/>
              <w:topLinePunct/>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6FD15FE9">
            <w:pPr>
              <w:numPr>
                <w:ilvl w:val="0"/>
                <w:numId w:val="0"/>
              </w:numPr>
              <w:wordWrap w:val="0"/>
              <w:topLinePunct/>
              <w:spacing w:line="320" w:lineRule="exact"/>
              <w:rPr>
                <w:rFonts w:hint="eastAsia" w:ascii="Times New Roman" w:hAnsi="Times New Roman" w:eastAsia="宋体" w:cs="Times New Roman"/>
                <w:kern w:val="0"/>
                <w:sz w:val="24"/>
                <w:lang w:eastAsia="zh-CN"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403FD2A4">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6D88A5CB">
            <w:pPr>
              <w:wordWrap w:val="0"/>
              <w:topLinePunct/>
              <w:spacing w:line="320" w:lineRule="exact"/>
              <w:rPr>
                <w:rFonts w:ascii="Times New Roman" w:hAnsi="Times New Roman" w:eastAsia="宋体" w:cs="Times New Roman"/>
                <w:b/>
                <w:bCs/>
                <w:sz w:val="24"/>
                <w:szCs w:val="24"/>
              </w:rPr>
            </w:pPr>
            <w:r>
              <w:rPr>
                <w:rFonts w:hint="eastAsia" w:ascii="Times New Roman" w:hAnsi="Times New Roman" w:eastAsia="宋体" w:cs="Times New Roman"/>
                <w:kern w:val="0"/>
                <w:sz w:val="24"/>
                <w:lang w:bidi="ar"/>
              </w:rPr>
              <w:t>（4）方案未提供或提供不符合要求的不得分。</w:t>
            </w:r>
          </w:p>
        </w:tc>
      </w:tr>
      <w:tr w14:paraId="1057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743" w:type="dxa"/>
            <w:vAlign w:val="center"/>
          </w:tcPr>
          <w:p w14:paraId="0016D09D">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6</w:t>
            </w:r>
          </w:p>
        </w:tc>
        <w:tc>
          <w:tcPr>
            <w:tcW w:w="1095" w:type="dxa"/>
            <w:vAlign w:val="center"/>
          </w:tcPr>
          <w:p w14:paraId="4149A6ED">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安全及</w:t>
            </w:r>
          </w:p>
          <w:p w14:paraId="31AC753C">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应急保障</w:t>
            </w:r>
          </w:p>
        </w:tc>
        <w:tc>
          <w:tcPr>
            <w:tcW w:w="774" w:type="dxa"/>
            <w:vAlign w:val="center"/>
          </w:tcPr>
          <w:p w14:paraId="7BC77C58">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8</w:t>
            </w:r>
            <w:r>
              <w:rPr>
                <w:rFonts w:ascii="Times New Roman" w:hAnsi="Times New Roman" w:eastAsia="宋体" w:cs="Times New Roman"/>
                <w:sz w:val="24"/>
              </w:rPr>
              <w:t>分</w:t>
            </w:r>
          </w:p>
        </w:tc>
        <w:tc>
          <w:tcPr>
            <w:tcW w:w="5901" w:type="dxa"/>
            <w:vAlign w:val="center"/>
          </w:tcPr>
          <w:p w14:paraId="78C3EFBD">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1、安全保障方案。内容包括但不限于人员、设备、设施、数据管理平台等安全保障措施。由评委根据投标人提供方案的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r>
              <w:rPr>
                <w:rFonts w:hint="eastAsia" w:cs="Times New Roman"/>
                <w:sz w:val="24"/>
                <w:lang w:eastAsia="zh-CN"/>
              </w:rPr>
              <w:t>（</w:t>
            </w:r>
            <w:r>
              <w:rPr>
                <w:rFonts w:hint="eastAsia" w:cs="Times New Roman"/>
                <w:kern w:val="0"/>
                <w:sz w:val="24"/>
                <w:lang w:val="en-US" w:eastAsia="zh-CN" w:bidi="ar"/>
              </w:rPr>
              <w:t>本项最多得4分）</w:t>
            </w:r>
            <w:r>
              <w:rPr>
                <w:rFonts w:ascii="Times New Roman" w:hAnsi="Times New Roman" w:eastAsia="宋体" w:cs="Times New Roman"/>
                <w:kern w:val="0"/>
                <w:sz w:val="24"/>
                <w:lang w:bidi="ar"/>
              </w:rPr>
              <w:t>：</w:t>
            </w:r>
          </w:p>
          <w:p w14:paraId="7F208F81">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0AC3B2ED">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ascii="Times New Roman" w:hAnsi="Times New Roman" w:eastAsia="宋体" w:cs="Times New Roman"/>
                <w:sz w:val="24"/>
                <w:lang w:val="en-US" w:eastAsia="zh-CN"/>
              </w:rPr>
              <w:t>3</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7AB6D320">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ascii="Times New Roman" w:hAnsi="Times New Roman" w:eastAsia="宋体" w:cs="Times New Roman"/>
                <w:kern w:val="0"/>
                <w:sz w:val="24"/>
                <w:lang w:val="en-US" w:eastAsia="zh-CN" w:bidi="ar"/>
              </w:rPr>
              <w:t>2</w:t>
            </w:r>
            <w:r>
              <w:rPr>
                <w:rFonts w:hint="eastAsia" w:ascii="Times New Roman" w:hAnsi="Times New Roman" w:eastAsia="宋体" w:cs="Times New Roman"/>
                <w:kern w:val="0"/>
                <w:sz w:val="24"/>
                <w:lang w:bidi="ar"/>
              </w:rPr>
              <w:t>分；</w:t>
            </w:r>
          </w:p>
          <w:p w14:paraId="5E645DDB">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（4）方案未提供或提供不符合要求的不得分。</w:t>
            </w:r>
          </w:p>
          <w:p w14:paraId="62BA9007">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2、应急预案。内容包括但不限于详细列举污染天气、突发环境事件、自然灾害、重大活动等可能出现的多种突发情况，提出相应的响应流程、应对措施。由评委根据投标人提供方案的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r>
              <w:rPr>
                <w:rFonts w:hint="eastAsia" w:cs="Times New Roman"/>
                <w:sz w:val="24"/>
                <w:lang w:eastAsia="zh-CN"/>
              </w:rPr>
              <w:t>（</w:t>
            </w:r>
            <w:r>
              <w:rPr>
                <w:rFonts w:hint="eastAsia" w:cs="Times New Roman"/>
                <w:kern w:val="0"/>
                <w:sz w:val="24"/>
                <w:lang w:val="en-US" w:eastAsia="zh-CN" w:bidi="ar"/>
              </w:rPr>
              <w:t>本项最多得4分）</w:t>
            </w:r>
            <w:r>
              <w:rPr>
                <w:rFonts w:ascii="Times New Roman" w:hAnsi="Times New Roman" w:eastAsia="宋体" w:cs="Times New Roman"/>
                <w:kern w:val="0"/>
                <w:sz w:val="24"/>
                <w:lang w:bidi="ar"/>
              </w:rPr>
              <w:t>：</w:t>
            </w:r>
          </w:p>
          <w:p w14:paraId="069E6AD9">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1029ED41">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ascii="Times New Roman" w:hAnsi="Times New Roman" w:eastAsia="宋体" w:cs="Times New Roman"/>
                <w:sz w:val="24"/>
                <w:lang w:val="en-US" w:eastAsia="zh-CN"/>
              </w:rPr>
              <w:t>3</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38777FE7">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ascii="Times New Roman" w:hAnsi="Times New Roman" w:eastAsia="宋体" w:cs="Times New Roman"/>
                <w:kern w:val="0"/>
                <w:sz w:val="24"/>
                <w:lang w:val="en-US" w:eastAsia="zh-CN" w:bidi="ar"/>
              </w:rPr>
              <w:t>2</w:t>
            </w:r>
            <w:r>
              <w:rPr>
                <w:rFonts w:hint="eastAsia" w:ascii="Times New Roman" w:hAnsi="Times New Roman" w:eastAsia="宋体" w:cs="Times New Roman"/>
                <w:kern w:val="0"/>
                <w:sz w:val="24"/>
                <w:lang w:bidi="ar"/>
              </w:rPr>
              <w:t>分；</w:t>
            </w:r>
          </w:p>
          <w:p w14:paraId="49B278FC">
            <w:p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kern w:val="0"/>
                <w:sz w:val="24"/>
                <w:lang w:bidi="ar"/>
              </w:rPr>
              <w:t>（4）方案未提供或提供不符合要求的不得分。</w:t>
            </w:r>
          </w:p>
        </w:tc>
      </w:tr>
      <w:tr w14:paraId="11896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743" w:type="dxa"/>
            <w:vAlign w:val="center"/>
          </w:tcPr>
          <w:p w14:paraId="532C1CD6">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7</w:t>
            </w:r>
          </w:p>
        </w:tc>
        <w:tc>
          <w:tcPr>
            <w:tcW w:w="1095" w:type="dxa"/>
            <w:vAlign w:val="center"/>
          </w:tcPr>
          <w:p w14:paraId="32693057">
            <w:pPr>
              <w:wordWrap w:val="0"/>
              <w:topLinePunct/>
              <w:spacing w:line="320" w:lineRule="exact"/>
              <w:jc w:val="center"/>
              <w:rPr>
                <w:rFonts w:ascii="Times New Roman" w:hAnsi="Times New Roman" w:eastAsia="宋体" w:cs="Times New Roman"/>
                <w:bCs/>
                <w:sz w:val="24"/>
              </w:rPr>
            </w:pPr>
            <w:r>
              <w:rPr>
                <w:rFonts w:ascii="Times New Roman" w:hAnsi="Times New Roman" w:eastAsia="宋体" w:cs="Times New Roman"/>
                <w:sz w:val="24"/>
              </w:rPr>
              <w:t>业绩</w:t>
            </w:r>
          </w:p>
        </w:tc>
        <w:tc>
          <w:tcPr>
            <w:tcW w:w="774" w:type="dxa"/>
            <w:vAlign w:val="center"/>
          </w:tcPr>
          <w:p w14:paraId="77DABDD6">
            <w:pPr>
              <w:wordWrap w:val="0"/>
              <w:topLinePunct/>
              <w:spacing w:line="320" w:lineRule="exact"/>
              <w:jc w:val="center"/>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9</w:t>
            </w:r>
            <w:r>
              <w:rPr>
                <w:rFonts w:ascii="Times New Roman" w:hAnsi="Times New Roman" w:eastAsia="宋体" w:cs="Times New Roman"/>
                <w:bCs/>
                <w:sz w:val="24"/>
              </w:rPr>
              <w:t>分</w:t>
            </w:r>
          </w:p>
        </w:tc>
        <w:tc>
          <w:tcPr>
            <w:tcW w:w="5901" w:type="dxa"/>
            <w:vAlign w:val="center"/>
          </w:tcPr>
          <w:p w14:paraId="52F2192F">
            <w:pPr>
              <w:pStyle w:val="32"/>
              <w:spacing w:line="320" w:lineRule="exact"/>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投标人从2023年1月1日至本项目投标截止日期（以合同签订时间为准）承担的环境空气自动监测站运维服务业绩，每提供1个业绩得</w:t>
            </w:r>
            <w:r>
              <w:rPr>
                <w:rFonts w:hint="eastAsia" w:cs="Times New Roman"/>
                <w:bCs/>
                <w:sz w:val="24"/>
                <w:szCs w:val="24"/>
                <w:lang w:val="en-US" w:eastAsia="zh-CN"/>
              </w:rPr>
              <w:t>3</w:t>
            </w:r>
            <w:r>
              <w:rPr>
                <w:rFonts w:hint="eastAsia" w:ascii="Times New Roman" w:hAnsi="Times New Roman" w:eastAsia="宋体" w:cs="Times New Roman"/>
                <w:bCs/>
                <w:sz w:val="24"/>
                <w:szCs w:val="24"/>
                <w:lang w:val="en-US" w:eastAsia="zh-CN"/>
              </w:rPr>
              <w:t>分，最多得</w:t>
            </w:r>
            <w:r>
              <w:rPr>
                <w:rFonts w:hint="eastAsia" w:cs="Times New Roman"/>
                <w:bCs/>
                <w:sz w:val="24"/>
                <w:szCs w:val="24"/>
                <w:lang w:val="en-US" w:eastAsia="zh-CN"/>
              </w:rPr>
              <w:t>9</w:t>
            </w:r>
            <w:r>
              <w:rPr>
                <w:rFonts w:hint="eastAsia" w:ascii="Times New Roman" w:hAnsi="Times New Roman" w:eastAsia="宋体" w:cs="Times New Roman"/>
                <w:bCs/>
                <w:sz w:val="24"/>
                <w:szCs w:val="24"/>
                <w:lang w:val="en-US" w:eastAsia="zh-CN"/>
              </w:rPr>
              <w:t>分。</w:t>
            </w:r>
          </w:p>
          <w:p w14:paraId="1C09FCF4">
            <w:pPr>
              <w:pStyle w:val="32"/>
              <w:spacing w:line="32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注：请列表汇总，并同时提供合同（合同须能体现甲、乙双方名称、签订合同时间、合同服务内容、甲乙双方章印齐全）和相应中标通知书原件彩色扫描件加盖投标人公章，未提供或不符合要求的不得分。”</w:t>
            </w:r>
          </w:p>
        </w:tc>
      </w:tr>
      <w:tr w14:paraId="6CCC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43" w:type="dxa"/>
            <w:vAlign w:val="center"/>
          </w:tcPr>
          <w:p w14:paraId="12830E4E">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8</w:t>
            </w:r>
          </w:p>
        </w:tc>
        <w:tc>
          <w:tcPr>
            <w:tcW w:w="1095" w:type="dxa"/>
            <w:vAlign w:val="center"/>
          </w:tcPr>
          <w:p w14:paraId="451BC434">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服务承诺</w:t>
            </w:r>
          </w:p>
        </w:tc>
        <w:tc>
          <w:tcPr>
            <w:tcW w:w="774" w:type="dxa"/>
            <w:vAlign w:val="center"/>
          </w:tcPr>
          <w:p w14:paraId="25A5BDE3">
            <w:pPr>
              <w:wordWrap w:val="0"/>
              <w:topLinePunct/>
              <w:spacing w:line="320" w:lineRule="exact"/>
              <w:jc w:val="center"/>
              <w:rPr>
                <w:rFonts w:ascii="Times New Roman" w:hAnsi="Times New Roman" w:eastAsia="宋体" w:cs="Times New Roman"/>
                <w:bCs/>
                <w:sz w:val="24"/>
              </w:rPr>
            </w:pPr>
            <w:r>
              <w:rPr>
                <w:rFonts w:hint="eastAsia" w:ascii="Times New Roman" w:hAnsi="Times New Roman" w:eastAsia="宋体" w:cs="Times New Roman"/>
                <w:bCs/>
                <w:sz w:val="24"/>
              </w:rPr>
              <w:t>3</w:t>
            </w:r>
            <w:r>
              <w:rPr>
                <w:rFonts w:ascii="Times New Roman" w:hAnsi="Times New Roman" w:eastAsia="宋体" w:cs="Times New Roman"/>
                <w:bCs/>
                <w:sz w:val="24"/>
              </w:rPr>
              <w:t>分</w:t>
            </w:r>
          </w:p>
        </w:tc>
        <w:tc>
          <w:tcPr>
            <w:tcW w:w="5901" w:type="dxa"/>
            <w:vAlign w:val="center"/>
          </w:tcPr>
          <w:p w14:paraId="0890F4D7">
            <w:pPr>
              <w:jc w:val="left"/>
              <w:rPr>
                <w:rFonts w:hint="default" w:ascii="Times New Roman" w:hAnsi="Times New Roman" w:eastAsia="宋体" w:cs="Times New Roman"/>
                <w:sz w:val="24"/>
                <w:lang w:val="en-US" w:eastAsia="zh-CN"/>
              </w:rPr>
            </w:pPr>
            <w:r>
              <w:rPr>
                <w:rFonts w:ascii="Times New Roman" w:hAnsi="Times New Roman" w:eastAsia="宋体" w:cs="Times New Roman"/>
                <w:sz w:val="24"/>
              </w:rPr>
              <w:t>投标人提供承诺函，承诺在中标后按时保质保量完成承诺内容，若不能按序时完成或完成质量达不到要求的，扣除项目总价的10%。承诺</w:t>
            </w:r>
            <w:r>
              <w:rPr>
                <w:rFonts w:hint="eastAsia" w:cs="Times New Roman"/>
                <w:sz w:val="24"/>
                <w:lang w:val="en-US" w:eastAsia="zh-CN"/>
              </w:rPr>
              <w:t>交接完好的设备给甲方，如不能自主完成甲方有权从项目款扣除修理费用。</w:t>
            </w:r>
          </w:p>
          <w:p w14:paraId="569599F8">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注：须提供符合要求并加盖投标人公章的承诺函</w:t>
            </w:r>
            <w:r>
              <w:rPr>
                <w:rFonts w:hint="eastAsia" w:cs="Times New Roman"/>
                <w:sz w:val="24"/>
                <w:szCs w:val="24"/>
                <w:lang w:val="en-US" w:eastAsia="zh-CN"/>
              </w:rPr>
              <w:t>得3分</w:t>
            </w:r>
            <w:r>
              <w:rPr>
                <w:rFonts w:ascii="Times New Roman" w:hAnsi="Times New Roman" w:eastAsia="宋体" w:cs="Times New Roman"/>
                <w:sz w:val="24"/>
                <w:szCs w:val="24"/>
              </w:rPr>
              <w:t>，否则不得分。</w:t>
            </w:r>
          </w:p>
        </w:tc>
      </w:tr>
    </w:tbl>
    <w:p w14:paraId="15D541B7">
      <w:pPr>
        <w:pStyle w:val="4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881739">
      <w:pPr>
        <w:keepNext/>
        <w:jc w:val="both"/>
        <w:outlineLvl w:val="0"/>
        <w:rPr>
          <w:rFonts w:ascii="黑体" w:eastAsia="黑体"/>
          <w:bCs/>
          <w:color w:val="auto"/>
          <w:sz w:val="44"/>
          <w:szCs w:val="28"/>
          <w:highlight w:val="none"/>
        </w:rPr>
      </w:pPr>
    </w:p>
    <w:p w14:paraId="5DE08159">
      <w:pPr>
        <w:keepNext/>
        <w:jc w:val="both"/>
        <w:outlineLvl w:val="0"/>
        <w:rPr>
          <w:rFonts w:ascii="黑体" w:eastAsia="黑体"/>
          <w:bCs/>
          <w:color w:val="auto"/>
          <w:sz w:val="44"/>
          <w:szCs w:val="28"/>
          <w:highlight w:val="none"/>
        </w:rPr>
      </w:pPr>
    </w:p>
    <w:p w14:paraId="0B2EF436">
      <w:pPr>
        <w:keepNext/>
        <w:jc w:val="both"/>
        <w:outlineLvl w:val="0"/>
        <w:rPr>
          <w:rFonts w:ascii="黑体" w:eastAsia="黑体"/>
          <w:bCs/>
          <w:color w:val="auto"/>
          <w:sz w:val="44"/>
          <w:szCs w:val="28"/>
          <w:highlight w:val="none"/>
        </w:rPr>
      </w:pPr>
    </w:p>
    <w:p w14:paraId="395D4256">
      <w:pPr>
        <w:keepNext/>
        <w:jc w:val="center"/>
        <w:outlineLvl w:val="0"/>
        <w:rPr>
          <w:rFonts w:ascii="黑体" w:eastAsia="黑体"/>
          <w:bCs/>
          <w:color w:val="auto"/>
          <w:sz w:val="44"/>
          <w:szCs w:val="28"/>
          <w:highlight w:val="none"/>
        </w:rPr>
      </w:pPr>
    </w:p>
    <w:p w14:paraId="4F36CB59">
      <w:pPr>
        <w:keepNext/>
        <w:jc w:val="center"/>
        <w:outlineLvl w:val="0"/>
        <w:rPr>
          <w:rFonts w:ascii="黑体" w:eastAsia="黑体"/>
          <w:bCs/>
          <w:color w:val="auto"/>
          <w:sz w:val="44"/>
          <w:szCs w:val="28"/>
          <w:highlight w:val="none"/>
        </w:rPr>
      </w:pPr>
      <w:r>
        <w:rPr>
          <w:rFonts w:hint="eastAsia" w:ascii="黑体" w:eastAsia="黑体"/>
          <w:bCs/>
          <w:color w:val="auto"/>
          <w:sz w:val="44"/>
          <w:szCs w:val="28"/>
          <w:highlight w:val="none"/>
        </w:rPr>
        <w:t xml:space="preserve">第六章  投标文件格式 </w:t>
      </w:r>
    </w:p>
    <w:p w14:paraId="2404AADE">
      <w:pPr>
        <w:jc w:val="center"/>
        <w:rPr>
          <w:rFonts w:hint="eastAsia" w:ascii="宋体" w:hAnsi="宋体"/>
          <w:b/>
          <w:color w:val="auto"/>
          <w:sz w:val="72"/>
          <w:szCs w:val="21"/>
          <w:highlight w:val="none"/>
        </w:rPr>
      </w:pPr>
      <w:bookmarkStart w:id="183" w:name="_Hlt26671244"/>
      <w:bookmarkEnd w:id="183"/>
      <w:bookmarkStart w:id="184" w:name="_Hlt26955039"/>
      <w:bookmarkEnd w:id="184"/>
      <w:bookmarkStart w:id="185" w:name="_Toc49090576"/>
      <w:bookmarkStart w:id="186" w:name="_Toc120614282"/>
      <w:bookmarkStart w:id="187" w:name="_Toc26554094"/>
    </w:p>
    <w:p w14:paraId="672D0DA8">
      <w:pPr>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16FF6029">
      <w:pPr>
        <w:jc w:val="center"/>
        <w:rPr>
          <w:rFonts w:hint="eastAsia" w:ascii="宋体" w:hAnsi="宋体"/>
          <w:b/>
          <w:color w:val="auto"/>
          <w:sz w:val="72"/>
          <w:szCs w:val="21"/>
          <w:highlight w:val="none"/>
        </w:rPr>
      </w:pPr>
    </w:p>
    <w:p w14:paraId="1D4D3B09">
      <w:pPr>
        <w:jc w:val="center"/>
        <w:rPr>
          <w:rFonts w:hint="eastAsia" w:ascii="宋体" w:hAnsi="宋体"/>
          <w:b/>
          <w:color w:val="auto"/>
          <w:sz w:val="72"/>
          <w:szCs w:val="21"/>
          <w:highlight w:val="none"/>
        </w:rPr>
      </w:pPr>
    </w:p>
    <w:p w14:paraId="69692E6A">
      <w:pPr>
        <w:jc w:val="center"/>
        <w:rPr>
          <w:rFonts w:hint="eastAsia" w:ascii="宋体" w:hAnsi="宋体"/>
          <w:b/>
          <w:color w:val="auto"/>
          <w:sz w:val="36"/>
          <w:szCs w:val="21"/>
          <w:highlight w:val="none"/>
        </w:rPr>
      </w:pPr>
    </w:p>
    <w:p w14:paraId="41CA7CC7">
      <w:pPr>
        <w:jc w:val="center"/>
        <w:rPr>
          <w:rFonts w:hint="eastAsia" w:ascii="宋体" w:hAnsi="宋体"/>
          <w:b/>
          <w:color w:val="auto"/>
          <w:sz w:val="36"/>
          <w:szCs w:val="21"/>
          <w:highlight w:val="none"/>
        </w:rPr>
      </w:pPr>
    </w:p>
    <w:p w14:paraId="2A490E9F">
      <w:pPr>
        <w:jc w:val="center"/>
        <w:rPr>
          <w:rFonts w:hint="eastAsia" w:ascii="宋体" w:hAnsi="宋体"/>
          <w:b/>
          <w:color w:val="auto"/>
          <w:sz w:val="36"/>
          <w:szCs w:val="21"/>
          <w:highlight w:val="none"/>
        </w:rPr>
      </w:pPr>
    </w:p>
    <w:p w14:paraId="25679CB4">
      <w:pPr>
        <w:spacing w:line="480" w:lineRule="auto"/>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216E9265">
      <w:pPr>
        <w:spacing w:line="480" w:lineRule="auto"/>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2EF86EC9">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p>
    <w:p w14:paraId="5D3C7E56">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15AAEE81">
      <w:pPr>
        <w:spacing w:line="440" w:lineRule="exact"/>
        <w:jc w:val="center"/>
        <w:rPr>
          <w:rFonts w:hint="eastAsia" w:ascii="宋体" w:hAnsi="宋体"/>
          <w:b/>
          <w:bCs/>
          <w:color w:val="auto"/>
          <w:sz w:val="32"/>
          <w:szCs w:val="32"/>
          <w:highlight w:val="none"/>
        </w:rPr>
      </w:pPr>
    </w:p>
    <w:p w14:paraId="77B0E6D5">
      <w:pPr>
        <w:spacing w:line="440" w:lineRule="exact"/>
        <w:rPr>
          <w:rFonts w:hint="eastAsia" w:ascii="宋体" w:hAnsi="宋体"/>
          <w:color w:val="auto"/>
          <w:szCs w:val="21"/>
          <w:highlight w:val="none"/>
        </w:rPr>
      </w:pPr>
    </w:p>
    <w:p w14:paraId="152506C3">
      <w:pPr>
        <w:spacing w:line="440" w:lineRule="exact"/>
        <w:rPr>
          <w:rFonts w:hint="eastAsia" w:ascii="宋体" w:hAnsi="宋体"/>
          <w:color w:val="auto"/>
          <w:szCs w:val="21"/>
          <w:highlight w:val="none"/>
        </w:rPr>
      </w:pPr>
    </w:p>
    <w:p w14:paraId="52AF13FD">
      <w:pPr>
        <w:widowControl/>
        <w:jc w:val="left"/>
        <w:rPr>
          <w:rFonts w:hint="eastAsia" w:ascii="宋体" w:hAnsi="宋体"/>
          <w:b/>
          <w:bCs/>
          <w:color w:val="auto"/>
          <w:sz w:val="32"/>
          <w:szCs w:val="32"/>
          <w:highlight w:val="none"/>
        </w:rPr>
      </w:pPr>
      <w:r>
        <w:rPr>
          <w:rFonts w:ascii="宋体" w:hAnsi="宋体"/>
          <w:b/>
          <w:bCs/>
          <w:color w:val="auto"/>
          <w:sz w:val="32"/>
          <w:szCs w:val="32"/>
          <w:highlight w:val="none"/>
        </w:rPr>
        <w:br w:type="page" w:clear="all"/>
      </w:r>
    </w:p>
    <w:p w14:paraId="7A700482">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投标文件目录</w:t>
      </w:r>
    </w:p>
    <w:p w14:paraId="6B8D9B97">
      <w:pPr>
        <w:keepNext w:val="0"/>
        <w:keepLines w:val="0"/>
        <w:pageBreakBefore w:val="0"/>
        <w:spacing w:line="460" w:lineRule="exact"/>
        <w:jc w:val="center"/>
        <w:rPr>
          <w:rFonts w:hint="eastAsia" w:ascii="宋体" w:hAnsi="宋体"/>
          <w:b/>
          <w:bCs/>
          <w:color w:val="auto"/>
          <w:sz w:val="32"/>
          <w:szCs w:val="32"/>
          <w:highlight w:val="none"/>
        </w:rPr>
      </w:pPr>
    </w:p>
    <w:p w14:paraId="4B9EC437">
      <w:pPr>
        <w:keepNext w:val="0"/>
        <w:keepLines w:val="0"/>
        <w:pageBreakBefore w:val="0"/>
        <w:numPr>
          <w:ilvl w:val="0"/>
          <w:numId w:val="7"/>
        </w:numPr>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法人或者其他组织的营业执照等证明文件，自然人的身份证明</w:t>
      </w:r>
    </w:p>
    <w:p w14:paraId="3BFE70F9">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二、</w:t>
      </w:r>
      <w:r>
        <w:rPr>
          <w:rFonts w:hint="eastAsia" w:ascii="宋体" w:hAnsi="宋体" w:cs="宋体"/>
          <w:i/>
          <w:iCs/>
          <w:color w:val="auto"/>
          <w:sz w:val="24"/>
          <w:szCs w:val="24"/>
          <w:highlight w:val="none"/>
          <w:u w:val="single"/>
          <w:lang w:eastAsia="zh-CN"/>
        </w:rPr>
        <w:t>上一年度（2024年度或2025年度）的财务状况报告</w:t>
      </w:r>
      <w:r>
        <w:rPr>
          <w:rFonts w:hint="eastAsia" w:ascii="宋体" w:hAnsi="宋体" w:cs="宋体"/>
          <w:i/>
          <w:iCs/>
          <w:color w:val="auto"/>
          <w:sz w:val="24"/>
          <w:szCs w:val="24"/>
          <w:highlight w:val="none"/>
          <w:u w:val="single"/>
        </w:rPr>
        <w:t>（财务报告至少应包括资产负债表、利润表</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距投标截止之日止，成立不满一年的</w:t>
      </w:r>
      <w:r>
        <w:rPr>
          <w:rFonts w:hint="eastAsia" w:ascii="宋体" w:hAnsi="宋体" w:cs="宋体"/>
          <w:i/>
          <w:iCs/>
          <w:color w:val="auto"/>
          <w:sz w:val="24"/>
          <w:szCs w:val="24"/>
          <w:highlight w:val="none"/>
          <w:u w:val="single"/>
          <w:lang w:eastAsia="zh-CN"/>
        </w:rPr>
        <w:t>投标人</w:t>
      </w:r>
      <w:r>
        <w:rPr>
          <w:rFonts w:hint="eastAsia" w:ascii="宋体" w:hAnsi="宋体" w:cs="宋体"/>
          <w:i/>
          <w:iCs/>
          <w:color w:val="auto"/>
          <w:sz w:val="24"/>
          <w:szCs w:val="24"/>
          <w:highlight w:val="none"/>
          <w:u w:val="single"/>
        </w:rPr>
        <w:t>无需提供）；</w:t>
      </w:r>
    </w:p>
    <w:p w14:paraId="51C6A11C">
      <w:pPr>
        <w:keepNext w:val="0"/>
        <w:keepLines w:val="0"/>
        <w:pageBreakBefore w:val="0"/>
        <w:spacing w:line="460" w:lineRule="exact"/>
        <w:ind w:firstLine="480"/>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三、具备履行合同所必需的设备和专业技术能力的书面声明</w:t>
      </w:r>
    </w:p>
    <w:p w14:paraId="71FF8D7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C31BE79">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五、参加政府采购活动前 3 年内在经营活动中没有重大违法记录的书面声明</w:t>
      </w:r>
    </w:p>
    <w:p w14:paraId="4A7D7C48">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六</w:t>
      </w:r>
      <w:r>
        <w:rPr>
          <w:rFonts w:hint="eastAsia" w:ascii="宋体" w:hAnsi="宋体" w:cs="宋体"/>
          <w:i/>
          <w:iCs/>
          <w:color w:val="auto"/>
          <w:sz w:val="24"/>
          <w:szCs w:val="24"/>
          <w:highlight w:val="none"/>
          <w:u w:val="single"/>
        </w:rPr>
        <w:t>、单位负责人为同一人或者存在直接控股、管理关系的不同投标人，不得参加同一合同项下的政府采购活动</w:t>
      </w:r>
    </w:p>
    <w:p w14:paraId="2B87ED72">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七</w:t>
      </w:r>
      <w:r>
        <w:rPr>
          <w:rFonts w:hint="eastAsia" w:ascii="宋体" w:hAnsi="宋体" w:cs="宋体"/>
          <w:i/>
          <w:iCs/>
          <w:color w:val="auto"/>
          <w:sz w:val="24"/>
          <w:szCs w:val="24"/>
          <w:highlight w:val="none"/>
          <w:u w:val="single"/>
        </w:rPr>
        <w:t>、特定资格要求的证明文件（如果本项目设置特定资格要求，则需要提供）</w:t>
      </w:r>
    </w:p>
    <w:p w14:paraId="3429B298">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八</w:t>
      </w:r>
      <w:r>
        <w:rPr>
          <w:rFonts w:hint="eastAsia" w:ascii="宋体" w:hAnsi="宋体" w:cs="宋体"/>
          <w:i/>
          <w:iCs/>
          <w:color w:val="auto"/>
          <w:sz w:val="24"/>
          <w:szCs w:val="24"/>
          <w:highlight w:val="none"/>
          <w:u w:val="single"/>
        </w:rPr>
        <w:t>、法人授权书</w:t>
      </w:r>
    </w:p>
    <w:p w14:paraId="0B26EE01">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九</w:t>
      </w:r>
      <w:r>
        <w:rPr>
          <w:rFonts w:hint="eastAsia" w:ascii="宋体" w:hAnsi="宋体" w:cs="宋体"/>
          <w:i/>
          <w:iCs/>
          <w:color w:val="auto"/>
          <w:sz w:val="24"/>
          <w:szCs w:val="24"/>
          <w:highlight w:val="none"/>
          <w:u w:val="single"/>
        </w:rPr>
        <w:t>、投标函</w:t>
      </w:r>
    </w:p>
    <w:p w14:paraId="23A3DDF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十</w:t>
      </w:r>
      <w:r>
        <w:rPr>
          <w:rFonts w:hint="eastAsia" w:ascii="宋体" w:hAnsi="宋体" w:cs="宋体"/>
          <w:i/>
          <w:iCs/>
          <w:color w:val="auto"/>
          <w:sz w:val="24"/>
          <w:szCs w:val="24"/>
          <w:highlight w:val="none"/>
          <w:u w:val="single"/>
        </w:rPr>
        <w:t>、中小企业声明函（残疾人福利性单位声明函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监狱企业证明函）</w:t>
      </w:r>
    </w:p>
    <w:p w14:paraId="36EABC97">
      <w:pPr>
        <w:pStyle w:val="45"/>
        <w:spacing w:beforeAutospacing="0" w:afterAutospacing="0" w:line="0" w:lineRule="atLeast"/>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十一、投标分项报价表</w:t>
      </w:r>
    </w:p>
    <w:p w14:paraId="260078DA">
      <w:pPr>
        <w:pStyle w:val="45"/>
        <w:spacing w:beforeAutospacing="0" w:afterAutospacing="0" w:line="0" w:lineRule="atLeast"/>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十二、技术要求响应及偏离表</w:t>
      </w:r>
    </w:p>
    <w:p w14:paraId="7D69B72A">
      <w:pPr>
        <w:pStyle w:val="45"/>
        <w:spacing w:beforeAutospacing="0" w:afterAutospacing="0" w:line="0" w:lineRule="atLeast"/>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十三、商务要求响应及偏离表</w:t>
      </w:r>
    </w:p>
    <w:p w14:paraId="48EFFF5A">
      <w:pPr>
        <w:pStyle w:val="45"/>
        <w:spacing w:beforeAutospacing="0" w:afterAutospacing="0"/>
        <w:ind w:left="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十四、开标一览表</w:t>
      </w:r>
    </w:p>
    <w:p w14:paraId="161CCAB1">
      <w:pPr>
        <w:widowControl/>
        <w:spacing w:before="50" w:after="50"/>
        <w:ind w:firstLine="480" w:firstLineChars="200"/>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十五、技术方案、服务承诺、培训承诺等</w:t>
      </w:r>
    </w:p>
    <w:p w14:paraId="138E25DE">
      <w:pPr>
        <w:pStyle w:val="45"/>
        <w:spacing w:beforeAutospacing="0" w:afterAutospacing="0" w:line="360" w:lineRule="auto"/>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十六、盐城市政府采购事前信用承诺书</w:t>
      </w:r>
    </w:p>
    <w:p w14:paraId="059E5996">
      <w:pPr>
        <w:pStyle w:val="81"/>
        <w:rPr>
          <w:color w:val="auto"/>
          <w:highlight w:val="none"/>
        </w:rPr>
      </w:pPr>
    </w:p>
    <w:p w14:paraId="698F08C2">
      <w:pPr>
        <w:spacing w:line="440" w:lineRule="exact"/>
        <w:ind w:firstLine="480"/>
        <w:rPr>
          <w:rFonts w:hint="eastAsia" w:ascii="宋体" w:hAnsi="宋体"/>
          <w:color w:val="auto"/>
          <w:sz w:val="24"/>
          <w:szCs w:val="21"/>
          <w:highlight w:val="none"/>
        </w:rPr>
      </w:pPr>
    </w:p>
    <w:p w14:paraId="5190D114">
      <w:pPr>
        <w:spacing w:line="440" w:lineRule="exact"/>
        <w:ind w:firstLine="480"/>
        <w:rPr>
          <w:rFonts w:hint="eastAsia" w:ascii="宋体" w:hAnsi="宋体"/>
          <w:color w:val="auto"/>
          <w:sz w:val="24"/>
          <w:szCs w:val="21"/>
          <w:highlight w:val="none"/>
        </w:rPr>
      </w:pPr>
    </w:p>
    <w:p w14:paraId="0BDEF30C">
      <w:pPr>
        <w:pStyle w:val="50"/>
        <w:ind w:left="0" w:firstLine="0"/>
        <w:rPr>
          <w:rFonts w:hint="eastAsia"/>
          <w:color w:val="auto"/>
          <w:sz w:val="24"/>
          <w:szCs w:val="21"/>
          <w:highlight w:val="none"/>
        </w:rPr>
      </w:pPr>
    </w:p>
    <w:p w14:paraId="374BE0C3">
      <w:pPr>
        <w:rPr>
          <w:color w:val="auto"/>
          <w:highlight w:val="none"/>
        </w:rPr>
      </w:pPr>
    </w:p>
    <w:p w14:paraId="2FB7AB1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79CE1A8C">
      <w:pPr>
        <w:spacing w:line="360" w:lineRule="auto"/>
        <w:jc w:val="center"/>
        <w:rPr>
          <w:rFonts w:hint="eastAsia" w:ascii="宋体" w:hAnsi="宋体" w:cs="宋体"/>
          <w:b/>
          <w:color w:val="auto"/>
          <w:sz w:val="32"/>
          <w:szCs w:val="32"/>
          <w:highlight w:val="none"/>
        </w:rPr>
      </w:pPr>
    </w:p>
    <w:p w14:paraId="4B664F4A">
      <w:pPr>
        <w:spacing w:line="360" w:lineRule="auto"/>
        <w:jc w:val="center"/>
        <w:rPr>
          <w:rFonts w:hint="eastAsia" w:hAnsi="宋体" w:eastAsia="宋体"/>
          <w:b/>
          <w:bCs/>
          <w:lang w:val="zh-CN" w:eastAsia="zh-CN"/>
        </w:rPr>
      </w:pPr>
      <w:r>
        <w:rPr>
          <w:rFonts w:hint="eastAsia" w:ascii="宋体" w:hAnsi="宋体" w:cs="宋体"/>
          <w:b/>
          <w:color w:val="auto"/>
          <w:sz w:val="32"/>
          <w:szCs w:val="32"/>
          <w:highlight w:val="none"/>
        </w:rPr>
        <w:t>一、</w:t>
      </w:r>
      <w:r>
        <w:rPr>
          <w:rFonts w:hint="eastAsia" w:ascii="宋体" w:hAnsi="宋体" w:cs="宋体"/>
          <w:b/>
          <w:color w:val="auto"/>
          <w:sz w:val="30"/>
          <w:szCs w:val="30"/>
          <w:highlight w:val="none"/>
        </w:rPr>
        <w:t>法人或者其他组织的营业执照等证明文件，自然人的身份证明</w:t>
      </w:r>
      <w:r>
        <w:rPr>
          <w:rFonts w:hint="eastAsia" w:ascii="宋体" w:hAnsi="宋体" w:cs="宋体"/>
          <w:b/>
          <w:color w:val="auto"/>
          <w:sz w:val="30"/>
          <w:szCs w:val="30"/>
          <w:highlight w:val="none"/>
          <w:lang w:eastAsia="zh-CN"/>
        </w:rPr>
        <w:t>；</w:t>
      </w:r>
    </w:p>
    <w:p w14:paraId="207333F0">
      <w:pPr>
        <w:spacing w:line="480" w:lineRule="exact"/>
        <w:ind w:firstLine="632"/>
        <w:rPr>
          <w:rFonts w:hAnsi="宋体" w:eastAsia="宋体"/>
          <w:b/>
          <w:bCs/>
          <w:lang w:val="zh-CN"/>
        </w:rPr>
      </w:pPr>
    </w:p>
    <w:p w14:paraId="305B16D6">
      <w:pPr>
        <w:spacing w:line="480" w:lineRule="exact"/>
        <w:ind w:firstLine="632"/>
        <w:rPr>
          <w:rFonts w:hAnsi="宋体" w:eastAsia="宋体"/>
          <w:b/>
          <w:bCs/>
          <w:lang w:val="zh-CN"/>
        </w:rPr>
      </w:pPr>
    </w:p>
    <w:p w14:paraId="4801E9E7">
      <w:pPr>
        <w:spacing w:line="480" w:lineRule="exact"/>
        <w:ind w:firstLine="632"/>
        <w:rPr>
          <w:rFonts w:hAnsi="宋体" w:eastAsia="宋体"/>
          <w:b/>
          <w:bCs/>
          <w:lang w:val="zh-CN"/>
        </w:rPr>
      </w:pPr>
    </w:p>
    <w:p w14:paraId="68E23B48">
      <w:pPr>
        <w:rPr>
          <w:lang w:val="zh-CN"/>
        </w:rPr>
      </w:pPr>
    </w:p>
    <w:p w14:paraId="7D47C1E8">
      <w:pPr>
        <w:spacing w:line="360" w:lineRule="auto"/>
        <w:ind w:firstLine="281"/>
        <w:rPr>
          <w:rFonts w:ascii="宋体" w:hAnsi="宋体" w:cs="宋体"/>
          <w:b/>
          <w:iCs/>
          <w:sz w:val="28"/>
          <w:szCs w:val="36"/>
        </w:rPr>
      </w:pPr>
      <w:r>
        <w:rPr>
          <w:rFonts w:hint="eastAsia" w:ascii="宋体" w:hAnsi="宋体" w:cs="宋体"/>
          <w:b/>
          <w:iCs/>
          <w:sz w:val="28"/>
          <w:szCs w:val="36"/>
          <w:lang w:val="zh-CN"/>
        </w:rPr>
        <w:t>附：法定代表人身份证扫描件</w:t>
      </w:r>
    </w:p>
    <w:tbl>
      <w:tblPr>
        <w:tblStyle w:val="52"/>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11"/>
        <w:gridCol w:w="4252"/>
      </w:tblGrid>
      <w:tr w14:paraId="7F89E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5" w:hRule="atLeast"/>
        </w:trPr>
        <w:tc>
          <w:tcPr>
            <w:tcW w:w="4111" w:type="dxa"/>
            <w:noWrap/>
          </w:tcPr>
          <w:p w14:paraId="030066CC">
            <w:pPr>
              <w:spacing w:line="400" w:lineRule="exact"/>
              <w:jc w:val="center"/>
              <w:rPr>
                <w:rFonts w:hAnsi="宋体" w:eastAsia="宋体" w:cs="宋体"/>
                <w:b/>
              </w:rPr>
            </w:pPr>
          </w:p>
          <w:p w14:paraId="62CFEBC5">
            <w:pPr>
              <w:spacing w:line="400" w:lineRule="exact"/>
              <w:jc w:val="center"/>
              <w:rPr>
                <w:rFonts w:hAnsi="宋体" w:eastAsia="宋体" w:cs="宋体"/>
                <w:b/>
              </w:rPr>
            </w:pPr>
          </w:p>
          <w:p w14:paraId="20493609">
            <w:pPr>
              <w:jc w:val="center"/>
              <w:rPr>
                <w:rFonts w:hAnsi="宋体" w:eastAsia="宋体" w:cs="黑体"/>
                <w:b/>
                <w:szCs w:val="28"/>
              </w:rPr>
            </w:pPr>
            <w:r>
              <w:rPr>
                <w:rFonts w:hint="eastAsia" w:ascii="宋体" w:hAnsi="宋体" w:cs="宋体"/>
                <w:b/>
                <w:iCs/>
                <w:sz w:val="28"/>
                <w:szCs w:val="36"/>
                <w:lang w:val="zh-CN"/>
              </w:rPr>
              <w:t>正面</w:t>
            </w:r>
          </w:p>
        </w:tc>
        <w:tc>
          <w:tcPr>
            <w:tcW w:w="4252" w:type="dxa"/>
            <w:noWrap/>
          </w:tcPr>
          <w:p w14:paraId="71D6ECAF">
            <w:pPr>
              <w:spacing w:line="400" w:lineRule="exact"/>
              <w:jc w:val="center"/>
              <w:rPr>
                <w:rFonts w:hAnsi="宋体" w:eastAsia="宋体" w:cs="宋体"/>
                <w:b/>
              </w:rPr>
            </w:pPr>
          </w:p>
          <w:p w14:paraId="0F134C26">
            <w:pPr>
              <w:spacing w:line="400" w:lineRule="exact"/>
              <w:jc w:val="center"/>
              <w:rPr>
                <w:rFonts w:hAnsi="宋体" w:eastAsia="宋体" w:cs="宋体"/>
                <w:b/>
              </w:rPr>
            </w:pPr>
          </w:p>
          <w:p w14:paraId="5A686E9D">
            <w:pPr>
              <w:jc w:val="center"/>
              <w:rPr>
                <w:rFonts w:hAnsi="宋体" w:eastAsia="宋体" w:cs="黑体"/>
                <w:b/>
                <w:szCs w:val="28"/>
              </w:rPr>
            </w:pPr>
            <w:r>
              <w:rPr>
                <w:rFonts w:hint="eastAsia" w:ascii="宋体" w:hAnsi="宋体" w:cs="宋体"/>
                <w:b/>
                <w:iCs/>
                <w:sz w:val="28"/>
                <w:szCs w:val="36"/>
                <w:lang w:val="zh-CN"/>
              </w:rPr>
              <w:t>反面</w:t>
            </w:r>
          </w:p>
        </w:tc>
      </w:tr>
    </w:tbl>
    <w:p w14:paraId="2FF745D4">
      <w:pPr>
        <w:pStyle w:val="50"/>
        <w:rPr>
          <w:rFonts w:hint="eastAsia" w:cs="宋体"/>
          <w:bCs/>
          <w:iCs/>
          <w:color w:val="auto"/>
          <w:sz w:val="28"/>
          <w:szCs w:val="21"/>
          <w:highlight w:val="none"/>
        </w:rPr>
      </w:pPr>
    </w:p>
    <w:p w14:paraId="3619479E">
      <w:pPr>
        <w:pStyle w:val="85"/>
        <w:rPr>
          <w:rFonts w:hint="eastAsia" w:ascii="宋体" w:hAnsi="宋体" w:eastAsia="宋体"/>
          <w:bCs/>
          <w:iCs/>
          <w:color w:val="auto"/>
          <w:sz w:val="28"/>
          <w:szCs w:val="21"/>
          <w:highlight w:val="none"/>
        </w:rPr>
      </w:pPr>
    </w:p>
    <w:p w14:paraId="1340388C">
      <w:pPr>
        <w:pStyle w:val="85"/>
        <w:rPr>
          <w:rFonts w:hint="eastAsia" w:ascii="宋体" w:hAnsi="宋体" w:eastAsia="宋体"/>
          <w:bCs/>
          <w:iCs/>
          <w:color w:val="auto"/>
          <w:sz w:val="28"/>
          <w:szCs w:val="21"/>
          <w:highlight w:val="none"/>
        </w:rPr>
      </w:pPr>
    </w:p>
    <w:p w14:paraId="1E6CBFDA">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二、</w:t>
      </w:r>
      <w:r>
        <w:rPr>
          <w:rFonts w:hint="eastAsia" w:ascii="宋体" w:hAnsi="宋体" w:cs="宋体"/>
          <w:b/>
          <w:color w:val="auto"/>
          <w:sz w:val="32"/>
          <w:szCs w:val="32"/>
          <w:highlight w:val="none"/>
          <w:lang w:eastAsia="zh-CN"/>
        </w:rPr>
        <w:t>上一年度（2024年度或2025年度）的财务状况报告</w:t>
      </w:r>
    </w:p>
    <w:p w14:paraId="68D1622D">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财务报告至少应包括资产负债表、利润表</w:t>
      </w:r>
      <w:r>
        <w:rPr>
          <w:rFonts w:hint="eastAsia" w:ascii="宋体" w:hAnsi="宋体" w:cs="宋体"/>
          <w:iCs/>
          <w:color w:val="auto"/>
          <w:sz w:val="32"/>
          <w:szCs w:val="32"/>
          <w:highlight w:val="none"/>
          <w:lang w:eastAsia="zh-CN"/>
        </w:rPr>
        <w:t>，</w:t>
      </w:r>
      <w:r>
        <w:rPr>
          <w:rFonts w:hint="eastAsia" w:ascii="宋体" w:hAnsi="宋体" w:cs="宋体"/>
          <w:iCs/>
          <w:color w:val="auto"/>
          <w:sz w:val="32"/>
          <w:szCs w:val="32"/>
          <w:highlight w:val="none"/>
        </w:rPr>
        <w:t>距投标截止之日止，成立不满一年的</w:t>
      </w:r>
      <w:r>
        <w:rPr>
          <w:rFonts w:hint="eastAsia" w:ascii="宋体" w:hAnsi="宋体" w:cs="宋体"/>
          <w:iCs/>
          <w:color w:val="auto"/>
          <w:sz w:val="32"/>
          <w:szCs w:val="32"/>
          <w:highlight w:val="none"/>
          <w:lang w:eastAsia="zh-CN"/>
        </w:rPr>
        <w:t>投标人</w:t>
      </w:r>
      <w:r>
        <w:rPr>
          <w:rFonts w:hint="eastAsia" w:ascii="宋体" w:hAnsi="宋体" w:cs="宋体"/>
          <w:iCs/>
          <w:color w:val="auto"/>
          <w:sz w:val="32"/>
          <w:szCs w:val="32"/>
          <w:highlight w:val="none"/>
        </w:rPr>
        <w:t>无需提供；</w:t>
      </w:r>
    </w:p>
    <w:p w14:paraId="7857CB34">
      <w:pPr>
        <w:rPr>
          <w:rFonts w:hint="eastAsia" w:ascii="宋体" w:hAnsi="宋体" w:cs="宋体"/>
          <w:iCs/>
          <w:color w:val="auto"/>
          <w:sz w:val="32"/>
          <w:szCs w:val="32"/>
          <w:highlight w:val="none"/>
        </w:rPr>
      </w:pPr>
    </w:p>
    <w:p w14:paraId="6A4F07EC">
      <w:pPr>
        <w:spacing w:line="360" w:lineRule="auto"/>
        <w:rPr>
          <w:rFonts w:hint="eastAsia" w:ascii="宋体" w:hAnsi="宋体" w:cs="宋体"/>
          <w:b/>
          <w:color w:val="auto"/>
          <w:sz w:val="32"/>
          <w:szCs w:val="32"/>
          <w:highlight w:val="none"/>
        </w:rPr>
      </w:pPr>
    </w:p>
    <w:p w14:paraId="78418A6D">
      <w:pPr>
        <w:pStyle w:val="81"/>
        <w:rPr>
          <w:color w:val="auto"/>
          <w:highlight w:val="none"/>
        </w:rPr>
      </w:pPr>
    </w:p>
    <w:p w14:paraId="71903F01">
      <w:pPr>
        <w:spacing w:line="360" w:lineRule="auto"/>
        <w:jc w:val="center"/>
        <w:rPr>
          <w:rFonts w:hint="eastAsia" w:ascii="宋体" w:hAnsi="宋体" w:cs="宋体"/>
          <w:b/>
          <w:color w:val="auto"/>
          <w:sz w:val="32"/>
          <w:szCs w:val="32"/>
          <w:highlight w:val="none"/>
        </w:rPr>
      </w:pPr>
    </w:p>
    <w:p w14:paraId="4A7F1F74">
      <w:pPr>
        <w:spacing w:line="360" w:lineRule="auto"/>
        <w:jc w:val="center"/>
        <w:rPr>
          <w:rFonts w:hint="eastAsia" w:ascii="宋体" w:hAnsi="宋体" w:cs="宋体"/>
          <w:b/>
          <w:color w:val="auto"/>
          <w:sz w:val="32"/>
          <w:szCs w:val="32"/>
          <w:highlight w:val="none"/>
        </w:rPr>
      </w:pPr>
    </w:p>
    <w:p w14:paraId="34608B55">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46B36A8E">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三、具备履行合同所必需的设备和专业技术能力的书面声明</w:t>
      </w:r>
    </w:p>
    <w:p w14:paraId="2FA35218">
      <w:pPr>
        <w:spacing w:line="360" w:lineRule="auto"/>
        <w:ind w:firstLine="48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声明</w:t>
      </w:r>
    </w:p>
    <w:p w14:paraId="79F61761">
      <w:pPr>
        <w:spacing w:line="360" w:lineRule="auto"/>
        <w:ind w:firstLine="480"/>
        <w:rPr>
          <w:rFonts w:hint="eastAsia" w:ascii="宋体" w:hAnsi="宋体" w:cs="宋体"/>
          <w:color w:val="auto"/>
          <w:sz w:val="28"/>
          <w:szCs w:val="24"/>
          <w:highlight w:val="none"/>
        </w:rPr>
      </w:pPr>
      <w:r>
        <w:rPr>
          <w:rFonts w:hint="eastAsia" w:ascii="宋体" w:hAnsi="宋体" w:cs="宋体"/>
          <w:bCs/>
          <w:iCs/>
          <w:color w:val="auto"/>
          <w:sz w:val="28"/>
          <w:szCs w:val="21"/>
          <w:highlight w:val="none"/>
        </w:rPr>
        <w:t>我单位郑重声明：我单位具备履行本项采购合同所必需的设备和专业技术能力，为履行本项采购合同我公司具备如下主要设备和主要专业技术能力：</w:t>
      </w:r>
    </w:p>
    <w:p w14:paraId="4A3C991F">
      <w:pPr>
        <w:spacing w:line="360" w:lineRule="auto"/>
        <w:ind w:firstLine="480"/>
        <w:rPr>
          <w:rFonts w:hint="eastAsia" w:ascii="宋体" w:hAnsi="宋体" w:cs="宋体"/>
          <w:color w:val="auto"/>
          <w:sz w:val="28"/>
          <w:szCs w:val="24"/>
          <w:highlight w:val="none"/>
        </w:rPr>
      </w:pPr>
      <w:r>
        <w:rPr>
          <w:rFonts w:hint="eastAsia" w:ascii="宋体" w:hAnsi="宋体" w:cs="宋体"/>
          <w:color w:val="auto"/>
          <w:sz w:val="28"/>
          <w:szCs w:val="24"/>
          <w:highlight w:val="none"/>
        </w:rPr>
        <w:t>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w:t>
      </w:r>
    </w:p>
    <w:p w14:paraId="4AB8F887">
      <w:pPr>
        <w:spacing w:line="360" w:lineRule="auto"/>
        <w:ind w:firstLine="480"/>
        <w:rPr>
          <w:rFonts w:hint="eastAsia" w:ascii="宋体" w:hAnsi="宋体" w:cs="宋体"/>
          <w:color w:val="auto"/>
          <w:sz w:val="28"/>
          <w:szCs w:val="24"/>
          <w:highlight w:val="none"/>
        </w:rPr>
      </w:pPr>
      <w:r>
        <w:rPr>
          <w:rFonts w:hint="eastAsia" w:ascii="宋体" w:hAnsi="宋体" w:cs="宋体"/>
          <w:color w:val="auto"/>
          <w:sz w:val="28"/>
          <w:szCs w:val="24"/>
          <w:highlight w:val="none"/>
        </w:rPr>
        <w:t>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w:t>
      </w:r>
    </w:p>
    <w:p w14:paraId="422172D7">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7E2B89A8">
      <w:pPr>
        <w:spacing w:line="360" w:lineRule="auto"/>
        <w:jc w:val="center"/>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p>
    <w:p w14:paraId="0E0B72E0">
      <w:pPr>
        <w:spacing w:line="360" w:lineRule="auto"/>
        <w:jc w:val="right"/>
        <w:rPr>
          <w:rFonts w:hint="eastAsia" w:ascii="宋体" w:hAnsi="宋体"/>
          <w:color w:val="auto"/>
          <w:sz w:val="28"/>
          <w:szCs w:val="24"/>
          <w:highlight w:val="none"/>
          <w:u w:val="single"/>
        </w:rPr>
      </w:pPr>
      <w:r>
        <w:rPr>
          <w:rFonts w:hint="eastAsia" w:ascii="宋体" w:hAnsi="宋体"/>
          <w:color w:val="auto"/>
          <w:sz w:val="28"/>
          <w:szCs w:val="24"/>
          <w:highlight w:val="none"/>
        </w:rPr>
        <w:t>投标人全称：</w:t>
      </w:r>
      <w:r>
        <w:rPr>
          <w:rFonts w:hint="eastAsia" w:ascii="宋体" w:hAnsi="宋体"/>
          <w:color w:val="auto"/>
          <w:sz w:val="28"/>
          <w:szCs w:val="24"/>
          <w:highlight w:val="none"/>
          <w:u w:val="single"/>
        </w:rPr>
        <w:t xml:space="preserve">  （加盖CA电子签章或盖公章 ）</w:t>
      </w:r>
    </w:p>
    <w:p w14:paraId="2B4FFFEA">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p>
    <w:p w14:paraId="7F427646">
      <w:pPr>
        <w:pStyle w:val="81"/>
        <w:rPr>
          <w:color w:val="auto"/>
          <w:sz w:val="28"/>
          <w:highlight w:val="none"/>
          <w:u w:val="single"/>
        </w:rPr>
      </w:pPr>
    </w:p>
    <w:p w14:paraId="65E6BEEA">
      <w:pPr>
        <w:pStyle w:val="81"/>
        <w:rPr>
          <w:color w:val="auto"/>
          <w:sz w:val="28"/>
          <w:szCs w:val="28"/>
          <w:highlight w:val="none"/>
          <w:u w:val="single"/>
        </w:rPr>
      </w:pPr>
    </w:p>
    <w:p w14:paraId="371E561B">
      <w:pPr>
        <w:pStyle w:val="81"/>
        <w:rPr>
          <w:color w:val="auto"/>
          <w:sz w:val="28"/>
          <w:szCs w:val="28"/>
          <w:highlight w:val="none"/>
          <w:u w:val="single"/>
        </w:rPr>
      </w:pPr>
    </w:p>
    <w:p w14:paraId="273957F5">
      <w:pPr>
        <w:pStyle w:val="81"/>
        <w:rPr>
          <w:color w:val="auto"/>
          <w:sz w:val="28"/>
          <w:szCs w:val="28"/>
          <w:highlight w:val="none"/>
          <w:u w:val="single"/>
        </w:rPr>
      </w:pPr>
    </w:p>
    <w:p w14:paraId="4551B90B">
      <w:pPr>
        <w:pStyle w:val="81"/>
        <w:rPr>
          <w:color w:val="auto"/>
          <w:sz w:val="28"/>
          <w:szCs w:val="28"/>
          <w:highlight w:val="none"/>
          <w:u w:val="single"/>
        </w:rPr>
      </w:pPr>
    </w:p>
    <w:p w14:paraId="31BCE58E">
      <w:pPr>
        <w:pStyle w:val="81"/>
        <w:rPr>
          <w:color w:val="auto"/>
          <w:sz w:val="28"/>
          <w:szCs w:val="28"/>
          <w:highlight w:val="none"/>
          <w:u w:val="single"/>
        </w:rPr>
      </w:pPr>
    </w:p>
    <w:p w14:paraId="53608BF4">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5CFF6681">
      <w:pPr>
        <w:spacing w:line="360" w:lineRule="auto"/>
        <w:jc w:val="center"/>
        <w:rPr>
          <w:rFonts w:hint="eastAsia" w:ascii="宋体" w:hAnsi="宋体" w:cs="宋体"/>
          <w:b/>
          <w:iCs/>
          <w:color w:val="auto"/>
          <w:sz w:val="32"/>
          <w:szCs w:val="32"/>
          <w:highlight w:val="none"/>
        </w:rPr>
      </w:pPr>
      <w:r>
        <w:rPr>
          <w:rFonts w:hint="eastAsia" w:ascii="宋体" w:hAnsi="宋体" w:cs="宋体"/>
          <w:b/>
          <w:color w:val="auto"/>
          <w:sz w:val="32"/>
          <w:szCs w:val="32"/>
          <w:highlight w:val="none"/>
        </w:rPr>
        <w:t>四、依法缴纳税收和社会保障资金的相关材料</w:t>
      </w:r>
    </w:p>
    <w:p w14:paraId="2BB5A4A5">
      <w:pPr>
        <w:spacing w:line="360" w:lineRule="auto"/>
        <w:ind w:firstLine="480"/>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提供提交投标文件截止时间前一年内至少一个月依法缴纳税收及缴纳社会保障资金的证明材料。投标人依法享受缓缴、免缴税收、社会保障资金的提供证明材料。</w:t>
      </w:r>
    </w:p>
    <w:p w14:paraId="54498F68">
      <w:pPr>
        <w:spacing w:line="360" w:lineRule="auto"/>
        <w:ind w:firstLine="1968"/>
        <w:rPr>
          <w:rFonts w:hint="eastAsia" w:ascii="宋体" w:hAnsi="宋体" w:cs="宋体"/>
          <w:b/>
          <w:iCs/>
          <w:color w:val="auto"/>
          <w:sz w:val="28"/>
          <w:szCs w:val="36"/>
          <w:highlight w:val="none"/>
        </w:rPr>
      </w:pPr>
    </w:p>
    <w:p w14:paraId="33F1EAD3">
      <w:pPr>
        <w:spacing w:line="360" w:lineRule="auto"/>
        <w:ind w:firstLine="480"/>
        <w:rPr>
          <w:rFonts w:hint="eastAsia" w:ascii="宋体" w:hAnsi="宋体" w:cs="宋体"/>
          <w:color w:val="auto"/>
          <w:sz w:val="24"/>
          <w:szCs w:val="24"/>
          <w:highlight w:val="none"/>
        </w:rPr>
      </w:pPr>
    </w:p>
    <w:p w14:paraId="06C6B5E1">
      <w:pPr>
        <w:spacing w:line="360" w:lineRule="auto"/>
        <w:ind w:firstLine="480"/>
        <w:rPr>
          <w:rFonts w:hint="eastAsia" w:ascii="宋体" w:hAnsi="宋体" w:cs="宋体"/>
          <w:color w:val="auto"/>
          <w:sz w:val="24"/>
          <w:szCs w:val="24"/>
          <w:highlight w:val="none"/>
        </w:rPr>
      </w:pPr>
    </w:p>
    <w:p w14:paraId="6EB1CC2D">
      <w:pPr>
        <w:spacing w:line="360" w:lineRule="auto"/>
        <w:ind w:firstLine="480"/>
        <w:rPr>
          <w:rFonts w:hint="eastAsia" w:ascii="宋体" w:hAnsi="宋体" w:cs="宋体"/>
          <w:color w:val="auto"/>
          <w:sz w:val="24"/>
          <w:szCs w:val="24"/>
          <w:highlight w:val="none"/>
        </w:rPr>
      </w:pPr>
    </w:p>
    <w:p w14:paraId="5371FBFF">
      <w:pPr>
        <w:numPr>
          <w:ilvl w:val="0"/>
          <w:numId w:val="8"/>
        </w:num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 </w:t>
      </w:r>
    </w:p>
    <w:p w14:paraId="67BA9486">
      <w:pPr>
        <w:numPr>
          <w:ilvl w:val="0"/>
          <w:numId w:val="0"/>
        </w:numPr>
        <w:spacing w:line="360" w:lineRule="auto"/>
        <w:ind w:firstLine="964" w:firstLineChars="300"/>
        <w:jc w:val="both"/>
        <w:rPr>
          <w:rFonts w:hint="eastAsia" w:ascii="宋体" w:hAnsi="宋体" w:cs="宋体"/>
          <w:b/>
          <w:color w:val="auto"/>
          <w:sz w:val="32"/>
          <w:szCs w:val="32"/>
          <w:highlight w:val="none"/>
        </w:rPr>
      </w:pPr>
      <w:r>
        <w:rPr>
          <w:rFonts w:hint="eastAsia" w:ascii="宋体" w:hAnsi="宋体" w:cs="宋体"/>
          <w:b/>
          <w:color w:val="auto"/>
          <w:sz w:val="32"/>
          <w:szCs w:val="32"/>
          <w:highlight w:val="none"/>
        </w:rPr>
        <w:t>3 年内在经营活动中没有重大违法记录的书面声明</w:t>
      </w:r>
    </w:p>
    <w:p w14:paraId="790C3585">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声  明</w:t>
      </w:r>
    </w:p>
    <w:p w14:paraId="1376F8C3">
      <w:pPr>
        <w:spacing w:line="360" w:lineRule="auto"/>
        <w:ind w:firstLine="480"/>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我单位郑重声明：参加本次政府采购活动前 3 年内，我单位在经营活动中没有因违法经营受到刑事处罚或者责令停产停业、吊销许可证或者执照、较大数额罚款等行政处罚。</w:t>
      </w:r>
    </w:p>
    <w:p w14:paraId="24953DAB">
      <w:pPr>
        <w:spacing w:line="360" w:lineRule="auto"/>
        <w:ind w:firstLine="480"/>
        <w:rPr>
          <w:rFonts w:hint="eastAsia" w:ascii="宋体" w:hAnsi="宋体" w:cs="宋体"/>
          <w:bCs/>
          <w:iCs/>
          <w:color w:val="auto"/>
          <w:sz w:val="28"/>
          <w:szCs w:val="21"/>
          <w:highlight w:val="none"/>
        </w:rPr>
      </w:pPr>
    </w:p>
    <w:p w14:paraId="1F400D88">
      <w:pPr>
        <w:spacing w:line="360" w:lineRule="auto"/>
        <w:ind w:firstLine="480"/>
        <w:jc w:val="center"/>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p>
    <w:p w14:paraId="6196332B">
      <w:pPr>
        <w:spacing w:line="360" w:lineRule="auto"/>
        <w:ind w:firstLine="480"/>
        <w:jc w:val="center"/>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p>
    <w:p w14:paraId="6EF180B1">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p>
    <w:p w14:paraId="00E50EB6">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5"/>
      <w:bookmarkEnd w:id="186"/>
      <w:bookmarkEnd w:id="187"/>
    </w:p>
    <w:p w14:paraId="61199808">
      <w:pPr>
        <w:pStyle w:val="45"/>
        <w:spacing w:beforeAutospacing="0" w:afterAutospacing="0"/>
        <w:jc w:val="center"/>
        <w:rPr>
          <w:rFonts w:ascii="宋体" w:hAnsi="宋体" w:eastAsia="宋体" w:cs="宋体"/>
          <w:b/>
          <w:bCs/>
          <w:i/>
          <w:iCs/>
          <w:sz w:val="28"/>
          <w:szCs w:val="28"/>
        </w:rPr>
      </w:pPr>
      <w:r>
        <w:rPr>
          <w:rFonts w:hint="eastAsia" w:ascii="宋体" w:hAnsi="宋体" w:eastAsia="宋体" w:cs="宋体"/>
          <w:b/>
          <w:bCs/>
          <w:i/>
          <w:iCs/>
          <w:sz w:val="28"/>
          <w:szCs w:val="28"/>
          <w:u w:val="single"/>
          <w:lang w:val="en-US" w:eastAsia="zh-CN"/>
        </w:rPr>
        <w:t>六</w:t>
      </w:r>
      <w:r>
        <w:rPr>
          <w:rFonts w:hint="eastAsia" w:ascii="宋体" w:hAnsi="宋体" w:eastAsia="宋体" w:cs="宋体"/>
          <w:b/>
          <w:bCs/>
          <w:i/>
          <w:iCs/>
          <w:sz w:val="28"/>
          <w:szCs w:val="28"/>
          <w:u w:val="single"/>
        </w:rPr>
        <w:t>、单位负责人为同一人或者存在直接控股、管理关系的不同投标人，不得参加同一合同项下的政府采购活动。（格式自拟）</w:t>
      </w:r>
    </w:p>
    <w:p w14:paraId="5E99F4F2">
      <w:pPr>
        <w:pStyle w:val="45"/>
        <w:spacing w:beforeAutospacing="0" w:afterAutospacing="0"/>
        <w:jc w:val="center"/>
        <w:rPr>
          <w:rFonts w:ascii="宋体" w:hAnsi="宋体" w:eastAsia="宋体" w:cs="宋体"/>
          <w:b/>
          <w:bCs/>
          <w:i/>
          <w:iCs/>
          <w:sz w:val="28"/>
          <w:szCs w:val="28"/>
        </w:rPr>
      </w:pPr>
    </w:p>
    <w:p w14:paraId="6E3712CC">
      <w:pPr>
        <w:pStyle w:val="45"/>
        <w:spacing w:beforeAutospacing="0" w:afterAutospacing="0"/>
        <w:jc w:val="center"/>
        <w:rPr>
          <w:rFonts w:ascii="宋体" w:hAnsi="宋体" w:eastAsia="宋体" w:cs="宋体"/>
          <w:b/>
          <w:bCs/>
          <w:i/>
          <w:iCs/>
          <w:sz w:val="28"/>
          <w:szCs w:val="28"/>
        </w:rPr>
      </w:pPr>
    </w:p>
    <w:p w14:paraId="7EECC6E3">
      <w:pPr>
        <w:jc w:val="center"/>
        <w:rPr>
          <w:rFonts w:hint="eastAsia" w:ascii="宋体" w:hAnsi="宋体" w:cs="宋体"/>
          <w:bCs/>
          <w:iCs/>
          <w:color w:val="auto"/>
          <w:sz w:val="28"/>
          <w:szCs w:val="21"/>
          <w:highlight w:val="none"/>
          <w:lang w:eastAsia="zh-CN"/>
        </w:rPr>
      </w:pPr>
      <w:r>
        <w:rPr>
          <w:rFonts w:hint="eastAsia" w:ascii="宋体" w:hAnsi="宋体" w:eastAsia="宋体" w:cs="宋体"/>
          <w:b/>
          <w:bCs/>
          <w:i/>
          <w:iCs/>
          <w:sz w:val="28"/>
          <w:szCs w:val="28"/>
          <w:lang w:val="en-US" w:eastAsia="zh-CN"/>
        </w:rPr>
        <w:t>七</w:t>
      </w:r>
      <w:r>
        <w:rPr>
          <w:rFonts w:hint="eastAsia" w:ascii="宋体" w:hAnsi="宋体" w:eastAsia="宋体" w:cs="宋体"/>
          <w:b/>
          <w:bCs/>
          <w:i/>
          <w:iCs/>
          <w:sz w:val="28"/>
          <w:szCs w:val="28"/>
        </w:rPr>
        <w:t>、</w:t>
      </w:r>
      <w:r>
        <w:rPr>
          <w:rFonts w:hint="eastAsia" w:ascii="宋体" w:hAnsi="宋体" w:cs="宋体"/>
          <w:b/>
          <w:i/>
          <w:iCs/>
          <w:color w:val="auto"/>
          <w:sz w:val="32"/>
          <w:szCs w:val="32"/>
          <w:highlight w:val="none"/>
          <w:u w:val="single"/>
        </w:rPr>
        <w:t>特定资格要求的证明文件</w:t>
      </w:r>
      <w:r>
        <w:rPr>
          <w:rFonts w:hint="eastAsia" w:ascii="宋体" w:hAnsi="宋体" w:cs="宋体"/>
          <w:i/>
          <w:iCs/>
          <w:color w:val="auto"/>
          <w:sz w:val="24"/>
          <w:szCs w:val="24"/>
          <w:highlight w:val="none"/>
          <w:u w:val="single"/>
        </w:rPr>
        <w:t>（如果本项目设置特定资格要求，则需要提供）</w:t>
      </w:r>
    </w:p>
    <w:p w14:paraId="63E64095">
      <w:pPr>
        <w:pStyle w:val="45"/>
        <w:spacing w:beforeAutospacing="0" w:afterAutospacing="0"/>
        <w:jc w:val="center"/>
        <w:rPr>
          <w:rFonts w:ascii="黑体" w:hAnsi="黑体" w:eastAsia="黑体" w:cs="宋体"/>
          <w:iCs/>
          <w:sz w:val="36"/>
          <w:szCs w:val="32"/>
        </w:rPr>
      </w:pPr>
    </w:p>
    <w:p w14:paraId="03203EF1">
      <w:pPr>
        <w:rPr>
          <w:rFonts w:hint="eastAsia" w:ascii="宋体" w:hAnsi="宋体" w:cs="宋体"/>
          <w:b/>
          <w:color w:val="auto"/>
          <w:sz w:val="32"/>
          <w:szCs w:val="32"/>
          <w:highlight w:val="none"/>
          <w:lang w:val="en-US" w:eastAsia="zh-CN"/>
        </w:rPr>
      </w:pPr>
    </w:p>
    <w:p w14:paraId="255752F5">
      <w:pPr>
        <w:rPr>
          <w:rFonts w:hint="eastAsia" w:ascii="宋体" w:hAnsi="宋体" w:cs="宋体"/>
          <w:b/>
          <w:color w:val="auto"/>
          <w:sz w:val="32"/>
          <w:szCs w:val="32"/>
          <w:highlight w:val="none"/>
          <w:lang w:val="en-US" w:eastAsia="zh-CN"/>
        </w:rPr>
      </w:pPr>
    </w:p>
    <w:p w14:paraId="1AB3BF7F">
      <w:pPr>
        <w:rPr>
          <w:rFonts w:hint="eastAsia" w:ascii="宋体" w:hAnsi="宋体" w:cs="宋体"/>
          <w:b/>
          <w:color w:val="auto"/>
          <w:sz w:val="32"/>
          <w:szCs w:val="32"/>
          <w:highlight w:val="none"/>
          <w:lang w:val="en-US" w:eastAsia="zh-CN"/>
        </w:rPr>
      </w:pPr>
    </w:p>
    <w:p w14:paraId="00309954">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p>
    <w:p w14:paraId="6DD9759B">
      <w:pPr>
        <w:spacing w:line="480" w:lineRule="auto"/>
        <w:jc w:val="center"/>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八</w:t>
      </w:r>
      <w:r>
        <w:rPr>
          <w:rFonts w:hint="eastAsia" w:ascii="宋体" w:hAnsi="宋体" w:cs="新宋体"/>
          <w:b/>
          <w:i/>
          <w:iCs w:val="0"/>
          <w:color w:val="auto"/>
          <w:sz w:val="36"/>
          <w:szCs w:val="36"/>
          <w:highlight w:val="none"/>
          <w:u w:val="single"/>
        </w:rPr>
        <w:t>、法人授权书</w:t>
      </w:r>
    </w:p>
    <w:p w14:paraId="0FA7C366">
      <w:pPr>
        <w:tabs>
          <w:tab w:val="left" w:pos="360"/>
        </w:tabs>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本授权书声明：__________（投标人名称）授权___________（被授权人的姓名）为我方就</w:t>
      </w:r>
      <w:r>
        <w:rPr>
          <w:rFonts w:hint="eastAsia" w:ascii="宋体" w:hAnsi="宋体"/>
          <w:color w:val="auto"/>
          <w:sz w:val="28"/>
          <w:szCs w:val="28"/>
          <w:highlight w:val="none"/>
          <w:lang w:eastAsia="zh-CN"/>
        </w:rPr>
        <w:t>JSZC-320923-SWGC-G2026-0061</w:t>
      </w:r>
      <w:r>
        <w:rPr>
          <w:rFonts w:hint="eastAsia" w:ascii="宋体" w:hAnsi="宋体"/>
          <w:color w:val="auto"/>
          <w:sz w:val="28"/>
          <w:szCs w:val="28"/>
          <w:highlight w:val="none"/>
        </w:rPr>
        <w:t>号项目采购活动的合法代理人，以本单位名义全权处理一切与该项目采购有关的事务。</w:t>
      </w:r>
    </w:p>
    <w:p w14:paraId="0E2047D4">
      <w:pPr>
        <w:tabs>
          <w:tab w:val="left" w:pos="360"/>
        </w:tabs>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日起生效，特此声明。</w:t>
      </w:r>
    </w:p>
    <w:p w14:paraId="0B95778D">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被授权人身份证号码：</w:t>
      </w:r>
      <w:r>
        <w:rPr>
          <w:rFonts w:hint="eastAsia" w:ascii="宋体" w:hAnsi="宋体"/>
          <w:color w:val="auto"/>
          <w:sz w:val="28"/>
          <w:szCs w:val="28"/>
          <w:highlight w:val="none"/>
          <w:u w:val="single"/>
        </w:rPr>
        <w:t xml:space="preserve">                     </w:t>
      </w:r>
    </w:p>
    <w:p w14:paraId="66DE2A15">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被授权人联系电话：（手机）</w:t>
      </w:r>
      <w:r>
        <w:rPr>
          <w:rFonts w:hint="eastAsia" w:ascii="宋体" w:hAnsi="宋体"/>
          <w:color w:val="auto"/>
          <w:sz w:val="28"/>
          <w:szCs w:val="28"/>
          <w:highlight w:val="none"/>
          <w:u w:val="single"/>
        </w:rPr>
        <w:t xml:space="preserve">               </w:t>
      </w:r>
    </w:p>
    <w:p w14:paraId="56A74FA4">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授权单位名称：</w:t>
      </w:r>
      <w:r>
        <w:rPr>
          <w:rFonts w:hint="eastAsia" w:ascii="宋体" w:hAnsi="宋体"/>
          <w:color w:val="auto"/>
          <w:sz w:val="28"/>
          <w:szCs w:val="28"/>
          <w:highlight w:val="none"/>
          <w:u w:val="single"/>
        </w:rPr>
        <w:t>（加盖CA电子签章或盖公章）</w:t>
      </w:r>
    </w:p>
    <w:p w14:paraId="10978243">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单位地址：</w:t>
      </w:r>
      <w:r>
        <w:rPr>
          <w:rFonts w:hint="eastAsia" w:ascii="宋体" w:hAnsi="宋体"/>
          <w:color w:val="auto"/>
          <w:sz w:val="28"/>
          <w:szCs w:val="28"/>
          <w:highlight w:val="none"/>
          <w:u w:val="single"/>
        </w:rPr>
        <w:t xml:space="preserve">                               </w:t>
      </w:r>
    </w:p>
    <w:p w14:paraId="6FEAF6A2">
      <w:pPr>
        <w:tabs>
          <w:tab w:val="left" w:pos="360"/>
        </w:tabs>
        <w:spacing w:line="480" w:lineRule="auto"/>
        <w:ind w:firstLine="1195"/>
        <w:rPr>
          <w:rFonts w:hint="eastAsia" w:ascii="宋体" w:hAnsi="宋体"/>
          <w:color w:val="auto"/>
          <w:sz w:val="28"/>
          <w:szCs w:val="28"/>
          <w:highlight w:val="none"/>
        </w:rPr>
      </w:pPr>
      <w:r>
        <w:rPr>
          <w:rFonts w:hint="eastAsia" w:ascii="宋体" w:hAnsi="宋体"/>
          <w:color w:val="auto"/>
          <w:sz w:val="28"/>
          <w:szCs w:val="28"/>
          <w:highlight w:val="none"/>
        </w:rPr>
        <w:t>日期：</w:t>
      </w:r>
      <w:bookmarkStart w:id="188" w:name="_格式3__银行出具的资信证明"/>
      <w:bookmarkEnd w:id="188"/>
      <w:bookmarkStart w:id="189" w:name="_Hlt26671380"/>
      <w:bookmarkEnd w:id="189"/>
      <w:bookmarkStart w:id="190" w:name="_Hlt26955070"/>
      <w:bookmarkEnd w:id="190"/>
      <w:r>
        <w:rPr>
          <w:rFonts w:hint="eastAsia" w:ascii="宋体" w:hAnsi="宋体"/>
          <w:color w:val="auto"/>
          <w:sz w:val="28"/>
          <w:szCs w:val="28"/>
          <w:highlight w:val="none"/>
          <w:u w:val="single"/>
        </w:rPr>
        <w:t xml:space="preserve">                                  </w:t>
      </w:r>
    </w:p>
    <w:p w14:paraId="697AD413">
      <w:pPr>
        <w:pStyle w:val="45"/>
        <w:tabs>
          <w:tab w:val="left" w:pos="360"/>
        </w:tabs>
        <w:spacing w:beforeAutospacing="0" w:afterAutospacing="0" w:line="360" w:lineRule="auto"/>
        <w:ind w:firstLine="480"/>
        <w:jc w:val="both"/>
        <w:rPr>
          <w:rFonts w:asciiTheme="minorEastAsia" w:hAnsiTheme="minorEastAsia"/>
          <w:sz w:val="28"/>
          <w:szCs w:val="28"/>
        </w:rPr>
      </w:pPr>
      <w:r>
        <w:rPr>
          <w:rFonts w:hint="eastAsia" w:asciiTheme="minorEastAsia" w:hAnsiTheme="minorEastAsia"/>
          <w:b/>
          <w:bCs/>
          <w:sz w:val="28"/>
          <w:szCs w:val="28"/>
        </w:rPr>
        <w:t>（附：被授权人身份证正反面</w:t>
      </w:r>
      <w:r>
        <w:rPr>
          <w:rFonts w:hint="eastAsia" w:asciiTheme="minorEastAsia" w:hAnsiTheme="minorEastAsia"/>
          <w:b/>
          <w:bCs/>
          <w:sz w:val="28"/>
          <w:szCs w:val="28"/>
          <w:lang w:val="en-US" w:eastAsia="zh-CN"/>
        </w:rPr>
        <w:t>复印件</w:t>
      </w:r>
      <w:r>
        <w:rPr>
          <w:rFonts w:hint="eastAsia" w:asciiTheme="minorEastAsia" w:hAnsiTheme="minorEastAsia"/>
          <w:b/>
          <w:bCs/>
          <w:sz w:val="28"/>
          <w:szCs w:val="28"/>
        </w:rPr>
        <w:t>）</w:t>
      </w:r>
    </w:p>
    <w:tbl>
      <w:tblPr>
        <w:tblStyle w:val="5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024AE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tcPr>
          <w:p w14:paraId="1FAD58A1">
            <w:pPr>
              <w:pStyle w:val="45"/>
              <w:jc w:val="center"/>
              <w:rPr>
                <w:rFonts w:ascii="宋体" w:hAnsi="宋体" w:eastAsia="宋体" w:cs="宋体"/>
                <w:b/>
                <w:iCs/>
                <w:szCs w:val="32"/>
              </w:rPr>
            </w:pPr>
          </w:p>
          <w:p w14:paraId="772DC195">
            <w:pPr>
              <w:pStyle w:val="45"/>
              <w:jc w:val="center"/>
              <w:rPr>
                <w:rFonts w:ascii="宋体" w:hAnsi="宋体" w:eastAsia="宋体" w:cs="宋体"/>
                <w:b/>
                <w:iCs/>
                <w:szCs w:val="32"/>
              </w:rPr>
            </w:pPr>
          </w:p>
          <w:p w14:paraId="44B0E697">
            <w:pPr>
              <w:pStyle w:val="45"/>
              <w:jc w:val="center"/>
              <w:rPr>
                <w:rFonts w:ascii="宋体" w:hAnsi="宋体" w:eastAsia="宋体" w:cs="宋体"/>
                <w:b/>
                <w:iCs/>
                <w:szCs w:val="32"/>
              </w:rPr>
            </w:pPr>
            <w:r>
              <w:rPr>
                <w:rFonts w:hint="eastAsia" w:ascii="宋体" w:hAnsi="宋体" w:eastAsia="宋体" w:cs="宋体"/>
                <w:b/>
                <w:iCs/>
                <w:szCs w:val="32"/>
              </w:rPr>
              <w:t>正面</w:t>
            </w:r>
          </w:p>
        </w:tc>
        <w:tc>
          <w:tcPr>
            <w:tcW w:w="4111" w:type="dxa"/>
            <w:noWrap/>
          </w:tcPr>
          <w:p w14:paraId="5ECC2A16">
            <w:pPr>
              <w:pStyle w:val="45"/>
              <w:jc w:val="center"/>
              <w:rPr>
                <w:rFonts w:ascii="宋体" w:hAnsi="宋体" w:eastAsia="宋体" w:cs="宋体"/>
                <w:b/>
                <w:iCs/>
                <w:szCs w:val="32"/>
              </w:rPr>
            </w:pPr>
          </w:p>
          <w:p w14:paraId="425DE1A0">
            <w:pPr>
              <w:pStyle w:val="45"/>
              <w:jc w:val="center"/>
              <w:rPr>
                <w:rFonts w:ascii="宋体" w:hAnsi="宋体" w:eastAsia="宋体" w:cs="宋体"/>
                <w:b/>
                <w:iCs/>
                <w:szCs w:val="32"/>
              </w:rPr>
            </w:pPr>
          </w:p>
          <w:p w14:paraId="34DC857A">
            <w:pPr>
              <w:pStyle w:val="45"/>
              <w:jc w:val="center"/>
              <w:rPr>
                <w:rFonts w:ascii="宋体" w:hAnsi="宋体" w:eastAsia="宋体" w:cs="宋体"/>
                <w:b/>
                <w:iCs/>
                <w:szCs w:val="32"/>
              </w:rPr>
            </w:pPr>
            <w:r>
              <w:rPr>
                <w:rFonts w:hint="eastAsia" w:ascii="宋体" w:hAnsi="宋体" w:eastAsia="宋体" w:cs="宋体"/>
                <w:b/>
                <w:iCs/>
                <w:szCs w:val="32"/>
              </w:rPr>
              <w:t>反面</w:t>
            </w:r>
          </w:p>
        </w:tc>
      </w:tr>
    </w:tbl>
    <w:p w14:paraId="15309061">
      <w:pPr>
        <w:spacing w:line="480" w:lineRule="auto"/>
        <w:ind w:firstLine="420"/>
        <w:rPr>
          <w:i/>
          <w:color w:val="auto"/>
          <w:sz w:val="24"/>
          <w:szCs w:val="24"/>
          <w:highlight w:val="none"/>
          <w:u w:val="single"/>
        </w:rPr>
      </w:pPr>
    </w:p>
    <w:p w14:paraId="61D7ADA2">
      <w:pPr>
        <w:spacing w:line="460" w:lineRule="exact"/>
        <w:rPr>
          <w:rFonts w:hint="eastAsia" w:ascii="宋体" w:hAnsi="宋体"/>
          <w:bCs/>
          <w:color w:val="auto"/>
          <w:sz w:val="24"/>
          <w:szCs w:val="21"/>
          <w:highlight w:val="none"/>
        </w:rPr>
      </w:pPr>
    </w:p>
    <w:p w14:paraId="1DBD74C7">
      <w:pPr>
        <w:pStyle w:val="50"/>
        <w:rPr>
          <w:rFonts w:hint="eastAsia"/>
          <w:color w:val="auto"/>
          <w:highlight w:val="none"/>
        </w:rPr>
      </w:pPr>
    </w:p>
    <w:p w14:paraId="62168D96">
      <w:pPr>
        <w:numPr>
          <w:ilvl w:val="0"/>
          <w:numId w:val="0"/>
        </w:numPr>
        <w:spacing w:line="480" w:lineRule="auto"/>
        <w:jc w:val="center"/>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lang w:val="en-US" w:eastAsia="zh-CN"/>
        </w:rPr>
        <w:t>九</w:t>
      </w:r>
      <w:r>
        <w:rPr>
          <w:rFonts w:hint="eastAsia" w:ascii="宋体" w:hAnsi="宋体" w:cs="新宋体"/>
          <w:b/>
          <w:i/>
          <w:iCs w:val="0"/>
          <w:color w:val="auto"/>
          <w:sz w:val="36"/>
          <w:szCs w:val="36"/>
          <w:highlight w:val="none"/>
          <w:u w:val="single"/>
        </w:rPr>
        <w:t>、投标函</w:t>
      </w:r>
    </w:p>
    <w:p w14:paraId="7EABBF36">
      <w:pPr>
        <w:spacing w:line="360" w:lineRule="auto"/>
        <w:jc w:val="left"/>
        <w:rPr>
          <w:rFonts w:hint="eastAsia" w:ascii="宋体" w:hAnsi="宋体" w:eastAsia="宋体" w:cs="Times New Roman"/>
          <w:color w:val="auto"/>
          <w:sz w:val="28"/>
          <w:highlight w:val="none"/>
          <w:lang w:eastAsia="zh-CN"/>
        </w:rPr>
      </w:pPr>
      <w:r>
        <w:rPr>
          <w:rFonts w:hint="eastAsia" w:ascii="宋体" w:hAnsi="宋体" w:eastAsia="宋体" w:cs="Times New Roman"/>
          <w:color w:val="auto"/>
          <w:sz w:val="28"/>
          <w:highlight w:val="none"/>
        </w:rPr>
        <w:t xml:space="preserve">致： </w:t>
      </w:r>
      <w:r>
        <w:rPr>
          <w:rFonts w:hint="eastAsia" w:ascii="宋体" w:hAnsi="宋体" w:cs="Times New Roman"/>
          <w:color w:val="auto"/>
          <w:sz w:val="28"/>
          <w:highlight w:val="none"/>
          <w:lang w:eastAsia="zh-CN"/>
        </w:rPr>
        <w:t>盐城市阜宁生态环境局</w:t>
      </w:r>
    </w:p>
    <w:p w14:paraId="5EFCFBC9">
      <w:pPr>
        <w:spacing w:line="360" w:lineRule="auto"/>
        <w:ind w:firstLine="480"/>
        <w:jc w:val="left"/>
        <w:rPr>
          <w:rFonts w:hint="eastAsia" w:ascii="宋体" w:hAnsi="宋体"/>
          <w:color w:val="auto"/>
          <w:sz w:val="28"/>
          <w:highlight w:val="none"/>
        </w:rPr>
      </w:pPr>
      <w:r>
        <w:rPr>
          <w:rFonts w:hint="eastAsia" w:ascii="宋体" w:hAnsi="宋体" w:eastAsia="宋体" w:cs="Times New Roman"/>
          <w:color w:val="auto"/>
          <w:sz w:val="28"/>
          <w:highlight w:val="none"/>
        </w:rPr>
        <w:t>根据贵方的</w:t>
      </w:r>
      <w:r>
        <w:rPr>
          <w:rFonts w:hint="eastAsia" w:ascii="宋体" w:hAnsi="宋体" w:cs="Times New Roman"/>
          <w:color w:val="auto"/>
          <w:sz w:val="28"/>
          <w:highlight w:val="none"/>
          <w:lang w:eastAsia="zh-CN"/>
        </w:rPr>
        <w:t>JSZC-320923-SWGC-G2026-0061</w:t>
      </w:r>
      <w:r>
        <w:rPr>
          <w:rFonts w:hint="eastAsia" w:ascii="宋体" w:hAnsi="宋体" w:eastAsia="宋体" w:cs="Times New Roman"/>
          <w:color w:val="auto"/>
          <w:sz w:val="28"/>
          <w:highlight w:val="none"/>
        </w:rPr>
        <w:t>号招标文件，正式授权下</w:t>
      </w:r>
      <w:r>
        <w:rPr>
          <w:rFonts w:hint="eastAsia" w:ascii="宋体" w:hAnsi="宋体"/>
          <w:color w:val="auto"/>
          <w:sz w:val="28"/>
          <w:highlight w:val="none"/>
        </w:rPr>
        <w:t>述签字人_________________(姓名)代表我方______________（投标人的名称），全权处理本次项目投标的有关事宜。</w:t>
      </w:r>
    </w:p>
    <w:p w14:paraId="545D9375">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据此函，签字人兹宣布同意如下：</w:t>
      </w:r>
    </w:p>
    <w:p w14:paraId="682180D1">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1.按招标文件规定的各项要求，向买方提供所需货物（包含与货物相关的服务）。</w:t>
      </w:r>
    </w:p>
    <w:p w14:paraId="49220888">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2.我们完全理解贵方不一定将合同授予最低报价的投标人。</w:t>
      </w:r>
    </w:p>
    <w:p w14:paraId="3510D08F">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3.我们已详细审核全部招标文件及其有效补充文件，我们知道必须放弃提出含糊不清或误解问题的权利。</w:t>
      </w:r>
    </w:p>
    <w:p w14:paraId="3B416560">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4.我们同意从规定的开标日期起遵循本投标文件，并在规定的投标有效期期满之前均具有约束力。</w:t>
      </w:r>
    </w:p>
    <w:p w14:paraId="2FBBCA5E">
      <w:pPr>
        <w:spacing w:line="360" w:lineRule="auto"/>
        <w:ind w:firstLine="480"/>
        <w:jc w:val="left"/>
        <w:rPr>
          <w:rFonts w:hint="eastAsia" w:ascii="宋体" w:hAnsi="宋体"/>
          <w:color w:val="auto"/>
          <w:sz w:val="28"/>
          <w:highlight w:val="none"/>
        </w:rPr>
      </w:pPr>
      <w:r>
        <w:rPr>
          <w:rFonts w:ascii="宋体" w:hAnsi="宋体"/>
          <w:color w:val="auto"/>
          <w:sz w:val="28"/>
          <w:highlight w:val="none"/>
        </w:rPr>
        <w:t>5</w:t>
      </w:r>
      <w:r>
        <w:rPr>
          <w:rFonts w:hint="eastAsia" w:ascii="宋体" w:hAnsi="宋体"/>
          <w:color w:val="auto"/>
          <w:sz w:val="28"/>
          <w:highlight w:val="none"/>
        </w:rPr>
        <w:t>.同意向贵方提供贵方可能另外要求的与投标有关的任何证据或资料，并保证我方已提供和将要提供的文件是真实的、准确的。</w:t>
      </w:r>
    </w:p>
    <w:p w14:paraId="7A1EC9C3">
      <w:pPr>
        <w:spacing w:line="360" w:lineRule="auto"/>
        <w:ind w:firstLine="480"/>
        <w:jc w:val="left"/>
        <w:rPr>
          <w:rFonts w:hint="eastAsia" w:ascii="宋体" w:hAnsi="宋体"/>
          <w:color w:val="auto"/>
          <w:sz w:val="28"/>
          <w:highlight w:val="none"/>
        </w:rPr>
      </w:pPr>
      <w:r>
        <w:rPr>
          <w:rFonts w:ascii="宋体" w:hAnsi="宋体"/>
          <w:color w:val="auto"/>
          <w:sz w:val="28"/>
          <w:highlight w:val="none"/>
        </w:rPr>
        <w:t>6</w:t>
      </w:r>
      <w:r>
        <w:rPr>
          <w:rFonts w:hint="eastAsia" w:ascii="宋体" w:hAnsi="宋体"/>
          <w:color w:val="auto"/>
          <w:sz w:val="28"/>
          <w:highlight w:val="none"/>
        </w:rPr>
        <w:t>.一旦我方中标,我方将根据招标文件的规定，严格履行合同的责任和义务,并保证在招标文件规定的时间完成项目，交付买方验收、使用。</w:t>
      </w:r>
    </w:p>
    <w:p w14:paraId="115F3868">
      <w:pPr>
        <w:spacing w:line="360" w:lineRule="auto"/>
        <w:ind w:left="425"/>
        <w:jc w:val="left"/>
        <w:rPr>
          <w:rFonts w:hint="eastAsia" w:ascii="宋体" w:hAnsi="宋体"/>
          <w:color w:val="auto"/>
          <w:sz w:val="28"/>
          <w:highlight w:val="none"/>
        </w:rPr>
      </w:pPr>
      <w:r>
        <w:rPr>
          <w:rFonts w:ascii="宋体" w:hAnsi="宋体"/>
          <w:color w:val="auto"/>
          <w:sz w:val="28"/>
          <w:highlight w:val="none"/>
        </w:rPr>
        <w:t>7</w:t>
      </w:r>
      <w:r>
        <w:rPr>
          <w:rFonts w:hint="eastAsia" w:ascii="宋体" w:hAnsi="宋体"/>
          <w:color w:val="auto"/>
          <w:sz w:val="28"/>
          <w:highlight w:val="none"/>
        </w:rPr>
        <w:t>.与本投标有关的正式通讯地址为：</w:t>
      </w:r>
    </w:p>
    <w:p w14:paraId="48D4A3E3">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地      址：</w:t>
      </w:r>
    </w:p>
    <w:p w14:paraId="3FCE2417">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电      话：</w:t>
      </w:r>
    </w:p>
    <w:p w14:paraId="3DA9A556">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传      真：</w:t>
      </w:r>
    </w:p>
    <w:p w14:paraId="721C0FC4">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投标人开户行：</w:t>
      </w:r>
    </w:p>
    <w:p w14:paraId="42474D1E">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 xml:space="preserve">账      号： </w:t>
      </w:r>
    </w:p>
    <w:p w14:paraId="2C5C0D69">
      <w:pPr>
        <w:pStyle w:val="45"/>
        <w:spacing w:beforeAutospacing="0" w:afterAutospacing="0" w:line="500" w:lineRule="exact"/>
        <w:ind w:left="420" w:firstLine="480"/>
        <w:rPr>
          <w:rFonts w:hAnsi="宋体" w:eastAsia="宋体" w:cs="宋体"/>
          <w:b/>
        </w:rPr>
      </w:pPr>
      <w:r>
        <w:rPr>
          <w:rFonts w:hint="eastAsia" w:cs="宋体" w:asciiTheme="minorEastAsia" w:hAnsiTheme="minorEastAsia"/>
          <w:b/>
          <w:bCs/>
          <w:sz w:val="28"/>
          <w:szCs w:val="28"/>
        </w:rPr>
        <w:t>投标人授权代表姓名（签字）：</w:t>
      </w:r>
    </w:p>
    <w:p w14:paraId="20FB49D9">
      <w:pPr>
        <w:spacing w:line="360" w:lineRule="auto"/>
        <w:ind w:left="420" w:firstLine="480"/>
        <w:rPr>
          <w:rFonts w:hint="eastAsia" w:ascii="宋体" w:hAnsi="宋体"/>
          <w:color w:val="auto"/>
          <w:sz w:val="28"/>
          <w:highlight w:val="none"/>
        </w:rPr>
      </w:pPr>
      <w:r>
        <w:rPr>
          <w:rFonts w:hint="eastAsia" w:ascii="宋体" w:hAnsi="宋体"/>
          <w:color w:val="auto"/>
          <w:sz w:val="28"/>
          <w:highlight w:val="none"/>
        </w:rPr>
        <w:t>日      期：________年____月____日</w:t>
      </w:r>
    </w:p>
    <w:p w14:paraId="41019C59">
      <w:pPr>
        <w:spacing w:line="360" w:lineRule="auto"/>
        <w:jc w:val="center"/>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十</w:t>
      </w:r>
      <w:r>
        <w:rPr>
          <w:rFonts w:hint="eastAsia" w:ascii="宋体" w:hAnsi="宋体" w:cs="新宋体"/>
          <w:b/>
          <w:i/>
          <w:iCs w:val="0"/>
          <w:color w:val="auto"/>
          <w:sz w:val="36"/>
          <w:szCs w:val="36"/>
          <w:highlight w:val="none"/>
          <w:u w:val="single"/>
        </w:rPr>
        <w:t>、中小企业声明函</w:t>
      </w:r>
      <w:r>
        <w:rPr>
          <w:rFonts w:hint="eastAsia" w:ascii="宋体" w:hAnsi="宋体" w:cs="新宋体"/>
          <w:b/>
          <w:i/>
          <w:iCs w:val="0"/>
          <w:color w:val="auto"/>
          <w:sz w:val="36"/>
          <w:szCs w:val="36"/>
          <w:highlight w:val="none"/>
          <w:u w:val="single"/>
          <w:lang w:eastAsia="zh-CN"/>
        </w:rPr>
        <w:t>（</w:t>
      </w:r>
      <w:r>
        <w:rPr>
          <w:rFonts w:hint="eastAsia" w:ascii="宋体" w:hAnsi="宋体" w:cs="新宋体"/>
          <w:b/>
          <w:i/>
          <w:iCs w:val="0"/>
          <w:color w:val="auto"/>
          <w:sz w:val="36"/>
          <w:szCs w:val="36"/>
          <w:highlight w:val="none"/>
          <w:u w:val="single"/>
          <w:lang w:val="en-US" w:eastAsia="zh-CN"/>
        </w:rPr>
        <w:t>服务）</w:t>
      </w:r>
    </w:p>
    <w:p w14:paraId="0EF756E5">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盐城市阜宁生态环境局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组织的采购编号为</w:t>
      </w:r>
      <w:r>
        <w:rPr>
          <w:rFonts w:hint="eastAsia" w:ascii="宋体" w:hAnsi="宋体"/>
          <w:color w:val="auto"/>
          <w:sz w:val="24"/>
          <w:szCs w:val="24"/>
          <w:highlight w:val="none"/>
          <w:u w:val="none"/>
          <w:lang w:eastAsia="zh-CN"/>
        </w:rPr>
        <w:t>JSZC-320923-SWGC-G2026-0061</w:t>
      </w:r>
      <w:r>
        <w:rPr>
          <w:rFonts w:hint="eastAsia" w:ascii="宋体" w:hAnsi="宋体"/>
          <w:color w:val="auto"/>
          <w:sz w:val="24"/>
          <w:szCs w:val="24"/>
          <w:highlight w:val="none"/>
          <w:u w:val="none"/>
        </w:rPr>
        <w:t>，</w:t>
      </w:r>
      <w:r>
        <w:rPr>
          <w:rFonts w:hint="eastAsia" w:ascii="宋体" w:hAnsi="宋体"/>
          <w:color w:val="auto"/>
          <w:sz w:val="24"/>
          <w:szCs w:val="24"/>
          <w:highlight w:val="none"/>
          <w:u w:val="single"/>
          <w:lang w:eastAsia="zh-CN"/>
        </w:rPr>
        <w:t>盐城市阜宁生态环境局16个乡镇（街道）空气质量监测站运维服务</w:t>
      </w:r>
      <w:r>
        <w:rPr>
          <w:rFonts w:hint="eastAsia" w:ascii="宋体" w:hAnsi="宋体"/>
          <w:color w:val="auto"/>
          <w:sz w:val="24"/>
          <w:szCs w:val="24"/>
          <w:highlight w:val="none"/>
        </w:rPr>
        <w:t>的采购活动，提供的服务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B6BEC89">
      <w:pPr>
        <w:numPr>
          <w:ilvl w:val="0"/>
          <w:numId w:val="9"/>
        </w:numPr>
        <w:spacing w:line="460" w:lineRule="exact"/>
        <w:ind w:firstLine="360"/>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盐城市阜宁生态环境局16个乡镇（街道）空气质量监测站运维服务</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s="宋体"/>
          <w:i/>
          <w:iCs/>
          <w:color w:val="auto"/>
          <w:sz w:val="24"/>
          <w:highlight w:val="none"/>
          <w:u w:val="single"/>
        </w:rPr>
        <w:t>，三者选一填写</w:t>
      </w:r>
      <w:r>
        <w:rPr>
          <w:rFonts w:hint="eastAsia" w:ascii="宋体" w:hAnsi="宋体"/>
          <w:color w:val="auto"/>
          <w:sz w:val="24"/>
          <w:szCs w:val="24"/>
          <w:highlight w:val="none"/>
          <w:u w:val="single"/>
        </w:rPr>
        <w:t>）；</w:t>
      </w:r>
    </w:p>
    <w:p w14:paraId="4E680C13">
      <w:pPr>
        <w:numPr>
          <w:ilvl w:val="0"/>
          <w:numId w:val="9"/>
        </w:numPr>
        <w:spacing w:line="460" w:lineRule="exact"/>
        <w:ind w:firstLine="360"/>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s="宋体"/>
          <w:i/>
          <w:iCs/>
          <w:color w:val="auto"/>
          <w:sz w:val="24"/>
          <w:highlight w:val="none"/>
          <w:u w:val="single"/>
        </w:rPr>
        <w:t>，三者选一填写</w:t>
      </w:r>
      <w:r>
        <w:rPr>
          <w:rFonts w:hint="eastAsia" w:ascii="宋体" w:hAnsi="宋体"/>
          <w:color w:val="auto"/>
          <w:sz w:val="24"/>
          <w:szCs w:val="24"/>
          <w:highlight w:val="none"/>
          <w:u w:val="single"/>
        </w:rPr>
        <w:t>）；</w:t>
      </w:r>
    </w:p>
    <w:p w14:paraId="0C976064">
      <w:pPr>
        <w:spacing w:line="4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w:t>
      </w:r>
    </w:p>
    <w:p w14:paraId="6B23B48A">
      <w:pPr>
        <w:spacing w:line="4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E6D53C4">
      <w:pPr>
        <w:spacing w:line="4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44D2F304">
      <w:pPr>
        <w:spacing w:line="460" w:lineRule="exact"/>
        <w:ind w:right="720"/>
        <w:rPr>
          <w:rFonts w:hint="eastAsia" w:ascii="宋体" w:hAnsi="宋体"/>
          <w:color w:val="auto"/>
          <w:sz w:val="24"/>
          <w:szCs w:val="24"/>
          <w:highlight w:val="none"/>
        </w:rPr>
      </w:pPr>
    </w:p>
    <w:p w14:paraId="41D9C18E">
      <w:pPr>
        <w:spacing w:line="4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企业名称（加盖CA电子签章或盖公章）：</w:t>
      </w:r>
    </w:p>
    <w:p w14:paraId="7D93F971">
      <w:pPr>
        <w:spacing w:line="460" w:lineRule="exact"/>
        <w:ind w:right="480" w:firstLine="5400"/>
        <w:rPr>
          <w:rFonts w:hint="eastAsia" w:ascii="宋体" w:hAnsi="宋体"/>
          <w:color w:val="auto"/>
          <w:sz w:val="24"/>
          <w:szCs w:val="24"/>
          <w:highlight w:val="none"/>
        </w:rPr>
      </w:pPr>
      <w:r>
        <w:rPr>
          <w:rFonts w:hint="eastAsia" w:ascii="宋体" w:hAnsi="宋体"/>
          <w:color w:val="auto"/>
          <w:sz w:val="24"/>
          <w:szCs w:val="24"/>
          <w:highlight w:val="none"/>
        </w:rPr>
        <w:t>日  期：</w:t>
      </w:r>
    </w:p>
    <w:p w14:paraId="602ED9F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w:t>
      </w:r>
    </w:p>
    <w:p w14:paraId="1ADAB3D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508CEA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如不提供此声明函，价格将不做相应扣除。</w:t>
      </w:r>
    </w:p>
    <w:p w14:paraId="38C5B2AF">
      <w:pPr>
        <w:pStyle w:val="45"/>
        <w:spacing w:beforeAutospacing="0" w:afterAutospacing="0" w:line="0" w:lineRule="atLeast"/>
        <w:jc w:val="center"/>
        <w:rPr>
          <w:rFonts w:hint="eastAsia" w:ascii="黑体" w:eastAsia="黑体" w:cs="黑体"/>
          <w:b/>
          <w:color w:val="auto"/>
          <w:sz w:val="32"/>
          <w:szCs w:val="32"/>
          <w:highlight w:val="none"/>
        </w:rPr>
      </w:pPr>
    </w:p>
    <w:p w14:paraId="38A875D8">
      <w:pPr>
        <w:pStyle w:val="45"/>
        <w:spacing w:beforeAutospacing="0" w:afterAutospacing="0" w:line="0" w:lineRule="atLeast"/>
        <w:jc w:val="center"/>
        <w:rPr>
          <w:rFonts w:hint="eastAsia" w:ascii="黑体" w:eastAsia="黑体" w:cs="黑体"/>
          <w:b/>
          <w:color w:val="auto"/>
          <w:sz w:val="32"/>
          <w:szCs w:val="32"/>
          <w:highlight w:val="none"/>
        </w:rPr>
      </w:pPr>
    </w:p>
    <w:p w14:paraId="491CEC1A">
      <w:pPr>
        <w:pStyle w:val="45"/>
        <w:spacing w:beforeAutospacing="0" w:afterAutospacing="0" w:line="0" w:lineRule="atLeast"/>
        <w:jc w:val="center"/>
        <w:rPr>
          <w:rFonts w:hint="eastAsia" w:ascii="黑体" w:eastAsia="黑体" w:cs="黑体"/>
          <w:b/>
          <w:color w:val="auto"/>
          <w:sz w:val="32"/>
          <w:szCs w:val="32"/>
          <w:highlight w:val="none"/>
        </w:rPr>
      </w:pPr>
    </w:p>
    <w:p w14:paraId="2B49014D">
      <w:pPr>
        <w:pStyle w:val="45"/>
        <w:spacing w:beforeAutospacing="0" w:afterAutospacing="0" w:line="0" w:lineRule="atLeast"/>
        <w:jc w:val="center"/>
        <w:rPr>
          <w:rFonts w:hint="eastAsia" w:ascii="黑体" w:eastAsia="黑体" w:cs="黑体"/>
          <w:b/>
          <w:color w:val="auto"/>
          <w:sz w:val="32"/>
          <w:szCs w:val="32"/>
          <w:highlight w:val="none"/>
        </w:rPr>
      </w:pPr>
    </w:p>
    <w:p w14:paraId="5EDF64B4">
      <w:pPr>
        <w:pStyle w:val="45"/>
        <w:spacing w:beforeAutospacing="0" w:afterAutospacing="0" w:line="0" w:lineRule="atLeast"/>
        <w:jc w:val="center"/>
        <w:rPr>
          <w:rFonts w:hint="eastAsia" w:ascii="黑体" w:eastAsia="黑体" w:cs="黑体"/>
          <w:b/>
          <w:color w:val="auto"/>
          <w:sz w:val="32"/>
          <w:szCs w:val="32"/>
          <w:highlight w:val="none"/>
        </w:rPr>
      </w:pPr>
    </w:p>
    <w:p w14:paraId="6BD0607E">
      <w:pPr>
        <w:pStyle w:val="45"/>
        <w:spacing w:beforeAutospacing="0" w:afterAutospacing="0" w:line="0" w:lineRule="atLeast"/>
        <w:jc w:val="center"/>
        <w:rPr>
          <w:rFonts w:hint="eastAsia" w:eastAsia="黑体"/>
          <w:i/>
          <w:iCs/>
          <w:color w:val="auto"/>
          <w:highlight w:val="none"/>
          <w:u w:val="single"/>
        </w:rPr>
      </w:pPr>
      <w:r>
        <w:rPr>
          <w:rFonts w:hint="eastAsia" w:ascii="黑体" w:eastAsia="黑体" w:cs="黑体"/>
          <w:b/>
          <w:i/>
          <w:iCs/>
          <w:color w:val="auto"/>
          <w:sz w:val="32"/>
          <w:szCs w:val="32"/>
          <w:highlight w:val="none"/>
          <w:u w:val="single"/>
        </w:rPr>
        <w:t>残疾人福利性单位声明函（如</w:t>
      </w:r>
      <w:r>
        <w:rPr>
          <w:rFonts w:hint="eastAsia" w:ascii="黑体" w:eastAsia="黑体" w:cs="黑体"/>
          <w:b/>
          <w:i/>
          <w:iCs/>
          <w:color w:val="auto"/>
          <w:sz w:val="32"/>
          <w:szCs w:val="32"/>
          <w:highlight w:val="none"/>
          <w:u w:val="single"/>
          <w:lang w:val="en-US" w:eastAsia="zh-CN"/>
        </w:rPr>
        <w:t>是</w:t>
      </w:r>
      <w:r>
        <w:rPr>
          <w:rFonts w:hint="eastAsia" w:ascii="黑体" w:eastAsia="黑体" w:cs="黑体"/>
          <w:b/>
          <w:i/>
          <w:iCs/>
          <w:color w:val="auto"/>
          <w:sz w:val="32"/>
          <w:szCs w:val="32"/>
          <w:highlight w:val="none"/>
          <w:u w:val="single"/>
        </w:rPr>
        <w:t>）</w:t>
      </w:r>
    </w:p>
    <w:p w14:paraId="2617A174">
      <w:pPr>
        <w:pStyle w:val="45"/>
        <w:spacing w:beforeAutospacing="0" w:afterAutospacing="0" w:line="360" w:lineRule="auto"/>
        <w:ind w:firstLine="480"/>
        <w:jc w:val="both"/>
        <w:rPr>
          <w:rFonts w:hint="eastAsia" w:cs="Times New Roman"/>
          <w:color w:val="auto"/>
          <w:highlight w:val="none"/>
        </w:rPr>
      </w:pPr>
    </w:p>
    <w:p w14:paraId="19F5E21A">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w:t>
      </w:r>
      <w:r>
        <w:rPr>
          <w:rFonts w:hint="eastAsia" w:cs="Times New Roman"/>
          <w:color w:val="auto"/>
          <w:highlight w:val="none"/>
          <w:u w:val="single"/>
          <w:lang w:eastAsia="zh-CN"/>
        </w:rPr>
        <w:t>盐城市阜宁生态环境局</w:t>
      </w:r>
      <w:r>
        <w:rPr>
          <w:rFonts w:hint="eastAsia" w:cs="Times New Roman"/>
          <w:color w:val="auto"/>
          <w:highlight w:val="none"/>
          <w:u w:val="single"/>
        </w:rPr>
        <w:t xml:space="preserve"> </w:t>
      </w:r>
      <w:r>
        <w:rPr>
          <w:rFonts w:hint="eastAsia" w:cs="Times New Roman"/>
          <w:color w:val="auto"/>
          <w:highlight w:val="none"/>
        </w:rPr>
        <w:t>单位的采购文件编号为______的</w:t>
      </w:r>
      <w:r>
        <w:rPr>
          <w:rFonts w:hint="eastAsia" w:cs="Times New Roman"/>
          <w:color w:val="auto"/>
          <w:highlight w:val="none"/>
          <w:u w:val="single"/>
        </w:rPr>
        <w:t xml:space="preserve">       </w:t>
      </w:r>
      <w:r>
        <w:rPr>
          <w:rFonts w:hint="eastAsia" w:cs="Times New Roman"/>
          <w:color w:val="auto"/>
          <w:highlight w:val="none"/>
        </w:rPr>
        <w:t>项目采购活动提供本单位制造的货物，或者提供其他残疾人福利性单位制造的货物（不包括使用非残疾人福利性单位注册商标的货物）。</w:t>
      </w:r>
    </w:p>
    <w:p w14:paraId="16362B82">
      <w:pPr>
        <w:pStyle w:val="45"/>
        <w:spacing w:beforeAutospacing="0" w:afterAutospacing="0" w:line="360" w:lineRule="auto"/>
        <w:ind w:firstLine="480"/>
        <w:jc w:val="both"/>
        <w:rPr>
          <w:rFonts w:hint="eastAsia"/>
          <w:color w:val="auto"/>
          <w:highlight w:val="none"/>
        </w:rPr>
      </w:pPr>
      <w:r>
        <w:rPr>
          <w:rFonts w:hint="eastAsia" w:cs="Times New Roman"/>
          <w:color w:val="auto"/>
          <w:highlight w:val="none"/>
        </w:rPr>
        <w:t>本单位对上述声明的真实性负责。如有虚假，将依法承担相应责任。</w:t>
      </w:r>
    </w:p>
    <w:p w14:paraId="2579907F">
      <w:pPr>
        <w:pStyle w:val="45"/>
        <w:spacing w:beforeAutospacing="0" w:afterAutospacing="0" w:line="360" w:lineRule="auto"/>
        <w:ind w:firstLine="480"/>
        <w:jc w:val="both"/>
        <w:rPr>
          <w:rFonts w:hint="eastAsia"/>
          <w:color w:val="auto"/>
          <w:highlight w:val="none"/>
        </w:rPr>
      </w:pPr>
      <w:r>
        <w:rPr>
          <w:color w:val="auto"/>
          <w:highlight w:val="none"/>
        </w:rPr>
        <w:t> </w:t>
      </w:r>
    </w:p>
    <w:p w14:paraId="6F9B8C4B">
      <w:pPr>
        <w:pStyle w:val="45"/>
        <w:spacing w:beforeAutospacing="0" w:afterAutospacing="0" w:line="360" w:lineRule="auto"/>
        <w:ind w:firstLine="480"/>
        <w:jc w:val="both"/>
        <w:rPr>
          <w:rFonts w:hint="eastAsia"/>
          <w:color w:val="auto"/>
          <w:highlight w:val="none"/>
        </w:rPr>
      </w:pPr>
      <w:r>
        <w:rPr>
          <w:rFonts w:hint="eastAsia"/>
          <w:color w:val="auto"/>
          <w:highlight w:val="none"/>
        </w:rPr>
        <w:t>备注：1、</w:t>
      </w:r>
      <w:r>
        <w:rPr>
          <w:rFonts w:hint="eastAsia"/>
          <w:color w:val="auto"/>
          <w:highlight w:val="none"/>
          <w:lang w:eastAsia="zh-CN"/>
        </w:rPr>
        <w:t>投标人</w:t>
      </w:r>
      <w:r>
        <w:rPr>
          <w:rFonts w:hint="eastAsia"/>
          <w:color w:val="auto"/>
          <w:highlight w:val="none"/>
        </w:rPr>
        <w:t>如不提供此声明函，价格将不做相应扣除（如项目全面面向中小企业，则资格审查不通过）。2、中标</w:t>
      </w:r>
      <w:r>
        <w:rPr>
          <w:rFonts w:hint="eastAsia"/>
          <w:color w:val="auto"/>
          <w:highlight w:val="none"/>
          <w:lang w:eastAsia="zh-CN"/>
        </w:rPr>
        <w:t>投标人</w:t>
      </w:r>
      <w:r>
        <w:rPr>
          <w:rFonts w:hint="eastAsia"/>
          <w:color w:val="auto"/>
          <w:highlight w:val="none"/>
        </w:rPr>
        <w:t>为残疾人福利单位的，此声明函将随中标结果同时公告，接受社会监督</w:t>
      </w:r>
    </w:p>
    <w:p w14:paraId="7783BC4C">
      <w:pPr>
        <w:pStyle w:val="45"/>
        <w:spacing w:beforeAutospacing="0" w:afterAutospacing="0" w:line="0" w:lineRule="atLeast"/>
        <w:ind w:firstLine="624"/>
        <w:jc w:val="both"/>
        <w:rPr>
          <w:rFonts w:hint="eastAsia"/>
          <w:color w:val="auto"/>
          <w:highlight w:val="none"/>
        </w:rPr>
      </w:pPr>
      <w:r>
        <w:rPr>
          <w:color w:val="auto"/>
          <w:highlight w:val="none"/>
        </w:rPr>
        <w:t> </w:t>
      </w:r>
    </w:p>
    <w:p w14:paraId="0BA1C4FC">
      <w:pPr>
        <w:pStyle w:val="45"/>
        <w:spacing w:beforeAutospacing="0" w:afterAutospacing="0" w:line="360" w:lineRule="auto"/>
        <w:ind w:firstLine="480"/>
        <w:jc w:val="both"/>
        <w:rPr>
          <w:rFonts w:hint="eastAsia" w:cs="Times New Roman"/>
          <w:color w:val="auto"/>
          <w:highlight w:val="none"/>
        </w:rPr>
      </w:pPr>
      <w:r>
        <w:rPr>
          <w:rFonts w:ascii="仿宋_GB2312" w:eastAsia="仿宋_GB2312" w:cs="仿宋_GB2312"/>
          <w:color w:val="auto"/>
          <w:sz w:val="30"/>
          <w:szCs w:val="30"/>
          <w:highlight w:val="none"/>
        </w:rPr>
        <w:t>  </w:t>
      </w:r>
      <w:r>
        <w:rPr>
          <w:rFonts w:hint="eastAsia" w:cs="Times New Roman"/>
          <w:color w:val="auto"/>
          <w:highlight w:val="none"/>
        </w:rPr>
        <w:t xml:space="preserve">         </w:t>
      </w:r>
    </w:p>
    <w:p w14:paraId="223A5342">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 xml:space="preserve">                            投标人全称：（加盖CA电子签章或盖公章）</w:t>
      </w:r>
    </w:p>
    <w:p w14:paraId="74245C35">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                            日  期：</w:t>
      </w:r>
    </w:p>
    <w:p w14:paraId="7DA4BFEA">
      <w:pPr>
        <w:spacing w:line="360" w:lineRule="auto"/>
        <w:ind w:firstLine="1440"/>
        <w:rPr>
          <w:rFonts w:hint="eastAsia" w:ascii="宋体" w:hAnsi="宋体"/>
          <w:color w:val="auto"/>
          <w:sz w:val="24"/>
          <w:szCs w:val="24"/>
          <w:highlight w:val="none"/>
        </w:rPr>
      </w:pPr>
      <w:r>
        <w:rPr>
          <w:rFonts w:hint="eastAsia" w:ascii="宋体" w:hAnsi="宋体"/>
          <w:color w:val="auto"/>
          <w:sz w:val="24"/>
          <w:szCs w:val="24"/>
          <w:highlight w:val="none"/>
        </w:rPr>
        <w:t> </w:t>
      </w:r>
    </w:p>
    <w:p w14:paraId="4C554829">
      <w:pPr>
        <w:spacing w:line="360" w:lineRule="auto"/>
        <w:ind w:firstLine="1440"/>
        <w:rPr>
          <w:rFonts w:hint="eastAsia" w:ascii="宋体" w:hAnsi="宋体"/>
          <w:color w:val="auto"/>
          <w:sz w:val="24"/>
          <w:szCs w:val="24"/>
          <w:highlight w:val="none"/>
        </w:rPr>
      </w:pPr>
    </w:p>
    <w:p w14:paraId="4052D128">
      <w:pPr>
        <w:spacing w:line="360" w:lineRule="auto"/>
        <w:ind w:firstLine="1928"/>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属于监狱企业的证明文件（如是）</w:t>
      </w:r>
    </w:p>
    <w:p w14:paraId="14A75762">
      <w:pPr>
        <w:widowControl/>
        <w:spacing w:line="500" w:lineRule="exact"/>
        <w:ind w:firstLine="560"/>
        <w:jc w:val="left"/>
        <w:rPr>
          <w:rFonts w:hint="eastAsia" w:ascii="宋体" w:hAnsi="宋体" w:cs="Arial"/>
          <w:color w:val="auto"/>
          <w:sz w:val="28"/>
          <w:szCs w:val="28"/>
          <w:highlight w:val="none"/>
        </w:rPr>
      </w:pPr>
      <w:r>
        <w:rPr>
          <w:rFonts w:ascii="宋体" w:hAnsi="宋体" w:cs="Arial"/>
          <w:color w:val="auto"/>
          <w:sz w:val="28"/>
          <w:szCs w:val="28"/>
          <w:highlight w:val="none"/>
        </w:rPr>
        <w:t>提供由省级以上监狱管理局、戒毒管理局(含新疆生产建设兵团)出具的属于监狱企业的证明文件</w:t>
      </w:r>
    </w:p>
    <w:p w14:paraId="33A272C1">
      <w:pPr>
        <w:pStyle w:val="45"/>
        <w:spacing w:beforeAutospacing="0" w:afterAutospacing="0" w:line="360" w:lineRule="auto"/>
        <w:ind w:firstLine="480"/>
        <w:jc w:val="both"/>
        <w:rPr>
          <w:rFonts w:hint="eastAsia" w:cs="Times New Roman"/>
          <w:color w:val="auto"/>
          <w:highlight w:val="none"/>
        </w:rPr>
      </w:pPr>
    </w:p>
    <w:p w14:paraId="5BDFE451">
      <w:pPr>
        <w:pStyle w:val="315"/>
        <w:widowControl/>
        <w:tabs>
          <w:tab w:val="left" w:pos="180"/>
        </w:tabs>
        <w:spacing w:after="0" w:line="460" w:lineRule="exact"/>
        <w:jc w:val="both"/>
        <w:rPr>
          <w:rFonts w:hint="eastAsia" w:ascii="黑体" w:hAnsi="黑体" w:eastAsia="黑体"/>
          <w:b/>
          <w:color w:val="auto"/>
          <w:sz w:val="32"/>
          <w:szCs w:val="32"/>
          <w:highlight w:val="none"/>
          <w:lang w:val="en-US" w:eastAsia="zh-CN"/>
        </w:rPr>
      </w:pPr>
      <w:r>
        <w:rPr>
          <w:rFonts w:ascii="黑体" w:hAnsi="黑体" w:eastAsia="黑体"/>
          <w:b/>
          <w:color w:val="auto"/>
          <w:sz w:val="32"/>
          <w:szCs w:val="32"/>
          <w:highlight w:val="none"/>
        </w:rPr>
        <w:br w:type="page" w:clear="all"/>
      </w:r>
      <w:bookmarkStart w:id="191" w:name="_Hlt26955054"/>
      <w:bookmarkEnd w:id="191"/>
    </w:p>
    <w:p w14:paraId="0F9D6EE9">
      <w:pPr>
        <w:pStyle w:val="45"/>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一</w:t>
      </w:r>
      <w:r>
        <w:rPr>
          <w:rFonts w:hint="eastAsia" w:ascii="黑体" w:hAnsi="宋体" w:eastAsia="黑体" w:cs="黑体"/>
          <w:b/>
          <w:color w:val="000000"/>
          <w:sz w:val="32"/>
          <w:szCs w:val="32"/>
          <w:highlight w:val="none"/>
        </w:rPr>
        <w:t>、投标分项报价表（分包号：**）</w:t>
      </w:r>
    </w:p>
    <w:tbl>
      <w:tblPr>
        <w:tblStyle w:val="51"/>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45"/>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45"/>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45"/>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45"/>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45"/>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45"/>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45"/>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45"/>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45"/>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45"/>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45"/>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45"/>
              <w:spacing w:beforeAutospacing="0" w:afterAutospacing="0" w:line="0" w:lineRule="atLeast"/>
              <w:jc w:val="center"/>
              <w:rPr>
                <w:highlight w:val="none"/>
              </w:rPr>
            </w:pPr>
            <w:r>
              <w:rPr>
                <w:rFonts w:hint="eastAsia" w:ascii="宋体" w:hAnsi="宋体" w:eastAsia="宋体" w:cs="宋体"/>
                <w:color w:val="000000"/>
                <w:highlight w:val="none"/>
              </w:rPr>
              <w:t>分项</w:t>
            </w:r>
          </w:p>
          <w:p w14:paraId="04CE5FC7">
            <w:pPr>
              <w:pStyle w:val="45"/>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45"/>
              <w:spacing w:beforeAutospacing="0" w:afterAutospacing="0" w:line="0" w:lineRule="atLeast"/>
              <w:jc w:val="center"/>
              <w:rPr>
                <w:highlight w:val="none"/>
              </w:rPr>
            </w:pPr>
            <w:r>
              <w:rPr>
                <w:rFonts w:hint="eastAsia" w:ascii="宋体" w:hAnsi="宋体" w:eastAsia="宋体" w:cs="宋体"/>
                <w:color w:val="000000"/>
                <w:highlight w:val="none"/>
              </w:rPr>
              <w:t>分项</w:t>
            </w:r>
          </w:p>
          <w:p w14:paraId="0FEC4C65">
            <w:pPr>
              <w:pStyle w:val="45"/>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45"/>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45"/>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45"/>
              <w:spacing w:beforeAutospacing="0" w:afterAutospacing="0" w:line="0" w:lineRule="atLeast"/>
              <w:jc w:val="center"/>
              <w:rPr>
                <w:highlight w:val="none"/>
              </w:rPr>
            </w:pPr>
            <w:r>
              <w:rPr>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45"/>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45"/>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45"/>
              <w:spacing w:beforeAutospacing="0" w:afterAutospacing="0" w:line="0" w:lineRule="atLeast"/>
              <w:jc w:val="center"/>
              <w:rPr>
                <w:highlight w:val="none"/>
              </w:rPr>
            </w:pPr>
            <w:r>
              <w:rPr>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45"/>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45"/>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45"/>
              <w:spacing w:beforeAutospacing="0" w:afterAutospacing="0" w:line="0" w:lineRule="atLeast"/>
              <w:jc w:val="center"/>
              <w:rPr>
                <w:highlight w:val="none"/>
              </w:rPr>
            </w:pPr>
            <w:r>
              <w:rPr>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45"/>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45"/>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45"/>
              <w:spacing w:beforeAutospacing="0" w:afterAutospacing="0" w:line="0" w:lineRule="atLeast"/>
              <w:jc w:val="center"/>
              <w:rPr>
                <w:highlight w:val="none"/>
              </w:rPr>
            </w:pPr>
            <w:r>
              <w:rPr>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45"/>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45"/>
              <w:spacing w:beforeAutospacing="0" w:afterAutospacing="0" w:line="0" w:lineRule="atLeast"/>
              <w:jc w:val="both"/>
              <w:rPr>
                <w:highlight w:val="none"/>
              </w:rPr>
            </w:pPr>
            <w:r>
              <w:rPr>
                <w:highlight w:val="none"/>
              </w:rPr>
              <w:t> </w:t>
            </w:r>
          </w:p>
        </w:tc>
      </w:tr>
    </w:tbl>
    <w:p w14:paraId="36F4F46C">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的其它所有费用，招标文件另有规定的除外。2. “投标分项报价表”中“投标总报价”数额应当与“开标一览表”中“投标总报价”数额一致。</w:t>
      </w:r>
    </w:p>
    <w:p w14:paraId="61583005">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0A7DB27">
      <w:pPr>
        <w:pStyle w:val="45"/>
        <w:spacing w:beforeAutospacing="0" w:afterAutospacing="0"/>
        <w:jc w:val="center"/>
        <w:rPr>
          <w:highlight w:val="none"/>
        </w:rPr>
      </w:pPr>
      <w:r>
        <w:rPr>
          <w:highlight w:val="none"/>
        </w:rPr>
        <w:t> </w:t>
      </w:r>
    </w:p>
    <w:p w14:paraId="5C3CDF56">
      <w:pPr>
        <w:pStyle w:val="45"/>
        <w:spacing w:beforeAutospacing="0" w:afterAutospacing="0"/>
        <w:jc w:val="both"/>
        <w:rPr>
          <w:highlight w:val="none"/>
        </w:rPr>
      </w:pPr>
      <w:r>
        <w:rPr>
          <w:highlight w:val="none"/>
        </w:rPr>
        <w:t> </w:t>
      </w:r>
    </w:p>
    <w:p w14:paraId="05F298F1">
      <w:pPr>
        <w:pStyle w:val="45"/>
        <w:spacing w:beforeAutospacing="0" w:afterAutospacing="0"/>
        <w:jc w:val="center"/>
        <w:rPr>
          <w:highlight w:val="none"/>
        </w:rPr>
      </w:pPr>
      <w:r>
        <w:rPr>
          <w:highlight w:val="none"/>
        </w:rPr>
        <w:t> </w:t>
      </w:r>
    </w:p>
    <w:p w14:paraId="39706C2B">
      <w:pPr>
        <w:pStyle w:val="45"/>
        <w:spacing w:beforeAutospacing="0" w:afterAutospacing="0"/>
        <w:jc w:val="center"/>
        <w:rPr>
          <w:highlight w:val="none"/>
        </w:rPr>
      </w:pPr>
      <w:r>
        <w:rPr>
          <w:highlight w:val="none"/>
        </w:rPr>
        <w:t> </w:t>
      </w:r>
    </w:p>
    <w:p w14:paraId="4A94BB85">
      <w:pPr>
        <w:pStyle w:val="45"/>
        <w:spacing w:beforeAutospacing="0" w:afterAutospacing="0"/>
        <w:jc w:val="center"/>
        <w:rPr>
          <w:highlight w:val="none"/>
        </w:rPr>
      </w:pPr>
      <w:r>
        <w:rPr>
          <w:highlight w:val="none"/>
        </w:rPr>
        <w:t> </w:t>
      </w:r>
    </w:p>
    <w:p w14:paraId="3EFE5620">
      <w:pPr>
        <w:pStyle w:val="45"/>
        <w:spacing w:beforeAutospacing="0" w:afterAutospacing="0"/>
        <w:jc w:val="center"/>
        <w:rPr>
          <w:highlight w:val="none"/>
        </w:rPr>
      </w:pPr>
    </w:p>
    <w:p w14:paraId="75117A34">
      <w:pPr>
        <w:pStyle w:val="45"/>
        <w:spacing w:beforeAutospacing="0" w:afterAutospacing="0"/>
        <w:jc w:val="center"/>
        <w:rPr>
          <w:highlight w:val="none"/>
        </w:rPr>
      </w:pPr>
    </w:p>
    <w:p w14:paraId="7D01EFCA">
      <w:pPr>
        <w:pStyle w:val="45"/>
        <w:spacing w:beforeAutospacing="0" w:afterAutospacing="0"/>
        <w:jc w:val="center"/>
        <w:rPr>
          <w:highlight w:val="none"/>
        </w:rPr>
      </w:pPr>
    </w:p>
    <w:p w14:paraId="17DDE5B4">
      <w:pPr>
        <w:pStyle w:val="45"/>
        <w:spacing w:beforeAutospacing="0" w:afterAutospacing="0"/>
        <w:jc w:val="center"/>
        <w:rPr>
          <w:highlight w:val="none"/>
        </w:rPr>
      </w:pPr>
    </w:p>
    <w:p w14:paraId="0ADF81D3">
      <w:pPr>
        <w:pStyle w:val="45"/>
        <w:spacing w:beforeAutospacing="0" w:afterAutospacing="0"/>
        <w:jc w:val="center"/>
        <w:rPr>
          <w:highlight w:val="none"/>
        </w:rPr>
      </w:pPr>
    </w:p>
    <w:p w14:paraId="106EDDF6">
      <w:pPr>
        <w:pStyle w:val="45"/>
        <w:spacing w:beforeAutospacing="0" w:afterAutospacing="0"/>
        <w:jc w:val="center"/>
        <w:rPr>
          <w:highlight w:val="none"/>
        </w:rPr>
      </w:pPr>
    </w:p>
    <w:p w14:paraId="01A3C97E">
      <w:pPr>
        <w:pStyle w:val="45"/>
        <w:spacing w:beforeAutospacing="0" w:afterAutospacing="0"/>
        <w:jc w:val="center"/>
        <w:rPr>
          <w:highlight w:val="none"/>
        </w:rPr>
      </w:pPr>
    </w:p>
    <w:p w14:paraId="3BC2BC63">
      <w:pPr>
        <w:pStyle w:val="45"/>
        <w:spacing w:beforeAutospacing="0" w:afterAutospacing="0"/>
        <w:jc w:val="center"/>
        <w:rPr>
          <w:highlight w:val="none"/>
        </w:rPr>
      </w:pPr>
    </w:p>
    <w:p w14:paraId="17D749AA">
      <w:pPr>
        <w:pStyle w:val="45"/>
        <w:spacing w:beforeAutospacing="0" w:afterAutospacing="0"/>
        <w:jc w:val="center"/>
        <w:rPr>
          <w:highlight w:val="none"/>
        </w:rPr>
      </w:pPr>
    </w:p>
    <w:p w14:paraId="3C9F7046">
      <w:pPr>
        <w:pStyle w:val="45"/>
        <w:spacing w:beforeAutospacing="0" w:afterAutospacing="0"/>
        <w:jc w:val="center"/>
        <w:rPr>
          <w:highlight w:val="none"/>
        </w:rPr>
      </w:pPr>
      <w:r>
        <w:rPr>
          <w:highlight w:val="none"/>
        </w:rPr>
        <w:t> </w:t>
      </w:r>
    </w:p>
    <w:p w14:paraId="0BBAF78C">
      <w:pPr>
        <w:pStyle w:val="45"/>
        <w:spacing w:beforeAutospacing="0" w:afterAutospacing="0"/>
        <w:jc w:val="center"/>
        <w:rPr>
          <w:rFonts w:hint="eastAsia" w:ascii="黑体" w:hAnsi="宋体" w:eastAsia="黑体" w:cs="黑体"/>
          <w:b/>
          <w:color w:val="000000"/>
          <w:sz w:val="32"/>
          <w:szCs w:val="32"/>
          <w:highlight w:val="none"/>
        </w:rPr>
      </w:pPr>
      <w:r>
        <w:rPr>
          <w:highlight w:val="none"/>
        </w:rPr>
        <w:t>  </w:t>
      </w:r>
      <w:r>
        <w:rPr>
          <w:rFonts w:hint="eastAsia" w:ascii="黑体" w:hAnsi="宋体" w:eastAsia="黑体" w:cs="黑体"/>
          <w:b/>
          <w:color w:val="000000"/>
          <w:sz w:val="32"/>
          <w:szCs w:val="32"/>
          <w:highlight w:val="none"/>
        </w:rPr>
        <w:br w:type="page"/>
      </w:r>
    </w:p>
    <w:p w14:paraId="4C665761">
      <w:pPr>
        <w:pStyle w:val="45"/>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、技术要求响应及偏离表（分包号：**）</w:t>
      </w:r>
    </w:p>
    <w:tbl>
      <w:tblPr>
        <w:tblStyle w:val="5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45"/>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45"/>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45"/>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45"/>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45"/>
              <w:spacing w:beforeAutospacing="0" w:afterAutospacing="0"/>
              <w:jc w:val="center"/>
              <w:rPr>
                <w:highlight w:val="none"/>
              </w:rPr>
            </w:pPr>
            <w:r>
              <w:rPr>
                <w:rFonts w:hint="eastAsia" w:ascii="宋体" w:hAnsi="宋体" w:eastAsia="宋体" w:cs="宋体"/>
                <w:color w:val="000000"/>
                <w:highlight w:val="none"/>
              </w:rPr>
              <w:t>证明</w:t>
            </w:r>
          </w:p>
          <w:p w14:paraId="0AA567DE">
            <w:pPr>
              <w:pStyle w:val="45"/>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45"/>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45"/>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45"/>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45"/>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45"/>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45"/>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45"/>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45"/>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45"/>
              <w:spacing w:beforeAutospacing="0" w:afterAutospacing="0"/>
              <w:jc w:val="center"/>
              <w:rPr>
                <w:highlight w:val="none"/>
              </w:rPr>
            </w:pPr>
            <w:r>
              <w:rPr>
                <w:highlight w:val="none"/>
              </w:rPr>
              <w:t> </w:t>
            </w:r>
          </w:p>
        </w:tc>
      </w:tr>
    </w:tbl>
    <w:p w14:paraId="039DC209">
      <w:pPr>
        <w:pStyle w:val="45"/>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45"/>
        <w:spacing w:beforeAutospacing="0" w:afterAutospacing="0"/>
        <w:jc w:val="center"/>
        <w:rPr>
          <w:highlight w:val="none"/>
        </w:rPr>
      </w:pPr>
      <w:r>
        <w:rPr>
          <w:highlight w:val="none"/>
        </w:rPr>
        <w:t> </w:t>
      </w:r>
    </w:p>
    <w:p w14:paraId="3DE57A72">
      <w:pPr>
        <w:pStyle w:val="45"/>
        <w:spacing w:beforeAutospacing="0" w:afterAutospacing="0"/>
        <w:jc w:val="center"/>
        <w:rPr>
          <w:highlight w:val="none"/>
        </w:rPr>
      </w:pPr>
      <w:r>
        <w:rPr>
          <w:highlight w:val="none"/>
        </w:rPr>
        <w:t> </w:t>
      </w:r>
    </w:p>
    <w:p w14:paraId="5D8A6DEA">
      <w:pPr>
        <w:pStyle w:val="45"/>
        <w:spacing w:beforeAutospacing="0" w:afterAutospacing="0"/>
        <w:jc w:val="center"/>
        <w:rPr>
          <w:highlight w:val="none"/>
        </w:rPr>
      </w:pPr>
      <w:r>
        <w:rPr>
          <w:highlight w:val="none"/>
        </w:rPr>
        <w:t> </w:t>
      </w:r>
    </w:p>
    <w:p w14:paraId="4F7E03C8">
      <w:pPr>
        <w:pStyle w:val="45"/>
        <w:spacing w:beforeAutospacing="0" w:afterAutospacing="0"/>
        <w:jc w:val="center"/>
        <w:rPr>
          <w:highlight w:val="none"/>
        </w:rPr>
      </w:pPr>
      <w:r>
        <w:rPr>
          <w:highlight w:val="none"/>
        </w:rPr>
        <w:t> </w:t>
      </w:r>
    </w:p>
    <w:p w14:paraId="068A4565">
      <w:pPr>
        <w:pStyle w:val="45"/>
        <w:spacing w:beforeAutospacing="0" w:afterAutospacing="0"/>
        <w:jc w:val="both"/>
        <w:rPr>
          <w:highlight w:val="none"/>
        </w:rPr>
      </w:pPr>
      <w:r>
        <w:rPr>
          <w:highlight w:val="none"/>
        </w:rPr>
        <w:t> </w:t>
      </w:r>
    </w:p>
    <w:p w14:paraId="6EC5A847">
      <w:pPr>
        <w:pStyle w:val="45"/>
        <w:spacing w:beforeAutospacing="0" w:afterAutospacing="0"/>
        <w:jc w:val="both"/>
        <w:rPr>
          <w:highlight w:val="none"/>
        </w:rPr>
      </w:pPr>
      <w:r>
        <w:rPr>
          <w:highlight w:val="none"/>
        </w:rPr>
        <w:t> </w:t>
      </w:r>
    </w:p>
    <w:p w14:paraId="78FCBE0B">
      <w:pPr>
        <w:pStyle w:val="45"/>
        <w:spacing w:beforeAutospacing="0" w:afterAutospacing="0"/>
        <w:jc w:val="both"/>
        <w:rPr>
          <w:highlight w:val="none"/>
        </w:rPr>
      </w:pPr>
      <w:r>
        <w:rPr>
          <w:highlight w:val="none"/>
        </w:rPr>
        <w:t> </w:t>
      </w:r>
    </w:p>
    <w:p w14:paraId="174ABED4">
      <w:pPr>
        <w:pStyle w:val="45"/>
        <w:spacing w:beforeAutospacing="0" w:afterAutospacing="0"/>
        <w:jc w:val="both"/>
        <w:rPr>
          <w:highlight w:val="none"/>
        </w:rPr>
      </w:pPr>
      <w:r>
        <w:rPr>
          <w:highlight w:val="none"/>
        </w:rPr>
        <w:t> </w:t>
      </w:r>
    </w:p>
    <w:p w14:paraId="79285A37">
      <w:pPr>
        <w:pStyle w:val="45"/>
        <w:spacing w:beforeAutospacing="0" w:afterAutospacing="0"/>
        <w:jc w:val="both"/>
        <w:rPr>
          <w:highlight w:val="none"/>
        </w:rPr>
      </w:pPr>
    </w:p>
    <w:p w14:paraId="1F8896A9">
      <w:pPr>
        <w:pStyle w:val="45"/>
        <w:spacing w:beforeAutospacing="0" w:afterAutospacing="0"/>
        <w:jc w:val="both"/>
        <w:rPr>
          <w:highlight w:val="none"/>
        </w:rPr>
      </w:pPr>
    </w:p>
    <w:p w14:paraId="33FE263D">
      <w:pPr>
        <w:pStyle w:val="45"/>
        <w:spacing w:beforeAutospacing="0" w:afterAutospacing="0"/>
        <w:jc w:val="both"/>
        <w:rPr>
          <w:highlight w:val="none"/>
        </w:rPr>
      </w:pPr>
    </w:p>
    <w:p w14:paraId="6377BA79">
      <w:pPr>
        <w:pStyle w:val="45"/>
        <w:spacing w:beforeAutospacing="0" w:afterAutospacing="0"/>
        <w:jc w:val="both"/>
        <w:rPr>
          <w:highlight w:val="none"/>
        </w:rPr>
      </w:pPr>
    </w:p>
    <w:p w14:paraId="7251072B">
      <w:pPr>
        <w:pStyle w:val="45"/>
        <w:spacing w:beforeAutospacing="0" w:afterAutospacing="0"/>
        <w:jc w:val="both"/>
        <w:rPr>
          <w:highlight w:val="none"/>
        </w:rPr>
      </w:pPr>
    </w:p>
    <w:p w14:paraId="1B25334D">
      <w:pPr>
        <w:pStyle w:val="45"/>
        <w:spacing w:beforeAutospacing="0" w:afterAutospacing="0"/>
        <w:jc w:val="both"/>
        <w:rPr>
          <w:highlight w:val="none"/>
        </w:rPr>
      </w:pPr>
    </w:p>
    <w:p w14:paraId="5D154BA8">
      <w:pPr>
        <w:pStyle w:val="45"/>
        <w:spacing w:beforeAutospacing="0" w:afterAutospacing="0"/>
        <w:jc w:val="both"/>
        <w:rPr>
          <w:highlight w:val="none"/>
        </w:rPr>
      </w:pPr>
    </w:p>
    <w:p w14:paraId="450607F9">
      <w:pPr>
        <w:pStyle w:val="45"/>
        <w:spacing w:beforeAutospacing="0" w:afterAutospacing="0"/>
        <w:jc w:val="both"/>
        <w:rPr>
          <w:highlight w:val="none"/>
        </w:rPr>
      </w:pPr>
    </w:p>
    <w:p w14:paraId="2937E1C6">
      <w:pPr>
        <w:pStyle w:val="45"/>
        <w:spacing w:beforeAutospacing="0" w:afterAutospacing="0"/>
        <w:jc w:val="center"/>
        <w:rPr>
          <w:highlight w:val="none"/>
        </w:rPr>
      </w:pPr>
      <w:r>
        <w:rPr>
          <w:rFonts w:hint="eastAsia" w:ascii="黑体" w:hAnsi="宋体" w:eastAsia="黑体" w:cs="黑体"/>
          <w:b/>
          <w:color w:val="000000"/>
          <w:sz w:val="32"/>
          <w:szCs w:val="32"/>
          <w:highlight w:val="none"/>
          <w:lang w:val="en-US" w:eastAsia="zh-CN"/>
        </w:rPr>
        <w:t>十三</w:t>
      </w:r>
      <w:r>
        <w:rPr>
          <w:rFonts w:hint="eastAsia" w:ascii="黑体" w:hAnsi="宋体" w:eastAsia="黑体" w:cs="黑体"/>
          <w:b/>
          <w:color w:val="000000"/>
          <w:sz w:val="32"/>
          <w:szCs w:val="32"/>
          <w:highlight w:val="none"/>
        </w:rPr>
        <w:t>、商务要求响应及偏离表（分包号：**）</w:t>
      </w:r>
    </w:p>
    <w:tbl>
      <w:tblPr>
        <w:tblStyle w:val="5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45"/>
              <w:spacing w:beforeAutospacing="0" w:afterAutospacing="0"/>
              <w:jc w:val="center"/>
              <w:rPr>
                <w:highlight w:val="none"/>
              </w:rPr>
            </w:pPr>
            <w:bookmarkStart w:id="192" w:name="_Hlt26580838"/>
            <w:bookmarkStart w:id="193" w:name="_Hlt26782999"/>
            <w:bookmarkStart w:id="194" w:name="_Hlt26609391"/>
            <w:bookmarkStart w:id="195" w:name="_Hlt26671372"/>
            <w:bookmarkStart w:id="196" w:name="_Hlt26955064"/>
            <w:bookmarkStart w:id="197" w:name="_Hlt24879081"/>
            <w:bookmarkStart w:id="198" w:name="_Hlt26955056"/>
            <w:bookmarkStart w:id="199" w:name="_Hlt26671343"/>
            <w:r>
              <w:rPr>
                <w:rFonts w:hint="eastAsia" w:ascii="宋体" w:hAnsi="宋体" w:eastAsia="宋体" w:cs="宋体"/>
                <w:color w:val="000000"/>
                <w:highlight w:val="none"/>
              </w:rPr>
              <w:t>序号</w:t>
            </w:r>
          </w:p>
          <w:bookmarkEnd w:id="192"/>
          <w:bookmarkEnd w:id="193"/>
          <w:bookmarkEnd w:id="194"/>
          <w:bookmarkEnd w:id="195"/>
          <w:bookmarkEnd w:id="196"/>
          <w:bookmarkEnd w:id="197"/>
          <w:bookmarkEnd w:id="198"/>
          <w:bookmarkEnd w:id="199"/>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45"/>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45"/>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45"/>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45"/>
              <w:spacing w:beforeAutospacing="0" w:afterAutospacing="0"/>
              <w:jc w:val="center"/>
              <w:rPr>
                <w:highlight w:val="none"/>
              </w:rPr>
            </w:pPr>
            <w:r>
              <w:rPr>
                <w:rFonts w:hint="eastAsia" w:ascii="宋体" w:hAnsi="宋体" w:eastAsia="宋体" w:cs="宋体"/>
                <w:color w:val="000000"/>
                <w:highlight w:val="none"/>
              </w:rPr>
              <w:t>证明</w:t>
            </w:r>
          </w:p>
          <w:p w14:paraId="07127613">
            <w:pPr>
              <w:pStyle w:val="45"/>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45"/>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45"/>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45"/>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45"/>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45"/>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45"/>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45"/>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45"/>
              <w:spacing w:beforeAutospacing="0" w:afterAutospacing="0"/>
              <w:jc w:val="center"/>
              <w:rPr>
                <w:highlight w:val="none"/>
              </w:rPr>
            </w:pPr>
            <w:r>
              <w:rPr>
                <w:highlight w:val="none"/>
              </w:rPr>
              <w:t> </w:t>
            </w:r>
          </w:p>
        </w:tc>
      </w:tr>
    </w:tbl>
    <w:p w14:paraId="0515F675">
      <w:pPr>
        <w:pStyle w:val="45"/>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45"/>
        <w:spacing w:beforeAutospacing="0" w:afterAutospacing="0" w:line="480" w:lineRule="auto"/>
        <w:jc w:val="both"/>
        <w:rPr>
          <w:highlight w:val="none"/>
        </w:rPr>
      </w:pPr>
      <w:r>
        <w:rPr>
          <w:highlight w:val="none"/>
        </w:rPr>
        <w:t> </w:t>
      </w:r>
    </w:p>
    <w:p w14:paraId="771A2ABD">
      <w:pPr>
        <w:pStyle w:val="45"/>
        <w:spacing w:beforeAutospacing="0" w:afterAutospacing="0" w:line="480" w:lineRule="auto"/>
        <w:jc w:val="both"/>
        <w:rPr>
          <w:highlight w:val="none"/>
        </w:rPr>
      </w:pPr>
      <w:r>
        <w:rPr>
          <w:highlight w:val="none"/>
        </w:rPr>
        <w:t> </w:t>
      </w:r>
    </w:p>
    <w:p w14:paraId="6564921F">
      <w:pPr>
        <w:pStyle w:val="45"/>
        <w:spacing w:beforeAutospacing="0" w:afterAutospacing="0"/>
        <w:jc w:val="center"/>
        <w:rPr>
          <w:highlight w:val="none"/>
        </w:rPr>
      </w:pPr>
      <w:bookmarkStart w:id="200" w:name="_格式2__法定代表人授权书"/>
      <w:bookmarkStart w:id="201" w:name="_Hlt26671374"/>
      <w:bookmarkStart w:id="202" w:name="_Hlt26609389"/>
      <w:bookmarkStart w:id="203" w:name="_Toc462564146"/>
      <w:bookmarkStart w:id="204" w:name="_Hlt26955066"/>
      <w:r>
        <w:rPr>
          <w:highlight w:val="none"/>
        </w:rPr>
        <w:t> </w:t>
      </w:r>
    </w:p>
    <w:p w14:paraId="43E033E8">
      <w:pPr>
        <w:pStyle w:val="45"/>
        <w:spacing w:beforeAutospacing="0" w:afterAutospacing="0"/>
        <w:jc w:val="both"/>
        <w:rPr>
          <w:highlight w:val="none"/>
        </w:rPr>
      </w:pPr>
      <w:r>
        <w:rPr>
          <w:highlight w:val="none"/>
        </w:rPr>
        <w:t> </w:t>
      </w:r>
    </w:p>
    <w:p w14:paraId="34DD36AA">
      <w:pPr>
        <w:pStyle w:val="45"/>
        <w:spacing w:beforeAutospacing="0" w:afterAutospacing="0"/>
        <w:jc w:val="both"/>
        <w:rPr>
          <w:highlight w:val="none"/>
        </w:rPr>
      </w:pPr>
      <w:r>
        <w:rPr>
          <w:highlight w:val="none"/>
        </w:rPr>
        <w:t> </w:t>
      </w:r>
    </w:p>
    <w:p w14:paraId="0B59FED3">
      <w:pPr>
        <w:pStyle w:val="45"/>
        <w:spacing w:beforeAutospacing="0" w:afterAutospacing="0"/>
        <w:jc w:val="both"/>
        <w:rPr>
          <w:highlight w:val="none"/>
        </w:rPr>
      </w:pPr>
    </w:p>
    <w:p w14:paraId="674A53C6">
      <w:pPr>
        <w:pStyle w:val="45"/>
        <w:spacing w:beforeAutospacing="0" w:afterAutospacing="0"/>
        <w:jc w:val="both"/>
        <w:rPr>
          <w:highlight w:val="none"/>
        </w:rPr>
      </w:pPr>
    </w:p>
    <w:p w14:paraId="7646B14A">
      <w:pPr>
        <w:pStyle w:val="45"/>
        <w:spacing w:beforeAutospacing="0" w:afterAutospacing="0"/>
        <w:jc w:val="both"/>
        <w:rPr>
          <w:highlight w:val="none"/>
        </w:rPr>
      </w:pPr>
    </w:p>
    <w:p w14:paraId="18437834">
      <w:pPr>
        <w:pStyle w:val="45"/>
        <w:spacing w:beforeAutospacing="0" w:afterAutospacing="0"/>
        <w:jc w:val="both"/>
        <w:rPr>
          <w:highlight w:val="none"/>
        </w:rPr>
      </w:pPr>
    </w:p>
    <w:p w14:paraId="6AC5CF75">
      <w:pPr>
        <w:pStyle w:val="45"/>
        <w:spacing w:beforeAutospacing="0" w:afterAutospacing="0"/>
        <w:jc w:val="both"/>
        <w:rPr>
          <w:highlight w:val="none"/>
        </w:rPr>
      </w:pPr>
    </w:p>
    <w:p w14:paraId="4402A329">
      <w:pPr>
        <w:pStyle w:val="45"/>
        <w:spacing w:beforeAutospacing="0" w:afterAutospacing="0"/>
        <w:jc w:val="both"/>
        <w:rPr>
          <w:highlight w:val="none"/>
        </w:rPr>
      </w:pPr>
    </w:p>
    <w:p w14:paraId="433415F5">
      <w:pPr>
        <w:pStyle w:val="45"/>
        <w:spacing w:beforeAutospacing="0" w:afterAutospacing="0"/>
        <w:jc w:val="both"/>
        <w:rPr>
          <w:highlight w:val="none"/>
        </w:rPr>
      </w:pPr>
    </w:p>
    <w:p w14:paraId="664A23CF">
      <w:pPr>
        <w:pStyle w:val="45"/>
        <w:spacing w:beforeAutospacing="0" w:afterAutospacing="0"/>
        <w:jc w:val="both"/>
        <w:rPr>
          <w:highlight w:val="none"/>
        </w:rPr>
      </w:pPr>
    </w:p>
    <w:p w14:paraId="577CDDA2">
      <w:pPr>
        <w:pStyle w:val="45"/>
        <w:spacing w:beforeAutospacing="0" w:afterAutospacing="0"/>
        <w:jc w:val="both"/>
        <w:rPr>
          <w:highlight w:val="none"/>
        </w:rPr>
      </w:pPr>
    </w:p>
    <w:p w14:paraId="53A5D0DD">
      <w:pPr>
        <w:pStyle w:val="45"/>
        <w:spacing w:beforeAutospacing="0" w:afterAutospacing="0"/>
        <w:jc w:val="both"/>
        <w:rPr>
          <w:highlight w:val="none"/>
        </w:rPr>
      </w:pPr>
    </w:p>
    <w:p w14:paraId="72CA5A2B">
      <w:pPr>
        <w:pStyle w:val="45"/>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70B14AA4">
      <w:pPr>
        <w:pStyle w:val="45"/>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45"/>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45"/>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45"/>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51"/>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45"/>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4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45"/>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45"/>
        <w:spacing w:beforeAutospacing="0" w:afterAutospacing="0"/>
        <w:jc w:val="both"/>
        <w:rPr>
          <w:color w:val="auto"/>
          <w:highlight w:val="none"/>
        </w:rPr>
      </w:pPr>
      <w:r>
        <w:rPr>
          <w:color w:val="auto"/>
          <w:highlight w:val="none"/>
        </w:rPr>
        <w:t> </w:t>
      </w:r>
    </w:p>
    <w:p w14:paraId="15F53820">
      <w:pPr>
        <w:pStyle w:val="45"/>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45"/>
        <w:spacing w:beforeAutospacing="0" w:afterAutospacing="0"/>
        <w:ind w:firstLine="480"/>
        <w:jc w:val="both"/>
        <w:rPr>
          <w:highlight w:val="none"/>
        </w:rPr>
      </w:pPr>
      <w:r>
        <w:rPr>
          <w:highlight w:val="none"/>
        </w:rPr>
        <w:t> </w:t>
      </w:r>
    </w:p>
    <w:p w14:paraId="7EDBB936">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204F5CE1">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6055BEF3">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77FAB028">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3579AF9A">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13B8155B">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044A897B">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271883DF">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699F29EE">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6968EEFC">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0C1E89E2">
      <w:pPr>
        <w:widowControl/>
        <w:spacing w:before="50" w:after="50"/>
        <w:jc w:val="center"/>
        <w:rPr>
          <w:highlight w:val="none"/>
        </w:rPr>
      </w:pPr>
    </w:p>
    <w:p w14:paraId="05D2FFD8">
      <w:pPr>
        <w:widowControl/>
        <w:spacing w:before="50" w:after="50"/>
        <w:jc w:val="center"/>
        <w:rPr>
          <w:highlight w:val="none"/>
        </w:rPr>
      </w:pPr>
    </w:p>
    <w:p w14:paraId="1A2AFD28">
      <w:pPr>
        <w:widowControl/>
        <w:spacing w:before="50" w:after="50"/>
        <w:jc w:val="center"/>
        <w:rPr>
          <w:highlight w:val="none"/>
        </w:rPr>
      </w:pPr>
    </w:p>
    <w:p w14:paraId="5E5337A9">
      <w:pPr>
        <w:pStyle w:val="81"/>
        <w:rPr>
          <w:highlight w:val="none"/>
        </w:rPr>
      </w:pPr>
    </w:p>
    <w:p w14:paraId="2FF69F76">
      <w:pPr>
        <w:pStyle w:val="81"/>
        <w:rPr>
          <w:highlight w:val="none"/>
        </w:rPr>
      </w:pPr>
    </w:p>
    <w:p w14:paraId="21371C4B">
      <w:pPr>
        <w:pStyle w:val="81"/>
        <w:rPr>
          <w:highlight w:val="none"/>
        </w:rPr>
      </w:pPr>
    </w:p>
    <w:p w14:paraId="64A1F40C">
      <w:pPr>
        <w:pStyle w:val="81"/>
        <w:rPr>
          <w:highlight w:val="none"/>
        </w:rPr>
      </w:pPr>
    </w:p>
    <w:p w14:paraId="5B2DD7DC">
      <w:pPr>
        <w:pStyle w:val="81"/>
        <w:rPr>
          <w:highlight w:val="none"/>
        </w:rPr>
      </w:pPr>
    </w:p>
    <w:p w14:paraId="0407A8DE">
      <w:pPr>
        <w:pStyle w:val="81"/>
        <w:rPr>
          <w:highlight w:val="none"/>
        </w:rPr>
      </w:pPr>
    </w:p>
    <w:p w14:paraId="521D01DD">
      <w:pPr>
        <w:pStyle w:val="81"/>
        <w:rPr>
          <w:highlight w:val="none"/>
        </w:rPr>
      </w:pPr>
    </w:p>
    <w:p w14:paraId="2743A357">
      <w:pPr>
        <w:pStyle w:val="81"/>
        <w:rPr>
          <w:highlight w:val="none"/>
        </w:rPr>
      </w:pPr>
    </w:p>
    <w:p w14:paraId="5F92FAE4">
      <w:pPr>
        <w:widowControl/>
        <w:spacing w:before="50" w:after="50"/>
        <w:jc w:val="center"/>
        <w:rPr>
          <w:highlight w:val="none"/>
        </w:rPr>
      </w:pPr>
    </w:p>
    <w:p w14:paraId="74EF0818">
      <w:pPr>
        <w:widowControl/>
        <w:spacing w:before="50" w:after="50"/>
        <w:jc w:val="center"/>
        <w:rPr>
          <w:highlight w:val="none"/>
        </w:rPr>
      </w:pPr>
    </w:p>
    <w:p w14:paraId="04B573BD">
      <w:pPr>
        <w:widowControl/>
        <w:spacing w:before="50" w:after="50"/>
        <w:jc w:val="center"/>
        <w:rPr>
          <w:highlight w:val="none"/>
        </w:rPr>
      </w:pPr>
    </w:p>
    <w:p w14:paraId="7004870A">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五</w:t>
      </w:r>
      <w:r>
        <w:rPr>
          <w:rFonts w:hint="eastAsia" w:ascii="宋体" w:hAnsi="宋体" w:eastAsia="宋体" w:cs="宋体"/>
          <w:b/>
          <w:bCs/>
          <w:color w:val="000000"/>
          <w:sz w:val="32"/>
          <w:szCs w:val="32"/>
          <w:highlight w:val="none"/>
        </w:rPr>
        <w:t>、技术方案、服务承诺、培训承诺等</w:t>
      </w:r>
    </w:p>
    <w:p w14:paraId="7B35C616">
      <w:pPr>
        <w:pStyle w:val="45"/>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7B873E5A">
      <w:pPr>
        <w:widowControl/>
        <w:spacing w:line="499" w:lineRule="atLeast"/>
        <w:ind w:firstLine="1600"/>
        <w:rPr>
          <w:rFonts w:ascii="宋体" w:hAnsi="宋体" w:eastAsia="宋体" w:cs="宋体"/>
          <w:color w:val="000000"/>
          <w:sz w:val="32"/>
          <w:szCs w:val="32"/>
          <w:highlight w:val="none"/>
        </w:rPr>
      </w:pPr>
    </w:p>
    <w:p w14:paraId="181975FD">
      <w:pPr>
        <w:widowControl/>
        <w:spacing w:line="499" w:lineRule="atLeast"/>
        <w:ind w:firstLine="1600"/>
        <w:rPr>
          <w:rFonts w:ascii="宋体" w:hAnsi="宋体" w:eastAsia="宋体" w:cs="宋体"/>
          <w:color w:val="000000"/>
          <w:sz w:val="32"/>
          <w:szCs w:val="32"/>
          <w:highlight w:val="none"/>
        </w:rPr>
      </w:pPr>
    </w:p>
    <w:p w14:paraId="5003F609">
      <w:pPr>
        <w:widowControl/>
        <w:spacing w:line="499" w:lineRule="atLeast"/>
        <w:ind w:firstLine="1600"/>
        <w:rPr>
          <w:rFonts w:ascii="宋体" w:hAnsi="宋体" w:eastAsia="宋体" w:cs="宋体"/>
          <w:color w:val="000000"/>
          <w:sz w:val="32"/>
          <w:szCs w:val="32"/>
          <w:highlight w:val="none"/>
        </w:rPr>
      </w:pPr>
    </w:p>
    <w:p w14:paraId="5349C3E3">
      <w:pPr>
        <w:widowControl/>
        <w:spacing w:line="499" w:lineRule="atLeast"/>
        <w:ind w:firstLine="1600"/>
        <w:rPr>
          <w:rFonts w:ascii="宋体" w:hAnsi="宋体" w:eastAsia="宋体" w:cs="宋体"/>
          <w:color w:val="000000"/>
          <w:sz w:val="32"/>
          <w:szCs w:val="32"/>
          <w:highlight w:val="none"/>
        </w:rPr>
      </w:pPr>
    </w:p>
    <w:p w14:paraId="62AA2F8A">
      <w:pPr>
        <w:widowControl/>
        <w:spacing w:line="499" w:lineRule="atLeast"/>
        <w:ind w:firstLine="1600"/>
        <w:rPr>
          <w:rFonts w:ascii="宋体" w:hAnsi="宋体" w:eastAsia="宋体" w:cs="宋体"/>
          <w:color w:val="000000"/>
          <w:sz w:val="32"/>
          <w:szCs w:val="32"/>
          <w:highlight w:val="none"/>
        </w:rPr>
      </w:pPr>
    </w:p>
    <w:p w14:paraId="6E614C63">
      <w:pPr>
        <w:widowControl/>
        <w:spacing w:line="499" w:lineRule="atLeast"/>
        <w:ind w:firstLine="1600"/>
        <w:rPr>
          <w:rFonts w:ascii="宋体" w:hAnsi="宋体" w:eastAsia="宋体" w:cs="宋体"/>
          <w:color w:val="000000"/>
          <w:sz w:val="32"/>
          <w:szCs w:val="32"/>
          <w:highlight w:val="none"/>
        </w:rPr>
      </w:pPr>
    </w:p>
    <w:p w14:paraId="19DD91AD">
      <w:pPr>
        <w:widowControl/>
        <w:spacing w:line="499" w:lineRule="atLeast"/>
        <w:ind w:firstLine="1600"/>
        <w:rPr>
          <w:rFonts w:ascii="宋体" w:hAnsi="宋体" w:eastAsia="宋体" w:cs="宋体"/>
          <w:color w:val="000000"/>
          <w:sz w:val="32"/>
          <w:szCs w:val="32"/>
          <w:highlight w:val="none"/>
        </w:rPr>
      </w:pPr>
    </w:p>
    <w:p w14:paraId="77138EDD">
      <w:pPr>
        <w:widowControl/>
        <w:spacing w:line="499" w:lineRule="atLeast"/>
        <w:ind w:firstLine="1600"/>
        <w:rPr>
          <w:rFonts w:ascii="宋体" w:hAnsi="宋体" w:eastAsia="宋体" w:cs="宋体"/>
          <w:color w:val="000000"/>
          <w:sz w:val="32"/>
          <w:szCs w:val="32"/>
          <w:highlight w:val="none"/>
        </w:rPr>
      </w:pPr>
    </w:p>
    <w:p w14:paraId="0A9A259C">
      <w:pPr>
        <w:widowControl/>
        <w:spacing w:line="499" w:lineRule="atLeast"/>
        <w:ind w:firstLine="1600"/>
        <w:rPr>
          <w:rFonts w:ascii="宋体" w:hAnsi="宋体" w:eastAsia="宋体" w:cs="宋体"/>
          <w:color w:val="000000"/>
          <w:sz w:val="32"/>
          <w:szCs w:val="32"/>
          <w:highlight w:val="none"/>
        </w:rPr>
      </w:pPr>
    </w:p>
    <w:p w14:paraId="4B7C021A">
      <w:pPr>
        <w:widowControl/>
        <w:spacing w:line="499" w:lineRule="atLeast"/>
        <w:ind w:firstLine="1600"/>
        <w:rPr>
          <w:rFonts w:ascii="宋体" w:hAnsi="宋体" w:eastAsia="宋体" w:cs="宋体"/>
          <w:color w:val="000000"/>
          <w:sz w:val="32"/>
          <w:szCs w:val="32"/>
          <w:highlight w:val="none"/>
        </w:rPr>
      </w:pPr>
    </w:p>
    <w:p w14:paraId="79B498E2">
      <w:pPr>
        <w:widowControl/>
        <w:spacing w:line="499" w:lineRule="atLeast"/>
        <w:ind w:firstLine="1600"/>
        <w:rPr>
          <w:rFonts w:ascii="宋体" w:hAnsi="宋体" w:eastAsia="宋体" w:cs="宋体"/>
          <w:color w:val="000000"/>
          <w:sz w:val="32"/>
          <w:szCs w:val="32"/>
          <w:highlight w:val="none"/>
        </w:rPr>
      </w:pPr>
    </w:p>
    <w:p w14:paraId="544BBDAD">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44D85E4E">
      <w:pPr>
        <w:widowControl/>
        <w:spacing w:line="499" w:lineRule="atLeast"/>
        <w:rPr>
          <w:rFonts w:ascii="宋体" w:hAnsi="宋体" w:eastAsia="宋体" w:cs="宋体"/>
          <w:color w:val="000000"/>
          <w:sz w:val="32"/>
          <w:szCs w:val="32"/>
          <w:highlight w:val="none"/>
        </w:rPr>
      </w:pPr>
    </w:p>
    <w:p w14:paraId="4CFD966F">
      <w:pPr>
        <w:widowControl/>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六</w:t>
      </w:r>
      <w:r>
        <w:rPr>
          <w:rFonts w:hint="eastAsia" w:ascii="宋体" w:hAnsi="宋体" w:eastAsia="宋体" w:cs="宋体"/>
          <w:b/>
          <w:bCs/>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r>
        <w:rPr>
          <w:rFonts w:hint="eastAsia" w:ascii="宋体" w:hAnsi="宋体" w:eastAsia="宋体" w:cs="宋体"/>
          <w:color w:val="000000"/>
          <w:sz w:val="24"/>
          <w:highlight w:val="none"/>
          <w:lang w:val="en-US" w:eastAsia="zh-CN"/>
        </w:rPr>
        <w:t>或盖章</w:t>
      </w:r>
      <w:r>
        <w:rPr>
          <w:rFonts w:hint="eastAsia" w:ascii="宋体" w:hAnsi="宋体" w:eastAsia="宋体" w:cs="宋体"/>
          <w:color w:val="000000"/>
          <w:sz w:val="24"/>
          <w:highlight w:val="none"/>
        </w:rPr>
        <w:t>：</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5D8529CE">
      <w:pPr>
        <w:pStyle w:val="45"/>
        <w:spacing w:beforeAutospacing="0" w:afterAutospacing="0"/>
        <w:jc w:val="center"/>
        <w:rPr>
          <w:highlight w:val="none"/>
        </w:rPr>
      </w:pPr>
    </w:p>
    <w:p w14:paraId="0899B215">
      <w:pPr>
        <w:pStyle w:val="45"/>
        <w:spacing w:beforeAutospacing="0" w:afterAutospacing="0"/>
        <w:jc w:val="center"/>
        <w:rPr>
          <w:highlight w:val="none"/>
        </w:rPr>
      </w:pPr>
    </w:p>
    <w:bookmarkEnd w:id="200"/>
    <w:bookmarkEnd w:id="201"/>
    <w:bookmarkEnd w:id="202"/>
    <w:bookmarkEnd w:id="203"/>
    <w:bookmarkEnd w:id="204"/>
    <w:p w14:paraId="3D2A7919">
      <w:pPr>
        <w:rPr>
          <w:highlight w:val="none"/>
        </w:rPr>
      </w:pPr>
    </w:p>
    <w:p w14:paraId="4D3B41D8">
      <w:pPr>
        <w:pStyle w:val="45"/>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45"/>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4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45"/>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45"/>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45"/>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p w14:paraId="1A321C9E">
      <w:pPr>
        <w:spacing w:line="500" w:lineRule="exact"/>
        <w:rPr>
          <w:rStyle w:val="308"/>
          <w:rFonts w:hint="eastAsia" w:ascii="宋体" w:hAnsi="宋体"/>
          <w:color w:val="auto"/>
          <w:sz w:val="24"/>
          <w:szCs w:val="24"/>
          <w:highlight w:val="none"/>
        </w:rPr>
      </w:pPr>
    </w:p>
    <w:sectPr>
      <w:headerReference r:id="rId3" w:type="default"/>
      <w:footerReference r:id="rId4" w:type="default"/>
      <w:footerReference r:id="rId5" w:type="even"/>
      <w:pgSz w:w="11906" w:h="16838"/>
      <w:pgMar w:top="1418" w:right="1304" w:bottom="1418" w:left="1304"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KSOFF9CBECC6">
    <w:panose1 w:val="02010609060101010101"/>
    <w:charset w:val="86"/>
    <w:family w:val="auto"/>
    <w:pitch w:val="default"/>
    <w:sig w:usb0="00000001" w:usb1="00000000" w:usb2="00000000" w:usb3="00000000" w:csb0="0004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5BCC7">
    <w:pPr>
      <w:pStyle w:val="32"/>
      <w:framePr w:wrap="around" w:vAnchor="text" w:hAnchor="margin" w:xAlign="center" w:y="1"/>
      <w:rPr>
        <w:rStyle w:val="56"/>
        <w:rFonts w:hint="eastAsia" w:ascii="宋体" w:hAnsi="宋体"/>
      </w:rPr>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38</w:t>
    </w:r>
    <w:r>
      <w:rPr>
        <w:rFonts w:hint="eastAsia" w:ascii="黑体" w:hAnsi="黑体" w:eastAsia="黑体" w:cs="黑体"/>
      </w:rPr>
      <w:fldChar w:fldCharType="end"/>
    </w:r>
  </w:p>
  <w:p w14:paraId="46EF17C1">
    <w:pPr>
      <w:pStyle w:val="3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EAED2">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618C6FC0">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5155F">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9B90EE7"/>
    <w:multiLevelType w:val="singleLevel"/>
    <w:tmpl w:val="F9B90EE7"/>
    <w:lvl w:ilvl="0" w:tentative="0">
      <w:start w:val="6"/>
      <w:numFmt w:val="decimal"/>
      <w:lvlText w:val="%1."/>
      <w:lvlJc w:val="left"/>
      <w:pPr>
        <w:tabs>
          <w:tab w:val="left" w:pos="312"/>
        </w:tabs>
      </w:pPr>
    </w:lvl>
  </w:abstractNum>
  <w:abstractNum w:abstractNumId="3">
    <w:nsid w:val="FB1FCCD7"/>
    <w:multiLevelType w:val="singleLevel"/>
    <w:tmpl w:val="FB1FCCD7"/>
    <w:lvl w:ilvl="0" w:tentative="0">
      <w:start w:val="5"/>
      <w:numFmt w:val="chineseCounting"/>
      <w:suff w:val="nothing"/>
      <w:lvlText w:val="%1、"/>
      <w:lvlJc w:val="left"/>
      <w:rPr>
        <w:rFonts w:hint="eastAsia"/>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pStyle w:val="80"/>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5">
    <w:nsid w:val="006A9167"/>
    <w:multiLevelType w:val="singleLevel"/>
    <w:tmpl w:val="006A9167"/>
    <w:lvl w:ilvl="0" w:tentative="0">
      <w:start w:val="2"/>
      <w:numFmt w:val="decimal"/>
      <w:suff w:val="nothing"/>
      <w:lvlText w:val="%1、"/>
      <w:lvlJc w:val="left"/>
    </w:lvl>
  </w:abstractNum>
  <w:abstractNum w:abstractNumId="6">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1"/>
  </w:num>
  <w:num w:numId="3">
    <w:abstractNumId w:val="8"/>
  </w:num>
  <w:num w:numId="4">
    <w:abstractNumId w:val="2"/>
  </w:num>
  <w:num w:numId="5">
    <w:abstractNumId w:val="0"/>
  </w:num>
  <w:num w:numId="6">
    <w:abstractNumId w:val="5"/>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D5ED6"/>
    <w:rsid w:val="007C2CDB"/>
    <w:rsid w:val="009C15CF"/>
    <w:rsid w:val="00A83AD0"/>
    <w:rsid w:val="00B561ED"/>
    <w:rsid w:val="00E15234"/>
    <w:rsid w:val="00FC02BF"/>
    <w:rsid w:val="010A6538"/>
    <w:rsid w:val="01CE57B8"/>
    <w:rsid w:val="01ED7E75"/>
    <w:rsid w:val="02201D8C"/>
    <w:rsid w:val="02477318"/>
    <w:rsid w:val="02497534"/>
    <w:rsid w:val="026625C6"/>
    <w:rsid w:val="02954528"/>
    <w:rsid w:val="02A36C44"/>
    <w:rsid w:val="02C40969"/>
    <w:rsid w:val="02DF4A0F"/>
    <w:rsid w:val="03035935"/>
    <w:rsid w:val="031F3DF1"/>
    <w:rsid w:val="03555A65"/>
    <w:rsid w:val="037D56E7"/>
    <w:rsid w:val="039B5B6E"/>
    <w:rsid w:val="03C54999"/>
    <w:rsid w:val="03CF75C5"/>
    <w:rsid w:val="04073203"/>
    <w:rsid w:val="040C6A6B"/>
    <w:rsid w:val="04722D72"/>
    <w:rsid w:val="04926F71"/>
    <w:rsid w:val="04974587"/>
    <w:rsid w:val="04FA2D68"/>
    <w:rsid w:val="04FC263C"/>
    <w:rsid w:val="055C757F"/>
    <w:rsid w:val="057E74F5"/>
    <w:rsid w:val="05B05E96"/>
    <w:rsid w:val="05D47115"/>
    <w:rsid w:val="061B67B3"/>
    <w:rsid w:val="06233BF8"/>
    <w:rsid w:val="06480394"/>
    <w:rsid w:val="06930D7E"/>
    <w:rsid w:val="06982838"/>
    <w:rsid w:val="06B238FA"/>
    <w:rsid w:val="06D66EBD"/>
    <w:rsid w:val="06EB6E0C"/>
    <w:rsid w:val="07041C7C"/>
    <w:rsid w:val="07434552"/>
    <w:rsid w:val="07A62D33"/>
    <w:rsid w:val="07BC4304"/>
    <w:rsid w:val="082F4AD6"/>
    <w:rsid w:val="08493DEA"/>
    <w:rsid w:val="085D5AE7"/>
    <w:rsid w:val="086F75C9"/>
    <w:rsid w:val="08B86B2C"/>
    <w:rsid w:val="08C07E24"/>
    <w:rsid w:val="097D1872"/>
    <w:rsid w:val="099C263F"/>
    <w:rsid w:val="0A1357D3"/>
    <w:rsid w:val="0A151234"/>
    <w:rsid w:val="0A2543E3"/>
    <w:rsid w:val="0A7333A0"/>
    <w:rsid w:val="0AC96892"/>
    <w:rsid w:val="0AD81455"/>
    <w:rsid w:val="0AE53B72"/>
    <w:rsid w:val="0AF344E1"/>
    <w:rsid w:val="0B016BFE"/>
    <w:rsid w:val="0BA457DB"/>
    <w:rsid w:val="0BEB6F66"/>
    <w:rsid w:val="0C411129"/>
    <w:rsid w:val="0C4D5E73"/>
    <w:rsid w:val="0C525237"/>
    <w:rsid w:val="0C782EF0"/>
    <w:rsid w:val="0CCF4ADA"/>
    <w:rsid w:val="0D1644B7"/>
    <w:rsid w:val="0D63594E"/>
    <w:rsid w:val="0D7C6A10"/>
    <w:rsid w:val="0DAE2941"/>
    <w:rsid w:val="0DD51C7C"/>
    <w:rsid w:val="0DDA54E4"/>
    <w:rsid w:val="0DF447F8"/>
    <w:rsid w:val="0E7E0566"/>
    <w:rsid w:val="0EB36461"/>
    <w:rsid w:val="0ED14B39"/>
    <w:rsid w:val="0EE228A3"/>
    <w:rsid w:val="0F047233"/>
    <w:rsid w:val="0F20161D"/>
    <w:rsid w:val="0F2C7FC2"/>
    <w:rsid w:val="0F895414"/>
    <w:rsid w:val="0F9A050E"/>
    <w:rsid w:val="0FBC30F4"/>
    <w:rsid w:val="0FFE195E"/>
    <w:rsid w:val="10282537"/>
    <w:rsid w:val="107E484D"/>
    <w:rsid w:val="108005C5"/>
    <w:rsid w:val="110D7159"/>
    <w:rsid w:val="11405FA6"/>
    <w:rsid w:val="117619C8"/>
    <w:rsid w:val="11B524F0"/>
    <w:rsid w:val="11C91AF8"/>
    <w:rsid w:val="11DA1F57"/>
    <w:rsid w:val="11DD1A47"/>
    <w:rsid w:val="11FC3C7B"/>
    <w:rsid w:val="127840D2"/>
    <w:rsid w:val="128C718B"/>
    <w:rsid w:val="12922832"/>
    <w:rsid w:val="129B18B7"/>
    <w:rsid w:val="12A8795F"/>
    <w:rsid w:val="12CC0ABB"/>
    <w:rsid w:val="12CC7AF2"/>
    <w:rsid w:val="12CD73C6"/>
    <w:rsid w:val="12D11F95"/>
    <w:rsid w:val="12E345C6"/>
    <w:rsid w:val="12EF37E0"/>
    <w:rsid w:val="13090A41"/>
    <w:rsid w:val="130D1EB8"/>
    <w:rsid w:val="13196AAF"/>
    <w:rsid w:val="13386F35"/>
    <w:rsid w:val="134F24D1"/>
    <w:rsid w:val="134F427F"/>
    <w:rsid w:val="138163C4"/>
    <w:rsid w:val="138E124B"/>
    <w:rsid w:val="13DA623E"/>
    <w:rsid w:val="13F37300"/>
    <w:rsid w:val="14215C1B"/>
    <w:rsid w:val="1424395D"/>
    <w:rsid w:val="145A737F"/>
    <w:rsid w:val="149F2FE4"/>
    <w:rsid w:val="14AD5701"/>
    <w:rsid w:val="14CD18FF"/>
    <w:rsid w:val="14E76E65"/>
    <w:rsid w:val="1523526E"/>
    <w:rsid w:val="15922F94"/>
    <w:rsid w:val="15A9236C"/>
    <w:rsid w:val="15F555B1"/>
    <w:rsid w:val="15F829AC"/>
    <w:rsid w:val="15FB249C"/>
    <w:rsid w:val="16473933"/>
    <w:rsid w:val="164B51D1"/>
    <w:rsid w:val="1669207D"/>
    <w:rsid w:val="167504A0"/>
    <w:rsid w:val="167A5AB7"/>
    <w:rsid w:val="169528F0"/>
    <w:rsid w:val="16A42B33"/>
    <w:rsid w:val="16BE3BF5"/>
    <w:rsid w:val="16D231FD"/>
    <w:rsid w:val="16F2564D"/>
    <w:rsid w:val="172A128B"/>
    <w:rsid w:val="17546308"/>
    <w:rsid w:val="17936E30"/>
    <w:rsid w:val="17A0441C"/>
    <w:rsid w:val="17AA5F28"/>
    <w:rsid w:val="17C3523B"/>
    <w:rsid w:val="184653C6"/>
    <w:rsid w:val="18585984"/>
    <w:rsid w:val="18B057C0"/>
    <w:rsid w:val="18B232E6"/>
    <w:rsid w:val="191C10A7"/>
    <w:rsid w:val="192341E3"/>
    <w:rsid w:val="19235F91"/>
    <w:rsid w:val="19314B52"/>
    <w:rsid w:val="193E726F"/>
    <w:rsid w:val="19616ABA"/>
    <w:rsid w:val="1991739F"/>
    <w:rsid w:val="19AF1F1B"/>
    <w:rsid w:val="19DB686C"/>
    <w:rsid w:val="19F27159"/>
    <w:rsid w:val="1A27385F"/>
    <w:rsid w:val="1A5959E3"/>
    <w:rsid w:val="1A840CB2"/>
    <w:rsid w:val="1A9D6217"/>
    <w:rsid w:val="1AAD64AC"/>
    <w:rsid w:val="1AC437A4"/>
    <w:rsid w:val="1ACB0058"/>
    <w:rsid w:val="1AE314C2"/>
    <w:rsid w:val="1B087B35"/>
    <w:rsid w:val="1B3426D8"/>
    <w:rsid w:val="1B495A57"/>
    <w:rsid w:val="1B506DE6"/>
    <w:rsid w:val="1BA535D6"/>
    <w:rsid w:val="1BBD091F"/>
    <w:rsid w:val="1BC33A5C"/>
    <w:rsid w:val="1BFD6F6E"/>
    <w:rsid w:val="1C450915"/>
    <w:rsid w:val="1C495B4B"/>
    <w:rsid w:val="1C60574F"/>
    <w:rsid w:val="1CE123EB"/>
    <w:rsid w:val="1CE7377A"/>
    <w:rsid w:val="1CF57C45"/>
    <w:rsid w:val="1D0E51AB"/>
    <w:rsid w:val="1D2B7B0B"/>
    <w:rsid w:val="1D2E13A9"/>
    <w:rsid w:val="1D525097"/>
    <w:rsid w:val="1D6F5C49"/>
    <w:rsid w:val="1D970CFC"/>
    <w:rsid w:val="1E1E766F"/>
    <w:rsid w:val="1E236A34"/>
    <w:rsid w:val="1E3B3D7D"/>
    <w:rsid w:val="1E65704C"/>
    <w:rsid w:val="1E7E1EBC"/>
    <w:rsid w:val="1E7F010E"/>
    <w:rsid w:val="1E85149C"/>
    <w:rsid w:val="1EA361C2"/>
    <w:rsid w:val="1EA634A4"/>
    <w:rsid w:val="1EC975DB"/>
    <w:rsid w:val="1EE91A2B"/>
    <w:rsid w:val="1EF328AA"/>
    <w:rsid w:val="1F014B16"/>
    <w:rsid w:val="1F016D75"/>
    <w:rsid w:val="1F071EB1"/>
    <w:rsid w:val="1F334A54"/>
    <w:rsid w:val="1F4153C3"/>
    <w:rsid w:val="1F745799"/>
    <w:rsid w:val="1F770DE5"/>
    <w:rsid w:val="1FB75686"/>
    <w:rsid w:val="1FDE70B6"/>
    <w:rsid w:val="1FE3647B"/>
    <w:rsid w:val="202D5948"/>
    <w:rsid w:val="203E1903"/>
    <w:rsid w:val="204D1B46"/>
    <w:rsid w:val="20631369"/>
    <w:rsid w:val="20672C08"/>
    <w:rsid w:val="209E05F3"/>
    <w:rsid w:val="20C20786"/>
    <w:rsid w:val="20CF4C51"/>
    <w:rsid w:val="20DA7434"/>
    <w:rsid w:val="2197576F"/>
    <w:rsid w:val="21C422DC"/>
    <w:rsid w:val="225B2C40"/>
    <w:rsid w:val="228C104B"/>
    <w:rsid w:val="229D5007"/>
    <w:rsid w:val="22AA7723"/>
    <w:rsid w:val="22B119BD"/>
    <w:rsid w:val="22B91715"/>
    <w:rsid w:val="22DD3655"/>
    <w:rsid w:val="234B6811"/>
    <w:rsid w:val="2378512C"/>
    <w:rsid w:val="23C51DD1"/>
    <w:rsid w:val="23E427C1"/>
    <w:rsid w:val="24101808"/>
    <w:rsid w:val="241906BD"/>
    <w:rsid w:val="244A6AC8"/>
    <w:rsid w:val="24653902"/>
    <w:rsid w:val="246E3BEE"/>
    <w:rsid w:val="24967F5F"/>
    <w:rsid w:val="249E6E14"/>
    <w:rsid w:val="24B2466D"/>
    <w:rsid w:val="24C85C3F"/>
    <w:rsid w:val="24DB0068"/>
    <w:rsid w:val="25074388"/>
    <w:rsid w:val="251175E6"/>
    <w:rsid w:val="251351C1"/>
    <w:rsid w:val="251F61A7"/>
    <w:rsid w:val="25227A45"/>
    <w:rsid w:val="25482979"/>
    <w:rsid w:val="25537BFE"/>
    <w:rsid w:val="255552F4"/>
    <w:rsid w:val="25641E0C"/>
    <w:rsid w:val="256E2C8A"/>
    <w:rsid w:val="258B55EA"/>
    <w:rsid w:val="25B54415"/>
    <w:rsid w:val="25D02FFD"/>
    <w:rsid w:val="25D16B11"/>
    <w:rsid w:val="25E116AE"/>
    <w:rsid w:val="26190E48"/>
    <w:rsid w:val="26606A77"/>
    <w:rsid w:val="26987491"/>
    <w:rsid w:val="269B7B47"/>
    <w:rsid w:val="27167136"/>
    <w:rsid w:val="274719E5"/>
    <w:rsid w:val="276A122F"/>
    <w:rsid w:val="278422F1"/>
    <w:rsid w:val="279B763B"/>
    <w:rsid w:val="27A74232"/>
    <w:rsid w:val="27FF406E"/>
    <w:rsid w:val="28153891"/>
    <w:rsid w:val="284856F5"/>
    <w:rsid w:val="285A74F6"/>
    <w:rsid w:val="288A1B89"/>
    <w:rsid w:val="289A5B44"/>
    <w:rsid w:val="289B1FE8"/>
    <w:rsid w:val="28B704A4"/>
    <w:rsid w:val="28DB65A4"/>
    <w:rsid w:val="28DC7F0B"/>
    <w:rsid w:val="290851A4"/>
    <w:rsid w:val="294B77A1"/>
    <w:rsid w:val="294D0FF9"/>
    <w:rsid w:val="29891E41"/>
    <w:rsid w:val="29A22F02"/>
    <w:rsid w:val="29A924E3"/>
    <w:rsid w:val="2A04596B"/>
    <w:rsid w:val="2A1060BE"/>
    <w:rsid w:val="2AD76BDC"/>
    <w:rsid w:val="2AED4651"/>
    <w:rsid w:val="2AEF3F25"/>
    <w:rsid w:val="2B0A0D5F"/>
    <w:rsid w:val="2B400C25"/>
    <w:rsid w:val="2B4D33FB"/>
    <w:rsid w:val="2B5D3585"/>
    <w:rsid w:val="2BAC0068"/>
    <w:rsid w:val="2BAE2033"/>
    <w:rsid w:val="2BD4136D"/>
    <w:rsid w:val="2BEB6DE3"/>
    <w:rsid w:val="2BF11F1F"/>
    <w:rsid w:val="2C077995"/>
    <w:rsid w:val="2C3F3DE5"/>
    <w:rsid w:val="2C5A7AC4"/>
    <w:rsid w:val="2C6721E1"/>
    <w:rsid w:val="2C866B0B"/>
    <w:rsid w:val="2D0839C4"/>
    <w:rsid w:val="2D0F4D53"/>
    <w:rsid w:val="2D4D587B"/>
    <w:rsid w:val="2D5E5392"/>
    <w:rsid w:val="2D865CCF"/>
    <w:rsid w:val="2DBF3691"/>
    <w:rsid w:val="2DD45655"/>
    <w:rsid w:val="2DFB52D7"/>
    <w:rsid w:val="2E1F2D74"/>
    <w:rsid w:val="2E2959A0"/>
    <w:rsid w:val="2E7C01C6"/>
    <w:rsid w:val="2EC851B9"/>
    <w:rsid w:val="2EE87609"/>
    <w:rsid w:val="2F7B222C"/>
    <w:rsid w:val="2FED0C50"/>
    <w:rsid w:val="300246FB"/>
    <w:rsid w:val="30190B1D"/>
    <w:rsid w:val="301F52AD"/>
    <w:rsid w:val="302E54F0"/>
    <w:rsid w:val="30874C00"/>
    <w:rsid w:val="30DF0977"/>
    <w:rsid w:val="31091AB9"/>
    <w:rsid w:val="313C3C3D"/>
    <w:rsid w:val="31B25CAD"/>
    <w:rsid w:val="31E542D4"/>
    <w:rsid w:val="324C6101"/>
    <w:rsid w:val="326C0551"/>
    <w:rsid w:val="328C4750"/>
    <w:rsid w:val="3291620A"/>
    <w:rsid w:val="32AB213F"/>
    <w:rsid w:val="32E20814"/>
    <w:rsid w:val="337771AE"/>
    <w:rsid w:val="33AF6948"/>
    <w:rsid w:val="33B977C6"/>
    <w:rsid w:val="33DE0FDB"/>
    <w:rsid w:val="33FE342B"/>
    <w:rsid w:val="34180991"/>
    <w:rsid w:val="341D5FA7"/>
    <w:rsid w:val="34321327"/>
    <w:rsid w:val="344352E2"/>
    <w:rsid w:val="349E076A"/>
    <w:rsid w:val="351B1DBB"/>
    <w:rsid w:val="35417A73"/>
    <w:rsid w:val="355E0625"/>
    <w:rsid w:val="35773495"/>
    <w:rsid w:val="35B00755"/>
    <w:rsid w:val="35D703D8"/>
    <w:rsid w:val="35D97CAC"/>
    <w:rsid w:val="36064819"/>
    <w:rsid w:val="363B2715"/>
    <w:rsid w:val="36637EBD"/>
    <w:rsid w:val="36B02D31"/>
    <w:rsid w:val="36C764E9"/>
    <w:rsid w:val="36CC15BF"/>
    <w:rsid w:val="36D14E27"/>
    <w:rsid w:val="36D44917"/>
    <w:rsid w:val="36E556BA"/>
    <w:rsid w:val="37607F59"/>
    <w:rsid w:val="376F6EDF"/>
    <w:rsid w:val="3772660A"/>
    <w:rsid w:val="379C71E3"/>
    <w:rsid w:val="379E11AD"/>
    <w:rsid w:val="37B207B5"/>
    <w:rsid w:val="37D50947"/>
    <w:rsid w:val="38262F51"/>
    <w:rsid w:val="38496AB6"/>
    <w:rsid w:val="385E6B8E"/>
    <w:rsid w:val="387D6418"/>
    <w:rsid w:val="38996A53"/>
    <w:rsid w:val="38A26A7B"/>
    <w:rsid w:val="38A30A45"/>
    <w:rsid w:val="38C56C0D"/>
    <w:rsid w:val="38DE382B"/>
    <w:rsid w:val="38E726E0"/>
    <w:rsid w:val="38EE1CC0"/>
    <w:rsid w:val="39006B4A"/>
    <w:rsid w:val="391B4A7F"/>
    <w:rsid w:val="39CE1AF2"/>
    <w:rsid w:val="39E3559D"/>
    <w:rsid w:val="3A053765"/>
    <w:rsid w:val="3A080B60"/>
    <w:rsid w:val="3A233BEC"/>
    <w:rsid w:val="3A3000B7"/>
    <w:rsid w:val="3A59760D"/>
    <w:rsid w:val="3A766411"/>
    <w:rsid w:val="3A7C08CD"/>
    <w:rsid w:val="3A7E0E22"/>
    <w:rsid w:val="3AB807D8"/>
    <w:rsid w:val="3AC23405"/>
    <w:rsid w:val="3AE3337B"/>
    <w:rsid w:val="3AF45588"/>
    <w:rsid w:val="3B514788"/>
    <w:rsid w:val="3B670E25"/>
    <w:rsid w:val="3B742225"/>
    <w:rsid w:val="3B7566C9"/>
    <w:rsid w:val="3C447E49"/>
    <w:rsid w:val="3C5B18D6"/>
    <w:rsid w:val="3C8446EA"/>
    <w:rsid w:val="3CA8662A"/>
    <w:rsid w:val="3CDE204C"/>
    <w:rsid w:val="3CE27D8E"/>
    <w:rsid w:val="3CF61143"/>
    <w:rsid w:val="3D22462E"/>
    <w:rsid w:val="3D37175C"/>
    <w:rsid w:val="3D5C3FB9"/>
    <w:rsid w:val="3D6A38DF"/>
    <w:rsid w:val="3E2D5039"/>
    <w:rsid w:val="3E3600DC"/>
    <w:rsid w:val="3E6A003B"/>
    <w:rsid w:val="3E7E7642"/>
    <w:rsid w:val="3EA572C5"/>
    <w:rsid w:val="3EBF1A09"/>
    <w:rsid w:val="3EDE27D7"/>
    <w:rsid w:val="3EEC64A8"/>
    <w:rsid w:val="3EF72003"/>
    <w:rsid w:val="3F3441A5"/>
    <w:rsid w:val="3FCA29C8"/>
    <w:rsid w:val="400C0FB7"/>
    <w:rsid w:val="4041301D"/>
    <w:rsid w:val="404B3E9C"/>
    <w:rsid w:val="406B3BF6"/>
    <w:rsid w:val="40723DF7"/>
    <w:rsid w:val="409749EB"/>
    <w:rsid w:val="40AB493B"/>
    <w:rsid w:val="40B04049"/>
    <w:rsid w:val="40E67721"/>
    <w:rsid w:val="41874A60"/>
    <w:rsid w:val="418A09F4"/>
    <w:rsid w:val="41A41AB6"/>
    <w:rsid w:val="41E15D6B"/>
    <w:rsid w:val="41F540C0"/>
    <w:rsid w:val="41FB36A0"/>
    <w:rsid w:val="420267DC"/>
    <w:rsid w:val="42274495"/>
    <w:rsid w:val="42622A3F"/>
    <w:rsid w:val="42812A62"/>
    <w:rsid w:val="42AD499A"/>
    <w:rsid w:val="430F7403"/>
    <w:rsid w:val="43282273"/>
    <w:rsid w:val="434A21E9"/>
    <w:rsid w:val="4383021B"/>
    <w:rsid w:val="438C0A54"/>
    <w:rsid w:val="43C33D49"/>
    <w:rsid w:val="43E53F22"/>
    <w:rsid w:val="44136A7F"/>
    <w:rsid w:val="44550E45"/>
    <w:rsid w:val="44737E08"/>
    <w:rsid w:val="44753296"/>
    <w:rsid w:val="448E4357"/>
    <w:rsid w:val="44915BF6"/>
    <w:rsid w:val="44A5030F"/>
    <w:rsid w:val="44B71862"/>
    <w:rsid w:val="44C36BE8"/>
    <w:rsid w:val="44C9538F"/>
    <w:rsid w:val="44FC7513"/>
    <w:rsid w:val="45036AF3"/>
    <w:rsid w:val="4504568B"/>
    <w:rsid w:val="452516FF"/>
    <w:rsid w:val="452B604A"/>
    <w:rsid w:val="453018B3"/>
    <w:rsid w:val="45505AB1"/>
    <w:rsid w:val="45576E3F"/>
    <w:rsid w:val="456A4DC4"/>
    <w:rsid w:val="458672E9"/>
    <w:rsid w:val="45AB03F6"/>
    <w:rsid w:val="45C269AF"/>
    <w:rsid w:val="45E71F71"/>
    <w:rsid w:val="467225C5"/>
    <w:rsid w:val="46BB5D46"/>
    <w:rsid w:val="46C91677"/>
    <w:rsid w:val="46DF533E"/>
    <w:rsid w:val="46E90C6A"/>
    <w:rsid w:val="4766336A"/>
    <w:rsid w:val="47711ED9"/>
    <w:rsid w:val="477A6E15"/>
    <w:rsid w:val="478D4D9A"/>
    <w:rsid w:val="47C00CCC"/>
    <w:rsid w:val="47D46525"/>
    <w:rsid w:val="488A12DA"/>
    <w:rsid w:val="48B87E46"/>
    <w:rsid w:val="48C91E02"/>
    <w:rsid w:val="493A4AAE"/>
    <w:rsid w:val="497A30FC"/>
    <w:rsid w:val="497A45EB"/>
    <w:rsid w:val="49971F00"/>
    <w:rsid w:val="49BA174B"/>
    <w:rsid w:val="4A05093F"/>
    <w:rsid w:val="4A065EBE"/>
    <w:rsid w:val="4A0A767F"/>
    <w:rsid w:val="4A352FA8"/>
    <w:rsid w:val="4A394D65"/>
    <w:rsid w:val="4A49144C"/>
    <w:rsid w:val="4A541B9F"/>
    <w:rsid w:val="4A5E2A1E"/>
    <w:rsid w:val="4A7F4E6E"/>
    <w:rsid w:val="4A946440"/>
    <w:rsid w:val="4A9D70A2"/>
    <w:rsid w:val="4B6776B0"/>
    <w:rsid w:val="4B7818BD"/>
    <w:rsid w:val="4B920BD1"/>
    <w:rsid w:val="4B9761E7"/>
    <w:rsid w:val="4BB02E05"/>
    <w:rsid w:val="4BCE14DD"/>
    <w:rsid w:val="4BF47196"/>
    <w:rsid w:val="4BFC604B"/>
    <w:rsid w:val="4C015902"/>
    <w:rsid w:val="4C650094"/>
    <w:rsid w:val="4C975D73"/>
    <w:rsid w:val="4CA961D2"/>
    <w:rsid w:val="4CBF59F6"/>
    <w:rsid w:val="4CF3569F"/>
    <w:rsid w:val="4CF36B79"/>
    <w:rsid w:val="4D135D42"/>
    <w:rsid w:val="4D2515D1"/>
    <w:rsid w:val="4D7367E0"/>
    <w:rsid w:val="4DD21759"/>
    <w:rsid w:val="4E1E499E"/>
    <w:rsid w:val="4E263853"/>
    <w:rsid w:val="4E4D0AC1"/>
    <w:rsid w:val="4E8A5B90"/>
    <w:rsid w:val="4E8F31A6"/>
    <w:rsid w:val="4E994025"/>
    <w:rsid w:val="4EAD7AD0"/>
    <w:rsid w:val="4EB153CD"/>
    <w:rsid w:val="4EBB3F9B"/>
    <w:rsid w:val="4EBE4B94"/>
    <w:rsid w:val="4EE72FE2"/>
    <w:rsid w:val="4EE96D5A"/>
    <w:rsid w:val="4F0973FC"/>
    <w:rsid w:val="4F4026F2"/>
    <w:rsid w:val="4F42290E"/>
    <w:rsid w:val="4F5543EF"/>
    <w:rsid w:val="4F5663A6"/>
    <w:rsid w:val="4F5B577E"/>
    <w:rsid w:val="4F6B024B"/>
    <w:rsid w:val="4F934F18"/>
    <w:rsid w:val="4F94051C"/>
    <w:rsid w:val="4F98252E"/>
    <w:rsid w:val="504A1A7A"/>
    <w:rsid w:val="504F7091"/>
    <w:rsid w:val="505A77E4"/>
    <w:rsid w:val="50770396"/>
    <w:rsid w:val="50D457E8"/>
    <w:rsid w:val="50E579F5"/>
    <w:rsid w:val="50E83041"/>
    <w:rsid w:val="512C73D2"/>
    <w:rsid w:val="513444D8"/>
    <w:rsid w:val="518E5997"/>
    <w:rsid w:val="51A60F32"/>
    <w:rsid w:val="51C76A1E"/>
    <w:rsid w:val="51FA74D0"/>
    <w:rsid w:val="520B3E30"/>
    <w:rsid w:val="52232583"/>
    <w:rsid w:val="523C53F3"/>
    <w:rsid w:val="52A65923"/>
    <w:rsid w:val="52B14033"/>
    <w:rsid w:val="52D47D21"/>
    <w:rsid w:val="52DE46FC"/>
    <w:rsid w:val="52E55A8A"/>
    <w:rsid w:val="532644A8"/>
    <w:rsid w:val="535A6478"/>
    <w:rsid w:val="53642E53"/>
    <w:rsid w:val="53A07C03"/>
    <w:rsid w:val="53D6626A"/>
    <w:rsid w:val="53D77AC9"/>
    <w:rsid w:val="53F42A19"/>
    <w:rsid w:val="541008E5"/>
    <w:rsid w:val="54181622"/>
    <w:rsid w:val="54372177"/>
    <w:rsid w:val="54372316"/>
    <w:rsid w:val="544669FD"/>
    <w:rsid w:val="5463583A"/>
    <w:rsid w:val="54AB2D04"/>
    <w:rsid w:val="54B8312E"/>
    <w:rsid w:val="54C55B73"/>
    <w:rsid w:val="55055F70"/>
    <w:rsid w:val="55935C72"/>
    <w:rsid w:val="55DA38A0"/>
    <w:rsid w:val="56242E47"/>
    <w:rsid w:val="56334D5F"/>
    <w:rsid w:val="56503B63"/>
    <w:rsid w:val="56570A4D"/>
    <w:rsid w:val="56660C90"/>
    <w:rsid w:val="566D0271"/>
    <w:rsid w:val="56815ACA"/>
    <w:rsid w:val="568630E0"/>
    <w:rsid w:val="569021B1"/>
    <w:rsid w:val="570010E5"/>
    <w:rsid w:val="57F64296"/>
    <w:rsid w:val="57FD3876"/>
    <w:rsid w:val="581806B0"/>
    <w:rsid w:val="58240E03"/>
    <w:rsid w:val="58382B00"/>
    <w:rsid w:val="583B614D"/>
    <w:rsid w:val="58BC54DF"/>
    <w:rsid w:val="58FF045B"/>
    <w:rsid w:val="591F15CA"/>
    <w:rsid w:val="5934151A"/>
    <w:rsid w:val="59513E7A"/>
    <w:rsid w:val="595B6559"/>
    <w:rsid w:val="59AC5554"/>
    <w:rsid w:val="59AD6BD6"/>
    <w:rsid w:val="59D16D68"/>
    <w:rsid w:val="5A184997"/>
    <w:rsid w:val="5A4126BF"/>
    <w:rsid w:val="5A472AAA"/>
    <w:rsid w:val="5A755946"/>
    <w:rsid w:val="5AA601F5"/>
    <w:rsid w:val="5ADF54B5"/>
    <w:rsid w:val="5B13515F"/>
    <w:rsid w:val="5B5A153F"/>
    <w:rsid w:val="5B5F2152"/>
    <w:rsid w:val="5B6D7F83"/>
    <w:rsid w:val="5B7C4AB2"/>
    <w:rsid w:val="5BD7618C"/>
    <w:rsid w:val="5BFE5E0F"/>
    <w:rsid w:val="5C02145B"/>
    <w:rsid w:val="5C050310"/>
    <w:rsid w:val="5C125416"/>
    <w:rsid w:val="5C14118E"/>
    <w:rsid w:val="5CA42512"/>
    <w:rsid w:val="5D12464E"/>
    <w:rsid w:val="5D56565A"/>
    <w:rsid w:val="5D6B74D4"/>
    <w:rsid w:val="5D7C523D"/>
    <w:rsid w:val="5D99194B"/>
    <w:rsid w:val="5D9C768D"/>
    <w:rsid w:val="5DA16A52"/>
    <w:rsid w:val="5DBE7604"/>
    <w:rsid w:val="5DDD51AA"/>
    <w:rsid w:val="5E023994"/>
    <w:rsid w:val="5E0F7E5F"/>
    <w:rsid w:val="5E7A79CF"/>
    <w:rsid w:val="5E7B54F5"/>
    <w:rsid w:val="5E9B7945"/>
    <w:rsid w:val="5EAE1426"/>
    <w:rsid w:val="5EDB41E5"/>
    <w:rsid w:val="5EF01840"/>
    <w:rsid w:val="5F1B79A2"/>
    <w:rsid w:val="5F2E07B9"/>
    <w:rsid w:val="5F441D8B"/>
    <w:rsid w:val="5F6D7533"/>
    <w:rsid w:val="5F8B79B9"/>
    <w:rsid w:val="5F9265B5"/>
    <w:rsid w:val="5F954394"/>
    <w:rsid w:val="5FAB1E0A"/>
    <w:rsid w:val="60065292"/>
    <w:rsid w:val="6028345A"/>
    <w:rsid w:val="604638E0"/>
    <w:rsid w:val="60593614"/>
    <w:rsid w:val="60822B6A"/>
    <w:rsid w:val="60A056E7"/>
    <w:rsid w:val="60BE791B"/>
    <w:rsid w:val="610B0DB2"/>
    <w:rsid w:val="61161505"/>
    <w:rsid w:val="61493688"/>
    <w:rsid w:val="61500EBB"/>
    <w:rsid w:val="61914004"/>
    <w:rsid w:val="61B9080E"/>
    <w:rsid w:val="61BF0E4D"/>
    <w:rsid w:val="61F335F4"/>
    <w:rsid w:val="61F41846"/>
    <w:rsid w:val="61FC4B9F"/>
    <w:rsid w:val="626F35C2"/>
    <w:rsid w:val="626F5370"/>
    <w:rsid w:val="628D57F7"/>
    <w:rsid w:val="628D74CD"/>
    <w:rsid w:val="62A768B8"/>
    <w:rsid w:val="62C70D09"/>
    <w:rsid w:val="62EA2C49"/>
    <w:rsid w:val="630B32EB"/>
    <w:rsid w:val="631E7BCE"/>
    <w:rsid w:val="63312A0C"/>
    <w:rsid w:val="63332842"/>
    <w:rsid w:val="635D78BF"/>
    <w:rsid w:val="637075F2"/>
    <w:rsid w:val="639A466F"/>
    <w:rsid w:val="63A70B3A"/>
    <w:rsid w:val="63B374DF"/>
    <w:rsid w:val="63F20007"/>
    <w:rsid w:val="63F975E8"/>
    <w:rsid w:val="63FA40EC"/>
    <w:rsid w:val="64313EA2"/>
    <w:rsid w:val="644A7E43"/>
    <w:rsid w:val="645A5BAC"/>
    <w:rsid w:val="645B4A2B"/>
    <w:rsid w:val="64872E45"/>
    <w:rsid w:val="648C045C"/>
    <w:rsid w:val="64A62BA0"/>
    <w:rsid w:val="64AB0678"/>
    <w:rsid w:val="64BD6867"/>
    <w:rsid w:val="64EA5182"/>
    <w:rsid w:val="65053D6A"/>
    <w:rsid w:val="65152445"/>
    <w:rsid w:val="65B03CD6"/>
    <w:rsid w:val="65D976D1"/>
    <w:rsid w:val="65E120E1"/>
    <w:rsid w:val="65F55B8D"/>
    <w:rsid w:val="664F1741"/>
    <w:rsid w:val="66521231"/>
    <w:rsid w:val="665A00E6"/>
    <w:rsid w:val="666B22F3"/>
    <w:rsid w:val="66925AD1"/>
    <w:rsid w:val="669357FD"/>
    <w:rsid w:val="66B76541"/>
    <w:rsid w:val="66E04A8F"/>
    <w:rsid w:val="6703077D"/>
    <w:rsid w:val="67A535E2"/>
    <w:rsid w:val="67C6300D"/>
    <w:rsid w:val="684D3A5E"/>
    <w:rsid w:val="686A6AA1"/>
    <w:rsid w:val="68802085"/>
    <w:rsid w:val="68925915"/>
    <w:rsid w:val="689B286C"/>
    <w:rsid w:val="68C301C4"/>
    <w:rsid w:val="68CC52CB"/>
    <w:rsid w:val="68EA74FF"/>
    <w:rsid w:val="69006870"/>
    <w:rsid w:val="69090FEA"/>
    <w:rsid w:val="690B56C7"/>
    <w:rsid w:val="6942558D"/>
    <w:rsid w:val="695B6B4A"/>
    <w:rsid w:val="69692B1A"/>
    <w:rsid w:val="696A6892"/>
    <w:rsid w:val="698931BC"/>
    <w:rsid w:val="698C2CAC"/>
    <w:rsid w:val="69B8584F"/>
    <w:rsid w:val="69EE03B8"/>
    <w:rsid w:val="69F66F81"/>
    <w:rsid w:val="6A06480C"/>
    <w:rsid w:val="6A1C4030"/>
    <w:rsid w:val="6A1D1DA5"/>
    <w:rsid w:val="6A4F0AFA"/>
    <w:rsid w:val="6A694D9B"/>
    <w:rsid w:val="6A845731"/>
    <w:rsid w:val="6A86594D"/>
    <w:rsid w:val="6A971908"/>
    <w:rsid w:val="6B0F5943"/>
    <w:rsid w:val="6B217424"/>
    <w:rsid w:val="6B2F0327"/>
    <w:rsid w:val="6B6157AA"/>
    <w:rsid w:val="6B961BC0"/>
    <w:rsid w:val="6BD3071E"/>
    <w:rsid w:val="6C2216A6"/>
    <w:rsid w:val="6C465394"/>
    <w:rsid w:val="6C895281"/>
    <w:rsid w:val="6C8D4D71"/>
    <w:rsid w:val="6C8E0AE9"/>
    <w:rsid w:val="6C9500C9"/>
    <w:rsid w:val="6CA4030D"/>
    <w:rsid w:val="6CD01102"/>
    <w:rsid w:val="6D1919FD"/>
    <w:rsid w:val="6D1B05CF"/>
    <w:rsid w:val="6D6F26C8"/>
    <w:rsid w:val="6D874CDE"/>
    <w:rsid w:val="6D885538"/>
    <w:rsid w:val="6DAD4F9F"/>
    <w:rsid w:val="6DF42BCE"/>
    <w:rsid w:val="6E2434B3"/>
    <w:rsid w:val="6E3A2CD6"/>
    <w:rsid w:val="6E443B55"/>
    <w:rsid w:val="6E55366C"/>
    <w:rsid w:val="6E5673E4"/>
    <w:rsid w:val="6E737F96"/>
    <w:rsid w:val="6EEB3FD1"/>
    <w:rsid w:val="6F042C5B"/>
    <w:rsid w:val="6F282F38"/>
    <w:rsid w:val="6F3F446E"/>
    <w:rsid w:val="6F5A2F04"/>
    <w:rsid w:val="6FAD74D8"/>
    <w:rsid w:val="6FD11419"/>
    <w:rsid w:val="6FFB46E7"/>
    <w:rsid w:val="70904E30"/>
    <w:rsid w:val="70CB40BA"/>
    <w:rsid w:val="710C022E"/>
    <w:rsid w:val="71946BA2"/>
    <w:rsid w:val="7238577F"/>
    <w:rsid w:val="723D2D95"/>
    <w:rsid w:val="724A32B2"/>
    <w:rsid w:val="724A7812"/>
    <w:rsid w:val="72556331"/>
    <w:rsid w:val="727918F3"/>
    <w:rsid w:val="72C94629"/>
    <w:rsid w:val="72D1172F"/>
    <w:rsid w:val="72E72D01"/>
    <w:rsid w:val="733F48EB"/>
    <w:rsid w:val="7341305B"/>
    <w:rsid w:val="735E7467"/>
    <w:rsid w:val="73974727"/>
    <w:rsid w:val="73D019E7"/>
    <w:rsid w:val="73E86D31"/>
    <w:rsid w:val="73F456D6"/>
    <w:rsid w:val="73FB2F08"/>
    <w:rsid w:val="743E1047"/>
    <w:rsid w:val="74416441"/>
    <w:rsid w:val="746A5998"/>
    <w:rsid w:val="74BD01BD"/>
    <w:rsid w:val="74DD0860"/>
    <w:rsid w:val="74FA31C0"/>
    <w:rsid w:val="753A7A60"/>
    <w:rsid w:val="75A1188D"/>
    <w:rsid w:val="75DF5F11"/>
    <w:rsid w:val="76200A04"/>
    <w:rsid w:val="76302D1F"/>
    <w:rsid w:val="763D7808"/>
    <w:rsid w:val="76465F91"/>
    <w:rsid w:val="76796366"/>
    <w:rsid w:val="76C4494F"/>
    <w:rsid w:val="77381D7D"/>
    <w:rsid w:val="775B5A6C"/>
    <w:rsid w:val="776C1A27"/>
    <w:rsid w:val="778D031B"/>
    <w:rsid w:val="77955421"/>
    <w:rsid w:val="77A36141"/>
    <w:rsid w:val="77CC1DAA"/>
    <w:rsid w:val="77D23F80"/>
    <w:rsid w:val="78174088"/>
    <w:rsid w:val="78B83176"/>
    <w:rsid w:val="78BD078C"/>
    <w:rsid w:val="78C95383"/>
    <w:rsid w:val="78D6184E"/>
    <w:rsid w:val="78D855C6"/>
    <w:rsid w:val="78F32400"/>
    <w:rsid w:val="79091C23"/>
    <w:rsid w:val="79132AA2"/>
    <w:rsid w:val="793D7B1F"/>
    <w:rsid w:val="7940047E"/>
    <w:rsid w:val="79B853F7"/>
    <w:rsid w:val="79F91C98"/>
    <w:rsid w:val="7A0304D2"/>
    <w:rsid w:val="7A0B5527"/>
    <w:rsid w:val="7A1721E3"/>
    <w:rsid w:val="7A4D1FE3"/>
    <w:rsid w:val="7A756E44"/>
    <w:rsid w:val="7A914B1E"/>
    <w:rsid w:val="7A9B2D4F"/>
    <w:rsid w:val="7ABB0CFB"/>
    <w:rsid w:val="7ACA4101"/>
    <w:rsid w:val="7AD65B35"/>
    <w:rsid w:val="7B0F54EB"/>
    <w:rsid w:val="7B362A78"/>
    <w:rsid w:val="7B424F78"/>
    <w:rsid w:val="7B656EB9"/>
    <w:rsid w:val="7B9D48A5"/>
    <w:rsid w:val="7BA86638"/>
    <w:rsid w:val="7BD1454E"/>
    <w:rsid w:val="7BDE32F0"/>
    <w:rsid w:val="7C0B7A60"/>
    <w:rsid w:val="7C1508DF"/>
    <w:rsid w:val="7C2D5C29"/>
    <w:rsid w:val="7C464F3C"/>
    <w:rsid w:val="7C611D76"/>
    <w:rsid w:val="7C760D04"/>
    <w:rsid w:val="7C817D22"/>
    <w:rsid w:val="7C975798"/>
    <w:rsid w:val="7CE56503"/>
    <w:rsid w:val="7CF560CB"/>
    <w:rsid w:val="7CFE208E"/>
    <w:rsid w:val="7D1868D9"/>
    <w:rsid w:val="7D272678"/>
    <w:rsid w:val="7D6C2781"/>
    <w:rsid w:val="7D7E712E"/>
    <w:rsid w:val="7D8E6B9B"/>
    <w:rsid w:val="7DCB394B"/>
    <w:rsid w:val="7DD4363D"/>
    <w:rsid w:val="7DDD542C"/>
    <w:rsid w:val="7E484F9C"/>
    <w:rsid w:val="7E543940"/>
    <w:rsid w:val="7E694F72"/>
    <w:rsid w:val="7E6B2A38"/>
    <w:rsid w:val="7F0D1E4F"/>
    <w:rsid w:val="7F402117"/>
    <w:rsid w:val="7F40756E"/>
    <w:rsid w:val="7FA97CBC"/>
    <w:rsid w:val="7FEB2083"/>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44"/>
    <w:qFormat/>
    <w:uiPriority w:val="0"/>
    <w:pPr>
      <w:keepNext/>
      <w:jc w:val="center"/>
      <w:outlineLvl w:val="0"/>
    </w:pPr>
    <w:rPr>
      <w:rFonts w:ascii="楷体_GB2312" w:eastAsia="楷体_GB2312"/>
      <w:sz w:val="28"/>
      <w:szCs w:val="28"/>
    </w:rPr>
  </w:style>
  <w:style w:type="paragraph" w:styleId="3">
    <w:name w:val="heading 2"/>
    <w:basedOn w:val="1"/>
    <w:next w:val="1"/>
    <w:link w:val="245"/>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247"/>
    <w:qFormat/>
    <w:uiPriority w:val="0"/>
    <w:pPr>
      <w:keepNext/>
      <w:keepLines/>
      <w:spacing w:before="260" w:after="260" w:line="416" w:lineRule="auto"/>
      <w:outlineLvl w:val="2"/>
    </w:pPr>
    <w:rPr>
      <w:b/>
      <w:bCs/>
      <w:sz w:val="32"/>
      <w:szCs w:val="32"/>
    </w:rPr>
  </w:style>
  <w:style w:type="paragraph" w:styleId="6">
    <w:name w:val="heading 4"/>
    <w:basedOn w:val="1"/>
    <w:next w:val="5"/>
    <w:link w:val="248"/>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link w:val="249"/>
    <w:qFormat/>
    <w:uiPriority w:val="0"/>
    <w:pPr>
      <w:keepNext/>
      <w:outlineLvl w:val="4"/>
    </w:pPr>
    <w:rPr>
      <w:rFonts w:ascii="宋体"/>
      <w:color w:val="000000"/>
      <w:sz w:val="28"/>
      <w:szCs w:val="28"/>
    </w:rPr>
  </w:style>
  <w:style w:type="paragraph" w:styleId="8">
    <w:name w:val="heading 6"/>
    <w:basedOn w:val="1"/>
    <w:next w:val="1"/>
    <w:link w:val="25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5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5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53"/>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46"/>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semiHidden/>
    <w:qFormat/>
    <w:uiPriority w:val="0"/>
    <w:pPr>
      <w:ind w:left="1260"/>
      <w:jc w:val="left"/>
    </w:pPr>
    <w:rPr>
      <w:szCs w:val="21"/>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54"/>
    <w:semiHidden/>
    <w:qFormat/>
    <w:uiPriority w:val="0"/>
    <w:pPr>
      <w:shd w:val="clear" w:color="auto" w:fill="000080"/>
    </w:pPr>
    <w:rPr>
      <w:szCs w:val="21"/>
    </w:rPr>
  </w:style>
  <w:style w:type="paragraph" w:styleId="16">
    <w:name w:val="annotation text"/>
    <w:basedOn w:val="1"/>
    <w:link w:val="255"/>
    <w:unhideWhenUsed/>
    <w:qFormat/>
    <w:uiPriority w:val="0"/>
    <w:pPr>
      <w:jc w:val="left"/>
    </w:pPr>
  </w:style>
  <w:style w:type="paragraph" w:styleId="17">
    <w:name w:val="Body Text 3"/>
    <w:basedOn w:val="1"/>
    <w:link w:val="256"/>
    <w:qFormat/>
    <w:uiPriority w:val="0"/>
    <w:rPr>
      <w:rFonts w:ascii="仿宋_GB2312" w:hAnsi="Arial" w:eastAsia="仿宋_GB2312"/>
      <w:sz w:val="32"/>
      <w:szCs w:val="32"/>
    </w:rPr>
  </w:style>
  <w:style w:type="paragraph" w:styleId="18">
    <w:name w:val="Body Text"/>
    <w:basedOn w:val="1"/>
    <w:link w:val="257"/>
    <w:qFormat/>
    <w:uiPriority w:val="0"/>
    <w:rPr>
      <w:rFonts w:ascii="楷体_GB2312" w:hAnsi="Arial" w:eastAsia="楷体_GB2312"/>
      <w:sz w:val="28"/>
      <w:szCs w:val="28"/>
    </w:rPr>
  </w:style>
  <w:style w:type="paragraph" w:styleId="19">
    <w:name w:val="Body Text Indent"/>
    <w:basedOn w:val="1"/>
    <w:next w:val="20"/>
    <w:link w:val="258"/>
    <w:unhideWhenUsed/>
    <w:qFormat/>
    <w:uiPriority w:val="0"/>
    <w:pPr>
      <w:spacing w:after="120"/>
      <w:ind w:left="420"/>
    </w:pPr>
  </w:style>
  <w:style w:type="paragraph" w:styleId="20">
    <w:name w:val="envelope return"/>
    <w:basedOn w:val="1"/>
    <w:qFormat/>
    <w:uiPriority w:val="0"/>
    <w:rPr>
      <w:rFonts w:ascii="Arial" w:hAnsi="Arial"/>
    </w:rPr>
  </w:style>
  <w:style w:type="paragraph" w:styleId="21">
    <w:name w:val="List 2"/>
    <w:basedOn w:val="1"/>
    <w:qFormat/>
    <w:uiPriority w:val="0"/>
    <w:pPr>
      <w:ind w:left="100" w:hanging="200"/>
    </w:pPr>
    <w:rPr>
      <w:szCs w:val="21"/>
    </w:rPr>
  </w:style>
  <w:style w:type="paragraph" w:styleId="22">
    <w:name w:val="Block Text"/>
    <w:basedOn w:val="1"/>
    <w:unhideWhenUsed/>
    <w:qFormat/>
    <w:uiPriority w:val="0"/>
    <w:pPr>
      <w:spacing w:after="120"/>
      <w:ind w:left="1440"/>
    </w:pPr>
    <w:rPr>
      <w:rFonts w:hint="eastAsia"/>
    </w:rPr>
  </w:style>
  <w:style w:type="paragraph" w:styleId="23">
    <w:name w:val="index 4"/>
    <w:basedOn w:val="1"/>
    <w:next w:val="1"/>
    <w:qFormat/>
    <w:uiPriority w:val="99"/>
    <w:pPr>
      <w:widowControl/>
      <w:spacing w:before="160" w:after="160" w:line="240" w:lineRule="atLeast"/>
      <w:ind w:left="1260"/>
      <w:jc w:val="left"/>
    </w:pPr>
    <w:rPr>
      <w:rFonts w:cs="Arial"/>
      <w:szCs w:val="21"/>
    </w:rPr>
  </w:style>
  <w:style w:type="paragraph" w:styleId="24">
    <w:name w:val="toc 5"/>
    <w:basedOn w:val="1"/>
    <w:next w:val="1"/>
    <w:semiHidden/>
    <w:qFormat/>
    <w:uiPriority w:val="0"/>
    <w:pPr>
      <w:ind w:left="840"/>
      <w:jc w:val="left"/>
    </w:pPr>
    <w:rPr>
      <w:szCs w:val="21"/>
    </w:r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59"/>
    <w:qFormat/>
    <w:uiPriority w:val="0"/>
    <w:rPr>
      <w:rFonts w:ascii="宋体" w:hAnsi="Courier New" w:cs="Courier New"/>
      <w:szCs w:val="21"/>
    </w:rPr>
  </w:style>
  <w:style w:type="paragraph" w:styleId="27">
    <w:name w:val="toc 8"/>
    <w:basedOn w:val="1"/>
    <w:next w:val="1"/>
    <w:semiHidden/>
    <w:qFormat/>
    <w:uiPriority w:val="0"/>
    <w:pPr>
      <w:ind w:left="1470"/>
      <w:jc w:val="left"/>
    </w:pPr>
    <w:rPr>
      <w:szCs w:val="21"/>
    </w:rPr>
  </w:style>
  <w:style w:type="paragraph" w:styleId="28">
    <w:name w:val="Date"/>
    <w:basedOn w:val="1"/>
    <w:next w:val="1"/>
    <w:link w:val="260"/>
    <w:qFormat/>
    <w:uiPriority w:val="0"/>
    <w:rPr>
      <w:sz w:val="24"/>
      <w:szCs w:val="24"/>
    </w:rPr>
  </w:style>
  <w:style w:type="paragraph" w:styleId="29">
    <w:name w:val="Body Text Indent 2"/>
    <w:basedOn w:val="1"/>
    <w:link w:val="261"/>
    <w:qFormat/>
    <w:uiPriority w:val="0"/>
    <w:pPr>
      <w:ind w:left="630" w:firstLine="645"/>
    </w:pPr>
    <w:rPr>
      <w:rFonts w:ascii="Arial" w:hAnsi="Arial" w:eastAsia="仿宋_GB2312" w:cs="Arial"/>
      <w:sz w:val="32"/>
      <w:szCs w:val="32"/>
    </w:rPr>
  </w:style>
  <w:style w:type="paragraph" w:styleId="30">
    <w:name w:val="endnote text"/>
    <w:basedOn w:val="1"/>
    <w:link w:val="242"/>
    <w:semiHidden/>
    <w:unhideWhenUsed/>
    <w:qFormat/>
    <w:uiPriority w:val="99"/>
    <w:rPr>
      <w:sz w:val="20"/>
    </w:rPr>
  </w:style>
  <w:style w:type="paragraph" w:styleId="31">
    <w:name w:val="Balloon Text"/>
    <w:basedOn w:val="1"/>
    <w:link w:val="262"/>
    <w:semiHidden/>
    <w:qFormat/>
    <w:uiPriority w:val="0"/>
    <w:rPr>
      <w:sz w:val="18"/>
      <w:szCs w:val="18"/>
    </w:rPr>
  </w:style>
  <w:style w:type="paragraph" w:styleId="32">
    <w:name w:val="footer"/>
    <w:basedOn w:val="1"/>
    <w:link w:val="263"/>
    <w:qFormat/>
    <w:uiPriority w:val="0"/>
    <w:pPr>
      <w:tabs>
        <w:tab w:val="center" w:pos="4153"/>
        <w:tab w:val="right" w:pos="8306"/>
      </w:tabs>
      <w:jc w:val="left"/>
    </w:pPr>
    <w:rPr>
      <w:sz w:val="18"/>
      <w:szCs w:val="18"/>
    </w:rPr>
  </w:style>
  <w:style w:type="paragraph" w:styleId="33">
    <w:name w:val="header"/>
    <w:basedOn w:val="1"/>
    <w:link w:val="264"/>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rPr>
      <w:szCs w:val="21"/>
    </w:rPr>
  </w:style>
  <w:style w:type="paragraph" w:styleId="36">
    <w:name w:val="Subtitle"/>
    <w:basedOn w:val="1"/>
    <w:next w:val="1"/>
    <w:link w:val="108"/>
    <w:qFormat/>
    <w:uiPriority w:val="11"/>
    <w:pPr>
      <w:spacing w:before="200" w:after="200"/>
    </w:pPr>
    <w:rPr>
      <w:sz w:val="24"/>
      <w:szCs w:val="24"/>
    </w:rPr>
  </w:style>
  <w:style w:type="paragraph" w:styleId="37">
    <w:name w:val="List"/>
    <w:basedOn w:val="1"/>
    <w:qFormat/>
    <w:uiPriority w:val="0"/>
    <w:pPr>
      <w:ind w:left="200" w:hanging="200"/>
    </w:pPr>
    <w:rPr>
      <w:szCs w:val="21"/>
    </w:rPr>
  </w:style>
  <w:style w:type="paragraph" w:styleId="38">
    <w:name w:val="footnote text"/>
    <w:basedOn w:val="1"/>
    <w:link w:val="241"/>
    <w:semiHidden/>
    <w:unhideWhenUsed/>
    <w:qFormat/>
    <w:uiPriority w:val="99"/>
    <w:pPr>
      <w:spacing w:after="40"/>
    </w:pPr>
    <w:rPr>
      <w:sz w:val="18"/>
    </w:rPr>
  </w:style>
  <w:style w:type="paragraph" w:styleId="39">
    <w:name w:val="toc 6"/>
    <w:basedOn w:val="1"/>
    <w:next w:val="1"/>
    <w:semiHidden/>
    <w:qFormat/>
    <w:uiPriority w:val="0"/>
    <w:pPr>
      <w:ind w:left="1050"/>
      <w:jc w:val="left"/>
    </w:pPr>
    <w:rPr>
      <w:szCs w:val="21"/>
    </w:rPr>
  </w:style>
  <w:style w:type="paragraph" w:styleId="40">
    <w:name w:val="Body Text Indent 3"/>
    <w:basedOn w:val="1"/>
    <w:link w:val="265"/>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rPr>
      <w:szCs w:val="21"/>
    </w:r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rPr>
      <w:szCs w:val="21"/>
    </w:rPr>
  </w:style>
  <w:style w:type="paragraph" w:styleId="44">
    <w:name w:val="Body Text 2"/>
    <w:basedOn w:val="1"/>
    <w:link w:val="266"/>
    <w:qFormat/>
    <w:uiPriority w:val="0"/>
    <w:pPr>
      <w:widowControl/>
      <w:jc w:val="center"/>
    </w:pPr>
    <w:rPr>
      <w:rFonts w:ascii="楷体_GB2312" w:eastAsia="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szCs w:val="21"/>
    </w:rPr>
  </w:style>
  <w:style w:type="paragraph" w:styleId="47">
    <w:name w:val="Title"/>
    <w:basedOn w:val="1"/>
    <w:next w:val="1"/>
    <w:link w:val="107"/>
    <w:qFormat/>
    <w:uiPriority w:val="10"/>
    <w:pPr>
      <w:spacing w:before="300" w:after="200"/>
      <w:contextualSpacing/>
    </w:pPr>
    <w:rPr>
      <w:sz w:val="48"/>
      <w:szCs w:val="48"/>
    </w:rPr>
  </w:style>
  <w:style w:type="paragraph" w:styleId="48">
    <w:name w:val="annotation subject"/>
    <w:basedOn w:val="16"/>
    <w:next w:val="16"/>
    <w:link w:val="267"/>
    <w:semiHidden/>
    <w:qFormat/>
    <w:uiPriority w:val="0"/>
    <w:rPr>
      <w:b/>
      <w:bCs/>
      <w:szCs w:val="21"/>
    </w:rPr>
  </w:style>
  <w:style w:type="paragraph" w:styleId="49">
    <w:name w:val="Body Text First Indent"/>
    <w:basedOn w:val="1"/>
    <w:link w:val="268"/>
    <w:qFormat/>
    <w:uiPriority w:val="0"/>
    <w:pPr>
      <w:spacing w:line="360" w:lineRule="auto"/>
      <w:ind w:firstLine="200"/>
    </w:pPr>
    <w:rPr>
      <w:rFonts w:ascii="仿宋_GB2312" w:eastAsia="仿宋_GB2312"/>
      <w:sz w:val="30"/>
      <w:szCs w:val="30"/>
    </w:rPr>
  </w:style>
  <w:style w:type="paragraph" w:styleId="50">
    <w:name w:val="Body Text First Indent 2"/>
    <w:basedOn w:val="19"/>
    <w:link w:val="269"/>
    <w:qFormat/>
    <w:uiPriority w:val="0"/>
    <w:pPr>
      <w:spacing w:after="0" w:line="360" w:lineRule="auto"/>
      <w:ind w:left="0" w:firstLine="420"/>
    </w:pPr>
    <w:rPr>
      <w:rFonts w:ascii="宋体" w:hAnsi="宋体"/>
      <w:szCs w:val="20"/>
    </w:rPr>
  </w:style>
  <w:style w:type="table" w:styleId="52">
    <w:name w:val="Table Grid"/>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Hyperlink"/>
    <w:qFormat/>
    <w:uiPriority w:val="0"/>
    <w:rPr>
      <w:color w:val="0000FF"/>
      <w:u w:val="single"/>
    </w:rPr>
  </w:style>
  <w:style w:type="character" w:styleId="58">
    <w:name w:val="annotation reference"/>
    <w:semiHidden/>
    <w:qFormat/>
    <w:uiPriority w:val="0"/>
    <w:rPr>
      <w:sz w:val="21"/>
      <w:szCs w:val="21"/>
    </w:rPr>
  </w:style>
  <w:style w:type="character" w:styleId="59">
    <w:name w:val="footnote reference"/>
    <w:unhideWhenUsed/>
    <w:qFormat/>
    <w:uiPriority w:val="99"/>
    <w:rPr>
      <w:vertAlign w:val="superscript"/>
    </w:rPr>
  </w:style>
  <w:style w:type="table" w:customStyle="1" w:styleId="60">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Heading 3"/>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81">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customStyle="1" w:styleId="82">
    <w:name w:val="正文1"/>
    <w:basedOn w:val="83"/>
    <w:qFormat/>
    <w:uiPriority w:val="0"/>
    <w:pPr>
      <w:spacing w:line="400" w:lineRule="exact"/>
      <w:ind w:firstLine="420"/>
    </w:pPr>
    <w:rPr>
      <w:rFonts w:ascii="宋体" w:hAnsi="宋体"/>
      <w:szCs w:val="21"/>
    </w:rPr>
  </w:style>
  <w:style w:type="paragraph" w:customStyle="1" w:styleId="83">
    <w:name w:val="正文11"/>
    <w:next w:val="84"/>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84">
    <w:name w:val="文本块1"/>
    <w:basedOn w:val="83"/>
    <w:qFormat/>
    <w:uiPriority w:val="0"/>
    <w:pPr>
      <w:ind w:left="256" w:right="6" w:firstLine="624"/>
    </w:pPr>
    <w:rPr>
      <w:rFonts w:eastAsia="仿宋"/>
      <w:sz w:val="28"/>
    </w:rPr>
  </w:style>
  <w:style w:type="paragraph" w:customStyle="1" w:styleId="85">
    <w:name w:val="样式 标题 3 + (中文) 黑体 小四 非加粗 段前: 7.8 磅 段后: 0 磅 行距: 固定值 20 磅_0"/>
    <w:basedOn w:val="86"/>
    <w:qFormat/>
    <w:uiPriority w:val="0"/>
    <w:pPr>
      <w:spacing w:before="0" w:after="0" w:line="400" w:lineRule="exact"/>
    </w:pPr>
    <w:rPr>
      <w:rFonts w:ascii="Times New Roman" w:hAnsi="Times New Roman" w:eastAsia="黑体" w:cs="宋体"/>
      <w:b w:val="0"/>
      <w:bCs w:val="0"/>
      <w:sz w:val="21"/>
      <w:szCs w:val="20"/>
    </w:rPr>
  </w:style>
  <w:style w:type="paragraph" w:customStyle="1" w:styleId="86">
    <w:name w:val="标题 3_0"/>
    <w:basedOn w:val="87"/>
    <w:next w:val="88"/>
    <w:qFormat/>
    <w:uiPriority w:val="0"/>
    <w:pPr>
      <w:keepNext/>
      <w:keepLines/>
      <w:spacing w:before="260" w:after="260" w:line="416" w:lineRule="auto"/>
      <w:outlineLvl w:val="2"/>
    </w:pPr>
    <w:rPr>
      <w:rFonts w:eastAsia="宋体"/>
      <w:b/>
      <w:bCs/>
      <w:sz w:val="32"/>
      <w:szCs w:val="32"/>
    </w:rPr>
  </w:style>
  <w:style w:type="paragraph" w:customStyle="1" w:styleId="87">
    <w:name w:val="正文_0"/>
    <w:next w:val="50"/>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88">
    <w:name w:val="正文_1"/>
    <w:next w:val="50"/>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89">
    <w:name w:val="Title Char"/>
    <w:basedOn w:val="53"/>
    <w:qFormat/>
    <w:uiPriority w:val="10"/>
    <w:rPr>
      <w:sz w:val="48"/>
      <w:szCs w:val="48"/>
    </w:rPr>
  </w:style>
  <w:style w:type="character" w:customStyle="1" w:styleId="90">
    <w:name w:val="Subtitle Char"/>
    <w:basedOn w:val="53"/>
    <w:qFormat/>
    <w:uiPriority w:val="11"/>
    <w:rPr>
      <w:sz w:val="24"/>
      <w:szCs w:val="24"/>
    </w:rPr>
  </w:style>
  <w:style w:type="character" w:customStyle="1" w:styleId="91">
    <w:name w:val="Quote Char"/>
    <w:qFormat/>
    <w:uiPriority w:val="29"/>
    <w:rPr>
      <w:i/>
    </w:rPr>
  </w:style>
  <w:style w:type="character" w:customStyle="1" w:styleId="92">
    <w:name w:val="Intense Quote Char"/>
    <w:qFormat/>
    <w:uiPriority w:val="30"/>
    <w:rPr>
      <w:i/>
    </w:rPr>
  </w:style>
  <w:style w:type="character" w:customStyle="1" w:styleId="93">
    <w:name w:val="Footnote Text Char"/>
    <w:qFormat/>
    <w:uiPriority w:val="99"/>
    <w:rPr>
      <w:sz w:val="18"/>
    </w:rPr>
  </w:style>
  <w:style w:type="character" w:customStyle="1" w:styleId="94">
    <w:name w:val="Endnote Text Char"/>
    <w:qFormat/>
    <w:uiPriority w:val="99"/>
    <w:rPr>
      <w:sz w:val="20"/>
    </w:rPr>
  </w:style>
  <w:style w:type="paragraph" w:customStyle="1" w:styleId="95">
    <w:name w:val="TOC 标题1"/>
    <w:unhideWhenUsed/>
    <w:qFormat/>
    <w:uiPriority w:val="39"/>
    <w:rPr>
      <w:rFonts w:hint="default" w:ascii="Times New Roman" w:hAnsi="Times New Roman"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Heading 5 Char"/>
    <w:qFormat/>
    <w:uiPriority w:val="9"/>
    <w:rPr>
      <w:rFonts w:ascii="Arial" w:hAnsi="Arial" w:eastAsia="Arial" w:cs="Arial"/>
      <w:b/>
      <w:bCs/>
      <w:sz w:val="24"/>
      <w:szCs w:val="24"/>
    </w:rPr>
  </w:style>
  <w:style w:type="character" w:customStyle="1" w:styleId="101">
    <w:name w:val="Heading 6 Char"/>
    <w:qFormat/>
    <w:uiPriority w:val="9"/>
    <w:rPr>
      <w:rFonts w:ascii="Arial" w:hAnsi="Arial" w:eastAsia="Arial" w:cs="Arial"/>
      <w:b/>
      <w:bCs/>
      <w:sz w:val="22"/>
      <w:szCs w:val="22"/>
    </w:rPr>
  </w:style>
  <w:style w:type="character" w:customStyle="1" w:styleId="102">
    <w:name w:val="Heading 7 Char"/>
    <w:qFormat/>
    <w:uiPriority w:val="9"/>
    <w:rPr>
      <w:rFonts w:ascii="Arial" w:hAnsi="Arial" w:eastAsia="Arial" w:cs="Arial"/>
      <w:b/>
      <w:bCs/>
      <w:i/>
      <w:iCs/>
      <w:sz w:val="22"/>
      <w:szCs w:val="22"/>
    </w:rPr>
  </w:style>
  <w:style w:type="character" w:customStyle="1" w:styleId="103">
    <w:name w:val="Heading 8 Char"/>
    <w:qFormat/>
    <w:uiPriority w:val="9"/>
    <w:rPr>
      <w:rFonts w:ascii="Arial" w:hAnsi="Arial" w:eastAsia="Arial" w:cs="Arial"/>
      <w:i/>
      <w:iCs/>
      <w:sz w:val="22"/>
      <w:szCs w:val="22"/>
    </w:rPr>
  </w:style>
  <w:style w:type="character" w:customStyle="1" w:styleId="104">
    <w:name w:val="Heading 9 Char"/>
    <w:qFormat/>
    <w:uiPriority w:val="9"/>
    <w:rPr>
      <w:rFonts w:ascii="Arial" w:hAnsi="Arial" w:eastAsia="Arial" w:cs="Arial"/>
      <w:i/>
      <w:iCs/>
      <w:sz w:val="21"/>
      <w:szCs w:val="21"/>
    </w:rPr>
  </w:style>
  <w:style w:type="paragraph" w:styleId="105">
    <w:name w:val="List Paragraph"/>
    <w:basedOn w:val="1"/>
    <w:qFormat/>
    <w:uiPriority w:val="0"/>
    <w:pPr>
      <w:widowControl/>
      <w:ind w:left="720"/>
      <w:contextualSpacing/>
      <w:jc w:val="left"/>
    </w:pPr>
    <w:rPr>
      <w:rFonts w:ascii="Calibri" w:hAnsi="Calibri"/>
      <w:sz w:val="24"/>
      <w:szCs w:val="24"/>
      <w:lang w:eastAsia="en-US" w:bidi="en-US"/>
    </w:rPr>
  </w:style>
  <w:style w:type="paragraph" w:styleId="106">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107">
    <w:name w:val="标题 字符"/>
    <w:link w:val="47"/>
    <w:qFormat/>
    <w:uiPriority w:val="10"/>
    <w:rPr>
      <w:sz w:val="48"/>
      <w:szCs w:val="48"/>
    </w:rPr>
  </w:style>
  <w:style w:type="character" w:customStyle="1" w:styleId="108">
    <w:name w:val="副标题 字符"/>
    <w:link w:val="36"/>
    <w:qFormat/>
    <w:uiPriority w:val="11"/>
    <w:rPr>
      <w:sz w:val="24"/>
      <w:szCs w:val="24"/>
    </w:rPr>
  </w:style>
  <w:style w:type="paragraph" w:styleId="109">
    <w:name w:val="Quote"/>
    <w:basedOn w:val="1"/>
    <w:next w:val="1"/>
    <w:link w:val="110"/>
    <w:qFormat/>
    <w:uiPriority w:val="29"/>
    <w:pPr>
      <w:ind w:left="720" w:right="720"/>
    </w:pPr>
    <w:rPr>
      <w:i/>
    </w:rPr>
  </w:style>
  <w:style w:type="character" w:customStyle="1" w:styleId="110">
    <w:name w:val="引用 字符"/>
    <w:link w:val="109"/>
    <w:qFormat/>
    <w:uiPriority w:val="29"/>
    <w:rPr>
      <w:i/>
    </w:rPr>
  </w:style>
  <w:style w:type="paragraph" w:styleId="111">
    <w:name w:val="Intense Quote"/>
    <w:basedOn w:val="1"/>
    <w:next w:val="1"/>
    <w:link w:val="1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2">
    <w:name w:val="明显引用 字符"/>
    <w:link w:val="111"/>
    <w:qFormat/>
    <w:uiPriority w:val="30"/>
    <w:rPr>
      <w:i/>
    </w:rPr>
  </w:style>
  <w:style w:type="character" w:customStyle="1" w:styleId="113">
    <w:name w:val="Header Char"/>
    <w:qFormat/>
    <w:uiPriority w:val="99"/>
  </w:style>
  <w:style w:type="character" w:customStyle="1" w:styleId="114">
    <w:name w:val="Footer Char"/>
    <w:qFormat/>
    <w:uiPriority w:val="99"/>
  </w:style>
  <w:style w:type="character" w:customStyle="1" w:styleId="115">
    <w:name w:val="Caption Char"/>
    <w:qFormat/>
    <w:uiPriority w:val="99"/>
  </w:style>
  <w:style w:type="table" w:customStyle="1" w:styleId="11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9">
    <w:name w:val="无格式表格 31"/>
    <w:qFormat/>
    <w:uiPriority w:val="99"/>
    <w:tblPr>
      <w:tblCellMar>
        <w:top w:w="0" w:type="dxa"/>
        <w:left w:w="0" w:type="dxa"/>
        <w:bottom w:w="0" w:type="dxa"/>
        <w:right w:w="0" w:type="dxa"/>
      </w:tblCellMar>
    </w:tblPr>
  </w:style>
  <w:style w:type="table" w:customStyle="1" w:styleId="120">
    <w:name w:val="无格式表格 41"/>
    <w:qFormat/>
    <w:uiPriority w:val="99"/>
    <w:tblPr>
      <w:tblCellMar>
        <w:top w:w="0" w:type="dxa"/>
        <w:left w:w="0" w:type="dxa"/>
        <w:bottom w:w="0" w:type="dxa"/>
        <w:right w:w="0" w:type="dxa"/>
      </w:tblCellMar>
    </w:tblPr>
  </w:style>
  <w:style w:type="table" w:customStyle="1" w:styleId="121">
    <w:name w:val="无格式表格 51"/>
    <w:qFormat/>
    <w:uiPriority w:val="99"/>
    <w:tblPr>
      <w:tblCellMar>
        <w:top w:w="0" w:type="dxa"/>
        <w:left w:w="0" w:type="dxa"/>
        <w:bottom w:w="0" w:type="dxa"/>
        <w:right w:w="0" w:type="dxa"/>
      </w:tblCellMar>
    </w:tblPr>
  </w:style>
  <w:style w:type="table" w:customStyle="1" w:styleId="12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1">
    <w:name w:val="清单表 1 浅色1"/>
    <w:qFormat/>
    <w:uiPriority w:val="99"/>
    <w:tblPr>
      <w:tblCellMar>
        <w:top w:w="0" w:type="dxa"/>
        <w:left w:w="0" w:type="dxa"/>
        <w:bottom w:w="0" w:type="dxa"/>
        <w:right w:w="0" w:type="dxa"/>
      </w:tblCellMar>
    </w:tblPr>
  </w:style>
  <w:style w:type="table" w:customStyle="1" w:styleId="172">
    <w:name w:val="List Table 1 Light - Accent 1"/>
    <w:qFormat/>
    <w:uiPriority w:val="99"/>
    <w:tblPr>
      <w:tblCellMar>
        <w:top w:w="0" w:type="dxa"/>
        <w:left w:w="0" w:type="dxa"/>
        <w:bottom w:w="0" w:type="dxa"/>
        <w:right w:w="0" w:type="dxa"/>
      </w:tblCellMar>
    </w:tblPr>
  </w:style>
  <w:style w:type="table" w:customStyle="1" w:styleId="173">
    <w:name w:val="List Table 1 Light - Accent 2"/>
    <w:qFormat/>
    <w:uiPriority w:val="99"/>
    <w:tblPr>
      <w:tblCellMar>
        <w:top w:w="0" w:type="dxa"/>
        <w:left w:w="0" w:type="dxa"/>
        <w:bottom w:w="0" w:type="dxa"/>
        <w:right w:w="0" w:type="dxa"/>
      </w:tblCellMar>
    </w:tblPr>
  </w:style>
  <w:style w:type="table" w:customStyle="1" w:styleId="174">
    <w:name w:val="List Table 1 Light - Accent 3"/>
    <w:qFormat/>
    <w:uiPriority w:val="99"/>
    <w:tblPr>
      <w:tblCellMar>
        <w:top w:w="0" w:type="dxa"/>
        <w:left w:w="0" w:type="dxa"/>
        <w:bottom w:w="0" w:type="dxa"/>
        <w:right w:w="0" w:type="dxa"/>
      </w:tblCellMar>
    </w:tblPr>
  </w:style>
  <w:style w:type="table" w:customStyle="1" w:styleId="175">
    <w:name w:val="List Table 1 Light - Accent 4"/>
    <w:qFormat/>
    <w:uiPriority w:val="99"/>
    <w:tblPr>
      <w:tblCellMar>
        <w:top w:w="0" w:type="dxa"/>
        <w:left w:w="0" w:type="dxa"/>
        <w:bottom w:w="0" w:type="dxa"/>
        <w:right w:w="0" w:type="dxa"/>
      </w:tblCellMar>
    </w:tblPr>
  </w:style>
  <w:style w:type="table" w:customStyle="1" w:styleId="176">
    <w:name w:val="List Table 1 Light - Accent 5"/>
    <w:qFormat/>
    <w:uiPriority w:val="99"/>
    <w:tblPr>
      <w:tblCellMar>
        <w:top w:w="0" w:type="dxa"/>
        <w:left w:w="0" w:type="dxa"/>
        <w:bottom w:w="0" w:type="dxa"/>
        <w:right w:w="0" w:type="dxa"/>
      </w:tblCellMar>
    </w:tblPr>
  </w:style>
  <w:style w:type="table" w:customStyle="1" w:styleId="177">
    <w:name w:val="List Table 1 Light - Accent 6"/>
    <w:qFormat/>
    <w:uiPriority w:val="99"/>
    <w:tblPr>
      <w:tblCellMar>
        <w:top w:w="0" w:type="dxa"/>
        <w:left w:w="0" w:type="dxa"/>
        <w:bottom w:w="0" w:type="dxa"/>
        <w:right w:w="0" w:type="dxa"/>
      </w:tblCellMar>
    </w:tblPr>
  </w:style>
  <w:style w:type="table" w:customStyle="1" w:styleId="17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0">
    <w:name w:val="Lined - Accent"/>
    <w:qFormat/>
    <w:uiPriority w:val="99"/>
    <w:rPr>
      <w:color w:val="404040"/>
    </w:rPr>
    <w:tblPr>
      <w:tblCellMar>
        <w:top w:w="0" w:type="dxa"/>
        <w:left w:w="0" w:type="dxa"/>
        <w:bottom w:w="0" w:type="dxa"/>
        <w:right w:w="0" w:type="dxa"/>
      </w:tblCellMar>
    </w:tblPr>
  </w:style>
  <w:style w:type="table" w:customStyle="1" w:styleId="221">
    <w:name w:val="Lined - Accent 1"/>
    <w:qFormat/>
    <w:uiPriority w:val="99"/>
    <w:rPr>
      <w:color w:val="404040"/>
    </w:rPr>
    <w:tblPr>
      <w:tblCellMar>
        <w:top w:w="0" w:type="dxa"/>
        <w:left w:w="0" w:type="dxa"/>
        <w:bottom w:w="0" w:type="dxa"/>
        <w:right w:w="0" w:type="dxa"/>
      </w:tblCellMar>
    </w:tblPr>
  </w:style>
  <w:style w:type="table" w:customStyle="1" w:styleId="222">
    <w:name w:val="Lined - Accent 2"/>
    <w:qFormat/>
    <w:uiPriority w:val="99"/>
    <w:rPr>
      <w:color w:val="404040"/>
    </w:rPr>
    <w:tblPr>
      <w:tblCellMar>
        <w:top w:w="0" w:type="dxa"/>
        <w:left w:w="0" w:type="dxa"/>
        <w:bottom w:w="0" w:type="dxa"/>
        <w:right w:w="0" w:type="dxa"/>
      </w:tblCellMar>
    </w:tblPr>
  </w:style>
  <w:style w:type="table" w:customStyle="1" w:styleId="223">
    <w:name w:val="Lined - Accent 3"/>
    <w:qFormat/>
    <w:uiPriority w:val="99"/>
    <w:rPr>
      <w:color w:val="404040"/>
    </w:rPr>
    <w:tblPr>
      <w:tblCellMar>
        <w:top w:w="0" w:type="dxa"/>
        <w:left w:w="0" w:type="dxa"/>
        <w:bottom w:w="0" w:type="dxa"/>
        <w:right w:w="0" w:type="dxa"/>
      </w:tblCellMar>
    </w:tblPr>
  </w:style>
  <w:style w:type="table" w:customStyle="1" w:styleId="224">
    <w:name w:val="Lined - Accent 4"/>
    <w:qFormat/>
    <w:uiPriority w:val="99"/>
    <w:rPr>
      <w:color w:val="404040"/>
    </w:rPr>
    <w:tblPr>
      <w:tblCellMar>
        <w:top w:w="0" w:type="dxa"/>
        <w:left w:w="0" w:type="dxa"/>
        <w:bottom w:w="0" w:type="dxa"/>
        <w:right w:w="0" w:type="dxa"/>
      </w:tblCellMar>
    </w:tblPr>
  </w:style>
  <w:style w:type="table" w:customStyle="1" w:styleId="225">
    <w:name w:val="Lined - Accent 5"/>
    <w:qFormat/>
    <w:uiPriority w:val="99"/>
    <w:rPr>
      <w:color w:val="404040"/>
    </w:rPr>
    <w:tblPr>
      <w:tblCellMar>
        <w:top w:w="0" w:type="dxa"/>
        <w:left w:w="0" w:type="dxa"/>
        <w:bottom w:w="0" w:type="dxa"/>
        <w:right w:w="0" w:type="dxa"/>
      </w:tblCellMar>
    </w:tblPr>
  </w:style>
  <w:style w:type="table" w:customStyle="1" w:styleId="226">
    <w:name w:val="Lined - Accent 6"/>
    <w:qFormat/>
    <w:uiPriority w:val="99"/>
    <w:rPr>
      <w:color w:val="404040"/>
    </w:rPr>
    <w:tblPr>
      <w:tblCellMar>
        <w:top w:w="0" w:type="dxa"/>
        <w:left w:w="0" w:type="dxa"/>
        <w:bottom w:w="0" w:type="dxa"/>
        <w:right w:w="0" w:type="dxa"/>
      </w:tblCellMar>
    </w:tblPr>
  </w:style>
  <w:style w:type="table" w:customStyle="1" w:styleId="22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1">
    <w:name w:val="脚注文本 字符"/>
    <w:link w:val="38"/>
    <w:qFormat/>
    <w:uiPriority w:val="99"/>
    <w:rPr>
      <w:sz w:val="18"/>
    </w:rPr>
  </w:style>
  <w:style w:type="character" w:customStyle="1" w:styleId="242">
    <w:name w:val="尾注文本 字符"/>
    <w:link w:val="30"/>
    <w:qFormat/>
    <w:uiPriority w:val="99"/>
    <w:rPr>
      <w:sz w:val="20"/>
    </w:rPr>
  </w:style>
  <w:style w:type="paragraph" w:customStyle="1" w:styleId="243">
    <w:name w:val="TOC 标题11"/>
    <w:unhideWhenUsed/>
    <w:qFormat/>
    <w:uiPriority w:val="39"/>
    <w:rPr>
      <w:rFonts w:hint="default" w:ascii="Times New Roman" w:hAnsi="Times New Roman" w:eastAsia="宋体" w:cs="Times New Roman"/>
      <w:lang w:val="en-US" w:eastAsia="zh-CN" w:bidi="ar-SA"/>
    </w:rPr>
  </w:style>
  <w:style w:type="character" w:customStyle="1" w:styleId="244">
    <w:name w:val="标题 1 字符"/>
    <w:link w:val="2"/>
    <w:qFormat/>
    <w:uiPriority w:val="0"/>
    <w:rPr>
      <w:rFonts w:ascii="楷体_GB2312" w:hAnsi="Times New Roman" w:eastAsia="楷体_GB2312" w:cs="Times New Roman"/>
      <w:sz w:val="28"/>
      <w:szCs w:val="28"/>
    </w:rPr>
  </w:style>
  <w:style w:type="character" w:customStyle="1" w:styleId="245">
    <w:name w:val="标题 2 字符"/>
    <w:link w:val="3"/>
    <w:qFormat/>
    <w:uiPriority w:val="0"/>
    <w:rPr>
      <w:rFonts w:ascii="Arial" w:hAnsi="Arial" w:eastAsia="幼圆" w:cs="Arial"/>
      <w:b/>
      <w:bCs/>
      <w:sz w:val="44"/>
      <w:szCs w:val="44"/>
    </w:rPr>
  </w:style>
  <w:style w:type="character" w:customStyle="1" w:styleId="246">
    <w:name w:val="正文缩进 字符"/>
    <w:link w:val="5"/>
    <w:qFormat/>
    <w:uiPriority w:val="0"/>
    <w:rPr>
      <w:szCs w:val="21"/>
    </w:rPr>
  </w:style>
  <w:style w:type="character" w:customStyle="1" w:styleId="247">
    <w:name w:val="标题 3 字符"/>
    <w:link w:val="4"/>
    <w:qFormat/>
    <w:uiPriority w:val="0"/>
    <w:rPr>
      <w:rFonts w:ascii="Times New Roman" w:hAnsi="Times New Roman" w:eastAsia="宋体" w:cs="Times New Roman"/>
      <w:b/>
      <w:bCs/>
      <w:sz w:val="32"/>
      <w:szCs w:val="32"/>
    </w:rPr>
  </w:style>
  <w:style w:type="character" w:customStyle="1" w:styleId="248">
    <w:name w:val="标题 4 字符"/>
    <w:link w:val="6"/>
    <w:qFormat/>
    <w:uiPriority w:val="0"/>
    <w:rPr>
      <w:rFonts w:ascii="Arial" w:hAnsi="Arial" w:eastAsia="黑体" w:cs="Arial"/>
      <w:b/>
      <w:bCs/>
      <w:sz w:val="28"/>
      <w:szCs w:val="28"/>
    </w:rPr>
  </w:style>
  <w:style w:type="character" w:customStyle="1" w:styleId="249">
    <w:name w:val="标题 5 字符"/>
    <w:link w:val="7"/>
    <w:qFormat/>
    <w:uiPriority w:val="0"/>
    <w:rPr>
      <w:rFonts w:ascii="宋体" w:hAnsi="Times New Roman" w:eastAsia="宋体" w:cs="Times New Roman"/>
      <w:color w:val="000000"/>
      <w:sz w:val="28"/>
      <w:szCs w:val="28"/>
    </w:rPr>
  </w:style>
  <w:style w:type="character" w:customStyle="1" w:styleId="250">
    <w:name w:val="标题 6 字符"/>
    <w:link w:val="8"/>
    <w:qFormat/>
    <w:uiPriority w:val="0"/>
    <w:rPr>
      <w:rFonts w:ascii="Arial" w:hAnsi="Arial" w:eastAsia="黑体" w:cs="Times New Roman"/>
      <w:b/>
      <w:bCs/>
      <w:sz w:val="24"/>
      <w:szCs w:val="24"/>
    </w:rPr>
  </w:style>
  <w:style w:type="character" w:customStyle="1" w:styleId="251">
    <w:name w:val="标题 7 字符"/>
    <w:link w:val="9"/>
    <w:qFormat/>
    <w:uiPriority w:val="0"/>
    <w:rPr>
      <w:rFonts w:ascii="Times New Roman" w:hAnsi="Times New Roman" w:eastAsia="宋体" w:cs="Times New Roman"/>
      <w:b/>
      <w:bCs/>
      <w:sz w:val="24"/>
      <w:szCs w:val="24"/>
    </w:rPr>
  </w:style>
  <w:style w:type="character" w:customStyle="1" w:styleId="252">
    <w:name w:val="标题 8 字符"/>
    <w:link w:val="10"/>
    <w:qFormat/>
    <w:uiPriority w:val="0"/>
    <w:rPr>
      <w:rFonts w:ascii="Arial" w:hAnsi="Arial" w:eastAsia="黑体" w:cs="Times New Roman"/>
      <w:sz w:val="24"/>
      <w:szCs w:val="24"/>
    </w:rPr>
  </w:style>
  <w:style w:type="character" w:customStyle="1" w:styleId="253">
    <w:name w:val="标题 9 字符"/>
    <w:link w:val="11"/>
    <w:qFormat/>
    <w:uiPriority w:val="0"/>
    <w:rPr>
      <w:rFonts w:ascii="Arial" w:hAnsi="Arial" w:eastAsia="黑体" w:cs="Times New Roman"/>
      <w:szCs w:val="21"/>
    </w:rPr>
  </w:style>
  <w:style w:type="character" w:customStyle="1" w:styleId="254">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55">
    <w:name w:val="批注文字 字符"/>
    <w:basedOn w:val="53"/>
    <w:link w:val="16"/>
    <w:semiHidden/>
    <w:qFormat/>
    <w:uiPriority w:val="99"/>
  </w:style>
  <w:style w:type="character" w:customStyle="1" w:styleId="256">
    <w:name w:val="正文文本 3 字符"/>
    <w:link w:val="17"/>
    <w:qFormat/>
    <w:uiPriority w:val="0"/>
    <w:rPr>
      <w:rFonts w:ascii="仿宋_GB2312" w:hAnsi="Arial" w:eastAsia="仿宋_GB2312" w:cs="Times New Roman"/>
      <w:sz w:val="32"/>
      <w:szCs w:val="32"/>
    </w:rPr>
  </w:style>
  <w:style w:type="character" w:customStyle="1" w:styleId="257">
    <w:name w:val="正文文本 字符"/>
    <w:link w:val="18"/>
    <w:qFormat/>
    <w:uiPriority w:val="0"/>
    <w:rPr>
      <w:rFonts w:ascii="楷体_GB2312" w:hAnsi="Arial" w:eastAsia="楷体_GB2312" w:cs="Times New Roman"/>
      <w:sz w:val="28"/>
      <w:szCs w:val="28"/>
    </w:rPr>
  </w:style>
  <w:style w:type="character" w:customStyle="1" w:styleId="258">
    <w:name w:val="正文文本缩进 字符"/>
    <w:basedOn w:val="53"/>
    <w:link w:val="19"/>
    <w:semiHidden/>
    <w:qFormat/>
    <w:uiPriority w:val="99"/>
  </w:style>
  <w:style w:type="character" w:customStyle="1" w:styleId="259">
    <w:name w:val="纯文本 字符"/>
    <w:link w:val="26"/>
    <w:qFormat/>
    <w:uiPriority w:val="0"/>
    <w:rPr>
      <w:rFonts w:ascii="宋体" w:hAnsi="Courier New" w:eastAsia="宋体" w:cs="Courier New"/>
      <w:szCs w:val="21"/>
    </w:rPr>
  </w:style>
  <w:style w:type="character" w:customStyle="1" w:styleId="260">
    <w:name w:val="日期 字符"/>
    <w:link w:val="28"/>
    <w:qFormat/>
    <w:uiPriority w:val="0"/>
    <w:rPr>
      <w:rFonts w:ascii="Times New Roman" w:hAnsi="Times New Roman" w:eastAsia="宋体" w:cs="Times New Roman"/>
      <w:sz w:val="24"/>
      <w:szCs w:val="24"/>
    </w:rPr>
  </w:style>
  <w:style w:type="character" w:customStyle="1" w:styleId="261">
    <w:name w:val="正文文本缩进 2 字符"/>
    <w:link w:val="29"/>
    <w:qFormat/>
    <w:uiPriority w:val="0"/>
    <w:rPr>
      <w:rFonts w:ascii="Arial" w:hAnsi="Arial" w:eastAsia="仿宋_GB2312" w:cs="Arial"/>
      <w:sz w:val="32"/>
      <w:szCs w:val="32"/>
    </w:rPr>
  </w:style>
  <w:style w:type="character" w:customStyle="1" w:styleId="262">
    <w:name w:val="批注框文本 字符"/>
    <w:link w:val="31"/>
    <w:semiHidden/>
    <w:qFormat/>
    <w:uiPriority w:val="0"/>
    <w:rPr>
      <w:rFonts w:ascii="Times New Roman" w:hAnsi="Times New Roman" w:eastAsia="宋体" w:cs="Times New Roman"/>
      <w:sz w:val="18"/>
      <w:szCs w:val="18"/>
    </w:rPr>
  </w:style>
  <w:style w:type="character" w:customStyle="1" w:styleId="263">
    <w:name w:val="页脚 字符"/>
    <w:link w:val="32"/>
    <w:qFormat/>
    <w:uiPriority w:val="0"/>
    <w:rPr>
      <w:rFonts w:ascii="Times New Roman" w:hAnsi="Times New Roman" w:eastAsia="宋体" w:cs="Times New Roman"/>
      <w:sz w:val="18"/>
      <w:szCs w:val="18"/>
    </w:rPr>
  </w:style>
  <w:style w:type="character" w:customStyle="1" w:styleId="264">
    <w:name w:val="页眉 字符"/>
    <w:link w:val="33"/>
    <w:qFormat/>
    <w:uiPriority w:val="0"/>
    <w:rPr>
      <w:rFonts w:ascii="Times New Roman" w:hAnsi="Times New Roman" w:eastAsia="宋体" w:cs="Times New Roman"/>
      <w:sz w:val="18"/>
      <w:szCs w:val="18"/>
    </w:rPr>
  </w:style>
  <w:style w:type="character" w:customStyle="1" w:styleId="265">
    <w:name w:val="正文文本缩进 3 字符"/>
    <w:link w:val="40"/>
    <w:qFormat/>
    <w:uiPriority w:val="0"/>
    <w:rPr>
      <w:rFonts w:ascii="Arial" w:hAnsi="Arial" w:eastAsia="仿宋_GB2312" w:cs="Arial"/>
      <w:color w:val="FFFF00"/>
      <w:sz w:val="32"/>
      <w:szCs w:val="32"/>
    </w:rPr>
  </w:style>
  <w:style w:type="character" w:customStyle="1" w:styleId="266">
    <w:name w:val="正文文本 2 字符"/>
    <w:link w:val="44"/>
    <w:qFormat/>
    <w:uiPriority w:val="0"/>
    <w:rPr>
      <w:rFonts w:ascii="楷体_GB2312" w:hAnsi="Times New Roman" w:eastAsia="楷体_GB2312" w:cs="Times New Roman"/>
      <w:sz w:val="28"/>
      <w:szCs w:val="28"/>
    </w:rPr>
  </w:style>
  <w:style w:type="character" w:customStyle="1" w:styleId="267">
    <w:name w:val="批注主题 字符"/>
    <w:link w:val="48"/>
    <w:semiHidden/>
    <w:qFormat/>
    <w:uiPriority w:val="0"/>
    <w:rPr>
      <w:rFonts w:ascii="Times New Roman" w:hAnsi="Times New Roman" w:eastAsia="宋体" w:cs="Times New Roman"/>
      <w:b/>
      <w:bCs/>
      <w:szCs w:val="21"/>
    </w:rPr>
  </w:style>
  <w:style w:type="character" w:customStyle="1" w:styleId="268">
    <w:name w:val="正文文本首行缩进 字符"/>
    <w:link w:val="49"/>
    <w:qFormat/>
    <w:uiPriority w:val="0"/>
    <w:rPr>
      <w:rFonts w:ascii="仿宋_GB2312" w:hAnsi="Times New Roman" w:eastAsia="仿宋_GB2312" w:cs="Times New Roman"/>
      <w:sz w:val="30"/>
      <w:szCs w:val="30"/>
    </w:rPr>
  </w:style>
  <w:style w:type="character" w:customStyle="1" w:styleId="269">
    <w:name w:val="正文文本首行缩进 2 字符"/>
    <w:link w:val="50"/>
    <w:qFormat/>
    <w:uiPriority w:val="0"/>
    <w:rPr>
      <w:rFonts w:ascii="宋体" w:hAnsi="宋体" w:eastAsia="宋体" w:cs="Times New Roman"/>
      <w:szCs w:val="20"/>
    </w:rPr>
  </w:style>
  <w:style w:type="character" w:customStyle="1" w:styleId="270">
    <w:name w:val="已访问的超链接1"/>
    <w:qFormat/>
    <w:uiPriority w:val="0"/>
    <w:rPr>
      <w:color w:val="800080"/>
      <w:u w:val="single"/>
    </w:rPr>
  </w:style>
  <w:style w:type="character" w:customStyle="1" w:styleId="271">
    <w:name w:val="font5 Char"/>
    <w:qFormat/>
    <w:uiPriority w:val="0"/>
    <w:rPr>
      <w:rFonts w:ascii="宋体" w:hAnsi="宋体" w:eastAsia="宋体"/>
      <w:sz w:val="28"/>
      <w:szCs w:val="28"/>
      <w:lang w:val="en-US" w:eastAsia="zh-CN" w:bidi="ar-SA"/>
    </w:rPr>
  </w:style>
  <w:style w:type="character" w:customStyle="1" w:styleId="272">
    <w:name w:val="二级目录 Char"/>
    <w:link w:val="273"/>
    <w:qFormat/>
    <w:uiPriority w:val="0"/>
    <w:rPr>
      <w:b/>
      <w:sz w:val="30"/>
      <w:szCs w:val="28"/>
    </w:rPr>
  </w:style>
  <w:style w:type="paragraph" w:customStyle="1" w:styleId="273">
    <w:name w:val="二级目录"/>
    <w:next w:val="1"/>
    <w:link w:val="27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4">
    <w:name w:val="列出段落 Char"/>
    <w:link w:val="275"/>
    <w:qFormat/>
    <w:uiPriority w:val="0"/>
    <w:rPr>
      <w:rFonts w:ascii="Calibri" w:hAnsi="Calibri"/>
      <w:sz w:val="24"/>
      <w:szCs w:val="24"/>
      <w:lang w:eastAsia="en-US" w:bidi="en-US"/>
    </w:rPr>
  </w:style>
  <w:style w:type="paragraph" w:customStyle="1" w:styleId="275">
    <w:name w:val="列出段落1"/>
    <w:basedOn w:val="1"/>
    <w:link w:val="274"/>
    <w:qFormat/>
    <w:uiPriority w:val="0"/>
    <w:pPr>
      <w:widowControl/>
      <w:ind w:left="720"/>
      <w:contextualSpacing/>
      <w:jc w:val="left"/>
    </w:pPr>
    <w:rPr>
      <w:rFonts w:ascii="Calibri" w:hAnsi="Calibri"/>
      <w:sz w:val="24"/>
      <w:szCs w:val="24"/>
      <w:lang w:eastAsia="en-US" w:bidi="en-US"/>
    </w:rPr>
  </w:style>
  <w:style w:type="paragraph" w:customStyle="1" w:styleId="276">
    <w:name w:val="Body Text(ch)"/>
    <w:basedOn w:val="1"/>
    <w:next w:val="18"/>
    <w:qFormat/>
    <w:uiPriority w:val="0"/>
    <w:pPr>
      <w:spacing w:after="120"/>
    </w:pPr>
    <w:rPr>
      <w:rFonts w:ascii="宋体" w:hAnsi="Arial"/>
      <w:bCs/>
      <w:iCs/>
      <w:szCs w:val="24"/>
    </w:rPr>
  </w:style>
  <w:style w:type="paragraph" w:customStyle="1" w:styleId="2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9">
    <w:name w:val="Char"/>
    <w:basedOn w:val="1"/>
    <w:qFormat/>
    <w:uiPriority w:val="0"/>
    <w:pPr>
      <w:tabs>
        <w:tab w:val="left" w:pos="360"/>
      </w:tabs>
      <w:ind w:firstLine="200"/>
    </w:pPr>
    <w:rPr>
      <w:sz w:val="28"/>
      <w:szCs w:val="30"/>
    </w:rPr>
  </w:style>
  <w:style w:type="paragraph" w:customStyle="1" w:styleId="280">
    <w:name w:val="Char1"/>
    <w:basedOn w:val="15"/>
    <w:qFormat/>
    <w:uiPriority w:val="0"/>
    <w:rPr>
      <w:rFonts w:ascii="Tahoma" w:hAnsi="Tahoma"/>
      <w:sz w:val="24"/>
      <w:szCs w:val="24"/>
    </w:rPr>
  </w:style>
  <w:style w:type="paragraph" w:customStyle="1" w:styleId="28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2">
    <w:name w:val="table_lines"/>
    <w:basedOn w:val="1"/>
    <w:qFormat/>
    <w:uiPriority w:val="0"/>
    <w:pPr>
      <w:widowControl/>
      <w:jc w:val="left"/>
    </w:pPr>
    <w:rPr>
      <w:sz w:val="20"/>
      <w:szCs w:val="20"/>
      <w:lang w:val="de-DE" w:eastAsia="de-DE"/>
    </w:rPr>
  </w:style>
  <w:style w:type="paragraph" w:customStyle="1" w:styleId="283">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8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5">
    <w:name w:val="Char Char Char Char"/>
    <w:basedOn w:val="15"/>
    <w:qFormat/>
    <w:uiPriority w:val="0"/>
    <w:pPr>
      <w:spacing w:line="360" w:lineRule="auto"/>
    </w:pPr>
    <w:rPr>
      <w:rFonts w:ascii="Tahoma" w:hAnsi="Tahoma"/>
      <w:sz w:val="24"/>
      <w:szCs w:val="24"/>
    </w:rPr>
  </w:style>
  <w:style w:type="paragraph" w:customStyle="1" w:styleId="286">
    <w:name w:val="4"/>
    <w:basedOn w:val="1"/>
    <w:next w:val="40"/>
    <w:qFormat/>
    <w:uiPriority w:val="0"/>
    <w:pPr>
      <w:spacing w:line="360" w:lineRule="auto"/>
      <w:ind w:firstLine="420"/>
    </w:pPr>
    <w:rPr>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8">
    <w:name w:val="Char Char Char Char Char Char Char Char Char Char"/>
    <w:basedOn w:val="1"/>
    <w:qFormat/>
    <w:uiPriority w:val="0"/>
    <w:pPr>
      <w:spacing w:line="360" w:lineRule="auto"/>
    </w:pPr>
    <w:rPr>
      <w:sz w:val="24"/>
      <w:szCs w:val="20"/>
    </w:rPr>
  </w:style>
  <w:style w:type="paragraph" w:customStyle="1" w:styleId="289">
    <w:name w:val="样式1"/>
    <w:basedOn w:val="1"/>
    <w:qFormat/>
    <w:uiPriority w:val="0"/>
    <w:pPr>
      <w:numPr>
        <w:ilvl w:val="0"/>
        <w:numId w:val="3"/>
      </w:numPr>
    </w:pPr>
    <w:rPr>
      <w:rFonts w:ascii="宋体" w:hAnsi="宋体"/>
      <w:szCs w:val="21"/>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1"/>
    <w:basedOn w:val="15"/>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05">
    <w:name w:val="正文文本1"/>
    <w:basedOn w:val="1"/>
    <w:next w:val="1"/>
    <w:unhideWhenUsed/>
    <w:qFormat/>
    <w:uiPriority w:val="99"/>
    <w:pPr>
      <w:spacing w:after="120"/>
    </w:pPr>
  </w:style>
  <w:style w:type="paragraph" w:customStyle="1" w:styleId="306">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szCs w:val="24"/>
    </w:rPr>
  </w:style>
  <w:style w:type="paragraph" w:customStyle="1" w:styleId="307">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308">
    <w:name w:val="NormalCharacter1"/>
    <w:semiHidden/>
    <w:qFormat/>
    <w:uiPriority w:val="0"/>
  </w:style>
  <w:style w:type="paragraph" w:customStyle="1" w:styleId="309">
    <w:name w:val="正文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段"/>
    <w:next w:val="311"/>
    <w:qFormat/>
    <w:uiPriority w:val="99"/>
    <w:pPr>
      <w:ind w:firstLine="200"/>
      <w:jc w:val="both"/>
    </w:pPr>
    <w:rPr>
      <w:rFonts w:hint="default" w:ascii="宋体" w:hAnsi="Times New Roman" w:eastAsia="宋体" w:cs="Times New Roman"/>
      <w:sz w:val="22"/>
      <w:lang w:val="en-US" w:eastAsia="zh-CN" w:bidi="ar-SA"/>
    </w:rPr>
  </w:style>
  <w:style w:type="paragraph" w:customStyle="1" w:styleId="311">
    <w:name w:val="正文 A"/>
    <w:next w:val="310"/>
    <w:qFormat/>
    <w:uiPriority w:val="0"/>
    <w:pPr>
      <w:widowControl w:val="0"/>
      <w:jc w:val="both"/>
    </w:pPr>
    <w:rPr>
      <w:rFonts w:hint="default" w:ascii="Arial Unicode MS" w:hAnsi="Arial Unicode MS" w:eastAsia="Arial Unicode MS" w:cs="Arial Unicode MS"/>
      <w:color w:val="000000"/>
      <w:sz w:val="21"/>
      <w:szCs w:val="21"/>
      <w:lang w:val="en-US" w:eastAsia="zh-CN" w:bidi="ar-SA"/>
    </w:rPr>
  </w:style>
  <w:style w:type="character" w:customStyle="1" w:styleId="312">
    <w:name w:val="font21"/>
    <w:qFormat/>
    <w:uiPriority w:val="0"/>
    <w:rPr>
      <w:rFonts w:ascii="宋体" w:hAnsi="宋体" w:eastAsia="宋体" w:cs="宋体"/>
      <w:b/>
      <w:bCs/>
      <w:color w:val="000000"/>
      <w:sz w:val="14"/>
      <w:szCs w:val="14"/>
      <w:u w:val="none"/>
    </w:rPr>
  </w:style>
  <w:style w:type="character" w:customStyle="1" w:styleId="313">
    <w:name w:val="font31"/>
    <w:qFormat/>
    <w:uiPriority w:val="0"/>
    <w:rPr>
      <w:rFonts w:ascii="宋体" w:hAnsi="宋体" w:eastAsia="宋体" w:cs="宋体"/>
      <w:color w:val="000000"/>
      <w:sz w:val="14"/>
      <w:szCs w:val="14"/>
      <w:u w:val="none"/>
    </w:rPr>
  </w:style>
  <w:style w:type="paragraph" w:customStyle="1" w:styleId="314">
    <w:name w:val="TOC Heading1"/>
    <w:next w:val="1"/>
    <w:qFormat/>
    <w:uiPriority w:val="0"/>
    <w:rPr>
      <w:rFonts w:hint="default" w:ascii="Calibri" w:hAnsi="Calibri" w:eastAsia="宋体" w:cs="Times New Roman"/>
      <w:sz w:val="32"/>
      <w:lang w:val="en-US" w:eastAsia="zh-CN" w:bidi="ar-SA"/>
    </w:rPr>
  </w:style>
  <w:style w:type="paragraph" w:customStyle="1" w:styleId="315">
    <w:name w:val="BodyText1I21"/>
    <w:basedOn w:val="316"/>
    <w:qFormat/>
    <w:uiPriority w:val="0"/>
    <w:pPr>
      <w:spacing w:after="120" w:line="240" w:lineRule="auto"/>
      <w:ind w:left="420" w:firstLine="420"/>
    </w:pPr>
    <w:rPr>
      <w:rFonts w:ascii="Calibri" w:hAnsi="Calibri"/>
      <w:szCs w:val="22"/>
    </w:rPr>
  </w:style>
  <w:style w:type="paragraph" w:customStyle="1" w:styleId="316">
    <w:name w:val="BodyTextIndent1"/>
    <w:basedOn w:val="1"/>
    <w:next w:val="317"/>
    <w:qFormat/>
    <w:uiPriority w:val="0"/>
    <w:pPr>
      <w:spacing w:line="280" w:lineRule="atLeast"/>
      <w:ind w:firstLine="412"/>
    </w:pPr>
    <w:rPr>
      <w:rFonts w:ascii="Courier New" w:hAnsi="Courier New"/>
      <w:szCs w:val="20"/>
    </w:rPr>
  </w:style>
  <w:style w:type="paragraph" w:customStyle="1" w:styleId="317">
    <w:name w:val="EnvelopeReturn1"/>
    <w:basedOn w:val="1"/>
    <w:qFormat/>
    <w:uiPriority w:val="0"/>
    <w:rPr>
      <w:rFonts w:ascii="Arial" w:hAnsi="Arial"/>
      <w:szCs w:val="24"/>
    </w:rPr>
  </w:style>
  <w:style w:type="paragraph" w:customStyle="1" w:styleId="318">
    <w:name w:val="PlainText1"/>
    <w:basedOn w:val="1"/>
    <w:qFormat/>
    <w:uiPriority w:val="0"/>
    <w:rPr>
      <w:rFonts w:ascii="宋体" w:hAnsi="Courier New"/>
      <w:szCs w:val="21"/>
    </w:rPr>
  </w:style>
  <w:style w:type="character" w:customStyle="1" w:styleId="319">
    <w:name w:val="UserStyle_6"/>
    <w:basedOn w:val="308"/>
    <w:qFormat/>
    <w:uiPriority w:val="0"/>
  </w:style>
  <w:style w:type="character" w:customStyle="1" w:styleId="320">
    <w:name w:val="font41"/>
    <w:qFormat/>
    <w:uiPriority w:val="0"/>
    <w:rPr>
      <w:rFonts w:hint="eastAsia" w:ascii="宋体" w:hAnsi="宋体" w:eastAsia="宋体" w:cs="宋体"/>
      <w:color w:val="000000"/>
      <w:sz w:val="24"/>
      <w:szCs w:val="24"/>
      <w:u w:val="none"/>
    </w:rPr>
  </w:style>
  <w:style w:type="paragraph" w:customStyle="1" w:styleId="321">
    <w:name w:val="UserStyle_29"/>
    <w:next w:val="322"/>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322">
    <w:name w:val="UserStyle_30"/>
    <w:next w:val="321"/>
    <w:qFormat/>
    <w:uiPriority w:val="0"/>
    <w:pPr>
      <w:ind w:firstLine="200"/>
      <w:jc w:val="both"/>
    </w:pPr>
    <w:rPr>
      <w:rFonts w:hint="default" w:ascii="宋体" w:hAnsi="宋体" w:eastAsia="宋体" w:cs="Times New Roman"/>
      <w:color w:val="000000"/>
      <w:sz w:val="21"/>
      <w:szCs w:val="21"/>
      <w:lang w:val="en-US" w:eastAsia="zh-CN" w:bidi="ar-SA"/>
    </w:rPr>
  </w:style>
  <w:style w:type="character" w:customStyle="1" w:styleId="323">
    <w:name w:val="NormalCharacter"/>
    <w:semiHidden/>
    <w:qFormat/>
    <w:uiPriority w:val="0"/>
  </w:style>
  <w:style w:type="paragraph" w:customStyle="1" w:styleId="324">
    <w:name w:val="列出段落3"/>
    <w:basedOn w:val="1"/>
    <w:qFormat/>
    <w:uiPriority w:val="0"/>
    <w:pPr>
      <w:widowControl/>
      <w:ind w:firstLine="420"/>
    </w:pPr>
    <w:rPr>
      <w:rFonts w:ascii="Calibri" w:hAnsi="Calibri"/>
      <w:szCs w:val="20"/>
    </w:rPr>
  </w:style>
  <w:style w:type="paragraph" w:customStyle="1" w:styleId="325">
    <w:name w:val="foot-second"/>
    <w:basedOn w:val="1"/>
    <w:qFormat/>
    <w:uiPriority w:val="0"/>
    <w:pPr>
      <w:widowControl/>
      <w:spacing w:before="100" w:beforeAutospacing="1" w:after="100" w:afterAutospacing="1"/>
      <w:jc w:val="left"/>
    </w:pPr>
    <w:rPr>
      <w:rFonts w:ascii="宋体" w:hAnsi="宋体" w:cs="宋体"/>
      <w:sz w:val="24"/>
      <w:szCs w:val="24"/>
    </w:rPr>
  </w:style>
  <w:style w:type="character" w:customStyle="1" w:styleId="326">
    <w:name w:val="foot-second-space"/>
    <w:qFormat/>
    <w:uiPriority w:val="0"/>
  </w:style>
  <w:style w:type="paragraph" w:customStyle="1" w:styleId="327">
    <w:name w:val="正文首行缩进 21"/>
    <w:basedOn w:val="328"/>
    <w:qFormat/>
    <w:uiPriority w:val="0"/>
    <w:pPr>
      <w:ind w:firstLine="420"/>
    </w:pPr>
  </w:style>
  <w:style w:type="paragraph" w:customStyle="1" w:styleId="328">
    <w:name w:val="正文文本缩进1"/>
    <w:basedOn w:val="1"/>
    <w:qFormat/>
    <w:uiPriority w:val="0"/>
    <w:pPr>
      <w:spacing w:after="120"/>
      <w:ind w:left="420"/>
    </w:pPr>
  </w:style>
  <w:style w:type="paragraph" w:customStyle="1" w:styleId="32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30">
    <w:name w:val="页脚1"/>
    <w:basedOn w:val="1"/>
    <w:unhideWhenUsed/>
    <w:qFormat/>
    <w:uiPriority w:val="99"/>
    <w:pPr>
      <w:tabs>
        <w:tab w:val="center" w:pos="4153"/>
        <w:tab w:val="right" w:pos="8306"/>
      </w:tabs>
      <w:jc w:val="left"/>
    </w:pPr>
    <w:rPr>
      <w:sz w:val="18"/>
      <w:szCs w:val="18"/>
    </w:rPr>
  </w:style>
  <w:style w:type="paragraph" w:customStyle="1" w:styleId="331">
    <w:name w:val="正文 New New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2">
    <w:name w:val="标题 31"/>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333">
    <w:name w:val="普通(网站)12"/>
    <w:basedOn w:val="1"/>
    <w:unhideWhenUsed/>
    <w:qFormat/>
    <w:uiPriority w:val="0"/>
    <w:pPr>
      <w:widowControl/>
      <w:spacing w:before="100" w:beforeAutospacing="1" w:after="100" w:afterAutospacing="1"/>
      <w:jc w:val="left"/>
    </w:pPr>
    <w:rPr>
      <w:rFonts w:eastAsia="Times New Roman"/>
      <w:sz w:val="24"/>
    </w:rPr>
  </w:style>
  <w:style w:type="paragraph" w:customStyle="1" w:styleId="334">
    <w:name w:val="Normal_0_2"/>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5">
    <w:name w:val="Normal_21"/>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6">
    <w:name w:val="Normal_18"/>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7">
    <w:name w:val="彩色列表1"/>
    <w:basedOn w:val="1"/>
    <w:qFormat/>
    <w:uiPriority w:val="0"/>
    <w:pPr>
      <w:ind w:firstLine="420" w:firstLineChars="200"/>
    </w:pPr>
    <w:rPr>
      <w:szCs w:val="24"/>
    </w:rPr>
  </w:style>
  <w:style w:type="character" w:customStyle="1" w:styleId="338">
    <w:name w:val="UserStyle_28"/>
    <w:semiHidden/>
    <w:qFormat/>
    <w:uiPriority w:val="0"/>
  </w:style>
  <w:style w:type="paragraph" w:customStyle="1" w:styleId="339">
    <w:name w:val="_Style 3"/>
    <w:next w:val="40"/>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40">
    <w:name w:val="p17"/>
    <w:basedOn w:val="1"/>
    <w:qFormat/>
    <w:uiPriority w:val="0"/>
    <w:pPr>
      <w:ind w:firstLine="420"/>
    </w:pPr>
    <w:rPr>
      <w:rFonts w:ascii="Times New Roman" w:hAnsi="Times New Roman" w:eastAsia="宋体" w:cs="Times New Roman"/>
      <w:b/>
      <w:bCs/>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62</Pages>
  <Words>13816</Words>
  <Characters>14887</Characters>
  <TotalTime>0</TotalTime>
  <ScaleCrop>false</ScaleCrop>
  <LinksUpToDate>false</LinksUpToDate>
  <CharactersWithSpaces>15310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2023-03-16T18:13:00Z</dcterms:created>
  <dc:creator>赵国</dc:creator>
  <cp:lastModifiedBy>陈胖子</cp:lastModifiedBy>
  <cp:lastPrinted>2026-05-07T06:41:00Z</cp:lastPrinted>
  <dcterms:modified xsi:type="dcterms:W3CDTF">2026-05-09T06:58:46Z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4F235224C81A4319BD0AE6FF2E549B24_13</vt:lpwstr>
  </property>
  <property fmtid="{D5CDD505-2E9C-101B-9397-08002B2CF9AE}" pid="4" name="KSOTemplateDocerSaveRecord">
    <vt:lpwstr>eyJoZGlkIjoiNDY4YTEyMGQ2MzE4MDk0ZWNhMjA3ZDQ5MGZlNjJlZjQiLCJ1c2VySWQiOiI4MDA4ODQ5NjEifQ==</vt:lpwstr>
  </property>
</Properties>
</file>