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643"/>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项目名称：盐城市殡仪馆鲜花礼仪服务采购项目</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JSZC-320900-JSHX-G2026-0001</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盐城市殡仪馆</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2</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shd w:val="nil" w:color="auto"/>
      </w:pPr>
      <w:r>
        <w:rPr>
          <w:rFonts w:ascii="Calibri" w:hAnsi="Calibri" w:eastAsia="Calibri" w:cs="Calibri"/>
          <w:color w:val="000000"/>
          <w:sz w:val="24"/>
          <w:highlight w:val="none"/>
        </w:rPr>
        <w:br w:type="page" w:clear="all"/>
      </w:r>
      <w:r>
        <w:rPr>
          <w:rFonts w:ascii="Calibri" w:hAnsi="Calibri" w:eastAsia="Calibri" w:cs="Calibri"/>
          <w:color w:val="000000"/>
          <w:sz w:val="24"/>
          <w:highlight w:val="none"/>
        </w:rPr>
      </w:r>
      <w:r/>
    </w:p>
    <w:p>
      <w:pPr>
        <w:ind w:left="0" w:right="0" w:firstLine="0"/>
        <w:jc w:val="center"/>
        <w:spacing w:before="120" w:after="120" w:line="85" w:lineRule="atLeast"/>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w:t>
      </w:r>
      <w:r>
        <w:rPr>
          <w:rFonts w:ascii="SimSun" w:hAnsi="SimSun" w:eastAsia="SimSun" w:cs="SimSun"/>
          <w:b/>
          <w:color w:val="000000"/>
          <w:sz w:val="44"/>
        </w:rPr>
        <w:t xml:space="preserve"> </w:t>
      </w:r>
      <w:r>
        <w:rPr>
          <w:rFonts w:ascii="SimHei" w:hAnsi="SimHei" w:eastAsia="SimHei" w:cs="SimHei"/>
          <w:b/>
          <w:color w:val="000000"/>
          <w:sz w:val="44"/>
        </w:rPr>
        <w:t xml:space="preserve">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招标公告……………………………………3</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投标人须知…………………………………8</w:t>
      </w:r>
      <w:r>
        <w:rPr>
          <w:rFonts w:ascii="SimSun" w:hAnsi="SimSun" w:eastAsia="SimSun" w:cs="SimSun"/>
          <w:color w:val="000000"/>
          <w:sz w:val="36"/>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合同文本……………………………………24</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采购需求……………………………………31</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评标方法与评标标准………………………38</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投标文件格式………………………………41</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hd w:val="nil" w:color="auto"/>
        <w:rPr>
          <w:rFonts w:ascii="Calibri" w:hAnsi="Calibri" w:eastAsia="Calibri" w:cs="Calibri"/>
          <w:sz w:val="24"/>
          <w:szCs w:val="24"/>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盐城市殡仪馆鲜花礼仪服务采购项目</w:t>
      </w:r>
      <w:r>
        <w:rPr>
          <w:rFonts w:ascii="SimSun" w:hAnsi="SimSun" w:eastAsia="SimSun" w:cs="SimSun"/>
          <w:color w:val="000000"/>
          <w:sz w:val="24"/>
        </w:rPr>
        <w:t xml:space="preserve">招标项目的潜在投标人可在</w:t>
      </w:r>
      <w:r>
        <w:rPr>
          <w:rFonts w:ascii="SimSun" w:hAnsi="SimSun" w:eastAsia="SimSun" w:cs="SimSun"/>
          <w:color w:val="333333"/>
          <w:sz w:val="24"/>
          <w:highlight w:val="white"/>
        </w:rPr>
        <w:t xml:space="preserve">“苏采云”系统内免费下载（投标人必须在苏采云系统中获取采购文件，方能参与政府采购项目）</w:t>
      </w:r>
      <w:r>
        <w:rPr>
          <w:rFonts w:ascii="SimSun" w:hAnsi="SimSun" w:eastAsia="SimSun" w:cs="SimSun"/>
          <w:color w:val="000000"/>
          <w:sz w:val="24"/>
        </w:rPr>
        <w:t xml:space="preserve">，并于</w:t>
      </w:r>
      <w:r>
        <w:rPr>
          <w:rFonts w:ascii="SimSun" w:hAnsi="SimSun" w:eastAsia="SimSun" w:cs="SimSun"/>
          <w:color w:val="000000"/>
          <w:sz w:val="24"/>
          <w:u w:val="single"/>
        </w:rPr>
        <w:t xml:space="preserve">2026年2月27日9点00分（</w:t>
      </w:r>
      <w:r>
        <w:rPr>
          <w:rFonts w:ascii="SimSun" w:hAnsi="SimSun" w:eastAsia="SimSun" w:cs="SimSun"/>
          <w:color w:val="000000"/>
          <w:sz w:val="24"/>
        </w:rPr>
        <w:t xml:space="preserve">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1.项目编号：JSZC-320900-JSHX-G2026-0001</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2.项目名称：盐城市殡仪馆鲜花礼仪服务采购项目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3.采购方式：公开招标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4.预算金</w:t>
      </w:r>
      <w:r>
        <w:rPr>
          <w:rFonts w:ascii="SimSun" w:hAnsi="SimSun" w:eastAsia="SimSun" w:cs="SimSun"/>
          <w:color w:val="000000"/>
          <w:sz w:val="24"/>
        </w:rPr>
        <w:t xml:space="preserve">额：</w:t>
      </w:r>
      <w:r>
        <w:rPr>
          <w:rFonts w:ascii="SimSun" w:hAnsi="SimSun" w:eastAsia="SimSun" w:cs="SimSun"/>
          <w:i/>
          <w:color w:val="000000"/>
          <w:sz w:val="24"/>
          <w:u w:val="single"/>
        </w:rPr>
        <w:t xml:space="preserve">210万元/三年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5.最高限价（如有）：</w:t>
      </w:r>
      <w:r>
        <w:rPr>
          <w:rFonts w:ascii="SimSun" w:hAnsi="SimSun" w:eastAsia="SimSun" w:cs="SimSun"/>
          <w:i/>
          <w:color w:val="000000"/>
          <w:sz w:val="24"/>
          <w:u w:val="single"/>
        </w:rPr>
        <w:t xml:space="preserve">本项目按优惠率报价，最低优惠率为50%（成交供应商对鲜花礼仪服务总收入的分成比例为（1-中标优惠率），以鲜花礼仪服务采购项目实际到账收入为基数）。</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简介）：每日不少于5名工作人员（严格按照投标时提供的名单安排，未经采购人同意不得更改，否则作违约处理，采购人有权终止合同，一切责任由成交供应商承担）。根据采购人要求在告别厅和守灵厅为采购人提供鲜花礼仪服务。具体包含在告别厅及守灵厅提供告别围花采购与布置、司仪主持、门头免费布置、遗体核对与清运、服务区域卫生保洁、LED屏幕及音响设备操作、哀乐播放、丧属引导及便民服务（提供一次性纸杯、倒水等）等。每日至少准备3套围花备用,每套围花必须使用不低于600支鲜花，且鲜花（以菊花为基础占比不低于90%，百</w:t>
      </w:r>
      <w:r>
        <w:rPr>
          <w:rFonts w:ascii="SimSun" w:hAnsi="SimSun" w:eastAsia="SimSun" w:cs="SimSun"/>
          <w:color w:val="000000"/>
          <w:sz w:val="24"/>
        </w:rPr>
        <w:t xml:space="preserve">合、玫瑰、康乃馨点缀），花材新鲜，花朵之间的间隔小于lcm，围花插摆式样符合采购人要求；每日采购人经营场所的卫生保洁、确保采购人和丧户财产及人身安全等，采购人有调整以上服务内容的权利。其他需要的服务项目双方再约定。（详细内容见本招标文件第四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w:t>
      </w:r>
      <w:r>
        <w:rPr>
          <w:rFonts w:ascii="SimSun" w:hAnsi="SimSun" w:eastAsia="SimSun" w:cs="SimSun"/>
          <w:i/>
          <w:color w:val="000000"/>
          <w:sz w:val="24"/>
          <w:u w:val="single"/>
        </w:rPr>
        <w:t xml:space="preserve">三年或服务期内成交供应商鲜花礼仪服务总收入达到本项目预算金额（210万元）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8.本项目（是/否）接受联合体参与招标：否</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1.2上一年度的财务状况报告（上一年度的财务状况报表2025年度报表未出的，可使用2024年度报表，财务状况报表至少包含利润表、资产负债表、现金流量表，成立不满一年无需提供）。</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本项目专门面向中小企业采购。采购标的的所属行业为</w:t>
      </w:r>
      <w:r>
        <w:rPr>
          <w:rFonts w:ascii="SimSun" w:hAnsi="SimSun" w:eastAsia="SimSun" w:cs="SimSun"/>
          <w:b/>
          <w:color w:val="000000"/>
          <w:sz w:val="24"/>
          <w:u w:val="single"/>
        </w:rPr>
        <w:t xml:space="preserve">其他未列明行业</w:t>
      </w:r>
      <w:r>
        <w:rPr>
          <w:rFonts w:ascii="SimSun" w:hAnsi="SimSun" w:eastAsia="SimSun" w:cs="SimSun"/>
          <w:b/>
          <w:color w:val="000000"/>
          <w:sz w:val="24"/>
        </w:rPr>
        <w:t xml:space="preserve">，供应商需按照招标文件的要求提供相应的《中小企业声明函》。企业标准请参照《关于印发中小企业划型标准规定的通知》（工信部联企业〔2011〕300号）文件规定自行填写。</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1.时间：2026年2月</w:t>
      </w:r>
      <w:r>
        <w:rPr>
          <w:rFonts w:ascii="SimSun" w:hAnsi="SimSun" w:eastAsia="SimSun" w:cs="SimSun"/>
          <w:color w:val="000000"/>
          <w:sz w:val="24"/>
          <w:u w:val="single"/>
        </w:rPr>
        <w:t xml:space="preserve">27</w:t>
      </w:r>
      <w:r>
        <w:rPr>
          <w:rFonts w:ascii="SimSun" w:hAnsi="SimSun" w:eastAsia="SimSun" w:cs="SimSun"/>
          <w:color w:val="000000"/>
          <w:sz w:val="24"/>
        </w:rPr>
        <w:t xml:space="preserve">日9点00分（北京时间）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56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3.有关本次招标的事项若存在变动或修改，敬请及时关注采购人在“中国政府采购网”“江苏政府采购网”“盐城市政府采购网”发布的更正公告。</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4.本次招标不收取投标保证金，不收取质量保证金。</w:t>
      </w:r>
      <w:r/>
      <w:r>
        <w:rPr>
          <w:rFonts w:ascii="SimSun" w:hAnsi="SimSun" w:eastAsia="SimSun" w:cs="SimSun"/>
          <w:color w:val="000000"/>
          <w:sz w:val="24"/>
        </w:rPr>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采购人信息</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名称：盐城市殡仪馆</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地址：盐城市亭湖区新兴镇新永村七组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联系人：廖先生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联系方式：0515-69086208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名称：江苏和信工程咨询有限公司</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地址：盐城市长亭路3号长亭商厦1号楼南楼601室</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联系人：陈浩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联系方式：19962390699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项目联系方式</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项目联系人：陈浩</w:t>
      </w:r>
      <w:r/>
    </w:p>
    <w:p>
      <w:pPr>
        <w:ind w:left="0" w:right="0" w:firstLine="56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话：19962390699</w:t>
      </w:r>
      <w:r/>
    </w:p>
    <w:p>
      <w:pPr>
        <w:shd w:val="nil" w:color="auto"/>
        <w:rPr>
          <w:rFonts w:ascii="Calibri" w:hAnsi="Calibri" w:eastAsia="Calibri" w:cs="Calibri"/>
          <w:sz w:val="21"/>
          <w:szCs w:val="21"/>
        </w:rPr>
      </w:pPr>
      <w:r>
        <w:rPr>
          <w:rFonts w:ascii="SimHei" w:hAnsi="SimHei" w:eastAsia="SimHei" w:cs="SimHei"/>
          <w:b/>
          <w:color w:val="000000"/>
          <w:sz w:val="44"/>
          <w:highlight w:val="none"/>
        </w:rPr>
        <w:br w:type="page" w:clear="all"/>
      </w:r>
      <w:r>
        <w:rPr>
          <w:rFonts w:ascii="SimHei" w:hAnsi="SimHei" w:eastAsia="SimHei" w:cs="SimHei"/>
          <w:b/>
          <w:color w:val="000000"/>
          <w:sz w:val="44"/>
          <w:highlight w:val="none"/>
        </w:rPr>
      </w:r>
      <w:r/>
    </w:p>
    <w:p>
      <w:pPr>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4.1投标人应自行承担所有与参加投标有关的费用，无论投标过程中的做法和结果如何，采购人在任何情况下均无义务和责任承担这些费用。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4.2本项目中标服务费根据代理合同约定的参照《江苏省招标代理服务收费的指导意见》（苏招协[2022]002号文件规定的标准费率的收取代理服务费（金额：5890元），由采购人支付。</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4.3本次采购人不收取标书工本费与中标服务费。</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招标文件的约束力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请仔细检查招标文件是否齐全，如有缺漏请立即与采购人联系解决。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8.1在投标截止时间前，采购人可以对招标文件进行修改。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8.2采购人有权按照法定的要求推迟投标截止日期和开标日期。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中国政府采购网”“江苏政府采购网”“盐城市政府采购网”发布的招标文件不一致，请以</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11.1投标人应按照法律、法规、规章和规范性文件以及招标文件要求提交证明文件，证明其及投标标的符合招标文件规定。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rPr>
          <w:rFonts w:ascii="SimSun" w:hAnsi="SimSun" w:eastAsia="SimSun" w:cs="SimSun"/>
          <w:color w:val="000000"/>
          <w:sz w:val="24"/>
          <w:u w:val="none"/>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分项报价表，不仅应包括所有人员的工资、休息日及法定节假日加班费、社保、公积金、福利费，还应包括：管理、劳务、培训、风险、税金、合理利润及政策性文件规定等各项应有费用，以及为完成招标文件规定的服务工作所涉及的一切相关费用。</w:t>
      </w:r>
      <w:r/>
    </w:p>
    <w:p>
      <w:pPr>
        <w:numPr>
          <w:ilvl w:val="0"/>
          <w:numId w:val="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所有人员的工作服装（分不同季节，与采购人工作人员服装统一）、告别、守灵围花、司仪、门头装饰、遗体清运及核对、服务区域卫生保洁等由供应商购置并承担费用。</w:t>
      </w:r>
      <w:r/>
    </w:p>
    <w:p>
      <w:pPr>
        <w:numPr>
          <w:ilvl w:val="0"/>
          <w:numId w:val="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各供应商自行根据采购人提供的服务内容、招标文件及答疑文件等资料要求，并根据市场行情、结合自身公司实力、管理水平等因素，按要求进行报价。</w:t>
      </w:r>
      <w:r/>
    </w:p>
    <w:p>
      <w:pPr>
        <w:numPr>
          <w:ilvl w:val="0"/>
          <w:numId w:val="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服务人员须服从采购人管理，采购人安排的短期加班或活动不另行增加费用。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按照盐城市最低工资、社保、公积金及最低法定加班费标准测算最低用工成本（不含税），参照当前标准：月工资不低于2430元/人（2026年1月执行），五险（养老保险金、医疗保险金、工伤保险金、生育保险金、失业保险金）缴费基数不低于4952元/月，住房公积金缴费基数不低于2260元/月、比例不低于5%。供应商需考虑全年每天提供5人上班，需按规定测算休息日及法定节假日加班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仅有5人，按照本项目需求5人均需全年无休，极限情况下年用工成本（不含税）应不低于7.22万元/人（基本工资29160元、休息日加班班=小时工资13.9655元*104天*8小时/天*200%=23237.25元、法定节假日加班费=小时工资*11天*8小时/天*300%=3686.89元、企业部分社保费用=4952*24.9%*12月=14796.58元，企业部分公积金费用=2260*5%*12月=1356元），5人年成本应不低于36.1万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提供6人，按照每日5人上班，年用工成本（不含税）应不低于5.29万元/人（基本工资29160元、休息日加班班=小时工资13.9655元*43天（估算）*8小时/天*200%=3845.44元、法定节假日加班费=小时工资*11天*8小时/天*300%=3686.89元、企业部分社保费用=4952*24.9%*12月=14796.58元，企业部分公积金费用=2260*5%*12月=1356元），6人年成本不低于31.71万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供应商所提供人员的费用不得低于上述标准进行测算，否则视为未实质性响应招标文件要求。</w:t>
      </w:r>
      <w:r>
        <w:rPr>
          <w:rFonts w:ascii="SimSun" w:hAnsi="SimSun" w:eastAsia="SimSun" w:cs="SimSun"/>
          <w:color w:val="000000"/>
          <w:sz w:val="24"/>
        </w:rPr>
        <w:t xml:space="preserve">如果招标公告发布之后开标前遇政府调整职工最低工资标准或社会保险缴纳基数，评标委员会进行符合性审查时可仍按上述标准审查，中标后，成交供应商应按照最新政策文件规定执行。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12.5供应商根据招标内容的要求准确报价，一经报出，不得更改。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报价的单位为百分比（%）。如果未能按合同、招标文件、响应文件履约的，终止合同，履约保证金不予退还，并不支付服务期间的鲜花礼仪服务费用。招标方有权终止合同的履行，受托单位应承担相应的完全责任，包括赔偿因此而给本单位及第三人带来的相应损失。合同期满并完成与后续鲜花礼仪服务企业的衔接后，方可退出，经本单位验收合格，退出本服务时必须向本单位移交全套档案等资料，同时退还履约保证金余额。</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12.7对于超出招标文件的其他临时性服务项目，由甲乙双方协商解决。</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17.1电子投标文件的递交</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jc w:val="both"/>
        <w:spacing w:before="280" w:after="29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20.2投标文件的修改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22.1开标后，采购人将立即组织评标委员会（以下简称评委会）进行评标。</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22.3评委会独立工作，负责评审所有投标文件并确定中标候选人。</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23.1凡是与审查、澄清、评价和比较投标的有关资料以及授标建议等，采购人、评委均不得向投标人或与评标无关的其他人员透露。</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23.3采购人和评标委员会不向未中标的投标人解释未中标原因，也不公布评标过程中的相关细节。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24.3接到评委会澄清、说明和补正要求的投标人如未按规定作出澄清、说明和补正，其风险由投标人自行承担。</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25.6投标人在开、评标全过程中应保持通信畅通，及时登录苏采云系统查阅、答复相关信息，并安排专人与采购人及评标委员会联系。</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ascii="SimSun" w:hAnsi="SimSun" w:eastAsia="SimSun" w:cs="SimSun"/>
          <w:color w:val="000000"/>
          <w:sz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4"/>
        </w:rPr>
      </w:r>
      <w:r>
        <w:rPr>
          <w:rFonts w:ascii="SimSun" w:hAnsi="SimSun" w:eastAsia="SimSun" w:cs="SimSun"/>
          <w:color w:val="000000"/>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26.3投标截止时间结束后参加投标的供应商不足三家的处理：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27.3采购人将在“中国政府采购网”“江苏政府采购网”“盐城市政府采购网”发布中标公告，公告期限为1个工作日。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27.5</w:t>
      </w:r>
      <w:r>
        <w:rPr>
          <w:rFonts w:ascii="SimSun" w:hAnsi="SimSun" w:eastAsia="SimSun" w:cs="SimSun"/>
          <w:color w:val="000000"/>
          <w:sz w:val="24"/>
        </w:rPr>
        <w:t xml:space="preserve">有下列情形之一的，视为投标人串通投标，投标无效：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采购人及代理机构只接收以纸质原件形式送达的质疑,采购人和代理机构不接受未填写快递运单的快件。质疑接收联系地址：盐城市亭湖区长亭路3号长亭商厦1号楼南楼601室，联系电话：19962390699。</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（备注：项目经办人在发标前应与采购人商定是否允许中标人分包履行合同，确定后该备注删除）</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w:t>
      </w:r>
      <w:r>
        <w:rPr>
          <w:rFonts w:ascii="SimSun" w:hAnsi="SimSun" w:eastAsia="SimSun" w:cs="SimSun"/>
          <w:color w:val="000000"/>
          <w:sz w:val="24"/>
        </w:rPr>
        <w:t xml:space="preserve">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32.3.6.1安置的残疾人占本单位在职职工人数的比例不低于25%（含25%），并且安置的残疾人人数不少于10人（含10人）；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33.预付款制度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shd w:val="nil" w:color="auto"/>
        <w:rPr>
          <w:rFonts w:ascii="Calibri" w:hAnsi="Calibri" w:eastAsia="Calibri" w:cs="Calibri"/>
          <w:sz w:val="21"/>
          <w:szCs w:val="21"/>
        </w:rPr>
      </w:pPr>
      <w:r>
        <w:rPr>
          <w:rFonts w:ascii="SimHei" w:hAnsi="SimHei" w:eastAsia="SimHei" w:cs="SimHei"/>
          <w:color w:val="000000"/>
          <w:sz w:val="24"/>
          <w:highlight w:val="none"/>
        </w:rPr>
        <w:br w:type="page" w:clear="all"/>
      </w:r>
      <w:r>
        <w:rPr>
          <w:rFonts w:ascii="SimHei" w:hAnsi="SimHei" w:eastAsia="SimHei" w:cs="SimHei"/>
          <w:color w:val="000000"/>
          <w:sz w:val="24"/>
          <w:highlight w:val="none"/>
        </w:rPr>
      </w:r>
      <w:r/>
    </w:p>
    <w:p>
      <w:pPr>
        <w:ind w:left="0" w:right="0" w:firstLine="0"/>
        <w:jc w:val="center"/>
        <w:spacing w:before="0" w:after="0" w:line="499" w:lineRule="atLeast"/>
        <w:rPr>
          <w:rFonts w:ascii="SimHei" w:hAnsi="SimHei" w:eastAsia="SimHei" w:cs="SimHei"/>
          <w:color w:val="000000"/>
          <w:sz w:val="24"/>
          <w:szCs w:val="2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第三章</w:t>
      </w:r>
      <w:r>
        <w:rPr>
          <w:rFonts w:ascii="SimSun" w:hAnsi="SimSun" w:eastAsia="SimSun" w:cs="SimSun"/>
          <w:color w:val="000000"/>
          <w:sz w:val="24"/>
        </w:rPr>
        <w:t xml:space="preserve"> </w:t>
      </w:r>
      <w:r>
        <w:rPr>
          <w:rFonts w:ascii="SimHei" w:hAnsi="SimHei" w:eastAsia="SimHei" w:cs="SimHei"/>
          <w:color w:val="000000"/>
          <w:sz w:val="24"/>
        </w:rPr>
        <w:t xml:space="preserve">合同文本</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项目名称：盐城市殡仪馆鲜花礼仪服务采购项目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盐城市殡仪馆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盐城市殡仪馆鲜花礼仪服务采购项目</w:t>
      </w:r>
      <w:r>
        <w:rPr>
          <w:rFonts w:ascii="SimSun" w:hAnsi="SimSun" w:eastAsia="SimSun" w:cs="SimSun"/>
          <w:color w:val="000000"/>
          <w:sz w:val="24"/>
        </w:rPr>
        <w:t xml:space="preserve">公开招标的结果，签署本合同。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1.1标的名称：盐城市殡仪馆鲜花礼仪服务采购项目</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数量（规模）：每日不少于5名工作人员（严格按照投标时提供的名单安排，未经采购人同意不得更改，否则作违约处理，采购人有权终止合同，一切责任由成交供应商承担）根据采购人要求在告别厅和守灵厅为采购人提供鲜花礼仪服务。具体包含在告别厅及守灵厅提供告别围花采购与布置、司仪主持、门头免费布置、遗体核对与清运、服务区域卫生保洁、LED屏幕及音响设备操作、哀乐播放、丧属引导及便民服务（提供一次性纸杯、倒水等）等。每日至少准备3套围花备用,每套围花必须使用不低于600支鲜花（以菊花为基础占比不低于90%，百合、玫瑰</w:t>
      </w:r>
      <w:r>
        <w:rPr>
          <w:rFonts w:ascii="SimSun" w:hAnsi="SimSun" w:eastAsia="SimSun" w:cs="SimSun"/>
          <w:color w:val="000000"/>
          <w:sz w:val="24"/>
        </w:rPr>
        <w:t xml:space="preserve">、康乃馨点缀），花朵之间的间隔小于lcm，围花插摆式样符合采购人要求；每日确保采购人和丧户财产及人身安全等。</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1.3履行时间（期限）：三年或服务期内成交供应商鲜花礼仪服务总收入达到本项目预算金额</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1.4履行地点：盐城市亭湖区新兴镇新永村七组</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2.1本项目甲乙双方对盐城市殡仪馆鲜花礼仪服务采购项目实际到账收入为基数分成比例为</w:t>
      </w:r>
      <w:r>
        <w:rPr>
          <w:rFonts w:ascii="SimSun" w:hAnsi="SimSun" w:eastAsia="SimSun" w:cs="SimSun"/>
          <w:color w:val="000000"/>
          <w:sz w:val="24"/>
          <w:u w:val="single"/>
        </w:rPr>
        <w:t xml:space="preserve">（1-中标优惠率）</w:t>
      </w:r>
      <w:r>
        <w:rPr>
          <w:rFonts w:ascii="SimSun" w:hAnsi="SimSun" w:eastAsia="SimSun" w:cs="SimSun"/>
          <w:color w:val="000000"/>
          <w:sz w:val="24"/>
        </w:rPr>
        <w:t xml:space="preserve">。（乙方对鲜花礼仪服务总收入的分成比例金额最高为210万元，如达到210万元则自动合同解除）</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三、服务内容及义务</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3.1乙方在服务期限内服从甲方统一管理，严格遵守各项规章制度，每日不少于5名工作人员</w:t>
      </w:r>
      <w:r>
        <w:rPr>
          <w:rFonts w:ascii="SimSun" w:hAnsi="SimSun" w:eastAsia="SimSun" w:cs="SimSun"/>
          <w:b/>
          <w:color w:val="000000"/>
          <w:sz w:val="24"/>
        </w:rPr>
        <w:t xml:space="preserve">（严格按照投标时提供的名单安排，未经甲方同意不得更改，否则作违约处理，甲方有权终止合同，一切责任由乙方承担）</w:t>
      </w:r>
      <w:r>
        <w:rPr>
          <w:rFonts w:ascii="SimSun" w:hAnsi="SimSun" w:eastAsia="SimSun" w:cs="SimSun"/>
          <w:color w:val="000000"/>
          <w:sz w:val="24"/>
        </w:rPr>
        <w:t xml:space="preserve">根据采购人要求在告别厅和守灵厅为采购人提供鲜花礼仪服务。具体包含在告别厅及守灵厅提供告别围花采购与布置、司仪主持、门头免费布置、遗体核对与清运、服务区域卫生保洁、LED屏幕及音响设备操作、哀乐播放、丧属引导及便民服务（提供一次性纸杯、倒水等）等，且不得从事合同约定的鲜花礼仪服务项目以外的经营活动。其他需要的服务项目双方再约定。</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3.2乙方每日至少准备3套围花备用,每套围花必须使用600支以上鲜花，且鲜花鲜花（以菊花为基础占比不低于90%，百合、玫瑰、康乃馨点缀）花朵之间的间隔小于lcm，围花插摆式样符合甲方要求。</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3.3乙方承担购买鲜花和相关设施设备、所聘人员的工资、福利、保险以及运营等所有费用。</w:t>
      </w:r>
      <w:r>
        <w:rPr>
          <w:rFonts w:ascii="SimSun" w:hAnsi="SimSun" w:eastAsia="SimSun" w:cs="SimSun"/>
          <w:b/>
          <w:color w:val="000000"/>
          <w:sz w:val="24"/>
        </w:rPr>
        <w:t xml:space="preserve">如乙方未按规定给所聘人员缴纳社会保险或不按时发放员工工资，则甲方有权予以终止合同，一切责任由乙方承担。</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3.4鲜花服务项目的收费必须按甲方标准执行，由甲方向社会进行公示，所有收入由馆方统一开票收取。</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3.5成交供应商在经营过程中必须遵循守法经营、诚信服务、用户自愿的原则，不得随意提价、不得强制服务、不得强买强卖。</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3.6乙方必须服从公安、消防、市场监管等相关部门的管理,遵守有关安全管理规定,保障双方工作人员、设施设秘及丧户的安全。</w:t>
      </w:r>
      <w:r>
        <w:rPr>
          <w:rFonts w:ascii="SimSun" w:hAnsi="SimSun" w:eastAsia="SimSun" w:cs="SimSun"/>
          <w:b/>
          <w:color w:val="000000"/>
          <w:sz w:val="24"/>
        </w:rPr>
        <w:t xml:space="preserve">乙方的作息时间必须服从甲方统一安排。</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3.7乙方必须保持工作场所的每日清洁卫生，生活、经营场所产生的垃圾、废弃物须及时清理干净。</w:t>
      </w:r>
      <w:r/>
    </w:p>
    <w:p>
      <w:pPr>
        <w:ind w:left="0" w:right="0" w:firstLine="0"/>
        <w:jc w:val="both"/>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3.7如乙方未按照招标文件或相应文件提供相应服务导致合同终止，则甲方可要求乙方服务至甲方重新招标确定服务单位为止或甲方有权直接终止合同。</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3.8如乙方不满足2人具有殡仪服务员五级（或初级）及以上证书需在合同签订后1年内考取，否则采购人有权对供应商进行处理。</w:t>
      </w:r>
      <w:r/>
    </w:p>
    <w:p>
      <w:pPr>
        <w:ind w:left="410" w:right="0" w:hanging="41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四、履约保证金</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4.1乙方交纳人民币元作为本合同的履约保证金。</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SimSun" w:hAnsi="SimSun" w:eastAsia="SimSun" w:cs="SimSun"/>
          <w:color w:val="000000"/>
          <w:sz w:val="24"/>
        </w:rPr>
        <w:t xml:space="preserve">履约保证金金额按合同金额的10%，</w:t>
      </w:r>
      <w:r>
        <w:rPr>
          <w:rFonts w:ascii="SimSun" w:hAnsi="SimSun" w:eastAsia="SimSun" w:cs="SimSun"/>
          <w:color w:val="000000"/>
          <w:sz w:val="24"/>
        </w:rPr>
        <w:t xml:space="preserve">采购人应当对AA评级及以上政府采购供应商（需提供信用管理部门备案的第三方信用报告）免收履约保证金。）</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4.2确需收取履约保证金的，履约保证金的缴纳形式：</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4.2.2如以履约保函（保险）形式缴纳履约保证金，供应商可通过政府采购电子履约保函（保险）平台（www.jsdzbh.com）在线申请履约保函（保险）。</w:t>
      </w:r>
      <w:r/>
    </w:p>
    <w:p>
      <w:pPr>
        <w:ind w:left="408" w:right="0" w:hanging="408"/>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4.3合同履行结束后，甲方应及时退还交纳的履约保证金。</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4.4履约保证金的退还：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4.4.1方式：退还至供应商缴纳履约保证金的账户。如为保函，在到期时自行失效。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4.4.2时间：验收合格且采购人收到发票后30日内。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4.4.3条件：按合同要求全部履约完成并经采购人验收合格，且采购人收到乙方出具的发票。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4.4.4不予退还情形：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除不可抗力情况外，供应商出现下列情形之一的，其履约保证金，采购人将视情节决定不予退还或部分不予退还。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（1）成交供应商无正当理由拒绝签订合同的，或者在签订合同时向采购人提出附加条件或者更改合同实质性内容要求的；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（2）成交供应商不履行与采购人订立的合同的；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（3）成交供应商所供货物或服务不符合招标文件规定要求的；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（4）成交供应商采取欺骗、弄虚作假方式投标的或与其它供应商串通投标的；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（5）成交供应商将合同内容转包、违法分包的；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（6）成交供应商故意捏造事实或伪造证明材料，进行虚假恶意投诉或反映的。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五、合同转包或分包</w:t>
      </w:r>
      <w:r/>
    </w:p>
    <w:p>
      <w:pPr>
        <w:ind w:left="0" w:right="0" w:firstLine="0"/>
        <w:jc w:val="both"/>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5.1乙方不得将合同标的转包给他人履行。</w:t>
      </w:r>
      <w:r/>
    </w:p>
    <w:p>
      <w:pPr>
        <w:ind w:left="0" w:right="0" w:firstLine="0"/>
        <w:jc w:val="both"/>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5.2乙方不得将合同标的分包给他人履行。</w:t>
      </w:r>
      <w:r/>
    </w:p>
    <w:p>
      <w:pPr>
        <w:ind w:left="0" w:right="0" w:firstLine="0"/>
        <w:jc w:val="both"/>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5.3乙方如有转包或未经甲方同意的分包行为，甲方有权解除合同。</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六、合同款项支付</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6.1合同款项的支付方式及进度安排</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6.1.1预付款支付时间：合同签订后，采购人收到预付款发票后10个工作日内，预付款支付比例：合同金额的30%。</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尾款支付时间：服务费的支付采用每月考核，按月支付，即甲方于每月20日前对上月的服务工作进行考核，经考核合格的乙方开具发票后甲方支付当月的服务费。如一年中连续有两个月考核不合格或累计三个月考核不合格，甲方有权终止合同，重新选择新的服务企业。若乙方提出终止服务，需提前两个月向甲方递交书面材料，并加盖单位公章。</w:t>
      </w:r>
      <w:r/>
    </w:p>
    <w:p>
      <w:pPr>
        <w:ind w:left="0" w:right="0" w:firstLine="0"/>
        <w:jc w:val="both"/>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七、税费</w:t>
      </w:r>
      <w:r/>
    </w:p>
    <w:p>
      <w:pPr>
        <w:ind w:left="0" w:right="0" w:firstLine="0"/>
        <w:jc w:val="both"/>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7.1本合同执行中相关的一切税费均由乙方负担。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八、违约责任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8.1乙方不得私自向丧户收取服务费用,发现私自向丧户收取服务费用的，每次罚款五千元，累计发现两次的,本合同自动终止，乙方承担违约责任并没收履约保证金，给甲方造成损失的均由乙方承担。</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8.2由于乙方的原因导致安全生产事故，造成甲方或丧户的财产损失、人身安全事故的，所造成的一切费用均由乙方承担。</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8.3由于卫生状况原因造成甲方经营受到影响的,或在日常卫生检中达不到甲方要求的,按甲方卫生管理制度执行。</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8.4按工作需要，乙方须服从甲方的工作时间安排，并服从考勤管理，如乙方未能服从，属于乙方违约，本合同自动终止，乙方承担违约责任并没收履约保证金，给甲方造成损失的均由乙方承担。</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8.5如乙方单方面提前终止合同，则按违约处理并没收履约保证金。</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九、不可抗力事件处理</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9.1在合同有效期内，任何一方因不可抗力事件导致不能履行合同，则合同履行期可延长，其延长期与不可抗力影响期相同。</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9.2不可抗力事件发生后，应立即通知对方。</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9.3不可抗力事件延续120天以上，双方应通过友好协商，确定是否继续履行合同。</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十、诉讼</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双方在执行合同中所发生的一切争议，应通过协商解决。如协商不成，可向合同签订地法院起诉，合同签订地在此约定为盐城市。</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十一、合同生效及其他</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11.1合同经双方法定代表人或授权委托代表人签字并加盖单位公章后生效。</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11.2本合同未尽事宜，遵照《中华人民共和国民法典》、《中华人民共和国政府采购法》有关条文执行。</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11.3招标文件、中标人的投标文件及招投标过程中有关澄清、承诺文件等均应作为合同附件，合同附件均为合同的有效组成部分。</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11.4本合同正本一式肆份，具有同等法律效力，甲方、乙方各执贰份。</w:t>
      </w:r>
      <w:r/>
    </w:p>
    <w:p>
      <w:pPr>
        <w:ind w:left="480" w:right="0" w:hanging="480"/>
        <w:jc w:val="both"/>
        <w:spacing w:before="120" w:after="12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hanging="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rPr>
          <w:rFonts w:ascii="Calibri" w:hAnsi="Calibri" w:eastAsia="Calibri" w:cs="Calibri"/>
          <w:sz w:val="24"/>
          <w:szCs w:val="24"/>
        </w:rPr>
      </w:pPr>
      <w:r>
        <w:rPr>
          <w:rFonts w:ascii="SimSun" w:hAnsi="SimSun" w:eastAsia="SimSun" w:cs="SimSun"/>
          <w:color w:val="000000"/>
          <w:sz w:val="24"/>
          <w:highlight w:val="none"/>
        </w:rPr>
        <w:br w:type="page" w:clear="all"/>
      </w:r>
      <w:r>
        <w:rPr>
          <w:rFonts w:ascii="SimSun" w:hAnsi="SimSun" w:eastAsia="SimSun" w:cs="SimSun"/>
          <w:color w:val="000000"/>
          <w:sz w:val="24"/>
          <w:highlight w:val="none"/>
        </w:rPr>
      </w:r>
      <w:r/>
    </w:p>
    <w:p>
      <w:pPr>
        <w:ind w:left="0" w:right="0" w:firstLine="0"/>
        <w:jc w:val="both"/>
        <w:spacing w:before="120" w:after="120" w:line="49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考核办法</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8"/>
        <w:gridCol w:w="4620"/>
        <w:gridCol w:w="1227"/>
        <w:gridCol w:w="1083"/>
      </w:tblGrid>
      <w:tr>
        <w:trPr>
          <w:trHeight w:val="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考核得分</w:t>
            </w:r>
            <w:r/>
          </w:p>
        </w:tc>
      </w:tr>
      <w:tr>
        <w:trPr>
          <w:trHeight w:val="77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4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现场服务（50分）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投标时项目负责人及其他服务人员是否为现场服务人员，业务收入达标（具体指标原则上按前三年实际收入评估认定），按时发放员工工资和缴纳社保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当月服务人员按照工作时间要求及时到达现场提供服务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提供的鲜花必须新鲜，鲜花不得出现凋谢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提供的围花按照要求布置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每日经营场所的卫生清洁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不得私自收费，不得提供私下服务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4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丧户满意度（50分）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服务人员着装统一，服务态度好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礼仪人员熟悉丧葬礼仪流程并现场指导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葬礼场所围花等设施齐全、布置合理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现场服务人员未私自收取额外费用、未推销其它服务内容及收取费用（采购人可根据实际情况减免丧属费用）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岗位涉及场所卫生、环境整洁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不得出现政府热线12345等渠道投诉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120" w:after="120" w:line="499"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20"/>
        </w:rPr>
        <w:t xml:space="preserve">采购人将每月按照考核办法进行考核，考核满分100分，考核得分90分为合格。考核得分低于90分为不合格，连续有两个月考核不合格或累计三个月则自动解除合同并没收其履约保证金。</w:t>
      </w:r>
      <w:r>
        <w:rPr>
          <w:sz w:val="18"/>
          <w:szCs w:val="20"/>
        </w:rPr>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第四章采购需求</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 </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盐城市殡仪馆鲜花礼仪服务采购项目</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w:t>
      </w:r>
      <w:r>
        <w:rPr>
          <w:rFonts w:ascii="SimSun" w:hAnsi="SimSun" w:eastAsia="SimSun" w:cs="SimSun"/>
          <w:i/>
          <w:color w:val="000000"/>
          <w:sz w:val="24"/>
          <w:u w:val="single"/>
        </w:rPr>
        <w:t xml:space="preserve">每日不少于5名工作人员（严格按照投标时提供的名单安排，未经采购人同意不得更改，否则作违约处理，采购人有权终止合同，一切责任由成交供应商承担）。根据采购人要求在告别厅和守灵厅为采购人提供鲜花礼仪服务。具体包含在告别厅及守灵厅提供告别围花采购与布置、司仪主持、门头免费布置、遗体核对与清运、服务区域卫生保洁、LED屏幕及音响设备操作、哀乐播放、丧属引导及便民服务（提供一次性纸杯、倒水等）等。每日至少准备3套围花备用,每套围花必须使用不低于600支鲜花，且鲜花（以菊花为基础占比不低于90%，百合、玫瑰、康乃馨点缀）</w:t>
      </w:r>
      <w:r>
        <w:rPr>
          <w:rFonts w:ascii="SimSun" w:hAnsi="SimSun" w:eastAsia="SimSun" w:cs="SimSun"/>
          <w:i/>
          <w:color w:val="000000"/>
          <w:sz w:val="24"/>
          <w:u w:val="single"/>
        </w:rPr>
        <w:t xml:space="preserve">，花材新鲜，花朵之间的间隔小于lcm，围花插摆式样符合采购人要求；每日采购人经营场所的卫生保洁、确保采购人和丧户财产及人身安全等，采购人有调整以上服务内容的权利。其他需要的服务项目双方再约定。</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三、合同履行期限：</w:t>
      </w:r>
      <w:r>
        <w:rPr>
          <w:rFonts w:ascii="SimSun" w:hAnsi="SimSun" w:eastAsia="SimSun" w:cs="SimSun"/>
          <w:i/>
          <w:color w:val="000000"/>
          <w:sz w:val="24"/>
          <w:u w:val="single"/>
        </w:rPr>
        <w:t xml:space="preserve">三年或服务期内鲜花礼仪服务总收入达到本项目预算金额</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四、服务地点：</w:t>
      </w:r>
      <w:r>
        <w:rPr>
          <w:rFonts w:ascii="SimSun" w:hAnsi="SimSun" w:eastAsia="SimSun" w:cs="SimSun"/>
          <w:i/>
          <w:color w:val="000000"/>
          <w:sz w:val="24"/>
          <w:u w:val="single"/>
        </w:rPr>
        <w:t xml:space="preserve">盐城市亭湖区新兴镇新永村七组</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五、项目总体要求：</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1.成交供应商在殡仪馆独立进行内部管理的同时，还必须服从采购人相关职能部门的监督和领导。</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2.成交供应商招聘工作的人员，需为非离退休人员（以身份证为准）。</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3.成交供应商安排到盐城市殡仪馆工作的人员，必须服从采购人的工作安排。</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4.对因工作不到位而引起财产损失的，将追究当事人责任并根据情况予以赔偿。</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5.服务费用由采购人经考评后按月发放。成交供应商领取费用时必须出具税务机关开出的正式发票。甲方按月付清成交供应商服务费用，不再负责成交供应商因此产生的债务或其他经济问题。</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6.采购人考核时如发现现场人数与供应商数不符的，采购人付款时将按投标工资双倍扣款。</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7.成交供应商要按时足额发放所有人员工资，如不按时发放产生矛盾纠纷的，采购人有权终止采购合同。</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8.对于丧户对鲜花礼仪服务有特殊需求的，根据双方要求另行商定式样、价格、分成比例等事项。</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六、项目整体实施方案：</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1.符合政策法规的整体设想及策划方案</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符合政策法规的整体设想及策划应至少包含：服务目标、工作流程、服务标准、管理制度。</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目标：以满足盐城市殡仪馆鲜花礼仪服务需求为核心，严格遵循相关政策法规及招标文件要求，至少包含（1）完成告别厅、守灵厅的标准化布置，确保围花等花艺装饰符合采购人要求，为丧属提供庄重、肃穆的悼念环境。（2）做好告别、守灵全套礼仪流程服务，涵盖司仪主持、哀乐播放、丧属引导等环节，保障流程规范有序。（3）落实每日经营场所卫生保洁工作，确保服务区域干净整洁，符合卫生管理标准。（4）建立完善的安全保障机制，切实维护采购人和丧户的人身及财产安全，杜绝安全事故发生。</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工作流程：至少包含（1）人员到岗流程，如每日安排至少5名固定工作人员，按照投标时提交的名单到岗。岗前召开晨会，明确当日工作任务、服务重点及注意事项，统一着装并检查仪容仪表。（2）守灵厅布置流程，到岗后按时完成门头布置，确保装饰风格庄重得体。按要求准备围花，每套围花使用不低于600支鲜花，其中菊花占比不低于90%，花朵间隔小于1cm，插摆式样符合采购人标准。</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礼仪主持流程，遗体核对与清运：接到通知后，专人负责遗体核对，确认信息无误后规范完成清运工作。司仪主持：提前与丧属沟通流程细节，按照约定时间开展主持服务，语言庄重、举止得体。丧属引导与便民服务：安排专人引导丧属入场就座，提供一次性纸杯、倒水等便民服务，全程保持耐心周到。</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（4）卫生保洁流程，礼仪服务结束后，规定时间内清理服务区域垃圾、杂物，擦拭桌椅、设备表面。每日进行至少2次全域卫生巡查，及时处理突发卫生问题，确保场所整洁。</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标准：应至少包含（1）鲜花质量：所用花材必须新鲜无凋谢，围花插摆严格遵循招标文件要求，菊花占比≥90%，百合、玫瑰等点缀花材符合品质标准，花朵间隔精准控制在1cm以内。（2）服务行为：工作人员着装统一规范，服务态度谦和有礼，全程使用文明用语，严禁与丧属发生争执。服务过程中无投诉，若出现丧属投诉，需在1小时内响应并妥善解决。（3）安全保障：建立每日安全巡查台账，重点检查用电设备、通道畅通情况，发现隐患立即整改。严格落实遗体核对制度，杜绝信息错误；严禁无关人员进入服务区域，保障丧户隐私及财产安全。（4）</w:t>
      </w:r>
      <w:r>
        <w:rPr>
          <w:rFonts w:ascii="SimSun" w:hAnsi="SimSun" w:eastAsia="SimSun" w:cs="SimSun"/>
          <w:color w:val="000000"/>
          <w:sz w:val="24"/>
        </w:rPr>
        <w:t xml:space="preserve">人员管理：服务人员严格按照投标名单派驻，未经采购人同意不得擅自更换。工作人员需服从采购人管理，配合完成临时加班或任务调整，不额外索要费用。</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管理制度：应至少包含（1）布置日常管理制度：设立花艺布置专员岗位，负责围花制作、门头装饰等工作，明确操作规范及质量验收标准。建立花材采购台账，记录采购渠道、数量、品质等信息，确保花材可追溯。备用围花需每日检查保鲜状态，及时更换枯萎花材，保证随时可用。（2）礼仪主持全套流程工作制度：司仪人员必须熟悉丧葬礼仪流程，上岗前需接受专业培训并考核合格。主持内容需符合公序良俗，尊重丧属的宗教信仰及习俗要求。制定礼仪流程标准化手册，明确各环节时间节点、操作规范，确保不同场次服务质量一致。建立服务复盘机制，每日总结服务</w:t>
      </w:r>
      <w:r>
        <w:rPr>
          <w:rFonts w:ascii="SimSun" w:hAnsi="SimSun" w:eastAsia="SimSun" w:cs="SimSun"/>
          <w:color w:val="000000"/>
          <w:sz w:val="24"/>
        </w:rPr>
        <w:t xml:space="preserve">过程中的问题，持续优化流程细节。（3）安全保障制度：成立安全管理小组，由项目负责人担任组长，定期组织工作人员开展应急处置培训，每季度进行至少1次应急演练。制定遗体核对与清运操作规程，明确双人核对、签字确认等要求，杜绝遗体错运、信息错报等问题。建立安全事故上报机制，若发生安全事件，需在第一时间上报采购人和相关部门，并启动应急处理预案。</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tab/>
        <w:t xml:space="preserve">服务理念</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服务理念以人文关怀为核心，以社会主义核心价值观为指引，秉持“尊重逝者、慰藉生者、规范服务、诚信履约”的宗旨，全方位满足项目服务需求，应至少包含：坚守人文初心、坚持守法经营、遵循自愿原则、强化责任担当。</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坚守人文初心：至少包含（1）暖心服务要求：传递暖心服务立足殡葬服务的特殊属性，将人文关怀融入服务全过程。（2）引导服务要求：尊重丧属的情感需求与丧葬习俗，通过庄重规范的礼仪流程、整洁肃穆的场地布置、耐心细致的引导服务，缓解丧属悲痛情绪。（3）服务态度要求：践行社会主义核心价值观，以友善、和谐的服务态度，让每一场告别仪式都充满温度。</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坚持守法经营至少包含（1）良好经营理念：自觉服从盐城市殡仪馆的统一管理与监督。秉持诚信履约原则，杜绝虚假宣传、违规操作等行为。（2）服务人员工资保障：按时足额发放员工工资、缴纳社保公积金，保障员工合法权益，维护项目服务的规范性与公信力。</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遵循自愿原则：至少包含（1）服务定价要求：杜绝强制消费严格按照采购人公示的收费标准执行服务定价，不随意提价、不捆绑销售。（2）自愿原则要求：所有服务项目均以丧户自愿选择为前提，不强制推销额外服务，不诱导丧户进行不必要消费，切实保障丧户的自主选择权与消费权益。</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强化责任担当：至少包含（1）安全责任要求：保障安全有序树立“安全第一”的服务意识，严格落实安全保障制度，确保服务区域内人员、财产安全。（2）服务环境要求：主动配合公安、消防、市场监管等部门的管理要求，规范操作流程，杜绝安全事故发生。以高度的责任担当，为采购人和丧户营造安全、有序、庄重的服务环境。</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3.服务措施</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为确保盐城市殡仪馆鲜花礼仪服务高质量落地，严格响应招标文件要求，结合项目实际需求，制定以下服务措施，应至少包含：工作规划、规范礼仪、服务质量保障、岗位职责、人员经历。</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科学制定具体工作规划：应至少包含（1）日常运营规划：实行“至少5人在岗”排班制，保障每日服务不中断。建立花材采购验收台账，明确菊花占比≥90%的采购标准，提前1天完成次日至少3套备用围花制作。每日划分卫生保洁责任区，做到“服务前清洁、服务中巡查、服务后收尾”的三段式保洁流程。（2）应急处置规划：制定投诉处理、设备故障、突发安全事件三类应急预案。投诉响应时限不超过1小时，设备故障备用方案确保音响等关键设备10分钟内切换至备用系统，突发安全事件第一时间启动人员疏散及上报流程。（3）培训提升规划：每月组织至少</w:t>
      </w:r>
      <w:r>
        <w:rPr>
          <w:rFonts w:ascii="SimSun" w:hAnsi="SimSun" w:eastAsia="SimSun" w:cs="SimSun"/>
          <w:color w:val="000000"/>
          <w:sz w:val="24"/>
        </w:rPr>
        <w:t xml:space="preserve">1次服务技能培训，每季度开展至少1次全流程模拟演练，内容涵盖礼仪规范、应急处置、设备操作等，确保团队服务能力持续达标。</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全面规范礼仪服务流程：应至少包含（1）司仪主持规范：制定标准化主持脚本，语言庄重肃穆，流程贴合丧属需求，提前与丧属沟通确认细节，尊重宗教信仰及民俗习惯。（2）丧属引导规范：服务人员统一着装，使用文明用语，全程引导丧属完成签到、就座、告别等环节，主动提供一次性纸杯、倒水等便民服务。（3）花艺布置规范：围花插摆严格遵循“花朵间隔＜1cm”要求，门头装饰保持风格统一，每日检查花艺状态，及时更换枯萎花材，确保场地庄严肃穆。</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多重保障服务质量达标：应至少包含（1）鲜花质量管控：建立“采购-验收-保鲜”三级管控体系，花材到货后由专人验收新鲜度，备用围花存放于恒温保鲜区，确保使用时无凋谢、无破损。服务过程管控：实行“每日自查+每周抽查+月度考核”机制，对照招标文件考核办法逐项评分，考核结果与员工绩效挂钩，确保得分不低于90分。丧户满意度管控：设置意见反馈箱，提供线上线下双重投诉渠道，承诺投诉响应率100%、解决率100%，实现服务“零投诉”目标。</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明确划分各岗位职责：应至少包含（1）项目负责人：统筹日常运营，对接采购人需求，监督服务质量，处理突发问题，确保团队严格按投标名单履职。（2）花艺师：负责围花制作、门头布置及花材保鲜，确保花艺符合招标文件数量、比例及样式要求。（3）司仪：承担礼仪主持、哀乐播放工作，熟悉设备操作，保障流程顺畅。（4）安全员：负责遗体核对与清运、安全巡查，维护服务区域秩序，保障采购人和丧户人身财产安全。（5）保洁员：负责服务区域卫生保洁，做到场地无杂物、设备无灰尘、环境整洁。</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择优筛选服务人员经历：应至少包含（1）经历要求：优先录用具有3年及以上殡葬礼仪服务经验的人员，熟悉行业规范及服务流程，能快速适应项目需求。（2）人员履历档案：记录服务人员从业经历、培训记录及考核结果，确保团队整体经验丰富、服务能力过硬。（3）培训：定期组织经验分享会，由资深员工传授服务技巧，提升团队整体服务水平，保障项目服务质量稳定可靠。</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七、服务承诺</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承诺：为确保盐城市殡仪馆鲜花礼仪服务高质量、高标准落地，本单位严格遵循招标文件要求，结合项目实际需求，服务承诺至少包含鲜花质量与式样承诺、服务质量零投诉承诺、人员配置与管理承诺、安全保障与履约承诺、考核达标与违约责任承诺。</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鲜花质量与式样承诺：应至少包含（1）鲜花要求：严格按照招标文件标准，每日配备不少于3套备用围花，每套围花使用鲜花数量不低于600支，其中菊花占比不低于90%，百合、玫瑰、康乃馨等作为点缀花材，确保花材新鲜无凋谢。围花插摆严格执行“花朵间隔小于1cm”要求，插摆式样完全符合采购人标准，门头装饰保持庄重统一风格，每日安排专人检查花艺状态，及时更换不合格花材。（2）采购渠道和品质保障：建立花材采购验收台账，明确采购渠道及品质标准，确保所有花材均可追溯，杜绝使用劣质、枯萎鲜花。</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服务质量零投诉承诺：应至少包含（1）服务人员服务质量要求：全体服务人员统一着装，严格遵守殡葬服务礼仪规范，使用文明用语，耐心提供丧属引导、倒水等便民服务，尊重丧属的宗教信仰与丧葬习俗。（2）丧葬礼仪质量要求：司仪主持人员熟悉全套丧葬礼仪流程，提前与丧属沟通细节，确保主持过程庄重肃穆、流程顺畅。（3）设立投诉响应专线，承诺投诉响应时限不超过1小时，问题解决率达100%，确保服务全过程无有效投诉，若出现政府热线12345投诉，自愿接受招标文件约定的处罚。</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人员配置与管理承诺：应至少包含（1）人员配置要求：严格按照投标时提交的名单派驻工作人员，每日在岗人员不少于5人，未经采购人书面同意，绝不擅自更换人员，若违反此规定，自愿接受合同终止处理并承担全部责任。（2）服务人员薪酬待遇保障：保障人员薪酬待遇，严格按照盐城市最低工资标准、社保及公积金缴纳要求执行，按时足额发放工资、加班费，为员工缴纳五险及住房公积金，缴费基数不低于招标文件规定标准。</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安全保障与履约承诺：应至少包含（1）安全保障机制：严格执行遗体核对与清运双人确认制度，杜绝遗体信息错报、错运问题；每日对服务区域进行安全巡查，重点检查消防设施、用电设备，确保采购人和丧户的人身及财产安全。（2）规范服务要求：严格遵守招标文件及合同约定，绝不私自向丧属收取任何费用，若发生私自收费行为，自愿接受每次5000元罚款，累计两次则自动终止合同，且不退还履约保证金。（3）服从管理要求：服从采购人及公安、消防等部门的管理，严格遵守工作时间安排及考勤制度，若出现不服从管理、擅自离岗等情况，自愿承担违约责</w:t>
      </w:r>
      <w:r>
        <w:rPr>
          <w:rFonts w:ascii="SimSun" w:hAnsi="SimSun" w:eastAsia="SimSun" w:cs="SimSun"/>
          <w:color w:val="000000"/>
          <w:sz w:val="24"/>
        </w:rPr>
        <w:t xml:space="preserve">任。</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考核达标与违约责任承诺：应至少包含（1）月考核管理要求：严格对照采购人月度考核办法，确保每月考核得分不低于90分，杜绝出现连续两个月考核不合格或累计三个月考核不合格的情况，若未达标，自愿接受合同终止处理。（2）供应商义务要求：严格履行合同约定的全部义务，绝不转包、违法分包本项目服务内容，若因自身原因导致安全生产事故、服务质量不达标等问题，自愿承担全部赔偿责任，并按招标文件约定没收履约保证金。</w:t>
      </w:r>
      <w:r>
        <w:rPr>
          <w:rFonts w:ascii="SimSun" w:hAnsi="SimSun" w:eastAsia="SimSun" w:cs="SimSun"/>
          <w:color w:val="000000"/>
          <w:sz w:val="24"/>
        </w:rP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7.6售后服务衔接承诺：合同期满或服务终止时，及时完成与后续服务企业的衔接工作，按要求移交全套服务档案资料，配合采购人完成验收工作，确保服务过渡平稳有序。</w:t>
      </w:r>
      <w:r>
        <w:rPr>
          <w:rFonts w:ascii="SimSun" w:hAnsi="SimSun" w:eastAsia="SimSun" w:cs="SimSun"/>
          <w:color w:val="000000"/>
          <w:sz w:val="24"/>
        </w:rPr>
      </w:r>
      <w:r>
        <w:rPr>
          <w:rFonts w:ascii="SimSun" w:hAnsi="SimSun" w:eastAsia="SimSun" w:cs="SimSun"/>
          <w:color w:val="000000"/>
          <w:sz w:val="24"/>
        </w:rPr>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九、费用标准</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盐城市最低工资、社保、公积金及最低法定加班费标准测算最低用工成本（不含税），参照当前标准：月工资不低于2430元/人（2026年1月执行），五险（养老保险金、医疗保险金、工伤保险金、生育保险金、失业保险金）缴费基数不低于4952元/月，住房公积金缴费基数不低于2260元/月、比例不低于5%。供应商需考虑全年每天提供5人上班，需按规定测算休息日及法定节假日加班费。</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供应商所提供人员的费用不得低于上述标准进行测算，否则视为未实质性响应招标文件要求。</w:t>
      </w:r>
      <w:r>
        <w:rPr>
          <w:rFonts w:ascii="SimSun" w:hAnsi="SimSun" w:eastAsia="SimSun" w:cs="SimSun"/>
          <w:color w:val="000000"/>
          <w:sz w:val="24"/>
        </w:rPr>
        <w:t xml:space="preserve">如果招标公告发布之后开标前遇政府调整职工最低工资标准或社会保险缴纳基数，评标委员会进行符合性审查时可仍按上述标准审查，中标后，成交供应商应按照最新政策文件规定执行。</w:t>
      </w:r>
      <w:r/>
    </w:p>
    <w:p>
      <w:pPr>
        <w:ind w:left="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十、采购标的对应的中小企业划分标准所属行业一览表</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6"/>
        <w:gridCol w:w="4212"/>
        <w:gridCol w:w="3620"/>
      </w:tblGrid>
      <w:tr>
        <w:trPr>
          <w:trHeight w:val="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6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盐城市殡仪馆鲜花礼仪服务采购项目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jc w:val="center"/>
        <w:shd w:val="nil" w:color="auto"/>
        <w:rPr>
          <w:rFonts w:ascii="Calibri" w:hAnsi="Calibri" w:eastAsia="Calibri" w:cs="Calibri"/>
          <w:sz w:val="24"/>
          <w:szCs w:val="24"/>
        </w:rPr>
      </w:pPr>
      <w:r>
        <w:rPr>
          <w:rFonts w:ascii="SimHei" w:hAnsi="SimHei" w:eastAsia="SimHei" w:cs="SimHei"/>
          <w:b/>
          <w:color w:val="000000"/>
          <w:sz w:val="44"/>
          <w:highlight w:val="none"/>
        </w:rPr>
      </w: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r>
        <w:rPr>
          <w:rFonts w:ascii="Calibri" w:hAnsi="Calibri" w:eastAsia="Calibri" w:cs="Calibri"/>
          <w:sz w:val="24"/>
          <w:szCs w:val="24"/>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综合评分</w:t>
      </w:r>
      <w:r>
        <w:rPr>
          <w:rFonts w:ascii="SimSun" w:hAnsi="SimSun" w:eastAsia="SimSun" w:cs="SimSun"/>
          <w:color w:val="000000"/>
          <w:sz w:val="24"/>
        </w:rPr>
        <w:t xml:space="preserve">法，评标结果按评审后得分由高到低顺序排列。得分相同的，按投标报价（1-优惠率）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（1）本项目专门面向中小企业采购，不再对小型和微型企业报价给予价格扣除。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1"/>
        <w:gridCol w:w="6358"/>
        <w:gridCol w:w="860"/>
      </w:tblGrid>
      <w:tr>
        <w:trPr>
          <w:trHeight w:val="5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8" w:type="dxa"/>
            <w:vAlign w:val="center"/>
            <w:textDirection w:val="lrTb"/>
            <w:noWrap w:val="false"/>
          </w:tcPr>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1.采用低价优先法，即满足招标文件要求且所报优惠率最高的投标报价为评标基准价，其价格分为满分。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2.其他供应商的价格分统一按下列公式计算：投标报价得分＝（1-评标基准价）/（1-投标报价）×20（小数点保留两位）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8" w:type="dxa"/>
            <w:vAlign w:val="center"/>
            <w:textDirection w:val="lrTb"/>
            <w:noWrap w:val="false"/>
          </w:tcPr>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1.整体设想及策划方案（本项最高得20分）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供应商根据第四章第六条第一款中“符合政策法规的整体设想及策划”应至少包含：服务目标、工作流程、服务标准、管理制度。方案优于项目需求得20分，满足项目需求得19分，不满足或不提供得0分。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2.服务理念（本项最高得15分）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根据第四章第六条第二款中“服务理念”，应至少包含：具有人文、社会主义核心价值的服务理念。服务理念需体现守法经营、诚信服务、坚持丧户自愿原则、不随意提价、不强制服务、不强买强卖、服从管理等。方案优于项目需求得15分，满足项目需求得14分，不满足或不提供得0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3.服务措施（本项最高得15分）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根据第四章第六条第三款中“服务措施”，应至少包含：具体工作规划、规范礼仪、确保服务质量、明确岗位职责、坚持持证上岗、服务人员工作经历等。方案优于项目需求得15分，满足项目需求得14分，不满足或不提供得0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编制的管理服务模式及配套措施方案完全覆盖招标文件列明的所有服务内容，目标内容与招标文件需求完全匹配，准确识别招标文件中明确的核心重点，同时还包含了除招标文件项目需求以外且和本项目有关的内容，可视为优于；整体方案能响应需求的，视为满足项目需求；整体方案内容简单，不能完全响应项目需求或有负偏离的，可视为不符合。具体由评标委员会根据供应商的方案进行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50分</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8" w:type="dxa"/>
            <w:vAlign w:val="center"/>
            <w:textDirection w:val="lrTb"/>
            <w:noWrap w:val="false"/>
          </w:tcPr>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根据第四章第七条中“服务承诺”，应至少包含：鲜花质量与式样、服务中无投诉，承诺履行成交供应商应尽的义务并承诺承担违约责任。方案优于项目需求得10分，满足项目需求得9分，不满足或不提供得0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编制的服务承诺完全覆盖招标文件列明的所有服务内容，目标内容与招标文件需求完全匹配，准确识别招标文件中明确的核心重点，同时还包含了除招标文件项目需求以外且和本项目有关的内容，可视为优于；整体服务承诺响应需求的，视为满足项目需求；整体服务承诺内容简单，不能完全响应项目需求或有负偏离的，可视为不符合。具体由评标委员会根据供应商的服务承诺进行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8" w:type="dxa"/>
            <w:vAlign w:val="center"/>
            <w:textDirection w:val="lrTb"/>
            <w:noWrap w:val="false"/>
          </w:tcPr>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1.类似业绩（18分）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供应商自2021年1月1日以来（以合同签订时间为准）承接过类似服务项目业绩的，每提供1个类似业绩得6分，本项最高得18分。</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供应商须提供合同扫描件、发票及转账记录并加盖供应商公章。合同须能反映项目名称、主要标的物、签订时间、单位公章或专用合同章,如不能反映的，另须提供盖有原委托单位公章的证明，否则不予认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2.人员配置（2分）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团队（限本项目日常在岗人员）中有1人持有殡仪服务员五级（或初级）及以上证书的得1分，最多得2分，不满足或不提供的得0分。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注：需提供殡仪服务员五级（或初级）以上证书（且网站可查，提供含网址栏的查询截图），未提供或者提供不全的不得分。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r>
    </w:tbl>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hd w:val="nil" w:color="auto"/>
        <w:rPr>
          <w:rFonts w:ascii="Calibri" w:hAnsi="Calibri" w:eastAsia="Calibri" w:cs="Calibri"/>
          <w:sz w:val="24"/>
          <w:szCs w:val="24"/>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（加盖CA电子公章）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shd w:val="nil" w:color="auto"/>
        <w:rPr>
          <w:rFonts w:ascii="Calibri" w:hAnsi="Calibri" w:eastAsia="Calibri" w:cs="Calibri"/>
          <w:sz w:val="24"/>
          <w:szCs w:val="24"/>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二、上一年度的财务状况报告（上一年度的财务状况报表2025年度报表未出的，可使用2024年度报表，财务状况报表至少包含利润表、资产负债表、现金流量表，成立不满一年无需提供）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十五、服务方案、服务承诺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（上一年度的财务状况报表2025年度报表未出的，可使用2024年度报表，财务状况报表至少包含利润表、资产负债表、现金流量表，成立不满一年无需提供）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hd w:val="nil" w:color="auto"/>
        <w:rPr>
          <w:rFonts w:ascii="Calibri" w:hAnsi="Calibri" w:eastAsia="Calibri" w:cs="Calibri"/>
          <w:sz w:val="24"/>
          <w:szCs w:val="24"/>
        </w:rPr>
      </w:pPr>
      <w:r>
        <w:rPr>
          <w:rFonts w:ascii="Calibri" w:hAnsi="Calibri" w:eastAsia="Calibri" w:cs="Calibri"/>
          <w:sz w:val="24"/>
        </w:rPr>
        <w:br w:type="page" w:clear="all"/>
      </w:r>
      <w:r>
        <w:rPr>
          <w:rFonts w:ascii="Calibri" w:hAnsi="Calibri" w:eastAsia="Calibri" w:cs="Calibri"/>
          <w:sz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JSZC-320900-JSHX-G2026-0001</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color w:val="000000"/>
          <w:sz w:val="32"/>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致：盐城市殡仪馆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Times New Roman" w:hAnsi="Times New Roman" w:eastAsia="Times New Roman" w:cs="Times New Roman"/>
          <w:color w:val="000000"/>
          <w:sz w:val="24"/>
        </w:rPr>
        <w:t xml:space="preserve">JSZC-320900-JSHX-G2026-0001</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2.我们完全理解贵方不一定将合同授予最低报价（1-优惠率）的投标人。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号）的规定，本公司（联合体）参加盐城市政府采购人组织的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Calibri" w:hAnsi="Calibri" w:eastAsia="Calibri" w:cs="Calibri"/>
          <w:color w:val="000000"/>
          <w:sz w:val="24"/>
          <w:u w:val="single"/>
        </w:rPr>
        <w:t xml:space="preserve">JSZC-320900-JSHX-G2026-0001</w:t>
      </w:r>
      <w:r>
        <w:rPr>
          <w:rFonts w:ascii="SimSun" w:hAnsi="SimSun" w:eastAsia="SimSun" w:cs="SimSun"/>
          <w:color w:val="000000"/>
          <w:sz w:val="24"/>
        </w:rPr>
        <w:t xml:space="preserve">的盐城市殡仪馆鲜花礼仪服务采购项目的采购活动，服务全部由符合政策要求的中小企业承接。相关企业（含联合体中的中小企业、签订分包意向协议的中小企业）的具体情况如下：</w:t>
      </w:r>
      <w:r/>
    </w:p>
    <w:p>
      <w:pPr>
        <w:numPr>
          <w:ilvl w:val="0"/>
          <w:numId w:val="6"/>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6"/>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盐城市殡仪馆单位的采购文件编号为JSZC-320900-JSHX-G2026-0001的盐城市殡仪馆鲜花礼仪服务采购项目（分包号：**）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十一、投标分项报价表</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2422"/>
        <w:gridCol w:w="878"/>
        <w:gridCol w:w="1129"/>
        <w:gridCol w:w="1502"/>
        <w:gridCol w:w="166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住房公积金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休息日加班费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法定节假日加班费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鲜花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一年报价（元）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三年总报价（元）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所提供人员的费用不得低于招标文件规定标准进行测算，否则视为未实质性响应招标文件要求。如果招标公告发布之后开标前遇政府调整职工最低工资标准或社会保险缴纳基数，评标委员会进行符合性审查时可仍按招标文件中上述标准审查，中标后，成交供应商应按照最新政策文件规定执行。本项目鲜花礼仪服务根据历史数据一年总收入大约为170万元/年，以170万元/年为基数乘以（1-优惠率）得出供应商年收入，测算报价合理性，分项报价表仅作为评审价格是否合理的依据之一。</w:t>
      </w:r>
      <w:r/>
    </w:p>
    <w:p>
      <w:pPr>
        <w:ind w:left="0" w:right="0" w:firstLine="47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rPr>
          <w:rFonts w:ascii="Calibri" w:hAnsi="Calibri" w:eastAsia="Calibri" w:cs="Calibri"/>
          <w:sz w:val="24"/>
          <w:szCs w:val="24"/>
        </w:rPr>
      </w:pPr>
      <w:r>
        <w:rPr>
          <w:rFonts w:ascii="SimHei" w:hAnsi="SimHei" w:eastAsia="SimHei" w:cs="SimHei"/>
          <w:b/>
          <w:color w:val="000000"/>
          <w:sz w:val="32"/>
          <w:highlight w:val="none"/>
        </w:rPr>
        <w:br w:type="page" w:clear="all"/>
      </w:r>
      <w:r>
        <w:rPr>
          <w:rFonts w:ascii="SimHei" w:hAnsi="SimHei" w:eastAsia="SimHei" w:cs="SimHei"/>
          <w:b/>
          <w:color w:val="000000"/>
          <w:sz w:val="32"/>
          <w:highlight w:val="none"/>
        </w:rPr>
      </w:r>
      <w:r/>
    </w:p>
    <w:p>
      <w:pPr>
        <w:ind w:left="0" w:right="0" w:firstLine="0"/>
        <w:jc w:val="center"/>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hd w:val="nil" w:color="auto"/>
        <w:rPr>
          <w:rFonts w:ascii="Calibri" w:hAnsi="Calibri" w:eastAsia="Calibri" w:cs="Calibri"/>
          <w:sz w:val="24"/>
          <w:szCs w:val="24"/>
        </w:rPr>
      </w:pPr>
      <w:r>
        <w:rPr>
          <w:rFonts w:ascii="SimHei" w:hAnsi="SimHei" w:eastAsia="SimHei" w:cs="SimHei"/>
          <w:b/>
          <w:color w:val="000000"/>
          <w:sz w:val="32"/>
          <w:highlight w:val="none"/>
        </w:rPr>
        <w:br w:type="page" w:clear="all"/>
      </w:r>
      <w:r>
        <w:rPr>
          <w:rFonts w:ascii="SimHei" w:hAnsi="SimHei" w:eastAsia="SimHei" w:cs="SimHei"/>
          <w:b/>
          <w:color w:val="000000"/>
          <w:sz w:val="32"/>
          <w:highlight w:val="none"/>
        </w:rPr>
      </w:r>
      <w:r/>
    </w:p>
    <w:p>
      <w:pPr>
        <w:ind w:left="0" w:right="0" w:firstLine="0"/>
        <w:jc w:val="center"/>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469"/>
        <w:gridCol w:w="2645"/>
        <w:gridCol w:w="1244"/>
        <w:gridCol w:w="15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hd w:val="nil" w:color="auto"/>
        <w:rPr>
          <w:rFonts w:ascii="Calibri" w:hAnsi="Calibri" w:eastAsia="Calibri" w:cs="Calibri"/>
          <w:sz w:val="24"/>
          <w:szCs w:val="24"/>
        </w:rPr>
      </w:pPr>
      <w:r>
        <w:rPr>
          <w:rFonts w:ascii="Calibri" w:hAnsi="Calibri" w:eastAsia="Calibri" w:cs="Calibri"/>
          <w:sz w:val="24"/>
          <w:szCs w:val="24"/>
        </w:rPr>
        <w:br w:type="page" w:clear="all"/>
      </w:r>
      <w:r>
        <w:rPr>
          <w:rFonts w:ascii="Calibri" w:hAnsi="Calibri" w:eastAsia="Calibri" w:cs="Calibri"/>
          <w:sz w:val="24"/>
          <w:szCs w:val="24"/>
        </w:rPr>
      </w: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十四、</w:t>
      </w:r>
      <w:r>
        <w:rPr>
          <w:rFonts w:ascii="Microsoft YaHei" w:hAnsi="Microsoft YaHei" w:eastAsia="Microsoft YaHei" w:cs="Microsoft YaHei"/>
          <w:color w:val="000000"/>
          <w:sz w:val="24"/>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 : 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 : 项目编号</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5613"/>
        <w:gridCol w:w="187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highlight w:val="white"/>
              </w:rPr>
              <w:t xml:space="preserve">投标人名称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1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优惠率（小写）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备注</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供应商名称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1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投标人公章：                               （电子签章）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日期： 年 月 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shd w:val="nil" w:color="auto"/>
        <w:rPr>
          <w:rFonts w:ascii="Calibri" w:hAnsi="Calibri" w:eastAsia="Calibri" w:cs="Calibri"/>
          <w:sz w:val="21"/>
          <w:szCs w:val="21"/>
        </w:rPr>
      </w:pPr>
      <w:r>
        <w:rPr>
          <w:rFonts w:ascii="Calibri" w:hAnsi="Calibri" w:eastAsia="Calibri" w:cs="Calibri"/>
          <w:color w:val="000000"/>
          <w:sz w:val="21"/>
          <w:highlight w:val="none"/>
        </w:rPr>
        <w:br w:type="page" w:clear="all"/>
      </w:r>
      <w:r>
        <w:rPr>
          <w:rFonts w:ascii="Calibri" w:hAnsi="Calibri" w:eastAsia="Calibri" w:cs="Calibri"/>
          <w:color w:val="000000"/>
          <w:sz w:val="21"/>
          <w:highlight w:val="none"/>
        </w:rPr>
      </w:r>
      <w:r/>
    </w:p>
    <w:p>
      <w:pPr>
        <w:ind w:left="0" w:right="0" w:firstLine="0"/>
        <w:jc w:val="center"/>
        <w:spacing w:before="50" w:after="50"/>
        <w:rPr>
          <w:rFonts w:ascii="Calibri" w:hAnsi="Calibri" w:eastAsia="Calibri" w:cs="Calibri"/>
          <w:color w:val="000000"/>
          <w:sz w:val="21"/>
          <w:szCs w:val="21"/>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十五、服务方案、服务承诺</w:t>
      </w:r>
      <w:r/>
    </w:p>
    <w:p>
      <w:pPr>
        <w:ind w:left="0" w:right="0" w:firstLine="0"/>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shd w:val="nil" w:color="auto"/>
        <w:rPr>
          <w:rFonts w:ascii="Calibri" w:hAnsi="Calibri" w:eastAsia="Calibri" w:cs="Calibri"/>
          <w:sz w:val="21"/>
          <w:szCs w:val="21"/>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1600"/>
        <w:jc w:val="both"/>
        <w:spacing w:before="0" w:after="0" w:line="49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fldSimple w:instr="PAGE \* MERGEFORMAT">
      <w:r>
        <w:t xml:space="preserve">1</w:t>
      </w:r>
    </w:fldSimple>
    <w:r/>
    <w:r/>
  </w:p>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663">
    <w:name w:val="Heading 1"/>
    <w:basedOn w:val="662"/>
    <w:next w:val="662"/>
    <w:link w:val="699"/>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5">
    <w:name w:val="Heading 3"/>
    <w:basedOn w:val="662"/>
    <w:next w:val="662"/>
    <w:link w:val="701"/>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2"/>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3"/>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4"/>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6"/>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7"/>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6">
    <w:name w:val="annotation text"/>
    <w:basedOn w:val="662"/>
    <w:uiPriority w:val="0"/>
    <w:qFormat/>
    <w:pPr>
      <w:jc w:val="left"/>
    </w:pPr>
  </w:style>
  <w:style w:type="paragraph" w:styleId="677">
    <w:name w:val="Body Text"/>
    <w:basedOn w:val="662"/>
    <w:uiPriority w:val="0"/>
    <w:semiHidden/>
    <w:qFormat/>
    <w:rPr>
      <w:rFonts w:ascii="仿宋" w:hAnsi="仿宋" w:eastAsia="仿宋" w:cs="仿宋"/>
      <w:sz w:val="31"/>
      <w:szCs w:val="31"/>
      <w:lang w:eastAsia="en-US"/>
    </w:rPr>
  </w:style>
  <w:style w:type="paragraph" w:styleId="678">
    <w:name w:val="toc 5"/>
    <w:basedOn w:val="662"/>
    <w:next w:val="662"/>
    <w:uiPriority w:val="39"/>
    <w:unhideWhenUsed/>
    <w:qFormat/>
    <w:pPr>
      <w:ind w:left="1134" w:right="0" w:firstLine="0"/>
      <w:spacing w:after="57"/>
    </w:pPr>
  </w:style>
  <w:style w:type="paragraph" w:styleId="679">
    <w:name w:val="toc 3"/>
    <w:basedOn w:val="662"/>
    <w:next w:val="662"/>
    <w:uiPriority w:val="39"/>
    <w:unhideWhenUsed/>
    <w:qFormat/>
    <w:pPr>
      <w:ind w:left="567" w:right="0" w:firstLine="0"/>
      <w:spacing w:after="57"/>
    </w:pPr>
  </w:style>
  <w:style w:type="paragraph" w:styleId="680">
    <w:name w:val="Plain Text"/>
    <w:basedOn w:val="662"/>
    <w:uiPriority w:val="0"/>
    <w:qFormat/>
    <w:rPr>
      <w:rFonts w:ascii="宋体" w:hAnsi="Courier New"/>
      <w:szCs w:val="20"/>
    </w:rPr>
  </w:style>
  <w:style w:type="paragraph" w:styleId="681">
    <w:name w:val="toc 8"/>
    <w:basedOn w:val="662"/>
    <w:next w:val="662"/>
    <w:uiPriority w:val="39"/>
    <w:unhideWhenUsed/>
    <w:qFormat/>
    <w:pPr>
      <w:ind w:left="1984" w:right="0" w:firstLine="0"/>
      <w:spacing w:after="57"/>
    </w:pPr>
  </w:style>
  <w:style w:type="paragraph" w:styleId="682">
    <w:name w:val="endnote text"/>
    <w:basedOn w:val="662"/>
    <w:link w:val="845"/>
    <w:uiPriority w:val="99"/>
    <w:semiHidden/>
    <w:unhideWhenUsed/>
    <w:qFormat/>
    <w:pPr>
      <w:spacing w:after="0" w:line="240" w:lineRule="auto"/>
    </w:pPr>
    <w:rPr>
      <w:sz w:val="20"/>
    </w:rPr>
  </w:style>
  <w:style w:type="paragraph" w:styleId="683">
    <w:name w:val="Footer"/>
    <w:basedOn w:val="662"/>
    <w:link w:val="849"/>
    <w:uiPriority w:val="0"/>
    <w:qFormat/>
    <w:pPr>
      <w:jc w:val="left"/>
      <w:tabs>
        <w:tab w:val="center" w:pos="4153" w:leader="none"/>
        <w:tab w:val="right" w:pos="8306" w:leader="none"/>
      </w:tabs>
    </w:pPr>
    <w:rPr>
      <w:sz w:val="18"/>
      <w:szCs w:val="18"/>
    </w:rPr>
  </w:style>
  <w:style w:type="paragraph" w:styleId="684">
    <w:name w:val="Header"/>
    <w:basedOn w:val="662"/>
    <w:link w:val="848"/>
    <w:uiPriority w:val="0"/>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62"/>
    <w:next w:val="662"/>
    <w:uiPriority w:val="39"/>
    <w:unhideWhenUsed/>
    <w:qFormat/>
    <w:pPr>
      <w:ind w:left="0" w:right="0" w:firstLine="0"/>
      <w:spacing w:after="57"/>
    </w:pPr>
  </w:style>
  <w:style w:type="paragraph" w:styleId="686">
    <w:name w:val="toc 4"/>
    <w:basedOn w:val="662"/>
    <w:next w:val="662"/>
    <w:uiPriority w:val="39"/>
    <w:unhideWhenUsed/>
    <w:qFormat/>
    <w:pPr>
      <w:ind w:left="850" w:right="0" w:firstLine="0"/>
      <w:spacing w:after="57"/>
    </w:pPr>
  </w:style>
  <w:style w:type="paragraph" w:styleId="687">
    <w:name w:val="Subtitle"/>
    <w:basedOn w:val="662"/>
    <w:next w:val="662"/>
    <w:link w:val="711"/>
    <w:uiPriority w:val="11"/>
    <w:qFormat/>
    <w:pPr>
      <w:spacing w:before="200" w:after="200"/>
    </w:pPr>
    <w:rPr>
      <w:sz w:val="24"/>
      <w:szCs w:val="24"/>
    </w:rPr>
  </w:style>
  <w:style w:type="paragraph" w:styleId="688">
    <w:name w:val="footnote text"/>
    <w:basedOn w:val="662"/>
    <w:link w:val="844"/>
    <w:uiPriority w:val="99"/>
    <w:semiHidden/>
    <w:unhideWhenUsed/>
    <w:qFormat/>
    <w:pPr>
      <w:spacing w:after="40" w:line="240" w:lineRule="auto"/>
    </w:pPr>
    <w:rPr>
      <w:sz w:val="18"/>
    </w:rPr>
  </w:style>
  <w:style w:type="paragraph" w:styleId="689">
    <w:name w:val="toc 6"/>
    <w:basedOn w:val="662"/>
    <w:next w:val="662"/>
    <w:uiPriority w:val="39"/>
    <w:unhideWhenUsed/>
    <w:qFormat/>
    <w:pPr>
      <w:ind w:left="1417" w:right="0" w:firstLine="0"/>
      <w:spacing w:after="57"/>
    </w:pPr>
  </w:style>
  <w:style w:type="paragraph" w:styleId="690">
    <w:name w:val="table of figures"/>
    <w:basedOn w:val="662"/>
    <w:next w:val="662"/>
    <w:uiPriority w:val="99"/>
    <w:unhideWhenUsed/>
    <w:qFormat/>
    <w:pPr>
      <w:spacing w:after="0" w:afterAutospacing="0"/>
    </w:pPr>
  </w:style>
  <w:style w:type="paragraph" w:styleId="691">
    <w:name w:val="toc 2"/>
    <w:basedOn w:val="662"/>
    <w:next w:val="662"/>
    <w:uiPriority w:val="39"/>
    <w:unhideWhenUsed/>
    <w:qFormat/>
    <w:pPr>
      <w:ind w:left="283" w:right="0" w:firstLine="0"/>
      <w:spacing w:after="57"/>
    </w:pPr>
  </w:style>
  <w:style w:type="paragraph" w:styleId="692">
    <w:name w:val="toc 9"/>
    <w:basedOn w:val="662"/>
    <w:next w:val="662"/>
    <w:uiPriority w:val="39"/>
    <w:unhideWhenUsed/>
    <w:qFormat/>
    <w:pPr>
      <w:ind w:left="2268" w:right="0" w:firstLine="0"/>
      <w:spacing w:after="57"/>
    </w:pPr>
  </w:style>
  <w:style w:type="paragraph" w:styleId="693">
    <w:name w:val="Normal (Web)"/>
    <w:basedOn w:val="662"/>
    <w:uiPriority w:val="0"/>
    <w:qFormat/>
    <w:pPr>
      <w:jc w:val="left"/>
      <w:spacing w:beforeAutospacing="1" w:afterAutospacing="1"/>
    </w:pPr>
    <w:rPr>
      <w:rFonts w:cs="Times New Roman"/>
      <w:sz w:val="24"/>
    </w:rPr>
  </w:style>
  <w:style w:type="paragraph" w:styleId="694">
    <w:name w:val="Title"/>
    <w:basedOn w:val="662"/>
    <w:next w:val="662"/>
    <w:link w:val="710"/>
    <w:uiPriority w:val="10"/>
    <w:qFormat/>
    <w:pPr>
      <w:contextualSpacing/>
      <w:spacing w:before="300" w:after="200"/>
    </w:pPr>
    <w:rPr>
      <w:sz w:val="48"/>
      <w:szCs w:val="48"/>
    </w:rPr>
  </w:style>
  <w:style w:type="table" w:styleId="695">
    <w:name w:val="Table Grid"/>
    <w:basedOn w:val="6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endnote reference"/>
    <w:basedOn w:val="672"/>
    <w:uiPriority w:val="99"/>
    <w:semiHidden/>
    <w:unhideWhenUsed/>
    <w:qFormat/>
    <w:rPr>
      <w:vertAlign w:val="superscript"/>
    </w:rPr>
  </w:style>
  <w:style w:type="character" w:styleId="697">
    <w:name w:val="Hyperlink"/>
    <w:uiPriority w:val="99"/>
    <w:unhideWhenUsed/>
    <w:qFormat/>
    <w:rPr>
      <w:color w:val="0563c1" w:themeColor="hyperlink"/>
      <w:u w:val="single"/>
      <w14:textFill>
        <w14:solidFill>
          <w14:schemeClr w14:val="hlink"/>
        </w14:solidFill>
      </w14:textFill>
    </w:rPr>
  </w:style>
  <w:style w:type="character" w:styleId="698">
    <w:name w:val="footnote reference"/>
    <w:basedOn w:val="672"/>
    <w:uiPriority w:val="99"/>
    <w:unhideWhenUsed/>
    <w:qFormat/>
    <w:rPr>
      <w:vertAlign w:val="superscript"/>
    </w:rPr>
  </w:style>
  <w:style w:type="character" w:styleId="699" w:customStyle="1">
    <w:name w:val="Heading 1 Char"/>
    <w:basedOn w:val="672"/>
    <w:link w:val="663"/>
    <w:uiPriority w:val="9"/>
    <w:qFormat/>
    <w:rPr>
      <w:rFonts w:ascii="Arial" w:hAnsi="Arial" w:eastAsia="Arial" w:cs="Arial"/>
      <w:sz w:val="40"/>
      <w:szCs w:val="40"/>
    </w:rPr>
  </w:style>
  <w:style w:type="character" w:styleId="700" w:customStyle="1">
    <w:name w:val="Heading 2 Char"/>
    <w:basedOn w:val="672"/>
    <w:uiPriority w:val="9"/>
    <w:qFormat/>
    <w:rPr>
      <w:rFonts w:ascii="Arial" w:hAnsi="Arial" w:eastAsia="Arial" w:cs="Arial"/>
      <w:sz w:val="34"/>
    </w:rPr>
  </w:style>
  <w:style w:type="character" w:styleId="701" w:customStyle="1">
    <w:name w:val="Heading 3 Char"/>
    <w:basedOn w:val="672"/>
    <w:link w:val="665"/>
    <w:uiPriority w:val="9"/>
    <w:qFormat/>
    <w:rPr>
      <w:rFonts w:ascii="Arial" w:hAnsi="Arial" w:eastAsia="Arial" w:cs="Arial"/>
      <w:sz w:val="30"/>
      <w:szCs w:val="30"/>
    </w:rPr>
  </w:style>
  <w:style w:type="character" w:styleId="702" w:customStyle="1">
    <w:name w:val="Heading 4 Char"/>
    <w:basedOn w:val="672"/>
    <w:link w:val="666"/>
    <w:uiPriority w:val="9"/>
    <w:qFormat/>
    <w:rPr>
      <w:rFonts w:ascii="Arial" w:hAnsi="Arial" w:eastAsia="Arial" w:cs="Arial"/>
      <w:b/>
      <w:bCs/>
      <w:sz w:val="26"/>
      <w:szCs w:val="26"/>
    </w:rPr>
  </w:style>
  <w:style w:type="character" w:styleId="703" w:customStyle="1">
    <w:name w:val="Heading 5 Char"/>
    <w:basedOn w:val="672"/>
    <w:link w:val="667"/>
    <w:uiPriority w:val="9"/>
    <w:qFormat/>
    <w:rPr>
      <w:rFonts w:ascii="Arial" w:hAnsi="Arial" w:eastAsia="Arial" w:cs="Arial"/>
      <w:b/>
      <w:bCs/>
      <w:sz w:val="24"/>
      <w:szCs w:val="24"/>
    </w:rPr>
  </w:style>
  <w:style w:type="character" w:styleId="704" w:customStyle="1">
    <w:name w:val="Heading 6 Char"/>
    <w:basedOn w:val="672"/>
    <w:link w:val="668"/>
    <w:uiPriority w:val="9"/>
    <w:qFormat/>
    <w:rPr>
      <w:rFonts w:ascii="Arial" w:hAnsi="Arial" w:eastAsia="Arial" w:cs="Arial"/>
      <w:b/>
      <w:bCs/>
      <w:sz w:val="22"/>
      <w:szCs w:val="22"/>
    </w:rPr>
  </w:style>
  <w:style w:type="character" w:styleId="705" w:customStyle="1">
    <w:name w:val="Heading 7 Char"/>
    <w:basedOn w:val="672"/>
    <w:link w:val="669"/>
    <w:uiPriority w:val="9"/>
    <w:qFormat/>
    <w:rPr>
      <w:rFonts w:ascii="Arial" w:hAnsi="Arial" w:eastAsia="Arial" w:cs="Arial"/>
      <w:b/>
      <w:bCs/>
      <w:i/>
      <w:iCs/>
      <w:sz w:val="22"/>
      <w:szCs w:val="22"/>
    </w:rPr>
  </w:style>
  <w:style w:type="character" w:styleId="706" w:customStyle="1">
    <w:name w:val="Heading 8 Char"/>
    <w:basedOn w:val="672"/>
    <w:link w:val="670"/>
    <w:uiPriority w:val="9"/>
    <w:qFormat/>
    <w:rPr>
      <w:rFonts w:ascii="Arial" w:hAnsi="Arial" w:eastAsia="Arial" w:cs="Arial"/>
      <w:i/>
      <w:iCs/>
      <w:sz w:val="22"/>
      <w:szCs w:val="22"/>
    </w:rPr>
  </w:style>
  <w:style w:type="character" w:styleId="707" w:customStyle="1">
    <w:name w:val="Heading 9 Char"/>
    <w:basedOn w:val="672"/>
    <w:link w:val="671"/>
    <w:uiPriority w:val="9"/>
    <w:qFormat/>
    <w:rPr>
      <w:rFonts w:ascii="Arial" w:hAnsi="Arial" w:eastAsia="Arial" w:cs="Arial"/>
      <w:i/>
      <w:iCs/>
      <w:sz w:val="21"/>
      <w:szCs w:val="21"/>
    </w:rPr>
  </w:style>
  <w:style w:type="paragraph" w:styleId="708">
    <w:name w:val="List Paragraph"/>
    <w:basedOn w:val="662"/>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basedOn w:val="672"/>
    <w:link w:val="694"/>
    <w:uiPriority w:val="10"/>
    <w:qFormat/>
    <w:rPr>
      <w:sz w:val="48"/>
      <w:szCs w:val="48"/>
    </w:rPr>
  </w:style>
  <w:style w:type="character" w:styleId="711" w:customStyle="1">
    <w:name w:val="Subtitle Char"/>
    <w:basedOn w:val="672"/>
    <w:link w:val="687"/>
    <w:uiPriority w:val="11"/>
    <w:qFormat/>
    <w:rPr>
      <w:sz w:val="24"/>
      <w:szCs w:val="24"/>
    </w:rPr>
  </w:style>
  <w:style w:type="paragraph" w:styleId="712">
    <w:name w:val="Quote"/>
    <w:basedOn w:val="662"/>
    <w:next w:val="662"/>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2"/>
    <w:next w:val="6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basedOn w:val="672"/>
    <w:uiPriority w:val="99"/>
    <w:qFormat/>
  </w:style>
  <w:style w:type="character" w:styleId="717" w:customStyle="1">
    <w:name w:val="Footer Char"/>
    <w:basedOn w:val="672"/>
    <w:uiPriority w:val="99"/>
    <w:qFormat/>
  </w:style>
  <w:style w:type="character" w:styleId="718" w:customStyle="1">
    <w:name w:val="Caption Char"/>
    <w:uiPriority w:val="99"/>
    <w:qFormat/>
  </w:style>
  <w:style w:type="table" w:styleId="719" w:customStyle="1">
    <w:name w:val="Table Grid Light"/>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7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7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7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7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7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7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7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7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7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7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7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7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9"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7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7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7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7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7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7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7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8" w:customStyle="1">
    <w:name w:val="Grid Table 4 - Accent 2"/>
    <w:basedOn w:val="67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9" w:customStyle="1">
    <w:name w:val="Grid Table 4 - Accent 3"/>
    <w:basedOn w:val="67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0" w:customStyle="1">
    <w:name w:val="Grid Table 4 - Accent 4"/>
    <w:basedOn w:val="67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1" w:customStyle="1">
    <w:name w:val="Grid Table 4 - Accent 5"/>
    <w:basedOn w:val="67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2" w:customStyle="1">
    <w:name w:val="Grid Table 4 - Accent 6"/>
    <w:basedOn w:val="67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3"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5" w:customStyle="1">
    <w:name w:val="Grid Table 5 Dark - Accent 2"/>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6" w:customStyle="1">
    <w:name w:val="Grid Table 5 Dark - Accent 3"/>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7" w:customStyle="1">
    <w:name w:val="Grid Table 5 Dark- Accent 4"/>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8" w:customStyle="1">
    <w:name w:val="Grid Table 5 Dark - Accent 5"/>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9" w:customStyle="1">
    <w:name w:val="Grid Table 5 Dark - Accent 6"/>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0"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7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7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7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7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7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6" w:customStyle="1">
    <w:name w:val="Grid Table 6 Colorful - Accent 6"/>
    <w:basedOn w:val="67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7"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7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7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7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7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7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7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7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7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7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7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7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7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1"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7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3" w:customStyle="1">
    <w:name w:val="List Table 2 - Accent 2"/>
    <w:basedOn w:val="67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4" w:customStyle="1">
    <w:name w:val="List Table 2 - Accent 3"/>
    <w:basedOn w:val="67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5" w:customStyle="1">
    <w:name w:val="List Table 2 - Accent 4"/>
    <w:basedOn w:val="67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6" w:customStyle="1">
    <w:name w:val="List Table 2 - Accent 5"/>
    <w:basedOn w:val="67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7" w:customStyle="1">
    <w:name w:val="List Table 2 - Accent 6"/>
    <w:basedOn w:val="67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8"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7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0" w:customStyle="1">
    <w:name w:val="List Table 3 - Accent 2"/>
    <w:basedOn w:val="67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7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7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7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7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5"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7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4 - Accent 2"/>
    <w:basedOn w:val="67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8" w:customStyle="1">
    <w:name w:val="List Table 4 - Accent 3"/>
    <w:basedOn w:val="67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9" w:customStyle="1">
    <w:name w:val="List Table 4 - Accent 4"/>
    <w:basedOn w:val="67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0" w:customStyle="1">
    <w:name w:val="List Table 4 - Accent 5"/>
    <w:basedOn w:val="67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1" w:customStyle="1">
    <w:name w:val="List Table 4 - Accent 6"/>
    <w:basedOn w:val="67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2"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basedOn w:val="67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basedOn w:val="67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basedOn w:val="67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basedOn w:val="67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basedOn w:val="67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basedOn w:val="67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7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1" w:customStyle="1">
    <w:name w:val="List Table 6 Colorful - Accent 2"/>
    <w:basedOn w:val="67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2" w:customStyle="1">
    <w:name w:val="List Table 6 Colorful - Accent 3"/>
    <w:basedOn w:val="67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3" w:customStyle="1">
    <w:name w:val="List Table 6 Colorful - Accent 4"/>
    <w:basedOn w:val="67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4" w:customStyle="1">
    <w:name w:val="List Table 6 Colorful - Accent 5"/>
    <w:basedOn w:val="67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5" w:customStyle="1">
    <w:name w:val="List Table 6 Colorful - Accent 6"/>
    <w:basedOn w:val="67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6"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7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7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7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7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7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7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5" w:customStyle="1">
    <w:name w:val="Lined - Accent 2"/>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6" w:customStyle="1">
    <w:name w:val="Lined - Accent 3"/>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7" w:customStyle="1">
    <w:name w:val="Lined - Accent 4"/>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8" w:customStyle="1">
    <w:name w:val="Lined - Accent 5"/>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9" w:customStyle="1">
    <w:name w:val="Lined - Accent 6"/>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0" w:customStyle="1">
    <w:name w:val="Bordered &amp; Lined - Accent"/>
    <w:basedOn w:val="6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7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Bordered &amp; Lined - Accent 2"/>
    <w:basedOn w:val="67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Bordered &amp; Lined - Accent 3"/>
    <w:basedOn w:val="67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Bordered &amp; Lined - Accent 4"/>
    <w:basedOn w:val="67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Bordered &amp; Lined - Accent 5"/>
    <w:basedOn w:val="67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Bordered &amp; Lined - Accent 6"/>
    <w:basedOn w:val="67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w:basedOn w:val="6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7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9" w:customStyle="1">
    <w:name w:val="Bordered - Accent 2"/>
    <w:basedOn w:val="67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0" w:customStyle="1">
    <w:name w:val="Bordered - Accent 3"/>
    <w:basedOn w:val="67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1" w:customStyle="1">
    <w:name w:val="Bordered - Accent 4"/>
    <w:basedOn w:val="67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2" w:customStyle="1">
    <w:name w:val="Bordered - Accent 5"/>
    <w:basedOn w:val="67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3" w:customStyle="1">
    <w:name w:val="Bordered - Accent 6"/>
    <w:basedOn w:val="67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4" w:customStyle="1">
    <w:name w:val="Footnote Text Char"/>
    <w:link w:val="688"/>
    <w:uiPriority w:val="99"/>
    <w:qFormat/>
    <w:rPr>
      <w:sz w:val="18"/>
    </w:rPr>
  </w:style>
  <w:style w:type="character" w:styleId="845" w:customStyle="1">
    <w:name w:val="Endnote Text Char"/>
    <w:link w:val="682"/>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Default"/>
    <w:basedOn w:val="662"/>
    <w:uiPriority w:val="0"/>
    <w:semiHidden/>
    <w:qFormat/>
    <w:pPr>
      <w:jc w:val="left"/>
    </w:pPr>
    <w:rPr>
      <w:rFonts w:ascii="宋体" w:hAnsi="Calibri" w:cs="宋体"/>
      <w:color w:val="000000"/>
      <w:sz w:val="24"/>
    </w:rPr>
  </w:style>
  <w:style w:type="character" w:styleId="848" w:customStyle="1">
    <w:name w:val="页眉 字符"/>
    <w:basedOn w:val="672"/>
    <w:link w:val="684"/>
    <w:uiPriority w:val="0"/>
    <w:qFormat/>
    <w:rPr>
      <w:rFonts w:asciiTheme="minorHAnsi" w:hAnsiTheme="minorHAnsi" w:eastAsiaTheme="minorEastAsia" w:cstheme="minorBidi"/>
      <w:sz w:val="18"/>
      <w:szCs w:val="18"/>
    </w:rPr>
  </w:style>
  <w:style w:type="character" w:styleId="849" w:customStyle="1">
    <w:name w:val="页脚 字符"/>
    <w:basedOn w:val="672"/>
    <w:link w:val="683"/>
    <w:uiPriority w:val="0"/>
    <w:qFormat/>
    <w:rPr>
      <w:rFonts w:asciiTheme="minorHAnsi" w:hAnsiTheme="minorHAnsi" w:eastAsiaTheme="minorEastAsia" w:cstheme="minorBidi"/>
      <w:sz w:val="18"/>
      <w:szCs w:val="18"/>
    </w:rPr>
  </w:style>
  <w:style w:type="paragraph" w:styleId="850" w:customStyle="1">
    <w:name w:val="普通正文"/>
    <w:basedOn w:val="662"/>
    <w:uiPriority w:val="0"/>
    <w:qFormat/>
    <w:pPr>
      <w:ind w:firstLine="480"/>
      <w:jc w:val="left"/>
      <w:spacing w:before="120" w:after="120" w:line="360" w:lineRule="auto"/>
    </w:pPr>
    <w:rPr>
      <w:rFonts w:ascii="Arial" w:hAnsi="Arial" w:eastAsia="等线" w:cs="Arial"/>
      <w:sz w:val="24"/>
    </w:rPr>
  </w:style>
  <w:style w:type="paragraph" w:styleId="851" w:customStyle="1">
    <w:name w:val="正文首行缩进 21"/>
    <w:basedOn w:val="852"/>
    <w:uiPriority w:val="0"/>
    <w:qFormat/>
    <w:pPr>
      <w:ind w:firstLine="420"/>
    </w:pPr>
  </w:style>
  <w:style w:type="paragraph" w:styleId="852" w:customStyle="1">
    <w:name w:val="正文文本缩进1"/>
    <w:basedOn w:val="662"/>
    <w:uiPriority w:val="0"/>
    <w:qFormat/>
    <w:pPr>
      <w:ind w:left="420"/>
      <w:spacing w:after="120"/>
    </w:pPr>
  </w:style>
  <w:style w:type="paragraph" w:styleId="853" w:customStyle="1">
    <w:name w:val="正文1"/>
    <w:uiPriority w:val="0"/>
    <w:qFormat/>
    <w:rPr>
      <w:rFonts w:hint="default" w:ascii="Helvetica" w:hAnsi="Helvetica" w:eastAsia="Arial Unicode MS" w:cs="Arial Unicode MS"/>
      <w:color w:val="000000"/>
      <w:sz w:val="22"/>
      <w:szCs w:val="22"/>
    </w:rPr>
  </w:style>
  <w:style w:type="paragraph" w:styleId="854" w:customStyle="1">
    <w:name w:val="列出段落3"/>
    <w:basedOn w:val="662"/>
    <w:uiPriority w:val="34"/>
    <w:qFormat/>
    <w:pPr>
      <w:ind w:firstLine="420"/>
    </w:pPr>
    <w:rPr>
      <w:szCs w:val="21"/>
    </w:rPr>
  </w:style>
  <w:style w:type="numbering" w:styleId="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8</cp:revision>
  <dcterms:created xsi:type="dcterms:W3CDTF">2026-02-04T06:37:00Z</dcterms:created>
  <dcterms:modified xsi:type="dcterms:W3CDTF">2026-02-05T02:54:17Z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65759699444F44BBBFCCC89CEABA8F49_13</vt:lpwstr>
  </property>
  <property fmtid="{D5CDD505-2E9C-101B-9397-08002B2CF9AE}" pid="4" name="KSOTemplateDocerSaveRecord">
    <vt:lpwstr>eyJoZGlkIjoiZGY0ZDBmZDZhYjVkYzg4MDhiODg4ZjQxYjgwYTBjMDUiLCJ1c2VySWQiOiI3NDY4MTA0NjEifQ==</vt:lpwstr>
  </property>
</Properties>
</file>