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3"/>
        <w:spacing w:before="120" w:beforeAutospacing="0" w:after="120" w:afterAutospacing="0" w:line="360" w:lineRule="auto"/>
        <w:rPr>
          <w:color w:val="auto"/>
          <w:highlight w:val="none"/>
        </w:rPr>
      </w:pPr>
      <w:r>
        <w:rPr>
          <w:color w:val="auto"/>
          <w:highlight w:val="none"/>
        </w:rPr>
        <w:t> </w:t>
      </w:r>
    </w:p>
    <w:p w14:paraId="6A6B462D">
      <w:pPr>
        <w:pStyle w:val="13"/>
        <w:spacing w:before="120" w:beforeAutospacing="0" w:after="120" w:afterAutospacing="0" w:line="360" w:lineRule="auto"/>
        <w:jc w:val="center"/>
        <w:rPr>
          <w:rFonts w:ascii="Arial" w:hAnsi="Arial" w:cs="Arial"/>
          <w:b/>
          <w:color w:val="auto"/>
          <w:sz w:val="84"/>
          <w:szCs w:val="84"/>
          <w:highlight w:val="none"/>
        </w:rPr>
      </w:pPr>
    </w:p>
    <w:p w14:paraId="0748D618">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0122C4BF">
      <w:pPr>
        <w:pStyle w:val="13"/>
        <w:keepNext w:val="0"/>
        <w:keepLines w:val="0"/>
        <w:pageBreakBefore w:val="0"/>
        <w:widowControl w:val="0"/>
        <w:kinsoku w:val="0"/>
        <w:wordWrap/>
        <w:overflowPunct w:val="0"/>
        <w:topLinePunct w:val="0"/>
        <w:autoSpaceDE w:val="0"/>
        <w:autoSpaceDN w:val="0"/>
        <w:bidi w:val="0"/>
        <w:adjustRightInd/>
        <w:snapToGrid/>
        <w:spacing w:before="120" w:beforeAutospacing="0" w:after="120" w:afterAutospacing="0" w:line="360" w:lineRule="auto"/>
        <w:jc w:val="center"/>
        <w:textAlignment w:val="auto"/>
        <w:rPr>
          <w:rFonts w:ascii="Arial" w:hAnsi="Arial" w:cs="Arial"/>
          <w:b/>
          <w:color w:val="auto"/>
          <w:sz w:val="32"/>
          <w:szCs w:val="32"/>
          <w:highlight w:val="none"/>
        </w:rPr>
      </w:pPr>
    </w:p>
    <w:p w14:paraId="4962BA56">
      <w:pPr>
        <w:pStyle w:val="13"/>
        <w:keepNext w:val="0"/>
        <w:keepLines w:val="0"/>
        <w:pageBreakBefore w:val="0"/>
        <w:widowControl w:val="0"/>
        <w:kinsoku w:val="0"/>
        <w:wordWrap/>
        <w:overflowPunct w:val="0"/>
        <w:topLinePunct w:val="0"/>
        <w:autoSpaceDE w:val="0"/>
        <w:autoSpaceDN w:val="0"/>
        <w:bidi w:val="0"/>
        <w:adjustRightInd/>
        <w:snapToGrid/>
        <w:spacing w:before="120" w:beforeAutospacing="0" w:after="120" w:afterAutospacing="0" w:line="360" w:lineRule="auto"/>
        <w:jc w:val="left"/>
        <w:textAlignment w:val="auto"/>
        <w:rPr>
          <w:rFonts w:ascii="Arial" w:hAnsi="Arial" w:cs="Arial"/>
          <w:b/>
          <w:color w:val="auto"/>
          <w:sz w:val="32"/>
          <w:szCs w:val="32"/>
          <w:highlight w:val="none"/>
        </w:rPr>
      </w:pPr>
    </w:p>
    <w:p w14:paraId="4E526098">
      <w:pPr>
        <w:pStyle w:val="13"/>
        <w:keepNext w:val="0"/>
        <w:keepLines w:val="0"/>
        <w:pageBreakBefore w:val="0"/>
        <w:widowControl w:val="0"/>
        <w:kinsoku w:val="0"/>
        <w:wordWrap/>
        <w:overflowPunct w:val="0"/>
        <w:topLinePunct w:val="0"/>
        <w:autoSpaceDE w:val="0"/>
        <w:autoSpaceDN w:val="0"/>
        <w:bidi w:val="0"/>
        <w:adjustRightInd/>
        <w:snapToGrid/>
        <w:spacing w:before="120" w:beforeAutospacing="0" w:after="120" w:afterAutospacing="0" w:line="360" w:lineRule="auto"/>
        <w:jc w:val="left"/>
        <w:textAlignment w:val="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w:t>
      </w:r>
      <w:r>
        <w:rPr>
          <w:rFonts w:hint="default" w:ascii="Times New Roman" w:hAnsi="Times New Roman" w:cs="Times New Roman"/>
          <w:b/>
          <w:color w:val="auto"/>
          <w:sz w:val="32"/>
          <w:szCs w:val="32"/>
          <w:highlight w:val="none"/>
          <w:lang w:eastAsia="zh-CN"/>
        </w:rPr>
        <w:t>2026-2028</w:t>
      </w:r>
      <w:r>
        <w:rPr>
          <w:rFonts w:hint="eastAsia" w:ascii="Arial" w:hAnsi="Arial" w:cs="Arial"/>
          <w:b/>
          <w:color w:val="auto"/>
          <w:sz w:val="32"/>
          <w:szCs w:val="32"/>
          <w:highlight w:val="none"/>
          <w:lang w:eastAsia="zh-CN"/>
        </w:rPr>
        <w:t>年普通国省道桥梁结构监测系统运维项目</w:t>
      </w:r>
    </w:p>
    <w:p w14:paraId="5BAD00F2">
      <w:pPr>
        <w:pStyle w:val="13"/>
        <w:spacing w:before="120" w:beforeAutospacing="0" w:after="120" w:afterAutospacing="0" w:line="360" w:lineRule="auto"/>
        <w:rPr>
          <w:color w:val="auto"/>
          <w:highlight w:val="none"/>
        </w:rPr>
      </w:pPr>
      <w:r>
        <w:rPr>
          <w:rFonts w:ascii="Arial" w:hAnsi="Arial" w:cs="Arial"/>
          <w:b/>
          <w:color w:val="auto"/>
          <w:sz w:val="32"/>
          <w:szCs w:val="32"/>
          <w:highlight w:val="none"/>
        </w:rPr>
        <w:t>项目编号：</w:t>
      </w:r>
      <w:r>
        <w:rPr>
          <w:rFonts w:hint="eastAsia" w:ascii="Arial" w:hAnsi="Arial" w:cs="Arial"/>
          <w:b/>
          <w:color w:val="auto"/>
          <w:sz w:val="32"/>
          <w:szCs w:val="32"/>
          <w:highlight w:val="none"/>
          <w:lang w:eastAsia="zh-CN"/>
        </w:rPr>
        <w:t>JSZC-320900-SZDL-G2026-0007</w:t>
      </w:r>
      <w:r>
        <w:rPr>
          <w:rFonts w:ascii="Times New Roman" w:hAnsi="Times New Roman"/>
          <w:b/>
          <w:color w:val="auto"/>
          <w:sz w:val="30"/>
          <w:szCs w:val="30"/>
          <w:highlight w:val="none"/>
        </w:rPr>
        <w:t xml:space="preserve">  </w:t>
      </w:r>
    </w:p>
    <w:p w14:paraId="6F53CC27">
      <w:pPr>
        <w:pStyle w:val="13"/>
        <w:spacing w:beforeAutospacing="0" w:afterAutospacing="0" w:line="360" w:lineRule="auto"/>
        <w:rPr>
          <w:color w:val="auto"/>
          <w:highlight w:val="none"/>
        </w:rPr>
      </w:pPr>
      <w:r>
        <w:rPr>
          <w:color w:val="auto"/>
          <w:highlight w:val="none"/>
        </w:rPr>
        <w:t> </w:t>
      </w:r>
    </w:p>
    <w:p w14:paraId="062C3A68">
      <w:pPr>
        <w:pStyle w:val="13"/>
        <w:spacing w:beforeAutospacing="0" w:afterAutospacing="0" w:line="360" w:lineRule="auto"/>
        <w:rPr>
          <w:color w:val="auto"/>
          <w:highlight w:val="none"/>
        </w:rPr>
      </w:pPr>
      <w:r>
        <w:rPr>
          <w:color w:val="auto"/>
          <w:highlight w:val="none"/>
        </w:rPr>
        <w:t> </w:t>
      </w:r>
    </w:p>
    <w:p w14:paraId="24182504">
      <w:pPr>
        <w:pStyle w:val="13"/>
        <w:spacing w:beforeAutospacing="0" w:afterAutospacing="0" w:line="360" w:lineRule="auto"/>
        <w:rPr>
          <w:color w:val="auto"/>
          <w:highlight w:val="none"/>
        </w:rPr>
      </w:pPr>
      <w:r>
        <w:rPr>
          <w:color w:val="auto"/>
          <w:highlight w:val="none"/>
        </w:rPr>
        <w:t> </w:t>
      </w:r>
    </w:p>
    <w:p w14:paraId="3C13D1EC">
      <w:pPr>
        <w:pStyle w:val="13"/>
        <w:spacing w:beforeAutospacing="0" w:afterAutospacing="0" w:line="360" w:lineRule="auto"/>
        <w:rPr>
          <w:color w:val="auto"/>
          <w:highlight w:val="none"/>
        </w:rPr>
      </w:pPr>
      <w:r>
        <w:rPr>
          <w:color w:val="auto"/>
          <w:highlight w:val="none"/>
        </w:rPr>
        <w:t> </w:t>
      </w:r>
    </w:p>
    <w:p w14:paraId="68483B32">
      <w:pPr>
        <w:pStyle w:val="13"/>
        <w:spacing w:beforeAutospacing="0" w:afterAutospacing="0" w:line="360" w:lineRule="auto"/>
        <w:rPr>
          <w:color w:val="auto"/>
          <w:highlight w:val="none"/>
        </w:rPr>
      </w:pPr>
      <w:r>
        <w:rPr>
          <w:color w:val="auto"/>
          <w:highlight w:val="none"/>
        </w:rPr>
        <w:t> </w:t>
      </w:r>
    </w:p>
    <w:p w14:paraId="5C4F9B91">
      <w:pPr>
        <w:pStyle w:val="13"/>
        <w:spacing w:beforeAutospacing="0" w:afterAutospacing="0" w:line="360" w:lineRule="auto"/>
        <w:rPr>
          <w:color w:val="auto"/>
          <w:highlight w:val="none"/>
        </w:rPr>
      </w:pPr>
      <w:r>
        <w:rPr>
          <w:color w:val="auto"/>
          <w:highlight w:val="none"/>
        </w:rPr>
        <w:t> </w:t>
      </w:r>
    </w:p>
    <w:p w14:paraId="38DC4F88">
      <w:pPr>
        <w:pStyle w:val="13"/>
        <w:spacing w:beforeAutospacing="0" w:afterAutospacing="0" w:line="360" w:lineRule="auto"/>
        <w:rPr>
          <w:color w:val="auto"/>
          <w:highlight w:val="none"/>
        </w:rPr>
      </w:pPr>
      <w:r>
        <w:rPr>
          <w:color w:val="auto"/>
          <w:highlight w:val="none"/>
        </w:rPr>
        <w:t> </w:t>
      </w:r>
    </w:p>
    <w:p w14:paraId="7B277374">
      <w:pPr>
        <w:pStyle w:val="1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宋体" w:hAnsi="宋体" w:cs="宋体"/>
          <w:b/>
          <w:bCs/>
          <w:color w:val="auto"/>
          <w:sz w:val="32"/>
          <w:highlight w:val="none"/>
          <w:lang w:eastAsia="zh-CN"/>
        </w:rPr>
        <w:t>盐城市公路事业发展中心</w:t>
      </w:r>
    </w:p>
    <w:p w14:paraId="36E8D47F">
      <w:pPr>
        <w:pStyle w:val="13"/>
        <w:spacing w:before="120" w:beforeAutospacing="0" w:after="120" w:afterAutospacing="0" w:line="360" w:lineRule="auto"/>
        <w:jc w:val="center"/>
        <w:rPr>
          <w:color w:val="auto"/>
          <w:highlight w:val="none"/>
        </w:rPr>
      </w:pPr>
      <w:r>
        <w:rPr>
          <w:rFonts w:hint="default" w:ascii="Times New Roman" w:hAnsi="Times New Roman" w:cs="Times New Roman"/>
          <w:b/>
          <w:bCs/>
          <w:color w:val="auto"/>
          <w:sz w:val="32"/>
          <w:highlight w:val="none"/>
        </w:rPr>
        <w:t>2026年</w:t>
      </w:r>
      <w:r>
        <w:rPr>
          <w:rFonts w:hint="eastAsia" w:ascii="Times New Roman" w:hAnsi="Times New Roman" w:cs="Times New Roman"/>
          <w:b/>
          <w:bCs/>
          <w:color w:val="auto"/>
          <w:sz w:val="32"/>
          <w:highlight w:val="none"/>
          <w:lang w:val="en-US" w:eastAsia="zh-CN"/>
        </w:rPr>
        <w:t>6</w:t>
      </w:r>
      <w:r>
        <w:rPr>
          <w:rFonts w:hint="default" w:ascii="Times New Roman" w:hAnsi="Times New Roman" w:cs="Times New Roman"/>
          <w:b/>
          <w:bCs/>
          <w:color w:val="auto"/>
          <w:sz w:val="32"/>
          <w:highlight w:val="none"/>
        </w:rPr>
        <w:t>月</w:t>
      </w:r>
    </w:p>
    <w:p w14:paraId="07289AF9">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77109889">
      <w:pPr>
        <w:pStyle w:val="13"/>
        <w:spacing w:before="120" w:beforeAutospacing="0" w:after="120" w:afterAutospacing="0" w:line="360" w:lineRule="auto"/>
        <w:jc w:val="center"/>
        <w:rPr>
          <w:color w:val="auto"/>
          <w:highlight w:val="none"/>
        </w:rPr>
      </w:pPr>
      <w:r>
        <w:rPr>
          <w:color w:val="auto"/>
          <w:highlight w:val="none"/>
        </w:rPr>
        <w:t> </w:t>
      </w:r>
    </w:p>
    <w:p w14:paraId="3334093D">
      <w:pPr>
        <w:pStyle w:val="13"/>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br w:type="page"/>
      </w:r>
    </w:p>
    <w:p w14:paraId="0CB5B633">
      <w:pPr>
        <w:pStyle w:val="13"/>
        <w:spacing w:beforeAutospacing="0" w:afterAutospacing="0" w:line="480" w:lineRule="auto"/>
        <w:jc w:val="center"/>
        <w:rPr>
          <w:rFonts w:ascii="Times New Roman" w:hAnsi="Times New Roman"/>
          <w:color w:val="auto"/>
          <w:sz w:val="21"/>
          <w:szCs w:val="21"/>
          <w:highlight w:val="none"/>
        </w:rPr>
      </w:pPr>
      <w:r>
        <w:rPr>
          <w:rFonts w:ascii="Times New Roman" w:hAnsi="Times New Roman"/>
          <w:color w:val="auto"/>
          <w:sz w:val="21"/>
          <w:szCs w:val="21"/>
          <w:highlight w:val="none"/>
        </w:rPr>
        <w:t> </w:t>
      </w:r>
      <w:bookmarkStart w:id="0" w:name="_Toc513029200"/>
      <w:bookmarkStart w:id="1" w:name="_Toc479757206"/>
      <w:bookmarkStart w:id="2" w:name="_Toc20823272"/>
      <w:bookmarkStart w:id="3" w:name="_Toc120614210"/>
      <w:bookmarkStart w:id="4" w:name="_Toc16938516"/>
      <w:bookmarkStart w:id="5" w:name="_Toc523127445"/>
      <w:r>
        <w:rPr>
          <w:rFonts w:ascii="Times New Roman" w:hAnsi="Times New Roman"/>
          <w:color w:val="auto"/>
          <w:sz w:val="21"/>
          <w:szCs w:val="21"/>
          <w:highlight w:val="none"/>
        </w:rPr>
        <w:t> </w:t>
      </w:r>
    </w:p>
    <w:p w14:paraId="1C306D57">
      <w:pPr>
        <w:pStyle w:val="13"/>
        <w:spacing w:beforeAutospacing="0" w:afterAutospacing="0" w:line="480" w:lineRule="auto"/>
        <w:jc w:val="center"/>
        <w:rPr>
          <w:color w:val="auto"/>
          <w:highlight w:val="none"/>
        </w:rPr>
      </w:pP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6EB96C7E">
      <w:pPr>
        <w:pStyle w:val="13"/>
        <w:spacing w:beforeAutospacing="0" w:afterAutospacing="0" w:line="480" w:lineRule="auto"/>
        <w:jc w:val="both"/>
        <w:rPr>
          <w:color w:val="auto"/>
          <w:highlight w:val="none"/>
        </w:rPr>
      </w:pPr>
      <w:r>
        <w:rPr>
          <w:color w:val="auto"/>
          <w:highlight w:val="none"/>
        </w:rPr>
        <w:t> </w:t>
      </w:r>
    </w:p>
    <w:p w14:paraId="63E5A6A0">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 xml:space="preserve">…………………………………… </w:t>
      </w:r>
    </w:p>
    <w:p w14:paraId="3F048C29">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eastAsia="zh-CN"/>
        </w:rPr>
        <w:t>供应商</w:t>
      </w:r>
      <w:r>
        <w:rPr>
          <w:rFonts w:hint="eastAsia" w:ascii="黑体" w:hAnsi="宋体" w:eastAsia="黑体" w:cs="黑体"/>
          <w:color w:val="auto"/>
          <w:sz w:val="36"/>
          <w:szCs w:val="36"/>
          <w:highlight w:val="none"/>
        </w:rPr>
        <w:t xml:space="preserve">须知…………………………………  </w:t>
      </w:r>
    </w:p>
    <w:p w14:paraId="36557F5B">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合同文本……………………………………</w:t>
      </w:r>
    </w:p>
    <w:p w14:paraId="76DCD7D4">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620E178A">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评标方法与评标标准………………………</w:t>
      </w:r>
    </w:p>
    <w:p w14:paraId="6D203C59">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投标文件格式………………………………</w:t>
      </w:r>
    </w:p>
    <w:p w14:paraId="64341C45">
      <w:pPr>
        <w:pStyle w:val="13"/>
        <w:spacing w:beforeAutospacing="0" w:afterAutospacing="0"/>
        <w:jc w:val="both"/>
        <w:rPr>
          <w:color w:val="auto"/>
          <w:highlight w:val="none"/>
        </w:rPr>
      </w:pPr>
      <w:r>
        <w:rPr>
          <w:color w:val="auto"/>
          <w:highlight w:val="none"/>
        </w:rPr>
        <w:t> </w:t>
      </w:r>
    </w:p>
    <w:p w14:paraId="16364196">
      <w:pPr>
        <w:pStyle w:val="13"/>
        <w:spacing w:beforeAutospacing="0" w:afterAutospacing="0"/>
        <w:jc w:val="both"/>
        <w:rPr>
          <w:color w:val="auto"/>
          <w:highlight w:val="none"/>
        </w:rPr>
      </w:pPr>
      <w:r>
        <w:rPr>
          <w:color w:val="auto"/>
          <w:highlight w:val="none"/>
        </w:rPr>
        <w:t> </w:t>
      </w:r>
    </w:p>
    <w:p w14:paraId="11556BE8">
      <w:pPr>
        <w:pStyle w:val="13"/>
        <w:spacing w:beforeAutospacing="0" w:afterAutospacing="0"/>
        <w:jc w:val="both"/>
        <w:rPr>
          <w:color w:val="auto"/>
          <w:highlight w:val="none"/>
        </w:rPr>
      </w:pPr>
      <w:r>
        <w:rPr>
          <w:color w:val="auto"/>
          <w:highlight w:val="none"/>
        </w:rPr>
        <w:t> </w:t>
      </w:r>
    </w:p>
    <w:p w14:paraId="7B29980D">
      <w:pPr>
        <w:pStyle w:val="13"/>
        <w:spacing w:beforeAutospacing="0" w:afterAutospacing="0"/>
        <w:jc w:val="both"/>
        <w:rPr>
          <w:color w:val="auto"/>
          <w:highlight w:val="none"/>
        </w:rPr>
      </w:pPr>
      <w:r>
        <w:rPr>
          <w:color w:val="auto"/>
          <w:highlight w:val="none"/>
        </w:rPr>
        <w:t> </w:t>
      </w:r>
    </w:p>
    <w:p w14:paraId="1611712B">
      <w:pPr>
        <w:pStyle w:val="13"/>
        <w:spacing w:beforeAutospacing="0" w:afterAutospacing="0"/>
        <w:jc w:val="both"/>
        <w:rPr>
          <w:color w:val="auto"/>
          <w:highlight w:val="none"/>
        </w:rPr>
      </w:pPr>
      <w:r>
        <w:rPr>
          <w:color w:val="auto"/>
          <w:highlight w:val="none"/>
        </w:rPr>
        <w:t> </w:t>
      </w:r>
    </w:p>
    <w:p w14:paraId="69FAA169">
      <w:pPr>
        <w:pStyle w:val="13"/>
        <w:spacing w:beforeAutospacing="0" w:afterAutospacing="0"/>
        <w:jc w:val="both"/>
        <w:rPr>
          <w:color w:val="auto"/>
          <w:highlight w:val="none"/>
        </w:rPr>
      </w:pPr>
      <w:r>
        <w:rPr>
          <w:color w:val="auto"/>
          <w:highlight w:val="none"/>
        </w:rPr>
        <w:t> </w:t>
      </w:r>
    </w:p>
    <w:p w14:paraId="4182AF71">
      <w:pPr>
        <w:pStyle w:val="13"/>
        <w:spacing w:beforeAutospacing="0" w:afterAutospacing="0"/>
        <w:jc w:val="both"/>
        <w:rPr>
          <w:color w:val="auto"/>
          <w:highlight w:val="none"/>
        </w:rPr>
      </w:pPr>
      <w:r>
        <w:rPr>
          <w:color w:val="auto"/>
          <w:highlight w:val="none"/>
        </w:rPr>
        <w:t> </w:t>
      </w:r>
    </w:p>
    <w:p w14:paraId="71654CC7">
      <w:pPr>
        <w:pStyle w:val="13"/>
        <w:spacing w:beforeAutospacing="0" w:afterAutospacing="0"/>
        <w:jc w:val="both"/>
        <w:rPr>
          <w:color w:val="auto"/>
          <w:highlight w:val="none"/>
        </w:rPr>
      </w:pPr>
      <w:r>
        <w:rPr>
          <w:color w:val="auto"/>
          <w:highlight w:val="none"/>
        </w:rPr>
        <w:t> </w:t>
      </w:r>
    </w:p>
    <w:p w14:paraId="04037430">
      <w:pPr>
        <w:pStyle w:val="13"/>
        <w:spacing w:beforeAutospacing="0" w:afterAutospacing="0"/>
        <w:jc w:val="both"/>
        <w:rPr>
          <w:color w:val="auto"/>
          <w:highlight w:val="none"/>
        </w:rPr>
      </w:pPr>
      <w:r>
        <w:rPr>
          <w:color w:val="auto"/>
          <w:highlight w:val="none"/>
        </w:rPr>
        <w:t> </w:t>
      </w:r>
    </w:p>
    <w:p w14:paraId="781B204C">
      <w:pPr>
        <w:pStyle w:val="13"/>
        <w:spacing w:beforeAutospacing="0" w:afterAutospacing="0"/>
        <w:jc w:val="both"/>
        <w:rPr>
          <w:color w:val="auto"/>
          <w:highlight w:val="none"/>
        </w:rPr>
      </w:pPr>
      <w:r>
        <w:rPr>
          <w:color w:val="auto"/>
          <w:highlight w:val="none"/>
        </w:rPr>
        <w:t> </w:t>
      </w:r>
    </w:p>
    <w:p w14:paraId="267F7F03">
      <w:pPr>
        <w:pStyle w:val="13"/>
        <w:spacing w:beforeAutospacing="0" w:afterAutospacing="0"/>
        <w:jc w:val="both"/>
        <w:rPr>
          <w:color w:val="auto"/>
          <w:highlight w:val="none"/>
        </w:rPr>
      </w:pPr>
      <w:r>
        <w:rPr>
          <w:color w:val="auto"/>
          <w:highlight w:val="none"/>
        </w:rPr>
        <w:t> </w:t>
      </w:r>
    </w:p>
    <w:p w14:paraId="27498963">
      <w:pPr>
        <w:pStyle w:val="13"/>
        <w:spacing w:beforeAutospacing="0" w:afterAutospacing="0"/>
        <w:jc w:val="both"/>
        <w:rPr>
          <w:color w:val="auto"/>
          <w:highlight w:val="none"/>
        </w:rPr>
      </w:pPr>
      <w:r>
        <w:rPr>
          <w:color w:val="auto"/>
          <w:highlight w:val="none"/>
        </w:rPr>
        <w:t> </w:t>
      </w:r>
    </w:p>
    <w:p w14:paraId="46A18BE9">
      <w:pPr>
        <w:pStyle w:val="13"/>
        <w:spacing w:beforeAutospacing="0" w:afterAutospacing="0"/>
        <w:jc w:val="both"/>
        <w:rPr>
          <w:color w:val="auto"/>
          <w:highlight w:val="none"/>
        </w:rPr>
      </w:pPr>
      <w:r>
        <w:rPr>
          <w:color w:val="auto"/>
          <w:highlight w:val="none"/>
        </w:rPr>
        <w:t> </w:t>
      </w:r>
    </w:p>
    <w:p w14:paraId="4328D0A4">
      <w:pPr>
        <w:pStyle w:val="13"/>
        <w:spacing w:beforeAutospacing="0" w:afterAutospacing="0"/>
        <w:jc w:val="both"/>
        <w:rPr>
          <w:color w:val="auto"/>
          <w:highlight w:val="none"/>
        </w:rPr>
      </w:pPr>
      <w:r>
        <w:rPr>
          <w:color w:val="auto"/>
          <w:highlight w:val="none"/>
        </w:rPr>
        <w:t> </w:t>
      </w:r>
    </w:p>
    <w:p w14:paraId="6222989F">
      <w:pPr>
        <w:pStyle w:val="13"/>
        <w:spacing w:beforeAutospacing="0" w:afterAutospacing="0"/>
        <w:jc w:val="both"/>
        <w:rPr>
          <w:color w:val="auto"/>
          <w:highlight w:val="none"/>
        </w:rPr>
      </w:pPr>
      <w:r>
        <w:rPr>
          <w:color w:val="auto"/>
          <w:highlight w:val="none"/>
        </w:rPr>
        <w:t> </w:t>
      </w:r>
    </w:p>
    <w:p w14:paraId="16612821">
      <w:pPr>
        <w:pStyle w:val="13"/>
        <w:spacing w:beforeAutospacing="0" w:afterAutospacing="0"/>
        <w:jc w:val="both"/>
        <w:rPr>
          <w:color w:val="auto"/>
          <w:highlight w:val="none"/>
        </w:rPr>
      </w:pPr>
      <w:r>
        <w:rPr>
          <w:color w:val="auto"/>
          <w:highlight w:val="none"/>
        </w:rPr>
        <w:t> </w:t>
      </w:r>
    </w:p>
    <w:p w14:paraId="34917203">
      <w:pPr>
        <w:pStyle w:val="13"/>
        <w:spacing w:beforeAutospacing="0" w:afterAutospacing="0"/>
        <w:jc w:val="both"/>
        <w:rPr>
          <w:color w:val="auto"/>
          <w:highlight w:val="none"/>
        </w:rPr>
      </w:pPr>
      <w:r>
        <w:rPr>
          <w:color w:val="auto"/>
          <w:highlight w:val="none"/>
        </w:rPr>
        <w:t> </w:t>
      </w:r>
    </w:p>
    <w:p w14:paraId="2132A022">
      <w:pPr>
        <w:pStyle w:val="13"/>
        <w:spacing w:beforeAutospacing="0" w:afterAutospacing="0"/>
        <w:jc w:val="both"/>
        <w:rPr>
          <w:color w:val="auto"/>
          <w:highlight w:val="none"/>
        </w:rPr>
      </w:pPr>
      <w:r>
        <w:rPr>
          <w:color w:val="auto"/>
          <w:highlight w:val="none"/>
        </w:rPr>
        <w:t> </w:t>
      </w:r>
    </w:p>
    <w:p w14:paraId="403C6B04">
      <w:pPr>
        <w:pStyle w:val="13"/>
        <w:spacing w:beforeAutospacing="0" w:afterAutospacing="0"/>
        <w:jc w:val="both"/>
        <w:rPr>
          <w:color w:val="auto"/>
          <w:highlight w:val="none"/>
        </w:rPr>
      </w:pPr>
      <w:r>
        <w:rPr>
          <w:color w:val="auto"/>
          <w:highlight w:val="none"/>
        </w:rPr>
        <w:t> </w:t>
      </w:r>
    </w:p>
    <w:p w14:paraId="4D3F100B">
      <w:pPr>
        <w:pStyle w:val="13"/>
        <w:spacing w:beforeAutospacing="0" w:afterAutospacing="0"/>
        <w:jc w:val="both"/>
        <w:rPr>
          <w:color w:val="auto"/>
          <w:highlight w:val="none"/>
        </w:rPr>
      </w:pPr>
      <w:r>
        <w:rPr>
          <w:color w:val="auto"/>
          <w:highlight w:val="none"/>
        </w:rPr>
        <w:t> </w:t>
      </w:r>
    </w:p>
    <w:p w14:paraId="7F92285B">
      <w:pPr>
        <w:pStyle w:val="13"/>
        <w:spacing w:beforeAutospacing="0" w:afterAutospacing="0"/>
        <w:jc w:val="both"/>
        <w:rPr>
          <w:color w:val="auto"/>
          <w:highlight w:val="none"/>
        </w:rPr>
      </w:pPr>
      <w:r>
        <w:rPr>
          <w:color w:val="auto"/>
          <w:highlight w:val="none"/>
        </w:rPr>
        <w:t> </w:t>
      </w:r>
    </w:p>
    <w:p w14:paraId="1D73C107">
      <w:pPr>
        <w:pStyle w:val="13"/>
        <w:spacing w:beforeAutospacing="0" w:afterAutospacing="0"/>
        <w:jc w:val="both"/>
        <w:rPr>
          <w:color w:val="auto"/>
          <w:highlight w:val="none"/>
        </w:rPr>
      </w:pPr>
      <w:r>
        <w:rPr>
          <w:color w:val="auto"/>
          <w:highlight w:val="none"/>
        </w:rPr>
        <w:t> </w:t>
      </w:r>
    </w:p>
    <w:p w14:paraId="726FF3B9">
      <w:pPr>
        <w:pStyle w:val="13"/>
        <w:spacing w:beforeAutospacing="0" w:afterAutospacing="0"/>
        <w:jc w:val="both"/>
        <w:rPr>
          <w:color w:val="auto"/>
          <w:highlight w:val="none"/>
        </w:rPr>
      </w:pPr>
      <w:r>
        <w:rPr>
          <w:color w:val="auto"/>
          <w:highlight w:val="none"/>
        </w:rPr>
        <w:t> </w:t>
      </w:r>
    </w:p>
    <w:p w14:paraId="485CAADD">
      <w:pPr>
        <w:pStyle w:val="13"/>
        <w:spacing w:beforeAutospacing="0" w:afterAutospacing="0"/>
        <w:jc w:val="both"/>
        <w:rPr>
          <w:color w:val="auto"/>
          <w:highlight w:val="none"/>
        </w:rPr>
      </w:pPr>
      <w:r>
        <w:rPr>
          <w:color w:val="auto"/>
          <w:highlight w:val="none"/>
        </w:rPr>
        <w:t> </w:t>
      </w:r>
    </w:p>
    <w:p w14:paraId="46154823">
      <w:pPr>
        <w:pStyle w:val="13"/>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3A37393B">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4A8B89E">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olor w:val="auto"/>
          <w:szCs w:val="21"/>
          <w:highlight w:val="none"/>
          <w:u w:val="single"/>
          <w:lang w:eastAsia="zh-CN"/>
        </w:rPr>
        <w:t>盐城市</w:t>
      </w:r>
      <w:r>
        <w:rPr>
          <w:rFonts w:hint="default" w:ascii="Times New Roman" w:hAnsi="Times New Roman" w:eastAsia="宋体" w:cs="Times New Roman"/>
          <w:color w:val="auto"/>
          <w:szCs w:val="21"/>
          <w:highlight w:val="none"/>
          <w:u w:val="single"/>
          <w:lang w:eastAsia="zh-CN"/>
        </w:rPr>
        <w:t>2026-2028</w:t>
      </w:r>
      <w:r>
        <w:rPr>
          <w:rFonts w:hint="eastAsia" w:ascii="宋体" w:hAnsi="宋体" w:eastAsia="宋体"/>
          <w:color w:val="auto"/>
          <w:szCs w:val="21"/>
          <w:highlight w:val="none"/>
          <w:u w:val="single"/>
          <w:lang w:eastAsia="zh-CN"/>
        </w:rPr>
        <w:t>年普通国省道桥梁结构监测系统运维项目</w:t>
      </w:r>
      <w:r>
        <w:rPr>
          <w:rFonts w:hint="eastAsia" w:ascii="宋体" w:hAnsi="宋体" w:eastAsia="宋体" w:cs="宋体"/>
          <w:color w:val="auto"/>
          <w:sz w:val="24"/>
          <w:szCs w:val="24"/>
          <w:highlight w:val="none"/>
        </w:rPr>
        <w:t>招标项目的潜在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w:t>
      </w:r>
      <w:r>
        <w:rPr>
          <w:rFonts w:hint="eastAsia" w:ascii="宋体" w:hAnsi="宋体" w:eastAsia="宋体" w:cs="宋体"/>
          <w:i w:val="0"/>
          <w:iCs w:val="0"/>
          <w:caps w:val="0"/>
          <w:color w:val="auto"/>
          <w:spacing w:val="0"/>
          <w:sz w:val="24"/>
          <w:szCs w:val="24"/>
          <w:highlight w:val="none"/>
          <w:shd w:val="clear" w:fill="FFFFFF"/>
        </w:rPr>
        <w:t>“苏采云”系统内免费下载（</w:t>
      </w:r>
      <w:r>
        <w:rPr>
          <w:rFonts w:hint="eastAsia" w:ascii="宋体" w:hAnsi="宋体" w:eastAsia="宋体" w:cs="宋体"/>
          <w:i w:val="0"/>
          <w:iCs w:val="0"/>
          <w:caps w:val="0"/>
          <w:color w:val="auto"/>
          <w:spacing w:val="0"/>
          <w:sz w:val="24"/>
          <w:szCs w:val="24"/>
          <w:highlight w:val="none"/>
          <w:shd w:val="clear" w:fill="FFFFFF"/>
          <w:lang w:eastAsia="zh-CN"/>
        </w:rPr>
        <w:t>供应商</w:t>
      </w:r>
      <w:r>
        <w:rPr>
          <w:rFonts w:hint="eastAsia" w:ascii="宋体" w:hAnsi="宋体" w:eastAsia="宋体" w:cs="宋体"/>
          <w:i w:val="0"/>
          <w:iCs w:val="0"/>
          <w:caps w:val="0"/>
          <w:color w:val="auto"/>
          <w:spacing w:val="0"/>
          <w:sz w:val="24"/>
          <w:szCs w:val="24"/>
          <w:highlight w:val="none"/>
          <w:shd w:val="clear" w:fill="FFFFFF"/>
        </w:rPr>
        <w:t>必须在苏采云系统中获取采购文件，方能参与政府采购项目） </w:t>
      </w:r>
      <w:r>
        <w:rPr>
          <w:rFonts w:hint="eastAsia" w:ascii="宋体" w:hAnsi="宋体" w:eastAsia="宋体" w:cs="宋体"/>
          <w:color w:val="auto"/>
          <w:sz w:val="24"/>
          <w:szCs w:val="24"/>
          <w:highlight w:val="none"/>
        </w:rPr>
        <w:t>，并于</w:t>
      </w:r>
      <w:r>
        <w:rPr>
          <w:rFonts w:hint="default" w:ascii="Times New Roman" w:hAnsi="Times New Roman" w:eastAsia="宋体" w:cs="Times New Roman"/>
          <w:b w:val="0"/>
          <w:bCs w:val="0"/>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25</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北京时间）前递交投标文件。</w:t>
      </w:r>
    </w:p>
    <w:p w14:paraId="5C0F5791">
      <w:pPr>
        <w:pStyle w:val="13"/>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6" w:name="_Toc35393621"/>
      <w:bookmarkStart w:id="7" w:name="_Toc35393790"/>
      <w:bookmarkStart w:id="8" w:name="_Hlk24379207"/>
      <w:bookmarkStart w:id="9" w:name="_Toc28359002"/>
      <w:bookmarkStart w:id="10" w:name="_Toc38985263"/>
      <w:bookmarkStart w:id="11" w:name="_Toc28359079"/>
      <w:r>
        <w:rPr>
          <w:rFonts w:hint="eastAsia" w:ascii="宋体" w:hAnsi="宋体" w:eastAsia="宋体" w:cs="宋体"/>
          <w:b/>
          <w:color w:val="auto"/>
          <w:sz w:val="24"/>
          <w:szCs w:val="24"/>
          <w:highlight w:val="none"/>
        </w:rPr>
        <w:t>一、项目基本情况</w:t>
      </w:r>
      <w:bookmarkEnd w:id="6"/>
      <w:bookmarkEnd w:id="7"/>
      <w:bookmarkEnd w:id="8"/>
      <w:bookmarkEnd w:id="9"/>
      <w:bookmarkEnd w:id="10"/>
      <w:bookmarkEnd w:id="11"/>
    </w:p>
    <w:p w14:paraId="6E8C93EC">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1.项目编号：</w:t>
      </w:r>
      <w:r>
        <w:rPr>
          <w:rFonts w:hint="eastAsia" w:ascii="Times New Roman" w:hAnsi="Times New Roman" w:eastAsia="宋体" w:cs="Times New Roman"/>
          <w:color w:val="auto"/>
          <w:sz w:val="24"/>
          <w:szCs w:val="24"/>
          <w:highlight w:val="none"/>
          <w:lang w:eastAsia="zh-CN"/>
        </w:rPr>
        <w:t>JSZC-320900-SZDL-G2026-0007</w:t>
      </w:r>
    </w:p>
    <w:p w14:paraId="724DA292">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2.项目名称：</w:t>
      </w:r>
      <w:r>
        <w:rPr>
          <w:rFonts w:hint="default" w:ascii="Times New Roman" w:hAnsi="Times New Roman" w:eastAsia="宋体" w:cs="Times New Roman"/>
          <w:color w:val="auto"/>
          <w:szCs w:val="21"/>
          <w:highlight w:val="none"/>
          <w:lang w:eastAsia="zh-CN"/>
        </w:rPr>
        <w:t>盐城市2026-2028年普通国省道桥梁结构监测系统运维项目</w:t>
      </w:r>
    </w:p>
    <w:p w14:paraId="35EBDC8A">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aps w:val="0"/>
          <w:color w:val="auto"/>
          <w:spacing w:val="0"/>
          <w:sz w:val="24"/>
          <w:szCs w:val="24"/>
          <w:highlight w:val="none"/>
          <w:shd w:val="clear" w:fill="FFFFFF"/>
          <w:lang w:val="en-US" w:eastAsia="zh-CN"/>
        </w:rPr>
        <w:t>3.</w:t>
      </w:r>
      <w:r>
        <w:rPr>
          <w:rFonts w:hint="default" w:ascii="Times New Roman" w:hAnsi="Times New Roman" w:eastAsia="宋体" w:cs="Times New Roman"/>
          <w:i w:val="0"/>
          <w:iCs w:val="0"/>
          <w:caps w:val="0"/>
          <w:color w:val="auto"/>
          <w:spacing w:val="0"/>
          <w:sz w:val="24"/>
          <w:szCs w:val="24"/>
          <w:highlight w:val="none"/>
          <w:shd w:val="clear" w:fill="FFFFFF"/>
        </w:rPr>
        <w:t>采购方式：</w:t>
      </w:r>
      <w:r>
        <w:rPr>
          <w:rFonts w:hint="default" w:ascii="Times New Roman" w:hAnsi="Times New Roman" w:eastAsia="宋体" w:cs="Times New Roman"/>
          <w:i w:val="0"/>
          <w:iCs w:val="0"/>
          <w:caps w:val="0"/>
          <w:color w:val="auto"/>
          <w:spacing w:val="0"/>
          <w:sz w:val="24"/>
          <w:szCs w:val="24"/>
          <w:highlight w:val="none"/>
          <w:shd w:val="clear" w:fill="FFFFFF"/>
          <w:lang w:val="en-US" w:eastAsia="zh-CN"/>
        </w:rPr>
        <w:t>公开招标</w:t>
      </w:r>
    </w:p>
    <w:p w14:paraId="18616F49">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4.预算金额：355万元（采购包1：245</w:t>
      </w:r>
      <w:r>
        <w:rPr>
          <w:rFonts w:hint="default" w:ascii="Times New Roman" w:hAnsi="Times New Roman" w:eastAsia="宋体" w:cs="Times New Roman"/>
          <w:color w:val="auto"/>
          <w:szCs w:val="21"/>
          <w:highlight w:val="none"/>
          <w:lang w:eastAsia="zh-CN"/>
        </w:rPr>
        <w:t>万元；</w:t>
      </w:r>
      <w:r>
        <w:rPr>
          <w:rFonts w:hint="default" w:ascii="Times New Roman" w:hAnsi="Times New Roman" w:eastAsia="宋体" w:cs="Times New Roman"/>
          <w:color w:val="auto"/>
          <w:szCs w:val="21"/>
          <w:highlight w:val="none"/>
          <w:lang w:val="en-US" w:eastAsia="zh-CN"/>
        </w:rPr>
        <w:t>采购包2：110</w:t>
      </w:r>
      <w:r>
        <w:rPr>
          <w:rFonts w:hint="default" w:ascii="Times New Roman" w:hAnsi="Times New Roman" w:eastAsia="宋体" w:cs="Times New Roman"/>
          <w:color w:val="auto"/>
          <w:szCs w:val="21"/>
          <w:highlight w:val="none"/>
          <w:lang w:eastAsia="zh-CN"/>
        </w:rPr>
        <w:t>万元</w:t>
      </w:r>
      <w:r>
        <w:rPr>
          <w:rFonts w:hint="default" w:ascii="Times New Roman" w:hAnsi="Times New Roman" w:eastAsia="宋体" w:cs="Times New Roman"/>
          <w:color w:val="auto"/>
          <w:szCs w:val="21"/>
          <w:highlight w:val="none"/>
          <w:lang w:val="en-US" w:eastAsia="zh-CN"/>
        </w:rPr>
        <w:t>）</w:t>
      </w:r>
    </w:p>
    <w:p w14:paraId="2D8D7142">
      <w:pPr>
        <w:pStyle w:val="13"/>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5.</w:t>
      </w:r>
      <w:r>
        <w:rPr>
          <w:rFonts w:hint="default" w:ascii="Times New Roman" w:hAnsi="Times New Roman" w:eastAsia="宋体" w:cs="Times New Roman"/>
          <w:i w:val="0"/>
          <w:iCs w:val="0"/>
          <w:caps w:val="0"/>
          <w:color w:val="auto"/>
          <w:spacing w:val="0"/>
          <w:sz w:val="24"/>
          <w:szCs w:val="24"/>
          <w:highlight w:val="none"/>
          <w:shd w:val="clear" w:color="auto" w:fill="auto"/>
        </w:rPr>
        <w:t>最高限价：</w:t>
      </w:r>
      <w:r>
        <w:rPr>
          <w:rFonts w:hint="default" w:ascii="Times New Roman" w:hAnsi="Times New Roman" w:eastAsia="宋体" w:cs="Times New Roman"/>
          <w:color w:val="auto"/>
          <w:szCs w:val="21"/>
          <w:highlight w:val="none"/>
          <w:lang w:val="en-US" w:eastAsia="zh-CN"/>
        </w:rPr>
        <w:t>355万元（采购包1：245</w:t>
      </w:r>
      <w:r>
        <w:rPr>
          <w:rFonts w:hint="default" w:ascii="Times New Roman" w:hAnsi="Times New Roman" w:eastAsia="宋体" w:cs="Times New Roman"/>
          <w:color w:val="auto"/>
          <w:szCs w:val="21"/>
          <w:highlight w:val="none"/>
          <w:lang w:eastAsia="zh-CN"/>
        </w:rPr>
        <w:t>万元；</w:t>
      </w:r>
      <w:r>
        <w:rPr>
          <w:rFonts w:hint="default" w:ascii="Times New Roman" w:hAnsi="Times New Roman" w:eastAsia="宋体" w:cs="Times New Roman"/>
          <w:color w:val="auto"/>
          <w:szCs w:val="21"/>
          <w:highlight w:val="none"/>
          <w:lang w:val="en-US" w:eastAsia="zh-CN"/>
        </w:rPr>
        <w:t>采购包2：110</w:t>
      </w:r>
      <w:r>
        <w:rPr>
          <w:rFonts w:hint="default" w:ascii="Times New Roman" w:hAnsi="Times New Roman" w:eastAsia="宋体" w:cs="Times New Roman"/>
          <w:color w:val="auto"/>
          <w:szCs w:val="21"/>
          <w:highlight w:val="none"/>
          <w:lang w:eastAsia="zh-CN"/>
        </w:rPr>
        <w:t>万元</w:t>
      </w:r>
      <w:r>
        <w:rPr>
          <w:rFonts w:hint="default" w:ascii="Times New Roman" w:hAnsi="Times New Roman" w:eastAsia="宋体" w:cs="Times New Roman"/>
          <w:color w:val="auto"/>
          <w:szCs w:val="21"/>
          <w:highlight w:val="none"/>
          <w:lang w:val="en-US" w:eastAsia="zh-CN"/>
        </w:rPr>
        <w:t>）</w:t>
      </w:r>
    </w:p>
    <w:p w14:paraId="2F3263F6">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6</w:t>
      </w:r>
      <w:r>
        <w:rPr>
          <w:rFonts w:hint="default" w:ascii="Times New Roman" w:hAnsi="Times New Roman" w:eastAsia="宋体" w:cs="Times New Roman"/>
          <w:i w:val="0"/>
          <w:iCs w:val="0"/>
          <w:caps w:val="0"/>
          <w:color w:val="auto"/>
          <w:spacing w:val="0"/>
          <w:sz w:val="24"/>
          <w:szCs w:val="24"/>
          <w:highlight w:val="none"/>
          <w:shd w:val="clear" w:color="auto" w:fill="auto"/>
        </w:rPr>
        <w:t>.采购需求：</w:t>
      </w:r>
      <w:r>
        <w:rPr>
          <w:rFonts w:hint="default" w:ascii="Times New Roman" w:hAnsi="Times New Roman" w:eastAsia="宋体" w:cs="Times New Roman"/>
          <w:color w:val="auto"/>
          <w:szCs w:val="21"/>
          <w:highlight w:val="none"/>
          <w:lang w:eastAsia="zh-CN"/>
        </w:rPr>
        <w:t>盐城市2026-2028年普通国省道桥梁结构监测系统运维项目</w:t>
      </w:r>
      <w:r>
        <w:rPr>
          <w:rFonts w:hint="default" w:ascii="Times New Roman" w:hAnsi="Times New Roman" w:cs="Times New Roman"/>
          <w:color w:val="auto"/>
          <w:szCs w:val="21"/>
          <w:highlight w:val="none"/>
        </w:rPr>
        <w:t>，本项目共划分为两个采购包，其中，采购包1</w:t>
      </w:r>
      <w:r>
        <w:rPr>
          <w:rFonts w:hint="eastAsia" w:ascii="Times New Roman" w:hAnsi="Times New Roman" w:cs="Times New Roman"/>
          <w:color w:val="auto"/>
          <w:szCs w:val="21"/>
          <w:highlight w:val="none"/>
          <w:lang w:val="en-US" w:eastAsia="zh-CN"/>
        </w:rPr>
        <w:t>包括</w:t>
      </w:r>
      <w:r>
        <w:rPr>
          <w:rFonts w:hint="default" w:ascii="Times New Roman" w:hAnsi="Times New Roman" w:cs="Times New Roman"/>
          <w:color w:val="auto"/>
          <w:szCs w:val="21"/>
          <w:highlight w:val="none"/>
        </w:rPr>
        <w:t>G228灌江口大桥、G343大刘桥等39座桥梁结构监测系统及G204斗龙港大桥、S231黄沙港大桥等27处桥下空间视频监控系统；采购包2</w:t>
      </w:r>
      <w:r>
        <w:rPr>
          <w:rFonts w:hint="eastAsia" w:ascii="Times New Roman" w:hAnsi="Times New Roman" w:cs="Times New Roman"/>
          <w:color w:val="auto"/>
          <w:szCs w:val="21"/>
          <w:highlight w:val="none"/>
          <w:lang w:val="en-US" w:eastAsia="zh-CN"/>
        </w:rPr>
        <w:t>包括</w:t>
      </w:r>
      <w:r>
        <w:rPr>
          <w:rFonts w:hint="default" w:ascii="Times New Roman" w:hAnsi="Times New Roman" w:cs="Times New Roman"/>
          <w:color w:val="auto"/>
          <w:szCs w:val="21"/>
          <w:highlight w:val="none"/>
        </w:rPr>
        <w:t>G343南环大桥、S329通榆河大桥等36座桥梁结构监测系统（</w:t>
      </w:r>
      <w:r>
        <w:rPr>
          <w:rFonts w:hint="eastAsia" w:ascii="Times New Roman" w:hAnsi="Times New Roman" w:cs="Times New Roman"/>
          <w:color w:val="auto"/>
          <w:szCs w:val="21"/>
          <w:highlight w:val="none"/>
          <w:lang w:val="en-US" w:eastAsia="zh-CN"/>
        </w:rPr>
        <w:t>G343南环大桥</w:t>
      </w:r>
      <w:r>
        <w:rPr>
          <w:rFonts w:hint="default" w:ascii="Times New Roman" w:hAnsi="Times New Roman" w:cs="Times New Roman"/>
          <w:color w:val="auto"/>
          <w:szCs w:val="21"/>
          <w:highlight w:val="none"/>
        </w:rPr>
        <w:t>、</w:t>
      </w:r>
      <w:r>
        <w:rPr>
          <w:rFonts w:hint="eastAsia" w:ascii="Times New Roman" w:hAnsi="Times New Roman" w:cs="Times New Roman"/>
          <w:color w:val="auto"/>
          <w:szCs w:val="21"/>
          <w:highlight w:val="none"/>
          <w:lang w:val="en-US" w:eastAsia="zh-CN"/>
        </w:rPr>
        <w:t>S329通榆河大桥</w:t>
      </w:r>
      <w:r>
        <w:rPr>
          <w:rFonts w:hint="default" w:ascii="Times New Roman" w:hAnsi="Times New Roman" w:cs="Times New Roman"/>
          <w:color w:val="auto"/>
          <w:szCs w:val="21"/>
          <w:highlight w:val="none"/>
        </w:rPr>
        <w:t>包含执法称重系统）。主要工作包括但不限于24小时监测系统巡查、人工现场检查（每季度不少于1次）、硬件设施维护与更换、监测数据报警分析与处置、阶段分析报告（分季度和年度监测分析报告，季度报告为每年4次）、特殊事件报告及采购人的其他要求等内容。在运维服务期内，</w:t>
      </w:r>
      <w:r>
        <w:rPr>
          <w:rFonts w:hint="eastAsia" w:ascii="Times New Roman" w:hAnsi="Times New Roman" w:cs="Times New Roman"/>
          <w:color w:val="auto"/>
          <w:szCs w:val="21"/>
          <w:highlight w:val="none"/>
          <w:lang w:val="en-US" w:eastAsia="zh-CN"/>
        </w:rPr>
        <w:t>供应商</w:t>
      </w:r>
      <w:r>
        <w:rPr>
          <w:rFonts w:hint="default" w:ascii="Times New Roman" w:hAnsi="Times New Roman" w:cs="Times New Roman"/>
          <w:color w:val="auto"/>
          <w:szCs w:val="21"/>
          <w:highlight w:val="none"/>
        </w:rPr>
        <w:t>应保证桥梁监测数据传输质量满足《公路桥梁结构监测技术规范》（JT/T 1037-2022）、《桥梁轻量化监测系统建设规范》（DB32</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rPr>
        <w:t>T 4987-2024）</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《江苏省普通国省道桥梁结构监测系统建设和运维管理办法》（苏交公路〔2023〕1号）、《江苏省普通国省道桥梁视频监控建设技术工作要求》（苏交公便养〔2025〕235号）等相关标准要求，保障</w:t>
      </w:r>
      <w:r>
        <w:rPr>
          <w:rFonts w:hint="eastAsia" w:ascii="Times New Roman" w:hAnsi="Times New Roman" w:cs="Times New Roman"/>
          <w:color w:val="auto"/>
          <w:szCs w:val="21"/>
          <w:highlight w:val="none"/>
          <w:lang w:val="en-US" w:eastAsia="zh-CN"/>
        </w:rPr>
        <w:t>监测</w:t>
      </w:r>
      <w:r>
        <w:rPr>
          <w:rFonts w:hint="default" w:ascii="Times New Roman" w:hAnsi="Times New Roman" w:cs="Times New Roman"/>
          <w:color w:val="auto"/>
          <w:szCs w:val="21"/>
          <w:highlight w:val="none"/>
        </w:rPr>
        <w:t>设备在江苏省普通国省道桥梁结构监测系统中的</w:t>
      </w:r>
      <w:r>
        <w:rPr>
          <w:rFonts w:hint="eastAsia" w:ascii="Times New Roman" w:hAnsi="Times New Roman" w:cs="Times New Roman"/>
          <w:color w:val="auto"/>
          <w:szCs w:val="21"/>
          <w:highlight w:val="none"/>
          <w:lang w:val="en-US" w:eastAsia="zh-CN"/>
        </w:rPr>
        <w:t>数据</w:t>
      </w:r>
      <w:r>
        <w:rPr>
          <w:rFonts w:hint="default" w:ascii="Times New Roman" w:hAnsi="Times New Roman" w:cs="Times New Roman"/>
          <w:color w:val="auto"/>
          <w:szCs w:val="21"/>
          <w:highlight w:val="none"/>
        </w:rPr>
        <w:t>在线率不低于</w:t>
      </w:r>
      <w:r>
        <w:rPr>
          <w:rFonts w:hint="default" w:ascii="Times New Roman" w:hAnsi="Times New Roman" w:cs="Times New Roman"/>
          <w:color w:val="auto"/>
          <w:szCs w:val="21"/>
          <w:highlight w:val="none"/>
          <w:lang w:val="en-US" w:eastAsia="zh-CN"/>
        </w:rPr>
        <w:t>90</w:t>
      </w:r>
      <w:r>
        <w:rPr>
          <w:rFonts w:hint="default" w:ascii="Times New Roman" w:hAnsi="Times New Roman" w:cs="Times New Roman"/>
          <w:color w:val="auto"/>
          <w:szCs w:val="21"/>
          <w:highlight w:val="none"/>
        </w:rPr>
        <w:t>%。</w:t>
      </w:r>
      <w:r>
        <w:rPr>
          <w:rFonts w:hint="default" w:ascii="Times New Roman" w:hAnsi="Times New Roman" w:eastAsia="宋体" w:cs="Times New Roman"/>
          <w:color w:val="auto"/>
          <w:sz w:val="24"/>
          <w:szCs w:val="24"/>
          <w:highlight w:val="none"/>
        </w:rPr>
        <w:t>详细内容见本</w:t>
      </w:r>
      <w:r>
        <w:rPr>
          <w:rFonts w:hint="default" w:ascii="Times New Roman" w:hAnsi="Times New Roman" w:eastAsia="宋体" w:cs="Times New Roman"/>
          <w:color w:val="auto"/>
          <w:sz w:val="24"/>
          <w:szCs w:val="24"/>
          <w:highlight w:val="none"/>
          <w:lang w:val="en-US" w:eastAsia="zh-CN"/>
        </w:rPr>
        <w:t>招标</w:t>
      </w:r>
      <w:r>
        <w:rPr>
          <w:rFonts w:hint="default" w:ascii="Times New Roman" w:hAnsi="Times New Roman" w:eastAsia="宋体" w:cs="Times New Roman"/>
          <w:color w:val="auto"/>
          <w:sz w:val="24"/>
          <w:szCs w:val="24"/>
          <w:highlight w:val="none"/>
        </w:rPr>
        <w:t>文件第四章</w:t>
      </w:r>
      <w:r>
        <w:rPr>
          <w:rFonts w:hint="default" w:ascii="Times New Roman" w:hAnsi="Times New Roman" w:eastAsia="宋体" w:cs="Times New Roman"/>
          <w:color w:val="auto"/>
          <w:sz w:val="24"/>
          <w:szCs w:val="24"/>
          <w:highlight w:val="none"/>
          <w:lang w:eastAsia="zh-CN"/>
        </w:rPr>
        <w:t>。</w:t>
      </w:r>
    </w:p>
    <w:p w14:paraId="7F06ED40">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供应商</w:t>
      </w:r>
      <w:r>
        <w:rPr>
          <w:rFonts w:hint="default" w:ascii="Times New Roman" w:hAnsi="Times New Roman" w:eastAsia="宋体" w:cs="Times New Roman"/>
          <w:color w:val="auto"/>
          <w:sz w:val="24"/>
          <w:szCs w:val="24"/>
          <w:highlight w:val="none"/>
          <w:lang w:eastAsia="zh-CN"/>
        </w:rPr>
        <w:t>可同时投</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rPr>
        <w:t>个采购包</w:t>
      </w:r>
      <w:r>
        <w:rPr>
          <w:rFonts w:hint="default" w:ascii="Times New Roman" w:hAnsi="Times New Roman" w:eastAsia="宋体" w:cs="Times New Roman"/>
          <w:color w:val="auto"/>
          <w:sz w:val="24"/>
          <w:szCs w:val="24"/>
          <w:highlight w:val="none"/>
          <w:lang w:eastAsia="zh-CN"/>
        </w:rPr>
        <w:t>，但只能中1个</w:t>
      </w:r>
      <w:r>
        <w:rPr>
          <w:rFonts w:hint="default" w:ascii="Times New Roman" w:hAnsi="Times New Roman" w:cs="Times New Roman"/>
          <w:color w:val="auto"/>
          <w:szCs w:val="21"/>
          <w:highlight w:val="none"/>
        </w:rPr>
        <w:t>采购包</w:t>
      </w:r>
      <w:r>
        <w:rPr>
          <w:rFonts w:hint="default" w:ascii="Times New Roman" w:hAnsi="Times New Roman" w:eastAsia="宋体" w:cs="Times New Roman"/>
          <w:color w:val="auto"/>
          <w:sz w:val="24"/>
          <w:szCs w:val="24"/>
          <w:highlight w:val="none"/>
          <w:lang w:eastAsia="zh-CN"/>
        </w:rPr>
        <w:t>。</w:t>
      </w:r>
    </w:p>
    <w:p w14:paraId="3686AA22">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定标顺序为：</w:t>
      </w:r>
      <w:r>
        <w:rPr>
          <w:rFonts w:hint="default" w:ascii="Times New Roman" w:hAnsi="Times New Roman" w:cs="Times New Roman"/>
          <w:color w:val="auto"/>
          <w:szCs w:val="21"/>
          <w:highlight w:val="none"/>
        </w:rPr>
        <w:t>采购包1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cs="Times New Roman"/>
          <w:color w:val="auto"/>
          <w:szCs w:val="21"/>
          <w:highlight w:val="none"/>
        </w:rPr>
        <w:t>采购包</w:t>
      </w:r>
      <w:r>
        <w:rPr>
          <w:rFonts w:hint="default" w:ascii="Times New Roman" w:hAnsi="Times New Roman" w:eastAsia="宋体" w:cs="Times New Roman"/>
          <w:color w:val="auto"/>
          <w:sz w:val="24"/>
          <w:szCs w:val="24"/>
          <w:highlight w:val="none"/>
          <w:lang w:eastAsia="zh-CN"/>
        </w:rPr>
        <w:t>2</w:t>
      </w:r>
    </w:p>
    <w:p w14:paraId="1806B037">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注：当</w:t>
      </w:r>
      <w:r>
        <w:rPr>
          <w:rFonts w:hint="eastAsia" w:ascii="Times New Roman" w:hAnsi="Times New Roman" w:eastAsia="宋体" w:cs="Times New Roman"/>
          <w:color w:val="auto"/>
          <w:sz w:val="24"/>
          <w:szCs w:val="24"/>
          <w:highlight w:val="none"/>
          <w:lang w:eastAsia="zh-CN"/>
        </w:rPr>
        <w:t>供应商</w:t>
      </w:r>
      <w:r>
        <w:rPr>
          <w:rFonts w:hint="default" w:ascii="Times New Roman" w:hAnsi="Times New Roman" w:eastAsia="宋体" w:cs="Times New Roman"/>
          <w:color w:val="auto"/>
          <w:sz w:val="24"/>
          <w:szCs w:val="24"/>
          <w:highlight w:val="none"/>
          <w:lang w:eastAsia="zh-CN"/>
        </w:rPr>
        <w:t>在</w:t>
      </w:r>
      <w:r>
        <w:rPr>
          <w:rFonts w:hint="default" w:ascii="Times New Roman" w:hAnsi="Times New Roman" w:cs="Times New Roman"/>
          <w:color w:val="auto"/>
          <w:szCs w:val="21"/>
          <w:highlight w:val="none"/>
        </w:rPr>
        <w:t>采购包1</w:t>
      </w:r>
      <w:r>
        <w:rPr>
          <w:rFonts w:hint="default" w:ascii="Times New Roman" w:hAnsi="Times New Roman" w:eastAsia="宋体" w:cs="Times New Roman"/>
          <w:color w:val="auto"/>
          <w:sz w:val="24"/>
          <w:szCs w:val="24"/>
          <w:highlight w:val="none"/>
          <w:lang w:eastAsia="zh-CN"/>
        </w:rPr>
        <w:t>中已确定为第一中标候选人时，其投标文件仍参与</w:t>
      </w:r>
      <w:r>
        <w:rPr>
          <w:rFonts w:hint="default" w:ascii="Times New Roman" w:hAnsi="Times New Roman" w:cs="Times New Roman"/>
          <w:color w:val="auto"/>
          <w:szCs w:val="21"/>
          <w:highlight w:val="none"/>
        </w:rPr>
        <w:t>采购包</w:t>
      </w:r>
      <w:r>
        <w:rPr>
          <w:rFonts w:hint="default" w:ascii="Times New Roman" w:hAnsi="Times New Roman" w:eastAsia="宋体" w:cs="Times New Roman"/>
          <w:color w:val="auto"/>
          <w:sz w:val="24"/>
          <w:szCs w:val="24"/>
          <w:highlight w:val="none"/>
          <w:lang w:eastAsia="zh-CN"/>
        </w:rPr>
        <w:t>2的评审，但不作为中标候选人进行排序。</w:t>
      </w:r>
    </w:p>
    <w:p w14:paraId="1DAA87C5">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7</w:t>
      </w:r>
      <w:r>
        <w:rPr>
          <w:rFonts w:hint="default" w:ascii="Times New Roman" w:hAnsi="Times New Roman" w:eastAsia="宋体" w:cs="Times New Roman"/>
          <w:i w:val="0"/>
          <w:iCs w:val="0"/>
          <w:caps w:val="0"/>
          <w:color w:val="auto"/>
          <w:spacing w:val="0"/>
          <w:sz w:val="24"/>
          <w:szCs w:val="24"/>
          <w:highlight w:val="none"/>
          <w:shd w:val="clear" w:color="auto" w:fill="auto"/>
        </w:rPr>
        <w:t>.合同履行期限：</w:t>
      </w:r>
      <w:r>
        <w:rPr>
          <w:rFonts w:hint="default" w:ascii="Times New Roman" w:hAnsi="Times New Roman" w:cs="Times New Roman"/>
          <w:color w:val="auto"/>
          <w:szCs w:val="21"/>
          <w:highlight w:val="none"/>
        </w:rPr>
        <w:t>采购包1</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服务期限起止时间为合同签订之日～2028年12月31日；采购包2</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服务期限起止时间为2027年1月1日～2028年12月31日。</w:t>
      </w:r>
    </w:p>
    <w:p w14:paraId="52432C18">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本项目</w:t>
      </w:r>
      <w:r>
        <w:rPr>
          <w:rFonts w:hint="default" w:ascii="Times New Roman" w:hAnsi="Times New Roman" w:eastAsia="宋体" w:cs="Times New Roman"/>
          <w:color w:val="auto"/>
          <w:highlight w:val="none"/>
        </w:rPr>
        <w:t>不</w:t>
      </w: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接受</w:t>
      </w:r>
      <w:r>
        <w:rPr>
          <w:rFonts w:hint="default" w:ascii="Times New Roman" w:hAnsi="Times New Roman" w:eastAsia="宋体" w:cs="Times New Roman"/>
          <w:color w:val="auto"/>
          <w:sz w:val="24"/>
          <w:szCs w:val="24"/>
          <w:highlight w:val="none"/>
        </w:rPr>
        <w:t>联合体参与</w:t>
      </w:r>
      <w:r>
        <w:rPr>
          <w:rFonts w:hint="default" w:ascii="Times New Roman" w:hAnsi="Times New Roman" w:eastAsia="宋体" w:cs="Times New Roman"/>
          <w:color w:val="auto"/>
          <w:sz w:val="24"/>
          <w:szCs w:val="24"/>
          <w:highlight w:val="none"/>
          <w:lang w:val="en-US" w:eastAsia="zh-CN"/>
        </w:rPr>
        <w:t>招标</w:t>
      </w:r>
      <w:r>
        <w:rPr>
          <w:rFonts w:hint="default" w:ascii="Times New Roman" w:hAnsi="Times New Roman" w:eastAsia="宋体" w:cs="Times New Roman"/>
          <w:color w:val="auto"/>
          <w:sz w:val="24"/>
          <w:szCs w:val="24"/>
          <w:highlight w:val="none"/>
          <w:lang w:eastAsia="zh-CN"/>
        </w:rPr>
        <w:t>。</w:t>
      </w:r>
    </w:p>
    <w:p w14:paraId="0D95F988">
      <w:pPr>
        <w:pStyle w:val="13"/>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12" w:name="_Toc28359080"/>
      <w:bookmarkStart w:id="13" w:name="_Toc28359003"/>
      <w:bookmarkStart w:id="14" w:name="_Toc38985264"/>
      <w:bookmarkStart w:id="15" w:name="_Toc35393791"/>
      <w:bookmarkStart w:id="16" w:name="_Toc35393622"/>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p>
    <w:p w14:paraId="1D22B421">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1.满足《中华人民共和国政府采购法》第二十二条规定，并提供下列材料：</w:t>
      </w:r>
    </w:p>
    <w:p w14:paraId="3839587F">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 法人或者其他组织的营业执照等证明文件，自然人的身份证明；</w:t>
      </w:r>
    </w:p>
    <w:p w14:paraId="747B7FCD">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1.2上一年度的财务状况报</w:t>
      </w:r>
      <w:r>
        <w:rPr>
          <w:rFonts w:hint="default" w:ascii="Times New Roman" w:hAnsi="Times New Roman" w:eastAsia="宋体" w:cs="Times New Roman"/>
          <w:color w:val="auto"/>
          <w:sz w:val="24"/>
          <w:szCs w:val="24"/>
          <w:highlight w:val="none"/>
          <w:lang w:val="en-US" w:eastAsia="zh-CN"/>
        </w:rPr>
        <w:t>告</w:t>
      </w:r>
      <w:r>
        <w:rPr>
          <w:rFonts w:hint="default" w:ascii="Times New Roman" w:hAnsi="Times New Roman" w:eastAsia="宋体" w:cs="Times New Roman"/>
          <w:color w:val="auto"/>
          <w:sz w:val="24"/>
          <w:szCs w:val="24"/>
          <w:highlight w:val="none"/>
        </w:rPr>
        <w:t>（成立不满一年无需提供）；</w:t>
      </w:r>
    </w:p>
    <w:p w14:paraId="1459E6E0">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1.3</w:t>
      </w:r>
      <w:r>
        <w:rPr>
          <w:rFonts w:hint="default" w:ascii="Times New Roman" w:hAnsi="Times New Roman" w:eastAsia="宋体" w:cs="Times New Roman"/>
          <w:color w:val="auto"/>
          <w:sz w:val="24"/>
          <w:szCs w:val="24"/>
          <w:highlight w:val="none"/>
        </w:rPr>
        <w:t>具备履行合同所必需的设备和专业技术能力的书面声明；</w:t>
      </w:r>
    </w:p>
    <w:p w14:paraId="5312617D">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依法缴纳税收和社会保障资金的相关材料（提供提交响应文件截止时间前一年内至少一个月依法缴纳税收及缴纳社会保障资金的证明材料。</w:t>
      </w:r>
      <w:r>
        <w:rPr>
          <w:rFonts w:hint="eastAsia" w:ascii="Times New Roman" w:hAnsi="Times New Roman" w:eastAsia="宋体" w:cs="Times New Roman"/>
          <w:color w:val="auto"/>
          <w:sz w:val="24"/>
          <w:szCs w:val="24"/>
          <w:highlight w:val="none"/>
          <w:lang w:val="en-US" w:eastAsia="zh-CN"/>
        </w:rPr>
        <w:t>供应商</w:t>
      </w:r>
      <w:r>
        <w:rPr>
          <w:rFonts w:hint="default" w:ascii="Times New Roman" w:hAnsi="Times New Roman" w:eastAsia="宋体" w:cs="Times New Roman"/>
          <w:color w:val="auto"/>
          <w:sz w:val="24"/>
          <w:szCs w:val="24"/>
          <w:highlight w:val="none"/>
        </w:rPr>
        <w:t>依法享受缓缴、免缴税收、社会保障资金的提供证明材料）；</w:t>
      </w:r>
    </w:p>
    <w:p w14:paraId="1905CC55">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.5参加政府采购活动前3年内在经营活动中没有重大违法记录的书面声明。</w:t>
      </w:r>
    </w:p>
    <w:p w14:paraId="48E03DAE">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1.6法律、行政法规规定的其他条件。</w:t>
      </w:r>
    </w:p>
    <w:p w14:paraId="359C15D0">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1.7</w:t>
      </w:r>
      <w:r>
        <w:rPr>
          <w:rFonts w:hint="default" w:ascii="Times New Roman" w:hAnsi="Times New Roman" w:eastAsia="宋体" w:cs="Times New Roman"/>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1.8</w:t>
      </w:r>
      <w:r>
        <w:rPr>
          <w:rFonts w:hint="default" w:ascii="Times New Roman" w:hAnsi="Times New Roman" w:eastAsia="宋体" w:cs="Times New Roman"/>
          <w:color w:val="auto"/>
          <w:sz w:val="24"/>
          <w:szCs w:val="24"/>
          <w:highlight w:val="none"/>
        </w:rPr>
        <w:t>单位负责人为同一人或者存在直接控股、管理关系的不同供应商，不得参加同一合同项下的政府采购活动。</w:t>
      </w:r>
    </w:p>
    <w:p w14:paraId="545634B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default" w:ascii="Times New Roman" w:hAnsi="Times New Roman" w:eastAsia="宋体" w:cs="Times New Roman"/>
          <w:b/>
          <w:bCs/>
          <w:color w:val="auto"/>
          <w:sz w:val="24"/>
          <w:szCs w:val="20"/>
          <w:highlight w:val="none"/>
          <w:lang w:eastAsia="zh-CN"/>
        </w:rPr>
      </w:pPr>
      <w:r>
        <w:rPr>
          <w:rFonts w:hint="default" w:ascii="Times New Roman" w:hAnsi="Times New Roman" w:cs="Times New Roman"/>
          <w:color w:val="auto"/>
          <w:sz w:val="24"/>
          <w:szCs w:val="20"/>
          <w:highlight w:val="none"/>
        </w:rPr>
        <w:t>2.落实政府采购政策需满足的资格要求：本项目不专门面向中小企业采购（中小企业需提供中小企业声明函或残疾人福利性单位声明函或监狱企业证明文件）。</w:t>
      </w:r>
    </w:p>
    <w:p w14:paraId="1106807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color w:val="auto"/>
          <w:sz w:val="24"/>
          <w:szCs w:val="24"/>
          <w:highlight w:val="none"/>
          <w:shd w:val="clear" w:color="auto" w:fill="auto"/>
          <w:lang w:eastAsia="zh-CN"/>
        </w:rPr>
      </w:pPr>
      <w:r>
        <w:rPr>
          <w:rFonts w:hint="default" w:ascii="Times New Roman" w:hAnsi="Times New Roman" w:eastAsia="宋体" w:cs="Times New Roman"/>
          <w:color w:val="auto"/>
          <w:sz w:val="24"/>
          <w:szCs w:val="24"/>
          <w:highlight w:val="none"/>
          <w:shd w:val="clear" w:color="auto" w:fill="auto"/>
          <w:lang w:val="en-US" w:eastAsia="zh-CN"/>
        </w:rPr>
        <w:t>3.</w:t>
      </w:r>
      <w:r>
        <w:rPr>
          <w:rFonts w:hint="default" w:ascii="Times New Roman" w:hAnsi="Times New Roman" w:eastAsia="宋体" w:cs="Times New Roman"/>
          <w:color w:val="auto"/>
          <w:sz w:val="24"/>
          <w:szCs w:val="24"/>
          <w:highlight w:val="none"/>
          <w:shd w:val="clear" w:color="auto" w:fill="auto"/>
        </w:rPr>
        <w:t>本项目的特定资格要求</w:t>
      </w:r>
      <w:r>
        <w:rPr>
          <w:rFonts w:hint="default" w:ascii="Times New Roman" w:hAnsi="Times New Roman" w:eastAsia="宋体" w:cs="Times New Roman"/>
          <w:color w:val="auto"/>
          <w:sz w:val="24"/>
          <w:szCs w:val="24"/>
          <w:highlight w:val="none"/>
          <w:shd w:val="clear" w:color="auto" w:fill="auto"/>
          <w:lang w:eastAsia="zh-CN"/>
        </w:rPr>
        <w:t>：</w:t>
      </w:r>
    </w:p>
    <w:p w14:paraId="43F267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color w:val="auto"/>
          <w:sz w:val="24"/>
          <w:szCs w:val="24"/>
          <w:highlight w:val="none"/>
          <w:shd w:val="clear" w:color="auto" w:fill="auto"/>
          <w:lang w:eastAsia="zh-CN"/>
        </w:rPr>
      </w:pPr>
      <w:r>
        <w:rPr>
          <w:rFonts w:hint="default" w:ascii="Times New Roman" w:hAnsi="Times New Roman" w:eastAsia="宋体" w:cs="Times New Roman"/>
          <w:color w:val="auto"/>
          <w:sz w:val="24"/>
          <w:szCs w:val="24"/>
          <w:highlight w:val="none"/>
          <w:shd w:val="clear" w:color="auto" w:fill="auto"/>
          <w:lang w:eastAsia="zh-CN"/>
        </w:rPr>
        <w:t>供应商应具有交通运输主管部门颁发的有效的公路工程甲级质量检测资质证书或公路工程桥梁隧道工程专项质量检测资质证书</w:t>
      </w:r>
      <w:r>
        <w:rPr>
          <w:rFonts w:hint="eastAsia" w:ascii="Times New Roman" w:hAnsi="Times New Roman" w:eastAsia="宋体" w:cs="Times New Roman"/>
          <w:color w:val="auto"/>
          <w:sz w:val="24"/>
          <w:szCs w:val="24"/>
          <w:highlight w:val="none"/>
          <w:shd w:val="clear" w:color="auto" w:fill="auto"/>
          <w:lang w:eastAsia="zh-CN"/>
        </w:rPr>
        <w:t>。</w:t>
      </w:r>
    </w:p>
    <w:p w14:paraId="63754E56">
      <w:pPr>
        <w:pStyle w:val="13"/>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17" w:name="_Toc38985266"/>
      <w:bookmarkStart w:id="18" w:name="_Toc35393793"/>
      <w:bookmarkStart w:id="19" w:name="_Toc28359082"/>
      <w:bookmarkStart w:id="20" w:name="_Toc28359005"/>
      <w:bookmarkStart w:id="21" w:name="_Toc35393624"/>
      <w:r>
        <w:rPr>
          <w:rFonts w:hint="eastAsia" w:ascii="宋体" w:hAnsi="宋体" w:eastAsia="宋体" w:cs="宋体"/>
          <w:color w:val="auto"/>
          <w:sz w:val="24"/>
          <w:szCs w:val="24"/>
          <w:highlight w:val="none"/>
        </w:rPr>
        <w:t>1.时间</w:t>
      </w:r>
      <w:r>
        <w:rPr>
          <w:rFonts w:hint="eastAsia" w:ascii="宋体" w:hAnsi="宋体" w:eastAsia="宋体" w:cs="宋体"/>
          <w:color w:val="auto"/>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auto"/>
          <w:kern w:val="0"/>
          <w:sz w:val="24"/>
          <w:szCs w:val="24"/>
          <w:highlight w:val="none"/>
          <w:lang w:val="en-US" w:eastAsia="zh-CN" w:bidi="ar-SA"/>
        </w:rPr>
        <w:t>自招标文件公告发布之日起5个工作日。</w:t>
      </w:r>
    </w:p>
    <w:p w14:paraId="3FE7E4A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2.地点：“苏采云”系统内免费下载（供应商必须在苏采云系统中获取采购文件，方能参与政府采购项目）；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4.售价：0元</w:t>
      </w:r>
    </w:p>
    <w:p w14:paraId="48944B76">
      <w:pPr>
        <w:pStyle w:val="13"/>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681BEBED">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kern w:val="0"/>
          <w:sz w:val="24"/>
          <w:szCs w:val="24"/>
          <w:highlight w:val="none"/>
          <w:lang w:val="en-US" w:eastAsia="zh-CN" w:bidi="ar-SA"/>
        </w:rPr>
        <w:t>时间：2026</w:t>
      </w:r>
      <w:r>
        <w:rPr>
          <w:rFonts w:hint="eastAsia" w:ascii="宋体" w:hAnsi="宋体" w:eastAsia="宋体" w:cs="宋体"/>
          <w:color w:val="auto"/>
          <w:kern w:val="0"/>
          <w:sz w:val="24"/>
          <w:szCs w:val="24"/>
          <w:highlight w:val="none"/>
          <w:u w:val="none"/>
          <w:lang w:val="en-US" w:eastAsia="zh-CN" w:bidi="ar-SA"/>
        </w:rPr>
        <w:t xml:space="preserve"> 年</w:t>
      </w:r>
      <w:r>
        <w:rPr>
          <w:rFonts w:hint="eastAsia" w:ascii="宋体" w:hAnsi="宋体" w:eastAsia="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月</w:t>
      </w:r>
      <w:r>
        <w:rPr>
          <w:rFonts w:hint="eastAsia" w:ascii="宋体" w:hAnsi="宋体" w:eastAsia="宋体" w:cs="宋体"/>
          <w:color w:val="auto"/>
          <w:sz w:val="24"/>
          <w:szCs w:val="24"/>
          <w:highlight w:val="none"/>
          <w:u w:val="none"/>
          <w:lang w:val="en-US" w:eastAsia="zh-CN"/>
        </w:rPr>
        <w:t>25</w:t>
      </w:r>
      <w:r>
        <w:rPr>
          <w:rFonts w:hint="eastAsia" w:ascii="宋体" w:hAnsi="宋体" w:eastAsia="宋体" w:cs="宋体"/>
          <w:color w:val="auto"/>
          <w:sz w:val="24"/>
          <w:szCs w:val="24"/>
          <w:highlight w:val="none"/>
          <w:u w:val="none"/>
        </w:rPr>
        <w:t>日09点00 分</w:t>
      </w:r>
      <w:r>
        <w:rPr>
          <w:rFonts w:hint="eastAsia" w:ascii="宋体" w:hAnsi="宋体" w:eastAsia="宋体" w:cs="宋体"/>
          <w:color w:val="auto"/>
          <w:kern w:val="0"/>
          <w:sz w:val="24"/>
          <w:szCs w:val="24"/>
          <w:highlight w:val="none"/>
          <w:lang w:val="en-US" w:eastAsia="zh-CN" w:bidi="ar-SA"/>
        </w:rPr>
        <w:t>（北京时间）</w:t>
      </w:r>
    </w:p>
    <w:p w14:paraId="2DD14093">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2.地点：苏采云“不见面”开标大厅 。</w:t>
      </w:r>
    </w:p>
    <w:p w14:paraId="24E0C040">
      <w:pPr>
        <w:pStyle w:val="13"/>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bookmarkStart w:id="22" w:name="_Toc28359007"/>
      <w:bookmarkStart w:id="23" w:name="_Toc35393794"/>
      <w:bookmarkStart w:id="24" w:name="_Toc35393625"/>
      <w:bookmarkStart w:id="25" w:name="_Toc38985267"/>
      <w:bookmarkStart w:id="26" w:name="_Toc28359084"/>
      <w:r>
        <w:rPr>
          <w:rFonts w:hint="eastAsia" w:ascii="宋体" w:hAnsi="宋体" w:eastAsia="宋体" w:cs="宋体"/>
          <w:b/>
          <w:color w:val="auto"/>
          <w:sz w:val="24"/>
          <w:szCs w:val="24"/>
          <w:highlight w:val="none"/>
        </w:rPr>
        <w:t>五、公告期</w:t>
      </w:r>
      <w:bookmarkStart w:id="204" w:name="_GoBack"/>
      <w:bookmarkEnd w:id="204"/>
      <w:r>
        <w:rPr>
          <w:rFonts w:hint="eastAsia" w:ascii="宋体" w:hAnsi="宋体" w:eastAsia="宋体" w:cs="宋体"/>
          <w:b/>
          <w:color w:val="auto"/>
          <w:sz w:val="24"/>
          <w:szCs w:val="24"/>
          <w:highlight w:val="none"/>
        </w:rPr>
        <w:t>限</w:t>
      </w:r>
      <w:bookmarkEnd w:id="22"/>
      <w:bookmarkEnd w:id="23"/>
      <w:bookmarkEnd w:id="24"/>
      <w:bookmarkEnd w:id="25"/>
      <w:bookmarkEnd w:id="26"/>
    </w:p>
    <w:p w14:paraId="7C2197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7" w:name="_Toc35393626"/>
      <w:bookmarkStart w:id="28" w:name="_Toc38985268"/>
      <w:bookmarkStart w:id="29" w:name="_Toc35393795"/>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7"/>
      <w:bookmarkEnd w:id="28"/>
      <w:bookmarkEnd w:id="29"/>
    </w:p>
    <w:p w14:paraId="637476BB">
      <w:pPr>
        <w:pStyle w:val="13"/>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1A841BB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bookmarkStart w:id="30" w:name="_Toc28359018"/>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BDA0B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26473EE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 xml:space="preserve">2.潜在供应商访问电子招标响应交易平台的网络地址和方法： </w:t>
      </w:r>
    </w:p>
    <w:p w14:paraId="11686D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0B31D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 xml:space="preserve">2.2潜在投标人访问“苏采云”系统方法：江苏省政府采购网首页-“苏采云”链接。 </w:t>
      </w:r>
    </w:p>
    <w:p w14:paraId="12B59B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 xml:space="preserve">2.3采购文件（后缀名为“.kedt”）、供应商操作手册及政府采购客户端 工具可通过“苏采云”系统相应链接进行下载。 </w:t>
      </w:r>
    </w:p>
    <w:p w14:paraId="2A90833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 xml:space="preserve">2.4采购代理机构将数据电文形式的采购文件加载至“苏采云”系统，供潜在供应商下载或者查阅。 </w:t>
      </w:r>
    </w:p>
    <w:p w14:paraId="03751F2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 xml:space="preserve">2.5请潜在投标单位提前安装相应的控件（详见《“苏采云”系统供应商操作手册》）并使用谷歌浏览器登录“苏采云”系统参与不见面开评标。 </w:t>
      </w:r>
    </w:p>
    <w:p w14:paraId="3C7F76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如潜在投标人未按上述要求操作，将自行承担所产生的风险。</w:t>
      </w:r>
    </w:p>
    <w:p w14:paraId="4B74190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3.有关本次招标的事项若存在变动或修改，敬请及时关注盐城市政府采购中心在“中国政府采购网”、“江苏政府采购网”、“盐城市政府采购网”发布的更正公告。</w:t>
      </w:r>
    </w:p>
    <w:p w14:paraId="0ED20B8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pPr>
      <w:r>
        <w:rPr>
          <w:rFonts w:hint="eastAsia" w:ascii="宋体" w:hAnsi="宋体" w:eastAsia="宋体" w:cs="宋体"/>
          <w:b w:val="0"/>
          <w:bCs w:val="0"/>
          <w:i w:val="0"/>
          <w:iCs w:val="0"/>
          <w:caps w:val="0"/>
          <w:color w:val="auto"/>
          <w:spacing w:val="0"/>
          <w:sz w:val="24"/>
          <w:szCs w:val="24"/>
          <w:highlight w:val="none"/>
          <w:u w:val="none"/>
          <w:shd w:val="clear" w:fill="FFFFFF"/>
          <w:lang w:val="en-US" w:eastAsia="zh-CN"/>
        </w:rPr>
        <w:t>4.本次招标不收取投标保证金，不收取质量保证金。</w:t>
      </w:r>
    </w:p>
    <w:p w14:paraId="5BFADC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Times New Roman" w:hAnsi="Times New Roman" w:eastAsia="宋体" w:cs="Times New Roman"/>
          <w:b w:val="0"/>
          <w:bCs w:val="0"/>
          <w:i w:val="0"/>
          <w:iCs w:val="0"/>
          <w:caps w:val="0"/>
          <w:color w:val="auto"/>
          <w:spacing w:val="0"/>
          <w:sz w:val="24"/>
          <w:szCs w:val="24"/>
          <w:highlight w:val="none"/>
        </w:rPr>
      </w:pPr>
      <w:r>
        <w:rPr>
          <w:rFonts w:hint="default" w:ascii="Times New Roman" w:hAnsi="Times New Roman" w:eastAsia="宋体" w:cs="Times New Roman"/>
          <w:b w:val="0"/>
          <w:bCs w:val="0"/>
          <w:i w:val="0"/>
          <w:iCs w:val="0"/>
          <w:caps w:val="0"/>
          <w:color w:val="auto"/>
          <w:spacing w:val="0"/>
          <w:sz w:val="24"/>
          <w:szCs w:val="24"/>
          <w:highlight w:val="none"/>
          <w:u w:val="none"/>
          <w:shd w:val="clear" w:fill="FFFFFF"/>
          <w:lang w:val="en-US" w:eastAsia="zh-CN"/>
        </w:rPr>
        <w:t>七</w:t>
      </w:r>
      <w:r>
        <w:rPr>
          <w:rFonts w:hint="default" w:ascii="Times New Roman" w:hAnsi="Times New Roman" w:eastAsia="宋体" w:cs="Times New Roman"/>
          <w:b w:val="0"/>
          <w:bCs w:val="0"/>
          <w:i w:val="0"/>
          <w:iCs w:val="0"/>
          <w:caps w:val="0"/>
          <w:color w:val="auto"/>
          <w:spacing w:val="0"/>
          <w:sz w:val="24"/>
          <w:szCs w:val="24"/>
          <w:highlight w:val="none"/>
          <w:u w:val="none"/>
          <w:shd w:val="clear" w:fill="FFFFFF"/>
        </w:rPr>
        <w:t>、对本次</w:t>
      </w:r>
      <w:r>
        <w:rPr>
          <w:rFonts w:hint="default" w:ascii="Times New Roman" w:hAnsi="Times New Roman" w:eastAsia="宋体" w:cs="Times New Roman"/>
          <w:b w:val="0"/>
          <w:bCs w:val="0"/>
          <w:i w:val="0"/>
          <w:iCs w:val="0"/>
          <w:caps w:val="0"/>
          <w:color w:val="auto"/>
          <w:spacing w:val="0"/>
          <w:sz w:val="24"/>
          <w:szCs w:val="24"/>
          <w:highlight w:val="none"/>
          <w:u w:val="none"/>
          <w:shd w:val="clear" w:fill="FFFFFF"/>
          <w:lang w:val="en-US" w:eastAsia="zh-CN"/>
        </w:rPr>
        <w:t>招标</w:t>
      </w:r>
      <w:r>
        <w:rPr>
          <w:rFonts w:hint="default" w:ascii="Times New Roman" w:hAnsi="Times New Roman" w:eastAsia="宋体" w:cs="Times New Roman"/>
          <w:b w:val="0"/>
          <w:bCs w:val="0"/>
          <w:i w:val="0"/>
          <w:iCs w:val="0"/>
          <w:caps w:val="0"/>
          <w:color w:val="auto"/>
          <w:spacing w:val="0"/>
          <w:sz w:val="24"/>
          <w:szCs w:val="24"/>
          <w:highlight w:val="none"/>
          <w:u w:val="none"/>
          <w:shd w:val="clear" w:fill="FFFFFF"/>
        </w:rPr>
        <w:t>提出询问，请按以下方式联系。</w:t>
      </w:r>
      <w:bookmarkEnd w:id="30"/>
    </w:p>
    <w:p w14:paraId="0D2BFE3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fill="FFFFFF"/>
          <w:lang w:val="en-US" w:eastAsia="zh-CN"/>
        </w:rPr>
      </w:pPr>
      <w:bookmarkStart w:id="31" w:name="_Toc28359009"/>
      <w:r>
        <w:rPr>
          <w:rFonts w:hint="default" w:ascii="Times New Roman" w:hAnsi="Times New Roman" w:eastAsia="宋体" w:cs="Times New Roman"/>
          <w:i w:val="0"/>
          <w:iCs w:val="0"/>
          <w:caps w:val="0"/>
          <w:color w:val="auto"/>
          <w:spacing w:val="0"/>
          <w:sz w:val="24"/>
          <w:szCs w:val="24"/>
          <w:highlight w:val="none"/>
          <w:shd w:val="clear" w:fill="FFFFFF"/>
          <w:lang w:val="en-US" w:eastAsia="zh-CN"/>
        </w:rPr>
        <w:t>1.采购人信息</w:t>
      </w:r>
    </w:p>
    <w:p w14:paraId="6A01922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名 称：</w:t>
      </w:r>
      <w:r>
        <w:rPr>
          <w:rFonts w:hint="default" w:ascii="Times New Roman" w:hAnsi="Times New Roman" w:eastAsia="宋体" w:cs="Times New Roman"/>
          <w:color w:val="auto"/>
          <w:kern w:val="0"/>
          <w:szCs w:val="21"/>
          <w:highlight w:val="none"/>
          <w:shd w:val="clear" w:color="auto" w:fill="FFFFFF"/>
          <w:lang w:eastAsia="zh-CN" w:bidi="ar"/>
        </w:rPr>
        <w:t>盐城市公路事业发展中心</w:t>
      </w: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 xml:space="preserve">  </w:t>
      </w:r>
    </w:p>
    <w:p w14:paraId="77B660B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 xml:space="preserve">地址：盐城市青年中路8号  </w:t>
      </w:r>
    </w:p>
    <w:p w14:paraId="2761A8E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 xml:space="preserve">联系人：班先生              </w:t>
      </w:r>
    </w:p>
    <w:p w14:paraId="2755A4F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 xml:space="preserve">联系方式：0515-88111102              </w:t>
      </w:r>
    </w:p>
    <w:p w14:paraId="021357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2.采购代理机构信息</w:t>
      </w:r>
    </w:p>
    <w:p w14:paraId="0C05E70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bookmarkStart w:id="32" w:name="_Toc28359021"/>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名 称：盐城市招标代理有限公司</w:t>
      </w:r>
    </w:p>
    <w:p w14:paraId="59D1675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地 址：盐城市青年路钱江财富广场西区A座4楼</w:t>
      </w:r>
    </w:p>
    <w:p w14:paraId="7D5B25D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 xml:space="preserve">联 系 人：周先生              </w:t>
      </w:r>
    </w:p>
    <w:p w14:paraId="5B7F498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联系电话：0515-89803566、15005102277</w:t>
      </w:r>
    </w:p>
    <w:p w14:paraId="33DFE7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3.</w:t>
      </w:r>
      <w:bookmarkEnd w:id="32"/>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项目联系方式</w:t>
      </w:r>
    </w:p>
    <w:p w14:paraId="58FB8C3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项目联系人：班先生</w:t>
      </w:r>
    </w:p>
    <w:p w14:paraId="2CEFCD0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val="0"/>
          <w:iCs w:val="0"/>
          <w:caps w:val="0"/>
          <w:color w:val="auto"/>
          <w:spacing w:val="0"/>
          <w:sz w:val="24"/>
          <w:szCs w:val="24"/>
          <w:highlight w:val="none"/>
          <w:shd w:val="clear" w:color="auto" w:fill="auto"/>
          <w:lang w:val="en-US" w:eastAsia="zh-CN"/>
        </w:rPr>
        <w:t>电　　 话：0515-88111102　</w:t>
      </w:r>
      <w:r>
        <w:rPr>
          <w:rFonts w:hint="default" w:ascii="Times New Roman" w:hAnsi="Times New Roman" w:eastAsia="宋体" w:cs="Times New Roman"/>
          <w:color w:val="auto"/>
          <w:sz w:val="24"/>
          <w:szCs w:val="24"/>
          <w:highlight w:val="none"/>
        </w:rPr>
        <w:t>　　　　　　　　　　　 </w:t>
      </w:r>
    </w:p>
    <w:p w14:paraId="0D80FD0B">
      <w:pPr>
        <w:pStyle w:val="13"/>
        <w:spacing w:beforeAutospacing="0" w:afterAutospacing="0"/>
        <w:ind w:right="840"/>
        <w:jc w:val="both"/>
        <w:rPr>
          <w:color w:val="auto"/>
          <w:highlight w:val="none"/>
        </w:rPr>
      </w:pPr>
      <w:r>
        <w:rPr>
          <w:rFonts w:hint="eastAsia" w:ascii="宋体" w:hAnsi="宋体" w:eastAsia="宋体" w:cs="宋体"/>
          <w:color w:val="auto"/>
          <w:sz w:val="24"/>
          <w:szCs w:val="24"/>
          <w:highlight w:val="none"/>
        </w:rPr>
        <w:br w:type="page"/>
      </w:r>
    </w:p>
    <w:p w14:paraId="01CD31E3">
      <w:pPr>
        <w:pStyle w:val="13"/>
        <w:keepNext/>
        <w:keepLines/>
        <w:spacing w:before="260" w:beforeAutospacing="0" w:after="260" w:afterAutospacing="0" w:line="415" w:lineRule="auto"/>
        <w:ind w:firstLine="2429"/>
        <w:jc w:val="both"/>
        <w:rPr>
          <w:color w:val="auto"/>
          <w:highlight w:val="none"/>
        </w:rPr>
      </w:pPr>
      <w:bookmarkStart w:id="33" w:name="_Toc120614211"/>
      <w:r>
        <w:rPr>
          <w:rFonts w:hint="eastAsia" w:ascii="黑体" w:hAnsi="宋体" w:eastAsia="黑体" w:cs="黑体"/>
          <w:b/>
          <w:color w:val="auto"/>
          <w:sz w:val="44"/>
          <w:szCs w:val="44"/>
          <w:highlight w:val="none"/>
        </w:rPr>
        <w:t xml:space="preserve">第二章  </w:t>
      </w:r>
      <w:bookmarkEnd w:id="33"/>
      <w:bookmarkStart w:id="34" w:name="_Toc20823274"/>
      <w:bookmarkStart w:id="35" w:name="_Toc16938518"/>
      <w:bookmarkStart w:id="36" w:name="_Toc513029202"/>
      <w:bookmarkStart w:id="37" w:name="_Toc120614213"/>
      <w:r>
        <w:rPr>
          <w:rFonts w:hint="eastAsia" w:ascii="黑体" w:hAnsi="宋体" w:eastAsia="黑体" w:cs="黑体"/>
          <w:b/>
          <w:color w:val="auto"/>
          <w:sz w:val="44"/>
          <w:szCs w:val="44"/>
          <w:highlight w:val="none"/>
          <w:lang w:eastAsia="zh-CN"/>
        </w:rPr>
        <w:t>供应商</w:t>
      </w:r>
      <w:r>
        <w:rPr>
          <w:rFonts w:hint="eastAsia" w:ascii="黑体" w:hAnsi="宋体" w:eastAsia="黑体" w:cs="黑体"/>
          <w:b/>
          <w:color w:val="auto"/>
          <w:sz w:val="44"/>
          <w:szCs w:val="44"/>
          <w:highlight w:val="none"/>
        </w:rPr>
        <w:t>须知</w:t>
      </w:r>
      <w:bookmarkEnd w:id="34"/>
      <w:bookmarkEnd w:id="35"/>
      <w:bookmarkEnd w:id="36"/>
      <w:bookmarkEnd w:id="37"/>
    </w:p>
    <w:p w14:paraId="2D4D4940">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38" w:name="_Toc16938519"/>
      <w:bookmarkStart w:id="39" w:name="_Toc120614214"/>
      <w:bookmarkStart w:id="40" w:name="_Toc513029203"/>
      <w:bookmarkStart w:id="41" w:name="_Toc20823275"/>
      <w:r>
        <w:rPr>
          <w:rFonts w:hint="eastAsia" w:ascii="宋体" w:hAnsi="宋体" w:eastAsia="宋体" w:cs="宋体"/>
          <w:b/>
          <w:color w:val="auto"/>
          <w:sz w:val="24"/>
          <w:szCs w:val="24"/>
          <w:highlight w:val="none"/>
        </w:rPr>
        <w:t>一、总则</w:t>
      </w:r>
      <w:bookmarkEnd w:id="38"/>
      <w:bookmarkEnd w:id="39"/>
      <w:bookmarkEnd w:id="40"/>
      <w:bookmarkEnd w:id="41"/>
    </w:p>
    <w:p w14:paraId="48E05819">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42" w:name="_Toc16938520"/>
      <w:bookmarkStart w:id="43" w:name="_Toc20823276"/>
      <w:bookmarkStart w:id="44" w:name="_Toc458694821"/>
      <w:bookmarkStart w:id="45" w:name="_Toc513029204"/>
      <w:bookmarkStart w:id="46" w:name="_Hlt16619475"/>
      <w:r>
        <w:rPr>
          <w:rFonts w:hint="eastAsia" w:ascii="宋体" w:hAnsi="宋体" w:eastAsia="宋体" w:cs="宋体"/>
          <w:color w:val="auto"/>
          <w:sz w:val="24"/>
          <w:szCs w:val="24"/>
          <w:highlight w:val="none"/>
        </w:rPr>
        <w:t>1</w:t>
      </w:r>
      <w:bookmarkEnd w:id="42"/>
      <w:r>
        <w:rPr>
          <w:rFonts w:hint="eastAsia" w:ascii="宋体" w:hAnsi="宋体" w:eastAsia="宋体" w:cs="宋体"/>
          <w:color w:val="auto"/>
          <w:sz w:val="24"/>
          <w:szCs w:val="24"/>
          <w:highlight w:val="none"/>
        </w:rPr>
        <w:t>、招标方式</w:t>
      </w:r>
      <w:bookmarkEnd w:id="43"/>
      <w:bookmarkEnd w:id="44"/>
      <w:bookmarkEnd w:id="45"/>
    </w:p>
    <w:p w14:paraId="496D2DA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7EFF3468">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eastAsia="zh-CN"/>
        </w:rPr>
      </w:pPr>
      <w:bookmarkStart w:id="47" w:name="_Toc20823277"/>
      <w:bookmarkStart w:id="48" w:name="_Toc16938521"/>
      <w:bookmarkStart w:id="49" w:name="_Toc513029205"/>
      <w:r>
        <w:rPr>
          <w:rFonts w:hint="eastAsia" w:ascii="宋体" w:hAnsi="宋体" w:eastAsia="宋体" w:cs="宋体"/>
          <w:color w:val="auto"/>
          <w:sz w:val="24"/>
          <w:szCs w:val="24"/>
          <w:highlight w:val="none"/>
        </w:rPr>
        <w:t>2、合格的</w:t>
      </w:r>
      <w:bookmarkEnd w:id="47"/>
      <w:bookmarkEnd w:id="48"/>
      <w:bookmarkEnd w:id="49"/>
      <w:r>
        <w:rPr>
          <w:rFonts w:hint="eastAsia" w:ascii="宋体" w:hAnsi="宋体" w:eastAsia="宋体" w:cs="宋体"/>
          <w:color w:val="auto"/>
          <w:sz w:val="24"/>
          <w:szCs w:val="24"/>
          <w:highlight w:val="none"/>
          <w:lang w:eastAsia="zh-CN"/>
        </w:rPr>
        <w:t>供应商</w:t>
      </w:r>
    </w:p>
    <w:p w14:paraId="575CB15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的资格要求的规定。</w:t>
      </w:r>
    </w:p>
    <w:p w14:paraId="053B99F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4170807A">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方正魏碑_GBK" w:hAnsi="方正魏碑_GBK" w:eastAsia="方正魏碑_GBK" w:cs="方正魏碑_GBK"/>
          <w:color w:val="auto"/>
          <w:sz w:val="24"/>
          <w:szCs w:val="21"/>
          <w:highlight w:val="none"/>
        </w:rPr>
      </w:pPr>
      <w:bookmarkStart w:id="50" w:name="_Toc513029206"/>
      <w:bookmarkStart w:id="51" w:name="_Toc20823278"/>
      <w:bookmarkStart w:id="52" w:name="_Toc16938522"/>
      <w:bookmarkStart w:id="53" w:name="_Toc513029207"/>
      <w:bookmarkStart w:id="54" w:name="_Toc20823279"/>
      <w:bookmarkStart w:id="55" w:name="_Toc462564067"/>
      <w:bookmarkStart w:id="56" w:name="_Toc16938523"/>
      <w:r>
        <w:rPr>
          <w:rFonts w:hint="eastAsia" w:ascii="方正魏碑_GBK" w:hAnsi="方正魏碑_GBK" w:eastAsia="方正魏碑_GBK" w:cs="方正魏碑_GBK"/>
          <w:color w:val="auto"/>
          <w:sz w:val="24"/>
          <w:szCs w:val="21"/>
          <w:highlight w:val="none"/>
        </w:rPr>
        <w:t>3、适用法律</w:t>
      </w:r>
      <w:bookmarkEnd w:id="50"/>
      <w:bookmarkEnd w:id="51"/>
      <w:bookmarkEnd w:id="52"/>
      <w:r>
        <w:rPr>
          <w:rFonts w:hint="eastAsia" w:ascii="方正魏碑_GBK" w:hAnsi="方正魏碑_GBK" w:eastAsia="方正魏碑_GBK" w:cs="方正魏碑_GBK"/>
          <w:color w:val="auto"/>
          <w:sz w:val="24"/>
          <w:szCs w:val="21"/>
          <w:highlight w:val="none"/>
        </w:rPr>
        <w:t>和标准</w:t>
      </w:r>
    </w:p>
    <w:p w14:paraId="60757E9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36533D3B">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w:t>
      </w:r>
      <w:bookmarkEnd w:id="53"/>
      <w:bookmarkEnd w:id="54"/>
      <w:bookmarkEnd w:id="55"/>
      <w:bookmarkEnd w:id="56"/>
    </w:p>
    <w:p w14:paraId="23EE288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应自行承担所有与参加投标有关的费用，无论投标过程中的做法和结果如何，盐城市招标代理有限公司（以下简称：采购代理机构）在任何情况下均无义务和责任承担这些费用。</w:t>
      </w:r>
    </w:p>
    <w:p w14:paraId="7CB45D1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4.2本次招标采购代理机构和采购人不收取标书工本费与中标服务费。</w:t>
      </w:r>
    </w:p>
    <w:p w14:paraId="7508EC0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highlight w:val="none"/>
        </w:rPr>
        <w:t>本项目</w:t>
      </w:r>
      <w:r>
        <w:rPr>
          <w:rFonts w:hint="eastAsia" w:hAnsi="宋体" w:cs="宋体"/>
          <w:bCs/>
          <w:color w:val="auto"/>
          <w:szCs w:val="21"/>
          <w:highlight w:val="none"/>
        </w:rPr>
        <w:t>采购代理服务费</w:t>
      </w:r>
      <w:r>
        <w:rPr>
          <w:rFonts w:hint="eastAsia" w:ascii="宋体" w:hAnsi="宋体" w:eastAsia="宋体" w:cs="宋体"/>
          <w:color w:val="auto"/>
          <w:sz w:val="24"/>
          <w:highlight w:val="none"/>
        </w:rPr>
        <w:t>由招标人支付，按《江苏省招标代理服务收费的指导意见》（苏招协[2022]002）的收费标准的0.01%计取，项目代理费用计算少于5000元，按5000元结算。各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在投标报价无需考虑该项费用</w:t>
      </w:r>
      <w:r>
        <w:rPr>
          <w:rFonts w:hint="eastAsia" w:ascii="宋体" w:hAnsi="宋体" w:eastAsia="宋体" w:cs="宋体"/>
          <w:color w:val="auto"/>
          <w:sz w:val="24"/>
          <w:szCs w:val="24"/>
          <w:highlight w:val="none"/>
        </w:rPr>
        <w:t>。</w:t>
      </w:r>
    </w:p>
    <w:p w14:paraId="3170A5D0">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5、招标文件的约束力</w:t>
      </w:r>
    </w:p>
    <w:p w14:paraId="34C8BA9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一旦参加本项目采购活动，即被认为接受了本招标文件的规定和约束。</w:t>
      </w:r>
    </w:p>
    <w:p w14:paraId="43832C20">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57" w:name="_Toc513029209"/>
      <w:bookmarkStart w:id="58" w:name="_Toc120614215"/>
      <w:bookmarkStart w:id="59" w:name="_Toc20823281"/>
      <w:bookmarkStart w:id="60" w:name="_Toc16938525"/>
      <w:r>
        <w:rPr>
          <w:rFonts w:hint="eastAsia" w:ascii="宋体" w:hAnsi="宋体" w:eastAsia="宋体" w:cs="宋体"/>
          <w:b/>
          <w:color w:val="auto"/>
          <w:sz w:val="24"/>
          <w:szCs w:val="24"/>
          <w:highlight w:val="none"/>
        </w:rPr>
        <w:t>二、招标文件</w:t>
      </w:r>
      <w:bookmarkEnd w:id="57"/>
      <w:bookmarkEnd w:id="58"/>
      <w:bookmarkEnd w:id="59"/>
      <w:bookmarkEnd w:id="60"/>
    </w:p>
    <w:p w14:paraId="68ED197E">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61" w:name="_Toc20823282"/>
      <w:bookmarkStart w:id="62" w:name="_Toc513029210"/>
      <w:bookmarkStart w:id="63" w:name="_Toc16938526"/>
      <w:r>
        <w:rPr>
          <w:rFonts w:hint="eastAsia" w:ascii="宋体" w:hAnsi="宋体" w:eastAsia="宋体" w:cs="宋体"/>
          <w:color w:val="auto"/>
          <w:sz w:val="24"/>
          <w:szCs w:val="24"/>
          <w:highlight w:val="none"/>
        </w:rPr>
        <w:t>6、招标文件构成</w:t>
      </w:r>
      <w:bookmarkEnd w:id="61"/>
      <w:bookmarkEnd w:id="62"/>
      <w:bookmarkEnd w:id="63"/>
    </w:p>
    <w:p w14:paraId="3A8430B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7CAD8D0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65867A5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p>
    <w:p w14:paraId="5794307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179FCE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52F510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5C39FD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BF7395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联系解决。</w:t>
      </w:r>
    </w:p>
    <w:p w14:paraId="6CE2222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1FBCE683">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64" w:name="_Toc513029211"/>
      <w:bookmarkStart w:id="65" w:name="_Toc462564070"/>
      <w:bookmarkStart w:id="66" w:name="_Toc16938527"/>
      <w:bookmarkStart w:id="67" w:name="_Toc20823283"/>
      <w:r>
        <w:rPr>
          <w:rFonts w:hint="eastAsia" w:ascii="宋体" w:hAnsi="宋体" w:eastAsia="宋体" w:cs="宋体"/>
          <w:color w:val="auto"/>
          <w:sz w:val="24"/>
          <w:szCs w:val="24"/>
          <w:highlight w:val="none"/>
        </w:rPr>
        <w:t>7、招标文件的澄清</w:t>
      </w:r>
      <w:bookmarkEnd w:id="64"/>
      <w:bookmarkEnd w:id="65"/>
      <w:bookmarkEnd w:id="66"/>
      <w:bookmarkEnd w:id="67"/>
    </w:p>
    <w:p w14:paraId="51C9CA8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p>
    <w:p w14:paraId="64D93D1A">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68" w:name="_Toc513029212"/>
      <w:bookmarkStart w:id="69" w:name="_Toc462564071"/>
      <w:bookmarkStart w:id="70" w:name="_Toc20823284"/>
      <w:bookmarkStart w:id="71" w:name="_Toc16938528"/>
      <w:r>
        <w:rPr>
          <w:rFonts w:hint="eastAsia" w:ascii="宋体" w:hAnsi="宋体" w:eastAsia="宋体" w:cs="宋体"/>
          <w:color w:val="auto"/>
          <w:sz w:val="24"/>
          <w:szCs w:val="24"/>
          <w:highlight w:val="none"/>
        </w:rPr>
        <w:t>8、招标文件的修改</w:t>
      </w:r>
      <w:bookmarkEnd w:id="68"/>
      <w:bookmarkEnd w:id="69"/>
      <w:bookmarkEnd w:id="70"/>
      <w:bookmarkEnd w:id="71"/>
    </w:p>
    <w:p w14:paraId="79F7581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可以对招标文件进行修改。</w:t>
      </w:r>
    </w:p>
    <w:p w14:paraId="6C5CE64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有权按照法定的要求推迟投标截止日期和开标日期。</w:t>
      </w:r>
    </w:p>
    <w:p w14:paraId="47FD8A9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盐城市政府采购网公布，补充文件将作为招标文件的组成部分，并对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具有约束力。</w:t>
      </w:r>
    </w:p>
    <w:p w14:paraId="00278C9A">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72" w:name="_Toc120614216"/>
      <w:bookmarkStart w:id="73" w:name="_Toc513029213"/>
      <w:bookmarkStart w:id="74" w:name="_Toc462564072"/>
      <w:bookmarkStart w:id="75" w:name="_Toc20823285"/>
      <w:bookmarkStart w:id="76" w:name="_Toc16938529"/>
      <w:r>
        <w:rPr>
          <w:rFonts w:hint="eastAsia" w:ascii="宋体" w:hAnsi="宋体" w:eastAsia="宋体" w:cs="宋体"/>
          <w:b/>
          <w:color w:val="auto"/>
          <w:sz w:val="24"/>
          <w:szCs w:val="24"/>
          <w:highlight w:val="none"/>
        </w:rPr>
        <w:t>三、投标文件的编制</w:t>
      </w:r>
      <w:bookmarkEnd w:id="72"/>
      <w:bookmarkEnd w:id="73"/>
      <w:bookmarkEnd w:id="74"/>
      <w:bookmarkEnd w:id="75"/>
      <w:bookmarkEnd w:id="76"/>
    </w:p>
    <w:p w14:paraId="3958D525">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77" w:name="_Toc513029214"/>
      <w:bookmarkStart w:id="78" w:name="_Toc20823286"/>
      <w:bookmarkStart w:id="79" w:name="_Toc462564073"/>
      <w:bookmarkStart w:id="80" w:name="_Toc16938530"/>
      <w:r>
        <w:rPr>
          <w:rFonts w:hint="eastAsia" w:ascii="宋体" w:hAnsi="宋体" w:eastAsia="宋体" w:cs="宋体"/>
          <w:color w:val="auto"/>
          <w:sz w:val="24"/>
          <w:szCs w:val="24"/>
          <w:highlight w:val="none"/>
        </w:rPr>
        <w:t>9、投标文件的语言及度量衡单位</w:t>
      </w:r>
      <w:bookmarkEnd w:id="77"/>
      <w:bookmarkEnd w:id="78"/>
      <w:bookmarkEnd w:id="79"/>
      <w:bookmarkEnd w:id="80"/>
    </w:p>
    <w:p w14:paraId="4F02069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提交的投标文件以及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4BFB97B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14:paraId="5A005DB0">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81" w:name="_Toc16938531"/>
      <w:bookmarkStart w:id="82" w:name="_Toc513029215"/>
      <w:bookmarkStart w:id="83" w:name="_Toc20823287"/>
      <w:bookmarkStart w:id="84" w:name="_Toc462564074"/>
      <w:r>
        <w:rPr>
          <w:rFonts w:hint="eastAsia" w:ascii="宋体" w:hAnsi="宋体" w:eastAsia="宋体" w:cs="宋体"/>
          <w:color w:val="auto"/>
          <w:sz w:val="24"/>
          <w:szCs w:val="24"/>
          <w:highlight w:val="none"/>
        </w:rPr>
        <w:t>10、投标文件构成</w:t>
      </w:r>
      <w:bookmarkEnd w:id="81"/>
      <w:bookmarkEnd w:id="82"/>
      <w:bookmarkEnd w:id="83"/>
      <w:bookmarkEnd w:id="84"/>
    </w:p>
    <w:p w14:paraId="2CDE719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编写的投标文件应包括资格证明文件、符合性证明文件、投标分项报价表、技术要求响应及偏离表、商务要求响应及偏离表、其他证明文件、投标函、开标一览表等部分。</w:t>
      </w:r>
    </w:p>
    <w:p w14:paraId="43A6806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盐城市政府采购网”发布的招标文件不一致，请以</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盐城市政府采购网”发布的招标文件为准。</w:t>
      </w:r>
    </w:p>
    <w:p w14:paraId="58AAE2F3">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85" w:name="_Toc49090507"/>
      <w:bookmarkStart w:id="86" w:name="_Toc513029219"/>
      <w:bookmarkStart w:id="87" w:name="_Toc14577357"/>
      <w:bookmarkStart w:id="88" w:name="_Toc49090509"/>
      <w:bookmarkStart w:id="89" w:name="_Toc14577354"/>
      <w:bookmarkStart w:id="90" w:name="_Toc513029216"/>
      <w:bookmarkStart w:id="91" w:name="_Hlt26954838"/>
      <w:bookmarkStart w:id="92" w:name="_Hlt26668975"/>
      <w:bookmarkStart w:id="93" w:name="_Hlt26670360"/>
      <w:r>
        <w:rPr>
          <w:rFonts w:hint="eastAsia" w:ascii="宋体" w:hAnsi="宋体" w:eastAsia="宋体" w:cs="宋体"/>
          <w:color w:val="auto"/>
          <w:sz w:val="24"/>
          <w:szCs w:val="24"/>
          <w:highlight w:val="none"/>
        </w:rPr>
        <w:t>11、证明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及投标标的符合招标文件规定的文件</w:t>
      </w:r>
      <w:bookmarkEnd w:id="85"/>
      <w:bookmarkEnd w:id="86"/>
      <w:bookmarkEnd w:id="87"/>
      <w:bookmarkEnd w:id="88"/>
      <w:bookmarkEnd w:id="89"/>
      <w:bookmarkEnd w:id="90"/>
    </w:p>
    <w:p w14:paraId="7BCF26D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94" w:name="_Toc49090508"/>
      <w:bookmarkStart w:id="95" w:name="_Toc14577355"/>
      <w:r>
        <w:rPr>
          <w:rFonts w:hint="eastAsia" w:ascii="宋体" w:hAnsi="宋体" w:eastAsia="宋体" w:cs="宋体"/>
          <w:color w:val="auto"/>
          <w:sz w:val="24"/>
          <w:szCs w:val="24"/>
          <w:highlight w:val="none"/>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应按照法律、法规、规章和规范性文件以及招标文件要求提交证明文件，证明其及投标标的符合招标文件规定。</w:t>
      </w:r>
      <w:bookmarkEnd w:id="94"/>
      <w:bookmarkEnd w:id="95"/>
    </w:p>
    <w:p w14:paraId="68EBD42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7C62A904">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12、投标分项报价</w:t>
      </w:r>
      <w:bookmarkStart w:id="96" w:name="_Hlt26670373"/>
      <w:r>
        <w:rPr>
          <w:rFonts w:hint="eastAsia" w:ascii="宋体" w:hAnsi="宋体" w:eastAsia="宋体" w:cs="宋体"/>
          <w:color w:val="auto"/>
          <w:sz w:val="24"/>
          <w:szCs w:val="24"/>
          <w:highlight w:val="none"/>
        </w:rPr>
        <w:t>表</w:t>
      </w:r>
    </w:p>
    <w:p w14:paraId="54CA8B6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bookmarkStart w:id="97" w:name="_Hlt26954840"/>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应按照招标文件规定格式填报投标分项报价表</w:t>
      </w:r>
      <w:bookmarkStart w:id="98" w:name="_Hlt26670399"/>
      <w:r>
        <w:rPr>
          <w:rFonts w:hint="eastAsia" w:ascii="宋体" w:hAnsi="宋体" w:eastAsia="宋体" w:cs="宋体"/>
          <w:color w:val="auto"/>
          <w:sz w:val="24"/>
          <w:szCs w:val="24"/>
          <w:highlight w:val="none"/>
        </w:rPr>
        <w:t>。</w:t>
      </w:r>
    </w:p>
    <w:p w14:paraId="25F1AFE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4E69B8C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99" w:name="_Hlt26670403"/>
      <w:bookmarkStart w:id="100" w:name="_Hlt26670486"/>
      <w:bookmarkStart w:id="101" w:name="_Hlt26954846"/>
      <w:bookmarkStart w:id="102" w:name="_Hlt26954842"/>
      <w:bookmarkStart w:id="103" w:name="_Hlt26954844"/>
      <w:bookmarkStart w:id="104" w:name="_Hlt26954731"/>
      <w:bookmarkStart w:id="105" w:name="_Hlt26670482"/>
      <w:bookmarkStart w:id="106" w:name="_Hlt26954848"/>
      <w:bookmarkStart w:id="107" w:name="_Hlt26670425"/>
      <w:bookmarkStart w:id="108" w:name="_Hlt26668983"/>
      <w:r>
        <w:rPr>
          <w:rFonts w:hint="eastAsia" w:ascii="宋体" w:hAnsi="宋体" w:eastAsia="宋体" w:cs="宋体"/>
          <w:color w:val="auto"/>
          <w:sz w:val="24"/>
          <w:szCs w:val="24"/>
          <w:highlight w:val="none"/>
        </w:rPr>
        <w:t>12.3本项目采用用固定总价报价，投标报价包括但不限于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完成合同项目所有工作内容和提供完整的文件原件</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成果报告所需的调查费、检测费、数据分析费、劳务费、</w:t>
      </w:r>
      <w:r>
        <w:rPr>
          <w:rFonts w:hint="eastAsia" w:ascii="宋体" w:hAnsi="宋体" w:eastAsia="宋体" w:cs="宋体"/>
          <w:color w:val="auto"/>
          <w:sz w:val="24"/>
          <w:szCs w:val="24"/>
          <w:highlight w:val="none"/>
          <w:lang w:val="en-US" w:eastAsia="zh-CN"/>
        </w:rPr>
        <w:t>保险费、</w:t>
      </w:r>
      <w:r>
        <w:rPr>
          <w:rFonts w:hint="eastAsia" w:ascii="宋体" w:hAnsi="宋体" w:eastAsia="宋体" w:cs="宋体"/>
          <w:color w:val="auto"/>
          <w:sz w:val="24"/>
          <w:szCs w:val="24"/>
          <w:highlight w:val="none"/>
        </w:rPr>
        <w:t>差旅费、咨询费、审查费、会务费、出版费、成果文件编制费、管理费、</w:t>
      </w:r>
      <w:r>
        <w:rPr>
          <w:rFonts w:hint="eastAsia" w:ascii="宋体" w:hAnsi="宋体" w:eastAsia="宋体" w:cs="宋体"/>
          <w:color w:val="auto"/>
          <w:sz w:val="24"/>
          <w:szCs w:val="24"/>
          <w:highlight w:val="none"/>
          <w:lang w:val="en-US" w:eastAsia="zh-CN"/>
        </w:rPr>
        <w:t>相关安全生产费用、</w:t>
      </w:r>
      <w:r>
        <w:rPr>
          <w:rFonts w:hint="eastAsia" w:ascii="宋体" w:hAnsi="宋体" w:eastAsia="宋体" w:cs="宋体"/>
          <w:color w:val="auto"/>
          <w:sz w:val="24"/>
          <w:szCs w:val="24"/>
          <w:highlight w:val="none"/>
        </w:rPr>
        <w:t>利润、税金及进行项目报批需要编制相关文件等全部费用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w:t>
      </w:r>
      <w:r>
        <w:rPr>
          <w:rFonts w:hint="eastAsia" w:ascii="宋体" w:hAnsi="宋体" w:eastAsia="宋体" w:cs="宋体"/>
          <w:color w:val="auto"/>
          <w:sz w:val="24"/>
          <w:szCs w:val="24"/>
          <w:highlight w:val="none"/>
          <w:lang w:eastAsia="zh-CN"/>
        </w:rPr>
        <w:t>购文件未列明，而</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认为必需的费用自行综合考虑到报价。</w:t>
      </w:r>
    </w:p>
    <w:p w14:paraId="3EF731C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本项目施工安全操作应符合国家及行业标准，用电安全、高空作业、施工作业面安全围护、劳动保护用具配置应落实到位，施工安装人员保险应投保到位。</w:t>
      </w:r>
    </w:p>
    <w:p w14:paraId="3E71C8AC">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13、技术要求响应及偏离表、商务要求响应及偏离表</w:t>
      </w:r>
    </w:p>
    <w:p w14:paraId="7633F01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需对招标文件中的技术要求与商务要求逐项作出响应或偏离，并说明原因。</w:t>
      </w:r>
    </w:p>
    <w:p w14:paraId="39ED4825">
      <w:pPr>
        <w:pStyle w:val="13"/>
        <w:pageBreakBefore w:val="0"/>
        <w:widowControl w:val="0"/>
        <w:tabs>
          <w:tab w:val="left" w:pos="1036"/>
        </w:tabs>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可在投标文件中提供认为需要的其他技术文件或说明。</w:t>
      </w:r>
    </w:p>
    <w:p w14:paraId="3BCCF779">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09" w:name="_Toc49090510"/>
      <w:bookmarkStart w:id="110" w:name="_Toc14577359"/>
      <w:r>
        <w:rPr>
          <w:rFonts w:hint="eastAsia" w:ascii="宋体" w:hAnsi="宋体" w:eastAsia="宋体" w:cs="宋体"/>
          <w:color w:val="auto"/>
          <w:sz w:val="24"/>
          <w:szCs w:val="24"/>
          <w:highlight w:val="none"/>
        </w:rPr>
        <w:t>14、投标函和开标一览表</w:t>
      </w:r>
      <w:bookmarkEnd w:id="109"/>
      <w:bookmarkEnd w:id="110"/>
    </w:p>
    <w:p w14:paraId="1BEB9EC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应按照招标文件中提供的格式完整、正确填写投标函、开标一览表。</w:t>
      </w:r>
    </w:p>
    <w:p w14:paraId="63A6187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w:t>
      </w:r>
    </w:p>
    <w:p w14:paraId="53CB0256">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11" w:name="_Toc49090511"/>
      <w:bookmarkStart w:id="112" w:name="_Toc14577360"/>
      <w:bookmarkStart w:id="113" w:name="_Hlt26954734"/>
      <w:bookmarkStart w:id="114" w:name="_Hlt26670489"/>
      <w:bookmarkStart w:id="115" w:name="_Hlt26954850"/>
      <w:r>
        <w:rPr>
          <w:rFonts w:hint="eastAsia" w:ascii="宋体" w:hAnsi="宋体" w:eastAsia="宋体" w:cs="宋体"/>
          <w:color w:val="auto"/>
          <w:sz w:val="24"/>
          <w:szCs w:val="24"/>
          <w:highlight w:val="none"/>
        </w:rPr>
        <w:t>15、投标有效期</w:t>
      </w:r>
      <w:bookmarkEnd w:id="111"/>
      <w:bookmarkEnd w:id="112"/>
    </w:p>
    <w:p w14:paraId="6CB8DD6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0A08692B">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16、投标有效期的延长</w:t>
      </w:r>
    </w:p>
    <w:p w14:paraId="580C2F5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于原投标有效期满之前，可向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提出延长投标有效期的要求。这种要求与答复均应采用书面形式。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可以拒绝</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的这一要求而放弃投标。同意延长投标有效期的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既不能要求也不允许修改其投标文件，同时受投标有效期约束的所有权利与义务均延长至新的有效期。</w:t>
      </w:r>
    </w:p>
    <w:p w14:paraId="1E06A6BF">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16" w:name="_Toc16938540"/>
      <w:bookmarkStart w:id="117" w:name="_Toc20823296"/>
      <w:bookmarkStart w:id="118" w:name="_Toc513029224"/>
      <w:bookmarkStart w:id="119" w:name="_Toc120614217"/>
      <w:bookmarkStart w:id="120" w:name="_Hlt26954739"/>
      <w:bookmarkStart w:id="121" w:name="_Hlt26954852"/>
      <w:r>
        <w:rPr>
          <w:rFonts w:hint="eastAsia" w:ascii="宋体" w:hAnsi="宋体" w:eastAsia="宋体" w:cs="宋体"/>
          <w:b/>
          <w:color w:val="auto"/>
          <w:sz w:val="24"/>
          <w:szCs w:val="24"/>
          <w:highlight w:val="none"/>
        </w:rPr>
        <w:t>四、投标文件的递交</w:t>
      </w:r>
      <w:bookmarkEnd w:id="116"/>
      <w:bookmarkEnd w:id="117"/>
      <w:bookmarkEnd w:id="118"/>
      <w:bookmarkEnd w:id="119"/>
    </w:p>
    <w:p w14:paraId="4C633EA9">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22" w:name="_Toc462564084"/>
      <w:bookmarkStart w:id="123" w:name="_Toc20823297"/>
      <w:bookmarkStart w:id="124" w:name="_Toc513029225"/>
      <w:bookmarkStart w:id="125" w:name="_Toc16938541"/>
      <w:r>
        <w:rPr>
          <w:rFonts w:hint="eastAsia" w:ascii="宋体" w:hAnsi="宋体" w:eastAsia="宋体" w:cs="宋体"/>
          <w:color w:val="auto"/>
          <w:sz w:val="24"/>
          <w:szCs w:val="24"/>
          <w:highlight w:val="none"/>
        </w:rPr>
        <w:t>17、投标文件</w:t>
      </w:r>
      <w:bookmarkEnd w:id="122"/>
      <w:bookmarkEnd w:id="123"/>
      <w:bookmarkEnd w:id="124"/>
      <w:bookmarkEnd w:id="125"/>
      <w:r>
        <w:rPr>
          <w:rFonts w:hint="eastAsia" w:ascii="宋体" w:hAnsi="宋体" w:eastAsia="宋体" w:cs="宋体"/>
          <w:color w:val="auto"/>
          <w:sz w:val="24"/>
          <w:szCs w:val="24"/>
          <w:highlight w:val="none"/>
        </w:rPr>
        <w:t>的递交</w:t>
      </w:r>
    </w:p>
    <w:p w14:paraId="26BFC67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65F6134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应当按照《操作手册》规定，在投标截止时间前制作并上传电子投标文件。</w:t>
      </w:r>
      <w:bookmarkStart w:id="126" w:name="_Toc16938542"/>
      <w:bookmarkEnd w:id="126"/>
      <w:bookmarkStart w:id="127" w:name="_Toc20823298"/>
      <w:bookmarkEnd w:id="127"/>
      <w:bookmarkStart w:id="128" w:name="_Toc513029226"/>
    </w:p>
    <w:p w14:paraId="4F21A69A">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14:paraId="674070D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18.1</w:t>
      </w:r>
      <w:r>
        <w:rPr>
          <w:rFonts w:hint="eastAsia" w:ascii="宋体" w:hAnsi="宋体" w:eastAsia="宋体" w:cs="宋体"/>
          <w:i/>
          <w:color w:val="auto"/>
          <w:sz w:val="24"/>
          <w:szCs w:val="24"/>
          <w:highlight w:val="none"/>
          <w:u w:val="single"/>
          <w:lang w:eastAsia="zh-CN"/>
        </w:rPr>
        <w:t>供应商</w:t>
      </w:r>
      <w:r>
        <w:rPr>
          <w:rFonts w:hint="eastAsia" w:ascii="宋体" w:hAnsi="宋体" w:eastAsia="宋体" w:cs="宋体"/>
          <w:i/>
          <w:color w:val="auto"/>
          <w:sz w:val="24"/>
          <w:szCs w:val="24"/>
          <w:highlight w:val="none"/>
          <w:u w:val="single"/>
        </w:rPr>
        <w:t>上传电子投标文件的时间不得迟于招标公告中规定的投标截止时间。</w:t>
      </w:r>
    </w:p>
    <w:p w14:paraId="237BBC0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应充分考虑到网络环境、网络带宽等风险因素，如因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自身原因造成的电子投标文件上传不成功的按照本招标文件第二章第26.1.2条 规定做无效投标处理。</w:t>
      </w:r>
    </w:p>
    <w:p w14:paraId="120F652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可以按照规定，通过修改招标文件酌情延长投标截止时间，在此情况下，</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的所有权利和义务以及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受制的截止时间均应以延长后新的截止时间为准。</w:t>
      </w:r>
    </w:p>
    <w:p w14:paraId="3AECB744">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29" w:name="_Toc16938543"/>
      <w:bookmarkStart w:id="130" w:name="_Toc513029227"/>
      <w:bookmarkStart w:id="131" w:name="_Toc20823299"/>
      <w:r>
        <w:rPr>
          <w:rFonts w:hint="eastAsia" w:ascii="宋体" w:hAnsi="宋体" w:eastAsia="宋体" w:cs="宋体"/>
          <w:color w:val="auto"/>
          <w:sz w:val="24"/>
          <w:szCs w:val="24"/>
          <w:highlight w:val="none"/>
        </w:rPr>
        <w:t>19、投标文件</w:t>
      </w:r>
      <w:bookmarkEnd w:id="129"/>
      <w:bookmarkEnd w:id="130"/>
      <w:bookmarkEnd w:id="131"/>
      <w:r>
        <w:rPr>
          <w:rFonts w:hint="eastAsia" w:ascii="宋体" w:hAnsi="宋体" w:eastAsia="宋体" w:cs="宋体"/>
          <w:color w:val="auto"/>
          <w:sz w:val="24"/>
          <w:szCs w:val="24"/>
          <w:highlight w:val="none"/>
        </w:rPr>
        <w:t>的拒收</w:t>
      </w:r>
    </w:p>
    <w:p w14:paraId="2B48FBB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拒绝接收在其规定的投标截止时间后上传的任何投标文件。</w:t>
      </w:r>
    </w:p>
    <w:p w14:paraId="6520AEC0">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32" w:name="_Toc20823300"/>
      <w:bookmarkStart w:id="133" w:name="_Toc16938544"/>
      <w:bookmarkStart w:id="134" w:name="_Toc513029228"/>
      <w:r>
        <w:rPr>
          <w:rFonts w:hint="eastAsia" w:ascii="宋体" w:hAnsi="宋体" w:eastAsia="宋体" w:cs="宋体"/>
          <w:color w:val="auto"/>
          <w:sz w:val="24"/>
          <w:szCs w:val="24"/>
          <w:highlight w:val="none"/>
        </w:rPr>
        <w:t>20、投标文件的撤回和修改</w:t>
      </w:r>
      <w:bookmarkEnd w:id="132"/>
      <w:bookmarkEnd w:id="133"/>
      <w:bookmarkEnd w:id="134"/>
    </w:p>
    <w:p w14:paraId="2C6476A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72EBA9C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14:paraId="26CBD29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可在投标截止时间前，撤回其电子投标文件，具体操作方法见《操作手册》。</w:t>
      </w:r>
    </w:p>
    <w:p w14:paraId="3ED5148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撤回电子投标文件，则认为其不再参与本项目投标活动。</w:t>
      </w:r>
    </w:p>
    <w:p w14:paraId="090FC03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053F4E4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可在投标截止时间前，对其电子投标文件进行修改，具体操作方法见《操作手册》。</w:t>
      </w:r>
    </w:p>
    <w:p w14:paraId="7AABAAF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不得对其电子投标文件作任何修改。</w:t>
      </w:r>
    </w:p>
    <w:p w14:paraId="1BEFAE9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不得撤回其投标。</w:t>
      </w:r>
    </w:p>
    <w:p w14:paraId="1BB23621">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35" w:name="_Toc120614218"/>
      <w:bookmarkStart w:id="136" w:name="_Toc16938545"/>
      <w:bookmarkStart w:id="137" w:name="_Toc20823301"/>
      <w:bookmarkStart w:id="138" w:name="_Toc513029229"/>
      <w:r>
        <w:rPr>
          <w:rFonts w:hint="eastAsia" w:ascii="宋体" w:hAnsi="宋体" w:eastAsia="宋体" w:cs="宋体"/>
          <w:b/>
          <w:color w:val="auto"/>
          <w:sz w:val="24"/>
          <w:szCs w:val="24"/>
          <w:highlight w:val="none"/>
        </w:rPr>
        <w:t>五、开标与评标</w:t>
      </w:r>
      <w:bookmarkEnd w:id="135"/>
      <w:bookmarkEnd w:id="136"/>
      <w:bookmarkEnd w:id="137"/>
      <w:bookmarkEnd w:id="138"/>
    </w:p>
    <w:p w14:paraId="2C4C772A">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39" w:name="_Toc513029230"/>
      <w:bookmarkStart w:id="140" w:name="_Toc20823302"/>
      <w:bookmarkStart w:id="141" w:name="_Toc16938546"/>
      <w:r>
        <w:rPr>
          <w:rFonts w:hint="eastAsia" w:ascii="宋体" w:hAnsi="宋体" w:eastAsia="宋体" w:cs="宋体"/>
          <w:color w:val="auto"/>
          <w:sz w:val="24"/>
          <w:szCs w:val="24"/>
          <w:highlight w:val="none"/>
        </w:rPr>
        <w:t>21、开标</w:t>
      </w:r>
      <w:bookmarkEnd w:id="139"/>
      <w:bookmarkEnd w:id="140"/>
      <w:bookmarkEnd w:id="141"/>
    </w:p>
    <w:p w14:paraId="3FFA491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将在招标公告中规定的时间和地点组织公开开标。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应当按照《操作手册》规定，参加开标活动和在苏采云系统规定的时间内对投标文件进行解密。</w:t>
      </w:r>
    </w:p>
    <w:p w14:paraId="01390B0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组织。苏采云系统将自动对项目进行开标，并宣布各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名称和投标价格。</w:t>
      </w:r>
    </w:p>
    <w:p w14:paraId="24D42C9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在开标过程中涉及到的投标文件解密、开标结果确认等工作，应按照《操作手册》规定执行。</w:t>
      </w:r>
    </w:p>
    <w:p w14:paraId="6DF31ED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如果对开标过程和开标记录有疑义，应当根据《操作手册》规定提出，如苏采云系统中《开标记录表》宣布后5分钟内未提出的，视同认可开标结果。</w:t>
      </w:r>
    </w:p>
    <w:p w14:paraId="388DE53A">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42" w:name="_Toc513029231"/>
      <w:bookmarkStart w:id="143" w:name="_Toc20823303"/>
      <w:bookmarkStart w:id="144" w:name="_Toc16938547"/>
      <w:r>
        <w:rPr>
          <w:rFonts w:hint="eastAsia" w:ascii="宋体" w:hAnsi="宋体" w:eastAsia="宋体" w:cs="宋体"/>
          <w:color w:val="auto"/>
          <w:sz w:val="24"/>
          <w:szCs w:val="24"/>
          <w:highlight w:val="none"/>
        </w:rPr>
        <w:t>22、评标委员会</w:t>
      </w:r>
      <w:bookmarkEnd w:id="142"/>
      <w:bookmarkEnd w:id="143"/>
      <w:bookmarkEnd w:id="144"/>
    </w:p>
    <w:p w14:paraId="2A74467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将立即组织评标委员会（以下简称评委会）进行评标。</w:t>
      </w:r>
    </w:p>
    <w:p w14:paraId="20656C3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1DF8D94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8C925DA">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57F459E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或与评标无关的其他人员透露。</w:t>
      </w:r>
    </w:p>
    <w:p w14:paraId="390A3B5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不得以任何行为影响评标过程，否则其投标文件将被作为无效投标文件。</w:t>
      </w:r>
    </w:p>
    <w:p w14:paraId="50BCF12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和评标委员会不向未中标的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解释未中标原因，也不公布评标过程中的相关细节。</w:t>
      </w:r>
    </w:p>
    <w:p w14:paraId="5811AC5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可于中标结果公告期限届满之日起通过苏采云系统查看自己的评审得分及排序情况。</w:t>
      </w:r>
    </w:p>
    <w:p w14:paraId="54153DDE">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45" w:name="_Toc513029232"/>
      <w:bookmarkStart w:id="146" w:name="_Toc20823304"/>
      <w:bookmarkStart w:id="147" w:name="_Toc16938548"/>
      <w:r>
        <w:rPr>
          <w:rFonts w:hint="eastAsia" w:ascii="宋体" w:hAnsi="宋体" w:eastAsia="宋体" w:cs="宋体"/>
          <w:color w:val="auto"/>
          <w:sz w:val="24"/>
          <w:szCs w:val="24"/>
          <w:highlight w:val="none"/>
        </w:rPr>
        <w:t>24、投标文件的澄清</w:t>
      </w:r>
      <w:bookmarkEnd w:id="145"/>
      <w:bookmarkEnd w:id="146"/>
      <w:bookmarkEnd w:id="147"/>
    </w:p>
    <w:p w14:paraId="26A54FE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作出必要的澄清、说明或者补正。</w:t>
      </w:r>
    </w:p>
    <w:p w14:paraId="29F4FB7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的澄清、说明或者补正不得超出投标文件的范围或者改变投标文件的实质性内容。</w:t>
      </w:r>
    </w:p>
    <w:p w14:paraId="3B1C070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都做澄清要求。</w:t>
      </w:r>
    </w:p>
    <w:p w14:paraId="36C4B1E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进行澄清、说明和补正的，评委会将通过苏采云系统向</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发出“澄清要求函”，接到“澄清要求函”的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应当按照要求在苏采云系统中提交“澄清响应函”并加盖CA电子公章。澄清、说明和补正的内容作为投标文件的补充部分，具体操作方式见《操作手册》。</w:t>
      </w:r>
    </w:p>
    <w:p w14:paraId="40AB8EB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14:paraId="6E30B691">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48" w:name="_Toc513029233"/>
      <w:bookmarkStart w:id="149" w:name="_Toc16938549"/>
      <w:bookmarkStart w:id="150" w:name="_Toc20823305"/>
      <w:r>
        <w:rPr>
          <w:rFonts w:hint="eastAsia" w:ascii="宋体" w:hAnsi="宋体" w:eastAsia="宋体" w:cs="宋体"/>
          <w:color w:val="auto"/>
          <w:sz w:val="24"/>
          <w:szCs w:val="24"/>
          <w:highlight w:val="none"/>
        </w:rPr>
        <w:t>25、对投标文件的初审</w:t>
      </w:r>
      <w:bookmarkEnd w:id="148"/>
      <w:bookmarkEnd w:id="149"/>
      <w:bookmarkEnd w:id="150"/>
    </w:p>
    <w:p w14:paraId="71756E3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18F44AD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的信用记录，以确定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是否具备投标资格,查询结果留存并归档。</w:t>
      </w:r>
    </w:p>
    <w:p w14:paraId="45C5179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的身份共同参加政府采购活动的,联合体成员存在不良信用记录的，视同联合体存在不良应用记录。</w:t>
      </w:r>
    </w:p>
    <w:p w14:paraId="0E1B06C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将不再告知未通过资格审查和符合性审查的原因。</w:t>
      </w:r>
    </w:p>
    <w:p w14:paraId="21A80F1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的权利或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的义务，纠正这些偏离或保留将会对其他实质性响应要求的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的竞争地位产生不公正的影响。重大偏离的认定需经过评委会以少数服从多数的原则作出结论。评委决定投标文件的响应性只根据投标文件本身的内容，而不寻求外部的证据。</w:t>
      </w:r>
    </w:p>
    <w:p w14:paraId="377D1C3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不得通过修改或撤销不合要求的偏离或保留而使其投标成为实质性响应的投标。</w:t>
      </w:r>
    </w:p>
    <w:p w14:paraId="4FCA664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463946E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AA7B77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44F56D6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157CF2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2D36D6C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，调整后的价格应对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具有约束力。如果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不接受修正后的价格，则其投标将被拒绝。</w:t>
      </w:r>
    </w:p>
    <w:p w14:paraId="1230C2C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51" w:name="_Toc513029234"/>
      <w:bookmarkStart w:id="152" w:name="_Toc20823306"/>
      <w:bookmarkStart w:id="153" w:name="_Toc16938550"/>
      <w:r>
        <w:rPr>
          <w:rFonts w:hint="eastAsia" w:ascii="宋体" w:hAnsi="宋体" w:eastAsia="宋体" w:cs="宋体"/>
          <w:color w:val="auto"/>
          <w:sz w:val="24"/>
          <w:szCs w:val="24"/>
          <w:highlight w:val="none"/>
        </w:rPr>
        <w:t>25.6</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及评标委员会联系。</w:t>
      </w:r>
      <w:bookmarkEnd w:id="151"/>
      <w:bookmarkEnd w:id="152"/>
      <w:bookmarkEnd w:id="153"/>
    </w:p>
    <w:p w14:paraId="25F3BE20">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54" w:name="_Toc513029235"/>
      <w:bookmarkStart w:id="155" w:name="_Toc16938551"/>
      <w:bookmarkStart w:id="156" w:name="_Toc20823307"/>
      <w:r>
        <w:rPr>
          <w:rFonts w:hint="eastAsia" w:ascii="宋体" w:hAnsi="宋体" w:eastAsia="宋体" w:cs="宋体"/>
          <w:color w:val="auto"/>
          <w:sz w:val="24"/>
          <w:szCs w:val="24"/>
          <w:highlight w:val="none"/>
        </w:rPr>
        <w:t>26.1无效投标条款</w:t>
      </w:r>
      <w:bookmarkEnd w:id="154"/>
      <w:bookmarkEnd w:id="155"/>
      <w:bookmarkEnd w:id="156"/>
    </w:p>
    <w:p w14:paraId="53B8CA9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在苏采云系统规定的时间内未成功解密电子投标文件的。</w:t>
      </w:r>
    </w:p>
    <w:p w14:paraId="66D8985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未按照招标文件要求上传电子投标文件的。</w:t>
      </w:r>
    </w:p>
    <w:p w14:paraId="435C93E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提交两个（含两个）以上不同的投标报价的。</w:t>
      </w:r>
    </w:p>
    <w:p w14:paraId="2DA1CF5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不具备招标文件中规定资格要求的。</w:t>
      </w:r>
    </w:p>
    <w:p w14:paraId="3BA9591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的报价超过了采购预算或最高限价的。</w:t>
      </w:r>
    </w:p>
    <w:p w14:paraId="05DAFB3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41A1E49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43387AC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存在其他不符合《中华人民共和国政府采购法》第二十二条规定条件的信用记录。</w:t>
      </w:r>
    </w:p>
    <w:p w14:paraId="3B16356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30278C4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26.1.10</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（一）评审过程中出现下列情形之一的，评标委员会应当启动异常低价投标审查程序：</w:t>
      </w:r>
    </w:p>
    <w:p w14:paraId="029D404A">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6B93ED46">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w:t>
      </w:r>
    </w:p>
    <w:p w14:paraId="6E14DBF3">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3"/>
        <w:pageBreakBefore w:val="0"/>
        <w:widowControl w:val="0"/>
        <w:kinsoku/>
        <w:wordWrap/>
        <w:overflowPunct/>
        <w:topLinePunct w:val="0"/>
        <w:autoSpaceDE/>
        <w:autoSpaceDN/>
        <w:bidi w:val="0"/>
        <w:adjustRightInd/>
        <w:snapToGrid/>
        <w:spacing w:beforeAutospacing="0" w:afterAutospacing="0" w:line="460" w:lineRule="exact"/>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42E7BA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2ACAC68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或者对招标文件作实质响应的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不足三家的。</w:t>
      </w:r>
    </w:p>
    <w:p w14:paraId="76ABCD2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不足三家的处理：</w:t>
      </w:r>
    </w:p>
    <w:p w14:paraId="6F8D70A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或者在评标期间对招标文件做出实质响应的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不足三家情况，按政府采购相关规定执行。</w:t>
      </w:r>
    </w:p>
    <w:p w14:paraId="54251A44">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57" w:name="_Toc120614219"/>
      <w:r>
        <w:rPr>
          <w:rFonts w:hint="eastAsia" w:ascii="宋体" w:hAnsi="宋体" w:eastAsia="宋体" w:cs="宋体"/>
          <w:b/>
          <w:color w:val="auto"/>
          <w:sz w:val="24"/>
          <w:szCs w:val="24"/>
          <w:highlight w:val="none"/>
        </w:rPr>
        <w:t>六、定标</w:t>
      </w:r>
      <w:bookmarkEnd w:id="157"/>
    </w:p>
    <w:p w14:paraId="609C833C">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58" w:name="_Toc20823310"/>
      <w:bookmarkStart w:id="159" w:name="_Toc16938554"/>
      <w:bookmarkStart w:id="160" w:name="_Toc513029238"/>
      <w:r>
        <w:rPr>
          <w:rFonts w:hint="eastAsia" w:ascii="宋体" w:hAnsi="宋体" w:eastAsia="宋体" w:cs="宋体"/>
          <w:color w:val="auto"/>
          <w:sz w:val="24"/>
          <w:szCs w:val="24"/>
          <w:highlight w:val="none"/>
        </w:rPr>
        <w:t>27、</w:t>
      </w:r>
      <w:bookmarkEnd w:id="158"/>
      <w:r>
        <w:rPr>
          <w:rFonts w:hint="eastAsia" w:ascii="宋体" w:hAnsi="宋体" w:eastAsia="宋体" w:cs="宋体"/>
          <w:color w:val="auto"/>
          <w:sz w:val="24"/>
          <w:szCs w:val="24"/>
          <w:highlight w:val="none"/>
        </w:rPr>
        <w:t>确定</w:t>
      </w:r>
      <w:bookmarkEnd w:id="159"/>
      <w:bookmarkEnd w:id="160"/>
      <w:r>
        <w:rPr>
          <w:rFonts w:hint="eastAsia" w:ascii="宋体" w:hAnsi="宋体" w:eastAsia="宋体" w:cs="宋体"/>
          <w:color w:val="auto"/>
          <w:sz w:val="24"/>
          <w:szCs w:val="24"/>
          <w:highlight w:val="none"/>
        </w:rPr>
        <w:t>中标单位</w:t>
      </w:r>
    </w:p>
    <w:p w14:paraId="2AB6A90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17FFA72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1FD1F37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盐城市政府采购网”发布中标公告，公告期限为1个工作日。</w:t>
      </w:r>
    </w:p>
    <w:p w14:paraId="41C3973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685A758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5973AA0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行贿或者提供其他不正当利益的。</w:t>
      </w:r>
    </w:p>
    <w:p w14:paraId="42C47A6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2557B7C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恶意串通的。</w:t>
      </w:r>
    </w:p>
    <w:p w14:paraId="39DB40B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w:t>
      </w:r>
    </w:p>
    <w:p w14:paraId="359F1DB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61" w:name="_Toc200451960"/>
      <w:r>
        <w:rPr>
          <w:rFonts w:hint="eastAsia" w:ascii="宋体" w:hAnsi="宋体" w:eastAsia="宋体" w:cs="宋体"/>
          <w:color w:val="auto"/>
          <w:sz w:val="24"/>
          <w:szCs w:val="24"/>
          <w:highlight w:val="none"/>
        </w:rPr>
        <w:t>27.5 有下列情形之一的，视为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串通投标，投标无效：</w:t>
      </w:r>
      <w:bookmarkEnd w:id="161"/>
    </w:p>
    <w:p w14:paraId="4A4B8D9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的投标文件由同一单位或者个人编制。</w:t>
      </w:r>
    </w:p>
    <w:p w14:paraId="59209E4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委托同一单位或者个人办理投标事宜。</w:t>
      </w:r>
    </w:p>
    <w:p w14:paraId="2A2191C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的投标文件载明的项目管理成员或者联系人员为同一人。</w:t>
      </w:r>
    </w:p>
    <w:p w14:paraId="1D9D00B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的投标文件异常一致或者投标报价呈规律性差异。</w:t>
      </w:r>
    </w:p>
    <w:p w14:paraId="1FA357F7">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28、质疑处理</w:t>
      </w:r>
    </w:p>
    <w:p w14:paraId="4C279A9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717781A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或采购人提出质疑。上述应知其权益受到损害之日，是指：</w:t>
      </w:r>
    </w:p>
    <w:p w14:paraId="686E0D9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6BCE34B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5B79733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2D25EC6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、采购人将只对供应商第一次质疑作出答复。</w:t>
      </w:r>
    </w:p>
    <w:p w14:paraId="76A90D9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负责答复。</w:t>
      </w:r>
    </w:p>
    <w:p w14:paraId="08878857">
      <w:pPr>
        <w:pStyle w:val="13"/>
        <w:pageBreakBefore w:val="0"/>
        <w:widowControl w:val="0"/>
        <w:kinsoku/>
        <w:wordWrap/>
        <w:overflowPunct/>
        <w:topLinePunct w:val="0"/>
        <w:autoSpaceDE/>
        <w:autoSpaceDN/>
        <w:bidi w:val="0"/>
        <w:adjustRightInd/>
        <w:snapToGrid/>
        <w:spacing w:beforeAutospacing="0" w:afterAutospacing="0" w:line="50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不接受未填写快递运单的快件。质疑接收部门为</w:t>
      </w:r>
      <w:r>
        <w:rPr>
          <w:rFonts w:hint="eastAsia" w:ascii="宋体" w:hAnsi="宋体" w:eastAsia="宋体" w:cs="宋体"/>
          <w:color w:val="auto"/>
          <w:sz w:val="24"/>
          <w:szCs w:val="24"/>
          <w:highlight w:val="none"/>
          <w:lang w:val="en-US" w:eastAsia="zh-CN"/>
        </w:rPr>
        <w:t>盐城市招标代理有限公司业务</w:t>
      </w:r>
      <w:r>
        <w:rPr>
          <w:rFonts w:hint="eastAsia" w:ascii="宋体" w:hAnsi="宋体" w:eastAsia="宋体" w:cs="宋体"/>
          <w:color w:val="auto"/>
          <w:sz w:val="24"/>
          <w:szCs w:val="24"/>
          <w:highlight w:val="none"/>
        </w:rPr>
        <w:t>受理处，联系地址：</w:t>
      </w:r>
      <w:r>
        <w:rPr>
          <w:rFonts w:hint="eastAsia" w:ascii="宋体" w:hAnsi="宋体" w:cs="宋体"/>
          <w:color w:val="auto"/>
          <w:kern w:val="0"/>
          <w:szCs w:val="21"/>
          <w:highlight w:val="none"/>
          <w:shd w:val="clear" w:color="auto" w:fill="FFFFFF"/>
          <w:lang w:bidi="ar"/>
        </w:rPr>
        <w:t>盐城市青年路钱江财富广场西区A座</w:t>
      </w:r>
      <w:r>
        <w:rPr>
          <w:rFonts w:hint="eastAsia" w:ascii="宋体" w:hAnsi="宋体" w:cs="宋体"/>
          <w:color w:val="auto"/>
          <w:kern w:val="0"/>
          <w:szCs w:val="21"/>
          <w:highlight w:val="none"/>
          <w:shd w:val="clear" w:color="auto" w:fill="FFFFFF"/>
          <w:lang w:val="en-US" w:eastAsia="zh-CN" w:bidi="ar"/>
        </w:rPr>
        <w:t>4</w:t>
      </w:r>
      <w:r>
        <w:rPr>
          <w:rFonts w:hint="eastAsia" w:ascii="宋体" w:hAnsi="宋体" w:cs="宋体"/>
          <w:color w:val="auto"/>
          <w:kern w:val="0"/>
          <w:szCs w:val="21"/>
          <w:highlight w:val="none"/>
          <w:shd w:val="clear" w:color="auto" w:fill="FFFFFF"/>
          <w:lang w:bidi="ar"/>
        </w:rPr>
        <w:t>楼</w:t>
      </w:r>
      <w:r>
        <w:rPr>
          <w:rFonts w:hint="eastAsia" w:ascii="宋体" w:hAnsi="宋体" w:eastAsia="宋体" w:cs="宋体"/>
          <w:color w:val="auto"/>
          <w:sz w:val="24"/>
          <w:szCs w:val="24"/>
          <w:highlight w:val="none"/>
        </w:rPr>
        <w:t>，联系电话：</w:t>
      </w:r>
      <w:r>
        <w:rPr>
          <w:rFonts w:ascii="宋体" w:hAnsi="宋体" w:cs="宋体"/>
          <w:color w:val="auto"/>
          <w:kern w:val="0"/>
          <w:szCs w:val="21"/>
          <w:highlight w:val="none"/>
          <w:shd w:val="clear" w:color="auto" w:fill="FFFFFF"/>
          <w:lang w:bidi="ar"/>
        </w:rPr>
        <w:t>0515-89803566</w:t>
      </w:r>
      <w:r>
        <w:rPr>
          <w:rFonts w:hint="eastAsia" w:ascii="宋体" w:hAnsi="宋体" w:eastAsia="宋体" w:cs="宋体"/>
          <w:color w:val="auto"/>
          <w:sz w:val="24"/>
          <w:szCs w:val="24"/>
          <w:highlight w:val="none"/>
        </w:rPr>
        <w:t>。</w:t>
      </w:r>
    </w:p>
    <w:p w14:paraId="37E616A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7555758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3875B54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78004B9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355CA4D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111544C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457CF031">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03A91BDE">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29、中标通知书</w:t>
      </w:r>
    </w:p>
    <w:p w14:paraId="3BFBC94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64DAAC83">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2" w:firstLineChars="200"/>
        <w:jc w:val="both"/>
        <w:textAlignment w:val="auto"/>
        <w:rPr>
          <w:rFonts w:hint="eastAsia" w:ascii="宋体" w:hAnsi="宋体" w:eastAsia="宋体" w:cs="宋体"/>
          <w:color w:val="auto"/>
          <w:sz w:val="24"/>
          <w:szCs w:val="24"/>
          <w:highlight w:val="none"/>
        </w:rPr>
      </w:pPr>
      <w:bookmarkStart w:id="162" w:name="_Toc513029236"/>
      <w:bookmarkStart w:id="163" w:name="_Toc120614220"/>
      <w:bookmarkStart w:id="164" w:name="_Toc20823308"/>
      <w:bookmarkStart w:id="165" w:name="_Toc16938552"/>
      <w:r>
        <w:rPr>
          <w:rFonts w:hint="eastAsia" w:ascii="宋体" w:hAnsi="宋体" w:eastAsia="宋体" w:cs="宋体"/>
          <w:b/>
          <w:color w:val="auto"/>
          <w:sz w:val="24"/>
          <w:szCs w:val="24"/>
          <w:highlight w:val="none"/>
        </w:rPr>
        <w:t>七、授予合同</w:t>
      </w:r>
      <w:bookmarkEnd w:id="162"/>
      <w:bookmarkEnd w:id="163"/>
      <w:bookmarkEnd w:id="164"/>
      <w:bookmarkEnd w:id="165"/>
    </w:p>
    <w:p w14:paraId="6ACCED81">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bookmarkStart w:id="166" w:name="_Toc16938553"/>
      <w:bookmarkStart w:id="167" w:name="_Toc20823309"/>
      <w:bookmarkStart w:id="168" w:name="_Toc513029237"/>
      <w:r>
        <w:rPr>
          <w:rFonts w:hint="eastAsia" w:ascii="宋体" w:hAnsi="宋体" w:eastAsia="宋体" w:cs="宋体"/>
          <w:color w:val="auto"/>
          <w:sz w:val="24"/>
          <w:szCs w:val="24"/>
          <w:highlight w:val="none"/>
        </w:rPr>
        <w:t>30.签订合同</w:t>
      </w:r>
      <w:bookmarkEnd w:id="166"/>
      <w:bookmarkEnd w:id="167"/>
      <w:bookmarkEnd w:id="168"/>
    </w:p>
    <w:p w14:paraId="49272DD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00518D9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6C2608F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77BCD65A">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14:paraId="3B7551A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32.政府采购政策功能落实</w:t>
      </w:r>
    </w:p>
    <w:p w14:paraId="3EA2C724">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7831DEF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32.2进口产品</w:t>
      </w:r>
    </w:p>
    <w:p w14:paraId="5E25FDB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32.3中小企业、监狱企业及残疾人福利性单位</w:t>
      </w:r>
    </w:p>
    <w:p w14:paraId="63807B9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4C9CBD8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6761BEF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31163D4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4DFC19B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18C13D1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2C10A4F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273AB3B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25054FF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2B08B5C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23EBDFD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66321B5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3CD3781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24130294">
      <w:pPr>
        <w:pStyle w:val="13"/>
        <w:keepNext/>
        <w:keepLines/>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32.4政府采购节能产品、环境标志产品</w:t>
      </w:r>
    </w:p>
    <w:p w14:paraId="56196F7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32.5绿色包装</w:t>
      </w:r>
    </w:p>
    <w:p w14:paraId="3C828DB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32.6政府采购创新产品</w:t>
      </w:r>
    </w:p>
    <w:p w14:paraId="2D9B336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32.7绿色数据中心政策 </w:t>
      </w:r>
    </w:p>
    <w:p w14:paraId="722A8D3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32.8实施本国产品标准及相关政策</w:t>
      </w:r>
    </w:p>
    <w:p w14:paraId="510E6799">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line="460" w:lineRule="exact"/>
        <w:ind w:left="0"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460" w:lineRule="exact"/>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32.9履约保证金政策</w:t>
      </w:r>
    </w:p>
    <w:p w14:paraId="4AF54F99">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F4DA5BC">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BF2DE29">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如以履约保函（保险）形式缴纳履约保证金，供应商可通过政府采购电子履约保函（保险）平台（www.jsdzbh.com）在线申请履约保函（保险）。</w:t>
      </w:r>
    </w:p>
    <w:p w14:paraId="4A23EC11">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default" w:ascii="Times New Roman" w:hAnsi="Times New Roman" w:eastAsia="宋体" w:cs="Times New Roman"/>
          <w:color w:val="auto"/>
          <w:kern w:val="0"/>
          <w:sz w:val="24"/>
          <w:szCs w:val="24"/>
          <w:highlight w:val="none"/>
          <w:shd w:val="clear" w:color="auto" w:fill="auto"/>
          <w:lang w:val="en-US" w:eastAsia="zh-CN" w:bidi="ar-SA"/>
        </w:rPr>
        <w:t>履约保证金金额</w:t>
      </w:r>
      <w:r>
        <w:rPr>
          <w:rFonts w:hint="default" w:ascii="Times New Roman" w:hAnsi="Times New Roman" w:cs="Times New Roman"/>
          <w:color w:val="auto"/>
          <w:sz w:val="24"/>
          <w:highlight w:val="none"/>
        </w:rPr>
        <w:t>为合同金额的</w:t>
      </w:r>
      <w:r>
        <w:rPr>
          <w:rFonts w:hint="default" w:ascii="Times New Roman" w:hAnsi="Times New Roman" w:cs="Times New Roman"/>
          <w:color w:val="auto"/>
          <w:sz w:val="24"/>
          <w:highlight w:val="none"/>
          <w:lang w:val="en-US" w:eastAsia="zh-CN"/>
        </w:rPr>
        <w:t>10</w:t>
      </w:r>
      <w:r>
        <w:rPr>
          <w:rFonts w:hint="default" w:ascii="Times New Roman" w:hAnsi="Times New Roman" w:cs="Times New Roman"/>
          <w:color w:val="auto"/>
          <w:sz w:val="24"/>
          <w:highlight w:val="none"/>
        </w:rPr>
        <w:t>%</w:t>
      </w:r>
      <w:r>
        <w:rPr>
          <w:rFonts w:hint="default" w:ascii="Times New Roman" w:hAnsi="Times New Roman" w:eastAsia="宋体" w:cs="Times New Roman"/>
          <w:color w:val="auto"/>
          <w:kern w:val="0"/>
          <w:sz w:val="24"/>
          <w:szCs w:val="24"/>
          <w:highlight w:val="none"/>
          <w:shd w:val="clear" w:color="auto" w:fill="auto"/>
          <w:lang w:val="en-US" w:eastAsia="zh-CN" w:bidi="ar-SA"/>
        </w:rPr>
        <w:t>，采购人对第三方信用服务机构依据标准规范评定为AA级及以上的政府采购供应商</w:t>
      </w:r>
      <w:r>
        <w:rPr>
          <w:rFonts w:hint="eastAsia" w:ascii="宋体" w:hAnsi="宋体" w:eastAsia="宋体" w:cs="宋体"/>
          <w:color w:val="auto"/>
          <w:kern w:val="0"/>
          <w:sz w:val="24"/>
          <w:szCs w:val="24"/>
          <w:highlight w:val="none"/>
          <w:shd w:val="clear" w:color="auto" w:fill="auto"/>
          <w:lang w:val="en-US" w:eastAsia="zh-CN" w:bidi="ar-SA"/>
        </w:rPr>
        <w:t>（需在签订采购合同前提供信用管理部门备案的第三方信用报告，且信用报告通过“信用盐城网”可查实）或根据《江苏省公路水运建设市场信用信息管理办法》，对江苏省公路水运建设市场信用信息管理系统中最近一次的信用等级评价为</w:t>
      </w:r>
      <w:r>
        <w:rPr>
          <w:rFonts w:hint="default" w:ascii="Times New Roman" w:hAnsi="Times New Roman" w:eastAsia="宋体" w:cs="Times New Roman"/>
          <w:color w:val="auto"/>
          <w:kern w:val="0"/>
          <w:sz w:val="24"/>
          <w:szCs w:val="24"/>
          <w:highlight w:val="none"/>
          <w:shd w:val="clear" w:color="auto" w:fill="auto"/>
          <w:lang w:val="en-US" w:eastAsia="zh-CN" w:bidi="ar-SA"/>
        </w:rPr>
        <w:t>AA</w:t>
      </w:r>
      <w:r>
        <w:rPr>
          <w:rFonts w:hint="eastAsia" w:ascii="Times New Roman" w:hAnsi="Times New Roman" w:eastAsia="宋体" w:cs="Times New Roman"/>
          <w:color w:val="auto"/>
          <w:kern w:val="0"/>
          <w:sz w:val="24"/>
          <w:szCs w:val="24"/>
          <w:highlight w:val="none"/>
          <w:shd w:val="clear" w:color="auto" w:fill="auto"/>
          <w:lang w:val="en-US" w:eastAsia="zh-CN" w:bidi="ar-SA"/>
        </w:rPr>
        <w:t>及以上</w:t>
      </w:r>
      <w:r>
        <w:rPr>
          <w:rFonts w:hint="eastAsia" w:ascii="宋体" w:hAnsi="宋体" w:eastAsia="宋体" w:cs="宋体"/>
          <w:color w:val="auto"/>
          <w:kern w:val="0"/>
          <w:sz w:val="24"/>
          <w:szCs w:val="24"/>
          <w:highlight w:val="none"/>
          <w:shd w:val="clear" w:color="auto" w:fill="auto"/>
          <w:lang w:val="en-US" w:eastAsia="zh-CN" w:bidi="ar-SA"/>
        </w:rPr>
        <w:t>的供应商，免收履约保证金。</w:t>
      </w:r>
    </w:p>
    <w:p w14:paraId="4A8582D0">
      <w:pPr>
        <w:pageBreakBefore w:val="0"/>
        <w:widowControl w:val="0"/>
        <w:tabs>
          <w:tab w:val="left" w:pos="1381"/>
        </w:tabs>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34.预付款制度</w:t>
      </w:r>
    </w:p>
    <w:p w14:paraId="1D0D848B">
      <w:pPr>
        <w:pageBreakBefore w:val="0"/>
        <w:widowControl w:val="0"/>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default" w:ascii="Times New Roman" w:hAnsi="Times New Roman" w:eastAsia="宋体" w:cs="Times New Roman"/>
          <w:color w:val="auto"/>
          <w:kern w:val="0"/>
          <w:sz w:val="24"/>
          <w:szCs w:val="24"/>
          <w:highlight w:val="none"/>
          <w:shd w:val="clear" w:color="auto" w:fill="auto"/>
          <w:lang w:val="en-US" w:eastAsia="zh-CN" w:bidi="ar-SA"/>
        </w:rPr>
        <w:t>本项目落实预付款制度，预付款比例为</w:t>
      </w:r>
      <w:r>
        <w:rPr>
          <w:rFonts w:hint="default" w:ascii="Times New Roman" w:hAnsi="Times New Roman" w:eastAsia="宋体" w:cs="Times New Roman"/>
          <w:color w:val="auto"/>
          <w:kern w:val="0"/>
          <w:sz w:val="24"/>
          <w:szCs w:val="24"/>
          <w:highlight w:val="none"/>
          <w:u w:val="single"/>
          <w:shd w:val="clear" w:color="auto" w:fill="auto"/>
          <w:lang w:val="en-US" w:eastAsia="zh-CN" w:bidi="ar-SA"/>
        </w:rPr>
        <w:t xml:space="preserve"> 30</w:t>
      </w:r>
      <w:r>
        <w:rPr>
          <w:rFonts w:hint="default" w:ascii="Times New Roman" w:hAnsi="Times New Roman" w:eastAsia="宋体" w:cs="Times New Roman"/>
          <w:color w:val="auto"/>
          <w:kern w:val="0"/>
          <w:sz w:val="24"/>
          <w:szCs w:val="24"/>
          <w:highlight w:val="none"/>
          <w:shd w:val="clear" w:color="auto" w:fill="auto"/>
          <w:lang w:val="en-US" w:eastAsia="zh-CN" w:bidi="ar-SA"/>
        </w:rPr>
        <w:t xml:space="preserve"> %。在签订合同时，中标、成交供应商明确书面</w:t>
      </w:r>
      <w:r>
        <w:rPr>
          <w:rFonts w:hint="eastAsia" w:ascii="宋体" w:hAnsi="宋体" w:eastAsia="宋体" w:cs="宋体"/>
          <w:color w:val="auto"/>
          <w:kern w:val="0"/>
          <w:sz w:val="24"/>
          <w:szCs w:val="24"/>
          <w:highlight w:val="none"/>
          <w:shd w:val="clear" w:color="auto" w:fill="auto"/>
          <w:lang w:val="en-US" w:eastAsia="zh-CN" w:bidi="ar-SA"/>
        </w:rPr>
        <w:t>表示无需预付款或者主动要求降低预付款比例的，采购人可就预付款比例作相应调整。</w:t>
      </w:r>
    </w:p>
    <w:p w14:paraId="0498124B">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r>
    </w:p>
    <w:p w14:paraId="541C38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auto"/>
          <w:sz w:val="44"/>
          <w:szCs w:val="44"/>
          <w:highlight w:val="none"/>
        </w:rPr>
      </w:pPr>
    </w:p>
    <w:p w14:paraId="0D5A47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color w:val="auto"/>
          <w:sz w:val="24"/>
          <w:szCs w:val="24"/>
          <w:highlight w:val="none"/>
        </w:rPr>
      </w:pPr>
      <w:r>
        <w:rPr>
          <w:rFonts w:hint="eastAsia" w:ascii="黑体" w:hAnsi="宋体" w:eastAsia="黑体" w:cs="黑体"/>
          <w:color w:val="auto"/>
          <w:sz w:val="44"/>
          <w:szCs w:val="44"/>
          <w:highlight w:val="none"/>
        </w:rPr>
        <w:t>第三章  合同文本</w:t>
      </w:r>
    </w:p>
    <w:p w14:paraId="3093D6B3">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exact"/>
        <w:ind w:firstLine="480"/>
        <w:jc w:val="both"/>
        <w:textAlignment w:val="auto"/>
        <w:rPr>
          <w:rFonts w:hint="eastAsia" w:ascii="宋体" w:hAnsi="宋体" w:eastAsia="宋体" w:cs="宋体"/>
          <w:color w:val="auto"/>
          <w:sz w:val="21"/>
          <w:szCs w:val="21"/>
          <w:highlight w:val="none"/>
        </w:rPr>
      </w:pPr>
      <w:bookmarkStart w:id="169" w:name="_Toc20823315"/>
      <w:bookmarkStart w:id="170" w:name="_Toc16938559"/>
      <w:bookmarkStart w:id="171" w:name="_Toc513029243"/>
      <w:bookmarkStart w:id="172" w:name="_Toc479757211"/>
      <w:bookmarkStart w:id="173" w:name="_Toc120614244"/>
      <w:bookmarkStart w:id="174" w:name="_Toc16938590"/>
      <w:bookmarkStart w:id="175" w:name="_Hlt16619350"/>
      <w:bookmarkStart w:id="176" w:name="_Toc20823346"/>
      <w:bookmarkStart w:id="177" w:name="_Toc462564139"/>
      <w:bookmarkStart w:id="178" w:name="_Hlt16619369"/>
      <w:r>
        <w:rPr>
          <w:rFonts w:hint="eastAsia" w:ascii="宋体" w:hAnsi="宋体" w:eastAsia="宋体" w:cs="宋体"/>
          <w:color w:val="auto"/>
          <w:sz w:val="21"/>
          <w:szCs w:val="21"/>
          <w:highlight w:val="none"/>
        </w:rPr>
        <w:t>以下为成交后签定本项目合同的通用条款，成交供应商不得提出实质性的修改。</w:t>
      </w:r>
      <w:bookmarkEnd w:id="169"/>
      <w:bookmarkEnd w:id="170"/>
      <w:bookmarkEnd w:id="171"/>
      <w:r>
        <w:rPr>
          <w:rFonts w:hint="eastAsia" w:ascii="宋体" w:hAnsi="宋体" w:eastAsia="宋体" w:cs="宋体"/>
          <w:color w:val="auto"/>
          <w:sz w:val="21"/>
          <w:szCs w:val="21"/>
          <w:highlight w:val="none"/>
        </w:rPr>
        <w:t> </w:t>
      </w:r>
    </w:p>
    <w:p w14:paraId="35D02041">
      <w:pPr>
        <w:keepNext w:val="0"/>
        <w:keepLines w:val="0"/>
        <w:pageBreakBefore w:val="0"/>
        <w:widowControl w:val="0"/>
        <w:tabs>
          <w:tab w:val="left" w:pos="2853"/>
          <w:tab w:val="left" w:pos="3895"/>
          <w:tab w:val="left" w:pos="4936"/>
          <w:tab w:val="left" w:pos="5978"/>
          <w:tab w:val="left" w:pos="7019"/>
        </w:tabs>
        <w:kinsoku/>
        <w:wordWrap/>
        <w:overflowPunct/>
        <w:topLinePunct w:val="0"/>
        <w:autoSpaceDE w:val="0"/>
        <w:autoSpaceDN w:val="0"/>
        <w:bidi w:val="0"/>
        <w:adjustRightInd w:val="0"/>
        <w:snapToGrid w:val="0"/>
        <w:spacing w:line="460" w:lineRule="atLeast"/>
        <w:ind w:right="1154"/>
        <w:jc w:val="left"/>
        <w:textAlignment w:val="auto"/>
        <w:rPr>
          <w:rFonts w:hint="eastAsia" w:ascii="宋体" w:hAnsi="宋体" w:eastAsia="宋体" w:cs="宋体"/>
          <w:b/>
          <w:bCs/>
          <w:color w:val="auto"/>
          <w:w w:val="95"/>
          <w:sz w:val="52"/>
          <w:szCs w:val="52"/>
          <w:highlight w:val="none"/>
        </w:rPr>
      </w:pPr>
    </w:p>
    <w:p w14:paraId="06D44FAB">
      <w:pPr>
        <w:keepNext w:val="0"/>
        <w:keepLines w:val="0"/>
        <w:pageBreakBefore w:val="0"/>
        <w:widowControl w:val="0"/>
        <w:tabs>
          <w:tab w:val="left" w:pos="2853"/>
          <w:tab w:val="left" w:pos="3895"/>
          <w:tab w:val="left" w:pos="4936"/>
          <w:tab w:val="left" w:pos="5978"/>
          <w:tab w:val="left" w:pos="7019"/>
        </w:tabs>
        <w:kinsoku/>
        <w:wordWrap/>
        <w:overflowPunct/>
        <w:topLinePunct w:val="0"/>
        <w:autoSpaceDE w:val="0"/>
        <w:autoSpaceDN w:val="0"/>
        <w:bidi w:val="0"/>
        <w:adjustRightInd w:val="0"/>
        <w:snapToGrid w:val="0"/>
        <w:spacing w:line="460" w:lineRule="atLeast"/>
        <w:ind w:right="1154"/>
        <w:jc w:val="center"/>
        <w:textAlignment w:val="auto"/>
        <w:rPr>
          <w:rFonts w:hint="eastAsia" w:ascii="宋体" w:hAnsi="宋体" w:eastAsia="宋体" w:cs="宋体"/>
          <w:b/>
          <w:bCs/>
          <w:color w:val="auto"/>
          <w:w w:val="95"/>
          <w:sz w:val="52"/>
          <w:szCs w:val="52"/>
          <w:highlight w:val="none"/>
        </w:rPr>
      </w:pPr>
    </w:p>
    <w:p w14:paraId="09B9E196">
      <w:pPr>
        <w:keepNext w:val="0"/>
        <w:keepLines w:val="0"/>
        <w:pageBreakBefore w:val="0"/>
        <w:widowControl w:val="0"/>
        <w:tabs>
          <w:tab w:val="left" w:pos="2853"/>
          <w:tab w:val="left" w:pos="3895"/>
          <w:tab w:val="left" w:pos="4936"/>
          <w:tab w:val="left" w:pos="5978"/>
          <w:tab w:val="left" w:pos="7019"/>
        </w:tabs>
        <w:kinsoku/>
        <w:wordWrap/>
        <w:overflowPunct/>
        <w:topLinePunct w:val="0"/>
        <w:autoSpaceDE w:val="0"/>
        <w:autoSpaceDN w:val="0"/>
        <w:bidi w:val="0"/>
        <w:adjustRightInd w:val="0"/>
        <w:snapToGrid w:val="0"/>
        <w:spacing w:line="460" w:lineRule="atLeast"/>
        <w:ind w:right="1154"/>
        <w:jc w:val="center"/>
        <w:textAlignment w:val="auto"/>
        <w:rPr>
          <w:rFonts w:hint="eastAsia" w:ascii="宋体" w:hAnsi="宋体" w:eastAsia="宋体" w:cs="宋体"/>
          <w:color w:val="auto"/>
          <w:sz w:val="52"/>
          <w:szCs w:val="52"/>
          <w:highlight w:val="none"/>
        </w:rPr>
      </w:pPr>
      <w:r>
        <w:rPr>
          <w:rFonts w:hint="eastAsia" w:ascii="宋体" w:hAnsi="宋体" w:eastAsia="宋体" w:cs="宋体"/>
          <w:b/>
          <w:bCs/>
          <w:color w:val="auto"/>
          <w:w w:val="95"/>
          <w:sz w:val="52"/>
          <w:szCs w:val="52"/>
          <w:highlight w:val="none"/>
        </w:rPr>
        <w:t>技</w:t>
      </w:r>
      <w:r>
        <w:rPr>
          <w:rFonts w:hint="eastAsia" w:ascii="宋体" w:hAnsi="宋体" w:eastAsia="宋体" w:cs="宋体"/>
          <w:b/>
          <w:bCs/>
          <w:color w:val="auto"/>
          <w:w w:val="95"/>
          <w:sz w:val="52"/>
          <w:szCs w:val="52"/>
          <w:highlight w:val="none"/>
          <w:lang w:val="en-US" w:eastAsia="zh-CN"/>
        </w:rPr>
        <w:t xml:space="preserve"> </w:t>
      </w:r>
      <w:r>
        <w:rPr>
          <w:rFonts w:hint="eastAsia" w:ascii="宋体" w:hAnsi="宋体" w:eastAsia="宋体" w:cs="宋体"/>
          <w:b/>
          <w:bCs/>
          <w:color w:val="auto"/>
          <w:w w:val="95"/>
          <w:sz w:val="52"/>
          <w:szCs w:val="52"/>
          <w:highlight w:val="none"/>
        </w:rPr>
        <w:t>术</w:t>
      </w:r>
      <w:r>
        <w:rPr>
          <w:rFonts w:hint="eastAsia" w:ascii="宋体" w:hAnsi="宋体" w:eastAsia="宋体" w:cs="宋体"/>
          <w:b/>
          <w:bCs/>
          <w:color w:val="auto"/>
          <w:w w:val="95"/>
          <w:sz w:val="52"/>
          <w:szCs w:val="52"/>
          <w:highlight w:val="none"/>
          <w:lang w:val="en-US" w:eastAsia="zh-CN"/>
        </w:rPr>
        <w:t xml:space="preserve"> </w:t>
      </w:r>
      <w:r>
        <w:rPr>
          <w:rFonts w:hint="eastAsia" w:ascii="宋体" w:hAnsi="宋体" w:eastAsia="宋体" w:cs="宋体"/>
          <w:b/>
          <w:bCs/>
          <w:color w:val="auto"/>
          <w:w w:val="95"/>
          <w:sz w:val="52"/>
          <w:szCs w:val="52"/>
          <w:highlight w:val="none"/>
        </w:rPr>
        <w:t>服</w:t>
      </w:r>
      <w:r>
        <w:rPr>
          <w:rFonts w:hint="eastAsia" w:ascii="宋体" w:hAnsi="宋体" w:eastAsia="宋体" w:cs="宋体"/>
          <w:b/>
          <w:bCs/>
          <w:color w:val="auto"/>
          <w:w w:val="95"/>
          <w:sz w:val="52"/>
          <w:szCs w:val="52"/>
          <w:highlight w:val="none"/>
          <w:lang w:val="en-US" w:eastAsia="zh-CN"/>
        </w:rPr>
        <w:t xml:space="preserve"> </w:t>
      </w:r>
      <w:r>
        <w:rPr>
          <w:rFonts w:hint="eastAsia" w:ascii="宋体" w:hAnsi="宋体" w:eastAsia="宋体" w:cs="宋体"/>
          <w:b/>
          <w:bCs/>
          <w:color w:val="auto"/>
          <w:w w:val="95"/>
          <w:sz w:val="52"/>
          <w:szCs w:val="52"/>
          <w:highlight w:val="none"/>
        </w:rPr>
        <w:t>务</w:t>
      </w:r>
      <w:r>
        <w:rPr>
          <w:rFonts w:hint="eastAsia" w:ascii="宋体" w:hAnsi="宋体" w:eastAsia="宋体" w:cs="宋体"/>
          <w:b/>
          <w:bCs/>
          <w:color w:val="auto"/>
          <w:w w:val="95"/>
          <w:sz w:val="52"/>
          <w:szCs w:val="52"/>
          <w:highlight w:val="none"/>
          <w:lang w:val="en-US" w:eastAsia="zh-CN"/>
        </w:rPr>
        <w:t xml:space="preserve"> </w:t>
      </w:r>
      <w:r>
        <w:rPr>
          <w:rFonts w:hint="eastAsia" w:ascii="宋体" w:hAnsi="宋体" w:eastAsia="宋体" w:cs="宋体"/>
          <w:b/>
          <w:bCs/>
          <w:color w:val="auto"/>
          <w:w w:val="95"/>
          <w:sz w:val="52"/>
          <w:szCs w:val="52"/>
          <w:highlight w:val="none"/>
        </w:rPr>
        <w:t>合</w:t>
      </w:r>
      <w:r>
        <w:rPr>
          <w:rFonts w:hint="eastAsia" w:ascii="宋体" w:hAnsi="宋体" w:eastAsia="宋体" w:cs="宋体"/>
          <w:b/>
          <w:bCs/>
          <w:color w:val="auto"/>
          <w:w w:val="95"/>
          <w:sz w:val="52"/>
          <w:szCs w:val="52"/>
          <w:highlight w:val="none"/>
          <w:lang w:val="en-US" w:eastAsia="zh-CN"/>
        </w:rPr>
        <w:t xml:space="preserve"> </w:t>
      </w:r>
      <w:r>
        <w:rPr>
          <w:rFonts w:hint="eastAsia" w:ascii="宋体" w:hAnsi="宋体" w:eastAsia="宋体" w:cs="宋体"/>
          <w:b/>
          <w:bCs/>
          <w:color w:val="auto"/>
          <w:sz w:val="52"/>
          <w:szCs w:val="52"/>
          <w:highlight w:val="none"/>
        </w:rPr>
        <w:t>同</w:t>
      </w:r>
    </w:p>
    <w:p w14:paraId="41A67A73">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b/>
          <w:bCs/>
          <w:color w:val="auto"/>
          <w:sz w:val="52"/>
          <w:szCs w:val="52"/>
          <w:highlight w:val="none"/>
        </w:rPr>
      </w:pPr>
    </w:p>
    <w:p w14:paraId="1FD09EFA">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b/>
          <w:bCs/>
          <w:color w:val="auto"/>
          <w:sz w:val="52"/>
          <w:szCs w:val="52"/>
          <w:highlight w:val="none"/>
        </w:rPr>
      </w:pPr>
    </w:p>
    <w:p w14:paraId="6474EDD4">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b/>
          <w:bCs/>
          <w:color w:val="auto"/>
          <w:sz w:val="62"/>
          <w:szCs w:val="62"/>
          <w:highlight w:val="none"/>
        </w:rPr>
      </w:pPr>
    </w:p>
    <w:p w14:paraId="5D393B48">
      <w:pPr>
        <w:pStyle w:val="5"/>
        <w:keepNext w:val="0"/>
        <w:keepLines w:val="0"/>
        <w:pageBreakBefore w:val="0"/>
        <w:widowControl w:val="0"/>
        <w:tabs>
          <w:tab w:val="left" w:pos="5409"/>
        </w:tabs>
        <w:kinsoku/>
        <w:wordWrap/>
        <w:overflowPunct/>
        <w:topLinePunct w:val="0"/>
        <w:autoSpaceDE w:val="0"/>
        <w:autoSpaceDN w:val="0"/>
        <w:bidi w:val="0"/>
        <w:adjustRightInd w:val="0"/>
        <w:snapToGrid w:val="0"/>
        <w:spacing w:line="460" w:lineRule="atLeast"/>
        <w:ind w:right="1154"/>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项目名称：</w:t>
      </w:r>
      <w:r>
        <w:rPr>
          <w:rFonts w:hint="eastAsia" w:ascii="宋体" w:hAnsi="宋体" w:eastAsia="宋体" w:cs="宋体"/>
          <w:color w:val="auto"/>
          <w:highlight w:val="none"/>
          <w:u w:val="single" w:color="000000"/>
        </w:rPr>
        <w:t xml:space="preserve"> </w:t>
      </w:r>
      <w:r>
        <w:rPr>
          <w:rFonts w:hint="eastAsia" w:ascii="宋体" w:hAnsi="宋体" w:eastAsia="宋体" w:cs="宋体"/>
          <w:color w:val="auto"/>
          <w:highlight w:val="none"/>
          <w:u w:val="single" w:color="000000"/>
        </w:rPr>
        <w:tab/>
      </w:r>
    </w:p>
    <w:p w14:paraId="2375B04F">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0"/>
          <w:szCs w:val="20"/>
          <w:highlight w:val="none"/>
        </w:rPr>
      </w:pPr>
    </w:p>
    <w:p w14:paraId="03CEF94C">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0"/>
          <w:szCs w:val="20"/>
          <w:highlight w:val="none"/>
        </w:rPr>
      </w:pPr>
    </w:p>
    <w:p w14:paraId="3BC3918D">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16"/>
          <w:szCs w:val="16"/>
          <w:highlight w:val="none"/>
        </w:rPr>
      </w:pPr>
    </w:p>
    <w:p w14:paraId="755FADB9">
      <w:pPr>
        <w:pStyle w:val="5"/>
        <w:keepNext w:val="0"/>
        <w:keepLines w:val="0"/>
        <w:pageBreakBefore w:val="0"/>
        <w:widowControl w:val="0"/>
        <w:tabs>
          <w:tab w:val="left" w:pos="5409"/>
        </w:tabs>
        <w:kinsoku/>
        <w:wordWrap/>
        <w:overflowPunct/>
        <w:topLinePunct w:val="0"/>
        <w:autoSpaceDE w:val="0"/>
        <w:autoSpaceDN w:val="0"/>
        <w:bidi w:val="0"/>
        <w:adjustRightInd w:val="0"/>
        <w:snapToGrid w:val="0"/>
        <w:spacing w:line="460" w:lineRule="atLeast"/>
        <w:ind w:right="1154"/>
        <w:jc w:val="left"/>
        <w:textAlignment w:val="auto"/>
        <w:rPr>
          <w:rFonts w:hint="eastAsia" w:ascii="宋体" w:hAnsi="宋体" w:eastAsia="宋体" w:cs="宋体"/>
          <w:color w:val="auto"/>
          <w:highlight w:val="none"/>
        </w:rPr>
      </w:pPr>
      <w:r>
        <w:rPr>
          <w:rFonts w:hint="eastAsia" w:cs="宋体"/>
          <w:color w:val="auto"/>
          <w:highlight w:val="none"/>
          <w:lang w:val="en-US" w:eastAsia="zh-CN"/>
        </w:rPr>
        <w:t>采 购 人</w:t>
      </w:r>
      <w:r>
        <w:rPr>
          <w:rFonts w:hint="eastAsia" w:ascii="宋体" w:hAnsi="宋体" w:eastAsia="宋体" w:cs="宋体"/>
          <w:color w:val="auto"/>
          <w:highlight w:val="none"/>
        </w:rPr>
        <w:t>：</w:t>
      </w:r>
      <w:r>
        <w:rPr>
          <w:rFonts w:hint="eastAsia" w:ascii="宋体" w:hAnsi="宋体" w:eastAsia="宋体" w:cs="宋体"/>
          <w:color w:val="auto"/>
          <w:highlight w:val="none"/>
          <w:u w:val="single" w:color="000000"/>
        </w:rPr>
        <w:t xml:space="preserve"> </w:t>
      </w:r>
      <w:r>
        <w:rPr>
          <w:rFonts w:hint="eastAsia" w:ascii="宋体" w:hAnsi="宋体" w:eastAsia="宋体" w:cs="宋体"/>
          <w:color w:val="auto"/>
          <w:highlight w:val="none"/>
          <w:u w:val="single" w:color="000000"/>
        </w:rPr>
        <w:tab/>
      </w:r>
    </w:p>
    <w:p w14:paraId="236C931D">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8"/>
          <w:szCs w:val="28"/>
          <w:highlight w:val="none"/>
        </w:rPr>
      </w:pPr>
    </w:p>
    <w:p w14:paraId="300AC231">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8"/>
          <w:szCs w:val="28"/>
          <w:highlight w:val="none"/>
        </w:rPr>
      </w:pPr>
    </w:p>
    <w:p w14:paraId="360F97DE">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2"/>
          <w:szCs w:val="22"/>
          <w:highlight w:val="none"/>
        </w:rPr>
      </w:pPr>
    </w:p>
    <w:p w14:paraId="7BD12C06">
      <w:pPr>
        <w:pStyle w:val="5"/>
        <w:keepNext w:val="0"/>
        <w:keepLines w:val="0"/>
        <w:pageBreakBefore w:val="0"/>
        <w:widowControl w:val="0"/>
        <w:tabs>
          <w:tab w:val="left" w:pos="5409"/>
        </w:tabs>
        <w:kinsoku/>
        <w:wordWrap/>
        <w:overflowPunct/>
        <w:topLinePunct w:val="0"/>
        <w:autoSpaceDE w:val="0"/>
        <w:autoSpaceDN w:val="0"/>
        <w:bidi w:val="0"/>
        <w:adjustRightInd w:val="0"/>
        <w:snapToGrid w:val="0"/>
        <w:spacing w:line="460" w:lineRule="atLeast"/>
        <w:ind w:right="1154"/>
        <w:jc w:val="left"/>
        <w:textAlignment w:val="auto"/>
        <w:rPr>
          <w:rFonts w:hint="eastAsia" w:ascii="宋体" w:hAnsi="宋体" w:eastAsia="宋体" w:cs="宋体"/>
          <w:color w:val="auto"/>
          <w:highlight w:val="none"/>
        </w:rPr>
      </w:pPr>
      <w:r>
        <w:rPr>
          <w:rFonts w:hint="eastAsia" w:cs="宋体"/>
          <w:color w:val="auto"/>
          <w:highlight w:val="none"/>
          <w:lang w:val="en-US" w:eastAsia="zh-CN"/>
        </w:rPr>
        <w:t>供 应 商</w:t>
      </w:r>
      <w:r>
        <w:rPr>
          <w:rFonts w:hint="eastAsia" w:ascii="宋体" w:hAnsi="宋体" w:eastAsia="宋体" w:cs="宋体"/>
          <w:color w:val="auto"/>
          <w:highlight w:val="none"/>
        </w:rPr>
        <w:t>：</w:t>
      </w:r>
      <w:r>
        <w:rPr>
          <w:rFonts w:hint="eastAsia" w:ascii="宋体" w:hAnsi="宋体" w:eastAsia="宋体" w:cs="宋体"/>
          <w:color w:val="auto"/>
          <w:highlight w:val="none"/>
          <w:u w:val="single" w:color="000000"/>
        </w:rPr>
        <w:t xml:space="preserve"> </w:t>
      </w:r>
      <w:r>
        <w:rPr>
          <w:rFonts w:hint="eastAsia" w:ascii="宋体" w:hAnsi="宋体" w:eastAsia="宋体" w:cs="宋体"/>
          <w:color w:val="auto"/>
          <w:highlight w:val="none"/>
          <w:u w:val="single" w:color="000000"/>
        </w:rPr>
        <w:tab/>
      </w:r>
    </w:p>
    <w:p w14:paraId="478A7967">
      <w:pPr>
        <w:pStyle w:val="5"/>
        <w:keepNext w:val="0"/>
        <w:keepLines w:val="0"/>
        <w:pageBreakBefore w:val="0"/>
        <w:widowControl w:val="0"/>
        <w:kinsoku/>
        <w:wordWrap/>
        <w:overflowPunct/>
        <w:topLinePunct w:val="0"/>
        <w:autoSpaceDE w:val="0"/>
        <w:autoSpaceDN w:val="0"/>
        <w:bidi w:val="0"/>
        <w:adjustRightInd w:val="0"/>
        <w:snapToGrid w:val="0"/>
        <w:spacing w:line="460" w:lineRule="atLeast"/>
        <w:ind w:right="1154"/>
        <w:jc w:val="left"/>
        <w:textAlignment w:val="auto"/>
        <w:rPr>
          <w:rFonts w:hint="eastAsia" w:ascii="宋体" w:hAnsi="宋体" w:eastAsia="宋体" w:cs="宋体"/>
          <w:color w:val="auto"/>
          <w:highlight w:val="none"/>
        </w:rPr>
      </w:pPr>
    </w:p>
    <w:p w14:paraId="28FA2CC3">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8"/>
          <w:szCs w:val="28"/>
          <w:highlight w:val="none"/>
        </w:rPr>
      </w:pPr>
    </w:p>
    <w:p w14:paraId="7E06076D">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8"/>
          <w:szCs w:val="28"/>
          <w:highlight w:val="none"/>
        </w:rPr>
      </w:pPr>
    </w:p>
    <w:p w14:paraId="575B5B9D">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8"/>
          <w:szCs w:val="28"/>
          <w:highlight w:val="none"/>
        </w:rPr>
      </w:pPr>
    </w:p>
    <w:p w14:paraId="69168DE5">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40"/>
          <w:szCs w:val="40"/>
          <w:highlight w:val="none"/>
        </w:rPr>
      </w:pPr>
    </w:p>
    <w:p w14:paraId="5D88E3EC">
      <w:pPr>
        <w:pStyle w:val="5"/>
        <w:keepNext w:val="0"/>
        <w:keepLines w:val="0"/>
        <w:pageBreakBefore w:val="0"/>
        <w:widowControl w:val="0"/>
        <w:tabs>
          <w:tab w:val="left" w:pos="3729"/>
          <w:tab w:val="left" w:pos="4427"/>
        </w:tabs>
        <w:kinsoku/>
        <w:wordWrap/>
        <w:overflowPunct/>
        <w:topLinePunct w:val="0"/>
        <w:autoSpaceDE w:val="0"/>
        <w:autoSpaceDN w:val="0"/>
        <w:bidi w:val="0"/>
        <w:adjustRightInd w:val="0"/>
        <w:snapToGrid w:val="0"/>
        <w:spacing w:line="460" w:lineRule="atLeast"/>
        <w:ind w:right="2970" w:rightChars="0" w:firstLine="1400" w:firstLineChars="500"/>
        <w:jc w:val="left"/>
        <w:textAlignment w:val="auto"/>
        <w:rPr>
          <w:rFonts w:hint="eastAsia" w:ascii="宋体" w:hAnsi="宋体" w:eastAsia="宋体" w:cs="宋体"/>
          <w:color w:val="auto"/>
          <w:highlight w:val="none"/>
        </w:rPr>
        <w:sectPr>
          <w:footerReference r:id="rId3" w:type="default"/>
          <w:pgSz w:w="11910" w:h="16840"/>
          <w:pgMar w:top="1220" w:right="1000" w:bottom="1040" w:left="1560" w:header="884" w:footer="848" w:gutter="0"/>
          <w:pgNumType w:fmt="decimal" w:start="1"/>
          <w:cols w:space="720" w:num="1"/>
        </w:sectPr>
      </w:pPr>
      <w:r>
        <w:rPr>
          <w:rFonts w:hint="eastAsia" w:ascii="宋体" w:hAnsi="宋体" w:eastAsia="宋体" w:cs="宋体"/>
          <w:color w:val="auto"/>
          <w:highlight w:val="none"/>
        </w:rPr>
        <w:t>日期： 202</w:t>
      </w:r>
      <w:r>
        <w:rPr>
          <w:rFonts w:hint="eastAsia" w:cs="宋体"/>
          <w:color w:val="auto"/>
          <w:highlight w:val="none"/>
          <w:lang w:val="en-US" w:eastAsia="zh-CN"/>
        </w:rPr>
        <w:t>6</w:t>
      </w:r>
      <w:r>
        <w:rPr>
          <w:rFonts w:hint="eastAsia" w:ascii="宋体" w:hAnsi="宋体" w:eastAsia="宋体" w:cs="宋体"/>
          <w:color w:val="auto"/>
          <w:spacing w:val="-4"/>
          <w:highlight w:val="non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p>
    <w:p w14:paraId="4504F5D3">
      <w:pPr>
        <w:keepNext w:val="0"/>
        <w:keepLines w:val="0"/>
        <w:pageBreakBefore w:val="0"/>
        <w:widowControl w:val="0"/>
        <w:kinsoku/>
        <w:wordWrap/>
        <w:overflowPunct/>
        <w:topLinePunct w:val="0"/>
        <w:autoSpaceDE/>
        <w:autoSpaceDN/>
        <w:bidi w:val="0"/>
        <w:adjustRightInd w:val="0"/>
        <w:snapToGrid w:val="0"/>
        <w:spacing w:line="440" w:lineRule="atLeast"/>
        <w:jc w:val="center"/>
        <w:textAlignment w:val="auto"/>
        <w:rPr>
          <w:rFonts w:hint="eastAsia" w:ascii="宋体" w:hAnsi="宋体" w:eastAsia="宋体" w:cs="宋体"/>
          <w:b/>
          <w:bCs/>
          <w:color w:val="auto"/>
          <w:sz w:val="24"/>
          <w:szCs w:val="24"/>
          <w:highlight w:val="none"/>
        </w:rPr>
      </w:pPr>
      <w:bookmarkStart w:id="179" w:name="_Hlk106269368"/>
      <w:r>
        <w:rPr>
          <w:rFonts w:hint="eastAsia" w:ascii="宋体" w:hAnsi="宋体" w:eastAsia="宋体" w:cs="宋体"/>
          <w:b/>
          <w:bCs/>
          <w:color w:val="auto"/>
          <w:sz w:val="24"/>
          <w:szCs w:val="24"/>
          <w:highlight w:val="none"/>
        </w:rPr>
        <w:t>合同协议书</w:t>
      </w:r>
    </w:p>
    <w:p w14:paraId="4E09C4F9">
      <w:pPr>
        <w:keepNext w:val="0"/>
        <w:keepLines w:val="0"/>
        <w:pageBreakBefore w:val="0"/>
        <w:widowControl w:val="0"/>
        <w:kinsoku/>
        <w:wordWrap/>
        <w:overflowPunct/>
        <w:topLinePunct w:val="0"/>
        <w:autoSpaceDE/>
        <w:autoSpaceDN/>
        <w:bidi w:val="0"/>
        <w:adjustRightInd w:val="0"/>
        <w:snapToGrid w:val="0"/>
        <w:spacing w:line="44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w:t>
      </w:r>
    </w:p>
    <w:p w14:paraId="6C469970">
      <w:pPr>
        <w:keepNext w:val="0"/>
        <w:keepLines w:val="0"/>
        <w:pageBreakBefore w:val="0"/>
        <w:widowControl w:val="0"/>
        <w:kinsoku/>
        <w:wordWrap/>
        <w:overflowPunct/>
        <w:topLinePunct w:val="0"/>
        <w:autoSpaceDE/>
        <w:autoSpaceDN/>
        <w:bidi w:val="0"/>
        <w:adjustRightInd w:val="0"/>
        <w:snapToGrid w:val="0"/>
        <w:spacing w:line="44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p>
    <w:p w14:paraId="23B9A39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根据《中华人民共和国政府采购法》、《中华人民共和国民法典》、相关法律法规及</w:t>
      </w:r>
      <w:r>
        <w:rPr>
          <w:rFonts w:hint="eastAsia" w:ascii="宋体" w:hAnsi="宋体" w:eastAsia="宋体" w:cs="宋体"/>
          <w:color w:val="auto"/>
          <w:sz w:val="21"/>
          <w:szCs w:val="21"/>
          <w:highlight w:val="none"/>
          <w:u w:val="single"/>
        </w:rPr>
        <w:t xml:space="preserve"> 盐城</w:t>
      </w:r>
      <w:r>
        <w:rPr>
          <w:rFonts w:hint="default" w:ascii="Times New Roman" w:hAnsi="Times New Roman" w:eastAsia="宋体" w:cs="Times New Roman"/>
          <w:color w:val="auto"/>
          <w:sz w:val="21"/>
          <w:szCs w:val="21"/>
          <w:highlight w:val="none"/>
          <w:u w:val="single"/>
        </w:rPr>
        <w:t>市2026-20</w:t>
      </w:r>
      <w:r>
        <w:rPr>
          <w:rFonts w:hint="default" w:ascii="Times New Roman" w:hAnsi="Times New Roman" w:eastAsia="宋体" w:cs="Times New Roman"/>
          <w:color w:val="auto"/>
          <w:sz w:val="21"/>
          <w:szCs w:val="21"/>
          <w:highlight w:val="none"/>
          <w:u w:val="single"/>
          <w:lang w:val="en-US" w:eastAsia="zh-CN"/>
        </w:rPr>
        <w:t>28</w:t>
      </w:r>
      <w:r>
        <w:rPr>
          <w:rFonts w:hint="eastAsia" w:ascii="宋体" w:hAnsi="宋体" w:eastAsia="宋体" w:cs="宋体"/>
          <w:color w:val="auto"/>
          <w:sz w:val="21"/>
          <w:szCs w:val="21"/>
          <w:highlight w:val="none"/>
          <w:u w:val="single"/>
        </w:rPr>
        <w:t>年普通国省道桥梁</w:t>
      </w:r>
      <w:r>
        <w:rPr>
          <w:rFonts w:hint="eastAsia" w:ascii="宋体" w:hAnsi="宋体" w:eastAsia="宋体" w:cs="宋体"/>
          <w:color w:val="auto"/>
          <w:sz w:val="21"/>
          <w:szCs w:val="21"/>
          <w:highlight w:val="none"/>
          <w:u w:val="single"/>
          <w:lang w:eastAsia="zh-CN"/>
        </w:rPr>
        <w:t>结构监测系统</w:t>
      </w:r>
      <w:r>
        <w:rPr>
          <w:rFonts w:hint="eastAsia" w:ascii="宋体" w:hAnsi="宋体" w:eastAsia="宋体" w:cs="宋体"/>
          <w:color w:val="auto"/>
          <w:sz w:val="21"/>
          <w:szCs w:val="21"/>
          <w:highlight w:val="none"/>
          <w:u w:val="single"/>
        </w:rPr>
        <w:t>运维项目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的采购结果、招标文件、中标通知书及投标响应文件，</w:t>
      </w:r>
      <w:r>
        <w:rPr>
          <w:rFonts w:hint="eastAsia" w:ascii="宋体" w:hAnsi="宋体" w:eastAsia="宋体" w:cs="宋体"/>
          <w:color w:val="auto"/>
          <w:sz w:val="21"/>
          <w:szCs w:val="21"/>
          <w:highlight w:val="none"/>
          <w:lang w:val="en-US" w:eastAsia="zh-CN"/>
        </w:rPr>
        <w:t>采购人、供应商</w:t>
      </w:r>
      <w:r>
        <w:rPr>
          <w:rFonts w:hint="eastAsia" w:ascii="宋体" w:hAnsi="宋体" w:eastAsia="宋体" w:cs="宋体"/>
          <w:color w:val="auto"/>
          <w:sz w:val="21"/>
          <w:szCs w:val="21"/>
          <w:highlight w:val="none"/>
        </w:rPr>
        <w:t>双方遵循平等、自愿、公平、诚实信用的原则，就</w:t>
      </w:r>
      <w:r>
        <w:rPr>
          <w:rFonts w:hint="eastAsia" w:ascii="宋体" w:hAnsi="宋体" w:eastAsia="宋体" w:cs="宋体"/>
          <w:color w:val="auto"/>
          <w:sz w:val="21"/>
          <w:szCs w:val="21"/>
          <w:highlight w:val="none"/>
          <w:u w:val="single"/>
        </w:rPr>
        <w:t xml:space="preserve"> 盐城市</w:t>
      </w:r>
      <w:r>
        <w:rPr>
          <w:rFonts w:hint="default" w:ascii="Times New Roman" w:hAnsi="Times New Roman" w:eastAsia="宋体" w:cs="Times New Roman"/>
          <w:color w:val="auto"/>
          <w:sz w:val="21"/>
          <w:szCs w:val="21"/>
          <w:highlight w:val="none"/>
          <w:u w:val="single"/>
        </w:rPr>
        <w:t>2026-20</w:t>
      </w:r>
      <w:r>
        <w:rPr>
          <w:rFonts w:hint="default" w:ascii="Times New Roman" w:hAnsi="Times New Roman" w:eastAsia="宋体" w:cs="Times New Roman"/>
          <w:color w:val="auto"/>
          <w:sz w:val="21"/>
          <w:szCs w:val="21"/>
          <w:highlight w:val="none"/>
          <w:u w:val="single"/>
          <w:lang w:val="en-US" w:eastAsia="zh-CN"/>
        </w:rPr>
        <w:t>28</w:t>
      </w:r>
      <w:r>
        <w:rPr>
          <w:rFonts w:hint="eastAsia" w:ascii="宋体" w:hAnsi="宋体" w:eastAsia="宋体" w:cs="宋体"/>
          <w:color w:val="auto"/>
          <w:sz w:val="21"/>
          <w:szCs w:val="21"/>
          <w:highlight w:val="none"/>
          <w:u w:val="single"/>
        </w:rPr>
        <w:t>年普通国省道桥梁</w:t>
      </w:r>
      <w:r>
        <w:rPr>
          <w:rFonts w:hint="eastAsia" w:ascii="宋体" w:hAnsi="宋体" w:eastAsia="宋体" w:cs="宋体"/>
          <w:color w:val="auto"/>
          <w:sz w:val="21"/>
          <w:szCs w:val="21"/>
          <w:highlight w:val="none"/>
          <w:u w:val="single"/>
          <w:lang w:eastAsia="zh-CN"/>
        </w:rPr>
        <w:t>结构监测系统</w:t>
      </w:r>
      <w:r>
        <w:rPr>
          <w:rFonts w:hint="eastAsia" w:ascii="宋体" w:hAnsi="宋体" w:eastAsia="宋体" w:cs="宋体"/>
          <w:color w:val="auto"/>
          <w:sz w:val="21"/>
          <w:szCs w:val="21"/>
          <w:highlight w:val="none"/>
          <w:u w:val="single"/>
        </w:rPr>
        <w:t>运维项目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事宜经双方协商一致，订立本合同。</w:t>
      </w:r>
    </w:p>
    <w:p w14:paraId="34C1936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一、工程概况：</w:t>
      </w:r>
    </w:p>
    <w:p w14:paraId="532F098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工程项目名称：盐城市2026-20</w:t>
      </w:r>
      <w:r>
        <w:rPr>
          <w:rFonts w:hint="default" w:ascii="Times New Roman" w:hAnsi="Times New Roman" w:eastAsia="宋体" w:cs="Times New Roman"/>
          <w:color w:val="auto"/>
          <w:sz w:val="21"/>
          <w:szCs w:val="21"/>
          <w:highlight w:val="none"/>
          <w:lang w:val="en-US" w:eastAsia="zh-CN"/>
        </w:rPr>
        <w:t>28</w:t>
      </w:r>
      <w:r>
        <w:rPr>
          <w:rFonts w:hint="default" w:ascii="Times New Roman" w:hAnsi="Times New Roman" w:eastAsia="宋体" w:cs="Times New Roman"/>
          <w:color w:val="auto"/>
          <w:sz w:val="21"/>
          <w:szCs w:val="21"/>
          <w:highlight w:val="none"/>
        </w:rPr>
        <w:t>年普通国省道桥梁</w:t>
      </w:r>
      <w:r>
        <w:rPr>
          <w:rFonts w:hint="default" w:ascii="Times New Roman" w:hAnsi="Times New Roman" w:eastAsia="宋体" w:cs="Times New Roman"/>
          <w:color w:val="auto"/>
          <w:sz w:val="21"/>
          <w:szCs w:val="21"/>
          <w:highlight w:val="none"/>
          <w:lang w:eastAsia="zh-CN"/>
        </w:rPr>
        <w:t>结构监测系统</w:t>
      </w:r>
      <w:r>
        <w:rPr>
          <w:rFonts w:hint="default" w:ascii="Times New Roman" w:hAnsi="Times New Roman" w:eastAsia="宋体" w:cs="Times New Roman"/>
          <w:color w:val="auto"/>
          <w:sz w:val="21"/>
          <w:szCs w:val="21"/>
          <w:highlight w:val="none"/>
        </w:rPr>
        <w:t>运维项目</w:t>
      </w:r>
    </w:p>
    <w:p w14:paraId="2348D07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工程项目的地点：</w:t>
      </w:r>
      <w:r>
        <w:rPr>
          <w:rFonts w:hint="default" w:ascii="Times New Roman" w:hAnsi="Times New Roman" w:eastAsia="宋体" w:cs="Times New Roman"/>
          <w:color w:val="auto"/>
          <w:sz w:val="21"/>
          <w:szCs w:val="21"/>
          <w:highlight w:val="none"/>
          <w:lang w:val="en-US" w:eastAsia="zh-CN"/>
        </w:rPr>
        <w:t>盐城市境内</w:t>
      </w:r>
    </w:p>
    <w:p w14:paraId="2F39C0C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服务</w:t>
      </w:r>
      <w:r>
        <w:rPr>
          <w:rFonts w:hint="default" w:ascii="Times New Roman" w:hAnsi="Times New Roman" w:eastAsia="宋体" w:cs="Times New Roman"/>
          <w:color w:val="auto"/>
          <w:sz w:val="21"/>
          <w:szCs w:val="21"/>
          <w:highlight w:val="none"/>
          <w:lang w:val="en-US" w:eastAsia="zh-CN"/>
        </w:rPr>
        <w:t>期限</w:t>
      </w:r>
      <w:r>
        <w:rPr>
          <w:rFonts w:hint="default" w:ascii="Times New Roman" w:hAnsi="Times New Roman" w:eastAsia="宋体" w:cs="Times New Roman"/>
          <w:color w:val="auto"/>
          <w:sz w:val="21"/>
          <w:szCs w:val="21"/>
          <w:highlight w:val="none"/>
        </w:rPr>
        <w:t>：采购包1</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服务期限起止时间为合同签订之日～2028年12月31日；采购包2</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服务期限</w:t>
      </w:r>
      <w:r>
        <w:rPr>
          <w:rFonts w:hint="default" w:ascii="Times New Roman" w:hAnsi="Times New Roman" w:cs="Times New Roman"/>
          <w:color w:val="auto"/>
          <w:szCs w:val="21"/>
          <w:highlight w:val="none"/>
        </w:rPr>
        <w:t>起止时间为2027年1月1日～2028年12月31日。</w:t>
      </w:r>
    </w:p>
    <w:p w14:paraId="60C8755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二、工作内容：</w:t>
      </w:r>
    </w:p>
    <w:p w14:paraId="54FD4697">
      <w:pPr>
        <w:pStyle w:val="1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leftChars="0" w:firstLine="420" w:firstLineChars="200"/>
        <w:jc w:val="both"/>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采购包1主要工作内容：</w:t>
      </w:r>
      <w:r>
        <w:rPr>
          <w:rFonts w:hint="eastAsia" w:ascii="Times New Roman" w:hAnsi="Times New Roman" w:eastAsia="宋体" w:cs="Times New Roman"/>
          <w:color w:val="auto"/>
          <w:kern w:val="2"/>
          <w:sz w:val="21"/>
          <w:szCs w:val="21"/>
          <w:highlight w:val="none"/>
          <w:lang w:val="en-US" w:eastAsia="zh-CN" w:bidi="ar-SA"/>
        </w:rPr>
        <w:t>包括</w:t>
      </w:r>
      <w:r>
        <w:rPr>
          <w:rFonts w:hint="default" w:ascii="Times New Roman" w:hAnsi="Times New Roman" w:eastAsia="宋体" w:cs="Times New Roman"/>
          <w:color w:val="auto"/>
          <w:kern w:val="2"/>
          <w:sz w:val="21"/>
          <w:szCs w:val="21"/>
          <w:highlight w:val="none"/>
          <w:lang w:val="en-US" w:eastAsia="zh-CN" w:bidi="ar-SA"/>
        </w:rPr>
        <w:t>G228灌江口大桥、G343大刘桥等39座桥梁结构监测系统及G204斗龙港大桥、S231黄沙港大桥等27处桥下空间视频监控系统；主要工作包括但不限于24小时监测系统巡查、人工现场检查（每季度不少于1次）、硬件设施维护与更换、监测数据报警分析与处置、阶段分析报告（分季度和年度监测分析报告，季度报告为每年4次）、特殊事件报告及采购人的其他要求等内容。</w:t>
      </w:r>
      <w:r>
        <w:rPr>
          <w:rFonts w:hint="default" w:ascii="Times New Roman" w:hAnsi="Times New Roman" w:eastAsia="宋体" w:cs="Times New Roman"/>
          <w:color w:val="auto"/>
          <w:sz w:val="21"/>
          <w:szCs w:val="21"/>
          <w:highlight w:val="none"/>
          <w:lang w:val="en-US" w:eastAsia="zh-CN"/>
        </w:rPr>
        <w:t>具体内容详见采购文件《第四章 采购需求》。</w:t>
      </w:r>
    </w:p>
    <w:p w14:paraId="51422732">
      <w:pPr>
        <w:pStyle w:val="1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leftChars="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采购包2主要工作内容：</w:t>
      </w:r>
      <w:r>
        <w:rPr>
          <w:rFonts w:hint="eastAsia" w:ascii="Times New Roman" w:hAnsi="Times New Roman" w:eastAsia="宋体" w:cs="Times New Roman"/>
          <w:color w:val="auto"/>
          <w:kern w:val="2"/>
          <w:sz w:val="21"/>
          <w:szCs w:val="21"/>
          <w:highlight w:val="none"/>
          <w:lang w:val="en-US" w:eastAsia="zh-CN" w:bidi="ar-SA"/>
        </w:rPr>
        <w:t>包括</w:t>
      </w:r>
      <w:r>
        <w:rPr>
          <w:rFonts w:hint="default" w:ascii="Times New Roman" w:hAnsi="Times New Roman" w:eastAsia="宋体" w:cs="Times New Roman"/>
          <w:color w:val="auto"/>
          <w:kern w:val="2"/>
          <w:sz w:val="21"/>
          <w:szCs w:val="21"/>
          <w:highlight w:val="none"/>
          <w:lang w:val="en-US" w:eastAsia="zh-CN" w:bidi="ar-SA"/>
        </w:rPr>
        <w:t>G343南环大桥、S329通榆河大桥等36座桥梁结构监测系统（G343南环大桥、S329通榆河大桥</w:t>
      </w:r>
      <w:r>
        <w:rPr>
          <w:rFonts w:hint="eastAsia" w:ascii="Times New Roman" w:hAnsi="Times New Roman" w:eastAsia="宋体" w:cs="Times New Roman"/>
          <w:color w:val="auto"/>
          <w:kern w:val="2"/>
          <w:sz w:val="21"/>
          <w:szCs w:val="21"/>
          <w:highlight w:val="none"/>
          <w:lang w:val="en-US" w:eastAsia="zh-CN" w:bidi="ar-SA"/>
        </w:rPr>
        <w:t>包含执法称重系统</w:t>
      </w:r>
      <w:r>
        <w:rPr>
          <w:rFonts w:hint="default" w:ascii="Times New Roman" w:hAnsi="Times New Roman" w:eastAsia="宋体" w:cs="Times New Roman"/>
          <w:color w:val="auto"/>
          <w:kern w:val="2"/>
          <w:sz w:val="21"/>
          <w:szCs w:val="21"/>
          <w:highlight w:val="none"/>
          <w:lang w:val="en-US" w:eastAsia="zh-CN" w:bidi="ar-SA"/>
        </w:rPr>
        <w:t>）。主要工作包括但不限于24小时监测系统巡查、人工现场检查（每季度不少于1次）、硬件设施维护与更换、监测数据报警分析与处置、阶段分析报告（分季度和年度监测分析报告，季度报告为每年4次）、特殊事件报告及采购人的其他要求等内容。</w:t>
      </w:r>
      <w:r>
        <w:rPr>
          <w:rFonts w:hint="default" w:ascii="Times New Roman" w:hAnsi="Times New Roman" w:eastAsia="宋体" w:cs="Times New Roman"/>
          <w:color w:val="auto"/>
          <w:sz w:val="21"/>
          <w:szCs w:val="21"/>
          <w:highlight w:val="none"/>
          <w:lang w:val="en-US" w:eastAsia="zh-CN"/>
        </w:rPr>
        <w:t>具体内容详见采购文件《第四章 采购需求》。</w:t>
      </w:r>
    </w:p>
    <w:p w14:paraId="46B3CB5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三、费用</w:t>
      </w:r>
    </w:p>
    <w:p w14:paraId="74CC427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含税</w:t>
      </w:r>
      <w:r>
        <w:rPr>
          <w:rFonts w:hint="eastAsia" w:ascii="宋体" w:hAnsi="宋体" w:eastAsia="宋体" w:cs="宋体"/>
          <w:color w:val="auto"/>
          <w:sz w:val="21"/>
          <w:szCs w:val="21"/>
          <w:highlight w:val="none"/>
        </w:rPr>
        <w:t>合同价：大写：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元）。包括</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完成合同项目所有工作内容和提供完整的文件原件</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成果报告所需的调查费、检测费、数据分析费、劳务费、保险费、差旅费、咨询费、审查费、会务费、出版费、成果文件编制费、管理费、相关安全生产费用、利润、税金及进行项目报批需要编制相关文件等全部费用。合同费用不随估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预算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的变化而调整。</w:t>
      </w:r>
    </w:p>
    <w:p w14:paraId="133C5AE8">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包含</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应当提供的全部人员费用、伴随服务费用及各项服务费用的税款。</w:t>
      </w:r>
    </w:p>
    <w:p w14:paraId="43A71822">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就本合同不再向</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支付任何其他款项。</w:t>
      </w:r>
    </w:p>
    <w:p w14:paraId="163B805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四、技术要求</w:t>
      </w:r>
    </w:p>
    <w:p w14:paraId="3BEB485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在运维服务期内，供应商应保证桥梁监测数据传输质量满足</w:t>
      </w:r>
      <w:r>
        <w:rPr>
          <w:rFonts w:hint="default" w:ascii="Times New Roman" w:hAnsi="Times New Roman" w:cs="Times New Roman"/>
          <w:color w:val="auto"/>
          <w:szCs w:val="21"/>
          <w:highlight w:val="none"/>
        </w:rPr>
        <w:t>《公路桥梁结构监测技术规范》（JT/T 1037-2022）、《桥梁轻量化监测系统建设规范》（DB32</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rPr>
        <w:t>T 4987-2024）</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《江苏省普通国省道桥梁结构监测系统建设和运维管理办法》（苏交公路〔2023〕1号）、《江苏省普通国省道桥梁视频监控建设技术工作要求》（苏交公便养〔2025〕235号）</w:t>
      </w:r>
      <w:r>
        <w:rPr>
          <w:rFonts w:hint="default" w:ascii="Times New Roman" w:hAnsi="Times New Roman" w:eastAsia="宋体" w:cs="Times New Roman"/>
          <w:color w:val="auto"/>
          <w:sz w:val="21"/>
          <w:szCs w:val="21"/>
          <w:highlight w:val="none"/>
        </w:rPr>
        <w:t>等相关标准要求，保障</w:t>
      </w:r>
      <w:r>
        <w:rPr>
          <w:rFonts w:hint="eastAsia" w:ascii="Times New Roman" w:hAnsi="Times New Roman" w:eastAsia="宋体" w:cs="Times New Roman"/>
          <w:color w:val="auto"/>
          <w:sz w:val="21"/>
          <w:szCs w:val="21"/>
          <w:highlight w:val="none"/>
          <w:lang w:val="en-US" w:eastAsia="zh-CN"/>
        </w:rPr>
        <w:t>监测</w:t>
      </w:r>
      <w:r>
        <w:rPr>
          <w:rFonts w:hint="default" w:ascii="Times New Roman" w:hAnsi="Times New Roman" w:eastAsia="宋体" w:cs="Times New Roman"/>
          <w:color w:val="auto"/>
          <w:sz w:val="21"/>
          <w:szCs w:val="21"/>
          <w:highlight w:val="none"/>
        </w:rPr>
        <w:t>设备在江苏省普通国省道桥梁结构监测系统中的</w:t>
      </w:r>
      <w:r>
        <w:rPr>
          <w:rFonts w:hint="eastAsia" w:ascii="Times New Roman" w:hAnsi="Times New Roman" w:eastAsia="宋体" w:cs="Times New Roman"/>
          <w:color w:val="auto"/>
          <w:sz w:val="21"/>
          <w:szCs w:val="21"/>
          <w:highlight w:val="none"/>
          <w:lang w:val="en-US" w:eastAsia="zh-CN"/>
        </w:rPr>
        <w:t>数据</w:t>
      </w:r>
      <w:r>
        <w:rPr>
          <w:rFonts w:hint="default" w:ascii="Times New Roman" w:hAnsi="Times New Roman" w:eastAsia="宋体" w:cs="Times New Roman"/>
          <w:color w:val="auto"/>
          <w:sz w:val="21"/>
          <w:szCs w:val="21"/>
          <w:highlight w:val="none"/>
        </w:rPr>
        <w:t>在线率不低于</w:t>
      </w:r>
      <w:r>
        <w:rPr>
          <w:rFonts w:hint="default" w:ascii="Times New Roman" w:hAnsi="Times New Roman" w:eastAsia="宋体" w:cs="Times New Roman"/>
          <w:color w:val="auto"/>
          <w:sz w:val="21"/>
          <w:szCs w:val="21"/>
          <w:highlight w:val="none"/>
          <w:lang w:val="en-US" w:eastAsia="zh-CN"/>
        </w:rPr>
        <w:t>90</w:t>
      </w:r>
      <w:r>
        <w:rPr>
          <w:rFonts w:hint="default" w:ascii="Times New Roman" w:hAnsi="Times New Roman" w:eastAsia="宋体" w:cs="Times New Roman"/>
          <w:color w:val="auto"/>
          <w:sz w:val="21"/>
          <w:szCs w:val="21"/>
          <w:highlight w:val="none"/>
        </w:rPr>
        <w:t>%，并对监测</w:t>
      </w:r>
      <w:r>
        <w:rPr>
          <w:rFonts w:hint="default" w:ascii="Times New Roman" w:hAnsi="Times New Roman" w:eastAsia="宋体" w:cs="Times New Roman"/>
          <w:color w:val="auto"/>
          <w:sz w:val="21"/>
          <w:szCs w:val="21"/>
          <w:highlight w:val="none"/>
          <w:lang w:val="en-US" w:eastAsia="zh-CN"/>
        </w:rPr>
        <w:t>数据真实性、全面性、准确性</w:t>
      </w:r>
      <w:r>
        <w:rPr>
          <w:rFonts w:hint="default" w:ascii="Times New Roman" w:hAnsi="Times New Roman" w:eastAsia="宋体" w:cs="Times New Roman"/>
          <w:color w:val="auto"/>
          <w:sz w:val="21"/>
          <w:szCs w:val="21"/>
          <w:highlight w:val="none"/>
        </w:rPr>
        <w:t>承担责任。</w:t>
      </w:r>
    </w:p>
    <w:p w14:paraId="4A991EE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本项目施工安全操作应符合国家及行业标准，用电安全、高空作业、施工作业面安全围护、劳动保护用具配置应落实到位，施工安装人员保险应投保到位。</w:t>
      </w:r>
    </w:p>
    <w:p w14:paraId="25A3AD1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五、双方责任</w:t>
      </w:r>
    </w:p>
    <w:p w14:paraId="043B0E9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责任</w:t>
      </w:r>
    </w:p>
    <w:p w14:paraId="3067CDA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（1）协调</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同有关单位的关系；</w:t>
      </w:r>
    </w:p>
    <w:p w14:paraId="4C80B82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（2）签订合同后</w:t>
      </w:r>
      <w:r>
        <w:rPr>
          <w:rFonts w:hint="eastAsia" w:ascii="宋体" w:hAnsi="宋体" w:eastAsia="宋体" w:cs="宋体"/>
          <w:color w:val="auto"/>
          <w:sz w:val="21"/>
          <w:szCs w:val="21"/>
          <w:highlight w:val="none"/>
          <w:lang w:val="en-US" w:eastAsia="zh-CN"/>
        </w:rPr>
        <w:t>及时</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提供与本项目有关的图纸、文件；</w:t>
      </w:r>
    </w:p>
    <w:p w14:paraId="488276B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（3）为</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的现场工作提供必须的协调条件和信息资料；</w:t>
      </w:r>
    </w:p>
    <w:p w14:paraId="551B332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（4）按合同约定支付费用。</w:t>
      </w:r>
    </w:p>
    <w:p w14:paraId="1A2C635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责任</w:t>
      </w:r>
    </w:p>
    <w:p w14:paraId="1C0B8A9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（1）按照国家有关规范、规程和技术条例的规定进行现场工作；</w:t>
      </w:r>
    </w:p>
    <w:p w14:paraId="59A2092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（2）负责具体项目实施时的交通疏导及安全。</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应制定严格的工作方案，严格按相应的要求和规范规定进行实施，并且保证现场实施人员的安全。</w:t>
      </w:r>
    </w:p>
    <w:p w14:paraId="21199C3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六、结算及付款方式</w:t>
      </w:r>
    </w:p>
    <w:p w14:paraId="61633D2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1、本项目采用</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固定总价</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报价</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所有款项均以人民币进行支付</w:t>
      </w:r>
      <w:r>
        <w:rPr>
          <w:rFonts w:hint="eastAsia" w:ascii="宋体" w:hAnsi="宋体" w:eastAsia="宋体" w:cs="宋体"/>
          <w:bCs/>
          <w:color w:val="auto"/>
          <w:sz w:val="21"/>
          <w:szCs w:val="21"/>
          <w:highlight w:val="none"/>
        </w:rPr>
        <w:t>。</w:t>
      </w:r>
    </w:p>
    <w:p w14:paraId="32B7D7C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2、在付款条件达成后，采购人按以下方式向供应商支付合同费用：</w:t>
      </w:r>
      <w:r>
        <w:rPr>
          <w:rFonts w:hint="default" w:ascii="Times New Roman" w:hAnsi="Times New Roman" w:eastAsia="宋体" w:cs="Times New Roman"/>
          <w:b w:val="0"/>
          <w:bCs/>
          <w:color w:val="auto"/>
          <w:sz w:val="21"/>
          <w:szCs w:val="21"/>
          <w:highlight w:val="none"/>
        </w:rPr>
        <w:t>合同签订后，采购人</w:t>
      </w:r>
      <w:r>
        <w:rPr>
          <w:rFonts w:hint="default" w:ascii="Times New Roman" w:hAnsi="Times New Roman" w:eastAsia="宋体" w:cs="Times New Roman"/>
          <w:b w:val="0"/>
          <w:bCs/>
          <w:color w:val="auto"/>
          <w:sz w:val="21"/>
          <w:szCs w:val="21"/>
          <w:highlight w:val="none"/>
          <w:lang w:val="en-US" w:eastAsia="zh-CN"/>
        </w:rPr>
        <w:t>收到</w:t>
      </w:r>
      <w:r>
        <w:rPr>
          <w:rFonts w:hint="default" w:ascii="Times New Roman" w:hAnsi="Times New Roman" w:eastAsia="宋体" w:cs="Times New Roman"/>
          <w:b w:val="0"/>
          <w:bCs/>
          <w:color w:val="auto"/>
          <w:sz w:val="21"/>
          <w:szCs w:val="21"/>
          <w:highlight w:val="none"/>
        </w:rPr>
        <w:t>供应商</w:t>
      </w:r>
      <w:r>
        <w:rPr>
          <w:rFonts w:hint="default" w:ascii="Times New Roman" w:hAnsi="Times New Roman" w:eastAsia="宋体" w:cs="Times New Roman"/>
          <w:b w:val="0"/>
          <w:bCs/>
          <w:color w:val="auto"/>
          <w:sz w:val="21"/>
          <w:szCs w:val="21"/>
          <w:highlight w:val="none"/>
          <w:lang w:val="en-US" w:eastAsia="zh-CN"/>
        </w:rPr>
        <w:t>提供的预付款发票后的10个工作日内支付，</w:t>
      </w:r>
      <w:r>
        <w:rPr>
          <w:rFonts w:hint="default" w:ascii="Times New Roman" w:hAnsi="Times New Roman" w:eastAsia="宋体" w:cs="Times New Roman"/>
          <w:b w:val="0"/>
          <w:bCs/>
          <w:color w:val="auto"/>
          <w:sz w:val="21"/>
          <w:szCs w:val="21"/>
          <w:highlight w:val="none"/>
        </w:rPr>
        <w:t>预付款支付比例：合同金额的</w:t>
      </w:r>
      <w:r>
        <w:rPr>
          <w:rFonts w:hint="default" w:ascii="Times New Roman" w:hAnsi="Times New Roman" w:eastAsia="宋体" w:cs="Times New Roman"/>
          <w:b w:val="0"/>
          <w:bCs/>
          <w:color w:val="auto"/>
          <w:sz w:val="21"/>
          <w:szCs w:val="21"/>
          <w:highlight w:val="none"/>
          <w:lang w:val="en-US" w:eastAsia="zh-CN"/>
        </w:rPr>
        <w:t>3</w:t>
      </w:r>
      <w:r>
        <w:rPr>
          <w:rFonts w:hint="default" w:ascii="Times New Roman" w:hAnsi="Times New Roman" w:eastAsia="宋体" w:cs="Times New Roman"/>
          <w:b w:val="0"/>
          <w:bCs/>
          <w:color w:val="auto"/>
          <w:sz w:val="21"/>
          <w:szCs w:val="21"/>
          <w:highlight w:val="none"/>
        </w:rPr>
        <w:t>0%。</w:t>
      </w:r>
      <w:r>
        <w:rPr>
          <w:rFonts w:hint="eastAsia" w:ascii="Times New Roman" w:hAnsi="Times New Roman" w:eastAsia="宋体" w:cs="Times New Roman"/>
          <w:b w:val="0"/>
          <w:bCs/>
          <w:color w:val="auto"/>
          <w:sz w:val="21"/>
          <w:szCs w:val="21"/>
          <w:highlight w:val="none"/>
          <w:lang w:val="en-US" w:eastAsia="zh-CN"/>
        </w:rPr>
        <w:t>供应商完成当年度桥梁结构监测运维服务工作，提交相关报告并通过由采购人组织专家验收通过后，支付相应运维服务费用；其中，采购包1：2026、2027年各支付剩余运维费用的30%，2028年支付剩余运维费用的40%；采购包2：2027年支付剩余运维费用的40%，2028年支付剩余运维费用的60%。以上付款均不计利息。</w:t>
      </w:r>
    </w:p>
    <w:p w14:paraId="1E8F926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注：（1）采购人可根据财政资金指标下达情况和支付业务结束时间相应调整支付时间。</w:t>
      </w:r>
    </w:p>
    <w:p w14:paraId="00369D3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（2）因上级部门拨付时间问题引起的逾期付款，采购人不承担违约金及相关利息。</w:t>
      </w:r>
    </w:p>
    <w:p w14:paraId="7B19784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（3）供应商应按照采购人要求开具发票，否则采购人有权拒绝付款且不承担任何违约责任。</w:t>
      </w:r>
    </w:p>
    <w:p w14:paraId="35CC6ED0">
      <w:pPr>
        <w:pStyle w:val="14"/>
        <w:keepNext w:val="0"/>
        <w:keepLines w:val="0"/>
        <w:pageBreakBefore w:val="0"/>
        <w:widowControl w:val="0"/>
        <w:kinsoku/>
        <w:wordWrap/>
        <w:overflowPunct/>
        <w:topLinePunct w:val="0"/>
        <w:bidi w:val="0"/>
        <w:adjustRightInd w:val="0"/>
        <w:snapToGrid w:val="0"/>
        <w:spacing w:line="460" w:lineRule="exact"/>
        <w:ind w:left="0" w:leftChars="0" w:firstLine="422" w:firstLineChars="200"/>
        <w:textAlignment w:val="auto"/>
        <w:rPr>
          <w:rFonts w:hint="eastAsia" w:ascii="宋体" w:hAnsi="宋体" w:eastAsia="宋体" w:cs="宋体"/>
          <w:bCs/>
          <w:color w:val="auto"/>
          <w:sz w:val="21"/>
          <w:szCs w:val="21"/>
          <w:highlight w:val="none"/>
          <w:lang w:val="zh-CN" w:bidi="zh-CN"/>
        </w:rPr>
      </w:pPr>
      <w:r>
        <w:rPr>
          <w:rFonts w:hint="eastAsia" w:cs="宋体"/>
          <w:b/>
          <w:color w:val="auto"/>
          <w:sz w:val="21"/>
          <w:szCs w:val="21"/>
          <w:highlight w:val="none"/>
          <w:lang w:eastAsia="zh-CN"/>
        </w:rPr>
        <w:t>（</w:t>
      </w:r>
      <w:r>
        <w:rPr>
          <w:rFonts w:hint="eastAsia" w:cs="宋体"/>
          <w:b/>
          <w:color w:val="auto"/>
          <w:sz w:val="21"/>
          <w:szCs w:val="21"/>
          <w:highlight w:val="none"/>
          <w:lang w:val="en-US" w:eastAsia="zh-CN"/>
        </w:rPr>
        <w:t>4</w:t>
      </w:r>
      <w:r>
        <w:rPr>
          <w:rFonts w:hint="eastAsia" w:cs="宋体"/>
          <w:b/>
          <w:color w:val="auto"/>
          <w:sz w:val="21"/>
          <w:szCs w:val="21"/>
          <w:highlight w:val="none"/>
          <w:lang w:eastAsia="zh-CN"/>
        </w:rPr>
        <w:t>）</w:t>
      </w:r>
      <w:r>
        <w:rPr>
          <w:rFonts w:hint="eastAsia" w:ascii="宋体" w:hAnsi="宋体" w:eastAsia="宋体" w:cs="宋体"/>
          <w:b/>
          <w:color w:val="auto"/>
          <w:sz w:val="21"/>
          <w:szCs w:val="21"/>
          <w:highlight w:val="none"/>
        </w:rPr>
        <w:t>在签定合同时，供应商明确表示无需预付款或者主动要求降低预付款比例的，采购人可不适用前述规定。</w:t>
      </w:r>
    </w:p>
    <w:p w14:paraId="0D49607C">
      <w:pPr>
        <w:pStyle w:val="13"/>
        <w:keepNext w:val="0"/>
        <w:keepLines w:val="0"/>
        <w:pageBreakBefore w:val="0"/>
        <w:widowControl w:val="0"/>
        <w:kinsoku/>
        <w:wordWrap/>
        <w:overflowPunct/>
        <w:topLinePunct w:val="0"/>
        <w:bidi w:val="0"/>
        <w:adjustRightInd w:val="0"/>
        <w:snapToGrid w:val="0"/>
        <w:spacing w:beforeAutospacing="0" w:afterAutospacing="0" w:line="460" w:lineRule="exact"/>
        <w:ind w:left="0" w:leftChars="0" w:firstLine="422"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履约保证金：</w:t>
      </w:r>
    </w:p>
    <w:p w14:paraId="0C9433E4">
      <w:pPr>
        <w:pStyle w:val="13"/>
        <w:keepNext w:val="0"/>
        <w:keepLines w:val="0"/>
        <w:pageBreakBefore w:val="0"/>
        <w:widowControl w:val="0"/>
        <w:kinsoku/>
        <w:wordWrap/>
        <w:overflowPunct/>
        <w:topLinePunct w:val="0"/>
        <w:bidi w:val="0"/>
        <w:adjustRightInd w:val="0"/>
        <w:snapToGrid w:val="0"/>
        <w:spacing w:beforeAutospacing="0" w:afterAutospacing="0" w:line="4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交纳人民币_________元作为本合同的履约保证金。</w:t>
      </w:r>
    </w:p>
    <w:p w14:paraId="3F8FAC6B">
      <w:pPr>
        <w:pStyle w:val="13"/>
        <w:keepNext w:val="0"/>
        <w:keepLines w:val="0"/>
        <w:pageBreakBefore w:val="0"/>
        <w:widowControl w:val="0"/>
        <w:kinsoku/>
        <w:wordWrap/>
        <w:overflowPunct/>
        <w:topLinePunct w:val="0"/>
        <w:bidi w:val="0"/>
        <w:adjustRightInd w:val="0"/>
        <w:snapToGrid w:val="0"/>
        <w:spacing w:beforeAutospacing="0" w:afterAutospacing="0" w:line="4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（备注：合同金额的10%，采购人应当对AA评级及以上政府采购供应商（需提供信用管理部门备案的第三方信用报告）</w:t>
      </w:r>
      <w:r>
        <w:rPr>
          <w:rFonts w:hint="eastAsia" w:ascii="宋体" w:hAnsi="宋体" w:eastAsia="宋体" w:cs="宋体"/>
          <w:color w:val="auto"/>
          <w:sz w:val="21"/>
          <w:szCs w:val="21"/>
          <w:highlight w:val="none"/>
          <w:lang w:val="en-US" w:eastAsia="zh-CN"/>
        </w:rPr>
        <w:t>或根据《江苏省公路水运建设市场信用信息管理办法》，对江苏省公路水运建设市场信用信息管理系统中最近一次的信用等级评价为</w:t>
      </w:r>
      <w:r>
        <w:rPr>
          <w:rFonts w:hint="default" w:ascii="宋体" w:hAnsi="宋体" w:eastAsia="宋体" w:cs="宋体"/>
          <w:color w:val="auto"/>
          <w:sz w:val="21"/>
          <w:szCs w:val="21"/>
          <w:highlight w:val="none"/>
          <w:lang w:val="en-US" w:eastAsia="zh-CN"/>
        </w:rPr>
        <w:t>AA</w:t>
      </w:r>
      <w:r>
        <w:rPr>
          <w:rFonts w:hint="eastAsia" w:ascii="宋体" w:hAnsi="宋体" w:eastAsia="宋体" w:cs="宋体"/>
          <w:color w:val="auto"/>
          <w:sz w:val="21"/>
          <w:szCs w:val="21"/>
          <w:highlight w:val="none"/>
          <w:lang w:val="en-US" w:eastAsia="zh-CN"/>
        </w:rPr>
        <w:t>及以上的供应商，</w:t>
      </w:r>
      <w:r>
        <w:rPr>
          <w:rFonts w:hint="eastAsia" w:ascii="宋体" w:hAnsi="宋体" w:eastAsia="宋体" w:cs="宋体"/>
          <w:color w:val="auto"/>
          <w:sz w:val="21"/>
          <w:szCs w:val="21"/>
          <w:highlight w:val="none"/>
        </w:rPr>
        <w:t>免收履约保证金。）</w:t>
      </w:r>
    </w:p>
    <w:p w14:paraId="6622511B">
      <w:pPr>
        <w:pStyle w:val="13"/>
        <w:keepNext w:val="0"/>
        <w:keepLines w:val="0"/>
        <w:pageBreakBefore w:val="0"/>
        <w:widowControl w:val="0"/>
        <w:kinsoku/>
        <w:wordWrap/>
        <w:overflowPunct/>
        <w:topLinePunct w:val="0"/>
        <w:bidi w:val="0"/>
        <w:adjustRightInd w:val="0"/>
        <w:snapToGrid w:val="0"/>
        <w:spacing w:beforeAutospacing="0" w:afterAutospacing="0" w:line="4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.2履约保证金的缴纳形式：</w:t>
      </w:r>
    </w:p>
    <w:p w14:paraId="4253675A">
      <w:pPr>
        <w:pStyle w:val="13"/>
        <w:keepNext w:val="0"/>
        <w:keepLines w:val="0"/>
        <w:pageBreakBefore w:val="0"/>
        <w:widowControl w:val="0"/>
        <w:kinsoku/>
        <w:wordWrap/>
        <w:overflowPunct/>
        <w:topLinePunct w:val="0"/>
        <w:bidi w:val="0"/>
        <w:adjustRightInd w:val="0"/>
        <w:snapToGrid w:val="0"/>
        <w:spacing w:beforeAutospacing="0" w:afterAutospacing="0" w:line="4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59F7DD6">
      <w:pPr>
        <w:pStyle w:val="13"/>
        <w:keepNext w:val="0"/>
        <w:keepLines w:val="0"/>
        <w:pageBreakBefore w:val="0"/>
        <w:widowControl w:val="0"/>
        <w:kinsoku/>
        <w:wordWrap/>
        <w:overflowPunct/>
        <w:topLinePunct w:val="0"/>
        <w:bidi w:val="0"/>
        <w:adjustRightInd w:val="0"/>
        <w:snapToGrid w:val="0"/>
        <w:spacing w:beforeAutospacing="0" w:afterAutospacing="0" w:line="4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.2.2 如以履约保函（保险）形式缴纳履约保证金，供应商可通过政府采购电子履约保函（保险）平台（www.jsdzbh.com）在线申请履约保函（保险）。</w:t>
      </w:r>
    </w:p>
    <w:p w14:paraId="54D8CFCF">
      <w:pPr>
        <w:pStyle w:val="13"/>
        <w:keepNext w:val="0"/>
        <w:keepLines w:val="0"/>
        <w:pageBreakBefore w:val="0"/>
        <w:widowControl w:val="0"/>
        <w:kinsoku/>
        <w:wordWrap/>
        <w:overflowPunct/>
        <w:topLinePunct w:val="0"/>
        <w:bidi w:val="0"/>
        <w:adjustRightInd w:val="0"/>
        <w:snapToGrid w:val="0"/>
        <w:spacing w:beforeAutospacing="0" w:afterAutospacing="0" w:line="4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.3合同履行结束后，</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应及时退还交纳的履约保证金。</w:t>
      </w:r>
    </w:p>
    <w:p w14:paraId="16C4F5FF">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.4履约保证金的退还：</w:t>
      </w:r>
    </w:p>
    <w:p w14:paraId="357F4D4D">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.4.1方式：退还至</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缴纳履约保证金的账户。如为保函，在到期时自行失效。</w:t>
      </w:r>
    </w:p>
    <w:p w14:paraId="238FF7C2">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.4.2时间：验收合格且采购人收到发票后30日内。</w:t>
      </w:r>
    </w:p>
    <w:p w14:paraId="3BBD4E5B">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.4.3条件：按合同要求全部履约完成并经采购人验收合格，且采购人收到</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出具的发票。</w:t>
      </w:r>
    </w:p>
    <w:p w14:paraId="71864D48">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.4.4不予退还情形：</w:t>
      </w:r>
    </w:p>
    <w:p w14:paraId="25B5096B">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除不可抗力情况外，</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出现下列情形之一的，其履约保证金，招标人将视情节决定不予退还或部分不予退还。</w:t>
      </w:r>
    </w:p>
    <w:p w14:paraId="6781938A">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无正当理由拒绝签订合同的，或者在签订合同时向采购人提出附加条件或者更改合同实质性内容要求的；</w:t>
      </w:r>
    </w:p>
    <w:p w14:paraId="66991358">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不履行与采购人订立的合同的；</w:t>
      </w:r>
    </w:p>
    <w:p w14:paraId="48CD92B1">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所供货物或服务不符合招标文件规定要求的；</w:t>
      </w:r>
    </w:p>
    <w:p w14:paraId="7B7CEC7E">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采取欺骗、弄虚作假方式投标的或与其它</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串通投标的；</w:t>
      </w:r>
    </w:p>
    <w:p w14:paraId="669DF290">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将合同内容转包、违法分包的；</w:t>
      </w:r>
    </w:p>
    <w:p w14:paraId="28B9FD0C">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故意捏造事实或伪造证明材料，进行虚假恶意投诉或反映的。</w:t>
      </w:r>
    </w:p>
    <w:p w14:paraId="5F4158B4">
      <w:pPr>
        <w:keepNext w:val="0"/>
        <w:keepLines w:val="0"/>
        <w:pageBreakBefore w:val="0"/>
        <w:widowControl w:val="0"/>
        <w:kinsoku/>
        <w:wordWrap/>
        <w:overflowPunct/>
        <w:topLinePunct w:val="0"/>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.4.5逾期退还的违约责任：采购人逾期无故未退还履约保证金的，按中国人民银行同期贷款基准利率上浮20%后的利率支付超期资金占用费，但因供应商自身原因导致无法及时退还的除外。</w:t>
      </w:r>
    </w:p>
    <w:p w14:paraId="5F230F4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八、项目验收</w:t>
      </w:r>
    </w:p>
    <w:p w14:paraId="6807392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确定以下列标准和方式对</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的技术服务工作成果进行验收：</w:t>
      </w:r>
    </w:p>
    <w:p w14:paraId="7A007F85">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提供的服务必须全部达到招标文件各项要求，国家或行业有规定的，还要符合相应规定，</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应根据</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要求提供完整的文档资料，并配合</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做好下一阶段的衔接工作。</w:t>
      </w:r>
    </w:p>
    <w:p w14:paraId="0D57F58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完成技术服务工作的形式：提交成果包括纸质文件和相应的电子文件。</w:t>
      </w:r>
    </w:p>
    <w:p w14:paraId="25EA01D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w:t>
      </w:r>
      <w:r>
        <w:rPr>
          <w:rFonts w:hint="default" w:ascii="Times New Roman" w:hAnsi="Times New Roman" w:eastAsia="宋体" w:cs="Times New Roman"/>
          <w:b w:val="0"/>
          <w:bCs/>
          <w:color w:val="auto"/>
          <w:sz w:val="21"/>
          <w:szCs w:val="21"/>
          <w:highlight w:val="none"/>
          <w:lang w:val="en-US" w:eastAsia="zh-CN"/>
        </w:rPr>
        <w:t>成果应符合国家有关部门的法律、法规、规章、标准、规范、规程以及本项目合同的要求。</w:t>
      </w:r>
    </w:p>
    <w:p w14:paraId="1AA63AC1">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w:t>
      </w:r>
      <w:r>
        <w:rPr>
          <w:rFonts w:hint="default" w:ascii="Times New Roman" w:hAnsi="Times New Roman" w:eastAsia="宋体" w:cs="Times New Roman"/>
          <w:b w:val="0"/>
          <w:bCs/>
          <w:color w:val="auto"/>
          <w:sz w:val="21"/>
          <w:szCs w:val="21"/>
          <w:highlight w:val="none"/>
          <w:lang w:val="en-US" w:eastAsia="zh-CN"/>
        </w:rPr>
        <w:t>基础资料应完整、准确、可靠，论证应充分，结论应科学合理。</w:t>
      </w:r>
    </w:p>
    <w:p w14:paraId="76815F4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（3）</w:t>
      </w:r>
      <w:r>
        <w:rPr>
          <w:rFonts w:hint="default" w:ascii="Times New Roman" w:hAnsi="Times New Roman" w:eastAsia="宋体" w:cs="Times New Roman"/>
          <w:b w:val="0"/>
          <w:bCs/>
          <w:color w:val="auto"/>
          <w:sz w:val="21"/>
          <w:szCs w:val="21"/>
          <w:highlight w:val="none"/>
          <w:lang w:val="en-US" w:eastAsia="zh-CN"/>
        </w:rPr>
        <w:t>文件数量(或份数)满足审查要求。</w:t>
      </w:r>
    </w:p>
    <w:p w14:paraId="7A6D590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（4）</w:t>
      </w:r>
      <w:r>
        <w:rPr>
          <w:rFonts w:hint="default" w:ascii="Times New Roman" w:hAnsi="Times New Roman" w:eastAsia="宋体" w:cs="Times New Roman"/>
          <w:b w:val="0"/>
          <w:bCs/>
          <w:color w:val="auto"/>
          <w:sz w:val="21"/>
          <w:szCs w:val="21"/>
          <w:highlight w:val="none"/>
          <w:lang w:val="en-US" w:eastAsia="zh-CN"/>
        </w:rPr>
        <w:t>项目各阶段成果由</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自行组织或视情邀请相关部门对本项目成果及服务内容进行研究、验收、审查和评价，</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需进行配合。若</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提供的服务不符合招标文件和合同规定的，</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有权拒收。</w:t>
      </w:r>
    </w:p>
    <w:p w14:paraId="67051EE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九、违约责任</w:t>
      </w:r>
    </w:p>
    <w:p w14:paraId="6710520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的违约</w:t>
      </w:r>
    </w:p>
    <w:p w14:paraId="35C6A11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（1）采购人</w:t>
      </w:r>
      <w:r>
        <w:rPr>
          <w:rFonts w:hint="default" w:ascii="Times New Roman" w:hAnsi="Times New Roman" w:eastAsia="宋体" w:cs="Times New Roman"/>
          <w:b w:val="0"/>
          <w:bCs/>
          <w:color w:val="auto"/>
          <w:sz w:val="21"/>
          <w:szCs w:val="21"/>
          <w:highlight w:val="none"/>
          <w:lang w:val="en-US" w:eastAsia="zh-CN"/>
        </w:rPr>
        <w:t>无正当理由拒绝验收或拒付款的，</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向</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偿付合同总价的5%违约金。</w:t>
      </w:r>
    </w:p>
    <w:p w14:paraId="42C5B4D8">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（2）采购人</w:t>
      </w:r>
      <w:r>
        <w:rPr>
          <w:rFonts w:hint="default" w:ascii="Times New Roman" w:hAnsi="Times New Roman" w:eastAsia="宋体" w:cs="Times New Roman"/>
          <w:b w:val="0"/>
          <w:bCs/>
          <w:color w:val="auto"/>
          <w:sz w:val="21"/>
          <w:szCs w:val="21"/>
          <w:highlight w:val="none"/>
          <w:lang w:val="en-US" w:eastAsia="zh-CN"/>
        </w:rPr>
        <w:t>无正当理由超过合同规定的日期付款时，应偿付逾期的违约金，每逾期1天</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向</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偿付欠款总额的5‰滞纳金，但累计滞纳金总额不超过欠款总额的5%。</w:t>
      </w:r>
    </w:p>
    <w:p w14:paraId="6F090FE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（3）</w:t>
      </w:r>
      <w:r>
        <w:rPr>
          <w:rFonts w:hint="default" w:ascii="Times New Roman" w:hAnsi="Times New Roman" w:eastAsia="宋体" w:cs="Times New Roman"/>
          <w:b w:val="0"/>
          <w:bCs/>
          <w:color w:val="auto"/>
          <w:sz w:val="21"/>
          <w:szCs w:val="21"/>
          <w:highlight w:val="none"/>
          <w:lang w:val="en-US" w:eastAsia="zh-CN"/>
        </w:rPr>
        <w:t>在合同履行期间，</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要求终止或解除合同</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但仅指非</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原因造成</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应按</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完成的实际工作量支付费用，</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无需承担其他违约责任。但因</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违约导致</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解除合同的，</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无权要求支付费用，并应向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支付合同总费用的10%作为违约金。</w:t>
      </w:r>
    </w:p>
    <w:p w14:paraId="3E85702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的违约</w:t>
      </w:r>
    </w:p>
    <w:p w14:paraId="44A281E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无故不履行合同或者未按合同约定的要求开展工作，经</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催告后2日内仍未改正的，除由有关部门给予处罚外，</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应支付合同总价的5%违约金，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可从应付款项中直接扣除或要求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直接支付，同时，</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有权单方解除合同，并不予支付当期费用。</w:t>
      </w:r>
    </w:p>
    <w:p w14:paraId="48170386">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虚假承诺</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含人员资质造假</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或经相关部门检测提供的服务不能满足招标文件要求，或是由于</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的过错造成合同无法继续履行的，</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支付不少于合同总价30%赔偿金。</w:t>
      </w:r>
    </w:p>
    <w:p w14:paraId="40805AF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（3）如果</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将项目全部或部分转包或者未经</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同意分包，除由有关部门给予处罚外，</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应支付合同总费用的10%作为违约金，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可从应付款项中直接扣除或要求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直接支付。</w:t>
      </w:r>
    </w:p>
    <w:p w14:paraId="15BD9A8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（4）</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未按照国家现行的标准或规范开展工作、编制相应报告，或未根据</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的指令开展工作，除由有关部门给予处罚外，</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应支付合同总费用的10%作为违约金，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可从应付款中直接扣除或要求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直接支付。</w:t>
      </w:r>
    </w:p>
    <w:p w14:paraId="556B51C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（5）</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完成的各阶段工作成果或提供的服务存在成果深度不够、质量低劣、不符合国家文件规定或未获审查通过、引起返工而造成的质量问题除由</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负责继续完善外，</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应支付合同总费用的10%作为违约金，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可从应付款项中直接扣除或要求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直接支付。经3次修改仍不符合要求，</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有权单方解除合同，不予支付当期费用，并有权要求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支付合同总价的30%作为违约金。</w:t>
      </w:r>
    </w:p>
    <w:p w14:paraId="207FB8E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（6）</w:t>
      </w:r>
      <w:r>
        <w:rPr>
          <w:rFonts w:hint="default" w:ascii="Times New Roman" w:hAnsi="Times New Roman" w:eastAsia="宋体" w:cs="Times New Roman"/>
          <w:b w:val="0"/>
          <w:bCs/>
          <w:color w:val="auto"/>
          <w:sz w:val="21"/>
          <w:szCs w:val="21"/>
          <w:highlight w:val="none"/>
          <w:lang w:val="en-US" w:eastAsia="zh-CN"/>
        </w:rPr>
        <w:t>如果</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未能按期提交各项数据、报告等文件或未按期完成合同约定的工作内容</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同意延长期限的情况除外</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为保证项目质量和进度，</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有权提出要求增加工作人员，</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应立即安排，其费用被认为已包含在合同价格之中。每延期15天</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不足15天按15天计</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应分别按相应阶段合同费用总金额的1.5%作为违约金，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可从应付款项款中直接扣除或要求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直接支付。</w:t>
      </w:r>
    </w:p>
    <w:p w14:paraId="76307E5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（7）供应商</w:t>
      </w:r>
      <w:r>
        <w:rPr>
          <w:rFonts w:hint="default" w:ascii="Times New Roman" w:hAnsi="Times New Roman" w:eastAsia="宋体" w:cs="Times New Roman"/>
          <w:b w:val="0"/>
          <w:bCs/>
          <w:color w:val="auto"/>
          <w:sz w:val="21"/>
          <w:szCs w:val="21"/>
          <w:highlight w:val="none"/>
          <w:lang w:val="en-US" w:eastAsia="zh-CN"/>
        </w:rPr>
        <w:t>指定______为项目负责人，联系方式：________</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全权负责本合同的履行，包括但不限于负责定期向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报告工作进展情况、来往函件的确认。并向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提交本项目的项目组成员名单，合同生效后，</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不得擅自变更本项目负责人。如果</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更换投标文件中承诺的项目负责人、技术负责人和主要技术人员，必须征得</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的书面同意，并且更换人员的水平不得低于原有的水平，同时，</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支付违约金：其中更换项目负责人：2万元/人次，更换技术负责人：</w:t>
      </w:r>
      <w:r>
        <w:rPr>
          <w:rFonts w:hint="eastAsia" w:ascii="Times New Roman" w:hAnsi="Times New Roman" w:eastAsia="宋体" w:cs="Times New Roman"/>
          <w:b w:val="0"/>
          <w:bCs/>
          <w:color w:val="auto"/>
          <w:sz w:val="21"/>
          <w:szCs w:val="21"/>
          <w:highlight w:val="none"/>
          <w:lang w:val="en-US" w:eastAsia="zh-CN"/>
        </w:rPr>
        <w:t>1.5</w:t>
      </w:r>
      <w:r>
        <w:rPr>
          <w:rFonts w:hint="default" w:ascii="Times New Roman" w:hAnsi="Times New Roman" w:eastAsia="宋体" w:cs="Times New Roman"/>
          <w:b w:val="0"/>
          <w:bCs/>
          <w:color w:val="auto"/>
          <w:sz w:val="21"/>
          <w:szCs w:val="21"/>
          <w:highlight w:val="none"/>
          <w:lang w:val="en-US" w:eastAsia="zh-CN"/>
        </w:rPr>
        <w:t>万元/人次。</w:t>
      </w:r>
    </w:p>
    <w:p w14:paraId="3399FF9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（8）</w:t>
      </w:r>
      <w:r>
        <w:rPr>
          <w:rFonts w:hint="default" w:ascii="Times New Roman" w:hAnsi="Times New Roman" w:eastAsia="宋体" w:cs="Times New Roman"/>
          <w:b w:val="0"/>
          <w:bCs/>
          <w:color w:val="auto"/>
          <w:sz w:val="21"/>
          <w:szCs w:val="21"/>
          <w:highlight w:val="none"/>
          <w:lang w:val="en-US" w:eastAsia="zh-CN"/>
        </w:rPr>
        <w:t>合同生效后，如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提出终止合同，应承担由此给</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造成的一切损失。若发生上述</w:t>
      </w:r>
      <w:r>
        <w:rPr>
          <w:rFonts w:hint="eastAsia" w:ascii="Times New Roman" w:hAnsi="Times New Roman" w:eastAsia="宋体" w:cs="Times New Roman"/>
          <w:b w:val="0"/>
          <w:bCs/>
          <w:color w:val="auto"/>
          <w:sz w:val="21"/>
          <w:szCs w:val="21"/>
          <w:highlight w:val="none"/>
          <w:lang w:val="en-US" w:eastAsia="zh-CN"/>
        </w:rPr>
        <w:t>（1）～（5）</w:t>
      </w:r>
      <w:r>
        <w:rPr>
          <w:rFonts w:hint="default" w:ascii="Times New Roman" w:hAnsi="Times New Roman" w:eastAsia="宋体" w:cs="Times New Roman"/>
          <w:b w:val="0"/>
          <w:bCs/>
          <w:color w:val="auto"/>
          <w:sz w:val="21"/>
          <w:szCs w:val="21"/>
          <w:highlight w:val="none"/>
          <w:lang w:val="en-US" w:eastAsia="zh-CN"/>
        </w:rPr>
        <w:t>情况中任意一种情形的，</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除要求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承担约定违约责任外，还有权可以单方解除本合同约定全部或部分服务内容。</w:t>
      </w:r>
    </w:p>
    <w:p w14:paraId="42717CC1">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（9）供应商</w:t>
      </w:r>
      <w:r>
        <w:rPr>
          <w:rFonts w:hint="default" w:ascii="Times New Roman" w:hAnsi="Times New Roman" w:eastAsia="宋体" w:cs="Times New Roman"/>
          <w:b w:val="0"/>
          <w:bCs/>
          <w:color w:val="auto"/>
          <w:sz w:val="21"/>
          <w:szCs w:val="21"/>
          <w:highlight w:val="none"/>
          <w:lang w:val="en-US" w:eastAsia="zh-CN"/>
        </w:rPr>
        <w:t>违反本合同约定的知识产权条款，</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应按合同总金额的10%支付违约金，由此造成损失或纠纷时，</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将对此承担全部责任。</w:t>
      </w:r>
    </w:p>
    <w:p w14:paraId="34105AC8">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（10）供应商</w:t>
      </w:r>
      <w:r>
        <w:rPr>
          <w:rFonts w:hint="default" w:ascii="Times New Roman" w:hAnsi="Times New Roman" w:eastAsia="宋体" w:cs="Times New Roman"/>
          <w:b w:val="0"/>
          <w:bCs/>
          <w:color w:val="auto"/>
          <w:sz w:val="21"/>
          <w:szCs w:val="21"/>
          <w:highlight w:val="none"/>
          <w:lang w:val="en-US" w:eastAsia="zh-CN"/>
        </w:rPr>
        <w:t>在承担违约责任后，仍应继续履行合同规定的义务</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解除合同的除外</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未能及时追究</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的任何一项违约责任并不表明</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放弃追究</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该项或其他违约责任。</w:t>
      </w:r>
    </w:p>
    <w:p w14:paraId="434E152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（11）</w:t>
      </w:r>
      <w:r>
        <w:rPr>
          <w:rFonts w:hint="default" w:ascii="Times New Roman" w:hAnsi="Times New Roman" w:eastAsia="宋体" w:cs="Times New Roman"/>
          <w:b w:val="0"/>
          <w:bCs/>
          <w:color w:val="auto"/>
          <w:sz w:val="21"/>
          <w:szCs w:val="21"/>
          <w:highlight w:val="none"/>
          <w:lang w:val="en-US" w:eastAsia="zh-CN"/>
        </w:rPr>
        <w:t>除本合同另有约定外，</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有下列情形之一的，</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有权单方解除本合同并要求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承担违约责任，并保证</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免于承担由此造成的一切损害和损失。对</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造成经济损失，</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有权要求</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赔偿损失以及承担相关的经济责任：</w:t>
      </w:r>
    </w:p>
    <w:p w14:paraId="78C1D11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①未经</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书面同意，将本合同约定的权利义务转让给第三人的；</w:t>
      </w:r>
    </w:p>
    <w:p w14:paraId="6E1A81A3">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②在本合同履行过程中出现侵犯第三人合法权益的事项，包括但不限于知识产权、人身财产权益等；</w:t>
      </w:r>
    </w:p>
    <w:p w14:paraId="5B3D881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③未履行信息保密和使用约定的；</w:t>
      </w:r>
    </w:p>
    <w:p w14:paraId="5064B9A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④提供的服务成果存在严重错误而不能使用，经整改仍无法达到</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要求的；</w:t>
      </w:r>
    </w:p>
    <w:p w14:paraId="20D6820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⑤未履行双方约定的其他义务的，经</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催告后7日内，仍未整改的。</w:t>
      </w:r>
    </w:p>
    <w:p w14:paraId="40D94A1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（12）采购人</w:t>
      </w:r>
      <w:r>
        <w:rPr>
          <w:rFonts w:hint="default" w:ascii="Times New Roman" w:hAnsi="Times New Roman" w:eastAsia="宋体" w:cs="Times New Roman"/>
          <w:b w:val="0"/>
          <w:bCs/>
          <w:color w:val="auto"/>
          <w:sz w:val="21"/>
          <w:szCs w:val="21"/>
          <w:highlight w:val="none"/>
          <w:lang w:val="en-US" w:eastAsia="zh-CN"/>
        </w:rPr>
        <w:t>依照法律规定或本合同约定单方解除本合同全部或部分服务内容的，</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承诺无条件接受和配合，保证在</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通知的时间内与接收单位办理有关文件的交接工作。</w:t>
      </w:r>
    </w:p>
    <w:p w14:paraId="72921A82">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（13）</w:t>
      </w:r>
      <w:r>
        <w:rPr>
          <w:rFonts w:hint="default" w:ascii="Times New Roman" w:hAnsi="Times New Roman" w:eastAsia="宋体" w:cs="Times New Roman"/>
          <w:b w:val="0"/>
          <w:bCs/>
          <w:color w:val="auto"/>
          <w:sz w:val="21"/>
          <w:szCs w:val="21"/>
          <w:highlight w:val="none"/>
          <w:lang w:val="en-US" w:eastAsia="zh-CN"/>
        </w:rPr>
        <w:t>在</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有权单方解除合同时，</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应退还已收取的全部款项，同时应按照合同总费用的10%向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承担违约责任，给</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造成损失的，还应承担</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遭受的全部损失。损失包括但不限于侵权及人身损害赔偿金、罚款、调查费、诉讼费、保全费、鉴定费、律师费、赔偿费等。</w:t>
      </w:r>
    </w:p>
    <w:p w14:paraId="040429D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（14）供应商</w:t>
      </w:r>
      <w:r>
        <w:rPr>
          <w:rFonts w:hint="default" w:ascii="Times New Roman" w:hAnsi="Times New Roman" w:eastAsia="宋体" w:cs="Times New Roman"/>
          <w:b w:val="0"/>
          <w:bCs/>
          <w:color w:val="auto"/>
          <w:sz w:val="21"/>
          <w:szCs w:val="21"/>
          <w:highlight w:val="none"/>
          <w:lang w:val="en-US" w:eastAsia="zh-CN"/>
        </w:rPr>
        <w:t>侵犯第三人合法权利，除按合同约定承担违约责任外，还应承担相应的赔偿责任。如</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先行垫付的，</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应在收到委托方通知后的3日内返还。</w:t>
      </w:r>
    </w:p>
    <w:p w14:paraId="239B601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（15）</w:t>
      </w:r>
      <w:r>
        <w:rPr>
          <w:rFonts w:hint="default" w:ascii="Times New Roman" w:hAnsi="Times New Roman" w:eastAsia="宋体" w:cs="Times New Roman"/>
          <w:b w:val="0"/>
          <w:bCs/>
          <w:color w:val="auto"/>
          <w:sz w:val="21"/>
          <w:szCs w:val="21"/>
          <w:highlight w:val="none"/>
          <w:lang w:val="en-US" w:eastAsia="zh-CN"/>
        </w:rPr>
        <w:t>如未按照</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通知时间办理交接工作的，</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将按照合同总费用的10%向</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承担惩罚性违约金。</w:t>
      </w:r>
    </w:p>
    <w:p w14:paraId="0CECF6F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（16）采购人</w:t>
      </w:r>
      <w:r>
        <w:rPr>
          <w:rFonts w:hint="default" w:ascii="Times New Roman" w:hAnsi="Times New Roman" w:eastAsia="宋体" w:cs="Times New Roman"/>
          <w:b w:val="0"/>
          <w:bCs/>
          <w:color w:val="auto"/>
          <w:sz w:val="21"/>
          <w:szCs w:val="21"/>
          <w:highlight w:val="none"/>
          <w:lang w:val="en-US" w:eastAsia="zh-CN"/>
        </w:rPr>
        <w:t>有权从应支付给</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的费用中直接扣除违约金、赔偿金等所有上述费用，不足以扣除的，</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lang w:val="en-US" w:eastAsia="zh-CN"/>
        </w:rPr>
        <w:t>应在收到</w:t>
      </w:r>
      <w:r>
        <w:rPr>
          <w:rFonts w:hint="eastAsia" w:ascii="Times New Roman" w:hAnsi="Times New Roman" w:eastAsia="宋体" w:cs="Times New Roman"/>
          <w:b w:val="0"/>
          <w:bCs/>
          <w:color w:val="auto"/>
          <w:sz w:val="21"/>
          <w:szCs w:val="21"/>
          <w:highlight w:val="none"/>
          <w:lang w:val="en-US" w:eastAsia="zh-CN"/>
        </w:rPr>
        <w:t>采购人</w:t>
      </w:r>
      <w:r>
        <w:rPr>
          <w:rFonts w:hint="default" w:ascii="Times New Roman" w:hAnsi="Times New Roman" w:eastAsia="宋体" w:cs="Times New Roman"/>
          <w:b w:val="0"/>
          <w:bCs/>
          <w:color w:val="auto"/>
          <w:sz w:val="21"/>
          <w:szCs w:val="21"/>
          <w:highlight w:val="none"/>
          <w:lang w:val="en-US" w:eastAsia="zh-CN"/>
        </w:rPr>
        <w:t>通知后的7日内予以补足。</w:t>
      </w:r>
    </w:p>
    <w:p w14:paraId="213C8119">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合同双方应严格遵守本合同。除合同另有约定外，守约方有权要求违约方赔偿守约方因此遭受的一切损失及合理支出</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包括但不限于律师费、公证费、差旅费、诉讼或者仲裁费用</w:t>
      </w:r>
      <w:r>
        <w:rPr>
          <w:rFonts w:hint="eastAsia" w:ascii="Times New Roman" w:hAnsi="Times New Roman" w:eastAsia="宋体" w:cs="Times New Roman"/>
          <w:b w:val="0"/>
          <w:bCs/>
          <w:color w:val="auto"/>
          <w:sz w:val="21"/>
          <w:szCs w:val="21"/>
          <w:highlight w:val="none"/>
          <w:lang w:val="en-US" w:eastAsia="zh-CN"/>
        </w:rPr>
        <w:t>）</w:t>
      </w:r>
      <w:r>
        <w:rPr>
          <w:rFonts w:hint="default" w:ascii="Times New Roman" w:hAnsi="Times New Roman" w:eastAsia="宋体" w:cs="Times New Roman"/>
          <w:b w:val="0"/>
          <w:bCs/>
          <w:color w:val="auto"/>
          <w:sz w:val="21"/>
          <w:szCs w:val="21"/>
          <w:highlight w:val="none"/>
          <w:lang w:val="en-US" w:eastAsia="zh-CN"/>
        </w:rPr>
        <w:t>。</w:t>
      </w:r>
    </w:p>
    <w:p w14:paraId="77EE6BF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十</w:t>
      </w:r>
      <w:r>
        <w:rPr>
          <w:rFonts w:hint="eastAsia" w:ascii="宋体" w:hAnsi="宋体" w:eastAsia="宋体" w:cs="宋体"/>
          <w:b/>
          <w:color w:val="auto"/>
          <w:sz w:val="21"/>
          <w:szCs w:val="21"/>
          <w:highlight w:val="none"/>
        </w:rPr>
        <w:t>、争议的解决方法</w:t>
      </w:r>
    </w:p>
    <w:p w14:paraId="20909512">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在合同履行过程中如发生争议，采取协商解决办法解决。协商不成，可向合同签订地</w:t>
      </w:r>
      <w:r>
        <w:rPr>
          <w:rFonts w:hint="eastAsia" w:ascii="宋体" w:hAnsi="宋体" w:eastAsia="宋体" w:cs="宋体"/>
          <w:color w:val="auto"/>
          <w:sz w:val="21"/>
          <w:szCs w:val="21"/>
          <w:highlight w:val="none"/>
          <w:lang w:val="en-US" w:eastAsia="zh-CN"/>
        </w:rPr>
        <w:t>提起仲裁，仲裁机构为盐城仲裁委员会。</w:t>
      </w:r>
    </w:p>
    <w:p w14:paraId="77CEB11A">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十一</w:t>
      </w:r>
      <w:r>
        <w:rPr>
          <w:rFonts w:hint="eastAsia" w:ascii="宋体" w:hAnsi="宋体" w:eastAsia="宋体" w:cs="宋体"/>
          <w:b/>
          <w:color w:val="auto"/>
          <w:sz w:val="21"/>
          <w:szCs w:val="21"/>
          <w:highlight w:val="none"/>
        </w:rPr>
        <w:t xml:space="preserve">、其他  </w:t>
      </w:r>
    </w:p>
    <w:p w14:paraId="52788601">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1、本项目禁止转包与分包。</w:t>
      </w:r>
    </w:p>
    <w:p w14:paraId="510145DA">
      <w:pPr>
        <w:keepNext w:val="0"/>
        <w:keepLines w:val="0"/>
        <w:pageBreakBefore w:val="0"/>
        <w:widowControl w:val="0"/>
        <w:kinsoku/>
        <w:wordWrap/>
        <w:overflowPunct/>
        <w:topLinePunct w:val="0"/>
        <w:autoSpaceDE/>
        <w:autoSpaceDN/>
        <w:bidi w:val="0"/>
        <w:adjustRightInd w:val="0"/>
        <w:snapToGrid w:val="0"/>
        <w:spacing w:line="460" w:lineRule="exact"/>
        <w:ind w:left="0" w:leftChars="0" w:righ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2、本合同未尽事宜，双方可签订补充协议作为附件，补充协议与本合同具有同等效力。</w:t>
      </w:r>
    </w:p>
    <w:p w14:paraId="4F61C550">
      <w:pPr>
        <w:pStyle w:val="7"/>
        <w:keepNext w:val="0"/>
        <w:keepLines w:val="0"/>
        <w:pageBreakBefore w:val="0"/>
        <w:widowControl w:val="0"/>
        <w:tabs>
          <w:tab w:val="left" w:pos="2195"/>
          <w:tab w:val="left" w:pos="3770"/>
          <w:tab w:val="left" w:pos="5344"/>
        </w:tabs>
        <w:kinsoku/>
        <w:wordWrap/>
        <w:overflowPunct/>
        <w:topLinePunct w:val="0"/>
        <w:autoSpaceDE w:val="0"/>
        <w:autoSpaceDN w:val="0"/>
        <w:bidi w:val="0"/>
        <w:adjustRightInd w:val="0"/>
        <w:snapToGrid w:val="0"/>
        <w:spacing w:before="0" w:line="460" w:lineRule="exact"/>
        <w:ind w:left="0" w:leftChars="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color="000000"/>
          <w:lang w:val="en-US" w:eastAsia="zh-CN"/>
        </w:rPr>
        <w:t>6</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color="000000"/>
          <w:lang w:val="en-US" w:eastAsia="zh-CN"/>
        </w:rPr>
        <w:t>4</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color="000000"/>
          <w:lang w:val="en-US" w:eastAsia="zh-CN"/>
        </w:rPr>
        <w:t>2</w:t>
      </w:r>
      <w:r>
        <w:rPr>
          <w:rFonts w:hint="eastAsia" w:ascii="宋体" w:hAnsi="宋体" w:eastAsia="宋体" w:cs="宋体"/>
          <w:color w:val="auto"/>
          <w:sz w:val="21"/>
          <w:szCs w:val="21"/>
          <w:highlight w:val="none"/>
        </w:rPr>
        <w:t>份，合同自双方法定代表人或授权代表人签字（或盖章）并加盖单位公章之日起生效。</w:t>
      </w:r>
    </w:p>
    <w:p w14:paraId="75BDDDCF">
      <w:pPr>
        <w:keepNext w:val="0"/>
        <w:keepLines w:val="0"/>
        <w:pageBreakBefore w:val="0"/>
        <w:widowControl w:val="0"/>
        <w:kinsoku/>
        <w:wordWrap/>
        <w:overflowPunct/>
        <w:topLinePunct w:val="0"/>
        <w:autoSpaceDE w:val="0"/>
        <w:autoSpaceDN w:val="0"/>
        <w:bidi w:val="0"/>
        <w:adjustRightInd w:val="0"/>
        <w:snapToGrid w:val="0"/>
        <w:spacing w:line="460" w:lineRule="atLeast"/>
        <w:textAlignment w:val="auto"/>
        <w:rPr>
          <w:rFonts w:hint="eastAsia" w:ascii="宋体" w:hAnsi="宋体" w:eastAsia="宋体" w:cs="宋体"/>
          <w:color w:val="auto"/>
          <w:sz w:val="21"/>
          <w:szCs w:val="21"/>
          <w:highlight w:val="none"/>
        </w:rPr>
      </w:pPr>
    </w:p>
    <w:p w14:paraId="21DC2B62">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（盖章）：</w:t>
      </w:r>
    </w:p>
    <w:p w14:paraId="2FBC2EB3">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w:t>
      </w:r>
    </w:p>
    <w:p w14:paraId="5E78C5F0">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54"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或授权代理人（签字或盖章）：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或授权代理人（签字或盖章）：</w:t>
      </w:r>
    </w:p>
    <w:p w14:paraId="125A9F81">
      <w:pPr>
        <w:pStyle w:val="7"/>
        <w:keepNext w:val="0"/>
        <w:keepLines w:val="0"/>
        <w:pageBreakBefore w:val="0"/>
        <w:widowControl w:val="0"/>
        <w:tabs>
          <w:tab w:val="left" w:pos="1341"/>
          <w:tab w:val="left" w:pos="5661"/>
          <w:tab w:val="left" w:pos="638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期</w:t>
      </w:r>
      <w:r>
        <w:rPr>
          <w:rFonts w:hint="eastAsia" w:ascii="宋体" w:hAnsi="宋体" w:eastAsia="宋体" w:cs="宋体"/>
          <w:color w:val="auto"/>
          <w:sz w:val="21"/>
          <w:szCs w:val="21"/>
          <w:highlight w:val="none"/>
          <w:lang w:eastAsia="zh-CN"/>
        </w:rPr>
        <w:t>：</w:t>
      </w:r>
    </w:p>
    <w:bookmarkEnd w:id="179"/>
    <w:p w14:paraId="49A8A289">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
          <w:color w:val="auto"/>
          <w:sz w:val="21"/>
          <w:szCs w:val="21"/>
          <w:highlight w:val="none"/>
          <w:lang w:val="en-US" w:eastAsia="zh-CN"/>
        </w:rPr>
      </w:pPr>
    </w:p>
    <w:p w14:paraId="6D19366C">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
          <w:color w:val="auto"/>
          <w:sz w:val="21"/>
          <w:szCs w:val="21"/>
          <w:highlight w:val="none"/>
          <w:lang w:val="en-US" w:eastAsia="zh-CN"/>
        </w:rPr>
      </w:pPr>
    </w:p>
    <w:p w14:paraId="28EE7714">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
          <w:color w:val="auto"/>
          <w:sz w:val="21"/>
          <w:szCs w:val="21"/>
          <w:highlight w:val="none"/>
          <w:lang w:val="en-US" w:eastAsia="zh-CN"/>
        </w:rPr>
      </w:pPr>
    </w:p>
    <w:p w14:paraId="5FB81CCA">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
          <w:color w:val="auto"/>
          <w:sz w:val="21"/>
          <w:szCs w:val="21"/>
          <w:highlight w:val="none"/>
          <w:lang w:val="en-US" w:eastAsia="zh-CN"/>
        </w:rPr>
      </w:pPr>
    </w:p>
    <w:p w14:paraId="7491B708">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br w:type="page"/>
      </w:r>
    </w:p>
    <w:p w14:paraId="40320ACB">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附件1：</w:t>
      </w:r>
    </w:p>
    <w:p w14:paraId="20BFB72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廉政合同</w:t>
      </w:r>
    </w:p>
    <w:p w14:paraId="6FFD3D3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p>
    <w:p w14:paraId="11351B8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根据国家以及地方有关廉政建设的规定，为做好公路养护项目中的党风廉政建设，保证养护质量高效优质，保证养护资金的安全和有效使用，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的采购人</w:t>
      </w:r>
      <w:r>
        <w:rPr>
          <w:rFonts w:hint="eastAsia" w:ascii="宋体" w:hAnsi="宋体" w:eastAsia="宋体" w:cs="宋体"/>
          <w:color w:val="auto"/>
          <w:sz w:val="21"/>
          <w:szCs w:val="21"/>
          <w:highlight w:val="none"/>
          <w:u w:val="single"/>
        </w:rPr>
        <w:t>盐城市公路事业发展中心</w:t>
      </w:r>
      <w:r>
        <w:rPr>
          <w:rFonts w:hint="eastAsia" w:ascii="宋体" w:hAnsi="宋体" w:eastAsia="宋体" w:cs="宋体"/>
          <w:color w:val="auto"/>
          <w:sz w:val="21"/>
          <w:szCs w:val="21"/>
          <w:highlight w:val="none"/>
        </w:rPr>
        <w:t>（以下称“采购人”）与供应商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（以下称“供应商”），特订立如下合同。</w:t>
      </w:r>
    </w:p>
    <w:p w14:paraId="084D7954">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采购人和供应商双方的权利和义务</w:t>
      </w:r>
    </w:p>
    <w:p w14:paraId="0D7D6421">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（1）严格遵守党的政策规定和国家有关法律法规及交通运输部的有关规定。</w:t>
      </w:r>
    </w:p>
    <w:p w14:paraId="2B1EEABB">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（2）严格执行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合同文件，自觉按合同办事。</w:t>
      </w:r>
    </w:p>
    <w:p w14:paraId="69B8FCE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（3）双方的业务活动坚持公开、公正、诚信、透明的原则（法律认定的商业秘密和合同文件另有规定除外），不得损害国家和集体利益，不得违反养护相关的管理规章制度。</w:t>
      </w:r>
    </w:p>
    <w:p w14:paraId="4B9E57D6">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（4）建立健全廉政制度，开展廉政教育，设立廉政告示牌，公布举报电话，监督并认真查处违法违纪行为。</w:t>
      </w:r>
    </w:p>
    <w:p w14:paraId="4781A53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（5）发现对方在业务活动中有违反廉政规定的行为，有及时提醒对方纠正的权利和义务。</w:t>
      </w:r>
    </w:p>
    <w:p w14:paraId="3FF591B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（6）发现对方严重违反本合同义务条款的行为，有向其上级有关部门举报、建议给予处理并要求告知处理结果的权利。</w:t>
      </w:r>
    </w:p>
    <w:p w14:paraId="568B80B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采购人的义务</w:t>
      </w:r>
    </w:p>
    <w:p w14:paraId="7B5DB28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（1）采购人及其工作人员不得索要或接受供应商的礼金、有价证券和贵重物品，不得让供应商报销任何应由采购人或采购人工作人员个人支付的费用等。</w:t>
      </w:r>
    </w:p>
    <w:p w14:paraId="5BC58FD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（2）采购人工作人员不得参加供应商安排的超标准宴请和娱乐活动；不得接受供应商提供的通信工具、交通工具和高档办公用品等。</w:t>
      </w:r>
    </w:p>
    <w:p w14:paraId="1E3ED19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（3）采购人及其工作人员不得要求或者接受供应商为其住房装修、婚丧嫁娶活动、配偶子女的工作安排以及出国出境、旅游等提供方便等。</w:t>
      </w:r>
    </w:p>
    <w:p w14:paraId="7D6D9D4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（4）采购人工作人员及其配偶、子女不得从事与采购人养护项目有关的材料设备供应、分包、劳务等经济活动等。</w:t>
      </w:r>
    </w:p>
    <w:p w14:paraId="0A4E0CEA">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（5）采购人及其工作人员不得以任何理由向供应商推荐分包单位或推销材料，不得要求供应商购买合同约定外的材料和设备。</w:t>
      </w:r>
    </w:p>
    <w:p w14:paraId="6ABF3E7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（6）采购人工作人员要秉公办事，不准营私舞弊，不准利用职权从事各种个人有偿中介活动和安排个人施工队伍。</w:t>
      </w:r>
    </w:p>
    <w:p w14:paraId="3546A24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供应商的义务</w:t>
      </w:r>
    </w:p>
    <w:p w14:paraId="21997589">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（1）供应商不得以任何理由向采购人及其工作人员行贿或馈赠礼金、有价证券、贵重礼品。</w:t>
      </w:r>
    </w:p>
    <w:p w14:paraId="28AE3573">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（2）供应商不得以任何名义为采购人及其工作人员报销应由采购人单位或个人支付的任何费用。</w:t>
      </w:r>
    </w:p>
    <w:p w14:paraId="449EE93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（3）供应商不得以任何理由安排采购人工作人员参加超标准宴请及娱乐活动。</w:t>
      </w:r>
    </w:p>
    <w:p w14:paraId="5505883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（4）供应商不得为采购人单位和个人购置或提供通信工具、交通工具和高档办公用品等。</w:t>
      </w:r>
    </w:p>
    <w:p w14:paraId="0D8B776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违约责任</w:t>
      </w:r>
    </w:p>
    <w:p w14:paraId="73B6C09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（1）采购人及其工作人员违反本合同第1、2条，按管理权限，依据有关规定给予党纪、政纪或组织处理；涉嫌犯罪的，移交司法机关追究刑事责任；给供应商单位造成经济损失的，应予以赔偿。</w:t>
      </w:r>
    </w:p>
    <w:p w14:paraId="3D6C5F21">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及其工作人员违反本合同第1、3条，按管理权限，依据有关规定给予党纪、政纪或组织处理；给采购人单位造成经济损失的，应予以赔偿；情节严重的，采购人建议交通运输主管部门给予供应商一至三年内不得进入其主管的公路养护市场的处罚。</w:t>
      </w:r>
    </w:p>
    <w:p w14:paraId="1F56A324">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双方约定：本合同由双方或双方上级单位的纪检监察部门负责监督执行。由采购人或采购人上级单位的纪检监察部门约请供应商或供应商上级单位纪检监察部门对本合同执行情况进行检查，提出在本合同约定范围内的裁定意见。</w:t>
      </w:r>
    </w:p>
    <w:p w14:paraId="4C5F7103">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本合同自采购人和供应商签署之日起生效。</w:t>
      </w:r>
    </w:p>
    <w:p w14:paraId="3F5D1F7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本合同作为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合同的附件，与养护合同具有同等的法律效力，自合同双方法定代表人或其委托代理人签名并加盖单位章之日起生效。</w:t>
      </w:r>
    </w:p>
    <w:p w14:paraId="577577B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本合同一式</w:t>
      </w:r>
      <w:r>
        <w:rPr>
          <w:rFonts w:hint="eastAsia" w:ascii="宋体" w:hAnsi="宋体" w:eastAsia="宋体" w:cs="宋体"/>
          <w:color w:val="auto"/>
          <w:sz w:val="21"/>
          <w:szCs w:val="21"/>
          <w:highlight w:val="none"/>
          <w:u w:val="single"/>
        </w:rPr>
        <w:t xml:space="preserve"> 陆 </w:t>
      </w:r>
      <w:r>
        <w:rPr>
          <w:rFonts w:hint="eastAsia" w:ascii="宋体" w:hAnsi="宋体" w:eastAsia="宋体" w:cs="宋体"/>
          <w:color w:val="auto"/>
          <w:sz w:val="21"/>
          <w:szCs w:val="21"/>
          <w:highlight w:val="none"/>
        </w:rPr>
        <w:t>份，双方各执</w:t>
      </w:r>
      <w:r>
        <w:rPr>
          <w:rFonts w:hint="eastAsia" w:ascii="宋体" w:hAnsi="宋体" w:eastAsia="宋体" w:cs="宋体"/>
          <w:color w:val="auto"/>
          <w:sz w:val="21"/>
          <w:szCs w:val="21"/>
          <w:highlight w:val="none"/>
          <w:u w:val="single"/>
        </w:rPr>
        <w:t xml:space="preserve"> 叁 </w:t>
      </w:r>
      <w:r>
        <w:rPr>
          <w:rFonts w:hint="eastAsia" w:ascii="宋体" w:hAnsi="宋体" w:eastAsia="宋体" w:cs="宋体"/>
          <w:color w:val="auto"/>
          <w:sz w:val="21"/>
          <w:szCs w:val="21"/>
          <w:highlight w:val="none"/>
        </w:rPr>
        <w:t>份，具有同等法律效应。</w:t>
      </w:r>
    </w:p>
    <w:p w14:paraId="67D6F866">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27D7CBAB">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（盖章）：</w:t>
      </w:r>
    </w:p>
    <w:p w14:paraId="53165E4F">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w:t>
      </w:r>
    </w:p>
    <w:p w14:paraId="0CB058B2">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54"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或授权代理人（签字或盖章）：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或授权代理人（签字或盖章）：</w:t>
      </w:r>
    </w:p>
    <w:p w14:paraId="2D8F7BE6">
      <w:pPr>
        <w:pStyle w:val="7"/>
        <w:keepNext w:val="0"/>
        <w:keepLines w:val="0"/>
        <w:pageBreakBefore w:val="0"/>
        <w:widowControl w:val="0"/>
        <w:tabs>
          <w:tab w:val="left" w:pos="1341"/>
          <w:tab w:val="left" w:pos="5661"/>
          <w:tab w:val="left" w:pos="638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期</w:t>
      </w:r>
      <w:r>
        <w:rPr>
          <w:rFonts w:hint="eastAsia" w:ascii="宋体" w:hAnsi="宋体" w:eastAsia="宋体" w:cs="宋体"/>
          <w:color w:val="auto"/>
          <w:sz w:val="21"/>
          <w:szCs w:val="21"/>
          <w:highlight w:val="none"/>
          <w:lang w:eastAsia="zh-CN"/>
        </w:rPr>
        <w:t>：</w:t>
      </w:r>
    </w:p>
    <w:p w14:paraId="6AC01636">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6314B9E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45D78AE5">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59F8380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580E36AB">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2589DA9F">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6BABD7BC">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5F87FD90">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0AE9E22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2EAC673E">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52160A8D">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47B9A4C8">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673942A2">
      <w:pPr>
        <w:keepNext w:val="0"/>
        <w:keepLines w:val="0"/>
        <w:pageBreakBefore w:val="0"/>
        <w:widowControl w:val="0"/>
        <w:kinsoku/>
        <w:wordWrap/>
        <w:overflowPunct/>
        <w:topLinePunct w:val="0"/>
        <w:autoSpaceDE/>
        <w:autoSpaceDN/>
        <w:bidi w:val="0"/>
        <w:adjustRightInd w:val="0"/>
        <w:snapToGrid w:val="0"/>
        <w:spacing w:line="400" w:lineRule="exact"/>
        <w:ind w:firstLine="420" w:firstLineChars="200"/>
        <w:jc w:val="left"/>
        <w:textAlignment w:val="auto"/>
        <w:rPr>
          <w:rFonts w:hint="eastAsia" w:ascii="宋体" w:hAnsi="宋体" w:eastAsia="宋体" w:cs="宋体"/>
          <w:color w:val="auto"/>
          <w:kern w:val="0"/>
          <w:sz w:val="21"/>
          <w:szCs w:val="21"/>
          <w:highlight w:val="none"/>
        </w:rPr>
      </w:pPr>
    </w:p>
    <w:p w14:paraId="7AA1DA58">
      <w:pPr>
        <w:spacing w:line="440" w:lineRule="exact"/>
        <w:jc w:val="both"/>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附件2：</w:t>
      </w:r>
    </w:p>
    <w:p w14:paraId="47D479BB">
      <w:pPr>
        <w:spacing w:line="440" w:lineRule="exact"/>
        <w:jc w:val="center"/>
        <w:rPr>
          <w:rFonts w:ascii="宋体" w:hAnsi="宋体" w:cs="宋体"/>
          <w:b/>
          <w:bCs/>
          <w:color w:val="auto"/>
          <w:sz w:val="24"/>
          <w:szCs w:val="24"/>
          <w:highlight w:val="none"/>
          <w:lang w:val="zh-CN"/>
        </w:rPr>
      </w:pPr>
      <w:r>
        <w:rPr>
          <w:rFonts w:ascii="宋体" w:hAnsi="宋体" w:cs="宋体"/>
          <w:b/>
          <w:bCs/>
          <w:color w:val="auto"/>
          <w:sz w:val="24"/>
          <w:szCs w:val="24"/>
          <w:highlight w:val="none"/>
          <w:lang w:val="zh-CN"/>
        </w:rPr>
        <w:t>安全生产合同</w:t>
      </w:r>
    </w:p>
    <w:p w14:paraId="73E2EF77">
      <w:pPr>
        <w:spacing w:line="440" w:lineRule="exact"/>
        <w:ind w:firstLine="420" w:firstLineChars="200"/>
        <w:rPr>
          <w:rFonts w:hint="eastAsia" w:ascii="宋体" w:hAnsi="宋体" w:eastAsia="宋体" w:cs="宋体"/>
          <w:color w:val="auto"/>
          <w:sz w:val="21"/>
          <w:szCs w:val="21"/>
          <w:highlight w:val="none"/>
          <w:lang w:val="zh-CN"/>
        </w:rPr>
      </w:pPr>
    </w:p>
    <w:p w14:paraId="067CF5C7">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为在</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合同的实施过程中创造安全、高效的养护作业环境，切实做好本项目的安全管理工作，本项目采购人</w:t>
      </w:r>
      <w:r>
        <w:rPr>
          <w:rFonts w:hint="eastAsia" w:ascii="宋体" w:hAnsi="宋体" w:eastAsia="宋体" w:cs="宋体"/>
          <w:color w:val="auto"/>
          <w:sz w:val="21"/>
          <w:szCs w:val="21"/>
          <w:highlight w:val="none"/>
          <w:u w:val="single"/>
          <w:lang w:val="zh-CN"/>
        </w:rPr>
        <w:t xml:space="preserve"> 盐城市公路事业发展中心 </w:t>
      </w:r>
      <w:r>
        <w:rPr>
          <w:rFonts w:hint="eastAsia" w:ascii="宋体" w:hAnsi="宋体" w:eastAsia="宋体" w:cs="宋体"/>
          <w:color w:val="auto"/>
          <w:sz w:val="21"/>
          <w:szCs w:val="21"/>
          <w:highlight w:val="none"/>
          <w:lang w:val="zh-CN"/>
        </w:rPr>
        <w:t>（以下称“采购人”）与供应商</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以下称“供应商”）特此签订安全生产合同。</w:t>
      </w:r>
    </w:p>
    <w:p w14:paraId="5170E770">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 采购人职责</w:t>
      </w:r>
    </w:p>
    <w:p w14:paraId="4A59B4A9">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（1）严格遵守国家有关安全生产的法律法规，认真执行养护项目合同中的有关安全要求。</w:t>
      </w:r>
    </w:p>
    <w:p w14:paraId="77AA3BCD">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（2）按照“安全第一、预防为主、综合治理”和坚持“</w:t>
      </w:r>
      <w:r>
        <w:rPr>
          <w:rFonts w:hint="eastAsia" w:ascii="宋体" w:hAnsi="宋体" w:eastAsia="宋体" w:cs="宋体"/>
          <w:color w:val="auto"/>
          <w:sz w:val="21"/>
          <w:szCs w:val="21"/>
          <w:highlight w:val="none"/>
          <w:lang w:val="en-US" w:eastAsia="zh-CN"/>
        </w:rPr>
        <w:t>三管三必须</w:t>
      </w:r>
      <w:r>
        <w:rPr>
          <w:rFonts w:hint="eastAsia" w:ascii="宋体" w:hAnsi="宋体" w:eastAsia="宋体" w:cs="宋体"/>
          <w:color w:val="auto"/>
          <w:sz w:val="21"/>
          <w:szCs w:val="21"/>
          <w:highlight w:val="none"/>
          <w:lang w:val="zh-CN"/>
        </w:rPr>
        <w:t>”的原则进行安全生产管理，做到生产与安全工作同时计划、布置、检查、总结和评比。</w:t>
      </w:r>
    </w:p>
    <w:p w14:paraId="004CBB5C">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（3）重要的安全设施必须坚持与养护作业设备同时投入使用。</w:t>
      </w:r>
    </w:p>
    <w:p w14:paraId="5F5C6477">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（4）定期召开安全生产调度会，及时传达中央及地方有关安全生产的精神。</w:t>
      </w:r>
    </w:p>
    <w:p w14:paraId="311BFCDB">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（5）组织对供应商养护作业场地进行安全生产检查，监督供应商及时处理发现的各种安全隐患。</w:t>
      </w:r>
    </w:p>
    <w:p w14:paraId="22D51565">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 供应商职责</w:t>
      </w:r>
    </w:p>
    <w:p w14:paraId="740A6458">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严格遵守《中华人民共和国安全生产法》等国家有关安全生产的法律法规、《公路水运工程安全生产监督管理办法》、《公路养护安全作业规程》和《公路工程施工安全技术规范》等有关安全生产的规定。认真执行养护合同中的有关安全要求。</w:t>
      </w:r>
    </w:p>
    <w:p w14:paraId="0363539B">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（2）坚持“安全第一、预防为主、综合治理”和“</w:t>
      </w:r>
      <w:r>
        <w:rPr>
          <w:rFonts w:hint="eastAsia" w:ascii="宋体" w:hAnsi="宋体" w:eastAsia="宋体" w:cs="宋体"/>
          <w:color w:val="auto"/>
          <w:sz w:val="21"/>
          <w:szCs w:val="21"/>
          <w:highlight w:val="none"/>
          <w:lang w:val="en-US" w:eastAsia="zh-CN"/>
        </w:rPr>
        <w:t>三管三必须</w:t>
      </w:r>
      <w:r>
        <w:rPr>
          <w:rFonts w:hint="eastAsia" w:ascii="宋体" w:hAnsi="宋体" w:eastAsia="宋体" w:cs="宋体"/>
          <w:color w:val="auto"/>
          <w:sz w:val="21"/>
          <w:szCs w:val="21"/>
          <w:highlight w:val="none"/>
          <w:lang w:val="zh-CN"/>
        </w:rPr>
        <w:t>”的原则，加强安全生产宣传教育，增强全员安全生产意识，建立健全各项安全生产的管理机构和安全生产管理制度，配备专职及兼职安全生产检查人员，有组织有领导地开展安全生产活动。各级领导、养护技术人员、生产管理人员和具体操作人员，必须熟悉和遵守本合同的各项约定，做到生产与安全工作同时计划、布置、检查、总结和评比。</w:t>
      </w:r>
    </w:p>
    <w:p w14:paraId="11592F22">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建立健全安全生产责任制。从派往项目实施的项目经理到生产工人（包括临时雇请的农民工）的安全生产管理系统必须做到纵向到底，一环不漏；各职能部门、人员的安全生产责任制做到横向到边，人人有责。项目经理是安全生产的第一责任人。现场设置的安全机构，应按养护合同约定配备专职安全生产管理人员，专职负责所有员工的安全和治安保卫工作及预防事故的发生。安全机构人员有权按有关规定发布指令，并采取保护性措施防止事故发生。</w:t>
      </w:r>
    </w:p>
    <w:p w14:paraId="513DCF14">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（4）供应商在任何时候都应采取各种合理的预防措施，防止其员工发生任何违法、违禁、暴力或妨碍治安的行为。</w:t>
      </w:r>
    </w:p>
    <w:p w14:paraId="0979B7FD">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供应商参加养护作业实施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养护作业场地如出现特种作业无证操作现象时，项目经理必须承担管理责任。</w:t>
      </w:r>
    </w:p>
    <w:p w14:paraId="00415442">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（6）操作人员上岗，必须按规定穿戴防护用品。养护项目负责人和安全检查员应随时检查劳动防护用品的穿戴情况，不按规定穿戴防护用品的人员不得上岗。</w:t>
      </w:r>
    </w:p>
    <w:p w14:paraId="476A5139">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（7）所有养护作业机具设备和高空作业的设备均应定期检查，并有安全员的签字记录，保证其经常处于完好状态；不合格的机具、设备和劳动保护用品严禁使用。</w:t>
      </w:r>
    </w:p>
    <w:p w14:paraId="1C697E7A">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（8）养护作业实施过程中采用新技术、新工艺、新设备、新材料时，必须制定相应的安全技术措施，养护作业场地必须具有相关的安全标志牌。</w:t>
      </w:r>
    </w:p>
    <w:p w14:paraId="0AFC2B30">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9）供应商必须按照养护项目特点，组织制定养护项目实施中的生产安全事故应急救援预案；如果发生安全事故，应按照《国务院关于特大安全事故行政责任追究的规定》以及其他有关规定，及时上报有关部门，并坚持“四不放过”的原则，严肃处理相关责任人。</w:t>
      </w:r>
    </w:p>
    <w:p w14:paraId="04765172">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 违约责任</w:t>
      </w:r>
    </w:p>
    <w:p w14:paraId="1EC802C9">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如因采购人或供应商违约造成安全事故，应赔偿对方受到的全部损失并依法追究责任。</w:t>
      </w:r>
    </w:p>
    <w:p w14:paraId="170AC439">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 本合同由双方法定代表人或其授权的代理人签名并加盖单位公章后生效。</w:t>
      </w:r>
    </w:p>
    <w:p w14:paraId="7F7E8BCF">
      <w:pPr>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 本合同一式 陆 份，双方各执 叁 份，具有同等法律效应。</w:t>
      </w:r>
    </w:p>
    <w:p w14:paraId="2032D41B">
      <w:pPr>
        <w:spacing w:line="440" w:lineRule="exact"/>
        <w:ind w:firstLine="420" w:firstLineChars="200"/>
        <w:rPr>
          <w:rFonts w:hint="eastAsia" w:ascii="宋体" w:hAnsi="宋体" w:eastAsia="宋体" w:cs="宋体"/>
          <w:color w:val="auto"/>
          <w:sz w:val="21"/>
          <w:szCs w:val="21"/>
          <w:highlight w:val="none"/>
          <w:lang w:val="zh-CN"/>
        </w:rPr>
      </w:pPr>
    </w:p>
    <w:p w14:paraId="12544994">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（盖章）：</w:t>
      </w:r>
    </w:p>
    <w:p w14:paraId="27ABCD59">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w:t>
      </w:r>
    </w:p>
    <w:p w14:paraId="2D3ADEB1">
      <w:pPr>
        <w:pStyle w:val="7"/>
        <w:keepNext w:val="0"/>
        <w:keepLines w:val="0"/>
        <w:pageBreakBefore w:val="0"/>
        <w:widowControl w:val="0"/>
        <w:tabs>
          <w:tab w:val="left" w:pos="5661"/>
        </w:tabs>
        <w:kinsoku/>
        <w:wordWrap/>
        <w:overflowPunct/>
        <w:topLinePunct w:val="0"/>
        <w:autoSpaceDE w:val="0"/>
        <w:autoSpaceDN w:val="0"/>
        <w:bidi w:val="0"/>
        <w:adjustRightInd w:val="0"/>
        <w:snapToGrid w:val="0"/>
        <w:spacing w:before="0" w:line="460" w:lineRule="atLeast"/>
        <w:ind w:left="210" w:leftChars="100" w:right="-54"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或授权代理人（签字或盖章）：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或授权代理人（签字或盖章）：</w:t>
      </w:r>
    </w:p>
    <w:p w14:paraId="1D343EBB">
      <w:pPr>
        <w:pStyle w:val="7"/>
        <w:keepNext w:val="0"/>
        <w:keepLines w:val="0"/>
        <w:pageBreakBefore w:val="0"/>
        <w:widowControl w:val="0"/>
        <w:tabs>
          <w:tab w:val="left" w:pos="1341"/>
          <w:tab w:val="left" w:pos="5661"/>
          <w:tab w:val="left" w:pos="6381"/>
        </w:tabs>
        <w:kinsoku/>
        <w:wordWrap/>
        <w:overflowPunct/>
        <w:topLinePunct w:val="0"/>
        <w:autoSpaceDE w:val="0"/>
        <w:autoSpaceDN w:val="0"/>
        <w:bidi w:val="0"/>
        <w:adjustRightInd w:val="0"/>
        <w:snapToGrid w:val="0"/>
        <w:spacing w:before="0" w:line="460" w:lineRule="atLeast"/>
        <w:ind w:left="210" w:leftChars="100" w:right="1154"/>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期</w:t>
      </w:r>
      <w:r>
        <w:rPr>
          <w:rFonts w:hint="eastAsia" w:ascii="宋体" w:hAnsi="宋体" w:eastAsia="宋体" w:cs="宋体"/>
          <w:color w:val="auto"/>
          <w:sz w:val="21"/>
          <w:szCs w:val="21"/>
          <w:highlight w:val="none"/>
          <w:lang w:eastAsia="zh-CN"/>
        </w:rPr>
        <w:t>：</w:t>
      </w:r>
    </w:p>
    <w:p w14:paraId="2818C07A">
      <w:pPr>
        <w:pStyle w:val="20"/>
        <w:rPr>
          <w:rFonts w:hAnsi="宋体" w:eastAsia="宋体"/>
          <w:color w:val="auto"/>
          <w:highlight w:val="none"/>
        </w:rPr>
      </w:pPr>
    </w:p>
    <w:p w14:paraId="3C9A8044">
      <w:pP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br w:type="page"/>
      </w:r>
    </w:p>
    <w:p w14:paraId="3E04FCAA">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color w:val="auto"/>
          <w:highlight w:val="none"/>
        </w:rPr>
      </w:pPr>
      <w:r>
        <w:rPr>
          <w:rFonts w:hint="eastAsia" w:ascii="黑体" w:hAnsi="宋体" w:eastAsia="黑体" w:cs="黑体"/>
          <w:color w:val="auto"/>
          <w:sz w:val="44"/>
          <w:szCs w:val="44"/>
          <w:highlight w:val="none"/>
        </w:rPr>
        <w:t> 第</w:t>
      </w:r>
      <w:bookmarkEnd w:id="172"/>
      <w:r>
        <w:rPr>
          <w:rFonts w:hint="eastAsia" w:ascii="黑体" w:hAnsi="宋体" w:eastAsia="黑体" w:cs="黑体"/>
          <w:color w:val="auto"/>
          <w:sz w:val="44"/>
          <w:szCs w:val="44"/>
          <w:highlight w:val="none"/>
        </w:rPr>
        <w:t>四章 采购需求</w:t>
      </w:r>
      <w:bookmarkEnd w:id="173"/>
      <w:bookmarkEnd w:id="174"/>
      <w:bookmarkEnd w:id="175"/>
      <w:bookmarkEnd w:id="176"/>
      <w:bookmarkEnd w:id="177"/>
    </w:p>
    <w:p w14:paraId="0A699FEC">
      <w:pPr>
        <w:pStyle w:val="13"/>
        <w:spacing w:before="120" w:beforeAutospacing="0" w:after="120" w:afterAutospacing="0" w:line="0" w:lineRule="atLeast"/>
        <w:ind w:firstLine="422" w:firstLineChars="20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项目属性：服务类项目</w:t>
      </w:r>
    </w:p>
    <w:p w14:paraId="6597E9D2">
      <w:pPr>
        <w:pStyle w:val="13"/>
        <w:spacing w:beforeAutospacing="0" w:afterAutospacing="0" w:line="0" w:lineRule="atLeast"/>
        <w:jc w:val="both"/>
        <w:rPr>
          <w:rFonts w:hint="eastAsia" w:ascii="宋体" w:hAnsi="宋体" w:eastAsia="宋体" w:cs="宋体"/>
          <w:color w:val="auto"/>
          <w:sz w:val="24"/>
          <w:szCs w:val="24"/>
          <w:highlight w:val="none"/>
        </w:rPr>
      </w:pPr>
    </w:p>
    <w:p w14:paraId="26F3FBF4">
      <w:pPr>
        <w:adjustRightInd w:val="0"/>
        <w:snapToGrid w:val="0"/>
        <w:spacing w:line="460" w:lineRule="exact"/>
        <w:ind w:firstLine="422" w:firstLineChars="200"/>
        <w:rPr>
          <w:rFonts w:ascii="宋体" w:hAnsi="宋体"/>
          <w:b/>
          <w:color w:val="auto"/>
          <w:szCs w:val="21"/>
          <w:highlight w:val="none"/>
        </w:rPr>
      </w:pPr>
      <w:r>
        <w:rPr>
          <w:rFonts w:hint="eastAsia" w:ascii="宋体" w:hAnsi="宋体"/>
          <w:b/>
          <w:color w:val="auto"/>
          <w:szCs w:val="21"/>
          <w:highlight w:val="none"/>
        </w:rPr>
        <w:t>一、项目概况</w:t>
      </w:r>
    </w:p>
    <w:p w14:paraId="6775A44E">
      <w:pPr>
        <w:pStyle w:val="26"/>
        <w:spacing w:before="0" w:beforeLines="0" w:after="0" w:line="460" w:lineRule="exact"/>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盐城市2026-2028年普通国省道桥梁结构监测系统运维项目</w:t>
      </w:r>
      <w:r>
        <w:rPr>
          <w:rFonts w:hint="default" w:ascii="Times New Roman" w:hAnsi="Times New Roman" w:eastAsia="宋体" w:cs="Times New Roman"/>
          <w:color w:val="auto"/>
          <w:sz w:val="21"/>
          <w:szCs w:val="21"/>
          <w:highlight w:val="none"/>
        </w:rPr>
        <w:t>，本项目共划分为两个采购包，其中，采购包1</w:t>
      </w:r>
      <w:r>
        <w:rPr>
          <w:rFonts w:hint="eastAsia" w:ascii="Times New Roman" w:hAnsi="Times New Roman" w:eastAsia="宋体" w:cs="Times New Roman"/>
          <w:color w:val="auto"/>
          <w:sz w:val="21"/>
          <w:szCs w:val="21"/>
          <w:highlight w:val="none"/>
          <w:lang w:val="en-US" w:eastAsia="zh-CN"/>
        </w:rPr>
        <w:t>包括</w:t>
      </w:r>
      <w:r>
        <w:rPr>
          <w:rFonts w:hint="default" w:ascii="Times New Roman" w:hAnsi="Times New Roman" w:eastAsia="宋体" w:cs="Times New Roman"/>
          <w:color w:val="auto"/>
          <w:sz w:val="21"/>
          <w:szCs w:val="21"/>
          <w:highlight w:val="none"/>
        </w:rPr>
        <w:t>G228灌江口大桥、G343大刘桥等39座桥梁结构监测系统及G204斗龙港大桥、S231黄沙港大桥等27处桥下空间视频监控系统；采购包2</w:t>
      </w:r>
      <w:r>
        <w:rPr>
          <w:rFonts w:hint="eastAsia" w:ascii="Times New Roman" w:hAnsi="Times New Roman" w:eastAsia="宋体" w:cs="Times New Roman"/>
          <w:color w:val="auto"/>
          <w:sz w:val="21"/>
          <w:szCs w:val="21"/>
          <w:highlight w:val="none"/>
          <w:lang w:val="en-US" w:eastAsia="zh-CN"/>
        </w:rPr>
        <w:t>包括</w:t>
      </w:r>
      <w:r>
        <w:rPr>
          <w:rFonts w:hint="default" w:ascii="Times New Roman" w:hAnsi="Times New Roman" w:eastAsia="宋体" w:cs="Times New Roman"/>
          <w:color w:val="auto"/>
          <w:sz w:val="21"/>
          <w:szCs w:val="21"/>
          <w:highlight w:val="none"/>
        </w:rPr>
        <w:t>G343南环大桥、S329通榆河大桥等36座桥梁结构监测系统</w:t>
      </w:r>
      <w:r>
        <w:rPr>
          <w:rFonts w:hint="default" w:ascii="Times New Roman" w:hAnsi="Times New Roman" w:eastAsia="宋体" w:cs="Times New Roman"/>
          <w:color w:val="auto"/>
          <w:kern w:val="2"/>
          <w:sz w:val="21"/>
          <w:szCs w:val="21"/>
          <w:highlight w:val="none"/>
          <w:lang w:val="en-US" w:eastAsia="zh-CN" w:bidi="ar-SA"/>
        </w:rPr>
        <w:t>（G343南环大桥、S329通榆河大桥</w:t>
      </w:r>
      <w:r>
        <w:rPr>
          <w:rFonts w:hint="eastAsia" w:ascii="宋体" w:hAnsi="宋体" w:eastAsia="宋体" w:cs="宋体"/>
          <w:color w:val="auto"/>
          <w:sz w:val="21"/>
          <w:szCs w:val="18"/>
          <w:highlight w:val="none"/>
        </w:rPr>
        <w:t>包含执法称重系统</w:t>
      </w:r>
      <w:r>
        <w:rPr>
          <w:rFonts w:hint="default" w:ascii="Times New Roman" w:hAnsi="Times New Roman" w:eastAsia="宋体" w:cs="Times New Roman"/>
          <w:color w:val="auto"/>
          <w:kern w:val="2"/>
          <w:sz w:val="21"/>
          <w:szCs w:val="21"/>
          <w:highlight w:val="none"/>
          <w:lang w:val="en-US" w:eastAsia="zh-CN" w:bidi="ar-SA"/>
        </w:rPr>
        <w:t>）</w:t>
      </w:r>
      <w:r>
        <w:rPr>
          <w:rFonts w:hint="default" w:ascii="Times New Roman" w:hAnsi="Times New Roman" w:eastAsia="宋体" w:cs="Times New Roman"/>
          <w:color w:val="auto"/>
          <w:sz w:val="21"/>
          <w:szCs w:val="21"/>
          <w:highlight w:val="none"/>
        </w:rPr>
        <w:t>。</w:t>
      </w:r>
    </w:p>
    <w:p w14:paraId="3EBEC04C">
      <w:pPr>
        <w:pStyle w:val="20"/>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表1 </w:t>
      </w:r>
      <w:r>
        <w:rPr>
          <w:rFonts w:hint="default" w:ascii="Times New Roman" w:hAnsi="Times New Roman" w:eastAsia="宋体" w:cs="Times New Roman"/>
          <w:color w:val="auto"/>
          <w:sz w:val="21"/>
          <w:szCs w:val="21"/>
          <w:highlight w:val="none"/>
        </w:rPr>
        <w:t>采购包1</w:t>
      </w:r>
      <w:r>
        <w:rPr>
          <w:rFonts w:hint="default" w:ascii="Times New Roman" w:hAnsi="Times New Roman" w:eastAsia="宋体" w:cs="Times New Roman"/>
          <w:color w:val="auto"/>
          <w:sz w:val="21"/>
          <w:szCs w:val="21"/>
          <w:highlight w:val="none"/>
          <w:lang w:val="en-US" w:eastAsia="zh-CN"/>
        </w:rPr>
        <w:t>桥梁结构监测系统明细表</w:t>
      </w:r>
    </w:p>
    <w:tbl>
      <w:tblPr>
        <w:tblStyle w:val="15"/>
        <w:tblW w:w="84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32" w:type="dxa"/>
          <w:left w:w="64" w:type="dxa"/>
          <w:bottom w:w="32" w:type="dxa"/>
          <w:right w:w="64" w:type="dxa"/>
        </w:tblCellMar>
      </w:tblPr>
      <w:tblGrid>
        <w:gridCol w:w="587"/>
        <w:gridCol w:w="2382"/>
        <w:gridCol w:w="1895"/>
        <w:gridCol w:w="1039"/>
        <w:gridCol w:w="1039"/>
        <w:gridCol w:w="1512"/>
      </w:tblGrid>
      <w:tr w14:paraId="0A97F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tblHeader/>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C1735">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1E23">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桥梁名称</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74AD">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桥梁编号</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E8268">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所在线路</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9948">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监测类型</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712E7">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所属县（区）</w:t>
            </w:r>
          </w:p>
        </w:tc>
      </w:tr>
      <w:tr w14:paraId="7F551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E98A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41E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7"/>
                <w:rFonts w:ascii="Times New Roman" w:eastAsia="宋体"/>
                <w:color w:val="auto"/>
                <w:sz w:val="21"/>
                <w:szCs w:val="21"/>
                <w:highlight w:val="none"/>
                <w:lang w:val="en-US" w:eastAsia="zh-CN" w:bidi="ar"/>
              </w:rPr>
              <w:t>灌江口大桥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696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G228320921L0005</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2015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00E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7"/>
                <w:rFonts w:ascii="Times New Roman" w:eastAsia="宋体"/>
                <w:color w:val="auto"/>
                <w:sz w:val="21"/>
                <w:szCs w:val="21"/>
                <w:highlight w:val="none"/>
                <w:lang w:val="en-US" w:eastAsia="zh-CN" w:bidi="ar"/>
              </w:rPr>
              <w:t>长大桥梁</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31A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8"/>
                <w:rFonts w:ascii="Times New Roman" w:eastAsia="宋体"/>
                <w:color w:val="auto"/>
                <w:sz w:val="21"/>
                <w:szCs w:val="21"/>
                <w:highlight w:val="none"/>
                <w:lang w:val="en-US" w:eastAsia="zh-CN" w:bidi="ar"/>
              </w:rPr>
              <w:t>响水县</w:t>
            </w:r>
          </w:p>
        </w:tc>
      </w:tr>
      <w:tr w14:paraId="0BA40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218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263A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丁字港大桥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E7F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G204320922L0040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D83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3FDD">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902A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8"/>
                <w:rFonts w:ascii="Times New Roman" w:eastAsia="宋体"/>
                <w:color w:val="auto"/>
                <w:sz w:val="21"/>
                <w:szCs w:val="21"/>
                <w:highlight w:val="none"/>
                <w:lang w:val="en-US" w:eastAsia="zh-CN" w:bidi="ar"/>
              </w:rPr>
              <w:t>滨海县</w:t>
            </w:r>
          </w:p>
        </w:tc>
      </w:tr>
      <w:tr w14:paraId="32626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555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62D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中山河大桥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6ADC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G204320922L0010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7C9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300A">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9567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8"/>
                <w:rFonts w:ascii="Times New Roman" w:eastAsia="宋体"/>
                <w:color w:val="auto"/>
                <w:sz w:val="21"/>
                <w:szCs w:val="21"/>
                <w:highlight w:val="none"/>
                <w:lang w:val="en-US" w:eastAsia="zh-CN" w:bidi="ar"/>
              </w:rPr>
              <w:t>滨海县</w:t>
            </w:r>
          </w:p>
        </w:tc>
      </w:tr>
      <w:tr w14:paraId="2430E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6DA4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7B8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通榆运河大桥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64A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S327320922L0100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D0CC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65FC">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5022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8"/>
                <w:rFonts w:ascii="Times New Roman" w:eastAsia="宋体"/>
                <w:color w:val="auto"/>
                <w:sz w:val="21"/>
                <w:szCs w:val="21"/>
                <w:highlight w:val="none"/>
                <w:lang w:val="en-US" w:eastAsia="zh-CN" w:bidi="ar"/>
              </w:rPr>
              <w:t>滨海县</w:t>
            </w:r>
          </w:p>
        </w:tc>
      </w:tr>
      <w:tr w14:paraId="5CD0B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7786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CFE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民便河中桥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033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S348320922L0030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1E5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S348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E224">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647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8"/>
                <w:rFonts w:ascii="Times New Roman" w:eastAsia="宋体"/>
                <w:color w:val="auto"/>
                <w:sz w:val="21"/>
                <w:szCs w:val="21"/>
                <w:highlight w:val="none"/>
                <w:lang w:val="en-US" w:eastAsia="zh-CN" w:bidi="ar"/>
              </w:rPr>
              <w:t>滨海县</w:t>
            </w:r>
          </w:p>
        </w:tc>
      </w:tr>
      <w:tr w14:paraId="37BE0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106D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063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海滨大桥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8F1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S226320922L0090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62B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4E9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AA0B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Style w:val="28"/>
                <w:rFonts w:ascii="Times New Roman" w:eastAsia="宋体"/>
                <w:color w:val="auto"/>
                <w:sz w:val="21"/>
                <w:szCs w:val="21"/>
                <w:highlight w:val="none"/>
                <w:lang w:val="en-US" w:eastAsia="zh-CN" w:bidi="ar"/>
              </w:rPr>
              <w:t>滨海县</w:t>
            </w:r>
          </w:p>
        </w:tc>
      </w:tr>
      <w:tr w14:paraId="7076D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C216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7</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AEF8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射阳河大桥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E421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G204320923L0070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CF3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04E43">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16EC">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阜宁县</w:t>
            </w:r>
          </w:p>
        </w:tc>
      </w:tr>
      <w:tr w14:paraId="4C02F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866D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A061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腰闸桥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8DDD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S328320923L0010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84E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4A41D">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B9334">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阜宁县</w:t>
            </w:r>
          </w:p>
        </w:tc>
      </w:tr>
      <w:tr w14:paraId="62AA9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6E2D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07E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串场河大桥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9A1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S329320923L0070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E25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3C281">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EF98">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阜宁县</w:t>
            </w:r>
          </w:p>
        </w:tc>
      </w:tr>
      <w:tr w14:paraId="33400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561C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10</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1F7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射阳河大桥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AD6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S329320923L0130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72FA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535F9">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21B45">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阜宁县</w:t>
            </w:r>
          </w:p>
        </w:tc>
      </w:tr>
      <w:tr w14:paraId="049B8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5BBE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8214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小中河大桥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943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S329320923L0150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FB9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41E6">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83EF3">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阜宁县</w:t>
            </w:r>
          </w:p>
        </w:tc>
      </w:tr>
      <w:tr w14:paraId="51F54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68EB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BEA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毛湾大桥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A3C3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S329320923L0190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283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5D84">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562D9">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阜宁县</w:t>
            </w:r>
          </w:p>
        </w:tc>
      </w:tr>
      <w:tr w14:paraId="2F804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EC80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5E6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千秋大桥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D43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S226320924L0190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651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AC4C">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48BF1">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射阳县</w:t>
            </w:r>
          </w:p>
        </w:tc>
      </w:tr>
      <w:tr w14:paraId="5F56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4E5F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A02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廖家沟大桥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9C9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S233320924L0010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BAF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S233</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0F794">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28405">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射阳县</w:t>
            </w:r>
          </w:p>
        </w:tc>
      </w:tr>
      <w:tr w14:paraId="494A4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5326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EFD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射阳河大桥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2F4D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S329320924L0080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265C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0EE6">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EF4B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射阳县</w:t>
            </w:r>
          </w:p>
        </w:tc>
      </w:tr>
      <w:tr w14:paraId="58D9D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601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9A1E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海河大桥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220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S329320924L0130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8D88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197C">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E6D91">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射阳县</w:t>
            </w:r>
          </w:p>
        </w:tc>
      </w:tr>
      <w:tr w14:paraId="3D4AB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08E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0FB9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盐宝河大桥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E0C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S231320925L0150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C65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S231</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9B95">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5692F">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建湖县</w:t>
            </w:r>
          </w:p>
        </w:tc>
      </w:tr>
      <w:tr w14:paraId="7505A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1C05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BF50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冈射大桥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59E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S232320925L0010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26A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A672">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169E9">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建湖县</w:t>
            </w:r>
          </w:p>
        </w:tc>
      </w:tr>
      <w:tr w14:paraId="65687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F57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357F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洪桥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86E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S232320925L0140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B57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83110">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1CCC6">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建湖县</w:t>
            </w:r>
          </w:p>
        </w:tc>
      </w:tr>
      <w:tr w14:paraId="7490D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3F8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CF9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盐河大桥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611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S331320925L0010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E323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9B4F">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D3C3">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建湖县</w:t>
            </w:r>
          </w:p>
        </w:tc>
      </w:tr>
      <w:tr w14:paraId="20492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AA6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331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上跨盐靖高速公路大桥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386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S331320903L0010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77B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AB27">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11D4A">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22D91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C597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D3A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尖湖大桥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5D2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S232320903L0170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8E1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9C8FD">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3A0D6">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4C7ED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7186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840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冈沟桥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D5E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S229320903L0180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9EB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75E7">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C214">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08242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51E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E53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共青大桥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A5C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S229320903L0520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A8A6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EC00">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A5AD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47F29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20A1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969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化肥厂桥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E71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S232320903L0020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BDD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8549">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5785">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0C94E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46A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1E8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光明桥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8D4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S232320903L0030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7C6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8F50">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AA91">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643CF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7ADB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27</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19B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洪渡北桥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A19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S232320903L0100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FF18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6721">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88CAE">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00E5A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3BA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28</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1C0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冈沟河大桥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BDA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S331320903L0040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F014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BEC1">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DF3FC">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盐都区</w:t>
            </w:r>
          </w:p>
        </w:tc>
      </w:tr>
      <w:tr w14:paraId="1FA50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62F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29</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6C21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串场河大桥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6F0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S349320902L0320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FCA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S349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F276">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2E7C9">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亭湖区</w:t>
            </w:r>
          </w:p>
        </w:tc>
      </w:tr>
      <w:tr w14:paraId="44D9E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9133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30</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712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丁溪南桥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BDD3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G204320904L0240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83A7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E3DD">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0AEB2">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大丰区</w:t>
            </w:r>
          </w:p>
        </w:tc>
      </w:tr>
      <w:tr w14:paraId="07503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596D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890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通榆河大桥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3A3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S351320904L0100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E377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S351</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55BC">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AC5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大丰区</w:t>
            </w:r>
          </w:p>
        </w:tc>
      </w:tr>
      <w:tr w14:paraId="4C554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78C0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CF5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大刘桥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495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G343320904L0250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EB3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G343</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8927">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4710D">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大丰区</w:t>
            </w:r>
          </w:p>
        </w:tc>
      </w:tr>
      <w:tr w14:paraId="729A6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F8CA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A1E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斗龙港大桥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A12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G204320904L0010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31B3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6EA0">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BC38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大丰区</w:t>
            </w:r>
          </w:p>
        </w:tc>
      </w:tr>
      <w:tr w14:paraId="72278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3BB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15C80">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泰东河大桥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F8E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G204320981L0090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1B4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400BA">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2E67E">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东台市</w:t>
            </w:r>
          </w:p>
        </w:tc>
      </w:tr>
      <w:tr w14:paraId="52930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4FA7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7FDE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通榆河大桥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3A19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S610320981L0060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BBD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S610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3524F">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1220">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东台市</w:t>
            </w:r>
          </w:p>
        </w:tc>
      </w:tr>
      <w:tr w14:paraId="72ED4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DE1F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19F2">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七一桥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5B7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S226320981L0050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414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18600">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A8CB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东台市</w:t>
            </w:r>
          </w:p>
        </w:tc>
      </w:tr>
      <w:tr w14:paraId="3F390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292F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37</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5E6B">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三仓东大桥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6AA2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S226320981L0080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37F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5159">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89F97">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东台市</w:t>
            </w:r>
          </w:p>
        </w:tc>
      </w:tr>
      <w:tr w14:paraId="3237D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4850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38</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283E">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三仓河大桥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E0A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S352320981L0070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217F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S352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D2B1">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2DBD">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东台市</w:t>
            </w:r>
          </w:p>
        </w:tc>
      </w:tr>
      <w:tr w14:paraId="7EE70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82E6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39</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2189">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潘堡河中桥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98B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S352320981L0090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F20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S352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5DA08">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0198">
            <w:pPr>
              <w:keepNext w:val="0"/>
              <w:keepLines w:val="0"/>
              <w:widowControl/>
              <w:suppressLineNumbers w:val="0"/>
              <w:snapToGrid w:val="0"/>
              <w:jc w:val="center"/>
              <w:textAlignment w:val="center"/>
              <w:rPr>
                <w:rFonts w:hint="eastAsia" w:ascii="Times New Roman" w:hAnsi="宋体" w:eastAsia="宋体" w:cs="宋体"/>
                <w:i w:val="0"/>
                <w:iCs w:val="0"/>
                <w:color w:val="auto"/>
                <w:sz w:val="21"/>
                <w:szCs w:val="21"/>
                <w:highlight w:val="none"/>
                <w:u w:val="none"/>
              </w:rPr>
            </w:pPr>
            <w:r>
              <w:rPr>
                <w:rFonts w:hint="eastAsia" w:ascii="Times New Roman" w:hAnsi="宋体" w:eastAsia="宋体" w:cs="宋体"/>
                <w:i w:val="0"/>
                <w:iCs w:val="0"/>
                <w:color w:val="auto"/>
                <w:kern w:val="0"/>
                <w:sz w:val="21"/>
                <w:szCs w:val="21"/>
                <w:highlight w:val="none"/>
                <w:u w:val="none"/>
                <w:lang w:val="en-US" w:eastAsia="zh-CN" w:bidi="ar"/>
              </w:rPr>
              <w:t>东台市</w:t>
            </w:r>
          </w:p>
        </w:tc>
      </w:tr>
    </w:tbl>
    <w:p w14:paraId="0F35CFAB">
      <w:pPr>
        <w:pStyle w:val="20"/>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p w14:paraId="09DCF0F0">
      <w:pPr>
        <w:pStyle w:val="20"/>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表2 </w:t>
      </w:r>
      <w:r>
        <w:rPr>
          <w:rFonts w:hint="default" w:ascii="Times New Roman" w:hAnsi="Times New Roman" w:eastAsia="宋体" w:cs="Times New Roman"/>
          <w:color w:val="auto"/>
          <w:sz w:val="21"/>
          <w:szCs w:val="21"/>
          <w:highlight w:val="none"/>
        </w:rPr>
        <w:t>采购包1</w:t>
      </w:r>
      <w:r>
        <w:rPr>
          <w:rFonts w:hint="default" w:ascii="Times New Roman" w:hAnsi="Times New Roman" w:eastAsia="宋体" w:cs="Times New Roman"/>
          <w:color w:val="auto"/>
          <w:sz w:val="21"/>
          <w:szCs w:val="21"/>
          <w:highlight w:val="none"/>
          <w:lang w:val="en-US" w:eastAsia="zh-CN"/>
        </w:rPr>
        <w:t>桥下空间视频监控系统明细表</w:t>
      </w:r>
    </w:p>
    <w:tbl>
      <w:tblPr>
        <w:tblStyle w:val="15"/>
        <w:tblW w:w="8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32" w:type="dxa"/>
          <w:left w:w="64" w:type="dxa"/>
          <w:bottom w:w="32" w:type="dxa"/>
          <w:right w:w="64" w:type="dxa"/>
        </w:tblCellMar>
      </w:tblPr>
      <w:tblGrid>
        <w:gridCol w:w="584"/>
        <w:gridCol w:w="3328"/>
        <w:gridCol w:w="1203"/>
        <w:gridCol w:w="3316"/>
      </w:tblGrid>
      <w:tr w14:paraId="3B7CD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7" w:hRule="exact"/>
          <w:tblHeader/>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E4CF">
            <w:pPr>
              <w:keepNext w:val="0"/>
              <w:keepLines w:val="0"/>
              <w:widowControl/>
              <w:suppressLineNumbers w:val="0"/>
              <w:snapToGrid w:val="0"/>
              <w:jc w:val="center"/>
              <w:textAlignment w:val="center"/>
              <w:rPr>
                <w:rFonts w:hint="default" w:ascii="Times New Roman" w:hAnsi="Times New Roman" w:eastAsia="宋体" w:cs="Times New Roman"/>
                <w:b w:val="0"/>
                <w:bCs w:val="0"/>
                <w:i w:val="0"/>
                <w:iCs w:val="0"/>
                <w:color w:val="auto"/>
                <w:sz w:val="21"/>
                <w:szCs w:val="21"/>
                <w:highlight w:val="none"/>
                <w:u w:val="none"/>
              </w:rPr>
            </w:pPr>
            <w:r>
              <w:rPr>
                <w:rFonts w:hint="eastAsia" w:ascii="Times New Roman" w:hAnsi="Times New Roman" w:eastAsia="宋体" w:cs="Times New Roman"/>
                <w:b w:val="0"/>
                <w:bCs w:val="0"/>
                <w:i w:val="0"/>
                <w:iCs w:val="0"/>
                <w:color w:val="auto"/>
                <w:kern w:val="0"/>
                <w:sz w:val="21"/>
                <w:szCs w:val="21"/>
                <w:highlight w:val="none"/>
                <w:u w:val="none"/>
                <w:lang w:val="en-US" w:eastAsia="zh-CN" w:bidi="ar"/>
              </w:rPr>
              <w:t>序号</w:t>
            </w:r>
          </w:p>
        </w:tc>
        <w:tc>
          <w:tcPr>
            <w:tcW w:w="3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E425">
            <w:pPr>
              <w:keepNext w:val="0"/>
              <w:keepLines w:val="0"/>
              <w:widowControl/>
              <w:suppressLineNumbers w:val="0"/>
              <w:snapToGrid w:val="0"/>
              <w:jc w:val="center"/>
              <w:textAlignment w:val="center"/>
              <w:rPr>
                <w:rFonts w:hint="default" w:ascii="Times New Roman" w:hAnsi="Times New Roman" w:eastAsia="宋体" w:cs="Times New Roman"/>
                <w:b w:val="0"/>
                <w:bCs w:val="0"/>
                <w:i w:val="0"/>
                <w:iCs w:val="0"/>
                <w:color w:val="auto"/>
                <w:sz w:val="21"/>
                <w:szCs w:val="21"/>
                <w:highlight w:val="none"/>
                <w:u w:val="none"/>
              </w:rPr>
            </w:pPr>
            <w:r>
              <w:rPr>
                <w:rFonts w:hint="eastAsia" w:ascii="Times New Roman" w:hAnsi="Times New Roman" w:eastAsia="宋体" w:cs="Times New Roman"/>
                <w:b w:val="0"/>
                <w:bCs w:val="0"/>
                <w:i w:val="0"/>
                <w:iCs w:val="0"/>
                <w:color w:val="auto"/>
                <w:kern w:val="0"/>
                <w:sz w:val="21"/>
                <w:szCs w:val="21"/>
                <w:highlight w:val="none"/>
                <w:u w:val="none"/>
                <w:lang w:val="en-US" w:eastAsia="zh-CN" w:bidi="ar"/>
              </w:rPr>
              <w:t>站点名称</w:t>
            </w:r>
          </w:p>
        </w:tc>
        <w:tc>
          <w:tcPr>
            <w:tcW w:w="1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FE90F">
            <w:pPr>
              <w:keepNext w:val="0"/>
              <w:keepLines w:val="0"/>
              <w:widowControl/>
              <w:suppressLineNumbers w:val="0"/>
              <w:snapToGrid w:val="0"/>
              <w:jc w:val="center"/>
              <w:textAlignment w:val="center"/>
              <w:rPr>
                <w:rFonts w:hint="default" w:ascii="Times New Roman" w:hAnsi="Times New Roman" w:eastAsia="宋体" w:cs="Times New Roman"/>
                <w:b w:val="0"/>
                <w:bCs w:val="0"/>
                <w:i w:val="0"/>
                <w:iCs w:val="0"/>
                <w:color w:val="auto"/>
                <w:sz w:val="21"/>
                <w:szCs w:val="21"/>
                <w:highlight w:val="none"/>
                <w:u w:val="none"/>
              </w:rPr>
            </w:pPr>
            <w:r>
              <w:rPr>
                <w:rFonts w:hint="eastAsia" w:ascii="Times New Roman" w:hAnsi="Times New Roman" w:eastAsia="宋体" w:cs="Times New Roman"/>
                <w:b w:val="0"/>
                <w:bCs w:val="0"/>
                <w:i w:val="0"/>
                <w:iCs w:val="0"/>
                <w:color w:val="auto"/>
                <w:kern w:val="0"/>
                <w:sz w:val="21"/>
                <w:szCs w:val="21"/>
                <w:highlight w:val="none"/>
                <w:u w:val="none"/>
                <w:lang w:val="en-US" w:eastAsia="zh-CN" w:bidi="ar"/>
              </w:rPr>
              <w:t>桩号</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7B96">
            <w:pPr>
              <w:keepNext w:val="0"/>
              <w:keepLines w:val="0"/>
              <w:widowControl/>
              <w:suppressLineNumbers w:val="0"/>
              <w:snapToGrid w:val="0"/>
              <w:jc w:val="center"/>
              <w:textAlignment w:val="center"/>
              <w:rPr>
                <w:rFonts w:hint="default" w:ascii="Times New Roman" w:hAnsi="Times New Roman" w:eastAsia="宋体" w:cs="Times New Roman"/>
                <w:b w:val="0"/>
                <w:bCs w:val="0"/>
                <w:i w:val="0"/>
                <w:iCs w:val="0"/>
                <w:color w:val="auto"/>
                <w:sz w:val="21"/>
                <w:szCs w:val="21"/>
                <w:highlight w:val="none"/>
                <w:u w:val="none"/>
              </w:rPr>
            </w:pPr>
            <w:r>
              <w:rPr>
                <w:rFonts w:hint="eastAsia" w:ascii="Times New Roman" w:hAnsi="Times New Roman" w:eastAsia="宋体" w:cs="Times New Roman"/>
                <w:b w:val="0"/>
                <w:bCs w:val="0"/>
                <w:i w:val="0"/>
                <w:iCs w:val="0"/>
                <w:color w:val="auto"/>
                <w:kern w:val="0"/>
                <w:sz w:val="21"/>
                <w:szCs w:val="21"/>
                <w:highlight w:val="none"/>
                <w:u w:val="none"/>
                <w:lang w:val="en-US" w:eastAsia="zh-CN" w:bidi="ar"/>
              </w:rPr>
              <w:t>方向</w:t>
            </w:r>
          </w:p>
        </w:tc>
      </w:tr>
      <w:tr w14:paraId="401F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923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A20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G204串场河大桥南侧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37C3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K627+275</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9F0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6E915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2A3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90D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G204斗龙港大桥北侧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5888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K663+900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0483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14699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509C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73EB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G204北串场河大桥北侧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01A9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K667+845</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8110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5B0F9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2F3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4545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G204北串场河大桥南侧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0AC5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K668+205</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569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57C0C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CEBF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8F42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G204南串场河大桥南侧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FB4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K698+560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654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3F7B6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EF4C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A77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G204泰东河大桥南侧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0DC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K709+995</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9393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37089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63F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7</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6E15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G228灌江口大桥南侧1号机</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1FC4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K2991+192</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7CA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69#桥墩中间立杆</w:t>
            </w:r>
          </w:p>
        </w:tc>
      </w:tr>
      <w:tr w14:paraId="45E40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F47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DED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G228灌江口大桥南侧2号机</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334F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K2991+920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2A52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93#桥墩和94#桥墩中间位置立杆</w:t>
            </w:r>
          </w:p>
        </w:tc>
      </w:tr>
      <w:tr w14:paraId="30A67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826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94D7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S125朱沥沟大桥西侧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4819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K162+010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4CC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1FF82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709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10</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5D9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S226海滨大桥北侧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831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K25+595</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AB7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北侧桥墩</w:t>
            </w:r>
          </w:p>
        </w:tc>
      </w:tr>
      <w:tr w14:paraId="3BEB6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9D2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3E08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S226海滨大桥南侧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139D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K26+329</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14A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南侧桥墩</w:t>
            </w:r>
          </w:p>
        </w:tc>
      </w:tr>
      <w:tr w14:paraId="7B4C1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CCD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653D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S226千秋大桥南侧1号机</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F988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K55+827</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B0A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上行一侧</w:t>
            </w:r>
          </w:p>
        </w:tc>
      </w:tr>
      <w:tr w14:paraId="6825C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2547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590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S226千秋大桥南侧2号机</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F2CA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K55+827</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7A30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下行一侧</w:t>
            </w:r>
          </w:p>
        </w:tc>
      </w:tr>
      <w:tr w14:paraId="35516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CE88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4910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S231黄沙港大桥北侧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3BEE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K26+900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63E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553BA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D70A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AF72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S231黄沙港大桥南侧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C205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K27+820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150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5ED3B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5A98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8F81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S231盐宝河大桥南侧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6BE9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K43+067</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5C37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49793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211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214F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S233上跨盐徐高速公路大桥北侧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D96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K59+180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BFF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51F62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C00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3EF8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S233上跨盐徐高速公路大桥南侧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7063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K59+610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3D4E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41F91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8E3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D6D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S326高速跨线桥东侧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0D3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K35+529</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20B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w:t>
            </w:r>
          </w:p>
        </w:tc>
      </w:tr>
      <w:tr w14:paraId="46BDC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1FA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56DF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S329通榆河大桥南侧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D71C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K64+291</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B4B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w:t>
            </w:r>
          </w:p>
        </w:tc>
      </w:tr>
      <w:tr w14:paraId="5EF2B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DDC1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6797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S331上跨沈海高速公路大桥东侧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8DD5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K30+550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F86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中分带</w:t>
            </w:r>
          </w:p>
        </w:tc>
      </w:tr>
      <w:tr w14:paraId="35E6A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5847D">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A48C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S331上跨沈海高速公路大桥西侧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0577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K30+960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317E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中分带</w:t>
            </w:r>
          </w:p>
        </w:tc>
      </w:tr>
      <w:tr w14:paraId="0276B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0896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DD1C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S331朱沥沟大桥西侧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51F9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K64+418</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B9D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6A41E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7C4B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4971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S331朱沥沟大桥东侧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90D4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K64+760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3FCA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下行中分</w:t>
            </w:r>
          </w:p>
        </w:tc>
      </w:tr>
      <w:tr w14:paraId="5F409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0D63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291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S331上跨盐淮高速公路大桥西侧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0249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K70+600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B1E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5AEDA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779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26</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604A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S349通榆河大桥东侧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BD90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K48+490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DC88">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r w14:paraId="415B0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6A54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27</w:t>
            </w:r>
          </w:p>
        </w:tc>
        <w:tc>
          <w:tcPr>
            <w:tcW w:w="3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2517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S349通榆河大桥西侧</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A3AFC">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K49+320</w:t>
            </w:r>
          </w:p>
        </w:tc>
        <w:tc>
          <w:tcPr>
            <w:tcW w:w="3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C62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上行中分</w:t>
            </w:r>
          </w:p>
        </w:tc>
      </w:tr>
    </w:tbl>
    <w:p w14:paraId="003BC875">
      <w:pPr>
        <w:pStyle w:val="20"/>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p>
    <w:p w14:paraId="366B349B">
      <w:pPr>
        <w:pStyle w:val="20"/>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表3 </w:t>
      </w:r>
      <w:r>
        <w:rPr>
          <w:rFonts w:hint="default" w:ascii="Times New Roman" w:hAnsi="Times New Roman" w:eastAsia="宋体" w:cs="Times New Roman"/>
          <w:color w:val="auto"/>
          <w:sz w:val="21"/>
          <w:szCs w:val="21"/>
          <w:highlight w:val="none"/>
        </w:rPr>
        <w:t>采购包2</w:t>
      </w:r>
      <w:r>
        <w:rPr>
          <w:rFonts w:hint="default" w:ascii="Times New Roman" w:hAnsi="Times New Roman" w:eastAsia="宋体" w:cs="Times New Roman"/>
          <w:color w:val="auto"/>
          <w:sz w:val="21"/>
          <w:szCs w:val="21"/>
          <w:highlight w:val="none"/>
          <w:lang w:val="en-US" w:eastAsia="zh-CN"/>
        </w:rPr>
        <w:t>桥梁结构监测系统明细表</w:t>
      </w:r>
    </w:p>
    <w:tbl>
      <w:tblPr>
        <w:tblStyle w:val="15"/>
        <w:tblW w:w="84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32" w:type="dxa"/>
          <w:left w:w="64" w:type="dxa"/>
          <w:bottom w:w="32" w:type="dxa"/>
          <w:right w:w="64" w:type="dxa"/>
        </w:tblCellMar>
      </w:tblPr>
      <w:tblGrid>
        <w:gridCol w:w="587"/>
        <w:gridCol w:w="2382"/>
        <w:gridCol w:w="1895"/>
        <w:gridCol w:w="1039"/>
        <w:gridCol w:w="1039"/>
        <w:gridCol w:w="1512"/>
      </w:tblGrid>
      <w:tr w14:paraId="20D84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tblHeader/>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C5257">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6E216">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桥梁名称</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BC9F">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桥梁编号</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131DB">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所在线路</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04C7">
            <w:pPr>
              <w:keepNext w:val="0"/>
              <w:keepLines w:val="0"/>
              <w:widowControl/>
              <w:suppressLineNumbers w:val="0"/>
              <w:snapToGrid w:val="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bidi="ar"/>
              </w:rPr>
              <w:t>监测类型</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A21E6">
            <w:pPr>
              <w:keepNext w:val="0"/>
              <w:keepLines w:val="0"/>
              <w:widowControl/>
              <w:suppressLineNumbers w:val="0"/>
              <w:snapToGrid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所属县（区）</w:t>
            </w:r>
          </w:p>
        </w:tc>
      </w:tr>
      <w:tr w14:paraId="2ACAC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DC14">
            <w:pPr>
              <w:keepNext w:val="0"/>
              <w:keepLines w:val="0"/>
              <w:widowControl/>
              <w:suppressLineNumbers w:val="0"/>
              <w:snapToGrid w:val="0"/>
              <w:jc w:val="center"/>
              <w:textAlignment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89E1">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唐响河桥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470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S326320921L0370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1423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S326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1596">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30F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响水县</w:t>
            </w:r>
          </w:p>
        </w:tc>
      </w:tr>
      <w:tr w14:paraId="7BEB5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43E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DC6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黄响河桥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546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G204320921R0017</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83A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62E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3FA3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响水县</w:t>
            </w:r>
          </w:p>
        </w:tc>
      </w:tr>
      <w:tr w14:paraId="70FF1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C6B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5BF2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唐豫河桥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3198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G204320921R0040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10DC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81D6">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444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响水县</w:t>
            </w:r>
          </w:p>
        </w:tc>
      </w:tr>
      <w:tr w14:paraId="7A0A7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86B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E0441">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陈北支渠桥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862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G228320921R0006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3793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21DE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5473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响水县</w:t>
            </w:r>
          </w:p>
        </w:tc>
      </w:tr>
      <w:tr w14:paraId="2DE41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D7B2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872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古黄河大桥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3A49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G228320922L0050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68C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611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36D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滨海县</w:t>
            </w:r>
          </w:p>
        </w:tc>
      </w:tr>
      <w:tr w14:paraId="10125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2C01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8B08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套坎河桥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D72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G204320922L0030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399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5D0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95E3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滨海县</w:t>
            </w:r>
          </w:p>
        </w:tc>
      </w:tr>
      <w:tr w14:paraId="49C0E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C6F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7</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05D7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三份港桥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15C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G204320922L0090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D75D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76F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BFA33">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滨海县</w:t>
            </w:r>
          </w:p>
        </w:tc>
      </w:tr>
      <w:tr w14:paraId="61EB7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6943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9554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淮河入海道大桥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CFC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G204320922R0060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D6E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0161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6233">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highlight w:val="none"/>
                <w:u w:val="none"/>
                <w:lang w:val="en-US" w:eastAsia="zh-CN" w:bidi="ar-SA"/>
              </w:rPr>
            </w:pPr>
            <w:r>
              <w:rPr>
                <w:rStyle w:val="29"/>
                <w:color w:val="auto"/>
                <w:sz w:val="21"/>
                <w:szCs w:val="21"/>
                <w:highlight w:val="none"/>
                <w:lang w:val="en-US" w:eastAsia="zh-CN" w:bidi="ar"/>
              </w:rPr>
              <w:t>滨海县</w:t>
            </w:r>
          </w:p>
        </w:tc>
      </w:tr>
      <w:tr w14:paraId="455C0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36F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49B0">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通榆河大桥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446B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S329320923L0060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F42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S329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654A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4F1A2">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阜宁县</w:t>
            </w:r>
          </w:p>
        </w:tc>
      </w:tr>
      <w:tr w14:paraId="67DFE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5BD8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10</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AC8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通榆河大桥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21D1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G204320923L0120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10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3951">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E4A6">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阜宁县</w:t>
            </w:r>
          </w:p>
        </w:tc>
      </w:tr>
      <w:tr w14:paraId="775E9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D52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BBE0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射阳港桥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7F6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G204320923L0080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891E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5026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B1E9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阜宁县</w:t>
            </w:r>
          </w:p>
        </w:tc>
      </w:tr>
      <w:tr w14:paraId="4AD51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EE420">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720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射阳河桥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9B6E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G343320923L0020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0965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00D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B5A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阜宁县</w:t>
            </w:r>
          </w:p>
        </w:tc>
      </w:tr>
      <w:tr w14:paraId="76E5C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DED4">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AD02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射阳河大桥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FE6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G228320924L0060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80C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68AD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FF37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射阳县</w:t>
            </w:r>
          </w:p>
        </w:tc>
      </w:tr>
      <w:tr w14:paraId="7A48B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B965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12F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黄沙港大桥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8BA7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G228320924L0090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32D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EA3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1F1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射阳县</w:t>
            </w:r>
          </w:p>
        </w:tc>
      </w:tr>
      <w:tr w14:paraId="1BD6C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A2B1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4A02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丰民河桥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334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S232320924L0020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5B7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580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F31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射阳县</w:t>
            </w:r>
          </w:p>
        </w:tc>
      </w:tr>
      <w:tr w14:paraId="2A2BA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DECB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DDEA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潭洋河桥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513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S226320924L0300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B9CB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S226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3C6C">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465B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射阳县</w:t>
            </w:r>
          </w:p>
        </w:tc>
      </w:tr>
      <w:tr w14:paraId="3B787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34E0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C3E7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驳盐河大桥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402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G228320924L0110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DB70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24B0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4AD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射阳县</w:t>
            </w:r>
          </w:p>
        </w:tc>
      </w:tr>
      <w:tr w14:paraId="4D652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A987A">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AA4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Style w:val="30"/>
                <w:color w:val="auto"/>
                <w:sz w:val="21"/>
                <w:szCs w:val="21"/>
                <w:highlight w:val="none"/>
                <w:lang w:val="en-US" w:eastAsia="zh-CN" w:bidi="ar"/>
              </w:rPr>
              <w:t>南环大桥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879B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G343320925L0060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CB5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9A30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205A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建湖县</w:t>
            </w:r>
          </w:p>
        </w:tc>
      </w:tr>
      <w:tr w14:paraId="5786C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8A87">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C3D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梁家墩桥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C9A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S231320925L0040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C80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S231</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9065">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3D002">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建湖县</w:t>
            </w:r>
          </w:p>
        </w:tc>
      </w:tr>
      <w:tr w14:paraId="7CDF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350D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54E4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串场河桥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856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S232320925L0020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1422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S232</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CF65">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D46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建湖县</w:t>
            </w:r>
          </w:p>
        </w:tc>
      </w:tr>
      <w:tr w14:paraId="72B7B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B61B1">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8F2D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西塘河大桥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3A4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S331320925L0030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7CCF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S331</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02D5">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7325">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建湖县</w:t>
            </w:r>
          </w:p>
        </w:tc>
      </w:tr>
      <w:tr w14:paraId="42979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4D66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35D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蟒蛇河大桥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572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G204320903L0060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49C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9C3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标准化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75606">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盐都区</w:t>
            </w:r>
          </w:p>
        </w:tc>
      </w:tr>
      <w:tr w14:paraId="5CB4F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0A85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88C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皮岔河大桥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CAF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G204320903R0050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BB2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CA05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2C4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盐都区</w:t>
            </w:r>
          </w:p>
        </w:tc>
      </w:tr>
      <w:tr w14:paraId="7025E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2A5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FCAC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串场河大桥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AEF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G204320902L0050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016A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2B25">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1B59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亭湖区</w:t>
            </w:r>
          </w:p>
        </w:tc>
      </w:tr>
      <w:tr w14:paraId="6986E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22CE">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CA4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中岗河桥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1692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G343320902L0020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559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6D8BB">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4FB6B">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亭湖区</w:t>
            </w:r>
          </w:p>
        </w:tc>
      </w:tr>
      <w:tr w14:paraId="1B7C0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42B3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E40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串场河大桥（北）</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D36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G204320904L0030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009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E5BC">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1EA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大丰区</w:t>
            </w:r>
          </w:p>
        </w:tc>
      </w:tr>
      <w:tr w14:paraId="690A5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996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27</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636B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复河大桥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007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G343320904R0030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302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G343</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1F1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DF5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大丰区</w:t>
            </w:r>
          </w:p>
        </w:tc>
      </w:tr>
      <w:tr w14:paraId="1F6AF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51576">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28</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EDEE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德丰大桥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ED09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S226320904L0070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F7A7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S226</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F362E">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EAC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大丰区</w:t>
            </w:r>
          </w:p>
        </w:tc>
      </w:tr>
      <w:tr w14:paraId="06F5E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BB6AB">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29</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833E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川东港大桥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1DE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G228320904L0200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835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07FB">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EC9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大丰区</w:t>
            </w:r>
          </w:p>
        </w:tc>
      </w:tr>
      <w:tr w14:paraId="5C49C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F9A62">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30</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FA4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新斗龙港大桥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D6B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G228320904L0030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512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2F4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5E79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大丰区</w:t>
            </w:r>
          </w:p>
        </w:tc>
      </w:tr>
      <w:tr w14:paraId="56652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28339">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31</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091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大丰干河大桥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CAFC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G228320904R0050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BF1D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C94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4F1F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大丰区</w:t>
            </w:r>
          </w:p>
        </w:tc>
      </w:tr>
      <w:tr w14:paraId="3F8DA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913E5">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32</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DAF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梁垛河中桥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5F3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G204320981L0130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DC4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FF39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FD3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东台市</w:t>
            </w:r>
          </w:p>
        </w:tc>
      </w:tr>
      <w:tr w14:paraId="1E8F4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70C03">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33</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EE0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泰东河桥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0E8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S229320981L0010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BD6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S229</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5DA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1E2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东台市</w:t>
            </w:r>
          </w:p>
        </w:tc>
      </w:tr>
      <w:tr w14:paraId="0514C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C1B3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34</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13AD">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梁垛河大桥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AAF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G228320981L0090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B97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G228</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598E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E60E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东台市</w:t>
            </w:r>
          </w:p>
        </w:tc>
      </w:tr>
      <w:tr w14:paraId="150AB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4201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35</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F4A4">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迎宾大桥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D53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G344320981L0300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2389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G344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AFC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DE60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东台市</w:t>
            </w:r>
          </w:p>
        </w:tc>
      </w:tr>
      <w:tr w14:paraId="12745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397" w:hRule="exact"/>
          <w:jc w:val="center"/>
        </w:trPr>
        <w:tc>
          <w:tcPr>
            <w:tcW w:w="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8F7F">
            <w:pPr>
              <w:keepNext w:val="0"/>
              <w:keepLines w:val="0"/>
              <w:widowControl/>
              <w:suppressLineNumbers w:val="0"/>
              <w:snapToGrid w:val="0"/>
              <w:jc w:val="center"/>
              <w:textAlignment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36</w:t>
            </w:r>
          </w:p>
        </w:tc>
        <w:tc>
          <w:tcPr>
            <w:tcW w:w="2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D118">
            <w:pPr>
              <w:keepNext w:val="0"/>
              <w:keepLines w:val="0"/>
              <w:widowControl/>
              <w:suppressLineNumbers w:val="0"/>
              <w:jc w:val="center"/>
              <w:textAlignment w:val="center"/>
              <w:rPr>
                <w:rFonts w:hint="eastAsia"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梓辛河中桥</w:t>
            </w:r>
          </w:p>
        </w:tc>
        <w:tc>
          <w:tcPr>
            <w:tcW w:w="1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1C6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G204320981R0060</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6753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G204</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DE00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轻量化</w:t>
            </w:r>
          </w:p>
        </w:tc>
        <w:tc>
          <w:tcPr>
            <w:tcW w:w="1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B43F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东台市</w:t>
            </w:r>
          </w:p>
        </w:tc>
      </w:tr>
    </w:tbl>
    <w:p w14:paraId="661D61F5">
      <w:pPr>
        <w:adjustRightInd w:val="0"/>
        <w:snapToGrid w:val="0"/>
        <w:spacing w:line="460" w:lineRule="exact"/>
        <w:ind w:firstLine="422" w:firstLineChars="200"/>
        <w:rPr>
          <w:rFonts w:ascii="宋体" w:hAnsi="宋体"/>
          <w:b/>
          <w:color w:val="auto"/>
          <w:szCs w:val="21"/>
          <w:highlight w:val="none"/>
        </w:rPr>
      </w:pPr>
      <w:r>
        <w:rPr>
          <w:rFonts w:hint="eastAsia" w:ascii="宋体" w:hAnsi="宋体"/>
          <w:b/>
          <w:color w:val="auto"/>
          <w:szCs w:val="21"/>
          <w:highlight w:val="none"/>
        </w:rPr>
        <w:t>二、</w:t>
      </w:r>
      <w:r>
        <w:rPr>
          <w:rFonts w:hint="eastAsia" w:ascii="宋体" w:hAnsi="宋体"/>
          <w:b/>
          <w:color w:val="auto"/>
          <w:szCs w:val="21"/>
          <w:highlight w:val="none"/>
          <w:lang w:val="en-US" w:eastAsia="zh-CN"/>
        </w:rPr>
        <w:t>工作内容</w:t>
      </w:r>
    </w:p>
    <w:p w14:paraId="01500299">
      <w:pPr>
        <w:pStyle w:val="3"/>
        <w:keepNext w:val="0"/>
        <w:keepLines w:val="0"/>
        <w:numPr>
          <w:ilvl w:val="1"/>
          <w:numId w:val="0"/>
        </w:numPr>
        <w:spacing w:before="0" w:after="0" w:line="460" w:lineRule="exact"/>
        <w:ind w:firstLine="420" w:firstLineChars="200"/>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主要工作包括但不限于24小时监测系统巡查、人工现场检查（每季度不少于1次）、硬件设施维护与更换、监测数据报警分析与处置、阶段分析报告（分季度和年度监测分析报告，季度报告为每年4次）、特殊事件报告及采购人的其他要求等内容。</w:t>
      </w:r>
    </w:p>
    <w:p w14:paraId="67E12679">
      <w:pPr>
        <w:pStyle w:val="3"/>
        <w:keepNext w:val="0"/>
        <w:keepLines w:val="0"/>
        <w:numPr>
          <w:ilvl w:val="1"/>
          <w:numId w:val="0"/>
        </w:numPr>
        <w:spacing w:before="0" w:after="0" w:line="460" w:lineRule="exact"/>
        <w:ind w:firstLine="420" w:firstLineChars="200"/>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合同履行期限：采购包1：服务期限起止时间为合同签订之日～2028年12月31日；采购包2：服务期限起止时间为2027年1月1日～2028年12月31日。</w:t>
      </w:r>
    </w:p>
    <w:p w14:paraId="059085FB">
      <w:pPr>
        <w:pStyle w:val="3"/>
        <w:keepNext w:val="0"/>
        <w:keepLines w:val="0"/>
        <w:numPr>
          <w:ilvl w:val="1"/>
          <w:numId w:val="0"/>
        </w:numPr>
        <w:spacing w:before="0" w:after="0" w:line="460" w:lineRule="exact"/>
        <w:ind w:firstLine="420" w:firstLineChars="200"/>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（一）24小时监测系统巡查</w:t>
      </w:r>
    </w:p>
    <w:p w14:paraId="524B5E2B">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供应商</w:t>
      </w:r>
      <w:r>
        <w:rPr>
          <w:rFonts w:hint="default" w:ascii="宋体" w:hAnsi="宋体" w:eastAsia="宋体" w:cs="宋体"/>
          <w:b w:val="0"/>
          <w:color w:val="auto"/>
          <w:sz w:val="21"/>
          <w:szCs w:val="21"/>
          <w:highlight w:val="none"/>
          <w:lang w:val="en-US" w:eastAsia="zh-CN"/>
        </w:rPr>
        <w:t>应对场端采集、传输等软件定期升级维护，确保数据传输的稳定性。对省平台进行日常巡检，对离线设备及时进行维护，确保省平台数据在线率；</w:t>
      </w:r>
    </w:p>
    <w:p w14:paraId="636FF6B6">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（二）人工现场检查</w:t>
      </w:r>
    </w:p>
    <w:p w14:paraId="471D8B85">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人工现场检查应包含但不限于</w:t>
      </w:r>
      <w:r>
        <w:rPr>
          <w:rFonts w:hint="eastAsia" w:ascii="宋体" w:hAnsi="宋体" w:eastAsia="宋体" w:cs="宋体"/>
          <w:b w:val="0"/>
          <w:color w:val="auto"/>
          <w:sz w:val="21"/>
          <w:szCs w:val="21"/>
          <w:highlight w:val="none"/>
          <w:lang w:val="en-US" w:eastAsia="zh-CN"/>
        </w:rPr>
        <w:t>：</w:t>
      </w:r>
      <w:r>
        <w:rPr>
          <w:rFonts w:hint="default" w:ascii="宋体" w:hAnsi="宋体" w:eastAsia="宋体" w:cs="宋体"/>
          <w:b w:val="0"/>
          <w:color w:val="auto"/>
          <w:sz w:val="21"/>
          <w:szCs w:val="21"/>
          <w:highlight w:val="none"/>
          <w:lang w:val="en-US" w:eastAsia="zh-CN"/>
        </w:rPr>
        <w:t>典型病害的跟踪检查、桥面系构造的检查、上部结构的检查、支座的检查、桥墩与基础的检查，采集站内设备的检查，场端传感设备防护措施完好度的检查。（该部分内容应在阶段分析报告中体现）</w:t>
      </w:r>
    </w:p>
    <w:p w14:paraId="585E68D2">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（三）硬件设施维护与更换</w:t>
      </w:r>
    </w:p>
    <w:p w14:paraId="07F3D44D">
      <w:pPr>
        <w:pStyle w:val="3"/>
        <w:keepNext w:val="0"/>
        <w:keepLines w:val="0"/>
        <w:numPr>
          <w:ilvl w:val="1"/>
          <w:numId w:val="0"/>
        </w:numPr>
        <w:spacing w:before="0" w:after="0" w:line="460" w:lineRule="exact"/>
        <w:ind w:firstLine="420" w:firstLineChars="200"/>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系统运营维护过程中，对于损坏或功能缺失，但仍处于5年硬件质保期内的硬件设备，由原质保单位（施工方）负责对设备进行维修或更换，并由</w:t>
      </w:r>
      <w:r>
        <w:rPr>
          <w:rFonts w:hint="eastAsia" w:ascii="Times New Roman" w:hAnsi="Times New Roman" w:eastAsia="宋体" w:cs="Times New Roman"/>
          <w:b w:val="0"/>
          <w:color w:val="auto"/>
          <w:sz w:val="21"/>
          <w:szCs w:val="21"/>
          <w:highlight w:val="none"/>
          <w:lang w:val="en-US" w:eastAsia="zh-CN"/>
        </w:rPr>
        <w:t>供应商</w:t>
      </w:r>
      <w:r>
        <w:rPr>
          <w:rFonts w:hint="default" w:ascii="Times New Roman" w:hAnsi="Times New Roman" w:eastAsia="宋体" w:cs="Times New Roman"/>
          <w:b w:val="0"/>
          <w:color w:val="auto"/>
          <w:sz w:val="21"/>
          <w:szCs w:val="21"/>
          <w:highlight w:val="none"/>
          <w:lang w:val="en-US" w:eastAsia="zh-CN"/>
        </w:rPr>
        <w:t>确认数据的完好性。对于常规监测设备，应</w:t>
      </w:r>
      <w:r>
        <w:rPr>
          <w:rFonts w:hint="eastAsia" w:ascii="Times New Roman" w:hAnsi="Times New Roman" w:eastAsia="宋体" w:cs="Times New Roman"/>
          <w:b w:val="0"/>
          <w:color w:val="auto"/>
          <w:sz w:val="21"/>
          <w:szCs w:val="21"/>
          <w:highlight w:val="none"/>
          <w:lang w:val="en-US" w:eastAsia="zh-CN"/>
        </w:rPr>
        <w:t>结合桥梁服役现状、监测数据偏差进行适时标定；</w:t>
      </w:r>
      <w:r>
        <w:rPr>
          <w:rFonts w:hint="default" w:ascii="Times New Roman" w:hAnsi="Times New Roman" w:eastAsia="宋体" w:cs="Times New Roman"/>
          <w:b w:val="0"/>
          <w:color w:val="auto"/>
          <w:sz w:val="21"/>
          <w:szCs w:val="21"/>
          <w:highlight w:val="none"/>
          <w:lang w:val="en-US" w:eastAsia="zh-CN"/>
        </w:rPr>
        <w:t>对于符合执法要求的称重系统，</w:t>
      </w:r>
      <w:r>
        <w:rPr>
          <w:rFonts w:hint="eastAsia" w:ascii="Times New Roman" w:hAnsi="Times New Roman" w:eastAsia="宋体" w:cs="Times New Roman"/>
          <w:b w:val="0"/>
          <w:color w:val="auto"/>
          <w:sz w:val="21"/>
          <w:szCs w:val="21"/>
          <w:highlight w:val="none"/>
          <w:lang w:val="en-US" w:eastAsia="zh-CN"/>
        </w:rPr>
        <w:t>应根据《动态公路车辆自动衡器 第1部分：通用技术规范》（GB/T 21296.1-2020）、《公路车辆动态称重检测系统技术规范》（JTG/T 4320-2022）等技术文件有关要求，</w:t>
      </w:r>
      <w:r>
        <w:rPr>
          <w:rFonts w:hint="default" w:ascii="Times New Roman" w:hAnsi="Times New Roman" w:eastAsia="宋体" w:cs="Times New Roman"/>
          <w:b w:val="0"/>
          <w:color w:val="auto"/>
          <w:sz w:val="21"/>
          <w:szCs w:val="21"/>
          <w:highlight w:val="none"/>
          <w:lang w:val="en-US" w:eastAsia="zh-CN"/>
        </w:rPr>
        <w:t>每</w:t>
      </w:r>
      <w:r>
        <w:rPr>
          <w:rFonts w:hint="eastAsia" w:ascii="Times New Roman" w:hAnsi="Times New Roman" w:eastAsia="宋体" w:cs="Times New Roman"/>
          <w:b w:val="0"/>
          <w:color w:val="auto"/>
          <w:sz w:val="21"/>
          <w:szCs w:val="21"/>
          <w:highlight w:val="none"/>
          <w:lang w:val="en-US" w:eastAsia="zh-CN"/>
        </w:rPr>
        <w:t>半年</w:t>
      </w:r>
      <w:r>
        <w:rPr>
          <w:rFonts w:hint="default" w:ascii="Times New Roman" w:hAnsi="Times New Roman" w:eastAsia="宋体" w:cs="Times New Roman"/>
          <w:b w:val="0"/>
          <w:color w:val="auto"/>
          <w:sz w:val="21"/>
          <w:szCs w:val="21"/>
          <w:highlight w:val="none"/>
          <w:lang w:val="en-US" w:eastAsia="zh-CN"/>
        </w:rPr>
        <w:t>开展一次设备检定，并出具计量证书。</w:t>
      </w:r>
    </w:p>
    <w:p w14:paraId="44414096">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场端设备正常运行产生的电费及网络费用由相应的</w:t>
      </w:r>
      <w:r>
        <w:rPr>
          <w:rFonts w:hint="eastAsia" w:ascii="宋体" w:hAnsi="宋体" w:eastAsia="宋体" w:cs="宋体"/>
          <w:b w:val="0"/>
          <w:color w:val="auto"/>
          <w:sz w:val="21"/>
          <w:szCs w:val="21"/>
          <w:highlight w:val="none"/>
          <w:lang w:val="en-US" w:eastAsia="zh-CN"/>
        </w:rPr>
        <w:t>供应商</w:t>
      </w:r>
      <w:r>
        <w:rPr>
          <w:rFonts w:hint="default" w:ascii="宋体" w:hAnsi="宋体" w:eastAsia="宋体" w:cs="宋体"/>
          <w:b w:val="0"/>
          <w:color w:val="auto"/>
          <w:sz w:val="21"/>
          <w:szCs w:val="21"/>
          <w:highlight w:val="none"/>
          <w:lang w:val="en-US" w:eastAsia="zh-CN"/>
        </w:rPr>
        <w:t>承担并按时缴纳，确保系统的正常运行；人工现场检查、维护或设备更换使用的特种车辆租赁费由相应的</w:t>
      </w:r>
      <w:r>
        <w:rPr>
          <w:rFonts w:hint="eastAsia" w:ascii="宋体" w:hAnsi="宋体" w:eastAsia="宋体" w:cs="宋体"/>
          <w:b w:val="0"/>
          <w:color w:val="auto"/>
          <w:sz w:val="21"/>
          <w:szCs w:val="21"/>
          <w:highlight w:val="none"/>
          <w:lang w:val="en-US" w:eastAsia="zh-CN"/>
        </w:rPr>
        <w:t>供应商</w:t>
      </w:r>
      <w:r>
        <w:rPr>
          <w:rFonts w:hint="default" w:ascii="宋体" w:hAnsi="宋体" w:eastAsia="宋体" w:cs="宋体"/>
          <w:b w:val="0"/>
          <w:color w:val="auto"/>
          <w:sz w:val="21"/>
          <w:szCs w:val="21"/>
          <w:highlight w:val="none"/>
          <w:lang w:val="en-US" w:eastAsia="zh-CN"/>
        </w:rPr>
        <w:t>承担。</w:t>
      </w:r>
    </w:p>
    <w:p w14:paraId="530EA060">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（四）监测数据报警分析与处置</w:t>
      </w:r>
    </w:p>
    <w:p w14:paraId="64BB0905">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系统前端采集模块应当具备跳点滤除、噪声干扰等异常数据处理功能，避免系统误报警。在报警信息发生后，</w:t>
      </w:r>
      <w:r>
        <w:rPr>
          <w:rFonts w:hint="eastAsia" w:ascii="宋体" w:hAnsi="宋体" w:eastAsia="宋体" w:cs="宋体"/>
          <w:b w:val="0"/>
          <w:color w:val="auto"/>
          <w:sz w:val="21"/>
          <w:szCs w:val="21"/>
          <w:highlight w:val="none"/>
          <w:lang w:val="en-US" w:eastAsia="zh-CN"/>
        </w:rPr>
        <w:t>供应商</w:t>
      </w:r>
      <w:r>
        <w:rPr>
          <w:rFonts w:hint="default" w:ascii="宋体" w:hAnsi="宋体" w:eastAsia="宋体" w:cs="宋体"/>
          <w:b w:val="0"/>
          <w:color w:val="auto"/>
          <w:sz w:val="21"/>
          <w:szCs w:val="21"/>
          <w:highlight w:val="none"/>
          <w:lang w:val="en-US" w:eastAsia="zh-CN"/>
        </w:rPr>
        <w:t>应当立即对报警信息进行初步核查，</w:t>
      </w:r>
      <w:r>
        <w:rPr>
          <w:rFonts w:hint="default" w:ascii="Times New Roman" w:hAnsi="Times New Roman" w:eastAsia="宋体" w:cs="Times New Roman"/>
          <w:b w:val="0"/>
          <w:color w:val="auto"/>
          <w:sz w:val="21"/>
          <w:szCs w:val="21"/>
          <w:highlight w:val="none"/>
          <w:lang w:val="en-US" w:eastAsia="zh-CN"/>
        </w:rPr>
        <w:t>按照《江苏省普通国省道桥梁结构监测系统建设和运维管理办法》</w:t>
      </w:r>
      <w:r>
        <w:rPr>
          <w:rFonts w:hint="default" w:ascii="Times New Roman" w:hAnsi="Times New Roman" w:eastAsia="宋体" w:cs="Times New Roman"/>
          <w:b w:val="0"/>
          <w:color w:val="auto"/>
          <w:sz w:val="21"/>
          <w:szCs w:val="21"/>
          <w:highlight w:val="none"/>
        </w:rPr>
        <w:t>（苏交公路〔2023〕1号）</w:t>
      </w:r>
      <w:r>
        <w:rPr>
          <w:rFonts w:hint="default" w:ascii="Times New Roman" w:hAnsi="Times New Roman" w:eastAsia="宋体" w:cs="Times New Roman"/>
          <w:b w:val="0"/>
          <w:color w:val="auto"/>
          <w:sz w:val="21"/>
          <w:szCs w:val="21"/>
          <w:highlight w:val="none"/>
          <w:lang w:val="en-US" w:eastAsia="zh-CN"/>
        </w:rPr>
        <w:t>的</w:t>
      </w:r>
      <w:r>
        <w:rPr>
          <w:rFonts w:hint="default" w:ascii="宋体" w:hAnsi="宋体" w:eastAsia="宋体" w:cs="宋体"/>
          <w:b w:val="0"/>
          <w:color w:val="auto"/>
          <w:sz w:val="21"/>
          <w:szCs w:val="21"/>
          <w:highlight w:val="none"/>
          <w:lang w:val="en-US" w:eastAsia="zh-CN"/>
        </w:rPr>
        <w:t>要求进行上报并给出解决方案，配合采购人进行后续处置；</w:t>
      </w:r>
    </w:p>
    <w:p w14:paraId="4F31ABE1">
      <w:pPr>
        <w:pStyle w:val="3"/>
        <w:keepNext w:val="0"/>
        <w:keepLines w:val="0"/>
        <w:numPr>
          <w:ilvl w:val="1"/>
          <w:numId w:val="0"/>
        </w:numPr>
        <w:spacing w:before="0" w:after="0" w:line="460" w:lineRule="exact"/>
        <w:ind w:firstLine="420" w:firstLineChars="200"/>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（五）阶段分析报告</w:t>
      </w:r>
    </w:p>
    <w:p w14:paraId="0CC30728">
      <w:pPr>
        <w:pStyle w:val="3"/>
        <w:keepNext w:val="0"/>
        <w:keepLines w:val="0"/>
        <w:numPr>
          <w:ilvl w:val="1"/>
          <w:numId w:val="0"/>
        </w:numPr>
        <w:spacing w:before="0" w:after="0" w:line="460" w:lineRule="exact"/>
        <w:ind w:firstLine="420" w:firstLineChars="200"/>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阶段分析报告分为季度、年度监测分析报告，其中季度分析报告为每年4次，提交时间不应晚于次季度首月前15个工作日，并上传至省平台。阶段分析报告应结合桥梁人工检查和监测数据，综合分析评估桥梁结构整体受力性能、主要受力构件性能等内容。</w:t>
      </w:r>
    </w:p>
    <w:p w14:paraId="78A259B6">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标准化系统监测报告以单桥出具，轻量化系统监测报告按区县出具。阶段分析报告内容应包含但不限于：数据完好率、统计数据分析、长期变化趋势分析、监测数据相关性分析、人工现场检查等内容。</w:t>
      </w:r>
    </w:p>
    <w:p w14:paraId="005E8725">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（六）特殊事件报告</w:t>
      </w:r>
    </w:p>
    <w:p w14:paraId="2E8C756A">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特殊事件报告应在特殊事</w:t>
      </w:r>
      <w:r>
        <w:rPr>
          <w:rFonts w:hint="default" w:ascii="Times New Roman" w:hAnsi="Times New Roman" w:eastAsia="宋体" w:cs="Times New Roman"/>
          <w:b w:val="0"/>
          <w:color w:val="auto"/>
          <w:sz w:val="21"/>
          <w:szCs w:val="21"/>
          <w:highlight w:val="none"/>
          <w:lang w:val="en-US" w:eastAsia="zh-CN"/>
        </w:rPr>
        <w:t>件发生后24小时内出具。</w:t>
      </w:r>
      <w:r>
        <w:rPr>
          <w:rFonts w:hint="default" w:ascii="宋体" w:hAnsi="宋体" w:eastAsia="宋体" w:cs="宋体"/>
          <w:b w:val="0"/>
          <w:color w:val="auto"/>
          <w:sz w:val="21"/>
          <w:szCs w:val="21"/>
          <w:highlight w:val="none"/>
          <w:lang w:val="en-US" w:eastAsia="zh-CN"/>
        </w:rPr>
        <w:t>报告应根据台风、地震、船舶撞击以及“百吨王”过桥及</w:t>
      </w:r>
      <w:r>
        <w:rPr>
          <w:rFonts w:hint="eastAsia" w:ascii="宋体" w:hAnsi="宋体" w:eastAsia="宋体" w:cs="宋体"/>
          <w:b w:val="0"/>
          <w:color w:val="auto"/>
          <w:sz w:val="21"/>
          <w:szCs w:val="21"/>
          <w:highlight w:val="none"/>
          <w:lang w:val="en-US" w:eastAsia="zh-CN"/>
        </w:rPr>
        <w:t>采购人</w:t>
      </w:r>
      <w:r>
        <w:rPr>
          <w:rFonts w:hint="default" w:ascii="宋体" w:hAnsi="宋体" w:eastAsia="宋体" w:cs="宋体"/>
          <w:b w:val="0"/>
          <w:color w:val="auto"/>
          <w:sz w:val="21"/>
          <w:szCs w:val="21"/>
          <w:highlight w:val="none"/>
          <w:lang w:val="en-US" w:eastAsia="zh-CN"/>
        </w:rPr>
        <w:t>要求的相应场景出具，需说明事件概况以及全过程监测数据分析、应急处置（如有）等情况，分析事前、事中、事后数据，评估事件对桥梁结构的影响；</w:t>
      </w:r>
    </w:p>
    <w:p w14:paraId="73B16AA3">
      <w:pPr>
        <w:pStyle w:val="3"/>
        <w:keepNext w:val="0"/>
        <w:keepLines w:val="0"/>
        <w:numPr>
          <w:ilvl w:val="1"/>
          <w:numId w:val="0"/>
        </w:numPr>
        <w:spacing w:before="0" w:after="0" w:line="460" w:lineRule="exact"/>
        <w:ind w:firstLine="420" w:firstLineChars="200"/>
        <w:rPr>
          <w:rFonts w:hint="default" w:ascii="宋体" w:hAnsi="宋体" w:eastAsia="宋体" w:cs="宋体"/>
          <w:b w:val="0"/>
          <w:color w:val="auto"/>
          <w:sz w:val="21"/>
          <w:szCs w:val="21"/>
          <w:highlight w:val="none"/>
          <w:lang w:val="en-US" w:eastAsia="zh-CN"/>
        </w:rPr>
      </w:pPr>
      <w:r>
        <w:rPr>
          <w:rFonts w:hint="default" w:ascii="宋体" w:hAnsi="宋体" w:eastAsia="宋体" w:cs="宋体"/>
          <w:b w:val="0"/>
          <w:color w:val="auto"/>
          <w:sz w:val="21"/>
          <w:szCs w:val="21"/>
          <w:highlight w:val="none"/>
          <w:lang w:val="en-US" w:eastAsia="zh-CN"/>
        </w:rPr>
        <w:t>（七）采购人的其他运维要求等。</w:t>
      </w:r>
    </w:p>
    <w:p w14:paraId="5AE578A9">
      <w:pPr>
        <w:adjustRightInd w:val="0"/>
        <w:snapToGrid w:val="0"/>
        <w:spacing w:line="460" w:lineRule="exact"/>
        <w:ind w:firstLine="422" w:firstLineChars="200"/>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三、质量要求</w:t>
      </w:r>
    </w:p>
    <w:p w14:paraId="445C76B2">
      <w:pPr>
        <w:pStyle w:val="3"/>
        <w:keepNext w:val="0"/>
        <w:keepLines w:val="0"/>
        <w:numPr>
          <w:ilvl w:val="1"/>
          <w:numId w:val="0"/>
        </w:numPr>
        <w:spacing w:before="0" w:after="0" w:line="460" w:lineRule="exact"/>
        <w:ind w:firstLine="420" w:firstLineChars="200"/>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在运维服务期内，</w:t>
      </w:r>
      <w:r>
        <w:rPr>
          <w:rFonts w:hint="eastAsia" w:ascii="Times New Roman" w:hAnsi="Times New Roman" w:eastAsia="宋体" w:cs="Times New Roman"/>
          <w:b w:val="0"/>
          <w:color w:val="auto"/>
          <w:sz w:val="21"/>
          <w:szCs w:val="21"/>
          <w:highlight w:val="none"/>
          <w:lang w:val="en-US" w:eastAsia="zh-CN"/>
        </w:rPr>
        <w:t>供应商</w:t>
      </w:r>
      <w:r>
        <w:rPr>
          <w:rFonts w:hint="default" w:ascii="Times New Roman" w:hAnsi="Times New Roman" w:eastAsia="宋体" w:cs="Times New Roman"/>
          <w:b w:val="0"/>
          <w:color w:val="auto"/>
          <w:sz w:val="21"/>
          <w:szCs w:val="21"/>
          <w:highlight w:val="none"/>
          <w:lang w:val="en-US" w:eastAsia="zh-CN"/>
        </w:rPr>
        <w:t>应保证桥梁监测数据传输质量满足《公路桥梁结构监测技术规范》（JT/T 1037-2022）、《桥梁轻量化监测系统建设规范》（DB32</w:t>
      </w:r>
      <w:r>
        <w:rPr>
          <w:rFonts w:hint="eastAsia" w:ascii="Times New Roman" w:hAnsi="Times New Roman" w:eastAsia="宋体" w:cs="Times New Roman"/>
          <w:b w:val="0"/>
          <w:color w:val="auto"/>
          <w:sz w:val="21"/>
          <w:szCs w:val="21"/>
          <w:highlight w:val="none"/>
          <w:lang w:val="en-US" w:eastAsia="zh-CN"/>
        </w:rPr>
        <w:t>/</w:t>
      </w:r>
      <w:r>
        <w:rPr>
          <w:rFonts w:hint="default" w:ascii="Times New Roman" w:hAnsi="Times New Roman" w:eastAsia="宋体" w:cs="Times New Roman"/>
          <w:b w:val="0"/>
          <w:color w:val="auto"/>
          <w:sz w:val="21"/>
          <w:szCs w:val="21"/>
          <w:highlight w:val="none"/>
          <w:lang w:val="en-US" w:eastAsia="zh-CN"/>
        </w:rPr>
        <w:t>T 4987-2024）、《江苏省普通国省道桥梁结构监测系统建设和运维管理办法》（苏交公路〔2023〕1号）、《江苏省普通国省道桥梁视频监控建设技术工作要求》（苏交公便养〔2025〕235号）等相关标准要求，保障监测设备在江苏省普通国省道桥梁结构监测系统中的数据在线率不低于90%。</w:t>
      </w:r>
    </w:p>
    <w:p w14:paraId="15F8E83A">
      <w:pPr>
        <w:pStyle w:val="3"/>
        <w:keepNext w:val="0"/>
        <w:keepLines w:val="0"/>
        <w:numPr>
          <w:ilvl w:val="1"/>
          <w:numId w:val="0"/>
        </w:numPr>
        <w:spacing w:before="0" w:after="0" w:line="460" w:lineRule="exact"/>
        <w:ind w:firstLine="422" w:firstLineChars="200"/>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四、报价说明</w:t>
      </w:r>
    </w:p>
    <w:p w14:paraId="4F0D9A3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宋体" w:hAnsi="宋体" w:eastAsia="宋体" w:cs="宋体"/>
          <w:color w:val="auto"/>
          <w:sz w:val="24"/>
          <w:szCs w:val="24"/>
          <w:highlight w:val="none"/>
        </w:rPr>
      </w:pPr>
      <w:r>
        <w:rPr>
          <w:rFonts w:hint="eastAsia" w:ascii="Times New Roman" w:hAnsi="Times New Roman" w:eastAsia="宋体" w:cs="Times New Roman"/>
          <w:b w:val="0"/>
          <w:bCs/>
          <w:color w:val="auto"/>
          <w:sz w:val="21"/>
          <w:szCs w:val="21"/>
          <w:highlight w:val="none"/>
          <w:lang w:val="en-US" w:eastAsia="zh-CN"/>
        </w:rPr>
        <w:t>1、供应商</w:t>
      </w:r>
      <w:r>
        <w:rPr>
          <w:rFonts w:hint="eastAsia" w:ascii="Times New Roman" w:hAnsi="Times New Roman" w:eastAsia="宋体" w:cs="Times New Roman"/>
          <w:b w:val="0"/>
          <w:bCs/>
          <w:color w:val="auto"/>
          <w:kern w:val="2"/>
          <w:sz w:val="21"/>
          <w:szCs w:val="21"/>
          <w:highlight w:val="none"/>
          <w:lang w:val="en-US" w:eastAsia="zh-CN" w:bidi="ar-SA"/>
        </w:rPr>
        <w:t>的投标价，包括但不限于供应商完成合同项目所有工作内容和提供完整的文件原件及成果报告所需的调查费、检测费、数据分析费、劳务费、保险费、差旅费、咨询费、审查费、会务费、出版费、成果文件编制费、管理费、相关安全生产费用、利润、税金及进行项目报批需要编制相关文件等全部费用，采购文件未列明，而供应商认为必需的费用自行综合考虑到报价。</w:t>
      </w:r>
    </w:p>
    <w:p w14:paraId="799E12F6">
      <w:pPr>
        <w:keepNext w:val="0"/>
        <w:keepLines w:val="0"/>
        <w:pageBreakBefore w:val="0"/>
        <w:widowControl w:val="0"/>
        <w:kinsoku/>
        <w:wordWrap/>
        <w:overflowPunct/>
        <w:topLinePunct w:val="0"/>
        <w:autoSpaceDE/>
        <w:autoSpaceDN/>
        <w:bidi w:val="0"/>
        <w:adjustRightInd w:val="0"/>
        <w:snapToGrid w:val="0"/>
        <w:spacing w:line="460" w:lineRule="atLeast"/>
        <w:ind w:firstLine="420" w:firstLineChars="200"/>
        <w:jc w:val="left"/>
        <w:textAlignment w:val="auto"/>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2、中国政府（江苏省）根据现行税法和有关部门现行规定就本合同项下向供应商征收的所有税金及其他应交纳的所有费用均由供应商摊入各工程细目的报价中。</w:t>
      </w:r>
    </w:p>
    <w:p w14:paraId="2692125B">
      <w:pPr>
        <w:keepNext w:val="0"/>
        <w:keepLines w:val="0"/>
        <w:pageBreakBefore w:val="0"/>
        <w:widowControl w:val="0"/>
        <w:kinsoku/>
        <w:wordWrap/>
        <w:overflowPunct/>
        <w:topLinePunct w:val="0"/>
        <w:autoSpaceDE/>
        <w:autoSpaceDN/>
        <w:bidi w:val="0"/>
        <w:adjustRightInd w:val="0"/>
        <w:snapToGrid w:val="0"/>
        <w:spacing w:line="460" w:lineRule="atLeast"/>
        <w:ind w:firstLine="420" w:firstLineChars="200"/>
        <w:jc w:val="left"/>
        <w:textAlignment w:val="auto"/>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3、本项目施工安全操作应符合国家及行业标准，用电安全、高空作业、施工作业面安全围护、劳动保护用具配置应落实到位，施工安装人员保险应投保到位。相关安全生产费用、人员保险等费用在投标报价中综合考虑，采购人不另计列。</w:t>
      </w:r>
    </w:p>
    <w:p w14:paraId="0D8CC9E8">
      <w:pPr>
        <w:keepNext/>
        <w:keepLines/>
        <w:numPr>
          <w:ilvl w:val="0"/>
          <w:numId w:val="0"/>
        </w:numPr>
        <w:spacing w:line="360" w:lineRule="auto"/>
        <w:ind w:firstLine="422" w:firstLineChars="200"/>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五、</w:t>
      </w:r>
      <w:r>
        <w:rPr>
          <w:rFonts w:hint="eastAsia" w:ascii="宋体" w:hAnsi="宋体" w:eastAsia="宋体" w:cs="宋体"/>
          <w:b/>
          <w:bCs/>
          <w:color w:val="auto"/>
          <w:sz w:val="21"/>
          <w:szCs w:val="21"/>
          <w:highlight w:val="none"/>
          <w:lang w:val="en-US" w:eastAsia="zh-CN"/>
        </w:rPr>
        <w:t>付款方式</w:t>
      </w:r>
    </w:p>
    <w:p w14:paraId="0BB5199A">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1、本项目采用</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固定总价</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报价</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所有款项均以人民币进行支付</w:t>
      </w:r>
      <w:r>
        <w:rPr>
          <w:rFonts w:hint="eastAsia" w:ascii="宋体" w:hAnsi="宋体" w:eastAsia="宋体" w:cs="宋体"/>
          <w:bCs/>
          <w:color w:val="auto"/>
          <w:sz w:val="21"/>
          <w:szCs w:val="21"/>
          <w:highlight w:val="none"/>
        </w:rPr>
        <w:t>。</w:t>
      </w:r>
    </w:p>
    <w:p w14:paraId="4F2587C5">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2、在付款条件达成后，采购人按以下方式向供应商支付合同费用：</w:t>
      </w:r>
      <w:r>
        <w:rPr>
          <w:rFonts w:hint="default" w:ascii="Times New Roman" w:hAnsi="Times New Roman" w:eastAsia="宋体" w:cs="Times New Roman"/>
          <w:b w:val="0"/>
          <w:bCs/>
          <w:color w:val="auto"/>
          <w:sz w:val="21"/>
          <w:szCs w:val="21"/>
          <w:highlight w:val="none"/>
        </w:rPr>
        <w:t>采购人、</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rPr>
        <w:t>双方合同签订后，采购人向</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rPr>
        <w:t>支付合同总价的30%预付款；采购人收到</w:t>
      </w:r>
      <w:r>
        <w:rPr>
          <w:rFonts w:hint="eastAsia" w:ascii="Times New Roman" w:hAnsi="Times New Roman" w:eastAsia="宋体" w:cs="Times New Roman"/>
          <w:b w:val="0"/>
          <w:bCs/>
          <w:color w:val="auto"/>
          <w:sz w:val="21"/>
          <w:szCs w:val="21"/>
          <w:highlight w:val="none"/>
          <w:lang w:val="en-US" w:eastAsia="zh-CN"/>
        </w:rPr>
        <w:t>供应商开具的合法有效发票后</w:t>
      </w:r>
      <w:r>
        <w:rPr>
          <w:rFonts w:hint="default" w:ascii="Times New Roman" w:hAnsi="Times New Roman" w:eastAsia="宋体" w:cs="Times New Roman"/>
          <w:b w:val="0"/>
          <w:bCs/>
          <w:color w:val="auto"/>
          <w:sz w:val="21"/>
          <w:szCs w:val="21"/>
          <w:highlight w:val="none"/>
        </w:rPr>
        <w:t>将预付款支付到合同约定的</w:t>
      </w:r>
      <w:r>
        <w:rPr>
          <w:rFonts w:hint="eastAsia" w:ascii="Times New Roman" w:hAnsi="Times New Roman" w:eastAsia="宋体" w:cs="Times New Roman"/>
          <w:b w:val="0"/>
          <w:bCs/>
          <w:color w:val="auto"/>
          <w:sz w:val="21"/>
          <w:szCs w:val="21"/>
          <w:highlight w:val="none"/>
          <w:lang w:val="en-US" w:eastAsia="zh-CN"/>
        </w:rPr>
        <w:t>供应商</w:t>
      </w:r>
      <w:r>
        <w:rPr>
          <w:rFonts w:hint="default" w:ascii="Times New Roman" w:hAnsi="Times New Roman" w:eastAsia="宋体" w:cs="Times New Roman"/>
          <w:b w:val="0"/>
          <w:bCs/>
          <w:color w:val="auto"/>
          <w:sz w:val="21"/>
          <w:szCs w:val="21"/>
          <w:highlight w:val="none"/>
        </w:rPr>
        <w:t>账户。</w:t>
      </w:r>
      <w:r>
        <w:rPr>
          <w:rFonts w:hint="eastAsia" w:ascii="Times New Roman" w:hAnsi="Times New Roman" w:eastAsia="宋体" w:cs="Times New Roman"/>
          <w:b w:val="0"/>
          <w:bCs/>
          <w:color w:val="auto"/>
          <w:sz w:val="21"/>
          <w:szCs w:val="21"/>
          <w:highlight w:val="none"/>
          <w:lang w:val="en-US" w:eastAsia="zh-CN"/>
        </w:rPr>
        <w:t>供应商完成当年度桥梁结构监测运维服务工作，提交相关报告并通过由采购人组织专家验收通过后，支付相应运维服务费用；其中，采购包1：2026、2027年各支付剩余运维费用的30%，2028年支付剩余运维费用的40%；采购包2：2027年支付剩余运维费用的40%，2028年支付剩余运维费用的60%。以上付款均不计利息。</w:t>
      </w:r>
    </w:p>
    <w:p w14:paraId="3663ECF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注：（1）采购人可根据财政资金指标下达情况和支付业务结束时间相应调整支付时间。</w:t>
      </w:r>
    </w:p>
    <w:p w14:paraId="1E250480">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（2）因上级部门拨付时间问题引起的逾期付款，采购人不承担违约金及相关利息。</w:t>
      </w:r>
    </w:p>
    <w:p w14:paraId="596046F5">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20" w:firstLineChars="20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color w:val="auto"/>
          <w:sz w:val="21"/>
          <w:szCs w:val="21"/>
          <w:highlight w:val="none"/>
          <w:lang w:val="en-US" w:eastAsia="zh-CN"/>
        </w:rPr>
        <w:t>应按照采购人要求开具发票，否则采购人有权拒绝付款且不承担任何违约责任。</w:t>
      </w:r>
    </w:p>
    <w:p w14:paraId="11871529">
      <w:pPr>
        <w:pStyle w:val="14"/>
        <w:keepNext w:val="0"/>
        <w:keepLines w:val="0"/>
        <w:pageBreakBefore w:val="0"/>
        <w:widowControl w:val="0"/>
        <w:kinsoku/>
        <w:wordWrap/>
        <w:overflowPunct/>
        <w:topLinePunct w:val="0"/>
        <w:bidi w:val="0"/>
        <w:adjustRightInd w:val="0"/>
        <w:snapToGrid w:val="0"/>
        <w:spacing w:line="460" w:lineRule="exact"/>
        <w:ind w:left="0" w:leftChars="0" w:firstLine="422" w:firstLineChars="200"/>
        <w:textAlignment w:val="auto"/>
        <w:rPr>
          <w:rFonts w:hint="eastAsia" w:ascii="宋体" w:hAnsi="宋体" w:eastAsia="宋体" w:cs="宋体"/>
          <w:bCs/>
          <w:color w:val="auto"/>
          <w:sz w:val="21"/>
          <w:szCs w:val="21"/>
          <w:highlight w:val="none"/>
          <w:lang w:val="zh-CN" w:bidi="zh-CN"/>
        </w:rPr>
      </w:pPr>
      <w:r>
        <w:rPr>
          <w:rFonts w:hint="eastAsia" w:cs="宋体"/>
          <w:b/>
          <w:color w:val="auto"/>
          <w:sz w:val="21"/>
          <w:szCs w:val="21"/>
          <w:highlight w:val="none"/>
          <w:lang w:eastAsia="zh-CN"/>
        </w:rPr>
        <w:t>（</w:t>
      </w:r>
      <w:r>
        <w:rPr>
          <w:rFonts w:hint="eastAsia" w:cs="宋体"/>
          <w:b/>
          <w:color w:val="auto"/>
          <w:sz w:val="21"/>
          <w:szCs w:val="21"/>
          <w:highlight w:val="none"/>
          <w:lang w:val="en-US" w:eastAsia="zh-CN"/>
        </w:rPr>
        <w:t>4</w:t>
      </w:r>
      <w:r>
        <w:rPr>
          <w:rFonts w:hint="eastAsia" w:cs="宋体"/>
          <w:b/>
          <w:color w:val="auto"/>
          <w:sz w:val="21"/>
          <w:szCs w:val="21"/>
          <w:highlight w:val="none"/>
          <w:lang w:eastAsia="zh-CN"/>
        </w:rPr>
        <w:t>）</w:t>
      </w:r>
      <w:r>
        <w:rPr>
          <w:rFonts w:hint="eastAsia" w:ascii="宋体" w:hAnsi="宋体" w:eastAsia="宋体" w:cs="宋体"/>
          <w:b/>
          <w:color w:val="auto"/>
          <w:sz w:val="21"/>
          <w:szCs w:val="21"/>
          <w:highlight w:val="none"/>
        </w:rPr>
        <w:t>在签定合同时，</w:t>
      </w:r>
      <w:r>
        <w:rPr>
          <w:rFonts w:hint="eastAsia" w:ascii="Times New Roman" w:hAnsi="Times New Roman" w:cs="Times New Roman"/>
          <w:b/>
          <w:bCs w:val="0"/>
          <w:color w:val="auto"/>
          <w:sz w:val="21"/>
          <w:szCs w:val="21"/>
          <w:highlight w:val="none"/>
          <w:lang w:val="en-US" w:eastAsia="zh-CN"/>
        </w:rPr>
        <w:t>供应商</w:t>
      </w:r>
      <w:r>
        <w:rPr>
          <w:rFonts w:hint="eastAsia" w:ascii="宋体" w:hAnsi="宋体" w:eastAsia="宋体" w:cs="宋体"/>
          <w:b/>
          <w:color w:val="auto"/>
          <w:sz w:val="21"/>
          <w:szCs w:val="21"/>
          <w:highlight w:val="none"/>
        </w:rPr>
        <w:t>明确表示无需预付款或者主动要求降低预付款比例的，采购人可不适用前述规定。</w:t>
      </w:r>
    </w:p>
    <w:p w14:paraId="5906C6B9">
      <w:pPr>
        <w:keepNext/>
        <w:keepLines/>
        <w:numPr>
          <w:ilvl w:val="0"/>
          <w:numId w:val="0"/>
        </w:numPr>
        <w:spacing w:line="360" w:lineRule="auto"/>
        <w:ind w:firstLine="422" w:firstLineChars="200"/>
        <w:outlineLvl w:val="2"/>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六、服务方案要求</w:t>
      </w:r>
    </w:p>
    <w:p w14:paraId="0284A04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服务方案整体要求内容准确、全面，结合本项目特征，具备可操作性、合规性、安全性、经济性、针对性等，方案要点如下，具体量化指标可参考：</w:t>
      </w:r>
    </w:p>
    <w:p w14:paraId="4BC85F7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1、项目的理解与认识</w:t>
      </w:r>
    </w:p>
    <w:p w14:paraId="5E766A2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default" w:ascii="Times New Roman" w:hAnsi="Times New Roman" w:cs="Times New Roman"/>
          <w:color w:val="auto"/>
          <w:kern w:val="0"/>
          <w:szCs w:val="21"/>
          <w:highlight w:val="none"/>
          <w:lang w:val="en-US"/>
        </w:rPr>
      </w:pP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cs="Times New Roman" w:eastAsiaTheme="minorEastAsia"/>
          <w:color w:val="auto"/>
          <w:w w:val="100"/>
          <w:kern w:val="0"/>
          <w:sz w:val="21"/>
          <w:szCs w:val="21"/>
          <w:highlight w:val="none"/>
          <w:lang w:val="en-US" w:eastAsia="zh-CN"/>
        </w:rPr>
        <w:t>需提出针对</w:t>
      </w:r>
      <w:r>
        <w:rPr>
          <w:rFonts w:hint="default" w:ascii="Times New Roman" w:hAnsi="Times New Roman" w:cs="Times New Roman" w:eastAsiaTheme="minorEastAsia"/>
          <w:color w:val="auto"/>
          <w:w w:val="100"/>
          <w:kern w:val="0"/>
          <w:sz w:val="21"/>
          <w:szCs w:val="21"/>
          <w:highlight w:val="none"/>
          <w:lang w:val="en-US" w:eastAsia="zh-CN"/>
        </w:rPr>
        <w:t>本</w:t>
      </w:r>
      <w:r>
        <w:rPr>
          <w:rFonts w:hint="eastAsia" w:ascii="Times New Roman" w:hAnsi="Times New Roman" w:cs="Times New Roman" w:eastAsiaTheme="minorEastAsia"/>
          <w:color w:val="auto"/>
          <w:w w:val="100"/>
          <w:kern w:val="0"/>
          <w:sz w:val="21"/>
          <w:szCs w:val="21"/>
          <w:highlight w:val="none"/>
          <w:lang w:val="en-US" w:eastAsia="zh-CN"/>
        </w:rPr>
        <w:t>项目的理解与认识</w:t>
      </w:r>
      <w:r>
        <w:rPr>
          <w:rFonts w:hint="default" w:ascii="Times New Roman" w:hAnsi="Times New Roman" w:cs="Times New Roman" w:eastAsiaTheme="minorEastAsia"/>
          <w:color w:val="auto"/>
          <w:w w:val="100"/>
          <w:kern w:val="0"/>
          <w:sz w:val="21"/>
          <w:szCs w:val="21"/>
          <w:highlight w:val="none"/>
          <w:lang w:val="en-US" w:eastAsia="zh-CN"/>
        </w:rPr>
        <w:t>，方案需包含：</w:t>
      </w:r>
      <w:r>
        <w:rPr>
          <w:rFonts w:hint="default" w:ascii="Times New Roman" w:hAnsi="Times New Roman" w:cs="Times New Roman" w:eastAsiaTheme="minorEastAsia"/>
          <w:color w:val="auto"/>
          <w:w w:val="100"/>
          <w:kern w:val="0"/>
          <w:sz w:val="21"/>
          <w:szCs w:val="21"/>
          <w:highlight w:val="none"/>
        </w:rPr>
        <w:t>对本项目的理解和背景认知</w:t>
      </w:r>
      <w:r>
        <w:rPr>
          <w:rFonts w:hint="default" w:ascii="Times New Roman" w:hAnsi="Times New Roman" w:cs="Times New Roman" w:eastAsiaTheme="minorEastAsia"/>
          <w:color w:val="auto"/>
          <w:w w:val="100"/>
          <w:kern w:val="0"/>
          <w:sz w:val="21"/>
          <w:szCs w:val="21"/>
          <w:highlight w:val="none"/>
          <w:lang w:eastAsia="zh-CN"/>
        </w:rPr>
        <w:t>；</w:t>
      </w:r>
      <w:r>
        <w:rPr>
          <w:rFonts w:hint="default" w:ascii="Times New Roman" w:hAnsi="Times New Roman" w:cs="Times New Roman" w:eastAsiaTheme="minorEastAsia"/>
          <w:color w:val="auto"/>
          <w:w w:val="100"/>
          <w:kern w:val="0"/>
          <w:sz w:val="21"/>
          <w:szCs w:val="21"/>
          <w:highlight w:val="none"/>
        </w:rPr>
        <w:t>目标把握情况</w:t>
      </w:r>
      <w:r>
        <w:rPr>
          <w:rFonts w:hint="default" w:ascii="Times New Roman" w:hAnsi="Times New Roman" w:cs="Times New Roman"/>
          <w:color w:val="auto"/>
          <w:kern w:val="0"/>
          <w:szCs w:val="21"/>
          <w:highlight w:val="none"/>
          <w:lang w:val="en-US"/>
        </w:rPr>
        <w:t>。</w:t>
      </w:r>
    </w:p>
    <w:p w14:paraId="6A73FA6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1.1</w:t>
      </w:r>
      <w:r>
        <w:rPr>
          <w:rFonts w:hint="default" w:ascii="Times New Roman" w:hAnsi="Times New Roman" w:cs="Times New Roman" w:eastAsiaTheme="minorEastAsia"/>
          <w:color w:val="auto"/>
          <w:w w:val="100"/>
          <w:kern w:val="0"/>
          <w:sz w:val="21"/>
          <w:szCs w:val="21"/>
          <w:highlight w:val="none"/>
        </w:rPr>
        <w:t>对本项目的理解和背景认知</w:t>
      </w:r>
    </w:p>
    <w:p w14:paraId="7403406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（1）阐述对国家及江苏省关于桥梁结构监测系统建设与运维管理相关政策的理解，特别是《江苏省普通国省道桥梁结构监测系统建设和运维管理办法》（苏交公路〔2023〕1号）的指导意义。</w:t>
      </w:r>
    </w:p>
    <w:p w14:paraId="79BE67C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分析本项目所涉及桥梁的结构特点、运行环境及安全风险，结合24小时监测系统巡查、人工现场检查、硬件维护等运维任务，阐述项目在保障桥梁结构安全、延长使用寿命、提升智慧管养水平等方面的重要性。</w:t>
      </w:r>
    </w:p>
    <w:p w14:paraId="0E9965F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（3）针对采购包1与采购包2在服务期限上的差异，分别说明在运维策略、数据延续性、责任交接等方面的认知与应对思路。</w:t>
      </w:r>
    </w:p>
    <w:p w14:paraId="7CD7A07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1.2</w:t>
      </w:r>
      <w:r>
        <w:rPr>
          <w:rFonts w:hint="default" w:ascii="Times New Roman" w:hAnsi="Times New Roman" w:cs="Times New Roman" w:eastAsiaTheme="minorEastAsia"/>
          <w:color w:val="auto"/>
          <w:w w:val="100"/>
          <w:kern w:val="0"/>
          <w:sz w:val="21"/>
          <w:szCs w:val="21"/>
          <w:highlight w:val="none"/>
        </w:rPr>
        <w:t>目标把握情况</w:t>
      </w:r>
    </w:p>
    <w:p w14:paraId="18F5CE0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（1）明确本项目运维的总体目标：确保系统在线率达标、数据完好率符合规范、硬件设备稳定运行、报警处置及时有效、报告编制规范完整。</w:t>
      </w:r>
    </w:p>
    <w:p w14:paraId="1FE269E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（2）提出对季度、年度监测分析报告与特殊事件报告编制质量的把控目标，确保报告能真实反映桥梁结构性能演变趋势，并为采购人决策提供有效支撑。</w:t>
      </w:r>
    </w:p>
    <w:p w14:paraId="481CDD0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（3）结合采购人对“数据完好率”“长期变化趋势分析”“应急处置配合”等核心要求，提出具体的服务响应目标，并承诺关键绩效指标的达成。</w:t>
      </w:r>
    </w:p>
    <w:p w14:paraId="1851558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w:t>
      </w:r>
      <w:r>
        <w:rPr>
          <w:rFonts w:hint="default" w:ascii="Times New Roman" w:hAnsi="Times New Roman" w:eastAsia="宋体" w:cs="Times New Roman"/>
          <w:b w:val="0"/>
          <w:bCs/>
          <w:color w:val="auto"/>
          <w:kern w:val="2"/>
          <w:sz w:val="21"/>
          <w:szCs w:val="21"/>
          <w:highlight w:val="none"/>
          <w:lang w:val="en-US" w:eastAsia="zh-CN" w:bidi="ar-SA"/>
        </w:rPr>
        <w:t>工作流程及方法</w:t>
      </w:r>
    </w:p>
    <w:p w14:paraId="44D79A9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b w:val="0"/>
          <w:bCs/>
          <w:color w:val="auto"/>
          <w:kern w:val="2"/>
          <w:sz w:val="21"/>
          <w:szCs w:val="21"/>
          <w:highlight w:val="none"/>
          <w:lang w:val="en-US" w:eastAsia="zh-CN" w:bidi="ar-SA"/>
        </w:rPr>
        <w:t>需提出针对</w:t>
      </w:r>
      <w:r>
        <w:rPr>
          <w:rFonts w:hint="default" w:ascii="Times New Roman" w:hAnsi="Times New Roman" w:eastAsia="宋体" w:cs="Times New Roman"/>
          <w:b w:val="0"/>
          <w:bCs/>
          <w:color w:val="auto"/>
          <w:kern w:val="2"/>
          <w:sz w:val="21"/>
          <w:szCs w:val="21"/>
          <w:highlight w:val="none"/>
          <w:lang w:val="en-US" w:eastAsia="zh-CN" w:bidi="ar-SA"/>
        </w:rPr>
        <w:t>本</w:t>
      </w:r>
      <w:r>
        <w:rPr>
          <w:rFonts w:hint="eastAsia" w:ascii="Times New Roman" w:hAnsi="Times New Roman" w:eastAsia="宋体" w:cs="Times New Roman"/>
          <w:b w:val="0"/>
          <w:bCs/>
          <w:color w:val="auto"/>
          <w:kern w:val="2"/>
          <w:sz w:val="21"/>
          <w:szCs w:val="21"/>
          <w:highlight w:val="none"/>
          <w:lang w:val="en-US" w:eastAsia="zh-CN" w:bidi="ar-SA"/>
        </w:rPr>
        <w:t>项目的</w:t>
      </w:r>
      <w:r>
        <w:rPr>
          <w:rFonts w:hint="default" w:ascii="Times New Roman" w:hAnsi="Times New Roman" w:eastAsia="宋体" w:cs="Times New Roman"/>
          <w:b w:val="0"/>
          <w:bCs/>
          <w:color w:val="auto"/>
          <w:kern w:val="2"/>
          <w:sz w:val="21"/>
          <w:szCs w:val="21"/>
          <w:highlight w:val="none"/>
          <w:lang w:val="en-US" w:eastAsia="zh-CN" w:bidi="ar-SA"/>
        </w:rPr>
        <w:t>工作流程及方法</w:t>
      </w:r>
      <w:r>
        <w:rPr>
          <w:rFonts w:hint="eastAsia" w:ascii="Times New Roman" w:hAnsi="Times New Roman" w:eastAsia="宋体" w:cs="Times New Roman"/>
          <w:b w:val="0"/>
          <w:bCs/>
          <w:color w:val="auto"/>
          <w:kern w:val="2"/>
          <w:sz w:val="21"/>
          <w:szCs w:val="21"/>
          <w:highlight w:val="none"/>
          <w:lang w:val="en-US" w:eastAsia="zh-CN" w:bidi="ar-SA"/>
        </w:rPr>
        <w:t>，</w:t>
      </w:r>
      <w:r>
        <w:rPr>
          <w:rFonts w:hint="default" w:ascii="Times New Roman" w:hAnsi="Times New Roman" w:eastAsia="宋体" w:cs="Times New Roman"/>
          <w:b w:val="0"/>
          <w:bCs/>
          <w:color w:val="auto"/>
          <w:kern w:val="2"/>
          <w:sz w:val="21"/>
          <w:szCs w:val="21"/>
          <w:highlight w:val="none"/>
          <w:lang w:val="en-US" w:eastAsia="zh-CN" w:bidi="ar-SA"/>
        </w:rPr>
        <w:t>方案需包含：监测的方法；监测思路与工作流程；监测安全性评估方法和判定准则。</w:t>
      </w:r>
    </w:p>
    <w:p w14:paraId="78412FE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2.1</w:t>
      </w:r>
      <w:r>
        <w:rPr>
          <w:rFonts w:hint="default" w:ascii="Times New Roman" w:hAnsi="Times New Roman" w:eastAsia="宋体" w:cs="Times New Roman"/>
          <w:b w:val="0"/>
          <w:bCs/>
          <w:color w:val="auto"/>
          <w:kern w:val="2"/>
          <w:sz w:val="21"/>
          <w:szCs w:val="21"/>
          <w:highlight w:val="none"/>
          <w:lang w:val="en-US" w:eastAsia="zh-CN" w:bidi="ar-SA"/>
        </w:rPr>
        <w:t>监测的方法</w:t>
      </w:r>
    </w:p>
    <w:p w14:paraId="493892E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（1）说明对场端采集、传输等软、硬件系统的日常巡检与升级维护方法，确保数据稳定上传至省平台。</w:t>
      </w:r>
    </w:p>
    <w:p w14:paraId="7188255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（2）描述对省平台的常态化巡检流程，包括离线设备识别、故障定位与快速恢复的具体技术手段，明确保障省平台数据在线率的措施。</w:t>
      </w:r>
    </w:p>
    <w:p w14:paraId="48D3020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（3）阐述在监测数据报警分析与处置中的技术方法，包括前端模块跳点滤除、噪声干扰处理机制，以及对报警信息的初步核查、分级上报与配合处置的流程。</w:t>
      </w:r>
    </w:p>
    <w:p w14:paraId="22C92DA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2.2</w:t>
      </w:r>
      <w:r>
        <w:rPr>
          <w:rFonts w:hint="default" w:ascii="Times New Roman" w:hAnsi="Times New Roman" w:eastAsia="宋体" w:cs="Times New Roman"/>
          <w:b w:val="0"/>
          <w:bCs/>
          <w:color w:val="auto"/>
          <w:kern w:val="2"/>
          <w:sz w:val="21"/>
          <w:szCs w:val="21"/>
          <w:highlight w:val="none"/>
          <w:lang w:val="en-US" w:eastAsia="zh-CN" w:bidi="ar-SA"/>
        </w:rPr>
        <w:t>监测思路与工作流程</w:t>
      </w:r>
    </w:p>
    <w:p w14:paraId="1AF9452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（1）明确从日常巡检、人工现场检查、硬件维护到报警处置、报告编制的闭环工作流程。</w:t>
      </w:r>
    </w:p>
    <w:p w14:paraId="6245537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（2）细化人工现场检查的实施流程，明确针对典型病害跟踪、桥面系、上部结构、支座、下部结构、采集站内设备及传感设备防护措施的检查路线、检查方法、记录方式及与阶段分析报告的衔接机制。</w:t>
      </w:r>
    </w:p>
    <w:p w14:paraId="6C1610D4">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（3）描述硬件设施维护与更换的工作流程，包括质保期内设备的报修与确认、常规监测设备定期维护、动态称重系统的检定及检验流程，以及电费、网络费缴纳与特种车辆租赁的组织方式。</w:t>
      </w:r>
    </w:p>
    <w:p w14:paraId="6E2E9EC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2.3</w:t>
      </w:r>
      <w:r>
        <w:rPr>
          <w:rFonts w:hint="default" w:ascii="Times New Roman" w:hAnsi="Times New Roman" w:eastAsia="宋体" w:cs="Times New Roman"/>
          <w:b w:val="0"/>
          <w:bCs/>
          <w:color w:val="auto"/>
          <w:kern w:val="2"/>
          <w:sz w:val="21"/>
          <w:szCs w:val="21"/>
          <w:highlight w:val="none"/>
          <w:lang w:val="en-US" w:eastAsia="zh-CN" w:bidi="ar-SA"/>
        </w:rPr>
        <w:t>监测安全性评估方法和判定准则</w:t>
      </w:r>
    </w:p>
    <w:p w14:paraId="74BE792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（1）提出基于监测数据与人工检查相结合的结构安全性综合评估方法。</w:t>
      </w:r>
    </w:p>
    <w:p w14:paraId="50B06BA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（2）明确阶段分析报告中用于评估桥梁结构整体受力性能、主要受力构件性能的关键指标、分析模型及判定准则，包括但不限于数据完好率统计、长期变化趋势分析、监测数据相关性分析等。</w:t>
      </w:r>
    </w:p>
    <w:p w14:paraId="401DEE9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（3）制定特殊事件（如台风、地震、船舶撞击、超限车辆过桥等）发生后的安全性评估流程，说明如何通过事前、事中、事后数据对比分析，判定事件对桥梁结构的影响程度，并提出应急处置建议。</w:t>
      </w:r>
    </w:p>
    <w:p w14:paraId="593E673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w:t>
      </w:r>
      <w:r>
        <w:rPr>
          <w:rFonts w:hint="default" w:ascii="Times New Roman" w:hAnsi="Times New Roman" w:eastAsia="宋体" w:cs="Times New Roman"/>
          <w:color w:val="auto"/>
          <w:sz w:val="21"/>
          <w:szCs w:val="21"/>
          <w:highlight w:val="none"/>
          <w:lang w:val="en-US" w:eastAsia="zh-CN"/>
        </w:rPr>
        <w:t>保证措施</w:t>
      </w:r>
    </w:p>
    <w:p w14:paraId="341BAC7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b w:val="0"/>
          <w:bCs/>
          <w:color w:val="auto"/>
          <w:kern w:val="2"/>
          <w:sz w:val="21"/>
          <w:szCs w:val="21"/>
          <w:highlight w:val="none"/>
          <w:lang w:val="en-US" w:eastAsia="zh-CN" w:bidi="ar-SA"/>
        </w:rPr>
        <w:t>需提出针对</w:t>
      </w:r>
      <w:r>
        <w:rPr>
          <w:rFonts w:hint="default" w:ascii="Times New Roman" w:hAnsi="Times New Roman" w:eastAsia="宋体" w:cs="Times New Roman"/>
          <w:b w:val="0"/>
          <w:bCs/>
          <w:color w:val="auto"/>
          <w:kern w:val="2"/>
          <w:sz w:val="21"/>
          <w:szCs w:val="21"/>
          <w:highlight w:val="none"/>
          <w:lang w:val="en-US" w:eastAsia="zh-CN" w:bidi="ar-SA"/>
        </w:rPr>
        <w:t>本</w:t>
      </w:r>
      <w:r>
        <w:rPr>
          <w:rFonts w:hint="eastAsia" w:ascii="Times New Roman" w:hAnsi="Times New Roman" w:eastAsia="宋体" w:cs="Times New Roman"/>
          <w:b w:val="0"/>
          <w:bCs/>
          <w:color w:val="auto"/>
          <w:kern w:val="2"/>
          <w:sz w:val="21"/>
          <w:szCs w:val="21"/>
          <w:highlight w:val="none"/>
          <w:lang w:val="en-US" w:eastAsia="zh-CN" w:bidi="ar-SA"/>
        </w:rPr>
        <w:t>项目的</w:t>
      </w:r>
      <w:r>
        <w:rPr>
          <w:rFonts w:hint="default" w:ascii="Times New Roman" w:hAnsi="Times New Roman" w:eastAsia="宋体" w:cs="Times New Roman"/>
          <w:color w:val="auto"/>
          <w:sz w:val="21"/>
          <w:szCs w:val="21"/>
          <w:highlight w:val="none"/>
          <w:lang w:val="en-US" w:eastAsia="zh-CN"/>
        </w:rPr>
        <w:t>保证措</w:t>
      </w:r>
      <w:r>
        <w:rPr>
          <w:rFonts w:hint="default" w:ascii="Times New Roman" w:hAnsi="Times New Roman" w:eastAsia="宋体" w:cs="Times New Roman"/>
          <w:b w:val="0"/>
          <w:bCs/>
          <w:color w:val="auto"/>
          <w:kern w:val="2"/>
          <w:sz w:val="21"/>
          <w:szCs w:val="21"/>
          <w:highlight w:val="none"/>
          <w:lang w:val="en-US" w:eastAsia="zh-CN" w:bidi="ar-SA"/>
        </w:rPr>
        <w:t>施</w:t>
      </w:r>
      <w:r>
        <w:rPr>
          <w:rFonts w:hint="eastAsia" w:ascii="Times New Roman" w:hAnsi="Times New Roman" w:eastAsia="宋体" w:cs="Times New Roman"/>
          <w:b w:val="0"/>
          <w:bCs/>
          <w:color w:val="auto"/>
          <w:kern w:val="2"/>
          <w:sz w:val="21"/>
          <w:szCs w:val="21"/>
          <w:highlight w:val="none"/>
          <w:lang w:val="en-US" w:eastAsia="zh-CN" w:bidi="ar-SA"/>
        </w:rPr>
        <w:t>，</w:t>
      </w:r>
      <w:r>
        <w:rPr>
          <w:rFonts w:hint="default" w:ascii="Times New Roman" w:hAnsi="Times New Roman" w:eastAsia="宋体" w:cs="Times New Roman"/>
          <w:b w:val="0"/>
          <w:bCs/>
          <w:color w:val="auto"/>
          <w:kern w:val="2"/>
          <w:sz w:val="21"/>
          <w:szCs w:val="21"/>
          <w:highlight w:val="none"/>
          <w:lang w:val="en-US" w:eastAsia="zh-CN" w:bidi="ar-SA"/>
        </w:rPr>
        <w:t>方案需包含：工作任务的时效保证措施；项目实施时间进度安排；人员投入安排；安全保证措施。</w:t>
      </w:r>
    </w:p>
    <w:p w14:paraId="53ACEE6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3.1</w:t>
      </w:r>
      <w:r>
        <w:rPr>
          <w:rFonts w:hint="default" w:ascii="Times New Roman" w:hAnsi="Times New Roman" w:eastAsia="宋体" w:cs="Times New Roman"/>
          <w:b w:val="0"/>
          <w:bCs/>
          <w:color w:val="auto"/>
          <w:kern w:val="2"/>
          <w:sz w:val="21"/>
          <w:szCs w:val="21"/>
          <w:highlight w:val="none"/>
          <w:lang w:val="en-US" w:eastAsia="zh-CN" w:bidi="ar-SA"/>
        </w:rPr>
        <w:t>工作任务的时效保证措施</w:t>
      </w:r>
    </w:p>
    <w:p w14:paraId="2B3026B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（1）制定24小时监测系统巡查的响应机制，明确系统离线、数据中断等异常情况的发现时间、响应时限与修复时限。</w:t>
      </w:r>
    </w:p>
    <w:p w14:paraId="410FF94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（2）明确报警信息发生后，初步核查、上报及配合处置的具体时间节点要求，确保符合《江苏省普通国省道桥梁结构监测系统建设和运维管理办法》</w:t>
      </w:r>
      <w:r>
        <w:rPr>
          <w:rFonts w:hint="default" w:ascii="Times New Roman" w:hAnsi="Times New Roman" w:eastAsia="宋体" w:cs="Times New Roman"/>
          <w:b w:val="0"/>
          <w:color w:val="auto"/>
          <w:sz w:val="21"/>
          <w:szCs w:val="21"/>
          <w:highlight w:val="none"/>
        </w:rPr>
        <w:t>（苏交公路〔2023〕1号）</w:t>
      </w:r>
      <w:r>
        <w:rPr>
          <w:rFonts w:hint="eastAsia" w:ascii="Times New Roman" w:hAnsi="Times New Roman" w:eastAsia="宋体" w:cs="Times New Roman"/>
          <w:b w:val="0"/>
          <w:bCs/>
          <w:color w:val="auto"/>
          <w:kern w:val="2"/>
          <w:sz w:val="21"/>
          <w:szCs w:val="21"/>
          <w:highlight w:val="none"/>
          <w:lang w:val="en-US" w:eastAsia="zh-CN" w:bidi="ar-SA"/>
        </w:rPr>
        <w:t>的时效性规定。</w:t>
      </w:r>
    </w:p>
    <w:p w14:paraId="36A6CD9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（3）明确特殊事件报告在事发后24小时内出具的保障机制，包括信息收集、数据分析、报告编制与审核的快速响应流程。</w:t>
      </w:r>
    </w:p>
    <w:p w14:paraId="0E46A9D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3.2项目实施时间进度安排</w:t>
      </w:r>
    </w:p>
    <w:p w14:paraId="1F26D03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（1）结合采购包1与采购包2的服务期限，分别制定整体运维工作计划，细化年度、季度、月度工作节点。</w:t>
      </w:r>
    </w:p>
    <w:p w14:paraId="1E8CB53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（2）明确季度监测分析报告的提交时间（不晚于次季度首月前15个工作日）、年度监测分析报告的提交时间，以及各类报告上传至省平台的流程安排。</w:t>
      </w:r>
    </w:p>
    <w:p w14:paraId="4BC0E66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（3）列出人工现场检查每季度不少于1次的具体时间安排，以及硬件设备年度标定、称重系统半年检定的计划节点。</w:t>
      </w:r>
    </w:p>
    <w:p w14:paraId="4430014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3.3人员投入安排</w:t>
      </w:r>
    </w:p>
    <w:p w14:paraId="14BA21C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（1）组建相对固定的项目运维团队，明确项目经理、现场巡检人员、数据分析人员、硬件维护人员、报告编制人员等岗位职责。</w:t>
      </w:r>
    </w:p>
    <w:p w14:paraId="279CD0B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（2）提供项目人员配置表，明确各岗位人员数量、专业背景、同类项目经验，并承诺在合同期内保持人员稳定，如有变更须经采购人同意。</w:t>
      </w:r>
    </w:p>
    <w:p w14:paraId="4CDA008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（3）说明技术支持团队的配置情况，包括后端平台维护、数据分析、应急处置等专业人员的响应机制。</w:t>
      </w:r>
    </w:p>
    <w:p w14:paraId="450078D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3.4安全保证措施</w:t>
      </w:r>
    </w:p>
    <w:p w14:paraId="2D68AFF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（1）制定人工现场检查、设备维护、特种车辆使用过程中的安全生产管理制度，明确安全责任人与操作规范。</w:t>
      </w:r>
    </w:p>
    <w:p w14:paraId="58E86655">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（2）针对桥梁高空作业、临边作业、电气设备维护等高风险环节，提出具体的安全防护措施及应急预案。</w:t>
      </w:r>
    </w:p>
    <w:p w14:paraId="257D19A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（3）明确对运维人员的安全培训计划，确保所有现场人员具备相应安全资质，并严格执行采购人及桥梁管养单位的相关安全规定。</w:t>
      </w:r>
    </w:p>
    <w:p w14:paraId="5D70A4B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4、</w:t>
      </w:r>
      <w:r>
        <w:rPr>
          <w:rFonts w:hint="default" w:ascii="Times New Roman" w:hAnsi="Times New Roman" w:eastAsia="宋体" w:cs="Times New Roman"/>
          <w:b w:val="0"/>
          <w:bCs/>
          <w:color w:val="auto"/>
          <w:kern w:val="2"/>
          <w:sz w:val="21"/>
          <w:szCs w:val="21"/>
          <w:highlight w:val="none"/>
          <w:lang w:val="en-US" w:eastAsia="zh-CN" w:bidi="ar-SA"/>
        </w:rPr>
        <w:t>质量控制</w:t>
      </w:r>
    </w:p>
    <w:p w14:paraId="27A27482">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default" w:ascii="Times New Roman" w:hAnsi="Times New Roman" w:eastAsia="宋体" w:cs="Times New Roman"/>
          <w:b w:val="0"/>
          <w:bCs/>
          <w:color w:val="auto"/>
          <w:kern w:val="2"/>
          <w:sz w:val="21"/>
          <w:szCs w:val="21"/>
          <w:highlight w:val="none"/>
          <w:lang w:val="zh-CN" w:eastAsia="zh-CN" w:bidi="ar-SA"/>
        </w:rPr>
      </w:pP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b w:val="0"/>
          <w:bCs/>
          <w:color w:val="auto"/>
          <w:kern w:val="2"/>
          <w:sz w:val="21"/>
          <w:szCs w:val="21"/>
          <w:highlight w:val="none"/>
          <w:lang w:val="en-US" w:eastAsia="zh-CN" w:bidi="ar-SA"/>
        </w:rPr>
        <w:t>需提出针对</w:t>
      </w:r>
      <w:r>
        <w:rPr>
          <w:rFonts w:hint="default" w:ascii="Times New Roman" w:hAnsi="Times New Roman" w:eastAsia="宋体" w:cs="Times New Roman"/>
          <w:b w:val="0"/>
          <w:bCs/>
          <w:color w:val="auto"/>
          <w:kern w:val="2"/>
          <w:sz w:val="21"/>
          <w:szCs w:val="21"/>
          <w:highlight w:val="none"/>
          <w:lang w:val="en-US" w:eastAsia="zh-CN" w:bidi="ar-SA"/>
        </w:rPr>
        <w:t>本</w:t>
      </w:r>
      <w:r>
        <w:rPr>
          <w:rFonts w:hint="eastAsia" w:ascii="Times New Roman" w:hAnsi="Times New Roman" w:eastAsia="宋体" w:cs="Times New Roman"/>
          <w:b w:val="0"/>
          <w:bCs/>
          <w:color w:val="auto"/>
          <w:kern w:val="2"/>
          <w:sz w:val="21"/>
          <w:szCs w:val="21"/>
          <w:highlight w:val="none"/>
          <w:lang w:val="en-US" w:eastAsia="zh-CN" w:bidi="ar-SA"/>
        </w:rPr>
        <w:t>项目的</w:t>
      </w:r>
      <w:r>
        <w:rPr>
          <w:rFonts w:hint="default" w:ascii="Times New Roman" w:hAnsi="Times New Roman" w:eastAsia="宋体" w:cs="Times New Roman"/>
          <w:b w:val="0"/>
          <w:bCs/>
          <w:color w:val="auto"/>
          <w:kern w:val="2"/>
          <w:sz w:val="21"/>
          <w:szCs w:val="21"/>
          <w:highlight w:val="none"/>
          <w:lang w:val="en-US" w:eastAsia="zh-CN" w:bidi="ar-SA"/>
        </w:rPr>
        <w:t>质量控制方案</w:t>
      </w:r>
      <w:r>
        <w:rPr>
          <w:rFonts w:hint="eastAsia" w:ascii="Times New Roman" w:hAnsi="Times New Roman" w:eastAsia="宋体" w:cs="Times New Roman"/>
          <w:b w:val="0"/>
          <w:bCs/>
          <w:color w:val="auto"/>
          <w:kern w:val="2"/>
          <w:sz w:val="21"/>
          <w:szCs w:val="21"/>
          <w:highlight w:val="none"/>
          <w:lang w:val="en-US" w:eastAsia="zh-CN" w:bidi="ar-SA"/>
        </w:rPr>
        <w:t>，</w:t>
      </w:r>
      <w:r>
        <w:rPr>
          <w:rFonts w:hint="default" w:ascii="Times New Roman" w:hAnsi="Times New Roman" w:eastAsia="宋体" w:cs="Times New Roman"/>
          <w:b w:val="0"/>
          <w:bCs/>
          <w:color w:val="auto"/>
          <w:kern w:val="2"/>
          <w:sz w:val="21"/>
          <w:szCs w:val="21"/>
          <w:highlight w:val="none"/>
          <w:lang w:val="en-US" w:eastAsia="zh-CN" w:bidi="ar-SA"/>
        </w:rPr>
        <w:t>方案需包含：工作过程的质量控制</w:t>
      </w:r>
      <w:r>
        <w:rPr>
          <w:rFonts w:hint="default" w:ascii="Times New Roman" w:hAnsi="Times New Roman" w:eastAsia="宋体" w:cs="Times New Roman"/>
          <w:b w:val="0"/>
          <w:bCs/>
          <w:color w:val="auto"/>
          <w:kern w:val="2"/>
          <w:sz w:val="21"/>
          <w:szCs w:val="21"/>
          <w:highlight w:val="none"/>
          <w:lang w:val="zh-CN" w:eastAsia="zh-CN" w:bidi="ar-SA"/>
        </w:rPr>
        <w:t>；成果文件质量控制。</w:t>
      </w:r>
    </w:p>
    <w:p w14:paraId="427B350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4.1工作过程的质量控制</w:t>
      </w:r>
    </w:p>
    <w:p w14:paraId="218B88D8">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（1）建立覆盖系统巡查、人工检查、硬件维护、报警处置、报告编制全过程的内部质量审核机制，明确各环节的质量控制点、检查标准与责任人。</w:t>
      </w:r>
    </w:p>
    <w:p w14:paraId="56B774C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（2）对硬件设备的维修、更换、标定、检定等过程，制定质量确认流程，确保设备性能符合要求，并由供应商签字确认数据的完好性。</w:t>
      </w:r>
    </w:p>
    <w:p w14:paraId="208147E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（3）建立运维工作记录台账，对日常巡检、故障处理、人工检查、报告提交等关键活动进行全过程留痕，确保各项工作可追溯、可核查。</w:t>
      </w:r>
    </w:p>
    <w:p w14:paraId="1599E86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4.2成果文件质量控制</w:t>
      </w:r>
    </w:p>
    <w:p w14:paraId="70896160">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1）明确阶段分析报告（季度、年度）的编制要求，确保报告内容完整，涵盖数据完好率、统计数据分析、长期变化趋势、监测数据相关性分析、人工现场检查等规定内容，并按标准化系统（单桥）与轻量化系统（按区县）分别出具。</w:t>
      </w:r>
    </w:p>
    <w:p w14:paraId="67BEE6AF">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（2）制定报告的内部审核与审批流程，明确编制、复核、审定三级责任机制，确保报告数据准确、分析深入、结论明确。</w:t>
      </w:r>
    </w:p>
    <w:p w14:paraId="129169D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（3）对特殊事件报告，建立快速审核与确认机制，确保在24小时内提交内容完整、分析客观、建议可行的报告，并对事后补充分析进行闭环管理。</w:t>
      </w:r>
    </w:p>
    <w:p w14:paraId="7022E68A">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2" w:firstLineChars="200"/>
        <w:jc w:val="both"/>
        <w:textAlignment w:val="auto"/>
        <w:rPr>
          <w:rFonts w:hint="eastAsia" w:ascii="Times New Roman" w:hAnsi="Times New Roman" w:eastAsia="宋体" w:cs="Times New Roman"/>
          <w:b/>
          <w:bCs w:val="0"/>
          <w:color w:val="auto"/>
          <w:kern w:val="2"/>
          <w:sz w:val="21"/>
          <w:szCs w:val="21"/>
          <w:highlight w:val="none"/>
          <w:lang w:val="en-US" w:eastAsia="zh-CN" w:bidi="ar-SA"/>
        </w:rPr>
      </w:pPr>
      <w:r>
        <w:rPr>
          <w:rFonts w:hint="eastAsia" w:ascii="Times New Roman" w:hAnsi="Times New Roman" w:eastAsia="宋体" w:cs="Times New Roman"/>
          <w:b/>
          <w:bCs w:val="0"/>
          <w:color w:val="auto"/>
          <w:kern w:val="2"/>
          <w:sz w:val="21"/>
          <w:szCs w:val="21"/>
          <w:highlight w:val="none"/>
          <w:lang w:val="en-US" w:eastAsia="zh-CN" w:bidi="ar-SA"/>
        </w:rPr>
        <w:t>七、供应商业绩要求</w:t>
      </w:r>
    </w:p>
    <w:p w14:paraId="1FA66F59">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本项目服务内容专业性强、运维要求高，对</w:t>
      </w: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b w:val="0"/>
          <w:bCs/>
          <w:color w:val="auto"/>
          <w:kern w:val="2"/>
          <w:sz w:val="21"/>
          <w:szCs w:val="21"/>
          <w:highlight w:val="none"/>
          <w:lang w:val="en-US" w:eastAsia="zh-CN" w:bidi="ar-SA"/>
        </w:rPr>
        <w:t>的系统保障能力、数据分析能力及应急处置能力提出了较高要求。所以供应商</w:t>
      </w:r>
      <w:r>
        <w:rPr>
          <w:rFonts w:hint="default" w:ascii="Times New Roman" w:hAnsi="Times New Roman" w:eastAsia="宋体" w:cs="Times New Roman"/>
          <w:b w:val="0"/>
          <w:bCs/>
          <w:color w:val="auto"/>
          <w:kern w:val="2"/>
          <w:sz w:val="21"/>
          <w:szCs w:val="21"/>
          <w:highlight w:val="none"/>
          <w:lang w:val="en-US" w:eastAsia="zh-CN" w:bidi="ar-SA"/>
        </w:rPr>
        <w:t>自2023年1月1日（以合同签订日期为准）以来，独立承接过公路桥梁结构监测系统建设或运维项目业绩的</w:t>
      </w:r>
      <w:r>
        <w:rPr>
          <w:rFonts w:hint="eastAsia" w:ascii="Times New Roman" w:hAnsi="Times New Roman" w:eastAsia="宋体" w:cs="Times New Roman"/>
          <w:b/>
          <w:bCs w:val="0"/>
          <w:color w:val="auto"/>
          <w:kern w:val="2"/>
          <w:sz w:val="21"/>
          <w:szCs w:val="21"/>
          <w:highlight w:val="none"/>
          <w:lang w:val="en-US" w:eastAsia="zh-CN" w:bidi="ar-SA"/>
        </w:rPr>
        <w:t>优先</w:t>
      </w:r>
      <w:r>
        <w:rPr>
          <w:rFonts w:hint="eastAsia" w:ascii="Times New Roman" w:hAnsi="Times New Roman" w:eastAsia="宋体" w:cs="Times New Roman"/>
          <w:b w:val="0"/>
          <w:bCs/>
          <w:color w:val="auto"/>
          <w:kern w:val="2"/>
          <w:sz w:val="21"/>
          <w:szCs w:val="21"/>
          <w:highlight w:val="none"/>
          <w:lang w:val="en-US" w:eastAsia="zh-CN" w:bidi="ar-SA"/>
        </w:rPr>
        <w:t>。</w:t>
      </w:r>
    </w:p>
    <w:p w14:paraId="25B7A6E7">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2" w:firstLineChars="200"/>
        <w:jc w:val="both"/>
        <w:textAlignment w:val="auto"/>
        <w:rPr>
          <w:rFonts w:hint="default" w:ascii="Times New Roman" w:hAnsi="Times New Roman" w:eastAsia="宋体" w:cs="Times New Roman"/>
          <w:b/>
          <w:bCs w:val="0"/>
          <w:color w:val="auto"/>
          <w:kern w:val="2"/>
          <w:sz w:val="21"/>
          <w:szCs w:val="21"/>
          <w:highlight w:val="none"/>
          <w:lang w:val="en-US" w:eastAsia="zh-CN" w:bidi="ar-SA"/>
        </w:rPr>
      </w:pPr>
      <w:r>
        <w:rPr>
          <w:rFonts w:hint="eastAsia" w:ascii="Times New Roman" w:hAnsi="Times New Roman" w:eastAsia="宋体" w:cs="Times New Roman"/>
          <w:b/>
          <w:bCs w:val="0"/>
          <w:color w:val="auto"/>
          <w:kern w:val="2"/>
          <w:sz w:val="21"/>
          <w:szCs w:val="21"/>
          <w:highlight w:val="none"/>
          <w:lang w:val="en-US" w:eastAsia="zh-CN" w:bidi="ar-SA"/>
        </w:rPr>
        <w:t>八、人员配备</w:t>
      </w:r>
    </w:p>
    <w:p w14:paraId="2877EB9D">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本项目涉及桥梁结构监测系统的长期运维，涵盖24小时系统巡检、人工现场检查、硬件维护、数据分析、阶段报告编制及特殊事件应急响应等多环节、高技术含量工作。桥梁作为重要交通基础设施，其监测数据的准确性、报警处置的及时性以及结构安全评估的专业性，直接关系到桥梁的运行安全与管养决策的科学性。因此，项目团队的资质水平、专业配置及关键人员的从业经验，是确保运维服务质量的核心要素。</w:t>
      </w:r>
    </w:p>
    <w:p w14:paraId="78B3A3D3">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项目负责人具有交通类（公路工程）相关专业高级及以上技术职称的；持有交通运输主管部门核发的《公路工程试验检测工程师证书》或《公路水运工程试验检测师证书》（证书专业需包含桥梁或桥梁隧道工程专业）的；自2023年1月1日（以合同签订日期为准）以来，担任过公路桥梁结构监测系统建设或运维项目项目负责人或技术负责人的</w:t>
      </w:r>
      <w:r>
        <w:rPr>
          <w:rFonts w:hint="eastAsia" w:ascii="Times New Roman" w:hAnsi="Times New Roman" w:eastAsia="宋体" w:cs="Times New Roman"/>
          <w:b/>
          <w:bCs w:val="0"/>
          <w:color w:val="auto"/>
          <w:kern w:val="2"/>
          <w:sz w:val="21"/>
          <w:szCs w:val="21"/>
          <w:highlight w:val="none"/>
          <w:lang w:val="en-US" w:eastAsia="zh-CN" w:bidi="ar-SA"/>
        </w:rPr>
        <w:t>优先</w:t>
      </w:r>
      <w:r>
        <w:rPr>
          <w:rFonts w:hint="eastAsia" w:ascii="Times New Roman" w:hAnsi="Times New Roman" w:eastAsia="宋体" w:cs="Times New Roman"/>
          <w:b w:val="0"/>
          <w:bCs/>
          <w:color w:val="auto"/>
          <w:kern w:val="2"/>
          <w:sz w:val="21"/>
          <w:szCs w:val="21"/>
          <w:highlight w:val="none"/>
          <w:lang w:val="en-US" w:eastAsia="zh-CN" w:bidi="ar-SA"/>
        </w:rPr>
        <w:t>。</w:t>
      </w:r>
    </w:p>
    <w:p w14:paraId="654266A6">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技术负责人具有交通类（公路工程）相关专业高级及以上技术职称的；持有交通运输主管部门核发的《公路工程试验检测工程师证书》或《公路水运工程试验检测师证书》（证书专业需包含桥梁或桥梁隧道工程专业）的</w:t>
      </w:r>
      <w:r>
        <w:rPr>
          <w:rFonts w:hint="eastAsia" w:ascii="Times New Roman" w:hAnsi="Times New Roman" w:eastAsia="宋体" w:cs="Times New Roman"/>
          <w:b/>
          <w:bCs w:val="0"/>
          <w:color w:val="auto"/>
          <w:kern w:val="2"/>
          <w:sz w:val="21"/>
          <w:szCs w:val="21"/>
          <w:highlight w:val="none"/>
          <w:lang w:val="en-US" w:eastAsia="zh-CN" w:bidi="ar-SA"/>
        </w:rPr>
        <w:t>优先</w:t>
      </w:r>
      <w:r>
        <w:rPr>
          <w:rFonts w:hint="eastAsia" w:ascii="Times New Roman" w:hAnsi="Times New Roman" w:eastAsia="宋体" w:cs="Times New Roman"/>
          <w:b w:val="0"/>
          <w:bCs/>
          <w:color w:val="auto"/>
          <w:kern w:val="2"/>
          <w:sz w:val="21"/>
          <w:szCs w:val="21"/>
          <w:highlight w:val="none"/>
          <w:lang w:val="en-US" w:eastAsia="zh-CN" w:bidi="ar-SA"/>
        </w:rPr>
        <w:t>。</w:t>
      </w:r>
    </w:p>
    <w:p w14:paraId="63BEDF4E">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项目组其他成员中（项目负责人、技术负责人除外），配有3名试验检测工程师（需持有交通运输主管部门核发的《公路工程试验检测工程师证书》或《公路水运工程试验检测师证书》（证书专业需包含桥梁或桥梁隧道工程专业））的；额外增加一名软件工程师（具有计算机技术与软件专业技术资格（水平）或电子信息专业中级及以上证书）的</w:t>
      </w:r>
      <w:r>
        <w:rPr>
          <w:rFonts w:hint="eastAsia" w:ascii="Times New Roman" w:hAnsi="Times New Roman" w:eastAsia="宋体" w:cs="Times New Roman"/>
          <w:b/>
          <w:bCs w:val="0"/>
          <w:color w:val="auto"/>
          <w:kern w:val="2"/>
          <w:sz w:val="21"/>
          <w:szCs w:val="21"/>
          <w:highlight w:val="none"/>
          <w:lang w:val="en-US" w:eastAsia="zh-CN" w:bidi="ar-SA"/>
        </w:rPr>
        <w:t>优先</w:t>
      </w:r>
      <w:r>
        <w:rPr>
          <w:rFonts w:hint="eastAsia" w:ascii="Times New Roman" w:hAnsi="Times New Roman" w:eastAsia="宋体" w:cs="Times New Roman"/>
          <w:b w:val="0"/>
          <w:bCs/>
          <w:color w:val="auto"/>
          <w:kern w:val="2"/>
          <w:sz w:val="21"/>
          <w:szCs w:val="21"/>
          <w:highlight w:val="none"/>
          <w:lang w:val="en-US" w:eastAsia="zh-CN" w:bidi="ar-SA"/>
        </w:rPr>
        <w:t>。</w:t>
      </w:r>
    </w:p>
    <w:p w14:paraId="576A6E5B">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2" w:firstLineChars="200"/>
        <w:jc w:val="both"/>
        <w:textAlignment w:val="auto"/>
        <w:rPr>
          <w:rFonts w:hint="default" w:ascii="Times New Roman" w:hAnsi="Times New Roman" w:eastAsia="宋体" w:cs="Times New Roman"/>
          <w:b/>
          <w:bCs w:val="0"/>
          <w:color w:val="auto"/>
          <w:kern w:val="2"/>
          <w:sz w:val="21"/>
          <w:szCs w:val="21"/>
          <w:highlight w:val="none"/>
          <w:lang w:val="en-US" w:eastAsia="zh-CN" w:bidi="ar-SA"/>
        </w:rPr>
      </w:pPr>
      <w:r>
        <w:rPr>
          <w:rFonts w:hint="eastAsia" w:ascii="Times New Roman" w:hAnsi="Times New Roman" w:eastAsia="宋体" w:cs="Times New Roman"/>
          <w:b/>
          <w:bCs w:val="0"/>
          <w:color w:val="auto"/>
          <w:kern w:val="2"/>
          <w:sz w:val="21"/>
          <w:szCs w:val="21"/>
          <w:highlight w:val="none"/>
          <w:lang w:val="en-US" w:eastAsia="zh-CN" w:bidi="ar-SA"/>
        </w:rPr>
        <w:t>九、企业资信</w:t>
      </w:r>
    </w:p>
    <w:p w14:paraId="18EBCCDC">
      <w:pPr>
        <w:pStyle w:val="13"/>
        <w:pageBreakBefore w:val="0"/>
        <w:widowControl w:val="0"/>
        <w:kinsoku/>
        <w:wordWrap/>
        <w:overflowPunct/>
        <w:topLinePunct w:val="0"/>
        <w:autoSpaceDE/>
        <w:autoSpaceDN/>
        <w:bidi w:val="0"/>
        <w:adjustRightInd/>
        <w:snapToGrid/>
        <w:spacing w:beforeAutospacing="0" w:afterAutospacing="0" w:line="460" w:lineRule="exact"/>
        <w:ind w:left="0" w:firstLine="420" w:firstLineChars="200"/>
        <w:jc w:val="both"/>
        <w:textAlignment w:val="auto"/>
        <w:rPr>
          <w:rFonts w:hint="eastAsia" w:ascii="Times New Roman" w:hAnsi="Times New Roman" w:eastAsia="宋体" w:cs="Times New Roman"/>
          <w:b w:val="0"/>
          <w:bCs/>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lang w:val="en-US" w:eastAsia="zh-CN" w:bidi="ar-SA"/>
        </w:rPr>
        <w:t>本项目对</w:t>
      </w: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b w:val="0"/>
          <w:bCs/>
          <w:color w:val="auto"/>
          <w:kern w:val="2"/>
          <w:sz w:val="21"/>
          <w:szCs w:val="21"/>
          <w:highlight w:val="none"/>
          <w:lang w:val="en-US" w:eastAsia="zh-CN" w:bidi="ar-SA"/>
        </w:rPr>
        <w:t>的综合管理能力提出了较高要求。</w:t>
      </w: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b w:val="0"/>
          <w:bCs/>
          <w:color w:val="auto"/>
          <w:kern w:val="2"/>
          <w:sz w:val="21"/>
          <w:szCs w:val="21"/>
          <w:highlight w:val="none"/>
          <w:lang w:val="en-US" w:eastAsia="zh-CN" w:bidi="ar-SA"/>
        </w:rPr>
        <w:t>是否建立并有效运行规范的管理体系，直接影响项目实施的规范性、稳定性和可持续性。</w:t>
      </w:r>
      <w:r>
        <w:rPr>
          <w:rFonts w:hint="eastAsia" w:ascii="Times New Roman" w:hAnsi="Times New Roman" w:eastAsia="宋体" w:cs="Times New Roman"/>
          <w:b w:val="0"/>
          <w:bCs/>
          <w:color w:val="auto"/>
          <w:sz w:val="21"/>
          <w:szCs w:val="21"/>
          <w:highlight w:val="none"/>
          <w:lang w:val="en-US" w:eastAsia="zh-CN"/>
        </w:rPr>
        <w:t>供应商</w:t>
      </w:r>
      <w:r>
        <w:rPr>
          <w:rFonts w:hint="eastAsia" w:ascii="Times New Roman" w:hAnsi="Times New Roman" w:eastAsia="宋体" w:cs="Times New Roman"/>
          <w:b w:val="0"/>
          <w:bCs/>
          <w:color w:val="auto"/>
          <w:kern w:val="2"/>
          <w:sz w:val="21"/>
          <w:szCs w:val="21"/>
          <w:highlight w:val="none"/>
          <w:lang w:val="en-US" w:eastAsia="zh-CN" w:bidi="ar-SA"/>
        </w:rPr>
        <w:t>具有有效且通过年检的质量管理体系认证证书、环境管理体系认证证书、职业健康安全管理体系认证证书的</w:t>
      </w:r>
      <w:r>
        <w:rPr>
          <w:rFonts w:hint="eastAsia" w:ascii="Times New Roman" w:hAnsi="Times New Roman" w:eastAsia="宋体" w:cs="Times New Roman"/>
          <w:b/>
          <w:bCs w:val="0"/>
          <w:color w:val="auto"/>
          <w:kern w:val="2"/>
          <w:sz w:val="21"/>
          <w:szCs w:val="21"/>
          <w:highlight w:val="none"/>
          <w:lang w:val="en-US" w:eastAsia="zh-CN" w:bidi="ar-SA"/>
        </w:rPr>
        <w:t>优先</w:t>
      </w:r>
      <w:r>
        <w:rPr>
          <w:rFonts w:hint="eastAsia" w:ascii="Times New Roman" w:hAnsi="Times New Roman" w:eastAsia="宋体" w:cs="Times New Roman"/>
          <w:b w:val="0"/>
          <w:bCs/>
          <w:color w:val="auto"/>
          <w:kern w:val="2"/>
          <w:sz w:val="21"/>
          <w:szCs w:val="21"/>
          <w:highlight w:val="none"/>
          <w:lang w:val="en-US" w:eastAsia="zh-CN" w:bidi="ar-SA"/>
        </w:rPr>
        <w:t>。</w:t>
      </w:r>
    </w:p>
    <w:p w14:paraId="1CD49048">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atLeast"/>
        <w:ind w:firstLine="422" w:firstLineChars="200"/>
        <w:jc w:val="both"/>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lang w:val="en-US" w:eastAsia="zh-CN"/>
        </w:rPr>
        <w:t>十、</w:t>
      </w:r>
      <w:r>
        <w:rPr>
          <w:rFonts w:hint="eastAsia" w:ascii="宋体" w:hAnsi="宋体" w:eastAsia="宋体" w:cs="宋体"/>
          <w:b/>
          <w:bCs/>
          <w:color w:val="auto"/>
          <w:sz w:val="21"/>
          <w:szCs w:val="21"/>
          <w:highlight w:val="none"/>
          <w:shd w:val="clear" w:color="auto" w:fill="auto"/>
        </w:rPr>
        <w:t>采购标的对应的中小企业划分标准所属行业一览表</w:t>
      </w:r>
    </w:p>
    <w:tbl>
      <w:tblPr>
        <w:tblStyle w:val="15"/>
        <w:tblW w:w="8041" w:type="dxa"/>
        <w:jc w:val="center"/>
        <w:tblCellSpacing w:w="0" w:type="dxa"/>
        <w:tblLayout w:type="fixed"/>
        <w:tblCellMar>
          <w:top w:w="0" w:type="dxa"/>
          <w:left w:w="108" w:type="dxa"/>
          <w:bottom w:w="0" w:type="dxa"/>
          <w:right w:w="108" w:type="dxa"/>
        </w:tblCellMar>
      </w:tblPr>
      <w:tblGrid>
        <w:gridCol w:w="815"/>
        <w:gridCol w:w="3969"/>
        <w:gridCol w:w="3257"/>
      </w:tblGrid>
      <w:tr w14:paraId="5E03FBBE">
        <w:tblPrEx>
          <w:tblCellMar>
            <w:top w:w="0" w:type="dxa"/>
            <w:left w:w="108" w:type="dxa"/>
            <w:bottom w:w="0" w:type="dxa"/>
            <w:right w:w="108" w:type="dxa"/>
          </w:tblCellMar>
        </w:tblPrEx>
        <w:trPr>
          <w:trHeight w:val="617" w:hRule="atLeast"/>
          <w:tblCellSpacing w:w="0" w:type="dxa"/>
          <w:jc w:val="center"/>
        </w:trPr>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0258E">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atLeas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3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766F8">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atLeas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采购标的</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B81F">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atLeas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对应中小企业划分标准所属行业</w:t>
            </w:r>
          </w:p>
        </w:tc>
      </w:tr>
      <w:tr w14:paraId="6BC4F81E">
        <w:tblPrEx>
          <w:tblCellMar>
            <w:top w:w="0" w:type="dxa"/>
            <w:left w:w="108" w:type="dxa"/>
            <w:bottom w:w="0" w:type="dxa"/>
            <w:right w:w="108" w:type="dxa"/>
          </w:tblCellMar>
        </w:tblPrEx>
        <w:trPr>
          <w:trHeight w:val="769" w:hRule="atLeast"/>
          <w:tblCellSpacing w:w="0" w:type="dxa"/>
          <w:jc w:val="center"/>
        </w:trPr>
        <w:tc>
          <w:tcPr>
            <w:tcW w:w="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D656">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atLeas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3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E339E">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atLeast"/>
              <w:jc w:val="center"/>
              <w:rPr>
                <w:rFonts w:hint="eastAsia" w:ascii="宋体" w:hAnsi="宋体" w:eastAsia="宋体" w:cs="宋体"/>
                <w:color w:val="auto"/>
                <w:sz w:val="21"/>
                <w:szCs w:val="21"/>
                <w:highlight w:val="none"/>
                <w:shd w:val="clear" w:color="auto" w:fill="auto"/>
              </w:rPr>
            </w:pPr>
            <w:r>
              <w:rPr>
                <w:rFonts w:hint="default" w:ascii="Times New Roman" w:hAnsi="Times New Roman" w:eastAsia="宋体" w:cs="Times New Roman"/>
                <w:color w:val="auto"/>
                <w:kern w:val="0"/>
                <w:sz w:val="21"/>
                <w:szCs w:val="21"/>
                <w:highlight w:val="none"/>
                <w:lang w:eastAsia="zh-CN"/>
              </w:rPr>
              <w:t>盐城市2026-20</w:t>
            </w:r>
            <w:r>
              <w:rPr>
                <w:rFonts w:hint="default" w:ascii="Times New Roman" w:hAnsi="Times New Roman" w:eastAsia="宋体" w:cs="Times New Roman"/>
                <w:color w:val="auto"/>
                <w:kern w:val="0"/>
                <w:sz w:val="21"/>
                <w:szCs w:val="21"/>
                <w:highlight w:val="none"/>
                <w:lang w:val="en-US" w:eastAsia="zh-CN"/>
              </w:rPr>
              <w:t>28</w:t>
            </w:r>
            <w:r>
              <w:rPr>
                <w:rFonts w:hint="default" w:ascii="Times New Roman" w:hAnsi="Times New Roman" w:eastAsia="宋体" w:cs="Times New Roman"/>
                <w:color w:val="auto"/>
                <w:kern w:val="0"/>
                <w:sz w:val="21"/>
                <w:szCs w:val="21"/>
                <w:highlight w:val="none"/>
                <w:lang w:eastAsia="zh-CN"/>
              </w:rPr>
              <w:t>年普通国省道桥梁结构监测系统运维项目</w:t>
            </w:r>
          </w:p>
        </w:tc>
        <w:tc>
          <w:tcPr>
            <w:tcW w:w="32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40E7D">
            <w:pPr>
              <w:pStyle w:val="13"/>
              <w:keepNext w:val="0"/>
              <w:keepLines w:val="0"/>
              <w:pageBreakBefore w:val="0"/>
              <w:widowControl w:val="0"/>
              <w:kinsoku/>
              <w:wordWrap/>
              <w:overflowPunct/>
              <w:topLinePunct w:val="0"/>
              <w:autoSpaceDE/>
              <w:autoSpaceDN/>
              <w:bidi w:val="0"/>
              <w:adjustRightInd w:val="0"/>
              <w:snapToGrid w:val="0"/>
              <w:spacing w:beforeAutospacing="0" w:afterAutospacing="0" w:line="400" w:lineRule="atLeas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rPr>
              <w:t>其他未列明行业</w:t>
            </w:r>
            <w:r>
              <w:rPr>
                <w:rFonts w:hint="eastAsia" w:ascii="宋体" w:hAnsi="宋体" w:eastAsia="宋体" w:cs="宋体"/>
                <w:color w:val="auto"/>
                <w:sz w:val="21"/>
                <w:szCs w:val="21"/>
                <w:highlight w:val="none"/>
                <w:shd w:val="clear" w:color="auto" w:fill="auto"/>
              </w:rPr>
              <w:t> </w:t>
            </w:r>
          </w:p>
        </w:tc>
      </w:tr>
    </w:tbl>
    <w:p w14:paraId="689B40AD">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w:t>
      </w:r>
    </w:p>
    <w:p w14:paraId="420EBFC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2C7CF00">
      <w:pPr>
        <w:pStyle w:val="13"/>
        <w:spacing w:beforeAutospacing="0" w:afterAutospacing="0"/>
        <w:ind w:firstLine="60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EE32333">
      <w:pPr>
        <w:pStyle w:val="1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58497D9">
      <w:pPr>
        <w:pStyle w:val="13"/>
        <w:tabs>
          <w:tab w:val="left" w:pos="6205"/>
        </w:tabs>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AEEB34B">
      <w:pPr>
        <w:pStyle w:val="13"/>
        <w:keepNext/>
        <w:spacing w:beforeAutospacing="0" w:afterAutospacing="0"/>
        <w:jc w:val="center"/>
        <w:rPr>
          <w:rFonts w:hint="eastAsia" w:ascii="宋体" w:hAnsi="宋体" w:eastAsia="宋体" w:cs="宋体"/>
          <w:color w:val="auto"/>
          <w:sz w:val="24"/>
          <w:szCs w:val="24"/>
          <w:highlight w:val="none"/>
        </w:rPr>
      </w:pPr>
      <w:bookmarkStart w:id="180" w:name="_Toc120614281"/>
      <w:r>
        <w:rPr>
          <w:rFonts w:hint="eastAsia" w:ascii="宋体" w:hAnsi="宋体" w:eastAsia="宋体" w:cs="宋体"/>
          <w:color w:val="auto"/>
          <w:sz w:val="24"/>
          <w:szCs w:val="24"/>
          <w:highlight w:val="none"/>
        </w:rPr>
        <w:t> </w:t>
      </w:r>
    </w:p>
    <w:p w14:paraId="61AA3C61">
      <w:pPr>
        <w:pStyle w:val="1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3810F0B">
      <w:pPr>
        <w:pStyle w:val="13"/>
        <w:spacing w:beforeAutospacing="0" w:afterAutospacing="0"/>
        <w:jc w:val="both"/>
        <w:rPr>
          <w:color w:val="auto"/>
          <w:highlight w:val="none"/>
        </w:rPr>
      </w:pPr>
    </w:p>
    <w:p w14:paraId="7375105D">
      <w:pPr>
        <w:pStyle w:val="13"/>
        <w:spacing w:beforeAutospacing="0" w:afterAutospacing="0"/>
        <w:jc w:val="both"/>
        <w:rPr>
          <w:color w:val="auto"/>
          <w:highlight w:val="none"/>
        </w:rPr>
      </w:pPr>
    </w:p>
    <w:p w14:paraId="498F8BED">
      <w:pPr>
        <w:pStyle w:val="13"/>
        <w:spacing w:beforeAutospacing="0" w:afterAutospacing="0"/>
        <w:jc w:val="both"/>
        <w:rPr>
          <w:color w:val="auto"/>
          <w:highlight w:val="none"/>
        </w:rPr>
      </w:pPr>
    </w:p>
    <w:p w14:paraId="2AD50BEB">
      <w:pPr>
        <w:pStyle w:val="13"/>
        <w:spacing w:beforeAutospacing="0" w:afterAutospacing="0"/>
        <w:jc w:val="both"/>
        <w:rPr>
          <w:color w:val="auto"/>
          <w:highlight w:val="none"/>
        </w:rPr>
      </w:pPr>
    </w:p>
    <w:p w14:paraId="2ED372E7">
      <w:pPr>
        <w:pStyle w:val="13"/>
        <w:spacing w:beforeAutospacing="0" w:afterAutospacing="0"/>
        <w:jc w:val="both"/>
        <w:rPr>
          <w:color w:val="auto"/>
          <w:highlight w:val="none"/>
        </w:rPr>
      </w:pPr>
      <w:r>
        <w:rPr>
          <w:color w:val="auto"/>
          <w:highlight w:val="none"/>
        </w:rPr>
        <w:t> </w:t>
      </w:r>
    </w:p>
    <w:p w14:paraId="2C63ACE4">
      <w:pPr>
        <w:pStyle w:val="13"/>
        <w:keepNext/>
        <w:spacing w:beforeAutospacing="0" w:afterAutospacing="0"/>
        <w:jc w:val="center"/>
        <w:rPr>
          <w:color w:val="auto"/>
          <w:highlight w:val="none"/>
        </w:rPr>
      </w:pPr>
      <w:r>
        <w:rPr>
          <w:color w:val="auto"/>
          <w:highlight w:val="none"/>
        </w:rPr>
        <w:t> </w:t>
      </w:r>
    </w:p>
    <w:p w14:paraId="3128ADE1">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880A673">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423C8189">
      <w:pPr>
        <w:pStyle w:val="13"/>
        <w:spacing w:beforeAutospacing="0" w:afterAutospacing="0"/>
        <w:jc w:val="both"/>
        <w:rPr>
          <w:color w:val="auto"/>
          <w:highlight w:val="none"/>
        </w:rPr>
      </w:pPr>
      <w:r>
        <w:rPr>
          <w:color w:val="auto"/>
          <w:highlight w:val="none"/>
        </w:rPr>
        <w:t> </w:t>
      </w:r>
    </w:p>
    <w:p w14:paraId="668FEA9F">
      <w:pPr>
        <w:keepNext w:val="0"/>
        <w:keepLines w:val="0"/>
        <w:pageBreakBefore w:val="0"/>
        <w:widowControl w:val="0"/>
        <w:kinsoku/>
        <w:wordWrap/>
        <w:overflowPunct/>
        <w:topLinePunct w:val="0"/>
        <w:autoSpaceDE/>
        <w:autoSpaceDN/>
        <w:bidi w:val="0"/>
        <w:snapToGrid w:val="0"/>
        <w:spacing w:line="460" w:lineRule="exact"/>
        <w:ind w:lef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C328EAE">
      <w:pPr>
        <w:keepNext w:val="0"/>
        <w:keepLines w:val="0"/>
        <w:pageBreakBefore w:val="0"/>
        <w:widowControl w:val="0"/>
        <w:kinsoku/>
        <w:wordWrap/>
        <w:overflowPunct/>
        <w:topLinePunct w:val="0"/>
        <w:autoSpaceDE/>
        <w:autoSpaceDN/>
        <w:bidi w:val="0"/>
        <w:snapToGrid w:val="0"/>
        <w:spacing w:line="460" w:lineRule="exact"/>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为排名第一的中标候选人，本项目</w:t>
      </w:r>
      <w:r>
        <w:rPr>
          <w:rFonts w:hint="eastAsia" w:ascii="宋体" w:hAnsi="宋体" w:eastAsia="宋体" w:cs="宋体"/>
          <w:color w:val="auto"/>
          <w:kern w:val="0"/>
          <w:sz w:val="24"/>
          <w:szCs w:val="24"/>
          <w:highlight w:val="none"/>
          <w:lang w:val="en-US" w:eastAsia="zh-CN"/>
        </w:rPr>
        <w:t>每个</w:t>
      </w:r>
      <w:r>
        <w:rPr>
          <w:rFonts w:hint="eastAsia" w:ascii="宋体" w:hAnsi="宋体" w:eastAsia="宋体" w:cs="宋体"/>
          <w:color w:val="auto"/>
          <w:kern w:val="0"/>
          <w:sz w:val="24"/>
          <w:szCs w:val="24"/>
          <w:highlight w:val="none"/>
        </w:rPr>
        <w:t>采购包选取1名中标候选人。</w:t>
      </w:r>
    </w:p>
    <w:p w14:paraId="6DC8AF6A">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供应商可同时投</w:t>
      </w:r>
      <w:r>
        <w:rPr>
          <w:rFonts w:hint="eastAsia" w:ascii="宋体" w:hAnsi="宋体" w:eastAsia="宋体"/>
          <w:color w:val="auto"/>
          <w:szCs w:val="21"/>
          <w:highlight w:val="none"/>
          <w:lang w:val="en-US" w:eastAsia="zh-CN"/>
        </w:rPr>
        <w:t>2</w:t>
      </w:r>
      <w:r>
        <w:rPr>
          <w:rFonts w:hint="eastAsia" w:ascii="宋体" w:hAnsi="宋体"/>
          <w:color w:val="auto"/>
          <w:szCs w:val="21"/>
          <w:highlight w:val="none"/>
        </w:rPr>
        <w:t>个采购包</w:t>
      </w:r>
      <w:r>
        <w:rPr>
          <w:rFonts w:hint="eastAsia" w:ascii="宋体" w:hAnsi="宋体" w:eastAsia="宋体" w:cs="宋体"/>
          <w:color w:val="auto"/>
          <w:sz w:val="24"/>
          <w:szCs w:val="24"/>
          <w:highlight w:val="none"/>
          <w:lang w:eastAsia="zh-CN"/>
        </w:rPr>
        <w:t>，但只能中1个</w:t>
      </w:r>
      <w:r>
        <w:rPr>
          <w:rFonts w:hint="eastAsia" w:ascii="宋体" w:hAnsi="宋体"/>
          <w:color w:val="auto"/>
          <w:szCs w:val="21"/>
          <w:highlight w:val="none"/>
        </w:rPr>
        <w:t>采购包</w:t>
      </w:r>
      <w:r>
        <w:rPr>
          <w:rFonts w:hint="eastAsia" w:ascii="宋体" w:hAnsi="宋体" w:eastAsia="宋体" w:cs="宋体"/>
          <w:color w:val="auto"/>
          <w:sz w:val="24"/>
          <w:szCs w:val="24"/>
          <w:highlight w:val="none"/>
          <w:lang w:eastAsia="zh-CN"/>
        </w:rPr>
        <w:t>。</w:t>
      </w:r>
    </w:p>
    <w:p w14:paraId="47FEED6F">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定标顺序为：</w:t>
      </w:r>
      <w:r>
        <w:rPr>
          <w:rFonts w:hint="eastAsia" w:ascii="宋体" w:hAnsi="宋体"/>
          <w:color w:val="auto"/>
          <w:szCs w:val="21"/>
          <w:highlight w:val="none"/>
        </w:rPr>
        <w:t>采购包1</w:t>
      </w:r>
      <w:r>
        <w:rPr>
          <w:rFonts w:hint="eastAsia" w:ascii="宋体" w:hAnsi="宋体" w:eastAsia="宋体" w:cs="宋体"/>
          <w:color w:val="auto"/>
          <w:sz w:val="24"/>
          <w:szCs w:val="24"/>
          <w:highlight w:val="none"/>
          <w:lang w:eastAsia="zh-CN"/>
        </w:rPr>
        <w:t>→</w:t>
      </w:r>
      <w:r>
        <w:rPr>
          <w:rFonts w:hint="eastAsia" w:ascii="宋体" w:hAnsi="宋体"/>
          <w:color w:val="auto"/>
          <w:szCs w:val="21"/>
          <w:highlight w:val="none"/>
        </w:rPr>
        <w:t>采购包</w:t>
      </w:r>
      <w:r>
        <w:rPr>
          <w:rFonts w:hint="eastAsia" w:ascii="宋体" w:hAnsi="宋体" w:eastAsia="宋体" w:cs="宋体"/>
          <w:color w:val="auto"/>
          <w:sz w:val="24"/>
          <w:szCs w:val="24"/>
          <w:highlight w:val="none"/>
          <w:lang w:eastAsia="zh-CN"/>
        </w:rPr>
        <w:t>2</w:t>
      </w:r>
    </w:p>
    <w:p w14:paraId="7E09634A">
      <w:pPr>
        <w:pStyle w:val="13"/>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注：当供应商在</w:t>
      </w:r>
      <w:r>
        <w:rPr>
          <w:rFonts w:hint="eastAsia" w:ascii="宋体" w:hAnsi="宋体"/>
          <w:color w:val="auto"/>
          <w:szCs w:val="21"/>
          <w:highlight w:val="none"/>
        </w:rPr>
        <w:t>采购包1</w:t>
      </w:r>
      <w:r>
        <w:rPr>
          <w:rFonts w:hint="eastAsia" w:ascii="宋体" w:hAnsi="宋体" w:eastAsia="宋体" w:cs="宋体"/>
          <w:color w:val="auto"/>
          <w:sz w:val="24"/>
          <w:szCs w:val="24"/>
          <w:highlight w:val="none"/>
          <w:lang w:eastAsia="zh-CN"/>
        </w:rPr>
        <w:t>中已确定为第一中标候选人时，其投标文件仍参与</w:t>
      </w:r>
      <w:r>
        <w:rPr>
          <w:rFonts w:hint="eastAsia" w:ascii="宋体" w:hAnsi="宋体"/>
          <w:color w:val="auto"/>
          <w:szCs w:val="21"/>
          <w:highlight w:val="none"/>
        </w:rPr>
        <w:t>采购包</w:t>
      </w:r>
      <w:r>
        <w:rPr>
          <w:rFonts w:hint="eastAsia" w:ascii="宋体" w:hAnsi="宋体" w:eastAsia="宋体" w:cs="宋体"/>
          <w:color w:val="auto"/>
          <w:sz w:val="24"/>
          <w:szCs w:val="24"/>
          <w:highlight w:val="none"/>
          <w:lang w:eastAsia="zh-CN"/>
        </w:rPr>
        <w:t>2的评审，但不作为中标候选人进行排序。</w:t>
      </w:r>
    </w:p>
    <w:p w14:paraId="7A676DAE">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20E729E2">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5A19E5A0">
      <w:pPr>
        <w:pStyle w:val="23"/>
        <w:keepNext w:val="0"/>
        <w:keepLines w:val="0"/>
        <w:pageBreakBefore w:val="0"/>
        <w:widowControl w:val="0"/>
        <w:kinsoku/>
        <w:wordWrap/>
        <w:overflowPunct/>
        <w:topLinePunct w:val="0"/>
        <w:autoSpaceDE/>
        <w:autoSpaceDN/>
        <w:bidi w:val="0"/>
        <w:spacing w:before="0" w:after="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（1）本项目不专门面向中小企业采购，对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73B3C08A">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73ACDBA4">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123A9836">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48BAD8C1">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u w:val="single"/>
          <w:lang w:eastAsia="zh-CN"/>
        </w:rPr>
        <w:t>的价格扣除。</w:t>
      </w:r>
    </w:p>
    <w:p w14:paraId="6DDC4FB5">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05D26FC5">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04DB8360">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7D3DF823">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u w:val="single"/>
          <w:lang w:eastAsia="zh-CN"/>
        </w:rPr>
        <w:t>的价格扣除。</w:t>
      </w:r>
    </w:p>
    <w:p w14:paraId="734F155E">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70D78B33">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018A8531">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2E3EB1FA">
      <w:pPr>
        <w:pStyle w:val="13"/>
        <w:keepNext w:val="0"/>
        <w:keepLines w:val="0"/>
        <w:pageBreakBefore w:val="0"/>
        <w:widowControl w:val="0"/>
        <w:kinsoku/>
        <w:wordWrap/>
        <w:overflowPunct/>
        <w:topLinePunct w:val="0"/>
        <w:autoSpaceDE/>
        <w:autoSpaceDN/>
        <w:bidi w:val="0"/>
        <w:spacing w:beforeAutospacing="0" w:afterAutospacing="0" w:line="460" w:lineRule="exact"/>
        <w:ind w:left="0" w:firstLine="480" w:firstLineChars="20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6、联合体各方均为小型、微型企业（残疾人福利单位、监狱企业）的，联合体享受</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u w:val="single"/>
          <w:lang w:eastAsia="zh-CN"/>
        </w:rPr>
        <w:t>的价格扣除。</w:t>
      </w:r>
    </w:p>
    <w:p w14:paraId="547A6AC6">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7、采购本国产品的支持政策</w:t>
      </w:r>
    </w:p>
    <w:p w14:paraId="1B35457D">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w:t>
      </w:r>
    </w:p>
    <w:p w14:paraId="521B83EF">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80%</w:t>
      </w:r>
      <w:r>
        <w:rPr>
          <w:rFonts w:hint="eastAsia" w:ascii="宋体" w:hAnsi="宋体" w:eastAsia="宋体" w:cs="宋体"/>
          <w:b/>
          <w:bCs/>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20%</w:t>
      </w:r>
      <w:r>
        <w:rPr>
          <w:rFonts w:hint="eastAsia" w:ascii="宋体" w:hAnsi="宋体" w:eastAsia="宋体" w:cs="宋体"/>
          <w:b/>
          <w:bCs/>
          <w:color w:val="auto"/>
          <w:sz w:val="24"/>
          <w:szCs w:val="24"/>
          <w:highlight w:val="none"/>
        </w:rPr>
        <w:t>的价格扣除，用扣除后的价格参与评审。供应商未填写比例数值，或比例数值未达到80%的，将不享受本国产品价格评审优惠。</w:t>
      </w:r>
    </w:p>
    <w:p w14:paraId="62AAC6DC">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 供应商需按照招标文件的要求提供《关于符合本国产品标准的声明函》（以下简称《声明函》），如不提供将不享受本国产品价格评审优惠。</w:t>
      </w:r>
    </w:p>
    <w:p w14:paraId="7BAC137E">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横</w:t>
      </w:r>
      <w:r>
        <w:rPr>
          <w:rFonts w:hint="eastAsia" w:ascii="宋体" w:hAnsi="宋体" w:eastAsia="宋体" w:cs="宋体"/>
          <w:b/>
          <w:bCs/>
          <w:color w:val="auto"/>
          <w:sz w:val="24"/>
          <w:szCs w:val="24"/>
          <w:highlight w:val="none"/>
        </w:rPr>
        <w:t>线划除的地方无需填写），三项信息中任意一项未填写的视为该项产品不符合本国产品标准，不享受本国产品价格评审优惠。</w:t>
      </w:r>
    </w:p>
    <w:p w14:paraId="142E84B6">
      <w:pPr>
        <w:keepNext w:val="0"/>
        <w:keepLines w:val="0"/>
        <w:pageBreakBefore w:val="0"/>
        <w:widowControl w:val="0"/>
        <w:kinsoku/>
        <w:wordWrap/>
        <w:overflowPunct/>
        <w:topLinePunct w:val="0"/>
        <w:autoSpaceDE/>
        <w:autoSpaceDN/>
        <w:bidi w:val="0"/>
        <w:adjustRightInd w:val="0"/>
        <w:spacing w:line="460" w:lineRule="exact"/>
        <w:ind w:left="0" w:firstLine="482" w:firstLineChars="200"/>
        <w:jc w:val="left"/>
        <w:textAlignment w:val="baseline"/>
        <w:rPr>
          <w:rFonts w:hint="eastAsia" w:ascii="宋体" w:hAnsi="宋体" w:eastAsia="宋体" w:cs="宋体"/>
          <w:color w:val="auto"/>
          <w:sz w:val="24"/>
          <w:szCs w:val="24"/>
          <w:highlight w:val="none"/>
          <w:u w:val="single"/>
          <w:lang w:eastAsia="zh-CN"/>
        </w:rPr>
      </w:pPr>
      <w:r>
        <w:rPr>
          <w:rFonts w:hint="eastAsia" w:ascii="宋体" w:hAnsi="宋体" w:eastAsia="宋体" w:cs="宋体"/>
          <w:b/>
          <w:bCs/>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在苏采云系统</w:t>
      </w:r>
      <w:r>
        <w:rPr>
          <w:rFonts w:hint="eastAsia" w:ascii="宋体" w:hAnsi="宋体" w:eastAsia="宋体" w:cs="宋体"/>
          <w:b/>
          <w:bCs/>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和招标文件规定的，供应商提供的相关产品视为不符合本国产品标准。</w:t>
      </w:r>
    </w:p>
    <w:p w14:paraId="795098B7">
      <w:pPr>
        <w:keepNext w:val="0"/>
        <w:keepLines w:val="0"/>
        <w:pageBreakBefore w:val="0"/>
        <w:widowControl w:val="0"/>
        <w:kinsoku/>
        <w:wordWrap/>
        <w:overflowPunct/>
        <w:topLinePunct w:val="0"/>
        <w:autoSpaceDE/>
        <w:autoSpaceDN/>
        <w:bidi w:val="0"/>
        <w:spacing w:line="460" w:lineRule="exact"/>
        <w:ind w:left="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62176F70">
      <w:pPr>
        <w:pStyle w:val="13"/>
        <w:keepNext w:val="0"/>
        <w:keepLines w:val="0"/>
        <w:pageBreakBefore w:val="0"/>
        <w:widowControl w:val="0"/>
        <w:kinsoku/>
        <w:wordWrap/>
        <w:overflowPunct/>
        <w:topLinePunct w:val="0"/>
        <w:autoSpaceDE/>
        <w:autoSpaceDN/>
        <w:bidi w:val="0"/>
        <w:spacing w:beforeAutospacing="0" w:afterAutospacing="0" w:line="500" w:lineRule="exact"/>
        <w:ind w:left="0"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评审方法与评审标准</w:t>
      </w:r>
    </w:p>
    <w:p w14:paraId="53623D94">
      <w:pPr>
        <w:spacing w:line="360" w:lineRule="auto"/>
        <w:ind w:firstLine="480"/>
        <w:rPr>
          <w:rFonts w:ascii="宋体" w:hAnsi="宋体" w:cs="宋体"/>
          <w:color w:val="auto"/>
          <w:highlight w:val="none"/>
        </w:rPr>
      </w:pPr>
      <w:r>
        <w:rPr>
          <w:rFonts w:hint="eastAsia" w:ascii="宋体" w:hAnsi="宋体"/>
          <w:color w:val="auto"/>
          <w:sz w:val="24"/>
          <w:highlight w:val="none"/>
        </w:rPr>
        <w:t>本项目评分总分值为100分。</w:t>
      </w:r>
    </w:p>
    <w:p w14:paraId="15D541B7">
      <w:pPr>
        <w:pStyle w:val="1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15"/>
        <w:tblW w:w="89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1"/>
        <w:gridCol w:w="1325"/>
        <w:gridCol w:w="6076"/>
        <w:gridCol w:w="709"/>
      </w:tblGrid>
      <w:tr w14:paraId="65290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821" w:type="dxa"/>
            <w:tcBorders>
              <w:top w:val="single" w:color="000000" w:sz="4" w:space="0"/>
              <w:left w:val="single" w:color="000000" w:sz="4" w:space="0"/>
              <w:bottom w:val="single" w:color="000000" w:sz="4" w:space="0"/>
              <w:right w:val="single" w:color="000000" w:sz="4" w:space="0"/>
            </w:tcBorders>
            <w:vAlign w:val="center"/>
          </w:tcPr>
          <w:p w14:paraId="3C8E6D00">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b/>
                <w:color w:val="auto"/>
                <w:sz w:val="21"/>
                <w:szCs w:val="21"/>
                <w:highlight w:val="none"/>
              </w:rPr>
            </w:pPr>
            <w:r>
              <w:rPr>
                <w:rStyle w:val="31"/>
                <w:rFonts w:hint="default" w:ascii="Times New Roman" w:hAnsi="Times New Roman" w:eastAsia="宋体" w:cs="Times New Roman"/>
                <w:b/>
                <w:color w:val="auto"/>
                <w:sz w:val="21"/>
                <w:szCs w:val="21"/>
                <w:highlight w:val="none"/>
              </w:rPr>
              <w:t>序号</w:t>
            </w:r>
          </w:p>
        </w:tc>
        <w:tc>
          <w:tcPr>
            <w:tcW w:w="1325" w:type="dxa"/>
            <w:tcBorders>
              <w:top w:val="single" w:color="000000" w:sz="4" w:space="0"/>
              <w:left w:val="single" w:color="000000" w:sz="4" w:space="0"/>
              <w:bottom w:val="single" w:color="000000" w:sz="4" w:space="0"/>
              <w:right w:val="single" w:color="000000" w:sz="4" w:space="0"/>
            </w:tcBorders>
            <w:vAlign w:val="center"/>
          </w:tcPr>
          <w:p w14:paraId="3EF87E74">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b/>
                <w:color w:val="auto"/>
                <w:sz w:val="21"/>
                <w:szCs w:val="21"/>
                <w:highlight w:val="none"/>
              </w:rPr>
            </w:pPr>
            <w:r>
              <w:rPr>
                <w:rStyle w:val="31"/>
                <w:rFonts w:hint="default" w:ascii="Times New Roman" w:hAnsi="Times New Roman" w:eastAsia="宋体" w:cs="Times New Roman"/>
                <w:b/>
                <w:color w:val="auto"/>
                <w:sz w:val="21"/>
                <w:szCs w:val="21"/>
                <w:highlight w:val="none"/>
              </w:rPr>
              <w:t>评审因素</w:t>
            </w:r>
          </w:p>
        </w:tc>
        <w:tc>
          <w:tcPr>
            <w:tcW w:w="6076" w:type="dxa"/>
            <w:tcBorders>
              <w:top w:val="single" w:color="000000" w:sz="4" w:space="0"/>
              <w:left w:val="single" w:color="000000" w:sz="4" w:space="0"/>
              <w:bottom w:val="single" w:color="000000" w:sz="4" w:space="0"/>
              <w:right w:val="single" w:color="000000" w:sz="4" w:space="0"/>
            </w:tcBorders>
            <w:vAlign w:val="center"/>
          </w:tcPr>
          <w:p w14:paraId="5E17FFBB">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b/>
                <w:color w:val="auto"/>
                <w:sz w:val="21"/>
                <w:szCs w:val="21"/>
                <w:highlight w:val="none"/>
              </w:rPr>
            </w:pPr>
            <w:r>
              <w:rPr>
                <w:rStyle w:val="31"/>
                <w:rFonts w:hint="default" w:ascii="Times New Roman" w:hAnsi="Times New Roman" w:eastAsia="宋体" w:cs="Times New Roman"/>
                <w:b/>
                <w:color w:val="auto"/>
                <w:sz w:val="21"/>
                <w:szCs w:val="21"/>
                <w:highlight w:val="none"/>
              </w:rPr>
              <w:t>评审细则</w:t>
            </w:r>
          </w:p>
        </w:tc>
        <w:tc>
          <w:tcPr>
            <w:tcW w:w="709" w:type="dxa"/>
            <w:tcBorders>
              <w:top w:val="single" w:color="000000" w:sz="4" w:space="0"/>
              <w:left w:val="single" w:color="000000" w:sz="4" w:space="0"/>
              <w:bottom w:val="single" w:color="000000" w:sz="4" w:space="0"/>
              <w:right w:val="single" w:color="000000" w:sz="4" w:space="0"/>
            </w:tcBorders>
            <w:vAlign w:val="center"/>
          </w:tcPr>
          <w:p w14:paraId="59BA8FBC">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b/>
                <w:color w:val="auto"/>
                <w:sz w:val="21"/>
                <w:szCs w:val="21"/>
                <w:highlight w:val="none"/>
              </w:rPr>
            </w:pPr>
            <w:r>
              <w:rPr>
                <w:rStyle w:val="31"/>
                <w:rFonts w:hint="default" w:ascii="Times New Roman" w:hAnsi="Times New Roman" w:eastAsia="宋体" w:cs="Times New Roman"/>
                <w:b/>
                <w:color w:val="auto"/>
                <w:sz w:val="21"/>
                <w:szCs w:val="21"/>
                <w:highlight w:val="none"/>
              </w:rPr>
              <w:t>分值</w:t>
            </w:r>
          </w:p>
        </w:tc>
      </w:tr>
      <w:tr w14:paraId="18C0A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8931" w:type="dxa"/>
            <w:gridSpan w:val="4"/>
            <w:tcBorders>
              <w:top w:val="single" w:color="000000" w:sz="4" w:space="0"/>
              <w:left w:val="single" w:color="000000" w:sz="4" w:space="0"/>
              <w:bottom w:val="single" w:color="000000" w:sz="4" w:space="0"/>
              <w:right w:val="single" w:color="000000" w:sz="4" w:space="0"/>
            </w:tcBorders>
            <w:vAlign w:val="center"/>
          </w:tcPr>
          <w:p w14:paraId="7120F76B">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b/>
                <w:bCs/>
                <w:color w:val="auto"/>
                <w:sz w:val="21"/>
                <w:szCs w:val="21"/>
                <w:highlight w:val="none"/>
              </w:rPr>
              <w:t>价格（</w:t>
            </w:r>
            <w:r>
              <w:rPr>
                <w:rStyle w:val="31"/>
                <w:rFonts w:hint="eastAsia" w:ascii="Times New Roman" w:hAnsi="Times New Roman" w:eastAsia="宋体" w:cs="Times New Roman"/>
                <w:b/>
                <w:bCs/>
                <w:color w:val="auto"/>
                <w:sz w:val="21"/>
                <w:szCs w:val="21"/>
                <w:highlight w:val="none"/>
                <w:lang w:val="en-US" w:eastAsia="zh-CN"/>
              </w:rPr>
              <w:t>15</w:t>
            </w:r>
            <w:r>
              <w:rPr>
                <w:rStyle w:val="31"/>
                <w:rFonts w:hint="default" w:ascii="Times New Roman" w:hAnsi="Times New Roman" w:eastAsia="宋体" w:cs="Times New Roman"/>
                <w:b/>
                <w:bCs/>
                <w:color w:val="auto"/>
                <w:sz w:val="21"/>
                <w:szCs w:val="21"/>
                <w:highlight w:val="none"/>
              </w:rPr>
              <w:t>分）</w:t>
            </w:r>
          </w:p>
        </w:tc>
      </w:tr>
      <w:tr w14:paraId="28EF1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21" w:type="dxa"/>
            <w:tcBorders>
              <w:top w:val="single" w:color="000000" w:sz="4" w:space="0"/>
              <w:left w:val="single" w:color="000000" w:sz="4" w:space="0"/>
              <w:bottom w:val="single" w:color="000000" w:sz="4" w:space="0"/>
              <w:right w:val="single" w:color="000000" w:sz="4" w:space="0"/>
            </w:tcBorders>
            <w:vAlign w:val="center"/>
          </w:tcPr>
          <w:p w14:paraId="32A84742">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rPr>
              <w:t>1</w:t>
            </w:r>
          </w:p>
        </w:tc>
        <w:tc>
          <w:tcPr>
            <w:tcW w:w="1325" w:type="dxa"/>
            <w:tcBorders>
              <w:top w:val="single" w:color="000000" w:sz="4" w:space="0"/>
              <w:left w:val="single" w:color="000000" w:sz="4" w:space="0"/>
              <w:bottom w:val="single" w:color="000000" w:sz="4" w:space="0"/>
              <w:right w:val="single" w:color="000000" w:sz="4" w:space="0"/>
            </w:tcBorders>
            <w:vAlign w:val="center"/>
          </w:tcPr>
          <w:p w14:paraId="7CC284FE">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val="en-US" w:eastAsia="zh-CN"/>
              </w:rPr>
            </w:pPr>
            <w:r>
              <w:rPr>
                <w:rStyle w:val="31"/>
                <w:rFonts w:hint="default" w:ascii="Times New Roman" w:hAnsi="Times New Roman" w:eastAsia="宋体" w:cs="Times New Roman"/>
                <w:color w:val="auto"/>
                <w:sz w:val="21"/>
                <w:szCs w:val="21"/>
                <w:highlight w:val="none"/>
                <w:lang w:val="en-US" w:eastAsia="zh-CN"/>
              </w:rPr>
              <w:t>投标报价</w:t>
            </w:r>
          </w:p>
        </w:tc>
        <w:tc>
          <w:tcPr>
            <w:tcW w:w="6076" w:type="dxa"/>
            <w:tcBorders>
              <w:top w:val="single" w:color="000000" w:sz="4" w:space="0"/>
              <w:left w:val="single" w:color="000000" w:sz="4" w:space="0"/>
              <w:bottom w:val="single" w:color="000000" w:sz="4" w:space="0"/>
              <w:right w:val="single" w:color="000000" w:sz="4" w:space="0"/>
            </w:tcBorders>
            <w:vAlign w:val="center"/>
          </w:tcPr>
          <w:p w14:paraId="33A3DCF7">
            <w:pPr>
              <w:adjustRightInd w:val="0"/>
              <w:snapToGrid w:val="0"/>
              <w:spacing w:line="400" w:lineRule="atLeast"/>
              <w:ind w:firstLine="420" w:firstLineChars="200"/>
              <w:jc w:val="left"/>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zh-CN"/>
              </w:rPr>
              <w:t>满足招标文件要求且投标价格最低的投标报价为评标基准价，其价格分为满分</w:t>
            </w:r>
            <w:r>
              <w:rPr>
                <w:rFonts w:hint="eastAsia" w:ascii="Times New Roman" w:hAnsi="Times New Roman" w:cs="Times New Roman"/>
                <w:color w:val="auto"/>
                <w:kern w:val="0"/>
                <w:szCs w:val="21"/>
                <w:highlight w:val="none"/>
                <w:lang w:val="en-US" w:eastAsia="zh-CN"/>
              </w:rPr>
              <w:t>15</w:t>
            </w:r>
            <w:r>
              <w:rPr>
                <w:rFonts w:hint="default" w:ascii="Times New Roman" w:hAnsi="Times New Roman" w:cs="Times New Roman"/>
                <w:color w:val="auto"/>
                <w:kern w:val="0"/>
                <w:szCs w:val="21"/>
                <w:highlight w:val="none"/>
              </w:rPr>
              <w:t>分</w:t>
            </w:r>
            <w:r>
              <w:rPr>
                <w:rFonts w:hint="default" w:ascii="Times New Roman" w:hAnsi="Times New Roman" w:cs="Times New Roman"/>
                <w:color w:val="auto"/>
                <w:kern w:val="0"/>
                <w:szCs w:val="21"/>
                <w:highlight w:val="none"/>
                <w:lang w:val="zh-CN"/>
              </w:rPr>
              <w:t>。</w:t>
            </w:r>
          </w:p>
          <w:p w14:paraId="30C24918">
            <w:pPr>
              <w:adjustRightInd w:val="0"/>
              <w:snapToGrid w:val="0"/>
              <w:spacing w:line="400" w:lineRule="atLeast"/>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val="zh-CN"/>
              </w:rPr>
              <w:t>投标报价得分=（评标基准价/投标报价）×</w:t>
            </w:r>
            <w:r>
              <w:rPr>
                <w:rFonts w:hint="eastAsia" w:ascii="Times New Roman" w:hAnsi="Times New Roman" w:cs="Times New Roman"/>
                <w:color w:val="auto"/>
                <w:kern w:val="0"/>
                <w:szCs w:val="21"/>
                <w:highlight w:val="none"/>
                <w:lang w:val="en-US" w:eastAsia="zh-CN"/>
              </w:rPr>
              <w:t>15</w:t>
            </w:r>
            <w:r>
              <w:rPr>
                <w:rFonts w:hint="default" w:ascii="Times New Roman" w:hAnsi="Times New Roman" w:cs="Times New Roman"/>
                <w:color w:val="auto"/>
                <w:kern w:val="0"/>
                <w:szCs w:val="21"/>
                <w:highlight w:val="none"/>
              </w:rPr>
              <w:t>。</w:t>
            </w:r>
          </w:p>
          <w:p w14:paraId="03332119">
            <w:pPr>
              <w:keepNext w:val="0"/>
              <w:keepLines w:val="0"/>
              <w:pageBreakBefore w:val="0"/>
              <w:widowControl w:val="0"/>
              <w:kinsoku/>
              <w:overflowPunct/>
              <w:topLinePunct w:val="0"/>
              <w:autoSpaceDE/>
              <w:autoSpaceDN/>
              <w:bidi w:val="0"/>
              <w:adjustRightInd w:val="0"/>
              <w:snapToGrid w:val="0"/>
              <w:spacing w:line="400" w:lineRule="atLeast"/>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（计算结果保留2位小数，第三位四舍五入）</w:t>
            </w:r>
          </w:p>
        </w:tc>
        <w:tc>
          <w:tcPr>
            <w:tcW w:w="709" w:type="dxa"/>
            <w:tcBorders>
              <w:top w:val="single" w:color="000000" w:sz="4" w:space="0"/>
              <w:left w:val="single" w:color="000000" w:sz="4" w:space="0"/>
              <w:bottom w:val="single" w:color="000000" w:sz="4" w:space="0"/>
              <w:right w:val="single" w:color="000000" w:sz="4" w:space="0"/>
            </w:tcBorders>
            <w:vAlign w:val="center"/>
          </w:tcPr>
          <w:p w14:paraId="1A7C2DA0">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val="en-US" w:eastAsia="zh-CN"/>
              </w:rPr>
            </w:pPr>
            <w:r>
              <w:rPr>
                <w:rStyle w:val="31"/>
                <w:rFonts w:hint="eastAsia" w:ascii="Times New Roman" w:hAnsi="Times New Roman" w:eastAsia="宋体" w:cs="Times New Roman"/>
                <w:color w:val="auto"/>
                <w:sz w:val="21"/>
                <w:szCs w:val="21"/>
                <w:highlight w:val="none"/>
                <w:lang w:val="en-US" w:eastAsia="zh-CN"/>
              </w:rPr>
              <w:t>15</w:t>
            </w:r>
            <w:r>
              <w:rPr>
                <w:rStyle w:val="31"/>
                <w:rFonts w:hint="default" w:ascii="Times New Roman" w:hAnsi="Times New Roman" w:eastAsia="宋体" w:cs="Times New Roman"/>
                <w:color w:val="auto"/>
                <w:sz w:val="21"/>
                <w:szCs w:val="21"/>
                <w:highlight w:val="none"/>
                <w:lang w:val="en-US" w:eastAsia="zh-CN"/>
              </w:rPr>
              <w:t>分</w:t>
            </w:r>
          </w:p>
        </w:tc>
      </w:tr>
      <w:tr w14:paraId="5FE91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jc w:val="center"/>
        </w:trPr>
        <w:tc>
          <w:tcPr>
            <w:tcW w:w="8931" w:type="dxa"/>
            <w:gridSpan w:val="4"/>
            <w:tcBorders>
              <w:top w:val="single" w:color="000000" w:sz="4" w:space="0"/>
              <w:left w:val="single" w:color="000000" w:sz="4" w:space="0"/>
              <w:bottom w:val="single" w:color="000000" w:sz="4" w:space="0"/>
              <w:right w:val="single" w:color="000000" w:sz="4" w:space="0"/>
            </w:tcBorders>
            <w:vAlign w:val="center"/>
          </w:tcPr>
          <w:p w14:paraId="770D9A65">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b/>
                <w:bCs/>
                <w:color w:val="auto"/>
                <w:sz w:val="21"/>
                <w:szCs w:val="21"/>
                <w:highlight w:val="none"/>
              </w:rPr>
              <w:t>服务方案（</w:t>
            </w:r>
            <w:r>
              <w:rPr>
                <w:rStyle w:val="31"/>
                <w:rFonts w:hint="eastAsia" w:ascii="Times New Roman" w:hAnsi="Times New Roman" w:eastAsia="宋体" w:cs="Times New Roman"/>
                <w:b/>
                <w:bCs/>
                <w:color w:val="auto"/>
                <w:sz w:val="21"/>
                <w:szCs w:val="21"/>
                <w:highlight w:val="none"/>
                <w:lang w:val="en-US" w:eastAsia="zh-CN"/>
              </w:rPr>
              <w:t>45</w:t>
            </w:r>
            <w:r>
              <w:rPr>
                <w:rStyle w:val="31"/>
                <w:rFonts w:hint="default" w:ascii="Times New Roman" w:hAnsi="Times New Roman" w:eastAsia="宋体" w:cs="Times New Roman"/>
                <w:b/>
                <w:bCs/>
                <w:color w:val="auto"/>
                <w:sz w:val="21"/>
                <w:szCs w:val="21"/>
                <w:highlight w:val="none"/>
              </w:rPr>
              <w:t>分）</w:t>
            </w:r>
          </w:p>
        </w:tc>
      </w:tr>
      <w:tr w14:paraId="5A3CE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7" w:hRule="atLeast"/>
          <w:jc w:val="center"/>
        </w:trPr>
        <w:tc>
          <w:tcPr>
            <w:tcW w:w="821" w:type="dxa"/>
            <w:tcBorders>
              <w:top w:val="single" w:color="000000" w:sz="4" w:space="0"/>
              <w:left w:val="single" w:color="000000" w:sz="4" w:space="0"/>
              <w:bottom w:val="single" w:color="000000" w:sz="4" w:space="0"/>
              <w:right w:val="single" w:color="000000" w:sz="4" w:space="0"/>
            </w:tcBorders>
            <w:vAlign w:val="center"/>
          </w:tcPr>
          <w:p w14:paraId="0C0FC427">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rPr>
              <w:t>2.1</w:t>
            </w:r>
          </w:p>
        </w:tc>
        <w:tc>
          <w:tcPr>
            <w:tcW w:w="1325" w:type="dxa"/>
            <w:tcBorders>
              <w:top w:val="single" w:color="000000" w:sz="4" w:space="0"/>
              <w:left w:val="single" w:color="000000" w:sz="4" w:space="0"/>
              <w:bottom w:val="single" w:color="000000" w:sz="4" w:space="0"/>
              <w:right w:val="single" w:color="000000" w:sz="4" w:space="0"/>
            </w:tcBorders>
            <w:vAlign w:val="center"/>
          </w:tcPr>
          <w:p w14:paraId="53E4B561">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val="en-US" w:eastAsia="zh-CN"/>
              </w:rPr>
            </w:pPr>
            <w:r>
              <w:rPr>
                <w:rStyle w:val="31"/>
                <w:rFonts w:hint="default" w:ascii="Times New Roman" w:hAnsi="Times New Roman" w:eastAsia="宋体" w:cs="Times New Roman"/>
                <w:color w:val="auto"/>
                <w:sz w:val="21"/>
                <w:szCs w:val="21"/>
                <w:highlight w:val="none"/>
                <w:lang w:val="en-US" w:eastAsia="zh-CN"/>
              </w:rPr>
              <w:t>对项目的理解与认识</w:t>
            </w:r>
          </w:p>
        </w:tc>
        <w:tc>
          <w:tcPr>
            <w:tcW w:w="6076" w:type="dxa"/>
            <w:tcBorders>
              <w:top w:val="single" w:color="000000" w:sz="4" w:space="0"/>
              <w:left w:val="single" w:color="000000" w:sz="4" w:space="0"/>
              <w:bottom w:val="single" w:color="000000" w:sz="4" w:space="0"/>
              <w:right w:val="single" w:color="000000" w:sz="4" w:space="0"/>
            </w:tcBorders>
            <w:vAlign w:val="center"/>
          </w:tcPr>
          <w:p w14:paraId="2C91B857">
            <w:pPr>
              <w:adjustRightInd w:val="0"/>
              <w:snapToGrid w:val="0"/>
              <w:spacing w:line="400" w:lineRule="atLeast"/>
              <w:ind w:firstLine="420" w:firstLineChars="200"/>
              <w:jc w:val="left"/>
              <w:rPr>
                <w:rFonts w:hint="eastAsia" w:ascii="Times New Roman" w:hAnsi="Times New Roman" w:cs="Times New Roman"/>
                <w:color w:val="auto"/>
                <w:kern w:val="0"/>
                <w:szCs w:val="21"/>
                <w:highlight w:val="none"/>
                <w:lang w:val="zh-CN"/>
              </w:rPr>
            </w:pPr>
            <w:r>
              <w:rPr>
                <w:rFonts w:hint="eastAsia" w:ascii="Times New Roman" w:hAnsi="Times New Roman" w:cs="Times New Roman"/>
                <w:color w:val="auto"/>
                <w:kern w:val="0"/>
                <w:szCs w:val="21"/>
                <w:highlight w:val="none"/>
                <w:lang w:val="zh-CN"/>
              </w:rPr>
              <w:t>供应商根据第四章第</w:t>
            </w:r>
            <w:r>
              <w:rPr>
                <w:rFonts w:hint="eastAsia" w:ascii="Times New Roman" w:hAnsi="Times New Roman" w:cs="Times New Roman"/>
                <w:color w:val="auto"/>
                <w:kern w:val="0"/>
                <w:szCs w:val="21"/>
                <w:highlight w:val="none"/>
                <w:lang w:val="en-US" w:eastAsia="zh-CN"/>
              </w:rPr>
              <w:t>六</w:t>
            </w:r>
            <w:r>
              <w:rPr>
                <w:rFonts w:hint="eastAsia" w:ascii="Times New Roman" w:hAnsi="Times New Roman" w:cs="Times New Roman"/>
                <w:color w:val="auto"/>
                <w:kern w:val="0"/>
                <w:szCs w:val="21"/>
                <w:highlight w:val="none"/>
                <w:lang w:val="zh-CN"/>
              </w:rPr>
              <w:t>款的“</w:t>
            </w:r>
            <w:r>
              <w:rPr>
                <w:rFonts w:hint="eastAsia" w:ascii="Times New Roman" w:hAnsi="Times New Roman" w:cs="Times New Roman"/>
                <w:color w:val="auto"/>
                <w:kern w:val="0"/>
                <w:szCs w:val="21"/>
                <w:highlight w:val="none"/>
                <w:lang w:val="en-US" w:eastAsia="zh-CN"/>
              </w:rPr>
              <w:t>项目的理解与认识</w:t>
            </w:r>
            <w:r>
              <w:rPr>
                <w:rFonts w:hint="eastAsia" w:ascii="Times New Roman" w:hAnsi="Times New Roman" w:cs="Times New Roman"/>
                <w:color w:val="auto"/>
                <w:kern w:val="0"/>
                <w:szCs w:val="21"/>
                <w:highlight w:val="none"/>
                <w:lang w:val="zh-CN"/>
              </w:rPr>
              <w:t>”，至少要包括</w:t>
            </w:r>
            <w:r>
              <w:rPr>
                <w:rFonts w:hint="default" w:ascii="Times New Roman" w:hAnsi="Times New Roman" w:cs="Times New Roman"/>
                <w:color w:val="auto"/>
                <w:kern w:val="0"/>
                <w:szCs w:val="21"/>
                <w:highlight w:val="none"/>
                <w:lang w:val="en-US" w:eastAsia="zh-CN"/>
              </w:rPr>
              <w:t>（1）</w:t>
            </w:r>
            <w:r>
              <w:rPr>
                <w:rFonts w:hint="default" w:ascii="Times New Roman" w:hAnsi="Times New Roman" w:cs="Times New Roman"/>
                <w:color w:val="auto"/>
                <w:kern w:val="0"/>
                <w:szCs w:val="21"/>
                <w:highlight w:val="none"/>
              </w:rPr>
              <w:t>对本项目的理解和背景认知</w:t>
            </w: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2）</w:t>
            </w:r>
            <w:r>
              <w:rPr>
                <w:rFonts w:hint="default" w:ascii="Times New Roman" w:hAnsi="Times New Roman" w:cs="Times New Roman"/>
                <w:color w:val="auto"/>
                <w:kern w:val="0"/>
                <w:szCs w:val="21"/>
                <w:highlight w:val="none"/>
              </w:rPr>
              <w:t>目标把握情况</w:t>
            </w:r>
            <w:r>
              <w:rPr>
                <w:rFonts w:hint="default" w:ascii="Times New Roman" w:hAnsi="Times New Roman" w:cs="Times New Roman"/>
                <w:color w:val="auto"/>
                <w:kern w:val="0"/>
                <w:szCs w:val="21"/>
                <w:highlight w:val="none"/>
                <w:lang w:val="en-US"/>
              </w:rPr>
              <w:t>。</w:t>
            </w:r>
          </w:p>
          <w:p w14:paraId="3024B73D">
            <w:pPr>
              <w:adjustRightInd w:val="0"/>
              <w:snapToGrid w:val="0"/>
              <w:spacing w:line="400" w:lineRule="atLeast"/>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kern w:val="0"/>
                <w:szCs w:val="21"/>
                <w:highlight w:val="none"/>
                <w:lang w:val="zh-CN"/>
              </w:rPr>
              <w:t>以上方案内容完整得</w:t>
            </w:r>
            <w:r>
              <w:rPr>
                <w:rFonts w:hint="default" w:ascii="Times New Roman" w:hAnsi="Times New Roman" w:cs="Times New Roman"/>
                <w:color w:val="auto"/>
                <w:kern w:val="0"/>
                <w:szCs w:val="21"/>
                <w:highlight w:val="none"/>
                <w:lang w:val="en-US" w:eastAsia="zh-CN"/>
              </w:rPr>
              <w:t>10</w:t>
            </w:r>
            <w:r>
              <w:rPr>
                <w:rFonts w:hint="default" w:ascii="Times New Roman" w:hAnsi="Times New Roman" w:cs="Times New Roman"/>
                <w:color w:val="auto"/>
                <w:kern w:val="0"/>
                <w:szCs w:val="21"/>
                <w:highlight w:val="none"/>
                <w:lang w:val="zh-CN"/>
              </w:rPr>
              <w:t>分，每有一内容缺失的扣</w:t>
            </w:r>
            <w:r>
              <w:rPr>
                <w:rFonts w:hint="default" w:ascii="Times New Roman" w:hAnsi="Times New Roman" w:cs="Times New Roman"/>
                <w:color w:val="auto"/>
                <w:kern w:val="0"/>
                <w:szCs w:val="21"/>
                <w:highlight w:val="none"/>
                <w:lang w:val="en-US" w:eastAsia="zh-CN"/>
              </w:rPr>
              <w:t>5</w:t>
            </w:r>
            <w:r>
              <w:rPr>
                <w:rFonts w:hint="default" w:ascii="Times New Roman" w:hAnsi="Times New Roman" w:cs="Times New Roman"/>
                <w:color w:val="auto"/>
                <w:kern w:val="0"/>
                <w:szCs w:val="21"/>
                <w:highlight w:val="none"/>
                <w:lang w:val="zh-CN"/>
              </w:rPr>
              <w:t>分；每有一处存在缺陷（缺陷是指不适用于本项目，表述前后不一致或内容矛盾，语句有歧义，仅有框架或标题，涉及的规范及标准错误，套用其他项目内容等任意一种情形）的扣</w:t>
            </w:r>
            <w:r>
              <w:rPr>
                <w:rFonts w:hint="default" w:ascii="Times New Roman" w:hAnsi="Times New Roman" w:cs="Times New Roman"/>
                <w:color w:val="auto"/>
                <w:kern w:val="0"/>
                <w:szCs w:val="21"/>
                <w:highlight w:val="none"/>
                <w:lang w:val="en-US" w:eastAsia="zh-CN"/>
              </w:rPr>
              <w:t>1</w:t>
            </w:r>
            <w:r>
              <w:rPr>
                <w:rFonts w:hint="default" w:ascii="Times New Roman" w:hAnsi="Times New Roman" w:cs="Times New Roman"/>
                <w:color w:val="auto"/>
                <w:kern w:val="0"/>
                <w:szCs w:val="21"/>
                <w:highlight w:val="none"/>
                <w:lang w:val="zh-CN"/>
              </w:rPr>
              <w:t>分，直至该项分值</w:t>
            </w:r>
            <w:r>
              <w:rPr>
                <w:rFonts w:hint="default" w:ascii="Times New Roman" w:hAnsi="Times New Roman" w:cs="Times New Roman"/>
                <w:color w:val="auto"/>
                <w:kern w:val="0"/>
                <w:szCs w:val="21"/>
                <w:highlight w:val="none"/>
                <w:lang w:val="en-US" w:eastAsia="zh-CN"/>
              </w:rPr>
              <w:t>5</w:t>
            </w:r>
            <w:r>
              <w:rPr>
                <w:rFonts w:hint="default" w:ascii="Times New Roman" w:hAnsi="Times New Roman" w:cs="Times New Roman"/>
                <w:color w:val="auto"/>
                <w:kern w:val="0"/>
                <w:szCs w:val="21"/>
                <w:highlight w:val="none"/>
                <w:lang w:val="zh-CN"/>
              </w:rPr>
              <w:t>分扣完为止，不提供不得分。</w:t>
            </w:r>
          </w:p>
        </w:tc>
        <w:tc>
          <w:tcPr>
            <w:tcW w:w="709" w:type="dxa"/>
            <w:tcBorders>
              <w:top w:val="single" w:color="000000" w:sz="4" w:space="0"/>
              <w:left w:val="single" w:color="000000" w:sz="4" w:space="0"/>
              <w:bottom w:val="single" w:color="000000" w:sz="4" w:space="0"/>
              <w:right w:val="single" w:color="000000" w:sz="4" w:space="0"/>
            </w:tcBorders>
            <w:vAlign w:val="center"/>
          </w:tcPr>
          <w:p w14:paraId="1C85F60C">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rPr>
              <w:t>10分</w:t>
            </w:r>
          </w:p>
        </w:tc>
      </w:tr>
      <w:tr w14:paraId="0D367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jc w:val="center"/>
        </w:trPr>
        <w:tc>
          <w:tcPr>
            <w:tcW w:w="8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BD09">
            <w:pPr>
              <w:adjustRightInd w:val="0"/>
              <w:snapToGrid w:val="0"/>
              <w:spacing w:line="400" w:lineRule="atLeast"/>
              <w:jc w:val="center"/>
              <w:rPr>
                <w:rFonts w:hint="default" w:ascii="Times New Roman" w:hAnsi="Times New Roman" w:eastAsia="宋体" w:cs="Times New Roman"/>
                <w:color w:val="auto"/>
                <w:kern w:val="2"/>
                <w:sz w:val="21"/>
                <w:szCs w:val="21"/>
                <w:highlight w:val="none"/>
                <w:lang w:val="en-US" w:eastAsia="zh-CN" w:bidi="ar-SA"/>
              </w:rPr>
            </w:pPr>
            <w:r>
              <w:rPr>
                <w:rStyle w:val="31"/>
                <w:rFonts w:hint="default" w:ascii="Times New Roman" w:hAnsi="Times New Roman" w:eastAsia="宋体" w:cs="Times New Roman"/>
                <w:color w:val="auto"/>
                <w:szCs w:val="21"/>
                <w:highlight w:val="none"/>
              </w:rPr>
              <w:t>2.2</w:t>
            </w:r>
          </w:p>
        </w:tc>
        <w:tc>
          <w:tcPr>
            <w:tcW w:w="1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2E14">
            <w:pPr>
              <w:adjustRightInd w:val="0"/>
              <w:snapToGrid w:val="0"/>
              <w:spacing w:line="400" w:lineRule="atLeast"/>
              <w:jc w:val="left"/>
              <w:rPr>
                <w:rFonts w:hint="default" w:ascii="Times New Roman" w:hAnsi="Times New Roman" w:cs="Times New Roman" w:eastAsiaTheme="minorEastAsia"/>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bidi="ar-SA"/>
              </w:rPr>
              <w:t>工作流程及方法</w:t>
            </w:r>
          </w:p>
        </w:tc>
        <w:tc>
          <w:tcPr>
            <w:tcW w:w="60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7D13">
            <w:pPr>
              <w:adjustRightInd w:val="0"/>
              <w:snapToGrid w:val="0"/>
              <w:spacing w:line="400" w:lineRule="atLeast"/>
              <w:ind w:firstLine="420" w:firstLineChars="200"/>
              <w:jc w:val="left"/>
              <w:rPr>
                <w:rFonts w:hint="default" w:ascii="Times New Roman" w:hAnsi="Times New Roman" w:cs="Times New Roman"/>
                <w:color w:val="auto"/>
                <w:kern w:val="0"/>
                <w:szCs w:val="21"/>
                <w:highlight w:val="none"/>
                <w:lang w:eastAsia="zh-CN"/>
              </w:rPr>
            </w:pPr>
            <w:r>
              <w:rPr>
                <w:rFonts w:hint="eastAsia" w:ascii="Times New Roman" w:hAnsi="Times New Roman" w:cs="Times New Roman"/>
                <w:color w:val="auto"/>
                <w:kern w:val="0"/>
                <w:szCs w:val="21"/>
                <w:highlight w:val="none"/>
                <w:lang w:val="zh-CN"/>
              </w:rPr>
              <w:t>供应商根据第四章第</w:t>
            </w:r>
            <w:r>
              <w:rPr>
                <w:rFonts w:hint="eastAsia" w:ascii="Times New Roman" w:hAnsi="Times New Roman" w:cs="Times New Roman"/>
                <w:color w:val="auto"/>
                <w:kern w:val="0"/>
                <w:szCs w:val="21"/>
                <w:highlight w:val="none"/>
                <w:lang w:val="en-US" w:eastAsia="zh-CN"/>
              </w:rPr>
              <w:t>六</w:t>
            </w:r>
            <w:r>
              <w:rPr>
                <w:rFonts w:hint="eastAsia" w:ascii="Times New Roman" w:hAnsi="Times New Roman" w:cs="Times New Roman"/>
                <w:color w:val="auto"/>
                <w:kern w:val="0"/>
                <w:szCs w:val="21"/>
                <w:highlight w:val="none"/>
                <w:lang w:val="zh-CN"/>
              </w:rPr>
              <w:t>款的“</w:t>
            </w:r>
            <w:r>
              <w:rPr>
                <w:rFonts w:hint="default" w:ascii="Times New Roman" w:hAnsi="Times New Roman" w:cs="Times New Roman"/>
                <w:color w:val="auto"/>
                <w:kern w:val="0"/>
                <w:szCs w:val="21"/>
                <w:highlight w:val="none"/>
                <w:lang w:val="en-US" w:eastAsia="zh-CN"/>
              </w:rPr>
              <w:t>工作流程及方法</w:t>
            </w:r>
            <w:r>
              <w:rPr>
                <w:rFonts w:hint="eastAsia" w:ascii="Times New Roman" w:hAnsi="Times New Roman" w:cs="Times New Roman"/>
                <w:color w:val="auto"/>
                <w:kern w:val="0"/>
                <w:szCs w:val="21"/>
                <w:highlight w:val="none"/>
                <w:lang w:val="zh-CN"/>
              </w:rPr>
              <w:t>”，至少要包括</w:t>
            </w:r>
            <w:r>
              <w:rPr>
                <w:rFonts w:hint="default" w:ascii="Times New Roman" w:hAnsi="Times New Roman" w:cs="Times New Roman"/>
                <w:color w:val="auto"/>
                <w:kern w:val="0"/>
                <w:szCs w:val="21"/>
                <w:highlight w:val="none"/>
              </w:rPr>
              <w:t>（1）</w:t>
            </w:r>
            <w:r>
              <w:rPr>
                <w:rFonts w:hint="default" w:ascii="Times New Roman" w:hAnsi="Times New Roman" w:cs="Times New Roman"/>
                <w:color w:val="auto"/>
                <w:kern w:val="0"/>
                <w:szCs w:val="21"/>
                <w:highlight w:val="none"/>
                <w:lang w:val="en-US" w:eastAsia="zh-CN"/>
              </w:rPr>
              <w:t>监测的方法</w:t>
            </w:r>
            <w:r>
              <w:rPr>
                <w:rFonts w:hint="default" w:ascii="Times New Roman" w:hAnsi="Times New Roman" w:cs="Times New Roman"/>
                <w:color w:val="auto"/>
                <w:kern w:val="0"/>
                <w:szCs w:val="21"/>
                <w:highlight w:val="none"/>
              </w:rPr>
              <w:t>；（2）</w:t>
            </w:r>
            <w:r>
              <w:rPr>
                <w:rFonts w:hint="default" w:ascii="Times New Roman" w:hAnsi="Times New Roman" w:cs="Times New Roman"/>
                <w:color w:val="auto"/>
                <w:kern w:val="0"/>
                <w:szCs w:val="21"/>
                <w:highlight w:val="none"/>
                <w:lang w:val="en-US" w:eastAsia="zh-CN"/>
              </w:rPr>
              <w:t>监测</w:t>
            </w:r>
            <w:r>
              <w:rPr>
                <w:rFonts w:hint="default" w:ascii="Times New Roman" w:hAnsi="Times New Roman" w:cs="Times New Roman"/>
                <w:color w:val="auto"/>
                <w:kern w:val="0"/>
                <w:szCs w:val="21"/>
                <w:highlight w:val="none"/>
              </w:rPr>
              <w:t>思路与工作流程；（3）</w:t>
            </w:r>
            <w:r>
              <w:rPr>
                <w:rFonts w:hint="default" w:ascii="Times New Roman" w:hAnsi="Times New Roman" w:cs="Times New Roman"/>
                <w:color w:val="auto"/>
                <w:kern w:val="0"/>
                <w:szCs w:val="21"/>
                <w:highlight w:val="none"/>
                <w:lang w:val="en-US" w:eastAsia="zh-CN"/>
              </w:rPr>
              <w:t>监测</w:t>
            </w:r>
            <w:r>
              <w:rPr>
                <w:rFonts w:hint="default" w:ascii="Times New Roman" w:hAnsi="Times New Roman" w:cs="Times New Roman"/>
                <w:color w:val="auto"/>
                <w:kern w:val="0"/>
                <w:szCs w:val="21"/>
                <w:highlight w:val="none"/>
              </w:rPr>
              <w:t>安全性评估方法和判定准则。</w:t>
            </w:r>
          </w:p>
          <w:p w14:paraId="5B452082">
            <w:pPr>
              <w:adjustRightInd w:val="0"/>
              <w:snapToGrid w:val="0"/>
              <w:spacing w:line="400" w:lineRule="atLeast"/>
              <w:ind w:firstLine="420" w:firstLineChars="200"/>
              <w:jc w:val="left"/>
              <w:rPr>
                <w:rFonts w:hint="default" w:ascii="Times New Roman" w:hAnsi="Times New Roman" w:cs="Times New Roman" w:eastAsiaTheme="minorEastAsia"/>
                <w:color w:val="auto"/>
                <w:kern w:val="0"/>
                <w:sz w:val="21"/>
                <w:szCs w:val="21"/>
                <w:highlight w:val="none"/>
                <w:lang w:val="zh-CN" w:eastAsia="zh-CN" w:bidi="ar-SA"/>
              </w:rPr>
            </w:pPr>
            <w:r>
              <w:rPr>
                <w:rFonts w:hint="default" w:ascii="Times New Roman" w:hAnsi="Times New Roman" w:cs="Times New Roman"/>
                <w:color w:val="auto"/>
                <w:kern w:val="0"/>
                <w:szCs w:val="21"/>
                <w:highlight w:val="none"/>
                <w:lang w:val="zh-CN"/>
              </w:rPr>
              <w:t>以上方案内容完整得</w:t>
            </w:r>
            <w:r>
              <w:rPr>
                <w:rFonts w:hint="default" w:ascii="Times New Roman" w:hAnsi="Times New Roman" w:cs="Times New Roman"/>
                <w:color w:val="auto"/>
                <w:kern w:val="0"/>
                <w:szCs w:val="21"/>
                <w:highlight w:val="none"/>
                <w:lang w:val="en-US" w:eastAsia="zh-CN"/>
              </w:rPr>
              <w:t>15</w:t>
            </w:r>
            <w:r>
              <w:rPr>
                <w:rFonts w:hint="default" w:ascii="Times New Roman" w:hAnsi="Times New Roman" w:cs="Times New Roman"/>
                <w:color w:val="auto"/>
                <w:kern w:val="0"/>
                <w:szCs w:val="21"/>
                <w:highlight w:val="none"/>
                <w:lang w:val="zh-CN"/>
              </w:rPr>
              <w:t>分，每有一内容缺失的扣</w:t>
            </w:r>
            <w:r>
              <w:rPr>
                <w:rFonts w:hint="default" w:ascii="Times New Roman" w:hAnsi="Times New Roman" w:cs="Times New Roman"/>
                <w:color w:val="auto"/>
                <w:kern w:val="0"/>
                <w:szCs w:val="21"/>
                <w:highlight w:val="none"/>
                <w:lang w:val="en-US" w:eastAsia="zh-CN"/>
              </w:rPr>
              <w:t>5</w:t>
            </w:r>
            <w:r>
              <w:rPr>
                <w:rFonts w:hint="default" w:ascii="Times New Roman" w:hAnsi="Times New Roman" w:cs="Times New Roman"/>
                <w:color w:val="auto"/>
                <w:kern w:val="0"/>
                <w:szCs w:val="21"/>
                <w:highlight w:val="none"/>
                <w:lang w:val="zh-CN"/>
              </w:rPr>
              <w:t>分；每有一处存在缺陷（缺陷是指</w:t>
            </w:r>
            <w:r>
              <w:rPr>
                <w:rFonts w:hint="default" w:ascii="Times New Roman" w:hAnsi="Times New Roman" w:cs="Times New Roman"/>
                <w:color w:val="auto"/>
                <w:szCs w:val="21"/>
                <w:highlight w:val="none"/>
                <w:lang w:val="zh-CN"/>
              </w:rPr>
              <w:t>不适用于本项目，表述前后不一致或内容矛盾，语句有歧义，仅有框架或标题，涉及的规范及标准错误，套用其他项目内容等任意一种情形）的扣</w:t>
            </w: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zh-CN"/>
              </w:rPr>
              <w:t>分，直至该项分值</w:t>
            </w:r>
            <w:r>
              <w:rPr>
                <w:rFonts w:hint="default" w:ascii="Times New Roman" w:hAnsi="Times New Roman" w:cs="Times New Roman"/>
                <w:color w:val="auto"/>
                <w:szCs w:val="21"/>
                <w:highlight w:val="none"/>
                <w:lang w:val="en-US" w:eastAsia="zh-CN"/>
              </w:rPr>
              <w:t>5</w:t>
            </w:r>
            <w:r>
              <w:rPr>
                <w:rFonts w:hint="default" w:ascii="Times New Roman" w:hAnsi="Times New Roman" w:cs="Times New Roman"/>
                <w:color w:val="auto"/>
                <w:szCs w:val="21"/>
                <w:highlight w:val="none"/>
                <w:lang w:val="zh-CN"/>
              </w:rPr>
              <w:t>分扣完为止，不提供不得分。</w:t>
            </w:r>
          </w:p>
        </w:tc>
        <w:tc>
          <w:tcPr>
            <w:tcW w:w="709" w:type="dxa"/>
            <w:tcBorders>
              <w:top w:val="single" w:color="000000" w:sz="4" w:space="0"/>
              <w:left w:val="single" w:color="000000" w:sz="4" w:space="0"/>
              <w:bottom w:val="single" w:color="000000" w:sz="4" w:space="0"/>
              <w:right w:val="single" w:color="000000" w:sz="4" w:space="0"/>
            </w:tcBorders>
            <w:vAlign w:val="center"/>
          </w:tcPr>
          <w:p w14:paraId="6E0FA0D5">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val="en-US" w:eastAsia="zh-CN"/>
              </w:rPr>
            </w:pPr>
            <w:r>
              <w:rPr>
                <w:rStyle w:val="31"/>
                <w:rFonts w:hint="default" w:ascii="Times New Roman" w:hAnsi="Times New Roman" w:eastAsia="宋体" w:cs="Times New Roman"/>
                <w:color w:val="auto"/>
                <w:sz w:val="21"/>
                <w:szCs w:val="21"/>
                <w:highlight w:val="none"/>
                <w:lang w:val="en-US" w:eastAsia="zh-CN"/>
              </w:rPr>
              <w:t>15分</w:t>
            </w:r>
          </w:p>
        </w:tc>
      </w:tr>
      <w:tr w14:paraId="19F0B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32" w:hRule="atLeast"/>
          <w:jc w:val="center"/>
        </w:trPr>
        <w:tc>
          <w:tcPr>
            <w:tcW w:w="821" w:type="dxa"/>
            <w:tcBorders>
              <w:top w:val="single" w:color="000000" w:sz="4" w:space="0"/>
              <w:left w:val="single" w:color="000000" w:sz="4" w:space="0"/>
              <w:bottom w:val="single" w:color="000000" w:sz="4" w:space="0"/>
              <w:right w:val="single" w:color="000000" w:sz="4" w:space="0"/>
            </w:tcBorders>
            <w:vAlign w:val="center"/>
          </w:tcPr>
          <w:p w14:paraId="6D4ABE93">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eastAsia="zh-CN"/>
              </w:rPr>
            </w:pPr>
            <w:r>
              <w:rPr>
                <w:rStyle w:val="31"/>
                <w:rFonts w:hint="default" w:ascii="Times New Roman" w:hAnsi="Times New Roman" w:eastAsia="宋体" w:cs="Times New Roman"/>
                <w:color w:val="auto"/>
                <w:sz w:val="21"/>
                <w:szCs w:val="21"/>
                <w:highlight w:val="none"/>
              </w:rPr>
              <w:t>2.</w:t>
            </w:r>
            <w:r>
              <w:rPr>
                <w:rStyle w:val="31"/>
                <w:rFonts w:hint="default" w:ascii="Times New Roman" w:hAnsi="Times New Roman" w:eastAsia="宋体" w:cs="Times New Roman"/>
                <w:color w:val="auto"/>
                <w:sz w:val="21"/>
                <w:szCs w:val="21"/>
                <w:highlight w:val="none"/>
                <w:lang w:val="en-US" w:eastAsia="zh-CN"/>
              </w:rPr>
              <w:t>3</w:t>
            </w:r>
          </w:p>
        </w:tc>
        <w:tc>
          <w:tcPr>
            <w:tcW w:w="1325" w:type="dxa"/>
            <w:tcBorders>
              <w:top w:val="single" w:color="000000" w:sz="4" w:space="0"/>
              <w:left w:val="single" w:color="000000" w:sz="4" w:space="0"/>
              <w:bottom w:val="single" w:color="000000" w:sz="4" w:space="0"/>
              <w:right w:val="single" w:color="000000" w:sz="4" w:space="0"/>
            </w:tcBorders>
            <w:vAlign w:val="center"/>
          </w:tcPr>
          <w:p w14:paraId="677DFA32">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保证措施</w:t>
            </w:r>
          </w:p>
        </w:tc>
        <w:tc>
          <w:tcPr>
            <w:tcW w:w="6076" w:type="dxa"/>
            <w:tcBorders>
              <w:top w:val="single" w:color="000000" w:sz="4" w:space="0"/>
              <w:left w:val="single" w:color="000000" w:sz="4" w:space="0"/>
              <w:bottom w:val="single" w:color="000000" w:sz="4" w:space="0"/>
              <w:right w:val="single" w:color="000000" w:sz="4" w:space="0"/>
            </w:tcBorders>
            <w:vAlign w:val="center"/>
          </w:tcPr>
          <w:p w14:paraId="4E830940">
            <w:pPr>
              <w:adjustRightInd w:val="0"/>
              <w:snapToGrid w:val="0"/>
              <w:spacing w:line="400" w:lineRule="atLeast"/>
              <w:ind w:firstLine="420" w:firstLineChars="200"/>
              <w:jc w:val="left"/>
              <w:rPr>
                <w:rFonts w:hint="default" w:ascii="Times New Roman" w:hAnsi="Times New Roman" w:cs="Times New Roman"/>
                <w:color w:val="auto"/>
                <w:kern w:val="0"/>
                <w:szCs w:val="21"/>
                <w:highlight w:val="none"/>
                <w:lang w:val="en-US" w:eastAsia="zh-CN"/>
              </w:rPr>
            </w:pPr>
            <w:r>
              <w:rPr>
                <w:rFonts w:hint="eastAsia" w:ascii="Times New Roman" w:hAnsi="Times New Roman" w:cs="Times New Roman"/>
                <w:color w:val="auto"/>
                <w:kern w:val="0"/>
                <w:szCs w:val="21"/>
                <w:highlight w:val="none"/>
                <w:lang w:val="zh-CN"/>
              </w:rPr>
              <w:t>供应商根据第四章第</w:t>
            </w:r>
            <w:r>
              <w:rPr>
                <w:rFonts w:hint="eastAsia" w:ascii="Times New Roman" w:hAnsi="Times New Roman" w:cs="Times New Roman"/>
                <w:color w:val="auto"/>
                <w:kern w:val="0"/>
                <w:szCs w:val="21"/>
                <w:highlight w:val="none"/>
                <w:lang w:val="en-US" w:eastAsia="zh-CN"/>
              </w:rPr>
              <w:t>六</w:t>
            </w:r>
            <w:r>
              <w:rPr>
                <w:rFonts w:hint="eastAsia" w:ascii="Times New Roman" w:hAnsi="Times New Roman" w:cs="Times New Roman"/>
                <w:color w:val="auto"/>
                <w:kern w:val="0"/>
                <w:szCs w:val="21"/>
                <w:highlight w:val="none"/>
                <w:lang w:val="zh-CN"/>
              </w:rPr>
              <w:t>款的“</w:t>
            </w:r>
            <w:r>
              <w:rPr>
                <w:rFonts w:hint="default" w:ascii="Times New Roman" w:hAnsi="Times New Roman" w:cs="Times New Roman"/>
                <w:color w:val="auto"/>
                <w:kern w:val="0"/>
                <w:szCs w:val="21"/>
                <w:highlight w:val="none"/>
                <w:lang w:val="en-US" w:eastAsia="zh-CN"/>
              </w:rPr>
              <w:t>保证措施</w:t>
            </w:r>
            <w:r>
              <w:rPr>
                <w:rFonts w:hint="eastAsia" w:ascii="Times New Roman" w:hAnsi="Times New Roman" w:cs="Times New Roman"/>
                <w:color w:val="auto"/>
                <w:kern w:val="0"/>
                <w:szCs w:val="21"/>
                <w:highlight w:val="none"/>
                <w:lang w:val="zh-CN"/>
              </w:rPr>
              <w:t>”，至少要包括</w:t>
            </w:r>
            <w:r>
              <w:rPr>
                <w:rFonts w:hint="default" w:ascii="Times New Roman" w:hAnsi="Times New Roman" w:cs="Times New Roman"/>
                <w:color w:val="auto"/>
                <w:kern w:val="0"/>
                <w:szCs w:val="21"/>
                <w:highlight w:val="none"/>
                <w:lang w:val="en-US" w:eastAsia="zh-CN"/>
              </w:rPr>
              <w:t>（1）</w:t>
            </w:r>
            <w:r>
              <w:rPr>
                <w:rFonts w:hint="default" w:ascii="Times New Roman" w:hAnsi="Times New Roman" w:cs="Times New Roman"/>
                <w:color w:val="auto"/>
                <w:kern w:val="0"/>
                <w:szCs w:val="21"/>
                <w:highlight w:val="none"/>
                <w:lang w:val="zh-CN"/>
              </w:rPr>
              <w:t>工作任务的时效保证措施</w:t>
            </w:r>
            <w:r>
              <w:rPr>
                <w:rFonts w:hint="default" w:ascii="Times New Roman" w:hAnsi="Times New Roman" w:cs="Times New Roman"/>
                <w:color w:val="auto"/>
                <w:kern w:val="0"/>
                <w:szCs w:val="21"/>
                <w:highlight w:val="none"/>
                <w:lang w:val="zh-CN" w:eastAsia="zh-CN"/>
              </w:rPr>
              <w:t>；（</w:t>
            </w:r>
            <w:r>
              <w:rPr>
                <w:rFonts w:hint="default" w:ascii="Times New Roman" w:hAnsi="Times New Roman" w:cs="Times New Roman"/>
                <w:color w:val="auto"/>
                <w:kern w:val="0"/>
                <w:szCs w:val="21"/>
                <w:highlight w:val="none"/>
                <w:lang w:val="en-US" w:eastAsia="zh-CN"/>
              </w:rPr>
              <w:t>2）</w:t>
            </w:r>
            <w:r>
              <w:rPr>
                <w:rFonts w:hint="default" w:ascii="Times New Roman" w:hAnsi="Times New Roman" w:cs="Times New Roman"/>
                <w:color w:val="auto"/>
                <w:kern w:val="0"/>
                <w:szCs w:val="21"/>
                <w:highlight w:val="none"/>
                <w:lang w:val="zh-CN"/>
              </w:rPr>
              <w:t>项目实施时间进度安排</w:t>
            </w:r>
            <w:r>
              <w:rPr>
                <w:rFonts w:hint="default" w:ascii="Times New Roman" w:hAnsi="Times New Roman" w:cs="Times New Roman"/>
                <w:color w:val="auto"/>
                <w:kern w:val="0"/>
                <w:szCs w:val="21"/>
                <w:highlight w:val="none"/>
                <w:lang w:val="zh-CN" w:eastAsia="zh-CN"/>
              </w:rPr>
              <w:t>；</w:t>
            </w:r>
            <w:r>
              <w:rPr>
                <w:rFonts w:hint="default" w:ascii="Times New Roman" w:hAnsi="Times New Roman" w:cs="Times New Roman"/>
                <w:color w:val="auto"/>
                <w:kern w:val="0"/>
                <w:szCs w:val="21"/>
                <w:highlight w:val="none"/>
                <w:lang w:val="zh-CN"/>
              </w:rPr>
              <w:t>（</w:t>
            </w:r>
            <w:r>
              <w:rPr>
                <w:rFonts w:hint="default" w:ascii="Times New Roman" w:hAnsi="Times New Roman" w:cs="Times New Roman"/>
                <w:color w:val="auto"/>
                <w:kern w:val="0"/>
                <w:szCs w:val="21"/>
                <w:highlight w:val="none"/>
                <w:lang w:val="en-US" w:eastAsia="zh-CN"/>
              </w:rPr>
              <w:t>3）人员投入安排；（4）</w:t>
            </w:r>
            <w:r>
              <w:rPr>
                <w:rFonts w:hint="default" w:ascii="Times New Roman" w:hAnsi="Times New Roman" w:cs="Times New Roman"/>
                <w:color w:val="auto"/>
                <w:kern w:val="0"/>
                <w:szCs w:val="21"/>
                <w:highlight w:val="none"/>
                <w:lang w:val="zh-CN"/>
              </w:rPr>
              <w:t>安全保证措施</w:t>
            </w:r>
            <w:r>
              <w:rPr>
                <w:rFonts w:hint="default" w:ascii="Times New Roman" w:hAnsi="Times New Roman" w:cs="Times New Roman"/>
                <w:color w:val="auto"/>
                <w:kern w:val="0"/>
                <w:szCs w:val="21"/>
                <w:highlight w:val="none"/>
                <w:lang w:val="zh-CN" w:eastAsia="zh-CN"/>
              </w:rPr>
              <w:t>。</w:t>
            </w:r>
          </w:p>
          <w:p w14:paraId="4F82FDAB">
            <w:pPr>
              <w:adjustRightInd w:val="0"/>
              <w:snapToGrid w:val="0"/>
              <w:spacing w:line="400" w:lineRule="atLeast"/>
              <w:ind w:firstLine="420" w:firstLineChars="200"/>
              <w:jc w:val="left"/>
              <w:rPr>
                <w:rFonts w:hint="default" w:ascii="Times New Roman" w:hAnsi="Times New Roman" w:eastAsia="宋体" w:cs="Times New Roman"/>
                <w:b/>
                <w:color w:val="auto"/>
                <w:sz w:val="21"/>
                <w:szCs w:val="21"/>
                <w:highlight w:val="none"/>
                <w:lang w:eastAsia="zh-CN"/>
              </w:rPr>
            </w:pPr>
            <w:r>
              <w:rPr>
                <w:rFonts w:hint="default" w:ascii="Times New Roman" w:hAnsi="Times New Roman" w:cs="Times New Roman"/>
                <w:color w:val="auto"/>
                <w:kern w:val="0"/>
                <w:szCs w:val="21"/>
                <w:highlight w:val="none"/>
                <w:lang w:val="zh-CN"/>
              </w:rPr>
              <w:t>以上方案内容完整得</w:t>
            </w:r>
            <w:r>
              <w:rPr>
                <w:rFonts w:hint="default" w:ascii="Times New Roman" w:hAnsi="Times New Roman" w:cs="Times New Roman"/>
                <w:color w:val="auto"/>
                <w:kern w:val="0"/>
                <w:szCs w:val="21"/>
                <w:highlight w:val="none"/>
                <w:lang w:val="en-US" w:eastAsia="zh-CN"/>
              </w:rPr>
              <w:t>12</w:t>
            </w:r>
            <w:r>
              <w:rPr>
                <w:rFonts w:hint="default" w:ascii="Times New Roman" w:hAnsi="Times New Roman" w:cs="Times New Roman"/>
                <w:color w:val="auto"/>
                <w:kern w:val="0"/>
                <w:szCs w:val="21"/>
                <w:highlight w:val="none"/>
                <w:lang w:val="zh-CN"/>
              </w:rPr>
              <w:t>分，每有一内容缺失的扣</w:t>
            </w:r>
            <w:r>
              <w:rPr>
                <w:rFonts w:hint="default" w:ascii="Times New Roman" w:hAnsi="Times New Roman" w:cs="Times New Roman"/>
                <w:color w:val="auto"/>
                <w:kern w:val="0"/>
                <w:szCs w:val="21"/>
                <w:highlight w:val="none"/>
                <w:lang w:val="en-US" w:eastAsia="zh-CN"/>
              </w:rPr>
              <w:t>3</w:t>
            </w:r>
            <w:r>
              <w:rPr>
                <w:rFonts w:hint="default" w:ascii="Times New Roman" w:hAnsi="Times New Roman" w:cs="Times New Roman"/>
                <w:color w:val="auto"/>
                <w:kern w:val="0"/>
                <w:szCs w:val="21"/>
                <w:highlight w:val="none"/>
                <w:lang w:val="zh-CN"/>
              </w:rPr>
              <w:t>分；每有一处存在缺陷（缺陷是指不适用于本项目，表述前后不一致或内容矛盾，语句有歧义，仅有框架或标题，涉及的规范及标准错误，套用其他项目内容等任意一种情形）的扣</w:t>
            </w:r>
            <w:r>
              <w:rPr>
                <w:rFonts w:hint="default" w:ascii="Times New Roman" w:hAnsi="Times New Roman" w:cs="Times New Roman"/>
                <w:color w:val="auto"/>
                <w:kern w:val="0"/>
                <w:szCs w:val="21"/>
                <w:highlight w:val="none"/>
                <w:lang w:val="en-US" w:eastAsia="zh-CN"/>
              </w:rPr>
              <w:t>1</w:t>
            </w:r>
            <w:r>
              <w:rPr>
                <w:rFonts w:hint="default" w:ascii="Times New Roman" w:hAnsi="Times New Roman" w:cs="Times New Roman"/>
                <w:color w:val="auto"/>
                <w:kern w:val="0"/>
                <w:szCs w:val="21"/>
                <w:highlight w:val="none"/>
                <w:lang w:val="zh-CN"/>
              </w:rPr>
              <w:t>分，直至该项分值</w:t>
            </w:r>
            <w:r>
              <w:rPr>
                <w:rFonts w:hint="default" w:ascii="Times New Roman" w:hAnsi="Times New Roman" w:cs="Times New Roman"/>
                <w:color w:val="auto"/>
                <w:kern w:val="0"/>
                <w:szCs w:val="21"/>
                <w:highlight w:val="none"/>
                <w:lang w:val="en-US" w:eastAsia="zh-CN"/>
              </w:rPr>
              <w:t>3</w:t>
            </w:r>
            <w:r>
              <w:rPr>
                <w:rFonts w:hint="default" w:ascii="Times New Roman" w:hAnsi="Times New Roman" w:cs="Times New Roman"/>
                <w:color w:val="auto"/>
                <w:kern w:val="0"/>
                <w:szCs w:val="21"/>
                <w:highlight w:val="none"/>
                <w:lang w:val="zh-CN"/>
              </w:rPr>
              <w:t>分扣完为止，不提供不得分。</w:t>
            </w:r>
          </w:p>
        </w:tc>
        <w:tc>
          <w:tcPr>
            <w:tcW w:w="709" w:type="dxa"/>
            <w:tcBorders>
              <w:top w:val="single" w:color="000000" w:sz="4" w:space="0"/>
              <w:left w:val="single" w:color="000000" w:sz="4" w:space="0"/>
              <w:bottom w:val="single" w:color="000000" w:sz="4" w:space="0"/>
              <w:right w:val="single" w:color="000000" w:sz="4" w:space="0"/>
            </w:tcBorders>
            <w:vAlign w:val="center"/>
          </w:tcPr>
          <w:p w14:paraId="29DCE2AC">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lang w:val="en-US" w:eastAsia="zh-CN"/>
              </w:rPr>
              <w:t>12</w:t>
            </w:r>
            <w:r>
              <w:rPr>
                <w:rStyle w:val="31"/>
                <w:rFonts w:hint="default" w:ascii="Times New Roman" w:hAnsi="Times New Roman" w:eastAsia="宋体" w:cs="Times New Roman"/>
                <w:color w:val="auto"/>
                <w:sz w:val="21"/>
                <w:szCs w:val="21"/>
                <w:highlight w:val="none"/>
              </w:rPr>
              <w:t>分</w:t>
            </w:r>
          </w:p>
        </w:tc>
      </w:tr>
      <w:tr w14:paraId="010E1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6" w:hRule="atLeast"/>
          <w:jc w:val="center"/>
        </w:trPr>
        <w:tc>
          <w:tcPr>
            <w:tcW w:w="821" w:type="dxa"/>
            <w:tcBorders>
              <w:top w:val="single" w:color="000000" w:sz="4" w:space="0"/>
              <w:left w:val="single" w:color="000000" w:sz="4" w:space="0"/>
              <w:bottom w:val="single" w:color="auto" w:sz="4" w:space="0"/>
              <w:right w:val="single" w:color="000000" w:sz="4" w:space="0"/>
            </w:tcBorders>
            <w:vAlign w:val="center"/>
          </w:tcPr>
          <w:p w14:paraId="41B8E461">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eastAsia="zh-CN"/>
              </w:rPr>
            </w:pPr>
            <w:r>
              <w:rPr>
                <w:rStyle w:val="31"/>
                <w:rFonts w:hint="default" w:ascii="Times New Roman" w:hAnsi="Times New Roman" w:eastAsia="宋体" w:cs="Times New Roman"/>
                <w:color w:val="auto"/>
                <w:sz w:val="21"/>
                <w:szCs w:val="21"/>
                <w:highlight w:val="none"/>
              </w:rPr>
              <w:t>2.</w:t>
            </w:r>
            <w:r>
              <w:rPr>
                <w:rStyle w:val="31"/>
                <w:rFonts w:hint="default" w:ascii="Times New Roman" w:hAnsi="Times New Roman" w:eastAsia="宋体" w:cs="Times New Roman"/>
                <w:color w:val="auto"/>
                <w:sz w:val="21"/>
                <w:szCs w:val="21"/>
                <w:highlight w:val="none"/>
                <w:lang w:val="en-US" w:eastAsia="zh-CN"/>
              </w:rPr>
              <w:t>4</w:t>
            </w:r>
          </w:p>
        </w:tc>
        <w:tc>
          <w:tcPr>
            <w:tcW w:w="1325" w:type="dxa"/>
            <w:tcBorders>
              <w:top w:val="single" w:color="000000" w:sz="4" w:space="0"/>
              <w:left w:val="single" w:color="000000" w:sz="4" w:space="0"/>
              <w:bottom w:val="single" w:color="auto" w:sz="4" w:space="0"/>
              <w:right w:val="single" w:color="000000" w:sz="4" w:space="0"/>
            </w:tcBorders>
            <w:vAlign w:val="center"/>
          </w:tcPr>
          <w:p w14:paraId="6D1E2D09">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质量控制</w:t>
            </w:r>
          </w:p>
        </w:tc>
        <w:tc>
          <w:tcPr>
            <w:tcW w:w="6076" w:type="dxa"/>
            <w:tcBorders>
              <w:top w:val="single" w:color="000000" w:sz="4" w:space="0"/>
              <w:left w:val="single" w:color="000000" w:sz="4" w:space="0"/>
              <w:bottom w:val="single" w:color="auto" w:sz="4" w:space="0"/>
              <w:right w:val="single" w:color="000000" w:sz="4" w:space="0"/>
            </w:tcBorders>
            <w:vAlign w:val="center"/>
          </w:tcPr>
          <w:p w14:paraId="32B7B9DA">
            <w:pPr>
              <w:adjustRightInd w:val="0"/>
              <w:snapToGrid w:val="0"/>
              <w:spacing w:line="400" w:lineRule="atLeast"/>
              <w:ind w:firstLine="420" w:firstLineChars="200"/>
              <w:jc w:val="left"/>
              <w:rPr>
                <w:rFonts w:hint="default" w:ascii="Times New Roman" w:hAnsi="Times New Roman" w:cs="Times New Roman"/>
                <w:color w:val="auto"/>
                <w:kern w:val="0"/>
                <w:szCs w:val="21"/>
                <w:highlight w:val="none"/>
                <w:lang w:val="zh-CN"/>
              </w:rPr>
            </w:pPr>
            <w:r>
              <w:rPr>
                <w:rFonts w:hint="eastAsia" w:ascii="Times New Roman" w:hAnsi="Times New Roman" w:cs="Times New Roman"/>
                <w:color w:val="auto"/>
                <w:kern w:val="0"/>
                <w:szCs w:val="21"/>
                <w:highlight w:val="none"/>
                <w:lang w:val="zh-CN"/>
              </w:rPr>
              <w:t>供应商根据第四章第</w:t>
            </w:r>
            <w:r>
              <w:rPr>
                <w:rFonts w:hint="eastAsia" w:ascii="Times New Roman" w:hAnsi="Times New Roman" w:cs="Times New Roman"/>
                <w:color w:val="auto"/>
                <w:kern w:val="0"/>
                <w:szCs w:val="21"/>
                <w:highlight w:val="none"/>
                <w:lang w:val="en-US" w:eastAsia="zh-CN"/>
              </w:rPr>
              <w:t>六</w:t>
            </w:r>
            <w:r>
              <w:rPr>
                <w:rFonts w:hint="eastAsia" w:ascii="Times New Roman" w:hAnsi="Times New Roman" w:cs="Times New Roman"/>
                <w:color w:val="auto"/>
                <w:kern w:val="0"/>
                <w:szCs w:val="21"/>
                <w:highlight w:val="none"/>
                <w:lang w:val="zh-CN"/>
              </w:rPr>
              <w:t>款的“</w:t>
            </w:r>
            <w:r>
              <w:rPr>
                <w:rFonts w:hint="default" w:ascii="Times New Roman" w:hAnsi="Times New Roman" w:eastAsia="宋体" w:cs="Times New Roman"/>
                <w:color w:val="auto"/>
                <w:sz w:val="21"/>
                <w:szCs w:val="21"/>
                <w:highlight w:val="none"/>
                <w:lang w:val="en-US" w:eastAsia="zh-CN"/>
              </w:rPr>
              <w:t>质量控制</w:t>
            </w:r>
            <w:r>
              <w:rPr>
                <w:rFonts w:hint="eastAsia" w:ascii="Times New Roman" w:hAnsi="Times New Roman" w:cs="Times New Roman"/>
                <w:color w:val="auto"/>
                <w:kern w:val="0"/>
                <w:szCs w:val="21"/>
                <w:highlight w:val="none"/>
                <w:lang w:val="zh-CN"/>
              </w:rPr>
              <w:t>”，至少要包括</w:t>
            </w:r>
            <w:r>
              <w:rPr>
                <w:rFonts w:hint="default" w:ascii="Times New Roman" w:hAnsi="Times New Roman" w:cs="Times New Roman"/>
                <w:color w:val="auto"/>
                <w:kern w:val="0"/>
                <w:szCs w:val="21"/>
                <w:highlight w:val="none"/>
                <w:lang w:val="en-US" w:eastAsia="zh-CN"/>
              </w:rPr>
              <w:t>（</w:t>
            </w:r>
            <w:r>
              <w:rPr>
                <w:rFonts w:hint="default" w:ascii="Times New Roman" w:hAnsi="Times New Roman" w:cs="Times New Roman"/>
                <w:color w:val="auto"/>
                <w:kern w:val="0"/>
                <w:szCs w:val="21"/>
                <w:highlight w:val="none"/>
                <w:lang w:val="zh-CN"/>
              </w:rPr>
              <w:t>1）</w:t>
            </w:r>
            <w:r>
              <w:rPr>
                <w:rFonts w:hint="default" w:ascii="Times New Roman" w:hAnsi="Times New Roman" w:eastAsia="宋体" w:cs="Times New Roman"/>
                <w:color w:val="auto"/>
                <w:sz w:val="21"/>
                <w:szCs w:val="21"/>
                <w:highlight w:val="none"/>
              </w:rPr>
              <w:t>工作过程的质量控制</w:t>
            </w:r>
            <w:r>
              <w:rPr>
                <w:rFonts w:hint="default" w:ascii="Times New Roman" w:hAnsi="Times New Roman" w:cs="Times New Roman"/>
                <w:color w:val="auto"/>
                <w:kern w:val="0"/>
                <w:szCs w:val="21"/>
                <w:highlight w:val="none"/>
                <w:lang w:val="zh-CN"/>
              </w:rPr>
              <w:t>；（2）成果文件质量控制。</w:t>
            </w:r>
          </w:p>
          <w:p w14:paraId="6D3D19DF">
            <w:pPr>
              <w:keepNext w:val="0"/>
              <w:keepLines w:val="0"/>
              <w:pageBreakBefore w:val="0"/>
              <w:widowControl w:val="0"/>
              <w:kinsoku/>
              <w:wordWrap w:val="0"/>
              <w:overflowPunct/>
              <w:topLinePunct w:val="0"/>
              <w:autoSpaceDE/>
              <w:autoSpaceDN/>
              <w:bidi w:val="0"/>
              <w:adjustRightInd w:val="0"/>
              <w:snapToGrid w:val="0"/>
              <w:spacing w:line="400" w:lineRule="atLeast"/>
              <w:ind w:firstLine="420" w:firstLineChars="200"/>
              <w:textAlignment w:val="auto"/>
              <w:outlineLvl w:val="1"/>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Cs w:val="21"/>
                <w:highlight w:val="none"/>
                <w:lang w:val="zh-CN"/>
              </w:rPr>
              <w:t>以上方案内容完整得</w:t>
            </w:r>
            <w:r>
              <w:rPr>
                <w:rFonts w:hint="default" w:ascii="Times New Roman" w:hAnsi="Times New Roman" w:cs="Times New Roman"/>
                <w:color w:val="auto"/>
                <w:szCs w:val="21"/>
                <w:highlight w:val="none"/>
                <w:lang w:val="en-US" w:eastAsia="zh-CN"/>
              </w:rPr>
              <w:t>8</w:t>
            </w:r>
            <w:r>
              <w:rPr>
                <w:rFonts w:hint="default" w:ascii="Times New Roman" w:hAnsi="Times New Roman" w:cs="Times New Roman"/>
                <w:color w:val="auto"/>
                <w:szCs w:val="21"/>
                <w:highlight w:val="none"/>
                <w:lang w:val="zh-CN"/>
              </w:rPr>
              <w:t>分，每有一内容缺失的扣</w:t>
            </w:r>
            <w:r>
              <w:rPr>
                <w:rFonts w:hint="default"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lang w:val="zh-CN"/>
              </w:rPr>
              <w:t>分；每有一处存在缺陷（缺陷是指不适用于本项目，表述前后不一致或内容矛盾，语句有歧义，仅有框架或标题，涉及的规范及标准错误，套用其他项目内容等任意一种情形）的扣</w:t>
            </w: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lang w:val="zh-CN"/>
              </w:rPr>
              <w:t>分，直至该项分值</w:t>
            </w:r>
            <w:r>
              <w:rPr>
                <w:rFonts w:hint="default"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lang w:val="zh-CN"/>
              </w:rPr>
              <w:t>分扣完为止，不提供不得分。</w:t>
            </w:r>
          </w:p>
        </w:tc>
        <w:tc>
          <w:tcPr>
            <w:tcW w:w="709" w:type="dxa"/>
            <w:tcBorders>
              <w:top w:val="single" w:color="000000" w:sz="4" w:space="0"/>
              <w:left w:val="single" w:color="000000" w:sz="4" w:space="0"/>
              <w:bottom w:val="single" w:color="auto" w:sz="4" w:space="0"/>
              <w:right w:val="single" w:color="000000" w:sz="4" w:space="0"/>
            </w:tcBorders>
            <w:vAlign w:val="center"/>
          </w:tcPr>
          <w:p w14:paraId="30D89D0F">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lang w:val="en-US" w:eastAsia="zh-CN"/>
              </w:rPr>
              <w:t>8</w:t>
            </w:r>
            <w:r>
              <w:rPr>
                <w:rStyle w:val="31"/>
                <w:rFonts w:hint="default" w:ascii="Times New Roman" w:hAnsi="Times New Roman" w:eastAsia="宋体" w:cs="Times New Roman"/>
                <w:color w:val="auto"/>
                <w:sz w:val="21"/>
                <w:szCs w:val="21"/>
                <w:highlight w:val="none"/>
              </w:rPr>
              <w:t>分</w:t>
            </w:r>
          </w:p>
        </w:tc>
      </w:tr>
      <w:tr w14:paraId="3EE28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jc w:val="center"/>
        </w:trPr>
        <w:tc>
          <w:tcPr>
            <w:tcW w:w="8931" w:type="dxa"/>
            <w:gridSpan w:val="4"/>
            <w:tcBorders>
              <w:top w:val="single" w:color="000000" w:sz="4" w:space="0"/>
              <w:left w:val="single" w:color="000000" w:sz="4" w:space="0"/>
              <w:bottom w:val="single" w:color="000000" w:sz="4" w:space="0"/>
              <w:right w:val="single" w:color="000000" w:sz="4" w:space="0"/>
            </w:tcBorders>
            <w:vAlign w:val="center"/>
          </w:tcPr>
          <w:p w14:paraId="1073A08A">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b/>
                <w:bCs/>
                <w:color w:val="auto"/>
                <w:sz w:val="21"/>
                <w:szCs w:val="21"/>
                <w:highlight w:val="none"/>
              </w:rPr>
              <w:t>业绩（</w:t>
            </w:r>
            <w:r>
              <w:rPr>
                <w:rStyle w:val="31"/>
                <w:rFonts w:hint="eastAsia" w:ascii="Times New Roman" w:hAnsi="Times New Roman" w:eastAsia="宋体" w:cs="Times New Roman"/>
                <w:b/>
                <w:bCs/>
                <w:color w:val="auto"/>
                <w:sz w:val="21"/>
                <w:szCs w:val="21"/>
                <w:highlight w:val="none"/>
                <w:lang w:val="en-US" w:eastAsia="zh-CN"/>
              </w:rPr>
              <w:t>18</w:t>
            </w:r>
            <w:r>
              <w:rPr>
                <w:rStyle w:val="31"/>
                <w:rFonts w:hint="default" w:ascii="Times New Roman" w:hAnsi="Times New Roman" w:eastAsia="宋体" w:cs="Times New Roman"/>
                <w:b/>
                <w:bCs/>
                <w:color w:val="auto"/>
                <w:sz w:val="21"/>
                <w:szCs w:val="21"/>
                <w:highlight w:val="none"/>
              </w:rPr>
              <w:t>分）</w:t>
            </w:r>
          </w:p>
        </w:tc>
      </w:tr>
      <w:tr w14:paraId="69168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4" w:hRule="atLeast"/>
          <w:jc w:val="center"/>
        </w:trPr>
        <w:tc>
          <w:tcPr>
            <w:tcW w:w="821" w:type="dxa"/>
            <w:tcBorders>
              <w:top w:val="single" w:color="auto" w:sz="4" w:space="0"/>
              <w:left w:val="single" w:color="000000" w:sz="4" w:space="0"/>
              <w:bottom w:val="single" w:color="000000" w:sz="4" w:space="0"/>
              <w:right w:val="single" w:color="000000" w:sz="4" w:space="0"/>
            </w:tcBorders>
            <w:vAlign w:val="center"/>
          </w:tcPr>
          <w:p w14:paraId="2BD85DD3">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rPr>
              <w:t>3.1</w:t>
            </w:r>
          </w:p>
        </w:tc>
        <w:tc>
          <w:tcPr>
            <w:tcW w:w="1325" w:type="dxa"/>
            <w:tcBorders>
              <w:top w:val="single" w:color="auto" w:sz="4" w:space="0"/>
              <w:left w:val="single" w:color="000000" w:sz="4" w:space="0"/>
              <w:bottom w:val="single" w:color="000000" w:sz="4" w:space="0"/>
              <w:right w:val="single" w:color="000000" w:sz="4" w:space="0"/>
            </w:tcBorders>
            <w:vAlign w:val="center"/>
          </w:tcPr>
          <w:p w14:paraId="75CD5899">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供应商</w:t>
            </w:r>
            <w:r>
              <w:rPr>
                <w:rFonts w:hint="default" w:ascii="Times New Roman" w:hAnsi="Times New Roman" w:eastAsia="宋体" w:cs="Times New Roman"/>
                <w:color w:val="auto"/>
                <w:sz w:val="21"/>
                <w:szCs w:val="21"/>
                <w:highlight w:val="none"/>
                <w:lang w:val="en-US" w:eastAsia="zh-CN"/>
              </w:rPr>
              <w:t>业绩</w:t>
            </w:r>
          </w:p>
        </w:tc>
        <w:tc>
          <w:tcPr>
            <w:tcW w:w="6076" w:type="dxa"/>
            <w:tcBorders>
              <w:top w:val="single" w:color="auto" w:sz="4" w:space="0"/>
              <w:left w:val="single" w:color="000000" w:sz="4" w:space="0"/>
              <w:bottom w:val="single" w:color="000000" w:sz="4" w:space="0"/>
              <w:right w:val="single" w:color="000000" w:sz="4" w:space="0"/>
            </w:tcBorders>
            <w:vAlign w:val="center"/>
          </w:tcPr>
          <w:p w14:paraId="4397AECA">
            <w:pPr>
              <w:keepNext w:val="0"/>
              <w:keepLines w:val="0"/>
              <w:pageBreakBefore w:val="0"/>
              <w:widowControl w:val="0"/>
              <w:kinsoku/>
              <w:wordWrap w:val="0"/>
              <w:overflowPunct/>
              <w:topLinePunct w:val="0"/>
              <w:autoSpaceDE/>
              <w:autoSpaceDN/>
              <w:bidi w:val="0"/>
              <w:adjustRightInd w:val="0"/>
              <w:snapToGrid w:val="0"/>
              <w:spacing w:line="400" w:lineRule="atLeast"/>
              <w:ind w:firstLine="420" w:firstLineChars="200"/>
              <w:textAlignment w:val="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自202</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rPr>
              <w:t>年1月1日（以合同签订日期为准）以来，独立</w:t>
            </w:r>
            <w:r>
              <w:rPr>
                <w:rFonts w:hint="default" w:ascii="Times New Roman" w:hAnsi="Times New Roman" w:eastAsia="宋体" w:cs="Times New Roman"/>
                <w:color w:val="auto"/>
                <w:szCs w:val="21"/>
                <w:highlight w:val="none"/>
                <w:lang w:val="en-US" w:eastAsia="zh-CN"/>
              </w:rPr>
              <w:t>承接过公路桥梁结构监测系统建设或运维项目的</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每提供一个</w:t>
            </w:r>
            <w:r>
              <w:rPr>
                <w:rFonts w:hint="eastAsia" w:ascii="Times New Roman" w:hAnsi="Times New Roman" w:eastAsia="宋体" w:cs="Times New Roman"/>
                <w:color w:val="auto"/>
                <w:szCs w:val="21"/>
                <w:highlight w:val="none"/>
                <w:lang w:val="en-US" w:eastAsia="zh-CN"/>
              </w:rPr>
              <w:t>业绩</w:t>
            </w:r>
            <w:r>
              <w:rPr>
                <w:rFonts w:hint="default" w:ascii="Times New Roman" w:hAnsi="Times New Roman" w:eastAsia="宋体" w:cs="Times New Roman"/>
                <w:color w:val="auto"/>
                <w:szCs w:val="21"/>
                <w:highlight w:val="none"/>
              </w:rPr>
              <w:t>得</w:t>
            </w:r>
            <w:r>
              <w:rPr>
                <w:rFonts w:hint="eastAsia"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rPr>
              <w:t>分，本项最多得</w:t>
            </w:r>
            <w:r>
              <w:rPr>
                <w:rFonts w:hint="eastAsia" w:ascii="Times New Roman" w:hAnsi="Times New Roman" w:eastAsia="宋体" w:cs="Times New Roman"/>
                <w:color w:val="auto"/>
                <w:szCs w:val="21"/>
                <w:highlight w:val="none"/>
                <w:lang w:val="en-US" w:eastAsia="zh-CN"/>
              </w:rPr>
              <w:t>12</w:t>
            </w:r>
            <w:r>
              <w:rPr>
                <w:rFonts w:hint="default" w:ascii="Times New Roman" w:hAnsi="Times New Roman" w:eastAsia="宋体" w:cs="Times New Roman"/>
                <w:color w:val="auto"/>
                <w:szCs w:val="21"/>
                <w:highlight w:val="none"/>
              </w:rPr>
              <w:t>分。</w:t>
            </w:r>
          </w:p>
          <w:p w14:paraId="212F4AE6">
            <w:pPr>
              <w:widowControl/>
              <w:adjustRightInd w:val="0"/>
              <w:snapToGrid w:val="0"/>
              <w:spacing w:line="400" w:lineRule="atLeast"/>
              <w:ind w:firstLine="420" w:firstLineChars="200"/>
              <w:jc w:val="left"/>
              <w:outlineLvl w:val="0"/>
              <w:rPr>
                <w:rFonts w:hint="default" w:ascii="Times New Roman" w:hAnsi="Times New Roman" w:cs="Times New Roman" w:eastAsiaTheme="minorEastAsia"/>
                <w:color w:val="auto"/>
                <w:kern w:val="0"/>
                <w:szCs w:val="21"/>
                <w:highlight w:val="none"/>
                <w:lang w:val="en-US" w:eastAsia="zh-CN"/>
              </w:rPr>
            </w:pPr>
            <w:r>
              <w:rPr>
                <w:rFonts w:hint="default" w:ascii="Times New Roman" w:hAnsi="Times New Roman" w:eastAsia="宋体" w:cs="Times New Roman"/>
                <w:bCs/>
                <w:color w:val="auto"/>
                <w:sz w:val="21"/>
                <w:szCs w:val="21"/>
                <w:highlight w:val="none"/>
              </w:rPr>
              <w:t>注：</w:t>
            </w:r>
            <w:r>
              <w:rPr>
                <w:rFonts w:hint="eastAsia" w:ascii="Times New Roman" w:hAnsi="Times New Roman" w:eastAsia="宋体" w:cs="Times New Roman"/>
                <w:bCs/>
                <w:color w:val="auto"/>
                <w:sz w:val="21"/>
                <w:szCs w:val="21"/>
                <w:highlight w:val="none"/>
                <w:lang w:val="en-US" w:eastAsia="zh-CN"/>
              </w:rPr>
              <w:t>①</w:t>
            </w:r>
            <w:r>
              <w:rPr>
                <w:rFonts w:hint="default" w:ascii="Times New Roman" w:hAnsi="Times New Roman" w:cs="Times New Roman"/>
                <w:color w:val="auto"/>
                <w:kern w:val="0"/>
                <w:szCs w:val="21"/>
                <w:highlight w:val="none"/>
                <w:lang w:val="zh-CN"/>
              </w:rPr>
              <w:t>提供合同原件扫描件，合同须能反映项目名称、主要标的物，签订时间、</w:t>
            </w:r>
            <w:r>
              <w:rPr>
                <w:rFonts w:hint="default" w:ascii="Times New Roman" w:hAnsi="Times New Roman" w:eastAsia="宋体" w:cs="Times New Roman"/>
                <w:b w:val="0"/>
                <w:bCs w:val="0"/>
                <w:color w:val="auto"/>
                <w:kern w:val="0"/>
                <w:szCs w:val="21"/>
                <w:highlight w:val="none"/>
                <w:lang w:bidi="ar"/>
              </w:rPr>
              <w:t>单位公章或专用合同章</w:t>
            </w:r>
            <w:r>
              <w:rPr>
                <w:rFonts w:hint="eastAsia" w:ascii="Times New Roman" w:hAnsi="Times New Roman" w:cs="Times New Roman"/>
                <w:b w:val="0"/>
                <w:bCs w:val="0"/>
                <w:color w:val="auto"/>
                <w:kern w:val="0"/>
                <w:szCs w:val="21"/>
                <w:highlight w:val="none"/>
                <w:lang w:val="zh-CN"/>
              </w:rPr>
              <w:t>，</w:t>
            </w:r>
            <w:r>
              <w:rPr>
                <w:rFonts w:hint="default" w:ascii="Times New Roman" w:hAnsi="Times New Roman" w:cs="Times New Roman"/>
                <w:color w:val="auto"/>
                <w:kern w:val="0"/>
                <w:szCs w:val="21"/>
                <w:highlight w:val="none"/>
                <w:lang w:val="zh-CN"/>
              </w:rPr>
              <w:t>如不能反映</w:t>
            </w:r>
            <w:r>
              <w:rPr>
                <w:rFonts w:hint="default" w:ascii="Times New Roman" w:hAnsi="Times New Roman" w:cs="Times New Roman"/>
                <w:color w:val="auto"/>
                <w:kern w:val="0"/>
                <w:szCs w:val="21"/>
                <w:highlight w:val="none"/>
                <w:lang w:val="en-US" w:eastAsia="zh-CN"/>
              </w:rPr>
              <w:t>或反映不全面</w:t>
            </w:r>
            <w:r>
              <w:rPr>
                <w:rFonts w:hint="default" w:ascii="Times New Roman" w:hAnsi="Times New Roman" w:cs="Times New Roman"/>
                <w:color w:val="auto"/>
                <w:kern w:val="0"/>
                <w:szCs w:val="21"/>
                <w:highlight w:val="none"/>
                <w:lang w:val="zh-CN"/>
              </w:rPr>
              <w:t>的，另须提供盖有原委托单位公章的证明，否则不予认可</w:t>
            </w:r>
            <w:r>
              <w:rPr>
                <w:rFonts w:hint="eastAsia" w:ascii="Times New Roman" w:hAnsi="Times New Roman" w:cs="Times New Roman"/>
                <w:color w:val="auto"/>
                <w:kern w:val="0"/>
                <w:szCs w:val="21"/>
                <w:highlight w:val="none"/>
                <w:lang w:val="zh-CN"/>
              </w:rPr>
              <w:t>；</w:t>
            </w:r>
            <w:r>
              <w:rPr>
                <w:rFonts w:hint="eastAsia" w:ascii="Times New Roman" w:hAnsi="Times New Roman" w:cs="Times New Roman"/>
                <w:color w:val="auto"/>
                <w:kern w:val="0"/>
                <w:szCs w:val="21"/>
                <w:highlight w:val="none"/>
                <w:lang w:val="en-US" w:eastAsia="zh-CN"/>
              </w:rPr>
              <w:t>②供应商业绩与项目负责人业绩可重复计分。</w:t>
            </w:r>
          </w:p>
        </w:tc>
        <w:tc>
          <w:tcPr>
            <w:tcW w:w="709" w:type="dxa"/>
            <w:tcBorders>
              <w:top w:val="single" w:color="auto" w:sz="4" w:space="0"/>
              <w:left w:val="single" w:color="000000" w:sz="4" w:space="0"/>
              <w:bottom w:val="single" w:color="000000" w:sz="4" w:space="0"/>
              <w:right w:val="single" w:color="000000" w:sz="4" w:space="0"/>
            </w:tcBorders>
            <w:vAlign w:val="center"/>
          </w:tcPr>
          <w:p w14:paraId="473A5E7A">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val="en-US" w:eastAsia="zh-CN"/>
              </w:rPr>
            </w:pPr>
            <w:r>
              <w:rPr>
                <w:rStyle w:val="31"/>
                <w:rFonts w:hint="eastAsia" w:ascii="Times New Roman" w:hAnsi="Times New Roman" w:eastAsia="宋体" w:cs="Times New Roman"/>
                <w:color w:val="auto"/>
                <w:sz w:val="21"/>
                <w:szCs w:val="21"/>
                <w:highlight w:val="none"/>
                <w:lang w:val="en-US" w:eastAsia="zh-CN"/>
              </w:rPr>
              <w:t>12</w:t>
            </w:r>
            <w:r>
              <w:rPr>
                <w:rStyle w:val="31"/>
                <w:rFonts w:hint="default" w:ascii="Times New Roman" w:hAnsi="Times New Roman" w:eastAsia="宋体" w:cs="Times New Roman"/>
                <w:color w:val="auto"/>
                <w:sz w:val="21"/>
                <w:szCs w:val="21"/>
                <w:highlight w:val="none"/>
              </w:rPr>
              <w:t>分</w:t>
            </w:r>
          </w:p>
        </w:tc>
      </w:tr>
      <w:tr w14:paraId="2CFB5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jc w:val="center"/>
        </w:trPr>
        <w:tc>
          <w:tcPr>
            <w:tcW w:w="821" w:type="dxa"/>
            <w:tcBorders>
              <w:top w:val="single" w:color="auto" w:sz="4" w:space="0"/>
              <w:left w:val="single" w:color="000000" w:sz="4" w:space="0"/>
              <w:bottom w:val="single" w:color="000000" w:sz="4" w:space="0"/>
              <w:right w:val="single" w:color="000000" w:sz="4" w:space="0"/>
            </w:tcBorders>
            <w:vAlign w:val="center"/>
          </w:tcPr>
          <w:p w14:paraId="720C1BBD">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val="en-US" w:eastAsia="zh-CN"/>
              </w:rPr>
            </w:pPr>
            <w:r>
              <w:rPr>
                <w:rStyle w:val="31"/>
                <w:rFonts w:hint="eastAsia" w:ascii="Times New Roman" w:hAnsi="Times New Roman" w:eastAsia="宋体" w:cs="Times New Roman"/>
                <w:color w:val="auto"/>
                <w:sz w:val="21"/>
                <w:szCs w:val="21"/>
                <w:highlight w:val="none"/>
                <w:lang w:val="en-US" w:eastAsia="zh-CN"/>
              </w:rPr>
              <w:t>3.2</w:t>
            </w:r>
          </w:p>
        </w:tc>
        <w:tc>
          <w:tcPr>
            <w:tcW w:w="1325" w:type="dxa"/>
            <w:tcBorders>
              <w:top w:val="single" w:color="auto" w:sz="4" w:space="0"/>
              <w:left w:val="single" w:color="000000" w:sz="4" w:space="0"/>
              <w:bottom w:val="single" w:color="000000" w:sz="4" w:space="0"/>
              <w:right w:val="single" w:color="000000" w:sz="4" w:space="0"/>
            </w:tcBorders>
            <w:vAlign w:val="center"/>
          </w:tcPr>
          <w:p w14:paraId="647C555F">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项目负责人</w:t>
            </w:r>
          </w:p>
          <w:p w14:paraId="4E9FF1A9">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业绩</w:t>
            </w:r>
          </w:p>
        </w:tc>
        <w:tc>
          <w:tcPr>
            <w:tcW w:w="6076" w:type="dxa"/>
            <w:tcBorders>
              <w:top w:val="single" w:color="auto" w:sz="4" w:space="0"/>
              <w:left w:val="single" w:color="000000" w:sz="4" w:space="0"/>
              <w:bottom w:val="single" w:color="000000" w:sz="4" w:space="0"/>
              <w:right w:val="single" w:color="000000" w:sz="4" w:space="0"/>
            </w:tcBorders>
            <w:vAlign w:val="center"/>
          </w:tcPr>
          <w:p w14:paraId="2BE1C9A3">
            <w:pPr>
              <w:widowControl/>
              <w:adjustRightInd w:val="0"/>
              <w:snapToGrid w:val="0"/>
              <w:spacing w:line="400" w:lineRule="atLeast"/>
              <w:ind w:firstLine="420" w:firstLineChars="200"/>
              <w:jc w:val="left"/>
              <w:outlineLvl w:val="0"/>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拟派项目负责人</w:t>
            </w:r>
            <w:r>
              <w:rPr>
                <w:rFonts w:hint="default" w:ascii="Times New Roman" w:hAnsi="Times New Roman" w:eastAsia="宋体" w:cs="Times New Roman"/>
                <w:color w:val="auto"/>
                <w:sz w:val="21"/>
                <w:szCs w:val="21"/>
                <w:highlight w:val="none"/>
              </w:rPr>
              <w:t>自202</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月1日（以合同签订日期为准）以来，</w:t>
            </w:r>
            <w:r>
              <w:rPr>
                <w:rFonts w:hint="default" w:ascii="Times New Roman" w:hAnsi="Times New Roman" w:eastAsia="宋体" w:cs="Times New Roman"/>
                <w:color w:val="auto"/>
                <w:sz w:val="21"/>
                <w:szCs w:val="21"/>
                <w:highlight w:val="none"/>
                <w:lang w:val="en-US" w:eastAsia="zh-CN"/>
              </w:rPr>
              <w:t>担任过公路</w:t>
            </w:r>
            <w:r>
              <w:rPr>
                <w:rFonts w:hint="default" w:ascii="Times New Roman" w:hAnsi="Times New Roman" w:eastAsia="宋体" w:cs="Times New Roman"/>
                <w:color w:val="auto"/>
                <w:szCs w:val="21"/>
                <w:highlight w:val="none"/>
                <w:lang w:val="en-US" w:eastAsia="zh-CN"/>
              </w:rPr>
              <w:t>桥梁结构监测系统建设或运维项目</w:t>
            </w:r>
            <w:r>
              <w:rPr>
                <w:rFonts w:hint="eastAsia" w:ascii="Times New Roman" w:hAnsi="Times New Roman" w:eastAsia="宋体" w:cs="Times New Roman"/>
                <w:color w:val="auto"/>
                <w:szCs w:val="21"/>
                <w:highlight w:val="none"/>
                <w:lang w:val="en-US" w:eastAsia="zh-CN"/>
              </w:rPr>
              <w:t>的</w:t>
            </w:r>
            <w:r>
              <w:rPr>
                <w:rFonts w:hint="default" w:ascii="Times New Roman" w:hAnsi="Times New Roman" w:eastAsia="宋体" w:cs="Times New Roman"/>
                <w:color w:val="auto"/>
                <w:szCs w:val="21"/>
                <w:highlight w:val="none"/>
                <w:lang w:val="en-US" w:eastAsia="zh-CN"/>
              </w:rPr>
              <w:t>项目</w:t>
            </w:r>
            <w:r>
              <w:rPr>
                <w:rFonts w:hint="default" w:ascii="Times New Roman" w:hAnsi="Times New Roman" w:eastAsia="宋体" w:cs="Times New Roman"/>
                <w:color w:val="auto"/>
                <w:sz w:val="21"/>
                <w:szCs w:val="21"/>
                <w:highlight w:val="none"/>
                <w:lang w:val="en-US" w:eastAsia="zh-CN"/>
              </w:rPr>
              <w:t>负责人或技术负责人</w:t>
            </w:r>
            <w:r>
              <w:rPr>
                <w:rFonts w:hint="eastAsia" w:ascii="Times New Roman" w:hAnsi="Times New Roman" w:eastAsia="宋体" w:cs="Times New Roman"/>
                <w:color w:val="auto"/>
                <w:sz w:val="21"/>
                <w:szCs w:val="21"/>
                <w:highlight w:val="none"/>
                <w:lang w:val="en-US" w:eastAsia="zh-CN"/>
              </w:rPr>
              <w:t>的</w:t>
            </w:r>
            <w:r>
              <w:rPr>
                <w:rFonts w:hint="default" w:ascii="Times New Roman" w:hAnsi="Times New Roman" w:eastAsia="宋体" w:cs="Times New Roman"/>
                <w:color w:val="auto"/>
                <w:sz w:val="21"/>
                <w:szCs w:val="21"/>
                <w:highlight w:val="none"/>
              </w:rPr>
              <w:t>，每</w:t>
            </w:r>
            <w:r>
              <w:rPr>
                <w:rFonts w:hint="eastAsia" w:ascii="Times New Roman" w:hAnsi="Times New Roman" w:eastAsia="宋体" w:cs="Times New Roman"/>
                <w:color w:val="auto"/>
                <w:sz w:val="21"/>
                <w:szCs w:val="21"/>
                <w:highlight w:val="none"/>
                <w:lang w:val="en-US" w:eastAsia="zh-CN"/>
              </w:rPr>
              <w:t>提供一</w:t>
            </w:r>
            <w:r>
              <w:rPr>
                <w:rFonts w:hint="default" w:ascii="Times New Roman" w:hAnsi="Times New Roman" w:eastAsia="宋体" w:cs="Times New Roman"/>
                <w:color w:val="auto"/>
                <w:sz w:val="21"/>
                <w:szCs w:val="21"/>
                <w:highlight w:val="none"/>
              </w:rPr>
              <w:t>个</w:t>
            </w:r>
            <w:r>
              <w:rPr>
                <w:rFonts w:hint="eastAsia" w:ascii="Times New Roman" w:hAnsi="Times New Roman" w:eastAsia="宋体" w:cs="Times New Roman"/>
                <w:color w:val="auto"/>
                <w:sz w:val="21"/>
                <w:szCs w:val="21"/>
                <w:highlight w:val="none"/>
                <w:lang w:val="en-US" w:eastAsia="zh-CN"/>
              </w:rPr>
              <w:t>业绩</w:t>
            </w:r>
            <w:r>
              <w:rPr>
                <w:rFonts w:hint="default" w:ascii="Times New Roman" w:hAnsi="Times New Roman" w:eastAsia="宋体" w:cs="Times New Roman"/>
                <w:color w:val="auto"/>
                <w:sz w:val="21"/>
                <w:szCs w:val="21"/>
                <w:highlight w:val="none"/>
              </w:rPr>
              <w:t>得</w:t>
            </w: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eastAsia" w:ascii="Times New Roman" w:hAnsi="Times New Roman" w:eastAsia="宋体" w:cs="Times New Roman"/>
                <w:color w:val="auto"/>
                <w:sz w:val="21"/>
                <w:szCs w:val="21"/>
                <w:highlight w:val="none"/>
                <w:lang w:val="en-US" w:eastAsia="zh-CN"/>
              </w:rPr>
              <w:t>本项</w:t>
            </w:r>
            <w:r>
              <w:rPr>
                <w:rFonts w:hint="default" w:ascii="Times New Roman" w:hAnsi="Times New Roman" w:eastAsia="宋体" w:cs="Times New Roman"/>
                <w:color w:val="auto"/>
                <w:sz w:val="21"/>
                <w:szCs w:val="21"/>
                <w:highlight w:val="none"/>
              </w:rPr>
              <w:t>最多得</w:t>
            </w:r>
            <w:r>
              <w:rPr>
                <w:rFonts w:hint="eastAsia"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p>
          <w:p w14:paraId="1F008678">
            <w:pPr>
              <w:widowControl/>
              <w:adjustRightInd w:val="0"/>
              <w:snapToGrid w:val="0"/>
              <w:spacing w:line="400" w:lineRule="atLeast"/>
              <w:ind w:firstLine="420" w:firstLineChars="200"/>
              <w:jc w:val="left"/>
              <w:outlineLvl w:val="0"/>
              <w:rPr>
                <w:rFonts w:hint="default" w:ascii="Times New Roman" w:hAnsi="Times New Roman" w:cs="Times New Roman"/>
                <w:color w:val="auto"/>
                <w:kern w:val="0"/>
                <w:szCs w:val="21"/>
                <w:highlight w:val="none"/>
                <w:lang w:val="zh-CN" w:eastAsia="zh-CN"/>
              </w:rPr>
            </w:pPr>
            <w:r>
              <w:rPr>
                <w:rFonts w:hint="default" w:ascii="Times New Roman" w:hAnsi="Times New Roman" w:eastAsia="宋体" w:cs="Times New Roman"/>
                <w:bCs/>
                <w:color w:val="auto"/>
                <w:sz w:val="21"/>
                <w:szCs w:val="21"/>
                <w:highlight w:val="none"/>
              </w:rPr>
              <w:t>注：</w:t>
            </w:r>
            <w:r>
              <w:rPr>
                <w:rFonts w:hint="eastAsia" w:ascii="Times New Roman" w:hAnsi="Times New Roman" w:eastAsia="宋体" w:cs="Times New Roman"/>
                <w:bCs/>
                <w:color w:val="auto"/>
                <w:sz w:val="21"/>
                <w:szCs w:val="21"/>
                <w:highlight w:val="none"/>
                <w:lang w:val="en-US" w:eastAsia="zh-CN"/>
              </w:rPr>
              <w:t>①</w:t>
            </w:r>
            <w:r>
              <w:rPr>
                <w:rFonts w:hint="default" w:ascii="Times New Roman" w:hAnsi="Times New Roman" w:cs="Times New Roman"/>
                <w:color w:val="auto"/>
                <w:kern w:val="0"/>
                <w:szCs w:val="21"/>
                <w:highlight w:val="none"/>
                <w:lang w:val="zh-CN"/>
              </w:rPr>
              <w:t>提供合同原件扫描件，合同须能反映项目名称、</w:t>
            </w:r>
            <w:r>
              <w:rPr>
                <w:rFonts w:hint="eastAsia" w:ascii="Times New Roman" w:hAnsi="Times New Roman" w:cs="Times New Roman"/>
                <w:color w:val="auto"/>
                <w:kern w:val="0"/>
                <w:szCs w:val="21"/>
                <w:highlight w:val="none"/>
                <w:lang w:val="en-US" w:eastAsia="zh-CN"/>
              </w:rPr>
              <w:t>项目负责人或技术负责人姓名、</w:t>
            </w:r>
            <w:r>
              <w:rPr>
                <w:rFonts w:hint="default" w:ascii="Times New Roman" w:hAnsi="Times New Roman" w:cs="Times New Roman"/>
                <w:color w:val="auto"/>
                <w:kern w:val="0"/>
                <w:szCs w:val="21"/>
                <w:highlight w:val="none"/>
                <w:lang w:val="zh-CN"/>
              </w:rPr>
              <w:t>主要标的物，签订时间、</w:t>
            </w:r>
            <w:r>
              <w:rPr>
                <w:rFonts w:hint="default" w:ascii="Times New Roman" w:hAnsi="Times New Roman" w:eastAsia="宋体" w:cs="Times New Roman"/>
                <w:b w:val="0"/>
                <w:bCs w:val="0"/>
                <w:color w:val="auto"/>
                <w:kern w:val="0"/>
                <w:szCs w:val="21"/>
                <w:highlight w:val="none"/>
                <w:lang w:bidi="ar"/>
              </w:rPr>
              <w:t>单位公章或专用合同章</w:t>
            </w:r>
            <w:r>
              <w:rPr>
                <w:rFonts w:hint="eastAsia" w:ascii="Times New Roman" w:hAnsi="Times New Roman" w:cs="Times New Roman"/>
                <w:b w:val="0"/>
                <w:bCs w:val="0"/>
                <w:color w:val="auto"/>
                <w:kern w:val="0"/>
                <w:szCs w:val="21"/>
                <w:highlight w:val="none"/>
                <w:lang w:val="zh-CN"/>
              </w:rPr>
              <w:t>，</w:t>
            </w:r>
            <w:r>
              <w:rPr>
                <w:rFonts w:hint="default" w:ascii="Times New Roman" w:hAnsi="Times New Roman" w:cs="Times New Roman"/>
                <w:color w:val="auto"/>
                <w:kern w:val="0"/>
                <w:szCs w:val="21"/>
                <w:highlight w:val="none"/>
                <w:lang w:val="zh-CN"/>
              </w:rPr>
              <w:t>如不能反映</w:t>
            </w:r>
            <w:r>
              <w:rPr>
                <w:rFonts w:hint="default" w:ascii="Times New Roman" w:hAnsi="Times New Roman" w:cs="Times New Roman"/>
                <w:color w:val="auto"/>
                <w:kern w:val="0"/>
                <w:szCs w:val="21"/>
                <w:highlight w:val="none"/>
                <w:lang w:val="en-US" w:eastAsia="zh-CN"/>
              </w:rPr>
              <w:t>或反映不全面</w:t>
            </w:r>
            <w:r>
              <w:rPr>
                <w:rFonts w:hint="default" w:ascii="Times New Roman" w:hAnsi="Times New Roman" w:cs="Times New Roman"/>
                <w:color w:val="auto"/>
                <w:kern w:val="0"/>
                <w:szCs w:val="21"/>
                <w:highlight w:val="none"/>
                <w:lang w:val="zh-CN"/>
              </w:rPr>
              <w:t>的，另须提供盖有原委托单位公章的证明，否则不予认可</w:t>
            </w:r>
            <w:r>
              <w:rPr>
                <w:rFonts w:hint="eastAsia" w:ascii="Times New Roman" w:hAnsi="Times New Roman" w:cs="Times New Roman"/>
                <w:color w:val="auto"/>
                <w:kern w:val="0"/>
                <w:szCs w:val="21"/>
                <w:highlight w:val="none"/>
                <w:lang w:val="zh-CN"/>
              </w:rPr>
              <w:t>；</w:t>
            </w:r>
            <w:r>
              <w:rPr>
                <w:rFonts w:hint="eastAsia" w:ascii="Times New Roman" w:hAnsi="Times New Roman" w:cs="Times New Roman"/>
                <w:color w:val="auto"/>
                <w:kern w:val="0"/>
                <w:szCs w:val="21"/>
                <w:highlight w:val="none"/>
                <w:lang w:val="en-US" w:eastAsia="zh-CN"/>
              </w:rPr>
              <w:t>②供应商业绩与项目负责人业绩可重复计分。</w:t>
            </w:r>
          </w:p>
        </w:tc>
        <w:tc>
          <w:tcPr>
            <w:tcW w:w="709" w:type="dxa"/>
            <w:tcBorders>
              <w:top w:val="single" w:color="auto" w:sz="4" w:space="0"/>
              <w:left w:val="single" w:color="000000" w:sz="4" w:space="0"/>
              <w:bottom w:val="single" w:color="000000" w:sz="4" w:space="0"/>
              <w:right w:val="single" w:color="000000" w:sz="4" w:space="0"/>
            </w:tcBorders>
            <w:vAlign w:val="center"/>
          </w:tcPr>
          <w:p w14:paraId="384CD500">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lang w:val="en-US" w:eastAsia="zh-CN"/>
              </w:rPr>
            </w:pPr>
            <w:r>
              <w:rPr>
                <w:rStyle w:val="31"/>
                <w:rFonts w:hint="eastAsia" w:ascii="Times New Roman" w:hAnsi="Times New Roman" w:eastAsia="宋体" w:cs="Times New Roman"/>
                <w:color w:val="auto"/>
                <w:sz w:val="21"/>
                <w:szCs w:val="21"/>
                <w:highlight w:val="none"/>
                <w:lang w:val="en-US" w:eastAsia="zh-CN"/>
              </w:rPr>
              <w:t>6分</w:t>
            </w:r>
          </w:p>
        </w:tc>
      </w:tr>
      <w:tr w14:paraId="0887C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8931" w:type="dxa"/>
            <w:gridSpan w:val="4"/>
            <w:tcBorders>
              <w:top w:val="single" w:color="000000" w:sz="4" w:space="0"/>
              <w:left w:val="single" w:color="000000" w:sz="4" w:space="0"/>
              <w:bottom w:val="single" w:color="000000" w:sz="4" w:space="0"/>
              <w:right w:val="single" w:color="000000" w:sz="4" w:space="0"/>
            </w:tcBorders>
            <w:vAlign w:val="center"/>
          </w:tcPr>
          <w:p w14:paraId="0C4D321A">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b/>
                <w:bCs/>
                <w:color w:val="auto"/>
                <w:sz w:val="21"/>
                <w:szCs w:val="21"/>
                <w:highlight w:val="none"/>
              </w:rPr>
            </w:pPr>
            <w:r>
              <w:rPr>
                <w:rStyle w:val="31"/>
                <w:rFonts w:hint="default" w:ascii="Times New Roman" w:hAnsi="Times New Roman" w:eastAsia="宋体" w:cs="Times New Roman"/>
                <w:b/>
                <w:color w:val="auto"/>
                <w:sz w:val="21"/>
                <w:szCs w:val="21"/>
                <w:highlight w:val="none"/>
                <w:lang w:val="en-US" w:eastAsia="zh-CN"/>
              </w:rPr>
              <w:t>供应商</w:t>
            </w:r>
            <w:r>
              <w:rPr>
                <w:rStyle w:val="31"/>
                <w:rFonts w:hint="default" w:ascii="Times New Roman" w:hAnsi="Times New Roman" w:eastAsia="宋体" w:cs="Times New Roman"/>
                <w:b/>
                <w:color w:val="auto"/>
                <w:sz w:val="21"/>
                <w:szCs w:val="21"/>
                <w:highlight w:val="none"/>
              </w:rPr>
              <w:t>综合实力</w:t>
            </w:r>
            <w:r>
              <w:rPr>
                <w:rStyle w:val="31"/>
                <w:rFonts w:hint="eastAsia" w:ascii="Times New Roman" w:hAnsi="Times New Roman" w:eastAsia="宋体" w:cs="Times New Roman"/>
                <w:b/>
                <w:color w:val="auto"/>
                <w:sz w:val="21"/>
                <w:szCs w:val="21"/>
                <w:highlight w:val="none"/>
                <w:lang w:eastAsia="zh-CN"/>
              </w:rPr>
              <w:t>（</w:t>
            </w:r>
            <w:r>
              <w:rPr>
                <w:rStyle w:val="31"/>
                <w:rFonts w:hint="eastAsia" w:ascii="Times New Roman" w:hAnsi="Times New Roman" w:eastAsia="宋体" w:cs="Times New Roman"/>
                <w:b/>
                <w:color w:val="auto"/>
                <w:sz w:val="21"/>
                <w:szCs w:val="21"/>
                <w:highlight w:val="none"/>
                <w:lang w:val="en-US" w:eastAsia="zh-CN"/>
              </w:rPr>
              <w:t>22</w:t>
            </w:r>
            <w:r>
              <w:rPr>
                <w:rStyle w:val="31"/>
                <w:rFonts w:hint="default" w:ascii="Times New Roman" w:hAnsi="Times New Roman" w:eastAsia="宋体" w:cs="Times New Roman"/>
                <w:b/>
                <w:color w:val="auto"/>
                <w:sz w:val="21"/>
                <w:szCs w:val="21"/>
                <w:highlight w:val="none"/>
              </w:rPr>
              <w:t>分）</w:t>
            </w:r>
          </w:p>
        </w:tc>
      </w:tr>
      <w:tr w14:paraId="32A29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5" w:hRule="atLeast"/>
          <w:jc w:val="center"/>
        </w:trPr>
        <w:tc>
          <w:tcPr>
            <w:tcW w:w="821" w:type="dxa"/>
            <w:vMerge w:val="restart"/>
            <w:tcBorders>
              <w:left w:val="single" w:color="000000" w:sz="4" w:space="0"/>
              <w:right w:val="single" w:color="000000" w:sz="4" w:space="0"/>
            </w:tcBorders>
            <w:vAlign w:val="center"/>
          </w:tcPr>
          <w:p w14:paraId="6F5A16E6">
            <w:pPr>
              <w:keepNext w:val="0"/>
              <w:keepLines w:val="0"/>
              <w:pageBreakBefore w:val="0"/>
              <w:widowControl w:val="0"/>
              <w:kinsoku/>
              <w:wordWrap w:val="0"/>
              <w:overflowPunct/>
              <w:topLinePunct w:val="0"/>
              <w:autoSpaceDE/>
              <w:autoSpaceDN/>
              <w:bidi w:val="0"/>
              <w:adjustRightInd w:val="0"/>
              <w:snapToGrid w:val="0"/>
              <w:spacing w:line="400" w:lineRule="atLeast"/>
              <w:jc w:val="center"/>
              <w:textAlignment w:val="auto"/>
              <w:outlineLvl w:val="1"/>
              <w:rPr>
                <w:rFonts w:hint="default" w:ascii="Times New Roman" w:hAnsi="Times New Roman" w:cs="Times New Roman" w:eastAsiaTheme="minorEastAsia"/>
                <w:color w:val="auto"/>
                <w:highlight w:val="none"/>
                <w:lang w:val="en-US" w:eastAsia="zh-CN"/>
              </w:rPr>
            </w:pPr>
            <w:r>
              <w:rPr>
                <w:rFonts w:hint="eastAsia" w:ascii="Times New Roman" w:hAnsi="Times New Roman" w:cs="Times New Roman"/>
                <w:color w:val="auto"/>
                <w:highlight w:val="none"/>
                <w:lang w:val="en-US" w:eastAsia="zh-CN"/>
              </w:rPr>
              <w:t>4.1</w:t>
            </w:r>
          </w:p>
        </w:tc>
        <w:tc>
          <w:tcPr>
            <w:tcW w:w="1325" w:type="dxa"/>
            <w:vMerge w:val="restart"/>
            <w:tcBorders>
              <w:left w:val="single" w:color="000000" w:sz="4" w:space="0"/>
              <w:right w:val="single" w:color="000000" w:sz="4" w:space="0"/>
            </w:tcBorders>
            <w:vAlign w:val="center"/>
          </w:tcPr>
          <w:p w14:paraId="1334255F">
            <w:pPr>
              <w:keepNext w:val="0"/>
              <w:keepLines w:val="0"/>
              <w:pageBreakBefore w:val="0"/>
              <w:widowControl w:val="0"/>
              <w:kinsoku/>
              <w:wordWrap w:val="0"/>
              <w:overflowPunct/>
              <w:topLinePunct w:val="0"/>
              <w:autoSpaceDE/>
              <w:autoSpaceDN/>
              <w:bidi w:val="0"/>
              <w:adjustRightInd w:val="0"/>
              <w:snapToGrid w:val="0"/>
              <w:spacing w:line="400" w:lineRule="atLeast"/>
              <w:jc w:val="center"/>
              <w:textAlignment w:val="auto"/>
              <w:outlineLvl w:val="1"/>
              <w:rPr>
                <w:rFonts w:hint="default" w:ascii="Times New Roman" w:hAnsi="Times New Roman" w:cs="Times New Roman" w:eastAsiaTheme="minorEastAsia"/>
                <w:color w:val="auto"/>
                <w:highlight w:val="none"/>
                <w:lang w:val="en-US" w:eastAsia="zh-CN"/>
              </w:rPr>
            </w:pPr>
            <w:r>
              <w:rPr>
                <w:rFonts w:hint="eastAsia" w:ascii="Times New Roman" w:hAnsi="Times New Roman" w:cs="Times New Roman"/>
                <w:color w:val="auto"/>
                <w:highlight w:val="none"/>
                <w:lang w:val="en-US" w:eastAsia="zh-CN"/>
              </w:rPr>
              <w:t>人员配备</w:t>
            </w:r>
          </w:p>
        </w:tc>
        <w:tc>
          <w:tcPr>
            <w:tcW w:w="6076" w:type="dxa"/>
            <w:tcBorders>
              <w:top w:val="single" w:color="000000" w:sz="4" w:space="0"/>
              <w:left w:val="single" w:color="000000" w:sz="4" w:space="0"/>
              <w:bottom w:val="single" w:color="auto" w:sz="4" w:space="0"/>
              <w:right w:val="single" w:color="000000" w:sz="4" w:space="0"/>
            </w:tcBorders>
            <w:vAlign w:val="center"/>
          </w:tcPr>
          <w:p w14:paraId="614BC885">
            <w:pPr>
              <w:keepNext w:val="0"/>
              <w:keepLines w:val="0"/>
              <w:pageBreakBefore w:val="0"/>
              <w:widowControl w:val="0"/>
              <w:numPr>
                <w:ilvl w:val="0"/>
                <w:numId w:val="0"/>
              </w:numPr>
              <w:kinsoku/>
              <w:wordWrap w:val="0"/>
              <w:overflowPunct/>
              <w:topLinePunct w:val="0"/>
              <w:autoSpaceDE/>
              <w:autoSpaceDN/>
              <w:bidi w:val="0"/>
              <w:adjustRightInd w:val="0"/>
              <w:snapToGrid w:val="0"/>
              <w:spacing w:line="400" w:lineRule="atLeast"/>
              <w:ind w:firstLine="420" w:firstLineChars="200"/>
              <w:jc w:val="both"/>
              <w:textAlignment w:val="auto"/>
              <w:outlineLvl w:val="1"/>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t>（1）</w:t>
            </w:r>
            <w:r>
              <w:rPr>
                <w:rFonts w:hint="default" w:ascii="Times New Roman" w:hAnsi="Times New Roman" w:eastAsia="宋体" w:cs="Times New Roman"/>
                <w:color w:val="auto"/>
                <w:sz w:val="21"/>
                <w:szCs w:val="21"/>
                <w:highlight w:val="none"/>
              </w:rPr>
              <w:t>项目负责人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满分</w:t>
            </w:r>
            <w:r>
              <w:rPr>
                <w:rFonts w:hint="eastAsia"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①</w:t>
            </w:r>
            <w:r>
              <w:rPr>
                <w:rFonts w:hint="default" w:ascii="Times New Roman" w:hAnsi="Times New Roman" w:eastAsia="宋体" w:cs="Times New Roman"/>
                <w:color w:val="auto"/>
                <w:sz w:val="21"/>
                <w:szCs w:val="21"/>
                <w:highlight w:val="none"/>
              </w:rPr>
              <w:t>具有</w:t>
            </w:r>
            <w:r>
              <w:rPr>
                <w:rFonts w:hint="default" w:ascii="Times New Roman" w:hAnsi="Times New Roman" w:eastAsia="宋体" w:cs="Times New Roman"/>
                <w:color w:val="auto"/>
                <w:sz w:val="21"/>
                <w:szCs w:val="21"/>
                <w:highlight w:val="none"/>
                <w:lang w:val="en-US" w:eastAsia="zh-CN"/>
              </w:rPr>
              <w:t>交通类（公路工程）</w:t>
            </w:r>
            <w:r>
              <w:rPr>
                <w:rFonts w:hint="default" w:ascii="Times New Roman" w:hAnsi="Times New Roman" w:eastAsia="宋体" w:cs="Times New Roman"/>
                <w:color w:val="auto"/>
                <w:sz w:val="21"/>
                <w:szCs w:val="21"/>
                <w:highlight w:val="none"/>
              </w:rPr>
              <w:t>相关专业高级</w:t>
            </w:r>
            <w:r>
              <w:rPr>
                <w:rFonts w:hint="default" w:ascii="Times New Roman" w:hAnsi="Times New Roman" w:eastAsia="宋体" w:cs="Times New Roman"/>
                <w:color w:val="auto"/>
                <w:sz w:val="21"/>
                <w:szCs w:val="21"/>
                <w:highlight w:val="none"/>
                <w:lang w:val="en-US" w:eastAsia="zh-CN"/>
              </w:rPr>
              <w:t>及以上</w:t>
            </w:r>
            <w:r>
              <w:rPr>
                <w:rFonts w:hint="default" w:ascii="Times New Roman" w:hAnsi="Times New Roman" w:eastAsia="宋体" w:cs="Times New Roman"/>
                <w:color w:val="auto"/>
                <w:sz w:val="21"/>
                <w:szCs w:val="21"/>
                <w:highlight w:val="none"/>
              </w:rPr>
              <w:t>技术职称的</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得</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val="en-US" w:eastAsia="zh-CN"/>
              </w:rPr>
              <w:t>②持有</w:t>
            </w:r>
            <w:r>
              <w:rPr>
                <w:rFonts w:hint="default" w:ascii="Times New Roman" w:hAnsi="Times New Roman" w:eastAsia="宋体" w:cs="Times New Roman"/>
                <w:color w:val="auto"/>
                <w:sz w:val="21"/>
                <w:szCs w:val="21"/>
                <w:highlight w:val="none"/>
              </w:rPr>
              <w:t>交通运输</w:t>
            </w:r>
            <w:r>
              <w:rPr>
                <w:rFonts w:hint="default" w:ascii="Times New Roman" w:hAnsi="Times New Roman" w:eastAsia="宋体" w:cs="Times New Roman"/>
                <w:color w:val="auto"/>
                <w:sz w:val="21"/>
                <w:szCs w:val="21"/>
                <w:highlight w:val="none"/>
                <w:lang w:val="en-US" w:eastAsia="zh-CN"/>
              </w:rPr>
              <w:t>主管部门核发的《公路工程试验检测工程师证书》或《公路水运工程试验检测师证书》（证书专业需包含桥梁或桥梁隧道工程专业）的</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得</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本项最多得</w:t>
            </w:r>
            <w:r>
              <w:rPr>
                <w:rFonts w:hint="eastAsia"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分。</w:t>
            </w:r>
          </w:p>
        </w:tc>
        <w:tc>
          <w:tcPr>
            <w:tcW w:w="709" w:type="dxa"/>
            <w:vMerge w:val="restart"/>
            <w:tcBorders>
              <w:left w:val="single" w:color="000000" w:sz="4" w:space="0"/>
              <w:right w:val="single" w:color="000000" w:sz="4" w:space="0"/>
            </w:tcBorders>
            <w:vAlign w:val="center"/>
          </w:tcPr>
          <w:p w14:paraId="3274CDEB">
            <w:pPr>
              <w:keepNext w:val="0"/>
              <w:keepLines w:val="0"/>
              <w:pageBreakBefore w:val="0"/>
              <w:widowControl w:val="0"/>
              <w:kinsoku/>
              <w:wordWrap w:val="0"/>
              <w:overflowPunct/>
              <w:topLinePunct w:val="0"/>
              <w:autoSpaceDE/>
              <w:autoSpaceDN/>
              <w:bidi w:val="0"/>
              <w:adjustRightInd w:val="0"/>
              <w:snapToGrid w:val="0"/>
              <w:spacing w:line="400" w:lineRule="atLeast"/>
              <w:jc w:val="center"/>
              <w:textAlignment w:val="auto"/>
              <w:outlineLvl w:val="1"/>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16分</w:t>
            </w:r>
          </w:p>
        </w:tc>
      </w:tr>
      <w:tr w14:paraId="51306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2" w:hRule="atLeast"/>
          <w:jc w:val="center"/>
        </w:trPr>
        <w:tc>
          <w:tcPr>
            <w:tcW w:w="821" w:type="dxa"/>
            <w:vMerge w:val="continue"/>
            <w:tcBorders>
              <w:left w:val="single" w:color="000000" w:sz="4" w:space="0"/>
              <w:right w:val="single" w:color="000000" w:sz="4" w:space="0"/>
            </w:tcBorders>
            <w:vAlign w:val="center"/>
          </w:tcPr>
          <w:p w14:paraId="34C07497">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p>
        </w:tc>
        <w:tc>
          <w:tcPr>
            <w:tcW w:w="1325" w:type="dxa"/>
            <w:vMerge w:val="continue"/>
            <w:tcBorders>
              <w:left w:val="single" w:color="000000" w:sz="4" w:space="0"/>
              <w:right w:val="single" w:color="000000" w:sz="4" w:space="0"/>
            </w:tcBorders>
            <w:vAlign w:val="center"/>
          </w:tcPr>
          <w:p w14:paraId="3F0B755C">
            <w:pPr>
              <w:keepNext w:val="0"/>
              <w:keepLines w:val="0"/>
              <w:pageBreakBefore w:val="0"/>
              <w:widowControl w:val="0"/>
              <w:kinsoku/>
              <w:wordWrap w:val="0"/>
              <w:overflowPunct/>
              <w:topLinePunct w:val="0"/>
              <w:autoSpaceDE/>
              <w:autoSpaceDN/>
              <w:bidi w:val="0"/>
              <w:adjustRightInd w:val="0"/>
              <w:snapToGrid w:val="0"/>
              <w:spacing w:line="400" w:lineRule="atLeast"/>
              <w:jc w:val="center"/>
              <w:textAlignment w:val="auto"/>
              <w:outlineLvl w:val="1"/>
              <w:rPr>
                <w:rStyle w:val="31"/>
                <w:rFonts w:hint="default" w:ascii="Times New Roman" w:hAnsi="Times New Roman" w:eastAsia="宋体" w:cs="Times New Roman"/>
                <w:color w:val="auto"/>
                <w:sz w:val="21"/>
                <w:szCs w:val="21"/>
                <w:highlight w:val="none"/>
              </w:rPr>
            </w:pPr>
          </w:p>
        </w:tc>
        <w:tc>
          <w:tcPr>
            <w:tcW w:w="6076" w:type="dxa"/>
            <w:tcBorders>
              <w:top w:val="single" w:color="auto" w:sz="4" w:space="0"/>
              <w:left w:val="single" w:color="000000" w:sz="4" w:space="0"/>
              <w:bottom w:val="single" w:color="000000" w:sz="4" w:space="0"/>
              <w:right w:val="single" w:color="000000" w:sz="4" w:space="0"/>
            </w:tcBorders>
            <w:vAlign w:val="center"/>
          </w:tcPr>
          <w:p w14:paraId="2F6FC98D">
            <w:pPr>
              <w:keepNext w:val="0"/>
              <w:keepLines w:val="0"/>
              <w:pageBreakBefore w:val="0"/>
              <w:widowControl w:val="0"/>
              <w:numPr>
                <w:ilvl w:val="0"/>
                <w:numId w:val="0"/>
              </w:numPr>
              <w:kinsoku/>
              <w:wordWrap w:val="0"/>
              <w:overflowPunct/>
              <w:topLinePunct w:val="0"/>
              <w:autoSpaceDE/>
              <w:autoSpaceDN/>
              <w:bidi w:val="0"/>
              <w:adjustRightInd w:val="0"/>
              <w:snapToGrid w:val="0"/>
              <w:spacing w:line="400" w:lineRule="atLeast"/>
              <w:ind w:left="0" w:leftChars="0" w:firstLine="420" w:firstLineChars="200"/>
              <w:textAlignment w:val="auto"/>
              <w:outlineLvl w:val="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2</w:t>
            </w:r>
            <w:r>
              <w:rPr>
                <w:rFonts w:hint="default" w:ascii="Times New Roman" w:hAnsi="Times New Roman" w:eastAsia="宋体" w:cs="Times New Roman"/>
                <w:color w:val="auto"/>
                <w:kern w:val="2"/>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rPr>
              <w:t>技术</w:t>
            </w:r>
            <w:r>
              <w:rPr>
                <w:rFonts w:hint="default" w:ascii="Times New Roman" w:hAnsi="Times New Roman" w:eastAsia="宋体" w:cs="Times New Roman"/>
                <w:color w:val="auto"/>
                <w:sz w:val="21"/>
                <w:szCs w:val="21"/>
                <w:highlight w:val="none"/>
              </w:rPr>
              <w:t>负责人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满分</w:t>
            </w:r>
            <w:r>
              <w:rPr>
                <w:rFonts w:hint="eastAsia"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分）</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①</w:t>
            </w:r>
            <w:r>
              <w:rPr>
                <w:rFonts w:hint="default" w:ascii="Times New Roman" w:hAnsi="Times New Roman" w:eastAsia="宋体" w:cs="Times New Roman"/>
                <w:color w:val="auto"/>
                <w:sz w:val="21"/>
                <w:szCs w:val="21"/>
                <w:highlight w:val="none"/>
              </w:rPr>
              <w:t>具有</w:t>
            </w:r>
            <w:r>
              <w:rPr>
                <w:rFonts w:hint="default" w:ascii="Times New Roman" w:hAnsi="Times New Roman" w:eastAsia="宋体" w:cs="Times New Roman"/>
                <w:color w:val="auto"/>
                <w:sz w:val="21"/>
                <w:szCs w:val="21"/>
                <w:highlight w:val="none"/>
                <w:lang w:val="en-US" w:eastAsia="zh-CN"/>
              </w:rPr>
              <w:t>交通类（公路工程）</w:t>
            </w:r>
            <w:r>
              <w:rPr>
                <w:rFonts w:hint="default" w:ascii="Times New Roman" w:hAnsi="Times New Roman" w:eastAsia="宋体" w:cs="Times New Roman"/>
                <w:color w:val="auto"/>
                <w:sz w:val="21"/>
                <w:szCs w:val="21"/>
                <w:highlight w:val="none"/>
              </w:rPr>
              <w:t>相关专业</w:t>
            </w:r>
            <w:r>
              <w:rPr>
                <w:rFonts w:hint="default" w:ascii="Times New Roman" w:hAnsi="Times New Roman" w:eastAsia="宋体" w:cs="Times New Roman"/>
                <w:color w:val="auto"/>
                <w:sz w:val="21"/>
                <w:szCs w:val="21"/>
                <w:highlight w:val="none"/>
                <w:lang w:val="en-US" w:eastAsia="zh-CN"/>
              </w:rPr>
              <w:t>高</w:t>
            </w:r>
            <w:r>
              <w:rPr>
                <w:rFonts w:hint="eastAsia" w:ascii="Times New Roman" w:hAnsi="Times New Roman" w:eastAsia="宋体" w:cs="Times New Roman"/>
                <w:color w:val="auto"/>
                <w:sz w:val="21"/>
                <w:szCs w:val="21"/>
                <w:highlight w:val="none"/>
                <w:lang w:val="en-US" w:eastAsia="zh-CN"/>
              </w:rPr>
              <w:t>级及以上</w:t>
            </w:r>
            <w:r>
              <w:rPr>
                <w:rFonts w:hint="default" w:ascii="Times New Roman" w:hAnsi="Times New Roman" w:eastAsia="宋体" w:cs="Times New Roman"/>
                <w:color w:val="auto"/>
                <w:sz w:val="21"/>
                <w:szCs w:val="21"/>
                <w:highlight w:val="none"/>
              </w:rPr>
              <w:t>技术职称的</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得</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val="en-US" w:eastAsia="zh-CN"/>
              </w:rPr>
              <w:t>②持有</w:t>
            </w:r>
            <w:r>
              <w:rPr>
                <w:rFonts w:hint="default" w:ascii="Times New Roman" w:hAnsi="Times New Roman" w:eastAsia="宋体" w:cs="Times New Roman"/>
                <w:color w:val="auto"/>
                <w:sz w:val="21"/>
                <w:szCs w:val="21"/>
                <w:highlight w:val="none"/>
              </w:rPr>
              <w:t>交通运输</w:t>
            </w:r>
            <w:r>
              <w:rPr>
                <w:rFonts w:hint="default" w:ascii="Times New Roman" w:hAnsi="Times New Roman" w:eastAsia="宋体" w:cs="Times New Roman"/>
                <w:color w:val="auto"/>
                <w:sz w:val="21"/>
                <w:szCs w:val="21"/>
                <w:highlight w:val="none"/>
                <w:lang w:val="en-US" w:eastAsia="zh-CN"/>
              </w:rPr>
              <w:t>主管部门核发的《公路工程试验检测工程师证书》或《公路水运工程试验检测师证书》（证书专业需包含桥梁或桥梁隧道工程专业）的</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得</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val="en-US" w:eastAsia="zh-CN"/>
              </w:rPr>
              <w:t>。本项最多得</w:t>
            </w:r>
            <w:r>
              <w:rPr>
                <w:rFonts w:hint="eastAsia"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分。</w:t>
            </w:r>
          </w:p>
        </w:tc>
        <w:tc>
          <w:tcPr>
            <w:tcW w:w="709" w:type="dxa"/>
            <w:vMerge w:val="continue"/>
            <w:tcBorders>
              <w:left w:val="single" w:color="000000" w:sz="4" w:space="0"/>
              <w:right w:val="single" w:color="000000" w:sz="4" w:space="0"/>
            </w:tcBorders>
            <w:vAlign w:val="center"/>
          </w:tcPr>
          <w:p w14:paraId="6FA302B9">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p>
        </w:tc>
      </w:tr>
      <w:tr w14:paraId="05F6D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22" w:hRule="atLeast"/>
          <w:jc w:val="center"/>
        </w:trPr>
        <w:tc>
          <w:tcPr>
            <w:tcW w:w="821" w:type="dxa"/>
            <w:vMerge w:val="continue"/>
            <w:tcBorders>
              <w:left w:val="single" w:color="000000" w:sz="4" w:space="0"/>
              <w:right w:val="single" w:color="000000" w:sz="4" w:space="0"/>
            </w:tcBorders>
            <w:vAlign w:val="center"/>
          </w:tcPr>
          <w:p w14:paraId="7A0E12D6">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p>
        </w:tc>
        <w:tc>
          <w:tcPr>
            <w:tcW w:w="1325" w:type="dxa"/>
            <w:vMerge w:val="continue"/>
            <w:tcBorders>
              <w:left w:val="single" w:color="000000" w:sz="4" w:space="0"/>
              <w:right w:val="single" w:color="000000" w:sz="4" w:space="0"/>
            </w:tcBorders>
            <w:vAlign w:val="center"/>
          </w:tcPr>
          <w:p w14:paraId="09CB119A">
            <w:pPr>
              <w:keepNext w:val="0"/>
              <w:keepLines w:val="0"/>
              <w:pageBreakBefore w:val="0"/>
              <w:widowControl w:val="0"/>
              <w:kinsoku/>
              <w:wordWrap w:val="0"/>
              <w:overflowPunct/>
              <w:topLinePunct w:val="0"/>
              <w:autoSpaceDE/>
              <w:autoSpaceDN/>
              <w:bidi w:val="0"/>
              <w:adjustRightInd w:val="0"/>
              <w:snapToGrid w:val="0"/>
              <w:spacing w:line="400" w:lineRule="atLeast"/>
              <w:jc w:val="center"/>
              <w:textAlignment w:val="auto"/>
              <w:outlineLvl w:val="1"/>
              <w:rPr>
                <w:rStyle w:val="31"/>
                <w:rFonts w:hint="default" w:ascii="Times New Roman" w:hAnsi="Times New Roman" w:eastAsia="宋体" w:cs="Times New Roman"/>
                <w:color w:val="auto"/>
                <w:sz w:val="21"/>
                <w:szCs w:val="21"/>
                <w:highlight w:val="none"/>
              </w:rPr>
            </w:pPr>
          </w:p>
        </w:tc>
        <w:tc>
          <w:tcPr>
            <w:tcW w:w="6076" w:type="dxa"/>
            <w:tcBorders>
              <w:top w:val="single" w:color="auto" w:sz="4" w:space="0"/>
              <w:left w:val="single" w:color="000000" w:sz="4" w:space="0"/>
              <w:bottom w:val="single" w:color="000000" w:sz="4" w:space="0"/>
              <w:right w:val="single" w:color="000000" w:sz="4" w:space="0"/>
            </w:tcBorders>
            <w:vAlign w:val="center"/>
          </w:tcPr>
          <w:p w14:paraId="0DB1CD6B">
            <w:pPr>
              <w:keepNext w:val="0"/>
              <w:keepLines w:val="0"/>
              <w:pageBreakBefore w:val="0"/>
              <w:widowControl w:val="0"/>
              <w:numPr>
                <w:ilvl w:val="0"/>
                <w:numId w:val="0"/>
              </w:numPr>
              <w:kinsoku/>
              <w:wordWrap w:val="0"/>
              <w:overflowPunct/>
              <w:topLinePunct w:val="0"/>
              <w:autoSpaceDE/>
              <w:autoSpaceDN/>
              <w:bidi w:val="0"/>
              <w:adjustRightInd w:val="0"/>
              <w:snapToGrid w:val="0"/>
              <w:spacing w:line="400" w:lineRule="atLeast"/>
              <w:ind w:left="0" w:leftChars="0" w:firstLine="420" w:firstLineChars="200"/>
              <w:textAlignment w:val="auto"/>
              <w:outlineLvl w:val="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3</w:t>
            </w:r>
            <w:r>
              <w:rPr>
                <w:rFonts w:hint="default" w:ascii="Times New Roman" w:hAnsi="Times New Roman" w:eastAsia="宋体" w:cs="Times New Roman"/>
                <w:color w:val="auto"/>
                <w:kern w:val="2"/>
                <w:sz w:val="21"/>
                <w:szCs w:val="21"/>
                <w:highlight w:val="none"/>
                <w:lang w:val="en-US" w:eastAsia="zh-CN" w:bidi="ar-SA"/>
              </w:rPr>
              <w:t>）项目组</w:t>
            </w:r>
            <w:r>
              <w:rPr>
                <w:rFonts w:hint="default" w:ascii="Times New Roman" w:hAnsi="Times New Roman" w:eastAsia="宋体" w:cs="Times New Roman"/>
                <w:color w:val="auto"/>
                <w:sz w:val="21"/>
                <w:szCs w:val="21"/>
                <w:highlight w:val="none"/>
              </w:rPr>
              <w:t>其他</w:t>
            </w:r>
            <w:r>
              <w:rPr>
                <w:rFonts w:hint="default" w:ascii="Times New Roman" w:hAnsi="Times New Roman" w:eastAsia="宋体" w:cs="Times New Roman"/>
                <w:color w:val="auto"/>
                <w:sz w:val="21"/>
                <w:szCs w:val="21"/>
                <w:highlight w:val="none"/>
                <w:lang w:val="en-US" w:eastAsia="zh-CN"/>
              </w:rPr>
              <w:t>成</w:t>
            </w:r>
            <w:r>
              <w:rPr>
                <w:rFonts w:hint="default" w:ascii="Times New Roman" w:hAnsi="Times New Roman" w:eastAsia="宋体" w:cs="Times New Roman"/>
                <w:color w:val="auto"/>
                <w:sz w:val="21"/>
                <w:szCs w:val="21"/>
                <w:highlight w:val="none"/>
              </w:rPr>
              <w:t>员中（项目负责人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技术负责人</w:t>
            </w:r>
            <w:r>
              <w:rPr>
                <w:rFonts w:hint="default" w:ascii="Times New Roman" w:hAnsi="Times New Roman" w:eastAsia="宋体" w:cs="Times New Roman"/>
                <w:color w:val="auto"/>
                <w:sz w:val="21"/>
                <w:szCs w:val="21"/>
                <w:highlight w:val="none"/>
              </w:rPr>
              <w:t>除外），配有</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名试验检测工程师</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需</w:t>
            </w:r>
            <w:r>
              <w:rPr>
                <w:rFonts w:hint="default" w:ascii="Times New Roman" w:hAnsi="Times New Roman" w:eastAsia="宋体" w:cs="Times New Roman"/>
                <w:color w:val="auto"/>
                <w:sz w:val="21"/>
                <w:szCs w:val="21"/>
                <w:highlight w:val="none"/>
              </w:rPr>
              <w:t>持有交通运输主管部门核发的《公路工程试验检测工程师证书》或《公路水运工程试验检测师证书》（证书专业需包含桥梁或桥梁隧道工程专业）</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的，得</w:t>
            </w:r>
            <w:r>
              <w:rPr>
                <w:rFonts w:hint="eastAsia"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分；增加一名</w:t>
            </w:r>
            <w:r>
              <w:rPr>
                <w:rFonts w:hint="default" w:ascii="Times New Roman" w:hAnsi="Times New Roman" w:eastAsia="宋体" w:cs="Times New Roman"/>
                <w:color w:val="auto"/>
                <w:sz w:val="21"/>
                <w:szCs w:val="21"/>
                <w:highlight w:val="none"/>
              </w:rPr>
              <w:t>软件工程师（具有计算机技术与软件专业技术资格（水平）或电子信息专业中级及以上证书）</w:t>
            </w:r>
            <w:r>
              <w:rPr>
                <w:rFonts w:hint="default" w:ascii="Times New Roman" w:hAnsi="Times New Roman" w:eastAsia="宋体" w:cs="Times New Roman"/>
                <w:color w:val="auto"/>
                <w:sz w:val="21"/>
                <w:szCs w:val="21"/>
                <w:highlight w:val="none"/>
                <w:lang w:val="en-US" w:eastAsia="zh-CN"/>
              </w:rPr>
              <w:t>的，得</w:t>
            </w: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分。本项最多得</w:t>
            </w:r>
            <w:r>
              <w:rPr>
                <w:rFonts w:hint="eastAsia"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US" w:eastAsia="zh-CN"/>
              </w:rPr>
              <w:t>分</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同一人持有多项证书，仅计分一次</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eastAsia="zh-CN"/>
              </w:rPr>
              <w:t>。</w:t>
            </w:r>
          </w:p>
          <w:p w14:paraId="17E4F268">
            <w:pPr>
              <w:keepNext w:val="0"/>
              <w:keepLines w:val="0"/>
              <w:pageBreakBefore w:val="0"/>
              <w:widowControl w:val="0"/>
              <w:numPr>
                <w:ilvl w:val="0"/>
                <w:numId w:val="0"/>
              </w:numPr>
              <w:kinsoku/>
              <w:wordWrap w:val="0"/>
              <w:overflowPunct/>
              <w:topLinePunct w:val="0"/>
              <w:autoSpaceDE/>
              <w:autoSpaceDN/>
              <w:bidi w:val="0"/>
              <w:adjustRightInd w:val="0"/>
              <w:snapToGrid w:val="0"/>
              <w:spacing w:line="400" w:lineRule="atLeast"/>
              <w:ind w:left="0" w:leftChars="0" w:firstLine="420" w:firstLineChars="200"/>
              <w:textAlignment w:val="auto"/>
              <w:outlineLvl w:val="1"/>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rPr>
              <w:t>注：</w:t>
            </w:r>
            <w:r>
              <w:rPr>
                <w:rFonts w:hint="eastAsia" w:ascii="Times New Roman" w:hAnsi="Times New Roman" w:eastAsia="宋体" w:cs="Times New Roman"/>
                <w:color w:val="auto"/>
                <w:sz w:val="21"/>
                <w:szCs w:val="21"/>
                <w:highlight w:val="none"/>
                <w:lang w:val="en-US" w:eastAsia="zh-CN"/>
              </w:rPr>
              <w:t>①</w:t>
            </w:r>
            <w:r>
              <w:rPr>
                <w:rFonts w:hint="default" w:ascii="Times New Roman" w:hAnsi="Times New Roman" w:eastAsia="宋体" w:cs="Times New Roman"/>
                <w:bCs/>
                <w:color w:val="auto"/>
                <w:sz w:val="21"/>
                <w:szCs w:val="21"/>
                <w:highlight w:val="none"/>
                <w:lang w:val="en-US" w:eastAsia="zh-CN"/>
              </w:rPr>
              <w:t>上述</w:t>
            </w:r>
            <w:r>
              <w:rPr>
                <w:rFonts w:hint="default" w:ascii="Times New Roman" w:hAnsi="Times New Roman" w:eastAsia="宋体" w:cs="Times New Roman"/>
                <w:bCs/>
                <w:color w:val="auto"/>
                <w:sz w:val="21"/>
                <w:szCs w:val="21"/>
                <w:highlight w:val="none"/>
                <w:lang w:eastAsia="zh-CN"/>
              </w:rPr>
              <w:t>（</w:t>
            </w:r>
            <w:r>
              <w:rPr>
                <w:rFonts w:hint="default" w:ascii="Times New Roman" w:hAnsi="Times New Roman" w:eastAsia="宋体" w:cs="Times New Roman"/>
                <w:bCs/>
                <w:color w:val="auto"/>
                <w:sz w:val="21"/>
                <w:szCs w:val="21"/>
                <w:highlight w:val="none"/>
                <w:lang w:val="en-US" w:eastAsia="zh-CN"/>
              </w:rPr>
              <w:t>1）、（2）</w:t>
            </w:r>
            <w:r>
              <w:rPr>
                <w:rFonts w:hint="eastAsia" w:ascii="Times New Roman" w:hAnsi="Times New Roman" w:eastAsia="宋体" w:cs="Times New Roman"/>
                <w:bCs/>
                <w:color w:val="auto"/>
                <w:sz w:val="21"/>
                <w:szCs w:val="21"/>
                <w:highlight w:val="none"/>
                <w:lang w:val="en-US" w:eastAsia="zh-CN"/>
              </w:rPr>
              <w:t>、（3）</w:t>
            </w:r>
            <w:r>
              <w:rPr>
                <w:rFonts w:hint="default" w:ascii="Times New Roman" w:hAnsi="Times New Roman" w:eastAsia="宋体" w:cs="Times New Roman"/>
                <w:bCs/>
                <w:color w:val="auto"/>
                <w:sz w:val="21"/>
                <w:szCs w:val="21"/>
                <w:highlight w:val="none"/>
                <w:lang w:val="en-US" w:eastAsia="zh-CN"/>
              </w:rPr>
              <w:t>项</w:t>
            </w:r>
            <w:r>
              <w:rPr>
                <w:rFonts w:hint="default" w:ascii="Times New Roman" w:hAnsi="Times New Roman" w:eastAsia="宋体" w:cs="Times New Roman"/>
                <w:color w:val="auto"/>
                <w:sz w:val="21"/>
                <w:szCs w:val="21"/>
                <w:highlight w:val="none"/>
              </w:rPr>
              <w:t>提供</w:t>
            </w:r>
            <w:r>
              <w:rPr>
                <w:rFonts w:hint="default" w:ascii="Times New Roman" w:hAnsi="Times New Roman" w:eastAsia="宋体" w:cs="Times New Roman"/>
                <w:color w:val="auto"/>
                <w:sz w:val="21"/>
                <w:szCs w:val="21"/>
                <w:highlight w:val="none"/>
                <w:lang w:val="en-US" w:eastAsia="zh-CN"/>
              </w:rPr>
              <w:t>技术职称</w:t>
            </w:r>
            <w:r>
              <w:rPr>
                <w:rFonts w:hint="default" w:ascii="Times New Roman" w:hAnsi="Times New Roman" w:eastAsia="宋体" w:cs="Times New Roman"/>
                <w:color w:val="auto"/>
                <w:sz w:val="21"/>
                <w:szCs w:val="21"/>
                <w:highlight w:val="none"/>
              </w:rPr>
              <w:t>证</w:t>
            </w:r>
            <w:r>
              <w:rPr>
                <w:rFonts w:hint="default" w:ascii="Times New Roman" w:hAnsi="Times New Roman" w:eastAsia="宋体" w:cs="Times New Roman"/>
                <w:bCs/>
                <w:color w:val="auto"/>
                <w:sz w:val="21"/>
                <w:szCs w:val="21"/>
                <w:highlight w:val="none"/>
                <w:lang w:val="en-US" w:eastAsia="zh-CN"/>
              </w:rPr>
              <w:t>书、执业资格证书扫描件，同时提供</w:t>
            </w:r>
            <w:r>
              <w:rPr>
                <w:rFonts w:hint="eastAsia" w:ascii="Times New Roman" w:hAnsi="Times New Roman" w:eastAsia="宋体" w:cs="Times New Roman"/>
                <w:bCs/>
                <w:color w:val="auto"/>
                <w:sz w:val="21"/>
                <w:szCs w:val="21"/>
                <w:highlight w:val="none"/>
                <w:lang w:val="en-US" w:eastAsia="zh-CN"/>
              </w:rPr>
              <w:t>从2026年3月开始至投标截止之日当月至少1个月在本单位缴纳养老保险缴费记录证明；②项目负责人和技术负责人不可兼任。</w:t>
            </w:r>
          </w:p>
        </w:tc>
        <w:tc>
          <w:tcPr>
            <w:tcW w:w="709" w:type="dxa"/>
            <w:vMerge w:val="continue"/>
            <w:tcBorders>
              <w:left w:val="single" w:color="000000" w:sz="4" w:space="0"/>
              <w:right w:val="single" w:color="000000" w:sz="4" w:space="0"/>
            </w:tcBorders>
            <w:vAlign w:val="center"/>
          </w:tcPr>
          <w:p w14:paraId="5A515AE6">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p>
        </w:tc>
      </w:tr>
      <w:tr w14:paraId="44D35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jc w:val="center"/>
        </w:trPr>
        <w:tc>
          <w:tcPr>
            <w:tcW w:w="821" w:type="dxa"/>
            <w:tcBorders>
              <w:top w:val="single" w:color="000000" w:sz="4" w:space="0"/>
              <w:left w:val="single" w:color="000000" w:sz="4" w:space="0"/>
              <w:bottom w:val="single" w:color="000000" w:sz="4" w:space="0"/>
              <w:right w:val="single" w:color="000000" w:sz="4" w:space="0"/>
            </w:tcBorders>
            <w:vAlign w:val="center"/>
          </w:tcPr>
          <w:p w14:paraId="76E3051F">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rPr>
              <w:t>4.2</w:t>
            </w:r>
          </w:p>
        </w:tc>
        <w:tc>
          <w:tcPr>
            <w:tcW w:w="1325" w:type="dxa"/>
            <w:tcBorders>
              <w:top w:val="single" w:color="000000" w:sz="4" w:space="0"/>
              <w:left w:val="single" w:color="000000" w:sz="4" w:space="0"/>
              <w:bottom w:val="single" w:color="000000" w:sz="4" w:space="0"/>
              <w:right w:val="single" w:color="000000" w:sz="4" w:space="0"/>
            </w:tcBorders>
            <w:vAlign w:val="center"/>
          </w:tcPr>
          <w:p w14:paraId="7E4868C0">
            <w:pPr>
              <w:keepNext w:val="0"/>
              <w:keepLines w:val="0"/>
              <w:pageBreakBefore w:val="0"/>
              <w:widowControl w:val="0"/>
              <w:kinsoku/>
              <w:wordWrap w:val="0"/>
              <w:overflowPunct/>
              <w:topLinePunct w:val="0"/>
              <w:autoSpaceDE/>
              <w:autoSpaceDN/>
              <w:bidi w:val="0"/>
              <w:adjustRightInd w:val="0"/>
              <w:snapToGrid w:val="0"/>
              <w:spacing w:line="400" w:lineRule="atLeast"/>
              <w:jc w:val="center"/>
              <w:textAlignment w:val="auto"/>
              <w:outlineLvl w:val="1"/>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rPr>
              <w:t>企业资信</w:t>
            </w:r>
          </w:p>
        </w:tc>
        <w:tc>
          <w:tcPr>
            <w:tcW w:w="6076" w:type="dxa"/>
            <w:tcBorders>
              <w:top w:val="single" w:color="000000" w:sz="4" w:space="0"/>
              <w:left w:val="single" w:color="000000" w:sz="4" w:space="0"/>
              <w:bottom w:val="single" w:color="000000" w:sz="4" w:space="0"/>
              <w:right w:val="single" w:color="000000" w:sz="4" w:space="0"/>
            </w:tcBorders>
            <w:vAlign w:val="center"/>
          </w:tcPr>
          <w:p w14:paraId="6B6AB8B5">
            <w:pPr>
              <w:widowControl/>
              <w:numPr>
                <w:ilvl w:val="0"/>
                <w:numId w:val="0"/>
              </w:numPr>
              <w:adjustRightInd w:val="0"/>
              <w:snapToGrid w:val="0"/>
              <w:spacing w:line="400" w:lineRule="atLeast"/>
              <w:ind w:firstLine="420" w:firstLineChars="200"/>
              <w:jc w:val="left"/>
              <w:outlineLvl w:val="0"/>
              <w:rPr>
                <w:rFonts w:hint="default" w:ascii="Times New Roman" w:hAnsi="Times New Roman" w:cs="Times New Roman"/>
                <w:color w:val="auto"/>
                <w:kern w:val="0"/>
                <w:szCs w:val="21"/>
                <w:highlight w:val="none"/>
                <w:lang w:val="zh-CN"/>
              </w:rPr>
            </w:pPr>
            <w:r>
              <w:rPr>
                <w:rFonts w:hint="default" w:ascii="Times New Roman" w:hAnsi="Times New Roman" w:cs="Times New Roman"/>
                <w:color w:val="auto"/>
                <w:kern w:val="0"/>
                <w:szCs w:val="21"/>
                <w:highlight w:val="none"/>
                <w:lang w:val="en-US" w:eastAsia="zh-CN"/>
              </w:rPr>
              <w:t>供应商</w:t>
            </w:r>
            <w:r>
              <w:rPr>
                <w:rFonts w:hint="default" w:ascii="Times New Roman" w:hAnsi="Times New Roman" w:cs="Times New Roman"/>
                <w:color w:val="auto"/>
                <w:kern w:val="0"/>
                <w:szCs w:val="21"/>
                <w:highlight w:val="none"/>
                <w:lang w:val="zh-CN"/>
              </w:rPr>
              <w:t>具有有效且通过年检的质量管理体系认证证书、环境管理体系认证证书、职业健康安全管理体系认证证书的，有一项得</w:t>
            </w:r>
            <w:r>
              <w:rPr>
                <w:rFonts w:hint="default" w:ascii="Times New Roman" w:hAnsi="Times New Roman" w:cs="Times New Roman"/>
                <w:color w:val="auto"/>
                <w:kern w:val="0"/>
                <w:szCs w:val="21"/>
                <w:highlight w:val="none"/>
                <w:lang w:val="en-US" w:eastAsia="zh-CN"/>
              </w:rPr>
              <w:t>2</w:t>
            </w:r>
            <w:r>
              <w:rPr>
                <w:rFonts w:hint="default" w:ascii="Times New Roman" w:hAnsi="Times New Roman" w:cs="Times New Roman"/>
                <w:color w:val="auto"/>
                <w:kern w:val="0"/>
                <w:szCs w:val="21"/>
                <w:highlight w:val="none"/>
                <w:lang w:val="zh-CN"/>
              </w:rPr>
              <w:t>分，本项最高得</w:t>
            </w:r>
            <w:r>
              <w:rPr>
                <w:rFonts w:hint="default" w:ascii="Times New Roman" w:hAnsi="Times New Roman" w:cs="Times New Roman"/>
                <w:color w:val="auto"/>
                <w:kern w:val="0"/>
                <w:szCs w:val="21"/>
                <w:highlight w:val="none"/>
                <w:lang w:val="en-US" w:eastAsia="zh-CN"/>
              </w:rPr>
              <w:t>6</w:t>
            </w:r>
            <w:r>
              <w:rPr>
                <w:rFonts w:hint="default" w:ascii="Times New Roman" w:hAnsi="Times New Roman" w:cs="Times New Roman"/>
                <w:color w:val="auto"/>
                <w:kern w:val="0"/>
                <w:szCs w:val="21"/>
                <w:highlight w:val="none"/>
                <w:lang w:val="zh-CN"/>
              </w:rPr>
              <w:t>分。</w:t>
            </w:r>
          </w:p>
          <w:p w14:paraId="7F05EF4A">
            <w:pPr>
              <w:keepNext w:val="0"/>
              <w:keepLines w:val="0"/>
              <w:pageBreakBefore w:val="0"/>
              <w:widowControl w:val="0"/>
              <w:kinsoku/>
              <w:wordWrap w:val="0"/>
              <w:overflowPunct/>
              <w:topLinePunct w:val="0"/>
              <w:autoSpaceDE/>
              <w:autoSpaceDN/>
              <w:bidi w:val="0"/>
              <w:adjustRightInd w:val="0"/>
              <w:snapToGrid w:val="0"/>
              <w:spacing w:line="400" w:lineRule="atLeast"/>
              <w:ind w:firstLine="420" w:firstLineChars="200"/>
              <w:textAlignment w:val="auto"/>
              <w:outlineLvl w:val="1"/>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kern w:val="0"/>
                <w:szCs w:val="21"/>
                <w:highlight w:val="none"/>
                <w:lang w:val="zh-CN"/>
              </w:rPr>
              <w:t>注：投标时提供上述证书的彩色扫描件，同时须提供上述证书在中国国家认证认可监督管理委员会网站http://www.cnca.gov.cn/查询页面完整截图，</w:t>
            </w:r>
            <w:r>
              <w:rPr>
                <w:rFonts w:hint="eastAsia" w:ascii="Times New Roman" w:hAnsi="Times New Roman" w:cs="Times New Roman"/>
                <w:color w:val="auto"/>
                <w:kern w:val="0"/>
                <w:szCs w:val="21"/>
                <w:highlight w:val="none"/>
                <w:lang w:val="zh-CN"/>
              </w:rPr>
              <w:t>供应商</w:t>
            </w:r>
            <w:r>
              <w:rPr>
                <w:rFonts w:hint="default" w:ascii="Times New Roman" w:hAnsi="Times New Roman" w:cs="Times New Roman"/>
                <w:color w:val="auto"/>
                <w:kern w:val="0"/>
                <w:szCs w:val="21"/>
                <w:highlight w:val="none"/>
                <w:lang w:val="zh-CN"/>
              </w:rPr>
              <w:t>应当确保证书开标当天处于有效期内，否则不予认可。不提供不得分。</w:t>
            </w:r>
          </w:p>
        </w:tc>
        <w:tc>
          <w:tcPr>
            <w:tcW w:w="709" w:type="dxa"/>
            <w:tcBorders>
              <w:top w:val="single" w:color="000000" w:sz="4" w:space="0"/>
              <w:left w:val="single" w:color="000000" w:sz="4" w:space="0"/>
              <w:bottom w:val="single" w:color="000000" w:sz="4" w:space="0"/>
              <w:right w:val="single" w:color="000000" w:sz="4" w:space="0"/>
            </w:tcBorders>
            <w:vAlign w:val="center"/>
          </w:tcPr>
          <w:p w14:paraId="46AF0EB0">
            <w:pPr>
              <w:keepNext w:val="0"/>
              <w:keepLines w:val="0"/>
              <w:pageBreakBefore w:val="0"/>
              <w:widowControl w:val="0"/>
              <w:kinsoku/>
              <w:overflowPunct/>
              <w:topLinePunct w:val="0"/>
              <w:autoSpaceDE/>
              <w:autoSpaceDN/>
              <w:bidi w:val="0"/>
              <w:adjustRightInd w:val="0"/>
              <w:snapToGrid w:val="0"/>
              <w:spacing w:line="400" w:lineRule="atLeast"/>
              <w:jc w:val="center"/>
              <w:textAlignment w:val="auto"/>
              <w:rPr>
                <w:rStyle w:val="31"/>
                <w:rFonts w:hint="default" w:ascii="Times New Roman" w:hAnsi="Times New Roman" w:eastAsia="宋体" w:cs="Times New Roman"/>
                <w:color w:val="auto"/>
                <w:sz w:val="21"/>
                <w:szCs w:val="21"/>
                <w:highlight w:val="none"/>
              </w:rPr>
            </w:pPr>
            <w:r>
              <w:rPr>
                <w:rStyle w:val="31"/>
                <w:rFonts w:hint="default" w:ascii="Times New Roman" w:hAnsi="Times New Roman" w:eastAsia="宋体" w:cs="Times New Roman"/>
                <w:color w:val="auto"/>
                <w:sz w:val="21"/>
                <w:szCs w:val="21"/>
                <w:highlight w:val="none"/>
                <w:lang w:val="en-US" w:eastAsia="zh-CN"/>
              </w:rPr>
              <w:t>6</w:t>
            </w:r>
            <w:r>
              <w:rPr>
                <w:rStyle w:val="31"/>
                <w:rFonts w:hint="default" w:ascii="Times New Roman" w:hAnsi="Times New Roman" w:eastAsia="宋体" w:cs="Times New Roman"/>
                <w:color w:val="auto"/>
                <w:sz w:val="21"/>
                <w:szCs w:val="21"/>
                <w:highlight w:val="none"/>
              </w:rPr>
              <w:t>分</w:t>
            </w:r>
          </w:p>
        </w:tc>
      </w:tr>
    </w:tbl>
    <w:p w14:paraId="0BEEBA55">
      <w:pPr>
        <w:pStyle w:val="13"/>
        <w:spacing w:beforeAutospacing="0" w:afterAutospacing="0"/>
        <w:jc w:val="both"/>
        <w:rPr>
          <w:color w:val="auto"/>
          <w:highlight w:val="none"/>
        </w:rPr>
      </w:pPr>
    </w:p>
    <w:p w14:paraId="5CE34B33">
      <w:pPr>
        <w:pStyle w:val="13"/>
        <w:spacing w:beforeAutospacing="0" w:afterAutospacing="0"/>
        <w:jc w:val="both"/>
        <w:rPr>
          <w:color w:val="auto"/>
          <w:highlight w:val="none"/>
        </w:rPr>
      </w:pPr>
      <w:r>
        <w:rPr>
          <w:color w:val="auto"/>
          <w:highlight w:val="none"/>
        </w:rPr>
        <w:t> </w:t>
      </w:r>
    </w:p>
    <w:p w14:paraId="510655E1">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94BDBC7">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14D7A9D0">
      <w:pPr>
        <w:pStyle w:val="13"/>
        <w:spacing w:beforeAutospacing="0" w:afterAutospacing="0"/>
        <w:jc w:val="center"/>
        <w:rPr>
          <w:color w:val="auto"/>
          <w:highlight w:val="none"/>
        </w:rPr>
      </w:pPr>
      <w:bookmarkStart w:id="181" w:name="_Hlt26671244"/>
      <w:bookmarkEnd w:id="181"/>
      <w:bookmarkStart w:id="182" w:name="_Toc26554094"/>
      <w:bookmarkEnd w:id="182"/>
      <w:bookmarkStart w:id="183" w:name="_Hlt26955039"/>
      <w:bookmarkEnd w:id="183"/>
      <w:bookmarkStart w:id="184" w:name="_Toc120614282"/>
      <w:bookmarkStart w:id="185" w:name="_Toc49090576"/>
      <w:r>
        <w:rPr>
          <w:rFonts w:hint="eastAsia" w:ascii="宋体" w:hAnsi="宋体" w:eastAsia="宋体" w:cs="宋体"/>
          <w:b/>
          <w:color w:val="auto"/>
          <w:sz w:val="72"/>
          <w:szCs w:val="72"/>
          <w:highlight w:val="none"/>
        </w:rPr>
        <w:t>投  标  文  件</w:t>
      </w:r>
    </w:p>
    <w:p w14:paraId="22DEB80C">
      <w:pPr>
        <w:pStyle w:val="13"/>
        <w:spacing w:beforeAutospacing="0" w:afterAutospacing="0"/>
        <w:jc w:val="center"/>
        <w:rPr>
          <w:color w:val="auto"/>
          <w:highlight w:val="none"/>
        </w:rPr>
      </w:pPr>
      <w:r>
        <w:rPr>
          <w:color w:val="auto"/>
          <w:highlight w:val="none"/>
        </w:rPr>
        <w:t> </w:t>
      </w:r>
    </w:p>
    <w:p w14:paraId="71BD0C14">
      <w:pPr>
        <w:pStyle w:val="13"/>
        <w:spacing w:beforeAutospacing="0" w:afterAutospacing="0"/>
        <w:jc w:val="center"/>
        <w:rPr>
          <w:color w:val="auto"/>
          <w:highlight w:val="none"/>
        </w:rPr>
      </w:pPr>
      <w:r>
        <w:rPr>
          <w:color w:val="auto"/>
          <w:highlight w:val="none"/>
        </w:rPr>
        <w:t> </w:t>
      </w:r>
    </w:p>
    <w:p w14:paraId="14CECC71">
      <w:pPr>
        <w:pStyle w:val="13"/>
        <w:spacing w:beforeAutospacing="0" w:afterAutospacing="0"/>
        <w:jc w:val="center"/>
        <w:rPr>
          <w:color w:val="auto"/>
          <w:highlight w:val="none"/>
        </w:rPr>
      </w:pPr>
      <w:r>
        <w:rPr>
          <w:color w:val="auto"/>
          <w:highlight w:val="none"/>
        </w:rPr>
        <w:t> </w:t>
      </w:r>
    </w:p>
    <w:p w14:paraId="6CF50948">
      <w:pPr>
        <w:pStyle w:val="13"/>
        <w:spacing w:beforeAutospacing="0" w:afterAutospacing="0"/>
        <w:jc w:val="center"/>
        <w:rPr>
          <w:color w:val="auto"/>
          <w:highlight w:val="none"/>
        </w:rPr>
      </w:pPr>
      <w:r>
        <w:rPr>
          <w:color w:val="auto"/>
          <w:highlight w:val="none"/>
        </w:rPr>
        <w:t> </w:t>
      </w:r>
    </w:p>
    <w:p w14:paraId="059E7B16">
      <w:pPr>
        <w:pStyle w:val="13"/>
        <w:spacing w:beforeAutospacing="0" w:afterAutospacing="0"/>
        <w:jc w:val="center"/>
        <w:rPr>
          <w:color w:val="auto"/>
          <w:highlight w:val="none"/>
        </w:rPr>
      </w:pPr>
      <w:r>
        <w:rPr>
          <w:color w:val="auto"/>
          <w:highlight w:val="none"/>
        </w:rPr>
        <w:t> </w:t>
      </w:r>
    </w:p>
    <w:p w14:paraId="47A79981">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45010DBF">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736DE0D4">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w:t>
      </w:r>
      <w:r>
        <w:rPr>
          <w:rFonts w:hint="eastAsia" w:ascii="宋体" w:hAnsi="宋体" w:eastAsia="宋体" w:cs="宋体"/>
          <w:b/>
          <w:color w:val="auto"/>
          <w:sz w:val="36"/>
          <w:szCs w:val="36"/>
          <w:highlight w:val="none"/>
          <w:lang w:eastAsia="zh-CN"/>
        </w:rPr>
        <w:t>供应商</w:t>
      </w:r>
      <w:r>
        <w:rPr>
          <w:rFonts w:hint="eastAsia" w:ascii="宋体" w:hAnsi="宋体" w:eastAsia="宋体" w:cs="宋体"/>
          <w:b/>
          <w:color w:val="auto"/>
          <w:sz w:val="36"/>
          <w:szCs w:val="36"/>
          <w:highlight w:val="none"/>
        </w:rPr>
        <w:t>名称 ：</w:t>
      </w:r>
      <w:r>
        <w:rPr>
          <w:rFonts w:hint="eastAsia" w:ascii="宋体" w:hAnsi="宋体" w:eastAsia="宋体" w:cs="宋体"/>
          <w:b/>
          <w:color w:val="auto"/>
          <w:sz w:val="36"/>
          <w:szCs w:val="36"/>
          <w:highlight w:val="none"/>
          <w:u w:val="single"/>
        </w:rPr>
        <w:t xml:space="preserve">（加盖CA电子公章）        </w:t>
      </w:r>
    </w:p>
    <w:p w14:paraId="3947E53D">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08F6786">
      <w:pPr>
        <w:pStyle w:val="13"/>
        <w:spacing w:beforeAutospacing="0" w:afterAutospacing="0" w:line="0" w:lineRule="atLeast"/>
        <w:jc w:val="center"/>
        <w:rPr>
          <w:color w:val="auto"/>
          <w:highlight w:val="none"/>
        </w:rPr>
      </w:pPr>
      <w:r>
        <w:rPr>
          <w:color w:val="auto"/>
          <w:highlight w:val="none"/>
        </w:rPr>
        <w:t> </w:t>
      </w:r>
    </w:p>
    <w:p w14:paraId="0004A50C">
      <w:pPr>
        <w:pStyle w:val="13"/>
        <w:spacing w:beforeAutospacing="0" w:afterAutospacing="0" w:line="0" w:lineRule="atLeast"/>
        <w:jc w:val="both"/>
        <w:rPr>
          <w:color w:val="auto"/>
          <w:highlight w:val="none"/>
        </w:rPr>
      </w:pPr>
      <w:r>
        <w:rPr>
          <w:color w:val="auto"/>
          <w:highlight w:val="none"/>
        </w:rPr>
        <w:t> </w:t>
      </w:r>
    </w:p>
    <w:p w14:paraId="79EF6E88">
      <w:pPr>
        <w:pStyle w:val="13"/>
        <w:spacing w:beforeAutospacing="0" w:afterAutospacing="0" w:line="0" w:lineRule="atLeast"/>
        <w:jc w:val="center"/>
        <w:rPr>
          <w:rFonts w:ascii="宋体" w:hAnsi="宋体" w:eastAsia="宋体" w:cs="宋体"/>
          <w:b/>
          <w:color w:val="auto"/>
          <w:sz w:val="36"/>
          <w:szCs w:val="36"/>
          <w:highlight w:val="none"/>
          <w:u w:val="single"/>
        </w:rPr>
      </w:pPr>
    </w:p>
    <w:p w14:paraId="7FDB23BC">
      <w:pPr>
        <w:pStyle w:val="13"/>
        <w:spacing w:beforeAutospacing="0" w:afterAutospacing="0" w:line="0" w:lineRule="atLeast"/>
        <w:jc w:val="center"/>
        <w:rPr>
          <w:rFonts w:ascii="宋体" w:hAnsi="宋体" w:eastAsia="宋体" w:cs="宋体"/>
          <w:b/>
          <w:color w:val="auto"/>
          <w:sz w:val="36"/>
          <w:szCs w:val="36"/>
          <w:highlight w:val="none"/>
          <w:u w:val="single"/>
        </w:rPr>
      </w:pPr>
    </w:p>
    <w:p w14:paraId="535972F9">
      <w:pPr>
        <w:pStyle w:val="13"/>
        <w:spacing w:beforeAutospacing="0" w:afterAutospacing="0" w:line="0" w:lineRule="atLeast"/>
        <w:jc w:val="center"/>
        <w:rPr>
          <w:rFonts w:ascii="宋体" w:hAnsi="宋体" w:eastAsia="宋体" w:cs="宋体"/>
          <w:b/>
          <w:color w:val="auto"/>
          <w:sz w:val="36"/>
          <w:szCs w:val="36"/>
          <w:highlight w:val="none"/>
          <w:u w:val="single"/>
        </w:rPr>
      </w:pPr>
    </w:p>
    <w:p w14:paraId="3B5B4E47">
      <w:pPr>
        <w:pStyle w:val="13"/>
        <w:spacing w:beforeAutospacing="0" w:afterAutospacing="0" w:line="0" w:lineRule="atLeast"/>
        <w:jc w:val="center"/>
        <w:rPr>
          <w:rFonts w:ascii="宋体" w:hAnsi="宋体" w:eastAsia="宋体" w:cs="宋体"/>
          <w:b/>
          <w:color w:val="auto"/>
          <w:sz w:val="36"/>
          <w:szCs w:val="36"/>
          <w:highlight w:val="none"/>
          <w:u w:val="single"/>
        </w:rPr>
      </w:pPr>
    </w:p>
    <w:p w14:paraId="4F4FD738">
      <w:pPr>
        <w:pStyle w:val="13"/>
        <w:spacing w:beforeAutospacing="0" w:afterAutospacing="0" w:line="0" w:lineRule="atLeast"/>
        <w:jc w:val="center"/>
        <w:rPr>
          <w:rFonts w:ascii="宋体" w:hAnsi="宋体" w:eastAsia="宋体" w:cs="宋体"/>
          <w:b/>
          <w:color w:val="auto"/>
          <w:sz w:val="36"/>
          <w:szCs w:val="36"/>
          <w:highlight w:val="none"/>
          <w:u w:val="single"/>
        </w:rPr>
      </w:pPr>
    </w:p>
    <w:p w14:paraId="24537143">
      <w:pPr>
        <w:pStyle w:val="13"/>
        <w:spacing w:beforeAutospacing="0" w:afterAutospacing="0" w:line="0" w:lineRule="atLeast"/>
        <w:jc w:val="center"/>
        <w:rPr>
          <w:rFonts w:ascii="宋体" w:hAnsi="宋体" w:eastAsia="宋体" w:cs="宋体"/>
          <w:b/>
          <w:color w:val="auto"/>
          <w:sz w:val="36"/>
          <w:szCs w:val="36"/>
          <w:highlight w:val="none"/>
          <w:u w:val="single"/>
        </w:rPr>
      </w:pPr>
    </w:p>
    <w:p w14:paraId="6D5EFAD9">
      <w:pPr>
        <w:pStyle w:val="13"/>
        <w:spacing w:beforeAutospacing="0" w:afterAutospacing="0" w:line="0" w:lineRule="atLeast"/>
        <w:jc w:val="center"/>
        <w:rPr>
          <w:rFonts w:ascii="宋体" w:hAnsi="宋体" w:eastAsia="宋体" w:cs="宋体"/>
          <w:b/>
          <w:color w:val="auto"/>
          <w:sz w:val="36"/>
          <w:szCs w:val="36"/>
          <w:highlight w:val="none"/>
          <w:u w:val="single"/>
        </w:rPr>
      </w:pPr>
    </w:p>
    <w:p w14:paraId="508E2E8E">
      <w:pPr>
        <w:pStyle w:val="13"/>
        <w:spacing w:beforeAutospacing="0" w:afterAutospacing="0" w:line="0" w:lineRule="atLeast"/>
        <w:jc w:val="center"/>
        <w:rPr>
          <w:rFonts w:ascii="宋体" w:hAnsi="宋体" w:eastAsia="宋体" w:cs="宋体"/>
          <w:b/>
          <w:color w:val="auto"/>
          <w:sz w:val="36"/>
          <w:szCs w:val="36"/>
          <w:highlight w:val="none"/>
          <w:u w:val="single"/>
        </w:rPr>
      </w:pPr>
    </w:p>
    <w:p w14:paraId="6EAA78E2">
      <w:pPr>
        <w:pStyle w:val="13"/>
        <w:spacing w:beforeAutospacing="0" w:afterAutospacing="0" w:line="0" w:lineRule="atLeast"/>
        <w:jc w:val="center"/>
        <w:rPr>
          <w:rFonts w:ascii="宋体" w:hAnsi="宋体" w:eastAsia="宋体" w:cs="宋体"/>
          <w:b/>
          <w:color w:val="auto"/>
          <w:sz w:val="36"/>
          <w:szCs w:val="36"/>
          <w:highlight w:val="none"/>
          <w:u w:val="single"/>
        </w:rPr>
      </w:pPr>
    </w:p>
    <w:p w14:paraId="25F9088A">
      <w:pPr>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br w:type="page"/>
      </w:r>
    </w:p>
    <w:p w14:paraId="7FF98956">
      <w:pPr>
        <w:pStyle w:val="13"/>
        <w:spacing w:beforeAutospacing="0" w:afterAutospacing="0" w:line="0" w:lineRule="atLeast"/>
        <w:jc w:val="center"/>
        <w:rPr>
          <w:rFonts w:ascii="宋体" w:hAnsi="宋体" w:eastAsia="宋体" w:cs="宋体"/>
          <w:b/>
          <w:color w:val="auto"/>
          <w:sz w:val="36"/>
          <w:szCs w:val="36"/>
          <w:highlight w:val="none"/>
          <w:u w:val="single"/>
        </w:rPr>
      </w:pPr>
    </w:p>
    <w:p w14:paraId="161FDDC3">
      <w:pPr>
        <w:pStyle w:val="13"/>
        <w:spacing w:beforeAutospacing="0" w:afterAutospacing="0" w:line="0" w:lineRule="atLeast"/>
        <w:jc w:val="center"/>
        <w:rPr>
          <w:rFonts w:ascii="宋体" w:hAnsi="宋体" w:eastAsia="宋体" w:cs="宋体"/>
          <w:b/>
          <w:color w:val="auto"/>
          <w:sz w:val="36"/>
          <w:szCs w:val="36"/>
          <w:highlight w:val="none"/>
          <w:u w:val="single"/>
        </w:rPr>
      </w:pPr>
    </w:p>
    <w:p w14:paraId="67ECDF75">
      <w:pPr>
        <w:pStyle w:val="13"/>
        <w:spacing w:beforeAutospacing="0" w:afterAutospacing="0" w:line="0" w:lineRule="atLeast"/>
        <w:jc w:val="center"/>
        <w:rPr>
          <w:rFonts w:ascii="宋体" w:hAnsi="宋体" w:eastAsia="宋体" w:cs="宋体"/>
          <w:b/>
          <w:color w:val="auto"/>
          <w:sz w:val="36"/>
          <w:szCs w:val="36"/>
          <w:highlight w:val="none"/>
          <w:u w:val="single"/>
        </w:rPr>
      </w:pPr>
    </w:p>
    <w:p w14:paraId="06EE6D93">
      <w:pPr>
        <w:pStyle w:val="1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30EA27C7">
      <w:pPr>
        <w:pStyle w:val="13"/>
        <w:spacing w:beforeAutospacing="0" w:afterAutospacing="0" w:line="0" w:lineRule="atLeast"/>
        <w:jc w:val="center"/>
        <w:rPr>
          <w:color w:val="auto"/>
          <w:highlight w:val="none"/>
        </w:rPr>
      </w:pPr>
      <w:r>
        <w:rPr>
          <w:color w:val="auto"/>
          <w:highlight w:val="none"/>
        </w:rPr>
        <w:t> </w:t>
      </w:r>
    </w:p>
    <w:p w14:paraId="5713C76E">
      <w:pPr>
        <w:pStyle w:val="13"/>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一、法人或者其他组织的营业执照等证明文件，自然人的身份证明</w:t>
      </w:r>
    </w:p>
    <w:p w14:paraId="0631C9D2">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二、上一年度的财务状况报告（至少提供资产负债表、利润表、现金流量表，</w:t>
      </w:r>
    </w:p>
    <w:p w14:paraId="0C60B884">
      <w:pPr>
        <w:pStyle w:val="13"/>
        <w:spacing w:beforeAutospacing="0" w:afterAutospacing="0"/>
        <w:ind w:left="480"/>
        <w:jc w:val="both"/>
        <w:rPr>
          <w:rFonts w:hint="eastAsia" w:ascii="宋体" w:hAnsi="宋体" w:eastAsia="宋体" w:cs="宋体"/>
          <w:i w:val="0"/>
          <w:iCs/>
          <w:color w:val="auto"/>
          <w:kern w:val="0"/>
          <w:sz w:val="24"/>
          <w:szCs w:val="24"/>
          <w:highlight w:val="none"/>
          <w:u w:val="none"/>
          <w:lang w:val="en-US" w:eastAsia="zh-CN" w:bidi="ar-SA"/>
        </w:rPr>
      </w:pPr>
      <w:r>
        <w:rPr>
          <w:rFonts w:hint="default" w:ascii="Times New Roman" w:hAnsi="Times New Roman" w:eastAsia="宋体" w:cs="Times New Roman"/>
          <w:color w:val="auto"/>
          <w:sz w:val="24"/>
          <w:szCs w:val="24"/>
          <w:highlight w:val="none"/>
        </w:rPr>
        <w:t>成立不满一年无需提供</w:t>
      </w:r>
      <w:r>
        <w:rPr>
          <w:rFonts w:hint="eastAsia" w:ascii="宋体" w:hAnsi="宋体" w:eastAsia="宋体" w:cs="宋体"/>
          <w:i w:val="0"/>
          <w:iCs/>
          <w:color w:val="auto"/>
          <w:kern w:val="0"/>
          <w:sz w:val="24"/>
          <w:szCs w:val="24"/>
          <w:highlight w:val="none"/>
          <w:u w:val="none"/>
          <w:lang w:val="en-US" w:eastAsia="zh-CN" w:bidi="ar-SA"/>
        </w:rPr>
        <w:t>）</w:t>
      </w:r>
    </w:p>
    <w:p w14:paraId="42ACAE88">
      <w:pPr>
        <w:pStyle w:val="13"/>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3F988CBE">
      <w:pPr>
        <w:pStyle w:val="13"/>
        <w:spacing w:beforeAutospacing="0" w:afterAutospacing="0"/>
        <w:ind w:left="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highlight w:val="none"/>
          <w:u w:val="none"/>
          <w:lang w:eastAsia="zh-CN"/>
        </w:rPr>
        <w:t>供应商</w:t>
      </w:r>
      <w:r>
        <w:rPr>
          <w:rFonts w:hint="eastAsia" w:ascii="宋体" w:hAnsi="宋体" w:eastAsia="宋体" w:cs="宋体"/>
          <w:i w:val="0"/>
          <w:iCs/>
          <w:color w:val="auto"/>
          <w:highlight w:val="none"/>
          <w:u w:val="none"/>
        </w:rPr>
        <w:t>依法享受缓缴、免缴税收、社会保障资金的提供证明材料）</w:t>
      </w:r>
    </w:p>
    <w:p w14:paraId="58936FC6">
      <w:pPr>
        <w:pStyle w:val="13"/>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6CFBDE60">
      <w:pPr>
        <w:pStyle w:val="13"/>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3E3E3867">
      <w:pPr>
        <w:pStyle w:val="13"/>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3BDE6B94">
      <w:pPr>
        <w:pStyle w:val="13"/>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5FEA8D1E">
      <w:pPr>
        <w:pStyle w:val="13"/>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13"/>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36EABC97">
      <w:pPr>
        <w:pStyle w:val="13"/>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一</w:t>
      </w:r>
      <w:r>
        <w:rPr>
          <w:rFonts w:hint="eastAsia" w:ascii="宋体" w:hAnsi="宋体" w:eastAsia="宋体" w:cs="宋体"/>
          <w:i w:val="0"/>
          <w:iCs/>
          <w:color w:val="auto"/>
          <w:highlight w:val="none"/>
          <w:u w:val="none"/>
        </w:rPr>
        <w:t>、投标分项报价表</w:t>
      </w:r>
    </w:p>
    <w:p w14:paraId="260078DA">
      <w:pPr>
        <w:pStyle w:val="13"/>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、技术要求响应及偏离表</w:t>
      </w:r>
    </w:p>
    <w:p w14:paraId="7D69B72A">
      <w:pPr>
        <w:pStyle w:val="13"/>
        <w:spacing w:beforeAutospacing="0" w:afterAutospacing="0" w:line="0" w:lineRule="atLeast"/>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、商务要求响应及偏离表</w:t>
      </w:r>
    </w:p>
    <w:p w14:paraId="48EFFF5A">
      <w:pPr>
        <w:pStyle w:val="13"/>
        <w:spacing w:beforeAutospacing="0" w:afterAutospacing="0"/>
        <w:ind w:left="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、开标一览表</w:t>
      </w:r>
    </w:p>
    <w:p w14:paraId="161CCAB1">
      <w:pPr>
        <w:widowControl/>
        <w:spacing w:before="50" w:after="50"/>
        <w:ind w:firstLine="480" w:firstLineChars="200"/>
        <w:rPr>
          <w:rFonts w:ascii="宋体" w:hAnsi="宋体" w:eastAsia="宋体" w:cs="宋体"/>
          <w:i w:val="0"/>
          <w:iCs/>
          <w:color w:val="auto"/>
          <w:kern w:val="0"/>
          <w:sz w:val="24"/>
          <w:highlight w:val="none"/>
          <w:u w:val="none"/>
        </w:rPr>
      </w:pPr>
      <w:r>
        <w:rPr>
          <w:rFonts w:hint="eastAsia" w:ascii="宋体" w:hAnsi="宋体" w:eastAsia="宋体" w:cs="宋体"/>
          <w:i w:val="0"/>
          <w:iCs/>
          <w:color w:val="auto"/>
          <w:kern w:val="0"/>
          <w:sz w:val="24"/>
          <w:highlight w:val="none"/>
          <w:u w:val="none"/>
        </w:rPr>
        <w:t>十</w:t>
      </w:r>
      <w:r>
        <w:rPr>
          <w:rFonts w:hint="eastAsia" w:ascii="宋体" w:hAnsi="宋体" w:eastAsia="宋体" w:cs="宋体"/>
          <w:i w:val="0"/>
          <w:iCs/>
          <w:color w:val="auto"/>
          <w:kern w:val="0"/>
          <w:sz w:val="24"/>
          <w:highlight w:val="none"/>
          <w:u w:val="none"/>
          <w:lang w:val="en-US" w:eastAsia="zh-CN"/>
        </w:rPr>
        <w:t>五</w:t>
      </w:r>
      <w:r>
        <w:rPr>
          <w:rFonts w:hint="eastAsia" w:ascii="宋体" w:hAnsi="宋体" w:eastAsia="宋体" w:cs="宋体"/>
          <w:i w:val="0"/>
          <w:iCs/>
          <w:color w:val="auto"/>
          <w:kern w:val="0"/>
          <w:sz w:val="24"/>
          <w:highlight w:val="none"/>
          <w:u w:val="none"/>
        </w:rPr>
        <w:t>、技术方案、服务承诺、培训承诺等</w:t>
      </w:r>
    </w:p>
    <w:p w14:paraId="138E25DE">
      <w:pPr>
        <w:pStyle w:val="13"/>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、盐城市政府采购事前信用承诺书</w:t>
      </w:r>
    </w:p>
    <w:p w14:paraId="2B4328CE">
      <w:pPr>
        <w:pStyle w:val="13"/>
        <w:spacing w:beforeAutospacing="0" w:afterAutospacing="0" w:line="0" w:lineRule="atLeast"/>
        <w:ind w:firstLine="480"/>
        <w:jc w:val="both"/>
        <w:rPr>
          <w:rFonts w:ascii="宋体" w:hAnsi="宋体" w:eastAsia="宋体" w:cs="宋体"/>
          <w:color w:val="auto"/>
          <w:highlight w:val="none"/>
        </w:rPr>
      </w:pPr>
    </w:p>
    <w:p w14:paraId="77C0513D">
      <w:pPr>
        <w:pStyle w:val="13"/>
        <w:spacing w:beforeAutospacing="0" w:afterAutospacing="0" w:line="0" w:lineRule="atLeast"/>
        <w:ind w:firstLine="480"/>
        <w:jc w:val="both"/>
        <w:rPr>
          <w:rFonts w:ascii="宋体" w:hAnsi="宋体" w:eastAsia="宋体" w:cs="宋体"/>
          <w:color w:val="auto"/>
          <w:highlight w:val="none"/>
        </w:rPr>
      </w:pPr>
    </w:p>
    <w:p w14:paraId="28A2EEB9">
      <w:pPr>
        <w:pStyle w:val="13"/>
        <w:spacing w:beforeAutospacing="0" w:afterAutospacing="0" w:line="0" w:lineRule="atLeast"/>
        <w:ind w:firstLine="480"/>
        <w:jc w:val="both"/>
        <w:rPr>
          <w:color w:val="auto"/>
          <w:highlight w:val="none"/>
        </w:rPr>
      </w:pPr>
      <w:r>
        <w:rPr>
          <w:color w:val="auto"/>
          <w:highlight w:val="none"/>
        </w:rPr>
        <w:t> </w:t>
      </w:r>
    </w:p>
    <w:p w14:paraId="400734C6">
      <w:pPr>
        <w:pStyle w:val="13"/>
        <w:spacing w:beforeAutospacing="0" w:afterAutospacing="0" w:line="0" w:lineRule="atLeast"/>
        <w:ind w:firstLine="480"/>
        <w:jc w:val="both"/>
        <w:rPr>
          <w:color w:val="auto"/>
          <w:highlight w:val="none"/>
        </w:rPr>
      </w:pPr>
      <w:r>
        <w:rPr>
          <w:color w:val="auto"/>
          <w:highlight w:val="none"/>
        </w:rPr>
        <w:t> </w:t>
      </w:r>
    </w:p>
    <w:p w14:paraId="41206A44">
      <w:pPr>
        <w:pStyle w:val="13"/>
        <w:spacing w:beforeAutospacing="0" w:afterAutospacing="0" w:line="0" w:lineRule="atLeast"/>
        <w:ind w:firstLine="480"/>
        <w:jc w:val="both"/>
        <w:rPr>
          <w:color w:val="auto"/>
          <w:highlight w:val="none"/>
        </w:rPr>
      </w:pPr>
      <w:r>
        <w:rPr>
          <w:color w:val="auto"/>
          <w:highlight w:val="none"/>
        </w:rPr>
        <w:t> </w:t>
      </w:r>
    </w:p>
    <w:p w14:paraId="7E08E7EC">
      <w:pPr>
        <w:pStyle w:val="13"/>
        <w:spacing w:beforeAutospacing="0" w:afterAutospacing="0" w:line="0" w:lineRule="atLeast"/>
        <w:ind w:firstLine="480"/>
        <w:jc w:val="both"/>
        <w:rPr>
          <w:color w:val="auto"/>
          <w:highlight w:val="none"/>
        </w:rPr>
      </w:pPr>
      <w:r>
        <w:rPr>
          <w:color w:val="auto"/>
          <w:highlight w:val="none"/>
        </w:rPr>
        <w:t> </w:t>
      </w:r>
    </w:p>
    <w:p w14:paraId="22FD2207">
      <w:pPr>
        <w:pStyle w:val="13"/>
        <w:spacing w:beforeAutospacing="0" w:afterAutospacing="0" w:line="0" w:lineRule="atLeast"/>
        <w:ind w:firstLine="480"/>
        <w:jc w:val="both"/>
        <w:rPr>
          <w:color w:val="auto"/>
          <w:highlight w:val="none"/>
        </w:rPr>
      </w:pPr>
    </w:p>
    <w:p w14:paraId="5C7EF343">
      <w:pPr>
        <w:pStyle w:val="13"/>
        <w:spacing w:beforeAutospacing="0" w:afterAutospacing="0" w:line="0" w:lineRule="atLeast"/>
        <w:ind w:firstLine="480"/>
        <w:jc w:val="both"/>
        <w:rPr>
          <w:color w:val="auto"/>
          <w:highlight w:val="none"/>
        </w:rPr>
      </w:pPr>
    </w:p>
    <w:p w14:paraId="36B01A60">
      <w:pPr>
        <w:pStyle w:val="13"/>
        <w:spacing w:beforeAutospacing="0" w:afterAutospacing="0" w:line="0" w:lineRule="atLeast"/>
        <w:ind w:firstLine="480"/>
        <w:jc w:val="both"/>
        <w:rPr>
          <w:color w:val="auto"/>
          <w:highlight w:val="none"/>
        </w:rPr>
      </w:pPr>
    </w:p>
    <w:p w14:paraId="02254F24">
      <w:pPr>
        <w:pStyle w:val="13"/>
        <w:spacing w:beforeAutospacing="0" w:afterAutospacing="0" w:line="0" w:lineRule="atLeast"/>
        <w:ind w:firstLine="480"/>
        <w:jc w:val="both"/>
        <w:rPr>
          <w:color w:val="auto"/>
          <w:highlight w:val="none"/>
        </w:rPr>
      </w:pPr>
    </w:p>
    <w:p w14:paraId="4AB0D669">
      <w:pPr>
        <w:pStyle w:val="13"/>
        <w:spacing w:beforeAutospacing="0" w:afterAutospacing="0" w:line="0" w:lineRule="atLeast"/>
        <w:ind w:firstLine="480"/>
        <w:jc w:val="both"/>
        <w:rPr>
          <w:color w:val="auto"/>
          <w:highlight w:val="none"/>
        </w:rPr>
      </w:pPr>
    </w:p>
    <w:p w14:paraId="083788F3">
      <w:pPr>
        <w:pStyle w:val="13"/>
        <w:spacing w:beforeAutospacing="0" w:afterAutospacing="0" w:line="0" w:lineRule="atLeast"/>
        <w:ind w:firstLine="480"/>
        <w:jc w:val="both"/>
        <w:rPr>
          <w:color w:val="auto"/>
          <w:highlight w:val="none"/>
        </w:rPr>
      </w:pPr>
    </w:p>
    <w:p w14:paraId="1EC8B59E">
      <w:pPr>
        <w:pStyle w:val="13"/>
        <w:spacing w:beforeAutospacing="0" w:afterAutospacing="0" w:line="0" w:lineRule="atLeast"/>
        <w:ind w:firstLine="480"/>
        <w:jc w:val="both"/>
        <w:rPr>
          <w:color w:val="auto"/>
          <w:highlight w:val="none"/>
        </w:rPr>
      </w:pPr>
    </w:p>
    <w:p w14:paraId="02056A74">
      <w:pPr>
        <w:pStyle w:val="13"/>
        <w:spacing w:beforeAutospacing="0" w:afterAutospacing="0" w:line="0" w:lineRule="atLeast"/>
        <w:ind w:firstLine="480"/>
        <w:jc w:val="both"/>
        <w:rPr>
          <w:color w:val="auto"/>
          <w:highlight w:val="none"/>
        </w:rPr>
      </w:pPr>
    </w:p>
    <w:p w14:paraId="220C742C">
      <w:pPr>
        <w:pStyle w:val="13"/>
        <w:spacing w:beforeAutospacing="0" w:afterAutospacing="0" w:line="0" w:lineRule="atLeast"/>
        <w:ind w:firstLine="480"/>
        <w:jc w:val="both"/>
        <w:rPr>
          <w:color w:val="auto"/>
          <w:highlight w:val="none"/>
        </w:rPr>
      </w:pPr>
    </w:p>
    <w:p w14:paraId="19D49FFD">
      <w:pPr>
        <w:pStyle w:val="13"/>
        <w:spacing w:beforeAutospacing="0" w:afterAutospacing="0" w:line="0" w:lineRule="atLeast"/>
        <w:ind w:firstLine="480"/>
        <w:jc w:val="both"/>
        <w:rPr>
          <w:color w:val="auto"/>
          <w:highlight w:val="none"/>
        </w:rPr>
      </w:pPr>
    </w:p>
    <w:p w14:paraId="5593769B">
      <w:pPr>
        <w:pStyle w:val="13"/>
        <w:spacing w:beforeAutospacing="0" w:afterAutospacing="0" w:line="0" w:lineRule="atLeast"/>
        <w:ind w:firstLine="480"/>
        <w:jc w:val="both"/>
        <w:rPr>
          <w:color w:val="auto"/>
          <w:highlight w:val="none"/>
        </w:rPr>
      </w:pPr>
    </w:p>
    <w:p w14:paraId="75F6EE61">
      <w:pPr>
        <w:pStyle w:val="13"/>
        <w:spacing w:beforeAutospacing="0" w:afterAutospacing="0" w:line="0" w:lineRule="atLeast"/>
        <w:ind w:firstLine="480"/>
        <w:jc w:val="both"/>
        <w:rPr>
          <w:color w:val="auto"/>
          <w:highlight w:val="none"/>
        </w:rPr>
      </w:pPr>
    </w:p>
    <w:p w14:paraId="31558438">
      <w:pPr>
        <w:pStyle w:val="13"/>
        <w:spacing w:beforeAutospacing="0" w:afterAutospacing="0" w:line="0" w:lineRule="atLeast"/>
        <w:ind w:firstLine="480"/>
        <w:jc w:val="both"/>
        <w:rPr>
          <w:color w:val="auto"/>
          <w:highlight w:val="none"/>
        </w:rPr>
      </w:pPr>
    </w:p>
    <w:p w14:paraId="3AFD48EA">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20683007">
      <w:pPr>
        <w:pStyle w:val="13"/>
        <w:spacing w:beforeAutospacing="0" w:afterAutospacing="0" w:line="0" w:lineRule="atLeast"/>
        <w:ind w:firstLine="480"/>
        <w:jc w:val="both"/>
        <w:rPr>
          <w:color w:val="auto"/>
          <w:highlight w:val="none"/>
        </w:rPr>
      </w:pPr>
      <w:r>
        <w:rPr>
          <w:color w:val="auto"/>
          <w:highlight w:val="none"/>
        </w:rPr>
        <w:t> </w:t>
      </w:r>
    </w:p>
    <w:p w14:paraId="31F29E3F">
      <w:pPr>
        <w:pStyle w:val="13"/>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57FE733">
      <w:pPr>
        <w:tabs>
          <w:tab w:val="left" w:pos="1331"/>
        </w:tabs>
        <w:bidi w:val="0"/>
        <w:jc w:val="left"/>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（至少提供资产负债表、利润表、现金流量表，供应商成立不满一年无需提供）</w:t>
      </w:r>
    </w:p>
    <w:p w14:paraId="4778C699">
      <w:pPr>
        <w:pStyle w:val="13"/>
        <w:spacing w:beforeAutospacing="0" w:afterAutospacing="0" w:line="0" w:lineRule="atLeast"/>
        <w:ind w:firstLine="480"/>
        <w:jc w:val="both"/>
        <w:rPr>
          <w:color w:val="auto"/>
          <w:highlight w:val="none"/>
        </w:rPr>
      </w:pPr>
    </w:p>
    <w:p w14:paraId="25FFB547">
      <w:pPr>
        <w:pStyle w:val="13"/>
        <w:spacing w:beforeAutospacing="0" w:afterAutospacing="0"/>
        <w:jc w:val="both"/>
        <w:rPr>
          <w:color w:val="auto"/>
          <w:highlight w:val="none"/>
        </w:rPr>
      </w:pPr>
      <w:r>
        <w:rPr>
          <w:color w:val="auto"/>
          <w:highlight w:val="none"/>
        </w:rPr>
        <w:t> </w:t>
      </w:r>
    </w:p>
    <w:p w14:paraId="63180049">
      <w:pPr>
        <w:pStyle w:val="13"/>
        <w:spacing w:beforeAutospacing="0" w:afterAutospacing="0"/>
        <w:jc w:val="both"/>
        <w:rPr>
          <w:color w:val="auto"/>
          <w:highlight w:val="none"/>
        </w:rPr>
      </w:pPr>
      <w:r>
        <w:rPr>
          <w:color w:val="auto"/>
          <w:highlight w:val="none"/>
        </w:rPr>
        <w:t> </w:t>
      </w:r>
    </w:p>
    <w:p w14:paraId="7F1E7E29">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72E9ABD">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987A767">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BCA7677">
      <w:pPr>
        <w:pStyle w:val="1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E763E7C">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573B755F">
      <w:pPr>
        <w:pStyle w:val="13"/>
        <w:spacing w:beforeAutospacing="0" w:afterAutospacing="0"/>
        <w:ind w:firstLine="480"/>
        <w:jc w:val="both"/>
        <w:rPr>
          <w:color w:val="auto"/>
          <w:highlight w:val="none"/>
        </w:rPr>
      </w:pPr>
      <w:bookmarkStart w:id="186" w:name="_Toc120614284"/>
      <w:r>
        <w:rPr>
          <w:rFonts w:hint="eastAsia" w:ascii="宋体" w:hAnsi="宋体" w:eastAsia="宋体" w:cs="宋体"/>
          <w:color w:val="auto"/>
          <w:highlight w:val="none"/>
        </w:rPr>
        <w:t>提供提交投标文件截止时间前一年内至少一个月依法缴纳税收及缴纳社会保障资金的证明材料。</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依法享受缓缴、免缴税收、社会保障资金的提供证明材料。</w:t>
      </w:r>
      <w:bookmarkEnd w:id="186"/>
    </w:p>
    <w:p w14:paraId="363F6DD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493AC879">
      <w:pPr>
        <w:pStyle w:val="13"/>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41791563">
      <w:pPr>
        <w:pStyle w:val="1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3"/>
        <w:spacing w:beforeAutospacing="0" w:afterAutospacing="0"/>
        <w:jc w:val="both"/>
        <w:rPr>
          <w:color w:val="auto"/>
          <w:highlight w:val="none"/>
        </w:rPr>
      </w:pPr>
      <w:r>
        <w:rPr>
          <w:color w:val="auto"/>
          <w:highlight w:val="none"/>
        </w:rPr>
        <w:t> </w:t>
      </w:r>
    </w:p>
    <w:p w14:paraId="03822A78">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4C7AE4BB">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18734FE7">
      <w:pPr>
        <w:pStyle w:val="13"/>
        <w:spacing w:beforeAutospacing="0" w:afterAutospacing="0"/>
        <w:jc w:val="center"/>
        <w:rPr>
          <w:rFonts w:ascii="黑体" w:hAnsi="宋体" w:eastAsia="黑体" w:cs="黑体"/>
          <w:i/>
          <w:color w:val="auto"/>
          <w:sz w:val="32"/>
          <w:szCs w:val="32"/>
          <w:highlight w:val="none"/>
          <w:u w:val="single"/>
        </w:rPr>
      </w:pPr>
    </w:p>
    <w:p w14:paraId="3819BF7B">
      <w:pPr>
        <w:pStyle w:val="13"/>
        <w:spacing w:beforeAutospacing="0" w:afterAutospacing="0"/>
        <w:jc w:val="center"/>
        <w:rPr>
          <w:rFonts w:ascii="黑体" w:hAnsi="宋体" w:eastAsia="黑体" w:cs="黑体"/>
          <w:i/>
          <w:color w:val="auto"/>
          <w:sz w:val="32"/>
          <w:szCs w:val="32"/>
          <w:highlight w:val="none"/>
          <w:u w:val="single"/>
        </w:rPr>
      </w:pPr>
    </w:p>
    <w:p w14:paraId="24A61D77">
      <w:pPr>
        <w:pStyle w:val="13"/>
        <w:spacing w:beforeAutospacing="0" w:afterAutospacing="0"/>
        <w:jc w:val="center"/>
        <w:rPr>
          <w:rFonts w:ascii="黑体" w:hAnsi="宋体" w:eastAsia="黑体" w:cs="黑体"/>
          <w:i/>
          <w:color w:val="auto"/>
          <w:sz w:val="32"/>
          <w:szCs w:val="32"/>
          <w:highlight w:val="none"/>
          <w:u w:val="single"/>
        </w:rPr>
      </w:pPr>
    </w:p>
    <w:p w14:paraId="3CD77467">
      <w:pPr>
        <w:pStyle w:val="13"/>
        <w:spacing w:beforeAutospacing="0" w:afterAutospacing="0"/>
        <w:jc w:val="center"/>
        <w:rPr>
          <w:rFonts w:ascii="黑体" w:hAnsi="宋体" w:eastAsia="黑体" w:cs="黑体"/>
          <w:i/>
          <w:color w:val="auto"/>
          <w:sz w:val="32"/>
          <w:szCs w:val="32"/>
          <w:highlight w:val="none"/>
          <w:u w:val="single"/>
        </w:rPr>
      </w:pPr>
    </w:p>
    <w:p w14:paraId="3CDE2F35">
      <w:pPr>
        <w:pStyle w:val="13"/>
        <w:spacing w:beforeAutospacing="0" w:afterAutospacing="0"/>
        <w:jc w:val="center"/>
        <w:rPr>
          <w:rFonts w:ascii="黑体" w:hAnsi="宋体" w:eastAsia="黑体" w:cs="黑体"/>
          <w:i/>
          <w:color w:val="auto"/>
          <w:sz w:val="32"/>
          <w:szCs w:val="32"/>
          <w:highlight w:val="none"/>
          <w:u w:val="single"/>
        </w:rPr>
      </w:pPr>
    </w:p>
    <w:p w14:paraId="429D58A5">
      <w:pPr>
        <w:pStyle w:val="13"/>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75371E96">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w:t>
      </w:r>
      <w:r>
        <w:rPr>
          <w:rFonts w:hint="eastAsia" w:ascii="Times New Roman" w:hAnsi="Times New Roman"/>
          <w:color w:val="auto"/>
          <w:highlight w:val="none"/>
          <w:lang w:eastAsia="zh-CN"/>
        </w:rPr>
        <w:t>供应商</w:t>
      </w:r>
      <w:r>
        <w:rPr>
          <w:rFonts w:ascii="Times New Roman" w:hAnsi="Times New Roman"/>
          <w:color w:val="auto"/>
          <w:highlight w:val="none"/>
        </w:rPr>
        <w:t>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3AC9EC25">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2DC53DE8">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75D0F0B5">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4FE26A2D">
      <w:pPr>
        <w:pStyle w:val="13"/>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659A81C5">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747B88F2">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87" w:name="_格式3__银行出具的资信证明"/>
      <w:bookmarkStart w:id="188" w:name="_Hlt26955070"/>
      <w:bookmarkStart w:id="189" w:name="_Hlt26671380"/>
      <w:r>
        <w:rPr>
          <w:rFonts w:ascii="Times New Roman" w:hAnsi="Times New Roman"/>
          <w:color w:val="auto"/>
          <w:highlight w:val="none"/>
          <w:u w:val="single"/>
        </w:rPr>
        <w:t xml:space="preserve">                                         </w:t>
      </w:r>
    </w:p>
    <w:p w14:paraId="4434C07B">
      <w:pPr>
        <w:pStyle w:val="13"/>
        <w:spacing w:beforeAutospacing="0" w:afterAutospacing="0"/>
        <w:ind w:firstLine="420"/>
        <w:jc w:val="both"/>
        <w:rPr>
          <w:color w:val="auto"/>
          <w:highlight w:val="none"/>
        </w:rPr>
      </w:pPr>
      <w:r>
        <w:rPr>
          <w:color w:val="auto"/>
          <w:highlight w:val="none"/>
        </w:rPr>
        <w:t> </w:t>
      </w:r>
    </w:p>
    <w:p w14:paraId="54380AE8">
      <w:pPr>
        <w:pStyle w:val="13"/>
        <w:spacing w:beforeAutospacing="0" w:afterAutospacing="0"/>
        <w:jc w:val="both"/>
        <w:rPr>
          <w:color w:val="auto"/>
          <w:highlight w:val="none"/>
        </w:rPr>
      </w:pPr>
      <w:r>
        <w:rPr>
          <w:color w:val="auto"/>
          <w:highlight w:val="none"/>
        </w:rPr>
        <w:t> </w:t>
      </w:r>
    </w:p>
    <w:p w14:paraId="747AA322">
      <w:pPr>
        <w:pStyle w:val="13"/>
        <w:spacing w:beforeAutospacing="0" w:afterAutospacing="0" w:line="0" w:lineRule="atLeast"/>
        <w:jc w:val="both"/>
        <w:rPr>
          <w:color w:val="auto"/>
          <w:highlight w:val="none"/>
        </w:rPr>
        <w:sectPr>
          <w:pgSz w:w="11906" w:h="16838"/>
          <w:pgMar w:top="1440" w:right="1440" w:bottom="1440" w:left="1440" w:header="851" w:footer="992" w:gutter="0"/>
          <w:cols w:space="425" w:num="1"/>
          <w:docGrid w:type="lines" w:linePitch="312" w:charSpace="0"/>
        </w:sectPr>
      </w:pPr>
    </w:p>
    <w:p w14:paraId="0F02C396">
      <w:pPr>
        <w:pStyle w:val="13"/>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八、投标函</w:t>
      </w:r>
    </w:p>
    <w:p w14:paraId="26D1CCB0">
      <w:pPr>
        <w:pStyle w:val="13"/>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盐城市公路事业发展中心</w:t>
      </w:r>
    </w:p>
    <w:p w14:paraId="2DE50441">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根据贵方的JSZC-320000-***号招标文件，正式授权下述签字人______(姓名)代表我方______________（</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的名称），全权处理本次项目投标的有关事宜。</w:t>
      </w:r>
    </w:p>
    <w:p w14:paraId="64F87FD4">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313F260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473EF1FB">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w:t>
      </w:r>
    </w:p>
    <w:p w14:paraId="58062D8A">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08CB0CD4">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209DD427">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1F9BB1C3">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33641869">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3F512F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40615D05">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6828345E">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3AB5B37A">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3DA45C60">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开户行：</w:t>
      </w:r>
    </w:p>
    <w:p w14:paraId="19B2C12A">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4B904C99">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517D30F4">
      <w:pPr>
        <w:pStyle w:val="13"/>
        <w:spacing w:beforeAutospacing="0" w:afterAutospacing="0" w:line="0" w:lineRule="atLeast"/>
        <w:ind w:firstLine="240"/>
        <w:jc w:val="center"/>
        <w:rPr>
          <w:color w:val="auto"/>
          <w:highlight w:val="none"/>
        </w:rPr>
      </w:pPr>
      <w:r>
        <w:rPr>
          <w:color w:val="auto"/>
          <w:highlight w:val="none"/>
        </w:rPr>
        <w:t> </w:t>
      </w:r>
    </w:p>
    <w:p w14:paraId="2B93E367">
      <w:pPr>
        <w:pStyle w:val="13"/>
        <w:spacing w:beforeAutospacing="0" w:afterAutospacing="0" w:line="0" w:lineRule="atLeast"/>
        <w:ind w:firstLine="240"/>
        <w:jc w:val="center"/>
        <w:rPr>
          <w:color w:val="auto"/>
          <w:highlight w:val="none"/>
        </w:rPr>
      </w:pPr>
    </w:p>
    <w:p w14:paraId="6489E2F7">
      <w:pPr>
        <w:pStyle w:val="13"/>
        <w:spacing w:beforeAutospacing="0" w:afterAutospacing="0" w:line="0" w:lineRule="atLeast"/>
        <w:jc w:val="center"/>
        <w:rPr>
          <w:color w:val="auto"/>
          <w:highlight w:val="none"/>
        </w:rPr>
        <w:sectPr>
          <w:pgSz w:w="11906" w:h="16838"/>
          <w:pgMar w:top="1440" w:right="1440" w:bottom="1440" w:left="1440" w:header="851" w:footer="992" w:gutter="0"/>
          <w:cols w:space="425" w:num="1"/>
          <w:docGrid w:type="lines" w:linePitch="312" w:charSpace="0"/>
        </w:sectPr>
      </w:pPr>
    </w:p>
    <w:p w14:paraId="5E5EAA94">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盐城市公路事业发展中心</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1"/>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1"/>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3"/>
        <w:spacing w:beforeAutospacing="0" w:afterAutospacing="0" w:line="0" w:lineRule="atLeast"/>
        <w:ind w:right="720"/>
        <w:jc w:val="both"/>
        <w:rPr>
          <w:color w:val="auto"/>
          <w:highlight w:val="none"/>
        </w:rPr>
      </w:pPr>
      <w:r>
        <w:rPr>
          <w:color w:val="auto"/>
          <w:highlight w:val="none"/>
        </w:rPr>
        <w:t> </w:t>
      </w:r>
    </w:p>
    <w:p w14:paraId="6CD49601">
      <w:pPr>
        <w:pStyle w:val="1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3"/>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3"/>
        <w:spacing w:beforeAutospacing="0" w:afterAutospacing="0" w:line="0" w:lineRule="atLeast"/>
        <w:ind w:firstLine="240"/>
        <w:jc w:val="both"/>
        <w:rPr>
          <w:color w:val="auto"/>
          <w:highlight w:val="none"/>
        </w:rPr>
      </w:pPr>
      <w:r>
        <w:rPr>
          <w:color w:val="auto"/>
          <w:highlight w:val="none"/>
        </w:rPr>
        <w:t> </w:t>
      </w:r>
    </w:p>
    <w:p w14:paraId="5FD8B9FE">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7A59AC8E">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十、残疾人福利性单位声明函（分包号：**）</w:t>
      </w:r>
    </w:p>
    <w:p w14:paraId="4E0054B0">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295C2D40">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5DA35C31">
      <w:pPr>
        <w:pStyle w:val="13"/>
        <w:spacing w:beforeAutospacing="0" w:afterAutospacing="0" w:line="0" w:lineRule="atLeast"/>
        <w:ind w:firstLine="480"/>
        <w:jc w:val="both"/>
        <w:rPr>
          <w:color w:val="auto"/>
          <w:highlight w:val="none"/>
        </w:rPr>
      </w:pPr>
    </w:p>
    <w:p w14:paraId="13451427">
      <w:pPr>
        <w:pStyle w:val="13"/>
        <w:spacing w:beforeAutospacing="0" w:afterAutospacing="0" w:line="0" w:lineRule="atLeast"/>
        <w:ind w:firstLine="480"/>
        <w:jc w:val="both"/>
        <w:rPr>
          <w:color w:val="auto"/>
          <w:highlight w:val="none"/>
        </w:rPr>
      </w:pPr>
      <w:r>
        <w:rPr>
          <w:color w:val="auto"/>
          <w:highlight w:val="none"/>
        </w:rPr>
        <w:t> </w:t>
      </w:r>
    </w:p>
    <w:p w14:paraId="2FAF371E">
      <w:pPr>
        <w:pStyle w:val="13"/>
        <w:spacing w:beforeAutospacing="0" w:afterAutospacing="0" w:line="0" w:lineRule="atLeast"/>
        <w:ind w:firstLine="480"/>
        <w:jc w:val="both"/>
        <w:rPr>
          <w:rFonts w:hint="eastAsia" w:eastAsia="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p>
    <w:p w14:paraId="29CEDC66">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756ED4E7">
      <w:pPr>
        <w:pStyle w:val="13"/>
        <w:spacing w:beforeAutospacing="0" w:afterAutospacing="0" w:line="0" w:lineRule="atLeast"/>
        <w:ind w:firstLine="624"/>
        <w:jc w:val="both"/>
        <w:rPr>
          <w:color w:val="auto"/>
          <w:highlight w:val="none"/>
        </w:rPr>
      </w:pPr>
      <w:r>
        <w:rPr>
          <w:color w:val="auto"/>
          <w:highlight w:val="none"/>
        </w:rPr>
        <w:t> </w:t>
      </w:r>
    </w:p>
    <w:p w14:paraId="0A80BD48">
      <w:pPr>
        <w:pStyle w:val="13"/>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6FB6E74">
      <w:pPr>
        <w:pStyle w:val="1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2B15E9CD">
      <w:pPr>
        <w:pStyle w:val="13"/>
        <w:spacing w:beforeAutospacing="0" w:afterAutospacing="0" w:line="0" w:lineRule="atLeast"/>
        <w:jc w:val="center"/>
        <w:rPr>
          <w:color w:val="auto"/>
          <w:highlight w:val="none"/>
        </w:rPr>
      </w:pPr>
      <w:r>
        <w:rPr>
          <w:color w:val="auto"/>
          <w:highlight w:val="none"/>
        </w:rPr>
        <w:t> </w:t>
      </w:r>
    </w:p>
    <w:p w14:paraId="5B4F30B6">
      <w:pPr>
        <w:pStyle w:val="13"/>
        <w:spacing w:beforeAutospacing="0" w:afterAutospacing="0" w:line="0" w:lineRule="atLeast"/>
        <w:jc w:val="center"/>
        <w:rPr>
          <w:color w:val="auto"/>
          <w:highlight w:val="none"/>
        </w:rPr>
      </w:pPr>
      <w:r>
        <w:rPr>
          <w:color w:val="auto"/>
          <w:highlight w:val="none"/>
        </w:rPr>
        <w:t> </w:t>
      </w:r>
    </w:p>
    <w:p w14:paraId="0BFA54F0">
      <w:pPr>
        <w:pStyle w:val="13"/>
        <w:spacing w:beforeAutospacing="0" w:afterAutospacing="0" w:line="0" w:lineRule="atLeast"/>
        <w:jc w:val="center"/>
        <w:rPr>
          <w:color w:val="auto"/>
          <w:highlight w:val="none"/>
        </w:rPr>
      </w:pPr>
      <w:r>
        <w:rPr>
          <w:color w:val="auto"/>
          <w:highlight w:val="none"/>
        </w:rPr>
        <w:t> </w:t>
      </w:r>
    </w:p>
    <w:p w14:paraId="23548FC4">
      <w:pPr>
        <w:pStyle w:val="13"/>
        <w:spacing w:beforeAutospacing="0" w:afterAutospacing="0" w:line="0" w:lineRule="atLeast"/>
        <w:jc w:val="center"/>
        <w:rPr>
          <w:color w:val="auto"/>
          <w:highlight w:val="none"/>
        </w:rPr>
      </w:pPr>
      <w:r>
        <w:rPr>
          <w:color w:val="auto"/>
          <w:highlight w:val="none"/>
        </w:rPr>
        <w:t> </w:t>
      </w:r>
    </w:p>
    <w:p w14:paraId="7CC18ADA">
      <w:pPr>
        <w:pStyle w:val="13"/>
        <w:spacing w:beforeAutospacing="0" w:afterAutospacing="0" w:line="0" w:lineRule="atLeast"/>
        <w:jc w:val="center"/>
        <w:rPr>
          <w:color w:val="auto"/>
          <w:highlight w:val="none"/>
        </w:rPr>
      </w:pPr>
      <w:r>
        <w:rPr>
          <w:color w:val="auto"/>
          <w:highlight w:val="none"/>
        </w:rPr>
        <w:t> </w:t>
      </w:r>
    </w:p>
    <w:p w14:paraId="3620AEDE">
      <w:pPr>
        <w:pStyle w:val="13"/>
        <w:spacing w:beforeAutospacing="0" w:afterAutospacing="0" w:line="0" w:lineRule="atLeast"/>
        <w:jc w:val="center"/>
        <w:rPr>
          <w:color w:val="auto"/>
          <w:highlight w:val="none"/>
        </w:rPr>
      </w:pPr>
      <w:r>
        <w:rPr>
          <w:color w:val="auto"/>
          <w:highlight w:val="none"/>
        </w:rPr>
        <w:t> </w:t>
      </w:r>
    </w:p>
    <w:p w14:paraId="45D5FEAA">
      <w:pPr>
        <w:pStyle w:val="13"/>
        <w:spacing w:beforeAutospacing="0" w:afterAutospacing="0" w:line="0" w:lineRule="atLeast"/>
        <w:jc w:val="center"/>
        <w:rPr>
          <w:color w:val="auto"/>
          <w:highlight w:val="none"/>
        </w:rPr>
      </w:pPr>
      <w:r>
        <w:rPr>
          <w:color w:val="auto"/>
          <w:highlight w:val="none"/>
        </w:rPr>
        <w:t> </w:t>
      </w:r>
    </w:p>
    <w:p w14:paraId="02551D98">
      <w:pPr>
        <w:pStyle w:val="13"/>
        <w:spacing w:beforeAutospacing="0" w:afterAutospacing="0" w:line="0" w:lineRule="atLeast"/>
        <w:jc w:val="center"/>
        <w:rPr>
          <w:color w:val="auto"/>
          <w:highlight w:val="none"/>
        </w:rPr>
      </w:pPr>
      <w:r>
        <w:rPr>
          <w:color w:val="auto"/>
          <w:highlight w:val="none"/>
        </w:rPr>
        <w:t> </w:t>
      </w:r>
    </w:p>
    <w:p w14:paraId="2E201E66">
      <w:pPr>
        <w:pStyle w:val="13"/>
        <w:spacing w:beforeAutospacing="0" w:afterAutospacing="0" w:line="0" w:lineRule="atLeast"/>
        <w:jc w:val="center"/>
        <w:rPr>
          <w:color w:val="auto"/>
          <w:highlight w:val="none"/>
        </w:rPr>
      </w:pPr>
    </w:p>
    <w:p w14:paraId="26480510">
      <w:pPr>
        <w:pStyle w:val="13"/>
        <w:spacing w:beforeAutospacing="0" w:afterAutospacing="0" w:line="0" w:lineRule="atLeast"/>
        <w:jc w:val="center"/>
        <w:rPr>
          <w:color w:val="auto"/>
          <w:highlight w:val="none"/>
        </w:rPr>
      </w:pPr>
    </w:p>
    <w:p w14:paraId="040A5ABB">
      <w:pPr>
        <w:pStyle w:val="13"/>
        <w:spacing w:beforeAutospacing="0" w:afterAutospacing="0" w:line="0" w:lineRule="atLeast"/>
        <w:jc w:val="center"/>
        <w:rPr>
          <w:color w:val="auto"/>
          <w:highlight w:val="none"/>
        </w:rPr>
      </w:pPr>
    </w:p>
    <w:p w14:paraId="0E4F8989">
      <w:pPr>
        <w:pStyle w:val="13"/>
        <w:spacing w:beforeAutospacing="0" w:afterAutospacing="0" w:line="0" w:lineRule="atLeast"/>
        <w:jc w:val="center"/>
        <w:rPr>
          <w:color w:val="auto"/>
          <w:highlight w:val="none"/>
        </w:rPr>
      </w:pPr>
    </w:p>
    <w:p w14:paraId="33B3D7CE">
      <w:pPr>
        <w:pStyle w:val="13"/>
        <w:spacing w:beforeAutospacing="0" w:afterAutospacing="0" w:line="0" w:lineRule="atLeast"/>
        <w:jc w:val="center"/>
        <w:rPr>
          <w:color w:val="auto"/>
          <w:highlight w:val="none"/>
        </w:rPr>
      </w:pPr>
    </w:p>
    <w:p w14:paraId="47822C90">
      <w:pPr>
        <w:pStyle w:val="13"/>
        <w:spacing w:beforeAutospacing="0" w:afterAutospacing="0" w:line="0" w:lineRule="atLeast"/>
        <w:jc w:val="center"/>
        <w:rPr>
          <w:color w:val="auto"/>
          <w:highlight w:val="none"/>
        </w:rPr>
      </w:pPr>
    </w:p>
    <w:p w14:paraId="09A39851">
      <w:pPr>
        <w:pStyle w:val="13"/>
        <w:spacing w:beforeAutospacing="0" w:afterAutospacing="0" w:line="0" w:lineRule="atLeast"/>
        <w:jc w:val="center"/>
        <w:rPr>
          <w:color w:val="auto"/>
          <w:highlight w:val="none"/>
        </w:rPr>
      </w:pPr>
    </w:p>
    <w:p w14:paraId="7FD1136E">
      <w:pPr>
        <w:pStyle w:val="13"/>
        <w:spacing w:beforeAutospacing="0" w:afterAutospacing="0" w:line="0" w:lineRule="atLeast"/>
        <w:jc w:val="center"/>
        <w:rPr>
          <w:color w:val="auto"/>
          <w:highlight w:val="none"/>
        </w:rPr>
      </w:pPr>
    </w:p>
    <w:p w14:paraId="5BEB7273">
      <w:pPr>
        <w:pStyle w:val="13"/>
        <w:spacing w:beforeAutospacing="0" w:afterAutospacing="0" w:line="0" w:lineRule="atLeast"/>
        <w:jc w:val="center"/>
        <w:rPr>
          <w:color w:val="auto"/>
          <w:highlight w:val="none"/>
        </w:rPr>
      </w:pPr>
    </w:p>
    <w:p w14:paraId="033ACD42">
      <w:pPr>
        <w:pStyle w:val="13"/>
        <w:spacing w:beforeAutospacing="0" w:afterAutospacing="0" w:line="0" w:lineRule="atLeast"/>
        <w:jc w:val="center"/>
        <w:rPr>
          <w:color w:val="auto"/>
          <w:highlight w:val="none"/>
        </w:rPr>
      </w:pPr>
    </w:p>
    <w:p w14:paraId="0E7A7A07">
      <w:pPr>
        <w:pStyle w:val="13"/>
        <w:spacing w:beforeAutospacing="0" w:afterAutospacing="0" w:line="0" w:lineRule="atLeast"/>
        <w:jc w:val="center"/>
        <w:rPr>
          <w:color w:val="auto"/>
          <w:highlight w:val="none"/>
        </w:rPr>
      </w:pPr>
    </w:p>
    <w:p w14:paraId="290ED4BC">
      <w:pPr>
        <w:pStyle w:val="13"/>
        <w:spacing w:beforeAutospacing="0" w:afterAutospacing="0" w:line="0" w:lineRule="atLeast"/>
        <w:jc w:val="center"/>
        <w:rPr>
          <w:color w:val="auto"/>
          <w:highlight w:val="none"/>
        </w:rPr>
      </w:pPr>
    </w:p>
    <w:p w14:paraId="2DE28D43">
      <w:pPr>
        <w:pStyle w:val="13"/>
        <w:spacing w:beforeAutospacing="0" w:afterAutospacing="0" w:line="0" w:lineRule="atLeast"/>
        <w:jc w:val="center"/>
        <w:rPr>
          <w:color w:val="auto"/>
          <w:highlight w:val="none"/>
        </w:rPr>
      </w:pPr>
    </w:p>
    <w:p w14:paraId="4C188FB5">
      <w:pPr>
        <w:pStyle w:val="13"/>
        <w:spacing w:beforeAutospacing="0" w:afterAutospacing="0" w:line="0" w:lineRule="atLeast"/>
        <w:jc w:val="center"/>
        <w:rPr>
          <w:color w:val="auto"/>
          <w:highlight w:val="none"/>
        </w:rPr>
      </w:pPr>
    </w:p>
    <w:p w14:paraId="44A213E5">
      <w:pPr>
        <w:pStyle w:val="13"/>
        <w:spacing w:beforeAutospacing="0" w:afterAutospacing="0" w:line="0" w:lineRule="atLeast"/>
        <w:jc w:val="center"/>
        <w:rPr>
          <w:color w:val="auto"/>
          <w:highlight w:val="none"/>
        </w:rPr>
      </w:pPr>
    </w:p>
    <w:p w14:paraId="3B49ABBC">
      <w:pPr>
        <w:pStyle w:val="13"/>
        <w:spacing w:beforeAutospacing="0" w:afterAutospacing="0" w:line="0" w:lineRule="atLeast"/>
        <w:jc w:val="center"/>
        <w:rPr>
          <w:color w:val="auto"/>
          <w:highlight w:val="none"/>
        </w:rPr>
      </w:pPr>
    </w:p>
    <w:p w14:paraId="6B3C584E">
      <w:pPr>
        <w:pStyle w:val="13"/>
        <w:spacing w:beforeAutospacing="0" w:afterAutospacing="0" w:line="0" w:lineRule="atLeast"/>
        <w:jc w:val="center"/>
        <w:rPr>
          <w:color w:val="auto"/>
          <w:highlight w:val="none"/>
        </w:rPr>
      </w:pPr>
    </w:p>
    <w:p w14:paraId="61D08AC6">
      <w:pPr>
        <w:pStyle w:val="13"/>
        <w:spacing w:beforeAutospacing="0" w:afterAutospacing="0" w:line="0" w:lineRule="atLeast"/>
        <w:jc w:val="center"/>
        <w:rPr>
          <w:color w:val="auto"/>
          <w:highlight w:val="none"/>
        </w:rPr>
      </w:pPr>
    </w:p>
    <w:p w14:paraId="0251136B">
      <w:pPr>
        <w:pStyle w:val="13"/>
        <w:spacing w:beforeAutospacing="0" w:afterAutospacing="0" w:line="0" w:lineRule="atLeast"/>
        <w:jc w:val="center"/>
        <w:rPr>
          <w:color w:val="auto"/>
          <w:highlight w:val="none"/>
        </w:rPr>
      </w:pPr>
    </w:p>
    <w:p w14:paraId="2F312E3D">
      <w:pPr>
        <w:pStyle w:val="13"/>
        <w:spacing w:beforeAutospacing="0" w:afterAutospacing="0" w:line="0" w:lineRule="atLeast"/>
        <w:jc w:val="center"/>
        <w:rPr>
          <w:color w:val="auto"/>
          <w:highlight w:val="none"/>
        </w:rPr>
      </w:pPr>
    </w:p>
    <w:p w14:paraId="42557233">
      <w:pPr>
        <w:pStyle w:val="13"/>
        <w:spacing w:beforeAutospacing="0" w:afterAutospacing="0" w:line="0" w:lineRule="atLeast"/>
        <w:jc w:val="center"/>
        <w:rPr>
          <w:color w:val="auto"/>
          <w:highlight w:val="none"/>
        </w:rPr>
      </w:pPr>
      <w:r>
        <w:rPr>
          <w:color w:val="auto"/>
          <w:highlight w:val="none"/>
        </w:rPr>
        <w:t> </w:t>
      </w:r>
    </w:p>
    <w:p w14:paraId="5915A32A">
      <w:pPr>
        <w:pStyle w:val="13"/>
        <w:spacing w:beforeAutospacing="0" w:afterAutospacing="0" w:line="0" w:lineRule="atLeast"/>
        <w:jc w:val="center"/>
        <w:rPr>
          <w:color w:val="auto"/>
          <w:highlight w:val="none"/>
        </w:rPr>
      </w:pPr>
      <w:r>
        <w:rPr>
          <w:color w:val="auto"/>
          <w:highlight w:val="none"/>
        </w:rPr>
        <w:t> </w:t>
      </w:r>
    </w:p>
    <w:p w14:paraId="23894C2A">
      <w:pPr>
        <w:pStyle w:val="13"/>
        <w:spacing w:beforeAutospacing="0" w:afterAutospacing="0" w:line="0" w:lineRule="atLeast"/>
        <w:jc w:val="center"/>
        <w:rPr>
          <w:color w:val="auto"/>
          <w:highlight w:val="none"/>
        </w:rPr>
      </w:pPr>
      <w:r>
        <w:rPr>
          <w:color w:val="auto"/>
          <w:highlight w:val="none"/>
        </w:rPr>
        <w:t> </w:t>
      </w:r>
    </w:p>
    <w:p w14:paraId="588DC660">
      <w:pPr>
        <w:pStyle w:val="13"/>
        <w:spacing w:beforeAutospacing="0" w:afterAutospacing="0" w:line="0" w:lineRule="atLeast"/>
        <w:jc w:val="center"/>
        <w:rPr>
          <w:color w:val="auto"/>
          <w:highlight w:val="none"/>
        </w:rPr>
      </w:pPr>
      <w:r>
        <w:rPr>
          <w:color w:val="auto"/>
          <w:highlight w:val="none"/>
        </w:rPr>
        <w:t> </w:t>
      </w:r>
    </w:p>
    <w:p w14:paraId="0F9D6EE9">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一</w:t>
      </w:r>
      <w:r>
        <w:rPr>
          <w:rFonts w:hint="eastAsia" w:ascii="黑体" w:hAnsi="宋体" w:eastAsia="黑体" w:cs="黑体"/>
          <w:b/>
          <w:color w:val="auto"/>
          <w:sz w:val="32"/>
          <w:szCs w:val="32"/>
          <w:highlight w:val="none"/>
        </w:rPr>
        <w:t>、投标分项报价表（分包号：**）</w:t>
      </w:r>
    </w:p>
    <w:p w14:paraId="3BC2BC63">
      <w:pPr>
        <w:pStyle w:val="13"/>
        <w:spacing w:beforeAutospacing="0" w:afterAutospacing="0"/>
        <w:jc w:val="center"/>
        <w:rPr>
          <w:color w:val="auto"/>
          <w:highlight w:val="none"/>
        </w:rPr>
      </w:pPr>
    </w:p>
    <w:p w14:paraId="36CE320F">
      <w:pPr>
        <w:widowControl/>
        <w:spacing w:line="499" w:lineRule="atLeast"/>
        <w:jc w:val="center"/>
        <w:rPr>
          <w:rFonts w:hint="default" w:ascii="宋体" w:hAnsi="宋体" w:eastAsia="宋体" w:cs="宋体"/>
          <w:b/>
          <w:bCs/>
          <w:color w:val="auto"/>
          <w:sz w:val="32"/>
          <w:szCs w:val="32"/>
          <w:highlight w:val="none"/>
          <w:lang w:val="en-US" w:eastAsia="zh-CN"/>
        </w:rPr>
      </w:pPr>
      <w:r>
        <w:rPr>
          <w:rFonts w:hint="eastAsia" w:ascii="Times New Roman" w:hAnsi="Times New Roman" w:eastAsia="宋体" w:cs="Times New Roman"/>
          <w:color w:val="auto"/>
          <w:sz w:val="28"/>
          <w:szCs w:val="28"/>
          <w:highlight w:val="none"/>
          <w:lang w:val="en-US" w:eastAsia="zh-CN"/>
        </w:rPr>
        <w:t>表1 采购包1分项报价表</w:t>
      </w:r>
    </w:p>
    <w:p w14:paraId="6D62C867">
      <w:pPr>
        <w:keepNext/>
        <w:keepLines/>
        <w:spacing w:before="120" w:after="120"/>
        <w:jc w:val="right"/>
        <w:outlineLvl w:val="0"/>
        <w:rPr>
          <w:rFonts w:hint="default" w:ascii="宋体" w:hAnsi="宋体" w:eastAsia="宋体"/>
          <w:b w:val="0"/>
          <w:bCs/>
          <w:color w:val="auto"/>
          <w:spacing w:val="20"/>
          <w:sz w:val="21"/>
          <w:szCs w:val="21"/>
          <w:highlight w:val="none"/>
          <w:lang w:val="en-US" w:eastAsia="zh-CN"/>
        </w:rPr>
      </w:pPr>
      <w:r>
        <w:rPr>
          <w:rFonts w:hint="eastAsia" w:ascii="宋体" w:hAnsi="宋体"/>
          <w:b w:val="0"/>
          <w:bCs/>
          <w:color w:val="auto"/>
          <w:spacing w:val="20"/>
          <w:sz w:val="21"/>
          <w:szCs w:val="21"/>
          <w:highlight w:val="none"/>
          <w:lang w:val="en-US" w:eastAsia="zh-CN"/>
        </w:rPr>
        <w:t>单位：万元</w:t>
      </w:r>
    </w:p>
    <w:tbl>
      <w:tblPr>
        <w:tblStyle w:val="15"/>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7"/>
        <w:gridCol w:w="3796"/>
        <w:gridCol w:w="859"/>
        <w:gridCol w:w="931"/>
        <w:gridCol w:w="924"/>
        <w:gridCol w:w="1908"/>
      </w:tblGrid>
      <w:tr w14:paraId="37B6D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DAAF5">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rPr>
            </w:pPr>
            <w:r>
              <w:rPr>
                <w:rFonts w:hint="default" w:ascii="Times New Roman" w:hAnsi="Times New Roman" w:eastAsia="宋体" w:cs="Times New Roman"/>
                <w:i w:val="0"/>
                <w:iCs w:val="0"/>
                <w:color w:val="auto"/>
                <w:sz w:val="21"/>
                <w:szCs w:val="21"/>
                <w:highlight w:val="none"/>
                <w:u w:val="none"/>
                <w:lang w:val="en-US" w:eastAsia="zh-CN"/>
              </w:rPr>
              <w:t>序号</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CF32BC">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监测类型</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D1B50">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单位</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5CF7">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数量</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9B300">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单价</w:t>
            </w: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6B51C">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小计</w:t>
            </w:r>
          </w:p>
        </w:tc>
      </w:tr>
      <w:tr w14:paraId="5F34F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nil"/>
              <w:right w:val="single" w:color="000000" w:sz="4" w:space="0"/>
            </w:tcBorders>
            <w:shd w:val="clear" w:color="auto" w:fill="auto"/>
            <w:noWrap/>
            <w:vAlign w:val="center"/>
          </w:tcPr>
          <w:p w14:paraId="213EDCFF">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rPr>
            </w:pPr>
            <w:r>
              <w:rPr>
                <w:rFonts w:hint="default" w:ascii="Times New Roman" w:hAnsi="Times New Roman" w:eastAsia="宋体" w:cs="Times New Roman"/>
                <w:i w:val="0"/>
                <w:iCs w:val="0"/>
                <w:color w:val="auto"/>
                <w:sz w:val="21"/>
                <w:szCs w:val="21"/>
                <w:highlight w:val="none"/>
                <w:u w:val="none"/>
                <w:lang w:val="en-US" w:eastAsia="zh-CN"/>
              </w:rPr>
              <w:t>1</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91D52">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bidi="ar"/>
              </w:rPr>
            </w:pPr>
            <w:r>
              <w:rPr>
                <w:rFonts w:hint="default" w:ascii="Times New Roman" w:hAnsi="Times New Roman" w:eastAsia="宋体" w:cs="Times New Roman"/>
                <w:i w:val="0"/>
                <w:iCs w:val="0"/>
                <w:color w:val="auto"/>
                <w:sz w:val="21"/>
                <w:szCs w:val="21"/>
                <w:highlight w:val="none"/>
                <w:u w:val="none"/>
                <w:lang w:val="en-US" w:eastAsia="zh-CN" w:bidi="ar"/>
              </w:rPr>
              <w:t>长大桥梁</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A83E9B">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bidi="ar"/>
              </w:rPr>
            </w:pPr>
            <w:r>
              <w:rPr>
                <w:rFonts w:hint="default" w:ascii="Times New Roman" w:hAnsi="Times New Roman" w:eastAsia="宋体" w:cs="Times New Roman"/>
                <w:i w:val="0"/>
                <w:iCs w:val="0"/>
                <w:color w:val="auto"/>
                <w:sz w:val="21"/>
                <w:szCs w:val="21"/>
                <w:highlight w:val="none"/>
                <w:u w:val="none"/>
                <w:lang w:val="en-US" w:eastAsia="zh-CN" w:bidi="ar"/>
              </w:rPr>
              <w:t>座</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2596A">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bidi="ar"/>
              </w:rPr>
            </w:pPr>
            <w:r>
              <w:rPr>
                <w:rFonts w:hint="default" w:ascii="Times New Roman" w:hAnsi="Times New Roman" w:eastAsia="宋体" w:cs="Times New Roman"/>
                <w:i w:val="0"/>
                <w:iCs w:val="0"/>
                <w:color w:val="auto"/>
                <w:sz w:val="21"/>
                <w:szCs w:val="21"/>
                <w:highlight w:val="none"/>
                <w:u w:val="none"/>
                <w:lang w:val="en-US" w:eastAsia="zh-CN" w:bidi="ar"/>
              </w:rPr>
              <w:t>1</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A515">
            <w:pPr>
              <w:jc w:val="center"/>
              <w:rPr>
                <w:rFonts w:hint="default" w:ascii="Times New Roman" w:hAnsi="Times New Roman" w:eastAsia="宋体" w:cs="Times New Roman"/>
                <w:i w:val="0"/>
                <w:iCs w:val="0"/>
                <w:color w:val="auto"/>
                <w:sz w:val="21"/>
                <w:szCs w:val="21"/>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D39F7">
            <w:pPr>
              <w:jc w:val="center"/>
              <w:rPr>
                <w:rFonts w:hint="default" w:ascii="Times New Roman" w:hAnsi="Times New Roman" w:eastAsia="宋体" w:cs="Times New Roman"/>
                <w:i w:val="0"/>
                <w:iCs w:val="0"/>
                <w:color w:val="auto"/>
                <w:sz w:val="21"/>
                <w:szCs w:val="21"/>
                <w:highlight w:val="none"/>
                <w:u w:val="none"/>
              </w:rPr>
            </w:pPr>
          </w:p>
        </w:tc>
      </w:tr>
      <w:tr w14:paraId="6B87E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nil"/>
              <w:right w:val="single" w:color="000000" w:sz="4" w:space="0"/>
            </w:tcBorders>
            <w:shd w:val="clear" w:color="auto" w:fill="auto"/>
            <w:noWrap/>
            <w:vAlign w:val="center"/>
          </w:tcPr>
          <w:p w14:paraId="6CB43BD5">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rPr>
            </w:pPr>
            <w:r>
              <w:rPr>
                <w:rFonts w:hint="default" w:ascii="Times New Roman" w:hAnsi="Times New Roman" w:eastAsia="宋体" w:cs="Times New Roman"/>
                <w:i w:val="0"/>
                <w:iCs w:val="0"/>
                <w:color w:val="auto"/>
                <w:sz w:val="21"/>
                <w:szCs w:val="21"/>
                <w:highlight w:val="none"/>
                <w:u w:val="none"/>
                <w:lang w:val="en-US" w:eastAsia="zh-CN"/>
              </w:rPr>
              <w:t>2</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063B7">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sz w:val="21"/>
                <w:szCs w:val="21"/>
                <w:highlight w:val="none"/>
                <w:u w:val="none"/>
                <w:lang w:val="en-US" w:eastAsia="zh-CN" w:bidi="ar"/>
              </w:rPr>
              <w:t>标准化监测</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246416">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座</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6B7F9">
            <w:pPr>
              <w:keepNext w:val="0"/>
              <w:keepLines w:val="0"/>
              <w:widowControl/>
              <w:suppressLineNumbers w:val="0"/>
              <w:jc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9</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47F93">
            <w:pPr>
              <w:jc w:val="center"/>
              <w:rPr>
                <w:rFonts w:hint="default" w:ascii="Times New Roman" w:hAnsi="Times New Roman" w:eastAsia="宋体" w:cs="Times New Roman"/>
                <w:i w:val="0"/>
                <w:iCs w:val="0"/>
                <w:color w:val="auto"/>
                <w:sz w:val="21"/>
                <w:szCs w:val="21"/>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5976C">
            <w:pPr>
              <w:jc w:val="center"/>
              <w:rPr>
                <w:rFonts w:hint="default" w:ascii="Times New Roman" w:hAnsi="Times New Roman" w:eastAsia="宋体" w:cs="Times New Roman"/>
                <w:i w:val="0"/>
                <w:iCs w:val="0"/>
                <w:color w:val="auto"/>
                <w:sz w:val="21"/>
                <w:szCs w:val="21"/>
                <w:highlight w:val="none"/>
                <w:u w:val="none"/>
              </w:rPr>
            </w:pPr>
          </w:p>
        </w:tc>
      </w:tr>
      <w:tr w14:paraId="3D703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nil"/>
              <w:right w:val="single" w:color="000000" w:sz="4" w:space="0"/>
            </w:tcBorders>
            <w:shd w:val="clear" w:color="auto" w:fill="auto"/>
            <w:noWrap/>
            <w:vAlign w:val="center"/>
          </w:tcPr>
          <w:p w14:paraId="47B1DA70">
            <w:pPr>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3</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659D5">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sz w:val="21"/>
                <w:szCs w:val="21"/>
                <w:highlight w:val="none"/>
                <w:u w:val="none"/>
                <w:lang w:val="en-US" w:eastAsia="zh-CN" w:bidi="ar"/>
              </w:rPr>
              <w:t>轻量化监测</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B485B2">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座</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72BDB">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29</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B4293">
            <w:pPr>
              <w:jc w:val="center"/>
              <w:rPr>
                <w:rFonts w:hint="default" w:ascii="Times New Roman" w:hAnsi="Times New Roman" w:eastAsia="宋体" w:cs="Times New Roman"/>
                <w:i w:val="0"/>
                <w:iCs w:val="0"/>
                <w:color w:val="auto"/>
                <w:sz w:val="21"/>
                <w:szCs w:val="21"/>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358E8">
            <w:pPr>
              <w:jc w:val="center"/>
              <w:rPr>
                <w:rFonts w:hint="default" w:ascii="Times New Roman" w:hAnsi="Times New Roman" w:eastAsia="宋体" w:cs="Times New Roman"/>
                <w:i w:val="0"/>
                <w:iCs w:val="0"/>
                <w:color w:val="auto"/>
                <w:sz w:val="21"/>
                <w:szCs w:val="21"/>
                <w:highlight w:val="none"/>
                <w:u w:val="none"/>
              </w:rPr>
            </w:pPr>
          </w:p>
        </w:tc>
      </w:tr>
      <w:tr w14:paraId="0EA0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8F06F">
            <w:pPr>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4</w:t>
            </w:r>
          </w:p>
        </w:tc>
        <w:tc>
          <w:tcPr>
            <w:tcW w:w="2055" w:type="pct"/>
            <w:tcBorders>
              <w:top w:val="single" w:color="000000" w:sz="4" w:space="0"/>
              <w:left w:val="nil"/>
              <w:bottom w:val="single" w:color="000000" w:sz="4" w:space="0"/>
              <w:right w:val="single" w:color="000000" w:sz="4" w:space="0"/>
            </w:tcBorders>
            <w:shd w:val="clear" w:color="auto" w:fill="auto"/>
            <w:noWrap/>
            <w:vAlign w:val="center"/>
          </w:tcPr>
          <w:p w14:paraId="61459211">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bidi="ar"/>
              </w:rPr>
            </w:pPr>
            <w:r>
              <w:rPr>
                <w:rFonts w:hint="default" w:ascii="Times New Roman" w:hAnsi="Times New Roman" w:eastAsia="宋体" w:cs="Times New Roman"/>
                <w:i w:val="0"/>
                <w:iCs w:val="0"/>
                <w:color w:val="auto"/>
                <w:sz w:val="21"/>
                <w:szCs w:val="21"/>
                <w:highlight w:val="none"/>
                <w:u w:val="none"/>
                <w:lang w:val="en-US" w:eastAsia="zh-CN" w:bidi="ar"/>
              </w:rPr>
              <w:t>桥下视频监控</w:t>
            </w:r>
          </w:p>
        </w:tc>
        <w:tc>
          <w:tcPr>
            <w:tcW w:w="465" w:type="pct"/>
            <w:tcBorders>
              <w:top w:val="single" w:color="000000" w:sz="4" w:space="0"/>
              <w:left w:val="nil"/>
              <w:bottom w:val="single" w:color="000000" w:sz="4" w:space="0"/>
              <w:right w:val="single" w:color="000000" w:sz="4" w:space="0"/>
            </w:tcBorders>
            <w:shd w:val="clear" w:color="auto" w:fill="auto"/>
            <w:noWrap/>
            <w:vAlign w:val="center"/>
          </w:tcPr>
          <w:p w14:paraId="4860BA5F">
            <w:pPr>
              <w:jc w:val="center"/>
              <w:rPr>
                <w:rFonts w:hint="default" w:ascii="Times New Roman" w:hAnsi="Times New Roman" w:eastAsia="宋体" w:cs="Times New Roman"/>
                <w:i w:val="0"/>
                <w:iCs w:val="0"/>
                <w:color w:val="auto"/>
                <w:sz w:val="21"/>
                <w:szCs w:val="21"/>
                <w:highlight w:val="none"/>
                <w:u w:val="none"/>
                <w:lang w:val="en-US" w:eastAsia="zh-CN"/>
              </w:rPr>
            </w:pPr>
            <w:r>
              <w:rPr>
                <w:rFonts w:hint="default" w:ascii="Times New Roman" w:hAnsi="Times New Roman" w:eastAsia="宋体" w:cs="Times New Roman"/>
                <w:i w:val="0"/>
                <w:iCs w:val="0"/>
                <w:color w:val="auto"/>
                <w:sz w:val="21"/>
                <w:szCs w:val="21"/>
                <w:highlight w:val="none"/>
                <w:u w:val="none"/>
                <w:lang w:val="en-US" w:eastAsia="zh-CN"/>
              </w:rPr>
              <w:t>处</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BF69">
            <w:pPr>
              <w:jc w:val="center"/>
              <w:rPr>
                <w:rFonts w:hint="default" w:ascii="Times New Roman" w:hAnsi="Times New Roman" w:eastAsia="宋体" w:cs="Times New Roman"/>
                <w:i w:val="0"/>
                <w:iCs w:val="0"/>
                <w:color w:val="auto"/>
                <w:sz w:val="21"/>
                <w:szCs w:val="21"/>
                <w:highlight w:val="none"/>
                <w:u w:val="none"/>
                <w:lang w:val="en-US" w:eastAsia="zh-CN"/>
              </w:rPr>
            </w:pPr>
            <w:r>
              <w:rPr>
                <w:rFonts w:hint="default" w:ascii="Times New Roman" w:hAnsi="Times New Roman" w:eastAsia="宋体" w:cs="Times New Roman"/>
                <w:i w:val="0"/>
                <w:iCs w:val="0"/>
                <w:color w:val="auto"/>
                <w:sz w:val="21"/>
                <w:szCs w:val="21"/>
                <w:highlight w:val="none"/>
                <w:u w:val="none"/>
                <w:lang w:val="en-US" w:eastAsia="zh-CN"/>
              </w:rPr>
              <w:t>27</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F925">
            <w:pPr>
              <w:rPr>
                <w:rFonts w:hint="default" w:ascii="Times New Roman" w:hAnsi="Times New Roman" w:eastAsia="宋体" w:cs="Times New Roman"/>
                <w:i w:val="0"/>
                <w:iCs w:val="0"/>
                <w:color w:val="auto"/>
                <w:sz w:val="21"/>
                <w:szCs w:val="21"/>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1F9E6">
            <w:pPr>
              <w:jc w:val="center"/>
              <w:rPr>
                <w:rFonts w:hint="default" w:ascii="Times New Roman" w:hAnsi="Times New Roman" w:eastAsia="宋体" w:cs="Times New Roman"/>
                <w:i w:val="0"/>
                <w:iCs w:val="0"/>
                <w:color w:val="auto"/>
                <w:sz w:val="21"/>
                <w:szCs w:val="21"/>
                <w:highlight w:val="none"/>
                <w:u w:val="none"/>
              </w:rPr>
            </w:pPr>
          </w:p>
        </w:tc>
      </w:tr>
      <w:tr w14:paraId="756F9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296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04EA6">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合计</w:t>
            </w:r>
          </w:p>
        </w:tc>
        <w:tc>
          <w:tcPr>
            <w:tcW w:w="203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7C8B">
            <w:pPr>
              <w:jc w:val="center"/>
              <w:rPr>
                <w:rFonts w:hint="default" w:ascii="Times New Roman" w:hAnsi="Times New Roman" w:eastAsia="宋体" w:cs="Times New Roman"/>
                <w:i w:val="0"/>
                <w:iCs w:val="0"/>
                <w:color w:val="auto"/>
                <w:sz w:val="21"/>
                <w:szCs w:val="21"/>
                <w:highlight w:val="none"/>
                <w:u w:val="none"/>
              </w:rPr>
            </w:pPr>
          </w:p>
        </w:tc>
      </w:tr>
    </w:tbl>
    <w:p w14:paraId="6F5C7EF4">
      <w:pPr>
        <w:spacing w:line="520" w:lineRule="exact"/>
        <w:jc w:val="both"/>
        <w:rPr>
          <w:rFonts w:hint="eastAsia" w:ascii="宋体" w:hAnsi="宋体" w:cs="宋体"/>
          <w:color w:val="auto"/>
          <w:sz w:val="21"/>
          <w:szCs w:val="21"/>
          <w:highlight w:val="none"/>
        </w:rPr>
      </w:pPr>
    </w:p>
    <w:p w14:paraId="792D6EAB">
      <w:pPr>
        <w:spacing w:line="520" w:lineRule="exact"/>
        <w:jc w:val="right"/>
        <w:rPr>
          <w:rFonts w:hint="eastAsia" w:ascii="宋体" w:hAnsi="宋体" w:cs="宋体"/>
          <w:color w:val="auto"/>
          <w:sz w:val="21"/>
          <w:szCs w:val="21"/>
          <w:highlight w:val="none"/>
          <w:u w:val="single"/>
        </w:rPr>
      </w:pPr>
      <w:r>
        <w:rPr>
          <w:rFonts w:hint="eastAsia" w:ascii="宋体" w:hAnsi="宋体" w:cs="宋体"/>
          <w:color w:val="auto"/>
          <w:sz w:val="21"/>
          <w:szCs w:val="21"/>
          <w:highlight w:val="none"/>
          <w:lang w:val="en-US" w:eastAsia="zh-CN"/>
        </w:rPr>
        <w:t>供应商</w:t>
      </w:r>
      <w:r>
        <w:rPr>
          <w:rFonts w:hint="eastAsia" w:ascii="宋体" w:hAnsi="宋体" w:cs="宋体"/>
          <w:color w:val="auto"/>
          <w:sz w:val="21"/>
          <w:szCs w:val="21"/>
          <w:highlight w:val="none"/>
        </w:rPr>
        <w:t>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（盖章或电子签章）</w:t>
      </w:r>
    </w:p>
    <w:p w14:paraId="16D089AE">
      <w:pPr>
        <w:spacing w:line="520" w:lineRule="exact"/>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法定代表人或授权委托人：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（签字或电子签章）</w:t>
      </w:r>
    </w:p>
    <w:p w14:paraId="616886F6">
      <w:pPr>
        <w:spacing w:line="520" w:lineRule="exact"/>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年   月   日</w:t>
      </w:r>
    </w:p>
    <w:p w14:paraId="3F09A1AB">
      <w:pPr>
        <w:widowControl/>
        <w:spacing w:line="499" w:lineRule="atLeast"/>
        <w:jc w:val="center"/>
        <w:rPr>
          <w:rFonts w:hint="eastAsia" w:ascii="Times New Roman" w:hAnsi="Times New Roman" w:eastAsia="宋体" w:cs="Times New Roman"/>
          <w:color w:val="auto"/>
          <w:sz w:val="28"/>
          <w:szCs w:val="28"/>
          <w:highlight w:val="none"/>
          <w:lang w:val="en-US" w:eastAsia="zh-CN"/>
        </w:rPr>
      </w:pPr>
    </w:p>
    <w:p w14:paraId="7896BA65">
      <w:pPr>
        <w:widowControl/>
        <w:spacing w:line="499" w:lineRule="atLeast"/>
        <w:jc w:val="center"/>
        <w:rPr>
          <w:rFonts w:hint="default" w:ascii="宋体" w:hAnsi="宋体" w:eastAsia="宋体" w:cs="宋体"/>
          <w:b/>
          <w:bCs/>
          <w:color w:val="auto"/>
          <w:sz w:val="32"/>
          <w:szCs w:val="32"/>
          <w:highlight w:val="none"/>
          <w:lang w:val="en-US" w:eastAsia="zh-CN"/>
        </w:rPr>
      </w:pPr>
      <w:r>
        <w:rPr>
          <w:rFonts w:hint="eastAsia" w:ascii="Times New Roman" w:hAnsi="Times New Roman" w:eastAsia="宋体" w:cs="Times New Roman"/>
          <w:color w:val="auto"/>
          <w:sz w:val="28"/>
          <w:szCs w:val="28"/>
          <w:highlight w:val="none"/>
          <w:lang w:val="en-US" w:eastAsia="zh-CN"/>
        </w:rPr>
        <w:t>表2 采购包2分项报价表</w:t>
      </w:r>
    </w:p>
    <w:p w14:paraId="10D2EFAB">
      <w:pPr>
        <w:keepNext/>
        <w:keepLines/>
        <w:spacing w:before="120" w:after="120"/>
        <w:jc w:val="right"/>
        <w:outlineLvl w:val="0"/>
        <w:rPr>
          <w:rFonts w:hint="default" w:ascii="宋体" w:hAnsi="宋体" w:eastAsia="宋体"/>
          <w:b w:val="0"/>
          <w:bCs/>
          <w:color w:val="auto"/>
          <w:spacing w:val="20"/>
          <w:sz w:val="21"/>
          <w:szCs w:val="21"/>
          <w:highlight w:val="none"/>
          <w:lang w:val="en-US" w:eastAsia="zh-CN"/>
        </w:rPr>
      </w:pPr>
      <w:r>
        <w:rPr>
          <w:rFonts w:hint="eastAsia" w:ascii="宋体" w:hAnsi="宋体"/>
          <w:b w:val="0"/>
          <w:bCs/>
          <w:color w:val="auto"/>
          <w:spacing w:val="20"/>
          <w:sz w:val="21"/>
          <w:szCs w:val="21"/>
          <w:highlight w:val="none"/>
          <w:lang w:val="en-US" w:eastAsia="zh-CN"/>
        </w:rPr>
        <w:t>单位：万元</w:t>
      </w:r>
    </w:p>
    <w:tbl>
      <w:tblPr>
        <w:tblStyle w:val="15"/>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7"/>
        <w:gridCol w:w="3796"/>
        <w:gridCol w:w="859"/>
        <w:gridCol w:w="931"/>
        <w:gridCol w:w="924"/>
        <w:gridCol w:w="1908"/>
      </w:tblGrid>
      <w:tr w14:paraId="0E97B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936F">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rPr>
            </w:pPr>
            <w:r>
              <w:rPr>
                <w:rFonts w:hint="default" w:ascii="Times New Roman" w:hAnsi="Times New Roman" w:eastAsia="宋体" w:cs="Times New Roman"/>
                <w:i w:val="0"/>
                <w:iCs w:val="0"/>
                <w:color w:val="auto"/>
                <w:sz w:val="21"/>
                <w:szCs w:val="21"/>
                <w:highlight w:val="none"/>
                <w:u w:val="none"/>
                <w:lang w:val="en-US" w:eastAsia="zh-CN"/>
              </w:rPr>
              <w:t>序号</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03AB0">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监测类型</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E64FB">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单位</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2E8B8">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数量</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97EAD">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单价</w:t>
            </w: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DD925">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小计</w:t>
            </w:r>
          </w:p>
        </w:tc>
      </w:tr>
      <w:tr w14:paraId="516C0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nil"/>
              <w:right w:val="single" w:color="000000" w:sz="4" w:space="0"/>
            </w:tcBorders>
            <w:shd w:val="clear" w:color="auto" w:fill="auto"/>
            <w:noWrap/>
            <w:vAlign w:val="center"/>
          </w:tcPr>
          <w:p w14:paraId="13C6669B">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1</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2EC4D">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sz w:val="21"/>
                <w:szCs w:val="21"/>
                <w:highlight w:val="none"/>
                <w:u w:val="none"/>
                <w:lang w:val="en-US" w:eastAsia="zh-CN" w:bidi="ar"/>
              </w:rPr>
              <w:t>标准化监测</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C90F61">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座</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3792">
            <w:pPr>
              <w:keepNext w:val="0"/>
              <w:keepLines w:val="0"/>
              <w:widowControl/>
              <w:suppressLineNumbers w:val="0"/>
              <w:jc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3</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DB55">
            <w:pPr>
              <w:jc w:val="center"/>
              <w:rPr>
                <w:rFonts w:hint="default" w:ascii="Times New Roman" w:hAnsi="Times New Roman" w:eastAsia="宋体" w:cs="Times New Roman"/>
                <w:i w:val="0"/>
                <w:iCs w:val="0"/>
                <w:color w:val="auto"/>
                <w:sz w:val="21"/>
                <w:szCs w:val="21"/>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25BA">
            <w:pPr>
              <w:jc w:val="center"/>
              <w:rPr>
                <w:rFonts w:hint="default" w:ascii="Times New Roman" w:hAnsi="Times New Roman" w:eastAsia="宋体" w:cs="Times New Roman"/>
                <w:i w:val="0"/>
                <w:iCs w:val="0"/>
                <w:color w:val="auto"/>
                <w:sz w:val="21"/>
                <w:szCs w:val="21"/>
                <w:highlight w:val="none"/>
                <w:u w:val="none"/>
              </w:rPr>
            </w:pPr>
          </w:p>
        </w:tc>
      </w:tr>
      <w:tr w14:paraId="47E0A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nil"/>
              <w:right w:val="single" w:color="000000" w:sz="4" w:space="0"/>
            </w:tcBorders>
            <w:shd w:val="clear" w:color="auto" w:fill="auto"/>
            <w:noWrap/>
            <w:vAlign w:val="center"/>
          </w:tcPr>
          <w:p w14:paraId="4F39C5E9">
            <w:pPr>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2</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CD1E8">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标准化监测（含执法称重系统）</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291F1">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座</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22042">
            <w:pPr>
              <w:keepNext w:val="0"/>
              <w:keepLines w:val="0"/>
              <w:widowControl/>
              <w:suppressLineNumbers w:val="0"/>
              <w:jc w:val="center"/>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2</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0716E">
            <w:pPr>
              <w:jc w:val="center"/>
              <w:rPr>
                <w:rFonts w:hint="default" w:ascii="Times New Roman" w:hAnsi="Times New Roman" w:eastAsia="宋体" w:cs="Times New Roman"/>
                <w:i w:val="0"/>
                <w:iCs w:val="0"/>
                <w:color w:val="auto"/>
                <w:sz w:val="21"/>
                <w:szCs w:val="21"/>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CFA44">
            <w:pPr>
              <w:jc w:val="center"/>
              <w:rPr>
                <w:rFonts w:hint="default" w:ascii="Times New Roman" w:hAnsi="Times New Roman" w:eastAsia="宋体" w:cs="Times New Roman"/>
                <w:i w:val="0"/>
                <w:iCs w:val="0"/>
                <w:color w:val="auto"/>
                <w:sz w:val="21"/>
                <w:szCs w:val="21"/>
                <w:highlight w:val="none"/>
                <w:u w:val="none"/>
              </w:rPr>
            </w:pPr>
          </w:p>
        </w:tc>
      </w:tr>
      <w:tr w14:paraId="602DE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jc w:val="center"/>
        </w:trPr>
        <w:tc>
          <w:tcPr>
            <w:tcW w:w="442" w:type="pct"/>
            <w:tcBorders>
              <w:top w:val="single" w:color="000000" w:sz="4" w:space="0"/>
              <w:left w:val="single" w:color="000000" w:sz="4" w:space="0"/>
              <w:bottom w:val="nil"/>
              <w:right w:val="single" w:color="000000" w:sz="4" w:space="0"/>
            </w:tcBorders>
            <w:shd w:val="clear" w:color="auto" w:fill="auto"/>
            <w:noWrap/>
            <w:vAlign w:val="center"/>
          </w:tcPr>
          <w:p w14:paraId="074C98B3">
            <w:pPr>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3</w:t>
            </w:r>
          </w:p>
        </w:tc>
        <w:tc>
          <w:tcPr>
            <w:tcW w:w="20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2E789">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rPr>
            </w:pPr>
            <w:r>
              <w:rPr>
                <w:rFonts w:hint="default" w:ascii="Times New Roman" w:hAnsi="Times New Roman" w:eastAsia="宋体" w:cs="Times New Roman"/>
                <w:i w:val="0"/>
                <w:iCs w:val="0"/>
                <w:color w:val="auto"/>
                <w:sz w:val="21"/>
                <w:szCs w:val="21"/>
                <w:highlight w:val="none"/>
                <w:u w:val="none"/>
                <w:lang w:val="en-US" w:eastAsia="zh-CN" w:bidi="ar"/>
              </w:rPr>
              <w:t>轻量化监测</w:t>
            </w:r>
          </w:p>
        </w:tc>
        <w:tc>
          <w:tcPr>
            <w:tcW w:w="46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19FB3">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座</w:t>
            </w: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FFC94">
            <w:pPr>
              <w:keepNext w:val="0"/>
              <w:keepLines w:val="0"/>
              <w:widowControl/>
              <w:suppressLineNumbers w:val="0"/>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31</w:t>
            </w:r>
          </w:p>
        </w:tc>
        <w:tc>
          <w:tcPr>
            <w:tcW w:w="5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EF21F">
            <w:pPr>
              <w:jc w:val="center"/>
              <w:rPr>
                <w:rFonts w:hint="default" w:ascii="Times New Roman" w:hAnsi="Times New Roman" w:eastAsia="宋体" w:cs="Times New Roman"/>
                <w:i w:val="0"/>
                <w:iCs w:val="0"/>
                <w:color w:val="auto"/>
                <w:sz w:val="21"/>
                <w:szCs w:val="21"/>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329D">
            <w:pPr>
              <w:jc w:val="center"/>
              <w:rPr>
                <w:rFonts w:hint="default" w:ascii="Times New Roman" w:hAnsi="Times New Roman" w:eastAsia="宋体" w:cs="Times New Roman"/>
                <w:i w:val="0"/>
                <w:iCs w:val="0"/>
                <w:color w:val="auto"/>
                <w:sz w:val="21"/>
                <w:szCs w:val="21"/>
                <w:highlight w:val="none"/>
                <w:u w:val="none"/>
              </w:rPr>
            </w:pPr>
          </w:p>
        </w:tc>
      </w:tr>
      <w:tr w14:paraId="619E6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4" w:hRule="exact"/>
          <w:jc w:val="center"/>
        </w:trPr>
        <w:tc>
          <w:tcPr>
            <w:tcW w:w="2962"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CFDBC">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lang w:val="en-US" w:eastAsia="zh-CN" w:bidi="ar"/>
              </w:rPr>
              <w:t>合计</w:t>
            </w:r>
          </w:p>
        </w:tc>
        <w:tc>
          <w:tcPr>
            <w:tcW w:w="203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6F34D">
            <w:pPr>
              <w:jc w:val="center"/>
              <w:rPr>
                <w:rFonts w:hint="default" w:ascii="Times New Roman" w:hAnsi="Times New Roman" w:eastAsia="宋体" w:cs="Times New Roman"/>
                <w:i w:val="0"/>
                <w:iCs w:val="0"/>
                <w:color w:val="auto"/>
                <w:sz w:val="21"/>
                <w:szCs w:val="21"/>
                <w:highlight w:val="none"/>
                <w:u w:val="none"/>
              </w:rPr>
            </w:pPr>
          </w:p>
        </w:tc>
      </w:tr>
    </w:tbl>
    <w:p w14:paraId="6FEB1D69">
      <w:pPr>
        <w:spacing w:line="520" w:lineRule="exact"/>
        <w:jc w:val="both"/>
        <w:rPr>
          <w:rFonts w:hint="eastAsia" w:ascii="宋体" w:hAnsi="宋体" w:cs="宋体"/>
          <w:color w:val="auto"/>
          <w:sz w:val="21"/>
          <w:szCs w:val="21"/>
          <w:highlight w:val="none"/>
        </w:rPr>
      </w:pPr>
    </w:p>
    <w:p w14:paraId="2649234D">
      <w:pPr>
        <w:spacing w:line="520" w:lineRule="exact"/>
        <w:jc w:val="right"/>
        <w:rPr>
          <w:rFonts w:hint="eastAsia" w:ascii="宋体" w:hAnsi="宋体" w:cs="宋体"/>
          <w:color w:val="auto"/>
          <w:sz w:val="21"/>
          <w:szCs w:val="21"/>
          <w:highlight w:val="none"/>
          <w:u w:val="single"/>
        </w:rPr>
      </w:pPr>
      <w:r>
        <w:rPr>
          <w:rFonts w:hint="eastAsia" w:ascii="宋体" w:hAnsi="宋体" w:cs="宋体"/>
          <w:color w:val="auto"/>
          <w:sz w:val="21"/>
          <w:szCs w:val="21"/>
          <w:highlight w:val="none"/>
          <w:lang w:val="en-US" w:eastAsia="zh-CN"/>
        </w:rPr>
        <w:t>供应商</w:t>
      </w:r>
      <w:r>
        <w:rPr>
          <w:rFonts w:hint="eastAsia" w:ascii="宋体" w:hAnsi="宋体" w:cs="宋体"/>
          <w:color w:val="auto"/>
          <w:sz w:val="21"/>
          <w:szCs w:val="21"/>
          <w:highlight w:val="none"/>
        </w:rPr>
        <w:t>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（盖章或电子签章）</w:t>
      </w:r>
    </w:p>
    <w:p w14:paraId="424D74CE">
      <w:pPr>
        <w:spacing w:line="520" w:lineRule="exact"/>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法定代表人或授权委托人：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（签字或电子签章）</w:t>
      </w:r>
    </w:p>
    <w:p w14:paraId="14DB2F72">
      <w:pPr>
        <w:spacing w:line="520" w:lineRule="exact"/>
        <w:jc w:val="right"/>
        <w:rPr>
          <w:rFonts w:hint="eastAsia" w:ascii="宋体" w:hAnsi="宋体" w:cs="宋体"/>
          <w:color w:val="auto"/>
          <w:sz w:val="21"/>
          <w:szCs w:val="21"/>
          <w:highlight w:val="none"/>
        </w:rPr>
      </w:pPr>
      <w:r>
        <w:rPr>
          <w:rFonts w:hint="eastAsia" w:ascii="宋体" w:hAnsi="宋体" w:cs="宋体"/>
          <w:color w:val="auto"/>
          <w:sz w:val="21"/>
          <w:szCs w:val="21"/>
          <w:highlight w:val="none"/>
        </w:rPr>
        <w:t>年   月   日</w:t>
      </w:r>
    </w:p>
    <w:p w14:paraId="4EBCA687">
      <w:pPr>
        <w:pStyle w:val="13"/>
        <w:spacing w:beforeAutospacing="0" w:afterAutospacing="0"/>
        <w:jc w:val="center"/>
        <w:rPr>
          <w:color w:val="auto"/>
          <w:highlight w:val="none"/>
        </w:rPr>
      </w:pPr>
    </w:p>
    <w:p w14:paraId="3C10CD46">
      <w:pPr>
        <w:pStyle w:val="13"/>
        <w:spacing w:beforeAutospacing="0" w:afterAutospacing="0"/>
        <w:jc w:val="center"/>
        <w:rPr>
          <w:color w:val="auto"/>
          <w:highlight w:val="none"/>
        </w:rPr>
      </w:pPr>
    </w:p>
    <w:p w14:paraId="4C665761">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0AA567DE">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3"/>
              <w:spacing w:beforeAutospacing="0" w:afterAutospacing="0"/>
              <w:jc w:val="center"/>
              <w:rPr>
                <w:color w:val="auto"/>
                <w:highlight w:val="none"/>
              </w:rPr>
            </w:pPr>
            <w:r>
              <w:rPr>
                <w:color w:val="auto"/>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3"/>
              <w:spacing w:beforeAutospacing="0" w:afterAutospacing="0"/>
              <w:jc w:val="center"/>
              <w:rPr>
                <w:color w:val="auto"/>
                <w:highlight w:val="none"/>
              </w:rPr>
            </w:pPr>
            <w:r>
              <w:rPr>
                <w:color w:val="auto"/>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3"/>
              <w:spacing w:beforeAutospacing="0" w:afterAutospacing="0"/>
              <w:jc w:val="center"/>
              <w:rPr>
                <w:color w:val="auto"/>
                <w:highlight w:val="none"/>
              </w:rPr>
            </w:pPr>
            <w:r>
              <w:rPr>
                <w:color w:val="auto"/>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3"/>
              <w:spacing w:beforeAutospacing="0" w:afterAutospacing="0"/>
              <w:jc w:val="center"/>
              <w:rPr>
                <w:color w:val="auto"/>
                <w:highlight w:val="none"/>
              </w:rPr>
            </w:pPr>
            <w:r>
              <w:rPr>
                <w:color w:val="auto"/>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3"/>
              <w:spacing w:beforeAutospacing="0" w:afterAutospacing="0"/>
              <w:jc w:val="center"/>
              <w:rPr>
                <w:color w:val="auto"/>
                <w:highlight w:val="none"/>
              </w:rPr>
            </w:pPr>
            <w:r>
              <w:rPr>
                <w:color w:val="auto"/>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3"/>
              <w:spacing w:beforeAutospacing="0" w:afterAutospacing="0"/>
              <w:jc w:val="center"/>
              <w:rPr>
                <w:color w:val="auto"/>
                <w:highlight w:val="none"/>
              </w:rPr>
            </w:pPr>
            <w:r>
              <w:rPr>
                <w:color w:val="auto"/>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3"/>
              <w:spacing w:beforeAutospacing="0" w:afterAutospacing="0"/>
              <w:jc w:val="center"/>
              <w:rPr>
                <w:color w:val="auto"/>
                <w:highlight w:val="none"/>
              </w:rPr>
            </w:pPr>
            <w:r>
              <w:rPr>
                <w:color w:val="auto"/>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3"/>
              <w:spacing w:beforeAutospacing="0" w:afterAutospacing="0"/>
              <w:jc w:val="center"/>
              <w:rPr>
                <w:color w:val="auto"/>
                <w:highlight w:val="none"/>
              </w:rPr>
            </w:pPr>
            <w:r>
              <w:rPr>
                <w:color w:val="auto"/>
                <w:highlight w:val="none"/>
              </w:rPr>
              <w:t> </w:t>
            </w:r>
          </w:p>
        </w:tc>
      </w:tr>
    </w:tbl>
    <w:p w14:paraId="039DC209">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5AA5ABF">
      <w:pPr>
        <w:pStyle w:val="13"/>
        <w:spacing w:beforeAutospacing="0" w:afterAutospacing="0"/>
        <w:jc w:val="center"/>
        <w:rPr>
          <w:color w:val="auto"/>
          <w:highlight w:val="none"/>
        </w:rPr>
      </w:pPr>
      <w:r>
        <w:rPr>
          <w:color w:val="auto"/>
          <w:highlight w:val="none"/>
        </w:rPr>
        <w:t> </w:t>
      </w:r>
    </w:p>
    <w:p w14:paraId="3DE57A72">
      <w:pPr>
        <w:pStyle w:val="13"/>
        <w:spacing w:beforeAutospacing="0" w:afterAutospacing="0"/>
        <w:jc w:val="center"/>
        <w:rPr>
          <w:color w:val="auto"/>
          <w:highlight w:val="none"/>
        </w:rPr>
      </w:pPr>
      <w:r>
        <w:rPr>
          <w:color w:val="auto"/>
          <w:highlight w:val="none"/>
        </w:rPr>
        <w:t> </w:t>
      </w:r>
    </w:p>
    <w:p w14:paraId="5D8A6DEA">
      <w:pPr>
        <w:pStyle w:val="13"/>
        <w:spacing w:beforeAutospacing="0" w:afterAutospacing="0"/>
        <w:jc w:val="center"/>
        <w:rPr>
          <w:color w:val="auto"/>
          <w:highlight w:val="none"/>
        </w:rPr>
      </w:pPr>
      <w:r>
        <w:rPr>
          <w:color w:val="auto"/>
          <w:highlight w:val="none"/>
        </w:rPr>
        <w:t> </w:t>
      </w:r>
    </w:p>
    <w:p w14:paraId="4F7E03C8">
      <w:pPr>
        <w:pStyle w:val="13"/>
        <w:spacing w:beforeAutospacing="0" w:afterAutospacing="0"/>
        <w:jc w:val="center"/>
        <w:rPr>
          <w:color w:val="auto"/>
          <w:highlight w:val="none"/>
        </w:rPr>
      </w:pPr>
      <w:r>
        <w:rPr>
          <w:color w:val="auto"/>
          <w:highlight w:val="none"/>
        </w:rPr>
        <w:t> </w:t>
      </w:r>
    </w:p>
    <w:p w14:paraId="068A4565">
      <w:pPr>
        <w:pStyle w:val="13"/>
        <w:spacing w:beforeAutospacing="0" w:afterAutospacing="0"/>
        <w:jc w:val="both"/>
        <w:rPr>
          <w:color w:val="auto"/>
          <w:highlight w:val="none"/>
        </w:rPr>
      </w:pPr>
      <w:r>
        <w:rPr>
          <w:color w:val="auto"/>
          <w:highlight w:val="none"/>
        </w:rPr>
        <w:t> </w:t>
      </w:r>
    </w:p>
    <w:p w14:paraId="6EC5A847">
      <w:pPr>
        <w:pStyle w:val="13"/>
        <w:spacing w:beforeAutospacing="0" w:afterAutospacing="0"/>
        <w:jc w:val="both"/>
        <w:rPr>
          <w:color w:val="auto"/>
          <w:highlight w:val="none"/>
        </w:rPr>
      </w:pPr>
      <w:r>
        <w:rPr>
          <w:color w:val="auto"/>
          <w:highlight w:val="none"/>
        </w:rPr>
        <w:t> </w:t>
      </w:r>
    </w:p>
    <w:p w14:paraId="78FCBE0B">
      <w:pPr>
        <w:pStyle w:val="13"/>
        <w:spacing w:beforeAutospacing="0" w:afterAutospacing="0"/>
        <w:jc w:val="both"/>
        <w:rPr>
          <w:color w:val="auto"/>
          <w:highlight w:val="none"/>
        </w:rPr>
      </w:pPr>
      <w:r>
        <w:rPr>
          <w:color w:val="auto"/>
          <w:highlight w:val="none"/>
        </w:rPr>
        <w:t> </w:t>
      </w:r>
    </w:p>
    <w:p w14:paraId="174ABED4">
      <w:pPr>
        <w:pStyle w:val="13"/>
        <w:spacing w:beforeAutospacing="0" w:afterAutospacing="0"/>
        <w:jc w:val="both"/>
        <w:rPr>
          <w:color w:val="auto"/>
          <w:highlight w:val="none"/>
        </w:rPr>
      </w:pPr>
      <w:r>
        <w:rPr>
          <w:color w:val="auto"/>
          <w:highlight w:val="none"/>
        </w:rPr>
        <w:t> </w:t>
      </w:r>
    </w:p>
    <w:p w14:paraId="79285A37">
      <w:pPr>
        <w:pStyle w:val="13"/>
        <w:spacing w:beforeAutospacing="0" w:afterAutospacing="0"/>
        <w:jc w:val="both"/>
        <w:rPr>
          <w:color w:val="auto"/>
          <w:highlight w:val="none"/>
        </w:rPr>
      </w:pPr>
    </w:p>
    <w:p w14:paraId="1F8896A9">
      <w:pPr>
        <w:pStyle w:val="13"/>
        <w:spacing w:beforeAutospacing="0" w:afterAutospacing="0"/>
        <w:jc w:val="both"/>
        <w:rPr>
          <w:color w:val="auto"/>
          <w:highlight w:val="none"/>
        </w:rPr>
      </w:pPr>
    </w:p>
    <w:p w14:paraId="33FE263D">
      <w:pPr>
        <w:pStyle w:val="13"/>
        <w:spacing w:beforeAutospacing="0" w:afterAutospacing="0"/>
        <w:jc w:val="both"/>
        <w:rPr>
          <w:color w:val="auto"/>
          <w:highlight w:val="none"/>
        </w:rPr>
      </w:pPr>
    </w:p>
    <w:p w14:paraId="6377BA79">
      <w:pPr>
        <w:pStyle w:val="13"/>
        <w:spacing w:beforeAutospacing="0" w:afterAutospacing="0"/>
        <w:jc w:val="both"/>
        <w:rPr>
          <w:color w:val="auto"/>
          <w:highlight w:val="none"/>
        </w:rPr>
      </w:pPr>
    </w:p>
    <w:p w14:paraId="7251072B">
      <w:pPr>
        <w:pStyle w:val="13"/>
        <w:spacing w:beforeAutospacing="0" w:afterAutospacing="0"/>
        <w:jc w:val="both"/>
        <w:rPr>
          <w:color w:val="auto"/>
          <w:highlight w:val="none"/>
        </w:rPr>
      </w:pPr>
    </w:p>
    <w:p w14:paraId="1B25334D">
      <w:pPr>
        <w:pStyle w:val="13"/>
        <w:spacing w:beforeAutospacing="0" w:afterAutospacing="0"/>
        <w:jc w:val="both"/>
        <w:rPr>
          <w:color w:val="auto"/>
          <w:highlight w:val="none"/>
        </w:rPr>
      </w:pPr>
    </w:p>
    <w:p w14:paraId="5D154BA8">
      <w:pPr>
        <w:pStyle w:val="13"/>
        <w:spacing w:beforeAutospacing="0" w:afterAutospacing="0"/>
        <w:jc w:val="both"/>
        <w:rPr>
          <w:color w:val="auto"/>
          <w:highlight w:val="none"/>
        </w:rPr>
      </w:pPr>
    </w:p>
    <w:p w14:paraId="50B76237">
      <w:pPr>
        <w:pStyle w:val="13"/>
        <w:spacing w:beforeAutospacing="0" w:afterAutospacing="0"/>
        <w:jc w:val="both"/>
        <w:rPr>
          <w:color w:val="auto"/>
          <w:highlight w:val="none"/>
        </w:rPr>
      </w:pPr>
    </w:p>
    <w:p w14:paraId="450607F9">
      <w:pPr>
        <w:pStyle w:val="13"/>
        <w:spacing w:beforeAutospacing="0" w:afterAutospacing="0"/>
        <w:jc w:val="both"/>
        <w:rPr>
          <w:color w:val="auto"/>
          <w:highlight w:val="none"/>
        </w:rPr>
        <w:sectPr>
          <w:pgSz w:w="11906" w:h="16838"/>
          <w:pgMar w:top="1440" w:right="1440" w:bottom="1440" w:left="1440" w:header="851" w:footer="992" w:gutter="0"/>
          <w:cols w:space="425" w:num="1"/>
          <w:docGrid w:type="lines" w:linePitch="312" w:charSpace="0"/>
        </w:sectPr>
      </w:pPr>
      <w:r>
        <w:rPr>
          <w:color w:val="auto"/>
          <w:highlight w:val="none"/>
        </w:rPr>
        <w:t> </w:t>
      </w:r>
    </w:p>
    <w:p w14:paraId="2937E1C6">
      <w:pPr>
        <w:pStyle w:val="13"/>
        <w:spacing w:beforeAutospacing="0" w:afterAutospacing="0"/>
        <w:jc w:val="center"/>
        <w:rPr>
          <w:color w:val="auto"/>
          <w:highlight w:val="none"/>
        </w:rPr>
      </w:pPr>
      <w:bookmarkStart w:id="190" w:name="_Hlt26955054"/>
      <w:r>
        <w:rPr>
          <w:rFonts w:hint="eastAsia" w:ascii="黑体" w:hAnsi="宋体" w:eastAsia="黑体" w:cs="黑体"/>
          <w:b/>
          <w:color w:val="auto"/>
          <w:sz w:val="32"/>
          <w:szCs w:val="32"/>
          <w:highlight w:val="none"/>
          <w:lang w:val="en-US" w:eastAsia="zh-CN"/>
        </w:rPr>
        <w:t>十三</w:t>
      </w:r>
      <w:r>
        <w:rPr>
          <w:rFonts w:hint="eastAsia" w:ascii="黑体" w:hAnsi="宋体" w:eastAsia="黑体" w:cs="黑体"/>
          <w:b/>
          <w:color w:val="auto"/>
          <w:sz w:val="32"/>
          <w:szCs w:val="32"/>
          <w:highlight w:val="none"/>
        </w:rPr>
        <w:t>、商务要求响应及偏离表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3"/>
              <w:spacing w:beforeAutospacing="0" w:afterAutospacing="0"/>
              <w:jc w:val="center"/>
              <w:rPr>
                <w:color w:val="auto"/>
                <w:highlight w:val="none"/>
              </w:rPr>
            </w:pPr>
            <w:bookmarkStart w:id="191" w:name="_Hlt24879081"/>
            <w:bookmarkStart w:id="192" w:name="_Hlt26955056"/>
            <w:bookmarkStart w:id="193" w:name="_Hlt26671343"/>
            <w:bookmarkStart w:id="194" w:name="_Hlt26580838"/>
            <w:bookmarkStart w:id="195" w:name="_Hlt26671372"/>
            <w:bookmarkStart w:id="196" w:name="_Hlt26609391"/>
            <w:bookmarkStart w:id="197" w:name="_Hlt26955064"/>
            <w:bookmarkStart w:id="198" w:name="_Hlt26782999"/>
            <w:r>
              <w:rPr>
                <w:rFonts w:hint="eastAsia" w:ascii="宋体" w:hAnsi="宋体" w:eastAsia="宋体" w:cs="宋体"/>
                <w:color w:val="auto"/>
                <w:highlight w:val="none"/>
              </w:rPr>
              <w:t>序号</w:t>
            </w:r>
          </w:p>
          <w:bookmarkEnd w:id="191"/>
          <w:bookmarkEnd w:id="192"/>
          <w:bookmarkEnd w:id="193"/>
          <w:bookmarkEnd w:id="194"/>
          <w:bookmarkEnd w:id="195"/>
          <w:bookmarkEnd w:id="196"/>
          <w:bookmarkEnd w:id="197"/>
          <w:bookmarkEnd w:id="198"/>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3"/>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3"/>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07127613">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3"/>
              <w:spacing w:beforeAutospacing="0" w:afterAutospacing="0"/>
              <w:jc w:val="center"/>
              <w:rPr>
                <w:color w:val="auto"/>
                <w:highlight w:val="none"/>
              </w:rPr>
            </w:pPr>
            <w:r>
              <w:rPr>
                <w:color w:val="auto"/>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3"/>
              <w:spacing w:beforeAutospacing="0" w:afterAutospacing="0"/>
              <w:jc w:val="center"/>
              <w:rPr>
                <w:color w:val="auto"/>
                <w:highlight w:val="none"/>
              </w:rPr>
            </w:pPr>
            <w:r>
              <w:rPr>
                <w:color w:val="auto"/>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3"/>
              <w:spacing w:beforeAutospacing="0" w:afterAutospacing="0"/>
              <w:jc w:val="center"/>
              <w:rPr>
                <w:color w:val="auto"/>
                <w:highlight w:val="none"/>
              </w:rPr>
            </w:pPr>
            <w:r>
              <w:rPr>
                <w:color w:val="auto"/>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3"/>
              <w:spacing w:beforeAutospacing="0" w:afterAutospacing="0"/>
              <w:jc w:val="center"/>
              <w:rPr>
                <w:color w:val="auto"/>
                <w:highlight w:val="none"/>
              </w:rPr>
            </w:pPr>
            <w:r>
              <w:rPr>
                <w:color w:val="auto"/>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3"/>
              <w:spacing w:beforeAutospacing="0" w:afterAutospacing="0"/>
              <w:jc w:val="center"/>
              <w:rPr>
                <w:color w:val="auto"/>
                <w:highlight w:val="none"/>
              </w:rPr>
            </w:pPr>
            <w:r>
              <w:rPr>
                <w:color w:val="auto"/>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3"/>
              <w:spacing w:beforeAutospacing="0" w:afterAutospacing="0"/>
              <w:jc w:val="center"/>
              <w:rPr>
                <w:color w:val="auto"/>
                <w:highlight w:val="none"/>
              </w:rPr>
            </w:pPr>
            <w:r>
              <w:rPr>
                <w:color w:val="auto"/>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3"/>
              <w:spacing w:beforeAutospacing="0" w:afterAutospacing="0"/>
              <w:jc w:val="center"/>
              <w:rPr>
                <w:color w:val="auto"/>
                <w:highlight w:val="none"/>
              </w:rPr>
            </w:pPr>
            <w:r>
              <w:rPr>
                <w:color w:val="auto"/>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3"/>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3"/>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3"/>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3"/>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3"/>
              <w:spacing w:beforeAutospacing="0" w:afterAutospacing="0"/>
              <w:jc w:val="center"/>
              <w:rPr>
                <w:color w:val="auto"/>
                <w:highlight w:val="none"/>
              </w:rPr>
            </w:pPr>
            <w:r>
              <w:rPr>
                <w:color w:val="auto"/>
                <w:highlight w:val="none"/>
              </w:rPr>
              <w:t> </w:t>
            </w:r>
          </w:p>
        </w:tc>
      </w:tr>
    </w:tbl>
    <w:p w14:paraId="0515F675">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4F9477BB">
      <w:pPr>
        <w:pStyle w:val="13"/>
        <w:spacing w:beforeAutospacing="0" w:afterAutospacing="0" w:line="480" w:lineRule="auto"/>
        <w:jc w:val="both"/>
        <w:rPr>
          <w:color w:val="auto"/>
          <w:highlight w:val="none"/>
        </w:rPr>
      </w:pPr>
      <w:r>
        <w:rPr>
          <w:color w:val="auto"/>
          <w:highlight w:val="none"/>
        </w:rPr>
        <w:t> </w:t>
      </w:r>
    </w:p>
    <w:p w14:paraId="771A2ABD">
      <w:pPr>
        <w:pStyle w:val="13"/>
        <w:spacing w:beforeAutospacing="0" w:afterAutospacing="0" w:line="480" w:lineRule="auto"/>
        <w:jc w:val="both"/>
        <w:rPr>
          <w:color w:val="auto"/>
          <w:highlight w:val="none"/>
        </w:rPr>
      </w:pPr>
      <w:r>
        <w:rPr>
          <w:color w:val="auto"/>
          <w:highlight w:val="none"/>
        </w:rPr>
        <w:t> </w:t>
      </w:r>
    </w:p>
    <w:p w14:paraId="6564921F">
      <w:pPr>
        <w:pStyle w:val="13"/>
        <w:spacing w:beforeAutospacing="0" w:afterAutospacing="0"/>
        <w:jc w:val="center"/>
        <w:rPr>
          <w:color w:val="auto"/>
          <w:highlight w:val="none"/>
        </w:rPr>
      </w:pPr>
      <w:bookmarkStart w:id="199" w:name="_格式2__法定代表人授权书"/>
      <w:bookmarkStart w:id="200" w:name="_Hlt26955066"/>
      <w:bookmarkStart w:id="201" w:name="_Hlt26609389"/>
      <w:bookmarkStart w:id="202" w:name="_Hlt26671374"/>
      <w:bookmarkStart w:id="203" w:name="_Toc462564146"/>
      <w:r>
        <w:rPr>
          <w:color w:val="auto"/>
          <w:highlight w:val="none"/>
        </w:rPr>
        <w:t> </w:t>
      </w:r>
    </w:p>
    <w:p w14:paraId="43E033E8">
      <w:pPr>
        <w:pStyle w:val="13"/>
        <w:spacing w:beforeAutospacing="0" w:afterAutospacing="0"/>
        <w:jc w:val="both"/>
        <w:rPr>
          <w:color w:val="auto"/>
          <w:highlight w:val="none"/>
        </w:rPr>
      </w:pPr>
      <w:r>
        <w:rPr>
          <w:color w:val="auto"/>
          <w:highlight w:val="none"/>
        </w:rPr>
        <w:t> </w:t>
      </w:r>
    </w:p>
    <w:p w14:paraId="34DD36AA">
      <w:pPr>
        <w:pStyle w:val="13"/>
        <w:spacing w:beforeAutospacing="0" w:afterAutospacing="0"/>
        <w:jc w:val="both"/>
        <w:rPr>
          <w:color w:val="auto"/>
          <w:highlight w:val="none"/>
        </w:rPr>
      </w:pPr>
      <w:r>
        <w:rPr>
          <w:color w:val="auto"/>
          <w:highlight w:val="none"/>
        </w:rPr>
        <w:t> </w:t>
      </w:r>
    </w:p>
    <w:p w14:paraId="0B59FED3">
      <w:pPr>
        <w:pStyle w:val="13"/>
        <w:spacing w:beforeAutospacing="0" w:afterAutospacing="0"/>
        <w:jc w:val="both"/>
        <w:rPr>
          <w:color w:val="auto"/>
          <w:highlight w:val="none"/>
        </w:rPr>
      </w:pPr>
    </w:p>
    <w:p w14:paraId="674A53C6">
      <w:pPr>
        <w:pStyle w:val="13"/>
        <w:spacing w:beforeAutospacing="0" w:afterAutospacing="0"/>
        <w:jc w:val="both"/>
        <w:rPr>
          <w:color w:val="auto"/>
          <w:highlight w:val="none"/>
        </w:rPr>
      </w:pPr>
    </w:p>
    <w:p w14:paraId="7646B14A">
      <w:pPr>
        <w:pStyle w:val="13"/>
        <w:spacing w:beforeAutospacing="0" w:afterAutospacing="0"/>
        <w:jc w:val="both"/>
        <w:rPr>
          <w:color w:val="auto"/>
          <w:highlight w:val="none"/>
        </w:rPr>
      </w:pPr>
    </w:p>
    <w:p w14:paraId="18437834">
      <w:pPr>
        <w:pStyle w:val="13"/>
        <w:spacing w:beforeAutospacing="0" w:afterAutospacing="0"/>
        <w:jc w:val="both"/>
        <w:rPr>
          <w:color w:val="auto"/>
          <w:highlight w:val="none"/>
        </w:rPr>
      </w:pPr>
    </w:p>
    <w:p w14:paraId="6AC5CF75">
      <w:pPr>
        <w:pStyle w:val="13"/>
        <w:spacing w:beforeAutospacing="0" w:afterAutospacing="0"/>
        <w:jc w:val="both"/>
        <w:rPr>
          <w:color w:val="auto"/>
          <w:highlight w:val="none"/>
        </w:rPr>
      </w:pPr>
    </w:p>
    <w:p w14:paraId="4402A329">
      <w:pPr>
        <w:pStyle w:val="13"/>
        <w:spacing w:beforeAutospacing="0" w:afterAutospacing="0"/>
        <w:jc w:val="both"/>
        <w:rPr>
          <w:color w:val="auto"/>
          <w:highlight w:val="none"/>
        </w:rPr>
      </w:pPr>
    </w:p>
    <w:p w14:paraId="433415F5">
      <w:pPr>
        <w:pStyle w:val="13"/>
        <w:spacing w:beforeAutospacing="0" w:afterAutospacing="0"/>
        <w:jc w:val="both"/>
        <w:rPr>
          <w:color w:val="auto"/>
          <w:highlight w:val="none"/>
        </w:rPr>
      </w:pPr>
    </w:p>
    <w:p w14:paraId="664A23CF">
      <w:pPr>
        <w:pStyle w:val="13"/>
        <w:spacing w:beforeAutospacing="0" w:afterAutospacing="0"/>
        <w:jc w:val="both"/>
        <w:rPr>
          <w:color w:val="auto"/>
          <w:highlight w:val="none"/>
        </w:rPr>
      </w:pPr>
    </w:p>
    <w:p w14:paraId="577CDDA2">
      <w:pPr>
        <w:pStyle w:val="13"/>
        <w:spacing w:beforeAutospacing="0" w:afterAutospacing="0"/>
        <w:jc w:val="both"/>
        <w:rPr>
          <w:color w:val="auto"/>
          <w:highlight w:val="none"/>
        </w:rPr>
      </w:pPr>
    </w:p>
    <w:p w14:paraId="2C30742F">
      <w:pPr>
        <w:pStyle w:val="13"/>
        <w:spacing w:beforeAutospacing="0" w:afterAutospacing="0"/>
        <w:jc w:val="both"/>
        <w:rPr>
          <w:color w:val="auto"/>
          <w:highlight w:val="none"/>
        </w:rPr>
      </w:pPr>
    </w:p>
    <w:p w14:paraId="3BA22CC3">
      <w:pPr>
        <w:pStyle w:val="13"/>
        <w:spacing w:beforeAutospacing="0" w:afterAutospacing="0"/>
        <w:jc w:val="both"/>
        <w:rPr>
          <w:color w:val="auto"/>
          <w:highlight w:val="none"/>
        </w:rPr>
      </w:pPr>
    </w:p>
    <w:p w14:paraId="284FF7FD">
      <w:pPr>
        <w:pStyle w:val="13"/>
        <w:spacing w:beforeAutospacing="0" w:afterAutospacing="0"/>
        <w:jc w:val="both"/>
        <w:rPr>
          <w:color w:val="auto"/>
          <w:highlight w:val="none"/>
        </w:rPr>
      </w:pPr>
    </w:p>
    <w:p w14:paraId="634E5CAA">
      <w:pPr>
        <w:pStyle w:val="13"/>
        <w:spacing w:beforeAutospacing="0" w:afterAutospacing="0"/>
        <w:jc w:val="both"/>
        <w:rPr>
          <w:color w:val="auto"/>
          <w:highlight w:val="none"/>
        </w:rPr>
      </w:pPr>
    </w:p>
    <w:p w14:paraId="770C7ECF">
      <w:pPr>
        <w:pStyle w:val="13"/>
        <w:spacing w:beforeAutospacing="0" w:afterAutospacing="0"/>
        <w:jc w:val="both"/>
        <w:rPr>
          <w:color w:val="auto"/>
          <w:highlight w:val="none"/>
        </w:rPr>
      </w:pPr>
    </w:p>
    <w:p w14:paraId="53A5D0DD">
      <w:pPr>
        <w:pStyle w:val="13"/>
        <w:spacing w:beforeAutospacing="0" w:afterAutospacing="0"/>
        <w:jc w:val="both"/>
        <w:rPr>
          <w:color w:val="auto"/>
          <w:highlight w:val="none"/>
        </w:rPr>
      </w:pPr>
    </w:p>
    <w:p w14:paraId="72CA5A2B">
      <w:pPr>
        <w:pStyle w:val="13"/>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49AD4A11">
      <w:pPr>
        <w:pStyle w:val="13"/>
        <w:widowControl/>
        <w:rPr>
          <w:color w:val="auto"/>
          <w:highlight w:val="none"/>
        </w:rPr>
      </w:pPr>
      <w:r>
        <w:rPr>
          <w:color w:val="auto"/>
          <w:highlight w:val="none"/>
        </w:rPr>
        <w:t>项目编号：项目编号 </w:t>
      </w:r>
    </w:p>
    <w:p w14:paraId="7DB50918">
      <w:pPr>
        <w:pStyle w:val="13"/>
        <w:widowControl/>
        <w:rPr>
          <w:color w:val="auto"/>
          <w:highlight w:val="none"/>
        </w:rPr>
      </w:pPr>
      <w:r>
        <w:rPr>
          <w:color w:val="auto"/>
          <w:highlight w:val="none"/>
        </w:rPr>
        <w:t>货币单位：人民币元</w:t>
      </w:r>
    </w:p>
    <w:tbl>
      <w:tblPr>
        <w:tblStyle w:val="16"/>
        <w:tblW w:w="9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5"/>
        <w:gridCol w:w="3227"/>
        <w:gridCol w:w="3227"/>
      </w:tblGrid>
      <w:tr w14:paraId="0AEA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3225" w:type="dxa"/>
          </w:tcPr>
          <w:p w14:paraId="12D4AFD4">
            <w:pPr>
              <w:pStyle w:val="13"/>
              <w:widowControl/>
              <w:spacing w:beforeAutospacing="0" w:afterAutospacing="0"/>
              <w:jc w:val="both"/>
              <w:rPr>
                <w:color w:val="auto"/>
                <w:highlight w:val="none"/>
              </w:rPr>
            </w:pPr>
            <w:r>
              <w:rPr>
                <w:color w:val="auto"/>
                <w:highlight w:val="none"/>
              </w:rPr>
              <w:t>项目名称</w:t>
            </w:r>
          </w:p>
        </w:tc>
        <w:tc>
          <w:tcPr>
            <w:tcW w:w="3227" w:type="dxa"/>
          </w:tcPr>
          <w:p w14:paraId="5B008F6F">
            <w:pPr>
              <w:pStyle w:val="13"/>
              <w:widowControl/>
              <w:spacing w:beforeAutospacing="0" w:afterAutospacing="0"/>
              <w:jc w:val="both"/>
              <w:rPr>
                <w:color w:val="auto"/>
                <w:highlight w:val="none"/>
              </w:rPr>
            </w:pPr>
            <w:r>
              <w:rPr>
                <w:rFonts w:ascii="宋体" w:hAnsi="宋体" w:eastAsia="宋体" w:cs="宋体"/>
                <w:color w:val="auto"/>
                <w:highlight w:val="none"/>
              </w:rPr>
              <w:t>项目内容</w:t>
            </w:r>
          </w:p>
        </w:tc>
        <w:tc>
          <w:tcPr>
            <w:tcW w:w="3227" w:type="dxa"/>
          </w:tcPr>
          <w:p w14:paraId="69E82F61">
            <w:pPr>
              <w:pStyle w:val="13"/>
              <w:widowControl/>
              <w:spacing w:beforeAutospacing="0" w:afterAutospacing="0"/>
              <w:jc w:val="both"/>
              <w:rPr>
                <w:color w:val="auto"/>
                <w:highlight w:val="none"/>
              </w:rPr>
            </w:pPr>
            <w:r>
              <w:rPr>
                <w:rFonts w:ascii="宋体" w:hAnsi="宋体" w:eastAsia="宋体" w:cs="宋体"/>
                <w:color w:val="auto"/>
                <w:highlight w:val="none"/>
              </w:rPr>
              <w:t>总价（小写）</w:t>
            </w:r>
          </w:p>
        </w:tc>
      </w:tr>
      <w:tr w14:paraId="4B1D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8" w:hRule="atLeast"/>
        </w:trPr>
        <w:tc>
          <w:tcPr>
            <w:tcW w:w="3225" w:type="dxa"/>
          </w:tcPr>
          <w:p w14:paraId="283060BB">
            <w:pPr>
              <w:widowControl/>
              <w:jc w:val="left"/>
              <w:rPr>
                <w:color w:val="auto"/>
                <w:highlight w:val="none"/>
              </w:rPr>
            </w:pPr>
            <w:r>
              <w:rPr>
                <w:rFonts w:ascii="宋体" w:hAnsi="宋体" w:eastAsia="宋体" w:cs="宋体"/>
                <w:color w:val="auto"/>
                <w:kern w:val="0"/>
                <w:sz w:val="24"/>
                <w:highlight w:val="none"/>
                <w:lang w:bidi="ar"/>
              </w:rPr>
              <w:t xml:space="preserve">项目名称  </w:t>
            </w:r>
          </w:p>
        </w:tc>
        <w:tc>
          <w:tcPr>
            <w:tcW w:w="3227" w:type="dxa"/>
          </w:tcPr>
          <w:p w14:paraId="0AFF0980">
            <w:pPr>
              <w:widowControl/>
              <w:jc w:val="left"/>
              <w:rPr>
                <w:color w:val="auto"/>
                <w:highlight w:val="none"/>
              </w:rPr>
            </w:pPr>
            <w:r>
              <w:rPr>
                <w:rFonts w:ascii="宋体" w:hAnsi="宋体" w:eastAsia="宋体" w:cs="宋体"/>
                <w:color w:val="auto"/>
                <w:sz w:val="24"/>
                <w:highlight w:val="none"/>
              </w:rPr>
              <w:t>详见投标文件</w:t>
            </w:r>
          </w:p>
        </w:tc>
        <w:tc>
          <w:tcPr>
            <w:tcW w:w="3227" w:type="dxa"/>
            <w:vAlign w:val="center"/>
          </w:tcPr>
          <w:p w14:paraId="3BA66268">
            <w:pPr>
              <w:widowControl/>
              <w:ind w:firstLine="720" w:firstLineChars="300"/>
              <w:jc w:val="center"/>
              <w:rPr>
                <w:rFonts w:ascii="宋体" w:hAnsi="宋体" w:eastAsia="宋体" w:cs="宋体"/>
                <w:color w:val="auto"/>
                <w:kern w:val="0"/>
                <w:sz w:val="24"/>
                <w:highlight w:val="none"/>
                <w:lang w:bidi="ar"/>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tblGrid>
            <w:tr w14:paraId="5790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5" w:type="dxa"/>
                  <w:vAlign w:val="center"/>
                </w:tcPr>
                <w:p w14:paraId="2936B23B">
                  <w:pPr>
                    <w:widowControl/>
                    <w:jc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 xml:space="preserve"> </w:t>
                  </w:r>
                  <w:r>
                    <w:rPr>
                      <w:rFonts w:ascii="宋体" w:hAnsi="宋体" w:eastAsia="宋体" w:cs="宋体"/>
                      <w:color w:val="auto"/>
                      <w:kern w:val="0"/>
                      <w:sz w:val="24"/>
                      <w:highlight w:val="none"/>
                      <w:lang w:bidi="ar"/>
                    </w:rPr>
                    <w:t xml:space="preserve">    </w:t>
                  </w:r>
                </w:p>
              </w:tc>
            </w:tr>
          </w:tbl>
          <w:p w14:paraId="3A57F440">
            <w:pPr>
              <w:widowControl/>
              <w:rPr>
                <w:color w:val="auto"/>
                <w:highlight w:val="none"/>
              </w:rPr>
            </w:pPr>
            <w:r>
              <w:rPr>
                <w:rFonts w:hint="eastAsia" w:ascii="宋体" w:hAnsi="宋体" w:eastAsia="宋体" w:cs="宋体"/>
                <w:color w:val="auto"/>
                <w:kern w:val="0"/>
                <w:sz w:val="24"/>
                <w:highlight w:val="none"/>
                <w:lang w:bidi="ar"/>
              </w:rPr>
              <w:t>元</w:t>
            </w:r>
          </w:p>
        </w:tc>
      </w:tr>
      <w:tr w14:paraId="57A6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3225" w:type="dxa"/>
          </w:tcPr>
          <w:p w14:paraId="172447CA">
            <w:pPr>
              <w:pStyle w:val="13"/>
              <w:spacing w:beforeAutospacing="0" w:afterAutospacing="0"/>
              <w:jc w:val="both"/>
              <w:rPr>
                <w:color w:val="auto"/>
                <w:highlight w:val="none"/>
              </w:rPr>
            </w:pPr>
            <w:r>
              <w:rPr>
                <w:rFonts w:ascii="宋体" w:hAnsi="宋体" w:eastAsia="宋体" w:cs="宋体"/>
                <w:color w:val="auto"/>
                <w:highlight w:val="none"/>
              </w:rPr>
              <w:t>总价（大写）：</w:t>
            </w:r>
          </w:p>
        </w:tc>
        <w:tc>
          <w:tcPr>
            <w:tcW w:w="6454" w:type="dxa"/>
            <w:gridSpan w:val="2"/>
          </w:tcPr>
          <w:p w14:paraId="24684601">
            <w:pPr>
              <w:pStyle w:val="13"/>
              <w:spacing w:beforeAutospacing="0" w:afterAutospacing="0"/>
              <w:jc w:val="both"/>
              <w:rPr>
                <w:color w:val="auto"/>
                <w:highlight w:val="none"/>
              </w:rPr>
            </w:pPr>
            <w:r>
              <w:rPr>
                <w:rFonts w:ascii="宋体" w:hAnsi="宋体" w:eastAsia="宋体" w:cs="宋体"/>
                <w:color w:val="auto"/>
                <w:highlight w:val="none"/>
              </w:rPr>
              <w:t>金额大写 </w:t>
            </w:r>
          </w:p>
        </w:tc>
      </w:tr>
    </w:tbl>
    <w:p w14:paraId="4D16446B">
      <w:pPr>
        <w:pStyle w:val="13"/>
        <w:spacing w:beforeAutospacing="0" w:afterAutospacing="0"/>
        <w:jc w:val="both"/>
        <w:rPr>
          <w:color w:val="auto"/>
          <w:highlight w:val="none"/>
        </w:rPr>
      </w:pPr>
      <w:r>
        <w:rPr>
          <w:color w:val="auto"/>
          <w:highlight w:val="none"/>
        </w:rPr>
        <w:t> </w:t>
      </w:r>
    </w:p>
    <w:p w14:paraId="0700FA78">
      <w:pPr>
        <w:pStyle w:val="13"/>
        <w:spacing w:beforeAutospacing="0" w:afterAutospacing="0"/>
        <w:rPr>
          <w:color w:val="auto"/>
          <w:highlight w:val="none"/>
        </w:rPr>
      </w:pPr>
    </w:p>
    <w:p w14:paraId="17E9328D">
      <w:pPr>
        <w:pStyle w:val="13"/>
        <w:spacing w:beforeAutospacing="0" w:afterAutospacing="0"/>
        <w:rPr>
          <w:color w:val="auto"/>
          <w:highlight w:val="none"/>
        </w:rPr>
      </w:pPr>
    </w:p>
    <w:p w14:paraId="2E187EF8">
      <w:pPr>
        <w:pStyle w:val="13"/>
        <w:spacing w:beforeAutospacing="0" w:afterAutospacing="0"/>
        <w:rPr>
          <w:color w:val="auto"/>
          <w:highlight w:val="none"/>
        </w:rPr>
      </w:pPr>
      <w:r>
        <w:rPr>
          <w:color w:val="auto"/>
          <w:highlight w:val="none"/>
        </w:rPr>
        <w:t>投标人公章： （电子签章）</w:t>
      </w:r>
      <w:r>
        <w:rPr>
          <w:rFonts w:hint="eastAsia"/>
          <w:color w:val="auto"/>
          <w:highlight w:val="none"/>
        </w:rPr>
        <w:t> </w:t>
      </w:r>
    </w:p>
    <w:p w14:paraId="4009E2D8">
      <w:pPr>
        <w:pStyle w:val="13"/>
        <w:spacing w:beforeAutospacing="0" w:afterAutospacing="0"/>
        <w:rPr>
          <w:rFonts w:ascii="宋体" w:hAnsi="宋体" w:eastAsia="宋体" w:cs="宋体"/>
          <w:color w:val="auto"/>
          <w:highlight w:val="none"/>
        </w:rPr>
      </w:pPr>
    </w:p>
    <w:p w14:paraId="6C5101B7">
      <w:pPr>
        <w:pStyle w:val="13"/>
        <w:spacing w:beforeAutospacing="0" w:afterAutospacing="0"/>
        <w:rPr>
          <w:rFonts w:ascii="宋体" w:hAnsi="宋体" w:eastAsia="宋体" w:cs="宋体"/>
          <w:color w:val="auto"/>
          <w:highlight w:val="none"/>
        </w:rPr>
      </w:pPr>
    </w:p>
    <w:p w14:paraId="29994D39">
      <w:pPr>
        <w:pStyle w:val="13"/>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9D1AF51">
      <w:pPr>
        <w:widowControl/>
        <w:spacing w:before="50" w:after="50"/>
        <w:jc w:val="center"/>
        <w:rPr>
          <w:color w:val="auto"/>
          <w:highlight w:val="none"/>
        </w:rPr>
      </w:pPr>
      <w:r>
        <w:rPr>
          <w:color w:val="auto"/>
          <w:highlight w:val="none"/>
        </w:rPr>
        <w:tab/>
      </w:r>
    </w:p>
    <w:p w14:paraId="1B5D6B9D">
      <w:pPr>
        <w:pStyle w:val="13"/>
        <w:spacing w:beforeAutospacing="0" w:afterAutospacing="0"/>
        <w:ind w:firstLine="480"/>
        <w:jc w:val="both"/>
        <w:rPr>
          <w:color w:val="auto"/>
          <w:highlight w:val="none"/>
        </w:rPr>
      </w:pPr>
      <w:r>
        <w:rPr>
          <w:color w:val="auto"/>
          <w:highlight w:val="none"/>
        </w:rPr>
        <w:t> </w:t>
      </w:r>
    </w:p>
    <w:p w14:paraId="05D2FFD8">
      <w:pPr>
        <w:widowControl/>
        <w:spacing w:before="50" w:after="50"/>
        <w:jc w:val="center"/>
        <w:rPr>
          <w:color w:val="auto"/>
          <w:highlight w:val="none"/>
        </w:rPr>
      </w:pPr>
    </w:p>
    <w:p w14:paraId="1A2AFD28">
      <w:pPr>
        <w:widowControl/>
        <w:spacing w:before="50" w:after="50"/>
        <w:jc w:val="center"/>
        <w:rPr>
          <w:color w:val="auto"/>
          <w:highlight w:val="none"/>
        </w:rPr>
      </w:pPr>
    </w:p>
    <w:p w14:paraId="5F92FAE4">
      <w:pPr>
        <w:widowControl/>
        <w:spacing w:before="50" w:after="50"/>
        <w:jc w:val="center"/>
        <w:rPr>
          <w:color w:val="auto"/>
          <w:highlight w:val="none"/>
        </w:rPr>
      </w:pPr>
    </w:p>
    <w:p w14:paraId="74EF0818">
      <w:pPr>
        <w:widowControl/>
        <w:spacing w:before="50" w:after="50"/>
        <w:jc w:val="center"/>
        <w:rPr>
          <w:color w:val="auto"/>
          <w:highlight w:val="none"/>
        </w:rPr>
      </w:pPr>
    </w:p>
    <w:p w14:paraId="04B573BD">
      <w:pPr>
        <w:widowControl/>
        <w:spacing w:before="50" w:after="50"/>
        <w:jc w:val="center"/>
        <w:rPr>
          <w:color w:val="auto"/>
          <w:highlight w:val="none"/>
        </w:rPr>
      </w:pPr>
    </w:p>
    <w:p w14:paraId="6F1A397F">
      <w:pPr>
        <w:widowControl/>
        <w:spacing w:before="50" w:after="50"/>
        <w:jc w:val="center"/>
        <w:rPr>
          <w:color w:val="auto"/>
          <w:highlight w:val="none"/>
        </w:rPr>
      </w:pPr>
    </w:p>
    <w:p w14:paraId="7AD04241">
      <w:pPr>
        <w:widowControl/>
        <w:spacing w:before="50" w:after="50"/>
        <w:jc w:val="center"/>
        <w:rPr>
          <w:color w:val="auto"/>
          <w:highlight w:val="none"/>
        </w:rPr>
      </w:pPr>
    </w:p>
    <w:p w14:paraId="1916EDC4">
      <w:pPr>
        <w:widowControl/>
        <w:spacing w:before="50" w:after="50"/>
        <w:jc w:val="center"/>
        <w:rPr>
          <w:color w:val="auto"/>
          <w:highlight w:val="none"/>
        </w:rPr>
      </w:pPr>
    </w:p>
    <w:p w14:paraId="2C6ED9F3">
      <w:pPr>
        <w:widowControl/>
        <w:spacing w:before="50" w:after="50"/>
        <w:jc w:val="center"/>
        <w:rPr>
          <w:color w:val="auto"/>
          <w:highlight w:val="none"/>
        </w:rPr>
      </w:pPr>
    </w:p>
    <w:p w14:paraId="19DFEFEF">
      <w:pPr>
        <w:widowControl/>
        <w:spacing w:before="50" w:after="50"/>
        <w:jc w:val="center"/>
        <w:rPr>
          <w:color w:val="auto"/>
          <w:highlight w:val="none"/>
        </w:rPr>
      </w:pPr>
    </w:p>
    <w:p w14:paraId="544FDEC4">
      <w:pPr>
        <w:widowControl/>
        <w:spacing w:before="50" w:after="50"/>
        <w:jc w:val="center"/>
        <w:rPr>
          <w:color w:val="auto"/>
          <w:highlight w:val="none"/>
        </w:rPr>
      </w:pPr>
    </w:p>
    <w:p w14:paraId="0815DC08">
      <w:pPr>
        <w:widowControl/>
        <w:spacing w:before="50" w:after="50"/>
        <w:jc w:val="center"/>
        <w:rPr>
          <w:color w:val="auto"/>
          <w:highlight w:val="none"/>
        </w:rPr>
      </w:pPr>
    </w:p>
    <w:p w14:paraId="20D2F866">
      <w:pPr>
        <w:widowControl/>
        <w:spacing w:before="50" w:after="50"/>
        <w:jc w:val="center"/>
        <w:rPr>
          <w:color w:val="auto"/>
          <w:highlight w:val="none"/>
        </w:rPr>
      </w:pPr>
    </w:p>
    <w:p w14:paraId="04A0D113">
      <w:pPr>
        <w:widowControl/>
        <w:spacing w:before="50" w:after="50"/>
        <w:jc w:val="center"/>
        <w:rPr>
          <w:color w:val="auto"/>
          <w:highlight w:val="none"/>
        </w:rPr>
      </w:pPr>
    </w:p>
    <w:p w14:paraId="034E6F59">
      <w:pPr>
        <w:widowControl/>
        <w:spacing w:before="50" w:after="50"/>
        <w:jc w:val="center"/>
        <w:rPr>
          <w:color w:val="auto"/>
          <w:highlight w:val="none"/>
        </w:rPr>
      </w:pPr>
    </w:p>
    <w:p w14:paraId="37B32067">
      <w:pPr>
        <w:widowControl/>
        <w:spacing w:before="50" w:after="50"/>
        <w:jc w:val="center"/>
        <w:rPr>
          <w:color w:val="auto"/>
          <w:highlight w:val="none"/>
        </w:rPr>
      </w:pPr>
    </w:p>
    <w:p w14:paraId="71D018F9">
      <w:pPr>
        <w:widowControl/>
        <w:spacing w:before="50" w:after="50"/>
        <w:jc w:val="center"/>
        <w:rPr>
          <w:color w:val="auto"/>
          <w:highlight w:val="none"/>
        </w:rPr>
      </w:pPr>
    </w:p>
    <w:p w14:paraId="66127CE7">
      <w:pPr>
        <w:widowControl/>
        <w:spacing w:before="50" w:after="50"/>
        <w:jc w:val="center"/>
        <w:rPr>
          <w:color w:val="auto"/>
          <w:highlight w:val="none"/>
        </w:rPr>
      </w:pPr>
    </w:p>
    <w:p w14:paraId="40C91451">
      <w:pPr>
        <w:widowControl/>
        <w:spacing w:before="50" w:after="50"/>
        <w:jc w:val="center"/>
        <w:rPr>
          <w:color w:val="auto"/>
          <w:highlight w:val="none"/>
        </w:rPr>
      </w:pPr>
    </w:p>
    <w:p w14:paraId="20FE8FAB">
      <w:pPr>
        <w:widowControl/>
        <w:spacing w:before="50" w:after="50"/>
        <w:jc w:val="center"/>
        <w:rPr>
          <w:color w:val="auto"/>
          <w:highlight w:val="none"/>
        </w:rPr>
      </w:pPr>
    </w:p>
    <w:p w14:paraId="61323B0C">
      <w:pPr>
        <w:widowControl/>
        <w:spacing w:before="50" w:after="50"/>
        <w:jc w:val="center"/>
        <w:rPr>
          <w:color w:val="auto"/>
          <w:highlight w:val="none"/>
        </w:rPr>
      </w:pPr>
    </w:p>
    <w:p w14:paraId="5F5B1F77">
      <w:pPr>
        <w:widowControl/>
        <w:spacing w:before="50" w:after="50"/>
        <w:jc w:val="center"/>
        <w:rPr>
          <w:color w:val="auto"/>
          <w:highlight w:val="none"/>
        </w:rPr>
      </w:pPr>
    </w:p>
    <w:p w14:paraId="0377AFFE">
      <w:pPr>
        <w:widowControl/>
        <w:spacing w:before="50" w:after="50"/>
        <w:jc w:val="center"/>
        <w:rPr>
          <w:color w:val="auto"/>
          <w:highlight w:val="none"/>
        </w:rPr>
      </w:pPr>
    </w:p>
    <w:p w14:paraId="7004870A">
      <w:pPr>
        <w:widowControl/>
        <w:spacing w:before="50" w:after="50"/>
        <w:jc w:val="center"/>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、技术方案、服务承诺、培训承诺等</w:t>
      </w:r>
    </w:p>
    <w:p w14:paraId="7B35C616">
      <w:pPr>
        <w:pStyle w:val="13"/>
        <w:tabs>
          <w:tab w:val="left" w:pos="2160"/>
        </w:tabs>
        <w:spacing w:beforeAutospacing="0" w:afterAutospacing="0"/>
        <w:jc w:val="both"/>
        <w:rPr>
          <w:color w:val="auto"/>
          <w:highlight w:val="none"/>
        </w:rPr>
      </w:pPr>
    </w:p>
    <w:p w14:paraId="2E05F151">
      <w:pPr>
        <w:widowControl/>
        <w:spacing w:line="499" w:lineRule="atLeast"/>
        <w:ind w:firstLine="1600"/>
        <w:rPr>
          <w:rFonts w:ascii="宋体" w:hAnsi="宋体" w:eastAsia="宋体" w:cs="宋体"/>
          <w:color w:val="auto"/>
          <w:sz w:val="32"/>
          <w:szCs w:val="32"/>
          <w:highlight w:val="none"/>
        </w:rPr>
      </w:pPr>
    </w:p>
    <w:p w14:paraId="4A600B49">
      <w:pPr>
        <w:widowControl/>
        <w:spacing w:line="499" w:lineRule="atLeast"/>
        <w:ind w:firstLine="1600"/>
        <w:rPr>
          <w:rFonts w:ascii="宋体" w:hAnsi="宋体" w:eastAsia="宋体" w:cs="宋体"/>
          <w:color w:val="auto"/>
          <w:sz w:val="32"/>
          <w:szCs w:val="32"/>
          <w:highlight w:val="none"/>
        </w:rPr>
      </w:pPr>
    </w:p>
    <w:p w14:paraId="44D85E4E">
      <w:pPr>
        <w:widowControl/>
        <w:spacing w:line="499" w:lineRule="atLeast"/>
        <w:ind w:firstLine="1600"/>
        <w:rPr>
          <w:rFonts w:ascii="宋体" w:hAnsi="宋体" w:eastAsia="宋体" w:cs="宋体"/>
          <w:color w:val="auto"/>
          <w:sz w:val="32"/>
          <w:szCs w:val="32"/>
          <w:highlight w:val="none"/>
        </w:rPr>
      </w:pPr>
    </w:p>
    <w:p w14:paraId="2933E1ED">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4CFD966F">
      <w:pPr>
        <w:widowControl/>
        <w:spacing w:line="499" w:lineRule="atLeast"/>
        <w:ind w:firstLine="1600"/>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、盐城市政府采购事前信用承诺书</w:t>
      </w:r>
    </w:p>
    <w:p w14:paraId="12DBF935">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518FF601">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形象，本人代表本单位作出以下承诺：</w:t>
      </w:r>
    </w:p>
    <w:p w14:paraId="41DD4ED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2646A31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5BFC43D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3C5185D7">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031CFD2D">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年月日</w:t>
      </w:r>
    </w:p>
    <w:p w14:paraId="57307462">
      <w:pPr>
        <w:widowControl/>
        <w:spacing w:line="499" w:lineRule="atLeast"/>
        <w:jc w:val="center"/>
        <w:rPr>
          <w:rFonts w:hint="eastAsia" w:ascii="宋体" w:hAnsi="宋体" w:eastAsia="宋体" w:cs="宋体"/>
          <w:color w:val="auto"/>
          <w:sz w:val="24"/>
          <w:highlight w:val="none"/>
        </w:rPr>
      </w:pPr>
    </w:p>
    <w:p w14:paraId="04D0D716">
      <w:pPr>
        <w:widowControl/>
        <w:spacing w:line="499" w:lineRule="atLeast"/>
        <w:jc w:val="center"/>
        <w:rPr>
          <w:rFonts w:hint="eastAsia" w:ascii="宋体" w:hAnsi="宋体" w:eastAsia="宋体" w:cs="宋体"/>
          <w:color w:val="auto"/>
          <w:sz w:val="24"/>
          <w:highlight w:val="none"/>
        </w:rPr>
      </w:pPr>
    </w:p>
    <w:p w14:paraId="0CEE2491">
      <w:pPr>
        <w:pStyle w:val="13"/>
        <w:keepNext w:val="0"/>
        <w:keepLines w:val="0"/>
        <w:widowControl/>
        <w:suppressLineNumbers w:val="0"/>
        <w:ind w:left="0" w:firstLine="0"/>
        <w:jc w:val="center"/>
        <w:rPr>
          <w:rFonts w:hint="eastAsia" w:ascii="Noto Sans SC" w:hAnsi="Noto Sans SC" w:eastAsia="Noto Sans SC" w:cs="Noto Sans SC"/>
          <w:i w:val="0"/>
          <w:iCs w:val="0"/>
          <w:caps w:val="0"/>
          <w:color w:val="auto"/>
          <w:spacing w:val="0"/>
          <w:sz w:val="27"/>
          <w:szCs w:val="27"/>
          <w:highlight w:val="none"/>
        </w:rPr>
      </w:pPr>
      <w:r>
        <w:rPr>
          <w:rFonts w:hint="eastAsia" w:ascii="Noto Sans SC" w:hAnsi="Noto Sans SC" w:eastAsia="Noto Sans SC" w:cs="Noto Sans SC"/>
          <w:i w:val="0"/>
          <w:iCs w:val="0"/>
          <w:caps w:val="0"/>
          <w:color w:val="auto"/>
          <w:spacing w:val="0"/>
          <w:sz w:val="27"/>
          <w:szCs w:val="27"/>
          <w:highlight w:val="none"/>
          <w:lang w:val="en-US" w:eastAsia="zh-CN"/>
        </w:rPr>
        <w:t>十七、</w:t>
      </w:r>
      <w:r>
        <w:rPr>
          <w:rFonts w:hint="eastAsia" w:ascii="Noto Sans SC" w:hAnsi="Noto Sans SC" w:eastAsia="Noto Sans SC" w:cs="Noto Sans SC"/>
          <w:i w:val="0"/>
          <w:iCs w:val="0"/>
          <w:caps w:val="0"/>
          <w:color w:val="auto"/>
          <w:spacing w:val="0"/>
          <w:sz w:val="27"/>
          <w:szCs w:val="27"/>
          <w:highlight w:val="none"/>
        </w:rPr>
        <w:t>人员配备一览表</w:t>
      </w:r>
    </w:p>
    <w:tbl>
      <w:tblPr>
        <w:tblStyle w:val="16"/>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4"/>
        <w:gridCol w:w="2354"/>
        <w:gridCol w:w="2354"/>
        <w:gridCol w:w="2355"/>
      </w:tblGrid>
      <w:tr w14:paraId="236B7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354" w:type="dxa"/>
          </w:tcPr>
          <w:p w14:paraId="74E80278">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r>
              <w:rPr>
                <w:rFonts w:hint="eastAsia" w:ascii="Noto Sans SC" w:hAnsi="Noto Sans SC" w:eastAsia="Noto Sans SC" w:cs="Noto Sans SC"/>
                <w:i w:val="0"/>
                <w:iCs w:val="0"/>
                <w:caps w:val="0"/>
                <w:color w:val="auto"/>
                <w:spacing w:val="0"/>
                <w:sz w:val="21"/>
                <w:szCs w:val="21"/>
                <w:highlight w:val="none"/>
              </w:rPr>
              <w:t>序号</w:t>
            </w:r>
          </w:p>
        </w:tc>
        <w:tc>
          <w:tcPr>
            <w:tcW w:w="2354" w:type="dxa"/>
          </w:tcPr>
          <w:p w14:paraId="1B8BA73E">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r>
              <w:rPr>
                <w:rFonts w:hint="eastAsia" w:ascii="Noto Sans SC" w:hAnsi="Noto Sans SC" w:eastAsia="Noto Sans SC" w:cs="Noto Sans SC"/>
                <w:i w:val="0"/>
                <w:iCs w:val="0"/>
                <w:caps w:val="0"/>
                <w:color w:val="auto"/>
                <w:spacing w:val="0"/>
                <w:sz w:val="21"/>
                <w:szCs w:val="21"/>
                <w:highlight w:val="none"/>
              </w:rPr>
              <w:t>岗位</w:t>
            </w:r>
          </w:p>
        </w:tc>
        <w:tc>
          <w:tcPr>
            <w:tcW w:w="2354" w:type="dxa"/>
          </w:tcPr>
          <w:p w14:paraId="472DB2E3">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r>
              <w:rPr>
                <w:rFonts w:hint="eastAsia" w:ascii="Noto Sans SC" w:hAnsi="Noto Sans SC" w:eastAsia="Noto Sans SC" w:cs="Noto Sans SC"/>
                <w:i w:val="0"/>
                <w:iCs w:val="0"/>
                <w:caps w:val="0"/>
                <w:color w:val="auto"/>
                <w:spacing w:val="0"/>
                <w:sz w:val="21"/>
                <w:szCs w:val="21"/>
                <w:highlight w:val="none"/>
              </w:rPr>
              <w:t>姓名</w:t>
            </w:r>
          </w:p>
        </w:tc>
        <w:tc>
          <w:tcPr>
            <w:tcW w:w="2355" w:type="dxa"/>
          </w:tcPr>
          <w:p w14:paraId="286D265F">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r>
              <w:rPr>
                <w:rFonts w:hint="eastAsia" w:ascii="Noto Sans SC" w:hAnsi="Noto Sans SC" w:eastAsia="Noto Sans SC" w:cs="Noto Sans SC"/>
                <w:i w:val="0"/>
                <w:iCs w:val="0"/>
                <w:caps w:val="0"/>
                <w:color w:val="auto"/>
                <w:spacing w:val="0"/>
                <w:sz w:val="21"/>
                <w:szCs w:val="21"/>
                <w:highlight w:val="none"/>
              </w:rPr>
              <w:t>执业资格</w:t>
            </w:r>
          </w:p>
        </w:tc>
      </w:tr>
      <w:tr w14:paraId="3B19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354" w:type="dxa"/>
          </w:tcPr>
          <w:p w14:paraId="7085A00B">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lang w:val="en-US" w:eastAsia="zh-CN"/>
              </w:rPr>
            </w:pPr>
            <w:r>
              <w:rPr>
                <w:rFonts w:hint="eastAsia" w:ascii="Noto Sans SC" w:hAnsi="Noto Sans SC" w:eastAsia="Noto Sans SC" w:cs="Noto Sans SC"/>
                <w:i w:val="0"/>
                <w:iCs w:val="0"/>
                <w:caps w:val="0"/>
                <w:color w:val="auto"/>
                <w:spacing w:val="0"/>
                <w:sz w:val="21"/>
                <w:szCs w:val="21"/>
                <w:highlight w:val="none"/>
                <w:vertAlign w:val="baseline"/>
                <w:lang w:val="en-US" w:eastAsia="zh-CN"/>
              </w:rPr>
              <w:t>1</w:t>
            </w:r>
          </w:p>
        </w:tc>
        <w:tc>
          <w:tcPr>
            <w:tcW w:w="2354" w:type="dxa"/>
          </w:tcPr>
          <w:p w14:paraId="3BE6ACB6">
            <w:pPr>
              <w:pStyle w:val="13"/>
              <w:keepNext w:val="0"/>
              <w:keepLines w:val="0"/>
              <w:widowControl/>
              <w:suppressLineNumbers w:val="0"/>
              <w:jc w:val="center"/>
              <w:rPr>
                <w:rFonts w:hint="default" w:ascii="Noto Sans SC" w:hAnsi="Noto Sans SC" w:eastAsia="Noto Sans SC" w:cs="Noto Sans SC"/>
                <w:i w:val="0"/>
                <w:iCs w:val="0"/>
                <w:caps w:val="0"/>
                <w:color w:val="auto"/>
                <w:spacing w:val="0"/>
                <w:sz w:val="21"/>
                <w:szCs w:val="21"/>
                <w:highlight w:val="none"/>
                <w:vertAlign w:val="baseline"/>
                <w:lang w:val="en-US" w:eastAsia="zh-CN"/>
              </w:rPr>
            </w:pPr>
            <w:r>
              <w:rPr>
                <w:rFonts w:hint="eastAsia" w:ascii="Noto Sans SC" w:hAnsi="Noto Sans SC" w:eastAsia="Noto Sans SC" w:cs="Noto Sans SC"/>
                <w:i w:val="0"/>
                <w:iCs w:val="0"/>
                <w:caps w:val="0"/>
                <w:color w:val="auto"/>
                <w:spacing w:val="0"/>
                <w:sz w:val="21"/>
                <w:szCs w:val="21"/>
                <w:highlight w:val="none"/>
                <w:vertAlign w:val="baseline"/>
                <w:lang w:val="en-US" w:eastAsia="zh-CN"/>
              </w:rPr>
              <w:t>项目负责人</w:t>
            </w:r>
          </w:p>
        </w:tc>
        <w:tc>
          <w:tcPr>
            <w:tcW w:w="2354" w:type="dxa"/>
          </w:tcPr>
          <w:p w14:paraId="424DE678">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c>
          <w:tcPr>
            <w:tcW w:w="2355" w:type="dxa"/>
          </w:tcPr>
          <w:p w14:paraId="5ED71F2B">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r>
      <w:tr w14:paraId="7542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354" w:type="dxa"/>
          </w:tcPr>
          <w:p w14:paraId="1AC5CB86">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lang w:val="en-US" w:eastAsia="zh-CN"/>
              </w:rPr>
            </w:pPr>
            <w:r>
              <w:rPr>
                <w:rFonts w:hint="eastAsia" w:ascii="Noto Sans SC" w:hAnsi="Noto Sans SC" w:eastAsia="Noto Sans SC" w:cs="Noto Sans SC"/>
                <w:i w:val="0"/>
                <w:iCs w:val="0"/>
                <w:caps w:val="0"/>
                <w:color w:val="auto"/>
                <w:spacing w:val="0"/>
                <w:sz w:val="21"/>
                <w:szCs w:val="21"/>
                <w:highlight w:val="none"/>
                <w:vertAlign w:val="baseline"/>
                <w:lang w:val="en-US" w:eastAsia="zh-CN"/>
              </w:rPr>
              <w:t>2</w:t>
            </w:r>
          </w:p>
        </w:tc>
        <w:tc>
          <w:tcPr>
            <w:tcW w:w="2354" w:type="dxa"/>
          </w:tcPr>
          <w:p w14:paraId="48CF9100">
            <w:pPr>
              <w:pStyle w:val="13"/>
              <w:keepNext w:val="0"/>
              <w:keepLines w:val="0"/>
              <w:widowControl/>
              <w:suppressLineNumbers w:val="0"/>
              <w:jc w:val="center"/>
              <w:rPr>
                <w:rFonts w:hint="default" w:ascii="Noto Sans SC" w:hAnsi="Noto Sans SC" w:eastAsia="Noto Sans SC" w:cs="Noto Sans SC"/>
                <w:i w:val="0"/>
                <w:iCs w:val="0"/>
                <w:caps w:val="0"/>
                <w:color w:val="auto"/>
                <w:spacing w:val="0"/>
                <w:sz w:val="21"/>
                <w:szCs w:val="21"/>
                <w:highlight w:val="none"/>
                <w:vertAlign w:val="baseline"/>
                <w:lang w:val="en-US" w:eastAsia="zh-CN"/>
              </w:rPr>
            </w:pPr>
            <w:r>
              <w:rPr>
                <w:rFonts w:hint="eastAsia" w:ascii="Noto Sans SC" w:hAnsi="Noto Sans SC" w:eastAsia="Noto Sans SC" w:cs="Noto Sans SC"/>
                <w:i w:val="0"/>
                <w:iCs w:val="0"/>
                <w:caps w:val="0"/>
                <w:color w:val="auto"/>
                <w:spacing w:val="0"/>
                <w:sz w:val="21"/>
                <w:szCs w:val="21"/>
                <w:highlight w:val="none"/>
                <w:vertAlign w:val="baseline"/>
                <w:lang w:val="en-US" w:eastAsia="zh-CN"/>
              </w:rPr>
              <w:t>技术负责人</w:t>
            </w:r>
          </w:p>
        </w:tc>
        <w:tc>
          <w:tcPr>
            <w:tcW w:w="2354" w:type="dxa"/>
          </w:tcPr>
          <w:p w14:paraId="73FD1A9C">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c>
          <w:tcPr>
            <w:tcW w:w="2355" w:type="dxa"/>
          </w:tcPr>
          <w:p w14:paraId="6DB50F24">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r>
      <w:tr w14:paraId="14486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2354" w:type="dxa"/>
          </w:tcPr>
          <w:p w14:paraId="0C68656D">
            <w:pPr>
              <w:pStyle w:val="13"/>
              <w:keepNext w:val="0"/>
              <w:keepLines w:val="0"/>
              <w:widowControl/>
              <w:suppressLineNumbers w:val="0"/>
              <w:jc w:val="center"/>
              <w:rPr>
                <w:rFonts w:hint="default" w:ascii="Noto Sans SC" w:hAnsi="Noto Sans SC" w:eastAsia="Noto Sans SC" w:cs="Noto Sans SC"/>
                <w:i w:val="0"/>
                <w:iCs w:val="0"/>
                <w:caps w:val="0"/>
                <w:color w:val="auto"/>
                <w:spacing w:val="0"/>
                <w:sz w:val="21"/>
                <w:szCs w:val="21"/>
                <w:highlight w:val="none"/>
                <w:vertAlign w:val="baseline"/>
                <w:lang w:val="en-US" w:eastAsia="zh-CN"/>
              </w:rPr>
            </w:pPr>
            <w:r>
              <w:rPr>
                <w:rFonts w:hint="eastAsia" w:ascii="Noto Sans SC" w:hAnsi="Noto Sans SC" w:eastAsia="Noto Sans SC" w:cs="Noto Sans SC"/>
                <w:i w:val="0"/>
                <w:iCs w:val="0"/>
                <w:caps w:val="0"/>
                <w:color w:val="auto"/>
                <w:spacing w:val="0"/>
                <w:sz w:val="21"/>
                <w:szCs w:val="21"/>
                <w:highlight w:val="none"/>
                <w:vertAlign w:val="baseline"/>
                <w:lang w:val="en-US" w:eastAsia="zh-CN"/>
              </w:rPr>
              <w:t>3</w:t>
            </w:r>
          </w:p>
        </w:tc>
        <w:tc>
          <w:tcPr>
            <w:tcW w:w="2354" w:type="dxa"/>
          </w:tcPr>
          <w:p w14:paraId="7BE9ADFE">
            <w:pPr>
              <w:pStyle w:val="13"/>
              <w:keepNext w:val="0"/>
              <w:keepLines w:val="0"/>
              <w:widowControl/>
              <w:suppressLineNumbers w:val="0"/>
              <w:jc w:val="center"/>
              <w:rPr>
                <w:rFonts w:hint="default" w:ascii="Noto Sans SC" w:hAnsi="Noto Sans SC" w:eastAsia="Noto Sans SC" w:cs="Noto Sans SC"/>
                <w:i w:val="0"/>
                <w:iCs w:val="0"/>
                <w:caps w:val="0"/>
                <w:color w:val="auto"/>
                <w:spacing w:val="0"/>
                <w:sz w:val="21"/>
                <w:szCs w:val="21"/>
                <w:highlight w:val="none"/>
                <w:vertAlign w:val="baseline"/>
                <w:lang w:val="en-US" w:eastAsia="zh-CN"/>
              </w:rPr>
            </w:pPr>
            <w:r>
              <w:rPr>
                <w:rFonts w:hint="eastAsia" w:ascii="Noto Sans SC" w:hAnsi="Noto Sans SC" w:eastAsia="Noto Sans SC" w:cs="Noto Sans SC"/>
                <w:i w:val="0"/>
                <w:iCs w:val="0"/>
                <w:caps w:val="0"/>
                <w:color w:val="auto"/>
                <w:spacing w:val="0"/>
                <w:sz w:val="21"/>
                <w:szCs w:val="21"/>
                <w:highlight w:val="none"/>
                <w:vertAlign w:val="baseline"/>
                <w:lang w:val="en-US" w:eastAsia="zh-CN"/>
              </w:rPr>
              <w:t>其他人员</w:t>
            </w:r>
          </w:p>
        </w:tc>
        <w:tc>
          <w:tcPr>
            <w:tcW w:w="2354" w:type="dxa"/>
          </w:tcPr>
          <w:p w14:paraId="6FBF0DE8">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c>
          <w:tcPr>
            <w:tcW w:w="2355" w:type="dxa"/>
          </w:tcPr>
          <w:p w14:paraId="632E3E7E">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r>
      <w:tr w14:paraId="0AFE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2354" w:type="dxa"/>
          </w:tcPr>
          <w:p w14:paraId="5426AEC4">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r>
              <w:rPr>
                <w:rFonts w:ascii="Noto Sans SC" w:hAnsi="Noto Sans SC" w:eastAsia="Noto Sans SC" w:cs="Noto Sans SC"/>
                <w:i w:val="0"/>
                <w:iCs w:val="0"/>
                <w:caps w:val="0"/>
                <w:color w:val="auto"/>
                <w:spacing w:val="0"/>
                <w:sz w:val="21"/>
                <w:szCs w:val="21"/>
                <w:highlight w:val="none"/>
              </w:rPr>
              <w:t>…</w:t>
            </w:r>
          </w:p>
        </w:tc>
        <w:tc>
          <w:tcPr>
            <w:tcW w:w="2354" w:type="dxa"/>
          </w:tcPr>
          <w:p w14:paraId="5BD3B515">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r>
              <w:rPr>
                <w:rFonts w:ascii="Noto Sans SC" w:hAnsi="Noto Sans SC" w:eastAsia="Noto Sans SC" w:cs="Noto Sans SC"/>
                <w:i w:val="0"/>
                <w:iCs w:val="0"/>
                <w:caps w:val="0"/>
                <w:color w:val="auto"/>
                <w:spacing w:val="0"/>
                <w:sz w:val="21"/>
                <w:szCs w:val="21"/>
                <w:highlight w:val="none"/>
              </w:rPr>
              <w:t>…</w:t>
            </w:r>
          </w:p>
        </w:tc>
        <w:tc>
          <w:tcPr>
            <w:tcW w:w="2354" w:type="dxa"/>
          </w:tcPr>
          <w:p w14:paraId="4749211B">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c>
          <w:tcPr>
            <w:tcW w:w="2355" w:type="dxa"/>
          </w:tcPr>
          <w:p w14:paraId="4AC728B0">
            <w:pPr>
              <w:pStyle w:val="13"/>
              <w:keepNext w:val="0"/>
              <w:keepLines w:val="0"/>
              <w:widowControl/>
              <w:suppressLineNumbers w:val="0"/>
              <w:jc w:val="center"/>
              <w:rPr>
                <w:rFonts w:hint="eastAsia" w:ascii="Noto Sans SC" w:hAnsi="Noto Sans SC" w:eastAsia="Noto Sans SC" w:cs="Noto Sans SC"/>
                <w:i w:val="0"/>
                <w:iCs w:val="0"/>
                <w:caps w:val="0"/>
                <w:color w:val="auto"/>
                <w:spacing w:val="0"/>
                <w:sz w:val="21"/>
                <w:szCs w:val="21"/>
                <w:highlight w:val="none"/>
                <w:vertAlign w:val="baseline"/>
              </w:rPr>
            </w:pPr>
          </w:p>
        </w:tc>
      </w:tr>
    </w:tbl>
    <w:p w14:paraId="2E9857AC">
      <w:pPr>
        <w:pStyle w:val="13"/>
        <w:keepNext w:val="0"/>
        <w:keepLines w:val="0"/>
        <w:widowControl/>
        <w:suppressLineNumbers w:val="0"/>
        <w:ind w:left="0" w:firstLine="0"/>
        <w:rPr>
          <w:rFonts w:hint="eastAsia" w:ascii="Noto Sans SC" w:hAnsi="Noto Sans SC" w:eastAsia="Noto Sans SC" w:cs="Noto Sans SC"/>
          <w:i w:val="0"/>
          <w:iCs w:val="0"/>
          <w:caps w:val="0"/>
          <w:color w:val="auto"/>
          <w:spacing w:val="0"/>
          <w:sz w:val="21"/>
          <w:szCs w:val="21"/>
          <w:highlight w:val="none"/>
        </w:rPr>
      </w:pPr>
      <w:r>
        <w:rPr>
          <w:rFonts w:hint="eastAsia" w:ascii="Noto Sans SC" w:hAnsi="Noto Sans SC" w:eastAsia="Noto Sans SC" w:cs="Noto Sans SC"/>
          <w:i w:val="0"/>
          <w:iCs w:val="0"/>
          <w:caps w:val="0"/>
          <w:color w:val="auto"/>
          <w:spacing w:val="0"/>
          <w:sz w:val="21"/>
          <w:szCs w:val="21"/>
          <w:highlight w:val="none"/>
        </w:rPr>
        <w:t>注：投标人可以根据需要自行拓展本表。</w:t>
      </w:r>
    </w:p>
    <w:p w14:paraId="3DC5E4CE">
      <w:pPr>
        <w:pStyle w:val="13"/>
        <w:keepNext w:val="0"/>
        <w:keepLines w:val="0"/>
        <w:widowControl/>
        <w:suppressLineNumbers w:val="0"/>
        <w:ind w:left="0" w:firstLine="0"/>
        <w:rPr>
          <w:rFonts w:hint="eastAsia" w:ascii="Noto Sans SC" w:hAnsi="Noto Sans SC" w:eastAsia="Noto Sans SC" w:cs="Noto Sans SC"/>
          <w:i w:val="0"/>
          <w:iCs w:val="0"/>
          <w:caps w:val="0"/>
          <w:color w:val="auto"/>
          <w:spacing w:val="0"/>
          <w:sz w:val="21"/>
          <w:szCs w:val="21"/>
          <w:highlight w:val="none"/>
        </w:rPr>
      </w:pPr>
      <w:r>
        <w:rPr>
          <w:rFonts w:hint="eastAsia" w:ascii="Noto Sans SC" w:hAnsi="Noto Sans SC" w:eastAsia="Noto Sans SC" w:cs="Noto Sans SC"/>
          <w:i w:val="0"/>
          <w:iCs w:val="0"/>
          <w:caps w:val="0"/>
          <w:color w:val="auto"/>
          <w:spacing w:val="0"/>
          <w:sz w:val="21"/>
          <w:szCs w:val="21"/>
          <w:highlight w:val="none"/>
        </w:rPr>
        <w:t>投标方：（单位盖章）</w:t>
      </w:r>
    </w:p>
    <w:p w14:paraId="5332C9F4">
      <w:pPr>
        <w:pStyle w:val="13"/>
        <w:keepNext w:val="0"/>
        <w:keepLines w:val="0"/>
        <w:widowControl/>
        <w:suppressLineNumbers w:val="0"/>
        <w:ind w:left="0" w:firstLine="0"/>
        <w:rPr>
          <w:rFonts w:hint="eastAsia" w:ascii="Noto Sans SC" w:hAnsi="Noto Sans SC" w:eastAsia="Noto Sans SC" w:cs="Noto Sans SC"/>
          <w:i w:val="0"/>
          <w:iCs w:val="0"/>
          <w:caps w:val="0"/>
          <w:color w:val="auto"/>
          <w:spacing w:val="0"/>
          <w:sz w:val="21"/>
          <w:szCs w:val="21"/>
          <w:highlight w:val="none"/>
        </w:rPr>
      </w:pPr>
      <w:r>
        <w:rPr>
          <w:rFonts w:hint="eastAsia" w:ascii="Noto Sans SC" w:hAnsi="Noto Sans SC" w:eastAsia="Noto Sans SC" w:cs="Noto Sans SC"/>
          <w:i w:val="0"/>
          <w:iCs w:val="0"/>
          <w:caps w:val="0"/>
          <w:color w:val="auto"/>
          <w:spacing w:val="0"/>
          <w:sz w:val="21"/>
          <w:szCs w:val="21"/>
          <w:highlight w:val="none"/>
        </w:rPr>
        <w:t>法定代表人或授权委托人：（签字或盖章）</w:t>
      </w:r>
    </w:p>
    <w:p w14:paraId="033E2AD8">
      <w:pPr>
        <w:pStyle w:val="13"/>
        <w:keepNext w:val="0"/>
        <w:keepLines w:val="0"/>
        <w:widowControl/>
        <w:suppressLineNumbers w:val="0"/>
        <w:ind w:left="0" w:firstLine="0"/>
        <w:rPr>
          <w:rFonts w:hint="eastAsia" w:ascii="Noto Sans SC" w:hAnsi="Noto Sans SC" w:eastAsia="Noto Sans SC" w:cs="Noto Sans SC"/>
          <w:i w:val="0"/>
          <w:iCs w:val="0"/>
          <w:caps w:val="0"/>
          <w:color w:val="auto"/>
          <w:spacing w:val="0"/>
          <w:sz w:val="27"/>
          <w:szCs w:val="27"/>
          <w:highlight w:val="none"/>
        </w:rPr>
      </w:pPr>
      <w:r>
        <w:rPr>
          <w:rFonts w:hint="eastAsia" w:ascii="Noto Sans SC" w:hAnsi="Noto Sans SC" w:eastAsia="Noto Sans SC" w:cs="Noto Sans SC"/>
          <w:i w:val="0"/>
          <w:iCs w:val="0"/>
          <w:caps w:val="0"/>
          <w:color w:val="auto"/>
          <w:spacing w:val="0"/>
          <w:sz w:val="21"/>
          <w:szCs w:val="21"/>
          <w:highlight w:val="none"/>
        </w:rPr>
        <w:t>日期： 年 月 日</w:t>
      </w:r>
    </w:p>
    <w:p w14:paraId="0D78B9E3">
      <w:pPr>
        <w:widowControl/>
        <w:spacing w:line="499" w:lineRule="atLeast"/>
        <w:jc w:val="center"/>
        <w:rPr>
          <w:rFonts w:hint="eastAsia" w:ascii="宋体" w:hAnsi="宋体" w:eastAsia="宋体" w:cs="宋体"/>
          <w:color w:val="auto"/>
          <w:sz w:val="24"/>
          <w:highlight w:val="none"/>
        </w:rPr>
      </w:pPr>
    </w:p>
    <w:p w14:paraId="5D8529CE">
      <w:pPr>
        <w:pStyle w:val="13"/>
        <w:spacing w:beforeAutospacing="0" w:afterAutospacing="0"/>
        <w:jc w:val="center"/>
        <w:rPr>
          <w:color w:val="auto"/>
          <w:highlight w:val="none"/>
        </w:rPr>
      </w:pPr>
    </w:p>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78"/>
    <w:bookmarkEnd w:id="180"/>
    <w:bookmarkEnd w:id="184"/>
    <w:bookmarkEnd w:id="185"/>
    <w:bookmarkEnd w:id="187"/>
    <w:bookmarkEnd w:id="188"/>
    <w:bookmarkEnd w:id="189"/>
    <w:bookmarkEnd w:id="190"/>
    <w:bookmarkEnd w:id="199"/>
    <w:bookmarkEnd w:id="200"/>
    <w:bookmarkEnd w:id="201"/>
    <w:bookmarkEnd w:id="202"/>
    <w:bookmarkEnd w:id="203"/>
    <w:p w14:paraId="3D2A7919">
      <w:pPr>
        <w:rPr>
          <w:color w:val="auto"/>
          <w:highlight w:val="none"/>
        </w:rPr>
      </w:pPr>
    </w:p>
    <w:p w14:paraId="3A4FE7C5">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D3B41D8">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09EC660E">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1BBEA404">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683C323">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FD1078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1269EB1">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A79C7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B63D208">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C1857D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C266A2">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855B59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5856014">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DF26DC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5D9AAAA">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C45C6E4">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02EE10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0C3EA93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454C489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B0C3A0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65F6B2B9">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8A4C18D">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2398CF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481B69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4BFC85F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142A57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0E62018D">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BD1128B">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66B4F23">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477C1A6">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若委托代理人进行质疑的，质疑函应按要求列明“授权代表”的有关内容，并在附件中提交由质疑</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签署的授权委托书。授权委托书应载明代理人的姓名或者名称、代理事项、具体权限、期限和相关事项。</w:t>
      </w:r>
    </w:p>
    <w:p w14:paraId="6B40952D">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若对项目的某一分包进行质疑，质疑函中应列明具体分包号。</w:t>
      </w:r>
    </w:p>
    <w:p w14:paraId="61B2EC12">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0DA2770">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7B96CA49">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为自然人的，质疑函应由本人签字；质疑</w:t>
      </w:r>
      <w:r>
        <w:rPr>
          <w:rFonts w:hint="eastAsia" w:ascii="宋体" w:hAnsi="宋体" w:eastAsia="宋体" w:cs="宋体"/>
          <w:color w:val="auto"/>
          <w:highlight w:val="none"/>
          <w:lang w:val="en-US" w:eastAsia="zh-CN"/>
        </w:rPr>
        <w:t>供应商</w:t>
      </w:r>
      <w:r>
        <w:rPr>
          <w:rFonts w:hint="eastAsia" w:ascii="宋体" w:hAnsi="宋体" w:eastAsia="宋体" w:cs="宋体"/>
          <w:color w:val="auto"/>
          <w:highlight w:val="none"/>
        </w:rPr>
        <w:t>为法人或者其他组织的，质疑函应由法定代表人、主要负责人，或者其授权代表签字或者盖章，并加盖公章。</w:t>
      </w:r>
    </w:p>
    <w:p w14:paraId="2A8F5BDA">
      <w:pPr>
        <w:pStyle w:val="1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5C2BD028">
      <w:pPr>
        <w:rPr>
          <w:color w:val="auto"/>
          <w:highlight w:val="none"/>
        </w:rPr>
      </w:pPr>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魏碑_GBK">
    <w:altName w:val="宋体"/>
    <w:panose1 w:val="03000509000000000000"/>
    <w:charset w:val="86"/>
    <w:family w:val="script"/>
    <w:pitch w:val="default"/>
    <w:sig w:usb0="00000000" w:usb1="00000000" w:usb2="00000010" w:usb3="00000000" w:csb0="00040000" w:csb1="00000000"/>
  </w:font>
  <w:font w:name="Noto Sans SC">
    <w:panose1 w:val="020B0500000000000000"/>
    <w:charset w:val="86"/>
    <w:family w:val="auto"/>
    <w:pitch w:val="default"/>
    <w:sig w:usb0="20000083" w:usb1="2ADF3C10" w:usb2="00000016" w:usb3="00000000" w:csb0="60060107"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F884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F1E7EA">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6F1E7EA">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B760C"/>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23C4"/>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2453C2"/>
    <w:rsid w:val="01323CE1"/>
    <w:rsid w:val="014036E0"/>
    <w:rsid w:val="01416DF2"/>
    <w:rsid w:val="015C3D17"/>
    <w:rsid w:val="0168325F"/>
    <w:rsid w:val="017E6F26"/>
    <w:rsid w:val="01891B53"/>
    <w:rsid w:val="01C209CB"/>
    <w:rsid w:val="01D60B10"/>
    <w:rsid w:val="01FF0067"/>
    <w:rsid w:val="02357688"/>
    <w:rsid w:val="02851591"/>
    <w:rsid w:val="02AD361F"/>
    <w:rsid w:val="02BD5381"/>
    <w:rsid w:val="02D505AD"/>
    <w:rsid w:val="02D908B8"/>
    <w:rsid w:val="030671D3"/>
    <w:rsid w:val="03262948"/>
    <w:rsid w:val="03365B5E"/>
    <w:rsid w:val="034E4AD1"/>
    <w:rsid w:val="037E0789"/>
    <w:rsid w:val="03913FFC"/>
    <w:rsid w:val="03B254D9"/>
    <w:rsid w:val="03DF1EFE"/>
    <w:rsid w:val="03F11C32"/>
    <w:rsid w:val="04363AE8"/>
    <w:rsid w:val="043D41EC"/>
    <w:rsid w:val="044D71EC"/>
    <w:rsid w:val="04553F6E"/>
    <w:rsid w:val="0482288A"/>
    <w:rsid w:val="04CF1FA6"/>
    <w:rsid w:val="051554AC"/>
    <w:rsid w:val="056C5A14"/>
    <w:rsid w:val="056E5657"/>
    <w:rsid w:val="05AD05DE"/>
    <w:rsid w:val="05BD3D79"/>
    <w:rsid w:val="05BE268B"/>
    <w:rsid w:val="05D1541D"/>
    <w:rsid w:val="0621639E"/>
    <w:rsid w:val="062C42CE"/>
    <w:rsid w:val="06764670"/>
    <w:rsid w:val="06867FD2"/>
    <w:rsid w:val="068A6E34"/>
    <w:rsid w:val="06A0349B"/>
    <w:rsid w:val="06B12B65"/>
    <w:rsid w:val="06BD3726"/>
    <w:rsid w:val="071D689A"/>
    <w:rsid w:val="07887E6F"/>
    <w:rsid w:val="07911761"/>
    <w:rsid w:val="07994E3B"/>
    <w:rsid w:val="07A02A3F"/>
    <w:rsid w:val="07A40F48"/>
    <w:rsid w:val="07DD49A7"/>
    <w:rsid w:val="07F651C7"/>
    <w:rsid w:val="080A468F"/>
    <w:rsid w:val="0854758E"/>
    <w:rsid w:val="08646E76"/>
    <w:rsid w:val="08992D34"/>
    <w:rsid w:val="08B51480"/>
    <w:rsid w:val="08C86899"/>
    <w:rsid w:val="08E056F9"/>
    <w:rsid w:val="09000221"/>
    <w:rsid w:val="090E3E30"/>
    <w:rsid w:val="09132265"/>
    <w:rsid w:val="092901AB"/>
    <w:rsid w:val="0946699E"/>
    <w:rsid w:val="09732BED"/>
    <w:rsid w:val="09C67409"/>
    <w:rsid w:val="09D92A42"/>
    <w:rsid w:val="09FE79EC"/>
    <w:rsid w:val="0A115A1D"/>
    <w:rsid w:val="0A173A74"/>
    <w:rsid w:val="0A425498"/>
    <w:rsid w:val="0A7964DD"/>
    <w:rsid w:val="0A951569"/>
    <w:rsid w:val="0AB319EF"/>
    <w:rsid w:val="0ABC363A"/>
    <w:rsid w:val="0AD656DD"/>
    <w:rsid w:val="0AD8294B"/>
    <w:rsid w:val="0AE07581"/>
    <w:rsid w:val="0AEE0C79"/>
    <w:rsid w:val="0B0B49A4"/>
    <w:rsid w:val="0B4B3B00"/>
    <w:rsid w:val="0B6E668C"/>
    <w:rsid w:val="0B8A23C1"/>
    <w:rsid w:val="0BA111B6"/>
    <w:rsid w:val="0BAE3813"/>
    <w:rsid w:val="0BB35A1E"/>
    <w:rsid w:val="0BDB744F"/>
    <w:rsid w:val="0BEB51B8"/>
    <w:rsid w:val="0BF40511"/>
    <w:rsid w:val="0BFF003E"/>
    <w:rsid w:val="0C234952"/>
    <w:rsid w:val="0C3B6140"/>
    <w:rsid w:val="0C590374"/>
    <w:rsid w:val="0C692CAD"/>
    <w:rsid w:val="0C6A432F"/>
    <w:rsid w:val="0C923886"/>
    <w:rsid w:val="0C9413AC"/>
    <w:rsid w:val="0CA710DF"/>
    <w:rsid w:val="0CFF0F1B"/>
    <w:rsid w:val="0D4D2FC1"/>
    <w:rsid w:val="0D782A7C"/>
    <w:rsid w:val="0D9D24E2"/>
    <w:rsid w:val="0DC86695"/>
    <w:rsid w:val="0DE40111"/>
    <w:rsid w:val="0E0362D5"/>
    <w:rsid w:val="0E5928AD"/>
    <w:rsid w:val="0E966A8C"/>
    <w:rsid w:val="0E9C279A"/>
    <w:rsid w:val="0EB36461"/>
    <w:rsid w:val="0EBE6BB4"/>
    <w:rsid w:val="0EE61CD2"/>
    <w:rsid w:val="0F0A004B"/>
    <w:rsid w:val="0F0A3BA7"/>
    <w:rsid w:val="0F501F02"/>
    <w:rsid w:val="0F655282"/>
    <w:rsid w:val="0F6D24BC"/>
    <w:rsid w:val="0F786E19"/>
    <w:rsid w:val="0F7D537E"/>
    <w:rsid w:val="0FBC4A1F"/>
    <w:rsid w:val="0FD115EF"/>
    <w:rsid w:val="0FD50701"/>
    <w:rsid w:val="0FE97C61"/>
    <w:rsid w:val="10007707"/>
    <w:rsid w:val="101D790A"/>
    <w:rsid w:val="10466E61"/>
    <w:rsid w:val="1065378B"/>
    <w:rsid w:val="106F5D23"/>
    <w:rsid w:val="10957FEE"/>
    <w:rsid w:val="10B2533E"/>
    <w:rsid w:val="11072A94"/>
    <w:rsid w:val="1131366D"/>
    <w:rsid w:val="1184463E"/>
    <w:rsid w:val="11A46535"/>
    <w:rsid w:val="11AB711C"/>
    <w:rsid w:val="11E93F48"/>
    <w:rsid w:val="11EB7CC0"/>
    <w:rsid w:val="11F12DFD"/>
    <w:rsid w:val="123D700F"/>
    <w:rsid w:val="124F64A1"/>
    <w:rsid w:val="124F757F"/>
    <w:rsid w:val="12751985"/>
    <w:rsid w:val="129B16E6"/>
    <w:rsid w:val="12A21019"/>
    <w:rsid w:val="12AA0865"/>
    <w:rsid w:val="12D9220E"/>
    <w:rsid w:val="12F015A0"/>
    <w:rsid w:val="13013A9E"/>
    <w:rsid w:val="13174AE5"/>
    <w:rsid w:val="131D034D"/>
    <w:rsid w:val="132077BC"/>
    <w:rsid w:val="132711CC"/>
    <w:rsid w:val="13497394"/>
    <w:rsid w:val="137D2B9A"/>
    <w:rsid w:val="13CE7899"/>
    <w:rsid w:val="13D157F4"/>
    <w:rsid w:val="13DC21D6"/>
    <w:rsid w:val="13E175CD"/>
    <w:rsid w:val="13EE1CEA"/>
    <w:rsid w:val="143E4A1F"/>
    <w:rsid w:val="144638D4"/>
    <w:rsid w:val="14477BA7"/>
    <w:rsid w:val="14551D69"/>
    <w:rsid w:val="150F0E53"/>
    <w:rsid w:val="15194B44"/>
    <w:rsid w:val="157923E7"/>
    <w:rsid w:val="15B91122"/>
    <w:rsid w:val="15C727F2"/>
    <w:rsid w:val="15EA52B2"/>
    <w:rsid w:val="161A6D46"/>
    <w:rsid w:val="162C6AF9"/>
    <w:rsid w:val="163E3563"/>
    <w:rsid w:val="16443E43"/>
    <w:rsid w:val="16756D52"/>
    <w:rsid w:val="169263C8"/>
    <w:rsid w:val="16A4387C"/>
    <w:rsid w:val="16A61788"/>
    <w:rsid w:val="16AF4856"/>
    <w:rsid w:val="16B057DE"/>
    <w:rsid w:val="16B0768E"/>
    <w:rsid w:val="16B56AEF"/>
    <w:rsid w:val="16FC471D"/>
    <w:rsid w:val="170045BA"/>
    <w:rsid w:val="173914CE"/>
    <w:rsid w:val="17397720"/>
    <w:rsid w:val="174D6D27"/>
    <w:rsid w:val="174D7871"/>
    <w:rsid w:val="17666D47"/>
    <w:rsid w:val="176F0FD8"/>
    <w:rsid w:val="17732C32"/>
    <w:rsid w:val="1780297E"/>
    <w:rsid w:val="178521C3"/>
    <w:rsid w:val="17884203"/>
    <w:rsid w:val="178A3AD7"/>
    <w:rsid w:val="178F627B"/>
    <w:rsid w:val="1833416F"/>
    <w:rsid w:val="1869193F"/>
    <w:rsid w:val="1888270D"/>
    <w:rsid w:val="189310B2"/>
    <w:rsid w:val="18BC4109"/>
    <w:rsid w:val="18C354F3"/>
    <w:rsid w:val="18C76888"/>
    <w:rsid w:val="18D23988"/>
    <w:rsid w:val="190478B9"/>
    <w:rsid w:val="190E24E6"/>
    <w:rsid w:val="193260E4"/>
    <w:rsid w:val="19461C80"/>
    <w:rsid w:val="1954439D"/>
    <w:rsid w:val="19831126"/>
    <w:rsid w:val="19835197"/>
    <w:rsid w:val="19A11C2E"/>
    <w:rsid w:val="19BF71CA"/>
    <w:rsid w:val="1A1C3150"/>
    <w:rsid w:val="1A2024D1"/>
    <w:rsid w:val="1A4F2C83"/>
    <w:rsid w:val="1A640552"/>
    <w:rsid w:val="1A694281"/>
    <w:rsid w:val="1A98650B"/>
    <w:rsid w:val="1AA839EE"/>
    <w:rsid w:val="1AD2708F"/>
    <w:rsid w:val="1AD576F3"/>
    <w:rsid w:val="1AD75285"/>
    <w:rsid w:val="1AE23C2A"/>
    <w:rsid w:val="1AE6196C"/>
    <w:rsid w:val="1AF75928"/>
    <w:rsid w:val="1B043BA1"/>
    <w:rsid w:val="1B1115F9"/>
    <w:rsid w:val="1B193AF0"/>
    <w:rsid w:val="1B395F40"/>
    <w:rsid w:val="1B5508A0"/>
    <w:rsid w:val="1B5F5046"/>
    <w:rsid w:val="1B9509DF"/>
    <w:rsid w:val="1BA002D8"/>
    <w:rsid w:val="1BA07D6D"/>
    <w:rsid w:val="1BB0405F"/>
    <w:rsid w:val="1BB158AD"/>
    <w:rsid w:val="1BCC1A5A"/>
    <w:rsid w:val="1C406E5A"/>
    <w:rsid w:val="1C493F61"/>
    <w:rsid w:val="1C4B0278"/>
    <w:rsid w:val="1C6F7740"/>
    <w:rsid w:val="1CA23671"/>
    <w:rsid w:val="1CAC4347"/>
    <w:rsid w:val="1CF10155"/>
    <w:rsid w:val="1D1328AB"/>
    <w:rsid w:val="1D1C1092"/>
    <w:rsid w:val="1D605A5A"/>
    <w:rsid w:val="1D812873"/>
    <w:rsid w:val="1D8E3BF5"/>
    <w:rsid w:val="1DAB07D4"/>
    <w:rsid w:val="1DCA254F"/>
    <w:rsid w:val="1DD57D5B"/>
    <w:rsid w:val="1DDF4451"/>
    <w:rsid w:val="1DE2466D"/>
    <w:rsid w:val="1DE55F0B"/>
    <w:rsid w:val="1DFD1285"/>
    <w:rsid w:val="1E2F2C87"/>
    <w:rsid w:val="1E470974"/>
    <w:rsid w:val="1E4E1D03"/>
    <w:rsid w:val="1EB61656"/>
    <w:rsid w:val="1EBD4792"/>
    <w:rsid w:val="1EC70509"/>
    <w:rsid w:val="1EE6018D"/>
    <w:rsid w:val="1F49071C"/>
    <w:rsid w:val="1F4A0271"/>
    <w:rsid w:val="1FA5245A"/>
    <w:rsid w:val="1FC7762D"/>
    <w:rsid w:val="1FDC6E9A"/>
    <w:rsid w:val="2000702C"/>
    <w:rsid w:val="201527B3"/>
    <w:rsid w:val="20564103"/>
    <w:rsid w:val="205C376D"/>
    <w:rsid w:val="20607ACB"/>
    <w:rsid w:val="20677E3C"/>
    <w:rsid w:val="20733730"/>
    <w:rsid w:val="2084273E"/>
    <w:rsid w:val="209429D0"/>
    <w:rsid w:val="20A83FAF"/>
    <w:rsid w:val="20BF7061"/>
    <w:rsid w:val="20CE42A1"/>
    <w:rsid w:val="211014F1"/>
    <w:rsid w:val="21156B08"/>
    <w:rsid w:val="215025DE"/>
    <w:rsid w:val="21827A71"/>
    <w:rsid w:val="21B06830"/>
    <w:rsid w:val="21B634AE"/>
    <w:rsid w:val="21C76D7B"/>
    <w:rsid w:val="21CC717D"/>
    <w:rsid w:val="21EE07BA"/>
    <w:rsid w:val="22424AA4"/>
    <w:rsid w:val="22552F34"/>
    <w:rsid w:val="227E62FD"/>
    <w:rsid w:val="22837AA1"/>
    <w:rsid w:val="228C104B"/>
    <w:rsid w:val="22934188"/>
    <w:rsid w:val="22C32593"/>
    <w:rsid w:val="22DB5B2F"/>
    <w:rsid w:val="22E06CA1"/>
    <w:rsid w:val="22F62B8A"/>
    <w:rsid w:val="23016DB6"/>
    <w:rsid w:val="23151041"/>
    <w:rsid w:val="23213F89"/>
    <w:rsid w:val="23254D08"/>
    <w:rsid w:val="23534E2B"/>
    <w:rsid w:val="23EC618A"/>
    <w:rsid w:val="23F30C56"/>
    <w:rsid w:val="242C02D7"/>
    <w:rsid w:val="243A6885"/>
    <w:rsid w:val="2446347C"/>
    <w:rsid w:val="24533DC2"/>
    <w:rsid w:val="245711E5"/>
    <w:rsid w:val="247268A5"/>
    <w:rsid w:val="24B112DD"/>
    <w:rsid w:val="24B853ED"/>
    <w:rsid w:val="24BE643D"/>
    <w:rsid w:val="24C30629"/>
    <w:rsid w:val="24EC4023"/>
    <w:rsid w:val="250550E5"/>
    <w:rsid w:val="2532334D"/>
    <w:rsid w:val="257F09F3"/>
    <w:rsid w:val="259B3353"/>
    <w:rsid w:val="25AA45A6"/>
    <w:rsid w:val="25B20DC9"/>
    <w:rsid w:val="25C84E7F"/>
    <w:rsid w:val="26031E2F"/>
    <w:rsid w:val="263F63D5"/>
    <w:rsid w:val="266F79A3"/>
    <w:rsid w:val="26750FF7"/>
    <w:rsid w:val="2677791D"/>
    <w:rsid w:val="268D5392"/>
    <w:rsid w:val="26957AE0"/>
    <w:rsid w:val="26CD1C32"/>
    <w:rsid w:val="27025115"/>
    <w:rsid w:val="270C275B"/>
    <w:rsid w:val="27194423"/>
    <w:rsid w:val="27206206"/>
    <w:rsid w:val="27290FC5"/>
    <w:rsid w:val="274E5B18"/>
    <w:rsid w:val="27675BE3"/>
    <w:rsid w:val="276C4FA7"/>
    <w:rsid w:val="27CE5C62"/>
    <w:rsid w:val="280F2334"/>
    <w:rsid w:val="280F2F92"/>
    <w:rsid w:val="28612632"/>
    <w:rsid w:val="28B2052F"/>
    <w:rsid w:val="28B51119"/>
    <w:rsid w:val="28BC3D0D"/>
    <w:rsid w:val="28D01566"/>
    <w:rsid w:val="28D64DCE"/>
    <w:rsid w:val="28F8541F"/>
    <w:rsid w:val="28FE41FC"/>
    <w:rsid w:val="2919115F"/>
    <w:rsid w:val="29345C52"/>
    <w:rsid w:val="293D309F"/>
    <w:rsid w:val="294E3480"/>
    <w:rsid w:val="295403E9"/>
    <w:rsid w:val="29551878"/>
    <w:rsid w:val="295757E3"/>
    <w:rsid w:val="296C6B91"/>
    <w:rsid w:val="29910CF5"/>
    <w:rsid w:val="2996274E"/>
    <w:rsid w:val="29BD7D3C"/>
    <w:rsid w:val="29D457AB"/>
    <w:rsid w:val="29EC1913"/>
    <w:rsid w:val="29FA4AED"/>
    <w:rsid w:val="2A4648B7"/>
    <w:rsid w:val="2A9A62D0"/>
    <w:rsid w:val="2AA50EFC"/>
    <w:rsid w:val="2AA809EC"/>
    <w:rsid w:val="2B005440"/>
    <w:rsid w:val="2B400BF9"/>
    <w:rsid w:val="2B563FA5"/>
    <w:rsid w:val="2B5F2E7B"/>
    <w:rsid w:val="2BCA6741"/>
    <w:rsid w:val="2C03574A"/>
    <w:rsid w:val="2C0A4EA8"/>
    <w:rsid w:val="2C0C12C0"/>
    <w:rsid w:val="2C1125C1"/>
    <w:rsid w:val="2C300C99"/>
    <w:rsid w:val="2C580CF2"/>
    <w:rsid w:val="2C6B7F24"/>
    <w:rsid w:val="2C701BF5"/>
    <w:rsid w:val="2C7B3B05"/>
    <w:rsid w:val="2CB74F17"/>
    <w:rsid w:val="2CC277F5"/>
    <w:rsid w:val="2CEA709A"/>
    <w:rsid w:val="2D0A13DA"/>
    <w:rsid w:val="2D2F0F51"/>
    <w:rsid w:val="2D39592C"/>
    <w:rsid w:val="2D3C33FD"/>
    <w:rsid w:val="2DC06235"/>
    <w:rsid w:val="2DE33AEA"/>
    <w:rsid w:val="2E0C4DEE"/>
    <w:rsid w:val="2E5E7AF7"/>
    <w:rsid w:val="2E641A7D"/>
    <w:rsid w:val="2E9F2106"/>
    <w:rsid w:val="2EB21E3A"/>
    <w:rsid w:val="2EC76F67"/>
    <w:rsid w:val="2ED718A0"/>
    <w:rsid w:val="2EE31FF3"/>
    <w:rsid w:val="2EE73822"/>
    <w:rsid w:val="2F1D1979"/>
    <w:rsid w:val="2F644280"/>
    <w:rsid w:val="2F6E2EC0"/>
    <w:rsid w:val="2F6F3887"/>
    <w:rsid w:val="2FA80D19"/>
    <w:rsid w:val="2FAD4FD9"/>
    <w:rsid w:val="2FB346FB"/>
    <w:rsid w:val="2FCA4F61"/>
    <w:rsid w:val="2FF975F4"/>
    <w:rsid w:val="2FFA5778"/>
    <w:rsid w:val="30495C84"/>
    <w:rsid w:val="304A60A2"/>
    <w:rsid w:val="304B42F4"/>
    <w:rsid w:val="30650005"/>
    <w:rsid w:val="30915A7F"/>
    <w:rsid w:val="30C776F3"/>
    <w:rsid w:val="30DA7426"/>
    <w:rsid w:val="310333AD"/>
    <w:rsid w:val="3126266B"/>
    <w:rsid w:val="31522189"/>
    <w:rsid w:val="318E0F10"/>
    <w:rsid w:val="31DB0550"/>
    <w:rsid w:val="32024E86"/>
    <w:rsid w:val="3239017C"/>
    <w:rsid w:val="32531113"/>
    <w:rsid w:val="325B00F2"/>
    <w:rsid w:val="329E6CD8"/>
    <w:rsid w:val="32AE0B6A"/>
    <w:rsid w:val="32E26A66"/>
    <w:rsid w:val="32E77BD8"/>
    <w:rsid w:val="331F7372"/>
    <w:rsid w:val="33274478"/>
    <w:rsid w:val="33440753"/>
    <w:rsid w:val="334B4AB3"/>
    <w:rsid w:val="33773E42"/>
    <w:rsid w:val="33AB50A9"/>
    <w:rsid w:val="34221079"/>
    <w:rsid w:val="34367069"/>
    <w:rsid w:val="346D235F"/>
    <w:rsid w:val="34AA3CE5"/>
    <w:rsid w:val="34BA4BC0"/>
    <w:rsid w:val="34E14EA2"/>
    <w:rsid w:val="34E346A0"/>
    <w:rsid w:val="34F52A80"/>
    <w:rsid w:val="350933CD"/>
    <w:rsid w:val="352670DE"/>
    <w:rsid w:val="358D4A67"/>
    <w:rsid w:val="358E6A31"/>
    <w:rsid w:val="359B1151"/>
    <w:rsid w:val="35A324DC"/>
    <w:rsid w:val="35A41DB0"/>
    <w:rsid w:val="35AB112E"/>
    <w:rsid w:val="35AD49A2"/>
    <w:rsid w:val="35BC534C"/>
    <w:rsid w:val="35C10BB4"/>
    <w:rsid w:val="35D308DD"/>
    <w:rsid w:val="35D408E8"/>
    <w:rsid w:val="35D46B3A"/>
    <w:rsid w:val="35E93C67"/>
    <w:rsid w:val="36172BC3"/>
    <w:rsid w:val="361E7731"/>
    <w:rsid w:val="36315173"/>
    <w:rsid w:val="364C7833"/>
    <w:rsid w:val="36590DED"/>
    <w:rsid w:val="366A2FFA"/>
    <w:rsid w:val="36721EAF"/>
    <w:rsid w:val="36877708"/>
    <w:rsid w:val="36941E25"/>
    <w:rsid w:val="36A34945"/>
    <w:rsid w:val="36AC38FB"/>
    <w:rsid w:val="36BB2BCA"/>
    <w:rsid w:val="36BD312A"/>
    <w:rsid w:val="36BF3346"/>
    <w:rsid w:val="36CC7C95"/>
    <w:rsid w:val="36E076F0"/>
    <w:rsid w:val="36E6637B"/>
    <w:rsid w:val="36EB650A"/>
    <w:rsid w:val="36F4212A"/>
    <w:rsid w:val="374B2389"/>
    <w:rsid w:val="375A305F"/>
    <w:rsid w:val="375B1FDF"/>
    <w:rsid w:val="37667C65"/>
    <w:rsid w:val="376C4DC8"/>
    <w:rsid w:val="377D38C5"/>
    <w:rsid w:val="378133A9"/>
    <w:rsid w:val="379E73FF"/>
    <w:rsid w:val="37E83053"/>
    <w:rsid w:val="38066D52"/>
    <w:rsid w:val="382A38F7"/>
    <w:rsid w:val="383A233E"/>
    <w:rsid w:val="39101F1B"/>
    <w:rsid w:val="392D7EB3"/>
    <w:rsid w:val="39643D30"/>
    <w:rsid w:val="39720FC7"/>
    <w:rsid w:val="399052A7"/>
    <w:rsid w:val="39987E7E"/>
    <w:rsid w:val="39A84137"/>
    <w:rsid w:val="39B2192F"/>
    <w:rsid w:val="39CD52E9"/>
    <w:rsid w:val="39FA768B"/>
    <w:rsid w:val="3A1C0AAF"/>
    <w:rsid w:val="3A2636DC"/>
    <w:rsid w:val="3A575643"/>
    <w:rsid w:val="3A64388F"/>
    <w:rsid w:val="3AA36ADA"/>
    <w:rsid w:val="3AB02FA5"/>
    <w:rsid w:val="3AD24831"/>
    <w:rsid w:val="3AE9159E"/>
    <w:rsid w:val="3B0B043D"/>
    <w:rsid w:val="3B247C1B"/>
    <w:rsid w:val="3B702E61"/>
    <w:rsid w:val="3B844B5E"/>
    <w:rsid w:val="3B9710EF"/>
    <w:rsid w:val="3BA0301A"/>
    <w:rsid w:val="3BDF2457"/>
    <w:rsid w:val="3BDF7FE6"/>
    <w:rsid w:val="3BF03FA1"/>
    <w:rsid w:val="3BFF41E4"/>
    <w:rsid w:val="3C591B47"/>
    <w:rsid w:val="3C811D87"/>
    <w:rsid w:val="3CC36DCD"/>
    <w:rsid w:val="3CED04E1"/>
    <w:rsid w:val="3D000214"/>
    <w:rsid w:val="3D23372C"/>
    <w:rsid w:val="3D2823FA"/>
    <w:rsid w:val="3D581DFE"/>
    <w:rsid w:val="3D595B76"/>
    <w:rsid w:val="3D6764E5"/>
    <w:rsid w:val="3D6A4AAA"/>
    <w:rsid w:val="3DD75419"/>
    <w:rsid w:val="3DF80C94"/>
    <w:rsid w:val="3DFD4754"/>
    <w:rsid w:val="3E064F5A"/>
    <w:rsid w:val="3E161B6B"/>
    <w:rsid w:val="3E496B6B"/>
    <w:rsid w:val="3E7F5998"/>
    <w:rsid w:val="3E952BDE"/>
    <w:rsid w:val="3E9A1FA2"/>
    <w:rsid w:val="3EC3599D"/>
    <w:rsid w:val="3EED6576"/>
    <w:rsid w:val="3F0056DB"/>
    <w:rsid w:val="3F0156C1"/>
    <w:rsid w:val="3F165ACD"/>
    <w:rsid w:val="3F1A3023"/>
    <w:rsid w:val="3F243A9D"/>
    <w:rsid w:val="3F382BD1"/>
    <w:rsid w:val="3F5C54AA"/>
    <w:rsid w:val="3F830C89"/>
    <w:rsid w:val="3FAF7CCF"/>
    <w:rsid w:val="3FC26720"/>
    <w:rsid w:val="3FDF2363"/>
    <w:rsid w:val="40260F22"/>
    <w:rsid w:val="402B33C8"/>
    <w:rsid w:val="40332B8E"/>
    <w:rsid w:val="40350295"/>
    <w:rsid w:val="40664832"/>
    <w:rsid w:val="406665E0"/>
    <w:rsid w:val="406E1D8D"/>
    <w:rsid w:val="40A5483A"/>
    <w:rsid w:val="40E63BC5"/>
    <w:rsid w:val="414E46CF"/>
    <w:rsid w:val="416C142E"/>
    <w:rsid w:val="418F600A"/>
    <w:rsid w:val="42053C57"/>
    <w:rsid w:val="42214BD9"/>
    <w:rsid w:val="42324DFA"/>
    <w:rsid w:val="42621029"/>
    <w:rsid w:val="42A85CB2"/>
    <w:rsid w:val="42AF59D8"/>
    <w:rsid w:val="42E44134"/>
    <w:rsid w:val="430017B5"/>
    <w:rsid w:val="431353F3"/>
    <w:rsid w:val="43455446"/>
    <w:rsid w:val="43847A3E"/>
    <w:rsid w:val="43974798"/>
    <w:rsid w:val="43A01E09"/>
    <w:rsid w:val="43C006FD"/>
    <w:rsid w:val="440C56F0"/>
    <w:rsid w:val="442073EE"/>
    <w:rsid w:val="4450382F"/>
    <w:rsid w:val="44577442"/>
    <w:rsid w:val="447339C1"/>
    <w:rsid w:val="44815866"/>
    <w:rsid w:val="448404AA"/>
    <w:rsid w:val="44CB55AC"/>
    <w:rsid w:val="44DA072F"/>
    <w:rsid w:val="44F06DC0"/>
    <w:rsid w:val="452E1696"/>
    <w:rsid w:val="4536186B"/>
    <w:rsid w:val="454D0F8E"/>
    <w:rsid w:val="45715C8C"/>
    <w:rsid w:val="45890E3A"/>
    <w:rsid w:val="45EA7CB3"/>
    <w:rsid w:val="45FC0A54"/>
    <w:rsid w:val="46115240"/>
    <w:rsid w:val="461D469A"/>
    <w:rsid w:val="4642189D"/>
    <w:rsid w:val="466976E6"/>
    <w:rsid w:val="4682613E"/>
    <w:rsid w:val="46AC31BB"/>
    <w:rsid w:val="46C93D6D"/>
    <w:rsid w:val="46D149CF"/>
    <w:rsid w:val="46D32596"/>
    <w:rsid w:val="46EA0CE7"/>
    <w:rsid w:val="470D4256"/>
    <w:rsid w:val="470E352E"/>
    <w:rsid w:val="472208AE"/>
    <w:rsid w:val="47596E9F"/>
    <w:rsid w:val="47663862"/>
    <w:rsid w:val="47704C41"/>
    <w:rsid w:val="47755C7D"/>
    <w:rsid w:val="477F6C5D"/>
    <w:rsid w:val="478B2DD0"/>
    <w:rsid w:val="47AB4278"/>
    <w:rsid w:val="47B925F3"/>
    <w:rsid w:val="47C40755"/>
    <w:rsid w:val="48272AF9"/>
    <w:rsid w:val="48345DB6"/>
    <w:rsid w:val="48420BDC"/>
    <w:rsid w:val="4860425D"/>
    <w:rsid w:val="48771F96"/>
    <w:rsid w:val="48910AEC"/>
    <w:rsid w:val="48913E27"/>
    <w:rsid w:val="489D725F"/>
    <w:rsid w:val="48B3170D"/>
    <w:rsid w:val="48BF2E35"/>
    <w:rsid w:val="493C7DE9"/>
    <w:rsid w:val="49627B61"/>
    <w:rsid w:val="49AA39E1"/>
    <w:rsid w:val="49D62B33"/>
    <w:rsid w:val="49E54986"/>
    <w:rsid w:val="49E862B8"/>
    <w:rsid w:val="4A1878EC"/>
    <w:rsid w:val="4A1E13B4"/>
    <w:rsid w:val="4A2C49B0"/>
    <w:rsid w:val="4A58168F"/>
    <w:rsid w:val="4A7D1B0F"/>
    <w:rsid w:val="4A886D9B"/>
    <w:rsid w:val="4AAC50D1"/>
    <w:rsid w:val="4AE65BCD"/>
    <w:rsid w:val="4AF64A04"/>
    <w:rsid w:val="4AFA44F5"/>
    <w:rsid w:val="4B0C37B9"/>
    <w:rsid w:val="4B105AC6"/>
    <w:rsid w:val="4B307FF0"/>
    <w:rsid w:val="4B944949"/>
    <w:rsid w:val="4BC33B49"/>
    <w:rsid w:val="4BD12EAB"/>
    <w:rsid w:val="4BD42F98"/>
    <w:rsid w:val="4BE156B5"/>
    <w:rsid w:val="4BED5E07"/>
    <w:rsid w:val="4C0C6ECB"/>
    <w:rsid w:val="4C4A14AC"/>
    <w:rsid w:val="4C5A2B74"/>
    <w:rsid w:val="4C9A3E35"/>
    <w:rsid w:val="4D2D20D9"/>
    <w:rsid w:val="4D317F76"/>
    <w:rsid w:val="4D3C69F8"/>
    <w:rsid w:val="4D784E5B"/>
    <w:rsid w:val="4DA074F7"/>
    <w:rsid w:val="4DA33F07"/>
    <w:rsid w:val="4DDE52C0"/>
    <w:rsid w:val="4DF25C03"/>
    <w:rsid w:val="4E3153BB"/>
    <w:rsid w:val="4E347D1E"/>
    <w:rsid w:val="4E926564"/>
    <w:rsid w:val="4EB15812"/>
    <w:rsid w:val="4ED37DB2"/>
    <w:rsid w:val="4EDD03B5"/>
    <w:rsid w:val="4F155DA1"/>
    <w:rsid w:val="4F1D4C56"/>
    <w:rsid w:val="4F1F54AE"/>
    <w:rsid w:val="4F337FD5"/>
    <w:rsid w:val="4F3B332E"/>
    <w:rsid w:val="4F526BF1"/>
    <w:rsid w:val="4FBF676C"/>
    <w:rsid w:val="4FBF7ABB"/>
    <w:rsid w:val="4FC2427A"/>
    <w:rsid w:val="4FEA4E3B"/>
    <w:rsid w:val="4FF21C3E"/>
    <w:rsid w:val="500951DA"/>
    <w:rsid w:val="500D0A12"/>
    <w:rsid w:val="500D258A"/>
    <w:rsid w:val="500D3148"/>
    <w:rsid w:val="50187449"/>
    <w:rsid w:val="504D0CA5"/>
    <w:rsid w:val="50676152"/>
    <w:rsid w:val="50A0169A"/>
    <w:rsid w:val="50A1397F"/>
    <w:rsid w:val="50BF25BD"/>
    <w:rsid w:val="50DB373D"/>
    <w:rsid w:val="50FF17F5"/>
    <w:rsid w:val="516C3C72"/>
    <w:rsid w:val="51C75DFE"/>
    <w:rsid w:val="51CD394F"/>
    <w:rsid w:val="51CE66DB"/>
    <w:rsid w:val="51CF7F2C"/>
    <w:rsid w:val="51DA6E2E"/>
    <w:rsid w:val="51E15998"/>
    <w:rsid w:val="51E2489F"/>
    <w:rsid w:val="521A1920"/>
    <w:rsid w:val="52666914"/>
    <w:rsid w:val="52741FCB"/>
    <w:rsid w:val="52A10FF1"/>
    <w:rsid w:val="52CA1464"/>
    <w:rsid w:val="52CF44B9"/>
    <w:rsid w:val="52D06B10"/>
    <w:rsid w:val="52D52291"/>
    <w:rsid w:val="53112879"/>
    <w:rsid w:val="53167C2E"/>
    <w:rsid w:val="533D58C6"/>
    <w:rsid w:val="53536515"/>
    <w:rsid w:val="535E583D"/>
    <w:rsid w:val="536B21BA"/>
    <w:rsid w:val="53704731"/>
    <w:rsid w:val="53966D85"/>
    <w:rsid w:val="539D3711"/>
    <w:rsid w:val="53A862CC"/>
    <w:rsid w:val="53EE4E13"/>
    <w:rsid w:val="53F1220D"/>
    <w:rsid w:val="53FD6E04"/>
    <w:rsid w:val="542645AC"/>
    <w:rsid w:val="542A0FDA"/>
    <w:rsid w:val="5455251D"/>
    <w:rsid w:val="545729B8"/>
    <w:rsid w:val="545C0CB8"/>
    <w:rsid w:val="546C11F4"/>
    <w:rsid w:val="546E1AAF"/>
    <w:rsid w:val="54857525"/>
    <w:rsid w:val="54AD25D8"/>
    <w:rsid w:val="54C36822"/>
    <w:rsid w:val="54C87412"/>
    <w:rsid w:val="54D04518"/>
    <w:rsid w:val="54ED53D0"/>
    <w:rsid w:val="55091CCC"/>
    <w:rsid w:val="55173EF5"/>
    <w:rsid w:val="55322ADD"/>
    <w:rsid w:val="5559450E"/>
    <w:rsid w:val="55C67DF5"/>
    <w:rsid w:val="55DA0FE3"/>
    <w:rsid w:val="55FA184D"/>
    <w:rsid w:val="560E52F8"/>
    <w:rsid w:val="56307253"/>
    <w:rsid w:val="56453199"/>
    <w:rsid w:val="566D0271"/>
    <w:rsid w:val="56DF6C95"/>
    <w:rsid w:val="56E04EE6"/>
    <w:rsid w:val="57203535"/>
    <w:rsid w:val="5769699B"/>
    <w:rsid w:val="576B22D6"/>
    <w:rsid w:val="57803FD4"/>
    <w:rsid w:val="57914433"/>
    <w:rsid w:val="57DB745C"/>
    <w:rsid w:val="57EA58F1"/>
    <w:rsid w:val="58003366"/>
    <w:rsid w:val="581B1F4E"/>
    <w:rsid w:val="582F6DAB"/>
    <w:rsid w:val="58366D88"/>
    <w:rsid w:val="588910E4"/>
    <w:rsid w:val="58977827"/>
    <w:rsid w:val="58AD45AF"/>
    <w:rsid w:val="58B42ACF"/>
    <w:rsid w:val="58D4718C"/>
    <w:rsid w:val="59274DA4"/>
    <w:rsid w:val="592A79C2"/>
    <w:rsid w:val="594A6647"/>
    <w:rsid w:val="597131E7"/>
    <w:rsid w:val="598E1913"/>
    <w:rsid w:val="599211F9"/>
    <w:rsid w:val="59A82CA5"/>
    <w:rsid w:val="59BB7545"/>
    <w:rsid w:val="5A040EEC"/>
    <w:rsid w:val="5A5A6D5E"/>
    <w:rsid w:val="5AA1673B"/>
    <w:rsid w:val="5ABD109B"/>
    <w:rsid w:val="5AD514E8"/>
    <w:rsid w:val="5AD536B4"/>
    <w:rsid w:val="5AEA4CCC"/>
    <w:rsid w:val="5B031B11"/>
    <w:rsid w:val="5B070568"/>
    <w:rsid w:val="5B231846"/>
    <w:rsid w:val="5B2C4517"/>
    <w:rsid w:val="5B96574B"/>
    <w:rsid w:val="5C1318BA"/>
    <w:rsid w:val="5C2A4141"/>
    <w:rsid w:val="5C2C64D8"/>
    <w:rsid w:val="5C361105"/>
    <w:rsid w:val="5C423F4D"/>
    <w:rsid w:val="5C5A652B"/>
    <w:rsid w:val="5C7D4F86"/>
    <w:rsid w:val="5CAC7619"/>
    <w:rsid w:val="5CE305DA"/>
    <w:rsid w:val="5D235B2D"/>
    <w:rsid w:val="5D2F1B62"/>
    <w:rsid w:val="5D3E5EBD"/>
    <w:rsid w:val="5D740137"/>
    <w:rsid w:val="5D7C523D"/>
    <w:rsid w:val="5D8D11F8"/>
    <w:rsid w:val="5DA320EA"/>
    <w:rsid w:val="5DB06C95"/>
    <w:rsid w:val="5DDD75C3"/>
    <w:rsid w:val="5DE138D8"/>
    <w:rsid w:val="5E1921ED"/>
    <w:rsid w:val="5E5F6487"/>
    <w:rsid w:val="5E895E64"/>
    <w:rsid w:val="5EBA12BE"/>
    <w:rsid w:val="5EF07A1A"/>
    <w:rsid w:val="5F7D5E8E"/>
    <w:rsid w:val="5F7F522A"/>
    <w:rsid w:val="5FD72BFF"/>
    <w:rsid w:val="5FFC4413"/>
    <w:rsid w:val="601337BB"/>
    <w:rsid w:val="603E67DA"/>
    <w:rsid w:val="60762DC3"/>
    <w:rsid w:val="60D51B2B"/>
    <w:rsid w:val="60E03D35"/>
    <w:rsid w:val="60E70C20"/>
    <w:rsid w:val="60F17CF0"/>
    <w:rsid w:val="60F5158E"/>
    <w:rsid w:val="614B38A4"/>
    <w:rsid w:val="617F2D1C"/>
    <w:rsid w:val="61891CD7"/>
    <w:rsid w:val="61A44D62"/>
    <w:rsid w:val="61AF5FAD"/>
    <w:rsid w:val="61B7412F"/>
    <w:rsid w:val="61F07FA8"/>
    <w:rsid w:val="621E68C3"/>
    <w:rsid w:val="62312A9A"/>
    <w:rsid w:val="625978FB"/>
    <w:rsid w:val="62724EC0"/>
    <w:rsid w:val="6283706E"/>
    <w:rsid w:val="62A87E16"/>
    <w:rsid w:val="62C43294"/>
    <w:rsid w:val="62CA561A"/>
    <w:rsid w:val="62E0001C"/>
    <w:rsid w:val="6313315F"/>
    <w:rsid w:val="634D55BE"/>
    <w:rsid w:val="637172BE"/>
    <w:rsid w:val="63A948B2"/>
    <w:rsid w:val="63B63F59"/>
    <w:rsid w:val="63CD6C1F"/>
    <w:rsid w:val="64300B2F"/>
    <w:rsid w:val="64414AEB"/>
    <w:rsid w:val="64813139"/>
    <w:rsid w:val="64A56430"/>
    <w:rsid w:val="651D2E62"/>
    <w:rsid w:val="6530528B"/>
    <w:rsid w:val="65354E1B"/>
    <w:rsid w:val="6599190F"/>
    <w:rsid w:val="65B512EC"/>
    <w:rsid w:val="65BB2793"/>
    <w:rsid w:val="65DD5A8E"/>
    <w:rsid w:val="65FB46E7"/>
    <w:rsid w:val="6619508D"/>
    <w:rsid w:val="661C75BD"/>
    <w:rsid w:val="662B15AE"/>
    <w:rsid w:val="664B39FF"/>
    <w:rsid w:val="667027CF"/>
    <w:rsid w:val="667C005C"/>
    <w:rsid w:val="6685088A"/>
    <w:rsid w:val="6688694C"/>
    <w:rsid w:val="668A2ADA"/>
    <w:rsid w:val="66A510AF"/>
    <w:rsid w:val="66B22301"/>
    <w:rsid w:val="66D41C46"/>
    <w:rsid w:val="66FF1DEB"/>
    <w:rsid w:val="67057CD6"/>
    <w:rsid w:val="670D4A21"/>
    <w:rsid w:val="67340937"/>
    <w:rsid w:val="675849D9"/>
    <w:rsid w:val="67876CB8"/>
    <w:rsid w:val="6793565D"/>
    <w:rsid w:val="679413D5"/>
    <w:rsid w:val="67A91325"/>
    <w:rsid w:val="67B6759E"/>
    <w:rsid w:val="67CB3049"/>
    <w:rsid w:val="67E660D5"/>
    <w:rsid w:val="68076E78"/>
    <w:rsid w:val="68116E94"/>
    <w:rsid w:val="68245589"/>
    <w:rsid w:val="68777DD2"/>
    <w:rsid w:val="68CF442F"/>
    <w:rsid w:val="68CF4DBB"/>
    <w:rsid w:val="68E5013A"/>
    <w:rsid w:val="690C1B6B"/>
    <w:rsid w:val="69605A13"/>
    <w:rsid w:val="696E0130"/>
    <w:rsid w:val="698E2580"/>
    <w:rsid w:val="69983CE0"/>
    <w:rsid w:val="69B1626F"/>
    <w:rsid w:val="6A076033"/>
    <w:rsid w:val="6A114F5F"/>
    <w:rsid w:val="6A1C1694"/>
    <w:rsid w:val="6A221F57"/>
    <w:rsid w:val="6A235589"/>
    <w:rsid w:val="6A303461"/>
    <w:rsid w:val="6A410F0B"/>
    <w:rsid w:val="6A6A0A61"/>
    <w:rsid w:val="6A751DB0"/>
    <w:rsid w:val="6A7F45BF"/>
    <w:rsid w:val="6A843983"/>
    <w:rsid w:val="6AA052F7"/>
    <w:rsid w:val="6AB95533"/>
    <w:rsid w:val="6AED32D6"/>
    <w:rsid w:val="6B037E0E"/>
    <w:rsid w:val="6B0D1266"/>
    <w:rsid w:val="6B454EC0"/>
    <w:rsid w:val="6B633856"/>
    <w:rsid w:val="6BA51E03"/>
    <w:rsid w:val="6BC24763"/>
    <w:rsid w:val="6BDD2B0A"/>
    <w:rsid w:val="6BDE41BB"/>
    <w:rsid w:val="6BEE7306"/>
    <w:rsid w:val="6BF40AC7"/>
    <w:rsid w:val="6C501D6F"/>
    <w:rsid w:val="6C5462A8"/>
    <w:rsid w:val="6C5F1FB2"/>
    <w:rsid w:val="6C6121CE"/>
    <w:rsid w:val="6C7041BF"/>
    <w:rsid w:val="6C917FD7"/>
    <w:rsid w:val="6DB85E1E"/>
    <w:rsid w:val="6DE76703"/>
    <w:rsid w:val="6DEE183F"/>
    <w:rsid w:val="6E401402"/>
    <w:rsid w:val="6E5378F4"/>
    <w:rsid w:val="6E5C1B88"/>
    <w:rsid w:val="6E647D53"/>
    <w:rsid w:val="6F3574FF"/>
    <w:rsid w:val="6F6A75EB"/>
    <w:rsid w:val="6F6F7A6D"/>
    <w:rsid w:val="6F711F0A"/>
    <w:rsid w:val="6F8B1310"/>
    <w:rsid w:val="6F9E7295"/>
    <w:rsid w:val="6FBB0862"/>
    <w:rsid w:val="6FC565D0"/>
    <w:rsid w:val="6FD64C81"/>
    <w:rsid w:val="70106954"/>
    <w:rsid w:val="70115CB9"/>
    <w:rsid w:val="70305275"/>
    <w:rsid w:val="705160B5"/>
    <w:rsid w:val="70757FF6"/>
    <w:rsid w:val="70810A07"/>
    <w:rsid w:val="70B84386"/>
    <w:rsid w:val="70EB475C"/>
    <w:rsid w:val="71063344"/>
    <w:rsid w:val="71067B98"/>
    <w:rsid w:val="71995F66"/>
    <w:rsid w:val="71A5490B"/>
    <w:rsid w:val="71BB7860"/>
    <w:rsid w:val="71C1726B"/>
    <w:rsid w:val="71F7064C"/>
    <w:rsid w:val="72440385"/>
    <w:rsid w:val="727D7636"/>
    <w:rsid w:val="72BC63B0"/>
    <w:rsid w:val="72CC236B"/>
    <w:rsid w:val="73410663"/>
    <w:rsid w:val="73761484"/>
    <w:rsid w:val="73836405"/>
    <w:rsid w:val="73E536E4"/>
    <w:rsid w:val="73EA0CFB"/>
    <w:rsid w:val="74161AF0"/>
    <w:rsid w:val="743F3C99"/>
    <w:rsid w:val="74730CF0"/>
    <w:rsid w:val="74835482"/>
    <w:rsid w:val="7487479C"/>
    <w:rsid w:val="74877DC7"/>
    <w:rsid w:val="74955EF0"/>
    <w:rsid w:val="74A215D5"/>
    <w:rsid w:val="74DB35C2"/>
    <w:rsid w:val="74DF4D01"/>
    <w:rsid w:val="7516167C"/>
    <w:rsid w:val="75232716"/>
    <w:rsid w:val="7544443B"/>
    <w:rsid w:val="75890D8F"/>
    <w:rsid w:val="75A03D67"/>
    <w:rsid w:val="75B043EA"/>
    <w:rsid w:val="761B163F"/>
    <w:rsid w:val="76564426"/>
    <w:rsid w:val="76D90F68"/>
    <w:rsid w:val="77043E82"/>
    <w:rsid w:val="77161E07"/>
    <w:rsid w:val="771F0CBB"/>
    <w:rsid w:val="77280C7C"/>
    <w:rsid w:val="773D7394"/>
    <w:rsid w:val="77614A4C"/>
    <w:rsid w:val="77660E93"/>
    <w:rsid w:val="779C67B0"/>
    <w:rsid w:val="77A613DD"/>
    <w:rsid w:val="77BB58EB"/>
    <w:rsid w:val="77C1540B"/>
    <w:rsid w:val="783E7320"/>
    <w:rsid w:val="78497340"/>
    <w:rsid w:val="7863107C"/>
    <w:rsid w:val="7886115F"/>
    <w:rsid w:val="78A7540C"/>
    <w:rsid w:val="78AE679B"/>
    <w:rsid w:val="78C43643"/>
    <w:rsid w:val="78CB19C0"/>
    <w:rsid w:val="78E21FA1"/>
    <w:rsid w:val="78F35EFE"/>
    <w:rsid w:val="78FF5669"/>
    <w:rsid w:val="791B3704"/>
    <w:rsid w:val="793275BA"/>
    <w:rsid w:val="794159AF"/>
    <w:rsid w:val="794E3ADA"/>
    <w:rsid w:val="798E3ED6"/>
    <w:rsid w:val="79A724F1"/>
    <w:rsid w:val="79B53B59"/>
    <w:rsid w:val="79C1605A"/>
    <w:rsid w:val="79E1494E"/>
    <w:rsid w:val="79FF36E3"/>
    <w:rsid w:val="7A1C7734"/>
    <w:rsid w:val="7A286B10"/>
    <w:rsid w:val="7A37631C"/>
    <w:rsid w:val="7A385EE3"/>
    <w:rsid w:val="7A4B7878"/>
    <w:rsid w:val="7A561B81"/>
    <w:rsid w:val="7A6D100D"/>
    <w:rsid w:val="7A87102F"/>
    <w:rsid w:val="7A990D85"/>
    <w:rsid w:val="7AA00365"/>
    <w:rsid w:val="7B4231CA"/>
    <w:rsid w:val="7B525B9A"/>
    <w:rsid w:val="7B825670"/>
    <w:rsid w:val="7B8B366D"/>
    <w:rsid w:val="7B946370"/>
    <w:rsid w:val="7BB51BEE"/>
    <w:rsid w:val="7BB609B7"/>
    <w:rsid w:val="7BBE2690"/>
    <w:rsid w:val="7BC41E31"/>
    <w:rsid w:val="7BD10C54"/>
    <w:rsid w:val="7BE73D72"/>
    <w:rsid w:val="7C3F1529"/>
    <w:rsid w:val="7C5331B5"/>
    <w:rsid w:val="7C5F16F8"/>
    <w:rsid w:val="7C635AEE"/>
    <w:rsid w:val="7C6929D9"/>
    <w:rsid w:val="7C9D3E10"/>
    <w:rsid w:val="7CA82FB1"/>
    <w:rsid w:val="7CAF2E48"/>
    <w:rsid w:val="7CB122FF"/>
    <w:rsid w:val="7CF76237"/>
    <w:rsid w:val="7D150D16"/>
    <w:rsid w:val="7D344D95"/>
    <w:rsid w:val="7D625DA6"/>
    <w:rsid w:val="7DA05FAF"/>
    <w:rsid w:val="7DBA67DE"/>
    <w:rsid w:val="7DF53ACA"/>
    <w:rsid w:val="7DF7159A"/>
    <w:rsid w:val="7E3B6403"/>
    <w:rsid w:val="7E490D14"/>
    <w:rsid w:val="7E7C50A3"/>
    <w:rsid w:val="7EAF0B77"/>
    <w:rsid w:val="7EC16AFC"/>
    <w:rsid w:val="7EE32736"/>
    <w:rsid w:val="7F0E4C61"/>
    <w:rsid w:val="7F3726FE"/>
    <w:rsid w:val="7F385010"/>
    <w:rsid w:val="7F7F4C0B"/>
    <w:rsid w:val="7FAA57E2"/>
    <w:rsid w:val="7FAE7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before="260" w:after="260" w:line="416" w:lineRule="auto"/>
      <w:outlineLvl w:val="2"/>
    </w:pPr>
    <w:rPr>
      <w:b/>
      <w:sz w:val="32"/>
      <w:szCs w:val="20"/>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5">
    <w:name w:val="heading 5"/>
    <w:basedOn w:val="1"/>
    <w:qFormat/>
    <w:uiPriority w:val="1"/>
    <w:pPr>
      <w:ind w:left="859"/>
      <w:outlineLvl w:val="5"/>
    </w:pPr>
    <w:rPr>
      <w:rFonts w:ascii="宋体" w:hAnsi="宋体" w:eastAsia="宋体"/>
      <w:sz w:val="28"/>
      <w:szCs w:val="28"/>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6">
    <w:name w:val="annotation text"/>
    <w:basedOn w:val="1"/>
    <w:autoRedefine/>
    <w:qFormat/>
    <w:uiPriority w:val="0"/>
    <w:pPr>
      <w:jc w:val="left"/>
    </w:pPr>
  </w:style>
  <w:style w:type="paragraph" w:styleId="7">
    <w:name w:val="Body Text"/>
    <w:basedOn w:val="1"/>
    <w:next w:val="1"/>
    <w:semiHidden/>
    <w:qFormat/>
    <w:uiPriority w:val="0"/>
    <w:rPr>
      <w:rFonts w:ascii="仿宋" w:hAnsi="仿宋" w:eastAsia="仿宋" w:cs="仿宋"/>
      <w:sz w:val="31"/>
      <w:szCs w:val="31"/>
      <w:lang w:val="en-US" w:eastAsia="en-US" w:bidi="ar-SA"/>
    </w:rPr>
  </w:style>
  <w:style w:type="paragraph" w:styleId="8">
    <w:name w:val="Body Text Indent"/>
    <w:basedOn w:val="1"/>
    <w:next w:val="9"/>
    <w:qFormat/>
    <w:uiPriority w:val="0"/>
    <w:pPr>
      <w:ind w:firstLine="645"/>
    </w:pPr>
    <w:rPr>
      <w:rFonts w:ascii="楷体_GB2312" w:eastAsia="楷体_GB2312"/>
      <w:sz w:val="32"/>
      <w:szCs w:val="32"/>
    </w:rPr>
  </w:style>
  <w:style w:type="paragraph" w:styleId="9">
    <w:name w:val="envelope return"/>
    <w:basedOn w:val="1"/>
    <w:unhideWhenUsed/>
    <w:qFormat/>
    <w:uiPriority w:val="99"/>
    <w:pPr>
      <w:snapToGrid w:val="0"/>
    </w:pPr>
    <w:rPr>
      <w:rFonts w:ascii="Arial" w:hAnsi="Arial"/>
    </w:rPr>
  </w:style>
  <w:style w:type="paragraph" w:styleId="10">
    <w:name w:val="Plain Text"/>
    <w:basedOn w:val="1"/>
    <w:qFormat/>
    <w:uiPriority w:val="0"/>
    <w:rPr>
      <w:rFonts w:hint="eastAsia" w:ascii="宋体" w:hAnsi="Courier New"/>
      <w:szCs w:val="20"/>
    </w:rPr>
  </w:style>
  <w:style w:type="paragraph" w:styleId="11">
    <w:name w:val="footer"/>
    <w:basedOn w:val="1"/>
    <w:link w:val="22"/>
    <w:autoRedefine/>
    <w:qFormat/>
    <w:uiPriority w:val="0"/>
    <w:pPr>
      <w:tabs>
        <w:tab w:val="center" w:pos="4153"/>
        <w:tab w:val="right" w:pos="8306"/>
      </w:tabs>
      <w:snapToGrid w:val="0"/>
      <w:jc w:val="left"/>
    </w:pPr>
    <w:rPr>
      <w:sz w:val="18"/>
      <w:szCs w:val="18"/>
    </w:rPr>
  </w:style>
  <w:style w:type="paragraph" w:styleId="12">
    <w:name w:val="header"/>
    <w:basedOn w:val="1"/>
    <w:link w:val="2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2"/>
    <w:basedOn w:val="8"/>
    <w:next w:val="7"/>
    <w:qFormat/>
    <w:uiPriority w:val="0"/>
    <w:pPr>
      <w:spacing w:line="360" w:lineRule="auto"/>
      <w:ind w:firstLine="420" w:firstLineChars="200"/>
    </w:pPr>
    <w:rPr>
      <w:rFonts w:ascii="宋体" w:hAnsi="宋体" w:eastAsia="宋体"/>
      <w:sz w:val="21"/>
      <w:szCs w:val="20"/>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Emphasis"/>
    <w:qFormat/>
    <w:uiPriority w:val="0"/>
    <w:rPr>
      <w:i/>
    </w:rPr>
  </w:style>
  <w:style w:type="paragraph" w:customStyle="1" w:styleId="20">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1">
    <w:name w:val="页眉 Char"/>
    <w:basedOn w:val="17"/>
    <w:link w:val="12"/>
    <w:autoRedefine/>
    <w:qFormat/>
    <w:uiPriority w:val="0"/>
    <w:rPr>
      <w:rFonts w:asciiTheme="minorHAnsi" w:hAnsiTheme="minorHAnsi" w:eastAsiaTheme="minorEastAsia" w:cstheme="minorBidi"/>
      <w:kern w:val="2"/>
      <w:sz w:val="18"/>
      <w:szCs w:val="18"/>
    </w:rPr>
  </w:style>
  <w:style w:type="character" w:customStyle="1" w:styleId="22">
    <w:name w:val="页脚 Char"/>
    <w:basedOn w:val="17"/>
    <w:link w:val="11"/>
    <w:autoRedefine/>
    <w:qFormat/>
    <w:uiPriority w:val="0"/>
    <w:rPr>
      <w:rFonts w:asciiTheme="minorHAnsi" w:hAnsiTheme="minorHAnsi" w:eastAsiaTheme="minorEastAsia" w:cstheme="minorBidi"/>
      <w:kern w:val="2"/>
      <w:sz w:val="18"/>
      <w:szCs w:val="18"/>
    </w:rPr>
  </w:style>
  <w:style w:type="paragraph" w:customStyle="1" w:styleId="23">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4">
    <w:name w:val="正文首行缩进 21"/>
    <w:basedOn w:val="25"/>
    <w:qFormat/>
    <w:uiPriority w:val="0"/>
    <w:pPr>
      <w:ind w:firstLine="420"/>
    </w:pPr>
  </w:style>
  <w:style w:type="paragraph" w:customStyle="1" w:styleId="25">
    <w:name w:val="正文文本缩进1"/>
    <w:basedOn w:val="1"/>
    <w:qFormat/>
    <w:uiPriority w:val="0"/>
    <w:pPr>
      <w:spacing w:after="120"/>
      <w:ind w:left="420"/>
    </w:pPr>
  </w:style>
  <w:style w:type="paragraph" w:customStyle="1" w:styleId="26">
    <w:name w:val="Table Text"/>
    <w:qFormat/>
    <w:uiPriority w:val="0"/>
    <w:pPr>
      <w:snapToGrid w:val="0"/>
      <w:spacing w:before="143" w:beforeLines="50" w:after="80"/>
      <w:jc w:val="center"/>
    </w:pPr>
    <w:rPr>
      <w:rFonts w:ascii="仿宋_GB2312" w:hAnsi="宋体" w:eastAsia="仿宋_GB2312" w:cs="Times New Roman"/>
      <w:sz w:val="24"/>
      <w:lang w:val="en-US" w:eastAsia="zh-CN" w:bidi="ar-SA"/>
    </w:rPr>
  </w:style>
  <w:style w:type="character" w:customStyle="1" w:styleId="27">
    <w:name w:val="font81"/>
    <w:basedOn w:val="17"/>
    <w:qFormat/>
    <w:uiPriority w:val="0"/>
    <w:rPr>
      <w:rFonts w:hint="eastAsia" w:ascii="宋体" w:hAnsi="宋体" w:eastAsia="宋体" w:cs="宋体"/>
      <w:color w:val="000000"/>
      <w:sz w:val="24"/>
      <w:szCs w:val="24"/>
      <w:u w:val="none"/>
    </w:rPr>
  </w:style>
  <w:style w:type="character" w:customStyle="1" w:styleId="28">
    <w:name w:val="font91"/>
    <w:basedOn w:val="17"/>
    <w:qFormat/>
    <w:uiPriority w:val="0"/>
    <w:rPr>
      <w:rFonts w:hint="eastAsia" w:ascii="宋体" w:hAnsi="宋体" w:eastAsia="宋体" w:cs="宋体"/>
      <w:color w:val="000000"/>
      <w:sz w:val="24"/>
      <w:szCs w:val="24"/>
      <w:u w:val="none"/>
    </w:rPr>
  </w:style>
  <w:style w:type="character" w:customStyle="1" w:styleId="29">
    <w:name w:val="font41"/>
    <w:basedOn w:val="17"/>
    <w:qFormat/>
    <w:uiPriority w:val="0"/>
    <w:rPr>
      <w:rFonts w:hint="eastAsia" w:ascii="宋体" w:hAnsi="宋体" w:eastAsia="宋体" w:cs="宋体"/>
      <w:color w:val="000000"/>
      <w:sz w:val="24"/>
      <w:szCs w:val="24"/>
      <w:u w:val="none"/>
    </w:rPr>
  </w:style>
  <w:style w:type="character" w:customStyle="1" w:styleId="30">
    <w:name w:val="font11"/>
    <w:basedOn w:val="17"/>
    <w:qFormat/>
    <w:uiPriority w:val="0"/>
    <w:rPr>
      <w:rFonts w:hint="eastAsia" w:ascii="宋体" w:hAnsi="宋体" w:eastAsia="宋体" w:cs="宋体"/>
      <w:color w:val="000000"/>
      <w:sz w:val="24"/>
      <w:szCs w:val="24"/>
      <w:u w:val="none"/>
    </w:rPr>
  </w:style>
  <w:style w:type="character" w:customStyle="1" w:styleId="31">
    <w:name w:val="NormalCharacter"/>
    <w:link w:val="32"/>
    <w:autoRedefine/>
    <w:semiHidden/>
    <w:qFormat/>
    <w:uiPriority w:val="0"/>
    <w:rPr>
      <w:rFonts w:ascii="Wingdings 2" w:hAnsi="Wingdings 2"/>
    </w:rPr>
  </w:style>
  <w:style w:type="paragraph" w:customStyle="1" w:styleId="32">
    <w:name w:val="UserStyle_0"/>
    <w:basedOn w:val="1"/>
    <w:link w:val="31"/>
    <w:autoRedefine/>
    <w:qFormat/>
    <w:uiPriority w:val="0"/>
    <w:rPr>
      <w:rFonts w:ascii="Wingdings 2" w:hAnsi="Wingdings 2"/>
    </w:rPr>
  </w:style>
  <w:style w:type="paragraph" w:customStyle="1" w:styleId="33">
    <w:name w:val="Index4"/>
    <w:basedOn w:val="1"/>
    <w:next w:val="1"/>
    <w:semiHidden/>
    <w:qFormat/>
    <w:uiPriority w:val="0"/>
    <w:pPr>
      <w:ind w:left="600" w:leftChars="600"/>
    </w:pPr>
  </w:style>
  <w:style w:type="paragraph" w:customStyle="1" w:styleId="34">
    <w:name w:val="普通(网站)11"/>
    <w:basedOn w:val="1"/>
    <w:qFormat/>
    <w:uiPriority w:val="0"/>
    <w:pPr>
      <w:spacing w:beforeAutospacing="1" w:afterAutospacing="1"/>
      <w:jc w:val="left"/>
    </w:pPr>
    <w:rPr>
      <w:rFonts w:cs="Times New Roman"/>
      <w:sz w:val="24"/>
    </w:rPr>
  </w:style>
  <w:style w:type="paragraph" w:customStyle="1" w:styleId="35">
    <w:name w:val="首行缩进"/>
    <w:basedOn w:val="1"/>
    <w:qFormat/>
    <w:uiPriority w:val="0"/>
    <w:pPr>
      <w:spacing w:line="360" w:lineRule="auto"/>
      <w:ind w:firstLine="480" w:firstLineChars="200"/>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64</Pages>
  <Words>35917</Words>
  <Characters>39344</Characters>
  <Lines>167</Lines>
  <Paragraphs>47</Paragraphs>
  <TotalTime>6</TotalTime>
  <ScaleCrop>false</ScaleCrop>
  <LinksUpToDate>false</LinksUpToDate>
  <CharactersWithSpaces>40319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红星的光芒</cp:lastModifiedBy>
  <dcterms:modified xsi:type="dcterms:W3CDTF">2026-06-03T07:51:27Z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B577D8D893B042628EB33FD6E64B0D52_13</vt:lpwstr>
  </property>
  <property fmtid="{D5CDD505-2E9C-101B-9397-08002B2CF9AE}" pid="4" name="KSOTemplateDocerSaveRecord">
    <vt:lpwstr>eyJoZGlkIjoiZTUwZjUxMTMyNDc5YWQ4ZWJlMThhMGZlNTA3YWEyYTciLCJ1c2VySWQiOiI0MjQ2NTM5OTcifQ==</vt:lpwstr>
  </property>
</Properties>
</file>